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9C2F2F3">
      <w:pPr>
        <w:spacing w:before="116" w:line="471" w:lineRule="exact"/>
        <w:ind w:left="573"/>
        <w:rPr>
          <w:rFonts w:ascii="Times New Roman" w:hAnsi="Times New Roman" w:eastAsia="Times New Roman" w:cs="Times New Roman"/>
          <w:sz w:val="31"/>
          <w:szCs w:val="31"/>
        </w:rPr>
      </w:pPr>
      <w:r>
        <w:rPr>
          <w:rFonts w:ascii="方正黑体_GBK" w:hAnsi="方正黑体_GBK" w:eastAsia="方正黑体_GBK" w:cs="方正黑体_GBK"/>
          <w:spacing w:val="-11"/>
          <w:position w:val="3"/>
          <w:sz w:val="31"/>
          <w:szCs w:val="31"/>
        </w:rPr>
        <w:t>附件</w:t>
      </w:r>
      <w:r>
        <w:rPr>
          <w:rFonts w:ascii="方正黑体_GBK" w:hAnsi="方正黑体_GBK" w:eastAsia="方正黑体_GBK" w:cs="方正黑体_GBK"/>
          <w:spacing w:val="44"/>
          <w:position w:val="3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-11"/>
          <w:position w:val="3"/>
          <w:sz w:val="31"/>
          <w:szCs w:val="31"/>
        </w:rPr>
        <w:t>12</w:t>
      </w:r>
    </w:p>
    <w:p w14:paraId="263DF06A">
      <w:pPr>
        <w:spacing w:before="140" w:line="245" w:lineRule="auto"/>
        <w:ind w:left="3953" w:right="1529" w:hanging="2414"/>
        <w:rPr>
          <w:rFonts w:ascii="方正小标宋_GBK" w:hAnsi="方正小标宋_GBK" w:eastAsia="方正小标宋_GBK" w:cs="方正小标宋_GBK"/>
          <w:sz w:val="43"/>
          <w:szCs w:val="43"/>
        </w:rPr>
      </w:pPr>
      <w:r>
        <w:rPr>
          <w:rFonts w:ascii="方正小标宋_GBK" w:hAnsi="方正小标宋_GBK" w:eastAsia="方正小标宋_GBK" w:cs="方正小标宋_GBK"/>
          <w:spacing w:val="7"/>
          <w:sz w:val="43"/>
          <w:szCs w:val="43"/>
        </w:rPr>
        <w:t>重庆新闻奖融合报道、</w:t>
      </w:r>
      <w:r>
        <w:rPr>
          <w:rFonts w:ascii="方正小标宋_GBK" w:hAnsi="方正小标宋_GBK" w:eastAsia="方正小标宋_GBK" w:cs="方正小标宋_GBK"/>
          <w:spacing w:val="-71"/>
          <w:sz w:val="43"/>
          <w:szCs w:val="43"/>
        </w:rPr>
        <w:t xml:space="preserve"> </w:t>
      </w:r>
      <w:r>
        <w:rPr>
          <w:rFonts w:ascii="方正小标宋_GBK" w:hAnsi="方正小标宋_GBK" w:eastAsia="方正小标宋_GBK" w:cs="方正小标宋_GBK"/>
          <w:spacing w:val="7"/>
          <w:sz w:val="43"/>
          <w:szCs w:val="43"/>
        </w:rPr>
        <w:t>应用创新参评</w:t>
      </w:r>
      <w:r>
        <w:rPr>
          <w:rFonts w:ascii="方正小标宋_GBK" w:hAnsi="方正小标宋_GBK" w:eastAsia="方正小标宋_GBK" w:cs="方正小标宋_GBK"/>
          <w:sz w:val="43"/>
          <w:szCs w:val="43"/>
        </w:rPr>
        <w:t xml:space="preserve"> </w:t>
      </w:r>
      <w:r>
        <w:rPr>
          <w:rFonts w:ascii="方正小标宋_GBK" w:hAnsi="方正小标宋_GBK" w:eastAsia="方正小标宋_GBK" w:cs="方正小标宋_GBK"/>
          <w:spacing w:val="8"/>
          <w:sz w:val="43"/>
          <w:szCs w:val="43"/>
        </w:rPr>
        <w:t>作品推荐表</w:t>
      </w:r>
    </w:p>
    <w:p w14:paraId="515ED5A2">
      <w:pPr>
        <w:spacing w:line="104" w:lineRule="auto"/>
        <w:rPr>
          <w:rFonts w:ascii="Arial"/>
          <w:sz w:val="2"/>
        </w:rPr>
      </w:pPr>
    </w:p>
    <w:tbl>
      <w:tblPr>
        <w:tblStyle w:val="5"/>
        <w:tblW w:w="10092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67"/>
        <w:gridCol w:w="1404"/>
        <w:gridCol w:w="787"/>
        <w:gridCol w:w="594"/>
        <w:gridCol w:w="398"/>
        <w:gridCol w:w="87"/>
        <w:gridCol w:w="257"/>
        <w:gridCol w:w="663"/>
        <w:gridCol w:w="730"/>
        <w:gridCol w:w="50"/>
        <w:gridCol w:w="624"/>
        <w:gridCol w:w="426"/>
        <w:gridCol w:w="978"/>
        <w:gridCol w:w="1427"/>
      </w:tblGrid>
      <w:tr w14:paraId="2D043D8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1667" w:type="dxa"/>
            <w:vMerge w:val="restart"/>
            <w:tcBorders>
              <w:bottom w:val="nil"/>
            </w:tcBorders>
            <w:vAlign w:val="center"/>
          </w:tcPr>
          <w:p w14:paraId="2B1B4D26">
            <w:pPr>
              <w:pStyle w:val="4"/>
              <w:spacing w:before="105"/>
              <w:jc w:val="center"/>
            </w:pPr>
            <w:r>
              <w:rPr>
                <w:spacing w:val="-3"/>
              </w:rPr>
              <w:t>作品标题</w:t>
            </w:r>
          </w:p>
        </w:tc>
        <w:tc>
          <w:tcPr>
            <w:tcW w:w="3527" w:type="dxa"/>
            <w:gridSpan w:val="6"/>
            <w:vMerge w:val="restart"/>
            <w:tcBorders>
              <w:bottom w:val="nil"/>
            </w:tcBorders>
            <w:vAlign w:val="top"/>
          </w:tcPr>
          <w:p w14:paraId="32BF96B2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540" w:lineRule="exact"/>
              <w:jc w:val="both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“政务”板块</w:t>
            </w:r>
          </w:p>
        </w:tc>
        <w:tc>
          <w:tcPr>
            <w:tcW w:w="1393" w:type="dxa"/>
            <w:gridSpan w:val="2"/>
            <w:vAlign w:val="center"/>
          </w:tcPr>
          <w:p w14:paraId="25E7743C">
            <w:pPr>
              <w:pStyle w:val="4"/>
              <w:spacing w:before="122" w:line="214" w:lineRule="auto"/>
              <w:ind w:left="140"/>
              <w:jc w:val="center"/>
            </w:pPr>
            <w:r>
              <w:rPr>
                <w:spacing w:val="-3"/>
              </w:rPr>
              <w:t>参评项目</w:t>
            </w:r>
          </w:p>
        </w:tc>
        <w:tc>
          <w:tcPr>
            <w:tcW w:w="3505" w:type="dxa"/>
            <w:gridSpan w:val="5"/>
            <w:vAlign w:val="top"/>
          </w:tcPr>
          <w:p w14:paraId="511AC594">
            <w:pPr>
              <w:spacing w:before="247" w:line="277" w:lineRule="auto"/>
              <w:ind w:left="13" w:right="6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8"/>
                <w:szCs w:val="28"/>
                <w:lang w:eastAsia="zh-CN"/>
              </w:rPr>
              <w:t>应用创新</w:t>
            </w:r>
          </w:p>
        </w:tc>
      </w:tr>
      <w:tr w14:paraId="688E8CC5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3" w:hRule="atLeast"/>
        </w:trPr>
        <w:tc>
          <w:tcPr>
            <w:tcW w:w="1667" w:type="dxa"/>
            <w:vMerge w:val="continue"/>
            <w:tcBorders>
              <w:top w:val="nil"/>
            </w:tcBorders>
            <w:vAlign w:val="center"/>
          </w:tcPr>
          <w:p w14:paraId="04AEF0D5">
            <w:pPr>
              <w:jc w:val="center"/>
              <w:rPr>
                <w:rFonts w:ascii="Arial"/>
                <w:sz w:val="21"/>
              </w:rPr>
            </w:pPr>
          </w:p>
        </w:tc>
        <w:tc>
          <w:tcPr>
            <w:tcW w:w="3527" w:type="dxa"/>
            <w:gridSpan w:val="6"/>
            <w:vMerge w:val="continue"/>
            <w:tcBorders>
              <w:top w:val="nil"/>
            </w:tcBorders>
            <w:vAlign w:val="top"/>
          </w:tcPr>
          <w:p w14:paraId="6C109608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540" w:lineRule="exact"/>
              <w:ind w:left="114" w:firstLine="560" w:firstLineChars="200"/>
              <w:jc w:val="both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</w:p>
        </w:tc>
        <w:tc>
          <w:tcPr>
            <w:tcW w:w="1393" w:type="dxa"/>
            <w:gridSpan w:val="2"/>
            <w:vAlign w:val="center"/>
          </w:tcPr>
          <w:p w14:paraId="470711D5">
            <w:pPr>
              <w:pStyle w:val="4"/>
              <w:spacing w:before="99" w:line="203" w:lineRule="auto"/>
              <w:ind w:left="110"/>
              <w:jc w:val="center"/>
            </w:pPr>
            <w:r>
              <w:rPr>
                <w:spacing w:val="-4"/>
              </w:rPr>
              <w:t>字数</w:t>
            </w:r>
            <w:r>
              <w:rPr>
                <w:rFonts w:ascii="Times New Roman" w:hAnsi="Times New Roman" w:eastAsia="Times New Roman" w:cs="Times New Roman"/>
                <w:spacing w:val="-4"/>
              </w:rPr>
              <w:t>/</w:t>
            </w:r>
            <w:r>
              <w:rPr>
                <w:spacing w:val="-4"/>
              </w:rPr>
              <w:t>时长</w:t>
            </w:r>
          </w:p>
        </w:tc>
        <w:tc>
          <w:tcPr>
            <w:tcW w:w="3505" w:type="dxa"/>
            <w:gridSpan w:val="5"/>
            <w:vAlign w:val="top"/>
          </w:tcPr>
          <w:p w14:paraId="24042091">
            <w:pPr>
              <w:rPr>
                <w:rFonts w:ascii="Arial"/>
                <w:sz w:val="21"/>
              </w:rPr>
            </w:pPr>
          </w:p>
        </w:tc>
      </w:tr>
      <w:tr w14:paraId="4C720A5D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3" w:hRule="atLeast"/>
        </w:trPr>
        <w:tc>
          <w:tcPr>
            <w:tcW w:w="1667" w:type="dxa"/>
            <w:vAlign w:val="center"/>
          </w:tcPr>
          <w:p w14:paraId="1A2F07AD">
            <w:pPr>
              <w:pStyle w:val="4"/>
              <w:spacing w:before="96" w:line="203" w:lineRule="auto"/>
              <w:ind w:left="288"/>
              <w:jc w:val="both"/>
            </w:pPr>
            <w:r>
              <w:rPr>
                <w:spacing w:val="-4"/>
              </w:rPr>
              <w:t>主创人员</w:t>
            </w:r>
          </w:p>
        </w:tc>
        <w:tc>
          <w:tcPr>
            <w:tcW w:w="3527" w:type="dxa"/>
            <w:gridSpan w:val="6"/>
            <w:vAlign w:val="top"/>
          </w:tcPr>
          <w:p w14:paraId="3FD4B7DC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540" w:lineRule="exact"/>
              <w:jc w:val="both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8"/>
                <w:szCs w:val="28"/>
                <w:lang w:val="en-US" w:eastAsia="zh-CN"/>
              </w:rPr>
              <w:t>骆灰月、</w:t>
            </w: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郭怡欣、包濛、冉启平、杨涵</w:t>
            </w:r>
            <w:r>
              <w:rPr>
                <w:rFonts w:hint="eastAsia" w:ascii="方正仿宋_GB2312" w:hAnsi="方正仿宋_GB2312" w:eastAsia="方正仿宋_GB2312" w:cs="方正仿宋_GB2312"/>
                <w:sz w:val="28"/>
                <w:szCs w:val="28"/>
                <w:lang w:val="en-US" w:eastAsia="zh-CN"/>
              </w:rPr>
              <w:t>、王欣怡</w:t>
            </w:r>
          </w:p>
        </w:tc>
        <w:tc>
          <w:tcPr>
            <w:tcW w:w="1393" w:type="dxa"/>
            <w:gridSpan w:val="2"/>
            <w:vAlign w:val="center"/>
          </w:tcPr>
          <w:p w14:paraId="170D548E">
            <w:pPr>
              <w:pStyle w:val="4"/>
              <w:spacing w:before="96" w:line="203" w:lineRule="auto"/>
              <w:jc w:val="center"/>
            </w:pPr>
            <w:r>
              <w:rPr>
                <w:spacing w:val="-5"/>
              </w:rPr>
              <w:t>编辑</w:t>
            </w:r>
          </w:p>
        </w:tc>
        <w:tc>
          <w:tcPr>
            <w:tcW w:w="3505" w:type="dxa"/>
            <w:gridSpan w:val="5"/>
            <w:vAlign w:val="top"/>
          </w:tcPr>
          <w:p w14:paraId="54E66AAB">
            <w:pPr>
              <w:spacing w:before="247" w:line="277" w:lineRule="auto"/>
              <w:ind w:left="13" w:right="6"/>
              <w:rPr>
                <w:rFonts w:hint="default" w:ascii="Arial"/>
                <w:sz w:val="21"/>
                <w:lang w:val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8"/>
                <w:szCs w:val="28"/>
                <w:lang w:val="en-US" w:eastAsia="zh-CN"/>
              </w:rPr>
              <w:t>覃政强、刘黎</w:t>
            </w:r>
          </w:p>
        </w:tc>
      </w:tr>
      <w:tr w14:paraId="77D4586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667" w:type="dxa"/>
            <w:vAlign w:val="center"/>
          </w:tcPr>
          <w:p w14:paraId="7D01FF4D">
            <w:pPr>
              <w:pStyle w:val="4"/>
              <w:spacing w:before="105" w:line="238" w:lineRule="auto"/>
              <w:jc w:val="center"/>
            </w:pPr>
            <w:r>
              <w:rPr>
                <w:spacing w:val="-2"/>
              </w:rPr>
              <w:t>原创单位</w:t>
            </w:r>
          </w:p>
        </w:tc>
        <w:tc>
          <w:tcPr>
            <w:tcW w:w="3527" w:type="dxa"/>
            <w:gridSpan w:val="6"/>
            <w:vAlign w:val="top"/>
          </w:tcPr>
          <w:p w14:paraId="209F872E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540" w:lineRule="exact"/>
              <w:jc w:val="both"/>
              <w:rPr>
                <w:rFonts w:hint="default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重庆市北碚区融媒体中心</w:t>
            </w:r>
          </w:p>
        </w:tc>
        <w:tc>
          <w:tcPr>
            <w:tcW w:w="1393" w:type="dxa"/>
            <w:gridSpan w:val="2"/>
            <w:vAlign w:val="top"/>
          </w:tcPr>
          <w:p w14:paraId="317B196B">
            <w:pPr>
              <w:spacing w:line="298" w:lineRule="auto"/>
              <w:rPr>
                <w:rFonts w:ascii="Arial"/>
                <w:sz w:val="21"/>
              </w:rPr>
            </w:pPr>
          </w:p>
          <w:p w14:paraId="298413AB">
            <w:pPr>
              <w:pStyle w:val="4"/>
              <w:spacing w:before="105" w:line="239" w:lineRule="auto"/>
              <w:ind w:left="138"/>
            </w:pPr>
            <w:r>
              <w:rPr>
                <w:spacing w:val="-2"/>
              </w:rPr>
              <w:t>发布平台</w:t>
            </w:r>
          </w:p>
        </w:tc>
        <w:tc>
          <w:tcPr>
            <w:tcW w:w="3505" w:type="dxa"/>
            <w:gridSpan w:val="5"/>
            <w:vAlign w:val="top"/>
          </w:tcPr>
          <w:p w14:paraId="7BDC36C3">
            <w:pPr>
              <w:spacing w:before="247" w:line="277" w:lineRule="auto"/>
              <w:ind w:left="13" w:right="6"/>
              <w:rPr>
                <w:rFonts w:hint="default" w:ascii="仿宋" w:hAnsi="仿宋" w:eastAsia="仿宋" w:cs="仿宋"/>
                <w:sz w:val="20"/>
                <w:szCs w:val="20"/>
                <w:lang w:val="en-US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8"/>
                <w:szCs w:val="28"/>
                <w:lang w:val="en-US" w:eastAsia="zh-CN"/>
              </w:rPr>
              <w:t>缙享北碚APP</w:t>
            </w:r>
          </w:p>
        </w:tc>
      </w:tr>
      <w:tr w14:paraId="43BBF0C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11" w:hRule="atLeast"/>
        </w:trPr>
        <w:tc>
          <w:tcPr>
            <w:tcW w:w="1667" w:type="dxa"/>
            <w:vAlign w:val="center"/>
          </w:tcPr>
          <w:p w14:paraId="35F0D4A2">
            <w:pPr>
              <w:pStyle w:val="4"/>
              <w:spacing w:before="173" w:line="239" w:lineRule="auto"/>
              <w:ind w:left="280"/>
              <w:jc w:val="both"/>
            </w:pPr>
            <w:r>
              <w:rPr>
                <w:spacing w:val="-2"/>
              </w:rPr>
              <w:t>发布日期</w:t>
            </w:r>
          </w:p>
        </w:tc>
        <w:tc>
          <w:tcPr>
            <w:tcW w:w="8425" w:type="dxa"/>
            <w:gridSpan w:val="13"/>
            <w:vAlign w:val="top"/>
          </w:tcPr>
          <w:p w14:paraId="3B19E3C2">
            <w:pPr>
              <w:spacing w:before="247" w:line="277" w:lineRule="auto"/>
              <w:ind w:left="13" w:right="6"/>
              <w:rPr>
                <w:rFonts w:hint="default" w:ascii="仿宋" w:hAnsi="仿宋" w:eastAsia="仿宋" w:cs="仿宋"/>
                <w:sz w:val="20"/>
                <w:szCs w:val="20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8"/>
                <w:szCs w:val="28"/>
                <w:lang w:val="en-US" w:eastAsia="zh-CN"/>
              </w:rPr>
              <w:t>2015年上线至今</w:t>
            </w:r>
          </w:p>
        </w:tc>
      </w:tr>
      <w:tr w14:paraId="43CAB97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1" w:hRule="atLeast"/>
        </w:trPr>
        <w:tc>
          <w:tcPr>
            <w:tcW w:w="1667" w:type="dxa"/>
            <w:vMerge w:val="restart"/>
            <w:tcBorders>
              <w:bottom w:val="nil"/>
            </w:tcBorders>
            <w:vAlign w:val="center"/>
          </w:tcPr>
          <w:p w14:paraId="0F9AB41A">
            <w:pPr>
              <w:pStyle w:val="4"/>
              <w:spacing w:before="119" w:line="230" w:lineRule="auto"/>
              <w:ind w:left="282"/>
              <w:jc w:val="center"/>
            </w:pPr>
            <w:r>
              <w:rPr>
                <w:spacing w:val="-3"/>
              </w:rPr>
              <w:t>作品链接</w:t>
            </w:r>
          </w:p>
          <w:p w14:paraId="589B0D37">
            <w:pPr>
              <w:pStyle w:val="4"/>
              <w:spacing w:before="1" w:line="214" w:lineRule="auto"/>
              <w:ind w:left="283"/>
              <w:jc w:val="center"/>
            </w:pPr>
            <w:r>
              <w:rPr>
                <w:spacing w:val="-3"/>
              </w:rPr>
              <w:t>和二维码</w:t>
            </w:r>
          </w:p>
        </w:tc>
        <w:tc>
          <w:tcPr>
            <w:tcW w:w="3270" w:type="dxa"/>
            <w:gridSpan w:val="5"/>
            <w:vMerge w:val="restart"/>
            <w:tcBorders>
              <w:bottom w:val="nil"/>
            </w:tcBorders>
            <w:vAlign w:val="top"/>
          </w:tcPr>
          <w:p w14:paraId="35C8ECBA">
            <w:pPr>
              <w:spacing w:before="165" w:line="335" w:lineRule="auto"/>
              <w:ind w:left="12" w:right="6" w:firstLine="3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https://h5.cqliving.com/wenzheng/detail/1037073.html?cid=1037073&amp;f=20&amp;sp=source_share</w:t>
            </w:r>
          </w:p>
        </w:tc>
        <w:tc>
          <w:tcPr>
            <w:tcW w:w="5155" w:type="dxa"/>
            <w:gridSpan w:val="8"/>
            <w:vAlign w:val="top"/>
          </w:tcPr>
          <w:p w14:paraId="1BECC0A8">
            <w:pPr>
              <w:pStyle w:val="4"/>
              <w:spacing w:before="66" w:line="198" w:lineRule="auto"/>
              <w:ind w:left="34"/>
              <w:rPr>
                <w:rFonts w:hint="eastAsia" w:eastAsia="方正黑体_GBK"/>
                <w:lang w:eastAsia="zh-CN"/>
              </w:rPr>
            </w:pPr>
            <w:r>
              <w:rPr>
                <w:spacing w:val="-3"/>
              </w:rPr>
              <w:t>中央宣传部“</w:t>
            </w:r>
            <w:r>
              <w:rPr>
                <w:spacing w:val="-35"/>
              </w:rPr>
              <w:t xml:space="preserve"> </w:t>
            </w:r>
            <w:r>
              <w:rPr>
                <w:spacing w:val="-3"/>
              </w:rPr>
              <w:t>三好作品”    是□  否</w:t>
            </w:r>
            <w:r>
              <w:rPr>
                <w:rFonts w:hint="eastAsia"/>
                <w:spacing w:val="-3"/>
                <w:lang w:eastAsia="zh-CN"/>
              </w:rPr>
              <w:t>☑</w:t>
            </w:r>
          </w:p>
        </w:tc>
      </w:tr>
      <w:tr w14:paraId="375570DE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78" w:hRule="atLeast"/>
        </w:trPr>
        <w:tc>
          <w:tcPr>
            <w:tcW w:w="1667" w:type="dxa"/>
            <w:vMerge w:val="continue"/>
            <w:tcBorders>
              <w:top w:val="nil"/>
            </w:tcBorders>
            <w:vAlign w:val="top"/>
          </w:tcPr>
          <w:p w14:paraId="23D2B77E">
            <w:pPr>
              <w:rPr>
                <w:rFonts w:ascii="Arial"/>
                <w:sz w:val="21"/>
              </w:rPr>
            </w:pPr>
          </w:p>
        </w:tc>
        <w:tc>
          <w:tcPr>
            <w:tcW w:w="3270" w:type="dxa"/>
            <w:gridSpan w:val="5"/>
            <w:vMerge w:val="continue"/>
            <w:tcBorders>
              <w:top w:val="nil"/>
            </w:tcBorders>
            <w:vAlign w:val="top"/>
          </w:tcPr>
          <w:p w14:paraId="3CD2E6B4">
            <w:pPr>
              <w:rPr>
                <w:rFonts w:ascii="Arial"/>
                <w:sz w:val="21"/>
              </w:rPr>
            </w:pPr>
          </w:p>
        </w:tc>
        <w:tc>
          <w:tcPr>
            <w:tcW w:w="5155" w:type="dxa"/>
            <w:gridSpan w:val="8"/>
            <w:vAlign w:val="top"/>
          </w:tcPr>
          <w:p w14:paraId="1FF1217E">
            <w:pPr>
              <w:pStyle w:val="4"/>
              <w:spacing w:before="93" w:line="215" w:lineRule="auto"/>
              <w:ind w:left="16"/>
              <w:rPr>
                <w:rFonts w:hint="eastAsia" w:eastAsia="方正黑体_GBK"/>
                <w:lang w:eastAsia="zh-CN"/>
              </w:rPr>
            </w:pPr>
            <w:r>
              <w:rPr>
                <w:spacing w:val="-2"/>
              </w:rPr>
              <w:t>市委宣传部“</w:t>
            </w:r>
            <w:r>
              <w:rPr>
                <w:spacing w:val="-38"/>
              </w:rPr>
              <w:t xml:space="preserve"> </w:t>
            </w:r>
            <w:r>
              <w:rPr>
                <w:spacing w:val="-2"/>
              </w:rPr>
              <w:t>三好作品”    是□  否</w:t>
            </w:r>
            <w:r>
              <w:rPr>
                <w:rFonts w:hint="eastAsia"/>
                <w:spacing w:val="-2"/>
                <w:lang w:eastAsia="zh-CN"/>
              </w:rPr>
              <w:t>☑</w:t>
            </w:r>
          </w:p>
        </w:tc>
      </w:tr>
      <w:tr w14:paraId="4B00DE4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05" w:hRule="atLeast"/>
        </w:trPr>
        <w:tc>
          <w:tcPr>
            <w:tcW w:w="1667" w:type="dxa"/>
            <w:vAlign w:val="top"/>
          </w:tcPr>
          <w:p w14:paraId="72EBD5ED">
            <w:pPr>
              <w:pStyle w:val="4"/>
              <w:spacing w:before="196" w:line="230" w:lineRule="auto"/>
              <w:ind w:left="282"/>
            </w:pPr>
            <w:r>
              <w:rPr>
                <w:spacing w:val="-3"/>
              </w:rPr>
              <w:t>作品简介</w:t>
            </w:r>
          </w:p>
          <w:p w14:paraId="4EECEE9C">
            <w:pPr>
              <w:pStyle w:val="4"/>
              <w:spacing w:line="237" w:lineRule="auto"/>
              <w:jc w:val="right"/>
            </w:pPr>
            <w:r>
              <w:rPr>
                <w:spacing w:val="-9"/>
              </w:rPr>
              <w:t>（</w:t>
            </w:r>
            <w:r>
              <w:rPr>
                <w:spacing w:val="-34"/>
              </w:rPr>
              <w:t xml:space="preserve"> </w:t>
            </w:r>
            <w:r>
              <w:rPr>
                <w:spacing w:val="-9"/>
              </w:rPr>
              <w:t>采编过程）</w:t>
            </w:r>
          </w:p>
        </w:tc>
        <w:tc>
          <w:tcPr>
            <w:tcW w:w="8425" w:type="dxa"/>
            <w:gridSpan w:val="13"/>
            <w:vAlign w:val="top"/>
          </w:tcPr>
          <w:p w14:paraId="7762BEE1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240" w:lineRule="auto"/>
              <w:ind w:left="114" w:firstLine="560" w:firstLineChars="200"/>
              <w:jc w:val="both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北碚区作为重庆市主城都市区中心城区，随着城市化进程的加快，民生问题日益多样化，市民对政务服务的需求也日益增长。为了更好地服务市民，提升政务服务的效率和透明度，北碚区于2015年在“缙享北碚”APP上特别设置了“政务”板块，打造高效、便捷的问政平台。</w:t>
            </w:r>
          </w:p>
          <w:p w14:paraId="69FBD458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240" w:lineRule="auto"/>
              <w:ind w:left="114" w:firstLine="560" w:firstLineChars="200"/>
              <w:jc w:val="both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该政务板块通过信息化手段，实现了北碚区各职能部门与市民之间的直接沟通。市民可以通过该平台提出交通、教育、医疗、环境等各类民生问题，相关职能部门工作人员会及时回复并办理，确保问题得到有效解决。主要特点如下：1、实时互动，市民可随时随地在平台上提出问题，职能部门快速响应，提升政务服务的时效性；2、透明公开，所有问题和回复均在平台上公开，市民可随时查看办理进度，增强政务服务的透明度；3、多部门协同，平台整合了北碚区各职能部门资源，实现跨部门协作，确保复杂问题得到综合处理；4、数据支持，平台通过大数据分析，识别高频问题和热点需求，为政府决策提供参考。通过“缙享北碚”APP政务板块，北碚区不仅提升了政务服务的质量和效率，还增强了市民的参与感和满意度，真正实现了“民有所呼，政有所应”。</w:t>
            </w:r>
          </w:p>
        </w:tc>
      </w:tr>
      <w:tr w14:paraId="0B04D981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0" w:hRule="atLeast"/>
        </w:trPr>
        <w:tc>
          <w:tcPr>
            <w:tcW w:w="1667" w:type="dxa"/>
            <w:vAlign w:val="top"/>
          </w:tcPr>
          <w:p w14:paraId="79A9868C">
            <w:pPr>
              <w:spacing w:line="386" w:lineRule="auto"/>
              <w:rPr>
                <w:rFonts w:ascii="Arial"/>
                <w:sz w:val="21"/>
              </w:rPr>
            </w:pPr>
          </w:p>
          <w:p w14:paraId="500F1E79">
            <w:pPr>
              <w:pStyle w:val="4"/>
              <w:spacing w:before="104" w:line="237" w:lineRule="auto"/>
              <w:ind w:left="277"/>
            </w:pPr>
            <w:r>
              <w:rPr>
                <w:spacing w:val="-2"/>
              </w:rPr>
              <w:t>社会效果</w:t>
            </w:r>
          </w:p>
        </w:tc>
        <w:tc>
          <w:tcPr>
            <w:tcW w:w="8425" w:type="dxa"/>
            <w:gridSpan w:val="13"/>
            <w:vAlign w:val="top"/>
          </w:tcPr>
          <w:p w14:paraId="1C751849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240" w:lineRule="auto"/>
              <w:ind w:left="114" w:firstLine="560" w:firstLineChars="200"/>
              <w:jc w:val="both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截至2024年底，“缙享北碚”APP政务板块月活跃用户超55万，注册用户达22万，2024年累计处理超300余件，实现了政府与市民之间的高效互动。该平台通过信息化手段，确保了市民诉求的及时响应和有效解决，被市民誉为“民生问题的快速通道”“政府服务的贴心助手”。同时，平台将市民的建议和反馈及时传递给相关职能部门，推动了公共服务的持续优化，提升了市民的满意度和获得感，成为了北碚区智慧城市建设的重要支撑。</w:t>
            </w:r>
          </w:p>
        </w:tc>
      </w:tr>
      <w:tr w14:paraId="51EC509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</w:trPr>
        <w:tc>
          <w:tcPr>
            <w:tcW w:w="1667" w:type="dxa"/>
            <w:vMerge w:val="restart"/>
            <w:tcBorders>
              <w:bottom w:val="nil"/>
            </w:tcBorders>
            <w:vAlign w:val="top"/>
          </w:tcPr>
          <w:p w14:paraId="6C6F369D">
            <w:pPr>
              <w:spacing w:line="328" w:lineRule="auto"/>
              <w:rPr>
                <w:rFonts w:ascii="Arial"/>
                <w:sz w:val="21"/>
              </w:rPr>
            </w:pPr>
          </w:p>
          <w:p w14:paraId="2867AA65">
            <w:pPr>
              <w:spacing w:line="329" w:lineRule="auto"/>
              <w:rPr>
                <w:rFonts w:ascii="Arial"/>
                <w:sz w:val="21"/>
              </w:rPr>
            </w:pPr>
          </w:p>
          <w:p w14:paraId="6FFCFF04">
            <w:pPr>
              <w:pStyle w:val="4"/>
              <w:spacing w:before="105" w:line="237" w:lineRule="auto"/>
              <w:ind w:left="277"/>
            </w:pPr>
            <w:r>
              <w:rPr>
                <w:spacing w:val="-2"/>
              </w:rPr>
              <w:t>传播数据</w:t>
            </w:r>
          </w:p>
        </w:tc>
        <w:tc>
          <w:tcPr>
            <w:tcW w:w="1404" w:type="dxa"/>
            <w:vMerge w:val="restart"/>
            <w:tcBorders>
              <w:bottom w:val="nil"/>
            </w:tcBorders>
            <w:vAlign w:val="top"/>
          </w:tcPr>
          <w:p w14:paraId="18F4001C">
            <w:pPr>
              <w:spacing w:before="270" w:line="229" w:lineRule="auto"/>
              <w:ind w:left="1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7"/>
                <w:sz w:val="20"/>
                <w:szCs w:val="20"/>
              </w:rPr>
              <w:t>新媒体传播</w:t>
            </w:r>
          </w:p>
          <w:p w14:paraId="09F0DCD9">
            <w:pPr>
              <w:spacing w:before="114" w:line="229" w:lineRule="auto"/>
              <w:ind w:left="12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5"/>
                <w:sz w:val="20"/>
                <w:szCs w:val="20"/>
              </w:rPr>
              <w:t>平台网址</w:t>
            </w:r>
          </w:p>
        </w:tc>
        <w:tc>
          <w:tcPr>
            <w:tcW w:w="7021" w:type="dxa"/>
            <w:gridSpan w:val="12"/>
            <w:vAlign w:val="top"/>
          </w:tcPr>
          <w:p w14:paraId="2129361B">
            <w:pPr>
              <w:spacing w:before="80" w:line="228" w:lineRule="auto"/>
              <w:ind w:left="47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1.https://h5.cqliving.com/wenzheng/detail/1037073.html?cid=1037073&amp;f=20&amp;sp=source_share</w:t>
            </w:r>
          </w:p>
        </w:tc>
      </w:tr>
      <w:tr w14:paraId="5A5B86BF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" w:hRule="atLeast"/>
        </w:trPr>
        <w:tc>
          <w:tcPr>
            <w:tcW w:w="1667" w:type="dxa"/>
            <w:vMerge w:val="continue"/>
            <w:tcBorders>
              <w:top w:val="nil"/>
              <w:bottom w:val="nil"/>
            </w:tcBorders>
            <w:vAlign w:val="top"/>
          </w:tcPr>
          <w:p w14:paraId="799FF805">
            <w:pPr>
              <w:rPr>
                <w:rFonts w:ascii="Arial"/>
                <w:sz w:val="21"/>
              </w:rPr>
            </w:pPr>
          </w:p>
        </w:tc>
        <w:tc>
          <w:tcPr>
            <w:tcW w:w="1404" w:type="dxa"/>
            <w:vMerge w:val="continue"/>
            <w:tcBorders>
              <w:top w:val="nil"/>
              <w:bottom w:val="nil"/>
            </w:tcBorders>
            <w:vAlign w:val="top"/>
          </w:tcPr>
          <w:p w14:paraId="37379C5C">
            <w:pPr>
              <w:rPr>
                <w:rFonts w:ascii="Arial"/>
                <w:sz w:val="21"/>
              </w:rPr>
            </w:pPr>
          </w:p>
        </w:tc>
        <w:tc>
          <w:tcPr>
            <w:tcW w:w="7021" w:type="dxa"/>
            <w:gridSpan w:val="12"/>
            <w:vAlign w:val="top"/>
          </w:tcPr>
          <w:p w14:paraId="1581B374">
            <w:pPr>
              <w:spacing w:before="116" w:line="195" w:lineRule="auto"/>
              <w:ind w:left="27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1"/>
                <w:sz w:val="20"/>
                <w:szCs w:val="20"/>
              </w:rPr>
              <w:t>2.</w:t>
            </w:r>
          </w:p>
        </w:tc>
      </w:tr>
      <w:tr w14:paraId="274262F0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6" w:hRule="atLeast"/>
        </w:trPr>
        <w:tc>
          <w:tcPr>
            <w:tcW w:w="1667" w:type="dxa"/>
            <w:vMerge w:val="continue"/>
            <w:tcBorders>
              <w:top w:val="nil"/>
              <w:bottom w:val="nil"/>
            </w:tcBorders>
            <w:vAlign w:val="top"/>
          </w:tcPr>
          <w:p w14:paraId="2BBC1CAD">
            <w:pPr>
              <w:rPr>
                <w:rFonts w:ascii="Arial"/>
                <w:sz w:val="21"/>
              </w:rPr>
            </w:pPr>
          </w:p>
        </w:tc>
        <w:tc>
          <w:tcPr>
            <w:tcW w:w="1404" w:type="dxa"/>
            <w:vMerge w:val="continue"/>
            <w:tcBorders>
              <w:top w:val="nil"/>
            </w:tcBorders>
            <w:vAlign w:val="top"/>
          </w:tcPr>
          <w:p w14:paraId="668B51E3">
            <w:pPr>
              <w:rPr>
                <w:rFonts w:ascii="Arial"/>
                <w:sz w:val="21"/>
              </w:rPr>
            </w:pPr>
          </w:p>
        </w:tc>
        <w:tc>
          <w:tcPr>
            <w:tcW w:w="7021" w:type="dxa"/>
            <w:gridSpan w:val="12"/>
            <w:vAlign w:val="top"/>
          </w:tcPr>
          <w:p w14:paraId="7AC54EB1">
            <w:pPr>
              <w:spacing w:before="114" w:line="195" w:lineRule="auto"/>
              <w:ind w:left="31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0"/>
                <w:szCs w:val="20"/>
              </w:rPr>
              <w:t>3.</w:t>
            </w:r>
          </w:p>
        </w:tc>
      </w:tr>
      <w:tr w14:paraId="610ADDF8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6" w:hRule="atLeast"/>
        </w:trPr>
        <w:tc>
          <w:tcPr>
            <w:tcW w:w="1667" w:type="dxa"/>
            <w:vMerge w:val="continue"/>
            <w:tcBorders>
              <w:top w:val="nil"/>
            </w:tcBorders>
            <w:vAlign w:val="top"/>
          </w:tcPr>
          <w:p w14:paraId="5B7B62B0">
            <w:pPr>
              <w:rPr>
                <w:rFonts w:ascii="Arial"/>
                <w:sz w:val="21"/>
              </w:rPr>
            </w:pPr>
          </w:p>
        </w:tc>
        <w:tc>
          <w:tcPr>
            <w:tcW w:w="1404" w:type="dxa"/>
            <w:vAlign w:val="center"/>
          </w:tcPr>
          <w:p w14:paraId="3111BAE0">
            <w:pPr>
              <w:spacing w:before="79" w:line="230" w:lineRule="auto"/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-1"/>
                <w:sz w:val="20"/>
                <w:szCs w:val="20"/>
              </w:rPr>
              <w:t>阅</w:t>
            </w:r>
            <w:r>
              <w:rPr>
                <w:rFonts w:ascii="仿宋" w:hAnsi="仿宋" w:eastAsia="仿宋" w:cs="仿宋"/>
                <w:spacing w:val="-56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-1"/>
                <w:sz w:val="20"/>
                <w:szCs w:val="20"/>
              </w:rPr>
              <w:t>读</w:t>
            </w:r>
            <w:r>
              <w:rPr>
                <w:rFonts w:ascii="仿宋" w:hAnsi="仿宋" w:eastAsia="仿宋" w:cs="仿宋"/>
                <w:spacing w:val="-57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-1"/>
                <w:sz w:val="20"/>
                <w:szCs w:val="20"/>
              </w:rPr>
              <w:t>量</w:t>
            </w:r>
            <w:r>
              <w:rPr>
                <w:rFonts w:ascii="仿宋" w:hAnsi="仿宋" w:eastAsia="仿宋" w:cs="仿宋"/>
                <w:spacing w:val="-66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-1"/>
                <w:sz w:val="20"/>
                <w:szCs w:val="20"/>
              </w:rPr>
              <w:t>（浏</w:t>
            </w:r>
            <w:r>
              <w:rPr>
                <w:rFonts w:ascii="仿宋" w:hAnsi="仿宋" w:eastAsia="仿宋" w:cs="仿宋"/>
                <w:spacing w:val="-55"/>
                <w:sz w:val="20"/>
                <w:szCs w:val="20"/>
              </w:rPr>
              <w:t xml:space="preserve"> </w:t>
            </w:r>
            <w:r>
              <w:rPr>
                <w:rFonts w:ascii="仿宋" w:hAnsi="仿宋" w:eastAsia="仿宋" w:cs="仿宋"/>
                <w:spacing w:val="-1"/>
                <w:sz w:val="20"/>
                <w:szCs w:val="20"/>
              </w:rPr>
              <w:t>览</w:t>
            </w:r>
          </w:p>
          <w:p w14:paraId="2C12433C">
            <w:pPr>
              <w:spacing w:before="112" w:line="207" w:lineRule="auto"/>
              <w:ind w:left="16"/>
              <w:jc w:val="center"/>
              <w:rPr>
                <w:rFonts w:ascii="仿宋" w:hAnsi="仿宋" w:eastAsia="仿宋" w:cs="仿宋"/>
                <w:sz w:val="20"/>
                <w:szCs w:val="20"/>
              </w:rPr>
            </w:pPr>
            <w:r>
              <w:rPr>
                <w:rFonts w:ascii="仿宋" w:hAnsi="仿宋" w:eastAsia="仿宋" w:cs="仿宋"/>
                <w:spacing w:val="5"/>
                <w:sz w:val="20"/>
                <w:szCs w:val="20"/>
              </w:rPr>
              <w:t>量、点击量）</w:t>
            </w:r>
          </w:p>
        </w:tc>
        <w:tc>
          <w:tcPr>
            <w:tcW w:w="1381" w:type="dxa"/>
            <w:gridSpan w:val="2"/>
            <w:vAlign w:val="center"/>
          </w:tcPr>
          <w:p w14:paraId="451A44D8">
            <w:pPr>
              <w:spacing w:before="247" w:line="277" w:lineRule="auto"/>
              <w:ind w:left="13" w:right="6"/>
              <w:jc w:val="center"/>
              <w:rPr>
                <w:rFonts w:hint="default" w:eastAsia="宋体"/>
                <w:sz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3w+</w:t>
            </w:r>
          </w:p>
        </w:tc>
        <w:tc>
          <w:tcPr>
            <w:tcW w:w="1405" w:type="dxa"/>
            <w:gridSpan w:val="4"/>
            <w:vAlign w:val="center"/>
          </w:tcPr>
          <w:p w14:paraId="3696C9A8">
            <w:pPr>
              <w:spacing w:before="227" w:line="220" w:lineRule="auto"/>
              <w:jc w:val="both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ascii="仿宋" w:hAnsi="仿宋" w:eastAsia="仿宋" w:cs="仿宋"/>
                <w:spacing w:val="-6"/>
                <w:sz w:val="22"/>
                <w:szCs w:val="22"/>
              </w:rPr>
              <w:t>转载量</w:t>
            </w:r>
          </w:p>
        </w:tc>
        <w:tc>
          <w:tcPr>
            <w:tcW w:w="1404" w:type="dxa"/>
            <w:gridSpan w:val="3"/>
            <w:vAlign w:val="center"/>
          </w:tcPr>
          <w:p w14:paraId="29FBD15D">
            <w:pPr>
              <w:spacing w:before="247" w:line="277" w:lineRule="auto"/>
              <w:ind w:left="13" w:right="6"/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1w+</w:t>
            </w:r>
          </w:p>
        </w:tc>
        <w:tc>
          <w:tcPr>
            <w:tcW w:w="1404" w:type="dxa"/>
            <w:gridSpan w:val="2"/>
            <w:vAlign w:val="center"/>
          </w:tcPr>
          <w:p w14:paraId="4E80F3E4">
            <w:pPr>
              <w:spacing w:before="227" w:line="225" w:lineRule="auto"/>
              <w:ind w:left="410"/>
              <w:jc w:val="center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ascii="仿宋" w:hAnsi="仿宋" w:eastAsia="仿宋" w:cs="仿宋"/>
                <w:spacing w:val="-7"/>
                <w:sz w:val="22"/>
                <w:szCs w:val="22"/>
              </w:rPr>
              <w:t>互动量</w:t>
            </w:r>
          </w:p>
        </w:tc>
        <w:tc>
          <w:tcPr>
            <w:tcW w:w="1427" w:type="dxa"/>
            <w:vAlign w:val="center"/>
          </w:tcPr>
          <w:p w14:paraId="56E45391">
            <w:pPr>
              <w:spacing w:before="247" w:line="277" w:lineRule="auto"/>
              <w:ind w:left="13" w:right="6"/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3w+</w:t>
            </w:r>
          </w:p>
        </w:tc>
      </w:tr>
      <w:tr w14:paraId="794C9232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49" w:hRule="atLeast"/>
        </w:trPr>
        <w:tc>
          <w:tcPr>
            <w:tcW w:w="1667" w:type="dxa"/>
            <w:vAlign w:val="top"/>
          </w:tcPr>
          <w:p w14:paraId="7D23BFDE">
            <w:pPr>
              <w:spacing w:line="268" w:lineRule="auto"/>
              <w:rPr>
                <w:rFonts w:ascii="Arial"/>
                <w:sz w:val="21"/>
              </w:rPr>
            </w:pPr>
          </w:p>
          <w:p w14:paraId="774AE33C">
            <w:pPr>
              <w:pStyle w:val="4"/>
              <w:spacing w:before="105" w:line="239" w:lineRule="auto"/>
              <w:ind w:left="285"/>
            </w:pPr>
            <w:r>
              <w:rPr>
                <w:spacing w:val="-4"/>
              </w:rPr>
              <w:t>推荐理由</w:t>
            </w:r>
          </w:p>
        </w:tc>
        <w:tc>
          <w:tcPr>
            <w:tcW w:w="8425" w:type="dxa"/>
            <w:gridSpan w:val="13"/>
            <w:vAlign w:val="top"/>
          </w:tcPr>
          <w:p w14:paraId="6E09CC70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240" w:lineRule="auto"/>
              <w:ind w:left="114" w:firstLine="560" w:firstLineChars="200"/>
              <w:jc w:val="both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该平台充分利用北碚区的区位优势和信息化手段，通过“政务+服务+互动”模式，满足市民多样化需求的同时，充分发掘市民参与社会治理的潜力，以平台促沟通，以服务带平台，实现政府与市民互动从“单向传递”到“双向互动”的进步，在提升政务服务效能和增强市民满意度方面具有创新性。</w:t>
            </w:r>
          </w:p>
          <w:p w14:paraId="1E55BA03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240" w:lineRule="auto"/>
              <w:ind w:left="114" w:firstLine="560" w:firstLineChars="200"/>
              <w:jc w:val="both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bookmarkStart w:id="0" w:name="_GoBack"/>
            <w:bookmarkEnd w:id="0"/>
          </w:p>
          <w:p w14:paraId="0FB91B01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540" w:lineRule="exact"/>
              <w:ind w:left="114" w:firstLine="3920" w:firstLineChars="1400"/>
              <w:jc w:val="both"/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签名：（加盖单位公章）</w:t>
            </w:r>
          </w:p>
          <w:p w14:paraId="6CF20355">
            <w:pPr>
              <w:keepNext w:val="0"/>
              <w:keepLines w:val="0"/>
              <w:pageBreakBefore w:val="0"/>
              <w:wordWrap/>
              <w:overflowPunct/>
              <w:topLinePunct w:val="0"/>
              <w:bidi w:val="0"/>
              <w:spacing w:before="130" w:line="540" w:lineRule="exact"/>
              <w:ind w:firstLine="4480" w:firstLineChars="1600"/>
              <w:jc w:val="both"/>
              <w:rPr>
                <w:rFonts w:ascii="仿宋" w:hAnsi="仿宋" w:eastAsia="仿宋" w:cs="仿宋"/>
                <w:sz w:val="22"/>
                <w:szCs w:val="22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2025 年 3 月 27 日</w:t>
            </w:r>
          </w:p>
        </w:tc>
      </w:tr>
      <w:tr w14:paraId="0FC4B197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2" w:hRule="atLeast"/>
        </w:trPr>
        <w:tc>
          <w:tcPr>
            <w:tcW w:w="1667" w:type="dxa"/>
            <w:vAlign w:val="top"/>
          </w:tcPr>
          <w:p w14:paraId="62E697FC">
            <w:pPr>
              <w:pStyle w:val="4"/>
              <w:spacing w:before="111" w:line="207" w:lineRule="auto"/>
              <w:ind w:left="419"/>
            </w:pPr>
            <w:r>
              <w:rPr>
                <w:spacing w:val="-3"/>
              </w:rPr>
              <w:t>联系人</w:t>
            </w:r>
          </w:p>
        </w:tc>
        <w:tc>
          <w:tcPr>
            <w:tcW w:w="2191" w:type="dxa"/>
            <w:gridSpan w:val="2"/>
            <w:vAlign w:val="center"/>
          </w:tcPr>
          <w:p w14:paraId="2AC721AD">
            <w:pPr>
              <w:spacing w:before="247" w:line="277" w:lineRule="auto"/>
              <w:ind w:left="13" w:right="6"/>
              <w:jc w:val="both"/>
              <w:rPr>
                <w:rFonts w:hint="eastAsia" w:ascii="Arial" w:eastAsia="宋体"/>
                <w:sz w:val="21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8"/>
                <w:szCs w:val="28"/>
                <w:lang w:val="en-US" w:eastAsia="zh-CN"/>
              </w:rPr>
              <w:t>骆灰月</w:t>
            </w:r>
          </w:p>
        </w:tc>
        <w:tc>
          <w:tcPr>
            <w:tcW w:w="992" w:type="dxa"/>
            <w:gridSpan w:val="2"/>
            <w:vAlign w:val="center"/>
          </w:tcPr>
          <w:p w14:paraId="50B558F8">
            <w:pPr>
              <w:pStyle w:val="4"/>
              <w:spacing w:before="106" w:line="210" w:lineRule="auto"/>
              <w:ind w:left="243"/>
              <w:jc w:val="center"/>
            </w:pPr>
            <w:r>
              <w:rPr>
                <w:spacing w:val="-16"/>
              </w:rPr>
              <w:t>电话</w:t>
            </w:r>
          </w:p>
        </w:tc>
        <w:tc>
          <w:tcPr>
            <w:tcW w:w="1787" w:type="dxa"/>
            <w:gridSpan w:val="5"/>
            <w:vAlign w:val="center"/>
          </w:tcPr>
          <w:p w14:paraId="2798A44F">
            <w:pPr>
              <w:spacing w:before="247" w:line="277" w:lineRule="auto"/>
              <w:ind w:left="13" w:right="6"/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19942237067</w:t>
            </w:r>
          </w:p>
        </w:tc>
        <w:tc>
          <w:tcPr>
            <w:tcW w:w="1050" w:type="dxa"/>
            <w:gridSpan w:val="2"/>
            <w:vAlign w:val="center"/>
          </w:tcPr>
          <w:p w14:paraId="005CC8CD">
            <w:pPr>
              <w:pStyle w:val="4"/>
              <w:spacing w:before="111" w:line="207" w:lineRule="auto"/>
              <w:ind w:left="227"/>
              <w:jc w:val="center"/>
            </w:pPr>
            <w:r>
              <w:rPr>
                <w:spacing w:val="-7"/>
              </w:rPr>
              <w:t>手机</w:t>
            </w:r>
          </w:p>
        </w:tc>
        <w:tc>
          <w:tcPr>
            <w:tcW w:w="2405" w:type="dxa"/>
            <w:gridSpan w:val="2"/>
            <w:vAlign w:val="center"/>
          </w:tcPr>
          <w:p w14:paraId="2FA3ED16">
            <w:pPr>
              <w:spacing w:before="247" w:line="277" w:lineRule="auto"/>
              <w:ind w:left="13" w:right="6"/>
              <w:jc w:val="both"/>
              <w:rPr>
                <w:rFonts w:ascii="Arial"/>
                <w:sz w:val="21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19942237067</w:t>
            </w:r>
          </w:p>
        </w:tc>
      </w:tr>
      <w:tr w14:paraId="6279CB19"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0" w:hRule="atLeast"/>
        </w:trPr>
        <w:tc>
          <w:tcPr>
            <w:tcW w:w="1667" w:type="dxa"/>
            <w:vAlign w:val="top"/>
          </w:tcPr>
          <w:p w14:paraId="6D32F4EA">
            <w:pPr>
              <w:pStyle w:val="4"/>
              <w:spacing w:before="123" w:line="222" w:lineRule="auto"/>
              <w:ind w:left="559"/>
            </w:pPr>
            <w:r>
              <w:rPr>
                <w:spacing w:val="-5"/>
              </w:rPr>
              <w:t>地址</w:t>
            </w:r>
          </w:p>
        </w:tc>
        <w:tc>
          <w:tcPr>
            <w:tcW w:w="4970" w:type="dxa"/>
            <w:gridSpan w:val="9"/>
            <w:vAlign w:val="center"/>
          </w:tcPr>
          <w:p w14:paraId="78CC1A69">
            <w:pPr>
              <w:spacing w:before="247" w:line="277" w:lineRule="auto"/>
              <w:ind w:left="13" w:right="6"/>
              <w:jc w:val="both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8"/>
                <w:szCs w:val="28"/>
                <w:lang w:val="en-US" w:eastAsia="zh-CN"/>
              </w:rPr>
              <w:t>北碚区南京路6号</w:t>
            </w:r>
          </w:p>
        </w:tc>
        <w:tc>
          <w:tcPr>
            <w:tcW w:w="1050" w:type="dxa"/>
            <w:gridSpan w:val="2"/>
            <w:vAlign w:val="center"/>
          </w:tcPr>
          <w:p w14:paraId="77C72E12">
            <w:pPr>
              <w:pStyle w:val="4"/>
              <w:spacing w:before="128" w:line="219" w:lineRule="auto"/>
              <w:ind w:left="238"/>
              <w:jc w:val="center"/>
            </w:pPr>
            <w:r>
              <w:rPr>
                <w:spacing w:val="-13"/>
              </w:rPr>
              <w:t>邮箱</w:t>
            </w:r>
          </w:p>
        </w:tc>
        <w:tc>
          <w:tcPr>
            <w:tcW w:w="2405" w:type="dxa"/>
            <w:gridSpan w:val="2"/>
            <w:vAlign w:val="center"/>
          </w:tcPr>
          <w:p w14:paraId="04EB1484">
            <w:pPr>
              <w:spacing w:before="247" w:line="277" w:lineRule="auto"/>
              <w:ind w:left="13" w:right="6"/>
              <w:jc w:val="center"/>
              <w:rPr>
                <w:rFonts w:hint="default" w:ascii="Arial" w:eastAsia="宋体"/>
                <w:sz w:val="21"/>
                <w:lang w:val="en-US" w:eastAsia="zh-CN"/>
              </w:rPr>
            </w:pPr>
            <w:r>
              <w:rPr>
                <w:rFonts w:hint="eastAsia" w:ascii="方正仿宋_GBK" w:hAnsi="方正仿宋_GBK" w:eastAsia="方正仿宋_GBK" w:cs="方正仿宋_GBK"/>
                <w:sz w:val="28"/>
                <w:szCs w:val="28"/>
                <w:lang w:val="en-US" w:eastAsia="zh-CN"/>
              </w:rPr>
              <w:t>296015337@qq.com</w:t>
            </w:r>
          </w:p>
        </w:tc>
      </w:tr>
    </w:tbl>
    <w:p w14:paraId="47D18C18"/>
    <w:sectPr>
      <w:pgSz w:w="11906" w:h="16838"/>
      <w:pgMar w:top="403" w:right="901" w:bottom="2069" w:left="901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93075E13-452F-464B-B84B-375F3F4E8C0E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4BC7DEF2-EF83-4186-94E1-1008E3F026A7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3" w:fontKey="{616DCC8C-CD44-478D-9EDB-16C9916C2DDF}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0BE0A6A3-1D9A-44B4-BEF9-A9747E3C829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8218A173-9FBB-47D8-B585-1F5048968C58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6" w:fontKey="{E29D085C-8BBD-4DBC-A5E4-59DF031F3EF7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2BB7964"/>
    <w:rsid w:val="12BB7964"/>
    <w:rsid w:val="7C617B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Table Text"/>
    <w:basedOn w:val="1"/>
    <w:semiHidden/>
    <w:qFormat/>
    <w:uiPriority w:val="0"/>
    <w:rPr>
      <w:rFonts w:ascii="方正黑体_GBK" w:hAnsi="方正黑体_GBK" w:eastAsia="方正黑体_GBK" w:cs="方正黑体_GBK"/>
      <w:sz w:val="28"/>
      <w:szCs w:val="28"/>
      <w:lang w:val="en-US" w:eastAsia="en-US" w:bidi="ar-SA"/>
    </w:rPr>
  </w:style>
  <w:style w:type="table" w:customStyle="1" w:styleId="5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2025-03-25T10:24:00Z</dcterms:created>
  <dc:creator>落落如石</dc:creator>
  <cp:lastModifiedBy>落落如石</cp:lastModifiedBy>
  <dcterms:modified xsi:type="dcterms:W3CDTF">2025-03-25T10:27:50Z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FAA149CAF9BE4F23A42D182C322137A5_13</vt:lpwstr>
  </property>
  <property fmtid="{D5CDD505-2E9C-101B-9397-08002B2CF9AE}" pid="4" name="KSOTemplateDocerSaveRecord">
    <vt:lpwstr>eyJoZGlkIjoiODQyYzhhZTk5ZTc4MDcyMDFkNDE4MjBmNjhjNmMzZjUiLCJ1c2VySWQiOiI2OTg3MjY0NDgifQ==</vt:lpwstr>
  </property>
</Properties>
</file>