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F19D" w14:textId="155FCC27" w:rsidR="00A46574" w:rsidRPr="00AF7674" w:rsidRDefault="00163A44">
      <w:pPr>
        <w:rPr>
          <w:rFonts w:ascii="方正仿宋_GBK" w:eastAsia="方正仿宋_GBK" w:hint="eastAsia"/>
          <w:sz w:val="30"/>
          <w:szCs w:val="30"/>
        </w:rPr>
      </w:pPr>
      <w:r w:rsidRPr="00AF7674">
        <w:rPr>
          <w:rFonts w:ascii="方正仿宋_GBK" w:eastAsia="方正仿宋_GBK" w:hint="eastAsia"/>
          <w:sz w:val="30"/>
          <w:szCs w:val="30"/>
        </w:rPr>
        <w:t>附件：</w:t>
      </w:r>
    </w:p>
    <w:p w14:paraId="1914D90C" w14:textId="77777777" w:rsidR="00A46574" w:rsidRPr="00AF7674" w:rsidRDefault="00000000">
      <w:pPr>
        <w:jc w:val="center"/>
        <w:rPr>
          <w:rFonts w:ascii="方正小标宋_GBK" w:eastAsia="方正小标宋_GBK" w:hAnsi="Times New Roman" w:cs="宋体"/>
          <w:sz w:val="44"/>
          <w:szCs w:val="44"/>
          <w14:ligatures w14:val="none"/>
        </w:rPr>
      </w:pPr>
      <w:r w:rsidRPr="00AF7674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重庆市资产评估行业优秀服务项目评</w:t>
      </w:r>
    </w:p>
    <w:p w14:paraId="4FD76000" w14:textId="77777777" w:rsidR="00A46574" w:rsidRPr="00AF7674" w:rsidRDefault="00000000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proofErr w:type="gramStart"/>
      <w:r w:rsidRPr="00AF7674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选管理</w:t>
      </w:r>
      <w:proofErr w:type="gramEnd"/>
      <w:r w:rsidRPr="00AF7674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办法</w:t>
      </w:r>
    </w:p>
    <w:p w14:paraId="282DC89C" w14:textId="77777777" w:rsidR="00A46574" w:rsidRPr="00AF7674" w:rsidRDefault="00A46574">
      <w:pPr>
        <w:rPr>
          <w:rFonts w:ascii="方正仿宋_GBK" w:eastAsia="方正仿宋_GBK" w:hint="eastAsia"/>
          <w:sz w:val="30"/>
          <w:szCs w:val="30"/>
        </w:rPr>
      </w:pPr>
    </w:p>
    <w:p w14:paraId="7F75C1FD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第一条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 为推动重庆市资产评估行业（以下简称行业）高质量发展，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全面展示行业在各领域的服务价值和重要成果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，制定本办法。</w:t>
      </w:r>
    </w:p>
    <w:p w14:paraId="63A00563" w14:textId="2BF865F3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第二条 本办法所称的行业优秀服务项目，是指</w:t>
      </w:r>
      <w:r w:rsidR="00487A93"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重庆辖区内的资产评估机构、外地在渝设立的分支机构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所承接并完成的各类业务项目，项目必须对国家建设及社会发展产生积极的贡献效能，且具有示范作用和推广价值。行业优秀服务项目每年评选一次，由重庆市资产评估协会（以下简称市评协）组织实施。</w:t>
      </w:r>
    </w:p>
    <w:p w14:paraId="0CFB982F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第三条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 申报条件</w:t>
      </w:r>
    </w:p>
    <w:p w14:paraId="2B0A0829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（一）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项目应符合国家法律法规政策要求，项目成果具有自有知识产权。</w:t>
      </w:r>
    </w:p>
    <w:p w14:paraId="3AE7D281" w14:textId="389BE11B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（二）项目承办的执业机构应为</w:t>
      </w:r>
      <w:r w:rsidR="00041D1E"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重庆辖区内的资产评估机构、外地在渝设立的分支机构。</w:t>
      </w:r>
    </w:p>
    <w:p w14:paraId="6A836EE2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（三）项目已实施完毕，原则上完成时间应为上一年度或评选当年；首次开展评选时，可扩大参选项目的完成期间范围（具体以评选通知为准）；每个项目无论是否获奖，仅可参选一次。</w:t>
      </w:r>
    </w:p>
    <w:p w14:paraId="4F41D401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第四条 服务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类别</w:t>
      </w:r>
    </w:p>
    <w:p w14:paraId="2B6F0687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（一）服务政治建设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为党和政府科学决策、履行职能以及加强公共管理所提供的专业服务，涵盖但不限于以下方面：参与立法司法活动，提升司法工作效能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，涉及破产清算、司法审判、司法执行等方面的评估或咨询成果；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围绕党委政府重大战略，提供建议方案与咨询服务；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助力政府治理水平提升，涉及反腐倡廉、财政监督等方面的评估或咨询成果；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助力政府及其部门科学决策、规范用权、强化监管；服务财政中心工作，深化预算绩效管理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、绩效评估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等服务项目。</w:t>
      </w:r>
    </w:p>
    <w:p w14:paraId="5D5A2C8D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（二）服务经济建设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为市场经济建设和实体经济发展提供的专业服务，涵盖但不限于以下方面：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服务国家及区域重大战略，涉及“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一带一路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”、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成渝双城经济圈、西部陆海新通道、西部科学城建设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等方面的评估或咨询成果；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助力重点产业园区、重大项目、重点领域、重点行业、重点产业建设；助力国企改革、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服务“三攻坚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一</w:t>
      </w:r>
      <w:proofErr w:type="gramEnd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盘活”改革突破、服务国有资产管理，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实现国有资产保值增值；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资本市场建设、降低企业融资成本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、助力企业登陆资本市场、融资融券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lastRenderedPageBreak/>
        <w:t>务外资企业“引进来”和内地企业“走出去”、海外投资并购、跨境合作和交易，促进国际贸易；助力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优化营商环境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服务减税降费、助企</w:t>
      </w:r>
      <w:proofErr w:type="gramStart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纾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困、</w:t>
      </w:r>
      <w:proofErr w:type="gramStart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稳民生保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就业等重大政策落地生效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；服务税收和税制改革，涉及计税基础评估和涉税资产评估等；服务企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业投资并购与重大资产重组、降低交易成本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、实现资源互补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；助力企业提升内部管理水平，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完善管理制度、内控体系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服务新经济、新业态，涉及私募风投、资产证券化、不动产投资信托基金、文化艺术品、体育无形资产、数据资产等方面的评估或咨询服务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助力地方政府及国有企业防范与化解重大债务风险、盘活存量资产、招商引资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等服务项目。</w:t>
      </w:r>
    </w:p>
    <w:p w14:paraId="676C104F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（三）服务科技文化建设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为科技创新、文化事业提供的专业服务，涵盖但不限于以下方面：服务于科技创新能力提升、高新技术企业认定、科研项目管理、专精特新企业培育、科技产业建设、科技工程建设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的评估或咨询成果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；服务于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“数字经济”建设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，推动产业（企业）数字化转型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，提供数字化咨询、数据资产评估等服务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；服务于诚信文化和社会信用体系建设；服务国家文化事业和文化产业建设、文化工程建设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；服务知识产权有序流转，包括关键核心技术、专利、商业秘密、企业品牌等知识产权评估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等服务项目。</w:t>
      </w:r>
    </w:p>
    <w:p w14:paraId="37BAA6E7" w14:textId="4F4966EE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（四）服务社会建设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为社会民生、社会治理提供的专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业服务，涵盖但不限于以下方面：助力乡村振兴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、农业产业化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，保障和改善民生；从事司法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评估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，防范与化解重大社会矛盾；服务企业破产重整与清算，发挥市场主体退出和救治机制作用，保障各方利益及社会稳定；服务和谐社会建设；加强管理创新，提升社会治理效能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；民生工程涉及的基础设施、道路水源、文娱设施等方面的评估或咨询成果；社会保障涉及的养老、医疗、保障住房等方面的评估或咨询成果；社会治理智能化建设涉及的智能城市、数字乡村和数字化政府等方面的评估或咨询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等服务项目。</w:t>
      </w:r>
    </w:p>
    <w:p w14:paraId="0EA1BD98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（五）服务生态文明建设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为环境保护、生态平衡提供的专业服务，涵盖但不限于以下方面：服务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“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双碳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”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业务，助力绿色低碳企业转型发展；开展自然资源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评估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，助力环境问</w:t>
      </w:r>
      <w:proofErr w:type="gramStart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责制度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落实；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服务新能源企业和绿色转型企业的评估成果；助力绿色金融业发展的评估成果；涉及空气、水、耕地污染治理的评估或咨询成果；助力企业提高ESG管理水平涉及的ESG报告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等服务项目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</w:p>
    <w:p w14:paraId="6DF3233E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（六）履行社会责任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所提供的带有公益属性、慈善性质的专业服务，涵盖但不限于以下方面：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为有关慈善基金、慈善事业、慈善组织、公共管理部门或有关弱势群体、困境企业提供带有援助性质、帮扶性质的评估、咨询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等专业服务。</w:t>
      </w:r>
    </w:p>
    <w:p w14:paraId="239BF61D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（七）其他对国家建设、社会发展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、行业发展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具有重大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影响的服务项目。</w:t>
      </w:r>
    </w:p>
    <w:p w14:paraId="313D824A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市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评协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可依据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行业形势、社会关切以及公众需求等因素，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在发布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年度评选工作通知时，提出优先表彰的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类别。在评选得分（得票）相同的情形下，符合优先表彰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服务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类别的项目可优先纳入表彰范围。</w:t>
      </w:r>
    </w:p>
    <w:p w14:paraId="1FBC1CDD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第五条 申报要求</w:t>
      </w:r>
    </w:p>
    <w:p w14:paraId="0EAC04CF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（一）各执业机构应深入挖掘本机构业务服务特色，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按要求提供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申报材料。申报材料质量将成为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评审专家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评审的重要依据。申报材料包含：</w:t>
      </w:r>
    </w:p>
    <w:p w14:paraId="7841275A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1.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《行业优秀服务项目申报表》（附件1）；</w:t>
      </w:r>
    </w:p>
    <w:p w14:paraId="768FA3B3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2.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《行业优秀服务项目介绍》（附件2）；</w:t>
      </w:r>
    </w:p>
    <w:p w14:paraId="7F87FB8A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3.</w:t>
      </w:r>
      <w:r w:rsidRPr="00AF7674">
        <w:rPr>
          <w:rFonts w:hint="eastAsia"/>
        </w:rPr>
        <w:t xml:space="preserve"> 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证实项目真实性的相关佐证材料。用于证实项目实际承接和开展、并已实施完成的证明材料，如：委托合同、业务报告、收款发票等；</w:t>
      </w:r>
    </w:p>
    <w:p w14:paraId="1EC9E488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4.</w:t>
      </w:r>
      <w:r w:rsidRPr="00AF7674">
        <w:rPr>
          <w:rFonts w:hint="eastAsia"/>
        </w:rPr>
        <w:t xml:space="preserve"> 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体现项目社会价值和影响力的展示材料。能够展示项目的实际效果、实施场景、产生价值和影响力的材料，如：体现项目现场实施场景及执业特色的图片影像，可反映项目成功实施后带来的提升、变化、影响的数据和资料，收到的客户评价、感谢信，对项目情况的有关媒体报道资料等。</w:t>
      </w:r>
    </w:p>
    <w:p w14:paraId="4250F193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（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二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各执业机构选送的服务项目务必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做好脱密处理</w:t>
      </w:r>
      <w:proofErr w:type="gramEnd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，取得委托人及被服务对象的同意，严禁泄露任何相关商业秘密。在整个选送流程中，相关人员应严格遵守保密规定，确保商业信息安全。</w:t>
      </w:r>
    </w:p>
    <w:p w14:paraId="365068C6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第六条 奖项设置</w:t>
      </w:r>
    </w:p>
    <w:p w14:paraId="45D03BA3" w14:textId="64B17C03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每年度开展的行业优秀服务项目评选，设置一等奖</w:t>
      </w:r>
      <w:r w:rsidR="00BD704D"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1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个，二等奖5个，三等奖10个，各奖项最终实际评定数量将依据申报项目的数量及质量，经评审专家综合评估后确定</w:t>
      </w:r>
      <w:r w:rsidR="00827731"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，奖项可以空缺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</w:p>
    <w:p w14:paraId="608CAF89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第七条 评选流程</w:t>
      </w:r>
    </w:p>
    <w:p w14:paraId="1036F403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（一）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项目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申报。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各执业机构依据自愿申报原则，筛选本机构具有代表性、影响力的项目参与评选。</w:t>
      </w:r>
    </w:p>
    <w:p w14:paraId="273BD761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（二）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项目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初审。市评</w:t>
      </w:r>
      <w:proofErr w:type="gramStart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协负责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组织对申报项目进行初审，判定其是否符合申报条件以及主题范围。</w:t>
      </w:r>
    </w:p>
    <w:p w14:paraId="3DC2783C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（三）项目展示。符合条件的申报项目通过市评协网站、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微信公众号</w:t>
      </w:r>
      <w:proofErr w:type="gramEnd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等媒体予以展示，广泛收集和获取来自行业内外关注者的评价意见以及参考建议。</w:t>
      </w:r>
    </w:p>
    <w:p w14:paraId="688B6106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（四）专家评审。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市评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协负责</w:t>
      </w:r>
      <w:proofErr w:type="gramEnd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组织专家对参选项目开展集中评审。评审专家由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行业相关专业人士、高校及政府相关领域专家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组成。经专家评审并通过集体决策后，提出建议表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lastRenderedPageBreak/>
        <w:t>彰项目。具体评审规则由市评协另行制订。</w:t>
      </w:r>
    </w:p>
    <w:p w14:paraId="46160B1B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（五）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项目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公示。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拟表彰项目将在市评协官方网站和</w:t>
      </w:r>
      <w:proofErr w:type="gramStart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微信公众号</w:t>
      </w:r>
      <w:proofErr w:type="gramEnd"/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进行公示。</w:t>
      </w:r>
    </w:p>
    <w:p w14:paraId="56B4E22D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（六）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表彰通报。拟表彰项目经市评协常务理事会审议通过后，由市评协发文通报评选结果及获奖情况。</w:t>
      </w:r>
    </w:p>
    <w:p w14:paraId="7455AA3E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第八条 奖励措施</w:t>
      </w:r>
    </w:p>
    <w:p w14:paraId="1570FAD2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市评协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将对获奖项目及其承办执业机构予以表彰和奖励，具体奖励措施如下：</w:t>
      </w:r>
    </w:p>
    <w:p w14:paraId="2A530C27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（一）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通过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市内主流媒体、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市评协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网站、</w:t>
      </w:r>
      <w:proofErr w:type="gramStart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微信公众号</w:t>
      </w:r>
      <w:proofErr w:type="gramEnd"/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、会刊等渠道，对评选出的优秀服务项目进行宣传推介；向中国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资产评估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协会报送专题简报；向《中国会计报》等财会专业媒体报送宣传简讯。</w:t>
      </w:r>
    </w:p>
    <w:p w14:paraId="4F06010B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（二）将获奖项目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作为能够展示行业服务价值的代表性项目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向财政、司法、国有资产监督管理委员会（国资委）、金融监管部门、法院等行业服务对象推荐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和展示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。</w:t>
      </w:r>
    </w:p>
    <w:p w14:paraId="3462EAC6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（三）对获得奖励的相关项目负责人、执业人员参加培训、交流以及参与行业人才培训选拔予以优先推荐。</w:t>
      </w:r>
    </w:p>
    <w:p w14:paraId="51D5775C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（四）对获奖项目及其承办执业机构、项目组主要成员（人数不超过5人）颁发奖牌、证书，并给予资金奖励。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资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lastRenderedPageBreak/>
        <w:t>金奖励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标准为：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一等奖3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万元/项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、二等奖2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万元/项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、三等奖1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万元/项。</w:t>
      </w:r>
    </w:p>
    <w:p w14:paraId="0550DE91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（五）依据行业综合评价加分有关规定，对获奖项目的承办执业机构在次年行业年度综合评价中予以加分。</w:t>
      </w:r>
    </w:p>
    <w:p w14:paraId="0A77017F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第九条 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 对于积极组织参选的申报机构，将依据参选项目数量和申报材料质量，按照行业综合评价加分相关规定，在次年行业年度综合评价中给予加分。</w:t>
      </w:r>
    </w:p>
    <w:p w14:paraId="12812E0C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十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条 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选送的服务项目及申报材料应真实可靠，不得弄虚作假、</w:t>
      </w:r>
      <w:r w:rsidRPr="00AF7674">
        <w:rPr>
          <w:rFonts w:ascii="方正仿宋_GBK" w:eastAsia="方正仿宋_GBK" w:hAnsi="Times New Roman" w:cs="宋体" w:hint="eastAsia"/>
          <w:color w:val="000000" w:themeColor="text1"/>
          <w:sz w:val="32"/>
          <w:szCs w:val="32"/>
          <w14:ligatures w14:val="none"/>
        </w:rPr>
        <w:t>抄袭或夸大，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参选项目执业质量须优良，不得违反行业执业规范和职业道德。否则取消参选资格，若已获奖则撤销奖项，收回奖励资金，并</w:t>
      </w:r>
      <w:r w:rsidRPr="00AF7674">
        <w:rPr>
          <w:rFonts w:ascii="方正仿宋_GBK" w:eastAsia="方正仿宋_GBK" w:hAnsi="Times New Roman" w:cs="宋体" w:hint="eastAsia"/>
          <w:color w:val="000000" w:themeColor="text1"/>
          <w:sz w:val="32"/>
          <w:szCs w:val="32"/>
          <w14:ligatures w14:val="none"/>
        </w:rPr>
        <w:t>按行业相关规定予以处理。</w:t>
      </w:r>
    </w:p>
    <w:p w14:paraId="00D02BB9" w14:textId="77777777" w:rsidR="00A46574" w:rsidRPr="00AF7674" w:rsidRDefault="00000000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>第十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一</w:t>
      </w:r>
      <w:r w:rsidRPr="00AF7674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条 </w:t>
      </w:r>
      <w:r w:rsidRPr="00AF767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本办法自市评协理事会通过之日起施行，本办法由市评协常务理事会负责解释。</w:t>
      </w:r>
    </w:p>
    <w:p w14:paraId="4D2A15DF" w14:textId="77777777" w:rsidR="00A46574" w:rsidRPr="00AF7674" w:rsidRDefault="00A46574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6295F8A8" w14:textId="77777777" w:rsidR="00A46574" w:rsidRPr="00AF7674" w:rsidRDefault="00A46574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2E7138DF" w14:textId="77777777" w:rsidR="00A46574" w:rsidRPr="00AF7674" w:rsidRDefault="00A46574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6351D3E2" w14:textId="77777777" w:rsidR="00B07BEC" w:rsidRPr="00AF7674" w:rsidRDefault="00B07BEC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3F136A49" w14:textId="77777777" w:rsidR="00B07BEC" w:rsidRPr="00AF7674" w:rsidRDefault="00B07BEC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651F5BFD" w14:textId="77777777" w:rsidR="002D2F31" w:rsidRPr="00AF7674" w:rsidRDefault="002D2F31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489F95CF" w14:textId="77777777" w:rsidR="00A46574" w:rsidRPr="00AF7674" w:rsidRDefault="00000000">
      <w:pPr>
        <w:spacing w:after="0" w:line="240" w:lineRule="auto"/>
        <w:rPr>
          <w:rFonts w:ascii="方正仿宋_GBK" w:eastAsia="方正仿宋_GBK" w:hAnsi="黑体" w:cs="黑体" w:hint="eastAsia"/>
          <w:sz w:val="32"/>
          <w:szCs w:val="40"/>
          <w14:ligatures w14:val="none"/>
        </w:rPr>
      </w:pPr>
      <w:r w:rsidRPr="00AF7674">
        <w:rPr>
          <w:rFonts w:ascii="方正仿宋_GBK" w:eastAsia="方正仿宋_GBK" w:hAnsi="黑体" w:cs="黑体" w:hint="eastAsia"/>
          <w:sz w:val="32"/>
          <w:szCs w:val="40"/>
          <w14:ligatures w14:val="none"/>
        </w:rPr>
        <w:lastRenderedPageBreak/>
        <w:t>附件1：</w:t>
      </w:r>
    </w:p>
    <w:p w14:paraId="2D42F506" w14:textId="77777777" w:rsidR="00A46574" w:rsidRPr="00AF7674" w:rsidRDefault="00000000">
      <w:pPr>
        <w:spacing w:after="0" w:line="240" w:lineRule="auto"/>
        <w:jc w:val="center"/>
        <w:rPr>
          <w:rFonts w:ascii="华文中宋" w:eastAsia="华文中宋" w:hAnsi="华文中宋" w:cs="黑体" w:hint="eastAsia"/>
          <w:sz w:val="36"/>
          <w:szCs w:val="44"/>
          <w14:ligatures w14:val="none"/>
        </w:rPr>
      </w:pPr>
      <w:r w:rsidRPr="00AF7674">
        <w:rPr>
          <w:rFonts w:ascii="华文中宋" w:eastAsia="华文中宋" w:hAnsi="华文中宋" w:cs="黑体" w:hint="eastAsia"/>
          <w:sz w:val="36"/>
          <w:szCs w:val="44"/>
          <w14:ligatures w14:val="none"/>
        </w:rPr>
        <w:t>重庆市资产评估行业优秀服务项目</w:t>
      </w:r>
    </w:p>
    <w:p w14:paraId="7CBEC450" w14:textId="77777777" w:rsidR="00A46574" w:rsidRPr="00AF7674" w:rsidRDefault="00000000">
      <w:pPr>
        <w:spacing w:after="0" w:line="240" w:lineRule="auto"/>
        <w:jc w:val="center"/>
        <w:rPr>
          <w:rFonts w:ascii="华文中宋" w:eastAsia="华文中宋" w:hAnsi="华文中宋" w:cs="黑体" w:hint="eastAsia"/>
          <w:sz w:val="36"/>
          <w:szCs w:val="44"/>
          <w14:ligatures w14:val="none"/>
        </w:rPr>
      </w:pPr>
      <w:r w:rsidRPr="00AF7674">
        <w:rPr>
          <w:rFonts w:ascii="华文中宋" w:eastAsia="华文中宋" w:hAnsi="华文中宋" w:cs="黑体" w:hint="eastAsia"/>
          <w:sz w:val="36"/>
          <w:szCs w:val="44"/>
          <w14:ligatures w14:val="none"/>
        </w:rPr>
        <w:t>申报表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80"/>
        <w:gridCol w:w="1997"/>
        <w:gridCol w:w="1798"/>
        <w:gridCol w:w="2521"/>
      </w:tblGrid>
      <w:tr w:rsidR="00A46574" w:rsidRPr="00AF7674" w14:paraId="30F5715D" w14:textId="77777777">
        <w:tc>
          <w:tcPr>
            <w:tcW w:w="1980" w:type="dxa"/>
            <w:vAlign w:val="center"/>
          </w:tcPr>
          <w:p w14:paraId="3D7E28CC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所属主题</w:t>
            </w:r>
          </w:p>
        </w:tc>
        <w:tc>
          <w:tcPr>
            <w:tcW w:w="6316" w:type="dxa"/>
            <w:gridSpan w:val="3"/>
          </w:tcPr>
          <w:p w14:paraId="2BEFFE24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A46574" w:rsidRPr="00AF7674" w14:paraId="4FB3A744" w14:textId="77777777">
        <w:tc>
          <w:tcPr>
            <w:tcW w:w="1980" w:type="dxa"/>
            <w:vAlign w:val="center"/>
          </w:tcPr>
          <w:p w14:paraId="530ABECC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6316" w:type="dxa"/>
            <w:gridSpan w:val="3"/>
          </w:tcPr>
          <w:p w14:paraId="5E4672EC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A46574" w:rsidRPr="00AF7674" w14:paraId="45BB0AE2" w14:textId="77777777">
        <w:tc>
          <w:tcPr>
            <w:tcW w:w="1980" w:type="dxa"/>
            <w:vAlign w:val="center"/>
          </w:tcPr>
          <w:p w14:paraId="3A24CC3F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申报机构名称</w:t>
            </w:r>
          </w:p>
        </w:tc>
        <w:tc>
          <w:tcPr>
            <w:tcW w:w="6316" w:type="dxa"/>
            <w:gridSpan w:val="3"/>
          </w:tcPr>
          <w:p w14:paraId="30BC5FFC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A46574" w:rsidRPr="00AF7674" w14:paraId="409535A9" w14:textId="77777777">
        <w:tc>
          <w:tcPr>
            <w:tcW w:w="1980" w:type="dxa"/>
            <w:vAlign w:val="center"/>
          </w:tcPr>
          <w:p w14:paraId="339D4CC1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项目负责人</w:t>
            </w:r>
          </w:p>
          <w:p w14:paraId="34965AFC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97" w:type="dxa"/>
          </w:tcPr>
          <w:p w14:paraId="072D4B58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6FB0219E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521" w:type="dxa"/>
          </w:tcPr>
          <w:p w14:paraId="5306A282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A46574" w:rsidRPr="00AF7674" w14:paraId="5C4337E1" w14:textId="77777777">
        <w:tc>
          <w:tcPr>
            <w:tcW w:w="1980" w:type="dxa"/>
            <w:vAlign w:val="center"/>
          </w:tcPr>
          <w:p w14:paraId="37386578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项目简介（300字以内）</w:t>
            </w:r>
          </w:p>
        </w:tc>
        <w:tc>
          <w:tcPr>
            <w:tcW w:w="6316" w:type="dxa"/>
            <w:gridSpan w:val="3"/>
          </w:tcPr>
          <w:p w14:paraId="0999749A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5F1B00C6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9F99B0D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67BE0382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F997E7F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E96BA09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76BB453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9F1B1D0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83F545A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093C7BB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40620BE7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59B7A25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8A99198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A46574" w:rsidRPr="00AF7674" w14:paraId="02E68BE6" w14:textId="77777777">
        <w:tc>
          <w:tcPr>
            <w:tcW w:w="1980" w:type="dxa"/>
            <w:vAlign w:val="center"/>
          </w:tcPr>
          <w:p w14:paraId="19C38D67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lastRenderedPageBreak/>
              <w:t>单位推荐意见</w:t>
            </w:r>
          </w:p>
        </w:tc>
        <w:tc>
          <w:tcPr>
            <w:tcW w:w="6316" w:type="dxa"/>
            <w:gridSpan w:val="3"/>
          </w:tcPr>
          <w:p w14:paraId="7E147A03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299BDDF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F160CB9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5BF2E0A9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FA189DD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4332AE4A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A551FE8" w14:textId="77777777" w:rsidR="00A46574" w:rsidRPr="00AF7674" w:rsidRDefault="00A46574">
            <w:pPr>
              <w:spacing w:after="0" w:line="240" w:lineRule="auto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EB5C4A5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1E45E514" w14:textId="77777777" w:rsidR="00A46574" w:rsidRPr="00AF7674" w:rsidRDefault="00000000">
            <w:pPr>
              <w:spacing w:after="0" w:line="240" w:lineRule="auto"/>
              <w:jc w:val="center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>机构负责人签字：               （单位盖章）</w:t>
            </w:r>
          </w:p>
          <w:p w14:paraId="7A7202E9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 xml:space="preserve">                               年   月   日</w:t>
            </w:r>
          </w:p>
        </w:tc>
      </w:tr>
      <w:tr w:rsidR="00A46574" w:rsidRPr="00AF7674" w14:paraId="4FB141F4" w14:textId="77777777">
        <w:tc>
          <w:tcPr>
            <w:tcW w:w="1980" w:type="dxa"/>
            <w:vAlign w:val="center"/>
          </w:tcPr>
          <w:p w14:paraId="6191B5B8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协会</w:t>
            </w:r>
          </w:p>
          <w:p w14:paraId="2DF53268" w14:textId="77777777" w:rsidR="00A46574" w:rsidRPr="00AF7674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推荐意见</w:t>
            </w:r>
          </w:p>
        </w:tc>
        <w:tc>
          <w:tcPr>
            <w:tcW w:w="6316" w:type="dxa"/>
            <w:gridSpan w:val="3"/>
          </w:tcPr>
          <w:p w14:paraId="329B931A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156725B0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11D913A" w14:textId="77777777" w:rsidR="00A46574" w:rsidRPr="00AF7674" w:rsidRDefault="00A46574">
            <w:pPr>
              <w:spacing w:after="0" w:line="240" w:lineRule="auto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56593210" w14:textId="77777777" w:rsidR="00A46574" w:rsidRPr="00AF7674" w:rsidRDefault="00A46574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6E28168" w14:textId="77777777" w:rsidR="00A46574" w:rsidRPr="00AF7674" w:rsidRDefault="00A46574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A8B3458" w14:textId="77777777" w:rsidR="00A46574" w:rsidRPr="00AF7674" w:rsidRDefault="00A46574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963EB56" w14:textId="77777777" w:rsidR="00A46574" w:rsidRPr="00AF7674" w:rsidRDefault="00000000">
            <w:pPr>
              <w:spacing w:after="0" w:line="240" w:lineRule="auto"/>
              <w:ind w:right="280"/>
              <w:jc w:val="righ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>（盖章）</w:t>
            </w:r>
          </w:p>
          <w:p w14:paraId="49481423" w14:textId="77777777" w:rsidR="00A46574" w:rsidRPr="00AF7674" w:rsidRDefault="00000000">
            <w:pPr>
              <w:spacing w:after="0" w:line="240" w:lineRule="auto"/>
              <w:jc w:val="center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 w:rsidRPr="00AF7674"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 xml:space="preserve">                               年   月   日</w:t>
            </w:r>
          </w:p>
          <w:p w14:paraId="6D397102" w14:textId="77777777" w:rsidR="00A46574" w:rsidRPr="00AF7674" w:rsidRDefault="00A46574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E3BFA97" w14:textId="77777777" w:rsidR="00A46574" w:rsidRPr="00AF7674" w:rsidRDefault="00000000">
      <w:pPr>
        <w:spacing w:after="0" w:line="240" w:lineRule="auto"/>
        <w:jc w:val="both"/>
        <w:rPr>
          <w:rFonts w:ascii="Calibri" w:eastAsia="宋体" w:hAnsi="Calibri" w:cs="Times New Roman"/>
          <w:sz w:val="21"/>
          <w14:ligatures w14:val="none"/>
        </w:rPr>
      </w:pPr>
      <w:r w:rsidRPr="00AF7674">
        <w:rPr>
          <w:rFonts w:ascii="Calibri" w:eastAsia="宋体" w:hAnsi="Calibri" w:cs="Times New Roman"/>
          <w:sz w:val="21"/>
          <w14:ligatures w14:val="none"/>
        </w:rPr>
        <w:t>后附：</w:t>
      </w:r>
      <w:r w:rsidRPr="00AF7674">
        <w:rPr>
          <w:rFonts w:ascii="Calibri" w:eastAsia="宋体" w:hAnsi="Calibri" w:cs="Times New Roman" w:hint="eastAsia"/>
          <w:sz w:val="21"/>
          <w14:ligatures w14:val="none"/>
        </w:rPr>
        <w:t>《行业优秀服务项目介绍》、相关佐证材料、相关展示材料。</w:t>
      </w:r>
    </w:p>
    <w:p w14:paraId="6350A4F9" w14:textId="77777777" w:rsidR="00163A44" w:rsidRPr="00AF7674" w:rsidRDefault="00163A44">
      <w:pPr>
        <w:pStyle w:val="ad"/>
        <w:spacing w:after="0" w:line="560" w:lineRule="exact"/>
        <w:rPr>
          <w:rFonts w:ascii="方正仿宋_GBK" w:eastAsia="方正仿宋_GBK" w:hAnsi="Times New Roman" w:cs="Times New Roman"/>
          <w:sz w:val="30"/>
          <w:szCs w:val="30"/>
        </w:rPr>
      </w:pPr>
    </w:p>
    <w:p w14:paraId="514DB49D" w14:textId="77777777" w:rsidR="00163A44" w:rsidRPr="00AF7674" w:rsidRDefault="00163A44">
      <w:pPr>
        <w:pStyle w:val="ad"/>
        <w:spacing w:after="0" w:line="560" w:lineRule="exact"/>
        <w:rPr>
          <w:rFonts w:ascii="方正仿宋_GBK" w:eastAsia="方正仿宋_GBK" w:hAnsi="Times New Roman" w:cs="Times New Roman"/>
          <w:sz w:val="30"/>
          <w:szCs w:val="30"/>
        </w:rPr>
      </w:pPr>
    </w:p>
    <w:p w14:paraId="3E09619A" w14:textId="27D5D4B4" w:rsidR="00A46574" w:rsidRPr="00AF7674" w:rsidRDefault="00000000">
      <w:pPr>
        <w:pStyle w:val="ad"/>
        <w:spacing w:after="0" w:line="560" w:lineRule="exact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附件2：</w:t>
      </w:r>
    </w:p>
    <w:p w14:paraId="4A4C9620" w14:textId="77777777" w:rsidR="00A46574" w:rsidRPr="00AF7674" w:rsidRDefault="00000000">
      <w:pPr>
        <w:pStyle w:val="ad"/>
        <w:spacing w:line="560" w:lineRule="exact"/>
        <w:jc w:val="center"/>
        <w:rPr>
          <w:rFonts w:ascii="华文中宋" w:eastAsia="华文中宋" w:hAnsi="华文中宋" w:cs="Times New Roman" w:hint="eastAsia"/>
          <w:b/>
          <w:bCs/>
          <w:sz w:val="32"/>
          <w:szCs w:val="32"/>
        </w:rPr>
      </w:pPr>
      <w:r w:rsidRPr="00AF7674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重庆市资产评估行业优秀服务项目介绍</w:t>
      </w:r>
    </w:p>
    <w:p w14:paraId="772833A5" w14:textId="77777777" w:rsidR="00A46574" w:rsidRPr="00AF7674" w:rsidRDefault="00000000">
      <w:pPr>
        <w:pStyle w:val="ad"/>
        <w:spacing w:line="560" w:lineRule="exact"/>
        <w:jc w:val="center"/>
        <w:rPr>
          <w:rFonts w:ascii="华文中宋" w:eastAsia="华文中宋" w:hAnsi="华文中宋" w:cs="Times New Roman" w:hint="eastAsia"/>
          <w:b/>
          <w:bCs/>
          <w:sz w:val="30"/>
          <w:szCs w:val="30"/>
        </w:rPr>
      </w:pPr>
      <w:r w:rsidRPr="00AF7674">
        <w:rPr>
          <w:rStyle w:val="af3"/>
          <w:rFonts w:ascii="华文中宋" w:eastAsia="华文中宋" w:hAnsi="华文中宋" w:cs="Times New Roman" w:hint="eastAsia"/>
          <w:b w:val="0"/>
          <w:bCs w:val="0"/>
          <w:sz w:val="30"/>
          <w:szCs w:val="30"/>
        </w:rPr>
        <w:t>（参考模板）</w:t>
      </w:r>
    </w:p>
    <w:p w14:paraId="5C5241F7" w14:textId="77777777" w:rsidR="00A46574" w:rsidRPr="00AF7674" w:rsidRDefault="00A46574">
      <w:pPr>
        <w:pStyle w:val="ad"/>
        <w:spacing w:after="0" w:line="560" w:lineRule="exact"/>
        <w:ind w:firstLineChars="200" w:firstLine="600"/>
        <w:rPr>
          <w:rStyle w:val="af3"/>
          <w:rFonts w:ascii="方正仿宋_GBK" w:eastAsia="方正仿宋_GBK" w:hAnsi="Times New Roman" w:cs="Times New Roman"/>
          <w:b w:val="0"/>
          <w:bCs w:val="0"/>
          <w:sz w:val="30"/>
          <w:szCs w:val="30"/>
        </w:rPr>
      </w:pPr>
    </w:p>
    <w:p w14:paraId="5AB998D7" w14:textId="77777777" w:rsidR="00A46574" w:rsidRPr="00AF7674" w:rsidRDefault="00000000">
      <w:pPr>
        <w:pStyle w:val="ad"/>
        <w:spacing w:after="0" w:line="560" w:lineRule="exact"/>
        <w:rPr>
          <w:rStyle w:val="af3"/>
          <w:rFonts w:ascii="方正仿宋_GBK" w:eastAsia="方正仿宋_GBK" w:hAnsi="Times New Roman" w:cs="Times New Roman"/>
          <w:b w:val="0"/>
          <w:bCs w:val="0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（第一部分 撰写结构建议。撰写服务项目的基本结构应包括：标题、关键词和摘要、服务背景、主要做法、服务成效、心得启示等部分，充分展示该项目在服务国家建设和社会发展方面的成效、价值。以下模板供参考，可在此基础上扩充完善。字数控制在3000字左右，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其中服务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成效部分为评审重点。</w:t>
      </w:r>
      <w:r w:rsidRPr="00AF7674">
        <w:rPr>
          <w:rStyle w:val="af3"/>
          <w:rFonts w:ascii="方正仿宋_GBK" w:eastAsia="方正仿宋_GBK" w:hAnsi="Times New Roman" w:cs="Times New Roman" w:hint="eastAsia"/>
          <w:b w:val="0"/>
          <w:bCs w:val="0"/>
          <w:sz w:val="30"/>
          <w:szCs w:val="30"/>
        </w:rPr>
        <w:t>）</w:t>
      </w:r>
    </w:p>
    <w:p w14:paraId="1D295077" w14:textId="77777777" w:rsidR="00A46574" w:rsidRPr="00AF7674" w:rsidRDefault="00A46574">
      <w:pPr>
        <w:pStyle w:val="ad"/>
        <w:spacing w:after="0" w:line="560" w:lineRule="exact"/>
        <w:rPr>
          <w:rStyle w:val="af3"/>
          <w:rFonts w:ascii="方正仿宋_GBK" w:eastAsia="方正仿宋_GBK" w:hAnsi="Times New Roman" w:cs="Times New Roman"/>
          <w:b w:val="0"/>
          <w:bCs w:val="0"/>
          <w:sz w:val="30"/>
          <w:szCs w:val="30"/>
        </w:rPr>
      </w:pPr>
    </w:p>
    <w:p w14:paraId="5500AF55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一、标题</w:t>
      </w:r>
    </w:p>
    <w:p w14:paraId="1653425F" w14:textId="77777777" w:rsidR="00A46574" w:rsidRPr="00AF76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标题应体现服务项目的主题及亮点，可采用主副标题结合形式。</w:t>
      </w:r>
    </w:p>
    <w:p w14:paraId="1325FEF8" w14:textId="77777777" w:rsidR="00A46574" w:rsidRPr="00AF76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例：</w:t>
      </w:r>
    </w:p>
    <w:p w14:paraId="33B33C5F" w14:textId="77777777" w:rsidR="00A46574" w:rsidRPr="00AF76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企业集团财务共享服务体系建设咨询项目介绍</w:t>
      </w:r>
    </w:p>
    <w:p w14:paraId="7E1FDEE7" w14:textId="77777777" w:rsidR="00A46574" w:rsidRPr="00AF76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——以Y股份公司财务共享服务中心构建为例</w:t>
      </w:r>
    </w:p>
    <w:p w14:paraId="27B72E51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二、关键词和摘要</w:t>
      </w:r>
    </w:p>
    <w:p w14:paraId="3978B091" w14:textId="77777777" w:rsidR="00A46574" w:rsidRPr="00AF7674" w:rsidRDefault="00000000">
      <w:pPr>
        <w:pStyle w:val="ad"/>
        <w:spacing w:after="0"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关键词需提炼与服务项目名称及核心内容相关的词语3-5个；摘要中简明扼要地介绍服务项目所在领域的理论依据及文件要求，点明服务项目关键要点，尽量简洁，300字以内。</w:t>
      </w:r>
    </w:p>
    <w:p w14:paraId="661A8E07" w14:textId="77777777" w:rsidR="00A46574" w:rsidRPr="00AF7674" w:rsidRDefault="00000000">
      <w:pPr>
        <w:pStyle w:val="ad"/>
        <w:spacing w:after="0" w:line="560" w:lineRule="exact"/>
        <w:ind w:firstLine="645"/>
        <w:jc w:val="both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例：</w:t>
      </w:r>
    </w:p>
    <w:p w14:paraId="23C79D34" w14:textId="77777777" w:rsidR="00A46574" w:rsidRPr="00AF7674" w:rsidRDefault="00000000">
      <w:pPr>
        <w:pStyle w:val="ad"/>
        <w:spacing w:after="0" w:line="560" w:lineRule="exact"/>
        <w:ind w:firstLine="645"/>
        <w:jc w:val="both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关键词：数字中国；财务标准化；流程优化；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业财融合</w:t>
      </w:r>
      <w:proofErr w:type="gramEnd"/>
    </w:p>
    <w:p w14:paraId="3BE694A1" w14:textId="77777777" w:rsidR="00A46574" w:rsidRPr="00AF7674" w:rsidRDefault="00000000">
      <w:pPr>
        <w:pStyle w:val="ad"/>
        <w:spacing w:after="0" w:line="560" w:lineRule="exact"/>
        <w:ind w:firstLine="645"/>
        <w:jc w:val="both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摘要：党的二十大报告指出，要建设数字中国，加快发展数字经济，促进数字经济和实体经济的深度融合，打造具有国际竞争力的数字产业集群。国有企业是国民经济的支柱，在稳定经济大盘中发挥着“稳定器”“压舱石”的作用。因此，促进数字经济与实体经济的深度融合，应优先从国有企业入手。财务共享中心作为国有企业的财务管理服务部门，是财务数据的处理中心和集散地，是国有企业进行数字化、智能化转型的重要力量。本文以 Y 国有企业为例，探讨财务共享中心在总体规划、组织机构、财务标准化体系、运营体系及信息化等方面建设情况以及实施中的问题与应对措施，总结财务共享服务体系建设项目经验，以供后续财务共享服务项目借鉴。</w:t>
      </w:r>
    </w:p>
    <w:p w14:paraId="17E0BBEF" w14:textId="77777777" w:rsidR="00A46574" w:rsidRPr="00AF7674" w:rsidRDefault="00000000">
      <w:pPr>
        <w:pStyle w:val="ad"/>
        <w:spacing w:after="0" w:line="560" w:lineRule="exact"/>
        <w:ind w:firstLine="645"/>
        <w:jc w:val="both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三、服务项目背景</w:t>
      </w:r>
    </w:p>
    <w:p w14:paraId="23967254" w14:textId="77777777" w:rsidR="00A46574" w:rsidRPr="00AF7674" w:rsidRDefault="00000000">
      <w:pPr>
        <w:pStyle w:val="ad"/>
        <w:spacing w:after="0"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根据服务项目特点，就委托单位、服务事项、承接项目的主要考虑等背景因素进行必要的介绍。</w:t>
      </w:r>
    </w:p>
    <w:p w14:paraId="5DACC453" w14:textId="77777777" w:rsidR="00A46574" w:rsidRPr="00AF7674" w:rsidRDefault="00000000">
      <w:pPr>
        <w:pStyle w:val="ad"/>
        <w:spacing w:after="0" w:line="560" w:lineRule="exact"/>
        <w:ind w:firstLine="645"/>
        <w:jc w:val="both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例： Y公司是一家化工类产销一体、跨省联合的国有现代股份制企业，旗下拥有五家国家定点生产企业，资产规模和综合实力位于全国该行业内前三名。目前，Y公司致力于实现企业发展的“三个转变”：由区域性公司向全国性公司转变，商品由单品种企业向全品类转变，由单纯产业向产业链集群转变，以占据国内市场重要地位。在财务管理上，公司上市整合后，主业相对集中，全股份公司上下实现财务管理制度统一，业务及财务信息系统统一且实现一体化。扩张性的公司战略以及相对集权的财务管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控模式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对公司财务提出了更高的要求，因此Y公司希望建设财务共享服务体系重整财务资源。基于此，我们接受Y公司委托，</w:t>
      </w: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对公司现有财务管理模式进行梳理、诊断，确认优化重点及路径，整体规划、分步部署与实施，并对项目建设提供全过程的专业服务和经验辅导。</w:t>
      </w:r>
    </w:p>
    <w:p w14:paraId="47F48CC1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四、主要做法</w:t>
      </w:r>
    </w:p>
    <w:p w14:paraId="0BC89179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主要介绍服务过程中的主要措施，主要包括服务思路的选择、遇到的困难、风险的应对等环节，进行如实撰写，确保整个服务项目逻辑清晰、完整连贯、语言精炼。</w:t>
      </w:r>
    </w:p>
    <w:p w14:paraId="28817BC4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例：</w:t>
      </w:r>
    </w:p>
    <w:p w14:paraId="0A75D982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（一）项目目标</w:t>
      </w:r>
    </w:p>
    <w:p w14:paraId="662618C1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 xml:space="preserve">（二）实施思路 </w:t>
      </w:r>
    </w:p>
    <w:p w14:paraId="5E909DB8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第一阶段：构建财务共享服务中心运营基础框架；</w:t>
      </w:r>
    </w:p>
    <w:p w14:paraId="6CFF947A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第二阶段：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业财融合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，以财务共享服务中心基础运行框架为基础，构建业务服务体系；</w:t>
      </w:r>
    </w:p>
    <w:p w14:paraId="23EFF718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第三阶段：增值服务体系，以财务共享服务中心基础运行框架为支撑，打造向服务端和管理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端提供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服务的价值财务体系。</w:t>
      </w:r>
    </w:p>
    <w:p w14:paraId="47E7276A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（三）建设情况</w:t>
      </w:r>
    </w:p>
    <w:p w14:paraId="09DFE33B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1.财务共享服务中心战略规划</w:t>
      </w:r>
    </w:p>
    <w:p w14:paraId="6D1CFA1D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2.财务组织架构</w:t>
      </w:r>
    </w:p>
    <w:p w14:paraId="0BB426C5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3.财务核算流程</w:t>
      </w:r>
    </w:p>
    <w:p w14:paraId="19400D57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4.财务核算规则及表单</w:t>
      </w:r>
    </w:p>
    <w:p w14:paraId="494C77CE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5.共享中心运营制度</w:t>
      </w:r>
    </w:p>
    <w:p w14:paraId="159CF254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6.财务共享信息化实施</w:t>
      </w:r>
    </w:p>
    <w:p w14:paraId="410947D9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（四）项目难点及应对方案</w:t>
      </w:r>
    </w:p>
    <w:p w14:paraId="1C1626AD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1.项目时间紧张，任务繁重</w:t>
      </w:r>
    </w:p>
    <w:p w14:paraId="18D68255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2.系统功能无法全部满足方案需求</w:t>
      </w:r>
    </w:p>
    <w:p w14:paraId="7852B54B" w14:textId="77777777" w:rsidR="00A46574" w:rsidRPr="00AF7674" w:rsidRDefault="00000000">
      <w:pPr>
        <w:pStyle w:val="ad"/>
        <w:spacing w:after="0" w:line="560" w:lineRule="exact"/>
        <w:ind w:firstLine="646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3.财务共享后财务人员转型困难</w:t>
      </w:r>
    </w:p>
    <w:p w14:paraId="1801E3DA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五、服务成效</w:t>
      </w:r>
    </w:p>
    <w:p w14:paraId="1B8EE15D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突出服务成效和产生的影响，可以数据为支撑描述专业服务为客户带来的价值成效，也可以从宏观层面展示行业的专业服务在助力国家建设、地区发展、制度体系完善、体制机制健全等方面的价值与贡献。</w:t>
      </w:r>
    </w:p>
    <w:p w14:paraId="536864FB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例：</w:t>
      </w:r>
    </w:p>
    <w:p w14:paraId="66F6D3DD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（一）项目成果</w:t>
      </w:r>
    </w:p>
    <w:p w14:paraId="262AA798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1.制度标准化</w:t>
      </w:r>
    </w:p>
    <w:p w14:paraId="4D6C31AF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2.处理集中化</w:t>
      </w:r>
    </w:p>
    <w:p w14:paraId="4ABADAA5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3.业务自动化</w:t>
      </w:r>
    </w:p>
    <w:p w14:paraId="7D62BE22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4.服务专业化</w:t>
      </w:r>
    </w:p>
    <w:p w14:paraId="50252885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（二）服务成效</w:t>
      </w:r>
    </w:p>
    <w:p w14:paraId="3C904E0F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1.项目交付的成果</w:t>
      </w:r>
    </w:p>
    <w:p w14:paraId="070F63D4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2.对客户带来的影响</w:t>
      </w:r>
    </w:p>
    <w:p w14:paraId="74756F57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3.产生的价值和作用</w:t>
      </w:r>
    </w:p>
    <w:p w14:paraId="583D46B4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六、经验启示</w:t>
      </w:r>
    </w:p>
    <w:p w14:paraId="41CE4906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（一）三方联动切实保障项目落地</w:t>
      </w:r>
    </w:p>
    <w:p w14:paraId="21D438A8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（二）财务人员有机重构推动整体变革</w:t>
      </w:r>
    </w:p>
    <w:p w14:paraId="658E57D3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（三）财务标准化保证共享效益</w:t>
      </w:r>
    </w:p>
    <w:p w14:paraId="20CC2ED8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（四）科学运营保障共享中心有效运行</w:t>
      </w:r>
    </w:p>
    <w:p w14:paraId="542DCB3E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（五）类似项目可以借鉴的经验及注意事项</w:t>
      </w:r>
    </w:p>
    <w:p w14:paraId="7BDADAE4" w14:textId="77777777" w:rsidR="00A46574" w:rsidRPr="00AF7674" w:rsidRDefault="00A46574">
      <w:pPr>
        <w:pStyle w:val="ad"/>
        <w:spacing w:after="0" w:line="560" w:lineRule="exact"/>
        <w:rPr>
          <w:rFonts w:ascii="方正仿宋_GBK" w:eastAsia="方正仿宋_GBK" w:hAnsi="Times New Roman" w:cs="Times New Roman"/>
          <w:sz w:val="30"/>
          <w:szCs w:val="30"/>
        </w:rPr>
      </w:pPr>
    </w:p>
    <w:p w14:paraId="160C6713" w14:textId="77777777" w:rsidR="00A46574" w:rsidRPr="00AF7674" w:rsidRDefault="00000000">
      <w:pPr>
        <w:pStyle w:val="ad"/>
        <w:spacing w:after="0" w:line="560" w:lineRule="exact"/>
        <w:rPr>
          <w:rStyle w:val="af3"/>
          <w:rFonts w:ascii="方正仿宋_GBK" w:eastAsia="方正仿宋_GBK" w:hAnsi="Times New Roman" w:cs="Times New Roman"/>
          <w:b w:val="0"/>
          <w:bCs w:val="0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（第二部分 页面格式。应按以下格式规范撰写。</w:t>
      </w:r>
      <w:r w:rsidRPr="00AF7674">
        <w:rPr>
          <w:rStyle w:val="af3"/>
          <w:rFonts w:ascii="方正仿宋_GBK" w:eastAsia="方正仿宋_GBK" w:hAnsi="Times New Roman" w:cs="Times New Roman" w:hint="eastAsia"/>
          <w:b w:val="0"/>
          <w:bCs w:val="0"/>
          <w:sz w:val="30"/>
          <w:szCs w:val="30"/>
        </w:rPr>
        <w:t>）</w:t>
      </w:r>
    </w:p>
    <w:p w14:paraId="74DAFC52" w14:textId="77777777" w:rsidR="00A46574" w:rsidRPr="00AF7674" w:rsidRDefault="00A46574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</w:p>
    <w:p w14:paraId="100ECD61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一、页面设置</w:t>
      </w:r>
    </w:p>
    <w:p w14:paraId="22E9B1D2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l.纸张大小：A4纸(21厘米×29.7厘米);</w:t>
      </w:r>
    </w:p>
    <w:p w14:paraId="7A5785E0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2.版心要求：上边距3.7厘米，下边距3.5厘米，左边距2.8厘米，右面距2.6厘米;</w:t>
      </w:r>
    </w:p>
    <w:p w14:paraId="0AB7D23F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3.页码使用小四号</w:t>
      </w:r>
      <w:proofErr w:type="spell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Batang</w:t>
      </w:r>
      <w:proofErr w:type="spell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字体的阿拉伯数字，左右各加一条短横线，如：“-1-”。页码对齐方式为中间;</w:t>
      </w:r>
    </w:p>
    <w:p w14:paraId="490975B5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4.默认字体为仿宋_GB2312，字号为三号，行距为28磅。</w:t>
      </w:r>
    </w:p>
    <w:p w14:paraId="0AF56AC9" w14:textId="77777777" w:rsidR="00A46574" w:rsidRPr="00AF7674" w:rsidRDefault="00000000">
      <w:pPr>
        <w:pStyle w:val="ad"/>
        <w:spacing w:after="0" w:line="56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二、正文</w:t>
      </w:r>
    </w:p>
    <w:p w14:paraId="040E662F" w14:textId="77777777" w:rsidR="00A46574" w:rsidRPr="00AF7674" w:rsidRDefault="00000000">
      <w:pPr>
        <w:pStyle w:val="ad"/>
        <w:spacing w:line="560" w:lineRule="exact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 xml:space="preserve">　　1.主标题在第二行居中排，使用方正小标宋体简体二号;</w:t>
      </w:r>
    </w:p>
    <w:p w14:paraId="3772BF4A" w14:textId="77777777" w:rsidR="00A46574" w:rsidRPr="00AF76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2.一级标题使用黑体三号字，序号使用汉字加顿号如：“一、”。二级标题使用楷体_GB2312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三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号字，序号使用汉字加括号如：“（一）”。三级标题使用仿宋_GB2312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三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号字，序号使用三号Times New Roman字体的阿拉伯数字加点如：“l.”;</w:t>
      </w:r>
    </w:p>
    <w:p w14:paraId="482145C9" w14:textId="77777777" w:rsidR="00A46574" w:rsidRDefault="00000000">
      <w:pPr>
        <w:pStyle w:val="ad"/>
        <w:spacing w:line="560" w:lineRule="exact"/>
        <w:ind w:firstLine="645"/>
        <w:rPr>
          <w:rFonts w:ascii="方正仿宋_GBK" w:eastAsia="方正仿宋_GBK" w:hAnsi="Times New Roman" w:cs="Times New Roman"/>
          <w:sz w:val="30"/>
          <w:szCs w:val="30"/>
        </w:rPr>
      </w:pPr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3.正文使用仿宋_GB2312</w:t>
      </w:r>
      <w:proofErr w:type="gramStart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三</w:t>
      </w:r>
      <w:proofErr w:type="gramEnd"/>
      <w:r w:rsidRPr="00AF7674">
        <w:rPr>
          <w:rFonts w:ascii="方正仿宋_GBK" w:eastAsia="方正仿宋_GBK" w:hAnsi="Times New Roman" w:cs="Times New Roman" w:hint="eastAsia"/>
          <w:sz w:val="30"/>
          <w:szCs w:val="30"/>
        </w:rPr>
        <w:t>号字，首行缩进两字符。</w:t>
      </w:r>
    </w:p>
    <w:sectPr w:rsidR="00A465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8A4F" w14:textId="77777777" w:rsidR="00EC5FBA" w:rsidRDefault="00EC5FB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16DD867" w14:textId="77777777" w:rsidR="00EC5FBA" w:rsidRDefault="00EC5FB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859954"/>
    </w:sdtPr>
    <w:sdtContent>
      <w:p w14:paraId="0E509D0A" w14:textId="77777777" w:rsidR="00A46574" w:rsidRDefault="0000000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5A54F4A" w14:textId="77777777" w:rsidR="00A46574" w:rsidRDefault="00A4657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F146" w14:textId="77777777" w:rsidR="00EC5FBA" w:rsidRDefault="00EC5FB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862DA7C" w14:textId="77777777" w:rsidR="00EC5FBA" w:rsidRDefault="00EC5FB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iZjU0M2RmOTZkOTBiZTU3N2RiZmI0OWNkZDk4MTYifQ=="/>
  </w:docVars>
  <w:rsids>
    <w:rsidRoot w:val="00D76D57"/>
    <w:rsid w:val="00020C6F"/>
    <w:rsid w:val="00041D1E"/>
    <w:rsid w:val="000624C4"/>
    <w:rsid w:val="00064CD9"/>
    <w:rsid w:val="00071183"/>
    <w:rsid w:val="000B0936"/>
    <w:rsid w:val="000B115B"/>
    <w:rsid w:val="000C064C"/>
    <w:rsid w:val="000C1861"/>
    <w:rsid w:val="000C7977"/>
    <w:rsid w:val="000D3F16"/>
    <w:rsid w:val="000E3486"/>
    <w:rsid w:val="001016F1"/>
    <w:rsid w:val="001024D3"/>
    <w:rsid w:val="00124AED"/>
    <w:rsid w:val="00161545"/>
    <w:rsid w:val="00163A44"/>
    <w:rsid w:val="0016691A"/>
    <w:rsid w:val="0018753B"/>
    <w:rsid w:val="00187C94"/>
    <w:rsid w:val="001954E6"/>
    <w:rsid w:val="001A4FA8"/>
    <w:rsid w:val="001C04DB"/>
    <w:rsid w:val="001C2B77"/>
    <w:rsid w:val="001C6D00"/>
    <w:rsid w:val="001F2863"/>
    <w:rsid w:val="00202905"/>
    <w:rsid w:val="00217AA1"/>
    <w:rsid w:val="00232367"/>
    <w:rsid w:val="00242AA7"/>
    <w:rsid w:val="0026382F"/>
    <w:rsid w:val="00272D70"/>
    <w:rsid w:val="00283A48"/>
    <w:rsid w:val="002A0CAE"/>
    <w:rsid w:val="002A2A0D"/>
    <w:rsid w:val="002C6F81"/>
    <w:rsid w:val="002D2F31"/>
    <w:rsid w:val="002E5DD5"/>
    <w:rsid w:val="002F336B"/>
    <w:rsid w:val="00301ABC"/>
    <w:rsid w:val="00314C56"/>
    <w:rsid w:val="0032211E"/>
    <w:rsid w:val="003234BF"/>
    <w:rsid w:val="00332BC2"/>
    <w:rsid w:val="00341970"/>
    <w:rsid w:val="00363067"/>
    <w:rsid w:val="0038192A"/>
    <w:rsid w:val="003B45B1"/>
    <w:rsid w:val="003D1E87"/>
    <w:rsid w:val="003E2D4C"/>
    <w:rsid w:val="003F0F31"/>
    <w:rsid w:val="003F1344"/>
    <w:rsid w:val="003F2160"/>
    <w:rsid w:val="00431837"/>
    <w:rsid w:val="00435B17"/>
    <w:rsid w:val="0047539D"/>
    <w:rsid w:val="00482575"/>
    <w:rsid w:val="00487A93"/>
    <w:rsid w:val="00497421"/>
    <w:rsid w:val="004B0DD3"/>
    <w:rsid w:val="004E4BBC"/>
    <w:rsid w:val="0050113E"/>
    <w:rsid w:val="005201A2"/>
    <w:rsid w:val="00533806"/>
    <w:rsid w:val="0053473A"/>
    <w:rsid w:val="00563BE1"/>
    <w:rsid w:val="00564B76"/>
    <w:rsid w:val="005659D8"/>
    <w:rsid w:val="005676EC"/>
    <w:rsid w:val="005B1AE8"/>
    <w:rsid w:val="005C3064"/>
    <w:rsid w:val="005C7C17"/>
    <w:rsid w:val="005D1E30"/>
    <w:rsid w:val="005E01D2"/>
    <w:rsid w:val="005E5BE2"/>
    <w:rsid w:val="005E6D17"/>
    <w:rsid w:val="00636F97"/>
    <w:rsid w:val="006437A8"/>
    <w:rsid w:val="00647D6F"/>
    <w:rsid w:val="00660E97"/>
    <w:rsid w:val="00674C9B"/>
    <w:rsid w:val="006858CB"/>
    <w:rsid w:val="006A03E2"/>
    <w:rsid w:val="006D302B"/>
    <w:rsid w:val="006D3E04"/>
    <w:rsid w:val="006E15C5"/>
    <w:rsid w:val="006F10D0"/>
    <w:rsid w:val="006F364D"/>
    <w:rsid w:val="00705CEB"/>
    <w:rsid w:val="00712CC9"/>
    <w:rsid w:val="007166A7"/>
    <w:rsid w:val="00732E96"/>
    <w:rsid w:val="00745576"/>
    <w:rsid w:val="0075483F"/>
    <w:rsid w:val="0076699C"/>
    <w:rsid w:val="00767E47"/>
    <w:rsid w:val="007725A6"/>
    <w:rsid w:val="00775BFC"/>
    <w:rsid w:val="00775EAD"/>
    <w:rsid w:val="00781F73"/>
    <w:rsid w:val="007A070D"/>
    <w:rsid w:val="007A1830"/>
    <w:rsid w:val="007A2129"/>
    <w:rsid w:val="007B63FB"/>
    <w:rsid w:val="007C0342"/>
    <w:rsid w:val="00802925"/>
    <w:rsid w:val="00803B53"/>
    <w:rsid w:val="008109DC"/>
    <w:rsid w:val="00813BD0"/>
    <w:rsid w:val="0082231D"/>
    <w:rsid w:val="00827731"/>
    <w:rsid w:val="00831878"/>
    <w:rsid w:val="00851B9C"/>
    <w:rsid w:val="008679EC"/>
    <w:rsid w:val="00870A57"/>
    <w:rsid w:val="008770F3"/>
    <w:rsid w:val="00884D5B"/>
    <w:rsid w:val="008916C8"/>
    <w:rsid w:val="008939D3"/>
    <w:rsid w:val="008B1CF4"/>
    <w:rsid w:val="008E02B9"/>
    <w:rsid w:val="008F427E"/>
    <w:rsid w:val="00902F79"/>
    <w:rsid w:val="009104BD"/>
    <w:rsid w:val="00912D18"/>
    <w:rsid w:val="00923A9D"/>
    <w:rsid w:val="00933981"/>
    <w:rsid w:val="0093414A"/>
    <w:rsid w:val="00986349"/>
    <w:rsid w:val="0099407D"/>
    <w:rsid w:val="009A6D84"/>
    <w:rsid w:val="009B2CC9"/>
    <w:rsid w:val="009C3298"/>
    <w:rsid w:val="009C79FB"/>
    <w:rsid w:val="009F48D9"/>
    <w:rsid w:val="00A0575D"/>
    <w:rsid w:val="00A129D8"/>
    <w:rsid w:val="00A16300"/>
    <w:rsid w:val="00A33400"/>
    <w:rsid w:val="00A40AD8"/>
    <w:rsid w:val="00A42120"/>
    <w:rsid w:val="00A423F4"/>
    <w:rsid w:val="00A46574"/>
    <w:rsid w:val="00A96FAB"/>
    <w:rsid w:val="00AA3989"/>
    <w:rsid w:val="00AB535D"/>
    <w:rsid w:val="00AC2AA7"/>
    <w:rsid w:val="00AE51E1"/>
    <w:rsid w:val="00AF6A43"/>
    <w:rsid w:val="00AF7674"/>
    <w:rsid w:val="00B07BEC"/>
    <w:rsid w:val="00B26302"/>
    <w:rsid w:val="00B3184C"/>
    <w:rsid w:val="00B45699"/>
    <w:rsid w:val="00B526DF"/>
    <w:rsid w:val="00B630C2"/>
    <w:rsid w:val="00B640FC"/>
    <w:rsid w:val="00B837B8"/>
    <w:rsid w:val="00B92B74"/>
    <w:rsid w:val="00BA0EB7"/>
    <w:rsid w:val="00BB6C5F"/>
    <w:rsid w:val="00BC4743"/>
    <w:rsid w:val="00BC520A"/>
    <w:rsid w:val="00BD0A51"/>
    <w:rsid w:val="00BD4021"/>
    <w:rsid w:val="00BD4ADC"/>
    <w:rsid w:val="00BD704D"/>
    <w:rsid w:val="00C0031E"/>
    <w:rsid w:val="00C005F1"/>
    <w:rsid w:val="00C112B9"/>
    <w:rsid w:val="00C206D9"/>
    <w:rsid w:val="00C2275E"/>
    <w:rsid w:val="00C27684"/>
    <w:rsid w:val="00C41B11"/>
    <w:rsid w:val="00C4394D"/>
    <w:rsid w:val="00C62DC7"/>
    <w:rsid w:val="00C93ACD"/>
    <w:rsid w:val="00CA3320"/>
    <w:rsid w:val="00CA3FFF"/>
    <w:rsid w:val="00CB3AF3"/>
    <w:rsid w:val="00CC6C3D"/>
    <w:rsid w:val="00CD039F"/>
    <w:rsid w:val="00CE3950"/>
    <w:rsid w:val="00D02D83"/>
    <w:rsid w:val="00D200D0"/>
    <w:rsid w:val="00D34FD4"/>
    <w:rsid w:val="00D7156A"/>
    <w:rsid w:val="00D76D57"/>
    <w:rsid w:val="00DB618B"/>
    <w:rsid w:val="00DB6567"/>
    <w:rsid w:val="00DD23E4"/>
    <w:rsid w:val="00DF1877"/>
    <w:rsid w:val="00E310F4"/>
    <w:rsid w:val="00E55871"/>
    <w:rsid w:val="00E63665"/>
    <w:rsid w:val="00E71C6A"/>
    <w:rsid w:val="00E81B9F"/>
    <w:rsid w:val="00E956F6"/>
    <w:rsid w:val="00EC078A"/>
    <w:rsid w:val="00EC1D93"/>
    <w:rsid w:val="00EC25B2"/>
    <w:rsid w:val="00EC3702"/>
    <w:rsid w:val="00EC5FBA"/>
    <w:rsid w:val="00EF33D3"/>
    <w:rsid w:val="00EF3800"/>
    <w:rsid w:val="00F132A2"/>
    <w:rsid w:val="00F34D80"/>
    <w:rsid w:val="00F43C1A"/>
    <w:rsid w:val="00F57997"/>
    <w:rsid w:val="00F6443A"/>
    <w:rsid w:val="00F7056D"/>
    <w:rsid w:val="00F70600"/>
    <w:rsid w:val="00F74C83"/>
    <w:rsid w:val="00F81B24"/>
    <w:rsid w:val="00FA3387"/>
    <w:rsid w:val="00FA53BC"/>
    <w:rsid w:val="00FA542A"/>
    <w:rsid w:val="00FA6429"/>
    <w:rsid w:val="00FD1029"/>
    <w:rsid w:val="00FE5A69"/>
    <w:rsid w:val="02496D45"/>
    <w:rsid w:val="08812CF3"/>
    <w:rsid w:val="0F7B02F4"/>
    <w:rsid w:val="1A94205D"/>
    <w:rsid w:val="1F7F2495"/>
    <w:rsid w:val="29001D90"/>
    <w:rsid w:val="344939F1"/>
    <w:rsid w:val="391F090C"/>
    <w:rsid w:val="437F27BE"/>
    <w:rsid w:val="591C10A9"/>
    <w:rsid w:val="65C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3E3E4"/>
  <w15:docId w15:val="{5C9186B9-654F-410C-B30D-859A0A9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after="15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e">
    <w:name w:val="Title"/>
    <w:basedOn w:val="a"/>
    <w:next w:val="a"/>
    <w:link w:val="af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autoRedefine/>
    <w:uiPriority w:val="22"/>
    <w:qFormat/>
    <w:rPr>
      <w:b/>
      <w:bCs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">
    <w:name w:val="标题 字符"/>
    <w:basedOn w:val="a0"/>
    <w:link w:val="a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5">
    <w:name w:val="Quote"/>
    <w:basedOn w:val="a"/>
    <w:next w:val="a"/>
    <w:link w:val="af6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0"/>
    <w:link w:val="af5"/>
    <w:uiPriority w:val="29"/>
    <w:qFormat/>
    <w:rPr>
      <w:i/>
      <w:iCs/>
      <w:color w:val="404040" w:themeColor="text1" w:themeTint="BF"/>
    </w:rPr>
  </w:style>
  <w:style w:type="paragraph" w:styleId="af7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明显引用 字符"/>
    <w:basedOn w:val="a0"/>
    <w:link w:val="af8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table" w:customStyle="1" w:styleId="13">
    <w:name w:val="网格型1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2"/>
      <w:szCs w:val="24"/>
      <w14:ligatures w14:val="standardContextual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  <w:kern w:val="2"/>
      <w:sz w:val="22"/>
      <w:szCs w:val="24"/>
      <w14:ligatures w14:val="standardContextual"/>
    </w:rPr>
  </w:style>
  <w:style w:type="paragraph" w:customStyle="1" w:styleId="14">
    <w:name w:val="修订1"/>
    <w:hidden/>
    <w:uiPriority w:val="99"/>
    <w:unhideWhenUsed/>
    <w:qFormat/>
    <w:rPr>
      <w:kern w:val="2"/>
      <w:sz w:val="22"/>
      <w:szCs w:val="24"/>
      <w14:ligatures w14:val="standardContextual"/>
    </w:rPr>
  </w:style>
  <w:style w:type="paragraph" w:customStyle="1" w:styleId="22">
    <w:name w:val="修订2"/>
    <w:hidden/>
    <w:uiPriority w:val="99"/>
    <w:unhideWhenUsed/>
    <w:qFormat/>
    <w:rPr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118</cp:revision>
  <dcterms:created xsi:type="dcterms:W3CDTF">2024-10-01T01:03:00Z</dcterms:created>
  <dcterms:modified xsi:type="dcterms:W3CDTF">2024-12-31T03:21:00Z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7D7CCEF19A38443BB7DA575F3379A95F_13</vt:lpwstr>
  </property>
</Properties>
</file>