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1DCE7">
      <w:pPr>
        <w:spacing w:line="578" w:lineRule="exact"/>
        <w:jc w:val="center"/>
        <w:rPr>
          <w:rFonts w:hint="eastAsia" w:ascii="方正小标宋_GBK" w:hAnsi="仿宋_GB2312" w:eastAsia="方正小标宋_GBK" w:cs="仿宋_GB2312"/>
          <w:bCs/>
          <w:color w:val="000000"/>
          <w:kern w:val="0"/>
          <w:sz w:val="44"/>
          <w:szCs w:val="44"/>
        </w:rPr>
      </w:pPr>
      <w:r>
        <w:rPr>
          <w:rFonts w:hint="eastAsia" w:ascii="方正小标宋_GBK" w:hAnsi="仿宋_GB2312" w:eastAsia="方正小标宋_GBK" w:cs="仿宋_GB2312"/>
          <w:bCs/>
          <w:color w:val="000000"/>
          <w:kern w:val="0"/>
          <w:sz w:val="44"/>
          <w:szCs w:val="44"/>
        </w:rPr>
        <w:t>重庆市资产评估机构</w:t>
      </w:r>
    </w:p>
    <w:p w14:paraId="7C1AF2E1">
      <w:pPr>
        <w:spacing w:line="578" w:lineRule="exact"/>
        <w:jc w:val="center"/>
        <w:rPr>
          <w:rFonts w:hint="eastAsia" w:ascii="方正小标宋_GBK" w:hAnsi="仿宋_GB2312" w:eastAsia="方正小标宋_GBK" w:cs="仿宋_GB2312"/>
          <w:bCs/>
          <w:color w:val="000000"/>
          <w:kern w:val="0"/>
          <w:sz w:val="44"/>
          <w:szCs w:val="44"/>
        </w:rPr>
      </w:pPr>
      <w:r>
        <w:rPr>
          <w:rFonts w:hint="eastAsia" w:ascii="方正小标宋_GBK" w:hAnsi="仿宋_GB2312" w:eastAsia="方正小标宋_GBK" w:cs="仿宋_GB2312"/>
          <w:bCs/>
          <w:color w:val="000000"/>
          <w:kern w:val="0"/>
          <w:sz w:val="44"/>
          <w:szCs w:val="44"/>
        </w:rPr>
        <w:t>执业质量评价管理暂行办法</w:t>
      </w:r>
    </w:p>
    <w:p w14:paraId="4AC9F2E4">
      <w:pPr>
        <w:spacing w:line="578" w:lineRule="exact"/>
        <w:jc w:val="center"/>
        <w:rPr>
          <w:rFonts w:hint="eastAsia" w:ascii="方正仿宋_GBK" w:hAnsi="仿宋_GB2312" w:eastAsia="方正仿宋_GBK" w:cs="仿宋_GB2312"/>
          <w:b/>
          <w:color w:val="000000"/>
          <w:kern w:val="0"/>
          <w:sz w:val="32"/>
          <w:szCs w:val="32"/>
        </w:rPr>
      </w:pPr>
    </w:p>
    <w:p w14:paraId="4077F2CA">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第一条</w:t>
      </w:r>
      <w:r>
        <w:rPr>
          <w:rFonts w:hint="eastAsia" w:ascii="方正仿宋_GBK" w:hAnsi="仿宋_GB2312" w:eastAsia="方正仿宋_GBK" w:cs="仿宋_GB2312"/>
          <w:color w:val="000000"/>
          <w:kern w:val="0"/>
          <w:sz w:val="32"/>
          <w:szCs w:val="32"/>
        </w:rPr>
        <w:t xml:space="preserve"> 为促进我市资产评估机构规范执业行为，有效防范执业风险，持续提升质量管理水平，推动资产评估行业高质量发展，制定本办法。</w:t>
      </w:r>
    </w:p>
    <w:p w14:paraId="54AA00AE">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第二条</w:t>
      </w:r>
      <w:r>
        <w:rPr>
          <w:rFonts w:hint="eastAsia" w:ascii="方正仿宋_GBK" w:hAnsi="仿宋_GB2312" w:eastAsia="方正仿宋_GBK" w:cs="仿宋_GB2312"/>
          <w:color w:val="000000"/>
          <w:kern w:val="0"/>
          <w:sz w:val="32"/>
          <w:szCs w:val="32"/>
        </w:rPr>
        <w:t xml:space="preserve"> 本办法适用于在重庆市行政区域内合法设立的资产评估机构（含分支机构，以下简称“评估机构”)。</w:t>
      </w:r>
    </w:p>
    <w:p w14:paraId="18E8F020">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 xml:space="preserve">第三条 </w:t>
      </w:r>
      <w:r>
        <w:rPr>
          <w:rFonts w:hint="eastAsia" w:ascii="方正仿宋_GBK" w:hAnsi="仿宋_GB2312" w:eastAsia="方正仿宋_GBK" w:cs="仿宋_GB2312"/>
          <w:color w:val="000000"/>
          <w:kern w:val="0"/>
          <w:sz w:val="32"/>
          <w:szCs w:val="32"/>
        </w:rPr>
        <w:t>评估机构执业质量评价，是指由重庆市资产评估协会（以下简称“市评协”）组织行业专业人员对我市评估机构的质量控制体系和项目质量情况进行评价，根据质量控制体系建立健全、项目质量情况进行评分，并按一定计算规则得出评估机构的执业质量评价结果，反映该评估机构整体的执业质量情况。</w:t>
      </w:r>
    </w:p>
    <w:p w14:paraId="3B50B818">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市评协每年实施的执业质量检查资料和底稿，可以作为评估机构评价的基础数据直接使用。</w:t>
      </w:r>
    </w:p>
    <w:p w14:paraId="22B33A9A">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第四条</w:t>
      </w:r>
      <w:r>
        <w:rPr>
          <w:rFonts w:hint="eastAsia" w:ascii="方正仿宋_GBK" w:hAnsi="仿宋_GB2312" w:eastAsia="方正仿宋_GBK" w:cs="仿宋_GB2312"/>
          <w:color w:val="000000"/>
          <w:kern w:val="0"/>
          <w:sz w:val="32"/>
          <w:szCs w:val="32"/>
        </w:rPr>
        <w:t xml:space="preserve"> 评估机构执业质量评价应当遵循依法依规、客观公正、公开透明的原则。</w:t>
      </w:r>
    </w:p>
    <w:p w14:paraId="50DBDD2B">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第五条</w:t>
      </w:r>
      <w:r>
        <w:rPr>
          <w:rFonts w:hint="eastAsia" w:ascii="方正仿宋_GBK" w:hAnsi="仿宋_GB2312" w:eastAsia="方正仿宋_GBK" w:cs="仿宋_GB2312"/>
          <w:color w:val="000000"/>
          <w:kern w:val="0"/>
          <w:sz w:val="32"/>
          <w:szCs w:val="32"/>
        </w:rPr>
        <w:t xml:space="preserve"> 市评协应当合理选择和确定评价人员，组成执业质量评价组。评价组应当由不少于3名成员组成，实行组长负责制。评价组受市评协委派，在市评协授权范围内开展评价工作。</w:t>
      </w:r>
    </w:p>
    <w:p w14:paraId="1DC08F71">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评价人员应当由职业道德好、专业素质高、实践经验丰富的资产评估师担任。担任评价人员的资产评估师应当同时具备下列基本条件：</w:t>
      </w:r>
    </w:p>
    <w:p w14:paraId="7F4BAD33">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（一）担任或曾经担任评估机构项目负责人以上职务；</w:t>
      </w:r>
    </w:p>
    <w:p w14:paraId="154084DA">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（二）资产评估师登记时间5年以上；</w:t>
      </w:r>
    </w:p>
    <w:p w14:paraId="67355478">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（三）没有因执业违规行为受到行业惩戒、行政处罚或刑事处罚。</w:t>
      </w:r>
    </w:p>
    <w:p w14:paraId="03F65F0E">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评价人员与被评价评估机构有利害关系的，应当予以回避。</w:t>
      </w:r>
    </w:p>
    <w:p w14:paraId="1DA95F4D">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第六条</w:t>
      </w:r>
      <w:r>
        <w:rPr>
          <w:rFonts w:hint="eastAsia" w:ascii="方正仿宋_GBK" w:hAnsi="仿宋_GB2312" w:eastAsia="方正仿宋_GBK" w:cs="仿宋_GB2312"/>
          <w:color w:val="000000"/>
          <w:kern w:val="0"/>
          <w:sz w:val="32"/>
          <w:szCs w:val="32"/>
        </w:rPr>
        <w:t xml:space="preserve"> 执业质量评价组实施评价过程中，可以调阅、复制评估机构有关管理制度、文件、记录、工作底稿及相关资料，向评估机构负责人、当事人及资产评估</w:t>
      </w:r>
      <w:r>
        <w:rPr>
          <w:rFonts w:hint="eastAsia" w:ascii="方正仿宋_GBK" w:hAnsi="仿宋_GB2312" w:eastAsia="方正仿宋_GBK" w:cs="仿宋_GB2312"/>
          <w:color w:val="000000"/>
          <w:kern w:val="0"/>
          <w:sz w:val="32"/>
          <w:szCs w:val="32"/>
          <w:lang w:val="en-US" w:eastAsia="zh-CN"/>
        </w:rPr>
        <w:t>师</w:t>
      </w:r>
      <w:r>
        <w:rPr>
          <w:rFonts w:hint="eastAsia" w:ascii="方正仿宋_GBK" w:hAnsi="仿宋_GB2312" w:eastAsia="方正仿宋_GBK" w:cs="仿宋_GB2312"/>
          <w:color w:val="000000"/>
          <w:kern w:val="0"/>
          <w:sz w:val="32"/>
          <w:szCs w:val="32"/>
        </w:rPr>
        <w:t>询问、核实有关情况。被评价评估机构和资产评估师应当积极配合。</w:t>
      </w:r>
    </w:p>
    <w:p w14:paraId="05B9BDD4">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评价小组在评价中发现的问题应与被评价机构书面交换意见。</w:t>
      </w:r>
    </w:p>
    <w:p w14:paraId="41B431FA">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第七条</w:t>
      </w:r>
      <w:r>
        <w:rPr>
          <w:rFonts w:hint="eastAsia" w:ascii="方正仿宋_GBK" w:hAnsi="仿宋_GB2312" w:eastAsia="方正仿宋_GBK" w:cs="仿宋_GB2312"/>
          <w:color w:val="000000"/>
          <w:kern w:val="0"/>
          <w:sz w:val="32"/>
          <w:szCs w:val="32"/>
        </w:rPr>
        <w:t xml:space="preserve"> 执业质量评价建立专家咨询、复核制度，成立专家咨询复核组。</w:t>
      </w:r>
    </w:p>
    <w:p w14:paraId="38EE13FF">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专家咨询复核组主要由评估机构负责技术、质量控制的合伙人或专业技术委员会委员组成，人数不少于2人。</w:t>
      </w:r>
    </w:p>
    <w:p w14:paraId="2081DEC0">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专家咨询复核组的职责是：</w:t>
      </w:r>
    </w:p>
    <w:p w14:paraId="314B3FAC">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（一）在评价质量控制体系和项目报告时，对评价组遇到的疑难问题提供技术咨询，为评价组提供技术支持；</w:t>
      </w:r>
    </w:p>
    <w:p w14:paraId="2ED66DBF">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（二）现场评价结束后，参与初步评价结果论证工作，复核评价底稿及评价结果。</w:t>
      </w:r>
    </w:p>
    <w:p w14:paraId="733CFE11">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第八条</w:t>
      </w:r>
      <w:r>
        <w:rPr>
          <w:rFonts w:hint="eastAsia" w:ascii="方正仿宋_GBK" w:hAnsi="仿宋_GB2312" w:eastAsia="方正仿宋_GBK" w:cs="仿宋_GB2312"/>
          <w:color w:val="000000"/>
          <w:kern w:val="0"/>
          <w:sz w:val="32"/>
          <w:szCs w:val="32"/>
        </w:rPr>
        <w:t xml:space="preserve"> 参与评价工作的工作人员应当严格履行保密义务，对评价工作过程中涉及的资料、数据负有保密责任，不得以任何方式泄露评估机构及客户的商业秘密。</w:t>
      </w:r>
    </w:p>
    <w:p w14:paraId="05EBCF89">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第九条</w:t>
      </w:r>
      <w:r>
        <w:rPr>
          <w:rFonts w:hint="eastAsia" w:ascii="方正仿宋_GBK" w:hAnsi="仿宋_GB2312" w:eastAsia="方正仿宋_GBK" w:cs="仿宋_GB2312"/>
          <w:color w:val="000000"/>
          <w:kern w:val="0"/>
          <w:sz w:val="32"/>
          <w:szCs w:val="32"/>
        </w:rPr>
        <w:t xml:space="preserve"> 执业质量评价按以下程序进行：</w:t>
      </w:r>
    </w:p>
    <w:p w14:paraId="428569E6">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（一）质量控制体系评价</w:t>
      </w:r>
    </w:p>
    <w:p w14:paraId="133C8010">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对被评价评估机构质量控制体系的建立健全情况进行调查，从</w:t>
      </w:r>
      <w:bookmarkStart w:id="0" w:name="OLE_LINK1"/>
      <w:r>
        <w:rPr>
          <w:rFonts w:hint="eastAsia" w:ascii="方正仿宋_GBK" w:hAnsi="仿宋_GB2312" w:eastAsia="方正仿宋_GBK" w:cs="仿宋_GB2312"/>
          <w:color w:val="000000"/>
          <w:kern w:val="0"/>
          <w:sz w:val="32"/>
          <w:szCs w:val="32"/>
        </w:rPr>
        <w:t>质量控制责任、职业道德、人力资源、资产评估业务受理、资产评估业务计划、资产评估业务实施和资产评估报告出具、监控和改进、文件和记录</w:t>
      </w:r>
      <w:bookmarkEnd w:id="0"/>
      <w:r>
        <w:rPr>
          <w:rFonts w:hint="eastAsia" w:ascii="方正仿宋_GBK" w:hAnsi="仿宋_GB2312" w:eastAsia="方正仿宋_GBK" w:cs="仿宋_GB2312"/>
          <w:color w:val="000000"/>
          <w:kern w:val="0"/>
          <w:sz w:val="32"/>
          <w:szCs w:val="32"/>
        </w:rPr>
        <w:t>等八个方面对质量控制体系全面进行了解和测试，根据其完善性、适用性、有效性进行评分（各要素检查工作底稿详见“附件一：评估机构质量控制体系评价工作底稿”）</w:t>
      </w:r>
    </w:p>
    <w:p w14:paraId="1309A1AF">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质量控制体系各要素权重如下：</w:t>
      </w:r>
    </w:p>
    <w:tbl>
      <w:tblPr>
        <w:tblStyle w:val="15"/>
        <w:tblW w:w="7209" w:type="dxa"/>
        <w:tblInd w:w="99" w:type="dxa"/>
        <w:tblLayout w:type="autofit"/>
        <w:tblCellMar>
          <w:top w:w="0" w:type="dxa"/>
          <w:left w:w="108" w:type="dxa"/>
          <w:bottom w:w="0" w:type="dxa"/>
          <w:right w:w="108" w:type="dxa"/>
        </w:tblCellMar>
      </w:tblPr>
      <w:tblGrid>
        <w:gridCol w:w="5229"/>
        <w:gridCol w:w="1980"/>
      </w:tblGrid>
      <w:tr w14:paraId="768020D4">
        <w:tblPrEx>
          <w:tblCellMar>
            <w:top w:w="0" w:type="dxa"/>
            <w:left w:w="108" w:type="dxa"/>
            <w:bottom w:w="0" w:type="dxa"/>
            <w:right w:w="108" w:type="dxa"/>
          </w:tblCellMar>
        </w:tblPrEx>
        <w:trPr>
          <w:trHeight w:val="441" w:hRule="atLeast"/>
        </w:trPr>
        <w:tc>
          <w:tcPr>
            <w:tcW w:w="5229" w:type="dxa"/>
            <w:tcBorders>
              <w:top w:val="single" w:color="auto" w:sz="4" w:space="0"/>
              <w:left w:val="single" w:color="auto" w:sz="4" w:space="0"/>
              <w:bottom w:val="single" w:color="auto" w:sz="4" w:space="0"/>
              <w:right w:val="single" w:color="auto" w:sz="4" w:space="0"/>
            </w:tcBorders>
            <w:noWrap/>
            <w:vAlign w:val="center"/>
          </w:tcPr>
          <w:p w14:paraId="738C6F11">
            <w:pPr>
              <w:widowControl/>
              <w:spacing w:line="578" w:lineRule="exact"/>
              <w:jc w:val="center"/>
              <w:rPr>
                <w:rFonts w:hint="eastAsia" w:ascii="方正黑体_GBK" w:hAnsi="仿宋" w:eastAsia="方正黑体_GBK" w:cs="宋体"/>
                <w:kern w:val="0"/>
                <w:sz w:val="28"/>
                <w:szCs w:val="28"/>
              </w:rPr>
            </w:pPr>
            <w:r>
              <w:rPr>
                <w:rFonts w:hint="eastAsia" w:ascii="方正黑体_GBK" w:hAnsi="仿宋" w:eastAsia="方正黑体_GBK" w:cs="宋体"/>
                <w:kern w:val="0"/>
                <w:sz w:val="28"/>
                <w:szCs w:val="28"/>
              </w:rPr>
              <w:t>要 素</w:t>
            </w:r>
          </w:p>
        </w:tc>
        <w:tc>
          <w:tcPr>
            <w:tcW w:w="1980" w:type="dxa"/>
            <w:tcBorders>
              <w:top w:val="single" w:color="auto" w:sz="4" w:space="0"/>
              <w:left w:val="nil"/>
              <w:bottom w:val="single" w:color="auto" w:sz="4" w:space="0"/>
              <w:right w:val="single" w:color="auto" w:sz="4" w:space="0"/>
            </w:tcBorders>
            <w:noWrap/>
            <w:vAlign w:val="center"/>
          </w:tcPr>
          <w:p w14:paraId="6D8DDDBA">
            <w:pPr>
              <w:widowControl/>
              <w:spacing w:line="578" w:lineRule="exact"/>
              <w:jc w:val="center"/>
              <w:rPr>
                <w:rFonts w:hint="eastAsia" w:ascii="方正黑体_GBK" w:hAnsi="仿宋" w:eastAsia="方正黑体_GBK" w:cs="宋体"/>
                <w:kern w:val="0"/>
                <w:sz w:val="28"/>
                <w:szCs w:val="28"/>
              </w:rPr>
            </w:pPr>
            <w:r>
              <w:rPr>
                <w:rFonts w:hint="eastAsia" w:ascii="方正黑体_GBK" w:hAnsi="仿宋" w:eastAsia="方正黑体_GBK" w:cs="宋体"/>
                <w:kern w:val="0"/>
                <w:sz w:val="28"/>
                <w:szCs w:val="28"/>
              </w:rPr>
              <w:t>权重（%）</w:t>
            </w:r>
          </w:p>
        </w:tc>
      </w:tr>
      <w:tr w14:paraId="3A6ACBBC">
        <w:tblPrEx>
          <w:tblCellMar>
            <w:top w:w="0" w:type="dxa"/>
            <w:left w:w="108" w:type="dxa"/>
            <w:bottom w:w="0" w:type="dxa"/>
            <w:right w:w="108" w:type="dxa"/>
          </w:tblCellMar>
        </w:tblPrEx>
        <w:trPr>
          <w:trHeight w:val="441" w:hRule="atLeast"/>
        </w:trPr>
        <w:tc>
          <w:tcPr>
            <w:tcW w:w="5229" w:type="dxa"/>
            <w:tcBorders>
              <w:top w:val="nil"/>
              <w:left w:val="single" w:color="auto" w:sz="4" w:space="0"/>
              <w:bottom w:val="single" w:color="auto" w:sz="4" w:space="0"/>
              <w:right w:val="single" w:color="auto" w:sz="4" w:space="0"/>
            </w:tcBorders>
            <w:noWrap/>
            <w:vAlign w:val="center"/>
          </w:tcPr>
          <w:p w14:paraId="2C785363">
            <w:pPr>
              <w:widowControl/>
              <w:spacing w:line="578" w:lineRule="exact"/>
              <w:jc w:val="left"/>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质量控制责任</w:t>
            </w:r>
          </w:p>
        </w:tc>
        <w:tc>
          <w:tcPr>
            <w:tcW w:w="1980" w:type="dxa"/>
            <w:tcBorders>
              <w:top w:val="nil"/>
              <w:left w:val="nil"/>
              <w:bottom w:val="single" w:color="auto" w:sz="4" w:space="0"/>
              <w:right w:val="single" w:color="auto" w:sz="4" w:space="0"/>
            </w:tcBorders>
            <w:noWrap/>
            <w:vAlign w:val="center"/>
          </w:tcPr>
          <w:p w14:paraId="1F23C5DF">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20</w:t>
            </w:r>
          </w:p>
        </w:tc>
      </w:tr>
      <w:tr w14:paraId="2EC56D7C">
        <w:tblPrEx>
          <w:tblCellMar>
            <w:top w:w="0" w:type="dxa"/>
            <w:left w:w="108" w:type="dxa"/>
            <w:bottom w:w="0" w:type="dxa"/>
            <w:right w:w="108" w:type="dxa"/>
          </w:tblCellMar>
        </w:tblPrEx>
        <w:trPr>
          <w:trHeight w:val="441" w:hRule="atLeast"/>
        </w:trPr>
        <w:tc>
          <w:tcPr>
            <w:tcW w:w="5229" w:type="dxa"/>
            <w:tcBorders>
              <w:top w:val="nil"/>
              <w:left w:val="single" w:color="auto" w:sz="4" w:space="0"/>
              <w:bottom w:val="single" w:color="auto" w:sz="4" w:space="0"/>
              <w:right w:val="single" w:color="auto" w:sz="4" w:space="0"/>
            </w:tcBorders>
            <w:noWrap/>
            <w:vAlign w:val="center"/>
          </w:tcPr>
          <w:p w14:paraId="2E16CF54">
            <w:pPr>
              <w:widowControl/>
              <w:spacing w:line="578" w:lineRule="exact"/>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职业道德</w:t>
            </w:r>
          </w:p>
        </w:tc>
        <w:tc>
          <w:tcPr>
            <w:tcW w:w="1980" w:type="dxa"/>
            <w:tcBorders>
              <w:top w:val="nil"/>
              <w:left w:val="nil"/>
              <w:bottom w:val="single" w:color="auto" w:sz="4" w:space="0"/>
              <w:right w:val="single" w:color="auto" w:sz="4" w:space="0"/>
            </w:tcBorders>
            <w:noWrap/>
            <w:vAlign w:val="center"/>
          </w:tcPr>
          <w:p w14:paraId="3C1C8FCD">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10</w:t>
            </w:r>
          </w:p>
        </w:tc>
      </w:tr>
      <w:tr w14:paraId="1853B5B0">
        <w:tblPrEx>
          <w:tblCellMar>
            <w:top w:w="0" w:type="dxa"/>
            <w:left w:w="108" w:type="dxa"/>
            <w:bottom w:w="0" w:type="dxa"/>
            <w:right w:w="108" w:type="dxa"/>
          </w:tblCellMar>
        </w:tblPrEx>
        <w:trPr>
          <w:trHeight w:val="441" w:hRule="atLeast"/>
        </w:trPr>
        <w:tc>
          <w:tcPr>
            <w:tcW w:w="5229" w:type="dxa"/>
            <w:tcBorders>
              <w:top w:val="nil"/>
              <w:left w:val="single" w:color="auto" w:sz="4" w:space="0"/>
              <w:bottom w:val="single" w:color="auto" w:sz="4" w:space="0"/>
              <w:right w:val="single" w:color="auto" w:sz="4" w:space="0"/>
            </w:tcBorders>
            <w:noWrap/>
            <w:vAlign w:val="center"/>
          </w:tcPr>
          <w:p w14:paraId="670608DC">
            <w:pPr>
              <w:widowControl/>
              <w:spacing w:line="578" w:lineRule="exact"/>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人力资源</w:t>
            </w:r>
          </w:p>
        </w:tc>
        <w:tc>
          <w:tcPr>
            <w:tcW w:w="1980" w:type="dxa"/>
            <w:tcBorders>
              <w:top w:val="nil"/>
              <w:left w:val="nil"/>
              <w:bottom w:val="single" w:color="auto" w:sz="4" w:space="0"/>
              <w:right w:val="single" w:color="auto" w:sz="4" w:space="0"/>
            </w:tcBorders>
            <w:noWrap/>
            <w:vAlign w:val="center"/>
          </w:tcPr>
          <w:p w14:paraId="6D8EBF74">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10</w:t>
            </w:r>
          </w:p>
        </w:tc>
      </w:tr>
      <w:tr w14:paraId="34C42FB9">
        <w:tblPrEx>
          <w:tblCellMar>
            <w:top w:w="0" w:type="dxa"/>
            <w:left w:w="108" w:type="dxa"/>
            <w:bottom w:w="0" w:type="dxa"/>
            <w:right w:w="108" w:type="dxa"/>
          </w:tblCellMar>
        </w:tblPrEx>
        <w:trPr>
          <w:trHeight w:val="441" w:hRule="atLeast"/>
        </w:trPr>
        <w:tc>
          <w:tcPr>
            <w:tcW w:w="5229" w:type="dxa"/>
            <w:tcBorders>
              <w:top w:val="nil"/>
              <w:left w:val="single" w:color="auto" w:sz="4" w:space="0"/>
              <w:bottom w:val="single" w:color="auto" w:sz="4" w:space="0"/>
              <w:right w:val="single" w:color="auto" w:sz="4" w:space="0"/>
            </w:tcBorders>
            <w:noWrap/>
            <w:vAlign w:val="center"/>
          </w:tcPr>
          <w:p w14:paraId="5E6DCDD1">
            <w:pPr>
              <w:widowControl/>
              <w:spacing w:line="578" w:lineRule="exact"/>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资产评估业务受理</w:t>
            </w:r>
          </w:p>
        </w:tc>
        <w:tc>
          <w:tcPr>
            <w:tcW w:w="1980" w:type="dxa"/>
            <w:tcBorders>
              <w:top w:val="nil"/>
              <w:left w:val="nil"/>
              <w:bottom w:val="single" w:color="auto" w:sz="4" w:space="0"/>
              <w:right w:val="single" w:color="auto" w:sz="4" w:space="0"/>
            </w:tcBorders>
            <w:noWrap/>
            <w:vAlign w:val="center"/>
          </w:tcPr>
          <w:p w14:paraId="357DC390">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10</w:t>
            </w:r>
          </w:p>
        </w:tc>
      </w:tr>
      <w:tr w14:paraId="57EC735F">
        <w:tblPrEx>
          <w:tblCellMar>
            <w:top w:w="0" w:type="dxa"/>
            <w:left w:w="108" w:type="dxa"/>
            <w:bottom w:w="0" w:type="dxa"/>
            <w:right w:w="108" w:type="dxa"/>
          </w:tblCellMar>
        </w:tblPrEx>
        <w:trPr>
          <w:trHeight w:val="441" w:hRule="atLeast"/>
        </w:trPr>
        <w:tc>
          <w:tcPr>
            <w:tcW w:w="5229" w:type="dxa"/>
            <w:tcBorders>
              <w:top w:val="nil"/>
              <w:left w:val="single" w:color="auto" w:sz="4" w:space="0"/>
              <w:bottom w:val="single" w:color="auto" w:sz="4" w:space="0"/>
              <w:right w:val="single" w:color="auto" w:sz="4" w:space="0"/>
            </w:tcBorders>
            <w:noWrap/>
            <w:vAlign w:val="center"/>
          </w:tcPr>
          <w:p w14:paraId="65679FD3">
            <w:pPr>
              <w:widowControl/>
              <w:spacing w:line="578" w:lineRule="exact"/>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资产评估业务计划</w:t>
            </w:r>
          </w:p>
        </w:tc>
        <w:tc>
          <w:tcPr>
            <w:tcW w:w="1980" w:type="dxa"/>
            <w:tcBorders>
              <w:top w:val="nil"/>
              <w:left w:val="nil"/>
              <w:bottom w:val="single" w:color="auto" w:sz="4" w:space="0"/>
              <w:right w:val="single" w:color="auto" w:sz="4" w:space="0"/>
            </w:tcBorders>
            <w:noWrap/>
            <w:vAlign w:val="center"/>
          </w:tcPr>
          <w:p w14:paraId="536B56C4">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10</w:t>
            </w:r>
          </w:p>
        </w:tc>
      </w:tr>
      <w:tr w14:paraId="4B41CCE1">
        <w:tblPrEx>
          <w:tblCellMar>
            <w:top w:w="0" w:type="dxa"/>
            <w:left w:w="108" w:type="dxa"/>
            <w:bottom w:w="0" w:type="dxa"/>
            <w:right w:w="108" w:type="dxa"/>
          </w:tblCellMar>
        </w:tblPrEx>
        <w:trPr>
          <w:trHeight w:val="441" w:hRule="atLeast"/>
        </w:trPr>
        <w:tc>
          <w:tcPr>
            <w:tcW w:w="5229" w:type="dxa"/>
            <w:tcBorders>
              <w:top w:val="nil"/>
              <w:left w:val="single" w:color="auto" w:sz="4" w:space="0"/>
              <w:bottom w:val="single" w:color="auto" w:sz="4" w:space="0"/>
              <w:right w:val="single" w:color="auto" w:sz="4" w:space="0"/>
            </w:tcBorders>
            <w:noWrap/>
            <w:vAlign w:val="center"/>
          </w:tcPr>
          <w:p w14:paraId="2512D902">
            <w:pPr>
              <w:widowControl/>
              <w:spacing w:line="578" w:lineRule="exact"/>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资产评估业务实施和资产评估报告出具</w:t>
            </w:r>
          </w:p>
        </w:tc>
        <w:tc>
          <w:tcPr>
            <w:tcW w:w="1980" w:type="dxa"/>
            <w:tcBorders>
              <w:top w:val="nil"/>
              <w:left w:val="nil"/>
              <w:bottom w:val="single" w:color="auto" w:sz="4" w:space="0"/>
              <w:right w:val="single" w:color="auto" w:sz="4" w:space="0"/>
            </w:tcBorders>
            <w:noWrap/>
            <w:vAlign w:val="center"/>
          </w:tcPr>
          <w:p w14:paraId="5F1BDEDE">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25</w:t>
            </w:r>
          </w:p>
        </w:tc>
      </w:tr>
      <w:tr w14:paraId="7061D0C0">
        <w:tblPrEx>
          <w:tblCellMar>
            <w:top w:w="0" w:type="dxa"/>
            <w:left w:w="108" w:type="dxa"/>
            <w:bottom w:w="0" w:type="dxa"/>
            <w:right w:w="108" w:type="dxa"/>
          </w:tblCellMar>
        </w:tblPrEx>
        <w:trPr>
          <w:trHeight w:val="441" w:hRule="atLeast"/>
        </w:trPr>
        <w:tc>
          <w:tcPr>
            <w:tcW w:w="5229" w:type="dxa"/>
            <w:tcBorders>
              <w:top w:val="nil"/>
              <w:left w:val="single" w:color="auto" w:sz="4" w:space="0"/>
              <w:bottom w:val="single" w:color="auto" w:sz="4" w:space="0"/>
              <w:right w:val="single" w:color="auto" w:sz="4" w:space="0"/>
            </w:tcBorders>
            <w:noWrap/>
            <w:vAlign w:val="center"/>
          </w:tcPr>
          <w:p w14:paraId="365DB299">
            <w:pPr>
              <w:widowControl/>
              <w:spacing w:line="578" w:lineRule="exact"/>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监控和改进</w:t>
            </w:r>
          </w:p>
        </w:tc>
        <w:tc>
          <w:tcPr>
            <w:tcW w:w="1980" w:type="dxa"/>
            <w:tcBorders>
              <w:top w:val="nil"/>
              <w:left w:val="nil"/>
              <w:bottom w:val="single" w:color="auto" w:sz="4" w:space="0"/>
              <w:right w:val="single" w:color="auto" w:sz="4" w:space="0"/>
            </w:tcBorders>
            <w:noWrap/>
            <w:vAlign w:val="center"/>
          </w:tcPr>
          <w:p w14:paraId="43996FC6">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10</w:t>
            </w:r>
          </w:p>
        </w:tc>
      </w:tr>
      <w:tr w14:paraId="7EECB9B2">
        <w:tblPrEx>
          <w:tblCellMar>
            <w:top w:w="0" w:type="dxa"/>
            <w:left w:w="108" w:type="dxa"/>
            <w:bottom w:w="0" w:type="dxa"/>
            <w:right w:w="108" w:type="dxa"/>
          </w:tblCellMar>
        </w:tblPrEx>
        <w:trPr>
          <w:trHeight w:val="441" w:hRule="atLeast"/>
        </w:trPr>
        <w:tc>
          <w:tcPr>
            <w:tcW w:w="5229" w:type="dxa"/>
            <w:tcBorders>
              <w:top w:val="nil"/>
              <w:left w:val="single" w:color="auto" w:sz="4" w:space="0"/>
              <w:bottom w:val="single" w:color="auto" w:sz="4" w:space="0"/>
              <w:right w:val="single" w:color="auto" w:sz="4" w:space="0"/>
            </w:tcBorders>
            <w:noWrap/>
            <w:vAlign w:val="center"/>
          </w:tcPr>
          <w:p w14:paraId="73923D13">
            <w:pPr>
              <w:widowControl/>
              <w:spacing w:line="578" w:lineRule="exact"/>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文件和记录</w:t>
            </w:r>
          </w:p>
        </w:tc>
        <w:tc>
          <w:tcPr>
            <w:tcW w:w="1980" w:type="dxa"/>
            <w:tcBorders>
              <w:top w:val="nil"/>
              <w:left w:val="nil"/>
              <w:bottom w:val="single" w:color="auto" w:sz="4" w:space="0"/>
              <w:right w:val="single" w:color="auto" w:sz="4" w:space="0"/>
            </w:tcBorders>
            <w:noWrap/>
            <w:vAlign w:val="center"/>
          </w:tcPr>
          <w:p w14:paraId="4C3DEE53">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5</w:t>
            </w:r>
          </w:p>
        </w:tc>
      </w:tr>
      <w:tr w14:paraId="5820DA45">
        <w:tblPrEx>
          <w:tblCellMar>
            <w:top w:w="0" w:type="dxa"/>
            <w:left w:w="108" w:type="dxa"/>
            <w:bottom w:w="0" w:type="dxa"/>
            <w:right w:w="108" w:type="dxa"/>
          </w:tblCellMar>
        </w:tblPrEx>
        <w:trPr>
          <w:trHeight w:val="441" w:hRule="atLeast"/>
        </w:trPr>
        <w:tc>
          <w:tcPr>
            <w:tcW w:w="5229" w:type="dxa"/>
            <w:tcBorders>
              <w:top w:val="nil"/>
              <w:left w:val="single" w:color="auto" w:sz="4" w:space="0"/>
              <w:bottom w:val="single" w:color="auto" w:sz="4" w:space="0"/>
              <w:right w:val="single" w:color="auto" w:sz="4" w:space="0"/>
            </w:tcBorders>
            <w:noWrap/>
            <w:vAlign w:val="center"/>
          </w:tcPr>
          <w:p w14:paraId="5A9CCFCF">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合计</w:t>
            </w:r>
          </w:p>
        </w:tc>
        <w:tc>
          <w:tcPr>
            <w:tcW w:w="1980" w:type="dxa"/>
            <w:tcBorders>
              <w:top w:val="nil"/>
              <w:left w:val="nil"/>
              <w:bottom w:val="single" w:color="auto" w:sz="4" w:space="0"/>
              <w:right w:val="single" w:color="auto" w:sz="4" w:space="0"/>
            </w:tcBorders>
            <w:noWrap/>
            <w:vAlign w:val="center"/>
          </w:tcPr>
          <w:p w14:paraId="4CDD12A3">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100</w:t>
            </w:r>
          </w:p>
        </w:tc>
      </w:tr>
    </w:tbl>
    <w:p w14:paraId="7F6267D9">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评价人员根据各要素建立健全情况进行评分，得分合计即为质量控制体系评价得分。</w:t>
      </w:r>
    </w:p>
    <w:p w14:paraId="7D36E76A">
      <w:pPr>
        <w:spacing w:line="578" w:lineRule="exact"/>
        <w:ind w:left="53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（二）项目质量评价</w:t>
      </w:r>
    </w:p>
    <w:p w14:paraId="3E58C9D0">
      <w:pPr>
        <w:spacing w:line="578" w:lineRule="exact"/>
        <w:ind w:left="53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项目质量评价分两个步骤：</w:t>
      </w:r>
    </w:p>
    <w:p w14:paraId="6F431796">
      <w:pPr>
        <w:numPr>
          <w:ilvl w:val="0"/>
          <w:numId w:val="1"/>
        </w:numPr>
        <w:spacing w:line="578" w:lineRule="exact"/>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项目抽查评级</w:t>
      </w:r>
    </w:p>
    <w:p w14:paraId="7BECCC53">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评价人员从被评价评估机构抽取一定数量的资产评估报告进行检查。抽取数量和类型应考虑该评估机构的业务规模、业务结构等因素，抽取数量一般为4-8份。</w:t>
      </w:r>
    </w:p>
    <w:p w14:paraId="46678FA7">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评估业务报告的质量评级分为A、B、C、D四级，A级为最优，D级最差。评级标准如下：</w:t>
      </w:r>
    </w:p>
    <w:p w14:paraId="0DFECB1E">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A级  依据评估准则执行了适当的评估程序，形成了支撑性的工作底稿，评估报告披露充分完整。</w:t>
      </w:r>
    </w:p>
    <w:p w14:paraId="02C30263">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B级  评估程序存在瑕疵，但不是发生在重要领域；工作底稿基本能支撑评估结论，评估报告披露较为充分完整。</w:t>
      </w:r>
    </w:p>
    <w:p w14:paraId="0E3F4431">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C级  重要评估程序、重要工作底稿存在瑕疵，对评估结论支撑性较差，评估报告披露不充分完整。</w:t>
      </w:r>
    </w:p>
    <w:p w14:paraId="2C27D66F">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D级  已执行的评估程序和形成的工作底稿不足以支持评估结论。</w:t>
      </w:r>
    </w:p>
    <w:p w14:paraId="0F5A2782">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评价人员对质量控制体系和项目质量的评价底稿和初步结果形成后，应由评价组另一名人员复核。评价小组确定评价结果后，应经咨询复核专家组复核。</w:t>
      </w:r>
    </w:p>
    <w:p w14:paraId="10AA6F23">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2．对评级报告赋分</w:t>
      </w:r>
    </w:p>
    <w:p w14:paraId="75763B13">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单项报告评级结果确定后，应对每个项目根据评级结果予以赋分。赋分标准如下：</w:t>
      </w:r>
    </w:p>
    <w:tbl>
      <w:tblPr>
        <w:tblStyle w:val="15"/>
        <w:tblW w:w="4509" w:type="dxa"/>
        <w:tblInd w:w="99" w:type="dxa"/>
        <w:tblLayout w:type="autofit"/>
        <w:tblCellMar>
          <w:top w:w="0" w:type="dxa"/>
          <w:left w:w="108" w:type="dxa"/>
          <w:bottom w:w="0" w:type="dxa"/>
          <w:right w:w="108" w:type="dxa"/>
        </w:tblCellMar>
      </w:tblPr>
      <w:tblGrid>
        <w:gridCol w:w="2169"/>
        <w:gridCol w:w="2340"/>
      </w:tblGrid>
      <w:tr w14:paraId="1DB2720F">
        <w:tblPrEx>
          <w:tblCellMar>
            <w:top w:w="0" w:type="dxa"/>
            <w:left w:w="108" w:type="dxa"/>
            <w:bottom w:w="0" w:type="dxa"/>
            <w:right w:w="108" w:type="dxa"/>
          </w:tblCellMar>
        </w:tblPrEx>
        <w:trPr>
          <w:trHeight w:val="441" w:hRule="atLeast"/>
        </w:trPr>
        <w:tc>
          <w:tcPr>
            <w:tcW w:w="2169" w:type="dxa"/>
            <w:tcBorders>
              <w:top w:val="single" w:color="auto" w:sz="4" w:space="0"/>
              <w:left w:val="single" w:color="auto" w:sz="4" w:space="0"/>
              <w:bottom w:val="single" w:color="auto" w:sz="4" w:space="0"/>
              <w:right w:val="single" w:color="auto" w:sz="4" w:space="0"/>
            </w:tcBorders>
            <w:noWrap/>
            <w:vAlign w:val="center"/>
          </w:tcPr>
          <w:p w14:paraId="53C52BEE">
            <w:pPr>
              <w:widowControl/>
              <w:spacing w:line="578" w:lineRule="exact"/>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项目评级</w:t>
            </w:r>
          </w:p>
        </w:tc>
        <w:tc>
          <w:tcPr>
            <w:tcW w:w="2340" w:type="dxa"/>
            <w:tcBorders>
              <w:top w:val="single" w:color="auto" w:sz="4" w:space="0"/>
              <w:left w:val="nil"/>
              <w:bottom w:val="nil"/>
              <w:right w:val="single" w:color="auto" w:sz="4" w:space="0"/>
            </w:tcBorders>
            <w:noWrap/>
            <w:vAlign w:val="center"/>
          </w:tcPr>
          <w:p w14:paraId="4E33362E">
            <w:pPr>
              <w:widowControl/>
              <w:spacing w:line="578" w:lineRule="exact"/>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项目赋分</w:t>
            </w:r>
          </w:p>
        </w:tc>
      </w:tr>
      <w:tr w14:paraId="59BC1C8C">
        <w:tblPrEx>
          <w:tblCellMar>
            <w:top w:w="0" w:type="dxa"/>
            <w:left w:w="108" w:type="dxa"/>
            <w:bottom w:w="0" w:type="dxa"/>
            <w:right w:w="108" w:type="dxa"/>
          </w:tblCellMar>
        </w:tblPrEx>
        <w:trPr>
          <w:trHeight w:val="441" w:hRule="atLeast"/>
        </w:trPr>
        <w:tc>
          <w:tcPr>
            <w:tcW w:w="2169" w:type="dxa"/>
            <w:tcBorders>
              <w:top w:val="nil"/>
              <w:left w:val="single" w:color="auto" w:sz="4" w:space="0"/>
              <w:bottom w:val="single" w:color="auto" w:sz="4" w:space="0"/>
              <w:right w:val="single" w:color="auto" w:sz="4" w:space="0"/>
            </w:tcBorders>
            <w:noWrap/>
            <w:vAlign w:val="center"/>
          </w:tcPr>
          <w:p w14:paraId="61CE59C7">
            <w:pPr>
              <w:widowControl/>
              <w:spacing w:line="578" w:lineRule="exact"/>
              <w:jc w:val="center"/>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 xml:space="preserve">A </w:t>
            </w:r>
          </w:p>
        </w:tc>
        <w:tc>
          <w:tcPr>
            <w:tcW w:w="2340" w:type="dxa"/>
            <w:tcBorders>
              <w:top w:val="single" w:color="auto" w:sz="4" w:space="0"/>
              <w:left w:val="nil"/>
              <w:bottom w:val="single" w:color="auto" w:sz="4" w:space="0"/>
              <w:right w:val="single" w:color="auto" w:sz="4" w:space="0"/>
            </w:tcBorders>
            <w:noWrap/>
            <w:vAlign w:val="center"/>
          </w:tcPr>
          <w:p w14:paraId="44570734">
            <w:pPr>
              <w:widowControl/>
              <w:spacing w:line="578" w:lineRule="exact"/>
              <w:jc w:val="center"/>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85</w:t>
            </w:r>
          </w:p>
        </w:tc>
      </w:tr>
      <w:tr w14:paraId="6AF50E58">
        <w:tblPrEx>
          <w:tblCellMar>
            <w:top w:w="0" w:type="dxa"/>
            <w:left w:w="108" w:type="dxa"/>
            <w:bottom w:w="0" w:type="dxa"/>
            <w:right w:w="108" w:type="dxa"/>
          </w:tblCellMar>
        </w:tblPrEx>
        <w:trPr>
          <w:trHeight w:val="441" w:hRule="atLeast"/>
        </w:trPr>
        <w:tc>
          <w:tcPr>
            <w:tcW w:w="2169" w:type="dxa"/>
            <w:tcBorders>
              <w:top w:val="nil"/>
              <w:left w:val="single" w:color="auto" w:sz="4" w:space="0"/>
              <w:bottom w:val="single" w:color="auto" w:sz="4" w:space="0"/>
              <w:right w:val="single" w:color="auto" w:sz="4" w:space="0"/>
            </w:tcBorders>
            <w:noWrap/>
            <w:vAlign w:val="center"/>
          </w:tcPr>
          <w:p w14:paraId="20A00BB7">
            <w:pPr>
              <w:widowControl/>
              <w:spacing w:line="578" w:lineRule="exact"/>
              <w:jc w:val="center"/>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B</w:t>
            </w:r>
          </w:p>
        </w:tc>
        <w:tc>
          <w:tcPr>
            <w:tcW w:w="2340" w:type="dxa"/>
            <w:tcBorders>
              <w:top w:val="nil"/>
              <w:left w:val="nil"/>
              <w:bottom w:val="single" w:color="auto" w:sz="4" w:space="0"/>
              <w:right w:val="single" w:color="auto" w:sz="4" w:space="0"/>
            </w:tcBorders>
            <w:noWrap/>
            <w:vAlign w:val="center"/>
          </w:tcPr>
          <w:p w14:paraId="36EE31B0">
            <w:pPr>
              <w:widowControl/>
              <w:spacing w:line="578" w:lineRule="exact"/>
              <w:jc w:val="center"/>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75</w:t>
            </w:r>
          </w:p>
        </w:tc>
      </w:tr>
      <w:tr w14:paraId="116559D7">
        <w:tblPrEx>
          <w:tblCellMar>
            <w:top w:w="0" w:type="dxa"/>
            <w:left w:w="108" w:type="dxa"/>
            <w:bottom w:w="0" w:type="dxa"/>
            <w:right w:w="108" w:type="dxa"/>
          </w:tblCellMar>
        </w:tblPrEx>
        <w:trPr>
          <w:trHeight w:val="441" w:hRule="atLeast"/>
        </w:trPr>
        <w:tc>
          <w:tcPr>
            <w:tcW w:w="2169" w:type="dxa"/>
            <w:tcBorders>
              <w:top w:val="nil"/>
              <w:left w:val="single" w:color="auto" w:sz="4" w:space="0"/>
              <w:bottom w:val="single" w:color="auto" w:sz="4" w:space="0"/>
              <w:right w:val="single" w:color="auto" w:sz="4" w:space="0"/>
            </w:tcBorders>
            <w:noWrap/>
            <w:vAlign w:val="center"/>
          </w:tcPr>
          <w:p w14:paraId="563424E7">
            <w:pPr>
              <w:widowControl/>
              <w:spacing w:line="578" w:lineRule="exact"/>
              <w:jc w:val="center"/>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C</w:t>
            </w:r>
          </w:p>
        </w:tc>
        <w:tc>
          <w:tcPr>
            <w:tcW w:w="2340" w:type="dxa"/>
            <w:tcBorders>
              <w:top w:val="nil"/>
              <w:left w:val="nil"/>
              <w:bottom w:val="single" w:color="auto" w:sz="4" w:space="0"/>
              <w:right w:val="single" w:color="auto" w:sz="4" w:space="0"/>
            </w:tcBorders>
            <w:noWrap/>
            <w:vAlign w:val="center"/>
          </w:tcPr>
          <w:p w14:paraId="29789127">
            <w:pPr>
              <w:widowControl/>
              <w:spacing w:line="578" w:lineRule="exact"/>
              <w:jc w:val="center"/>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65</w:t>
            </w:r>
          </w:p>
        </w:tc>
      </w:tr>
      <w:tr w14:paraId="627608A6">
        <w:tblPrEx>
          <w:tblCellMar>
            <w:top w:w="0" w:type="dxa"/>
            <w:left w:w="108" w:type="dxa"/>
            <w:bottom w:w="0" w:type="dxa"/>
            <w:right w:w="108" w:type="dxa"/>
          </w:tblCellMar>
        </w:tblPrEx>
        <w:trPr>
          <w:trHeight w:val="441" w:hRule="atLeast"/>
        </w:trPr>
        <w:tc>
          <w:tcPr>
            <w:tcW w:w="2169" w:type="dxa"/>
            <w:tcBorders>
              <w:top w:val="nil"/>
              <w:left w:val="single" w:color="auto" w:sz="4" w:space="0"/>
              <w:bottom w:val="single" w:color="auto" w:sz="4" w:space="0"/>
              <w:right w:val="single" w:color="auto" w:sz="4" w:space="0"/>
            </w:tcBorders>
            <w:noWrap/>
            <w:vAlign w:val="center"/>
          </w:tcPr>
          <w:p w14:paraId="78344A52">
            <w:pPr>
              <w:widowControl/>
              <w:spacing w:line="578" w:lineRule="exact"/>
              <w:jc w:val="center"/>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D（注1）</w:t>
            </w:r>
          </w:p>
        </w:tc>
        <w:tc>
          <w:tcPr>
            <w:tcW w:w="2340" w:type="dxa"/>
            <w:tcBorders>
              <w:top w:val="nil"/>
              <w:left w:val="nil"/>
              <w:bottom w:val="single" w:color="auto" w:sz="4" w:space="0"/>
              <w:right w:val="single" w:color="auto" w:sz="4" w:space="0"/>
            </w:tcBorders>
            <w:noWrap/>
            <w:vAlign w:val="center"/>
          </w:tcPr>
          <w:p w14:paraId="091414FE">
            <w:pPr>
              <w:widowControl/>
              <w:spacing w:line="578" w:lineRule="exact"/>
              <w:jc w:val="center"/>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40-55</w:t>
            </w:r>
          </w:p>
        </w:tc>
      </w:tr>
    </w:tbl>
    <w:p w14:paraId="6536A0DE">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注1：对评为D级的报告，赋分范围为一个区间，根据其实际质量情况评分。主要考虑因素包括：是否存在特别重大失实、是否存在重要底稿和证据严重缺失等。评分低于上限值的，评价底稿应该说明理由。</w:t>
      </w:r>
    </w:p>
    <w:p w14:paraId="7BC6594F">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根据以上赋分规则，将抽查的报告得分算术平均，得出评价报告平均得分。</w:t>
      </w:r>
    </w:p>
    <w:p w14:paraId="035D24CA">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（三）综合评分</w:t>
      </w:r>
    </w:p>
    <w:p w14:paraId="2758FAE1">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将质量控制体系和项目质量评分结果赋予一定权重计算评价综合得分。其中，质量控制体系分数权重为25%，项目质量分数权重为75%。</w:t>
      </w:r>
    </w:p>
    <w:p w14:paraId="1B9D44A2">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评价综合得分=质量控制体系分数×25%+项目质量分数×75%</w:t>
      </w:r>
    </w:p>
    <w:p w14:paraId="7B5ECBD9">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（四）综合评级</w:t>
      </w:r>
    </w:p>
    <w:p w14:paraId="7EBF2B3B">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将综合评分转换为该被评价评估机构的最终执业质量评级，评级分为一至四级。转换方式如下：</w:t>
      </w:r>
    </w:p>
    <w:p w14:paraId="06EA69C1">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综合评分(X)       执业质量评级</w:t>
      </w:r>
    </w:p>
    <w:p w14:paraId="69E7B334">
      <w:pPr>
        <w:spacing w:line="578" w:lineRule="exact"/>
        <w:ind w:firstLine="857" w:firstLineChars="2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X&gt;80(含)            一级</w:t>
      </w:r>
    </w:p>
    <w:p w14:paraId="78D2C487">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 xml:space="preserve">80&gt;X&gt;70(含)          二级 </w:t>
      </w:r>
    </w:p>
    <w:p w14:paraId="48CA6BCC">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 xml:space="preserve">70&gt;X&gt;60(含)          三级 </w:t>
      </w:r>
    </w:p>
    <w:p w14:paraId="18965B96">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 xml:space="preserve">60&gt;X                 四级 </w:t>
      </w:r>
    </w:p>
    <w:p w14:paraId="5B44413D">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第十条</w:t>
      </w:r>
      <w:r>
        <w:rPr>
          <w:rFonts w:hint="eastAsia" w:ascii="方正仿宋_GBK" w:hAnsi="仿宋_GB2312" w:eastAsia="方正仿宋_GBK" w:cs="仿宋_GB2312"/>
          <w:color w:val="000000"/>
          <w:kern w:val="0"/>
          <w:sz w:val="32"/>
          <w:szCs w:val="32"/>
        </w:rPr>
        <w:t xml:space="preserve"> 评估机构可自愿向市评协提出申请进行执业质量评价，市评协可结合年度执业质量检查开展评价或单独组织实施。申请距上一次评价（含执业质量检查）的间隔时间不得少于2年。</w:t>
      </w:r>
    </w:p>
    <w:p w14:paraId="6487A064">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第十一条</w:t>
      </w:r>
      <w:r>
        <w:rPr>
          <w:rFonts w:hint="eastAsia" w:ascii="方正仿宋_GBK" w:hAnsi="仿宋_GB2312" w:eastAsia="方正仿宋_GBK" w:cs="仿宋_GB2312"/>
          <w:color w:val="000000"/>
          <w:kern w:val="0"/>
          <w:sz w:val="32"/>
          <w:szCs w:val="32"/>
        </w:rPr>
        <w:t xml:space="preserve"> 执业质量评价结果可在以下方面使用：</w:t>
      </w:r>
    </w:p>
    <w:p w14:paraId="4221175C">
      <w:pPr>
        <w:tabs>
          <w:tab w:val="right" w:pos="8306"/>
        </w:tabs>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（一）对评估机构实施分级分层管理；</w:t>
      </w:r>
    </w:p>
    <w:p w14:paraId="0A8A0801">
      <w:pPr>
        <w:tabs>
          <w:tab w:val="right" w:pos="8306"/>
        </w:tabs>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（二）作为确定年度执业质量检查周期的重要依据；</w:t>
      </w:r>
      <w:r>
        <w:rPr>
          <w:rFonts w:hint="eastAsia" w:ascii="方正仿宋_GBK" w:hAnsi="仿宋_GB2312" w:eastAsia="方正仿宋_GBK" w:cs="仿宋_GB2312"/>
          <w:color w:val="000000"/>
          <w:kern w:val="0"/>
          <w:sz w:val="32"/>
          <w:szCs w:val="32"/>
        </w:rPr>
        <w:tab/>
      </w:r>
    </w:p>
    <w:p w14:paraId="6C61D132">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（三）向有关行政管理部门提供执业质量评价结果；</w:t>
      </w:r>
    </w:p>
    <w:p w14:paraId="7FA36C43">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（四）其他适宜采取分级管理措施的情形。</w:t>
      </w:r>
    </w:p>
    <w:p w14:paraId="3B7D4558">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第十二条</w:t>
      </w:r>
      <w:r>
        <w:rPr>
          <w:rFonts w:hint="eastAsia" w:ascii="方正仿宋_GBK" w:hAnsi="仿宋_GB2312" w:eastAsia="方正仿宋_GBK" w:cs="仿宋_GB2312"/>
          <w:color w:val="000000"/>
          <w:kern w:val="0"/>
          <w:sz w:val="32"/>
          <w:szCs w:val="32"/>
        </w:rPr>
        <w:t xml:space="preserve"> 执业质量评价工作结束后，市评协应告知被评价评估机构评价结果。</w:t>
      </w:r>
    </w:p>
    <w:p w14:paraId="4FDA1650">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第十三条</w:t>
      </w:r>
      <w:r>
        <w:rPr>
          <w:rFonts w:hint="eastAsia" w:ascii="方正仿宋_GBK" w:hAnsi="仿宋_GB2312" w:eastAsia="方正仿宋_GBK" w:cs="仿宋_GB2312"/>
          <w:color w:val="000000"/>
          <w:kern w:val="0"/>
          <w:sz w:val="32"/>
          <w:szCs w:val="32"/>
        </w:rPr>
        <w:t xml:space="preserve"> 执业质量评价结果的有效期为5年。如在有效期内对该评估机构重新进行质量评价，应以最后一次的评价结果为准。</w:t>
      </w:r>
    </w:p>
    <w:p w14:paraId="7C96D0A1">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市评协应妥善保存执业质量评价结果及工作底稿，存档期限不少于5年。</w:t>
      </w:r>
    </w:p>
    <w:p w14:paraId="511BAD8D">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eastAsia="方正仿宋_GBK"/>
          <w:sz w:val="32"/>
          <w:szCs w:val="32"/>
        </w:rPr>
        <w:t xml:space="preserve"> </w:t>
      </w:r>
      <w:r>
        <w:rPr>
          <w:rFonts w:hint="eastAsia" w:ascii="方正黑体_GBK" w:hAnsi="仿宋_GB2312" w:eastAsia="方正黑体_GBK" w:cs="仿宋_GB2312"/>
          <w:color w:val="000000"/>
          <w:kern w:val="0"/>
          <w:sz w:val="32"/>
          <w:szCs w:val="32"/>
        </w:rPr>
        <w:t>第十四条</w:t>
      </w:r>
      <w:r>
        <w:rPr>
          <w:rFonts w:hint="eastAsia" w:ascii="方正仿宋_GBK" w:hAnsi="仿宋_GB2312" w:eastAsia="方正仿宋_GBK" w:cs="仿宋_GB2312"/>
          <w:color w:val="000000"/>
          <w:kern w:val="0"/>
          <w:sz w:val="32"/>
          <w:szCs w:val="32"/>
        </w:rPr>
        <w:t xml:space="preserve"> 本暂行办法试行期为3年。评价结果在试行期内不对外公布。</w:t>
      </w:r>
    </w:p>
    <w:p w14:paraId="2DDDE06D">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第十五条</w:t>
      </w:r>
      <w:r>
        <w:rPr>
          <w:rFonts w:hint="eastAsia" w:ascii="方正仿宋_GBK" w:hAnsi="仿宋_GB2312" w:eastAsia="方正仿宋_GBK" w:cs="仿宋_GB2312"/>
          <w:color w:val="000000"/>
          <w:kern w:val="0"/>
          <w:sz w:val="32"/>
          <w:szCs w:val="32"/>
        </w:rPr>
        <w:t xml:space="preserve"> 本办法自市评协理事会通过之日起施行，由市评协理事会负责解释。</w:t>
      </w:r>
    </w:p>
    <w:p w14:paraId="3A7718ED">
      <w:pPr>
        <w:spacing w:line="578" w:lineRule="exact"/>
        <w:ind w:firstLine="537" w:firstLineChars="168"/>
        <w:rPr>
          <w:rFonts w:hint="eastAsia" w:ascii="方正仿宋_GBK" w:hAnsi="仿宋_GB2312" w:eastAsia="方正仿宋_GBK" w:cs="仿宋_GB2312"/>
          <w:color w:val="000000"/>
          <w:kern w:val="0"/>
          <w:sz w:val="32"/>
          <w:szCs w:val="32"/>
        </w:rPr>
      </w:pPr>
    </w:p>
    <w:p w14:paraId="7AC8CC61">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附表：评估机构质量控制体系</w:t>
      </w:r>
      <w:bookmarkStart w:id="1" w:name="_GoBack"/>
      <w:bookmarkEnd w:id="1"/>
      <w:r>
        <w:rPr>
          <w:rFonts w:hint="eastAsia" w:ascii="方正仿宋_GBK" w:hAnsi="仿宋_GB2312" w:eastAsia="方正仿宋_GBK" w:cs="仿宋_GB2312"/>
          <w:color w:val="000000"/>
          <w:kern w:val="0"/>
          <w:sz w:val="32"/>
          <w:szCs w:val="32"/>
        </w:rPr>
        <w:t>评价工作底稿</w:t>
      </w:r>
    </w:p>
    <w:sectPr>
      <w:footerReference r:id="rId5" w:type="defaul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182266"/>
      <w:docPartObj>
        <w:docPartGallery w:val="autotext"/>
      </w:docPartObj>
    </w:sdtPr>
    <w:sdtContent>
      <w:p w14:paraId="105FFD0C">
        <w:pPr>
          <w:pStyle w:val="11"/>
          <w:jc w:val="center"/>
          <w:rPr>
            <w:rFonts w:hint="eastAsia"/>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14:paraId="7BD27234">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B15BA"/>
    <w:multiLevelType w:val="multilevel"/>
    <w:tmpl w:val="382B15BA"/>
    <w:lvl w:ilvl="0" w:tentative="0">
      <w:start w:val="1"/>
      <w:numFmt w:val="decimal"/>
      <w:lvlText w:val="%1."/>
      <w:lvlJc w:val="left"/>
      <w:pPr>
        <w:tabs>
          <w:tab w:val="left" w:pos="898"/>
        </w:tabs>
        <w:ind w:left="898" w:hanging="360"/>
      </w:pPr>
    </w:lvl>
    <w:lvl w:ilvl="1" w:tentative="0">
      <w:start w:val="1"/>
      <w:numFmt w:val="lowerLetter"/>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14"/>
    <w:rsid w:val="00040105"/>
    <w:rsid w:val="000C4F43"/>
    <w:rsid w:val="00107B64"/>
    <w:rsid w:val="001E1D4E"/>
    <w:rsid w:val="001E3F6E"/>
    <w:rsid w:val="005563B2"/>
    <w:rsid w:val="006D3C14"/>
    <w:rsid w:val="00B0408D"/>
    <w:rsid w:val="00F40707"/>
    <w:rsid w:val="1EBD6871"/>
    <w:rsid w:val="730265E2"/>
    <w:rsid w:val="7DD5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rFonts w:ascii="Calibri" w:hAnsi="Calibri" w:eastAsia="宋体" w:cs="Times New Roman"/>
      <w:sz w:val="18"/>
      <w:szCs w:val="18"/>
      <w14:ligatures w14:val="none"/>
    </w:rPr>
  </w:style>
  <w:style w:type="character" w:customStyle="1" w:styleId="36">
    <w:name w:val="页脚 字符"/>
    <w:basedOn w:val="16"/>
    <w:link w:val="11"/>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2383</Words>
  <Characters>2433</Characters>
  <Lines>18</Lines>
  <Paragraphs>5</Paragraphs>
  <TotalTime>6</TotalTime>
  <ScaleCrop>false</ScaleCrop>
  <LinksUpToDate>false</LinksUpToDate>
  <CharactersWithSpaces>2519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2025-06-09T01:38:00Z</dcterms:created>
  <dc:creator>胡鹏</dc:creator>
  <cp:lastModifiedBy>WPS_1601614077</cp:lastModifiedBy>
  <dcterms:modified xsi:type="dcterms:W3CDTF">2025-07-08T09:07:49Z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eyJoZGlkIjoiNWVkNWQ2YTFmMmIzNjMyMGQ3MTFjMzJmYWZmZWNmNDIiLCJ1c2VySWQiOiIxMTI2NjcxMTE3In0=</vt:lpwstr>
  </property>
  <property fmtid="{D5CDD505-2E9C-101B-9397-08002B2CF9AE}" pid="3" name="KSOProductBuildVer">
    <vt:lpwstr>2052-12.1.0.21915</vt:lpwstr>
  </property>
  <property fmtid="{D5CDD505-2E9C-101B-9397-08002B2CF9AE}" pid="4" name="ICV">
    <vt:lpwstr>98A1DB127BC84819B072D9A529203B40_12</vt:lpwstr>
  </property>
</Properties>
</file>