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F31BE">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重庆高速公路集团有限公司集采中心2024年度</w:t>
      </w:r>
      <w:r>
        <w:rPr>
          <w:rFonts w:hint="eastAsia" w:ascii="宋体"/>
          <w:b/>
          <w:color w:val="auto"/>
          <w:kern w:val="10"/>
          <w:sz w:val="28"/>
          <w:szCs w:val="28"/>
          <w:highlight w:val="none"/>
          <w:lang w:val="en-US" w:eastAsia="zh-CN"/>
        </w:rPr>
        <w:t>钢材</w:t>
      </w:r>
      <w:r>
        <w:rPr>
          <w:rFonts w:hint="eastAsia" w:ascii="宋体"/>
          <w:b/>
          <w:color w:val="auto"/>
          <w:kern w:val="10"/>
          <w:sz w:val="28"/>
          <w:szCs w:val="28"/>
          <w:highlight w:val="none"/>
          <w:lang w:eastAsia="zh-CN"/>
        </w:rPr>
        <w:t>集中采购（</w:t>
      </w:r>
      <w:r>
        <w:rPr>
          <w:rFonts w:hint="eastAsia" w:ascii="宋体"/>
          <w:b/>
          <w:color w:val="auto"/>
          <w:kern w:val="10"/>
          <w:sz w:val="28"/>
          <w:szCs w:val="28"/>
          <w:highlight w:val="none"/>
          <w:lang w:val="en-US" w:eastAsia="zh-CN"/>
        </w:rPr>
        <w:t>钢筋网片</w:t>
      </w:r>
      <w:r>
        <w:rPr>
          <w:rFonts w:hint="eastAsia" w:ascii="宋体"/>
          <w:b/>
          <w:color w:val="auto"/>
          <w:kern w:val="10"/>
          <w:sz w:val="28"/>
          <w:szCs w:val="28"/>
          <w:highlight w:val="none"/>
          <w:lang w:eastAsia="zh-CN"/>
        </w:rPr>
        <w:t>）</w:t>
      </w:r>
    </w:p>
    <w:p w14:paraId="67419D83">
      <w:pPr>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ascii="宋体"/>
          <w:b/>
          <w:color w:val="auto"/>
          <w:sz w:val="28"/>
          <w:szCs w:val="28"/>
          <w:highlight w:val="none"/>
        </w:rPr>
        <w:t>招标编号：</w:t>
      </w:r>
      <w:r>
        <w:rPr>
          <w:rFonts w:hint="eastAsia" w:ascii="宋体"/>
          <w:b/>
          <w:color w:val="auto"/>
          <w:kern w:val="10"/>
          <w:sz w:val="28"/>
          <w:szCs w:val="28"/>
          <w:highlight w:val="none"/>
          <w:lang w:eastAsia="zh-CN"/>
        </w:rPr>
        <w:t xml:space="preserve"> 0611-2400160950A</w:t>
      </w:r>
    </w:p>
    <w:p w14:paraId="028AC56C">
      <w:pPr>
        <w:autoSpaceDE w:val="0"/>
        <w:autoSpaceDN w:val="0"/>
        <w:adjustRightInd w:val="0"/>
        <w:snapToGrid w:val="0"/>
        <w:spacing w:line="360" w:lineRule="auto"/>
        <w:jc w:val="left"/>
        <w:rPr>
          <w:rFonts w:ascii="宋体" w:hAnsi="宋体"/>
          <w:color w:val="auto"/>
          <w:kern w:val="0"/>
          <w:sz w:val="20"/>
          <w:szCs w:val="20"/>
          <w:highlight w:val="none"/>
        </w:rPr>
      </w:pPr>
    </w:p>
    <w:p w14:paraId="3A5CC031">
      <w:pPr>
        <w:autoSpaceDE w:val="0"/>
        <w:autoSpaceDN w:val="0"/>
        <w:adjustRightInd w:val="0"/>
        <w:snapToGrid w:val="0"/>
        <w:spacing w:line="360" w:lineRule="auto"/>
        <w:jc w:val="left"/>
        <w:rPr>
          <w:rFonts w:ascii="宋体" w:hAnsi="宋体"/>
          <w:color w:val="auto"/>
          <w:kern w:val="0"/>
          <w:sz w:val="20"/>
          <w:szCs w:val="20"/>
          <w:highlight w:val="none"/>
        </w:rPr>
      </w:pPr>
    </w:p>
    <w:p w14:paraId="02F0D14A">
      <w:pPr>
        <w:autoSpaceDE w:val="0"/>
        <w:autoSpaceDN w:val="0"/>
        <w:adjustRightInd w:val="0"/>
        <w:snapToGrid w:val="0"/>
        <w:spacing w:line="360" w:lineRule="auto"/>
        <w:jc w:val="left"/>
        <w:rPr>
          <w:rFonts w:ascii="宋体" w:hAnsi="宋体"/>
          <w:color w:val="auto"/>
          <w:kern w:val="0"/>
          <w:sz w:val="20"/>
          <w:szCs w:val="20"/>
          <w:highlight w:val="none"/>
        </w:rPr>
      </w:pPr>
    </w:p>
    <w:p w14:paraId="0ED0A5C6">
      <w:pPr>
        <w:autoSpaceDE w:val="0"/>
        <w:autoSpaceDN w:val="0"/>
        <w:adjustRightInd w:val="0"/>
        <w:snapToGrid w:val="0"/>
        <w:spacing w:line="360" w:lineRule="auto"/>
        <w:jc w:val="left"/>
        <w:rPr>
          <w:rFonts w:ascii="宋体" w:hAnsi="宋体"/>
          <w:color w:val="auto"/>
          <w:kern w:val="0"/>
          <w:sz w:val="20"/>
          <w:szCs w:val="20"/>
          <w:highlight w:val="none"/>
        </w:rPr>
      </w:pPr>
    </w:p>
    <w:p w14:paraId="519303DA">
      <w:pPr>
        <w:autoSpaceDE w:val="0"/>
        <w:autoSpaceDN w:val="0"/>
        <w:adjustRightInd w:val="0"/>
        <w:snapToGrid w:val="0"/>
        <w:spacing w:line="360" w:lineRule="auto"/>
        <w:jc w:val="left"/>
        <w:rPr>
          <w:rFonts w:ascii="宋体" w:hAnsi="宋体"/>
          <w:color w:val="auto"/>
          <w:kern w:val="0"/>
          <w:sz w:val="20"/>
          <w:szCs w:val="20"/>
          <w:highlight w:val="none"/>
        </w:rPr>
      </w:pPr>
    </w:p>
    <w:p w14:paraId="1ACD67E7">
      <w:pPr>
        <w:autoSpaceDE w:val="0"/>
        <w:autoSpaceDN w:val="0"/>
        <w:adjustRightInd w:val="0"/>
        <w:snapToGrid w:val="0"/>
        <w:spacing w:line="360" w:lineRule="auto"/>
        <w:jc w:val="left"/>
        <w:rPr>
          <w:rFonts w:ascii="宋体" w:hAnsi="宋体"/>
          <w:color w:val="auto"/>
          <w:kern w:val="0"/>
          <w:sz w:val="20"/>
          <w:szCs w:val="20"/>
          <w:highlight w:val="none"/>
        </w:rPr>
      </w:pPr>
    </w:p>
    <w:p w14:paraId="3E7564DE">
      <w:pPr>
        <w:autoSpaceDE w:val="0"/>
        <w:autoSpaceDN w:val="0"/>
        <w:adjustRightInd w:val="0"/>
        <w:snapToGrid w:val="0"/>
        <w:spacing w:line="360" w:lineRule="auto"/>
        <w:jc w:val="center"/>
        <w:rPr>
          <w:rFonts w:ascii="宋体" w:hAnsi="宋体"/>
          <w:color w:val="auto"/>
          <w:kern w:val="0"/>
          <w:sz w:val="72"/>
          <w:szCs w:val="72"/>
          <w:highlight w:val="none"/>
        </w:rPr>
      </w:pPr>
      <w:r>
        <w:rPr>
          <w:rFonts w:ascii="宋体" w:hAnsi="宋体"/>
          <w:color w:val="auto"/>
          <w:kern w:val="0"/>
          <w:sz w:val="72"/>
          <w:szCs w:val="72"/>
          <w:highlight w:val="none"/>
        </w:rPr>
        <w:t>招</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14:paraId="2F3A1AE4">
      <w:pPr>
        <w:autoSpaceDE w:val="0"/>
        <w:autoSpaceDN w:val="0"/>
        <w:adjustRightInd w:val="0"/>
        <w:snapToGrid w:val="0"/>
        <w:spacing w:line="360" w:lineRule="auto"/>
        <w:jc w:val="left"/>
        <w:rPr>
          <w:rFonts w:ascii="宋体" w:hAnsi="宋体"/>
          <w:color w:val="auto"/>
          <w:kern w:val="0"/>
          <w:sz w:val="10"/>
          <w:szCs w:val="10"/>
          <w:highlight w:val="none"/>
        </w:rPr>
      </w:pPr>
    </w:p>
    <w:p w14:paraId="076AE04A">
      <w:pPr>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4"/>
                    <a:stretch>
                      <a:fillRect/>
                    </a:stretch>
                  </pic:blipFill>
                  <pic:spPr>
                    <a:xfrm>
                      <a:off x="0" y="0"/>
                      <a:ext cx="1609725" cy="975995"/>
                    </a:xfrm>
                    <a:prstGeom prst="rect">
                      <a:avLst/>
                    </a:prstGeom>
                    <a:noFill/>
                    <a:ln w="9525" cap="flat" cmpd="sng">
                      <a:noFill/>
                      <a:prstDash val="solid"/>
                      <a:round/>
                    </a:ln>
                  </pic:spPr>
                </pic:pic>
              </a:graphicData>
            </a:graphic>
          </wp:inline>
        </w:drawing>
      </w:r>
    </w:p>
    <w:p w14:paraId="245AE583">
      <w:pPr>
        <w:spacing w:line="360" w:lineRule="auto"/>
        <w:rPr>
          <w:color w:val="auto"/>
          <w:sz w:val="32"/>
          <w:szCs w:val="32"/>
          <w:highlight w:val="none"/>
        </w:rPr>
      </w:pPr>
    </w:p>
    <w:p w14:paraId="6E62A941">
      <w:pPr>
        <w:spacing w:line="360" w:lineRule="auto"/>
        <w:rPr>
          <w:b/>
          <w:bCs/>
          <w:color w:val="auto"/>
          <w:sz w:val="30"/>
          <w:szCs w:val="30"/>
          <w:highlight w:val="none"/>
        </w:rPr>
      </w:pPr>
    </w:p>
    <w:p w14:paraId="06AF0E3A">
      <w:pPr>
        <w:spacing w:line="360" w:lineRule="auto"/>
        <w:rPr>
          <w:b/>
          <w:bCs/>
          <w:color w:val="auto"/>
          <w:sz w:val="30"/>
          <w:szCs w:val="30"/>
          <w:highlight w:val="none"/>
        </w:rPr>
      </w:pPr>
    </w:p>
    <w:p w14:paraId="13154F6C">
      <w:pPr>
        <w:pStyle w:val="18"/>
        <w:rPr>
          <w:b/>
          <w:bCs/>
          <w:color w:val="auto"/>
          <w:sz w:val="30"/>
          <w:szCs w:val="30"/>
          <w:highlight w:val="none"/>
        </w:rPr>
      </w:pPr>
    </w:p>
    <w:p w14:paraId="13FE6A3E">
      <w:pPr>
        <w:rPr>
          <w:b/>
          <w:bCs/>
          <w:color w:val="auto"/>
          <w:sz w:val="30"/>
          <w:szCs w:val="30"/>
          <w:highlight w:val="none"/>
        </w:rPr>
      </w:pPr>
    </w:p>
    <w:p w14:paraId="50E1DE29">
      <w:pPr>
        <w:pStyle w:val="18"/>
        <w:rPr>
          <w:color w:val="auto"/>
          <w:highlight w:val="none"/>
        </w:rPr>
      </w:pPr>
    </w:p>
    <w:p w14:paraId="1B4F22A7">
      <w:pPr>
        <w:spacing w:line="360" w:lineRule="auto"/>
        <w:rPr>
          <w:b/>
          <w:bCs/>
          <w:color w:val="auto"/>
          <w:sz w:val="30"/>
          <w:szCs w:val="30"/>
          <w:highlight w:val="none"/>
        </w:rPr>
      </w:pPr>
    </w:p>
    <w:p w14:paraId="39FD8A42">
      <w:pPr>
        <w:autoSpaceDE w:val="0"/>
        <w:autoSpaceDN w:val="0"/>
        <w:adjustRightInd w:val="0"/>
        <w:rPr>
          <w:color w:val="auto"/>
          <w:sz w:val="24"/>
          <w:highlight w:val="none"/>
        </w:rPr>
      </w:pPr>
    </w:p>
    <w:p w14:paraId="29771C2E">
      <w:pPr>
        <w:spacing w:line="360" w:lineRule="auto"/>
        <w:rPr>
          <w:b/>
          <w:bCs/>
          <w:color w:val="auto"/>
          <w:sz w:val="30"/>
          <w:szCs w:val="30"/>
          <w:highlight w:val="none"/>
        </w:rPr>
      </w:pPr>
    </w:p>
    <w:p w14:paraId="2E8FDCF8">
      <w:pPr>
        <w:spacing w:line="360" w:lineRule="auto"/>
        <w:outlineLvl w:val="0"/>
        <w:rPr>
          <w:color w:val="auto"/>
          <w:highlight w:val="none"/>
        </w:rPr>
      </w:pPr>
      <w:bookmarkStart w:id="2" w:name="_Toc29776"/>
      <w:r>
        <w:rPr>
          <w:b/>
          <w:bCs/>
          <w:color w:val="auto"/>
          <w:sz w:val="30"/>
          <w:szCs w:val="30"/>
          <w:highlight w:val="none"/>
        </w:rPr>
        <w:t>招</w:t>
      </w:r>
      <w:r>
        <w:rPr>
          <w:rFonts w:hint="eastAsia"/>
          <w:b/>
          <w:bCs/>
          <w:color w:val="auto"/>
          <w:sz w:val="30"/>
          <w:szCs w:val="30"/>
          <w:highlight w:val="none"/>
        </w:rPr>
        <w:t xml:space="preserve">  </w:t>
      </w:r>
      <w:r>
        <w:rPr>
          <w:b/>
          <w:bCs/>
          <w:color w:val="auto"/>
          <w:sz w:val="30"/>
          <w:szCs w:val="30"/>
          <w:highlight w:val="none"/>
        </w:rPr>
        <w:t>标</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重庆高速资产经营管理有限公司</w:t>
      </w:r>
      <w:r>
        <w:rPr>
          <w:rFonts w:hint="eastAsia"/>
          <w:b/>
          <w:bCs/>
          <w:color w:val="auto"/>
          <w:sz w:val="30"/>
          <w:szCs w:val="30"/>
          <w:highlight w:val="none"/>
        </w:rPr>
        <w:t>（盖单位法人章）</w:t>
      </w:r>
      <w:bookmarkEnd w:id="2"/>
    </w:p>
    <w:p w14:paraId="24E3DF1E">
      <w:pPr>
        <w:spacing w:line="360" w:lineRule="auto"/>
        <w:rPr>
          <w:color w:val="auto"/>
          <w:sz w:val="30"/>
          <w:szCs w:val="30"/>
          <w:highlight w:val="none"/>
          <w:u w:val="single"/>
        </w:rPr>
      </w:pPr>
      <w:r>
        <w:rPr>
          <w:b/>
          <w:bCs/>
          <w:color w:val="auto"/>
          <w:sz w:val="30"/>
          <w:szCs w:val="30"/>
          <w:highlight w:val="none"/>
        </w:rPr>
        <w:t>招标代理机构：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（盖单位法人章）</w:t>
      </w:r>
    </w:p>
    <w:p w14:paraId="0EAE86FF">
      <w:pPr>
        <w:autoSpaceDE w:val="0"/>
        <w:autoSpaceDN w:val="0"/>
        <w:adjustRightInd w:val="0"/>
        <w:snapToGrid w:val="0"/>
        <w:spacing w:line="360" w:lineRule="auto"/>
        <w:rPr>
          <w:rFonts w:ascii="宋体" w:hAnsi="宋体"/>
          <w:bCs/>
          <w:color w:val="auto"/>
          <w:kern w:val="0"/>
          <w:sz w:val="20"/>
          <w:szCs w:val="20"/>
          <w:highlight w:val="none"/>
        </w:rPr>
      </w:pPr>
    </w:p>
    <w:p w14:paraId="6322EB8E">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3" w:name="_Toc536797277"/>
      <w:bookmarkStart w:id="4" w:name="_Toc536796736"/>
      <w:bookmarkStart w:id="5" w:name="_Toc13210649"/>
      <w:bookmarkStart w:id="6" w:name="_Toc509218549"/>
      <w:bookmarkStart w:id="7" w:name="_Toc536621766"/>
      <w:r>
        <w:rPr>
          <w:rFonts w:hint="eastAsia" w:ascii="宋体" w:hAnsi="宋体"/>
          <w:bCs/>
          <w:color w:val="auto"/>
          <w:spacing w:val="8"/>
          <w:kern w:val="0"/>
          <w:sz w:val="28"/>
          <w:szCs w:val="28"/>
          <w:highlight w:val="none"/>
          <w:u w:val="single"/>
        </w:rPr>
        <w:t>2024</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10</w:t>
      </w:r>
      <w:r>
        <w:rPr>
          <w:rFonts w:ascii="宋体" w:hAnsi="宋体"/>
          <w:bCs/>
          <w:color w:val="auto"/>
          <w:spacing w:val="8"/>
          <w:kern w:val="0"/>
          <w:sz w:val="28"/>
          <w:szCs w:val="28"/>
          <w:highlight w:val="none"/>
        </w:rPr>
        <w:t>月</w:t>
      </w:r>
      <w:bookmarkEnd w:id="3"/>
      <w:bookmarkEnd w:id="4"/>
      <w:bookmarkEnd w:id="5"/>
      <w:bookmarkEnd w:id="6"/>
      <w:bookmarkEnd w:id="7"/>
    </w:p>
    <w:p w14:paraId="1AAC37F5">
      <w:pPr>
        <w:pStyle w:val="2"/>
        <w:spacing w:line="360" w:lineRule="auto"/>
        <w:outlineLvl w:val="9"/>
        <w:rPr>
          <w:rFonts w:ascii="宋体" w:hAnsi="宋体"/>
          <w:color w:val="auto"/>
          <w:w w:val="99"/>
          <w:kern w:val="0"/>
          <w:sz w:val="24"/>
          <w:highlight w:val="none"/>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3A4352ED">
          <w:pPr>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7D803133">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p>
        <w:p w14:paraId="16171C8D">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_Toc26562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_Toc26562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宋体" w:hAnsi="宋体"/>
              <w:color w:val="auto"/>
              <w:sz w:val="28"/>
              <w:szCs w:val="28"/>
              <w:highlight w:val="none"/>
            </w:rPr>
            <w:fldChar w:fldCharType="end"/>
          </w:r>
        </w:p>
        <w:p w14:paraId="4DED5E7C">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_Toc1733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_Toc1733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color w:val="auto"/>
              <w:sz w:val="28"/>
              <w:szCs w:val="28"/>
              <w:highlight w:val="none"/>
            </w:rPr>
            <w:fldChar w:fldCharType="end"/>
          </w:r>
        </w:p>
        <w:p w14:paraId="72B7B75A">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_Toc26140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第三章 </w:t>
          </w:r>
          <w:r>
            <w:rPr>
              <w:rFonts w:hint="eastAsia" w:ascii="宋体" w:hAnsi="宋体"/>
              <w:snapToGrid w:val="0"/>
              <w:color w:val="auto"/>
              <w:kern w:val="0"/>
              <w:sz w:val="28"/>
              <w:szCs w:val="28"/>
              <w:highlight w:val="none"/>
            </w:rPr>
            <w:t xml:space="preserve"> </w:t>
          </w:r>
          <w:r>
            <w:rPr>
              <w:rFonts w:ascii="宋体" w:hAnsi="宋体"/>
              <w:snapToGrid w:val="0"/>
              <w:color w:val="auto"/>
              <w:kern w:val="0"/>
              <w:sz w:val="28"/>
              <w:szCs w:val="28"/>
              <w:highlight w:val="none"/>
            </w:rPr>
            <w:t>评标办法（</w:t>
          </w:r>
          <w:r>
            <w:rPr>
              <w:rFonts w:hint="eastAsia" w:ascii="宋体" w:hAnsi="宋体"/>
              <w:snapToGrid w:val="0"/>
              <w:color w:val="auto"/>
              <w:kern w:val="0"/>
              <w:sz w:val="28"/>
              <w:szCs w:val="28"/>
              <w:highlight w:val="none"/>
            </w:rPr>
            <w:t>经评审的最低投标价法</w:t>
          </w:r>
          <w:r>
            <w:rPr>
              <w:rFonts w:ascii="宋体" w:hAnsi="宋体"/>
              <w:snapToGrid w:val="0"/>
              <w:color w:val="auto"/>
              <w:kern w:val="0"/>
              <w:sz w:val="28"/>
              <w:szCs w:val="28"/>
              <w:highlight w:val="none"/>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_Toc26140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ascii="宋体" w:hAnsi="宋体"/>
              <w:color w:val="auto"/>
              <w:sz w:val="28"/>
              <w:szCs w:val="28"/>
              <w:highlight w:val="none"/>
            </w:rPr>
            <w:fldChar w:fldCharType="end"/>
          </w:r>
        </w:p>
        <w:p w14:paraId="6F467C4B">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_Toc20627 </w:instrText>
          </w:r>
          <w:r>
            <w:rPr>
              <w:rFonts w:ascii="宋体" w:hAnsi="宋体"/>
              <w:color w:val="auto"/>
              <w:sz w:val="28"/>
              <w:szCs w:val="28"/>
              <w:highlight w:val="none"/>
            </w:rPr>
            <w:fldChar w:fldCharType="separate"/>
          </w:r>
          <w:r>
            <w:rPr>
              <w:rFonts w:hint="eastAsia" w:ascii="宋体" w:hAnsi="宋体"/>
              <w:color w:val="auto"/>
              <w:kern w:val="0"/>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_Toc20627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ascii="宋体" w:hAnsi="宋体"/>
              <w:color w:val="auto"/>
              <w:sz w:val="28"/>
              <w:szCs w:val="28"/>
              <w:highlight w:val="none"/>
            </w:rPr>
            <w:fldChar w:fldCharType="end"/>
          </w:r>
        </w:p>
        <w:p w14:paraId="0BD47FDA">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_Toc14759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第五章  发包人要求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_Toc14759 \h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rFonts w:ascii="宋体" w:hAnsi="宋体"/>
              <w:color w:val="auto"/>
              <w:sz w:val="28"/>
              <w:szCs w:val="28"/>
              <w:highlight w:val="none"/>
            </w:rPr>
            <w:fldChar w:fldCharType="end"/>
          </w:r>
        </w:p>
        <w:p w14:paraId="5D02A5F8">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_Toc30596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_Toc30596 \h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rFonts w:ascii="宋体" w:hAnsi="宋体"/>
              <w:color w:val="auto"/>
              <w:sz w:val="28"/>
              <w:szCs w:val="28"/>
              <w:highlight w:val="none"/>
            </w:rPr>
            <w:fldChar w:fldCharType="end"/>
          </w:r>
        </w:p>
        <w:p w14:paraId="1DDDAEE2">
          <w:pPr>
            <w:spacing w:line="480" w:lineRule="auto"/>
            <w:rPr>
              <w:rFonts w:ascii="宋体" w:hAnsi="宋体"/>
              <w:color w:val="auto"/>
              <w:highlight w:val="none"/>
            </w:rPr>
          </w:pPr>
          <w:r>
            <w:rPr>
              <w:rFonts w:ascii="宋体" w:hAnsi="宋体"/>
              <w:color w:val="auto"/>
              <w:sz w:val="32"/>
              <w:szCs w:val="40"/>
              <w:highlight w:val="none"/>
            </w:rPr>
            <w:fldChar w:fldCharType="end"/>
          </w:r>
        </w:p>
      </w:sdtContent>
    </w:sdt>
    <w:bookmarkEnd w:id="0"/>
    <w:p w14:paraId="57C18A4A">
      <w:pPr>
        <w:spacing w:line="20" w:lineRule="exact"/>
        <w:rPr>
          <w:rFonts w:ascii="宋体" w:hAnsi="宋体"/>
          <w:color w:val="auto"/>
          <w:highlight w:val="none"/>
        </w:rPr>
      </w:pPr>
      <w:bookmarkStart w:id="8" w:name="_Toc430530414"/>
    </w:p>
    <w:p w14:paraId="753C26D0">
      <w:pPr>
        <w:spacing w:line="20" w:lineRule="exact"/>
        <w:jc w:val="left"/>
        <w:rPr>
          <w:rFonts w:ascii="宋体" w:hAnsi="宋体"/>
          <w:color w:val="auto"/>
          <w:highlight w:val="none"/>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4E8827E6">
      <w:pPr>
        <w:spacing w:line="360" w:lineRule="auto"/>
        <w:rPr>
          <w:rFonts w:ascii="宋体" w:hAnsi="宋体"/>
          <w:color w:val="auto"/>
          <w:highlight w:val="none"/>
        </w:rPr>
      </w:pPr>
    </w:p>
    <w:p w14:paraId="340C2630">
      <w:pPr>
        <w:pStyle w:val="2"/>
        <w:spacing w:before="0" w:after="0" w:line="480" w:lineRule="auto"/>
        <w:jc w:val="center"/>
        <w:rPr>
          <w:rFonts w:ascii="宋体" w:hAnsi="宋体"/>
          <w:color w:val="auto"/>
          <w:sz w:val="52"/>
          <w:szCs w:val="52"/>
          <w:highlight w:val="none"/>
        </w:rPr>
      </w:pPr>
      <w:bookmarkStart w:id="9" w:name="_Toc509218690"/>
      <w:bookmarkStart w:id="10" w:name="_Toc32060"/>
      <w:bookmarkStart w:id="11" w:name="_Toc9815"/>
      <w:r>
        <w:rPr>
          <w:rFonts w:hint="eastAsia" w:ascii="宋体" w:hAnsi="宋体"/>
          <w:color w:val="auto"/>
          <w:sz w:val="52"/>
          <w:szCs w:val="52"/>
          <w:highlight w:val="none"/>
        </w:rPr>
        <w:t>第 一 卷</w:t>
      </w:r>
      <w:bookmarkEnd w:id="9"/>
      <w:bookmarkEnd w:id="10"/>
      <w:bookmarkEnd w:id="11"/>
    </w:p>
    <w:p w14:paraId="2FBFA2D9">
      <w:pPr>
        <w:spacing w:line="200" w:lineRule="exact"/>
        <w:rPr>
          <w:rFonts w:ascii="宋体" w:hAnsi="宋体"/>
          <w:color w:val="auto"/>
          <w:highlight w:val="none"/>
        </w:rPr>
      </w:pPr>
      <w:r>
        <w:rPr>
          <w:rFonts w:ascii="宋体" w:hAnsi="宋体"/>
          <w:color w:val="auto"/>
          <w:highlight w:val="none"/>
        </w:rPr>
        <w:br w:type="page"/>
      </w:r>
    </w:p>
    <w:p w14:paraId="472A75E0">
      <w:pPr>
        <w:pStyle w:val="2"/>
        <w:spacing w:line="360" w:lineRule="auto"/>
        <w:jc w:val="center"/>
        <w:rPr>
          <w:rFonts w:ascii="宋体" w:hAnsi="宋体"/>
          <w:snapToGrid w:val="0"/>
          <w:color w:val="auto"/>
          <w:kern w:val="0"/>
          <w:highlight w:val="none"/>
        </w:rPr>
      </w:pPr>
      <w:bookmarkStart w:id="12" w:name="_Toc277082535"/>
      <w:bookmarkStart w:id="13" w:name="_Toc509218691"/>
      <w:bookmarkStart w:id="14" w:name="_Toc26562"/>
      <w:bookmarkStart w:id="15" w:name="_Toc25965"/>
      <w:bookmarkStart w:id="16" w:name="_Toc287620666"/>
      <w:bookmarkStart w:id="17" w:name="_Toc430530415"/>
      <w:bookmarkStart w:id="18" w:name="_Toc287607727"/>
      <w:bookmarkStart w:id="19" w:name="_Toc224103298"/>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5FA62B5A">
      <w:pPr>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0" w:name="_Toc20918"/>
      <w:r>
        <w:rPr>
          <w:rFonts w:hint="eastAsia" w:ascii="宋体"/>
          <w:b/>
          <w:color w:val="auto"/>
          <w:kern w:val="10"/>
          <w:sz w:val="28"/>
          <w:szCs w:val="28"/>
          <w:highlight w:val="none"/>
          <w:lang w:eastAsia="zh-CN"/>
        </w:rPr>
        <w:t>重庆高速公路集团有限公司集采中心2024年度钢材集中采购（</w:t>
      </w:r>
      <w:r>
        <w:rPr>
          <w:rFonts w:hint="eastAsia" w:ascii="宋体"/>
          <w:b/>
          <w:color w:val="auto"/>
          <w:kern w:val="10"/>
          <w:sz w:val="28"/>
          <w:szCs w:val="28"/>
          <w:highlight w:val="none"/>
          <w:lang w:val="en-US" w:eastAsia="zh-CN"/>
        </w:rPr>
        <w:t>钢筋网片</w:t>
      </w:r>
      <w:r>
        <w:rPr>
          <w:rFonts w:hint="eastAsia" w:ascii="宋体"/>
          <w:b/>
          <w:color w:val="auto"/>
          <w:kern w:val="10"/>
          <w:sz w:val="28"/>
          <w:szCs w:val="28"/>
          <w:highlight w:val="none"/>
          <w:lang w:eastAsia="zh-CN"/>
        </w:rPr>
        <w:t>）</w:t>
      </w:r>
    </w:p>
    <w:p w14:paraId="07B8CD05">
      <w:pPr>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ascii="宋体" w:hAnsi="宋体"/>
          <w:b/>
          <w:bCs/>
          <w:snapToGrid w:val="0"/>
          <w:color w:val="auto"/>
          <w:w w:val="99"/>
          <w:kern w:val="0"/>
          <w:sz w:val="28"/>
          <w:szCs w:val="28"/>
          <w:highlight w:val="none"/>
        </w:rPr>
        <w:t>招标公告</w:t>
      </w:r>
      <w:bookmarkEnd w:id="20"/>
    </w:p>
    <w:p w14:paraId="36AEC749">
      <w:pPr>
        <w:pStyle w:val="3"/>
        <w:spacing w:before="100" w:after="100" w:line="460" w:lineRule="exact"/>
        <w:rPr>
          <w:rFonts w:ascii="宋体" w:hAnsi="宋体"/>
          <w:snapToGrid w:val="0"/>
          <w:color w:val="auto"/>
          <w:sz w:val="28"/>
          <w:szCs w:val="28"/>
          <w:highlight w:val="none"/>
        </w:rPr>
      </w:pPr>
      <w:bookmarkStart w:id="21" w:name="_Toc2350"/>
      <w:bookmarkStart w:id="22" w:name="_Toc224103299"/>
      <w:bookmarkStart w:id="23" w:name="_Toc287607728"/>
      <w:bookmarkStart w:id="24" w:name="_Toc509218692"/>
      <w:bookmarkStart w:id="25" w:name="_Toc200359238"/>
      <w:bookmarkStart w:id="26" w:name="_Toc430530416"/>
      <w:bookmarkStart w:id="27" w:name="_Toc287620667"/>
      <w:bookmarkStart w:id="28" w:name="_Toc277082536"/>
      <w:bookmarkStart w:id="29"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p>
    <w:p w14:paraId="03EB76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重庆高速公路集团有限公司集采中心2024年度钢材集中采购（</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lang w:eastAsia="zh-CN"/>
        </w:rPr>
        <w:t>）</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，招标人为</w:t>
      </w:r>
      <w:r>
        <w:rPr>
          <w:rFonts w:hint="eastAsia" w:ascii="宋体" w:hAnsi="宋体"/>
          <w:snapToGrid w:val="0"/>
          <w:color w:val="auto"/>
          <w:kern w:val="0"/>
          <w:szCs w:val="21"/>
          <w:highlight w:val="none"/>
          <w:u w:val="single"/>
          <w:lang w:eastAsia="zh-CN"/>
        </w:rPr>
        <w:t>重庆高速资产经营管理有限公司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进行公开招标。</w:t>
      </w:r>
    </w:p>
    <w:p w14:paraId="2B8D0F9D">
      <w:pPr>
        <w:pStyle w:val="3"/>
        <w:spacing w:before="100" w:after="100" w:line="460" w:lineRule="exact"/>
        <w:rPr>
          <w:rFonts w:ascii="宋体" w:hAnsi="宋体"/>
          <w:snapToGrid w:val="0"/>
          <w:color w:val="auto"/>
          <w:sz w:val="28"/>
          <w:szCs w:val="28"/>
          <w:highlight w:val="none"/>
        </w:rPr>
      </w:pPr>
      <w:bookmarkStart w:id="30" w:name="_Toc224103300"/>
      <w:bookmarkStart w:id="31" w:name="_Toc509218693"/>
      <w:bookmarkStart w:id="32" w:name="_Toc200359239"/>
      <w:bookmarkStart w:id="33" w:name="_Toc287607729"/>
      <w:bookmarkStart w:id="34" w:name="_Toc430530417"/>
      <w:bookmarkStart w:id="35" w:name="_Toc287620668"/>
      <w:bookmarkStart w:id="36" w:name="_Toc200359428"/>
      <w:bookmarkStart w:id="37" w:name="_Toc17146"/>
      <w:bookmarkStart w:id="38"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p>
    <w:p w14:paraId="5DDE18B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 xml:space="preserve"> </w:t>
      </w:r>
    </w:p>
    <w:p w14:paraId="1A38A24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鹞子丘片区路网工程一期项目、G渝赤（水）叙（永）高速公路（重庆段）4标。</w:t>
      </w:r>
      <w:bookmarkStart w:id="684" w:name="_GoBack"/>
      <w:bookmarkEnd w:id="684"/>
    </w:p>
    <w:p w14:paraId="0920467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 xml:space="preserve">2.3 本次招标项目合同估算金额：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olor w:val="000000"/>
          <w:kern w:val="0"/>
          <w:sz w:val="21"/>
          <w:szCs w:val="21"/>
          <w:u w:val="single"/>
          <w:lang w:val="en-US" w:eastAsia="zh-CN" w:bidi="ar"/>
        </w:rPr>
        <w:t>454.13</w:t>
      </w:r>
      <w:r>
        <w:rPr>
          <w:rFonts w:hint="eastAsia" w:ascii="宋体" w:hAnsi="宋体" w:cs="宋体"/>
          <w:i w:val="0"/>
          <w:iCs w:val="0"/>
          <w:color w:val="auto"/>
          <w:kern w:val="0"/>
          <w:sz w:val="20"/>
          <w:szCs w:val="20"/>
          <w:highlight w:val="none"/>
          <w:u w:val="single"/>
          <w:lang w:val="en-US" w:eastAsia="zh-CN" w:bidi="ar"/>
        </w:rPr>
        <w:t>万</w:t>
      </w:r>
      <w:r>
        <w:rPr>
          <w:rFonts w:hint="eastAsia" w:ascii="宋体" w:hAnsi="宋体" w:eastAsia="宋体" w:cs="宋体"/>
          <w:i w:val="0"/>
          <w:iCs w:val="0"/>
          <w:caps w:val="0"/>
          <w:color w:val="auto"/>
          <w:spacing w:val="0"/>
          <w:sz w:val="21"/>
          <w:szCs w:val="21"/>
          <w:highlight w:val="none"/>
          <w:u w:val="single"/>
          <w:shd w:val="clear" w:fill="FFFFFF"/>
        </w:rPr>
        <w:t xml:space="preserve">元 </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428CCB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2.4 招标范围：</w:t>
      </w:r>
    </w:p>
    <w:tbl>
      <w:tblPr>
        <w:tblStyle w:val="4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4149"/>
        <w:gridCol w:w="987"/>
        <w:gridCol w:w="1372"/>
        <w:gridCol w:w="987"/>
        <w:gridCol w:w="601"/>
        <w:gridCol w:w="987"/>
      </w:tblGrid>
      <w:tr w14:paraId="530B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912E8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E389F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0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998BD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需求物资</w:t>
            </w:r>
          </w:p>
        </w:tc>
        <w:tc>
          <w:tcPr>
            <w:tcW w:w="708"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3B9E10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暂估量（吨）</w:t>
            </w:r>
          </w:p>
        </w:tc>
        <w:tc>
          <w:tcPr>
            <w:tcW w:w="509"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6F7CB9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交货地点</w:t>
            </w:r>
          </w:p>
        </w:tc>
        <w:tc>
          <w:tcPr>
            <w:tcW w:w="310"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560798F3">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509"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509DA78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供货周期</w:t>
            </w:r>
          </w:p>
        </w:tc>
      </w:tr>
      <w:tr w14:paraId="38E4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3CF8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142" w:type="pct"/>
            <w:tcBorders>
              <w:top w:val="single" w:color="auto" w:sz="4" w:space="0"/>
              <w:left w:val="single" w:color="auto" w:sz="4" w:space="0"/>
              <w:bottom w:val="single" w:color="auto" w:sz="4" w:space="0"/>
              <w:right w:val="single" w:color="auto" w:sz="4" w:space="0"/>
            </w:tcBorders>
            <w:shd w:val="clear" w:color="auto" w:fill="auto"/>
            <w:vAlign w:val="center"/>
          </w:tcPr>
          <w:p w14:paraId="41150F0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鹞子丘片区路网工程一期项目</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0839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防裂钢筋网</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17D318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新宋体" w:hAnsi="新宋体" w:eastAsia="新宋体" w:cs="新宋体"/>
                <w:b w:val="0"/>
                <w:bCs w:val="0"/>
                <w:color w:val="auto"/>
                <w:sz w:val="24"/>
                <w:szCs w:val="24"/>
                <w:highlight w:val="none"/>
                <w:lang w:val="en-US" w:eastAsia="zh-CN"/>
              </w:rPr>
              <w:t>4.44</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B95CB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重庆市江北区观音桥电测村</w:t>
            </w:r>
          </w:p>
        </w:tc>
        <w:tc>
          <w:tcPr>
            <w:tcW w:w="310" w:type="pct"/>
            <w:vMerge w:val="restart"/>
            <w:tcBorders>
              <w:top w:val="single" w:color="auto" w:sz="4" w:space="0"/>
              <w:left w:val="single" w:color="auto" w:sz="4" w:space="0"/>
              <w:right w:val="single" w:color="auto" w:sz="4" w:space="0"/>
            </w:tcBorders>
            <w:shd w:val="clear" w:color="auto" w:fill="auto"/>
            <w:vAlign w:val="center"/>
          </w:tcPr>
          <w:p w14:paraId="28C10D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钢筋网片须成品交货</w:t>
            </w:r>
          </w:p>
        </w:tc>
        <w:tc>
          <w:tcPr>
            <w:tcW w:w="509" w:type="pct"/>
            <w:vMerge w:val="restart"/>
            <w:tcBorders>
              <w:top w:val="single" w:color="auto" w:sz="4" w:space="0"/>
              <w:left w:val="single" w:color="auto" w:sz="4" w:space="0"/>
              <w:right w:val="single" w:color="auto" w:sz="4" w:space="0"/>
            </w:tcBorders>
            <w:shd w:val="clear" w:color="auto" w:fill="auto"/>
            <w:vAlign w:val="center"/>
          </w:tcPr>
          <w:p w14:paraId="7FA56B7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合同签订之日起至项目竣工之日止</w:t>
            </w:r>
          </w:p>
        </w:tc>
      </w:tr>
      <w:tr w14:paraId="0008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31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3CF0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2142"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6A56B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G渝赤（水）叙（永）高速公路（重庆段）4标</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B1FC2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钢筋网片 D6-D10</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DED3F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93629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重庆市江津区蔡家镇、嘉平镇</w:t>
            </w:r>
          </w:p>
        </w:tc>
        <w:tc>
          <w:tcPr>
            <w:tcW w:w="310" w:type="pct"/>
            <w:vMerge w:val="continue"/>
            <w:tcBorders>
              <w:left w:val="single" w:color="auto" w:sz="4" w:space="0"/>
              <w:bottom w:val="single" w:color="auto" w:sz="4" w:space="0"/>
              <w:right w:val="single" w:color="auto" w:sz="4" w:space="0"/>
            </w:tcBorders>
            <w:shd w:val="clear" w:color="auto" w:fill="auto"/>
            <w:vAlign w:val="center"/>
          </w:tcPr>
          <w:p w14:paraId="3DA6A26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509" w:type="pct"/>
            <w:vMerge w:val="continue"/>
            <w:tcBorders>
              <w:left w:val="single" w:color="auto" w:sz="4" w:space="0"/>
              <w:bottom w:val="single" w:color="auto" w:sz="4" w:space="0"/>
              <w:right w:val="single" w:color="auto" w:sz="4" w:space="0"/>
            </w:tcBorders>
            <w:shd w:val="clear" w:color="auto" w:fill="auto"/>
            <w:vAlign w:val="center"/>
          </w:tcPr>
          <w:p w14:paraId="2CC74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386BD5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2.5 </w:t>
      </w:r>
      <w:bookmarkStart w:id="39" w:name="_Hlk64626254"/>
      <w:r>
        <w:rPr>
          <w:rFonts w:hint="eastAsia"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合同签订之日起至项目竣工之日止</w:t>
      </w:r>
      <w:r>
        <w:rPr>
          <w:rFonts w:hint="eastAsia" w:ascii="宋体" w:hAnsi="宋体" w:eastAsia="宋体" w:cs="宋体"/>
          <w:i w:val="0"/>
          <w:iCs w:val="0"/>
          <w:caps w:val="0"/>
          <w:color w:val="auto"/>
          <w:spacing w:val="0"/>
          <w:sz w:val="21"/>
          <w:szCs w:val="21"/>
          <w:highlight w:val="none"/>
          <w:u w:val="single"/>
          <w:shd w:val="clear" w:fill="FFFFFF"/>
          <w:lang w:val="en-US" w:eastAsia="zh-CN"/>
        </w:rPr>
        <w:t>。</w:t>
      </w:r>
    </w:p>
    <w:bookmarkEnd w:id="39"/>
    <w:p w14:paraId="3534EB6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2.6 </w:t>
      </w:r>
      <w:r>
        <w:rPr>
          <w:rFonts w:hint="eastAsia" w:ascii="宋体" w:hAnsi="宋体"/>
          <w:snapToGrid w:val="0"/>
          <w:color w:val="auto"/>
          <w:kern w:val="0"/>
          <w:szCs w:val="21"/>
          <w:highlight w:val="none"/>
          <w:lang w:val="en-US" w:eastAsia="zh-CN"/>
        </w:rPr>
        <w:t>包件</w:t>
      </w:r>
      <w:r>
        <w:rPr>
          <w:rFonts w:hint="eastAsia" w:ascii="宋体" w:hAnsi="宋体"/>
          <w:snapToGrid w:val="0"/>
          <w:color w:val="auto"/>
          <w:kern w:val="0"/>
          <w:szCs w:val="21"/>
          <w:highlight w:val="none"/>
        </w:rPr>
        <w:t>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1个</w:t>
      </w:r>
      <w:r>
        <w:rPr>
          <w:rFonts w:hint="eastAsia" w:ascii="宋体" w:hAnsi="宋体"/>
          <w:snapToGrid w:val="0"/>
          <w:color w:val="auto"/>
          <w:kern w:val="0"/>
          <w:szCs w:val="21"/>
          <w:highlight w:val="none"/>
          <w:u w:val="single"/>
        </w:rPr>
        <w:t xml:space="preserve">    </w:t>
      </w:r>
    </w:p>
    <w:p w14:paraId="1E80D654">
      <w:pPr>
        <w:pStyle w:val="3"/>
        <w:spacing w:before="100" w:after="100" w:line="460" w:lineRule="exact"/>
        <w:rPr>
          <w:rFonts w:ascii="宋体" w:hAnsi="宋体"/>
          <w:snapToGrid w:val="0"/>
          <w:color w:val="auto"/>
          <w:sz w:val="28"/>
          <w:szCs w:val="28"/>
          <w:highlight w:val="none"/>
        </w:rPr>
      </w:pPr>
      <w:bookmarkStart w:id="40" w:name="_Toc13670"/>
      <w:bookmarkStart w:id="41" w:name="_Toc200359240"/>
      <w:bookmarkStart w:id="42" w:name="_Toc287607730"/>
      <w:bookmarkStart w:id="43" w:name="_Toc277082538"/>
      <w:bookmarkStart w:id="44" w:name="_Toc430530418"/>
      <w:bookmarkStart w:id="45" w:name="_Toc224103301"/>
      <w:bookmarkStart w:id="46" w:name="_Toc287620669"/>
      <w:bookmarkStart w:id="47" w:name="_Toc509218694"/>
      <w:bookmarkStart w:id="48"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p>
    <w:p w14:paraId="2447E32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0756C8D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442EEB72">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竞选人为</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rPr>
        <w:t>的生产厂商或代理商（包括经销商、制造商下属销售子公司），若代理商（包括经销商、制造商下属销售子公司）竞选，需提供生产厂商授权委托书。</w:t>
      </w:r>
    </w:p>
    <w:p w14:paraId="2AA549EB">
      <w:pPr>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snapToGrid w:val="0"/>
          <w:color w:val="auto"/>
          <w:kern w:val="0"/>
          <w:szCs w:val="21"/>
          <w:highlight w:val="none"/>
          <w:u w:val="single"/>
          <w:lang w:val="en-US" w:eastAsia="zh-CN"/>
        </w:rPr>
        <w:t>（2）质量及保供要求：按投标文件格式提供承诺书。</w:t>
      </w:r>
    </w:p>
    <w:p w14:paraId="0B7C7EF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财务能力要求：</w:t>
      </w:r>
      <w:r>
        <w:rPr>
          <w:rFonts w:hint="eastAsia" w:ascii="宋体" w:hAnsi="宋体"/>
          <w:snapToGrid w:val="0"/>
          <w:color w:val="auto"/>
          <w:kern w:val="0"/>
          <w:szCs w:val="21"/>
          <w:highlight w:val="none"/>
          <w:u w:val="single"/>
          <w:lang w:val="en-US" w:eastAsia="zh-CN"/>
        </w:rPr>
        <w:t>2022-2023年连续两年不亏损且近2年营业收入年均不少于5000万元（含）人民币以上</w:t>
      </w:r>
      <w:r>
        <w:rPr>
          <w:rFonts w:hint="eastAsia" w:ascii="宋体" w:hAnsi="宋体"/>
          <w:snapToGrid w:val="0"/>
          <w:color w:val="auto"/>
          <w:kern w:val="0"/>
          <w:szCs w:val="21"/>
          <w:highlight w:val="none"/>
          <w:u w:val="single"/>
        </w:rPr>
        <w:t>。</w:t>
      </w:r>
    </w:p>
    <w:p w14:paraId="715AFBC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t>供货业绩要求：201</w:t>
      </w:r>
      <w:r>
        <w:rPr>
          <w:rFonts w:hint="eastAsia" w:ascii="宋体" w:hAnsi="宋体"/>
          <w:snapToGrid w:val="0"/>
          <w:color w:val="auto"/>
          <w:kern w:val="0"/>
          <w:szCs w:val="21"/>
          <w:highlight w:val="none"/>
          <w:u w:val="single"/>
          <w:lang w:val="en-US" w:eastAsia="zh-CN"/>
        </w:rPr>
        <w:t>9</w:t>
      </w:r>
      <w:r>
        <w:rPr>
          <w:rFonts w:hint="eastAsia" w:ascii="宋体" w:hAnsi="宋体"/>
          <w:snapToGrid w:val="0"/>
          <w:color w:val="auto"/>
          <w:kern w:val="0"/>
          <w:szCs w:val="21"/>
          <w:highlight w:val="none"/>
          <w:u w:val="single"/>
        </w:rPr>
        <w:t>年1月1日至投标截止日止（以合同签订时间为准），投标人具有</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个及以上的</w:t>
      </w:r>
      <w:r>
        <w:rPr>
          <w:rFonts w:hint="eastAsia" w:ascii="宋体" w:hAnsi="宋体"/>
          <w:snapToGrid w:val="0"/>
          <w:color w:val="auto"/>
          <w:kern w:val="0"/>
          <w:szCs w:val="21"/>
          <w:highlight w:val="none"/>
          <w:u w:val="single"/>
          <w:lang w:val="en-US" w:eastAsia="zh-CN"/>
        </w:rPr>
        <w:t>工程项目钢筋网片销售</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且单个</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金额</w:t>
      </w:r>
      <w:r>
        <w:rPr>
          <w:rFonts w:hint="eastAsia" w:ascii="宋体" w:hAnsi="宋体"/>
          <w:snapToGrid w:val="0"/>
          <w:color w:val="auto"/>
          <w:kern w:val="0"/>
          <w:szCs w:val="21"/>
          <w:highlight w:val="none"/>
          <w:u w:val="single"/>
        </w:rPr>
        <w:t>不低于</w:t>
      </w:r>
      <w:r>
        <w:rPr>
          <w:rFonts w:hint="eastAsia" w:ascii="宋体" w:hAnsi="宋体"/>
          <w:snapToGrid w:val="0"/>
          <w:color w:val="auto"/>
          <w:kern w:val="0"/>
          <w:szCs w:val="21"/>
          <w:highlight w:val="none"/>
          <w:u w:val="single"/>
          <w:lang w:val="en-US" w:eastAsia="zh-CN"/>
        </w:rPr>
        <w:t>500</w:t>
      </w:r>
      <w:r>
        <w:rPr>
          <w:rFonts w:hint="eastAsia" w:ascii="宋体" w:hAnsi="宋体"/>
          <w:snapToGrid w:val="0"/>
          <w:color w:val="auto"/>
          <w:kern w:val="0"/>
          <w:szCs w:val="21"/>
          <w:highlight w:val="none"/>
          <w:u w:val="single"/>
        </w:rPr>
        <w:t>万</w:t>
      </w:r>
      <w:r>
        <w:rPr>
          <w:rFonts w:hint="eastAsia" w:ascii="宋体" w:hAnsi="宋体"/>
          <w:snapToGrid w:val="0"/>
          <w:color w:val="auto"/>
          <w:kern w:val="0"/>
          <w:szCs w:val="21"/>
          <w:highlight w:val="none"/>
          <w:u w:val="single"/>
          <w:lang w:val="en-US" w:eastAsia="zh-CN"/>
        </w:rPr>
        <w:t>元</w:t>
      </w:r>
      <w:r>
        <w:rPr>
          <w:rFonts w:hint="eastAsia" w:ascii="宋体" w:hAnsi="宋体"/>
          <w:snapToGrid w:val="0"/>
          <w:color w:val="auto"/>
          <w:kern w:val="0"/>
          <w:szCs w:val="21"/>
          <w:highlight w:val="none"/>
          <w:u w:val="single"/>
        </w:rPr>
        <w:t>。</w:t>
      </w:r>
    </w:p>
    <w:p w14:paraId="1824DAF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投标人还应在</w:t>
      </w:r>
      <w:r>
        <w:rPr>
          <w:rFonts w:hint="eastAsia" w:ascii="宋体" w:hAnsi="宋体"/>
          <w:snapToGrid w:val="0"/>
          <w:color w:val="auto"/>
          <w:kern w:val="0"/>
          <w:szCs w:val="21"/>
          <w:highlight w:val="none"/>
          <w:lang w:val="en-US" w:eastAsia="zh-CN"/>
        </w:rPr>
        <w:t>其他</w:t>
      </w:r>
      <w:r>
        <w:rPr>
          <w:rFonts w:hint="eastAsia" w:ascii="宋体" w:hAnsi="宋体"/>
          <w:snapToGrid w:val="0"/>
          <w:color w:val="auto"/>
          <w:kern w:val="0"/>
          <w:szCs w:val="21"/>
          <w:highlight w:val="none"/>
        </w:rPr>
        <w:t>方面具有相应的能力，详见招标文件第二章投标人须知前附表第1.4.1项内容。</w:t>
      </w:r>
    </w:p>
    <w:p w14:paraId="068AA3A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p>
    <w:p w14:paraId="2F2DEE74">
      <w:pPr>
        <w:pStyle w:val="3"/>
        <w:spacing w:before="100" w:after="100" w:line="460" w:lineRule="exact"/>
        <w:rPr>
          <w:rFonts w:ascii="宋体" w:hAnsi="宋体"/>
          <w:snapToGrid w:val="0"/>
          <w:color w:val="auto"/>
          <w:sz w:val="28"/>
          <w:szCs w:val="28"/>
          <w:highlight w:val="none"/>
        </w:rPr>
      </w:pPr>
      <w:bookmarkStart w:id="49" w:name="_Toc224103302"/>
      <w:bookmarkStart w:id="50" w:name="_Toc200359241"/>
      <w:bookmarkStart w:id="51" w:name="_Toc277082539"/>
      <w:bookmarkStart w:id="52" w:name="_Toc287620670"/>
      <w:bookmarkStart w:id="53" w:name="_Toc200359430"/>
      <w:bookmarkStart w:id="54" w:name="_Toc32099"/>
      <w:bookmarkStart w:id="55" w:name="_Toc430530419"/>
      <w:bookmarkStart w:id="56" w:name="_Toc509218695"/>
      <w:bookmarkStart w:id="57" w:name="_Toc287607731"/>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9"/>
      <w:bookmarkEnd w:id="50"/>
      <w:bookmarkEnd w:id="51"/>
      <w:bookmarkEnd w:id="52"/>
      <w:bookmarkEnd w:id="53"/>
      <w:bookmarkEnd w:id="54"/>
      <w:bookmarkEnd w:id="55"/>
      <w:bookmarkEnd w:id="56"/>
      <w:bookmarkEnd w:id="57"/>
    </w:p>
    <w:p w14:paraId="46E45C1A">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从2024年</w:t>
      </w:r>
      <w:r>
        <w:rPr>
          <w:rFonts w:hint="eastAsia" w:ascii="宋体" w:hAnsi="宋体" w:cs="Times New Roman"/>
          <w:snapToGrid w:val="0"/>
          <w:color w:val="auto"/>
          <w:kern w:val="0"/>
          <w:szCs w:val="21"/>
          <w:highlight w:val="none"/>
          <w:u w:val="single"/>
          <w:lang w:val="en-US" w:eastAsia="zh-CN"/>
        </w:rPr>
        <w:t>10</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11</w:t>
      </w:r>
      <w:r>
        <w:rPr>
          <w:rFonts w:hint="eastAsia" w:ascii="宋体" w:hAnsi="宋体" w:eastAsia="宋体" w:cs="Times New Roman"/>
          <w:snapToGrid w:val="0"/>
          <w:color w:val="auto"/>
          <w:kern w:val="0"/>
          <w:szCs w:val="21"/>
          <w:highlight w:val="none"/>
          <w:u w:val="single"/>
        </w:rPr>
        <w:t>日到2024年</w:t>
      </w:r>
      <w:r>
        <w:rPr>
          <w:rFonts w:hint="eastAsia" w:ascii="宋体" w:hAnsi="宋体" w:cs="Times New Roman"/>
          <w:snapToGrid w:val="0"/>
          <w:color w:val="auto"/>
          <w:kern w:val="0"/>
          <w:szCs w:val="21"/>
          <w:highlight w:val="none"/>
          <w:u w:val="single"/>
          <w:lang w:val="en-US" w:eastAsia="zh-CN"/>
        </w:rPr>
        <w:t>10</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18</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9</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2491E82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B050"/>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68101B02">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FF0000"/>
          <w:spacing w:val="0"/>
          <w:kern w:val="0"/>
          <w:sz w:val="21"/>
          <w:szCs w:val="21"/>
          <w:highlight w:val="yellow"/>
        </w:rPr>
      </w:pPr>
      <w:r>
        <w:rPr>
          <w:rFonts w:hint="eastAsia" w:ascii="宋体" w:hAnsi="宋体" w:eastAsia="宋体" w:cs="Times New Roman"/>
          <w:i w:val="0"/>
          <w:iCs w:val="0"/>
          <w:caps w:val="0"/>
          <w:snapToGrid w:val="0"/>
          <w:color w:val="auto"/>
          <w:spacing w:val="0"/>
          <w:kern w:val="0"/>
          <w:sz w:val="21"/>
          <w:szCs w:val="21"/>
          <w:highlight w:val="none"/>
        </w:rPr>
        <w:t>请投标人在投标截止日之前可在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比选</w:t>
      </w:r>
      <w:r>
        <w:rPr>
          <w:rFonts w:hint="eastAsia" w:ascii="宋体" w:hAnsi="宋体" w:eastAsia="宋体" w:cs="Times New Roman"/>
          <w:i w:val="0"/>
          <w:iCs w:val="0"/>
          <w:caps w:val="0"/>
          <w:snapToGrid w:val="0"/>
          <w:color w:val="auto"/>
          <w:spacing w:val="0"/>
          <w:kern w:val="0"/>
          <w:sz w:val="21"/>
          <w:szCs w:val="21"/>
          <w:highlight w:val="none"/>
        </w:rPr>
        <w:t>文件、清单、澄清、修改、补充通知、最高限价通知等全部内容。</w:t>
      </w:r>
    </w:p>
    <w:p w14:paraId="1E40F612">
      <w:pPr>
        <w:pStyle w:val="3"/>
        <w:spacing w:before="100" w:after="100" w:line="460" w:lineRule="exact"/>
        <w:rPr>
          <w:rFonts w:ascii="宋体" w:hAnsi="宋体"/>
          <w:snapToGrid w:val="0"/>
          <w:color w:val="auto"/>
          <w:sz w:val="28"/>
          <w:szCs w:val="28"/>
          <w:highlight w:val="none"/>
        </w:rPr>
      </w:pPr>
      <w:bookmarkStart w:id="58" w:name="_Toc277082540"/>
      <w:bookmarkStart w:id="59" w:name="_Toc2973"/>
      <w:bookmarkStart w:id="60" w:name="_Toc287607732"/>
      <w:bookmarkStart w:id="61" w:name="_Toc224103303"/>
      <w:bookmarkStart w:id="62" w:name="_Toc200359242"/>
      <w:bookmarkStart w:id="63" w:name="_Toc200359431"/>
      <w:bookmarkStart w:id="64" w:name="_Toc430530420"/>
      <w:bookmarkStart w:id="65" w:name="_Toc509218696"/>
      <w:bookmarkStart w:id="66" w:name="_Toc287620671"/>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8"/>
      <w:bookmarkEnd w:id="59"/>
      <w:bookmarkEnd w:id="60"/>
      <w:bookmarkEnd w:id="61"/>
      <w:bookmarkEnd w:id="62"/>
      <w:bookmarkEnd w:id="63"/>
      <w:bookmarkEnd w:id="64"/>
      <w:bookmarkEnd w:id="65"/>
      <w:bookmarkEnd w:id="66"/>
    </w:p>
    <w:p w14:paraId="51205A48">
      <w:pPr>
        <w:spacing w:line="360" w:lineRule="auto"/>
        <w:ind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5.1投标文件递交：</w:t>
      </w:r>
      <w:r>
        <w:rPr>
          <w:rFonts w:hint="eastAsia" w:ascii="宋体" w:hAnsi="宋体" w:eastAsia="宋体" w:cs="宋体"/>
          <w:color w:val="auto"/>
          <w:sz w:val="20"/>
          <w:szCs w:val="20"/>
          <w:highlight w:val="none"/>
          <w:u w:val="single"/>
          <w:lang w:val="en-US" w:eastAsia="zh-CN"/>
        </w:rPr>
        <w:t>本次</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采用</w:t>
      </w:r>
      <w:r>
        <w:rPr>
          <w:rFonts w:hint="eastAsia" w:ascii="宋体" w:hAnsi="宋体" w:eastAsia="宋体" w:cs="宋体"/>
          <w:b/>
          <w:bCs/>
          <w:color w:val="auto"/>
          <w:sz w:val="20"/>
          <w:szCs w:val="20"/>
          <w:highlight w:val="none"/>
          <w:u w:val="single"/>
          <w:lang w:val="en-US" w:eastAsia="zh-CN"/>
        </w:rPr>
        <w:t>线下</w:t>
      </w:r>
      <w:r>
        <w:rPr>
          <w:rFonts w:hint="eastAsia" w:ascii="宋体" w:hAnsi="宋体" w:cs="宋体"/>
          <w:b/>
          <w:bCs/>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w:t>
      </w:r>
    </w:p>
    <w:p w14:paraId="34A6B139">
      <w:pPr>
        <w:spacing w:line="360" w:lineRule="auto"/>
        <w:ind w:firstLine="400" w:firstLineChars="200"/>
        <w:rPr>
          <w:rFonts w:hint="eastAsia" w:ascii="宋体" w:hAnsi="宋体" w:eastAsia="宋体" w:cs="宋体"/>
          <w:color w:val="auto"/>
          <w:sz w:val="20"/>
          <w:szCs w:val="20"/>
          <w:highlight w:val="none"/>
          <w:u w:val="single"/>
          <w:lang w:val="en-US" w:eastAsia="zh-CN"/>
        </w:rPr>
      </w:pP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人应当在投标截止时间前，将纸质版</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文件递交至</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逾期送达，或未送达指定地点，或未密封的</w:t>
      </w:r>
      <w:r>
        <w:rPr>
          <w:rFonts w:hint="eastAsia" w:ascii="宋体" w:hAnsi="宋体" w:eastAsia="宋体" w:cs="宋体"/>
          <w:color w:val="auto"/>
          <w:sz w:val="20"/>
          <w:szCs w:val="20"/>
          <w:highlight w:val="none"/>
          <w:u w:val="single"/>
          <w:lang w:eastAsia="zh-CN"/>
        </w:rPr>
        <w:t>竞选</w:t>
      </w:r>
      <w:r>
        <w:rPr>
          <w:rFonts w:hint="eastAsia" w:ascii="宋体" w:hAnsi="宋体" w:eastAsia="宋体" w:cs="宋体"/>
          <w:color w:val="auto"/>
          <w:sz w:val="20"/>
          <w:szCs w:val="20"/>
          <w:highlight w:val="none"/>
          <w:u w:val="single"/>
        </w:rPr>
        <w:t>文件，</w:t>
      </w:r>
      <w:r>
        <w:rPr>
          <w:rFonts w:hint="eastAsia" w:ascii="宋体" w:hAnsi="宋体" w:eastAsia="宋体" w:cs="宋体"/>
          <w:color w:val="auto"/>
          <w:sz w:val="20"/>
          <w:szCs w:val="20"/>
          <w:highlight w:val="none"/>
          <w:u w:val="single"/>
          <w:lang w:eastAsia="zh-CN"/>
        </w:rPr>
        <w:t>比选</w:t>
      </w:r>
      <w:r>
        <w:rPr>
          <w:rFonts w:hint="eastAsia" w:ascii="宋体" w:hAnsi="宋体" w:eastAsia="宋体" w:cs="宋体"/>
          <w:color w:val="auto"/>
          <w:sz w:val="20"/>
          <w:szCs w:val="20"/>
          <w:highlight w:val="none"/>
          <w:u w:val="single"/>
        </w:rPr>
        <w:t>人不予受理。</w:t>
      </w:r>
    </w:p>
    <w:p w14:paraId="15CDF617">
      <w:pPr>
        <w:spacing w:line="360" w:lineRule="auto"/>
        <w:ind w:firstLine="400" w:firstLineChars="200"/>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lang w:val="en-US" w:eastAsia="zh-CN"/>
        </w:rPr>
        <w:t>5.2</w:t>
      </w:r>
      <w:r>
        <w:rPr>
          <w:rFonts w:hint="eastAsia" w:ascii="宋体" w:hAnsi="宋体" w:eastAsia="宋体" w:cs="宋体"/>
          <w:color w:val="auto"/>
          <w:sz w:val="20"/>
          <w:szCs w:val="20"/>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0"/>
          <w:szCs w:val="20"/>
          <w:highlight w:val="none"/>
          <w:u w:val="single"/>
          <w:lang w:eastAsia="zh-CN"/>
        </w:rPr>
        <w:t>）</w:t>
      </w:r>
    </w:p>
    <w:p w14:paraId="30E5EAF5">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5.3</w:t>
      </w:r>
      <w:r>
        <w:rPr>
          <w:rFonts w:hint="eastAsia" w:ascii="宋体" w:hAnsi="宋体" w:eastAsia="宋体" w:cs="宋体"/>
          <w:color w:val="auto"/>
          <w:sz w:val="20"/>
          <w:szCs w:val="20"/>
          <w:highlight w:val="none"/>
        </w:rPr>
        <w:t xml:space="preserve"> </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lang w:val="en-US" w:eastAsia="zh-CN"/>
        </w:rPr>
        <w:t>文件</w:t>
      </w:r>
      <w:r>
        <w:rPr>
          <w:rFonts w:hint="eastAsia" w:ascii="宋体" w:hAnsi="宋体" w:eastAsia="宋体" w:cs="宋体"/>
          <w:color w:val="auto"/>
          <w:sz w:val="20"/>
          <w:szCs w:val="20"/>
          <w:highlight w:val="none"/>
        </w:rPr>
        <w:t>递交截止时间：</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18</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p>
    <w:p w14:paraId="1795C654">
      <w:pPr>
        <w:autoSpaceDE w:val="0"/>
        <w:autoSpaceDN w:val="0"/>
        <w:adjustRightInd w:val="0"/>
        <w:snapToGrid w:val="0"/>
        <w:spacing w:line="450" w:lineRule="exact"/>
        <w:ind w:firstLine="400" w:firstLineChars="200"/>
        <w:rPr>
          <w:rFonts w:hint="eastAsia" w:ascii="宋体" w:hAnsi="宋体"/>
          <w:snapToGrid w:val="0"/>
          <w:color w:val="auto"/>
          <w:kern w:val="0"/>
          <w:szCs w:val="21"/>
          <w:highlight w:val="none"/>
        </w:rPr>
      </w:pPr>
      <w:r>
        <w:rPr>
          <w:rFonts w:hint="eastAsia" w:ascii="宋体" w:hAnsi="宋体" w:eastAsia="宋体" w:cs="宋体"/>
          <w:color w:val="auto"/>
          <w:sz w:val="20"/>
          <w:szCs w:val="20"/>
          <w:highlight w:val="none"/>
          <w:lang w:val="en-US" w:eastAsia="zh-CN"/>
        </w:rPr>
        <w:t>5.4</w:t>
      </w:r>
      <w:r>
        <w:rPr>
          <w:rFonts w:hint="eastAsia" w:ascii="宋体" w:hAnsi="宋体" w:eastAsia="宋体" w:cs="宋体"/>
          <w:color w:val="auto"/>
          <w:sz w:val="20"/>
          <w:szCs w:val="20"/>
          <w:highlight w:val="none"/>
        </w:rPr>
        <w:t>递交</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rPr>
        <w:t>文件的时间为</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18</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00</w:t>
      </w:r>
      <w:r>
        <w:rPr>
          <w:rFonts w:hint="eastAsia" w:ascii="宋体" w:hAnsi="宋体" w:eastAsia="宋体" w:cs="宋体"/>
          <w:color w:val="auto"/>
          <w:sz w:val="20"/>
          <w:szCs w:val="20"/>
          <w:highlight w:val="none"/>
          <w:u w:val="single"/>
        </w:rPr>
        <w:t>分至2024年</w:t>
      </w:r>
      <w:r>
        <w:rPr>
          <w:rFonts w:hint="eastAsia" w:ascii="宋体" w:hAnsi="宋体" w:cs="宋体"/>
          <w:color w:val="auto"/>
          <w:sz w:val="20"/>
          <w:szCs w:val="20"/>
          <w:highlight w:val="none"/>
          <w:u w:val="single"/>
          <w:lang w:val="en-US" w:eastAsia="zh-CN"/>
        </w:rPr>
        <w:t>10</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18</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r>
        <w:rPr>
          <w:rFonts w:hint="eastAsia" w:ascii="宋体" w:hAnsi="宋体" w:cs="宋体"/>
          <w:color w:val="auto"/>
          <w:sz w:val="20"/>
          <w:szCs w:val="20"/>
          <w:highlight w:val="none"/>
          <w:u w:val="single"/>
          <w:lang w:eastAsia="zh-CN"/>
        </w:rPr>
        <w:t>。</w:t>
      </w:r>
    </w:p>
    <w:p w14:paraId="6819617D">
      <w:pPr>
        <w:pStyle w:val="3"/>
        <w:spacing w:before="100" w:after="100" w:line="460" w:lineRule="exact"/>
        <w:rPr>
          <w:rFonts w:ascii="宋体" w:hAnsi="宋体"/>
          <w:snapToGrid w:val="0"/>
          <w:color w:val="auto"/>
          <w:sz w:val="28"/>
          <w:szCs w:val="28"/>
          <w:highlight w:val="none"/>
        </w:rPr>
      </w:pPr>
      <w:bookmarkStart w:id="67" w:name="_Toc224103304"/>
      <w:bookmarkStart w:id="68" w:name="_Toc200359243"/>
      <w:bookmarkStart w:id="69" w:name="_Toc287620672"/>
      <w:bookmarkStart w:id="70" w:name="_Toc277082541"/>
      <w:bookmarkStart w:id="71" w:name="_Toc287607733"/>
      <w:bookmarkStart w:id="72" w:name="_Toc8848"/>
      <w:bookmarkStart w:id="73" w:name="_Toc430530421"/>
      <w:bookmarkStart w:id="74" w:name="_Toc200359432"/>
      <w:bookmarkStart w:id="75" w:name="_Toc509218697"/>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p>
    <w:p w14:paraId="2C706FF3">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color w:val="auto"/>
          <w:spacing w:val="-57"/>
          <w:sz w:val="20"/>
          <w:szCs w:val="20"/>
          <w:highlight w:val="none"/>
          <w:u w:val="single" w:color="auto"/>
        </w:rPr>
        <w:t xml:space="preserve"> </w:t>
      </w:r>
      <w:r>
        <w:rPr>
          <w:rFonts w:ascii="宋体" w:hAnsi="宋体"/>
          <w:snapToGrid w:val="0"/>
          <w:color w:val="auto"/>
          <w:kern w:val="0"/>
          <w:szCs w:val="21"/>
          <w:highlight w:val="none"/>
        </w:rPr>
        <w:t>上发布。</w:t>
      </w:r>
    </w:p>
    <w:p w14:paraId="75FDAD62">
      <w:pPr>
        <w:pStyle w:val="3"/>
        <w:spacing w:before="100" w:after="100" w:line="460" w:lineRule="exact"/>
        <w:rPr>
          <w:rFonts w:ascii="宋体" w:hAnsi="宋体"/>
          <w:snapToGrid w:val="0"/>
          <w:color w:val="auto"/>
          <w:sz w:val="28"/>
          <w:szCs w:val="28"/>
          <w:highlight w:val="none"/>
        </w:rPr>
      </w:pPr>
      <w:bookmarkStart w:id="76" w:name="_Toc430530422"/>
      <w:bookmarkStart w:id="77" w:name="_Toc287620673"/>
      <w:bookmarkStart w:id="78" w:name="_Toc277082542"/>
      <w:bookmarkStart w:id="79" w:name="_Toc287607734"/>
      <w:bookmarkStart w:id="80" w:name="_Toc509218698"/>
      <w:bookmarkStart w:id="81" w:name="_Toc224103305"/>
      <w:bookmarkStart w:id="82" w:name="_Toc31809"/>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6"/>
      <w:bookmarkEnd w:id="77"/>
      <w:bookmarkEnd w:id="78"/>
      <w:bookmarkEnd w:id="79"/>
      <w:bookmarkEnd w:id="80"/>
      <w:bookmarkEnd w:id="81"/>
      <w:bookmarkEnd w:id="82"/>
    </w:p>
    <w:p w14:paraId="71C68ADA">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招标人：</w:t>
      </w:r>
      <w:r>
        <w:rPr>
          <w:rFonts w:hint="eastAsia" w:ascii="宋体" w:hAnsi="宋体"/>
          <w:snapToGrid w:val="0"/>
          <w:color w:val="auto"/>
          <w:kern w:val="0"/>
          <w:szCs w:val="21"/>
          <w:highlight w:val="none"/>
          <w:lang w:eastAsia="zh-CN"/>
        </w:rPr>
        <w:t>重庆高速资产经营管理有限公司</w:t>
      </w:r>
    </w:p>
    <w:p w14:paraId="1C4A58F6">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2212C494">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丁老师</w:t>
      </w:r>
    </w:p>
    <w:p w14:paraId="0B5F21B8">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p w14:paraId="6358F63A">
      <w:pPr>
        <w:pStyle w:val="18"/>
        <w:rPr>
          <w:color w:val="auto"/>
          <w:highlight w:val="none"/>
        </w:rPr>
      </w:pPr>
    </w:p>
    <w:p w14:paraId="631CBC5D">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招标代理机构：重庆国际投资咨询集团有限公司</w:t>
      </w:r>
    </w:p>
    <w:p w14:paraId="38CF254F">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56F953BA">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联系人：谭老师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李老师</w:t>
      </w:r>
    </w:p>
    <w:p w14:paraId="39915F9C">
      <w:pPr>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272435C2">
      <w:pPr>
        <w:pStyle w:val="18"/>
        <w:rPr>
          <w:snapToGrid w:val="0"/>
          <w:color w:val="auto"/>
          <w:highlight w:val="none"/>
        </w:rPr>
      </w:pPr>
      <w:r>
        <w:rPr>
          <w:snapToGrid w:val="0"/>
          <w:color w:val="auto"/>
          <w:highlight w:val="none"/>
        </w:rPr>
        <w:br w:type="page"/>
      </w:r>
    </w:p>
    <w:p w14:paraId="5008E4E0">
      <w:pPr>
        <w:pStyle w:val="2"/>
        <w:spacing w:line="360" w:lineRule="auto"/>
        <w:jc w:val="center"/>
        <w:rPr>
          <w:rFonts w:ascii="宋体" w:hAnsi="宋体"/>
          <w:bCs w:val="0"/>
          <w:snapToGrid w:val="0"/>
          <w:color w:val="auto"/>
          <w:kern w:val="0"/>
          <w:highlight w:val="none"/>
        </w:rPr>
      </w:pPr>
      <w:bookmarkStart w:id="83" w:name="_Toc10561"/>
      <w:bookmarkStart w:id="84" w:name="_Toc1733"/>
      <w:bookmarkStart w:id="85" w:name="_Toc224103315"/>
      <w:bookmarkStart w:id="86" w:name="_Toc287607744"/>
      <w:bookmarkStart w:id="87" w:name="_Toc430530432"/>
      <w:bookmarkStart w:id="88" w:name="_Toc287620683"/>
      <w:r>
        <w:rPr>
          <w:rFonts w:ascii="宋体" w:hAnsi="宋体"/>
          <w:snapToGrid w:val="0"/>
          <w:color w:val="auto"/>
          <w:kern w:val="0"/>
          <w:highlight w:val="none"/>
        </w:rPr>
        <w:t>第二章  投标人须知</w:t>
      </w:r>
      <w:bookmarkEnd w:id="83"/>
      <w:bookmarkEnd w:id="84"/>
      <w:bookmarkEnd w:id="85"/>
      <w:bookmarkEnd w:id="86"/>
      <w:bookmarkEnd w:id="87"/>
      <w:bookmarkEnd w:id="88"/>
      <w:bookmarkStart w:id="89" w:name="_Toc224103316"/>
      <w:bookmarkStart w:id="90" w:name="_Toc287620684"/>
      <w:bookmarkStart w:id="91" w:name="_Toc277082551"/>
      <w:bookmarkStart w:id="92" w:name="_Toc287607745"/>
      <w:bookmarkStart w:id="93" w:name="_Toc430530433"/>
    </w:p>
    <w:p w14:paraId="50510584">
      <w:pPr>
        <w:pStyle w:val="3"/>
        <w:spacing w:before="100" w:after="100" w:line="360" w:lineRule="auto"/>
        <w:rPr>
          <w:rFonts w:ascii="宋体" w:hAnsi="宋体"/>
          <w:color w:val="auto"/>
          <w:highlight w:val="none"/>
        </w:rPr>
      </w:pPr>
      <w:bookmarkStart w:id="94" w:name="_Toc29433"/>
      <w:bookmarkStart w:id="95" w:name="_Toc509218708"/>
      <w:r>
        <w:rPr>
          <w:rFonts w:hint="eastAsia" w:ascii="宋体" w:hAnsi="宋体"/>
          <w:color w:val="auto"/>
          <w:highlight w:val="none"/>
        </w:rPr>
        <w:t>投标人须知前附表</w:t>
      </w:r>
      <w:bookmarkEnd w:id="89"/>
      <w:bookmarkEnd w:id="90"/>
      <w:bookmarkEnd w:id="91"/>
      <w:bookmarkEnd w:id="92"/>
      <w:bookmarkEnd w:id="93"/>
      <w:bookmarkEnd w:id="94"/>
      <w:bookmarkEnd w:id="95"/>
    </w:p>
    <w:p w14:paraId="5EB3B770">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4B1B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469408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5A8491F">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5EA378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4205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1DE2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6F3B72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1E1B3BD6">
            <w:pPr>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重庆高速资产经营管理有限公司</w:t>
            </w:r>
          </w:p>
          <w:p w14:paraId="6C01F895">
            <w:pPr>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7D2CE2B8">
            <w:pPr>
              <w:topLinePunct/>
              <w:spacing w:line="42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丁老师</w:t>
            </w:r>
          </w:p>
          <w:p w14:paraId="04B2BA5E">
            <w:pPr>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0A833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DAD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E306A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4F55625D">
            <w:pPr>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2AF07615">
            <w:pPr>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662F78B4">
            <w:pPr>
              <w:snapToGrid w:val="0"/>
              <w:spacing w:line="400" w:lineRule="exact"/>
              <w:rPr>
                <w:rFonts w:ascii="宋体"/>
                <w:color w:val="auto"/>
                <w:kern w:val="0"/>
                <w:szCs w:val="21"/>
                <w:highlight w:val="none"/>
              </w:rPr>
            </w:pPr>
            <w:r>
              <w:rPr>
                <w:rFonts w:hint="eastAsia" w:ascii="宋体"/>
                <w:color w:val="auto"/>
                <w:kern w:val="0"/>
                <w:szCs w:val="21"/>
                <w:highlight w:val="none"/>
              </w:rPr>
              <w:t>联系人：谭老师、</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49993AA3">
            <w:pPr>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r>
              <w:rPr>
                <w:rFonts w:hint="eastAsia" w:ascii="宋体" w:hAnsi="宋体"/>
                <w:snapToGrid w:val="0"/>
                <w:color w:val="auto"/>
                <w:kern w:val="0"/>
                <w:szCs w:val="21"/>
                <w:highlight w:val="none"/>
              </w:rPr>
              <w:t>、023-67107374</w:t>
            </w:r>
          </w:p>
        </w:tc>
      </w:tr>
      <w:tr w14:paraId="63D43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A230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5CC3A4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14:paraId="7EFDF5B5">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single"/>
                <w:lang w:eastAsia="zh-CN"/>
              </w:rPr>
              <w:t>重庆高速公路集团有限公司集采中心2024年度钢材集中采购</w:t>
            </w:r>
            <w:r>
              <w:rPr>
                <w:rFonts w:hint="eastAsia" w:ascii="宋体" w:hAnsi="宋体"/>
                <w:snapToGrid w:val="0"/>
                <w:color w:val="auto"/>
                <w:kern w:val="0"/>
                <w:szCs w:val="21"/>
                <w:highlight w:val="none"/>
                <w:u w:val="single"/>
              </w:rPr>
              <w:t xml:space="preserve"> </w:t>
            </w:r>
          </w:p>
        </w:tc>
      </w:tr>
      <w:tr w14:paraId="27735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3BC6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5FAD00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490" w:type="dxa"/>
            <w:vAlign w:val="center"/>
          </w:tcPr>
          <w:p w14:paraId="12F313FE">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见第一章招标公告</w:t>
            </w:r>
          </w:p>
        </w:tc>
      </w:tr>
      <w:tr w14:paraId="14BAE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FC338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EF0BB9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490" w:type="dxa"/>
            <w:vAlign w:val="center"/>
          </w:tcPr>
          <w:p w14:paraId="2B107BE5">
            <w:pPr>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57B55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F196D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7A557857">
            <w:pPr>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490" w:type="dxa"/>
            <w:vAlign w:val="center"/>
          </w:tcPr>
          <w:p w14:paraId="19E82BAE">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见第一章招标公告</w:t>
            </w:r>
          </w:p>
        </w:tc>
      </w:tr>
      <w:tr w14:paraId="35DDF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A45F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36B55C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14:paraId="59C69FF2">
            <w:pPr>
              <w:tabs>
                <w:tab w:val="left" w:pos="3840"/>
                <w:tab w:val="left" w:pos="530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6041A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F7C84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1B5355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E4E7B14">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28499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6D7D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413FF6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72DFFEB4">
            <w:pPr>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见第一章招标公告</w:t>
            </w:r>
          </w:p>
        </w:tc>
      </w:tr>
      <w:tr w14:paraId="3BFE8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05A68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76BE3E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服务期限</w:t>
            </w:r>
          </w:p>
        </w:tc>
        <w:tc>
          <w:tcPr>
            <w:tcW w:w="6490" w:type="dxa"/>
            <w:vAlign w:val="center"/>
          </w:tcPr>
          <w:p w14:paraId="7B8F30C0">
            <w:pPr>
              <w:snapToGrid w:val="0"/>
              <w:spacing w:line="40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0B07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2C9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31D929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490" w:type="dxa"/>
            <w:vAlign w:val="center"/>
          </w:tcPr>
          <w:p w14:paraId="671710C0">
            <w:pPr>
              <w:tabs>
                <w:tab w:val="left" w:pos="3840"/>
                <w:tab w:val="left" w:pos="5300"/>
              </w:tabs>
              <w:autoSpaceDE w:val="0"/>
              <w:autoSpaceDN w:val="0"/>
              <w:adjustRightInd w:val="0"/>
              <w:snapToGrid w:val="0"/>
              <w:spacing w:line="46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见第一章招标公告</w:t>
            </w:r>
          </w:p>
        </w:tc>
      </w:tr>
      <w:tr w14:paraId="2C214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35" w:type="dxa"/>
            <w:vAlign w:val="center"/>
          </w:tcPr>
          <w:p w14:paraId="6179A5CE">
            <w:pPr>
              <w:snapToGrid w:val="0"/>
              <w:spacing w:line="400" w:lineRule="exact"/>
              <w:jc w:val="center"/>
              <w:rPr>
                <w:rFonts w:ascii="宋体" w:hAnsi="宋体"/>
                <w:color w:val="auto"/>
                <w:kern w:val="0"/>
                <w:szCs w:val="21"/>
                <w:highlight w:val="none"/>
              </w:rPr>
            </w:pPr>
          </w:p>
          <w:p w14:paraId="6593912C">
            <w:pPr>
              <w:snapToGrid w:val="0"/>
              <w:spacing w:line="400" w:lineRule="exact"/>
              <w:jc w:val="center"/>
              <w:rPr>
                <w:rFonts w:ascii="宋体" w:hAnsi="宋体"/>
                <w:color w:val="auto"/>
                <w:kern w:val="0"/>
                <w:szCs w:val="21"/>
                <w:highlight w:val="none"/>
              </w:rPr>
            </w:pPr>
          </w:p>
          <w:p w14:paraId="33607FA7">
            <w:pPr>
              <w:snapToGrid w:val="0"/>
              <w:spacing w:line="400" w:lineRule="exact"/>
              <w:jc w:val="center"/>
              <w:rPr>
                <w:rFonts w:ascii="宋体" w:hAnsi="宋体"/>
                <w:color w:val="auto"/>
                <w:kern w:val="0"/>
                <w:szCs w:val="21"/>
                <w:highlight w:val="none"/>
              </w:rPr>
            </w:pPr>
          </w:p>
          <w:p w14:paraId="09B42896">
            <w:pPr>
              <w:snapToGrid w:val="0"/>
              <w:spacing w:line="400" w:lineRule="exact"/>
              <w:jc w:val="center"/>
              <w:rPr>
                <w:rFonts w:ascii="宋体" w:hAnsi="宋体"/>
                <w:color w:val="auto"/>
                <w:kern w:val="0"/>
                <w:szCs w:val="21"/>
                <w:highlight w:val="none"/>
              </w:rPr>
            </w:pPr>
          </w:p>
          <w:p w14:paraId="6B991B8C">
            <w:pPr>
              <w:snapToGrid w:val="0"/>
              <w:spacing w:line="400" w:lineRule="exact"/>
              <w:jc w:val="center"/>
              <w:rPr>
                <w:rFonts w:ascii="宋体" w:hAnsi="宋体"/>
                <w:color w:val="auto"/>
                <w:kern w:val="0"/>
                <w:szCs w:val="21"/>
                <w:highlight w:val="none"/>
              </w:rPr>
            </w:pPr>
          </w:p>
          <w:p w14:paraId="7B4B0E9B">
            <w:pPr>
              <w:snapToGrid w:val="0"/>
              <w:spacing w:line="400" w:lineRule="exact"/>
              <w:jc w:val="center"/>
              <w:rPr>
                <w:rFonts w:ascii="宋体" w:hAnsi="宋体"/>
                <w:color w:val="auto"/>
                <w:kern w:val="0"/>
                <w:szCs w:val="21"/>
                <w:highlight w:val="none"/>
              </w:rPr>
            </w:pPr>
          </w:p>
          <w:p w14:paraId="184DC840">
            <w:pPr>
              <w:snapToGrid w:val="0"/>
              <w:spacing w:line="400" w:lineRule="exact"/>
              <w:jc w:val="center"/>
              <w:rPr>
                <w:rFonts w:ascii="宋体" w:hAnsi="宋体"/>
                <w:color w:val="auto"/>
                <w:kern w:val="0"/>
                <w:szCs w:val="21"/>
                <w:highlight w:val="none"/>
              </w:rPr>
            </w:pPr>
          </w:p>
          <w:p w14:paraId="25E21F07">
            <w:pPr>
              <w:snapToGrid w:val="0"/>
              <w:spacing w:line="400" w:lineRule="exact"/>
              <w:jc w:val="center"/>
              <w:rPr>
                <w:rFonts w:ascii="宋体" w:hAnsi="宋体"/>
                <w:color w:val="auto"/>
                <w:kern w:val="0"/>
                <w:szCs w:val="21"/>
                <w:highlight w:val="none"/>
              </w:rPr>
            </w:pPr>
          </w:p>
          <w:p w14:paraId="586C5816">
            <w:pPr>
              <w:snapToGrid w:val="0"/>
              <w:spacing w:line="400" w:lineRule="exact"/>
              <w:jc w:val="center"/>
              <w:rPr>
                <w:rFonts w:ascii="宋体" w:hAnsi="宋体"/>
                <w:color w:val="auto"/>
                <w:kern w:val="0"/>
                <w:szCs w:val="21"/>
                <w:highlight w:val="none"/>
              </w:rPr>
            </w:pPr>
          </w:p>
          <w:p w14:paraId="2363E7A1">
            <w:pPr>
              <w:snapToGrid w:val="0"/>
              <w:spacing w:line="400" w:lineRule="exact"/>
              <w:jc w:val="center"/>
              <w:rPr>
                <w:rFonts w:ascii="宋体" w:hAnsi="宋体"/>
                <w:color w:val="auto"/>
                <w:kern w:val="0"/>
                <w:szCs w:val="21"/>
                <w:highlight w:val="none"/>
              </w:rPr>
            </w:pPr>
          </w:p>
          <w:p w14:paraId="73602B67">
            <w:pPr>
              <w:snapToGrid w:val="0"/>
              <w:spacing w:line="400" w:lineRule="exact"/>
              <w:jc w:val="center"/>
              <w:rPr>
                <w:rFonts w:ascii="宋体" w:hAnsi="宋体"/>
                <w:color w:val="auto"/>
                <w:kern w:val="0"/>
                <w:szCs w:val="21"/>
                <w:highlight w:val="none"/>
              </w:rPr>
            </w:pPr>
          </w:p>
          <w:p w14:paraId="613B4807">
            <w:pPr>
              <w:snapToGrid w:val="0"/>
              <w:spacing w:line="400" w:lineRule="exact"/>
              <w:jc w:val="center"/>
              <w:rPr>
                <w:rFonts w:ascii="宋体" w:hAnsi="宋体"/>
                <w:color w:val="auto"/>
                <w:kern w:val="0"/>
                <w:szCs w:val="21"/>
                <w:highlight w:val="none"/>
              </w:rPr>
            </w:pPr>
          </w:p>
          <w:p w14:paraId="6DB4D336">
            <w:pPr>
              <w:snapToGrid w:val="0"/>
              <w:spacing w:line="400" w:lineRule="exact"/>
              <w:jc w:val="center"/>
              <w:rPr>
                <w:rFonts w:ascii="宋体" w:hAnsi="宋体"/>
                <w:color w:val="auto"/>
                <w:kern w:val="0"/>
                <w:szCs w:val="21"/>
                <w:highlight w:val="none"/>
              </w:rPr>
            </w:pPr>
          </w:p>
          <w:p w14:paraId="272E0A35">
            <w:pPr>
              <w:snapToGrid w:val="0"/>
              <w:spacing w:line="400" w:lineRule="exact"/>
              <w:jc w:val="center"/>
              <w:rPr>
                <w:rFonts w:ascii="宋体" w:hAnsi="宋体"/>
                <w:color w:val="auto"/>
                <w:kern w:val="0"/>
                <w:szCs w:val="21"/>
                <w:highlight w:val="none"/>
              </w:rPr>
            </w:pPr>
          </w:p>
          <w:p w14:paraId="7A909646">
            <w:pPr>
              <w:snapToGrid w:val="0"/>
              <w:spacing w:line="400" w:lineRule="exact"/>
              <w:jc w:val="center"/>
              <w:rPr>
                <w:rFonts w:ascii="宋体" w:hAnsi="宋体"/>
                <w:color w:val="auto"/>
                <w:kern w:val="0"/>
                <w:szCs w:val="21"/>
                <w:highlight w:val="none"/>
              </w:rPr>
            </w:pPr>
          </w:p>
          <w:p w14:paraId="13287F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65EE0133">
            <w:pPr>
              <w:snapToGrid w:val="0"/>
              <w:spacing w:line="400" w:lineRule="exact"/>
              <w:jc w:val="center"/>
              <w:rPr>
                <w:rFonts w:ascii="宋体" w:hAnsi="宋体"/>
                <w:color w:val="auto"/>
                <w:kern w:val="0"/>
                <w:szCs w:val="21"/>
                <w:highlight w:val="none"/>
              </w:rPr>
            </w:pPr>
          </w:p>
          <w:p w14:paraId="47CE0359">
            <w:pPr>
              <w:snapToGrid w:val="0"/>
              <w:spacing w:line="400" w:lineRule="exact"/>
              <w:jc w:val="center"/>
              <w:rPr>
                <w:rFonts w:ascii="宋体" w:hAnsi="宋体"/>
                <w:color w:val="auto"/>
                <w:kern w:val="0"/>
                <w:szCs w:val="21"/>
                <w:highlight w:val="none"/>
              </w:rPr>
            </w:pPr>
          </w:p>
          <w:p w14:paraId="5092CDB5">
            <w:pPr>
              <w:snapToGrid w:val="0"/>
              <w:spacing w:line="400" w:lineRule="exact"/>
              <w:jc w:val="center"/>
              <w:rPr>
                <w:rFonts w:ascii="宋体" w:hAnsi="宋体"/>
                <w:color w:val="auto"/>
                <w:kern w:val="0"/>
                <w:szCs w:val="21"/>
                <w:highlight w:val="none"/>
              </w:rPr>
            </w:pPr>
          </w:p>
          <w:p w14:paraId="45DB7FBF">
            <w:pPr>
              <w:snapToGrid w:val="0"/>
              <w:spacing w:line="400" w:lineRule="exact"/>
              <w:jc w:val="center"/>
              <w:rPr>
                <w:rFonts w:ascii="宋体" w:hAnsi="宋体"/>
                <w:color w:val="auto"/>
                <w:kern w:val="0"/>
                <w:szCs w:val="21"/>
                <w:highlight w:val="none"/>
              </w:rPr>
            </w:pPr>
          </w:p>
          <w:p w14:paraId="1F66E6A9">
            <w:pPr>
              <w:snapToGrid w:val="0"/>
              <w:spacing w:line="400" w:lineRule="exact"/>
              <w:jc w:val="center"/>
              <w:rPr>
                <w:rFonts w:ascii="宋体" w:hAnsi="宋体"/>
                <w:color w:val="auto"/>
                <w:kern w:val="0"/>
                <w:szCs w:val="21"/>
                <w:highlight w:val="none"/>
              </w:rPr>
            </w:pPr>
          </w:p>
          <w:p w14:paraId="036C2F3F">
            <w:pPr>
              <w:snapToGrid w:val="0"/>
              <w:spacing w:line="400" w:lineRule="exact"/>
              <w:jc w:val="center"/>
              <w:rPr>
                <w:rFonts w:ascii="宋体" w:hAnsi="宋体"/>
                <w:color w:val="auto"/>
                <w:kern w:val="0"/>
                <w:szCs w:val="21"/>
                <w:highlight w:val="none"/>
              </w:rPr>
            </w:pPr>
          </w:p>
          <w:p w14:paraId="0D4F53E5">
            <w:pPr>
              <w:snapToGrid w:val="0"/>
              <w:spacing w:line="400" w:lineRule="exact"/>
              <w:jc w:val="center"/>
              <w:rPr>
                <w:rFonts w:ascii="宋体" w:hAnsi="宋体"/>
                <w:color w:val="auto"/>
                <w:kern w:val="0"/>
                <w:szCs w:val="21"/>
                <w:highlight w:val="none"/>
              </w:rPr>
            </w:pPr>
          </w:p>
          <w:p w14:paraId="00AEF703">
            <w:pPr>
              <w:snapToGrid w:val="0"/>
              <w:spacing w:line="400" w:lineRule="exact"/>
              <w:jc w:val="center"/>
              <w:rPr>
                <w:rFonts w:ascii="宋体" w:hAnsi="宋体"/>
                <w:color w:val="auto"/>
                <w:kern w:val="0"/>
                <w:szCs w:val="21"/>
                <w:highlight w:val="none"/>
              </w:rPr>
            </w:pPr>
          </w:p>
          <w:p w14:paraId="71D377AC">
            <w:pPr>
              <w:snapToGrid w:val="0"/>
              <w:spacing w:line="400" w:lineRule="exact"/>
              <w:jc w:val="center"/>
              <w:rPr>
                <w:rFonts w:ascii="宋体" w:hAnsi="宋体"/>
                <w:color w:val="auto"/>
                <w:kern w:val="0"/>
                <w:szCs w:val="21"/>
                <w:highlight w:val="none"/>
              </w:rPr>
            </w:pPr>
          </w:p>
          <w:p w14:paraId="04EB74AB">
            <w:pPr>
              <w:snapToGrid w:val="0"/>
              <w:spacing w:line="400" w:lineRule="exact"/>
              <w:jc w:val="center"/>
              <w:rPr>
                <w:rFonts w:ascii="宋体" w:hAnsi="宋体"/>
                <w:color w:val="auto"/>
                <w:kern w:val="0"/>
                <w:szCs w:val="21"/>
                <w:highlight w:val="none"/>
              </w:rPr>
            </w:pPr>
          </w:p>
          <w:p w14:paraId="2153B01E">
            <w:pPr>
              <w:snapToGrid w:val="0"/>
              <w:spacing w:line="400" w:lineRule="exact"/>
              <w:jc w:val="center"/>
              <w:rPr>
                <w:rFonts w:ascii="宋体" w:hAnsi="宋体"/>
                <w:color w:val="auto"/>
                <w:kern w:val="0"/>
                <w:szCs w:val="21"/>
                <w:highlight w:val="none"/>
              </w:rPr>
            </w:pPr>
          </w:p>
          <w:p w14:paraId="3C9450B2">
            <w:pPr>
              <w:snapToGrid w:val="0"/>
              <w:spacing w:line="400" w:lineRule="exact"/>
              <w:jc w:val="center"/>
              <w:rPr>
                <w:rFonts w:ascii="宋体" w:hAnsi="宋体"/>
                <w:color w:val="auto"/>
                <w:kern w:val="0"/>
                <w:szCs w:val="21"/>
                <w:highlight w:val="none"/>
              </w:rPr>
            </w:pPr>
          </w:p>
          <w:p w14:paraId="69C3CB56">
            <w:pPr>
              <w:snapToGrid w:val="0"/>
              <w:spacing w:line="400" w:lineRule="exact"/>
              <w:jc w:val="center"/>
              <w:rPr>
                <w:rFonts w:ascii="宋体" w:hAnsi="宋体"/>
                <w:color w:val="auto"/>
                <w:kern w:val="0"/>
                <w:szCs w:val="21"/>
                <w:highlight w:val="none"/>
              </w:rPr>
            </w:pPr>
          </w:p>
          <w:p w14:paraId="768F015E">
            <w:pPr>
              <w:snapToGrid w:val="0"/>
              <w:spacing w:line="400" w:lineRule="exact"/>
              <w:jc w:val="center"/>
              <w:rPr>
                <w:rFonts w:ascii="宋体" w:hAnsi="宋体"/>
                <w:color w:val="auto"/>
                <w:kern w:val="0"/>
                <w:szCs w:val="21"/>
                <w:highlight w:val="none"/>
              </w:rPr>
            </w:pPr>
          </w:p>
          <w:p w14:paraId="410073C1">
            <w:pPr>
              <w:snapToGrid w:val="0"/>
              <w:spacing w:line="400" w:lineRule="exact"/>
              <w:jc w:val="center"/>
              <w:rPr>
                <w:rFonts w:ascii="宋体" w:hAnsi="宋体"/>
                <w:color w:val="auto"/>
                <w:kern w:val="0"/>
                <w:szCs w:val="21"/>
                <w:highlight w:val="none"/>
              </w:rPr>
            </w:pPr>
          </w:p>
          <w:p w14:paraId="6D0BF9DA">
            <w:pPr>
              <w:snapToGrid w:val="0"/>
              <w:spacing w:line="400" w:lineRule="exact"/>
              <w:jc w:val="center"/>
              <w:rPr>
                <w:rFonts w:ascii="宋体" w:hAnsi="宋体"/>
                <w:color w:val="auto"/>
                <w:kern w:val="0"/>
                <w:szCs w:val="21"/>
                <w:highlight w:val="none"/>
              </w:rPr>
            </w:pPr>
          </w:p>
          <w:p w14:paraId="7245C76B">
            <w:pPr>
              <w:snapToGrid w:val="0"/>
              <w:spacing w:line="400" w:lineRule="exact"/>
              <w:jc w:val="center"/>
              <w:rPr>
                <w:rFonts w:ascii="宋体" w:hAnsi="宋体"/>
                <w:color w:val="auto"/>
                <w:kern w:val="0"/>
                <w:szCs w:val="21"/>
                <w:highlight w:val="none"/>
              </w:rPr>
            </w:pPr>
          </w:p>
          <w:p w14:paraId="6F7969D5">
            <w:pPr>
              <w:snapToGrid w:val="0"/>
              <w:spacing w:line="400" w:lineRule="exact"/>
              <w:jc w:val="center"/>
              <w:rPr>
                <w:rFonts w:ascii="宋体" w:hAnsi="宋体"/>
                <w:color w:val="auto"/>
                <w:kern w:val="0"/>
                <w:szCs w:val="21"/>
                <w:highlight w:val="none"/>
              </w:rPr>
            </w:pPr>
          </w:p>
          <w:p w14:paraId="7156F18E">
            <w:pPr>
              <w:snapToGrid w:val="0"/>
              <w:spacing w:line="400" w:lineRule="exact"/>
              <w:jc w:val="center"/>
              <w:rPr>
                <w:rFonts w:ascii="宋体" w:hAnsi="宋体"/>
                <w:color w:val="auto"/>
                <w:kern w:val="0"/>
                <w:szCs w:val="21"/>
                <w:highlight w:val="none"/>
              </w:rPr>
            </w:pPr>
          </w:p>
          <w:p w14:paraId="62BD0A61">
            <w:pPr>
              <w:snapToGrid w:val="0"/>
              <w:spacing w:line="400" w:lineRule="exact"/>
              <w:jc w:val="center"/>
              <w:rPr>
                <w:rFonts w:ascii="宋体" w:hAnsi="宋体"/>
                <w:color w:val="auto"/>
                <w:kern w:val="0"/>
                <w:szCs w:val="21"/>
                <w:highlight w:val="none"/>
              </w:rPr>
            </w:pPr>
          </w:p>
          <w:p w14:paraId="0C6ED8E6">
            <w:pPr>
              <w:snapToGrid w:val="0"/>
              <w:spacing w:line="400" w:lineRule="exact"/>
              <w:jc w:val="center"/>
              <w:rPr>
                <w:rFonts w:ascii="宋体" w:hAnsi="宋体"/>
                <w:color w:val="auto"/>
                <w:kern w:val="0"/>
                <w:szCs w:val="21"/>
                <w:highlight w:val="none"/>
              </w:rPr>
            </w:pPr>
          </w:p>
          <w:p w14:paraId="19C188B8">
            <w:pPr>
              <w:snapToGrid w:val="0"/>
              <w:spacing w:line="400" w:lineRule="exact"/>
              <w:jc w:val="center"/>
              <w:rPr>
                <w:rFonts w:ascii="宋体" w:hAnsi="宋体"/>
                <w:color w:val="auto"/>
                <w:kern w:val="0"/>
                <w:szCs w:val="21"/>
                <w:highlight w:val="none"/>
              </w:rPr>
            </w:pPr>
          </w:p>
          <w:p w14:paraId="7F1ABA9F">
            <w:pPr>
              <w:snapToGrid w:val="0"/>
              <w:spacing w:line="400" w:lineRule="exact"/>
              <w:jc w:val="center"/>
              <w:rPr>
                <w:rFonts w:ascii="宋体" w:hAnsi="宋体"/>
                <w:color w:val="auto"/>
                <w:kern w:val="0"/>
                <w:szCs w:val="21"/>
                <w:highlight w:val="none"/>
              </w:rPr>
            </w:pPr>
          </w:p>
          <w:p w14:paraId="0DE73547">
            <w:pPr>
              <w:snapToGrid w:val="0"/>
              <w:spacing w:line="400" w:lineRule="exact"/>
              <w:jc w:val="center"/>
              <w:rPr>
                <w:rFonts w:ascii="宋体" w:hAnsi="宋体"/>
                <w:color w:val="auto"/>
                <w:kern w:val="0"/>
                <w:szCs w:val="21"/>
                <w:highlight w:val="none"/>
              </w:rPr>
            </w:pPr>
          </w:p>
          <w:p w14:paraId="3470C12F">
            <w:pPr>
              <w:snapToGrid w:val="0"/>
              <w:spacing w:line="400" w:lineRule="exact"/>
              <w:jc w:val="center"/>
              <w:rPr>
                <w:rFonts w:ascii="宋体" w:hAnsi="宋体"/>
                <w:color w:val="auto"/>
                <w:kern w:val="0"/>
                <w:szCs w:val="21"/>
                <w:highlight w:val="none"/>
              </w:rPr>
            </w:pPr>
          </w:p>
          <w:p w14:paraId="7018F69A">
            <w:pPr>
              <w:snapToGrid w:val="0"/>
              <w:spacing w:line="400" w:lineRule="exact"/>
              <w:jc w:val="center"/>
              <w:rPr>
                <w:rFonts w:ascii="宋体" w:hAnsi="宋体"/>
                <w:color w:val="auto"/>
                <w:kern w:val="0"/>
                <w:szCs w:val="21"/>
                <w:highlight w:val="none"/>
              </w:rPr>
            </w:pPr>
          </w:p>
          <w:p w14:paraId="02393232">
            <w:pPr>
              <w:snapToGrid w:val="0"/>
              <w:spacing w:line="400" w:lineRule="exact"/>
              <w:jc w:val="center"/>
              <w:rPr>
                <w:rFonts w:ascii="宋体" w:hAnsi="宋体"/>
                <w:color w:val="auto"/>
                <w:kern w:val="0"/>
                <w:szCs w:val="21"/>
                <w:highlight w:val="none"/>
              </w:rPr>
            </w:pPr>
          </w:p>
          <w:p w14:paraId="7B0AD4D6">
            <w:pPr>
              <w:snapToGrid w:val="0"/>
              <w:spacing w:line="400" w:lineRule="exact"/>
              <w:jc w:val="center"/>
              <w:rPr>
                <w:rFonts w:ascii="宋体" w:hAnsi="宋体"/>
                <w:color w:val="auto"/>
                <w:kern w:val="0"/>
                <w:szCs w:val="21"/>
                <w:highlight w:val="none"/>
              </w:rPr>
            </w:pPr>
          </w:p>
          <w:p w14:paraId="7D2CD864">
            <w:pPr>
              <w:snapToGrid w:val="0"/>
              <w:spacing w:line="400" w:lineRule="exact"/>
              <w:jc w:val="center"/>
              <w:rPr>
                <w:rFonts w:ascii="宋体" w:hAnsi="宋体"/>
                <w:color w:val="auto"/>
                <w:kern w:val="0"/>
                <w:szCs w:val="21"/>
                <w:highlight w:val="none"/>
              </w:rPr>
            </w:pPr>
          </w:p>
          <w:p w14:paraId="3F52148E">
            <w:pPr>
              <w:snapToGrid w:val="0"/>
              <w:spacing w:line="400" w:lineRule="exact"/>
              <w:jc w:val="center"/>
              <w:rPr>
                <w:rFonts w:ascii="宋体" w:hAnsi="宋体"/>
                <w:color w:val="auto"/>
                <w:kern w:val="0"/>
                <w:szCs w:val="21"/>
                <w:highlight w:val="none"/>
              </w:rPr>
            </w:pPr>
          </w:p>
          <w:p w14:paraId="191CC057">
            <w:pPr>
              <w:snapToGrid w:val="0"/>
              <w:spacing w:line="400" w:lineRule="exact"/>
              <w:jc w:val="center"/>
              <w:rPr>
                <w:rFonts w:ascii="宋体" w:hAnsi="宋体"/>
                <w:color w:val="auto"/>
                <w:kern w:val="0"/>
                <w:szCs w:val="21"/>
                <w:highlight w:val="none"/>
              </w:rPr>
            </w:pPr>
          </w:p>
          <w:p w14:paraId="20D45ACC">
            <w:pPr>
              <w:snapToGrid w:val="0"/>
              <w:spacing w:line="400" w:lineRule="exact"/>
              <w:jc w:val="center"/>
              <w:rPr>
                <w:rFonts w:ascii="宋体" w:hAnsi="宋体"/>
                <w:color w:val="auto"/>
                <w:kern w:val="0"/>
                <w:szCs w:val="21"/>
                <w:highlight w:val="none"/>
              </w:rPr>
            </w:pPr>
          </w:p>
          <w:p w14:paraId="28F397E6">
            <w:pPr>
              <w:snapToGrid w:val="0"/>
              <w:spacing w:line="400" w:lineRule="exact"/>
              <w:jc w:val="center"/>
              <w:rPr>
                <w:rFonts w:ascii="宋体" w:hAnsi="宋体"/>
                <w:color w:val="auto"/>
                <w:kern w:val="0"/>
                <w:szCs w:val="21"/>
                <w:highlight w:val="none"/>
              </w:rPr>
            </w:pPr>
          </w:p>
          <w:p w14:paraId="42D83D85">
            <w:pPr>
              <w:snapToGrid w:val="0"/>
              <w:spacing w:line="400" w:lineRule="exact"/>
              <w:jc w:val="center"/>
              <w:rPr>
                <w:rFonts w:ascii="宋体" w:hAnsi="宋体"/>
                <w:color w:val="auto"/>
                <w:kern w:val="0"/>
                <w:szCs w:val="21"/>
                <w:highlight w:val="none"/>
              </w:rPr>
            </w:pPr>
          </w:p>
          <w:p w14:paraId="05271F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40A0A088">
            <w:pPr>
              <w:snapToGrid w:val="0"/>
              <w:spacing w:line="400" w:lineRule="exact"/>
              <w:jc w:val="center"/>
              <w:rPr>
                <w:rFonts w:ascii="宋体" w:hAnsi="宋体"/>
                <w:color w:val="auto"/>
                <w:kern w:val="0"/>
                <w:szCs w:val="21"/>
                <w:highlight w:val="none"/>
              </w:rPr>
            </w:pPr>
          </w:p>
          <w:p w14:paraId="6C18531C">
            <w:pPr>
              <w:snapToGrid w:val="0"/>
              <w:spacing w:line="400" w:lineRule="exact"/>
              <w:jc w:val="center"/>
              <w:rPr>
                <w:rFonts w:ascii="宋体" w:hAnsi="宋体"/>
                <w:color w:val="auto"/>
                <w:kern w:val="0"/>
                <w:szCs w:val="21"/>
                <w:highlight w:val="none"/>
              </w:rPr>
            </w:pPr>
          </w:p>
          <w:p w14:paraId="531CC071">
            <w:pPr>
              <w:snapToGrid w:val="0"/>
              <w:spacing w:line="400" w:lineRule="exact"/>
              <w:jc w:val="center"/>
              <w:rPr>
                <w:rFonts w:ascii="宋体" w:hAnsi="宋体"/>
                <w:color w:val="auto"/>
                <w:kern w:val="0"/>
                <w:szCs w:val="21"/>
                <w:highlight w:val="none"/>
              </w:rPr>
            </w:pPr>
          </w:p>
          <w:p w14:paraId="29D153E5">
            <w:pPr>
              <w:snapToGrid w:val="0"/>
              <w:spacing w:line="400" w:lineRule="exact"/>
              <w:jc w:val="center"/>
              <w:rPr>
                <w:rFonts w:ascii="宋体" w:hAnsi="宋体"/>
                <w:color w:val="auto"/>
                <w:kern w:val="0"/>
                <w:szCs w:val="21"/>
                <w:highlight w:val="none"/>
              </w:rPr>
            </w:pPr>
          </w:p>
          <w:p w14:paraId="0DA6AA09">
            <w:pPr>
              <w:snapToGrid w:val="0"/>
              <w:spacing w:line="400" w:lineRule="exact"/>
              <w:jc w:val="center"/>
              <w:rPr>
                <w:rFonts w:ascii="宋体" w:hAnsi="宋体"/>
                <w:color w:val="auto"/>
                <w:kern w:val="0"/>
                <w:szCs w:val="21"/>
                <w:highlight w:val="none"/>
              </w:rPr>
            </w:pPr>
          </w:p>
          <w:p w14:paraId="254F84A1">
            <w:pPr>
              <w:snapToGrid w:val="0"/>
              <w:spacing w:line="400" w:lineRule="exact"/>
              <w:jc w:val="center"/>
              <w:rPr>
                <w:rFonts w:ascii="宋体" w:hAnsi="宋体"/>
                <w:color w:val="auto"/>
                <w:kern w:val="0"/>
                <w:szCs w:val="21"/>
                <w:highlight w:val="none"/>
              </w:rPr>
            </w:pPr>
          </w:p>
          <w:p w14:paraId="5550E034">
            <w:pPr>
              <w:snapToGrid w:val="0"/>
              <w:spacing w:line="400" w:lineRule="exact"/>
              <w:jc w:val="center"/>
              <w:rPr>
                <w:rFonts w:ascii="宋体" w:hAnsi="宋体"/>
                <w:color w:val="auto"/>
                <w:kern w:val="0"/>
                <w:szCs w:val="21"/>
                <w:highlight w:val="none"/>
              </w:rPr>
            </w:pPr>
          </w:p>
          <w:p w14:paraId="755E989B">
            <w:pPr>
              <w:snapToGrid w:val="0"/>
              <w:spacing w:line="400" w:lineRule="exact"/>
              <w:jc w:val="center"/>
              <w:rPr>
                <w:rFonts w:ascii="宋体" w:hAnsi="宋体"/>
                <w:color w:val="auto"/>
                <w:kern w:val="0"/>
                <w:szCs w:val="21"/>
                <w:highlight w:val="none"/>
              </w:rPr>
            </w:pPr>
          </w:p>
          <w:p w14:paraId="7D3DC861">
            <w:pPr>
              <w:snapToGrid w:val="0"/>
              <w:spacing w:line="400" w:lineRule="exact"/>
              <w:jc w:val="center"/>
              <w:rPr>
                <w:rFonts w:ascii="宋体" w:hAnsi="宋体"/>
                <w:color w:val="auto"/>
                <w:kern w:val="0"/>
                <w:szCs w:val="21"/>
                <w:highlight w:val="none"/>
              </w:rPr>
            </w:pPr>
          </w:p>
          <w:p w14:paraId="51C0AF60">
            <w:pPr>
              <w:snapToGrid w:val="0"/>
              <w:spacing w:line="400" w:lineRule="exact"/>
              <w:jc w:val="center"/>
              <w:rPr>
                <w:rFonts w:ascii="宋体" w:hAnsi="宋体"/>
                <w:color w:val="auto"/>
                <w:kern w:val="0"/>
                <w:szCs w:val="21"/>
                <w:highlight w:val="none"/>
              </w:rPr>
            </w:pPr>
          </w:p>
          <w:p w14:paraId="1FF880BF">
            <w:pPr>
              <w:snapToGrid w:val="0"/>
              <w:spacing w:line="400" w:lineRule="exact"/>
              <w:jc w:val="center"/>
              <w:rPr>
                <w:rFonts w:ascii="宋体" w:hAnsi="宋体"/>
                <w:color w:val="auto"/>
                <w:kern w:val="0"/>
                <w:szCs w:val="21"/>
                <w:highlight w:val="none"/>
              </w:rPr>
            </w:pPr>
          </w:p>
          <w:p w14:paraId="4893BB26">
            <w:pPr>
              <w:snapToGrid w:val="0"/>
              <w:spacing w:line="400" w:lineRule="exact"/>
              <w:jc w:val="center"/>
              <w:rPr>
                <w:rFonts w:ascii="宋体" w:hAnsi="宋体"/>
                <w:color w:val="auto"/>
                <w:kern w:val="0"/>
                <w:szCs w:val="21"/>
                <w:highlight w:val="none"/>
              </w:rPr>
            </w:pPr>
          </w:p>
          <w:p w14:paraId="51D76655">
            <w:pPr>
              <w:snapToGrid w:val="0"/>
              <w:spacing w:line="400" w:lineRule="exact"/>
              <w:jc w:val="both"/>
              <w:rPr>
                <w:rFonts w:ascii="宋体" w:hAnsi="宋体"/>
                <w:color w:val="auto"/>
                <w:kern w:val="0"/>
                <w:szCs w:val="21"/>
                <w:highlight w:val="none"/>
              </w:rPr>
            </w:pPr>
          </w:p>
        </w:tc>
        <w:tc>
          <w:tcPr>
            <w:tcW w:w="1644" w:type="dxa"/>
            <w:vAlign w:val="center"/>
          </w:tcPr>
          <w:p w14:paraId="5946B513">
            <w:pPr>
              <w:snapToGrid w:val="0"/>
              <w:spacing w:line="400" w:lineRule="exact"/>
              <w:jc w:val="center"/>
              <w:rPr>
                <w:rFonts w:ascii="宋体" w:hAnsi="宋体"/>
                <w:color w:val="auto"/>
                <w:kern w:val="0"/>
                <w:szCs w:val="21"/>
                <w:highlight w:val="none"/>
              </w:rPr>
            </w:pPr>
          </w:p>
          <w:p w14:paraId="0066A0B3">
            <w:pPr>
              <w:snapToGrid w:val="0"/>
              <w:spacing w:line="400" w:lineRule="exact"/>
              <w:jc w:val="center"/>
              <w:rPr>
                <w:rFonts w:ascii="宋体" w:hAnsi="宋体"/>
                <w:color w:val="auto"/>
                <w:kern w:val="0"/>
                <w:szCs w:val="21"/>
                <w:highlight w:val="none"/>
              </w:rPr>
            </w:pPr>
          </w:p>
          <w:p w14:paraId="480DC071">
            <w:pPr>
              <w:snapToGrid w:val="0"/>
              <w:spacing w:line="400" w:lineRule="exact"/>
              <w:jc w:val="center"/>
              <w:rPr>
                <w:rFonts w:ascii="宋体" w:hAnsi="宋体"/>
                <w:color w:val="auto"/>
                <w:kern w:val="0"/>
                <w:szCs w:val="21"/>
                <w:highlight w:val="none"/>
              </w:rPr>
            </w:pPr>
          </w:p>
          <w:p w14:paraId="2FE90022">
            <w:pPr>
              <w:snapToGrid w:val="0"/>
              <w:spacing w:line="400" w:lineRule="exact"/>
              <w:jc w:val="center"/>
              <w:rPr>
                <w:rFonts w:ascii="宋体" w:hAnsi="宋体"/>
                <w:color w:val="auto"/>
                <w:kern w:val="0"/>
                <w:szCs w:val="21"/>
                <w:highlight w:val="none"/>
              </w:rPr>
            </w:pPr>
          </w:p>
          <w:p w14:paraId="6BDB8C54">
            <w:pPr>
              <w:snapToGrid w:val="0"/>
              <w:spacing w:line="400" w:lineRule="exact"/>
              <w:jc w:val="center"/>
              <w:rPr>
                <w:rFonts w:ascii="宋体" w:hAnsi="宋体"/>
                <w:color w:val="auto"/>
                <w:kern w:val="0"/>
                <w:szCs w:val="21"/>
                <w:highlight w:val="none"/>
              </w:rPr>
            </w:pPr>
          </w:p>
          <w:p w14:paraId="47384003">
            <w:pPr>
              <w:snapToGrid w:val="0"/>
              <w:spacing w:line="400" w:lineRule="exact"/>
              <w:jc w:val="center"/>
              <w:rPr>
                <w:rFonts w:ascii="宋体" w:hAnsi="宋体"/>
                <w:color w:val="auto"/>
                <w:kern w:val="0"/>
                <w:szCs w:val="21"/>
                <w:highlight w:val="none"/>
              </w:rPr>
            </w:pPr>
          </w:p>
          <w:p w14:paraId="48BD3812">
            <w:pPr>
              <w:snapToGrid w:val="0"/>
              <w:spacing w:line="400" w:lineRule="exact"/>
              <w:jc w:val="center"/>
              <w:rPr>
                <w:rFonts w:ascii="宋体" w:hAnsi="宋体"/>
                <w:color w:val="auto"/>
                <w:kern w:val="0"/>
                <w:szCs w:val="21"/>
                <w:highlight w:val="none"/>
              </w:rPr>
            </w:pPr>
          </w:p>
          <w:p w14:paraId="71434AB1">
            <w:pPr>
              <w:snapToGrid w:val="0"/>
              <w:spacing w:line="400" w:lineRule="exact"/>
              <w:jc w:val="center"/>
              <w:rPr>
                <w:rFonts w:ascii="宋体" w:hAnsi="宋体"/>
                <w:color w:val="auto"/>
                <w:kern w:val="0"/>
                <w:szCs w:val="21"/>
                <w:highlight w:val="none"/>
              </w:rPr>
            </w:pPr>
          </w:p>
          <w:p w14:paraId="5FD2FBA9">
            <w:pPr>
              <w:snapToGrid w:val="0"/>
              <w:spacing w:line="400" w:lineRule="exact"/>
              <w:jc w:val="center"/>
              <w:rPr>
                <w:rFonts w:ascii="宋体" w:hAnsi="宋体"/>
                <w:color w:val="auto"/>
                <w:kern w:val="0"/>
                <w:szCs w:val="21"/>
                <w:highlight w:val="none"/>
              </w:rPr>
            </w:pPr>
          </w:p>
          <w:p w14:paraId="1C8D2FFB">
            <w:pPr>
              <w:snapToGrid w:val="0"/>
              <w:spacing w:line="400" w:lineRule="exact"/>
              <w:jc w:val="center"/>
              <w:rPr>
                <w:rFonts w:ascii="宋体" w:hAnsi="宋体"/>
                <w:color w:val="auto"/>
                <w:kern w:val="0"/>
                <w:szCs w:val="21"/>
                <w:highlight w:val="none"/>
              </w:rPr>
            </w:pPr>
          </w:p>
          <w:p w14:paraId="40BFE022">
            <w:pPr>
              <w:snapToGrid w:val="0"/>
              <w:spacing w:line="400" w:lineRule="exact"/>
              <w:jc w:val="center"/>
              <w:rPr>
                <w:rFonts w:ascii="宋体" w:hAnsi="宋体"/>
                <w:color w:val="auto"/>
                <w:kern w:val="0"/>
                <w:szCs w:val="21"/>
                <w:highlight w:val="none"/>
              </w:rPr>
            </w:pPr>
          </w:p>
          <w:p w14:paraId="5BC7AC3C">
            <w:pPr>
              <w:snapToGrid w:val="0"/>
              <w:spacing w:line="400" w:lineRule="exact"/>
              <w:jc w:val="center"/>
              <w:rPr>
                <w:rFonts w:ascii="宋体" w:hAnsi="宋体"/>
                <w:color w:val="auto"/>
                <w:kern w:val="0"/>
                <w:szCs w:val="21"/>
                <w:highlight w:val="none"/>
              </w:rPr>
            </w:pPr>
          </w:p>
          <w:p w14:paraId="56630D40">
            <w:pPr>
              <w:snapToGrid w:val="0"/>
              <w:spacing w:line="400" w:lineRule="exact"/>
              <w:jc w:val="center"/>
              <w:rPr>
                <w:rFonts w:ascii="宋体" w:hAnsi="宋体"/>
                <w:color w:val="auto"/>
                <w:kern w:val="0"/>
                <w:szCs w:val="21"/>
                <w:highlight w:val="none"/>
              </w:rPr>
            </w:pPr>
          </w:p>
          <w:p w14:paraId="3C1AE7CA">
            <w:pPr>
              <w:snapToGrid w:val="0"/>
              <w:spacing w:line="400" w:lineRule="exact"/>
              <w:jc w:val="center"/>
              <w:rPr>
                <w:rFonts w:ascii="宋体" w:hAnsi="宋体"/>
                <w:color w:val="auto"/>
                <w:kern w:val="0"/>
                <w:szCs w:val="21"/>
                <w:highlight w:val="none"/>
              </w:rPr>
            </w:pPr>
          </w:p>
          <w:p w14:paraId="569942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F4F1A30">
            <w:pPr>
              <w:snapToGrid w:val="0"/>
              <w:spacing w:line="400" w:lineRule="exact"/>
              <w:jc w:val="center"/>
              <w:rPr>
                <w:rFonts w:ascii="宋体" w:hAnsi="宋体"/>
                <w:color w:val="auto"/>
                <w:kern w:val="0"/>
                <w:szCs w:val="21"/>
                <w:highlight w:val="none"/>
              </w:rPr>
            </w:pPr>
          </w:p>
          <w:p w14:paraId="1A7C53E4">
            <w:pPr>
              <w:snapToGrid w:val="0"/>
              <w:spacing w:line="400" w:lineRule="exact"/>
              <w:jc w:val="center"/>
              <w:rPr>
                <w:rFonts w:ascii="宋体" w:hAnsi="宋体"/>
                <w:color w:val="auto"/>
                <w:kern w:val="0"/>
                <w:szCs w:val="21"/>
                <w:highlight w:val="none"/>
              </w:rPr>
            </w:pPr>
          </w:p>
          <w:p w14:paraId="546B2D44">
            <w:pPr>
              <w:snapToGrid w:val="0"/>
              <w:spacing w:line="400" w:lineRule="exact"/>
              <w:jc w:val="center"/>
              <w:rPr>
                <w:rFonts w:ascii="宋体" w:hAnsi="宋体"/>
                <w:color w:val="auto"/>
                <w:kern w:val="0"/>
                <w:szCs w:val="21"/>
                <w:highlight w:val="none"/>
              </w:rPr>
            </w:pPr>
          </w:p>
          <w:p w14:paraId="307873D4">
            <w:pPr>
              <w:snapToGrid w:val="0"/>
              <w:spacing w:line="400" w:lineRule="exact"/>
              <w:jc w:val="center"/>
              <w:rPr>
                <w:rFonts w:ascii="宋体" w:hAnsi="宋体"/>
                <w:color w:val="auto"/>
                <w:kern w:val="0"/>
                <w:szCs w:val="21"/>
                <w:highlight w:val="none"/>
              </w:rPr>
            </w:pPr>
          </w:p>
          <w:p w14:paraId="10EE9CB4">
            <w:pPr>
              <w:snapToGrid w:val="0"/>
              <w:spacing w:line="400" w:lineRule="exact"/>
              <w:jc w:val="center"/>
              <w:rPr>
                <w:rFonts w:ascii="宋体" w:hAnsi="宋体"/>
                <w:color w:val="auto"/>
                <w:kern w:val="0"/>
                <w:szCs w:val="21"/>
                <w:highlight w:val="none"/>
              </w:rPr>
            </w:pPr>
          </w:p>
          <w:p w14:paraId="171C807F">
            <w:pPr>
              <w:snapToGrid w:val="0"/>
              <w:spacing w:line="400" w:lineRule="exact"/>
              <w:jc w:val="center"/>
              <w:rPr>
                <w:rFonts w:ascii="宋体" w:hAnsi="宋体"/>
                <w:color w:val="auto"/>
                <w:kern w:val="0"/>
                <w:szCs w:val="21"/>
                <w:highlight w:val="none"/>
              </w:rPr>
            </w:pPr>
          </w:p>
          <w:p w14:paraId="10218D69">
            <w:pPr>
              <w:snapToGrid w:val="0"/>
              <w:spacing w:line="400" w:lineRule="exact"/>
              <w:jc w:val="center"/>
              <w:rPr>
                <w:rFonts w:ascii="宋体" w:hAnsi="宋体"/>
                <w:color w:val="auto"/>
                <w:kern w:val="0"/>
                <w:szCs w:val="21"/>
                <w:highlight w:val="none"/>
              </w:rPr>
            </w:pPr>
          </w:p>
          <w:p w14:paraId="36381830">
            <w:pPr>
              <w:snapToGrid w:val="0"/>
              <w:spacing w:line="400" w:lineRule="exact"/>
              <w:jc w:val="center"/>
              <w:rPr>
                <w:rFonts w:ascii="宋体" w:hAnsi="宋体"/>
                <w:color w:val="auto"/>
                <w:kern w:val="0"/>
                <w:szCs w:val="21"/>
                <w:highlight w:val="none"/>
              </w:rPr>
            </w:pPr>
          </w:p>
          <w:p w14:paraId="10071625">
            <w:pPr>
              <w:snapToGrid w:val="0"/>
              <w:spacing w:line="400" w:lineRule="exact"/>
              <w:jc w:val="center"/>
              <w:rPr>
                <w:rFonts w:ascii="宋体" w:hAnsi="宋体"/>
                <w:color w:val="auto"/>
                <w:kern w:val="0"/>
                <w:szCs w:val="21"/>
                <w:highlight w:val="none"/>
              </w:rPr>
            </w:pPr>
          </w:p>
          <w:p w14:paraId="1DD65304">
            <w:pPr>
              <w:snapToGrid w:val="0"/>
              <w:spacing w:line="400" w:lineRule="exact"/>
              <w:jc w:val="center"/>
              <w:rPr>
                <w:rFonts w:ascii="宋体" w:hAnsi="宋体"/>
                <w:color w:val="auto"/>
                <w:kern w:val="0"/>
                <w:szCs w:val="21"/>
                <w:highlight w:val="none"/>
              </w:rPr>
            </w:pPr>
          </w:p>
          <w:p w14:paraId="65053777">
            <w:pPr>
              <w:snapToGrid w:val="0"/>
              <w:spacing w:line="400" w:lineRule="exact"/>
              <w:jc w:val="center"/>
              <w:rPr>
                <w:rFonts w:ascii="宋体" w:hAnsi="宋体"/>
                <w:color w:val="auto"/>
                <w:kern w:val="0"/>
                <w:szCs w:val="21"/>
                <w:highlight w:val="none"/>
              </w:rPr>
            </w:pPr>
          </w:p>
          <w:p w14:paraId="4F8E076C">
            <w:pPr>
              <w:snapToGrid w:val="0"/>
              <w:spacing w:line="400" w:lineRule="exact"/>
              <w:jc w:val="center"/>
              <w:rPr>
                <w:rFonts w:ascii="宋体" w:hAnsi="宋体"/>
                <w:color w:val="auto"/>
                <w:kern w:val="0"/>
                <w:szCs w:val="21"/>
                <w:highlight w:val="none"/>
              </w:rPr>
            </w:pPr>
          </w:p>
          <w:p w14:paraId="0B2B69C2">
            <w:pPr>
              <w:snapToGrid w:val="0"/>
              <w:spacing w:line="400" w:lineRule="exact"/>
              <w:jc w:val="center"/>
              <w:rPr>
                <w:rFonts w:ascii="宋体" w:hAnsi="宋体"/>
                <w:color w:val="auto"/>
                <w:kern w:val="0"/>
                <w:szCs w:val="21"/>
                <w:highlight w:val="none"/>
              </w:rPr>
            </w:pPr>
          </w:p>
          <w:p w14:paraId="60B4903A">
            <w:pPr>
              <w:snapToGrid w:val="0"/>
              <w:spacing w:line="400" w:lineRule="exact"/>
              <w:jc w:val="center"/>
              <w:rPr>
                <w:rFonts w:ascii="宋体" w:hAnsi="宋体"/>
                <w:color w:val="auto"/>
                <w:kern w:val="0"/>
                <w:szCs w:val="21"/>
                <w:highlight w:val="none"/>
              </w:rPr>
            </w:pPr>
          </w:p>
          <w:p w14:paraId="69C7714A">
            <w:pPr>
              <w:snapToGrid w:val="0"/>
              <w:spacing w:line="400" w:lineRule="exact"/>
              <w:jc w:val="center"/>
              <w:rPr>
                <w:rFonts w:ascii="宋体" w:hAnsi="宋体"/>
                <w:color w:val="auto"/>
                <w:kern w:val="0"/>
                <w:szCs w:val="21"/>
                <w:highlight w:val="none"/>
              </w:rPr>
            </w:pPr>
          </w:p>
          <w:p w14:paraId="2BD6A2F1">
            <w:pPr>
              <w:snapToGrid w:val="0"/>
              <w:spacing w:line="400" w:lineRule="exact"/>
              <w:jc w:val="center"/>
              <w:rPr>
                <w:rFonts w:ascii="宋体" w:hAnsi="宋体"/>
                <w:color w:val="auto"/>
                <w:kern w:val="0"/>
                <w:szCs w:val="21"/>
                <w:highlight w:val="none"/>
              </w:rPr>
            </w:pPr>
          </w:p>
          <w:p w14:paraId="2057C9B4">
            <w:pPr>
              <w:snapToGrid w:val="0"/>
              <w:spacing w:line="400" w:lineRule="exact"/>
              <w:jc w:val="center"/>
              <w:rPr>
                <w:rFonts w:ascii="宋体" w:hAnsi="宋体"/>
                <w:color w:val="auto"/>
                <w:kern w:val="0"/>
                <w:szCs w:val="21"/>
                <w:highlight w:val="none"/>
              </w:rPr>
            </w:pPr>
          </w:p>
          <w:p w14:paraId="475DBA3D">
            <w:pPr>
              <w:snapToGrid w:val="0"/>
              <w:spacing w:line="400" w:lineRule="exact"/>
              <w:jc w:val="center"/>
              <w:rPr>
                <w:rFonts w:ascii="宋体" w:hAnsi="宋体"/>
                <w:color w:val="auto"/>
                <w:kern w:val="0"/>
                <w:szCs w:val="21"/>
                <w:highlight w:val="none"/>
              </w:rPr>
            </w:pPr>
          </w:p>
          <w:p w14:paraId="6A59B866">
            <w:pPr>
              <w:snapToGrid w:val="0"/>
              <w:spacing w:line="400" w:lineRule="exact"/>
              <w:jc w:val="center"/>
              <w:rPr>
                <w:rFonts w:ascii="宋体" w:hAnsi="宋体"/>
                <w:color w:val="auto"/>
                <w:kern w:val="0"/>
                <w:szCs w:val="21"/>
                <w:highlight w:val="none"/>
              </w:rPr>
            </w:pPr>
          </w:p>
          <w:p w14:paraId="6FA9E96D">
            <w:pPr>
              <w:snapToGrid w:val="0"/>
              <w:spacing w:line="400" w:lineRule="exact"/>
              <w:jc w:val="center"/>
              <w:rPr>
                <w:rFonts w:ascii="宋体" w:hAnsi="宋体"/>
                <w:color w:val="auto"/>
                <w:kern w:val="0"/>
                <w:szCs w:val="21"/>
                <w:highlight w:val="none"/>
              </w:rPr>
            </w:pPr>
          </w:p>
          <w:p w14:paraId="6B89BE06">
            <w:pPr>
              <w:snapToGrid w:val="0"/>
              <w:spacing w:line="400" w:lineRule="exact"/>
              <w:jc w:val="center"/>
              <w:rPr>
                <w:rFonts w:ascii="宋体" w:hAnsi="宋体"/>
                <w:color w:val="auto"/>
                <w:kern w:val="0"/>
                <w:szCs w:val="21"/>
                <w:highlight w:val="none"/>
              </w:rPr>
            </w:pPr>
          </w:p>
          <w:p w14:paraId="7EA6DC5E">
            <w:pPr>
              <w:snapToGrid w:val="0"/>
              <w:spacing w:line="400" w:lineRule="exact"/>
              <w:jc w:val="center"/>
              <w:rPr>
                <w:rFonts w:ascii="宋体" w:hAnsi="宋体"/>
                <w:color w:val="auto"/>
                <w:kern w:val="0"/>
                <w:szCs w:val="21"/>
                <w:highlight w:val="none"/>
              </w:rPr>
            </w:pPr>
          </w:p>
          <w:p w14:paraId="674B6CA1">
            <w:pPr>
              <w:snapToGrid w:val="0"/>
              <w:spacing w:line="400" w:lineRule="exact"/>
              <w:jc w:val="center"/>
              <w:rPr>
                <w:rFonts w:ascii="宋体" w:hAnsi="宋体"/>
                <w:color w:val="auto"/>
                <w:kern w:val="0"/>
                <w:szCs w:val="21"/>
                <w:highlight w:val="none"/>
              </w:rPr>
            </w:pPr>
          </w:p>
          <w:p w14:paraId="4440C66C">
            <w:pPr>
              <w:snapToGrid w:val="0"/>
              <w:spacing w:line="400" w:lineRule="exact"/>
              <w:jc w:val="center"/>
              <w:rPr>
                <w:rFonts w:ascii="宋体" w:hAnsi="宋体"/>
                <w:color w:val="auto"/>
                <w:kern w:val="0"/>
                <w:szCs w:val="21"/>
                <w:highlight w:val="none"/>
              </w:rPr>
            </w:pPr>
          </w:p>
          <w:p w14:paraId="53351452">
            <w:pPr>
              <w:snapToGrid w:val="0"/>
              <w:spacing w:line="400" w:lineRule="exact"/>
              <w:jc w:val="center"/>
              <w:rPr>
                <w:rFonts w:ascii="宋体" w:hAnsi="宋体"/>
                <w:color w:val="auto"/>
                <w:kern w:val="0"/>
                <w:szCs w:val="21"/>
                <w:highlight w:val="none"/>
              </w:rPr>
            </w:pPr>
          </w:p>
          <w:p w14:paraId="2AB31C18">
            <w:pPr>
              <w:snapToGrid w:val="0"/>
              <w:spacing w:line="400" w:lineRule="exact"/>
              <w:jc w:val="center"/>
              <w:rPr>
                <w:rFonts w:ascii="宋体" w:hAnsi="宋体"/>
                <w:color w:val="auto"/>
                <w:kern w:val="0"/>
                <w:szCs w:val="21"/>
                <w:highlight w:val="none"/>
              </w:rPr>
            </w:pPr>
          </w:p>
          <w:p w14:paraId="58444A75">
            <w:pPr>
              <w:snapToGrid w:val="0"/>
              <w:spacing w:line="400" w:lineRule="exact"/>
              <w:jc w:val="center"/>
              <w:rPr>
                <w:rFonts w:ascii="宋体" w:hAnsi="宋体"/>
                <w:color w:val="auto"/>
                <w:kern w:val="0"/>
                <w:szCs w:val="21"/>
                <w:highlight w:val="none"/>
              </w:rPr>
            </w:pPr>
          </w:p>
          <w:p w14:paraId="6117163F">
            <w:pPr>
              <w:snapToGrid w:val="0"/>
              <w:spacing w:line="400" w:lineRule="exact"/>
              <w:jc w:val="center"/>
              <w:rPr>
                <w:rFonts w:ascii="宋体" w:hAnsi="宋体"/>
                <w:color w:val="auto"/>
                <w:kern w:val="0"/>
                <w:szCs w:val="21"/>
                <w:highlight w:val="none"/>
              </w:rPr>
            </w:pPr>
          </w:p>
          <w:p w14:paraId="754C23D6">
            <w:pPr>
              <w:snapToGrid w:val="0"/>
              <w:spacing w:line="400" w:lineRule="exact"/>
              <w:jc w:val="center"/>
              <w:rPr>
                <w:rFonts w:ascii="宋体" w:hAnsi="宋体"/>
                <w:color w:val="auto"/>
                <w:kern w:val="0"/>
                <w:szCs w:val="21"/>
                <w:highlight w:val="none"/>
              </w:rPr>
            </w:pPr>
          </w:p>
          <w:p w14:paraId="7AE363A1">
            <w:pPr>
              <w:snapToGrid w:val="0"/>
              <w:spacing w:line="400" w:lineRule="exact"/>
              <w:jc w:val="center"/>
              <w:rPr>
                <w:rFonts w:ascii="宋体" w:hAnsi="宋体"/>
                <w:color w:val="auto"/>
                <w:kern w:val="0"/>
                <w:szCs w:val="21"/>
                <w:highlight w:val="none"/>
              </w:rPr>
            </w:pPr>
          </w:p>
          <w:p w14:paraId="39CD0674">
            <w:pPr>
              <w:snapToGrid w:val="0"/>
              <w:spacing w:line="400" w:lineRule="exact"/>
              <w:jc w:val="center"/>
              <w:rPr>
                <w:rFonts w:ascii="宋体" w:hAnsi="宋体"/>
                <w:color w:val="auto"/>
                <w:kern w:val="0"/>
                <w:szCs w:val="21"/>
                <w:highlight w:val="none"/>
              </w:rPr>
            </w:pPr>
          </w:p>
          <w:p w14:paraId="695C4775">
            <w:pPr>
              <w:snapToGrid w:val="0"/>
              <w:spacing w:line="400" w:lineRule="exact"/>
              <w:jc w:val="center"/>
              <w:rPr>
                <w:rFonts w:ascii="宋体" w:hAnsi="宋体"/>
                <w:color w:val="auto"/>
                <w:kern w:val="0"/>
                <w:szCs w:val="21"/>
                <w:highlight w:val="none"/>
              </w:rPr>
            </w:pPr>
          </w:p>
          <w:p w14:paraId="4AC876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5B10AA5">
            <w:pPr>
              <w:snapToGrid w:val="0"/>
              <w:spacing w:line="400" w:lineRule="exact"/>
              <w:jc w:val="center"/>
              <w:rPr>
                <w:rFonts w:ascii="宋体" w:hAnsi="宋体"/>
                <w:color w:val="auto"/>
                <w:kern w:val="0"/>
                <w:szCs w:val="21"/>
                <w:highlight w:val="none"/>
              </w:rPr>
            </w:pPr>
          </w:p>
          <w:p w14:paraId="2932917A">
            <w:pPr>
              <w:snapToGrid w:val="0"/>
              <w:spacing w:line="400" w:lineRule="exact"/>
              <w:jc w:val="center"/>
              <w:rPr>
                <w:rFonts w:ascii="宋体" w:hAnsi="宋体"/>
                <w:color w:val="auto"/>
                <w:kern w:val="0"/>
                <w:szCs w:val="21"/>
                <w:highlight w:val="none"/>
              </w:rPr>
            </w:pPr>
          </w:p>
          <w:p w14:paraId="0D832B93">
            <w:pPr>
              <w:snapToGrid w:val="0"/>
              <w:spacing w:line="400" w:lineRule="exact"/>
              <w:jc w:val="center"/>
              <w:rPr>
                <w:rFonts w:ascii="宋体" w:hAnsi="宋体"/>
                <w:color w:val="auto"/>
                <w:kern w:val="0"/>
                <w:szCs w:val="21"/>
                <w:highlight w:val="none"/>
              </w:rPr>
            </w:pPr>
          </w:p>
          <w:p w14:paraId="009240CA">
            <w:pPr>
              <w:snapToGrid w:val="0"/>
              <w:spacing w:line="400" w:lineRule="exact"/>
              <w:jc w:val="center"/>
              <w:rPr>
                <w:rFonts w:ascii="宋体" w:hAnsi="宋体"/>
                <w:color w:val="auto"/>
                <w:kern w:val="0"/>
                <w:szCs w:val="21"/>
                <w:highlight w:val="none"/>
              </w:rPr>
            </w:pPr>
          </w:p>
          <w:p w14:paraId="3FCC463E">
            <w:pPr>
              <w:snapToGrid w:val="0"/>
              <w:spacing w:line="400" w:lineRule="exact"/>
              <w:jc w:val="center"/>
              <w:rPr>
                <w:rFonts w:ascii="宋体" w:hAnsi="宋体"/>
                <w:color w:val="auto"/>
                <w:kern w:val="0"/>
                <w:szCs w:val="21"/>
                <w:highlight w:val="none"/>
              </w:rPr>
            </w:pPr>
          </w:p>
          <w:p w14:paraId="512E6939">
            <w:pPr>
              <w:snapToGrid w:val="0"/>
              <w:spacing w:line="400" w:lineRule="exact"/>
              <w:jc w:val="center"/>
              <w:rPr>
                <w:rFonts w:ascii="宋体" w:hAnsi="宋体"/>
                <w:color w:val="auto"/>
                <w:kern w:val="0"/>
                <w:szCs w:val="21"/>
                <w:highlight w:val="none"/>
              </w:rPr>
            </w:pPr>
          </w:p>
          <w:p w14:paraId="7A58C547">
            <w:pPr>
              <w:snapToGrid w:val="0"/>
              <w:spacing w:line="400" w:lineRule="exact"/>
              <w:jc w:val="center"/>
              <w:rPr>
                <w:rFonts w:ascii="宋体" w:hAnsi="宋体"/>
                <w:color w:val="auto"/>
                <w:kern w:val="0"/>
                <w:szCs w:val="21"/>
                <w:highlight w:val="none"/>
              </w:rPr>
            </w:pPr>
          </w:p>
          <w:p w14:paraId="3EC5A8C3">
            <w:pPr>
              <w:snapToGrid w:val="0"/>
              <w:spacing w:line="400" w:lineRule="exact"/>
              <w:jc w:val="center"/>
              <w:rPr>
                <w:rFonts w:ascii="宋体" w:hAnsi="宋体"/>
                <w:color w:val="auto"/>
                <w:kern w:val="0"/>
                <w:szCs w:val="21"/>
                <w:highlight w:val="none"/>
              </w:rPr>
            </w:pPr>
          </w:p>
          <w:p w14:paraId="1CCED5CC">
            <w:pPr>
              <w:snapToGrid w:val="0"/>
              <w:spacing w:line="400" w:lineRule="exact"/>
              <w:jc w:val="center"/>
              <w:rPr>
                <w:rFonts w:ascii="宋体" w:hAnsi="宋体"/>
                <w:color w:val="auto"/>
                <w:kern w:val="0"/>
                <w:szCs w:val="21"/>
                <w:highlight w:val="none"/>
              </w:rPr>
            </w:pPr>
          </w:p>
        </w:tc>
        <w:tc>
          <w:tcPr>
            <w:tcW w:w="6490" w:type="dxa"/>
            <w:vAlign w:val="center"/>
          </w:tcPr>
          <w:p w14:paraId="14DAD2F7">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招标实行资格后审，投标人应</w:t>
            </w:r>
            <w:bookmarkStart w:id="97" w:name="一是"/>
            <w:bookmarkEnd w:id="97"/>
            <w:r>
              <w:rPr>
                <w:rFonts w:ascii="宋体" w:hAnsi="宋体"/>
                <w:color w:val="auto"/>
                <w:szCs w:val="21"/>
                <w:highlight w:val="none"/>
              </w:rPr>
              <w:t>具备以下资格条件：</w:t>
            </w:r>
          </w:p>
          <w:bookmarkEnd w:id="96"/>
          <w:p w14:paraId="78DD3D7C">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2BFA971B">
            <w:pPr>
              <w:autoSpaceDE w:val="0"/>
              <w:autoSpaceDN w:val="0"/>
              <w:adjustRightInd w:val="0"/>
              <w:snapToGrid w:val="0"/>
              <w:spacing w:line="400" w:lineRule="exact"/>
              <w:ind w:firstLine="420" w:firstLineChars="200"/>
              <w:rPr>
                <w:rFonts w:hint="eastAsia" w:ascii="宋体" w:hAnsi="宋体"/>
                <w:b/>
                <w:bCs/>
                <w:color w:val="auto"/>
                <w:szCs w:val="21"/>
                <w:highlight w:val="none"/>
                <w:lang w:val="en-US" w:eastAsia="zh-CN"/>
              </w:rPr>
            </w:pPr>
            <w:r>
              <w:rPr>
                <w:rFonts w:hint="eastAsia" w:ascii="宋体" w:hAnsi="宋体"/>
                <w:snapToGrid w:val="0"/>
                <w:color w:val="auto"/>
                <w:kern w:val="0"/>
                <w:szCs w:val="21"/>
                <w:highlight w:val="none"/>
                <w:u w:val="single"/>
              </w:rPr>
              <w:t>竞选人为</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rPr>
              <w:t>的生产厂商或代理商（包括经销商、制造商下属销售子公司），若代理商（包括经销商、制造商下属销售子公司）竞选，需提供生产厂商授权委托书。</w:t>
            </w:r>
          </w:p>
          <w:p w14:paraId="1B1E0B52">
            <w:pPr>
              <w:autoSpaceDE w:val="0"/>
              <w:autoSpaceDN w:val="0"/>
              <w:adjustRightInd w:val="0"/>
              <w:snapToGrid w:val="0"/>
              <w:spacing w:line="400" w:lineRule="exact"/>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w:t>
            </w:r>
            <w:r>
              <w:rPr>
                <w:rFonts w:ascii="宋体" w:hAnsi="宋体"/>
                <w:b/>
                <w:bCs/>
                <w:color w:val="auto"/>
                <w:szCs w:val="21"/>
                <w:highlight w:val="none"/>
              </w:rPr>
              <w:t>须</w:t>
            </w:r>
            <w:r>
              <w:rPr>
                <w:rFonts w:hint="eastAsia" w:ascii="宋体" w:hAnsi="宋体"/>
                <w:b/>
                <w:bCs/>
                <w:color w:val="auto"/>
                <w:szCs w:val="21"/>
                <w:highlight w:val="none"/>
              </w:rPr>
              <w:t>在投标文件资格审查部分</w:t>
            </w:r>
            <w:r>
              <w:rPr>
                <w:rFonts w:ascii="宋体" w:hAnsi="宋体"/>
                <w:b/>
                <w:bCs/>
                <w:color w:val="auto"/>
                <w:szCs w:val="21"/>
                <w:highlight w:val="none"/>
              </w:rPr>
              <w:t>提供有效的营业执照</w:t>
            </w:r>
            <w:r>
              <w:rPr>
                <w:rFonts w:hint="eastAsia" w:ascii="宋体" w:hAnsi="宋体"/>
                <w:b/>
                <w:bCs/>
                <w:color w:val="auto"/>
                <w:szCs w:val="21"/>
                <w:highlight w:val="none"/>
                <w:lang w:val="en-US" w:eastAsia="zh-CN"/>
              </w:rPr>
              <w:t>复印件并加盖公章，</w:t>
            </w:r>
            <w:r>
              <w:rPr>
                <w:rFonts w:hint="eastAsia" w:ascii="宋体" w:hAnsi="宋体"/>
                <w:snapToGrid w:val="0"/>
                <w:color w:val="auto"/>
                <w:kern w:val="0"/>
                <w:szCs w:val="21"/>
                <w:highlight w:val="none"/>
                <w:u w:val="single"/>
              </w:rPr>
              <w:t>若代理商（包括经销商、制造商下属销售子公司）竞选，需提供生产厂商授权委托书</w:t>
            </w:r>
            <w:r>
              <w:rPr>
                <w:rFonts w:ascii="宋体" w:hAnsi="宋体"/>
                <w:b/>
                <w:bCs/>
                <w:color w:val="auto"/>
                <w:szCs w:val="21"/>
                <w:highlight w:val="none"/>
              </w:rPr>
              <w:t>。</w:t>
            </w:r>
          </w:p>
          <w:p w14:paraId="1C19DD12">
            <w:pPr>
              <w:autoSpaceDE w:val="0"/>
              <w:autoSpaceDN w:val="0"/>
              <w:adjustRightInd w:val="0"/>
              <w:snapToGrid w:val="0"/>
              <w:spacing w:line="400" w:lineRule="exact"/>
              <w:ind w:firstLine="422" w:firstLineChars="200"/>
              <w:rPr>
                <w:rFonts w:hint="eastAsia"/>
                <w:b/>
                <w:bCs/>
                <w:color w:val="auto"/>
                <w:highlight w:val="none"/>
              </w:rPr>
            </w:pPr>
            <w:r>
              <w:rPr>
                <w:rFonts w:hint="eastAsia"/>
                <w:b/>
                <w:bCs/>
                <w:color w:val="auto"/>
                <w:highlight w:val="none"/>
              </w:rPr>
              <w:t>注：不得将投标人营业执照记载的经营范围作为评审因素。</w:t>
            </w:r>
          </w:p>
          <w:p w14:paraId="5FCFF6D4">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bCs w:val="0"/>
                <w:color w:val="auto"/>
                <w:szCs w:val="21"/>
                <w:highlight w:val="none"/>
                <w:lang w:val="en-US" w:eastAsia="zh-CN"/>
              </w:rPr>
              <w:t>质量及保供</w:t>
            </w:r>
            <w:r>
              <w:rPr>
                <w:rFonts w:hint="eastAsia" w:ascii="宋体" w:hAnsi="宋体"/>
                <w:b/>
                <w:bCs w:val="0"/>
                <w:snapToGrid w:val="0"/>
                <w:color w:val="auto"/>
                <w:kern w:val="0"/>
                <w:szCs w:val="21"/>
                <w:highlight w:val="none"/>
              </w:rPr>
              <w:t>要求</w:t>
            </w:r>
          </w:p>
          <w:p w14:paraId="7E76F433">
            <w:pPr>
              <w:snapToGrid w:val="0"/>
              <w:spacing w:line="400" w:lineRule="exact"/>
              <w:ind w:firstLine="420" w:firstLineChars="200"/>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产品每批次抽检均需满足《GB/T 1499.3-2022 钢筋混凝土用钢 第3部分：钢筋焊接网》相关指标要求。</w:t>
            </w:r>
          </w:p>
          <w:p w14:paraId="7DBCDC08">
            <w:pPr>
              <w:snapToGrid w:val="0"/>
              <w:spacing w:line="400" w:lineRule="exact"/>
              <w:ind w:firstLine="420" w:firstLineChars="200"/>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竞标人需具备近两年内市场监督管理部门对竞标人钢筋网片产品的抽检报告。</w:t>
            </w:r>
          </w:p>
          <w:p w14:paraId="4C5A6120">
            <w:pPr>
              <w:snapToGri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lang w:val="en-US" w:eastAsia="zh-CN"/>
              </w:rPr>
              <w:t>提供：①近两年内市场监督管理部门对竞标人钢筋网片产品的抽检报告复印件并加盖公章；②按投标文件格式提供承诺书并加盖公章。</w:t>
            </w:r>
          </w:p>
          <w:p w14:paraId="36B7BD4D">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lang w:val="en-US" w:eastAsia="zh-CN"/>
              </w:rPr>
              <w:t>财务能力</w:t>
            </w:r>
            <w:r>
              <w:rPr>
                <w:rFonts w:ascii="宋体" w:hAnsi="宋体"/>
                <w:b/>
                <w:color w:val="auto"/>
                <w:szCs w:val="21"/>
                <w:highlight w:val="none"/>
              </w:rPr>
              <w:t>要求</w:t>
            </w:r>
          </w:p>
          <w:p w14:paraId="2B4A4D5E">
            <w:pPr>
              <w:snapToGrid w:val="0"/>
              <w:spacing w:line="400" w:lineRule="exact"/>
              <w:ind w:firstLine="420" w:firstLineChars="200"/>
              <w:rPr>
                <w:rFonts w:hint="eastAsia" w:ascii="宋体" w:hAnsi="宋体" w:eastAsia="宋体" w:cs="Times New Roman"/>
                <w:snapToGrid w:val="0"/>
                <w:color w:val="auto"/>
                <w:kern w:val="0"/>
                <w:szCs w:val="21"/>
                <w:highlight w:val="none"/>
              </w:rPr>
            </w:pPr>
            <w:r>
              <w:rPr>
                <w:rFonts w:hint="eastAsia" w:ascii="宋体" w:hAnsi="宋体"/>
                <w:snapToGrid w:val="0"/>
                <w:color w:val="auto"/>
                <w:kern w:val="0"/>
                <w:szCs w:val="21"/>
                <w:highlight w:val="none"/>
                <w:u w:val="single"/>
                <w:lang w:val="en-US" w:eastAsia="zh-CN"/>
              </w:rPr>
              <w:t>2022-2023年连续两年不亏损且近2年营业收入年均不少于5000万元（含）人民币以上。</w:t>
            </w:r>
          </w:p>
          <w:p w14:paraId="0264D0DF">
            <w:pPr>
              <w:autoSpaceDE w:val="0"/>
              <w:autoSpaceDN w:val="0"/>
              <w:adjustRightInd w:val="0"/>
              <w:snapToGrid w:val="0"/>
              <w:spacing w:line="276" w:lineRule="auto"/>
              <w:ind w:firstLine="420"/>
              <w:jc w:val="left"/>
              <w:rPr>
                <w:rFonts w:hint="eastAsia" w:ascii="Times New Roman"/>
                <w:b/>
                <w:bCs w:val="0"/>
                <w:color w:val="auto"/>
                <w:kern w:val="0"/>
                <w:szCs w:val="21"/>
                <w:highlight w:val="none"/>
                <w:lang w:val="en-US" w:eastAsia="zh-CN"/>
              </w:rPr>
            </w:pPr>
            <w:r>
              <w:rPr>
                <w:rFonts w:hint="eastAsia" w:ascii="Times New Roman"/>
                <w:b/>
                <w:bCs w:val="0"/>
                <w:color w:val="auto"/>
                <w:kern w:val="0"/>
                <w:szCs w:val="21"/>
                <w:highlight w:val="none"/>
                <w:lang w:val="en-US" w:eastAsia="zh-CN"/>
              </w:rPr>
              <w:t>提供：</w:t>
            </w:r>
          </w:p>
          <w:p w14:paraId="5D07E4B8">
            <w:pPr>
              <w:autoSpaceDE w:val="0"/>
              <w:autoSpaceDN w:val="0"/>
              <w:adjustRightInd w:val="0"/>
              <w:snapToGrid w:val="0"/>
              <w:spacing w:line="276" w:lineRule="auto"/>
              <w:ind w:firstLine="420"/>
              <w:jc w:val="left"/>
              <w:rPr>
                <w:rFonts w:hint="eastAsia" w:ascii="宋体" w:hAnsi="宋体" w:eastAsia="宋体" w:cs="Times New Roman"/>
                <w:b/>
                <w:bCs w:val="0"/>
                <w:snapToGrid w:val="0"/>
                <w:color w:val="auto"/>
                <w:kern w:val="0"/>
                <w:szCs w:val="21"/>
                <w:highlight w:val="none"/>
              </w:rPr>
            </w:pPr>
            <w:r>
              <w:rPr>
                <w:rFonts w:hint="eastAsia" w:ascii="宋体" w:hAnsi="宋体"/>
                <w:b/>
                <w:bCs w:val="0"/>
                <w:color w:val="auto"/>
                <w:szCs w:val="21"/>
                <w:highlight w:val="none"/>
              </w:rPr>
              <w:t>投标人</w:t>
            </w:r>
            <w:r>
              <w:rPr>
                <w:rFonts w:ascii="宋体" w:hAnsi="宋体"/>
                <w:b/>
                <w:bCs w:val="0"/>
                <w:color w:val="auto"/>
                <w:szCs w:val="21"/>
                <w:highlight w:val="none"/>
              </w:rPr>
              <w:t>须</w:t>
            </w:r>
            <w:r>
              <w:rPr>
                <w:rFonts w:hint="eastAsia" w:ascii="宋体" w:hAnsi="宋体"/>
                <w:b/>
                <w:bCs w:val="0"/>
                <w:color w:val="auto"/>
                <w:szCs w:val="21"/>
                <w:highlight w:val="none"/>
              </w:rPr>
              <w:t>在投标文件资格审查部分</w:t>
            </w:r>
            <w:r>
              <w:rPr>
                <w:rFonts w:hint="eastAsia" w:ascii="宋体" w:hAnsi="宋体" w:eastAsia="宋体" w:cs="Times New Roman"/>
                <w:b/>
                <w:bCs w:val="0"/>
                <w:snapToGrid w:val="0"/>
                <w:color w:val="auto"/>
                <w:kern w:val="0"/>
                <w:szCs w:val="21"/>
                <w:highlight w:val="none"/>
              </w:rPr>
              <w:t>提供经会计师事务所或审计机构审计的财务审计报告及报表。</w:t>
            </w:r>
          </w:p>
          <w:p w14:paraId="40E592BC">
            <w:pPr>
              <w:tabs>
                <w:tab w:val="left" w:pos="2388"/>
                <w:tab w:val="left" w:pos="2832"/>
                <w:tab w:val="left" w:pos="3472"/>
                <w:tab w:val="left" w:pos="6667"/>
                <w:tab w:val="left" w:pos="7270"/>
              </w:tabs>
              <w:autoSpaceDE w:val="0"/>
              <w:autoSpaceDN w:val="0"/>
              <w:spacing w:line="276" w:lineRule="auto"/>
              <w:ind w:firstLine="422" w:firstLineChars="200"/>
              <w:rPr>
                <w:rFonts w:ascii="Times New Roman" w:eastAsia="宋体"/>
                <w:b/>
                <w:bCs w:val="0"/>
                <w:color w:val="auto"/>
                <w:kern w:val="0"/>
                <w:szCs w:val="21"/>
                <w:highlight w:val="none"/>
              </w:rPr>
            </w:pPr>
            <w:r>
              <w:rPr>
                <w:rFonts w:ascii="Times New Roman" w:eastAsia="宋体"/>
                <w:b/>
                <w:bCs w:val="0"/>
                <w:color w:val="auto"/>
                <w:kern w:val="0"/>
                <w:szCs w:val="21"/>
                <w:highlight w:val="none"/>
              </w:rPr>
              <w:t>以上证明资料的复印件须加盖投标人单位公章。</w:t>
            </w:r>
          </w:p>
          <w:p w14:paraId="23D2D27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Fonts w:hint="eastAsia" w:ascii="宋体" w:hAnsi="宋体"/>
                <w:b/>
                <w:color w:val="auto"/>
                <w:szCs w:val="21"/>
                <w:highlight w:val="none"/>
                <w:lang w:val="en-US" w:eastAsia="zh-CN"/>
              </w:rPr>
              <w:t>供货</w:t>
            </w:r>
            <w:r>
              <w:rPr>
                <w:rFonts w:ascii="宋体" w:hAnsi="宋体"/>
                <w:b/>
                <w:color w:val="auto"/>
                <w:szCs w:val="21"/>
                <w:highlight w:val="none"/>
              </w:rPr>
              <w:t>业绩要求</w:t>
            </w:r>
          </w:p>
          <w:p w14:paraId="09A4ADA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20</w:t>
            </w:r>
            <w:r>
              <w:rPr>
                <w:rFonts w:hint="eastAsia" w:ascii="宋体" w:hAnsi="宋体"/>
                <w:snapToGrid w:val="0"/>
                <w:color w:val="auto"/>
                <w:kern w:val="0"/>
                <w:szCs w:val="21"/>
                <w:highlight w:val="none"/>
                <w:u w:val="single"/>
                <w:lang w:val="en-US" w:eastAsia="zh-CN"/>
              </w:rPr>
              <w:t>19</w:t>
            </w:r>
            <w:r>
              <w:rPr>
                <w:rFonts w:hint="eastAsia" w:ascii="宋体" w:hAnsi="宋体"/>
                <w:snapToGrid w:val="0"/>
                <w:color w:val="auto"/>
                <w:kern w:val="0"/>
                <w:szCs w:val="21"/>
                <w:highlight w:val="none"/>
                <w:u w:val="single"/>
              </w:rPr>
              <w:t>年1月1日至投标截止日止（以合同签订时间为准），投标人具有</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个及以上的</w:t>
            </w:r>
            <w:r>
              <w:rPr>
                <w:rFonts w:hint="eastAsia" w:ascii="宋体" w:hAnsi="宋体"/>
                <w:snapToGrid w:val="0"/>
                <w:color w:val="auto"/>
                <w:kern w:val="0"/>
                <w:szCs w:val="21"/>
                <w:highlight w:val="none"/>
                <w:u w:val="single"/>
                <w:lang w:val="en-US" w:eastAsia="zh-CN"/>
              </w:rPr>
              <w:t>工程项目钢筋网片销售</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且单个</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金额</w:t>
            </w:r>
            <w:r>
              <w:rPr>
                <w:rFonts w:hint="eastAsia" w:ascii="宋体" w:hAnsi="宋体"/>
                <w:snapToGrid w:val="0"/>
                <w:color w:val="auto"/>
                <w:kern w:val="0"/>
                <w:szCs w:val="21"/>
                <w:highlight w:val="none"/>
                <w:u w:val="single"/>
              </w:rPr>
              <w:t>不低于</w:t>
            </w:r>
            <w:r>
              <w:rPr>
                <w:rFonts w:hint="eastAsia" w:ascii="宋体" w:hAnsi="宋体"/>
                <w:snapToGrid w:val="0"/>
                <w:color w:val="auto"/>
                <w:kern w:val="0"/>
                <w:szCs w:val="21"/>
                <w:highlight w:val="none"/>
                <w:u w:val="single"/>
                <w:lang w:val="en-US" w:eastAsia="zh-CN"/>
              </w:rPr>
              <w:t>500</w:t>
            </w:r>
            <w:r>
              <w:rPr>
                <w:rFonts w:hint="eastAsia" w:ascii="宋体" w:hAnsi="宋体"/>
                <w:snapToGrid w:val="0"/>
                <w:color w:val="auto"/>
                <w:kern w:val="0"/>
                <w:szCs w:val="21"/>
                <w:highlight w:val="none"/>
                <w:u w:val="single"/>
              </w:rPr>
              <w:t>万</w:t>
            </w:r>
            <w:r>
              <w:rPr>
                <w:rFonts w:hint="eastAsia" w:ascii="宋体" w:hAnsi="宋体"/>
                <w:snapToGrid w:val="0"/>
                <w:color w:val="auto"/>
                <w:kern w:val="0"/>
                <w:szCs w:val="21"/>
                <w:highlight w:val="none"/>
                <w:u w:val="single"/>
                <w:lang w:val="en-US" w:eastAsia="zh-CN"/>
              </w:rPr>
              <w:t>元</w:t>
            </w:r>
            <w:r>
              <w:rPr>
                <w:rFonts w:hint="eastAsia" w:ascii="宋体" w:hAnsi="宋体"/>
                <w:snapToGrid w:val="0"/>
                <w:color w:val="auto"/>
                <w:kern w:val="0"/>
                <w:szCs w:val="21"/>
                <w:highlight w:val="none"/>
                <w:u w:val="single"/>
              </w:rPr>
              <w:t>。</w:t>
            </w:r>
          </w:p>
          <w:p w14:paraId="013CDDB2">
            <w:pPr>
              <w:autoSpaceDE w:val="0"/>
              <w:autoSpaceDN w:val="0"/>
              <w:adjustRightInd w:val="0"/>
              <w:snapToGrid w:val="0"/>
              <w:spacing w:line="400" w:lineRule="exact"/>
              <w:ind w:firstLine="417" w:firstLineChars="198"/>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投标人须在投标文件资格审查部分提供业绩的合同协议书</w:t>
            </w:r>
            <w:r>
              <w:rPr>
                <w:rFonts w:hint="eastAsia" w:ascii="宋体" w:hAnsi="宋体"/>
                <w:b/>
                <w:bCs/>
                <w:color w:val="auto"/>
                <w:szCs w:val="21"/>
                <w:highlight w:val="none"/>
                <w:lang w:val="en-US" w:eastAsia="zh-CN"/>
              </w:rPr>
              <w:t>复印件并加盖公章，需至少体现供应内容、合同金额</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若合同中未体现业绩要求中相关指标的，可提供业主证明作为佐证。</w:t>
            </w:r>
          </w:p>
          <w:p w14:paraId="7DA3DCD2">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注：（1）投标人应对其提供的业绩证明材料的真实性负责。</w:t>
            </w:r>
          </w:p>
          <w:p w14:paraId="39134553">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不满足上述业绩要求的业绩视为无效。</w:t>
            </w:r>
          </w:p>
          <w:p w14:paraId="5DB9B0C7">
            <w:pPr>
              <w:autoSpaceDE w:val="0"/>
              <w:autoSpaceDN w:val="0"/>
              <w:adjustRightInd w:val="0"/>
              <w:snapToGrid w:val="0"/>
              <w:spacing w:line="400" w:lineRule="exact"/>
              <w:ind w:firstLine="422" w:firstLineChars="200"/>
              <w:rPr>
                <w:rFonts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5</w:t>
            </w:r>
            <w:r>
              <w:rPr>
                <w:rFonts w:ascii="宋体" w:hAnsi="宋体" w:eastAsia="宋体" w:cs="Times New Roman"/>
                <w:b/>
                <w:color w:val="auto"/>
                <w:szCs w:val="21"/>
                <w:highlight w:val="none"/>
              </w:rPr>
              <w:t>.投标截止日投标资格情况</w:t>
            </w:r>
          </w:p>
          <w:p w14:paraId="6B35EC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投标人自行承诺（格式见第六章投标文件格式）不得存在下列情形之一：</w:t>
            </w:r>
          </w:p>
          <w:p w14:paraId="68416CB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F14F55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B36722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8D52A6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9DBF33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50ED6153">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16B26E41">
            <w:pPr>
              <w:snapToGrid w:val="0"/>
              <w:spacing w:line="400" w:lineRule="exact"/>
              <w:ind w:firstLine="422" w:firstLineChars="200"/>
              <w:rPr>
                <w:rFonts w:hint="eastAsia"/>
                <w:b/>
                <w:bCs/>
                <w:color w:val="auto"/>
                <w:highlight w:val="none"/>
              </w:rPr>
            </w:pPr>
            <w:r>
              <w:rPr>
                <w:rFonts w:hint="eastAsia"/>
                <w:b/>
                <w:bCs/>
                <w:color w:val="auto"/>
                <w:highlight w:val="none"/>
              </w:rPr>
              <w:t>投标人须在投标文件资格审查部分提供承诺</w:t>
            </w:r>
            <w:r>
              <w:rPr>
                <w:rFonts w:hint="eastAsia" w:ascii="宋体" w:hAnsi="宋体"/>
                <w:b/>
                <w:bCs/>
                <w:color w:val="auto"/>
                <w:szCs w:val="21"/>
                <w:highlight w:val="none"/>
                <w:lang w:val="en-US" w:eastAsia="zh-CN"/>
              </w:rPr>
              <w:t>并加盖公章</w:t>
            </w:r>
            <w:r>
              <w:rPr>
                <w:rFonts w:hint="eastAsia"/>
                <w:b/>
                <w:bCs/>
                <w:color w:val="auto"/>
                <w:highlight w:val="none"/>
              </w:rPr>
              <w:t>。</w:t>
            </w:r>
          </w:p>
          <w:p w14:paraId="6E000790">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6</w:t>
            </w:r>
            <w:r>
              <w:rPr>
                <w:rFonts w:ascii="宋体" w:hAnsi="宋体"/>
                <w:b/>
                <w:color w:val="auto"/>
                <w:szCs w:val="21"/>
                <w:highlight w:val="none"/>
              </w:rPr>
              <w:t>.其他要求</w:t>
            </w:r>
          </w:p>
          <w:p w14:paraId="236EE72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1</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B02902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46C3371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w:t>
            </w:r>
            <w:r>
              <w:rPr>
                <w:rFonts w:hint="eastAsia" w:ascii="宋体" w:hAnsi="宋体"/>
                <w:color w:val="auto"/>
                <w:szCs w:val="21"/>
                <w:highlight w:val="none"/>
                <w:lang w:val="en-US" w:eastAsia="zh-CN"/>
              </w:rPr>
              <w:t>复印件并加盖公章</w:t>
            </w:r>
            <w:r>
              <w:rPr>
                <w:rFonts w:hint="eastAsia" w:ascii="宋体" w:hAnsi="宋体"/>
                <w:color w:val="auto"/>
                <w:kern w:val="0"/>
                <w:szCs w:val="21"/>
                <w:highlight w:val="none"/>
              </w:rPr>
              <w:t>。否则，将由评标委员会作否决投标处理。</w:t>
            </w:r>
          </w:p>
          <w:p w14:paraId="763B5DF5">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C7E9F75">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17821A8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六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6AB9B21C">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D7EAE70">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0419B85B">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lang w:val="en-US" w:eastAsia="zh-CN"/>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8</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2C340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C2D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53B942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CC699DC">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r>
              <w:rPr>
                <w:rFonts w:hint="eastAsia" w:ascii="宋体" w:hAnsi="宋体"/>
                <w:snapToGrid w:val="0"/>
                <w:color w:val="auto"/>
                <w:kern w:val="0"/>
                <w:szCs w:val="21"/>
                <w:highlight w:val="none"/>
                <w:lang w:eastAsia="zh-CN"/>
              </w:rPr>
              <w:t>。</w:t>
            </w:r>
          </w:p>
        </w:tc>
      </w:tr>
      <w:tr w14:paraId="01A43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5CE4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373084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14:paraId="42588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p>
        </w:tc>
      </w:tr>
      <w:tr w14:paraId="4AF78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A733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B14AF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47AD5FD1">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不组织</w:t>
            </w:r>
          </w:p>
        </w:tc>
      </w:tr>
      <w:tr w14:paraId="1A4A3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3562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C0BE0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8FD3E6B">
            <w:pPr>
              <w:snapToGrid w:val="0"/>
              <w:spacing w:after="12"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0BD9D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17EE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15DB8A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5E55B8E4">
            <w:pPr>
              <w:snapToGrid w:val="0"/>
              <w:spacing w:line="400" w:lineRule="exact"/>
              <w:ind w:firstLine="420" w:firstLineChars="200"/>
              <w:rPr>
                <w:color w:val="auto"/>
                <w:highlight w:val="none"/>
              </w:rPr>
            </w:pPr>
            <w:r>
              <w:rPr>
                <w:color w:val="auto"/>
                <w:highlight w:val="none"/>
              </w:rPr>
              <w:t>不允许</w:t>
            </w:r>
          </w:p>
        </w:tc>
      </w:tr>
      <w:tr w14:paraId="3F0AB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3136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4344E9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490" w:type="dxa"/>
            <w:vAlign w:val="center"/>
          </w:tcPr>
          <w:p w14:paraId="1F7D28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投标文件存在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情形之一的，投标文件视为重大偏差并作否决投标处理，否则，评标委员会不得视为重大偏差而否决投标人的投标文件。</w:t>
            </w:r>
          </w:p>
        </w:tc>
      </w:tr>
      <w:tr w14:paraId="339D8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257C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17C26B2">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78CB98B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019B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0F531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478F4FB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投标人要求澄清招标文件的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14:paraId="2F5C301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lang w:val="en-US" w:eastAsia="zh-CN"/>
              </w:rPr>
              <w:t>2024年10月14日 17时 00  分</w:t>
            </w:r>
            <w:r>
              <w:rPr>
                <w:rFonts w:hint="eastAsia" w:ascii="宋体" w:hAnsi="宋体" w:cs="宋体"/>
                <w:color w:val="auto"/>
                <w:kern w:val="0"/>
                <w:szCs w:val="21"/>
                <w:highlight w:val="none"/>
                <w:lang w:val="en-US" w:eastAsia="zh-CN"/>
              </w:rPr>
              <w:t>前以书面形式向招标人或招标代理机构提出</w:t>
            </w:r>
            <w:r>
              <w:rPr>
                <w:rFonts w:ascii="宋体" w:hAnsi="宋体"/>
                <w:color w:val="auto"/>
                <w:kern w:val="0"/>
                <w:szCs w:val="21"/>
                <w:highlight w:val="none"/>
              </w:rPr>
              <w:t>。</w:t>
            </w:r>
          </w:p>
        </w:tc>
      </w:tr>
      <w:tr w14:paraId="2C943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35216A6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244D7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14:paraId="3BC1F2E5">
            <w:pPr>
              <w:snapToGrid w:val="0"/>
              <w:spacing w:line="400" w:lineRule="exact"/>
              <w:ind w:firstLine="420" w:firstLineChars="200"/>
              <w:rPr>
                <w:rFonts w:ascii="宋体" w:hAnsi="宋体" w:eastAsia="宋体" w:cs="Times New Roman"/>
                <w:snapToGrid/>
                <w:color w:val="auto"/>
                <w:kern w:val="0"/>
                <w:szCs w:val="21"/>
                <w:highlight w:val="none"/>
              </w:rPr>
            </w:pPr>
            <w:r>
              <w:rPr>
                <w:rFonts w:hint="default" w:ascii="宋体" w:hAnsi="宋体" w:eastAsia="宋体" w:cs="Times New Roman"/>
                <w:color w:val="auto"/>
                <w:kern w:val="0"/>
                <w:szCs w:val="21"/>
                <w:highlight w:val="none"/>
              </w:rPr>
              <w:t>招标人应在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16</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u w:val="singl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发布对招标文件的内容进行修改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08512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D6B3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240BC9FC">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招标文件修改发出的形式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14:paraId="6D044282">
            <w:pPr>
              <w:snapToGrid w:val="0"/>
              <w:spacing w:line="400" w:lineRule="exact"/>
              <w:ind w:firstLine="420" w:firstLineChars="200"/>
              <w:rPr>
                <w:rFonts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招标人应在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16</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发布对招标文件的内容进行修改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2DD3E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540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644" w:type="dxa"/>
            <w:vAlign w:val="center"/>
          </w:tcPr>
          <w:p w14:paraId="09EBEB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w:t>
            </w:r>
            <w:r>
              <w:rPr>
                <w:rFonts w:hint="eastAsia" w:ascii="宋体" w:hAnsi="宋体"/>
                <w:color w:val="auto"/>
                <w:kern w:val="0"/>
                <w:szCs w:val="21"/>
                <w:highlight w:val="none"/>
              </w:rPr>
              <w:t>形式和时间</w:t>
            </w:r>
          </w:p>
        </w:tc>
        <w:tc>
          <w:tcPr>
            <w:tcW w:w="6490" w:type="dxa"/>
            <w:vAlign w:val="center"/>
          </w:tcPr>
          <w:p w14:paraId="6857022A">
            <w:pPr>
              <w:snapToGrid w:val="0"/>
              <w:spacing w:line="400" w:lineRule="exact"/>
              <w:ind w:firstLine="420" w:firstLineChars="200"/>
              <w:rPr>
                <w:rFonts w:ascii="宋体" w:hAnsi="宋体" w:eastAsia="宋体" w:cs="Times New Roman"/>
                <w:snapToGrid/>
                <w:color w:val="auto"/>
                <w:kern w:val="0"/>
                <w:szCs w:val="21"/>
                <w:highlight w:val="none"/>
              </w:rPr>
            </w:pPr>
            <w:r>
              <w:rPr>
                <w:rFonts w:hint="default" w:ascii="宋体" w:hAnsi="宋体" w:eastAsia="宋体" w:cs="Times New Roman"/>
                <w:snapToGrid/>
                <w:color w:val="auto"/>
                <w:kern w:val="0"/>
                <w:sz w:val="21"/>
                <w:szCs w:val="21"/>
                <w:highlight w:val="none"/>
              </w:rPr>
              <w:t>投标人对招标文件和澄清修改有异议的，应当在投标截止时间10日前，通过</w:t>
            </w:r>
            <w:r>
              <w:rPr>
                <w:rFonts w:hint="eastAsia" w:ascii="宋体" w:hAnsi="宋体" w:cs="Times New Roman"/>
                <w:snapToGrid/>
                <w:color w:val="auto"/>
                <w:kern w:val="0"/>
                <w:sz w:val="21"/>
                <w:szCs w:val="21"/>
                <w:highlight w:val="none"/>
                <w:lang w:val="en-US" w:eastAsia="zh-CN"/>
              </w:rPr>
              <w:t>书面形式</w:t>
            </w:r>
            <w:r>
              <w:rPr>
                <w:rFonts w:hint="default" w:ascii="宋体" w:hAnsi="宋体" w:eastAsia="宋体" w:cs="Times New Roman"/>
                <w:snapToGrid/>
                <w:color w:val="auto"/>
                <w:kern w:val="0"/>
                <w:sz w:val="21"/>
                <w:szCs w:val="21"/>
                <w:highlight w:val="none"/>
              </w:rPr>
              <w:t>提出。招标人应当自收到异议之日起3日内做出答复，答复内容可能影响投标文件编制的，将以修改的形式于投标截止时间15日前</w:t>
            </w:r>
            <w:r>
              <w:rPr>
                <w:rFonts w:hint="eastAsia" w:ascii="宋体" w:hAnsi="宋体" w:cs="Times New Roman"/>
                <w:bCs w:val="0"/>
                <w:color w:val="auto"/>
                <w:kern w:val="0"/>
                <w:sz w:val="21"/>
                <w:szCs w:val="21"/>
                <w:highlight w:val="none"/>
                <w:lang w:val="en-US" w:eastAsia="zh-CN"/>
              </w:rPr>
              <w:t>通过邮件形式发布</w:t>
            </w:r>
            <w:r>
              <w:rPr>
                <w:rFonts w:hint="default" w:ascii="宋体" w:hAnsi="宋体" w:eastAsia="宋体" w:cs="Times New Roman"/>
                <w:snapToGrid/>
                <w:color w:val="auto"/>
                <w:kern w:val="0"/>
                <w:sz w:val="21"/>
                <w:szCs w:val="21"/>
                <w:highlight w:val="none"/>
              </w:rPr>
              <w:t>澄清修改。发布时间至投标截止时间不足15日的，须相应延后投标截止时间。</w:t>
            </w:r>
          </w:p>
        </w:tc>
      </w:tr>
      <w:tr w14:paraId="07582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B305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604F7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14:paraId="2904DF8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34EAE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7D17A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230E78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14:paraId="793716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14:paraId="4F518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C5DA2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6C850D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14:paraId="6493C75C">
            <w:pPr>
              <w:snapToGrid w:val="0"/>
              <w:spacing w:line="400" w:lineRule="exact"/>
              <w:ind w:firstLine="420" w:firstLineChars="200"/>
              <w:rPr>
                <w:color w:val="auto"/>
                <w:highlight w:val="none"/>
              </w:rPr>
            </w:pPr>
            <w:r>
              <w:rPr>
                <w:rFonts w:ascii="Times New Roman" w:eastAsia="宋体"/>
                <w:color w:val="auto"/>
                <w:kern w:val="0"/>
                <w:szCs w:val="21"/>
                <w:highlight w:val="none"/>
              </w:rPr>
              <w:t>本项目采用固定单价的方式，投标报价以本招标文件第</w:t>
            </w:r>
            <w:r>
              <w:rPr>
                <w:rFonts w:hint="eastAsia" w:ascii="Times New Roman"/>
                <w:color w:val="auto"/>
                <w:kern w:val="0"/>
                <w:szCs w:val="21"/>
                <w:highlight w:val="none"/>
                <w:lang w:val="en-US" w:eastAsia="zh-CN"/>
              </w:rPr>
              <w:t>六</w:t>
            </w:r>
            <w:r>
              <w:rPr>
                <w:rFonts w:ascii="Times New Roman" w:eastAsia="宋体"/>
                <w:color w:val="auto"/>
                <w:kern w:val="0"/>
                <w:szCs w:val="21"/>
                <w:highlight w:val="none"/>
              </w:rPr>
              <w:t>章</w:t>
            </w:r>
            <w:r>
              <w:rPr>
                <w:rFonts w:hint="eastAsia"/>
                <w:color w:val="auto"/>
                <w:kern w:val="0"/>
                <w:szCs w:val="21"/>
                <w:highlight w:val="none"/>
                <w:lang w:val="en-US" w:eastAsia="zh-CN"/>
              </w:rPr>
              <w:t>报价</w:t>
            </w:r>
            <w:r>
              <w:rPr>
                <w:rFonts w:ascii="Times New Roman" w:eastAsia="宋体"/>
                <w:color w:val="auto"/>
                <w:kern w:val="0"/>
                <w:szCs w:val="21"/>
                <w:highlight w:val="none"/>
              </w:rPr>
              <w:t>清单</w:t>
            </w:r>
            <w:r>
              <w:rPr>
                <w:rFonts w:hint="eastAsia" w:ascii="Times New Roman"/>
                <w:color w:val="auto"/>
                <w:kern w:val="0"/>
                <w:szCs w:val="21"/>
                <w:highlight w:val="none"/>
                <w:lang w:val="en-US" w:eastAsia="zh-CN"/>
              </w:rPr>
              <w:t>进行报价</w:t>
            </w:r>
            <w:r>
              <w:rPr>
                <w:rFonts w:ascii="Times New Roman" w:eastAsia="宋体"/>
                <w:color w:val="auto"/>
                <w:kern w:val="0"/>
                <w:szCs w:val="21"/>
                <w:highlight w:val="none"/>
              </w:rPr>
              <w:t>。</w:t>
            </w:r>
          </w:p>
        </w:tc>
      </w:tr>
      <w:tr w14:paraId="1F8DA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9CDE2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258A036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tbl>
            <w:tblPr>
              <w:tblStyle w:val="50"/>
              <w:tblW w:w="6276"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97"/>
              <w:gridCol w:w="697"/>
              <w:gridCol w:w="697"/>
              <w:gridCol w:w="697"/>
              <w:gridCol w:w="697"/>
              <w:gridCol w:w="698"/>
              <w:gridCol w:w="698"/>
              <w:gridCol w:w="698"/>
            </w:tblGrid>
            <w:tr w14:paraId="6817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 w:type="dxa"/>
                </w:tcPr>
                <w:p w14:paraId="04058CD4">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697" w:type="dxa"/>
                </w:tcPr>
                <w:p w14:paraId="032F82A9">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物资名称</w:t>
                  </w:r>
                </w:p>
              </w:tc>
              <w:tc>
                <w:tcPr>
                  <w:tcW w:w="697" w:type="dxa"/>
                </w:tcPr>
                <w:p w14:paraId="21AA20E7">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697" w:type="dxa"/>
                </w:tcPr>
                <w:p w14:paraId="2B846BE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预计数量（吨）</w:t>
                  </w:r>
                </w:p>
              </w:tc>
              <w:tc>
                <w:tcPr>
                  <w:tcW w:w="697" w:type="dxa"/>
                </w:tcPr>
                <w:p w14:paraId="62D0DF8C">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暂定基准价（网价）</w:t>
                  </w:r>
                </w:p>
              </w:tc>
              <w:tc>
                <w:tcPr>
                  <w:tcW w:w="697" w:type="dxa"/>
                </w:tcPr>
                <w:p w14:paraId="013B5E11">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综合费用</w:t>
                  </w:r>
                </w:p>
              </w:tc>
              <w:tc>
                <w:tcPr>
                  <w:tcW w:w="698" w:type="dxa"/>
                </w:tcPr>
                <w:p w14:paraId="5D5B36E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含税合计</w:t>
                  </w:r>
                </w:p>
              </w:tc>
              <w:tc>
                <w:tcPr>
                  <w:tcW w:w="698" w:type="dxa"/>
                </w:tcPr>
                <w:p w14:paraId="61980B6B">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项目名称</w:t>
                  </w:r>
                </w:p>
              </w:tc>
              <w:tc>
                <w:tcPr>
                  <w:tcW w:w="698" w:type="dxa"/>
                </w:tcPr>
                <w:p w14:paraId="6B6DDE0F">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收货地址</w:t>
                  </w:r>
                </w:p>
              </w:tc>
            </w:tr>
            <w:tr w14:paraId="3374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34336983">
                  <w:pPr>
                    <w:snapToGrid w:val="0"/>
                    <w:spacing w:line="400" w:lineRule="exact"/>
                    <w:jc w:val="left"/>
                    <w:rPr>
                      <w:rFonts w:hint="default"/>
                      <w:lang w:val="en-US" w:eastAsia="zh-CN"/>
                    </w:rPr>
                  </w:pPr>
                  <w:r>
                    <w:rPr>
                      <w:rFonts w:hint="eastAsia" w:ascii="宋体" w:hAnsi="宋体" w:cs="宋体"/>
                      <w:color w:val="auto"/>
                      <w:sz w:val="21"/>
                      <w:szCs w:val="21"/>
                      <w:highlight w:val="none"/>
                      <w:vertAlign w:val="baseline"/>
                      <w:lang w:val="en-US" w:eastAsia="zh-CN"/>
                    </w:rPr>
                    <w:t>1</w:t>
                  </w:r>
                </w:p>
              </w:tc>
              <w:tc>
                <w:tcPr>
                  <w:tcW w:w="697" w:type="dxa"/>
                </w:tcPr>
                <w:p w14:paraId="6C027300">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000000"/>
                      <w:kern w:val="0"/>
                      <w:sz w:val="22"/>
                      <w:szCs w:val="22"/>
                      <w:u w:val="none"/>
                      <w:lang w:val="en-US" w:eastAsia="zh-CN" w:bidi="ar"/>
                    </w:rPr>
                    <w:t>防裂钢筋网</w:t>
                  </w:r>
                </w:p>
              </w:tc>
              <w:tc>
                <w:tcPr>
                  <w:tcW w:w="697" w:type="dxa"/>
                </w:tcPr>
                <w:p w14:paraId="0D4710D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新宋体" w:hAnsi="新宋体" w:eastAsia="新宋体" w:cs="新宋体"/>
                      <w:bCs/>
                      <w:color w:val="auto"/>
                      <w:kern w:val="0"/>
                      <w:sz w:val="24"/>
                      <w:szCs w:val="24"/>
                      <w:lang w:val="en-US" w:eastAsia="zh-CN" w:bidi="ar-SA"/>
                    </w:rPr>
                    <w:t>φ</w:t>
                  </w:r>
                  <w:r>
                    <w:rPr>
                      <w:rFonts w:hint="eastAsia" w:ascii="等线" w:hAnsi="等线" w:eastAsia="等线" w:cs="等线"/>
                      <w:i w:val="0"/>
                      <w:iCs w:val="0"/>
                      <w:color w:val="000000"/>
                      <w:kern w:val="0"/>
                      <w:sz w:val="22"/>
                      <w:szCs w:val="22"/>
                      <w:u w:val="none"/>
                      <w:lang w:val="en-US" w:eastAsia="zh-CN" w:bidi="ar"/>
                    </w:rPr>
                    <w:t>4@150*150</w:t>
                  </w:r>
                </w:p>
              </w:tc>
              <w:tc>
                <w:tcPr>
                  <w:tcW w:w="697" w:type="dxa"/>
                </w:tcPr>
                <w:p w14:paraId="77839485">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000000"/>
                      <w:kern w:val="0"/>
                      <w:sz w:val="22"/>
                      <w:szCs w:val="22"/>
                      <w:u w:val="none"/>
                      <w:lang w:val="en-US" w:eastAsia="zh-CN" w:bidi="ar"/>
                    </w:rPr>
                    <w:t>4.44</w:t>
                  </w:r>
                </w:p>
              </w:tc>
              <w:tc>
                <w:tcPr>
                  <w:tcW w:w="697" w:type="dxa"/>
                </w:tcPr>
                <w:p w14:paraId="795CCE75">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4650</w:t>
                  </w:r>
                </w:p>
              </w:tc>
              <w:tc>
                <w:tcPr>
                  <w:tcW w:w="697" w:type="dxa"/>
                </w:tcPr>
                <w:p w14:paraId="0CD9336C">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0FBCCA66">
                  <w:pPr>
                    <w:snapToGrid w:val="0"/>
                    <w:spacing w:line="400" w:lineRule="exact"/>
                    <w:jc w:val="left"/>
                    <w:rPr>
                      <w:rFonts w:hint="default" w:ascii="宋体" w:hAnsi="宋体" w:eastAsia="宋体" w:cs="宋体"/>
                      <w:color w:val="auto"/>
                      <w:sz w:val="21"/>
                      <w:szCs w:val="21"/>
                      <w:highlight w:val="none"/>
                      <w:vertAlign w:val="baseline"/>
                      <w:lang w:val="en-US"/>
                    </w:rPr>
                  </w:pPr>
                  <w:r>
                    <w:rPr>
                      <w:rFonts w:hint="eastAsia" w:ascii="方正仿宋_GBK" w:hAnsi="方正仿宋_GBK" w:eastAsia="方正仿宋_GBK" w:cs="方正仿宋_GBK"/>
                      <w:i w:val="0"/>
                      <w:iCs w:val="0"/>
                      <w:color w:val="000000"/>
                      <w:spacing w:val="-2"/>
                      <w:kern w:val="0"/>
                      <w:sz w:val="21"/>
                      <w:szCs w:val="21"/>
                      <w:u w:val="none"/>
                      <w:lang w:val="en-US" w:eastAsia="zh-CN" w:bidi="ar"/>
                    </w:rPr>
                    <w:t>20734.80</w:t>
                  </w:r>
                </w:p>
              </w:tc>
              <w:tc>
                <w:tcPr>
                  <w:tcW w:w="698" w:type="dxa"/>
                </w:tcPr>
                <w:p w14:paraId="5520E119">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鹞子丘片区路网工程一期项目</w:t>
                  </w:r>
                </w:p>
              </w:tc>
              <w:tc>
                <w:tcPr>
                  <w:tcW w:w="698" w:type="dxa"/>
                </w:tcPr>
                <w:p w14:paraId="09183644">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江北区观音桥电测村</w:t>
                  </w:r>
                </w:p>
              </w:tc>
            </w:tr>
            <w:tr w14:paraId="6DB4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423D6901">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97" w:type="dxa"/>
                </w:tcPr>
                <w:p w14:paraId="10CA3E2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钢筋网片</w:t>
                  </w:r>
                </w:p>
              </w:tc>
              <w:tc>
                <w:tcPr>
                  <w:tcW w:w="697" w:type="dxa"/>
                </w:tcPr>
                <w:p w14:paraId="146FB7C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D6</w:t>
                  </w:r>
                </w:p>
              </w:tc>
              <w:tc>
                <w:tcPr>
                  <w:tcW w:w="697" w:type="dxa"/>
                </w:tcPr>
                <w:p w14:paraId="24CB935C">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170</w:t>
                  </w:r>
                </w:p>
              </w:tc>
              <w:tc>
                <w:tcPr>
                  <w:tcW w:w="697" w:type="dxa"/>
                </w:tcPr>
                <w:p w14:paraId="6E8552A9">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4650</w:t>
                  </w:r>
                </w:p>
              </w:tc>
              <w:tc>
                <w:tcPr>
                  <w:tcW w:w="697" w:type="dxa"/>
                </w:tcPr>
                <w:p w14:paraId="65ACF4E6">
                  <w:pPr>
                    <w:snapToGrid w:val="0"/>
                    <w:spacing w:line="400" w:lineRule="exact"/>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p w14:paraId="2760C9D9">
                  <w:pPr>
                    <w:pStyle w:val="18"/>
                    <w:rPr>
                      <w:rFonts w:hint="default"/>
                      <w:lang w:val="en-US" w:eastAsia="zh-CN"/>
                    </w:rPr>
                  </w:pPr>
                </w:p>
              </w:tc>
              <w:tc>
                <w:tcPr>
                  <w:tcW w:w="698" w:type="dxa"/>
                </w:tcPr>
                <w:p w14:paraId="33FE2A1B">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793900</w:t>
                  </w:r>
                </w:p>
              </w:tc>
              <w:tc>
                <w:tcPr>
                  <w:tcW w:w="698" w:type="dxa"/>
                  <w:vMerge w:val="restart"/>
                </w:tcPr>
                <w:p w14:paraId="6548F4D4">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sz w:val="21"/>
                      <w:szCs w:val="21"/>
                      <w:u w:val="none"/>
                      <w:lang w:val="en-US" w:eastAsia="zh-CN"/>
                    </w:rPr>
                    <w:t>渝赤（水）叙（永）高速公路（重庆段）4标</w:t>
                  </w:r>
                </w:p>
              </w:tc>
              <w:tc>
                <w:tcPr>
                  <w:tcW w:w="698" w:type="dxa"/>
                  <w:vMerge w:val="restart"/>
                </w:tcPr>
                <w:p w14:paraId="0211224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江津区蔡家镇、嘉平镇</w:t>
                  </w:r>
                </w:p>
              </w:tc>
            </w:tr>
            <w:tr w14:paraId="366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297C9550">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697" w:type="dxa"/>
                </w:tcPr>
                <w:p w14:paraId="4C578AA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697" w:type="dxa"/>
                </w:tcPr>
                <w:p w14:paraId="205A69B1">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D8</w:t>
                  </w:r>
                </w:p>
              </w:tc>
              <w:tc>
                <w:tcPr>
                  <w:tcW w:w="697" w:type="dxa"/>
                </w:tcPr>
                <w:p w14:paraId="5632DCD7">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30</w:t>
                  </w:r>
                </w:p>
              </w:tc>
              <w:tc>
                <w:tcPr>
                  <w:tcW w:w="697" w:type="dxa"/>
                </w:tcPr>
                <w:p w14:paraId="35018260">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4470</w:t>
                  </w:r>
                </w:p>
              </w:tc>
              <w:tc>
                <w:tcPr>
                  <w:tcW w:w="697" w:type="dxa"/>
                </w:tcPr>
                <w:p w14:paraId="36472A54">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7A28EB4D">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134700</w:t>
                  </w:r>
                </w:p>
              </w:tc>
              <w:tc>
                <w:tcPr>
                  <w:tcW w:w="698" w:type="dxa"/>
                  <w:vMerge w:val="continue"/>
                </w:tcPr>
                <w:p w14:paraId="5F5319FF">
                  <w:pPr>
                    <w:snapToGrid w:val="0"/>
                    <w:spacing w:line="400" w:lineRule="exact"/>
                    <w:jc w:val="left"/>
                    <w:rPr>
                      <w:rFonts w:hint="eastAsia" w:ascii="宋体" w:hAnsi="宋体" w:eastAsia="宋体" w:cs="宋体"/>
                      <w:color w:val="auto"/>
                      <w:sz w:val="21"/>
                      <w:szCs w:val="21"/>
                      <w:highlight w:val="none"/>
                      <w:vertAlign w:val="baseline"/>
                    </w:rPr>
                  </w:pPr>
                </w:p>
              </w:tc>
              <w:tc>
                <w:tcPr>
                  <w:tcW w:w="698" w:type="dxa"/>
                  <w:vMerge w:val="continue"/>
                </w:tcPr>
                <w:p w14:paraId="529FF119">
                  <w:pPr>
                    <w:snapToGrid w:val="0"/>
                    <w:spacing w:line="400" w:lineRule="exact"/>
                    <w:jc w:val="left"/>
                    <w:rPr>
                      <w:rFonts w:hint="eastAsia" w:ascii="宋体" w:hAnsi="宋体" w:eastAsia="宋体" w:cs="宋体"/>
                      <w:color w:val="auto"/>
                      <w:sz w:val="21"/>
                      <w:szCs w:val="21"/>
                      <w:highlight w:val="none"/>
                      <w:vertAlign w:val="baseline"/>
                    </w:rPr>
                  </w:pPr>
                </w:p>
              </w:tc>
            </w:tr>
            <w:tr w14:paraId="11C4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29EE901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697" w:type="dxa"/>
                </w:tcPr>
                <w:p w14:paraId="456B8A2C">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697" w:type="dxa"/>
                </w:tcPr>
                <w:p w14:paraId="0AB2C72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D10</w:t>
                  </w:r>
                </w:p>
              </w:tc>
              <w:tc>
                <w:tcPr>
                  <w:tcW w:w="697" w:type="dxa"/>
                </w:tcPr>
                <w:p w14:paraId="1F029CC0">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800</w:t>
                  </w:r>
                </w:p>
              </w:tc>
              <w:tc>
                <w:tcPr>
                  <w:tcW w:w="697" w:type="dxa"/>
                </w:tcPr>
                <w:p w14:paraId="79652043">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4470</w:t>
                  </w:r>
                </w:p>
              </w:tc>
              <w:tc>
                <w:tcPr>
                  <w:tcW w:w="697" w:type="dxa"/>
                </w:tcPr>
                <w:p w14:paraId="1B6013B9">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0AAC27BF">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3592000</w:t>
                  </w:r>
                </w:p>
              </w:tc>
              <w:tc>
                <w:tcPr>
                  <w:tcW w:w="698" w:type="dxa"/>
                  <w:vMerge w:val="continue"/>
                </w:tcPr>
                <w:p w14:paraId="65395CC1">
                  <w:pPr>
                    <w:snapToGrid w:val="0"/>
                    <w:spacing w:line="400" w:lineRule="exact"/>
                    <w:jc w:val="left"/>
                    <w:rPr>
                      <w:rFonts w:hint="eastAsia" w:ascii="宋体" w:hAnsi="宋体" w:eastAsia="宋体" w:cs="宋体"/>
                      <w:color w:val="auto"/>
                      <w:sz w:val="21"/>
                      <w:szCs w:val="21"/>
                      <w:highlight w:val="none"/>
                      <w:vertAlign w:val="baseline"/>
                    </w:rPr>
                  </w:pPr>
                </w:p>
              </w:tc>
              <w:tc>
                <w:tcPr>
                  <w:tcW w:w="698" w:type="dxa"/>
                  <w:vMerge w:val="continue"/>
                </w:tcPr>
                <w:p w14:paraId="764E7B4E">
                  <w:pPr>
                    <w:snapToGrid w:val="0"/>
                    <w:spacing w:line="400" w:lineRule="exact"/>
                    <w:jc w:val="left"/>
                    <w:rPr>
                      <w:rFonts w:hint="eastAsia" w:ascii="宋体" w:hAnsi="宋体" w:eastAsia="宋体" w:cs="宋体"/>
                      <w:color w:val="auto"/>
                      <w:sz w:val="21"/>
                      <w:szCs w:val="21"/>
                      <w:highlight w:val="none"/>
                      <w:vertAlign w:val="baseline"/>
                    </w:rPr>
                  </w:pPr>
                </w:p>
              </w:tc>
            </w:tr>
          </w:tbl>
          <w:p w14:paraId="4BC3BF76">
            <w:pPr>
              <w:snapToGrid w:val="0"/>
              <w:spacing w:line="4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本项目总报价最高限价为</w:t>
            </w:r>
            <w:r>
              <w:rPr>
                <w:rFonts w:hint="eastAsia" w:ascii="宋体" w:hAnsi="宋体" w:eastAsia="宋体" w:cs="宋体"/>
                <w:color w:val="auto"/>
                <w:sz w:val="21"/>
                <w:szCs w:val="21"/>
                <w:highlight w:val="none"/>
                <w:lang w:eastAsia="zh-CN"/>
              </w:rPr>
              <w:t>：</w:t>
            </w:r>
            <w:r>
              <w:rPr>
                <w:rFonts w:hint="eastAsia" w:ascii="宋体" w:hAnsi="宋体" w:cs="宋体"/>
                <w:i w:val="0"/>
                <w:iCs w:val="0"/>
                <w:color w:val="000000"/>
                <w:kern w:val="0"/>
                <w:sz w:val="21"/>
                <w:szCs w:val="21"/>
                <w:u w:val="none"/>
                <w:lang w:val="en-US" w:eastAsia="zh-CN" w:bidi="ar"/>
              </w:rPr>
              <w:t>4541334.80</w:t>
            </w:r>
            <w:r>
              <w:rPr>
                <w:rFonts w:hint="eastAsia" w:ascii="宋体" w:hAnsi="宋体" w:eastAsia="宋体" w:cs="宋体"/>
                <w:i w:val="0"/>
                <w:iCs w:val="0"/>
                <w:color w:val="000000"/>
                <w:kern w:val="0"/>
                <w:sz w:val="21"/>
                <w:szCs w:val="21"/>
                <w:u w:val="none"/>
                <w:lang w:val="en-US" w:eastAsia="zh-CN" w:bidi="ar"/>
              </w:rPr>
              <w:t>元；其中：</w:t>
            </w:r>
            <w:r>
              <w:rPr>
                <w:rFonts w:hint="eastAsia" w:ascii="宋体" w:hAnsi="宋体" w:eastAsia="宋体" w:cs="宋体"/>
                <w:i w:val="0"/>
                <w:iCs w:val="0"/>
                <w:color w:val="000000"/>
                <w:sz w:val="21"/>
                <w:szCs w:val="21"/>
                <w:u w:val="none"/>
                <w:lang w:val="en-US" w:eastAsia="zh-CN"/>
              </w:rPr>
              <w:t>鹞子丘片区路网工程一期项目</w:t>
            </w:r>
            <w:r>
              <w:rPr>
                <w:rFonts w:hint="eastAsia" w:ascii="宋体" w:hAnsi="宋体" w:eastAsia="宋体" w:cs="宋体"/>
                <w:i w:val="0"/>
                <w:iCs w:val="0"/>
                <w:color w:val="000000"/>
                <w:spacing w:val="0"/>
                <w:kern w:val="2"/>
                <w:sz w:val="21"/>
                <w:szCs w:val="21"/>
                <w:u w:val="none"/>
                <w:lang w:val="en-US" w:eastAsia="zh-CN" w:bidi="ar"/>
              </w:rPr>
              <w:t>20734.80</w:t>
            </w:r>
            <w:r>
              <w:rPr>
                <w:rFonts w:hint="eastAsia" w:ascii="宋体" w:hAnsi="宋体" w:eastAsia="宋体" w:cs="宋体"/>
                <w:b w:val="0"/>
                <w:bCs w:val="0"/>
                <w:color w:val="000000"/>
                <w:sz w:val="21"/>
                <w:szCs w:val="21"/>
                <w:highlight w:val="none"/>
                <w:u w:val="none"/>
                <w:lang w:val="en-US" w:eastAsia="zh-CN"/>
              </w:rPr>
              <w:t>元</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i w:val="0"/>
                <w:iCs w:val="0"/>
                <w:color w:val="000000"/>
                <w:sz w:val="21"/>
                <w:szCs w:val="21"/>
                <w:u w:val="none"/>
                <w:lang w:val="en-US" w:eastAsia="zh-CN"/>
              </w:rPr>
              <w:t>G渝赤（水）叙（永）高速公路（重庆段）4标</w:t>
            </w:r>
            <w:r>
              <w:rPr>
                <w:rFonts w:hint="eastAsia" w:ascii="宋体" w:hAnsi="宋体" w:cs="宋体"/>
                <w:b w:val="0"/>
                <w:bCs w:val="0"/>
                <w:color w:val="auto"/>
                <w:sz w:val="21"/>
                <w:szCs w:val="21"/>
                <w:highlight w:val="none"/>
                <w:lang w:val="en-US" w:eastAsia="zh-CN"/>
              </w:rPr>
              <w:t>4520600.00</w:t>
            </w:r>
            <w:r>
              <w:rPr>
                <w:rFonts w:hint="eastAsia" w:ascii="宋体" w:hAnsi="宋体" w:eastAsia="宋体" w:cs="宋体"/>
                <w:color w:val="auto"/>
                <w:sz w:val="21"/>
                <w:szCs w:val="21"/>
                <w:highlight w:val="none"/>
                <w:lang w:val="en-US" w:eastAsia="zh-CN"/>
              </w:rPr>
              <w:t>元。</w:t>
            </w:r>
          </w:p>
          <w:p w14:paraId="765EF31D">
            <w:pPr>
              <w:snapToGrid w:val="0"/>
              <w:spacing w:line="400" w:lineRule="exact"/>
              <w:ind w:firstLine="422" w:firstLineChars="200"/>
              <w:jc w:val="left"/>
              <w:rPr>
                <w:rFonts w:hint="eastAsia" w:ascii="宋体" w:hAnsi="宋体" w:eastAsia="宋体" w:cs="宋体"/>
                <w:sz w:val="21"/>
                <w:szCs w:val="21"/>
                <w:lang w:val="en-US" w:eastAsia="zh-CN"/>
              </w:rPr>
            </w:pPr>
            <w:r>
              <w:rPr>
                <w:rFonts w:ascii="宋体" w:hAnsi="宋体"/>
                <w:b/>
                <w:bCs/>
                <w:color w:val="auto"/>
                <w:szCs w:val="21"/>
                <w:highlight w:val="none"/>
              </w:rPr>
              <w:t>注：投标人</w:t>
            </w:r>
            <w:r>
              <w:rPr>
                <w:rFonts w:hint="eastAsia" w:ascii="宋体" w:hAnsi="宋体"/>
                <w:b/>
                <w:bCs/>
                <w:color w:val="auto"/>
                <w:szCs w:val="21"/>
                <w:highlight w:val="none"/>
              </w:rPr>
              <w:t>的投标总</w:t>
            </w:r>
            <w:r>
              <w:rPr>
                <w:rFonts w:ascii="宋体" w:hAnsi="宋体"/>
                <w:b/>
                <w:bCs/>
                <w:color w:val="auto"/>
                <w:szCs w:val="21"/>
                <w:highlight w:val="none"/>
              </w:rPr>
              <w:t>报价</w:t>
            </w:r>
            <w:r>
              <w:rPr>
                <w:rFonts w:hint="eastAsia" w:ascii="宋体" w:hAnsi="宋体"/>
                <w:b/>
                <w:bCs/>
                <w:color w:val="auto"/>
                <w:szCs w:val="21"/>
                <w:highlight w:val="none"/>
              </w:rPr>
              <w:t>及综合单价报价均</w:t>
            </w:r>
            <w:r>
              <w:rPr>
                <w:rFonts w:ascii="宋体" w:hAnsi="宋体"/>
                <w:b/>
                <w:bCs/>
                <w:color w:val="auto"/>
                <w:szCs w:val="21"/>
                <w:highlight w:val="none"/>
              </w:rPr>
              <w:t>不得超出相应</w:t>
            </w:r>
            <w:r>
              <w:rPr>
                <w:rFonts w:hint="eastAsia" w:ascii="宋体" w:hAnsi="宋体"/>
                <w:b/>
                <w:bCs/>
                <w:color w:val="auto"/>
                <w:szCs w:val="21"/>
                <w:highlight w:val="none"/>
              </w:rPr>
              <w:t>的</w:t>
            </w:r>
            <w:r>
              <w:rPr>
                <w:rFonts w:ascii="宋体" w:hAnsi="宋体"/>
                <w:b/>
                <w:bCs/>
                <w:color w:val="auto"/>
                <w:szCs w:val="21"/>
                <w:highlight w:val="none"/>
              </w:rPr>
              <w:t>最高限价</w:t>
            </w:r>
            <w:r>
              <w:rPr>
                <w:rFonts w:hint="eastAsia" w:ascii="宋体" w:hAnsi="宋体"/>
                <w:b/>
                <w:bCs/>
                <w:color w:val="auto"/>
                <w:szCs w:val="21"/>
                <w:highlight w:val="none"/>
              </w:rPr>
              <w:t>，</w:t>
            </w:r>
            <w:r>
              <w:rPr>
                <w:rFonts w:ascii="宋体" w:hAnsi="宋体"/>
                <w:b/>
                <w:bCs/>
                <w:color w:val="auto"/>
                <w:szCs w:val="21"/>
                <w:highlight w:val="none"/>
              </w:rPr>
              <w:t>否则视为重大偏差，按否决投标处理。</w:t>
            </w:r>
          </w:p>
          <w:p w14:paraId="60453009">
            <w:pPr>
              <w:snapToGrid w:val="0"/>
              <w:spacing w:line="400" w:lineRule="exact"/>
              <w:rPr>
                <w:color w:val="auto"/>
                <w:highlight w:val="none"/>
              </w:rPr>
            </w:pPr>
          </w:p>
        </w:tc>
      </w:tr>
      <w:tr w14:paraId="3EAA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11169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3</w:t>
            </w:r>
            <w:r>
              <w:rPr>
                <w:rFonts w:ascii="宋体" w:hAnsi="宋体"/>
                <w:color w:val="auto"/>
                <w:kern w:val="0"/>
                <w:szCs w:val="21"/>
                <w:highlight w:val="none"/>
              </w:rPr>
              <w:t>.2.</w:t>
            </w:r>
            <w:r>
              <w:rPr>
                <w:rFonts w:hint="eastAsia" w:ascii="宋体" w:hAnsi="宋体"/>
                <w:color w:val="auto"/>
                <w:kern w:val="0"/>
                <w:szCs w:val="21"/>
                <w:highlight w:val="none"/>
                <w:lang w:val="en-US" w:eastAsia="zh-CN"/>
              </w:rPr>
              <w:t>5</w:t>
            </w:r>
          </w:p>
        </w:tc>
        <w:tc>
          <w:tcPr>
            <w:tcW w:w="1644" w:type="dxa"/>
            <w:vAlign w:val="center"/>
          </w:tcPr>
          <w:p w14:paraId="07BD8521">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报价其他要求</w:t>
            </w:r>
          </w:p>
        </w:tc>
        <w:tc>
          <w:tcPr>
            <w:tcW w:w="6490" w:type="dxa"/>
            <w:vAlign w:val="center"/>
          </w:tcPr>
          <w:p w14:paraId="698FDF80">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1、</w:t>
            </w:r>
            <w:r>
              <w:rPr>
                <w:rFonts w:hint="eastAsia" w:ascii="Calibri" w:hAnsi="Calibri" w:eastAsia="宋体"/>
                <w:color w:val="auto"/>
                <w:szCs w:val="22"/>
                <w:highlight w:val="none"/>
              </w:rPr>
              <w:t>投标人在报价表中填报的综合单价应是将满足招标文件要求的产品运至施工现场招标人指定交货地点的综合单价，应包括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w:t>
            </w:r>
            <w:r>
              <w:rPr>
                <w:rFonts w:ascii="Calibri" w:hAnsi="Calibri" w:eastAsia="宋体"/>
                <w:color w:val="auto"/>
                <w:szCs w:val="22"/>
                <w:highlight w:val="none"/>
              </w:rPr>
              <w:t>满足现场施工要求，及时解答材料使用中的问题和注意事项等</w:t>
            </w:r>
            <w:r>
              <w:rPr>
                <w:rFonts w:hint="eastAsia" w:ascii="Calibri" w:hAnsi="Calibri" w:eastAsia="宋体"/>
                <w:color w:val="auto"/>
                <w:szCs w:val="22"/>
                <w:highlight w:val="none"/>
              </w:rPr>
              <w:t>）、</w:t>
            </w:r>
            <w:r>
              <w:rPr>
                <w:rFonts w:ascii="Calibri" w:hAnsi="Calibri" w:eastAsia="宋体"/>
                <w:color w:val="auto"/>
                <w:szCs w:val="22"/>
                <w:highlight w:val="none"/>
              </w:rPr>
              <w:t>经验收合格且交付给招标人正常使用的所有费用，以及合同明示或暗示的所有责任、义务和一般风险。</w:t>
            </w:r>
          </w:p>
          <w:p w14:paraId="7B117DAA">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2、</w:t>
            </w:r>
            <w:r>
              <w:rPr>
                <w:rFonts w:ascii="Calibri" w:hAnsi="Calibri" w:eastAsia="宋体"/>
                <w:color w:val="auto"/>
                <w:szCs w:val="22"/>
                <w:highlight w:val="none"/>
              </w:rPr>
              <w:t>在合同执行期间，投标人填写的综合单价按合同约定根据“我的钢铁网”约定标的物作为</w:t>
            </w:r>
            <w:r>
              <w:rPr>
                <w:rFonts w:hint="eastAsia" w:ascii="Calibri" w:hAnsi="Calibri" w:eastAsia="宋体"/>
                <w:color w:val="auto"/>
                <w:szCs w:val="22"/>
                <w:highlight w:val="none"/>
              </w:rPr>
              <w:t>结算</w:t>
            </w:r>
            <w:r>
              <w:rPr>
                <w:rFonts w:ascii="Calibri" w:hAnsi="Calibri" w:eastAsia="宋体"/>
                <w:color w:val="auto"/>
                <w:szCs w:val="22"/>
                <w:highlight w:val="none"/>
              </w:rPr>
              <w:t>基准价，投标人应充分考虑供货期间的价格风险和供需情况风险。</w:t>
            </w:r>
          </w:p>
          <w:p w14:paraId="4BA57A8F">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3、</w:t>
            </w:r>
            <w:r>
              <w:rPr>
                <w:rFonts w:ascii="Calibri" w:hAnsi="Calibri" w:eastAsia="宋体"/>
                <w:color w:val="auto"/>
                <w:szCs w:val="22"/>
                <w:highlight w:val="none"/>
              </w:rPr>
              <w:t>如投标人中标，则其因承包本合同需缴纳的一切税费均由投标人自行承担，并包含在所报的单价或总额价中，招标人概不负责。</w:t>
            </w:r>
          </w:p>
          <w:p w14:paraId="42AF5307">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4、</w:t>
            </w:r>
            <w:r>
              <w:rPr>
                <w:rFonts w:ascii="Calibri" w:hAnsi="Calibri" w:eastAsia="宋体"/>
                <w:color w:val="auto"/>
                <w:szCs w:val="22"/>
                <w:highlight w:val="none"/>
              </w:rPr>
              <w:t>投标人应负责办理为执行本招标文件规定义务而投入的机具设备、运输工具的财产保险和人身保险、产品运输险、包装物的保险、第三方责任险以及应投保的其他保险，保险费由投标人承担并支付，并包含在产品的综合单价之中，招标人将不再单独支付。</w:t>
            </w:r>
          </w:p>
          <w:p w14:paraId="66A9957C">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5、</w:t>
            </w:r>
            <w:r>
              <w:rPr>
                <w:rFonts w:ascii="Calibri" w:hAnsi="Calibri" w:eastAsia="宋体"/>
                <w:color w:val="auto"/>
                <w:szCs w:val="22"/>
                <w:highlight w:val="none"/>
              </w:rPr>
              <w:t>投标人的投标文件报价表中的投标报价与投标书文字报价应保持一致，否则，其投标文件将被否决。</w:t>
            </w:r>
          </w:p>
          <w:p w14:paraId="60F2B433">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6、</w:t>
            </w:r>
            <w:r>
              <w:rPr>
                <w:rFonts w:hint="eastAsia" w:ascii="Calibri" w:hAnsi="Calibri" w:eastAsia="宋体"/>
                <w:color w:val="auto"/>
                <w:szCs w:val="22"/>
                <w:highlight w:val="none"/>
              </w:rPr>
              <w:t>如果未按照报价表要求进行报价，将被视为没有实质性响应招标文件</w:t>
            </w:r>
            <w:r>
              <w:rPr>
                <w:rFonts w:hint="eastAsia" w:ascii="Calibri" w:hAnsi="Calibri" w:eastAsia="宋体"/>
                <w:color w:val="auto"/>
                <w:szCs w:val="22"/>
                <w:highlight w:val="none"/>
                <w:lang w:eastAsia="zh-CN"/>
              </w:rPr>
              <w:t>，</w:t>
            </w:r>
            <w:r>
              <w:rPr>
                <w:rFonts w:hint="eastAsia" w:ascii="Calibri" w:hAnsi="Calibri" w:eastAsia="宋体"/>
                <w:color w:val="auto"/>
                <w:szCs w:val="22"/>
                <w:highlight w:val="none"/>
                <w:lang w:val="en-US" w:eastAsia="zh-CN"/>
              </w:rPr>
              <w:t>投标文件按否决投标处理</w:t>
            </w:r>
            <w:r>
              <w:rPr>
                <w:rFonts w:hint="eastAsia" w:ascii="Calibri" w:hAnsi="Calibri" w:eastAsia="宋体"/>
                <w:color w:val="auto"/>
                <w:szCs w:val="22"/>
                <w:highlight w:val="none"/>
              </w:rPr>
              <w:t>。</w:t>
            </w:r>
          </w:p>
          <w:p w14:paraId="24708AF5">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7、</w:t>
            </w:r>
            <w:r>
              <w:rPr>
                <w:rFonts w:hint="eastAsia" w:ascii="Calibri" w:hAnsi="Calibri" w:eastAsia="宋体"/>
                <w:color w:val="auto"/>
                <w:szCs w:val="22"/>
                <w:highlight w:val="none"/>
              </w:rPr>
              <w:t>采购数量以最终实际发生并结算的数量为准。</w:t>
            </w:r>
          </w:p>
          <w:p w14:paraId="0018CD73">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8、</w:t>
            </w:r>
            <w:r>
              <w:rPr>
                <w:rFonts w:hint="eastAsia" w:ascii="Calibri" w:hAnsi="Calibri" w:eastAsia="宋体"/>
                <w:color w:val="auto"/>
                <w:szCs w:val="22"/>
                <w:highlight w:val="none"/>
              </w:rPr>
              <w:t>为方便统一报价，本报价中投标基准价按</w:t>
            </w:r>
            <w:r>
              <w:rPr>
                <w:rFonts w:hint="eastAsia" w:ascii="Calibri" w:hAnsi="Calibri"/>
                <w:color w:val="auto"/>
                <w:szCs w:val="22"/>
                <w:highlight w:val="none"/>
                <w:lang w:val="en-US" w:eastAsia="zh-CN"/>
              </w:rPr>
              <w:t>给定的暂定投标基准价填报，</w:t>
            </w:r>
            <w:r>
              <w:rPr>
                <w:rFonts w:hint="eastAsia" w:ascii="Calibri" w:hAnsi="Calibri" w:eastAsia="宋体"/>
                <w:color w:val="auto"/>
                <w:szCs w:val="22"/>
                <w:highlight w:val="none"/>
              </w:rPr>
              <w:t>此价格为投标基准价，仅作为评标使用，不作为结算依据。</w:t>
            </w:r>
          </w:p>
          <w:p w14:paraId="51BD992A">
            <w:pPr>
              <w:widowControl/>
              <w:spacing w:line="360" w:lineRule="auto"/>
              <w:ind w:firstLine="420" w:firstLineChars="200"/>
              <w:jc w:val="left"/>
              <w:rPr>
                <w:rFonts w:hint="eastAsia" w:ascii="Calibri" w:hAnsi="Calibri" w:eastAsia="宋体"/>
                <w:color w:val="auto"/>
                <w:szCs w:val="22"/>
                <w:highlight w:val="none"/>
              </w:rPr>
            </w:pPr>
            <w:r>
              <w:rPr>
                <w:rFonts w:hint="eastAsia" w:ascii="Calibri" w:hAnsi="Calibri" w:eastAsia="宋体"/>
                <w:color w:val="auto"/>
                <w:szCs w:val="22"/>
                <w:highlight w:val="none"/>
                <w:lang w:val="en-US" w:eastAsia="zh-CN"/>
              </w:rPr>
              <w:t>9、</w:t>
            </w:r>
            <w:r>
              <w:rPr>
                <w:rFonts w:hint="eastAsia" w:ascii="Calibri" w:hAnsi="Calibri" w:eastAsia="宋体" w:cs="Times New Roman"/>
                <w:color w:val="auto"/>
                <w:kern w:val="2"/>
                <w:sz w:val="21"/>
                <w:szCs w:val="22"/>
                <w:highlight w:val="none"/>
                <w:lang w:val="zh-CN"/>
              </w:rPr>
              <w:t>结算单价=基准价+综合费用。结算价为乙方运抵甲方指定交货地点的交货价；</w:t>
            </w:r>
            <w:bookmarkStart w:id="98" w:name="OLE_LINK3"/>
            <w:r>
              <w:rPr>
                <w:rFonts w:hint="eastAsia" w:ascii="Calibri" w:hAnsi="Calibri" w:cs="Times New Roman"/>
                <w:color w:val="auto"/>
                <w:kern w:val="2"/>
                <w:sz w:val="21"/>
                <w:szCs w:val="22"/>
                <w:highlight w:val="none"/>
                <w:lang w:val="en-US" w:eastAsia="zh-CN"/>
              </w:rPr>
              <w:t>基准价</w:t>
            </w:r>
            <w:r>
              <w:rPr>
                <w:rFonts w:hint="eastAsia" w:ascii="Calibri" w:hAnsi="Calibri" w:eastAsia="宋体" w:cs="Times New Roman"/>
                <w:color w:val="auto"/>
                <w:kern w:val="2"/>
                <w:sz w:val="21"/>
                <w:szCs w:val="22"/>
                <w:highlight w:val="none"/>
                <w:lang w:val="zh-CN"/>
              </w:rPr>
              <w:t>按到货当日成基准价:基准价(网价)与综合费用，结算基准价(网价)</w:t>
            </w:r>
            <w:r>
              <w:rPr>
                <w:rFonts w:hint="eastAsia" w:ascii="Calibri" w:hAnsi="Calibri" w:cs="Times New Roman"/>
                <w:color w:val="auto"/>
                <w:kern w:val="2"/>
                <w:sz w:val="21"/>
                <w:szCs w:val="22"/>
                <w:highlight w:val="none"/>
                <w:lang w:val="en-US" w:eastAsia="zh-CN"/>
              </w:rPr>
              <w:t>成</w:t>
            </w:r>
            <w:r>
              <w:rPr>
                <w:rFonts w:hint="eastAsia" w:ascii="Calibri" w:hAnsi="Calibri" w:eastAsia="宋体" w:cs="Times New Roman"/>
                <w:color w:val="auto"/>
                <w:kern w:val="2"/>
                <w:sz w:val="21"/>
                <w:szCs w:val="22"/>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w:t>
            </w:r>
            <w:bookmarkEnd w:id="98"/>
            <w:r>
              <w:rPr>
                <w:rFonts w:hint="eastAsia" w:ascii="Calibri" w:hAnsi="Calibri" w:eastAsia="宋体" w:cs="Times New Roman"/>
                <w:color w:val="auto"/>
                <w:kern w:val="2"/>
                <w:sz w:val="21"/>
                <w:szCs w:val="22"/>
                <w:highlight w:val="none"/>
                <w:lang w:val="zh-CN"/>
              </w:rPr>
              <w:t>综合费用包含产品装吊、捆扎、运输、中转、仓储等到达交货地点前的所有运杂费、保险费、出库费、利润等一切费用。</w:t>
            </w:r>
          </w:p>
          <w:p w14:paraId="11CCCA80">
            <w:pPr>
              <w:widowControl/>
              <w:spacing w:line="360" w:lineRule="auto"/>
              <w:ind w:firstLine="420" w:firstLineChars="200"/>
              <w:jc w:val="left"/>
              <w:rPr>
                <w:rFonts w:hint="eastAsia" w:ascii="Calibri" w:hAnsi="Calibri" w:eastAsia="宋体"/>
                <w:color w:val="auto"/>
                <w:szCs w:val="22"/>
                <w:highlight w:val="none"/>
              </w:rPr>
            </w:pPr>
            <w:r>
              <w:rPr>
                <w:rFonts w:hint="eastAsia" w:ascii="Calibri" w:hAnsi="Calibri" w:eastAsia="宋体"/>
                <w:color w:val="auto"/>
                <w:szCs w:val="22"/>
                <w:highlight w:val="none"/>
                <w:lang w:val="en-US" w:eastAsia="zh-CN"/>
              </w:rPr>
              <w:t>10、</w:t>
            </w:r>
            <w:r>
              <w:rPr>
                <w:rFonts w:hint="eastAsia" w:ascii="Calibri" w:hAnsi="Calibri" w:eastAsia="宋体"/>
                <w:color w:val="auto"/>
                <w:szCs w:val="22"/>
                <w:highlight w:val="none"/>
              </w:rPr>
              <w:t xml:space="preserve">品牌范围参考“第五章 </w:t>
            </w:r>
            <w:r>
              <w:rPr>
                <w:rFonts w:hint="eastAsia" w:ascii="Calibri" w:hAnsi="Calibri" w:eastAsia="宋体"/>
                <w:color w:val="auto"/>
                <w:szCs w:val="22"/>
                <w:highlight w:val="none"/>
                <w:lang w:val="en-US" w:eastAsia="zh-CN"/>
              </w:rPr>
              <w:t>发包人</w:t>
            </w:r>
            <w:r>
              <w:rPr>
                <w:rFonts w:hint="eastAsia" w:ascii="Calibri" w:hAnsi="Calibri" w:eastAsia="宋体"/>
                <w:color w:val="auto"/>
                <w:szCs w:val="22"/>
                <w:highlight w:val="none"/>
              </w:rPr>
              <w:t>要求”，投标人报价时将用于本项目的品牌应尽量填写完整，表中的品牌要求满足招标文件中对制造商的资质要求，实际执行过程中因增加或更换品牌带来的负面影响由投标人自行承担。</w:t>
            </w:r>
          </w:p>
          <w:p w14:paraId="4F17B5A1">
            <w:pPr>
              <w:widowControl/>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11、</w:t>
            </w:r>
            <w:r>
              <w:rPr>
                <w:rFonts w:ascii="宋体" w:hAnsi="宋体" w:eastAsia="宋体" w:cs="宋体"/>
                <w:color w:val="auto"/>
                <w:kern w:val="2"/>
                <w:sz w:val="21"/>
                <w:szCs w:val="21"/>
                <w:highlight w:val="none"/>
              </w:rPr>
              <w:t>投标人的投标文件报价表中的投标报价与投标</w:t>
            </w:r>
            <w:r>
              <w:rPr>
                <w:rFonts w:hint="eastAsia" w:ascii="宋体" w:hAnsi="宋体" w:eastAsia="宋体" w:cs="宋体"/>
                <w:color w:val="auto"/>
                <w:kern w:val="2"/>
                <w:sz w:val="21"/>
                <w:szCs w:val="21"/>
                <w:highlight w:val="none"/>
                <w:lang w:val="en-US" w:eastAsia="zh-CN"/>
              </w:rPr>
              <w:t>函投标</w:t>
            </w:r>
            <w:r>
              <w:rPr>
                <w:rFonts w:ascii="宋体" w:hAnsi="宋体" w:eastAsia="宋体" w:cs="宋体"/>
                <w:color w:val="auto"/>
                <w:kern w:val="2"/>
                <w:sz w:val="21"/>
                <w:szCs w:val="21"/>
                <w:highlight w:val="none"/>
              </w:rPr>
              <w:t>报价应保持一致</w:t>
            </w:r>
            <w:r>
              <w:rPr>
                <w:rFonts w:hint="eastAsia" w:ascii="宋体" w:hAnsi="宋体" w:eastAsia="宋体" w:cs="宋体"/>
                <w:color w:val="auto"/>
                <w:kern w:val="2"/>
                <w:sz w:val="21"/>
                <w:szCs w:val="21"/>
                <w:highlight w:val="none"/>
                <w:lang w:eastAsia="zh-CN"/>
              </w:rPr>
              <w:t>。</w:t>
            </w:r>
          </w:p>
          <w:p w14:paraId="3B25EE8E">
            <w:pPr>
              <w:snapToGrid w:val="0"/>
              <w:spacing w:line="400" w:lineRule="exact"/>
              <w:ind w:firstLine="420" w:firstLineChars="200"/>
              <w:rPr>
                <w:rFonts w:hint="eastAsia" w:ascii="宋体" w:hAnsi="宋体"/>
                <w:color w:val="auto"/>
                <w:szCs w:val="21"/>
                <w:highlight w:val="none"/>
                <w:u w:val="single"/>
              </w:rPr>
            </w:pPr>
            <w:r>
              <w:rPr>
                <w:rFonts w:hint="eastAsia" w:ascii="宋体" w:hAnsi="宋体" w:eastAsia="宋体" w:cs="宋体"/>
                <w:color w:val="auto"/>
                <w:kern w:val="2"/>
                <w:sz w:val="21"/>
                <w:szCs w:val="21"/>
                <w:highlight w:val="none"/>
                <w:lang w:val="en-US" w:eastAsia="zh-CN"/>
              </w:rPr>
              <w:t>12、</w:t>
            </w:r>
            <w:r>
              <w:rPr>
                <w:rFonts w:ascii="宋体" w:hAnsi="宋体" w:eastAsia="宋体" w:cs="宋体"/>
                <w:color w:val="auto"/>
                <w:kern w:val="2"/>
                <w:sz w:val="21"/>
                <w:szCs w:val="21"/>
                <w:highlight w:val="none"/>
              </w:rPr>
              <w:t>投标人的投标文件报价表中的投标报价与投标</w:t>
            </w:r>
            <w:r>
              <w:rPr>
                <w:rFonts w:hint="eastAsia" w:ascii="宋体" w:hAnsi="宋体" w:eastAsia="宋体" w:cs="宋体"/>
                <w:color w:val="auto"/>
                <w:kern w:val="2"/>
                <w:sz w:val="21"/>
                <w:szCs w:val="21"/>
                <w:highlight w:val="none"/>
                <w:lang w:val="en-US" w:eastAsia="zh-CN"/>
              </w:rPr>
              <w:t>函投标</w:t>
            </w:r>
            <w:r>
              <w:rPr>
                <w:rFonts w:ascii="宋体" w:hAnsi="宋体" w:eastAsia="宋体" w:cs="宋体"/>
                <w:color w:val="auto"/>
                <w:kern w:val="2"/>
                <w:sz w:val="21"/>
                <w:szCs w:val="21"/>
                <w:highlight w:val="none"/>
              </w:rPr>
              <w:t>报价应保持一致</w:t>
            </w:r>
            <w:r>
              <w:rPr>
                <w:rFonts w:hint="eastAsia" w:ascii="宋体" w:hAnsi="宋体" w:eastAsia="宋体" w:cs="宋体"/>
                <w:color w:val="auto"/>
                <w:kern w:val="2"/>
                <w:sz w:val="21"/>
                <w:szCs w:val="21"/>
                <w:highlight w:val="none"/>
                <w:lang w:eastAsia="zh-CN"/>
              </w:rPr>
              <w:t>。</w:t>
            </w:r>
          </w:p>
        </w:tc>
      </w:tr>
      <w:tr w14:paraId="242CF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AED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6D12E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7B9B3BA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14:paraId="319C2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F45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1844BD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EDD7FF8">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1、投标保证金的金额为人民币</w:t>
            </w:r>
            <w:r>
              <w:rPr>
                <w:rFonts w:hint="eastAsia"/>
                <w:color w:val="auto"/>
                <w:highlight w:val="none"/>
                <w:lang w:val="en-US" w:eastAsia="zh-CN"/>
              </w:rPr>
              <w:t xml:space="preserve"> </w:t>
            </w:r>
            <w:r>
              <w:rPr>
                <w:rFonts w:hint="eastAsia"/>
                <w:b/>
                <w:bCs/>
                <w:color w:val="auto"/>
                <w:highlight w:val="none"/>
                <w:u w:val="single"/>
                <w:lang w:val="en-US" w:eastAsia="zh-CN"/>
              </w:rPr>
              <w:t xml:space="preserve"> 5</w:t>
            </w:r>
            <w:r>
              <w:rPr>
                <w:rFonts w:hint="eastAsia"/>
                <w:color w:val="auto"/>
                <w:highlight w:val="none"/>
                <w:lang w:val="en-US" w:eastAsia="zh-CN"/>
              </w:rPr>
              <w:t xml:space="preserve"> </w:t>
            </w:r>
            <w:r>
              <w:rPr>
                <w:rFonts w:hint="eastAsia"/>
                <w:color w:val="auto"/>
                <w:highlight w:val="none"/>
              </w:rPr>
              <w:t>万元整。</w:t>
            </w:r>
          </w:p>
          <w:p w14:paraId="14268358">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2、投标保证金提交方式：以银行转账或银行电汇形式提交，投标人可任选一种。</w:t>
            </w:r>
          </w:p>
          <w:p w14:paraId="4A8346F7">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3、提交时间和方式：由投标人基本账户转（汇）入重庆国际投资咨询集团有限公司的银行账户，其转（汇）款到账截止时间为</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18</w:t>
            </w:r>
            <w:r>
              <w:rPr>
                <w:rFonts w:hint="eastAsia"/>
                <w:color w:val="auto"/>
                <w:highlight w:val="none"/>
                <w:u w:val="single"/>
              </w:rPr>
              <w:t>日</w:t>
            </w:r>
            <w:r>
              <w:rPr>
                <w:rFonts w:hint="eastAsia"/>
                <w:color w:val="auto"/>
                <w:highlight w:val="none"/>
                <w:u w:val="single"/>
                <w:lang w:val="en-US" w:eastAsia="zh-CN"/>
              </w:rPr>
              <w:t>9</w:t>
            </w:r>
            <w:r>
              <w:rPr>
                <w:rFonts w:hint="eastAsia"/>
                <w:color w:val="auto"/>
                <w:highlight w:val="none"/>
                <w:u w:val="single"/>
              </w:rPr>
              <w:t>时</w:t>
            </w:r>
            <w:r>
              <w:rPr>
                <w:rFonts w:hint="eastAsia"/>
                <w:color w:val="auto"/>
                <w:highlight w:val="none"/>
                <w:u w:val="single"/>
                <w:lang w:val="en-US" w:eastAsia="zh-CN"/>
              </w:rPr>
              <w:t>00</w:t>
            </w:r>
            <w:r>
              <w:rPr>
                <w:rFonts w:hint="eastAsia"/>
                <w:color w:val="auto"/>
                <w:highlight w:val="none"/>
                <w:u w:val="single"/>
              </w:rPr>
              <w:t>分前</w:t>
            </w:r>
            <w:r>
              <w:rPr>
                <w:rFonts w:hint="eastAsia"/>
                <w:color w:val="auto"/>
                <w:highlight w:val="none"/>
              </w:rPr>
              <w:t>。</w:t>
            </w:r>
          </w:p>
          <w:p w14:paraId="4D5E212A">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投标保证金指定账户如下：</w:t>
            </w:r>
          </w:p>
          <w:p w14:paraId="6B4060CF">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单位全称：重庆国际投资咨询集团有限公司</w:t>
            </w:r>
          </w:p>
          <w:p w14:paraId="46399E35">
            <w:pPr>
              <w:tabs>
                <w:tab w:val="left" w:pos="480"/>
              </w:tabs>
              <w:adjustRightInd w:val="0"/>
              <w:snapToGrid w:val="0"/>
              <w:spacing w:line="380" w:lineRule="exact"/>
              <w:ind w:firstLine="411" w:firstLineChars="196"/>
              <w:rPr>
                <w:rFonts w:hint="default" w:eastAsia="宋体"/>
                <w:color w:val="auto"/>
                <w:highlight w:val="none"/>
                <w:lang w:val="en-US" w:eastAsia="zh-CN"/>
              </w:rPr>
            </w:pPr>
            <w:r>
              <w:rPr>
                <w:rFonts w:hint="eastAsia"/>
                <w:color w:val="auto"/>
                <w:highlight w:val="none"/>
              </w:rPr>
              <w:t>开户行：</w:t>
            </w:r>
            <w:r>
              <w:rPr>
                <w:rFonts w:hint="eastAsia"/>
                <w:color w:val="auto"/>
                <w:highlight w:val="none"/>
                <w:lang w:val="en-US" w:eastAsia="zh-CN"/>
              </w:rPr>
              <w:t>兴业银行重庆分行营业部</w:t>
            </w:r>
          </w:p>
          <w:p w14:paraId="349F4E4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账号：346010100105300879011165</w:t>
            </w:r>
          </w:p>
          <w:p w14:paraId="04F0ED8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特别提示：请投标人务必详细阅读下列条款！！！</w:t>
            </w:r>
          </w:p>
          <w:p w14:paraId="572628FE">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 xml:space="preserve">（1）投标人必须在付款凭证备注栏中注明是“ </w:t>
            </w:r>
            <w:r>
              <w:rPr>
                <w:rFonts w:hint="eastAsia"/>
                <w:color w:val="auto"/>
                <w:highlight w:val="none"/>
                <w:lang w:eastAsia="zh-CN"/>
              </w:rPr>
              <w:t>重庆高速公路集团有限公司集采中心2024年度钢材集中采购</w:t>
            </w:r>
            <w:r>
              <w:rPr>
                <w:rFonts w:hint="eastAsia"/>
                <w:color w:val="auto"/>
                <w:highlight w:val="none"/>
              </w:rPr>
              <w:t>”（可简写为“</w:t>
            </w:r>
            <w:r>
              <w:rPr>
                <w:rFonts w:hint="eastAsia"/>
                <w:color w:val="auto"/>
                <w:highlight w:val="none"/>
                <w:lang w:eastAsia="zh-CN"/>
              </w:rPr>
              <w:t>集采中心</w:t>
            </w:r>
            <w:r>
              <w:rPr>
                <w:rFonts w:hint="eastAsia"/>
                <w:color w:val="auto"/>
                <w:highlight w:val="none"/>
                <w:lang w:val="en-US" w:eastAsia="zh-CN"/>
              </w:rPr>
              <w:t>钢材</w:t>
            </w:r>
            <w:r>
              <w:rPr>
                <w:rFonts w:hint="eastAsia"/>
                <w:color w:val="auto"/>
                <w:highlight w:val="none"/>
                <w:lang w:eastAsia="zh-CN"/>
              </w:rPr>
              <w:t>采购</w:t>
            </w:r>
            <w:r>
              <w:rPr>
                <w:rFonts w:hint="eastAsia"/>
                <w:color w:val="auto"/>
                <w:highlight w:val="none"/>
              </w:rPr>
              <w:t>”）；</w:t>
            </w:r>
          </w:p>
          <w:p w14:paraId="1F9C4404">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各投标人在银行转账（电汇）投标保证金时，须充分考虑银行转账（电汇）的时间差风险，如同城转账、异地转账或汇款、跨行转账或电汇的时间要求。各投标人的投标保证金具体到账情况均以重庆国际投资咨询集团有限公司财务查询的银行到账信息为准。未在本</w:t>
            </w:r>
            <w:r>
              <w:rPr>
                <w:rFonts w:hint="eastAsia"/>
                <w:color w:val="auto"/>
                <w:highlight w:val="none"/>
                <w:lang w:eastAsia="zh-CN"/>
              </w:rPr>
              <w:t>招标</w:t>
            </w:r>
            <w:r>
              <w:rPr>
                <w:rFonts w:hint="eastAsia"/>
                <w:color w:val="auto"/>
                <w:highlight w:val="none"/>
              </w:rPr>
              <w:t>文件规定的截止时间前到账的，其投标文件作否决投标处理；</w:t>
            </w:r>
          </w:p>
          <w:p w14:paraId="47E1052C">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（3）投标保证金有效期与投标有效期一致；</w:t>
            </w:r>
          </w:p>
          <w:p w14:paraId="33D4E14B">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5、投标保证金的退还：</w:t>
            </w:r>
          </w:p>
          <w:p w14:paraId="54EF23C8">
            <w:pPr>
              <w:tabs>
                <w:tab w:val="left" w:pos="480"/>
              </w:tabs>
              <w:adjustRightInd w:val="0"/>
              <w:snapToGrid w:val="0"/>
              <w:spacing w:line="380" w:lineRule="exact"/>
              <w:ind w:firstLine="411" w:firstLineChars="196"/>
              <w:rPr>
                <w:rFonts w:ascii="宋体" w:hAnsi="宋体" w:cs="宋体"/>
                <w:color w:val="auto"/>
                <w:kern w:val="0"/>
                <w:szCs w:val="21"/>
                <w:highlight w:val="none"/>
              </w:rPr>
            </w:pPr>
            <w:r>
              <w:rPr>
                <w:rFonts w:hint="eastAsia"/>
                <w:color w:val="auto"/>
                <w:highlight w:val="none"/>
                <w:lang w:val="en-US" w:eastAsia="zh-CN"/>
              </w:rPr>
              <w:t>招标</w:t>
            </w:r>
            <w:r>
              <w:rPr>
                <w:rFonts w:hint="eastAsia"/>
                <w:color w:val="auto"/>
                <w:highlight w:val="none"/>
              </w:rPr>
              <w:t>人应当在规定时间内确定中标人，并向中标人发出中标通知书，同时</w:t>
            </w:r>
            <w:r>
              <w:rPr>
                <w:rFonts w:hint="eastAsia"/>
                <w:color w:val="auto"/>
                <w:highlight w:val="none"/>
                <w:lang w:val="en-US" w:eastAsia="zh-CN"/>
              </w:rPr>
              <w:t>招标</w:t>
            </w:r>
            <w:r>
              <w:rPr>
                <w:rFonts w:hint="eastAsia"/>
                <w:color w:val="auto"/>
                <w:highlight w:val="none"/>
              </w:rPr>
              <w:t>代理机构将在中标通知书发出后5日内向中标候选人以外的投标人退还投标保证金，投标保证金退还至投标人银行基本账户。中标人和其他中标候选人在</w:t>
            </w:r>
            <w:r>
              <w:rPr>
                <w:rFonts w:hint="eastAsia"/>
                <w:color w:val="auto"/>
                <w:highlight w:val="none"/>
                <w:lang w:eastAsia="zh-CN"/>
              </w:rPr>
              <w:t>招标人</w:t>
            </w:r>
            <w:r>
              <w:rPr>
                <w:rFonts w:hint="eastAsia"/>
                <w:color w:val="auto"/>
                <w:highlight w:val="none"/>
              </w:rPr>
              <w:t>与中标人签订合同后，由</w:t>
            </w:r>
            <w:r>
              <w:rPr>
                <w:rFonts w:hint="eastAsia"/>
                <w:color w:val="auto"/>
                <w:highlight w:val="none"/>
                <w:lang w:val="en-US" w:eastAsia="zh-CN"/>
              </w:rPr>
              <w:t>招标</w:t>
            </w:r>
            <w:r>
              <w:rPr>
                <w:rFonts w:hint="eastAsia"/>
                <w:color w:val="auto"/>
                <w:highlight w:val="none"/>
              </w:rPr>
              <w:t>代理机构向其退还投标保证金，投标保证金退还至中标候选人银行基本账户。</w:t>
            </w:r>
          </w:p>
        </w:tc>
      </w:tr>
      <w:tr w14:paraId="3425C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588B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50D6DB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7F13D504">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136137A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199A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75A6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1C2B235">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34C19AB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14:paraId="4FEEF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945C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A172D8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B97F3C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809D44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6494F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BD81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0EB85A0E">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4F624E8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副本可以为正本的复印件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，电子版形式（光盘</w:t>
            </w:r>
            <w:r>
              <w:rPr>
                <w:rFonts w:hint="eastAsia" w:ascii="宋体" w:hAnsi="宋体"/>
                <w:color w:val="auto"/>
                <w:kern w:val="0"/>
                <w:szCs w:val="21"/>
                <w:highlight w:val="none"/>
                <w:lang w:val="en-US" w:eastAsia="zh-CN"/>
              </w:rPr>
              <w:t>或U盘</w:t>
            </w:r>
            <w:r>
              <w:rPr>
                <w:rFonts w:hint="eastAsia" w:ascii="宋体" w:hAnsi="宋体"/>
                <w:color w:val="auto"/>
                <w:kern w:val="0"/>
                <w:szCs w:val="21"/>
                <w:highlight w:val="none"/>
              </w:rPr>
              <w:t>）1份。当副本和正本不一致时，以正本为准。否则由评标委员会作否决投标处理。</w:t>
            </w:r>
          </w:p>
          <w:p w14:paraId="3A113334">
            <w:pPr>
              <w:autoSpaceDE w:val="0"/>
              <w:autoSpaceDN w:val="0"/>
              <w:adjustRightInd w:val="0"/>
              <w:snapToGrid w:val="0"/>
              <w:spacing w:after="72"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注：在核发中标通知书时，</w:t>
            </w:r>
            <w:r>
              <w:rPr>
                <w:rFonts w:hint="eastAsia" w:ascii="宋体" w:hAnsi="宋体"/>
                <w:color w:val="auto"/>
                <w:kern w:val="0"/>
                <w:szCs w:val="21"/>
                <w:highlight w:val="none"/>
                <w:lang w:val="en-US" w:eastAsia="zh-CN"/>
              </w:rPr>
              <w:t>招标人如有需要</w:t>
            </w:r>
            <w:r>
              <w:rPr>
                <w:rFonts w:hint="eastAsia" w:ascii="宋体" w:hAnsi="宋体"/>
                <w:color w:val="auto"/>
                <w:kern w:val="0"/>
                <w:szCs w:val="21"/>
                <w:highlight w:val="none"/>
              </w:rPr>
              <w:t>中标人应另外补充投标文件（内容必须与投标时提交的投标文件相一致）。</w:t>
            </w:r>
          </w:p>
        </w:tc>
      </w:tr>
      <w:tr w14:paraId="3E126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4FCB3E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7845C6D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4090417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应将投标函部分</w:t>
            </w:r>
            <w:r>
              <w:rPr>
                <w:rFonts w:hint="eastAsia" w:ascii="宋体" w:hAnsi="宋体"/>
                <w:color w:val="auto"/>
                <w:szCs w:val="21"/>
                <w:highlight w:val="none"/>
              </w:rPr>
              <w:t>资格审查部分</w:t>
            </w:r>
            <w:r>
              <w:rPr>
                <w:rFonts w:ascii="宋体" w:hAnsi="宋体"/>
                <w:color w:val="auto"/>
                <w:szCs w:val="21"/>
                <w:highlight w:val="none"/>
              </w:rPr>
              <w:t>各自分别装订成册。</w:t>
            </w:r>
          </w:p>
          <w:p w14:paraId="0801278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3CE8FCA0">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）投标函部分的装订要求</w:t>
            </w:r>
          </w:p>
          <w:p w14:paraId="26402BB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692C4ABC">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4718206">
            <w:pPr>
              <w:adjustRightInd w:val="0"/>
              <w:snapToGrid w:val="0"/>
              <w:spacing w:line="400" w:lineRule="exact"/>
              <w:ind w:firstLine="420" w:firstLineChars="200"/>
              <w:rPr>
                <w:rStyle w:val="63"/>
                <w:color w:val="auto"/>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w:t>
            </w:r>
            <w:r>
              <w:rPr>
                <w:rFonts w:ascii="宋体" w:hAnsi="宋体"/>
                <w:color w:val="auto"/>
                <w:kern w:val="0"/>
                <w:szCs w:val="21"/>
                <w:highlight w:val="none"/>
              </w:rPr>
              <w:t>码。</w:t>
            </w:r>
          </w:p>
        </w:tc>
      </w:tr>
      <w:tr w14:paraId="49DA0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827D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1200BE7">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14:paraId="61FB959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14:paraId="4318BDD6">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投标文件袋使用“投标保函部分”袋</w:t>
            </w:r>
            <w:r>
              <w:rPr>
                <w:rFonts w:hint="eastAsia" w:ascii="宋体" w:hAnsi="宋体"/>
                <w:color w:val="auto"/>
                <w:szCs w:val="21"/>
                <w:highlight w:val="none"/>
              </w:rPr>
              <w:t>（如有）</w:t>
            </w:r>
            <w:r>
              <w:rPr>
                <w:rFonts w:ascii="宋体" w:hAnsi="宋体"/>
                <w:color w:val="auto"/>
                <w:szCs w:val="21"/>
                <w:highlight w:val="none"/>
              </w:rPr>
              <w:t>、“投标函部分”袋、“</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14:paraId="3228E9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“投标保函部分”袋</w:t>
            </w:r>
            <w:r>
              <w:rPr>
                <w:rFonts w:hint="eastAsia" w:ascii="宋体" w:hAnsi="宋体"/>
                <w:color w:val="auto"/>
                <w:szCs w:val="21"/>
                <w:highlight w:val="none"/>
              </w:rPr>
              <w:t>，单独封装</w:t>
            </w:r>
            <w:r>
              <w:rPr>
                <w:rFonts w:ascii="宋体" w:hAnsi="宋体"/>
                <w:color w:val="auto"/>
                <w:szCs w:val="21"/>
                <w:highlight w:val="none"/>
              </w:rPr>
              <w:t>并在袋上加盖投标人单位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p>
          <w:p w14:paraId="44F002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和电子版形式（光盘</w:t>
            </w:r>
            <w:r>
              <w:rPr>
                <w:rFonts w:hint="eastAsia" w:ascii="宋体" w:hAnsi="宋体"/>
                <w:color w:val="auto"/>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14:paraId="2FBE11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资格审查部分装入“资格审查部分”袋中，密封并在袋上加盖投标人单位法人章。</w:t>
            </w:r>
          </w:p>
          <w:p w14:paraId="056E8A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、“资格审查部分”</w:t>
            </w:r>
            <w:r>
              <w:rPr>
                <w:rFonts w:ascii="宋体" w:hAnsi="宋体"/>
                <w:color w:val="auto"/>
                <w:szCs w:val="21"/>
                <w:highlight w:val="none"/>
              </w:rPr>
              <w:t>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一个大袋装不下的，可使用多个大袋分册封装。大袋未按要求密封的，招标人或代理机构应该拒收。</w:t>
            </w:r>
          </w:p>
          <w:p w14:paraId="200F04D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注：“投标函部分”袋、“资格审查部分”袋只为方便投标文件分装，不作为判定密封合格与否的条件。但为了方便开标，请各投标人主动配合，按要求分装。</w:t>
            </w:r>
          </w:p>
        </w:tc>
      </w:tr>
      <w:tr w14:paraId="0BBA5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9B19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781F10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14:paraId="0E6FF0A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5CE0F956">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3FFAFAFC">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7E8F394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174BFA7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4AEE7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3A23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0EC4351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C72C4C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详见招标公告中规定的投标文件递交截止时间。</w:t>
            </w:r>
          </w:p>
        </w:tc>
      </w:tr>
      <w:tr w14:paraId="433D3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6E298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1CB7F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7FE13A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auto"/>
                <w:szCs w:val="21"/>
                <w:highlight w:val="none"/>
              </w:rPr>
            </w:pPr>
            <w:r>
              <w:rPr>
                <w:rFonts w:hint="eastAsia" w:ascii="宋体" w:hAnsi="宋体"/>
                <w:snapToGrid w:val="0"/>
                <w:color w:val="auto"/>
                <w:kern w:val="0"/>
                <w:szCs w:val="21"/>
                <w:highlight w:val="none"/>
                <w:u w:val="single"/>
              </w:rPr>
              <w:t>重庆市江北区五简路2号重庆咨询大厦A座负1楼开标厅</w:t>
            </w:r>
            <w:r>
              <w:rPr>
                <w:rFonts w:hint="eastAsia" w:ascii="宋体" w:hAnsi="宋体"/>
                <w:snapToGrid w:val="0"/>
                <w:color w:val="auto"/>
                <w:kern w:val="0"/>
                <w:szCs w:val="21"/>
                <w:highlight w:val="none"/>
              </w:rPr>
              <w:t>。</w:t>
            </w:r>
          </w:p>
        </w:tc>
      </w:tr>
      <w:tr w14:paraId="5B9C8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CA7C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03611F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14:paraId="464E10A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4E9C5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B172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4FCA2C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68877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D334584">
            <w:pPr>
              <w:snapToGrid w:val="0"/>
              <w:spacing w:line="400" w:lineRule="exact"/>
              <w:ind w:firstLine="420" w:firstLineChars="200"/>
              <w:rPr>
                <w:color w:val="auto"/>
                <w:highlight w:val="none"/>
              </w:rPr>
            </w:pPr>
            <w:r>
              <w:rPr>
                <w:color w:val="auto"/>
                <w:highlight w:val="none"/>
              </w:rPr>
              <w:t>开标时间：同投标截止时间</w:t>
            </w:r>
          </w:p>
          <w:p w14:paraId="5B6C7C4D">
            <w:pPr>
              <w:snapToGrid w:val="0"/>
              <w:spacing w:line="400" w:lineRule="exact"/>
              <w:ind w:firstLine="420" w:firstLineChars="200"/>
              <w:rPr>
                <w:color w:val="auto"/>
                <w:highlight w:val="none"/>
              </w:rPr>
            </w:pPr>
            <w:r>
              <w:rPr>
                <w:color w:val="auto"/>
                <w:highlight w:val="none"/>
              </w:rPr>
              <w:t>开标地点：</w:t>
            </w:r>
            <w:r>
              <w:rPr>
                <w:rFonts w:hint="eastAsia" w:ascii="宋体" w:hAnsi="宋体"/>
                <w:snapToGrid w:val="0"/>
                <w:color w:val="auto"/>
                <w:kern w:val="0"/>
                <w:szCs w:val="21"/>
                <w:highlight w:val="none"/>
                <w:u w:val="single"/>
              </w:rPr>
              <w:t>重庆市江北区五简路2号重庆咨询大厦A座负1楼开标厅</w:t>
            </w:r>
            <w:r>
              <w:rPr>
                <w:rFonts w:hint="eastAsia" w:ascii="宋体" w:hAnsi="宋体"/>
                <w:snapToGrid w:val="0"/>
                <w:color w:val="auto"/>
                <w:kern w:val="0"/>
                <w:szCs w:val="21"/>
                <w:highlight w:val="none"/>
              </w:rPr>
              <w:t>。</w:t>
            </w:r>
          </w:p>
        </w:tc>
      </w:tr>
      <w:tr w14:paraId="2F938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A97E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654196D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2E42E0B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CB2698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247012A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宣布开标人、唱标人、记录人、监标人等有关人员姓名</w:t>
            </w:r>
            <w:r>
              <w:rPr>
                <w:rFonts w:hint="eastAsia" w:ascii="宋体" w:hAnsi="宋体"/>
                <w:color w:val="auto"/>
                <w:szCs w:val="21"/>
                <w:highlight w:val="none"/>
              </w:rPr>
              <w:t>。</w:t>
            </w:r>
          </w:p>
          <w:p w14:paraId="1118B0F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公布在投标截止时间前递交投标文件的投标人名称</w:t>
            </w:r>
            <w:r>
              <w:rPr>
                <w:rFonts w:hint="eastAsia" w:ascii="宋体" w:hAnsi="宋体"/>
                <w:color w:val="auto"/>
                <w:szCs w:val="21"/>
                <w:highlight w:val="none"/>
              </w:rPr>
              <w:t>。</w:t>
            </w:r>
          </w:p>
          <w:p w14:paraId="0FCC75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投标文件的密封检查：投标人可对自己的投标文件封装情况进行检查，以确认其投标文件密封完好。</w:t>
            </w:r>
          </w:p>
          <w:p w14:paraId="2D4BEAB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展示投标保证金</w:t>
            </w:r>
            <w:r>
              <w:rPr>
                <w:rFonts w:hint="eastAsia" w:ascii="宋体" w:hAnsi="宋体"/>
                <w:color w:val="auto"/>
                <w:szCs w:val="21"/>
                <w:highlight w:val="none"/>
                <w:lang w:eastAsia="zh-CN"/>
              </w:rPr>
              <w:t>缴纳</w:t>
            </w:r>
            <w:r>
              <w:rPr>
                <w:rFonts w:hint="eastAsia" w:ascii="宋体" w:hAnsi="宋体"/>
                <w:color w:val="auto"/>
                <w:szCs w:val="21"/>
                <w:highlight w:val="none"/>
              </w:rPr>
              <w:t>情况</w:t>
            </w:r>
          </w:p>
          <w:p w14:paraId="0810FF0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 公布最高限价</w:t>
            </w:r>
            <w:r>
              <w:rPr>
                <w:rFonts w:hint="eastAsia" w:ascii="宋体" w:hAnsi="宋体"/>
                <w:color w:val="auto"/>
                <w:szCs w:val="21"/>
                <w:highlight w:val="none"/>
              </w:rPr>
              <w:t>。</w:t>
            </w:r>
          </w:p>
          <w:p w14:paraId="106BAF4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逐单位随机开启投标文件。开启投标文件大袋及投标函部分袋</w:t>
            </w:r>
            <w:r>
              <w:rPr>
                <w:rFonts w:hint="eastAsia" w:ascii="宋体" w:hAnsi="宋体"/>
                <w:color w:val="auto"/>
                <w:szCs w:val="21"/>
                <w:highlight w:val="none"/>
              </w:rPr>
              <w:t>、资格审查部分袋</w:t>
            </w:r>
            <w:r>
              <w:rPr>
                <w:rFonts w:ascii="宋体" w:hAnsi="宋体"/>
                <w:color w:val="auto"/>
                <w:szCs w:val="21"/>
                <w:highlight w:val="none"/>
              </w:rPr>
              <w:t>；公布投标人名称、投标报价、质量要求、工期及其他内容并记录在案</w:t>
            </w:r>
            <w:r>
              <w:rPr>
                <w:rFonts w:hint="eastAsia" w:ascii="宋体" w:hAnsi="宋体"/>
                <w:color w:val="auto"/>
                <w:szCs w:val="21"/>
                <w:highlight w:val="none"/>
              </w:rPr>
              <w:t>。</w:t>
            </w:r>
          </w:p>
          <w:p w14:paraId="6580694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0216FC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588D36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开标结束。</w:t>
            </w:r>
          </w:p>
        </w:tc>
      </w:tr>
      <w:tr w14:paraId="1FF86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1572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59F91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04F0EA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由招标人按法律法规及相关规定依法组建评标委员会。</w:t>
            </w:r>
          </w:p>
        </w:tc>
      </w:tr>
      <w:tr w14:paraId="3F0D5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15C2E05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2D4D71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14:paraId="0032B444">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lang w:val="en-US" w:eastAsia="zh-CN"/>
              </w:rPr>
            </w:pP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r>
              <w:rPr>
                <w:rFonts w:hint="eastAsia" w:ascii="宋体" w:hAnsi="宋体" w:cs="宋体"/>
                <w:color w:val="auto"/>
                <w:kern w:val="0"/>
                <w:szCs w:val="21"/>
                <w:highlight w:val="none"/>
                <w:lang w:val="en-US" w:eastAsia="zh-CN"/>
              </w:rPr>
              <w:t>若有效投标人少于三个的，按实际推荐。</w:t>
            </w:r>
          </w:p>
          <w:p w14:paraId="4773C663">
            <w:pPr>
              <w:autoSpaceDE w:val="0"/>
              <w:autoSpaceDN w:val="0"/>
              <w:adjustRightInd w:val="0"/>
              <w:snapToGrid w:val="0"/>
              <w:spacing w:line="400" w:lineRule="exact"/>
              <w:ind w:firstLine="0" w:firstLineChars="0"/>
              <w:rPr>
                <w:rFonts w:hint="default" w:ascii="宋体" w:hAnsi="宋体" w:cs="宋体"/>
                <w:b/>
                <w:bCs/>
                <w:color w:val="auto"/>
                <w:kern w:val="0"/>
                <w:szCs w:val="21"/>
                <w:highlight w:val="none"/>
                <w:lang w:val="en-US" w:eastAsia="zh-CN"/>
              </w:rPr>
            </w:pPr>
          </w:p>
        </w:tc>
      </w:tr>
      <w:tr w14:paraId="4FD40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9F3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28DFA6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2A8442">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color w:val="auto"/>
                <w:spacing w:val="-57"/>
                <w:sz w:val="20"/>
                <w:szCs w:val="20"/>
                <w:highlight w:val="none"/>
                <w:u w:val="single" w:color="auto"/>
              </w:rPr>
              <w:t xml:space="preserve"> </w:t>
            </w:r>
            <w:r>
              <w:rPr>
                <w:rFonts w:hint="eastAsia" w:ascii="宋体" w:hAnsi="宋体" w:cs="宋体"/>
                <w:color w:val="auto"/>
                <w:szCs w:val="21"/>
                <w:highlight w:val="none"/>
                <w:u w:val="single"/>
              </w:rPr>
              <w:t xml:space="preserve"> </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w:t>
            </w:r>
            <w:r>
              <w:rPr>
                <w:rFonts w:ascii="宋体" w:hAnsi="宋体" w:cs="宋体"/>
                <w:color w:val="auto"/>
                <w:szCs w:val="21"/>
                <w:highlight w:val="none"/>
              </w:rPr>
              <w:t>3日</w:t>
            </w:r>
            <w:r>
              <w:rPr>
                <w:rFonts w:hint="eastAsia" w:ascii="宋体" w:hAnsi="宋体" w:cs="宋体"/>
                <w:color w:val="auto"/>
                <w:szCs w:val="21"/>
                <w:highlight w:val="none"/>
              </w:rPr>
              <w:t>。</w:t>
            </w:r>
          </w:p>
        </w:tc>
      </w:tr>
      <w:tr w14:paraId="3C59B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204D7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70C24AB0">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9B71562">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0E506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FF79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20AFAD8E">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490" w:type="dxa"/>
            <w:vAlign w:val="center"/>
          </w:tcPr>
          <w:p w14:paraId="06FFF3F8">
            <w:pPr>
              <w:snapToGrid w:val="0"/>
              <w:spacing w:line="400" w:lineRule="exact"/>
              <w:ind w:firstLine="420" w:firstLineChars="200"/>
              <w:rPr>
                <w:color w:val="auto"/>
                <w:highlight w:val="none"/>
              </w:rPr>
            </w:pPr>
            <w:r>
              <w:rPr>
                <w:rFonts w:hint="eastAsia"/>
                <w:color w:val="auto"/>
                <w:highlight w:val="none"/>
              </w:rPr>
              <w:t>不补偿</w:t>
            </w:r>
          </w:p>
        </w:tc>
      </w:tr>
      <w:tr w14:paraId="07EA4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0672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74761D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14:paraId="00F2454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1、中标人是否提供履约担保：提供。</w:t>
            </w:r>
          </w:p>
          <w:p w14:paraId="10B35A4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076B835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（1）履约担保的形式：现金。 </w:t>
            </w:r>
          </w:p>
          <w:p w14:paraId="2D6E85E7">
            <w:pPr>
              <w:snapToGrid w:val="0"/>
              <w:spacing w:line="400" w:lineRule="exact"/>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FF0000"/>
                <w:kern w:val="0"/>
                <w:szCs w:val="21"/>
                <w:highlight w:val="none"/>
                <w:lang w:val="en-US" w:eastAsia="zh-CN"/>
              </w:rPr>
              <w:t>20万元</w:t>
            </w:r>
            <w:r>
              <w:rPr>
                <w:rFonts w:hint="eastAsia" w:ascii="宋体" w:hAnsi="宋体" w:cs="宋体"/>
                <w:color w:val="FF0000"/>
                <w:kern w:val="0"/>
                <w:szCs w:val="21"/>
                <w:highlight w:val="none"/>
                <w:lang w:bidi="ar"/>
              </w:rPr>
              <w:t>。</w:t>
            </w:r>
          </w:p>
          <w:p w14:paraId="65DA83E9">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（3）履约担保的提交时间：</w:t>
            </w:r>
            <w:r>
              <w:rPr>
                <w:rFonts w:hint="eastAsia" w:cs="宋体"/>
                <w:color w:val="auto"/>
                <w:szCs w:val="21"/>
                <w:highlight w:val="none"/>
                <w:u w:val="single"/>
                <w:lang w:val="en-US" w:eastAsia="zh-CN" w:bidi="ar"/>
              </w:rPr>
              <w:t>合同签订前</w:t>
            </w:r>
            <w:r>
              <w:rPr>
                <w:rFonts w:hint="eastAsia" w:ascii="宋体" w:cs="宋体"/>
                <w:color w:val="auto"/>
                <w:kern w:val="0"/>
                <w:szCs w:val="21"/>
                <w:highlight w:val="none"/>
                <w:lang w:bidi="ar"/>
              </w:rPr>
              <w:t>；</w:t>
            </w:r>
          </w:p>
          <w:p w14:paraId="4E2EFC7D">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（4）履约担保的期限：</w:t>
            </w:r>
            <w:r>
              <w:rPr>
                <w:rFonts w:hint="eastAsia" w:ascii="宋体" w:cs="宋体"/>
                <w:color w:val="auto"/>
                <w:kern w:val="0"/>
                <w:szCs w:val="21"/>
                <w:highlight w:val="none"/>
                <w:u w:val="single"/>
                <w:lang w:val="en-US" w:eastAsia="zh-CN" w:bidi="ar"/>
              </w:rPr>
              <w:t>合同签订之日起至项目履约完毕</w:t>
            </w:r>
            <w:r>
              <w:rPr>
                <w:rFonts w:hint="eastAsia" w:ascii="宋体" w:cs="宋体"/>
                <w:color w:val="auto"/>
                <w:kern w:val="0"/>
                <w:szCs w:val="21"/>
                <w:highlight w:val="none"/>
                <w:lang w:bidi="ar"/>
              </w:rPr>
              <w:t>。</w:t>
            </w:r>
          </w:p>
          <w:p w14:paraId="1C5D2130">
            <w:pPr>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lang w:bidi="ar"/>
              </w:rPr>
              <w:t>（5）履约担保的退还时间：</w:t>
            </w:r>
            <w:r>
              <w:rPr>
                <w:rFonts w:hint="eastAsia" w:ascii="宋体" w:cs="宋体"/>
                <w:color w:val="auto"/>
                <w:kern w:val="0"/>
                <w:szCs w:val="21"/>
                <w:highlight w:val="none"/>
                <w:u w:val="single"/>
                <w:lang w:val="en-US" w:eastAsia="zh-CN" w:bidi="ar"/>
              </w:rPr>
              <w:t>项目履约完毕后无息退还</w:t>
            </w:r>
            <w:r>
              <w:rPr>
                <w:rFonts w:hint="eastAsia" w:ascii="宋体" w:cs="宋体"/>
                <w:color w:val="auto"/>
                <w:kern w:val="0"/>
                <w:szCs w:val="21"/>
                <w:highlight w:val="none"/>
                <w:lang w:bidi="ar"/>
              </w:rPr>
              <w:t>。</w:t>
            </w:r>
          </w:p>
          <w:p w14:paraId="5BF1DDB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 xml:space="preserve">）履约担保交款形式及要求：从企业的基本账户（开户行）通过转账支票直接划付或以电汇方式直接划付至合同约定的发包人账户。 </w:t>
            </w:r>
          </w:p>
        </w:tc>
      </w:tr>
      <w:tr w14:paraId="45D5A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6EC84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644" w:type="dxa"/>
            <w:vAlign w:val="center"/>
          </w:tcPr>
          <w:p w14:paraId="746BF0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AC95DA7">
            <w:pPr>
              <w:pStyle w:val="13"/>
              <w:ind w:left="0" w:leftChars="0" w:firstLine="420" w:firstLineChars="200"/>
              <w:rPr>
                <w:rFonts w:hint="default" w:eastAsia="宋体"/>
                <w:highlight w:val="none"/>
                <w:lang w:val="en-US" w:eastAsia="zh-CN"/>
              </w:rPr>
            </w:pPr>
            <w:r>
              <w:rPr>
                <w:rFonts w:hint="eastAsia" w:ascii="宋体" w:hAnsi="宋体" w:eastAsia="宋体" w:cs="Times New Roman"/>
                <w:color w:val="auto"/>
                <w:kern w:val="0"/>
                <w:sz w:val="21"/>
                <w:szCs w:val="21"/>
                <w:highlight w:val="none"/>
                <w:lang w:val="en-US" w:eastAsia="zh-CN" w:bidi="ar-SA"/>
              </w:rPr>
              <w:t>本次招标公示期结束后，由各项目物资使用单位与各中标候选人签订</w:t>
            </w:r>
            <w:r>
              <w:rPr>
                <w:rFonts w:hint="eastAsia" w:ascii="宋体" w:hAnsi="宋体" w:cs="Times New Roman"/>
                <w:color w:val="auto"/>
                <w:kern w:val="0"/>
                <w:sz w:val="21"/>
                <w:szCs w:val="21"/>
                <w:highlight w:val="none"/>
                <w:lang w:val="en-US" w:eastAsia="zh-CN" w:bidi="ar-SA"/>
              </w:rPr>
              <w:t>钢材</w:t>
            </w:r>
            <w:r>
              <w:rPr>
                <w:rFonts w:hint="eastAsia" w:ascii="宋体" w:hAnsi="宋体" w:eastAsia="宋体" w:cs="Times New Roman"/>
                <w:color w:val="auto"/>
                <w:kern w:val="0"/>
                <w:sz w:val="21"/>
                <w:szCs w:val="21"/>
                <w:highlight w:val="none"/>
                <w:lang w:val="en-US" w:eastAsia="zh-CN" w:bidi="ar-SA"/>
              </w:rPr>
              <w:t>采购合同</w:t>
            </w:r>
          </w:p>
        </w:tc>
      </w:tr>
      <w:tr w14:paraId="61B2E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E5DC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0939BE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708E9F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2A59084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49A44208">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61018200">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D02B28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88DC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A06F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04E9A8C">
            <w:pPr>
              <w:snapToGrid w:val="0"/>
              <w:spacing w:line="400" w:lineRule="exact"/>
              <w:jc w:val="center"/>
              <w:rPr>
                <w:color w:val="auto"/>
                <w:highlight w:val="none"/>
              </w:rPr>
            </w:pPr>
            <w:bookmarkStart w:id="99" w:name="_Toc13210670"/>
            <w:bookmarkStart w:id="100" w:name="_Toc509218709"/>
            <w:bookmarkStart w:id="101" w:name="_Toc430530434"/>
            <w:bookmarkStart w:id="102" w:name="_Toc536628250"/>
            <w:bookmarkStart w:id="103"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9"/>
            <w:bookmarkEnd w:id="100"/>
            <w:bookmarkEnd w:id="101"/>
            <w:bookmarkEnd w:id="102"/>
            <w:bookmarkEnd w:id="103"/>
          </w:p>
        </w:tc>
        <w:tc>
          <w:tcPr>
            <w:tcW w:w="6490" w:type="dxa"/>
            <w:vAlign w:val="center"/>
          </w:tcPr>
          <w:p w14:paraId="5D867036">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6E8D8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8045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1891B9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234F2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DE31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71963B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37A2325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，应当先向招标人提出异议；招标人应当在规定时间内答复；对招标人的答复不满意，可向监督部门投诉。</w:t>
            </w:r>
          </w:p>
          <w:p w14:paraId="5E9128A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234A56E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3D9B45E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71352387">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1EFD02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1F55A72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1CBF8AD3">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42D13C35">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73F33EB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516CB2F4">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重庆高速资产经营管理有限公司</w:t>
            </w:r>
          </w:p>
          <w:p w14:paraId="5D325C1D">
            <w:pPr>
              <w:widowControl/>
              <w:spacing w:line="400" w:lineRule="exact"/>
              <w:ind w:firstLine="420" w:firstLineChars="20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023-89138382</w:t>
            </w:r>
          </w:p>
          <w:p w14:paraId="707C9A3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重庆高速资产经营管理有限公司</w:t>
            </w:r>
          </w:p>
          <w:p w14:paraId="5C214E7D">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023-89138397   </w:t>
            </w:r>
          </w:p>
        </w:tc>
      </w:tr>
      <w:tr w14:paraId="43221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57873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2</w:t>
            </w:r>
          </w:p>
        </w:tc>
        <w:tc>
          <w:tcPr>
            <w:tcW w:w="1644" w:type="dxa"/>
            <w:vAlign w:val="center"/>
          </w:tcPr>
          <w:p w14:paraId="03281C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5019219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71AFA0D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74B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50699F">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3</w:t>
            </w:r>
          </w:p>
        </w:tc>
        <w:tc>
          <w:tcPr>
            <w:tcW w:w="1644" w:type="dxa"/>
            <w:vAlign w:val="center"/>
          </w:tcPr>
          <w:p w14:paraId="0047758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14:paraId="7E35FBB6">
            <w:pPr>
              <w:snapToGrid w:val="0"/>
              <w:spacing w:line="400" w:lineRule="exact"/>
              <w:jc w:val="center"/>
              <w:rPr>
                <w:rFonts w:hint="eastAsia" w:ascii="宋体" w:hAnsi="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490" w:type="dxa"/>
            <w:vAlign w:val="center"/>
          </w:tcPr>
          <w:p w14:paraId="74AFEBC9">
            <w:pPr>
              <w:widowControl/>
              <w:spacing w:line="400" w:lineRule="exact"/>
              <w:ind w:firstLine="420" w:firstLineChars="200"/>
              <w:rPr>
                <w:rFonts w:hint="eastAsia"/>
                <w:color w:val="auto"/>
                <w:highlight w:val="none"/>
              </w:rPr>
            </w:pPr>
            <w:r>
              <w:rPr>
                <w:rFonts w:hint="eastAsia"/>
                <w:color w:val="auto"/>
                <w:highlight w:val="none"/>
              </w:rPr>
              <w:t>1、低价风险担保：中标价低于最高限价的85%时提供，如不按时足额提供，视为中标人放弃中标，招标人有权不退还其投标保证金。</w:t>
            </w:r>
          </w:p>
          <w:p w14:paraId="5B8D4AC6">
            <w:pPr>
              <w:widowControl/>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14:paraId="74141537">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的独立保函，保函格式详见第四章合同条款及格式附件，中标人出具保函时，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否则视为不符合招标文件规定</w:t>
            </w:r>
            <w:r>
              <w:rPr>
                <w:rFonts w:hint="eastAsia"/>
                <w:color w:val="auto"/>
                <w:highlight w:val="none"/>
                <w:u w:val="none"/>
              </w:rPr>
              <w:t>。</w:t>
            </w:r>
          </w:p>
          <w:p w14:paraId="07DC5FB2">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rPr>
              <w:sym w:font="Wingdings 2" w:char="0052"/>
            </w:r>
            <w:r>
              <w:rPr>
                <w:rFonts w:hint="eastAsia"/>
                <w:color w:val="auto"/>
                <w:highlight w:val="none"/>
              </w:rPr>
              <w:t>3，</w:t>
            </w:r>
            <w:r>
              <w:rPr>
                <w:color w:val="auto"/>
                <w:highlight w:val="none"/>
              </w:rPr>
              <w:t>且最高不超过最高限价的85%</w:t>
            </w:r>
            <w:r>
              <w:rPr>
                <w:rFonts w:hint="eastAsia"/>
                <w:color w:val="auto"/>
                <w:highlight w:val="none"/>
                <w:lang w:eastAsia="zh-CN"/>
              </w:rPr>
              <w:t>。</w:t>
            </w:r>
          </w:p>
          <w:p w14:paraId="75134559">
            <w:pPr>
              <w:widowControl/>
              <w:spacing w:line="400" w:lineRule="exact"/>
              <w:ind w:firstLine="420" w:firstLineChars="200"/>
              <w:rPr>
                <w:rFonts w:hint="eastAsia"/>
                <w:color w:val="auto"/>
                <w:highlight w:val="none"/>
              </w:rPr>
            </w:pPr>
            <w:r>
              <w:rPr>
                <w:rFonts w:hint="eastAsia"/>
                <w:color w:val="auto"/>
                <w:highlight w:val="none"/>
              </w:rPr>
              <w:t>（3）低价风险担保送达招标人的时间：从招标人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14</w:t>
            </w:r>
            <w:r>
              <w:rPr>
                <w:rFonts w:hint="eastAsia"/>
                <w:color w:val="auto"/>
                <w:highlight w:val="none"/>
                <w:u w:val="single"/>
              </w:rPr>
              <w:t xml:space="preserve">  </w:t>
            </w:r>
            <w:r>
              <w:rPr>
                <w:rFonts w:hint="eastAsia"/>
                <w:color w:val="auto"/>
                <w:highlight w:val="none"/>
              </w:rPr>
              <w:t>工作日内；</w:t>
            </w:r>
          </w:p>
          <w:p w14:paraId="2F16600C">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（4）中标人因自身原因未按中标通知书规定的时限与招标人签订合同的，招标人有权扣除其低价风险担保并取消中标资格。</w:t>
            </w:r>
          </w:p>
          <w:p w14:paraId="1ABAC51C">
            <w:pPr>
              <w:widowControl/>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w:t>
            </w:r>
            <w:r>
              <w:rPr>
                <w:rFonts w:hint="eastAsia"/>
                <w:color w:val="auto"/>
                <w:highlight w:val="none"/>
                <w:u w:val="single"/>
                <w:lang w:val="en-US" w:eastAsia="zh-CN"/>
              </w:rPr>
              <w:t>项目履行完毕</w:t>
            </w:r>
            <w:r>
              <w:rPr>
                <w:rFonts w:hint="eastAsia"/>
                <w:color w:val="auto"/>
                <w:highlight w:val="none"/>
              </w:rPr>
              <w:t>。</w:t>
            </w:r>
          </w:p>
          <w:p w14:paraId="521485F9">
            <w:pPr>
              <w:widowControl/>
              <w:spacing w:line="400" w:lineRule="exact"/>
              <w:ind w:firstLine="420" w:firstLineChars="200"/>
              <w:rPr>
                <w:rFonts w:hint="eastAsia"/>
                <w:color w:val="auto"/>
                <w:highlight w:val="none"/>
              </w:rPr>
            </w:pPr>
            <w:r>
              <w:rPr>
                <w:rFonts w:hint="eastAsia"/>
                <w:color w:val="auto"/>
                <w:highlight w:val="none"/>
              </w:rPr>
              <w:t>3、低价风险担保的退还时间：</w:t>
            </w:r>
            <w:r>
              <w:rPr>
                <w:rFonts w:hint="eastAsia" w:ascii="宋体" w:cs="宋体"/>
                <w:color w:val="auto"/>
                <w:kern w:val="0"/>
                <w:szCs w:val="21"/>
                <w:highlight w:val="none"/>
                <w:u w:val="single"/>
                <w:lang w:val="en-US" w:eastAsia="zh-CN" w:bidi="ar"/>
              </w:rPr>
              <w:t>项目履约完毕后无息退还</w:t>
            </w:r>
            <w:r>
              <w:rPr>
                <w:rFonts w:hint="eastAsia"/>
                <w:color w:val="auto"/>
                <w:highlight w:val="none"/>
              </w:rPr>
              <w:t>。</w:t>
            </w:r>
          </w:p>
          <w:p w14:paraId="5C654424">
            <w:pPr>
              <w:widowControl/>
              <w:spacing w:line="400" w:lineRule="exact"/>
              <w:ind w:firstLine="420" w:firstLineChars="200"/>
              <w:rPr>
                <w:rFonts w:hint="eastAsia"/>
                <w:color w:val="auto"/>
                <w:highlight w:val="none"/>
              </w:rPr>
            </w:pPr>
            <w:r>
              <w:rPr>
                <w:rFonts w:hint="eastAsia"/>
                <w:color w:val="auto"/>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DD305AA">
            <w:pPr>
              <w:widowControl/>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备注：当中标人或拟中标人未按时提交低价风险担保，且属于可以延长低价风险担保提交期限的特殊情形时，经招标人同意，可适当延长低价风险担保的提交期限。</w:t>
            </w:r>
          </w:p>
          <w:p w14:paraId="4847AB1F">
            <w:pPr>
              <w:widowControl/>
              <w:spacing w:line="400" w:lineRule="exact"/>
              <w:ind w:firstLine="420" w:firstLineChars="200"/>
              <w:rPr>
                <w:rFonts w:hint="eastAsia" w:ascii="宋体" w:hAnsi="宋体" w:eastAsia="宋体" w:cs="Times New Roman"/>
                <w:color w:val="auto"/>
                <w:kern w:val="0"/>
                <w:szCs w:val="21"/>
                <w:highlight w:val="none"/>
                <w:lang w:val="en-US" w:eastAsia="zh-CN"/>
              </w:rPr>
            </w:pPr>
            <w:r>
              <w:rPr>
                <w:rFonts w:hint="eastAsia"/>
                <w:color w:val="auto"/>
                <w:highlight w:val="none"/>
              </w:rPr>
              <w:t>5、投标总报价低于最高限价85%的，投标人应在编制投标文件时，在投标函部分中递交低价风险担保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章投标文件格式。</w:t>
            </w:r>
          </w:p>
        </w:tc>
      </w:tr>
      <w:tr w14:paraId="372C7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D866B9">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16B6CC8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031AE1F0">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招标代理服务费：由中标人在领取中标通知书前向招标代理机构缴纳代理服务费，本次项目招标代理服务费</w:t>
            </w:r>
            <w:r>
              <w:rPr>
                <w:rFonts w:hint="eastAsia" w:ascii="宋体" w:hAnsi="宋体" w:cs="Times New Roman"/>
                <w:color w:val="auto"/>
                <w:kern w:val="0"/>
                <w:szCs w:val="21"/>
                <w:highlight w:val="none"/>
                <w:u w:val="none"/>
                <w:lang w:val="en-US" w:eastAsia="zh-CN"/>
              </w:rPr>
              <w:t>根据招标人及招标代理机构签订的代理合同确定</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招标代理服务费</w:t>
            </w:r>
            <w:r>
              <w:rPr>
                <w:rFonts w:hint="eastAsia" w:ascii="宋体" w:hAnsi="宋体" w:eastAsia="宋体" w:cs="Times New Roman"/>
                <w:color w:val="auto"/>
                <w:kern w:val="0"/>
                <w:szCs w:val="21"/>
                <w:highlight w:val="none"/>
                <w:lang w:val="en-US" w:eastAsia="zh-CN"/>
              </w:rPr>
              <w:t>包含在投标报价中，不单列</w:t>
            </w:r>
            <w:r>
              <w:rPr>
                <w:rFonts w:hint="eastAsia" w:ascii="宋体" w:hAnsi="宋体" w:eastAsia="宋体" w:cs="Times New Roman"/>
                <w:color w:val="auto"/>
                <w:kern w:val="0"/>
                <w:szCs w:val="21"/>
                <w:highlight w:val="none"/>
              </w:rPr>
              <w:t>。</w:t>
            </w:r>
          </w:p>
          <w:p w14:paraId="6963FACB">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开标一览表为投标文件的组成部分，如开标一览表中的内容与投标文件（除开标一览表外）中的内容不一致时，以开标一览表中的内容为准。请投标人制作电子投标文件开标一览表时自行核对投标文件内容。</w:t>
            </w:r>
          </w:p>
          <w:p w14:paraId="23254C5F">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eastAsia="宋体" w:cs="Times New Roman"/>
                <w:color w:val="auto"/>
                <w:kern w:val="0"/>
                <w:szCs w:val="21"/>
                <w:highlight w:val="none"/>
                <w:lang w:val="en-US" w:eastAsia="zh-CN"/>
              </w:rPr>
              <w:t>3、如本前附表与投标人须知及招标文件有矛盾或不一致的，若有补遗澄清说明的，将以补遗澄清说明为准，如没有澄清说明的，均以本前附表为准。</w:t>
            </w:r>
          </w:p>
        </w:tc>
      </w:tr>
    </w:tbl>
    <w:p w14:paraId="66898160">
      <w:pPr>
        <w:pStyle w:val="3"/>
        <w:spacing w:before="0" w:after="0" w:line="20" w:lineRule="exact"/>
        <w:outlineLvl w:val="9"/>
        <w:rPr>
          <w:rFonts w:ascii="宋体" w:hAnsi="宋体"/>
          <w:b w:val="0"/>
          <w:snapToGrid w:val="0"/>
          <w:color w:val="auto"/>
          <w:highlight w:val="none"/>
        </w:rPr>
      </w:pPr>
      <w:bookmarkStart w:id="104" w:name="_Toc430530435"/>
      <w:bookmarkStart w:id="105" w:name="_Toc200513126"/>
      <w:bookmarkStart w:id="106" w:name="_Toc287620685"/>
      <w:bookmarkStart w:id="107" w:name="_Toc287607746"/>
      <w:bookmarkStart w:id="108" w:name="_Toc224103317"/>
      <w:bookmarkStart w:id="109" w:name="_Toc277082552"/>
    </w:p>
    <w:p w14:paraId="05900EE7">
      <w:pPr>
        <w:pStyle w:val="3"/>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22133C56">
      <w:pPr>
        <w:pStyle w:val="3"/>
        <w:spacing w:before="0" w:after="0" w:line="360" w:lineRule="auto"/>
        <w:rPr>
          <w:rFonts w:ascii="宋体" w:hAnsi="宋体"/>
          <w:b w:val="0"/>
          <w:snapToGrid w:val="0"/>
          <w:color w:val="auto"/>
          <w:highlight w:val="none"/>
        </w:rPr>
      </w:pPr>
      <w:bookmarkStart w:id="110" w:name="_Toc26332"/>
      <w:bookmarkStart w:id="111" w:name="_Toc509218710"/>
      <w:r>
        <w:rPr>
          <w:rFonts w:ascii="宋体" w:hAnsi="宋体"/>
          <w:b w:val="0"/>
          <w:snapToGrid w:val="0"/>
          <w:color w:val="auto"/>
          <w:highlight w:val="none"/>
        </w:rPr>
        <w:t>1.  总则</w:t>
      </w:r>
      <w:bookmarkEnd w:id="104"/>
      <w:bookmarkEnd w:id="105"/>
      <w:bookmarkEnd w:id="106"/>
      <w:bookmarkEnd w:id="107"/>
      <w:bookmarkEnd w:id="108"/>
      <w:bookmarkEnd w:id="109"/>
      <w:bookmarkEnd w:id="110"/>
      <w:bookmarkEnd w:id="111"/>
    </w:p>
    <w:p w14:paraId="3C7D16BE">
      <w:pPr>
        <w:pStyle w:val="4"/>
        <w:snapToGrid w:val="0"/>
        <w:spacing w:before="0" w:after="0" w:line="360" w:lineRule="auto"/>
        <w:rPr>
          <w:rFonts w:ascii="宋体" w:hAnsi="宋体"/>
          <w:b w:val="0"/>
          <w:snapToGrid w:val="0"/>
          <w:color w:val="auto"/>
          <w:sz w:val="24"/>
          <w:szCs w:val="24"/>
          <w:highlight w:val="none"/>
        </w:rPr>
      </w:pPr>
      <w:bookmarkStart w:id="112" w:name="_Toc430530436"/>
      <w:bookmarkStart w:id="113" w:name="_Toc3712"/>
      <w:bookmarkStart w:id="114" w:name="_Toc200513127"/>
      <w:bookmarkStart w:id="115" w:name="_Toc287607747"/>
      <w:bookmarkStart w:id="116" w:name="_Toc277082553"/>
      <w:bookmarkStart w:id="117" w:name="_Toc224103318"/>
      <w:bookmarkStart w:id="118" w:name="_Toc287620686"/>
      <w:bookmarkStart w:id="119" w:name="_Toc509218711"/>
      <w:r>
        <w:rPr>
          <w:rFonts w:ascii="宋体" w:hAnsi="宋体"/>
          <w:b w:val="0"/>
          <w:snapToGrid w:val="0"/>
          <w:color w:val="auto"/>
          <w:sz w:val="24"/>
          <w:szCs w:val="24"/>
          <w:highlight w:val="none"/>
        </w:rPr>
        <w:t>1.1  项目概况</w:t>
      </w:r>
      <w:bookmarkEnd w:id="112"/>
      <w:bookmarkEnd w:id="113"/>
      <w:bookmarkEnd w:id="114"/>
      <w:bookmarkEnd w:id="115"/>
      <w:bookmarkEnd w:id="116"/>
      <w:bookmarkEnd w:id="117"/>
      <w:bookmarkEnd w:id="118"/>
      <w:bookmarkEnd w:id="119"/>
    </w:p>
    <w:p w14:paraId="6522F5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进行招标。</w:t>
      </w:r>
    </w:p>
    <w:p w14:paraId="5F1291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招标人：见投标人须知前附表。</w:t>
      </w:r>
    </w:p>
    <w:p w14:paraId="0B7E4D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招标代理机构：见投标人须知前附表。</w:t>
      </w:r>
    </w:p>
    <w:p w14:paraId="739BFB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14:paraId="6D072B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项目建设地点：见投标人须知前附表。</w:t>
      </w:r>
    </w:p>
    <w:p w14:paraId="3A4930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项目建设规模：见投标人须知前附表。</w:t>
      </w:r>
    </w:p>
    <w:p w14:paraId="42E0A5F3">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：见投标人须知前附表。</w:t>
      </w:r>
    </w:p>
    <w:p w14:paraId="50C39F4B">
      <w:pPr>
        <w:pStyle w:val="4"/>
        <w:snapToGrid w:val="0"/>
        <w:spacing w:before="0" w:after="0" w:line="360" w:lineRule="auto"/>
        <w:rPr>
          <w:rFonts w:ascii="宋体" w:hAnsi="宋体"/>
          <w:b w:val="0"/>
          <w:snapToGrid w:val="0"/>
          <w:color w:val="auto"/>
          <w:sz w:val="24"/>
          <w:szCs w:val="24"/>
          <w:highlight w:val="none"/>
        </w:rPr>
      </w:pPr>
      <w:bookmarkStart w:id="120" w:name="_Toc277082554"/>
      <w:bookmarkStart w:id="121" w:name="_Toc27222"/>
      <w:bookmarkStart w:id="122" w:name="_Toc287607748"/>
      <w:bookmarkStart w:id="123" w:name="_Toc200513128"/>
      <w:bookmarkStart w:id="124" w:name="_Toc509218712"/>
      <w:bookmarkStart w:id="125" w:name="_Toc224103319"/>
      <w:bookmarkStart w:id="126" w:name="_Toc430530437"/>
      <w:bookmarkStart w:id="127" w:name="_Toc287620687"/>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20"/>
      <w:bookmarkEnd w:id="121"/>
      <w:bookmarkEnd w:id="122"/>
      <w:bookmarkEnd w:id="123"/>
      <w:bookmarkEnd w:id="124"/>
      <w:bookmarkEnd w:id="125"/>
      <w:bookmarkEnd w:id="126"/>
      <w:bookmarkEnd w:id="127"/>
    </w:p>
    <w:p w14:paraId="68ADDA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14:paraId="3679DE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14:paraId="38F721E4">
      <w:pPr>
        <w:pStyle w:val="4"/>
        <w:snapToGrid w:val="0"/>
        <w:spacing w:before="0" w:after="0" w:line="360" w:lineRule="auto"/>
        <w:rPr>
          <w:rFonts w:ascii="宋体" w:hAnsi="宋体"/>
          <w:b w:val="0"/>
          <w:snapToGrid w:val="0"/>
          <w:color w:val="auto"/>
          <w:sz w:val="24"/>
          <w:szCs w:val="24"/>
          <w:highlight w:val="none"/>
        </w:rPr>
      </w:pPr>
      <w:bookmarkStart w:id="128" w:name="_Toc287607749"/>
      <w:bookmarkStart w:id="129" w:name="_Toc277082555"/>
      <w:bookmarkStart w:id="130" w:name="_Toc509218713"/>
      <w:bookmarkStart w:id="131" w:name="_Toc200513129"/>
      <w:bookmarkStart w:id="132" w:name="_Toc224103320"/>
      <w:bookmarkStart w:id="133" w:name="_Toc430530438"/>
      <w:bookmarkStart w:id="134" w:name="_Toc287620688"/>
      <w:bookmarkStart w:id="135" w:name="_Toc2175"/>
      <w:r>
        <w:rPr>
          <w:rFonts w:ascii="宋体" w:hAnsi="宋体"/>
          <w:b w:val="0"/>
          <w:snapToGrid w:val="0"/>
          <w:color w:val="auto"/>
          <w:sz w:val="24"/>
          <w:szCs w:val="24"/>
          <w:highlight w:val="none"/>
        </w:rPr>
        <w:t>1.3  招标范围、</w:t>
      </w:r>
      <w:r>
        <w:rPr>
          <w:rFonts w:hint="eastAsia" w:ascii="宋体" w:hAnsi="宋体"/>
          <w:b w:val="0"/>
          <w:snapToGrid w:val="0"/>
          <w:color w:val="auto"/>
          <w:sz w:val="24"/>
          <w:szCs w:val="24"/>
          <w:highlight w:val="none"/>
        </w:rPr>
        <w:t>服务期限</w:t>
      </w:r>
      <w:r>
        <w:rPr>
          <w:rFonts w:ascii="宋体" w:hAnsi="宋体"/>
          <w:b w:val="0"/>
          <w:snapToGrid w:val="0"/>
          <w:color w:val="auto"/>
          <w:sz w:val="24"/>
          <w:szCs w:val="24"/>
          <w:highlight w:val="none"/>
        </w:rPr>
        <w:t>和质量</w:t>
      </w:r>
      <w:bookmarkEnd w:id="128"/>
      <w:bookmarkEnd w:id="129"/>
      <w:bookmarkEnd w:id="130"/>
      <w:bookmarkEnd w:id="131"/>
      <w:bookmarkEnd w:id="132"/>
      <w:bookmarkEnd w:id="133"/>
      <w:bookmarkEnd w:id="134"/>
      <w:r>
        <w:rPr>
          <w:rFonts w:hint="eastAsia" w:ascii="宋体" w:hAnsi="宋体"/>
          <w:b w:val="0"/>
          <w:snapToGrid w:val="0"/>
          <w:color w:val="auto"/>
          <w:sz w:val="24"/>
          <w:szCs w:val="24"/>
          <w:highlight w:val="none"/>
        </w:rPr>
        <w:t>标准</w:t>
      </w:r>
      <w:bookmarkEnd w:id="135"/>
    </w:p>
    <w:p w14:paraId="662086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29A9A8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：见投标人须知前附表。</w:t>
      </w:r>
    </w:p>
    <w:p w14:paraId="3CECEA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：见投标人须知前附表。</w:t>
      </w:r>
    </w:p>
    <w:p w14:paraId="136F9770">
      <w:pPr>
        <w:pStyle w:val="4"/>
        <w:snapToGrid w:val="0"/>
        <w:spacing w:before="0" w:after="0" w:line="360" w:lineRule="auto"/>
        <w:rPr>
          <w:rFonts w:ascii="宋体" w:hAnsi="宋体"/>
          <w:b w:val="0"/>
          <w:snapToGrid w:val="0"/>
          <w:color w:val="auto"/>
          <w:sz w:val="24"/>
          <w:szCs w:val="24"/>
          <w:highlight w:val="none"/>
        </w:rPr>
      </w:pPr>
      <w:bookmarkStart w:id="136" w:name="_Toc23348"/>
      <w:bookmarkStart w:id="137" w:name="_Toc200513131"/>
      <w:bookmarkStart w:id="138" w:name="_Toc509218715"/>
      <w:bookmarkStart w:id="139" w:name="_Toc430530440"/>
      <w:bookmarkStart w:id="140" w:name="_Toc224103322"/>
      <w:bookmarkStart w:id="141" w:name="_Toc277082557"/>
      <w:bookmarkStart w:id="142" w:name="_Toc287620690"/>
      <w:bookmarkStart w:id="143" w:name="_Toc287607751"/>
      <w:r>
        <w:rPr>
          <w:rFonts w:ascii="宋体" w:hAnsi="宋体"/>
          <w:b w:val="0"/>
          <w:snapToGrid w:val="0"/>
          <w:color w:val="auto"/>
          <w:sz w:val="24"/>
          <w:szCs w:val="24"/>
          <w:highlight w:val="none"/>
        </w:rPr>
        <w:t>1.4  投标人资格要求</w:t>
      </w:r>
      <w:bookmarkEnd w:id="136"/>
      <w:bookmarkEnd w:id="137"/>
      <w:bookmarkEnd w:id="138"/>
      <w:bookmarkEnd w:id="139"/>
      <w:bookmarkEnd w:id="140"/>
      <w:bookmarkEnd w:id="141"/>
      <w:bookmarkEnd w:id="142"/>
      <w:bookmarkEnd w:id="143"/>
    </w:p>
    <w:p w14:paraId="56F9F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3B825CC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w:t>
      </w:r>
      <w:r>
        <w:rPr>
          <w:rFonts w:hint="eastAsia" w:ascii="宋体" w:hAnsi="宋体"/>
          <w:color w:val="auto"/>
          <w:szCs w:val="21"/>
          <w:highlight w:val="none"/>
        </w:rPr>
        <w:t>要求及营业执照</w:t>
      </w:r>
      <w:r>
        <w:rPr>
          <w:rFonts w:ascii="宋体" w:hAnsi="宋体"/>
          <w:snapToGrid w:val="0"/>
          <w:color w:val="auto"/>
          <w:kern w:val="0"/>
          <w:szCs w:val="21"/>
          <w:highlight w:val="none"/>
        </w:rPr>
        <w:t>：见投标人须知前附表；</w:t>
      </w:r>
    </w:p>
    <w:p w14:paraId="3C34CA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6B71A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702762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205A09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w:t>
      </w:r>
      <w:r>
        <w:rPr>
          <w:rFonts w:hint="eastAsia" w:ascii="宋体" w:hAnsi="宋体"/>
          <w:snapToGrid w:val="0"/>
          <w:color w:val="auto"/>
          <w:kern w:val="0"/>
          <w:szCs w:val="21"/>
          <w:highlight w:val="none"/>
        </w:rPr>
        <w:t>负责人的</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2DAB9D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50ACF4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14:paraId="0FF3CA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（1）联合体各方应按招标文件提供的格式签订联合体协议书，明确联合体牵头人和各方权利义务，并承诺就中标项目向招标人承担连带责任；</w:t>
      </w:r>
    </w:p>
    <w:p w14:paraId="6F5CC2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02EC93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4B5393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46BAE6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（1）为招标人不具有独立法人资格的附属机构（单位）；</w:t>
      </w:r>
    </w:p>
    <w:p w14:paraId="0F63DE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（2）与招标人存在利害关系且可能影响招标公正性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7E640EEB">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与本招标项目的其他投标人为同一个单位负责人；</w:t>
      </w:r>
    </w:p>
    <w:p w14:paraId="19DE934E">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与本招标项目的其他投标人存在控股、管理关系；</w:t>
      </w:r>
    </w:p>
    <w:p w14:paraId="1B342D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14:paraId="59ECBCC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招标代理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AB6F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代建人或招标代理机构同为一个法定代表人；</w:t>
      </w:r>
    </w:p>
    <w:p w14:paraId="44C66A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（8）与本招标项目的代建人或招标代理机构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0B6396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151A34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4" w:name="_Hlk66280425"/>
      <w:r>
        <w:rPr>
          <w:rFonts w:ascii="宋体" w:hAnsi="宋体"/>
          <w:snapToGrid w:val="0"/>
          <w:color w:val="auto"/>
          <w:kern w:val="0"/>
          <w:szCs w:val="21"/>
          <w:highlight w:val="none"/>
        </w:rPr>
        <w:t>被责令停产停业、暂扣或者吊销许可证、暂扣或者吊销执照；</w:t>
      </w:r>
      <w:bookmarkEnd w:id="144"/>
    </w:p>
    <w:p w14:paraId="544589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5" w:name="_Hlk66280433"/>
      <w:r>
        <w:rPr>
          <w:rFonts w:ascii="宋体" w:hAnsi="宋体"/>
          <w:snapToGrid w:val="0"/>
          <w:color w:val="auto"/>
          <w:kern w:val="0"/>
          <w:szCs w:val="21"/>
          <w:highlight w:val="none"/>
        </w:rPr>
        <w:t>进入清算程序，或被宣告破产，或其他丧失履约能力的情形；</w:t>
      </w:r>
      <w:bookmarkEnd w:id="145"/>
    </w:p>
    <w:p w14:paraId="1E85E8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（12）法律法规或投标人须知前附表规定的其他情形。</w:t>
      </w:r>
    </w:p>
    <w:p w14:paraId="7AACC683">
      <w:pPr>
        <w:pStyle w:val="4"/>
        <w:snapToGrid w:val="0"/>
        <w:spacing w:before="0" w:after="0" w:line="360" w:lineRule="auto"/>
        <w:rPr>
          <w:rFonts w:ascii="宋体" w:hAnsi="宋体"/>
          <w:b w:val="0"/>
          <w:snapToGrid w:val="0"/>
          <w:color w:val="auto"/>
          <w:sz w:val="24"/>
          <w:szCs w:val="24"/>
          <w:highlight w:val="none"/>
        </w:rPr>
      </w:pPr>
      <w:bookmarkStart w:id="146" w:name="_Toc200513132"/>
      <w:bookmarkStart w:id="147" w:name="_Toc430530441"/>
      <w:bookmarkStart w:id="148" w:name="_Toc287607752"/>
      <w:bookmarkStart w:id="149" w:name="_Toc21751"/>
      <w:bookmarkStart w:id="150" w:name="_Toc224103323"/>
      <w:bookmarkStart w:id="151" w:name="_Toc277082558"/>
      <w:bookmarkStart w:id="152" w:name="_Toc509218716"/>
      <w:bookmarkStart w:id="153" w:name="_Toc287620691"/>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p>
    <w:p w14:paraId="2BF09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32DF2374">
      <w:pPr>
        <w:pStyle w:val="4"/>
        <w:snapToGrid w:val="0"/>
        <w:spacing w:before="0" w:after="0" w:line="360" w:lineRule="auto"/>
        <w:rPr>
          <w:rFonts w:ascii="宋体" w:hAnsi="宋体"/>
          <w:b w:val="0"/>
          <w:snapToGrid w:val="0"/>
          <w:color w:val="auto"/>
          <w:sz w:val="24"/>
          <w:szCs w:val="24"/>
          <w:highlight w:val="none"/>
        </w:rPr>
      </w:pPr>
      <w:bookmarkStart w:id="154" w:name="_Toc26043"/>
      <w:bookmarkStart w:id="155" w:name="_Toc287620692"/>
      <w:bookmarkStart w:id="156" w:name="_Toc509218717"/>
      <w:bookmarkStart w:id="157" w:name="_Toc200513133"/>
      <w:bookmarkStart w:id="158" w:name="_Toc287607753"/>
      <w:bookmarkStart w:id="159" w:name="_Toc430530442"/>
      <w:bookmarkStart w:id="160" w:name="_Toc224103324"/>
      <w:bookmarkStart w:id="161" w:name="_Toc277082559"/>
      <w:r>
        <w:rPr>
          <w:rFonts w:ascii="宋体" w:hAnsi="宋体"/>
          <w:b w:val="0"/>
          <w:snapToGrid w:val="0"/>
          <w:color w:val="auto"/>
          <w:sz w:val="24"/>
          <w:szCs w:val="24"/>
          <w:highlight w:val="none"/>
        </w:rPr>
        <w:t>1.6  保密</w:t>
      </w:r>
      <w:bookmarkEnd w:id="154"/>
      <w:bookmarkEnd w:id="155"/>
      <w:bookmarkEnd w:id="156"/>
      <w:bookmarkEnd w:id="157"/>
      <w:bookmarkEnd w:id="158"/>
      <w:bookmarkEnd w:id="159"/>
      <w:bookmarkEnd w:id="160"/>
      <w:bookmarkEnd w:id="161"/>
    </w:p>
    <w:p w14:paraId="2E9719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14:paraId="25C1E45F">
      <w:pPr>
        <w:pStyle w:val="4"/>
        <w:snapToGrid w:val="0"/>
        <w:spacing w:before="0" w:after="0" w:line="360" w:lineRule="auto"/>
        <w:rPr>
          <w:rFonts w:ascii="宋体" w:hAnsi="宋体"/>
          <w:b w:val="0"/>
          <w:snapToGrid w:val="0"/>
          <w:color w:val="auto"/>
          <w:sz w:val="24"/>
          <w:szCs w:val="24"/>
          <w:highlight w:val="none"/>
        </w:rPr>
      </w:pPr>
      <w:bookmarkStart w:id="162" w:name="_Toc277082560"/>
      <w:bookmarkStart w:id="163" w:name="_Toc287607754"/>
      <w:bookmarkStart w:id="164" w:name="_Toc287620693"/>
      <w:bookmarkStart w:id="165" w:name="_Toc509218718"/>
      <w:bookmarkStart w:id="166" w:name="_Toc224103325"/>
      <w:bookmarkStart w:id="167" w:name="_Toc430530443"/>
      <w:bookmarkStart w:id="168" w:name="_Toc200513134"/>
      <w:bookmarkStart w:id="169" w:name="_Toc32313"/>
      <w:r>
        <w:rPr>
          <w:rFonts w:ascii="宋体" w:hAnsi="宋体"/>
          <w:b w:val="0"/>
          <w:snapToGrid w:val="0"/>
          <w:color w:val="auto"/>
          <w:sz w:val="24"/>
          <w:szCs w:val="24"/>
          <w:highlight w:val="none"/>
        </w:rPr>
        <w:t>1.7  语言文字</w:t>
      </w:r>
      <w:bookmarkEnd w:id="162"/>
      <w:bookmarkEnd w:id="163"/>
      <w:bookmarkEnd w:id="164"/>
      <w:bookmarkEnd w:id="165"/>
      <w:bookmarkEnd w:id="166"/>
      <w:bookmarkEnd w:id="167"/>
      <w:bookmarkEnd w:id="168"/>
      <w:bookmarkEnd w:id="169"/>
    </w:p>
    <w:p w14:paraId="36875C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14:paraId="762B0202">
      <w:pPr>
        <w:pStyle w:val="4"/>
        <w:snapToGrid w:val="0"/>
        <w:spacing w:before="0" w:after="0" w:line="360" w:lineRule="auto"/>
        <w:rPr>
          <w:rFonts w:ascii="宋体" w:hAnsi="宋体"/>
          <w:b w:val="0"/>
          <w:snapToGrid w:val="0"/>
          <w:color w:val="auto"/>
          <w:sz w:val="24"/>
          <w:szCs w:val="24"/>
          <w:highlight w:val="none"/>
        </w:rPr>
      </w:pPr>
      <w:bookmarkStart w:id="170" w:name="_Toc17808"/>
      <w:bookmarkStart w:id="171" w:name="_Toc224103326"/>
      <w:bookmarkStart w:id="172" w:name="_Toc430530444"/>
      <w:bookmarkStart w:id="173" w:name="_Toc509218719"/>
      <w:bookmarkStart w:id="174" w:name="_Toc277082561"/>
      <w:bookmarkStart w:id="175" w:name="_Toc200513135"/>
      <w:bookmarkStart w:id="176" w:name="_Toc287607755"/>
      <w:bookmarkStart w:id="177" w:name="_Toc287620694"/>
      <w:r>
        <w:rPr>
          <w:rFonts w:ascii="宋体" w:hAnsi="宋体"/>
          <w:b w:val="0"/>
          <w:snapToGrid w:val="0"/>
          <w:color w:val="auto"/>
          <w:sz w:val="24"/>
          <w:szCs w:val="24"/>
          <w:highlight w:val="none"/>
        </w:rPr>
        <w:t>1.8  计量单位</w:t>
      </w:r>
      <w:bookmarkEnd w:id="170"/>
      <w:bookmarkEnd w:id="171"/>
      <w:bookmarkEnd w:id="172"/>
      <w:bookmarkEnd w:id="173"/>
      <w:bookmarkEnd w:id="174"/>
      <w:bookmarkEnd w:id="175"/>
      <w:bookmarkEnd w:id="176"/>
      <w:bookmarkEnd w:id="177"/>
    </w:p>
    <w:p w14:paraId="0446C22B">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3747835F">
      <w:pPr>
        <w:pStyle w:val="4"/>
        <w:snapToGrid w:val="0"/>
        <w:spacing w:before="0" w:after="0" w:line="360" w:lineRule="auto"/>
        <w:rPr>
          <w:rFonts w:ascii="宋体" w:hAnsi="宋体"/>
          <w:b w:val="0"/>
          <w:snapToGrid w:val="0"/>
          <w:color w:val="auto"/>
          <w:sz w:val="24"/>
          <w:szCs w:val="24"/>
          <w:highlight w:val="none"/>
        </w:rPr>
      </w:pPr>
      <w:bookmarkStart w:id="178" w:name="_Toc224103327"/>
      <w:bookmarkStart w:id="179" w:name="_Toc287620695"/>
      <w:bookmarkStart w:id="180" w:name="_Toc509218720"/>
      <w:bookmarkStart w:id="181" w:name="_Toc430530445"/>
      <w:bookmarkStart w:id="182" w:name="_Toc200513136"/>
      <w:bookmarkStart w:id="183" w:name="_Toc287607756"/>
      <w:bookmarkStart w:id="184" w:name="_Toc277082562"/>
      <w:bookmarkStart w:id="185" w:name="_Toc10634"/>
      <w:r>
        <w:rPr>
          <w:rFonts w:ascii="宋体" w:hAnsi="宋体"/>
          <w:b w:val="0"/>
          <w:snapToGrid w:val="0"/>
          <w:color w:val="auto"/>
          <w:sz w:val="24"/>
          <w:szCs w:val="24"/>
          <w:highlight w:val="none"/>
        </w:rPr>
        <w:t>1.9  踏勘现场</w:t>
      </w:r>
      <w:bookmarkEnd w:id="178"/>
      <w:bookmarkEnd w:id="179"/>
      <w:bookmarkEnd w:id="180"/>
      <w:bookmarkEnd w:id="181"/>
      <w:bookmarkEnd w:id="182"/>
      <w:bookmarkEnd w:id="183"/>
      <w:bookmarkEnd w:id="184"/>
      <w:bookmarkEnd w:id="185"/>
    </w:p>
    <w:p w14:paraId="43EE55A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14:paraId="09F0BF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1D683D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1F1D2FD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供投标人在编制投标文件时参考，招标人不对投标人据此做出的判断和决策负责。</w:t>
      </w:r>
    </w:p>
    <w:p w14:paraId="7E57DEE4">
      <w:pPr>
        <w:pStyle w:val="4"/>
        <w:snapToGrid w:val="0"/>
        <w:spacing w:before="0" w:after="0" w:line="360" w:lineRule="auto"/>
        <w:rPr>
          <w:rFonts w:ascii="宋体" w:hAnsi="宋体"/>
          <w:b w:val="0"/>
          <w:snapToGrid w:val="0"/>
          <w:color w:val="auto"/>
          <w:sz w:val="24"/>
          <w:szCs w:val="24"/>
          <w:highlight w:val="none"/>
        </w:rPr>
      </w:pPr>
      <w:bookmarkStart w:id="186" w:name="_Toc430530446"/>
      <w:bookmarkStart w:id="187" w:name="_Toc287620696"/>
      <w:bookmarkStart w:id="188" w:name="_Toc287607757"/>
      <w:bookmarkStart w:id="189" w:name="_Toc224103328"/>
      <w:bookmarkStart w:id="190" w:name="_Toc200513137"/>
      <w:bookmarkStart w:id="191" w:name="_Toc19021"/>
      <w:bookmarkStart w:id="192" w:name="_Toc277082563"/>
      <w:bookmarkStart w:id="193" w:name="_Toc509218721"/>
      <w:r>
        <w:rPr>
          <w:rFonts w:ascii="宋体" w:hAnsi="宋体"/>
          <w:b w:val="0"/>
          <w:snapToGrid w:val="0"/>
          <w:color w:val="auto"/>
          <w:sz w:val="24"/>
          <w:szCs w:val="24"/>
          <w:highlight w:val="none"/>
        </w:rPr>
        <w:t>1.10  投标预备会</w:t>
      </w:r>
      <w:bookmarkEnd w:id="186"/>
      <w:bookmarkEnd w:id="187"/>
      <w:bookmarkEnd w:id="188"/>
      <w:bookmarkEnd w:id="189"/>
      <w:bookmarkEnd w:id="190"/>
      <w:bookmarkEnd w:id="191"/>
      <w:bookmarkEnd w:id="192"/>
      <w:bookmarkEnd w:id="193"/>
    </w:p>
    <w:p w14:paraId="2B5CED6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05DF070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投标人应按投标人须知前附表规定的时间和形式将提出的问题送达招标人，以便招标人在会议期间澄清</w:t>
      </w:r>
      <w:r>
        <w:rPr>
          <w:rFonts w:hint="eastAsia" w:ascii="宋体" w:hAnsi="宋体"/>
          <w:snapToGrid w:val="0"/>
          <w:color w:val="auto"/>
          <w:kern w:val="0"/>
          <w:szCs w:val="21"/>
          <w:highlight w:val="none"/>
        </w:rPr>
        <w:t>。</w:t>
      </w:r>
    </w:p>
    <w:p w14:paraId="2C6E2799">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投标预备会后，招标人将对投标人所提问题的澄清，以投标人须知前附表规定的形式通知所有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14:paraId="23EE2C92">
      <w:pPr>
        <w:pStyle w:val="4"/>
        <w:snapToGrid w:val="0"/>
        <w:spacing w:before="0" w:after="0" w:line="360" w:lineRule="auto"/>
        <w:rPr>
          <w:rFonts w:ascii="宋体" w:hAnsi="宋体"/>
          <w:b w:val="0"/>
          <w:snapToGrid w:val="0"/>
          <w:color w:val="auto"/>
          <w:sz w:val="24"/>
          <w:szCs w:val="24"/>
          <w:highlight w:val="none"/>
        </w:rPr>
      </w:pPr>
      <w:bookmarkStart w:id="194" w:name="_Toc287607758"/>
      <w:bookmarkStart w:id="195" w:name="_Toc277082564"/>
      <w:bookmarkStart w:id="196" w:name="_Toc509218722"/>
      <w:bookmarkStart w:id="197" w:name="_Toc200513138"/>
      <w:bookmarkStart w:id="198" w:name="_Toc20955"/>
      <w:bookmarkStart w:id="199" w:name="_Toc430530447"/>
      <w:bookmarkStart w:id="200" w:name="_Toc287620697"/>
      <w:bookmarkStart w:id="201" w:name="_Toc224103329"/>
      <w:r>
        <w:rPr>
          <w:rFonts w:ascii="宋体" w:hAnsi="宋体"/>
          <w:b w:val="0"/>
          <w:snapToGrid w:val="0"/>
          <w:color w:val="auto"/>
          <w:sz w:val="24"/>
          <w:szCs w:val="24"/>
          <w:highlight w:val="none"/>
        </w:rPr>
        <w:t>1.11  分包</w:t>
      </w:r>
      <w:bookmarkEnd w:id="194"/>
      <w:bookmarkEnd w:id="195"/>
      <w:bookmarkEnd w:id="196"/>
      <w:bookmarkEnd w:id="197"/>
      <w:bookmarkEnd w:id="198"/>
      <w:bookmarkEnd w:id="199"/>
      <w:bookmarkEnd w:id="200"/>
      <w:bookmarkEnd w:id="201"/>
    </w:p>
    <w:p w14:paraId="0C78F6A6">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23C049FA">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中标人不得向他人转让中标项目，接受分包的人不得再次分包。中标人应当就分包项目向招标人负责，接受分包的人就分包项目承担连带责任。</w:t>
      </w:r>
    </w:p>
    <w:p w14:paraId="7A051AE4">
      <w:pPr>
        <w:pStyle w:val="4"/>
        <w:snapToGrid w:val="0"/>
        <w:spacing w:before="0" w:after="0" w:line="360" w:lineRule="auto"/>
        <w:rPr>
          <w:rFonts w:ascii="宋体" w:hAnsi="宋体"/>
          <w:b w:val="0"/>
          <w:snapToGrid w:val="0"/>
          <w:color w:val="auto"/>
          <w:sz w:val="24"/>
          <w:szCs w:val="24"/>
          <w:highlight w:val="none"/>
        </w:rPr>
      </w:pPr>
      <w:bookmarkStart w:id="202" w:name="_Toc287607759"/>
      <w:bookmarkStart w:id="203" w:name="_Toc430530448"/>
      <w:bookmarkStart w:id="204" w:name="_Toc200513139"/>
      <w:bookmarkStart w:id="205" w:name="_Toc224103330"/>
      <w:bookmarkStart w:id="206" w:name="_Toc287620698"/>
      <w:bookmarkStart w:id="207" w:name="_Toc509218723"/>
      <w:bookmarkStart w:id="208" w:name="_Toc277082565"/>
      <w:bookmarkStart w:id="209" w:name="_Toc19936"/>
      <w:r>
        <w:rPr>
          <w:rFonts w:ascii="宋体" w:hAnsi="宋体"/>
          <w:b w:val="0"/>
          <w:snapToGrid w:val="0"/>
          <w:color w:val="auto"/>
          <w:sz w:val="24"/>
          <w:szCs w:val="24"/>
          <w:highlight w:val="none"/>
        </w:rPr>
        <w:t xml:space="preserve">1.12  </w:t>
      </w:r>
      <w:bookmarkEnd w:id="202"/>
      <w:bookmarkEnd w:id="203"/>
      <w:bookmarkEnd w:id="204"/>
      <w:bookmarkEnd w:id="205"/>
      <w:bookmarkEnd w:id="206"/>
      <w:bookmarkEnd w:id="207"/>
      <w:bookmarkEnd w:id="208"/>
      <w:r>
        <w:rPr>
          <w:rFonts w:hint="eastAsia" w:ascii="宋体" w:hAnsi="宋体"/>
          <w:b w:val="0"/>
          <w:snapToGrid w:val="0"/>
          <w:color w:val="auto"/>
          <w:sz w:val="24"/>
          <w:szCs w:val="24"/>
          <w:highlight w:val="none"/>
        </w:rPr>
        <w:t>响应和偏离</w:t>
      </w:r>
      <w:bookmarkEnd w:id="209"/>
    </w:p>
    <w:p w14:paraId="581B26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.12.1  投标文件应当对招标文件的实质性要求和条件作出满足性或更有利于招标人的响应，否则，投标人的投标将被否决。</w:t>
      </w:r>
    </w:p>
    <w:p w14:paraId="629D04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1.12.2  投标人应根据招标文件的要求提供投标方案等内容以对招标文件作出响应。</w:t>
      </w:r>
    </w:p>
    <w:p w14:paraId="1F2B68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.12.3  投标人须知前附表允许投标文件偏离招标文件某些要求的，偏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应当符合招标文件规定的偏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78977CA1">
      <w:pPr>
        <w:pStyle w:val="3"/>
        <w:spacing w:before="0" w:after="0" w:line="360" w:lineRule="auto"/>
        <w:rPr>
          <w:rFonts w:ascii="宋体" w:hAnsi="宋体"/>
          <w:b w:val="0"/>
          <w:snapToGrid w:val="0"/>
          <w:color w:val="auto"/>
          <w:highlight w:val="none"/>
        </w:rPr>
      </w:pPr>
      <w:bookmarkStart w:id="210" w:name="_Toc200513140"/>
      <w:bookmarkStart w:id="211" w:name="_Toc224103331"/>
      <w:bookmarkStart w:id="212" w:name="_Toc430530449"/>
      <w:bookmarkStart w:id="213" w:name="_Toc509218724"/>
      <w:bookmarkStart w:id="214" w:name="_Toc277082566"/>
      <w:bookmarkStart w:id="215" w:name="_Toc287620699"/>
      <w:bookmarkStart w:id="216" w:name="_Toc28984"/>
      <w:bookmarkStart w:id="217" w:name="_Toc287607760"/>
      <w:r>
        <w:rPr>
          <w:rFonts w:ascii="宋体" w:hAnsi="宋体"/>
          <w:b w:val="0"/>
          <w:snapToGrid w:val="0"/>
          <w:color w:val="auto"/>
          <w:highlight w:val="none"/>
        </w:rPr>
        <w:t>2.  招标文件</w:t>
      </w:r>
      <w:bookmarkEnd w:id="210"/>
      <w:bookmarkEnd w:id="211"/>
      <w:bookmarkEnd w:id="212"/>
      <w:bookmarkEnd w:id="213"/>
      <w:bookmarkEnd w:id="214"/>
      <w:bookmarkEnd w:id="215"/>
      <w:bookmarkEnd w:id="216"/>
      <w:bookmarkEnd w:id="217"/>
    </w:p>
    <w:p w14:paraId="193E9177">
      <w:pPr>
        <w:pStyle w:val="4"/>
        <w:snapToGrid w:val="0"/>
        <w:spacing w:before="0" w:after="0" w:line="360" w:lineRule="auto"/>
        <w:rPr>
          <w:rFonts w:ascii="宋体" w:hAnsi="宋体"/>
          <w:b w:val="0"/>
          <w:snapToGrid w:val="0"/>
          <w:color w:val="auto"/>
          <w:sz w:val="24"/>
          <w:szCs w:val="24"/>
          <w:highlight w:val="none"/>
        </w:rPr>
      </w:pPr>
      <w:bookmarkStart w:id="218" w:name="_Toc200513141"/>
      <w:bookmarkStart w:id="219" w:name="_Toc430530450"/>
      <w:bookmarkStart w:id="220" w:name="_Toc287607761"/>
      <w:bookmarkStart w:id="221" w:name="_Toc509218725"/>
      <w:bookmarkStart w:id="222" w:name="_Toc277082567"/>
      <w:bookmarkStart w:id="223" w:name="_Toc4774"/>
      <w:bookmarkStart w:id="224" w:name="_Toc224103332"/>
      <w:bookmarkStart w:id="225" w:name="_Toc287620700"/>
      <w:r>
        <w:rPr>
          <w:rFonts w:ascii="宋体" w:hAnsi="宋体"/>
          <w:b w:val="0"/>
          <w:snapToGrid w:val="0"/>
          <w:color w:val="auto"/>
          <w:sz w:val="24"/>
          <w:szCs w:val="24"/>
          <w:highlight w:val="none"/>
        </w:rPr>
        <w:t>2.1  招标文件的组成</w:t>
      </w:r>
      <w:bookmarkEnd w:id="218"/>
      <w:bookmarkEnd w:id="219"/>
      <w:bookmarkEnd w:id="220"/>
      <w:bookmarkEnd w:id="221"/>
      <w:bookmarkEnd w:id="222"/>
      <w:bookmarkEnd w:id="223"/>
      <w:bookmarkEnd w:id="224"/>
      <w:bookmarkEnd w:id="225"/>
    </w:p>
    <w:p w14:paraId="2D428DA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382D6E7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2545D88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4BB6830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356782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C3954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23C8ED5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14:paraId="5F13BCB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14:paraId="000DC74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5A0422B5">
      <w:pPr>
        <w:pStyle w:val="4"/>
        <w:snapToGrid w:val="0"/>
        <w:spacing w:before="0" w:after="0" w:line="360" w:lineRule="auto"/>
        <w:rPr>
          <w:rFonts w:ascii="宋体" w:hAnsi="宋体"/>
          <w:b w:val="0"/>
          <w:snapToGrid w:val="0"/>
          <w:color w:val="auto"/>
          <w:sz w:val="24"/>
          <w:szCs w:val="24"/>
          <w:highlight w:val="none"/>
        </w:rPr>
      </w:pPr>
      <w:bookmarkStart w:id="226" w:name="_Toc509218726"/>
      <w:bookmarkStart w:id="227" w:name="_Toc430530451"/>
      <w:bookmarkStart w:id="228" w:name="_Toc22251"/>
      <w:r>
        <w:rPr>
          <w:rFonts w:ascii="宋体" w:hAnsi="宋体"/>
          <w:b w:val="0"/>
          <w:snapToGrid w:val="0"/>
          <w:color w:val="auto"/>
          <w:sz w:val="24"/>
          <w:szCs w:val="24"/>
          <w:highlight w:val="none"/>
        </w:rPr>
        <w:t>2.2  招标文件的澄清</w:t>
      </w:r>
      <w:bookmarkEnd w:id="226"/>
      <w:bookmarkEnd w:id="227"/>
      <w:bookmarkEnd w:id="228"/>
    </w:p>
    <w:p w14:paraId="1FB5C2C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投标人须知前附表规定的时间和形式提出问题，要求招标人对招标文件予以澄清。</w:t>
      </w:r>
    </w:p>
    <w:p w14:paraId="02D74D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14:paraId="124FEB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ascii="宋体" w:hAnsi="宋体"/>
          <w:color w:val="auto"/>
          <w:kern w:val="0"/>
          <w:szCs w:val="21"/>
          <w:highlight w:val="none"/>
        </w:rPr>
        <w:t>招标人确认已收到该澄清。</w:t>
      </w:r>
      <w:r>
        <w:rPr>
          <w:rFonts w:hint="eastAsia" w:ascii="宋体" w:hAnsi="宋体"/>
          <w:color w:val="auto"/>
          <w:kern w:val="0"/>
          <w:szCs w:val="21"/>
          <w:highlight w:val="none"/>
        </w:rPr>
        <w:t>招标人采用网络媒介公开发布澄清的，无论投标人是否查看，均视为所有潜在投标人清楚知晓澄清全部内容。投标人应在投标截止时间前密切关注澄清发布媒介发出的相关内容。</w:t>
      </w:r>
    </w:p>
    <w:p w14:paraId="070F8F9D">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除非招标人认为确有必要答复，否则，招标人有权拒绝回复投标人在本章第2.2.1项规定的时间后的任何澄清要求。</w:t>
      </w:r>
    </w:p>
    <w:p w14:paraId="3802FB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投标人对招标文件和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w:t>
      </w:r>
      <w:r>
        <w:rPr>
          <w:rFonts w:hint="eastAsia" w:ascii="宋体" w:hAnsi="宋体" w:cs="宋体"/>
          <w:snapToGrid w:val="0"/>
          <w:color w:val="auto"/>
          <w:position w:val="-2"/>
          <w:szCs w:val="21"/>
          <w:highlight w:val="none"/>
        </w:rPr>
        <w:t>通过重庆市电子招投标系统提出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3EDF802B">
      <w:pPr>
        <w:pStyle w:val="4"/>
        <w:snapToGrid w:val="0"/>
        <w:spacing w:before="0" w:after="0" w:line="360" w:lineRule="auto"/>
        <w:rPr>
          <w:rFonts w:ascii="宋体" w:hAnsi="宋体"/>
          <w:b w:val="0"/>
          <w:snapToGrid w:val="0"/>
          <w:color w:val="auto"/>
          <w:sz w:val="24"/>
          <w:szCs w:val="24"/>
          <w:highlight w:val="none"/>
        </w:rPr>
      </w:pPr>
      <w:bookmarkStart w:id="229" w:name="_Toc430530452"/>
      <w:bookmarkStart w:id="230" w:name="_Toc28579"/>
      <w:bookmarkStart w:id="231" w:name="_Toc200513143"/>
      <w:bookmarkStart w:id="232" w:name="_Toc287620702"/>
      <w:bookmarkStart w:id="233" w:name="_Toc287607763"/>
      <w:bookmarkStart w:id="234" w:name="_Toc277082569"/>
      <w:bookmarkStart w:id="235" w:name="_Toc509218727"/>
      <w:bookmarkStart w:id="236" w:name="_Toc224103334"/>
      <w:r>
        <w:rPr>
          <w:rFonts w:ascii="宋体" w:hAnsi="宋体"/>
          <w:b w:val="0"/>
          <w:snapToGrid w:val="0"/>
          <w:color w:val="auto"/>
          <w:sz w:val="24"/>
          <w:szCs w:val="24"/>
          <w:highlight w:val="none"/>
        </w:rPr>
        <w:t>2.3  招标文件的修改</w:t>
      </w:r>
      <w:bookmarkEnd w:id="229"/>
      <w:bookmarkEnd w:id="230"/>
      <w:bookmarkEnd w:id="231"/>
      <w:bookmarkEnd w:id="232"/>
      <w:bookmarkEnd w:id="233"/>
      <w:bookmarkEnd w:id="234"/>
      <w:bookmarkEnd w:id="235"/>
      <w:bookmarkEnd w:id="236"/>
    </w:p>
    <w:p w14:paraId="25071D4D">
      <w:pPr>
        <w:autoSpaceDE w:val="0"/>
        <w:autoSpaceDN w:val="0"/>
        <w:adjustRightInd w:val="0"/>
        <w:snapToGrid w:val="0"/>
        <w:spacing w:line="360" w:lineRule="auto"/>
        <w:ind w:firstLine="420"/>
        <w:rPr>
          <w:rFonts w:ascii="宋体" w:hAnsi="宋体"/>
          <w:snapToGrid w:val="0"/>
          <w:color w:val="auto"/>
          <w:highlight w:val="none"/>
        </w:rPr>
      </w:pPr>
      <w:bookmarkStart w:id="237" w:name="_Toc287620703"/>
      <w:bookmarkStart w:id="238" w:name="_Toc287607764"/>
      <w:bookmarkStart w:id="239" w:name="_Toc200513144"/>
      <w:bookmarkStart w:id="240" w:name="_Toc277082570"/>
      <w:bookmarkStart w:id="241" w:name="_Toc224103335"/>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修改招标文件的时间距本章第4.2.1项规定的投标截止时间不足15日的，并且修改内容可能影响投标文件编制的，将相应延长投标截止时间。</w:t>
      </w:r>
    </w:p>
    <w:p w14:paraId="091300D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后，应向招标人确认已收到该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rPr>
        <w:t>招标人采用网络媒介公开发布修改内容的，无论投标人是否查看，均视为所有潜在投标人清楚知晓修改全部内容。投标人应在投标截止时间前密切关注修改发布媒介发出的相关内容。</w:t>
      </w:r>
    </w:p>
    <w:p w14:paraId="2DBD975F">
      <w:pPr>
        <w:pStyle w:val="4"/>
        <w:snapToGrid w:val="0"/>
        <w:spacing w:before="0" w:after="0" w:line="360" w:lineRule="auto"/>
        <w:rPr>
          <w:rFonts w:ascii="宋体" w:hAnsi="宋体"/>
          <w:b w:val="0"/>
          <w:snapToGrid w:val="0"/>
          <w:color w:val="auto"/>
          <w:sz w:val="24"/>
          <w:szCs w:val="24"/>
          <w:highlight w:val="none"/>
        </w:rPr>
      </w:pPr>
      <w:bookmarkStart w:id="242" w:name="_Toc5977"/>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242"/>
    </w:p>
    <w:p w14:paraId="5C10818E">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有异议的，应当在投标截止时间10日前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14:paraId="25AF486E">
      <w:pPr>
        <w:pStyle w:val="3"/>
        <w:spacing w:before="0" w:after="0" w:line="360" w:lineRule="auto"/>
        <w:rPr>
          <w:rFonts w:ascii="宋体" w:hAnsi="宋体"/>
          <w:b w:val="0"/>
          <w:snapToGrid w:val="0"/>
          <w:color w:val="auto"/>
          <w:highlight w:val="none"/>
        </w:rPr>
      </w:pPr>
      <w:bookmarkStart w:id="243" w:name="_Toc430530453"/>
      <w:bookmarkStart w:id="244" w:name="_Toc9036"/>
      <w:bookmarkStart w:id="245" w:name="_Toc509218728"/>
      <w:r>
        <w:rPr>
          <w:rFonts w:ascii="宋体" w:hAnsi="宋体"/>
          <w:b w:val="0"/>
          <w:snapToGrid w:val="0"/>
          <w:color w:val="auto"/>
          <w:highlight w:val="none"/>
        </w:rPr>
        <w:t>3.  投标文件</w:t>
      </w:r>
      <w:bookmarkEnd w:id="237"/>
      <w:bookmarkEnd w:id="238"/>
      <w:bookmarkEnd w:id="239"/>
      <w:bookmarkEnd w:id="240"/>
      <w:bookmarkEnd w:id="241"/>
      <w:bookmarkEnd w:id="243"/>
      <w:bookmarkEnd w:id="244"/>
      <w:bookmarkEnd w:id="245"/>
    </w:p>
    <w:p w14:paraId="61F21193">
      <w:pPr>
        <w:pStyle w:val="4"/>
        <w:snapToGrid w:val="0"/>
        <w:spacing w:before="0" w:after="0" w:line="360" w:lineRule="auto"/>
        <w:rPr>
          <w:rFonts w:ascii="宋体" w:hAnsi="宋体"/>
          <w:b w:val="0"/>
          <w:snapToGrid w:val="0"/>
          <w:color w:val="auto"/>
          <w:sz w:val="24"/>
          <w:szCs w:val="24"/>
          <w:highlight w:val="none"/>
        </w:rPr>
      </w:pPr>
      <w:bookmarkStart w:id="246" w:name="_Toc287607765"/>
      <w:bookmarkStart w:id="247" w:name="_Toc430530454"/>
      <w:bookmarkStart w:id="248" w:name="_Toc224103336"/>
      <w:bookmarkStart w:id="249" w:name="_Toc200513145"/>
      <w:bookmarkStart w:id="250" w:name="_Toc287620704"/>
      <w:bookmarkStart w:id="251" w:name="_Toc509218729"/>
      <w:bookmarkStart w:id="252" w:name="_Toc11300"/>
      <w:bookmarkStart w:id="253" w:name="_Toc277082571"/>
      <w:r>
        <w:rPr>
          <w:rFonts w:ascii="宋体" w:hAnsi="宋体"/>
          <w:b w:val="0"/>
          <w:snapToGrid w:val="0"/>
          <w:color w:val="auto"/>
          <w:sz w:val="24"/>
          <w:szCs w:val="24"/>
          <w:highlight w:val="none"/>
        </w:rPr>
        <w:t>3.1  投标文件的组成</w:t>
      </w:r>
      <w:bookmarkEnd w:id="246"/>
      <w:bookmarkEnd w:id="247"/>
      <w:bookmarkEnd w:id="248"/>
      <w:bookmarkEnd w:id="249"/>
      <w:bookmarkEnd w:id="250"/>
      <w:bookmarkEnd w:id="251"/>
      <w:bookmarkEnd w:id="252"/>
      <w:bookmarkEnd w:id="253"/>
    </w:p>
    <w:p w14:paraId="22175801">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14:paraId="4E3986A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14:paraId="5571199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14:paraId="341B4A0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（2）投标函附录；</w:t>
      </w:r>
    </w:p>
    <w:p w14:paraId="023297E7">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14:paraId="4DF0864C">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ascii="宋体" w:hAnsi="宋体"/>
          <w:snapToGrid w:val="0"/>
          <w:color w:val="auto"/>
          <w:highlight w:val="none"/>
        </w:rPr>
        <w:t>费用清单</w:t>
      </w:r>
      <w:r>
        <w:rPr>
          <w:rFonts w:hint="eastAsia" w:ascii="宋体" w:hAnsi="宋体"/>
          <w:snapToGrid w:val="0"/>
          <w:color w:val="auto"/>
          <w:highlight w:val="none"/>
        </w:rPr>
        <w:t>（如有）</w:t>
      </w:r>
      <w:r>
        <w:rPr>
          <w:rFonts w:ascii="宋体" w:hAnsi="宋体"/>
          <w:snapToGrid w:val="0"/>
          <w:color w:val="auto"/>
          <w:highlight w:val="none"/>
        </w:rPr>
        <w:t>；</w:t>
      </w:r>
    </w:p>
    <w:p w14:paraId="757A276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14:paraId="062C65F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技术部分（不设置技术方案评审的不设此部分）</w:t>
      </w:r>
    </w:p>
    <w:p w14:paraId="5E65737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4C2921A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（1）法定代表人身份证明或附有法定代表人身份证明的授权委托书</w:t>
      </w:r>
    </w:p>
    <w:p w14:paraId="11C4A46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）投标人基本情况表</w:t>
      </w:r>
    </w:p>
    <w:p w14:paraId="64790DF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w:t>
      </w:r>
      <w:r>
        <w:rPr>
          <w:rFonts w:ascii="宋体" w:hAnsi="宋体"/>
          <w:snapToGrid w:val="0"/>
          <w:color w:val="auto"/>
          <w:highlight w:val="none"/>
        </w:rPr>
        <w:t>主要人员汇总表</w:t>
      </w:r>
    </w:p>
    <w:p w14:paraId="79412D0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ascii="宋体" w:hAnsi="宋体"/>
          <w:snapToGrid w:val="0"/>
          <w:color w:val="auto"/>
          <w:highlight w:val="none"/>
        </w:rPr>
        <w:t>主要人员</w:t>
      </w:r>
      <w:r>
        <w:rPr>
          <w:rFonts w:hint="eastAsia" w:ascii="宋体" w:hAnsi="宋体"/>
          <w:snapToGrid w:val="0"/>
          <w:color w:val="auto"/>
          <w:highlight w:val="none"/>
        </w:rPr>
        <w:t>简历</w:t>
      </w:r>
      <w:r>
        <w:rPr>
          <w:rFonts w:ascii="宋体" w:hAnsi="宋体"/>
          <w:snapToGrid w:val="0"/>
          <w:color w:val="auto"/>
          <w:highlight w:val="none"/>
        </w:rPr>
        <w:t>表</w:t>
      </w:r>
    </w:p>
    <w:p w14:paraId="12BD490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p>
    <w:p w14:paraId="716FE158">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p>
    <w:p w14:paraId="005908A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p>
    <w:p w14:paraId="4CF319F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p>
    <w:p w14:paraId="793618BF">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14:paraId="6324FD2C">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14:paraId="66F74E44">
      <w:pPr>
        <w:pStyle w:val="4"/>
        <w:snapToGrid w:val="0"/>
        <w:spacing w:before="0" w:after="0" w:line="360" w:lineRule="auto"/>
        <w:rPr>
          <w:rFonts w:ascii="宋体" w:hAnsi="宋体"/>
          <w:b w:val="0"/>
          <w:snapToGrid w:val="0"/>
          <w:color w:val="auto"/>
          <w:sz w:val="24"/>
          <w:szCs w:val="24"/>
          <w:highlight w:val="none"/>
        </w:rPr>
      </w:pPr>
      <w:bookmarkStart w:id="254" w:name="_Toc224103337"/>
      <w:bookmarkStart w:id="255" w:name="_Toc509218730"/>
      <w:bookmarkStart w:id="256" w:name="_Toc430530455"/>
      <w:bookmarkStart w:id="257" w:name="_Toc277082572"/>
      <w:bookmarkStart w:id="258" w:name="_Toc10677"/>
      <w:bookmarkStart w:id="259" w:name="_Toc287607766"/>
      <w:bookmarkStart w:id="260" w:name="_Toc200513146"/>
      <w:bookmarkStart w:id="261" w:name="_Toc287620705"/>
      <w:r>
        <w:rPr>
          <w:rFonts w:ascii="宋体" w:hAnsi="宋体"/>
          <w:b w:val="0"/>
          <w:snapToGrid w:val="0"/>
          <w:color w:val="auto"/>
          <w:sz w:val="24"/>
          <w:szCs w:val="24"/>
          <w:highlight w:val="none"/>
        </w:rPr>
        <w:t>3.2  投标报价</w:t>
      </w:r>
      <w:bookmarkEnd w:id="254"/>
      <w:bookmarkEnd w:id="255"/>
      <w:bookmarkEnd w:id="256"/>
      <w:bookmarkEnd w:id="257"/>
      <w:bookmarkEnd w:id="258"/>
      <w:bookmarkEnd w:id="259"/>
      <w:bookmarkEnd w:id="260"/>
      <w:bookmarkEnd w:id="261"/>
    </w:p>
    <w:p w14:paraId="1B483C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p>
    <w:p w14:paraId="2DB91E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14:paraId="2ABCA9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本项目的报价方式见投标人须知前附表。投标人在投标截止时间前修改投标函中的投标报价总额。此修改须符合本章第 4.3 款的有关要求。</w:t>
      </w:r>
    </w:p>
    <w:p w14:paraId="40EB2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3.2.4  招标人设有最高投标限价的，投标人的投标报价不得超过最高投标限价，最高投标限价在投标人须知前附表中载明。</w:t>
      </w:r>
    </w:p>
    <w:p w14:paraId="5F093973">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14:paraId="49D79A49">
      <w:pPr>
        <w:pStyle w:val="4"/>
        <w:snapToGrid w:val="0"/>
        <w:spacing w:before="0" w:after="0" w:line="360" w:lineRule="auto"/>
        <w:rPr>
          <w:rFonts w:ascii="宋体" w:hAnsi="宋体"/>
          <w:b w:val="0"/>
          <w:snapToGrid w:val="0"/>
          <w:color w:val="auto"/>
          <w:sz w:val="24"/>
          <w:szCs w:val="24"/>
          <w:highlight w:val="none"/>
        </w:rPr>
      </w:pPr>
      <w:bookmarkStart w:id="262" w:name="_Toc287620706"/>
      <w:bookmarkStart w:id="263" w:name="_Toc509218731"/>
      <w:bookmarkStart w:id="264" w:name="_Toc287607767"/>
      <w:bookmarkStart w:id="265" w:name="_Toc20003"/>
      <w:bookmarkStart w:id="266" w:name="_Toc430530456"/>
      <w:bookmarkStart w:id="267" w:name="_Toc277082573"/>
      <w:bookmarkStart w:id="268" w:name="_Toc200513147"/>
      <w:bookmarkStart w:id="269" w:name="_Toc224103338"/>
      <w:r>
        <w:rPr>
          <w:rFonts w:ascii="宋体" w:hAnsi="宋体"/>
          <w:b w:val="0"/>
          <w:snapToGrid w:val="0"/>
          <w:color w:val="auto"/>
          <w:sz w:val="24"/>
          <w:szCs w:val="24"/>
          <w:highlight w:val="none"/>
        </w:rPr>
        <w:t>3.3  投标有效期</w:t>
      </w:r>
      <w:bookmarkEnd w:id="262"/>
      <w:bookmarkEnd w:id="263"/>
      <w:bookmarkEnd w:id="264"/>
      <w:bookmarkEnd w:id="265"/>
      <w:bookmarkEnd w:id="266"/>
      <w:bookmarkEnd w:id="267"/>
      <w:bookmarkEnd w:id="268"/>
      <w:bookmarkEnd w:id="269"/>
    </w:p>
    <w:p w14:paraId="57F33A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14:paraId="622DBDA4">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14:paraId="444FDB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6208704A">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89F7CEB">
      <w:pPr>
        <w:pStyle w:val="4"/>
        <w:keepNext w:val="0"/>
        <w:keepLines w:val="0"/>
        <w:snapToGrid w:val="0"/>
        <w:spacing w:before="0" w:after="0" w:line="360" w:lineRule="auto"/>
        <w:rPr>
          <w:rFonts w:ascii="宋体" w:hAnsi="宋体"/>
          <w:b w:val="0"/>
          <w:snapToGrid w:val="0"/>
          <w:color w:val="auto"/>
          <w:sz w:val="24"/>
          <w:szCs w:val="24"/>
          <w:highlight w:val="none"/>
        </w:rPr>
      </w:pPr>
      <w:bookmarkStart w:id="270" w:name="_Toc509218732"/>
      <w:bookmarkStart w:id="271" w:name="_Toc287620707"/>
      <w:bookmarkStart w:id="272" w:name="_Toc277082574"/>
      <w:bookmarkStart w:id="273" w:name="_Toc200513148"/>
      <w:bookmarkStart w:id="274" w:name="_Toc430530457"/>
      <w:bookmarkStart w:id="275" w:name="_Toc287607768"/>
      <w:bookmarkStart w:id="276" w:name="_Toc224103339"/>
      <w:bookmarkStart w:id="277" w:name="_Toc6439"/>
      <w:r>
        <w:rPr>
          <w:rFonts w:ascii="宋体" w:hAnsi="宋体"/>
          <w:b w:val="0"/>
          <w:snapToGrid w:val="0"/>
          <w:color w:val="auto"/>
          <w:sz w:val="24"/>
          <w:szCs w:val="24"/>
          <w:highlight w:val="none"/>
        </w:rPr>
        <w:t>3.4  投标</w:t>
      </w:r>
      <w:bookmarkEnd w:id="270"/>
      <w:bookmarkEnd w:id="271"/>
      <w:bookmarkEnd w:id="272"/>
      <w:bookmarkEnd w:id="273"/>
      <w:bookmarkEnd w:id="274"/>
      <w:bookmarkEnd w:id="275"/>
      <w:bookmarkEnd w:id="276"/>
      <w:r>
        <w:rPr>
          <w:rFonts w:hint="eastAsia" w:ascii="宋体" w:hAnsi="宋体"/>
          <w:b w:val="0"/>
          <w:snapToGrid w:val="0"/>
          <w:color w:val="auto"/>
          <w:sz w:val="24"/>
          <w:szCs w:val="24"/>
          <w:highlight w:val="none"/>
        </w:rPr>
        <w:t>保证金</w:t>
      </w:r>
      <w:bookmarkEnd w:id="277"/>
    </w:p>
    <w:p w14:paraId="439FFF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4DCEC8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投标人不按本章第3.4.1项要求提交投标保证金的，其投标文件作否决投标处理。</w:t>
      </w:r>
    </w:p>
    <w:p w14:paraId="34E6DD00">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14:paraId="1D3628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1ECE1B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BAE627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14:paraId="79FC100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07A87D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7F66BC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3A5DC83A">
      <w:pPr>
        <w:pStyle w:val="4"/>
        <w:keepNext w:val="0"/>
        <w:keepLines w:val="0"/>
        <w:snapToGrid w:val="0"/>
        <w:spacing w:before="0" w:after="0" w:line="360" w:lineRule="auto"/>
        <w:rPr>
          <w:rFonts w:ascii="宋体" w:hAnsi="宋体"/>
          <w:b w:val="0"/>
          <w:snapToGrid w:val="0"/>
          <w:color w:val="auto"/>
          <w:sz w:val="24"/>
          <w:szCs w:val="24"/>
          <w:highlight w:val="none"/>
        </w:rPr>
      </w:pPr>
      <w:bookmarkStart w:id="278" w:name="_Toc224103341"/>
      <w:bookmarkStart w:id="279" w:name="_Toc200513150"/>
      <w:bookmarkStart w:id="280" w:name="_Toc509218734"/>
      <w:bookmarkStart w:id="281" w:name="_Toc287620709"/>
      <w:bookmarkStart w:id="282" w:name="_Toc287607770"/>
      <w:bookmarkStart w:id="283" w:name="_Toc277082576"/>
      <w:bookmarkStart w:id="284" w:name="_Toc8221"/>
      <w:bookmarkStart w:id="285" w:name="_Toc430530459"/>
      <w:r>
        <w:rPr>
          <w:rFonts w:ascii="宋体" w:hAnsi="宋体"/>
          <w:b w:val="0"/>
          <w:snapToGrid w:val="0"/>
          <w:color w:val="auto"/>
          <w:sz w:val="24"/>
          <w:szCs w:val="24"/>
          <w:highlight w:val="none"/>
        </w:rPr>
        <w:t>3.5  资格审查资料</w:t>
      </w:r>
      <w:bookmarkEnd w:id="278"/>
      <w:bookmarkEnd w:id="279"/>
      <w:bookmarkEnd w:id="280"/>
      <w:bookmarkEnd w:id="281"/>
      <w:bookmarkEnd w:id="282"/>
      <w:bookmarkEnd w:id="283"/>
      <w:bookmarkEnd w:id="284"/>
      <w:bookmarkEnd w:id="285"/>
    </w:p>
    <w:p w14:paraId="5C91BF73">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74B76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6F622921">
      <w:pPr>
        <w:pStyle w:val="4"/>
        <w:snapToGrid w:val="0"/>
        <w:spacing w:before="0" w:after="0" w:line="360" w:lineRule="auto"/>
        <w:rPr>
          <w:rFonts w:ascii="宋体" w:hAnsi="宋体"/>
          <w:b w:val="0"/>
          <w:snapToGrid w:val="0"/>
          <w:color w:val="auto"/>
          <w:sz w:val="24"/>
          <w:szCs w:val="24"/>
          <w:highlight w:val="none"/>
        </w:rPr>
      </w:pPr>
      <w:bookmarkStart w:id="286" w:name="_Toc200513151"/>
      <w:bookmarkStart w:id="287" w:name="_Toc430530460"/>
      <w:bookmarkStart w:id="288" w:name="_Toc224103342"/>
      <w:bookmarkStart w:id="289" w:name="_Toc287620710"/>
      <w:bookmarkStart w:id="290" w:name="_Toc509218735"/>
      <w:bookmarkStart w:id="291" w:name="_Toc277082577"/>
      <w:bookmarkStart w:id="292" w:name="_Toc287607771"/>
      <w:bookmarkStart w:id="293" w:name="_Toc24680"/>
      <w:r>
        <w:rPr>
          <w:rFonts w:ascii="宋体" w:hAnsi="宋体"/>
          <w:b w:val="0"/>
          <w:snapToGrid w:val="0"/>
          <w:color w:val="auto"/>
          <w:sz w:val="24"/>
          <w:szCs w:val="24"/>
          <w:highlight w:val="none"/>
        </w:rPr>
        <w:t>3.6  备选投标方案</w:t>
      </w:r>
      <w:bookmarkEnd w:id="286"/>
      <w:bookmarkEnd w:id="287"/>
      <w:bookmarkEnd w:id="288"/>
      <w:bookmarkEnd w:id="289"/>
      <w:bookmarkEnd w:id="290"/>
      <w:bookmarkEnd w:id="291"/>
      <w:bookmarkEnd w:id="292"/>
      <w:bookmarkEnd w:id="293"/>
    </w:p>
    <w:p w14:paraId="49AA33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14:paraId="6E0D8B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A4EC7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投标人提供两个或两个以上投标报价，或者在投标文件中提供一个报价，但同时提供两个或两个以上方案的，视为提供备选方案。</w:t>
      </w:r>
    </w:p>
    <w:p w14:paraId="62575256">
      <w:pPr>
        <w:pStyle w:val="4"/>
        <w:snapToGrid w:val="0"/>
        <w:spacing w:before="0" w:after="0" w:line="360" w:lineRule="auto"/>
        <w:rPr>
          <w:rFonts w:ascii="宋体" w:hAnsi="宋体"/>
          <w:b w:val="0"/>
          <w:snapToGrid w:val="0"/>
          <w:color w:val="auto"/>
          <w:sz w:val="24"/>
          <w:szCs w:val="24"/>
          <w:highlight w:val="none"/>
        </w:rPr>
      </w:pPr>
      <w:bookmarkStart w:id="294" w:name="_Toc430530461"/>
      <w:bookmarkStart w:id="295" w:name="_Toc224103343"/>
      <w:bookmarkStart w:id="296" w:name="_Toc14451"/>
      <w:bookmarkStart w:id="297" w:name="_Toc277082578"/>
      <w:bookmarkStart w:id="298" w:name="_Toc287607772"/>
      <w:bookmarkStart w:id="299" w:name="_Toc287620711"/>
      <w:bookmarkStart w:id="300" w:name="_Toc200513152"/>
      <w:bookmarkStart w:id="301" w:name="_Toc509218736"/>
      <w:r>
        <w:rPr>
          <w:rFonts w:ascii="宋体" w:hAnsi="宋体"/>
          <w:b w:val="0"/>
          <w:snapToGrid w:val="0"/>
          <w:color w:val="auto"/>
          <w:sz w:val="24"/>
          <w:szCs w:val="24"/>
          <w:highlight w:val="none"/>
        </w:rPr>
        <w:t>3.7  投标文件的编制</w:t>
      </w:r>
      <w:bookmarkEnd w:id="294"/>
      <w:bookmarkEnd w:id="295"/>
      <w:bookmarkEnd w:id="296"/>
      <w:bookmarkEnd w:id="297"/>
      <w:bookmarkEnd w:id="298"/>
      <w:bookmarkEnd w:id="299"/>
      <w:bookmarkEnd w:id="300"/>
      <w:bookmarkEnd w:id="301"/>
    </w:p>
    <w:p w14:paraId="77D420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章“投标文件格式”进行编写，如有必要，可以增加附页，作为投标文件的组成部分。其中，投标函附录在满足招标文件实质性要求的基础上，可以提出比招标文件要求更有利于招标人的承诺。</w:t>
      </w:r>
    </w:p>
    <w:p w14:paraId="4F4BFB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、招标范围等实质性内容做出响应。</w:t>
      </w:r>
    </w:p>
    <w:p w14:paraId="5DC0FB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12A78DB2">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E23E863">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6F75039">
      <w:pPr>
        <w:pStyle w:val="3"/>
        <w:keepNext w:val="0"/>
        <w:keepLines w:val="0"/>
        <w:spacing w:before="0" w:after="0" w:line="360" w:lineRule="auto"/>
        <w:rPr>
          <w:rFonts w:ascii="宋体" w:hAnsi="宋体"/>
          <w:b w:val="0"/>
          <w:snapToGrid w:val="0"/>
          <w:color w:val="auto"/>
          <w:highlight w:val="none"/>
        </w:rPr>
      </w:pPr>
      <w:bookmarkStart w:id="302" w:name="_Toc200513153"/>
      <w:bookmarkStart w:id="303" w:name="_Toc430530462"/>
      <w:bookmarkStart w:id="304" w:name="_Toc287607773"/>
      <w:bookmarkStart w:id="305" w:name="_Toc277082579"/>
      <w:bookmarkStart w:id="306" w:name="_Toc509218737"/>
      <w:bookmarkStart w:id="307" w:name="_Toc23609"/>
      <w:bookmarkStart w:id="308" w:name="_Toc224103344"/>
      <w:bookmarkStart w:id="309" w:name="_Toc287620712"/>
      <w:r>
        <w:rPr>
          <w:rFonts w:ascii="宋体" w:hAnsi="宋体"/>
          <w:b w:val="0"/>
          <w:snapToGrid w:val="0"/>
          <w:color w:val="auto"/>
          <w:highlight w:val="none"/>
        </w:rPr>
        <w:t>4.  投标</w:t>
      </w:r>
      <w:bookmarkEnd w:id="302"/>
      <w:bookmarkEnd w:id="303"/>
      <w:bookmarkEnd w:id="304"/>
      <w:bookmarkEnd w:id="305"/>
      <w:bookmarkEnd w:id="306"/>
      <w:bookmarkEnd w:id="307"/>
      <w:bookmarkEnd w:id="308"/>
      <w:bookmarkEnd w:id="309"/>
    </w:p>
    <w:p w14:paraId="5E5B95F7">
      <w:pPr>
        <w:pStyle w:val="4"/>
        <w:keepNext w:val="0"/>
        <w:keepLines w:val="0"/>
        <w:snapToGrid w:val="0"/>
        <w:spacing w:before="0" w:after="0" w:line="360" w:lineRule="auto"/>
        <w:rPr>
          <w:rFonts w:ascii="宋体" w:hAnsi="宋体"/>
          <w:b w:val="0"/>
          <w:snapToGrid w:val="0"/>
          <w:color w:val="auto"/>
          <w:sz w:val="24"/>
          <w:szCs w:val="24"/>
          <w:highlight w:val="none"/>
        </w:rPr>
      </w:pPr>
      <w:bookmarkStart w:id="310" w:name="_Toc287620713"/>
      <w:bookmarkStart w:id="311" w:name="_Toc277082580"/>
      <w:bookmarkStart w:id="312" w:name="_Toc18726"/>
      <w:bookmarkStart w:id="313" w:name="_Toc224103345"/>
      <w:bookmarkStart w:id="314" w:name="_Toc430530463"/>
      <w:bookmarkStart w:id="315" w:name="_Toc287607774"/>
      <w:bookmarkStart w:id="316" w:name="_Toc200513154"/>
      <w:bookmarkStart w:id="317" w:name="_Toc509218738"/>
      <w:r>
        <w:rPr>
          <w:rFonts w:ascii="宋体" w:hAnsi="宋体"/>
          <w:b w:val="0"/>
          <w:snapToGrid w:val="0"/>
          <w:color w:val="auto"/>
          <w:sz w:val="24"/>
          <w:szCs w:val="24"/>
          <w:highlight w:val="none"/>
        </w:rPr>
        <w:t>4.1  投标文件的密封和标记</w:t>
      </w:r>
      <w:bookmarkEnd w:id="310"/>
      <w:bookmarkEnd w:id="311"/>
      <w:bookmarkEnd w:id="312"/>
      <w:bookmarkEnd w:id="313"/>
      <w:bookmarkEnd w:id="314"/>
      <w:bookmarkEnd w:id="315"/>
      <w:bookmarkEnd w:id="316"/>
      <w:bookmarkEnd w:id="317"/>
    </w:p>
    <w:p w14:paraId="7DD502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8"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14:paraId="091F85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14:paraId="5F1F82C3">
      <w:pPr>
        <w:pStyle w:val="4"/>
        <w:keepNext w:val="0"/>
        <w:keepLines w:val="0"/>
        <w:snapToGrid w:val="0"/>
        <w:spacing w:before="0" w:after="0" w:line="360" w:lineRule="auto"/>
        <w:rPr>
          <w:rFonts w:ascii="宋体" w:hAnsi="宋体"/>
          <w:b w:val="0"/>
          <w:snapToGrid w:val="0"/>
          <w:color w:val="auto"/>
          <w:sz w:val="24"/>
          <w:szCs w:val="24"/>
          <w:highlight w:val="none"/>
        </w:rPr>
      </w:pPr>
      <w:bookmarkStart w:id="319" w:name="_Toc287607775"/>
      <w:bookmarkStart w:id="320" w:name="_Toc9687"/>
      <w:bookmarkStart w:id="321" w:name="_Toc287620714"/>
      <w:bookmarkStart w:id="322" w:name="_Toc509218739"/>
      <w:bookmarkStart w:id="323" w:name="_Toc277082581"/>
      <w:bookmarkStart w:id="324" w:name="_Toc224103346"/>
      <w:bookmarkStart w:id="325" w:name="_Toc430530464"/>
      <w:r>
        <w:rPr>
          <w:rFonts w:ascii="宋体" w:hAnsi="宋体"/>
          <w:b w:val="0"/>
          <w:snapToGrid w:val="0"/>
          <w:color w:val="auto"/>
          <w:sz w:val="24"/>
          <w:szCs w:val="24"/>
          <w:highlight w:val="none"/>
        </w:rPr>
        <w:t>4.2  投标文件的递交</w:t>
      </w:r>
      <w:bookmarkEnd w:id="318"/>
      <w:bookmarkEnd w:id="319"/>
      <w:bookmarkEnd w:id="320"/>
      <w:bookmarkEnd w:id="321"/>
      <w:bookmarkEnd w:id="322"/>
      <w:bookmarkEnd w:id="323"/>
      <w:bookmarkEnd w:id="324"/>
      <w:bookmarkEnd w:id="325"/>
    </w:p>
    <w:p w14:paraId="588168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6" w:name="_Toc24779"/>
      <w:bookmarkStart w:id="327" w:name="_Toc509218740"/>
      <w:bookmarkStart w:id="328" w:name="_Toc277082582"/>
      <w:bookmarkStart w:id="329" w:name="_Toc200513156"/>
      <w:bookmarkStart w:id="330" w:name="_Toc430530465"/>
      <w:bookmarkStart w:id="331" w:name="_Toc287607776"/>
      <w:bookmarkStart w:id="332" w:name="_Toc287620715"/>
      <w:bookmarkStart w:id="333" w:name="_Toc224103347"/>
      <w:r>
        <w:rPr>
          <w:rFonts w:ascii="宋体" w:hAnsi="宋体"/>
          <w:snapToGrid w:val="0"/>
          <w:color w:val="auto"/>
          <w:kern w:val="0"/>
          <w:szCs w:val="21"/>
          <w:highlight w:val="none"/>
        </w:rPr>
        <w:t>4.2.1  投标人应在投标人须知前附表第 2.2.2 项规定的投标截止时间前递交投标文件。</w:t>
      </w:r>
    </w:p>
    <w:p w14:paraId="7F4B2CE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E91A5D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2EA9E4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14:paraId="71EC9D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14:paraId="2F7125E2">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4.3  投标文件的修改与撤回</w:t>
      </w:r>
      <w:bookmarkEnd w:id="326"/>
      <w:bookmarkEnd w:id="327"/>
      <w:bookmarkEnd w:id="328"/>
      <w:bookmarkEnd w:id="329"/>
      <w:bookmarkEnd w:id="330"/>
      <w:bookmarkEnd w:id="331"/>
      <w:bookmarkEnd w:id="332"/>
      <w:bookmarkEnd w:id="333"/>
    </w:p>
    <w:p w14:paraId="116AEB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4" w:name="_Toc224103348"/>
      <w:bookmarkStart w:id="335" w:name="_Toc509218741"/>
      <w:bookmarkStart w:id="336" w:name="_Toc19081"/>
      <w:bookmarkStart w:id="337" w:name="_Toc430530466"/>
      <w:bookmarkStart w:id="338" w:name="_Toc287620716"/>
      <w:bookmarkStart w:id="339" w:name="_Toc287607777"/>
      <w:bookmarkStart w:id="340" w:name="_Toc200513157"/>
      <w:bookmarkStart w:id="341" w:name="_Toc277082583"/>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3C6890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60E348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49E49E21">
      <w:pPr>
        <w:pStyle w:val="3"/>
        <w:keepNext w:val="0"/>
        <w:keepLines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4"/>
      <w:bookmarkEnd w:id="335"/>
      <w:bookmarkEnd w:id="336"/>
      <w:bookmarkEnd w:id="337"/>
      <w:bookmarkEnd w:id="338"/>
      <w:bookmarkEnd w:id="339"/>
      <w:bookmarkEnd w:id="340"/>
      <w:bookmarkEnd w:id="341"/>
    </w:p>
    <w:p w14:paraId="123827C4">
      <w:pPr>
        <w:pStyle w:val="4"/>
        <w:keepNext w:val="0"/>
        <w:keepLines w:val="0"/>
        <w:snapToGrid w:val="0"/>
        <w:spacing w:before="0" w:after="0" w:line="360" w:lineRule="auto"/>
        <w:rPr>
          <w:rFonts w:ascii="宋体" w:hAnsi="宋体"/>
          <w:b w:val="0"/>
          <w:snapToGrid w:val="0"/>
          <w:color w:val="auto"/>
          <w:sz w:val="24"/>
          <w:szCs w:val="24"/>
          <w:highlight w:val="none"/>
        </w:rPr>
      </w:pPr>
      <w:bookmarkStart w:id="342" w:name="_Toc287607778"/>
      <w:bookmarkStart w:id="343" w:name="_Toc200513158"/>
      <w:bookmarkStart w:id="344" w:name="_Toc509218742"/>
      <w:bookmarkStart w:id="345" w:name="_Toc277082584"/>
      <w:bookmarkStart w:id="346" w:name="_Toc21618"/>
      <w:bookmarkStart w:id="347" w:name="_Toc224103349"/>
      <w:bookmarkStart w:id="348" w:name="_Toc430530467"/>
      <w:bookmarkStart w:id="349" w:name="_Toc287620717"/>
      <w:r>
        <w:rPr>
          <w:rFonts w:ascii="宋体" w:hAnsi="宋体"/>
          <w:b w:val="0"/>
          <w:snapToGrid w:val="0"/>
          <w:color w:val="auto"/>
          <w:sz w:val="24"/>
          <w:szCs w:val="24"/>
          <w:highlight w:val="none"/>
        </w:rPr>
        <w:t>5.1  开标时间和地点</w:t>
      </w:r>
      <w:bookmarkEnd w:id="342"/>
      <w:bookmarkEnd w:id="343"/>
      <w:bookmarkEnd w:id="344"/>
      <w:bookmarkEnd w:id="345"/>
      <w:bookmarkEnd w:id="346"/>
      <w:bookmarkEnd w:id="347"/>
      <w:bookmarkEnd w:id="348"/>
      <w:bookmarkEnd w:id="349"/>
    </w:p>
    <w:p w14:paraId="750B3DB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0" w:name="_Toc430530468"/>
      <w:bookmarkStart w:id="351" w:name="_Toc287607779"/>
      <w:bookmarkStart w:id="352" w:name="_Toc224103350"/>
      <w:bookmarkStart w:id="353" w:name="_Toc200513159"/>
      <w:bookmarkStart w:id="354" w:name="_Toc509218743"/>
      <w:bookmarkStart w:id="355" w:name="_Toc23671"/>
      <w:bookmarkStart w:id="356" w:name="_Toc287620718"/>
      <w:bookmarkStart w:id="357" w:name="_Toc277082585"/>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3C67903C">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0"/>
      <w:bookmarkEnd w:id="351"/>
      <w:bookmarkEnd w:id="352"/>
      <w:bookmarkEnd w:id="353"/>
      <w:bookmarkEnd w:id="354"/>
      <w:bookmarkEnd w:id="355"/>
      <w:bookmarkEnd w:id="356"/>
      <w:bookmarkEnd w:id="357"/>
    </w:p>
    <w:p w14:paraId="24EB555E">
      <w:pPr>
        <w:autoSpaceDE w:val="0"/>
        <w:autoSpaceDN w:val="0"/>
        <w:adjustRightInd w:val="0"/>
        <w:snapToGrid w:val="0"/>
        <w:spacing w:line="360" w:lineRule="auto"/>
        <w:ind w:firstLine="420" w:firstLineChars="200"/>
        <w:rPr>
          <w:rFonts w:ascii="宋体" w:hAnsi="宋体"/>
          <w:color w:val="auto"/>
          <w:szCs w:val="21"/>
          <w:highlight w:val="none"/>
        </w:rPr>
      </w:pPr>
      <w:bookmarkStart w:id="358" w:name="_Toc287620719"/>
      <w:bookmarkStart w:id="359" w:name="_Toc200513160"/>
      <w:bookmarkStart w:id="360" w:name="_Toc277082586"/>
      <w:bookmarkStart w:id="361" w:name="_Toc224103351"/>
      <w:bookmarkStart w:id="362" w:name="_Toc287607780"/>
      <w:r>
        <w:rPr>
          <w:rFonts w:ascii="宋体" w:hAnsi="宋体"/>
          <w:color w:val="auto"/>
          <w:szCs w:val="21"/>
          <w:highlight w:val="none"/>
        </w:rPr>
        <w:t>详见投标人须知前附表第5.2款开标程序。</w:t>
      </w:r>
    </w:p>
    <w:p w14:paraId="372A0A45">
      <w:pPr>
        <w:pStyle w:val="4"/>
        <w:keepNext w:val="0"/>
        <w:keepLines w:val="0"/>
        <w:snapToGrid w:val="0"/>
        <w:spacing w:before="0" w:after="0" w:line="360" w:lineRule="auto"/>
        <w:rPr>
          <w:rFonts w:ascii="宋体" w:hAnsi="宋体"/>
          <w:b w:val="0"/>
          <w:snapToGrid w:val="0"/>
          <w:color w:val="auto"/>
          <w:sz w:val="24"/>
          <w:szCs w:val="24"/>
          <w:highlight w:val="none"/>
        </w:rPr>
      </w:pPr>
      <w:bookmarkStart w:id="363"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3"/>
    </w:p>
    <w:p w14:paraId="1F36026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0FB428D3">
      <w:pPr>
        <w:pStyle w:val="3"/>
        <w:keepNext w:val="0"/>
        <w:keepLines w:val="0"/>
        <w:spacing w:before="0" w:after="0" w:line="360" w:lineRule="auto"/>
        <w:rPr>
          <w:rFonts w:ascii="宋体" w:hAnsi="宋体"/>
          <w:b w:val="0"/>
          <w:snapToGrid w:val="0"/>
          <w:color w:val="auto"/>
          <w:highlight w:val="none"/>
        </w:rPr>
      </w:pPr>
      <w:bookmarkStart w:id="364" w:name="_Toc509218744"/>
      <w:bookmarkStart w:id="365" w:name="_Toc430530469"/>
      <w:bookmarkStart w:id="366" w:name="_Toc3936"/>
      <w:r>
        <w:rPr>
          <w:rFonts w:ascii="宋体" w:hAnsi="宋体"/>
          <w:b w:val="0"/>
          <w:snapToGrid w:val="0"/>
          <w:color w:val="auto"/>
          <w:highlight w:val="none"/>
        </w:rPr>
        <w:t>6.  评标</w:t>
      </w:r>
      <w:bookmarkEnd w:id="358"/>
      <w:bookmarkEnd w:id="359"/>
      <w:bookmarkEnd w:id="360"/>
      <w:bookmarkEnd w:id="361"/>
      <w:bookmarkEnd w:id="362"/>
      <w:bookmarkEnd w:id="364"/>
      <w:bookmarkEnd w:id="365"/>
      <w:bookmarkEnd w:id="366"/>
    </w:p>
    <w:p w14:paraId="1765A891">
      <w:pPr>
        <w:pStyle w:val="4"/>
        <w:keepNext w:val="0"/>
        <w:keepLines w:val="0"/>
        <w:snapToGrid w:val="0"/>
        <w:spacing w:before="0" w:after="0" w:line="360" w:lineRule="auto"/>
        <w:rPr>
          <w:rFonts w:ascii="宋体" w:hAnsi="宋体"/>
          <w:b w:val="0"/>
          <w:snapToGrid w:val="0"/>
          <w:color w:val="auto"/>
          <w:sz w:val="24"/>
          <w:szCs w:val="24"/>
          <w:highlight w:val="none"/>
        </w:rPr>
      </w:pPr>
      <w:bookmarkStart w:id="367" w:name="_Toc287607781"/>
      <w:bookmarkStart w:id="368" w:name="_Toc430530470"/>
      <w:bookmarkStart w:id="369" w:name="_Toc509218745"/>
      <w:bookmarkStart w:id="370" w:name="_Toc224103352"/>
      <w:bookmarkStart w:id="371" w:name="_Toc20604"/>
      <w:bookmarkStart w:id="372" w:name="_Toc200513161"/>
      <w:bookmarkStart w:id="373" w:name="_Toc277082587"/>
      <w:bookmarkStart w:id="374" w:name="_Toc287620720"/>
      <w:r>
        <w:rPr>
          <w:rFonts w:ascii="宋体" w:hAnsi="宋体"/>
          <w:b w:val="0"/>
          <w:snapToGrid w:val="0"/>
          <w:color w:val="auto"/>
          <w:sz w:val="24"/>
          <w:szCs w:val="24"/>
          <w:highlight w:val="none"/>
        </w:rPr>
        <w:t>6.1  评标委员会</w:t>
      </w:r>
      <w:bookmarkEnd w:id="367"/>
      <w:bookmarkEnd w:id="368"/>
      <w:bookmarkEnd w:id="369"/>
      <w:bookmarkEnd w:id="370"/>
      <w:bookmarkEnd w:id="371"/>
      <w:bookmarkEnd w:id="372"/>
      <w:bookmarkEnd w:id="373"/>
      <w:bookmarkEnd w:id="374"/>
    </w:p>
    <w:p w14:paraId="1B5AC8FD">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171B4A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E7DCA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14:paraId="1F44AB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24DF6A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53F04F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B0B98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4D5245CB">
      <w:pPr>
        <w:pStyle w:val="14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366CDC8">
      <w:pPr>
        <w:pStyle w:val="4"/>
        <w:snapToGrid w:val="0"/>
        <w:spacing w:before="0" w:after="0" w:line="360" w:lineRule="auto"/>
        <w:rPr>
          <w:rFonts w:ascii="宋体" w:hAnsi="宋体"/>
          <w:b w:val="0"/>
          <w:snapToGrid w:val="0"/>
          <w:color w:val="auto"/>
          <w:sz w:val="24"/>
          <w:szCs w:val="24"/>
          <w:highlight w:val="none"/>
        </w:rPr>
      </w:pPr>
      <w:bookmarkStart w:id="375" w:name="_Toc287620721"/>
      <w:bookmarkStart w:id="376" w:name="_Toc287607782"/>
      <w:bookmarkStart w:id="377" w:name="_Toc430530471"/>
      <w:bookmarkStart w:id="378" w:name="_Toc224103353"/>
      <w:bookmarkStart w:id="379" w:name="_Toc277082588"/>
      <w:bookmarkStart w:id="380" w:name="_Toc509218746"/>
      <w:bookmarkStart w:id="381" w:name="_Toc26607"/>
      <w:bookmarkStart w:id="382" w:name="_Toc200513162"/>
      <w:r>
        <w:rPr>
          <w:rFonts w:ascii="宋体" w:hAnsi="宋体"/>
          <w:b w:val="0"/>
          <w:snapToGrid w:val="0"/>
          <w:color w:val="auto"/>
          <w:sz w:val="24"/>
          <w:szCs w:val="24"/>
          <w:highlight w:val="none"/>
        </w:rPr>
        <w:t>6.2  评标原则</w:t>
      </w:r>
      <w:bookmarkEnd w:id="375"/>
      <w:bookmarkEnd w:id="376"/>
      <w:bookmarkEnd w:id="377"/>
      <w:bookmarkEnd w:id="378"/>
      <w:bookmarkEnd w:id="379"/>
      <w:bookmarkEnd w:id="380"/>
      <w:bookmarkEnd w:id="381"/>
      <w:bookmarkEnd w:id="382"/>
    </w:p>
    <w:p w14:paraId="6AC1A6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9371E0A">
      <w:pPr>
        <w:pStyle w:val="4"/>
        <w:snapToGrid w:val="0"/>
        <w:spacing w:before="0" w:after="0" w:line="360" w:lineRule="auto"/>
        <w:rPr>
          <w:rFonts w:ascii="宋体" w:hAnsi="宋体"/>
          <w:b w:val="0"/>
          <w:snapToGrid w:val="0"/>
          <w:color w:val="auto"/>
          <w:sz w:val="24"/>
          <w:szCs w:val="24"/>
          <w:highlight w:val="none"/>
        </w:rPr>
      </w:pPr>
      <w:bookmarkStart w:id="383" w:name="_Toc277082589"/>
      <w:bookmarkStart w:id="384" w:name="_Toc287620722"/>
      <w:bookmarkStart w:id="385" w:name="_Toc509218747"/>
      <w:bookmarkStart w:id="386" w:name="_Toc287607783"/>
      <w:bookmarkStart w:id="387" w:name="_Toc224103354"/>
      <w:bookmarkStart w:id="388" w:name="_Toc25268"/>
      <w:bookmarkStart w:id="389" w:name="_Toc200513163"/>
      <w:bookmarkStart w:id="390" w:name="_Toc430530472"/>
      <w:r>
        <w:rPr>
          <w:rFonts w:ascii="宋体" w:hAnsi="宋体"/>
          <w:b w:val="0"/>
          <w:snapToGrid w:val="0"/>
          <w:color w:val="auto"/>
          <w:sz w:val="24"/>
          <w:szCs w:val="24"/>
          <w:highlight w:val="none"/>
        </w:rPr>
        <w:t>6.3  评标</w:t>
      </w:r>
      <w:bookmarkEnd w:id="383"/>
      <w:bookmarkEnd w:id="384"/>
      <w:bookmarkEnd w:id="385"/>
      <w:bookmarkEnd w:id="386"/>
      <w:bookmarkEnd w:id="387"/>
      <w:bookmarkEnd w:id="388"/>
      <w:bookmarkEnd w:id="389"/>
      <w:bookmarkEnd w:id="390"/>
    </w:p>
    <w:p w14:paraId="40F3F4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14:paraId="7ADB8C97">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评标完成后，评标委员会应当向招标人提交书面评标报告和中标候选人名单。评标委员会推荐中标候选人的</w:t>
      </w:r>
      <w:r>
        <w:rPr>
          <w:rFonts w:hint="eastAsia"/>
          <w:color w:val="auto"/>
          <w:highlight w:val="none"/>
        </w:rPr>
        <w:t>数量</w:t>
      </w:r>
      <w:r>
        <w:rPr>
          <w:color w:val="auto"/>
          <w:highlight w:val="none"/>
        </w:rPr>
        <w:t>见投标人须知前附表。</w:t>
      </w:r>
    </w:p>
    <w:p w14:paraId="21ED5A82">
      <w:pPr>
        <w:pStyle w:val="3"/>
        <w:spacing w:before="0" w:after="0" w:line="360" w:lineRule="auto"/>
        <w:rPr>
          <w:rFonts w:ascii="宋体" w:hAnsi="宋体"/>
          <w:b w:val="0"/>
          <w:snapToGrid w:val="0"/>
          <w:color w:val="auto"/>
          <w:highlight w:val="none"/>
        </w:rPr>
      </w:pPr>
      <w:bookmarkStart w:id="391" w:name="_Toc287620723"/>
      <w:bookmarkStart w:id="392" w:name="_Toc430530473"/>
      <w:bookmarkStart w:id="393" w:name="_Toc509218748"/>
      <w:bookmarkStart w:id="394" w:name="_Toc287607784"/>
      <w:bookmarkStart w:id="395" w:name="_Toc31416"/>
      <w:bookmarkStart w:id="396" w:name="_Toc200513164"/>
      <w:bookmarkStart w:id="397" w:name="_Toc224103355"/>
      <w:bookmarkStart w:id="398" w:name="_Toc277082590"/>
      <w:r>
        <w:rPr>
          <w:rFonts w:ascii="宋体" w:hAnsi="宋体"/>
          <w:b w:val="0"/>
          <w:snapToGrid w:val="0"/>
          <w:color w:val="auto"/>
          <w:highlight w:val="none"/>
        </w:rPr>
        <w:t>7.  合同授予</w:t>
      </w:r>
      <w:bookmarkEnd w:id="391"/>
      <w:bookmarkEnd w:id="392"/>
      <w:bookmarkEnd w:id="393"/>
      <w:bookmarkEnd w:id="394"/>
      <w:bookmarkEnd w:id="395"/>
      <w:bookmarkEnd w:id="396"/>
      <w:bookmarkEnd w:id="397"/>
      <w:bookmarkEnd w:id="398"/>
    </w:p>
    <w:p w14:paraId="25CEA3A3">
      <w:pPr>
        <w:pStyle w:val="4"/>
        <w:snapToGrid w:val="0"/>
        <w:spacing w:before="0" w:after="0" w:line="360" w:lineRule="auto"/>
        <w:rPr>
          <w:rFonts w:ascii="宋体" w:hAnsi="宋体"/>
          <w:b w:val="0"/>
          <w:snapToGrid w:val="0"/>
          <w:color w:val="auto"/>
          <w:sz w:val="24"/>
          <w:szCs w:val="24"/>
          <w:highlight w:val="none"/>
        </w:rPr>
      </w:pPr>
      <w:bookmarkStart w:id="399" w:name="_Toc509218749"/>
      <w:bookmarkStart w:id="400" w:name="_Toc200513165"/>
      <w:bookmarkStart w:id="401" w:name="_Toc287607785"/>
      <w:bookmarkStart w:id="402" w:name="_Toc287620724"/>
      <w:bookmarkStart w:id="403" w:name="_Toc430530474"/>
      <w:bookmarkStart w:id="404" w:name="_Toc224103356"/>
      <w:bookmarkStart w:id="405" w:name="_Toc277082591"/>
      <w:bookmarkStart w:id="406" w:name="_Toc30371"/>
      <w:r>
        <w:rPr>
          <w:rFonts w:ascii="宋体" w:hAnsi="宋体"/>
          <w:b w:val="0"/>
          <w:snapToGrid w:val="0"/>
          <w:color w:val="auto"/>
          <w:sz w:val="24"/>
          <w:szCs w:val="24"/>
          <w:highlight w:val="none"/>
        </w:rPr>
        <w:t xml:space="preserve">7.1  </w:t>
      </w:r>
      <w:bookmarkEnd w:id="399"/>
      <w:bookmarkEnd w:id="400"/>
      <w:bookmarkEnd w:id="401"/>
      <w:bookmarkEnd w:id="402"/>
      <w:bookmarkEnd w:id="403"/>
      <w:bookmarkEnd w:id="404"/>
      <w:bookmarkEnd w:id="405"/>
      <w:r>
        <w:rPr>
          <w:rFonts w:hint="eastAsia" w:ascii="宋体" w:hAnsi="宋体"/>
          <w:b w:val="0"/>
          <w:snapToGrid w:val="0"/>
          <w:color w:val="auto"/>
          <w:sz w:val="24"/>
          <w:szCs w:val="24"/>
          <w:highlight w:val="none"/>
        </w:rPr>
        <w:t>中标候选人公示</w:t>
      </w:r>
      <w:bookmarkEnd w:id="406"/>
    </w:p>
    <w:p w14:paraId="65FF32A2">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招标人在收到评标报告之日起3日内，按照投标人须知前附表规定的公示媒介和期限公示中标候选人，公示期不得少于3天。</w:t>
      </w:r>
    </w:p>
    <w:p w14:paraId="22263760">
      <w:pPr>
        <w:pStyle w:val="4"/>
        <w:snapToGrid w:val="0"/>
        <w:spacing w:before="0" w:after="0" w:line="360" w:lineRule="auto"/>
        <w:rPr>
          <w:rFonts w:ascii="宋体" w:hAnsi="宋体"/>
          <w:b w:val="0"/>
          <w:snapToGrid w:val="0"/>
          <w:color w:val="auto"/>
          <w:sz w:val="24"/>
          <w:szCs w:val="24"/>
          <w:highlight w:val="none"/>
        </w:rPr>
      </w:pPr>
      <w:bookmarkStart w:id="407"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07"/>
    </w:p>
    <w:p w14:paraId="222ABA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14:paraId="3C7766AF">
      <w:pPr>
        <w:pStyle w:val="4"/>
        <w:snapToGrid w:val="0"/>
        <w:spacing w:before="0" w:after="0" w:line="360" w:lineRule="auto"/>
        <w:rPr>
          <w:rFonts w:ascii="宋体" w:hAnsi="宋体"/>
          <w:b w:val="0"/>
          <w:snapToGrid w:val="0"/>
          <w:color w:val="auto"/>
          <w:sz w:val="24"/>
          <w:szCs w:val="24"/>
          <w:highlight w:val="none"/>
        </w:rPr>
      </w:pPr>
      <w:bookmarkStart w:id="408"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08"/>
    </w:p>
    <w:p w14:paraId="73A4C0F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87BDD07">
      <w:pPr>
        <w:pStyle w:val="4"/>
        <w:snapToGrid w:val="0"/>
        <w:spacing w:before="0" w:after="0" w:line="360" w:lineRule="auto"/>
        <w:rPr>
          <w:rFonts w:ascii="宋体" w:hAnsi="宋体"/>
          <w:b w:val="0"/>
          <w:snapToGrid w:val="0"/>
          <w:color w:val="auto"/>
          <w:sz w:val="24"/>
          <w:szCs w:val="24"/>
          <w:highlight w:val="none"/>
        </w:rPr>
      </w:pPr>
      <w:bookmarkStart w:id="409"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09"/>
    </w:p>
    <w:p w14:paraId="07FE5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按照投标人须知前附表的规定，招标人或招标人授权的评标委员会依法确定中标人。</w:t>
      </w:r>
    </w:p>
    <w:p w14:paraId="7F5F4BC1">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3DCCFE">
      <w:pPr>
        <w:pStyle w:val="4"/>
        <w:snapToGrid w:val="0"/>
        <w:spacing w:before="0" w:after="0" w:line="360" w:lineRule="auto"/>
        <w:rPr>
          <w:rFonts w:ascii="宋体" w:hAnsi="宋体"/>
          <w:b w:val="0"/>
          <w:snapToGrid w:val="0"/>
          <w:color w:val="auto"/>
          <w:sz w:val="24"/>
          <w:szCs w:val="24"/>
          <w:highlight w:val="none"/>
        </w:rPr>
      </w:pPr>
      <w:bookmarkStart w:id="410" w:name="_Toc430530475"/>
      <w:bookmarkStart w:id="411" w:name="_Toc14359"/>
      <w:bookmarkStart w:id="412" w:name="_Toc509218750"/>
      <w:r>
        <w:rPr>
          <w:rFonts w:ascii="宋体" w:hAnsi="宋体"/>
          <w:b w:val="0"/>
          <w:snapToGrid w:val="0"/>
          <w:color w:val="auto"/>
          <w:sz w:val="24"/>
          <w:szCs w:val="24"/>
          <w:highlight w:val="none"/>
        </w:rPr>
        <w:t>7.5  中标通知</w:t>
      </w:r>
      <w:bookmarkEnd w:id="410"/>
      <w:bookmarkEnd w:id="411"/>
      <w:bookmarkEnd w:id="412"/>
    </w:p>
    <w:p w14:paraId="5073C9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在本章第3.3款规定的投标有效期内，且未有投标人的异议与投诉，招标人以书面形式向中标人发出中标通知书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14:paraId="03B35DB8">
      <w:pPr>
        <w:pStyle w:val="4"/>
        <w:snapToGrid w:val="0"/>
        <w:spacing w:before="0" w:after="0" w:line="360" w:lineRule="auto"/>
        <w:rPr>
          <w:rFonts w:ascii="宋体" w:hAnsi="宋体"/>
          <w:b w:val="0"/>
          <w:snapToGrid w:val="0"/>
          <w:color w:val="auto"/>
          <w:sz w:val="24"/>
          <w:szCs w:val="24"/>
          <w:highlight w:val="none"/>
        </w:rPr>
      </w:pPr>
      <w:bookmarkStart w:id="413"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3"/>
    </w:p>
    <w:p w14:paraId="5CE92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4298DD15">
      <w:pPr>
        <w:pStyle w:val="4"/>
        <w:snapToGrid w:val="0"/>
        <w:spacing w:before="0" w:after="0" w:line="360" w:lineRule="auto"/>
        <w:rPr>
          <w:rFonts w:ascii="宋体" w:hAnsi="宋体"/>
          <w:b w:val="0"/>
          <w:snapToGrid w:val="0"/>
          <w:color w:val="auto"/>
          <w:sz w:val="24"/>
          <w:szCs w:val="24"/>
          <w:highlight w:val="none"/>
        </w:rPr>
      </w:pPr>
      <w:bookmarkStart w:id="414" w:name="_Toc509218751"/>
      <w:bookmarkStart w:id="415" w:name="_Toc200513167"/>
      <w:bookmarkStart w:id="416" w:name="_Toc287620726"/>
      <w:bookmarkStart w:id="417" w:name="_Toc277082593"/>
      <w:bookmarkStart w:id="418" w:name="_Toc430530476"/>
      <w:bookmarkStart w:id="419" w:name="_Toc28249"/>
      <w:bookmarkStart w:id="420" w:name="_Toc287607787"/>
      <w:bookmarkStart w:id="421" w:name="_Toc224103358"/>
      <w:r>
        <w:rPr>
          <w:rFonts w:ascii="宋体" w:hAnsi="宋体"/>
          <w:b w:val="0"/>
          <w:snapToGrid w:val="0"/>
          <w:color w:val="auto"/>
          <w:sz w:val="24"/>
          <w:szCs w:val="24"/>
          <w:highlight w:val="none"/>
        </w:rPr>
        <w:t>7.7  履约担保</w:t>
      </w:r>
      <w:bookmarkEnd w:id="414"/>
      <w:bookmarkEnd w:id="415"/>
      <w:bookmarkEnd w:id="416"/>
      <w:bookmarkEnd w:id="417"/>
      <w:bookmarkEnd w:id="418"/>
      <w:bookmarkEnd w:id="419"/>
      <w:bookmarkEnd w:id="420"/>
      <w:bookmarkEnd w:id="421"/>
    </w:p>
    <w:p w14:paraId="6F6813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和招标文件第四章“合同条款及格式”规定的或者事先经过招标人认可的履约担保格式向招标人提交履约担保。除投标人须知前附表另有规定外，履约</w:t>
      </w:r>
      <w:r>
        <w:rPr>
          <w:rFonts w:hint="eastAsia" w:ascii="宋体" w:hAnsi="宋体"/>
          <w:snapToGrid w:val="0"/>
          <w:color w:val="auto"/>
          <w:kern w:val="0"/>
          <w:szCs w:val="21"/>
          <w:highlight w:val="none"/>
        </w:rPr>
        <w:t>担保金额</w:t>
      </w:r>
      <w:r>
        <w:rPr>
          <w:rFonts w:ascii="宋体" w:hAnsi="宋体"/>
          <w:snapToGrid w:val="0"/>
          <w:color w:val="auto"/>
          <w:kern w:val="0"/>
          <w:szCs w:val="21"/>
          <w:highlight w:val="none"/>
        </w:rPr>
        <w:t>为中标合同金额的10%。联合体中标的，其履约</w:t>
      </w:r>
      <w:r>
        <w:rPr>
          <w:rFonts w:hint="eastAsia" w:ascii="宋体" w:hAnsi="宋体"/>
          <w:snapToGrid w:val="0"/>
          <w:color w:val="auto"/>
          <w:kern w:val="0"/>
          <w:szCs w:val="21"/>
          <w:highlight w:val="none"/>
        </w:rPr>
        <w:t>担保由联合体牵头人或按照联合体协议的约定</w:t>
      </w:r>
      <w:r>
        <w:rPr>
          <w:rFonts w:ascii="宋体" w:hAnsi="宋体"/>
          <w:snapToGrid w:val="0"/>
          <w:color w:val="auto"/>
          <w:kern w:val="0"/>
          <w:szCs w:val="21"/>
          <w:highlight w:val="none"/>
        </w:rPr>
        <w:t>提交。</w:t>
      </w:r>
    </w:p>
    <w:p w14:paraId="58D8C7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7.7.2  中标人不能按本章第7.7.1项要求提交履约担保的，视为放弃中标，其投标保证金不予退还，给招标人造成的损失超过投标保证金数额的，中标人还应当对超过部分予以赔偿。</w:t>
      </w:r>
    </w:p>
    <w:p w14:paraId="1A36BF4F">
      <w:pPr>
        <w:pStyle w:val="4"/>
        <w:snapToGrid w:val="0"/>
        <w:spacing w:before="0" w:after="0" w:line="360" w:lineRule="auto"/>
        <w:rPr>
          <w:rFonts w:ascii="宋体" w:hAnsi="宋体"/>
          <w:b w:val="0"/>
          <w:snapToGrid w:val="0"/>
          <w:color w:val="auto"/>
          <w:sz w:val="24"/>
          <w:szCs w:val="24"/>
          <w:highlight w:val="none"/>
        </w:rPr>
      </w:pPr>
      <w:bookmarkStart w:id="422" w:name="_Toc277082594"/>
      <w:bookmarkStart w:id="423" w:name="_Toc430530477"/>
      <w:bookmarkStart w:id="424" w:name="_Toc509218752"/>
      <w:bookmarkStart w:id="425" w:name="_Toc287607788"/>
      <w:bookmarkStart w:id="426" w:name="_Toc200513168"/>
      <w:bookmarkStart w:id="427" w:name="_Toc287620727"/>
      <w:bookmarkStart w:id="428" w:name="_Toc224103359"/>
      <w:bookmarkStart w:id="429" w:name="_Toc10951"/>
      <w:r>
        <w:rPr>
          <w:rFonts w:ascii="宋体" w:hAnsi="宋体"/>
          <w:b w:val="0"/>
          <w:snapToGrid w:val="0"/>
          <w:color w:val="auto"/>
          <w:sz w:val="24"/>
          <w:szCs w:val="24"/>
          <w:highlight w:val="none"/>
        </w:rPr>
        <w:t>7.8  签订合同</w:t>
      </w:r>
      <w:bookmarkEnd w:id="422"/>
      <w:bookmarkEnd w:id="423"/>
      <w:bookmarkEnd w:id="424"/>
      <w:bookmarkEnd w:id="425"/>
      <w:bookmarkEnd w:id="426"/>
      <w:bookmarkEnd w:id="427"/>
      <w:bookmarkEnd w:id="428"/>
      <w:bookmarkEnd w:id="429"/>
    </w:p>
    <w:p w14:paraId="3322246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或者不按照招标文件要求提交履约担保的，</w:t>
      </w:r>
      <w:r>
        <w:rPr>
          <w:rFonts w:ascii="宋体" w:hAnsi="宋体"/>
          <w:snapToGrid w:val="0"/>
          <w:color w:val="auto"/>
          <w:kern w:val="0"/>
          <w:szCs w:val="21"/>
          <w:highlight w:val="none"/>
        </w:rPr>
        <w:t>招标人</w:t>
      </w:r>
      <w:r>
        <w:rPr>
          <w:color w:val="auto"/>
          <w:spacing w:val="-3"/>
          <w:highlight w:val="none"/>
        </w:rPr>
        <w:t>有权</w:t>
      </w:r>
      <w:r>
        <w:rPr>
          <w:rFonts w:ascii="宋体" w:hAnsi="宋体"/>
          <w:snapToGrid w:val="0"/>
          <w:color w:val="auto"/>
          <w:kern w:val="0"/>
          <w:szCs w:val="21"/>
          <w:highlight w:val="none"/>
        </w:rPr>
        <w:t>取消其中标资格，其投标保证金不予退还；给招标人造成的损失超过投标保证金数额的，中标人还应当对超过部分予以赔偿。</w:t>
      </w:r>
    </w:p>
    <w:p w14:paraId="4DA5E4C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发出中标通知书后，招标人无正当理由拒签合同，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ascii="宋体" w:hAnsi="宋体"/>
          <w:snapToGrid w:val="0"/>
          <w:color w:val="auto"/>
          <w:kern w:val="0"/>
          <w:szCs w:val="21"/>
          <w:highlight w:val="none"/>
        </w:rPr>
        <w:t>招标人向中标人退还投标保证金；给中标人造成损失的，还应当赔偿损失。</w:t>
      </w:r>
    </w:p>
    <w:p w14:paraId="2BE289DD">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联合体中标的，联合体各方应当共同与招标人签订合同，就中标项目向招标人承担连带责任。</w:t>
      </w:r>
    </w:p>
    <w:p w14:paraId="67858E9F">
      <w:pPr>
        <w:pStyle w:val="3"/>
        <w:spacing w:before="0" w:after="0" w:line="360" w:lineRule="auto"/>
        <w:rPr>
          <w:rFonts w:ascii="宋体" w:hAnsi="宋体"/>
          <w:b w:val="0"/>
          <w:snapToGrid w:val="0"/>
          <w:color w:val="auto"/>
          <w:highlight w:val="none"/>
        </w:rPr>
      </w:pPr>
      <w:bookmarkStart w:id="430" w:name="_Toc509218753"/>
      <w:bookmarkStart w:id="431" w:name="_Toc430530478"/>
      <w:bookmarkStart w:id="432" w:name="_Toc287607789"/>
      <w:bookmarkStart w:id="433" w:name="_Toc287620728"/>
      <w:bookmarkStart w:id="434" w:name="_Toc200513169"/>
      <w:bookmarkStart w:id="435" w:name="_Toc277082595"/>
      <w:bookmarkStart w:id="436" w:name="_Toc4601"/>
      <w:bookmarkStart w:id="437" w:name="_Toc224103360"/>
      <w:r>
        <w:rPr>
          <w:rFonts w:ascii="宋体" w:hAnsi="宋体"/>
          <w:b w:val="0"/>
          <w:snapToGrid w:val="0"/>
          <w:color w:val="auto"/>
          <w:highlight w:val="none"/>
        </w:rPr>
        <w:t>8.  重新招标和不再招标</w:t>
      </w:r>
      <w:bookmarkEnd w:id="430"/>
      <w:bookmarkEnd w:id="431"/>
      <w:bookmarkEnd w:id="432"/>
      <w:bookmarkEnd w:id="433"/>
      <w:bookmarkEnd w:id="434"/>
      <w:bookmarkEnd w:id="435"/>
      <w:bookmarkEnd w:id="436"/>
      <w:bookmarkEnd w:id="437"/>
    </w:p>
    <w:p w14:paraId="59A7381B">
      <w:pPr>
        <w:pStyle w:val="4"/>
        <w:snapToGrid w:val="0"/>
        <w:spacing w:before="0" w:after="0" w:line="360" w:lineRule="auto"/>
        <w:rPr>
          <w:rFonts w:ascii="宋体" w:hAnsi="宋体"/>
          <w:b w:val="0"/>
          <w:snapToGrid w:val="0"/>
          <w:color w:val="auto"/>
          <w:sz w:val="24"/>
          <w:szCs w:val="24"/>
          <w:highlight w:val="none"/>
        </w:rPr>
      </w:pPr>
      <w:bookmarkStart w:id="438" w:name="_Toc224103361"/>
      <w:bookmarkStart w:id="439" w:name="_Toc287620729"/>
      <w:bookmarkStart w:id="440" w:name="_Toc287607790"/>
      <w:bookmarkStart w:id="441" w:name="_Toc200513170"/>
      <w:bookmarkStart w:id="442" w:name="_Toc509218754"/>
      <w:bookmarkStart w:id="443" w:name="_Toc430530479"/>
      <w:bookmarkStart w:id="444" w:name="_Toc277082596"/>
      <w:bookmarkStart w:id="445" w:name="_Toc7711"/>
      <w:r>
        <w:rPr>
          <w:rFonts w:ascii="宋体" w:hAnsi="宋体"/>
          <w:b w:val="0"/>
          <w:snapToGrid w:val="0"/>
          <w:color w:val="auto"/>
          <w:sz w:val="24"/>
          <w:szCs w:val="24"/>
          <w:highlight w:val="none"/>
        </w:rPr>
        <w:t>8.1  重新招标</w:t>
      </w:r>
      <w:bookmarkEnd w:id="438"/>
      <w:bookmarkEnd w:id="439"/>
      <w:bookmarkEnd w:id="440"/>
      <w:bookmarkEnd w:id="441"/>
      <w:bookmarkEnd w:id="442"/>
      <w:bookmarkEnd w:id="443"/>
      <w:bookmarkEnd w:id="444"/>
      <w:r>
        <w:rPr>
          <w:rFonts w:hint="eastAsia" w:ascii="宋体" w:hAnsi="宋体"/>
          <w:b w:val="0"/>
          <w:snapToGrid w:val="0"/>
          <w:color w:val="auto"/>
          <w:sz w:val="24"/>
          <w:szCs w:val="24"/>
          <w:highlight w:val="none"/>
        </w:rPr>
        <w:t>的情形</w:t>
      </w:r>
      <w:bookmarkEnd w:id="445"/>
    </w:p>
    <w:p w14:paraId="1D8606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1CA068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49B0E7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5C2B27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14:paraId="270FD6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1D87944">
      <w:pPr>
        <w:pStyle w:val="4"/>
        <w:snapToGrid w:val="0"/>
        <w:spacing w:before="0" w:after="0" w:line="360" w:lineRule="auto"/>
        <w:rPr>
          <w:rFonts w:ascii="宋体" w:hAnsi="宋体"/>
          <w:b w:val="0"/>
          <w:snapToGrid w:val="0"/>
          <w:color w:val="auto"/>
          <w:sz w:val="24"/>
          <w:szCs w:val="24"/>
          <w:highlight w:val="none"/>
        </w:rPr>
      </w:pPr>
      <w:bookmarkStart w:id="446" w:name="_Toc509218755"/>
      <w:bookmarkStart w:id="447" w:name="_Toc287620730"/>
      <w:bookmarkStart w:id="448" w:name="_Toc12011"/>
      <w:bookmarkStart w:id="449" w:name="_Toc430530480"/>
      <w:bookmarkStart w:id="450" w:name="_Toc200513171"/>
      <w:bookmarkStart w:id="451" w:name="_Toc277082597"/>
      <w:bookmarkStart w:id="452" w:name="_Toc287607791"/>
      <w:bookmarkStart w:id="453"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46"/>
      <w:bookmarkEnd w:id="447"/>
      <w:bookmarkEnd w:id="448"/>
      <w:bookmarkEnd w:id="449"/>
      <w:bookmarkEnd w:id="450"/>
      <w:bookmarkEnd w:id="451"/>
      <w:bookmarkEnd w:id="452"/>
      <w:bookmarkEnd w:id="453"/>
    </w:p>
    <w:p w14:paraId="2943700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644B084F">
      <w:pPr>
        <w:pStyle w:val="3"/>
        <w:spacing w:before="0" w:after="0" w:line="360" w:lineRule="auto"/>
        <w:rPr>
          <w:rFonts w:ascii="宋体" w:hAnsi="宋体"/>
          <w:b w:val="0"/>
          <w:snapToGrid w:val="0"/>
          <w:color w:val="auto"/>
          <w:highlight w:val="none"/>
        </w:rPr>
      </w:pPr>
      <w:bookmarkStart w:id="454" w:name="_Toc224103363"/>
      <w:bookmarkStart w:id="455" w:name="_Toc11649"/>
      <w:bookmarkStart w:id="456" w:name="_Toc287620731"/>
      <w:bookmarkStart w:id="457" w:name="_Toc509218756"/>
      <w:bookmarkStart w:id="458" w:name="_Toc277082598"/>
      <w:bookmarkStart w:id="459" w:name="_Toc200513172"/>
      <w:bookmarkStart w:id="460" w:name="_Toc287607792"/>
      <w:bookmarkStart w:id="461" w:name="_Toc430530481"/>
      <w:r>
        <w:rPr>
          <w:rFonts w:ascii="宋体" w:hAnsi="宋体"/>
          <w:b w:val="0"/>
          <w:snapToGrid w:val="0"/>
          <w:color w:val="auto"/>
          <w:highlight w:val="none"/>
        </w:rPr>
        <w:t>9.  纪律和监督</w:t>
      </w:r>
      <w:bookmarkEnd w:id="454"/>
      <w:bookmarkEnd w:id="455"/>
      <w:bookmarkEnd w:id="456"/>
      <w:bookmarkEnd w:id="457"/>
      <w:bookmarkEnd w:id="458"/>
      <w:bookmarkEnd w:id="459"/>
      <w:bookmarkEnd w:id="460"/>
      <w:bookmarkEnd w:id="461"/>
    </w:p>
    <w:p w14:paraId="44BF6A44">
      <w:pPr>
        <w:pStyle w:val="4"/>
        <w:snapToGrid w:val="0"/>
        <w:spacing w:before="0" w:after="0" w:line="360" w:lineRule="auto"/>
        <w:rPr>
          <w:rFonts w:ascii="宋体" w:hAnsi="宋体"/>
          <w:b w:val="0"/>
          <w:snapToGrid w:val="0"/>
          <w:color w:val="auto"/>
          <w:sz w:val="24"/>
          <w:szCs w:val="24"/>
          <w:highlight w:val="none"/>
        </w:rPr>
      </w:pPr>
      <w:bookmarkStart w:id="462" w:name="_Toc430530482"/>
      <w:bookmarkStart w:id="463" w:name="_Toc509218757"/>
      <w:bookmarkStart w:id="464" w:name="_Toc200513173"/>
      <w:bookmarkStart w:id="465" w:name="_Toc277082599"/>
      <w:bookmarkStart w:id="466" w:name="_Toc287607793"/>
      <w:bookmarkStart w:id="467" w:name="_Toc27838"/>
      <w:bookmarkStart w:id="468" w:name="_Toc287620732"/>
      <w:bookmarkStart w:id="469" w:name="_Toc224103364"/>
      <w:r>
        <w:rPr>
          <w:rFonts w:ascii="宋体" w:hAnsi="宋体"/>
          <w:b w:val="0"/>
          <w:snapToGrid w:val="0"/>
          <w:color w:val="auto"/>
          <w:sz w:val="24"/>
          <w:szCs w:val="24"/>
          <w:highlight w:val="none"/>
        </w:rPr>
        <w:t>9.1  对招标人的纪律要求</w:t>
      </w:r>
      <w:bookmarkEnd w:id="462"/>
      <w:bookmarkEnd w:id="463"/>
      <w:bookmarkEnd w:id="464"/>
      <w:bookmarkEnd w:id="465"/>
      <w:bookmarkEnd w:id="466"/>
      <w:bookmarkEnd w:id="467"/>
      <w:bookmarkEnd w:id="468"/>
      <w:bookmarkEnd w:id="469"/>
    </w:p>
    <w:p w14:paraId="04B1C33C">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招标人不得泄露招标投标活动中应当保密的情况和资料，不得与投标人串通损害国家利益、社会公共利益或者他人合法权益，</w:t>
      </w:r>
      <w:r>
        <w:rPr>
          <w:rFonts w:ascii="宋体" w:hAnsi="宋体"/>
          <w:color w:val="auto"/>
          <w:highlight w:val="none"/>
        </w:rPr>
        <w:t>禁止招标人与投标人串通投标。</w:t>
      </w:r>
    </w:p>
    <w:p w14:paraId="7B2180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626CCEC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678ED68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594320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726C73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24A77C4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540E5A1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68F94692">
      <w:pPr>
        <w:pStyle w:val="4"/>
        <w:snapToGrid w:val="0"/>
        <w:spacing w:before="0" w:after="0" w:line="360" w:lineRule="auto"/>
        <w:ind w:firstLine="480" w:firstLineChars="200"/>
        <w:rPr>
          <w:rFonts w:ascii="宋体" w:hAnsi="宋体"/>
          <w:b w:val="0"/>
          <w:snapToGrid w:val="0"/>
          <w:color w:val="auto"/>
          <w:sz w:val="24"/>
          <w:szCs w:val="24"/>
          <w:highlight w:val="none"/>
        </w:rPr>
      </w:pPr>
      <w:bookmarkStart w:id="470" w:name="_Toc430530483"/>
      <w:bookmarkStart w:id="471" w:name="_Toc200513174"/>
      <w:bookmarkStart w:id="472" w:name="_Toc509218758"/>
      <w:bookmarkStart w:id="473" w:name="_Toc224103365"/>
      <w:bookmarkStart w:id="474" w:name="_Toc21560"/>
      <w:bookmarkStart w:id="475" w:name="_Toc287620733"/>
      <w:bookmarkStart w:id="476" w:name="_Toc287607794"/>
      <w:bookmarkStart w:id="477" w:name="_Toc277082600"/>
      <w:r>
        <w:rPr>
          <w:rFonts w:ascii="宋体" w:hAnsi="宋体"/>
          <w:b w:val="0"/>
          <w:snapToGrid w:val="0"/>
          <w:color w:val="auto"/>
          <w:sz w:val="24"/>
          <w:szCs w:val="24"/>
          <w:highlight w:val="none"/>
        </w:rPr>
        <w:t>9.2  对投标人的纪律要求</w:t>
      </w:r>
      <w:bookmarkEnd w:id="470"/>
      <w:bookmarkEnd w:id="471"/>
      <w:bookmarkEnd w:id="472"/>
      <w:bookmarkEnd w:id="473"/>
      <w:bookmarkEnd w:id="474"/>
      <w:bookmarkEnd w:id="475"/>
      <w:bookmarkEnd w:id="476"/>
      <w:bookmarkEnd w:id="477"/>
    </w:p>
    <w:p w14:paraId="5B9FDA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70DDE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0DA3F8D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67CE364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55AED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764BDFE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5DA10E0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6E929BA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697419A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33A15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79DC514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0513983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7721758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2968A17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3374215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2E0E87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4B26F5B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1E73D8E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9FEDDA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C5944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6A39A0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B08719D">
      <w:pPr>
        <w:pStyle w:val="4"/>
        <w:snapToGrid w:val="0"/>
        <w:spacing w:before="0" w:after="0" w:line="360" w:lineRule="auto"/>
        <w:rPr>
          <w:rFonts w:ascii="宋体" w:hAnsi="宋体"/>
          <w:b w:val="0"/>
          <w:snapToGrid w:val="0"/>
          <w:color w:val="auto"/>
          <w:sz w:val="24"/>
          <w:szCs w:val="24"/>
          <w:highlight w:val="none"/>
        </w:rPr>
      </w:pPr>
      <w:bookmarkStart w:id="478" w:name="_Toc287607795"/>
      <w:bookmarkStart w:id="479" w:name="_Toc224103366"/>
      <w:bookmarkStart w:id="480" w:name="_Toc277082601"/>
      <w:bookmarkStart w:id="481" w:name="_Toc287620734"/>
      <w:bookmarkStart w:id="482" w:name="_Toc509218759"/>
      <w:bookmarkStart w:id="483" w:name="_Toc430530484"/>
      <w:bookmarkStart w:id="484" w:name="_Toc27561"/>
      <w:bookmarkStart w:id="485" w:name="_Toc200513175"/>
      <w:r>
        <w:rPr>
          <w:rFonts w:ascii="宋体" w:hAnsi="宋体"/>
          <w:b w:val="0"/>
          <w:snapToGrid w:val="0"/>
          <w:color w:val="auto"/>
          <w:sz w:val="24"/>
          <w:szCs w:val="24"/>
          <w:highlight w:val="none"/>
        </w:rPr>
        <w:t>9.3  对评标委员会成员的纪律要求</w:t>
      </w:r>
      <w:bookmarkEnd w:id="478"/>
      <w:bookmarkEnd w:id="479"/>
      <w:bookmarkEnd w:id="480"/>
      <w:bookmarkEnd w:id="481"/>
      <w:bookmarkEnd w:id="482"/>
      <w:bookmarkEnd w:id="483"/>
      <w:bookmarkEnd w:id="484"/>
      <w:bookmarkEnd w:id="485"/>
    </w:p>
    <w:p w14:paraId="2C21FC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14:paraId="01D6BC8F">
      <w:pPr>
        <w:pStyle w:val="4"/>
        <w:snapToGrid w:val="0"/>
        <w:spacing w:before="0" w:after="0" w:line="360" w:lineRule="auto"/>
        <w:rPr>
          <w:rFonts w:ascii="宋体" w:hAnsi="宋体"/>
          <w:b w:val="0"/>
          <w:snapToGrid w:val="0"/>
          <w:color w:val="auto"/>
          <w:sz w:val="24"/>
          <w:szCs w:val="24"/>
          <w:highlight w:val="none"/>
        </w:rPr>
      </w:pPr>
      <w:bookmarkStart w:id="486" w:name="_Toc200513176"/>
      <w:bookmarkStart w:id="487" w:name="_Toc224103367"/>
      <w:bookmarkStart w:id="488" w:name="_Toc17259"/>
      <w:bookmarkStart w:id="489" w:name="_Toc287620735"/>
      <w:bookmarkStart w:id="490" w:name="_Toc509218760"/>
      <w:bookmarkStart w:id="491" w:name="_Toc277082602"/>
      <w:bookmarkStart w:id="492" w:name="_Toc430530485"/>
      <w:bookmarkStart w:id="493" w:name="_Toc287607796"/>
      <w:r>
        <w:rPr>
          <w:rFonts w:ascii="宋体" w:hAnsi="宋体"/>
          <w:b w:val="0"/>
          <w:snapToGrid w:val="0"/>
          <w:color w:val="auto"/>
          <w:sz w:val="24"/>
          <w:szCs w:val="24"/>
          <w:highlight w:val="none"/>
        </w:rPr>
        <w:t>9.4  对与评标活动有关的工作人员的纪律要求</w:t>
      </w:r>
      <w:bookmarkEnd w:id="486"/>
      <w:bookmarkEnd w:id="487"/>
      <w:bookmarkEnd w:id="488"/>
      <w:bookmarkEnd w:id="489"/>
      <w:bookmarkEnd w:id="490"/>
      <w:bookmarkEnd w:id="491"/>
      <w:bookmarkEnd w:id="492"/>
      <w:bookmarkEnd w:id="493"/>
    </w:p>
    <w:p w14:paraId="66E6B6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14:paraId="5402129C">
      <w:pPr>
        <w:pStyle w:val="4"/>
        <w:snapToGrid w:val="0"/>
        <w:spacing w:before="0" w:after="0" w:line="360" w:lineRule="auto"/>
        <w:rPr>
          <w:rFonts w:ascii="宋体" w:hAnsi="宋体"/>
          <w:b w:val="0"/>
          <w:snapToGrid w:val="0"/>
          <w:color w:val="auto"/>
          <w:sz w:val="24"/>
          <w:szCs w:val="24"/>
          <w:highlight w:val="none"/>
        </w:rPr>
      </w:pPr>
      <w:bookmarkStart w:id="494" w:name="_Toc224103368"/>
      <w:bookmarkStart w:id="495" w:name="_Toc287620736"/>
      <w:bookmarkStart w:id="496" w:name="_Toc430530486"/>
      <w:bookmarkStart w:id="497" w:name="_Toc200513177"/>
      <w:bookmarkStart w:id="498" w:name="_Toc2773"/>
      <w:bookmarkStart w:id="499" w:name="_Toc277082603"/>
      <w:bookmarkStart w:id="500" w:name="_Toc509218761"/>
      <w:bookmarkStart w:id="501" w:name="_Toc287607797"/>
      <w:r>
        <w:rPr>
          <w:rFonts w:ascii="宋体" w:hAnsi="宋体"/>
          <w:b w:val="0"/>
          <w:snapToGrid w:val="0"/>
          <w:color w:val="auto"/>
          <w:sz w:val="24"/>
          <w:szCs w:val="24"/>
          <w:highlight w:val="none"/>
        </w:rPr>
        <w:t>9.5  投诉</w:t>
      </w:r>
      <w:bookmarkEnd w:id="494"/>
      <w:bookmarkEnd w:id="495"/>
      <w:bookmarkEnd w:id="496"/>
      <w:bookmarkEnd w:id="497"/>
      <w:bookmarkEnd w:id="498"/>
      <w:bookmarkEnd w:id="499"/>
      <w:bookmarkEnd w:id="500"/>
      <w:bookmarkEnd w:id="501"/>
    </w:p>
    <w:p w14:paraId="3D283F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14:paraId="42FBC3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.5.2  投标人或者其他利害关系人对招标文件、开标和评标结果提出投诉的，应当按照投标人须知第 2.4 款、第 5.3 款和第 7.2 款的规定先向招标人提出异议。异议答复期间不计算在第 8.5.1 项规定的期限内。</w:t>
      </w:r>
    </w:p>
    <w:p w14:paraId="531B6212">
      <w:pPr>
        <w:pStyle w:val="3"/>
        <w:spacing w:before="0" w:after="0" w:line="360" w:lineRule="auto"/>
        <w:rPr>
          <w:rFonts w:ascii="宋体" w:hAnsi="宋体"/>
          <w:b w:val="0"/>
          <w:snapToGrid w:val="0"/>
          <w:color w:val="auto"/>
          <w:highlight w:val="none"/>
        </w:rPr>
      </w:pPr>
      <w:bookmarkStart w:id="502" w:name="_Toc200513178"/>
      <w:bookmarkStart w:id="503" w:name="_Toc430530487"/>
      <w:bookmarkStart w:id="504" w:name="_Toc3513"/>
      <w:bookmarkStart w:id="505" w:name="_Toc277082604"/>
      <w:bookmarkStart w:id="506" w:name="_Toc287620737"/>
      <w:bookmarkStart w:id="507" w:name="_Toc224103369"/>
      <w:bookmarkStart w:id="508" w:name="_Toc509218762"/>
      <w:bookmarkStart w:id="509" w:name="_Toc287607798"/>
      <w:r>
        <w:rPr>
          <w:rFonts w:ascii="宋体" w:hAnsi="宋体"/>
          <w:b w:val="0"/>
          <w:snapToGrid w:val="0"/>
          <w:color w:val="auto"/>
          <w:highlight w:val="none"/>
        </w:rPr>
        <w:t>10. 需要补充的其他内容</w:t>
      </w:r>
      <w:bookmarkEnd w:id="502"/>
      <w:bookmarkEnd w:id="503"/>
      <w:bookmarkEnd w:id="504"/>
      <w:bookmarkEnd w:id="505"/>
      <w:bookmarkEnd w:id="506"/>
      <w:bookmarkEnd w:id="507"/>
      <w:bookmarkEnd w:id="508"/>
      <w:bookmarkEnd w:id="509"/>
    </w:p>
    <w:p w14:paraId="69A179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14:paraId="1F5574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A80C7E6">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07A10400">
      <w:pPr>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12C8057F">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3B7F898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6C9D79A5">
      <w:pPr>
        <w:autoSpaceDE w:val="0"/>
        <w:autoSpaceDN w:val="0"/>
        <w:adjustRightInd w:val="0"/>
        <w:snapToGrid w:val="0"/>
        <w:spacing w:line="360" w:lineRule="auto"/>
        <w:jc w:val="left"/>
        <w:rPr>
          <w:rFonts w:ascii="宋体" w:hAnsi="宋体"/>
          <w:b/>
          <w:snapToGrid w:val="0"/>
          <w:color w:val="auto"/>
          <w:kern w:val="0"/>
          <w:sz w:val="24"/>
          <w:highlight w:val="none"/>
        </w:rPr>
      </w:pPr>
    </w:p>
    <w:p w14:paraId="350127CE">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F10E13B">
      <w:pPr>
        <w:autoSpaceDE w:val="0"/>
        <w:autoSpaceDN w:val="0"/>
        <w:adjustRightInd w:val="0"/>
        <w:snapToGrid w:val="0"/>
        <w:spacing w:line="360" w:lineRule="auto"/>
        <w:jc w:val="left"/>
        <w:rPr>
          <w:rFonts w:ascii="宋体" w:hAnsi="宋体"/>
          <w:b/>
          <w:snapToGrid w:val="0"/>
          <w:color w:val="auto"/>
          <w:kern w:val="0"/>
          <w:sz w:val="24"/>
          <w:highlight w:val="none"/>
        </w:rPr>
      </w:pPr>
    </w:p>
    <w:p w14:paraId="28C19A8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E2878D1">
      <w:pPr>
        <w:autoSpaceDE w:val="0"/>
        <w:autoSpaceDN w:val="0"/>
        <w:adjustRightInd w:val="0"/>
        <w:snapToGrid w:val="0"/>
        <w:spacing w:line="360" w:lineRule="auto"/>
        <w:jc w:val="left"/>
        <w:rPr>
          <w:rFonts w:ascii="宋体" w:hAnsi="宋体"/>
          <w:b/>
          <w:snapToGrid w:val="0"/>
          <w:color w:val="auto"/>
          <w:kern w:val="0"/>
          <w:sz w:val="24"/>
          <w:highlight w:val="none"/>
        </w:rPr>
      </w:pPr>
    </w:p>
    <w:p w14:paraId="2A05D30C">
      <w:pPr>
        <w:autoSpaceDE w:val="0"/>
        <w:autoSpaceDN w:val="0"/>
        <w:adjustRightInd w:val="0"/>
        <w:snapToGrid w:val="0"/>
        <w:spacing w:line="360" w:lineRule="auto"/>
        <w:rPr>
          <w:rFonts w:ascii="宋体" w:hAnsi="宋体"/>
          <w:snapToGrid w:val="0"/>
          <w:color w:val="auto"/>
          <w:kern w:val="0"/>
          <w:sz w:val="28"/>
          <w:szCs w:val="28"/>
          <w:highlight w:val="none"/>
        </w:rPr>
      </w:pPr>
    </w:p>
    <w:p w14:paraId="79A2FEB2">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7C32640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F0281BA">
      <w:pPr>
        <w:autoSpaceDE w:val="0"/>
        <w:autoSpaceDN w:val="0"/>
        <w:adjustRightInd w:val="0"/>
        <w:snapToGrid w:val="0"/>
        <w:spacing w:line="360" w:lineRule="auto"/>
        <w:jc w:val="left"/>
        <w:rPr>
          <w:rFonts w:ascii="宋体" w:hAnsi="宋体"/>
          <w:snapToGrid w:val="0"/>
          <w:color w:val="auto"/>
          <w:kern w:val="0"/>
          <w:sz w:val="24"/>
          <w:highlight w:val="none"/>
        </w:rPr>
      </w:pPr>
    </w:p>
    <w:p w14:paraId="4B90D33F">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CEEA37B">
      <w:pPr>
        <w:autoSpaceDE w:val="0"/>
        <w:autoSpaceDN w:val="0"/>
        <w:adjustRightInd w:val="0"/>
        <w:snapToGrid w:val="0"/>
        <w:spacing w:line="360" w:lineRule="auto"/>
        <w:jc w:val="left"/>
        <w:rPr>
          <w:rFonts w:ascii="宋体" w:hAnsi="宋体"/>
          <w:snapToGrid w:val="0"/>
          <w:color w:val="auto"/>
          <w:kern w:val="0"/>
          <w:szCs w:val="21"/>
          <w:highlight w:val="none"/>
        </w:rPr>
      </w:pPr>
    </w:p>
    <w:p w14:paraId="5C08D956">
      <w:pPr>
        <w:autoSpaceDE w:val="0"/>
        <w:autoSpaceDN w:val="0"/>
        <w:adjustRightInd w:val="0"/>
        <w:snapToGrid w:val="0"/>
        <w:spacing w:line="360" w:lineRule="auto"/>
        <w:jc w:val="left"/>
        <w:rPr>
          <w:rFonts w:ascii="宋体" w:hAnsi="宋体"/>
          <w:snapToGrid w:val="0"/>
          <w:color w:val="auto"/>
          <w:kern w:val="0"/>
          <w:szCs w:val="21"/>
          <w:highlight w:val="none"/>
        </w:rPr>
      </w:pPr>
    </w:p>
    <w:p w14:paraId="738016C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2855FF3">
      <w:pPr>
        <w:autoSpaceDE w:val="0"/>
        <w:autoSpaceDN w:val="0"/>
        <w:adjustRightInd w:val="0"/>
        <w:snapToGrid w:val="0"/>
        <w:spacing w:line="360" w:lineRule="auto"/>
        <w:jc w:val="left"/>
        <w:rPr>
          <w:rFonts w:ascii="宋体" w:hAnsi="宋体"/>
          <w:snapToGrid w:val="0"/>
          <w:color w:val="auto"/>
          <w:kern w:val="0"/>
          <w:szCs w:val="21"/>
          <w:highlight w:val="none"/>
        </w:rPr>
      </w:pPr>
    </w:p>
    <w:p w14:paraId="6EE0948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875A8A7">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20A2E06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BCFE1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14:paraId="20D366D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A7368A9">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249A62B0">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03E98CF8">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47E7141">
      <w:pPr>
        <w:autoSpaceDE w:val="0"/>
        <w:autoSpaceDN w:val="0"/>
        <w:adjustRightInd w:val="0"/>
        <w:snapToGrid w:val="0"/>
        <w:spacing w:line="360" w:lineRule="auto"/>
        <w:jc w:val="left"/>
        <w:rPr>
          <w:rFonts w:ascii="宋体" w:hAnsi="宋体"/>
          <w:b/>
          <w:snapToGrid w:val="0"/>
          <w:color w:val="auto"/>
          <w:kern w:val="0"/>
          <w:highlight w:val="none"/>
        </w:rPr>
      </w:pPr>
    </w:p>
    <w:p w14:paraId="73A0B919">
      <w:pPr>
        <w:autoSpaceDE w:val="0"/>
        <w:autoSpaceDN w:val="0"/>
        <w:adjustRightInd w:val="0"/>
        <w:snapToGrid w:val="0"/>
        <w:spacing w:line="360" w:lineRule="auto"/>
        <w:jc w:val="left"/>
        <w:rPr>
          <w:rFonts w:ascii="宋体" w:hAnsi="宋体"/>
          <w:b/>
          <w:snapToGrid w:val="0"/>
          <w:color w:val="auto"/>
          <w:kern w:val="0"/>
          <w:highlight w:val="none"/>
        </w:rPr>
      </w:pPr>
    </w:p>
    <w:p w14:paraId="55F4AC5C">
      <w:pPr>
        <w:autoSpaceDE w:val="0"/>
        <w:autoSpaceDN w:val="0"/>
        <w:adjustRightInd w:val="0"/>
        <w:snapToGrid w:val="0"/>
        <w:spacing w:line="360" w:lineRule="auto"/>
        <w:jc w:val="left"/>
        <w:rPr>
          <w:rFonts w:ascii="宋体" w:hAnsi="宋体"/>
          <w:b/>
          <w:snapToGrid w:val="0"/>
          <w:color w:val="auto"/>
          <w:kern w:val="0"/>
          <w:highlight w:val="none"/>
        </w:rPr>
      </w:pPr>
    </w:p>
    <w:p w14:paraId="5933EE59">
      <w:pPr>
        <w:autoSpaceDE w:val="0"/>
        <w:autoSpaceDN w:val="0"/>
        <w:adjustRightInd w:val="0"/>
        <w:snapToGrid w:val="0"/>
        <w:spacing w:line="360" w:lineRule="auto"/>
        <w:jc w:val="left"/>
        <w:rPr>
          <w:rFonts w:ascii="宋体" w:hAnsi="宋体"/>
          <w:b/>
          <w:snapToGrid w:val="0"/>
          <w:color w:val="auto"/>
          <w:kern w:val="0"/>
          <w:highlight w:val="none"/>
        </w:rPr>
      </w:pPr>
    </w:p>
    <w:p w14:paraId="0D6048CC">
      <w:pPr>
        <w:autoSpaceDE w:val="0"/>
        <w:autoSpaceDN w:val="0"/>
        <w:adjustRightInd w:val="0"/>
        <w:snapToGrid w:val="0"/>
        <w:spacing w:line="360" w:lineRule="auto"/>
        <w:jc w:val="left"/>
        <w:rPr>
          <w:rFonts w:ascii="宋体" w:hAnsi="宋体"/>
          <w:b/>
          <w:snapToGrid w:val="0"/>
          <w:color w:val="auto"/>
          <w:kern w:val="0"/>
          <w:highlight w:val="none"/>
        </w:rPr>
      </w:pPr>
    </w:p>
    <w:p w14:paraId="7E294D21">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2E485898">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13B90A93">
      <w:pPr>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0" w:name="_Toc682"/>
      <w:r>
        <w:rPr>
          <w:rFonts w:ascii="宋体" w:hAnsi="宋体"/>
          <w:b/>
          <w:snapToGrid w:val="0"/>
          <w:color w:val="auto"/>
          <w:w w:val="99"/>
          <w:kern w:val="0"/>
          <w:sz w:val="32"/>
          <w:szCs w:val="32"/>
          <w:highlight w:val="none"/>
        </w:rPr>
        <w:t>问题的澄清</w:t>
      </w:r>
      <w:bookmarkEnd w:id="510"/>
    </w:p>
    <w:p w14:paraId="1067E9D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89CE81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457B4C7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88A23FF">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EA6204C">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055D4671">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0EBE97D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6CFC7CE">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DEE1CC1">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21CEB36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4F3E85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9548A4C">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4762E2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B70868F">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9614C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3B81141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1AFA3D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3DE606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03F5114">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7962048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25B2A1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82D7D6">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14:paraId="60CBA6C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2587CE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A4890A2">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56BE2CA6">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C54E2D1">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6FA5814">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B9497DC">
      <w:pPr>
        <w:autoSpaceDE w:val="0"/>
        <w:autoSpaceDN w:val="0"/>
        <w:adjustRightInd w:val="0"/>
        <w:snapToGrid w:val="0"/>
        <w:spacing w:line="360" w:lineRule="auto"/>
        <w:jc w:val="left"/>
        <w:rPr>
          <w:rFonts w:ascii="宋体" w:hAnsi="宋体"/>
          <w:b/>
          <w:snapToGrid w:val="0"/>
          <w:color w:val="auto"/>
          <w:kern w:val="0"/>
          <w:sz w:val="24"/>
          <w:highlight w:val="none"/>
        </w:rPr>
      </w:pPr>
    </w:p>
    <w:p w14:paraId="14CD09F9">
      <w:pPr>
        <w:pStyle w:val="13"/>
      </w:pPr>
    </w:p>
    <w:p w14:paraId="7BF184F8">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28648EA6">
      <w:pPr>
        <w:autoSpaceDE w:val="0"/>
        <w:autoSpaceDN w:val="0"/>
        <w:adjustRightInd w:val="0"/>
        <w:spacing w:line="360" w:lineRule="auto"/>
        <w:jc w:val="left"/>
        <w:rPr>
          <w:rFonts w:ascii="宋体" w:hAnsi="宋体"/>
          <w:snapToGrid w:val="0"/>
          <w:color w:val="auto"/>
          <w:kern w:val="0"/>
          <w:sz w:val="20"/>
          <w:szCs w:val="20"/>
          <w:highlight w:val="none"/>
        </w:rPr>
      </w:pPr>
    </w:p>
    <w:p w14:paraId="4B6C2CBA">
      <w:pPr>
        <w:autoSpaceDE w:val="0"/>
        <w:autoSpaceDN w:val="0"/>
        <w:adjustRightInd w:val="0"/>
        <w:spacing w:line="360" w:lineRule="auto"/>
        <w:jc w:val="left"/>
        <w:rPr>
          <w:rFonts w:ascii="宋体" w:hAnsi="宋体"/>
          <w:snapToGrid w:val="0"/>
          <w:color w:val="auto"/>
          <w:kern w:val="0"/>
          <w:sz w:val="20"/>
          <w:szCs w:val="20"/>
          <w:highlight w:val="none"/>
        </w:rPr>
      </w:pPr>
    </w:p>
    <w:p w14:paraId="75FFE9E2">
      <w:pPr>
        <w:autoSpaceDE w:val="0"/>
        <w:autoSpaceDN w:val="0"/>
        <w:adjustRightInd w:val="0"/>
        <w:spacing w:line="360" w:lineRule="auto"/>
        <w:jc w:val="left"/>
        <w:rPr>
          <w:rFonts w:ascii="宋体" w:hAnsi="宋体"/>
          <w:snapToGrid w:val="0"/>
          <w:color w:val="auto"/>
          <w:kern w:val="0"/>
          <w:sz w:val="20"/>
          <w:szCs w:val="20"/>
          <w:highlight w:val="none"/>
        </w:rPr>
      </w:pPr>
    </w:p>
    <w:p w14:paraId="30BD711B">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6CC4D26C">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45FE30F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14:paraId="3C8EDD3C">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49F931A7">
      <w:pPr>
        <w:spacing w:line="360" w:lineRule="auto"/>
        <w:ind w:firstLine="420" w:firstLineChars="200"/>
        <w:rPr>
          <w:color w:val="auto"/>
          <w:highlight w:val="none"/>
        </w:rPr>
      </w:pPr>
      <w:r>
        <w:rPr>
          <w:color w:val="auto"/>
          <w:highlight w:val="none"/>
        </w:rPr>
        <w:t>服务期限：</w:t>
      </w:r>
      <w:r>
        <w:rPr>
          <w:color w:val="auto"/>
          <w:highlight w:val="none"/>
          <w:u w:val="single"/>
        </w:rPr>
        <w:t xml:space="preserve">   </w:t>
      </w:r>
      <w:r>
        <w:rPr>
          <w:color w:val="auto"/>
          <w:highlight w:val="none"/>
          <w:u w:val="single"/>
        </w:rPr>
        <w:tab/>
      </w:r>
      <w:r>
        <w:rPr>
          <w:color w:val="auto"/>
          <w:highlight w:val="none"/>
        </w:rPr>
        <w:t>日历天。</w:t>
      </w:r>
    </w:p>
    <w:p w14:paraId="29B96A5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第7.7款规定向我方提交履约担保。</w:t>
      </w:r>
    </w:p>
    <w:p w14:paraId="7F70295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7CB38D9E">
      <w:pPr>
        <w:spacing w:line="480" w:lineRule="auto"/>
        <w:rPr>
          <w:rFonts w:ascii="宋体" w:hAnsi="宋体"/>
          <w:color w:val="auto"/>
          <w:kern w:val="0"/>
          <w:sz w:val="24"/>
          <w:highlight w:val="none"/>
        </w:rPr>
      </w:pPr>
    </w:p>
    <w:p w14:paraId="3785811B">
      <w:pPr>
        <w:spacing w:line="480" w:lineRule="auto"/>
        <w:rPr>
          <w:rFonts w:ascii="宋体" w:hAnsi="宋体"/>
          <w:color w:val="auto"/>
          <w:kern w:val="0"/>
          <w:sz w:val="24"/>
          <w:highlight w:val="none"/>
        </w:rPr>
      </w:pPr>
    </w:p>
    <w:p w14:paraId="4EA9C294">
      <w:pPr>
        <w:spacing w:line="480" w:lineRule="auto"/>
        <w:rPr>
          <w:rFonts w:ascii="宋体" w:hAnsi="宋体"/>
          <w:color w:val="auto"/>
          <w:kern w:val="0"/>
          <w:sz w:val="24"/>
          <w:highlight w:val="none"/>
        </w:rPr>
      </w:pPr>
    </w:p>
    <w:p w14:paraId="5E44424B">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15F81059">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A3FEAAD">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339D6FD">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73C61D0">
      <w:pPr>
        <w:spacing w:line="480" w:lineRule="auto"/>
        <w:jc w:val="right"/>
        <w:rPr>
          <w:rFonts w:ascii="宋体" w:hAnsi="宋体"/>
          <w:color w:val="auto"/>
          <w:kern w:val="0"/>
          <w:szCs w:val="21"/>
          <w:highlight w:val="none"/>
        </w:rPr>
      </w:pPr>
    </w:p>
    <w:p w14:paraId="6C8DFA72">
      <w:pPr>
        <w:spacing w:line="480" w:lineRule="auto"/>
        <w:jc w:val="right"/>
        <w:rPr>
          <w:rFonts w:ascii="宋体" w:hAnsi="宋体"/>
          <w:color w:val="auto"/>
          <w:kern w:val="0"/>
          <w:szCs w:val="21"/>
          <w:highlight w:val="none"/>
        </w:rPr>
      </w:pPr>
    </w:p>
    <w:p w14:paraId="73349E72">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D6CDAF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1" w:name="招标文件03章02评标办法综合评估法"/>
      <w:bookmarkEnd w:id="511"/>
      <w:bookmarkStart w:id="512" w:name="招标文件03章02评标办法综合评估法00"/>
      <w:bookmarkEnd w:id="512"/>
      <w:bookmarkStart w:id="513" w:name="_Toc287607812"/>
      <w:bookmarkStart w:id="514" w:name="_Toc430530500"/>
      <w:bookmarkStart w:id="515" w:name="_Toc277082618"/>
      <w:bookmarkStart w:id="516" w:name="_Toc224103384"/>
      <w:bookmarkStart w:id="517" w:name="_Toc287620751"/>
      <w:bookmarkStart w:id="518" w:name="_Toc200513198"/>
    </w:p>
    <w:bookmarkEnd w:id="513"/>
    <w:bookmarkEnd w:id="514"/>
    <w:bookmarkEnd w:id="515"/>
    <w:bookmarkEnd w:id="516"/>
    <w:bookmarkEnd w:id="517"/>
    <w:bookmarkEnd w:id="518"/>
    <w:p w14:paraId="2EB845FB">
      <w:pPr>
        <w:pStyle w:val="2"/>
        <w:spacing w:line="360" w:lineRule="auto"/>
        <w:jc w:val="left"/>
        <w:rPr>
          <w:rFonts w:ascii="宋体" w:hAnsi="宋体"/>
          <w:snapToGrid w:val="0"/>
          <w:color w:val="auto"/>
          <w:kern w:val="0"/>
          <w:highlight w:val="none"/>
        </w:rPr>
      </w:pPr>
      <w:bookmarkStart w:id="519" w:name="_Toc26140"/>
      <w:bookmarkStart w:id="520" w:name="_Toc2520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19"/>
      <w:bookmarkEnd w:id="520"/>
    </w:p>
    <w:p w14:paraId="641ED7BD">
      <w:pPr>
        <w:keepNext/>
        <w:keepLines/>
        <w:spacing w:before="100" w:after="100" w:line="360" w:lineRule="auto"/>
        <w:outlineLvl w:val="1"/>
        <w:rPr>
          <w:rFonts w:ascii="宋体" w:hAnsi="宋体"/>
          <w:b/>
          <w:color w:val="auto"/>
          <w:sz w:val="32"/>
          <w:szCs w:val="32"/>
          <w:highlight w:val="none"/>
        </w:rPr>
      </w:pPr>
      <w:bookmarkStart w:id="521" w:name="_Toc28568"/>
      <w:r>
        <w:rPr>
          <w:rFonts w:hint="eastAsia" w:ascii="宋体" w:hAnsi="宋体"/>
          <w:b/>
          <w:color w:val="auto"/>
          <w:sz w:val="32"/>
          <w:szCs w:val="32"/>
          <w:highlight w:val="none"/>
        </w:rPr>
        <w:t>评标办法前附表</w:t>
      </w:r>
      <w:bookmarkEnd w:id="521"/>
    </w:p>
    <w:p w14:paraId="2067C182">
      <w:pPr>
        <w:spacing w:line="400" w:lineRule="exact"/>
        <w:ind w:firstLine="427" w:firstLineChars="196"/>
        <w:rPr>
          <w:rFonts w:ascii="宋体" w:hAnsi="宋体"/>
          <w:color w:val="auto"/>
          <w:spacing w:val="4"/>
          <w:kern w:val="0"/>
          <w:szCs w:val="21"/>
          <w:highlight w:val="none"/>
        </w:rPr>
      </w:pPr>
      <w:bookmarkStart w:id="522" w:name="_Toc13210726"/>
      <w:r>
        <w:rPr>
          <w:rFonts w:ascii="宋体" w:hAnsi="宋体"/>
          <w:color w:val="auto"/>
          <w:spacing w:val="4"/>
          <w:kern w:val="0"/>
          <w:szCs w:val="21"/>
          <w:highlight w:val="none"/>
        </w:rPr>
        <w:t>评标办法前附表中的评审内容必须和</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须知前附表中未作要求的内容，不得列入评标办法前附表作为评定依据。</w:t>
      </w:r>
      <w:bookmarkEnd w:id="522"/>
    </w:p>
    <w:tbl>
      <w:tblPr>
        <w:tblStyle w:val="49"/>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4B1C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015B686E">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14:paraId="7B0ADEEB">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052" w:type="dxa"/>
            <w:gridSpan w:val="2"/>
            <w:noWrap w:val="0"/>
            <w:vAlign w:val="center"/>
          </w:tcPr>
          <w:p w14:paraId="588DA72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B23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6D16C62D">
            <w:pPr>
              <w:pStyle w:val="14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14:paraId="176C144A">
            <w:pPr>
              <w:pStyle w:val="14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052" w:type="dxa"/>
            <w:gridSpan w:val="2"/>
            <w:noWrap w:val="0"/>
            <w:vAlign w:val="center"/>
          </w:tcPr>
          <w:p w14:paraId="0E94EB21">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中标候选人</w:t>
            </w:r>
            <w:r>
              <w:rPr>
                <w:rFonts w:hint="eastAsia" w:ascii="宋体" w:hAnsi="宋体"/>
                <w:color w:val="auto"/>
                <w:spacing w:val="4"/>
                <w:kern w:val="0"/>
                <w:szCs w:val="21"/>
                <w:highlight w:val="none"/>
              </w:rPr>
              <w:t>，或根据</w:t>
            </w:r>
            <w:r>
              <w:rPr>
                <w:rFonts w:hint="eastAsia" w:ascii="宋体" w:hAnsi="宋体"/>
                <w:color w:val="auto"/>
                <w:spacing w:val="4"/>
                <w:kern w:val="0"/>
                <w:szCs w:val="21"/>
                <w:highlight w:val="none"/>
                <w:lang w:eastAsia="zh-CN"/>
              </w:rPr>
              <w:t>招标</w:t>
            </w:r>
            <w:r>
              <w:rPr>
                <w:rFonts w:hint="eastAsia" w:ascii="宋体" w:hAnsi="宋体"/>
                <w:color w:val="auto"/>
                <w:spacing w:val="4"/>
                <w:kern w:val="0"/>
                <w:szCs w:val="21"/>
                <w:highlight w:val="none"/>
              </w:rPr>
              <w:t>人授权直接确定</w:t>
            </w:r>
            <w:r>
              <w:rPr>
                <w:rFonts w:hint="eastAsia" w:ascii="宋体" w:hAnsi="宋体"/>
                <w:color w:val="auto"/>
                <w:spacing w:val="4"/>
                <w:kern w:val="0"/>
                <w:szCs w:val="21"/>
                <w:highlight w:val="none"/>
                <w:lang w:eastAsia="zh-CN"/>
              </w:rPr>
              <w:t>中标人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spacing w:val="4"/>
                <w:kern w:val="0"/>
                <w:szCs w:val="21"/>
                <w:highlight w:val="none"/>
              </w:rPr>
              <w:t>相同的，</w:t>
            </w:r>
            <w:r>
              <w:rPr>
                <w:rFonts w:hint="eastAsia" w:ascii="宋体" w:hAnsi="宋体"/>
                <w:color w:val="auto"/>
                <w:spacing w:val="4"/>
                <w:kern w:val="0"/>
                <w:szCs w:val="21"/>
                <w:highlight w:val="none"/>
                <w:u w:val="single"/>
                <w:lang w:val="en-US" w:eastAsia="zh-CN"/>
              </w:rPr>
              <w:t>按照资格审查3个业绩合同金额合计大小排序</w:t>
            </w:r>
            <w:r>
              <w:rPr>
                <w:rFonts w:hint="eastAsia" w:ascii="宋体" w:hAnsi="宋体"/>
                <w:color w:val="auto"/>
                <w:spacing w:val="4"/>
                <w:kern w:val="0"/>
                <w:szCs w:val="21"/>
                <w:highlight w:val="none"/>
                <w:lang w:val="en-US" w:eastAsia="zh-CN"/>
              </w:rPr>
              <w:t>，业绩供货量也相等的，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57CF4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FF03E09">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14:paraId="703B3679">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052" w:type="dxa"/>
            <w:gridSpan w:val="2"/>
            <w:tcBorders>
              <w:left w:val="single" w:color="auto" w:sz="4" w:space="0"/>
            </w:tcBorders>
            <w:noWrap w:val="0"/>
            <w:vAlign w:val="center"/>
          </w:tcPr>
          <w:p w14:paraId="631D6E7B">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highlight w:val="none"/>
              </w:rPr>
              <w:t>，按照报价由低到高的顺序排序。</w:t>
            </w:r>
          </w:p>
        </w:tc>
      </w:tr>
      <w:tr w14:paraId="463E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1596DB26">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noWrap w:val="0"/>
            <w:vAlign w:val="center"/>
          </w:tcPr>
          <w:p w14:paraId="0D2D809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052" w:type="dxa"/>
            <w:gridSpan w:val="2"/>
            <w:tcBorders>
              <w:left w:val="single" w:color="auto" w:sz="4" w:space="0"/>
            </w:tcBorders>
            <w:noWrap w:val="0"/>
            <w:vAlign w:val="center"/>
          </w:tcPr>
          <w:p w14:paraId="69C17C4F">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中标候选人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中标候选人</w:t>
            </w:r>
            <w:r>
              <w:rPr>
                <w:rFonts w:hint="eastAsia" w:ascii="宋体" w:hAnsi="宋体"/>
                <w:color w:val="auto"/>
                <w:kern w:val="0"/>
                <w:highlight w:val="none"/>
              </w:rPr>
              <w:t>，依次类推。</w:t>
            </w:r>
          </w:p>
          <w:p w14:paraId="1CFEFA04">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w:t>
            </w:r>
            <w:r>
              <w:rPr>
                <w:rFonts w:hint="eastAsia" w:ascii="宋体" w:hAnsi="宋体"/>
                <w:color w:val="auto"/>
                <w:kern w:val="0"/>
                <w:highlight w:val="none"/>
                <w:lang w:eastAsia="zh-CN"/>
              </w:rPr>
              <w:t>否决投标</w:t>
            </w:r>
            <w:r>
              <w:rPr>
                <w:rFonts w:hint="eastAsia" w:ascii="宋体" w:hAnsi="宋体"/>
                <w:color w:val="auto"/>
                <w:kern w:val="0"/>
                <w:highlight w:val="none"/>
              </w:rPr>
              <w:t>处理。</w:t>
            </w:r>
          </w:p>
        </w:tc>
      </w:tr>
      <w:tr w14:paraId="7F48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33DB6E4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noWrap w:val="0"/>
            <w:vAlign w:val="center"/>
          </w:tcPr>
          <w:p w14:paraId="52C18964">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noWrap w:val="0"/>
            <w:vAlign w:val="center"/>
          </w:tcPr>
          <w:p w14:paraId="6E00EAF2">
            <w:pPr>
              <w:autoSpaceDE w:val="0"/>
              <w:autoSpaceDN w:val="0"/>
              <w:adjustRightInd w:val="0"/>
              <w:snapToGrid w:val="0"/>
              <w:spacing w:line="400" w:lineRule="exact"/>
              <w:rPr>
                <w:rFonts w:ascii="宋体" w:hAnsi="宋体" w:cs="宋体"/>
                <w:b w:val="0"/>
                <w:bCs/>
                <w:color w:val="auto"/>
                <w:kern w:val="0"/>
                <w:highlight w:val="none"/>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p>
        </w:tc>
        <w:tc>
          <w:tcPr>
            <w:tcW w:w="3785" w:type="dxa"/>
            <w:tcBorders>
              <w:top w:val="single" w:color="auto" w:sz="4" w:space="0"/>
              <w:left w:val="single" w:color="auto" w:sz="4" w:space="0"/>
            </w:tcBorders>
            <w:noWrap w:val="0"/>
            <w:vAlign w:val="center"/>
          </w:tcPr>
          <w:p w14:paraId="1A970B0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18EA1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EA97670">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2053CFEE">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2DC98E2C">
            <w:pPr>
              <w:snapToGrid w:val="0"/>
              <w:spacing w:line="400" w:lineRule="exact"/>
              <w:jc w:val="left"/>
              <w:rPr>
                <w:rFonts w:ascii="宋体" w:hAnsi="宋体" w:cs="宋体"/>
                <w:b w:val="0"/>
                <w:bCs/>
                <w:color w:val="auto"/>
                <w:kern w:val="0"/>
                <w:highlight w:val="none"/>
              </w:rPr>
            </w:pPr>
            <w:r>
              <w:rPr>
                <w:rFonts w:hint="eastAsia" w:ascii="宋体" w:hAnsi="宋体" w:cs="宋体"/>
                <w:b w:val="0"/>
                <w:bCs/>
                <w:color w:val="auto"/>
                <w:kern w:val="0"/>
                <w:highlight w:val="none"/>
                <w:lang w:val="en-US" w:eastAsia="zh-CN"/>
              </w:rPr>
              <w:t>质量及保供</w:t>
            </w:r>
            <w:r>
              <w:rPr>
                <w:rFonts w:hint="eastAsia" w:ascii="宋体" w:hAnsi="宋体" w:cs="宋体"/>
                <w:b w:val="0"/>
                <w:bCs/>
                <w:color w:val="auto"/>
                <w:kern w:val="0"/>
                <w:highlight w:val="none"/>
              </w:rPr>
              <w:t>要求</w:t>
            </w:r>
          </w:p>
        </w:tc>
        <w:tc>
          <w:tcPr>
            <w:tcW w:w="3785" w:type="dxa"/>
            <w:tcBorders>
              <w:top w:val="single" w:color="auto" w:sz="4" w:space="0"/>
              <w:left w:val="single" w:color="auto" w:sz="4" w:space="0"/>
            </w:tcBorders>
            <w:noWrap w:val="0"/>
            <w:vAlign w:val="center"/>
          </w:tcPr>
          <w:p w14:paraId="75991827">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olor w:val="auto"/>
                <w:kern w:val="0"/>
                <w:highlight w:val="none"/>
                <w:lang w:eastAsia="zh-CN"/>
              </w:rPr>
              <w:t>符合第二章“</w:t>
            </w:r>
            <w:r>
              <w:rPr>
                <w:rFonts w:hint="eastAsia" w:ascii="宋体" w:hAnsi="宋体"/>
                <w:color w:val="auto"/>
                <w:kern w:val="0"/>
                <w:highlight w:val="none"/>
                <w:lang w:val="en-US" w:eastAsia="zh-CN"/>
              </w:rPr>
              <w:t>投标人</w:t>
            </w:r>
            <w:r>
              <w:rPr>
                <w:rFonts w:hint="eastAsia" w:ascii="宋体" w:hAnsi="宋体"/>
                <w:color w:val="auto"/>
                <w:kern w:val="0"/>
                <w:highlight w:val="none"/>
                <w:lang w:eastAsia="zh-CN"/>
              </w:rPr>
              <w:t>须知”第1.4.1项规定。</w:t>
            </w:r>
          </w:p>
        </w:tc>
      </w:tr>
      <w:tr w14:paraId="4E36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9E3AEAF">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542956D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245221A9">
            <w:pPr>
              <w:snapToGrid w:val="0"/>
              <w:spacing w:line="400" w:lineRule="exact"/>
              <w:jc w:val="left"/>
              <w:rPr>
                <w:rFonts w:ascii="宋体" w:hAnsi="宋体" w:cs="宋体"/>
                <w:b w:val="0"/>
                <w:bCs/>
                <w:color w:val="auto"/>
                <w:kern w:val="0"/>
                <w:highlight w:val="none"/>
              </w:rPr>
            </w:pP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p>
        </w:tc>
        <w:tc>
          <w:tcPr>
            <w:tcW w:w="3785" w:type="dxa"/>
            <w:tcBorders>
              <w:top w:val="single" w:color="auto" w:sz="4" w:space="0"/>
              <w:left w:val="single" w:color="auto" w:sz="4" w:space="0"/>
            </w:tcBorders>
            <w:noWrap w:val="0"/>
            <w:vAlign w:val="center"/>
          </w:tcPr>
          <w:p w14:paraId="3F3354F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45135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D820173">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76D2C1B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36BAF1D4">
            <w:pPr>
              <w:snapToGrid w:val="0"/>
              <w:spacing w:line="400" w:lineRule="exact"/>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p>
        </w:tc>
        <w:tc>
          <w:tcPr>
            <w:tcW w:w="3785" w:type="dxa"/>
            <w:tcBorders>
              <w:top w:val="single" w:color="auto" w:sz="4" w:space="0"/>
              <w:left w:val="single" w:color="auto" w:sz="4" w:space="0"/>
            </w:tcBorders>
            <w:noWrap w:val="0"/>
            <w:vAlign w:val="center"/>
          </w:tcPr>
          <w:p w14:paraId="60D1D84F">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DE1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04249D4">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1554D2A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5FBBD887">
            <w:pPr>
              <w:snapToGrid w:val="0"/>
              <w:spacing w:after="78" w:afterLines="25"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日投标资格情况</w:t>
            </w:r>
          </w:p>
        </w:tc>
        <w:tc>
          <w:tcPr>
            <w:tcW w:w="3785" w:type="dxa"/>
            <w:tcBorders>
              <w:top w:val="single" w:color="auto" w:sz="4" w:space="0"/>
              <w:left w:val="single" w:color="auto" w:sz="4" w:space="0"/>
            </w:tcBorders>
            <w:noWrap w:val="0"/>
            <w:vAlign w:val="center"/>
          </w:tcPr>
          <w:p w14:paraId="061424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89A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243" w:type="dxa"/>
            <w:vMerge w:val="continue"/>
            <w:tcBorders>
              <w:right w:val="single" w:color="auto" w:sz="4" w:space="0"/>
            </w:tcBorders>
            <w:noWrap w:val="0"/>
            <w:vAlign w:val="center"/>
          </w:tcPr>
          <w:p w14:paraId="3EF0AC4A">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EF6500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7D0C87D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3785" w:type="dxa"/>
            <w:tcBorders>
              <w:top w:val="single" w:color="auto" w:sz="4" w:space="0"/>
              <w:left w:val="single" w:color="auto" w:sz="4" w:space="0"/>
            </w:tcBorders>
            <w:noWrap w:val="0"/>
            <w:vAlign w:val="center"/>
          </w:tcPr>
          <w:p w14:paraId="63B4DC09">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E98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0A958FA">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14:paraId="26107F8C">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noWrap w:val="0"/>
            <w:vAlign w:val="center"/>
          </w:tcPr>
          <w:p w14:paraId="73B63B1F">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名称</w:t>
            </w:r>
          </w:p>
        </w:tc>
        <w:tc>
          <w:tcPr>
            <w:tcW w:w="3785" w:type="dxa"/>
            <w:tcBorders>
              <w:left w:val="single" w:color="auto" w:sz="4" w:space="0"/>
            </w:tcBorders>
            <w:noWrap w:val="0"/>
            <w:vAlign w:val="center"/>
          </w:tcPr>
          <w:p w14:paraId="339CDB4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14:paraId="1D65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98661B0">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14:paraId="3C25B34A">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55CB1EAF">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投标函</w:t>
            </w:r>
            <w:r>
              <w:rPr>
                <w:rFonts w:hint="eastAsia" w:ascii="宋体" w:hAnsi="宋体" w:cs="宋体"/>
                <w:color w:val="auto"/>
                <w:kern w:val="0"/>
                <w:highlight w:val="none"/>
              </w:rPr>
              <w:t>签字盖章</w:t>
            </w:r>
          </w:p>
        </w:tc>
        <w:tc>
          <w:tcPr>
            <w:tcW w:w="3785" w:type="dxa"/>
            <w:tcBorders>
              <w:left w:val="single" w:color="auto" w:sz="4" w:space="0"/>
            </w:tcBorders>
            <w:noWrap w:val="0"/>
            <w:vAlign w:val="center"/>
          </w:tcPr>
          <w:p w14:paraId="27BBC044">
            <w:pPr>
              <w:snapToGrid w:val="0"/>
              <w:spacing w:line="400" w:lineRule="exact"/>
              <w:rPr>
                <w:rFonts w:hint="eastAsia" w:ascii="宋体" w:hAnsi="宋体" w:cs="宋体"/>
                <w:color w:val="auto"/>
                <w:kern w:val="0"/>
                <w:highlight w:val="none"/>
              </w:rPr>
            </w:pPr>
            <w:r>
              <w:rPr>
                <w:rFonts w:hint="eastAsia" w:ascii="宋体" w:hAnsi="宋体" w:cs="宋体"/>
                <w:color w:val="auto"/>
                <w:kern w:val="0"/>
                <w:highlight w:val="none"/>
              </w:rPr>
              <w:t>有法定代表人或其委托代理人签字（或盖章）、加盖单位公章。</w:t>
            </w:r>
          </w:p>
        </w:tc>
      </w:tr>
      <w:tr w14:paraId="553B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2BF3867">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3E781EAF">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07C1FA1C">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w:t>
            </w:r>
          </w:p>
        </w:tc>
        <w:tc>
          <w:tcPr>
            <w:tcW w:w="3785" w:type="dxa"/>
            <w:tcBorders>
              <w:left w:val="single" w:color="auto" w:sz="4" w:space="0"/>
            </w:tcBorders>
            <w:noWrap w:val="0"/>
            <w:vAlign w:val="center"/>
          </w:tcPr>
          <w:p w14:paraId="0707769D">
            <w:pPr>
              <w:snapToGrid w:val="0"/>
              <w:spacing w:line="400" w:lineRule="exact"/>
              <w:ind w:firstLine="380" w:firstLineChars="181"/>
              <w:rPr>
                <w:rFonts w:hint="eastAsia" w:ascii="宋体" w:hAnsi="宋体" w:cs="宋体"/>
                <w:color w:val="auto"/>
                <w:kern w:val="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格式”的要求。</w:t>
            </w:r>
          </w:p>
          <w:p w14:paraId="5D0A2A50">
            <w:pPr>
              <w:snapToGrid w:val="0"/>
              <w:spacing w:line="400" w:lineRule="exact"/>
              <w:ind w:firstLine="380" w:firstLineChars="181"/>
              <w:rPr>
                <w:rFonts w:hint="eastAsia" w:ascii="宋体" w:hAnsi="宋体" w:cs="宋体"/>
                <w:color w:val="auto"/>
                <w:kern w:val="0"/>
                <w:highlight w:val="none"/>
              </w:rPr>
            </w:pPr>
          </w:p>
        </w:tc>
      </w:tr>
      <w:tr w14:paraId="6174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A717DDA">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6168B77">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35F338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3785" w:type="dxa"/>
            <w:tcBorders>
              <w:left w:val="single" w:color="auto" w:sz="4" w:space="0"/>
            </w:tcBorders>
            <w:noWrap w:val="0"/>
            <w:vAlign w:val="center"/>
          </w:tcPr>
          <w:p w14:paraId="1A22840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招标</w:t>
            </w:r>
            <w:r>
              <w:rPr>
                <w:rFonts w:hint="eastAsia" w:ascii="宋体" w:hAnsi="宋体" w:cs="宋体"/>
                <w:color w:val="auto"/>
                <w:kern w:val="0"/>
                <w:highlight w:val="none"/>
              </w:rPr>
              <w:t>文件没有规定的情况下，不得提交选择性报价。</w:t>
            </w:r>
          </w:p>
        </w:tc>
      </w:tr>
      <w:tr w14:paraId="2625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FD51A8A">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025386BD">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73E57B41">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的签署</w:t>
            </w:r>
          </w:p>
        </w:tc>
        <w:tc>
          <w:tcPr>
            <w:tcW w:w="3785" w:type="dxa"/>
            <w:tcBorders>
              <w:left w:val="single" w:color="auto" w:sz="4" w:space="0"/>
            </w:tcBorders>
            <w:noWrap w:val="0"/>
            <w:vAlign w:val="center"/>
          </w:tcPr>
          <w:p w14:paraId="7E0E164E">
            <w:pPr>
              <w:autoSpaceDE w:val="0"/>
              <w:autoSpaceDN w:val="0"/>
              <w:adjustRightInd w:val="0"/>
              <w:snapToGrid w:val="0"/>
              <w:spacing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上法定代表人或其委托代理人的签字（或盖章）齐全。</w:t>
            </w:r>
          </w:p>
        </w:tc>
      </w:tr>
      <w:tr w14:paraId="385D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A846D45">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F70D689">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9176DD9">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3785" w:type="dxa"/>
            <w:tcBorders>
              <w:left w:val="single" w:color="auto" w:sz="4" w:space="0"/>
            </w:tcBorders>
            <w:noWrap w:val="0"/>
            <w:vAlign w:val="center"/>
          </w:tcPr>
          <w:p w14:paraId="3CD850C5">
            <w:pPr>
              <w:snapToGrid w:val="0"/>
              <w:spacing w:after="78" w:afterLines="25"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法定代表人的委托代理人有法定代表人签署的授权委托书和养老保险。</w:t>
            </w:r>
          </w:p>
        </w:tc>
      </w:tr>
      <w:tr w14:paraId="6ED4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4DA8D1D3">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noWrap w:val="0"/>
            <w:vAlign w:val="center"/>
          </w:tcPr>
          <w:p w14:paraId="4819514E">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noWrap w:val="0"/>
            <w:vAlign w:val="center"/>
          </w:tcPr>
          <w:p w14:paraId="0FED352C">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投标总报价</w:t>
            </w:r>
          </w:p>
        </w:tc>
        <w:tc>
          <w:tcPr>
            <w:tcW w:w="3785" w:type="dxa"/>
            <w:tcBorders>
              <w:left w:val="single" w:color="auto" w:sz="4" w:space="0"/>
            </w:tcBorders>
            <w:noWrap w:val="0"/>
            <w:vAlign w:val="center"/>
          </w:tcPr>
          <w:p w14:paraId="311B74C1">
            <w:pPr>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及综合单价不得高于</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人公布的</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最高限价及综合单价限价。</w:t>
            </w:r>
          </w:p>
          <w:p w14:paraId="7BB973FB">
            <w:pPr>
              <w:spacing w:line="400" w:lineRule="exact"/>
              <w:ind w:firstLine="420" w:firstLineChars="200"/>
              <w:jc w:val="left"/>
              <w:rPr>
                <w:rFonts w:hint="eastAsia" w:ascii="宋体" w:hAnsi="宋体" w:cs="宋体"/>
                <w:color w:val="auto"/>
                <w:kern w:val="0"/>
                <w:highlight w:val="none"/>
              </w:rPr>
            </w:pPr>
            <w:r>
              <w:rPr>
                <w:rFonts w:hint="eastAsia" w:ascii="宋体" w:hAnsi="宋体" w:cs="宋体"/>
                <w:color w:val="auto"/>
                <w:szCs w:val="21"/>
                <w:highlight w:val="none"/>
              </w:rPr>
              <w:t>2.</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低于最高限价85%的，</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应在编制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时，在</w:t>
            </w:r>
            <w:r>
              <w:rPr>
                <w:rFonts w:hint="eastAsia" w:ascii="宋体" w:hAnsi="宋体"/>
                <w:color w:val="auto"/>
                <w:spacing w:val="4"/>
                <w:kern w:val="0"/>
                <w:szCs w:val="21"/>
                <w:highlight w:val="none"/>
                <w:lang w:val="en-US" w:eastAsia="zh-CN"/>
              </w:rPr>
              <w:t>投标函部分</w:t>
            </w:r>
            <w:r>
              <w:rPr>
                <w:rFonts w:hint="eastAsia" w:ascii="宋体" w:hAnsi="宋体" w:cs="宋体"/>
                <w:color w:val="auto"/>
                <w:szCs w:val="21"/>
                <w:highlight w:val="none"/>
              </w:rPr>
              <w:t>中递交低价风险担保缴纳承诺书。</w:t>
            </w:r>
          </w:p>
        </w:tc>
      </w:tr>
      <w:tr w14:paraId="0FDF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505F1E5">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B8A2679">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66B5CB16">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投标内容</w:t>
            </w:r>
          </w:p>
        </w:tc>
        <w:tc>
          <w:tcPr>
            <w:tcW w:w="3785" w:type="dxa"/>
            <w:tcBorders>
              <w:left w:val="single" w:color="auto" w:sz="4" w:space="0"/>
            </w:tcBorders>
            <w:noWrap w:val="0"/>
            <w:vAlign w:val="center"/>
          </w:tcPr>
          <w:p w14:paraId="7BC478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须知”第1.3.1项规定</w:t>
            </w:r>
          </w:p>
        </w:tc>
      </w:tr>
      <w:tr w14:paraId="4629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7470DE3">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11E892A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550E904">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服务期限</w:t>
            </w:r>
          </w:p>
        </w:tc>
        <w:tc>
          <w:tcPr>
            <w:tcW w:w="3785" w:type="dxa"/>
            <w:tcBorders>
              <w:left w:val="single" w:color="auto" w:sz="4" w:space="0"/>
            </w:tcBorders>
            <w:noWrap w:val="0"/>
            <w:vAlign w:val="center"/>
          </w:tcPr>
          <w:p w14:paraId="7BAD2D6D">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须知”第1.3.2项规定</w:t>
            </w:r>
          </w:p>
        </w:tc>
      </w:tr>
      <w:tr w14:paraId="6E8A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51A8653">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933A843">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170E190">
            <w:pPr>
              <w:snapToGrid w:val="0"/>
              <w:spacing w:line="400" w:lineRule="exact"/>
              <w:jc w:val="left"/>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质量</w:t>
            </w:r>
            <w:r>
              <w:rPr>
                <w:rFonts w:hint="eastAsia" w:ascii="宋体" w:hAnsi="宋体" w:cs="宋体"/>
                <w:color w:val="auto"/>
                <w:kern w:val="0"/>
                <w:highlight w:val="none"/>
                <w:lang w:val="en-US" w:eastAsia="zh-CN"/>
              </w:rPr>
              <w:t>要求</w:t>
            </w:r>
          </w:p>
        </w:tc>
        <w:tc>
          <w:tcPr>
            <w:tcW w:w="3785" w:type="dxa"/>
            <w:tcBorders>
              <w:left w:val="single" w:color="auto" w:sz="4" w:space="0"/>
            </w:tcBorders>
            <w:noWrap w:val="0"/>
            <w:vAlign w:val="center"/>
          </w:tcPr>
          <w:p w14:paraId="092D5C39">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须知”第1.3.3项规定</w:t>
            </w:r>
          </w:p>
        </w:tc>
      </w:tr>
      <w:tr w14:paraId="743D7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84C1107">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7517BE75">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7D1917E">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投标有效期</w:t>
            </w:r>
          </w:p>
        </w:tc>
        <w:tc>
          <w:tcPr>
            <w:tcW w:w="3785" w:type="dxa"/>
            <w:tcBorders>
              <w:left w:val="single" w:color="auto" w:sz="4" w:space="0"/>
            </w:tcBorders>
            <w:noWrap w:val="0"/>
            <w:vAlign w:val="center"/>
          </w:tcPr>
          <w:p w14:paraId="153106A4">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须知”第3.3.1项规定</w:t>
            </w:r>
          </w:p>
        </w:tc>
      </w:tr>
      <w:tr w14:paraId="09690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9AF31DC">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5EFB910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E1181A9">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投标保证金</w:t>
            </w:r>
          </w:p>
        </w:tc>
        <w:tc>
          <w:tcPr>
            <w:tcW w:w="3785" w:type="dxa"/>
            <w:tcBorders>
              <w:left w:val="single" w:color="auto" w:sz="4" w:space="0"/>
            </w:tcBorders>
            <w:noWrap w:val="0"/>
            <w:vAlign w:val="center"/>
          </w:tcPr>
          <w:p w14:paraId="2F2F0AC1">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须知前附表”第3.4款规定。</w:t>
            </w:r>
          </w:p>
        </w:tc>
      </w:tr>
      <w:tr w14:paraId="6746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AAA6740">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C1636F2">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699FC3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3785" w:type="dxa"/>
            <w:tcBorders>
              <w:left w:val="single" w:color="auto" w:sz="4" w:space="0"/>
            </w:tcBorders>
            <w:noWrap w:val="0"/>
            <w:vAlign w:val="center"/>
          </w:tcPr>
          <w:p w14:paraId="6A26742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不应附有</w:t>
            </w:r>
            <w:r>
              <w:rPr>
                <w:rFonts w:hint="eastAsia" w:ascii="宋体" w:hAnsi="宋体" w:cs="宋体"/>
                <w:color w:val="auto"/>
                <w:kern w:val="0"/>
                <w:highlight w:val="none"/>
                <w:lang w:eastAsia="zh-CN"/>
              </w:rPr>
              <w:t>招标</w:t>
            </w:r>
            <w:r>
              <w:rPr>
                <w:rFonts w:hint="eastAsia" w:ascii="宋体" w:hAnsi="宋体" w:cs="宋体"/>
                <w:color w:val="auto"/>
                <w:kern w:val="0"/>
                <w:highlight w:val="none"/>
              </w:rPr>
              <w:t>人不能接受的条件。</w:t>
            </w:r>
          </w:p>
        </w:tc>
      </w:tr>
      <w:tr w14:paraId="69CC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08B2774">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01F1A38B">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1224F19">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投标报价</w:t>
            </w:r>
            <w:r>
              <w:rPr>
                <w:rFonts w:hint="eastAsia" w:ascii="宋体" w:hAnsi="宋体" w:cs="宋体"/>
                <w:color w:val="auto"/>
                <w:kern w:val="0"/>
                <w:highlight w:val="none"/>
              </w:rPr>
              <w:t>算术错误修正</w:t>
            </w:r>
          </w:p>
        </w:tc>
        <w:tc>
          <w:tcPr>
            <w:tcW w:w="3785" w:type="dxa"/>
            <w:tcBorders>
              <w:left w:val="single" w:color="auto" w:sz="4" w:space="0"/>
            </w:tcBorders>
            <w:noWrap w:val="0"/>
            <w:vAlign w:val="center"/>
          </w:tcPr>
          <w:p w14:paraId="0B365C7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符合第三章3.评标程序第3.1项规定。</w:t>
            </w:r>
          </w:p>
        </w:tc>
      </w:tr>
      <w:tr w14:paraId="7F5C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490FE966">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noWrap w:val="0"/>
            <w:vAlign w:val="center"/>
          </w:tcPr>
          <w:p w14:paraId="71823B38">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113789C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3785" w:type="dxa"/>
            <w:tcBorders>
              <w:left w:val="single" w:color="auto" w:sz="4" w:space="0"/>
            </w:tcBorders>
            <w:noWrap w:val="0"/>
            <w:vAlign w:val="center"/>
          </w:tcPr>
          <w:p w14:paraId="0DD4E1DA">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项规定。</w:t>
            </w:r>
          </w:p>
          <w:p w14:paraId="06D4848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不得有涉嫌串通投标、弄虚作假等其他违反招投标相关法律、法规行为。</w:t>
            </w:r>
          </w:p>
        </w:tc>
      </w:tr>
      <w:tr w14:paraId="495B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33117A96">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14:paraId="3897A87D">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052" w:type="dxa"/>
            <w:gridSpan w:val="2"/>
            <w:tcBorders>
              <w:left w:val="single" w:color="auto" w:sz="4" w:space="0"/>
            </w:tcBorders>
            <w:noWrap w:val="0"/>
            <w:vAlign w:val="center"/>
          </w:tcPr>
          <w:p w14:paraId="73B12608">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，按照报价由低到高的顺序排序</w:t>
            </w:r>
          </w:p>
          <w:p w14:paraId="613CC638">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2.取报价排序前</w:t>
            </w:r>
            <w:r>
              <w:rPr>
                <w:rFonts w:hint="eastAsia" w:ascii="宋体" w:hAnsi="宋体"/>
                <w:color w:val="auto"/>
                <w:kern w:val="0"/>
                <w:szCs w:val="21"/>
                <w:highlight w:val="none"/>
                <w:lang w:eastAsia="zh-CN"/>
              </w:rPr>
              <w:sym w:font="Wingdings 2" w:char="0052"/>
            </w:r>
            <w:r>
              <w:rPr>
                <w:rFonts w:hint="eastAsia" w:ascii="宋体" w:hAnsi="宋体"/>
                <w:color w:val="auto"/>
                <w:kern w:val="0"/>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szCs w:val="21"/>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，依次类推。</w:t>
            </w:r>
          </w:p>
          <w:p w14:paraId="069AFFA0">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中标候选人</w:t>
            </w:r>
            <w:r>
              <w:rPr>
                <w:rFonts w:hint="eastAsia" w:ascii="宋体" w:hAnsi="宋体"/>
                <w:color w:val="auto"/>
                <w:kern w:val="0"/>
                <w:szCs w:val="21"/>
                <w:highlight w:val="none"/>
              </w:rPr>
              <w:t>，则评标委员会对剩余</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，或者评审完所有</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w:t>
            </w:r>
          </w:p>
          <w:p w14:paraId="7E813A1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w:t>
            </w:r>
            <w:r>
              <w:rPr>
                <w:rFonts w:hint="eastAsia" w:ascii="宋体" w:hAnsi="宋体"/>
                <w:color w:val="auto"/>
                <w:kern w:val="0"/>
                <w:szCs w:val="21"/>
                <w:highlight w:val="none"/>
                <w:lang w:eastAsia="zh-CN"/>
              </w:rPr>
              <w:t>否决投标</w:t>
            </w:r>
            <w:r>
              <w:rPr>
                <w:rFonts w:hint="eastAsia" w:ascii="宋体" w:hAnsi="宋体"/>
                <w:color w:val="auto"/>
                <w:kern w:val="0"/>
                <w:szCs w:val="21"/>
                <w:highlight w:val="none"/>
              </w:rPr>
              <w:t>处理，导致有效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不足三个的，评标委员会应当否决</w:t>
            </w:r>
            <w:r>
              <w:rPr>
                <w:rFonts w:hint="eastAsia" w:ascii="宋体" w:hAnsi="宋体"/>
                <w:color w:val="auto"/>
                <w:kern w:val="0"/>
                <w:szCs w:val="21"/>
                <w:highlight w:val="none"/>
                <w:lang w:eastAsia="zh-CN"/>
              </w:rPr>
              <w:t>所有投标</w:t>
            </w:r>
            <w:r>
              <w:rPr>
                <w:rFonts w:hint="eastAsia" w:ascii="宋体" w:hAnsi="宋体"/>
                <w:color w:val="auto"/>
                <w:kern w:val="0"/>
                <w:szCs w:val="21"/>
                <w:highlight w:val="none"/>
              </w:rPr>
              <w:t>。但是有效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文件要求的，评标委员会可以继续评标并确定中标候选人。</w:t>
            </w:r>
          </w:p>
          <w:p w14:paraId="27E06ECC">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kern w:val="0"/>
                <w:szCs w:val="21"/>
                <w:highlight w:val="none"/>
              </w:rPr>
              <w:t>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rPr>
              <w:t>原则排序。</w:t>
            </w:r>
          </w:p>
        </w:tc>
      </w:tr>
      <w:tr w14:paraId="4C8D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00267144">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14:paraId="4869195D">
            <w:pPr>
              <w:spacing w:line="400" w:lineRule="exact"/>
              <w:jc w:val="center"/>
              <w:rPr>
                <w:rFonts w:ascii="宋体" w:hAnsi="宋体"/>
                <w:color w:val="auto"/>
                <w:highlight w:val="none"/>
              </w:rPr>
            </w:pPr>
            <w:r>
              <w:rPr>
                <w:rFonts w:ascii="宋体" w:hAnsi="宋体"/>
                <w:color w:val="auto"/>
                <w:highlight w:val="none"/>
              </w:rPr>
              <w:t>评标结果</w:t>
            </w:r>
          </w:p>
        </w:tc>
        <w:tc>
          <w:tcPr>
            <w:tcW w:w="6052" w:type="dxa"/>
            <w:gridSpan w:val="2"/>
            <w:tcBorders>
              <w:left w:val="single" w:color="auto" w:sz="4" w:space="0"/>
            </w:tcBorders>
            <w:noWrap w:val="0"/>
            <w:vAlign w:val="center"/>
          </w:tcPr>
          <w:p w14:paraId="0236F4EA">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中标人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中标候选人</w:t>
            </w:r>
            <w:r>
              <w:rPr>
                <w:rFonts w:ascii="宋体" w:hAnsi="宋体"/>
                <w:color w:val="auto"/>
                <w:kern w:val="0"/>
                <w:szCs w:val="21"/>
                <w:highlight w:val="none"/>
              </w:rPr>
              <w:t>。</w:t>
            </w:r>
          </w:p>
          <w:p w14:paraId="3CEA51A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人</w:t>
            </w:r>
            <w:r>
              <w:rPr>
                <w:rFonts w:ascii="宋体" w:hAnsi="宋体"/>
                <w:color w:val="auto"/>
                <w:kern w:val="0"/>
                <w:szCs w:val="21"/>
                <w:highlight w:val="none"/>
              </w:rPr>
              <w:t>提交书面评标报告。</w:t>
            </w:r>
          </w:p>
        </w:tc>
      </w:tr>
    </w:tbl>
    <w:p w14:paraId="2DD02A94">
      <w:pPr>
        <w:pStyle w:val="3"/>
        <w:spacing w:before="0" w:after="0" w:line="360" w:lineRule="auto"/>
        <w:outlineLvl w:val="9"/>
        <w:rPr>
          <w:rFonts w:ascii="宋体" w:hAnsi="宋体" w:cs="宋体"/>
          <w:color w:val="auto"/>
          <w:szCs w:val="21"/>
          <w:highlight w:val="none"/>
        </w:rPr>
      </w:pPr>
      <w:r>
        <w:rPr>
          <w:rFonts w:ascii="宋体" w:hAnsi="宋体"/>
          <w:bCs w:val="0"/>
          <w:snapToGrid w:val="0"/>
          <w:color w:val="auto"/>
          <w:highlight w:val="none"/>
        </w:rPr>
        <w:br w:type="page"/>
      </w:r>
    </w:p>
    <w:p w14:paraId="52C1FF5F">
      <w:pPr>
        <w:pStyle w:val="3"/>
        <w:spacing w:before="0" w:after="0" w:line="360" w:lineRule="auto"/>
        <w:rPr>
          <w:rFonts w:ascii="宋体" w:hAnsi="宋体"/>
          <w:bCs w:val="0"/>
          <w:snapToGrid w:val="0"/>
          <w:color w:val="auto"/>
          <w:highlight w:val="none"/>
        </w:rPr>
      </w:pPr>
      <w:bookmarkStart w:id="523" w:name="_Toc30775"/>
      <w:bookmarkStart w:id="524" w:name="_Toc9223"/>
      <w:bookmarkStart w:id="525" w:name="_Toc27983289"/>
      <w:r>
        <w:rPr>
          <w:rFonts w:ascii="宋体" w:hAnsi="宋体"/>
          <w:b w:val="0"/>
          <w:snapToGrid w:val="0"/>
          <w:color w:val="auto"/>
          <w:highlight w:val="none"/>
        </w:rPr>
        <w:t>1.  评标方法</w:t>
      </w:r>
      <w:bookmarkEnd w:id="523"/>
      <w:bookmarkEnd w:id="524"/>
      <w:bookmarkEnd w:id="525"/>
    </w:p>
    <w:p w14:paraId="76CD7F15">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highlight w:val="none"/>
        </w:rPr>
        <w:t>中按报价由低到高推荐</w:t>
      </w:r>
      <w:r>
        <w:rPr>
          <w:rFonts w:hint="eastAsia" w:ascii="宋体" w:hAnsi="宋体"/>
          <w:color w:val="auto"/>
          <w:highlight w:val="none"/>
          <w:lang w:eastAsia="zh-CN"/>
        </w:rPr>
        <w:t>中标候选人</w:t>
      </w:r>
      <w:r>
        <w:rPr>
          <w:rFonts w:hint="eastAsia" w:ascii="宋体" w:hAnsi="宋体"/>
          <w:color w:val="auto"/>
          <w:highlight w:val="none"/>
        </w:rPr>
        <w:t>，或根据</w:t>
      </w:r>
      <w:r>
        <w:rPr>
          <w:rFonts w:hint="eastAsia" w:ascii="宋体" w:hAnsi="宋体"/>
          <w:color w:val="auto"/>
          <w:highlight w:val="none"/>
          <w:lang w:eastAsia="zh-CN"/>
        </w:rPr>
        <w:t>招标</w:t>
      </w:r>
      <w:r>
        <w:rPr>
          <w:rFonts w:hint="eastAsia" w:ascii="宋体" w:hAnsi="宋体"/>
          <w:color w:val="auto"/>
          <w:highlight w:val="none"/>
        </w:rPr>
        <w:t>人授权直接确定</w:t>
      </w:r>
      <w:r>
        <w:rPr>
          <w:rFonts w:hint="eastAsia" w:ascii="宋体" w:hAnsi="宋体"/>
          <w:color w:val="auto"/>
          <w:highlight w:val="none"/>
          <w:lang w:eastAsia="zh-CN"/>
        </w:rPr>
        <w:t>中标人</w:t>
      </w:r>
      <w:r>
        <w:rPr>
          <w:rFonts w:hint="eastAsia" w:ascii="宋体" w:hAnsi="宋体"/>
          <w:color w:val="auto"/>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highlight w:val="none"/>
        </w:rPr>
        <w:t>相同的，以评标办法前附表约定的原则确定排序。</w:t>
      </w:r>
    </w:p>
    <w:p w14:paraId="287FF02C">
      <w:pPr>
        <w:pStyle w:val="3"/>
        <w:spacing w:before="0" w:after="0" w:line="360" w:lineRule="auto"/>
        <w:rPr>
          <w:rFonts w:ascii="宋体" w:hAnsi="宋体"/>
          <w:b w:val="0"/>
          <w:snapToGrid w:val="0"/>
          <w:color w:val="auto"/>
          <w:highlight w:val="none"/>
        </w:rPr>
      </w:pPr>
      <w:bookmarkStart w:id="526" w:name="_Toc31441"/>
      <w:bookmarkStart w:id="527" w:name="_Toc13704"/>
      <w:bookmarkStart w:id="528" w:name="_Toc27983290"/>
      <w:r>
        <w:rPr>
          <w:rFonts w:ascii="宋体" w:hAnsi="宋体"/>
          <w:b w:val="0"/>
          <w:snapToGrid w:val="0"/>
          <w:color w:val="auto"/>
          <w:highlight w:val="none"/>
        </w:rPr>
        <w:t>2.  评审标准</w:t>
      </w:r>
      <w:bookmarkEnd w:id="526"/>
      <w:bookmarkEnd w:id="527"/>
      <w:bookmarkEnd w:id="528"/>
    </w:p>
    <w:p w14:paraId="4E0E32B9">
      <w:pPr>
        <w:pStyle w:val="4"/>
        <w:spacing w:before="0" w:after="0" w:line="360" w:lineRule="auto"/>
        <w:rPr>
          <w:rFonts w:ascii="宋体" w:hAnsi="宋体" w:cs="宋体"/>
          <w:color w:val="auto"/>
          <w:sz w:val="21"/>
          <w:szCs w:val="21"/>
          <w:highlight w:val="none"/>
        </w:rPr>
      </w:pPr>
      <w:bookmarkStart w:id="529" w:name="_Toc27983291"/>
      <w:bookmarkStart w:id="530" w:name="_Toc171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29"/>
      <w:bookmarkEnd w:id="530"/>
    </w:p>
    <w:p w14:paraId="20AF72B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4BDD5BE4">
      <w:pPr>
        <w:pStyle w:val="4"/>
        <w:spacing w:before="0" w:after="0" w:line="360" w:lineRule="auto"/>
        <w:rPr>
          <w:rFonts w:ascii="宋体" w:hAnsi="宋体" w:cs="宋体"/>
          <w:color w:val="auto"/>
          <w:sz w:val="21"/>
          <w:szCs w:val="21"/>
          <w:highlight w:val="none"/>
        </w:rPr>
      </w:pPr>
      <w:bookmarkStart w:id="531" w:name="_Toc27983292"/>
      <w:bookmarkStart w:id="532" w:name="_Toc18763"/>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31"/>
      <w:bookmarkEnd w:id="532"/>
    </w:p>
    <w:p w14:paraId="74779737">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取报价排序前</w:t>
      </w:r>
      <w:r>
        <w:rPr>
          <w:rFonts w:hint="eastAsia" w:ascii="宋体" w:hAnsi="宋体" w:cs="宋体"/>
          <w:color w:val="auto"/>
          <w:szCs w:val="21"/>
          <w:highlight w:val="none"/>
          <w:lang w:eastAsia="zh-CN"/>
        </w:rPr>
        <w:t>☑</w:t>
      </w:r>
      <w:r>
        <w:rPr>
          <w:rFonts w:hint="eastAsia" w:ascii="宋体" w:hAnsi="宋体" w:cs="宋体"/>
          <w:color w:val="auto"/>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w:t>
      </w:r>
    </w:p>
    <w:p w14:paraId="230ED215">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79E1FC6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008B6B8">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3580CDC6">
      <w:pPr>
        <w:pStyle w:val="3"/>
        <w:spacing w:before="0" w:after="0" w:line="360" w:lineRule="auto"/>
        <w:rPr>
          <w:rFonts w:ascii="宋体" w:hAnsi="宋体"/>
          <w:b w:val="0"/>
          <w:snapToGrid w:val="0"/>
          <w:color w:val="auto"/>
          <w:highlight w:val="none"/>
        </w:rPr>
      </w:pPr>
      <w:bookmarkStart w:id="533" w:name="_Toc27983293"/>
      <w:bookmarkStart w:id="534" w:name="_Toc2529"/>
      <w:bookmarkStart w:id="535" w:name="_Toc17371"/>
      <w:r>
        <w:rPr>
          <w:rFonts w:ascii="宋体" w:hAnsi="宋体"/>
          <w:b w:val="0"/>
          <w:snapToGrid w:val="0"/>
          <w:color w:val="auto"/>
          <w:highlight w:val="none"/>
        </w:rPr>
        <w:t>3.  评标程序</w:t>
      </w:r>
      <w:bookmarkEnd w:id="533"/>
      <w:bookmarkEnd w:id="534"/>
      <w:bookmarkEnd w:id="535"/>
    </w:p>
    <w:p w14:paraId="74B722D9">
      <w:pPr>
        <w:pStyle w:val="4"/>
        <w:spacing w:before="0" w:after="0" w:line="360" w:lineRule="auto"/>
        <w:rPr>
          <w:rFonts w:ascii="宋体" w:hAnsi="宋体" w:cs="宋体"/>
          <w:color w:val="auto"/>
          <w:sz w:val="21"/>
          <w:szCs w:val="21"/>
          <w:highlight w:val="none"/>
        </w:rPr>
      </w:pPr>
      <w:bookmarkStart w:id="536" w:name="_Toc27983294"/>
      <w:bookmarkStart w:id="537" w:name="_Toc15789"/>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36"/>
      <w:bookmarkEnd w:id="537"/>
    </w:p>
    <w:p w14:paraId="49D8A19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的投标文件，按照报价由低到高的顺序排序。</w:t>
      </w:r>
    </w:p>
    <w:p w14:paraId="66CD311F">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当投标报价有算术错误时，评标委员会按以下原则对</w:t>
      </w:r>
      <w:r>
        <w:rPr>
          <w:rFonts w:hint="eastAsia" w:ascii="宋体" w:hAnsi="宋体"/>
          <w:color w:val="auto"/>
          <w:spacing w:val="4"/>
          <w:kern w:val="0"/>
          <w:szCs w:val="21"/>
          <w:highlight w:val="none"/>
          <w:lang w:val="en-US" w:eastAsia="zh-CN"/>
        </w:rPr>
        <w:t>投标报价</w:t>
      </w:r>
      <w:r>
        <w:rPr>
          <w:rFonts w:hint="eastAsia" w:ascii="宋体" w:hAnsi="宋体" w:cs="宋体"/>
          <w:color w:val="auto"/>
          <w:szCs w:val="21"/>
          <w:highlight w:val="none"/>
        </w:rPr>
        <w:t>进行修正，修正的价格经</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书面确认后具有约束力，修正原则如下：</w:t>
      </w:r>
    </w:p>
    <w:p w14:paraId="75EE6B5A">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中的大写金额与小写金额不一致的，以大写金额为准；</w:t>
      </w:r>
    </w:p>
    <w:p w14:paraId="3B424760">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②总价金额与依据单价计算出的结果不一致的，以单价金额为准修正总价（但单价金额小数点有明显错误的除外）；单价金额小数点有明显错误的，以总价为准，对单价予以修正；</w:t>
      </w:r>
    </w:p>
    <w:p w14:paraId="209E732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文件规定的其他关于修正的要求。</w:t>
      </w:r>
    </w:p>
    <w:p w14:paraId="42C5F111">
      <w:pPr>
        <w:pStyle w:val="4"/>
        <w:spacing w:before="0" w:after="0" w:line="360" w:lineRule="auto"/>
        <w:rPr>
          <w:rFonts w:ascii="宋体" w:hAnsi="宋体" w:cs="宋体"/>
          <w:color w:val="auto"/>
          <w:sz w:val="21"/>
          <w:szCs w:val="21"/>
          <w:highlight w:val="none"/>
        </w:rPr>
      </w:pPr>
      <w:bookmarkStart w:id="538" w:name="_Toc13714"/>
      <w:bookmarkStart w:id="539" w:name="_Toc27983295"/>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38"/>
      <w:bookmarkEnd w:id="539"/>
    </w:p>
    <w:p w14:paraId="100B7181">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进行符合性审查。符合性审查顺序：资格评审、形式评审、响应性评审。</w:t>
      </w:r>
    </w:p>
    <w:p w14:paraId="409A21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w:t>
      </w:r>
      <w:r>
        <w:rPr>
          <w:rFonts w:hint="eastAsia" w:ascii="宋体" w:hAnsi="宋体" w:cs="宋体"/>
          <w:color w:val="auto"/>
          <w:szCs w:val="21"/>
          <w:highlight w:val="none"/>
          <w:lang w:eastAsia="zh-CN"/>
        </w:rPr>
        <w:t>否决投标</w:t>
      </w:r>
      <w:r>
        <w:rPr>
          <w:rFonts w:hint="eastAsia" w:ascii="宋体" w:hAnsi="宋体" w:cs="宋体"/>
          <w:color w:val="auto"/>
          <w:szCs w:val="21"/>
          <w:highlight w:val="none"/>
        </w:rPr>
        <w:t>处理。</w:t>
      </w:r>
    </w:p>
    <w:p w14:paraId="3ACA71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将被否决：</w:t>
      </w:r>
    </w:p>
    <w:p w14:paraId="232451AB">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须知”第1.4.</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53AF8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）串通投标或弄虚作假或有其他违法行为的</w:t>
      </w:r>
      <w:r>
        <w:rPr>
          <w:rFonts w:hint="eastAsia" w:ascii="宋体" w:hAnsi="宋体" w:cs="宋体"/>
          <w:color w:val="auto"/>
          <w:szCs w:val="21"/>
          <w:highlight w:val="none"/>
        </w:rPr>
        <w:t>。</w:t>
      </w:r>
    </w:p>
    <w:p w14:paraId="7B7F330E">
      <w:pPr>
        <w:pStyle w:val="4"/>
        <w:spacing w:before="0" w:after="0" w:line="360" w:lineRule="auto"/>
        <w:rPr>
          <w:rFonts w:ascii="宋体" w:hAnsi="宋体" w:cs="宋体"/>
          <w:color w:val="auto"/>
          <w:sz w:val="21"/>
          <w:szCs w:val="21"/>
          <w:highlight w:val="none"/>
        </w:rPr>
      </w:pPr>
      <w:bookmarkStart w:id="540" w:name="_Toc30770"/>
      <w:bookmarkStart w:id="541" w:name="_Toc2798329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的澄清和补正</w:t>
      </w:r>
      <w:bookmarkEnd w:id="540"/>
      <w:bookmarkEnd w:id="541"/>
    </w:p>
    <w:p w14:paraId="4C0CBC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对所提交</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主动提出的澄清、说明或补正。</w:t>
      </w:r>
    </w:p>
    <w:p w14:paraId="4C871C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的书面澄清、说明和补正属于投标文件的组成部分。</w:t>
      </w:r>
    </w:p>
    <w:p w14:paraId="5C823A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提交的澄清、说明或补正有疑问的，可以要求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进一步澄清、说明或补正，直至满足评标委员会的要求。</w:t>
      </w:r>
    </w:p>
    <w:p w14:paraId="2D14EDFC">
      <w:pPr>
        <w:pStyle w:val="4"/>
        <w:spacing w:before="0" w:after="0" w:line="360" w:lineRule="auto"/>
        <w:rPr>
          <w:rFonts w:ascii="宋体" w:hAnsi="宋体" w:cs="宋体"/>
          <w:color w:val="auto"/>
          <w:sz w:val="21"/>
          <w:szCs w:val="21"/>
          <w:highlight w:val="none"/>
        </w:rPr>
      </w:pPr>
      <w:bookmarkStart w:id="542" w:name="_Toc479262406"/>
      <w:bookmarkStart w:id="543" w:name="_Toc27983297"/>
      <w:bookmarkStart w:id="544" w:name="_Toc17623"/>
      <w:bookmarkStart w:id="545"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42"/>
      <w:bookmarkEnd w:id="543"/>
      <w:bookmarkEnd w:id="544"/>
      <w:bookmarkEnd w:id="545"/>
    </w:p>
    <w:p w14:paraId="5F905FA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外，评标委员会按经评审的最低投标价法推荐</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w:t>
      </w:r>
    </w:p>
    <w:p w14:paraId="7C946E62">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人提交书面评标报告和</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名单。</w:t>
      </w:r>
    </w:p>
    <w:p w14:paraId="6A82CC0F">
      <w:pPr>
        <w:spacing w:before="0" w:after="0" w:line="240" w:lineRule="auto"/>
        <w:jc w:val="left"/>
        <w:outlineLvl w:val="9"/>
        <w:rPr>
          <w:rFonts w:ascii="宋体" w:hAnsi="宋体"/>
          <w:b/>
          <w:bCs/>
          <w:color w:val="auto"/>
          <w:kern w:val="28"/>
          <w:sz w:val="28"/>
          <w:szCs w:val="28"/>
          <w:highlight w:val="none"/>
        </w:rPr>
      </w:pPr>
      <w:r>
        <w:rPr>
          <w:rFonts w:hint="eastAsia" w:ascii="宋体"/>
          <w:color w:val="auto"/>
          <w:kern w:val="0"/>
          <w:highlight w:val="none"/>
        </w:rPr>
        <w:br w:type="page"/>
      </w:r>
      <w:r>
        <w:rPr>
          <w:rFonts w:hint="eastAsia" w:ascii="宋体"/>
          <w:color w:val="auto"/>
          <w:kern w:val="0"/>
          <w:highlight w:val="none"/>
          <w:lang w:val="en-US" w:eastAsia="zh-CN"/>
        </w:rPr>
        <w:t xml:space="preserve">                               </w:t>
      </w:r>
      <w:r>
        <w:rPr>
          <w:rFonts w:hint="eastAsia" w:ascii="宋体" w:hAnsi="宋体"/>
          <w:b/>
          <w:bCs/>
          <w:color w:val="auto"/>
          <w:kern w:val="28"/>
          <w:sz w:val="28"/>
          <w:szCs w:val="28"/>
          <w:highlight w:val="none"/>
        </w:rPr>
        <w:t>否决投标情况一览表</w:t>
      </w:r>
    </w:p>
    <w:p w14:paraId="3681F034">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本次招标将所有资格审查标准以及评标标准（或方法）等在此集中，未集中的其他内容均不得作为评标依据或</w:t>
      </w:r>
      <w:r>
        <w:rPr>
          <w:rFonts w:ascii="宋体" w:hAnsi="宋体"/>
          <w:bCs/>
          <w:color w:val="auto"/>
          <w:kern w:val="28"/>
          <w:sz w:val="24"/>
          <w:szCs w:val="32"/>
          <w:highlight w:val="none"/>
        </w:rPr>
        <w:t>否决投标依据</w:t>
      </w:r>
      <w:r>
        <w:rPr>
          <w:rFonts w:hint="eastAsia" w:ascii="宋体" w:hAnsi="宋体"/>
          <w:bCs/>
          <w:color w:val="auto"/>
          <w:kern w:val="28"/>
          <w:sz w:val="24"/>
          <w:szCs w:val="32"/>
          <w:highlight w:val="none"/>
        </w:rPr>
        <w:t>。</w:t>
      </w:r>
    </w:p>
    <w:tbl>
      <w:tblPr>
        <w:tblStyle w:val="49"/>
        <w:tblW w:w="8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979"/>
        <w:gridCol w:w="5473"/>
      </w:tblGrid>
      <w:tr w14:paraId="3599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307" w:type="dxa"/>
            <w:vAlign w:val="center"/>
          </w:tcPr>
          <w:p w14:paraId="536C6C9D">
            <w:pPr>
              <w:spacing w:line="276" w:lineRule="auto"/>
              <w:jc w:val="center"/>
              <w:rPr>
                <w:rFonts w:ascii="宋体" w:hAnsi="宋体"/>
                <w:b/>
                <w:color w:val="auto"/>
                <w:szCs w:val="21"/>
                <w:highlight w:val="none"/>
              </w:rPr>
            </w:pPr>
            <w:r>
              <w:rPr>
                <w:rFonts w:hint="eastAsia" w:ascii="宋体" w:hAnsi="宋体"/>
                <w:b/>
                <w:color w:val="auto"/>
                <w:szCs w:val="21"/>
                <w:highlight w:val="none"/>
              </w:rPr>
              <w:t>招标文件章节号</w:t>
            </w:r>
          </w:p>
        </w:tc>
        <w:tc>
          <w:tcPr>
            <w:tcW w:w="1979" w:type="dxa"/>
            <w:vAlign w:val="center"/>
          </w:tcPr>
          <w:p w14:paraId="5C4762C3">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5473" w:type="dxa"/>
            <w:vAlign w:val="center"/>
          </w:tcPr>
          <w:p w14:paraId="68260984">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14:paraId="3A12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trPr>
        <w:tc>
          <w:tcPr>
            <w:tcW w:w="1307" w:type="dxa"/>
            <w:vAlign w:val="center"/>
          </w:tcPr>
          <w:p w14:paraId="10A288DA">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1979" w:type="dxa"/>
            <w:vAlign w:val="center"/>
          </w:tcPr>
          <w:p w14:paraId="58A6E282">
            <w:pPr>
              <w:snapToGrid w:val="0"/>
              <w:spacing w:line="276" w:lineRule="auto"/>
              <w:jc w:val="center"/>
              <w:rPr>
                <w:rFonts w:hint="eastAsia" w:ascii="宋体" w:hAnsi="宋体" w:eastAsia="宋体" w:cs="宋体"/>
                <w:color w:val="auto"/>
                <w:kern w:val="0"/>
                <w:szCs w:val="21"/>
                <w:highlight w:val="none"/>
                <w:lang w:eastAsia="zh-CN"/>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质量及保供</w:t>
            </w:r>
            <w:r>
              <w:rPr>
                <w:rFonts w:hint="eastAsia" w:ascii="宋体" w:hAnsi="宋体"/>
                <w:b w:val="0"/>
                <w:bCs/>
                <w:color w:val="auto"/>
                <w:szCs w:val="21"/>
                <w:highlight w:val="none"/>
                <w:lang w:eastAsia="zh-CN"/>
              </w:rPr>
              <w:t>要求</w:t>
            </w:r>
            <w:r>
              <w:rPr>
                <w:rFonts w:hint="eastAsia" w:ascii="宋体" w:hAnsi="宋体"/>
                <w:snapToGrid w:val="0"/>
                <w:color w:val="auto"/>
                <w:kern w:val="0"/>
                <w:szCs w:val="21"/>
                <w:highlight w:val="none"/>
                <w:lang w:eastAsia="zh-CN"/>
              </w:rPr>
              <w:t>、</w:t>
            </w: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质量能力要求、</w:t>
            </w: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w:t>
            </w:r>
            <w:r>
              <w:rPr>
                <w:rFonts w:hint="eastAsia" w:ascii="宋体" w:hAnsi="宋体" w:cs="宋体"/>
                <w:color w:val="auto"/>
                <w:szCs w:val="21"/>
                <w:highlight w:val="none"/>
                <w:lang w:eastAsia="zh-CN"/>
              </w:rPr>
              <w:t>、</w:t>
            </w:r>
            <w:r>
              <w:rPr>
                <w:rFonts w:hint="eastAsia" w:ascii="宋体" w:hAnsi="宋体" w:cs="宋体"/>
                <w:color w:val="auto"/>
                <w:kern w:val="0"/>
                <w:highlight w:val="none"/>
              </w:rPr>
              <w:t>其他要求</w:t>
            </w:r>
          </w:p>
        </w:tc>
        <w:tc>
          <w:tcPr>
            <w:tcW w:w="5473" w:type="dxa"/>
            <w:vAlign w:val="center"/>
          </w:tcPr>
          <w:p w14:paraId="5E0854E0">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投标人须满足招标文件第二章投标人须知前附表1.4.1要求，否则投标文件按否决投标处理。</w:t>
            </w:r>
          </w:p>
        </w:tc>
      </w:tr>
      <w:tr w14:paraId="53E9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454C6FC6">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74EC6B03">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1979" w:type="dxa"/>
            <w:vAlign w:val="center"/>
          </w:tcPr>
          <w:p w14:paraId="4ADC1F92">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5473" w:type="dxa"/>
            <w:tcBorders>
              <w:top w:val="single" w:color="auto" w:sz="4" w:space="0"/>
            </w:tcBorders>
            <w:vAlign w:val="center"/>
          </w:tcPr>
          <w:p w14:paraId="4BDF2B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14:paraId="39BC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2" w:hRule="atLeast"/>
        </w:trPr>
        <w:tc>
          <w:tcPr>
            <w:tcW w:w="1307" w:type="dxa"/>
            <w:vAlign w:val="center"/>
          </w:tcPr>
          <w:p w14:paraId="49406A9C">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4A9E57EB">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1979" w:type="dxa"/>
            <w:vAlign w:val="center"/>
          </w:tcPr>
          <w:p w14:paraId="00D4AFB6">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473" w:type="dxa"/>
            <w:tcBorders>
              <w:top w:val="single" w:color="auto" w:sz="4" w:space="0"/>
            </w:tcBorders>
            <w:vAlign w:val="center"/>
          </w:tcPr>
          <w:p w14:paraId="28E6D2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投标人的投标报价不得超过本项目相应的招标最高限价，否则投标文件按否决投标处理。</w:t>
            </w:r>
          </w:p>
          <w:p w14:paraId="3125B2F9">
            <w:pPr>
              <w:spacing w:line="360" w:lineRule="auto"/>
              <w:ind w:firstLine="420" w:firstLineChars="200"/>
              <w:rPr>
                <w:rFonts w:hint="eastAsia" w:ascii="宋体" w:hAnsi="宋体" w:cs="宋体"/>
                <w:color w:val="auto"/>
                <w:szCs w:val="21"/>
                <w:highlight w:val="none"/>
                <w:u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p w14:paraId="6876CFAC">
            <w:pPr>
              <w:spacing w:line="360" w:lineRule="auto"/>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为限制不平衡报价，单个项目报价不得高于最高限价</w:t>
            </w:r>
            <w:r>
              <w:rPr>
                <w:rFonts w:hint="eastAsia" w:ascii="宋体" w:hAnsi="宋体" w:cs="宋体"/>
                <w:color w:val="auto"/>
                <w:szCs w:val="21"/>
                <w:highlight w:val="none"/>
                <w:u w:val="none"/>
                <w:lang w:eastAsia="zh-CN"/>
              </w:rPr>
              <w:t>，</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tc>
      </w:tr>
      <w:tr w14:paraId="28D12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6C6A6ED6">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1979" w:type="dxa"/>
            <w:vAlign w:val="center"/>
          </w:tcPr>
          <w:p w14:paraId="65E35819">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5473" w:type="dxa"/>
            <w:vAlign w:val="center"/>
          </w:tcPr>
          <w:p w14:paraId="3608D145">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rPr>
              <w:t>招标文件第二章投标人须知前附表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14:paraId="3929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0902E9F1">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3B8B5FF2">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1979" w:type="dxa"/>
            <w:vAlign w:val="center"/>
          </w:tcPr>
          <w:p w14:paraId="71A043E0">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5473" w:type="dxa"/>
            <w:vAlign w:val="center"/>
          </w:tcPr>
          <w:p w14:paraId="79FA0053">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14:paraId="55AEC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307" w:type="dxa"/>
            <w:vMerge w:val="restart"/>
            <w:vAlign w:val="center"/>
          </w:tcPr>
          <w:p w14:paraId="7AD4AAF6">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14:paraId="78BDFAC0">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979" w:type="dxa"/>
            <w:vAlign w:val="center"/>
          </w:tcPr>
          <w:p w14:paraId="3A6F8FF2">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5473" w:type="dxa"/>
            <w:vAlign w:val="center"/>
          </w:tcPr>
          <w:p w14:paraId="2F2E2FAD">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2</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14:paraId="3444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2" w:hRule="atLeast"/>
        </w:trPr>
        <w:tc>
          <w:tcPr>
            <w:tcW w:w="1307" w:type="dxa"/>
            <w:vMerge w:val="continue"/>
            <w:vAlign w:val="center"/>
          </w:tcPr>
          <w:p w14:paraId="66707CD1">
            <w:pPr>
              <w:spacing w:line="360" w:lineRule="auto"/>
              <w:jc w:val="center"/>
              <w:rPr>
                <w:rFonts w:ascii="宋体" w:hAnsi="宋体"/>
                <w:color w:val="auto"/>
                <w:szCs w:val="21"/>
                <w:highlight w:val="none"/>
              </w:rPr>
            </w:pPr>
          </w:p>
        </w:tc>
        <w:tc>
          <w:tcPr>
            <w:tcW w:w="1979" w:type="dxa"/>
            <w:vAlign w:val="center"/>
          </w:tcPr>
          <w:p w14:paraId="2AD0F6CF">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5473" w:type="dxa"/>
            <w:vAlign w:val="center"/>
          </w:tcPr>
          <w:p w14:paraId="1DB31F2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投标报价有算术错误的，评标委员会按</w:t>
            </w:r>
            <w:r>
              <w:rPr>
                <w:rFonts w:hint="eastAsia" w:ascii="宋体" w:hAnsi="宋体" w:cs="MingLiU"/>
                <w:color w:val="auto"/>
                <w:kern w:val="0"/>
                <w:szCs w:val="21"/>
                <w:highlight w:val="none"/>
              </w:rPr>
              <w:t>招标文件规定的</w:t>
            </w:r>
            <w:r>
              <w:rPr>
                <w:rFonts w:ascii="宋体" w:hAnsi="宋体"/>
                <w:color w:val="auto"/>
                <w:kern w:val="0"/>
                <w:szCs w:val="21"/>
                <w:highlight w:val="none"/>
              </w:rPr>
              <w:t>原则对投标报价进行修正，修正的价格经投标人书面确认后具有约束力。投标人</w:t>
            </w:r>
            <w:r>
              <w:rPr>
                <w:rFonts w:hint="eastAsia" w:ascii="宋体" w:hAnsi="宋体"/>
                <w:color w:val="auto"/>
                <w:kern w:val="0"/>
                <w:szCs w:val="21"/>
                <w:highlight w:val="none"/>
              </w:rPr>
              <w:t>拒绝</w:t>
            </w:r>
            <w:r>
              <w:rPr>
                <w:rFonts w:ascii="宋体" w:hAnsi="宋体"/>
                <w:color w:val="auto"/>
                <w:kern w:val="0"/>
                <w:szCs w:val="21"/>
                <w:highlight w:val="none"/>
              </w:rPr>
              <w:t>确认算术性修正后的报价或</w:t>
            </w:r>
            <w:r>
              <w:rPr>
                <w:rFonts w:hint="eastAsia" w:ascii="宋体" w:hAnsi="宋体"/>
                <w:color w:val="auto"/>
                <w:kern w:val="0"/>
                <w:szCs w:val="21"/>
                <w:highlight w:val="none"/>
              </w:rPr>
              <w:t>修正后的最终投标报价超过相应的项目最高限价和最高总限价</w:t>
            </w:r>
            <w:r>
              <w:rPr>
                <w:rFonts w:ascii="宋体" w:hAnsi="宋体"/>
                <w:color w:val="auto"/>
                <w:kern w:val="0"/>
                <w:szCs w:val="21"/>
                <w:highlight w:val="none"/>
              </w:rPr>
              <w:t>，</w:t>
            </w:r>
            <w:r>
              <w:rPr>
                <w:rFonts w:hint="eastAsia" w:ascii="宋体" w:hAnsi="宋体"/>
                <w:color w:val="auto"/>
                <w:kern w:val="0"/>
                <w:szCs w:val="21"/>
                <w:highlight w:val="none"/>
              </w:rPr>
              <w:t>评标委员会应否决其投标。</w:t>
            </w:r>
          </w:p>
        </w:tc>
      </w:tr>
      <w:tr w14:paraId="7EF5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1307" w:type="dxa"/>
            <w:vAlign w:val="center"/>
          </w:tcPr>
          <w:p w14:paraId="3E37C938">
            <w:pPr>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7452" w:type="dxa"/>
            <w:gridSpan w:val="2"/>
            <w:vAlign w:val="center"/>
          </w:tcPr>
          <w:p w14:paraId="35848905">
            <w:pPr>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bl>
    <w:p w14:paraId="6B5C99DA">
      <w:pPr>
        <w:pStyle w:val="3"/>
        <w:rPr>
          <w:rFonts w:hint="eastAsia"/>
          <w:color w:val="auto"/>
          <w:highlight w:val="none"/>
        </w:rPr>
      </w:pPr>
    </w:p>
    <w:p w14:paraId="534CF120">
      <w:pPr>
        <w:rPr>
          <w:color w:val="auto"/>
          <w:highlight w:val="none"/>
        </w:rPr>
      </w:pPr>
    </w:p>
    <w:p w14:paraId="13BA0254">
      <w:pPr>
        <w:pStyle w:val="2"/>
        <w:spacing w:line="360" w:lineRule="auto"/>
        <w:jc w:val="center"/>
        <w:rPr>
          <w:rFonts w:ascii="宋体" w:hAnsi="宋体"/>
          <w:color w:val="auto"/>
          <w:kern w:val="0"/>
          <w:highlight w:val="none"/>
        </w:rPr>
      </w:pPr>
      <w:bookmarkStart w:id="546" w:name="_Toc430530509"/>
      <w:bookmarkStart w:id="547" w:name="_Toc509218785"/>
      <w:bookmarkStart w:id="548" w:name="_Toc6468"/>
      <w:bookmarkStart w:id="549" w:name="_Toc20627"/>
      <w:r>
        <w:rPr>
          <w:rFonts w:hint="eastAsia" w:ascii="宋体" w:hAnsi="宋体"/>
          <w:color w:val="auto"/>
          <w:kern w:val="0"/>
          <w:highlight w:val="none"/>
        </w:rPr>
        <w:t>第四章  合同条款及格式</w:t>
      </w:r>
      <w:bookmarkEnd w:id="546"/>
      <w:bookmarkEnd w:id="547"/>
      <w:bookmarkEnd w:id="548"/>
      <w:bookmarkEnd w:id="549"/>
    </w:p>
    <w:p w14:paraId="4DD943CD">
      <w:pPr>
        <w:rPr>
          <w:rFonts w:ascii="宋体" w:hAnsi="宋体"/>
          <w:color w:val="auto"/>
          <w:sz w:val="44"/>
          <w:szCs w:val="44"/>
          <w:highlight w:val="none"/>
        </w:rPr>
      </w:pPr>
      <w:r>
        <w:rPr>
          <w:rFonts w:ascii="宋体" w:hAnsi="宋体"/>
          <w:color w:val="auto"/>
          <w:highlight w:val="none"/>
        </w:rPr>
        <w:br w:type="page"/>
      </w:r>
      <w:bookmarkStart w:id="550" w:name="_Toc351203480"/>
      <w:bookmarkStart w:id="551" w:name="_Toc296503025"/>
      <w:bookmarkStart w:id="552" w:name="_Toc296890982"/>
    </w:p>
    <w:p w14:paraId="2964F281">
      <w:pPr>
        <w:wordWrap w:val="0"/>
        <w:spacing w:line="400" w:lineRule="exact"/>
        <w:ind w:right="560"/>
        <w:rPr>
          <w:rFonts w:ascii="Times New Roman" w:hAnsi="Times New Roman" w:cs="Times New Roman"/>
          <w:b/>
          <w:sz w:val="28"/>
          <w:szCs w:val="28"/>
          <w:highlight w:val="none"/>
        </w:rPr>
      </w:pPr>
      <w:bookmarkStart w:id="553" w:name="_Toc4652"/>
      <w:bookmarkStart w:id="554" w:name="_Toc5094"/>
      <w:bookmarkStart w:id="555" w:name="_Toc351203632"/>
      <w:bookmarkStart w:id="556" w:name="_Toc5384"/>
      <w:bookmarkStart w:id="557" w:name="_Toc7044"/>
      <w:bookmarkStart w:id="558" w:name="_Toc6126"/>
      <w:bookmarkStart w:id="559" w:name="_Toc32184"/>
      <w:bookmarkStart w:id="560" w:name="_Toc17462"/>
      <w:r>
        <w:rPr>
          <w:rFonts w:hint="eastAsia" w:ascii="Times New Roman" w:hAnsi="Times New Roman" w:cs="Times New Roman"/>
          <w:b/>
          <w:sz w:val="28"/>
          <w:szCs w:val="28"/>
          <w:highlight w:val="none"/>
        </w:rPr>
        <w:t>合同编号：</w:t>
      </w:r>
    </w:p>
    <w:p w14:paraId="6F72E672">
      <w:pPr>
        <w:wordWrap w:val="0"/>
        <w:spacing w:line="400" w:lineRule="exact"/>
        <w:ind w:right="560"/>
        <w:rPr>
          <w:rFonts w:ascii="Times New Roman" w:hAnsi="Times New Roman" w:cs="Times New Roman"/>
          <w:b/>
          <w:sz w:val="28"/>
          <w:szCs w:val="28"/>
          <w:highlight w:val="none"/>
        </w:rPr>
      </w:pPr>
    </w:p>
    <w:p w14:paraId="635B38C6">
      <w:pPr>
        <w:spacing w:line="400" w:lineRule="exact"/>
        <w:jc w:val="center"/>
        <w:rPr>
          <w:rFonts w:ascii="Times New Roman" w:hAnsi="Times New Roman" w:cs="Times New Roman"/>
          <w:bCs/>
          <w:sz w:val="44"/>
          <w:szCs w:val="48"/>
          <w:highlight w:val="none"/>
          <w:u w:val="single"/>
        </w:rPr>
      </w:pPr>
    </w:p>
    <w:p w14:paraId="395177F9">
      <w:pPr>
        <w:spacing w:line="400" w:lineRule="exact"/>
        <w:jc w:val="center"/>
        <w:rPr>
          <w:rFonts w:ascii="Times New Roman" w:hAnsi="Times New Roman" w:cs="Times New Roman"/>
          <w:bCs/>
          <w:sz w:val="44"/>
          <w:szCs w:val="48"/>
          <w:highlight w:val="none"/>
          <w:u w:val="single"/>
        </w:rPr>
      </w:pPr>
    </w:p>
    <w:p w14:paraId="1184B376">
      <w:pPr>
        <w:spacing w:line="400" w:lineRule="exact"/>
        <w:jc w:val="center"/>
        <w:rPr>
          <w:rFonts w:ascii="Times New Roman" w:hAnsi="Times New Roman" w:cs="Times New Roman"/>
          <w:bCs/>
          <w:sz w:val="44"/>
          <w:szCs w:val="48"/>
          <w:highlight w:val="none"/>
          <w:u w:val="single"/>
        </w:rPr>
      </w:pPr>
    </w:p>
    <w:p w14:paraId="62D2414A">
      <w:pPr>
        <w:spacing w:line="400" w:lineRule="exact"/>
        <w:jc w:val="center"/>
        <w:rPr>
          <w:rFonts w:ascii="Times New Roman" w:hAnsi="Times New Roman" w:cs="Times New Roman"/>
          <w:bCs/>
          <w:sz w:val="44"/>
          <w:szCs w:val="48"/>
          <w:highlight w:val="none"/>
          <w:u w:val="single"/>
        </w:rPr>
      </w:pPr>
    </w:p>
    <w:p w14:paraId="3FD0E764">
      <w:pPr>
        <w:spacing w:line="400" w:lineRule="exact"/>
        <w:jc w:val="center"/>
        <w:rPr>
          <w:rFonts w:ascii="Times New Roman" w:hAnsi="Times New Roman" w:cs="Times New Roman"/>
          <w:bCs/>
          <w:sz w:val="44"/>
          <w:szCs w:val="48"/>
          <w:highlight w:val="none"/>
          <w:u w:val="single"/>
        </w:rPr>
      </w:pPr>
    </w:p>
    <w:p w14:paraId="7D92409E">
      <w:pPr>
        <w:spacing w:line="400" w:lineRule="exact"/>
        <w:jc w:val="center"/>
        <w:rPr>
          <w:rFonts w:ascii="Times New Roman" w:hAnsi="Times New Roman" w:cs="Times New Roman"/>
          <w:b/>
          <w:sz w:val="44"/>
          <w:szCs w:val="48"/>
          <w:highlight w:val="none"/>
        </w:rPr>
      </w:pPr>
      <w:r>
        <w:rPr>
          <w:rFonts w:hint="eastAsia" w:ascii="Times New Roman" w:hAnsi="Times New Roman" w:cs="Times New Roman"/>
          <w:bCs/>
          <w:sz w:val="24"/>
          <w:szCs w:val="24"/>
          <w:highlight w:val="none"/>
          <w:u w:val="single"/>
        </w:rPr>
        <w:t>（填写全称）</w:t>
      </w:r>
      <w:r>
        <w:rPr>
          <w:rFonts w:hint="eastAsia" w:ascii="Times New Roman" w:hAnsi="Times New Roman" w:cs="Times New Roman"/>
          <w:b/>
          <w:sz w:val="44"/>
          <w:szCs w:val="48"/>
          <w:highlight w:val="none"/>
        </w:rPr>
        <w:t>工程</w:t>
      </w:r>
    </w:p>
    <w:p w14:paraId="76FE306D">
      <w:pPr>
        <w:spacing w:line="400" w:lineRule="exact"/>
        <w:jc w:val="center"/>
        <w:rPr>
          <w:rFonts w:ascii="Times New Roman" w:hAnsi="Times New Roman" w:cs="Times New Roman"/>
          <w:b/>
          <w:sz w:val="36"/>
          <w:szCs w:val="24"/>
          <w:highlight w:val="none"/>
        </w:rPr>
      </w:pPr>
    </w:p>
    <w:p w14:paraId="02C869B9">
      <w:pPr>
        <w:spacing w:line="400" w:lineRule="exact"/>
        <w:jc w:val="center"/>
        <w:rPr>
          <w:rFonts w:ascii="Times New Roman" w:hAnsi="Times New Roman" w:cs="Times New Roman"/>
          <w:b/>
          <w:sz w:val="10"/>
          <w:szCs w:val="10"/>
          <w:highlight w:val="none"/>
        </w:rPr>
      </w:pPr>
      <w:r>
        <w:rPr>
          <w:rFonts w:hint="eastAsia" w:ascii="Times New Roman" w:hAnsi="Times New Roman" w:cs="Times New Roman"/>
          <w:b/>
          <w:sz w:val="36"/>
          <w:szCs w:val="24"/>
          <w:highlight w:val="none"/>
        </w:rPr>
        <w:t>钢材买卖合同</w:t>
      </w:r>
    </w:p>
    <w:p w14:paraId="23F1107C">
      <w:pPr>
        <w:spacing w:line="400" w:lineRule="exact"/>
        <w:jc w:val="center"/>
        <w:rPr>
          <w:rFonts w:ascii="Times New Roman" w:hAnsi="Times New Roman" w:cs="Times New Roman"/>
          <w:b/>
          <w:sz w:val="10"/>
          <w:szCs w:val="10"/>
          <w:highlight w:val="none"/>
        </w:rPr>
      </w:pPr>
    </w:p>
    <w:p w14:paraId="165B2491">
      <w:pPr>
        <w:spacing w:line="400" w:lineRule="exact"/>
        <w:ind w:firstLine="2873" w:firstLineChars="795"/>
        <w:rPr>
          <w:rFonts w:ascii="Times New Roman" w:hAnsi="Times New Roman" w:cs="Times New Roman"/>
          <w:b/>
          <w:sz w:val="36"/>
          <w:szCs w:val="24"/>
          <w:highlight w:val="none"/>
        </w:rPr>
      </w:pPr>
    </w:p>
    <w:p w14:paraId="4D76E8BC">
      <w:pPr>
        <w:spacing w:line="400" w:lineRule="exact"/>
        <w:ind w:firstLine="2873" w:firstLineChars="795"/>
        <w:rPr>
          <w:rFonts w:ascii="Times New Roman" w:hAnsi="Times New Roman" w:cs="Times New Roman"/>
          <w:b/>
          <w:sz w:val="36"/>
          <w:szCs w:val="24"/>
          <w:highlight w:val="none"/>
        </w:rPr>
      </w:pPr>
    </w:p>
    <w:p w14:paraId="4C48F523">
      <w:pPr>
        <w:spacing w:line="400" w:lineRule="exact"/>
        <w:ind w:firstLine="2873" w:firstLineChars="795"/>
        <w:rPr>
          <w:rFonts w:ascii="Times New Roman" w:hAnsi="Times New Roman" w:cs="Times New Roman"/>
          <w:b/>
          <w:sz w:val="36"/>
          <w:szCs w:val="24"/>
          <w:highlight w:val="none"/>
        </w:rPr>
      </w:pPr>
    </w:p>
    <w:p w14:paraId="14A7A23B">
      <w:pPr>
        <w:spacing w:line="400" w:lineRule="exact"/>
        <w:ind w:firstLine="2873" w:firstLineChars="795"/>
        <w:rPr>
          <w:rFonts w:ascii="Times New Roman" w:hAnsi="Times New Roman" w:cs="Times New Roman"/>
          <w:b/>
          <w:sz w:val="36"/>
          <w:szCs w:val="24"/>
          <w:highlight w:val="none"/>
        </w:rPr>
      </w:pPr>
    </w:p>
    <w:p w14:paraId="6639EA80">
      <w:pPr>
        <w:spacing w:line="400" w:lineRule="exact"/>
        <w:ind w:firstLine="2873" w:firstLineChars="795"/>
        <w:rPr>
          <w:rFonts w:ascii="Times New Roman" w:hAnsi="Times New Roman" w:cs="Times New Roman"/>
          <w:b/>
          <w:sz w:val="36"/>
          <w:szCs w:val="24"/>
          <w:highlight w:val="none"/>
        </w:rPr>
      </w:pPr>
    </w:p>
    <w:p w14:paraId="1294DE4E">
      <w:pPr>
        <w:spacing w:line="400" w:lineRule="exact"/>
        <w:ind w:firstLine="2873" w:firstLineChars="795"/>
        <w:rPr>
          <w:rFonts w:ascii="Times New Roman" w:hAnsi="Times New Roman" w:cs="Times New Roman"/>
          <w:b/>
          <w:sz w:val="36"/>
          <w:szCs w:val="24"/>
          <w:highlight w:val="none"/>
        </w:rPr>
      </w:pPr>
    </w:p>
    <w:p w14:paraId="557CAEC4">
      <w:pPr>
        <w:spacing w:line="400" w:lineRule="exact"/>
        <w:ind w:firstLine="2873" w:firstLineChars="795"/>
        <w:rPr>
          <w:rFonts w:ascii="Times New Roman" w:hAnsi="Times New Roman" w:cs="Times New Roman"/>
          <w:b/>
          <w:sz w:val="36"/>
          <w:szCs w:val="24"/>
          <w:highlight w:val="none"/>
        </w:rPr>
      </w:pPr>
    </w:p>
    <w:p w14:paraId="59CED150">
      <w:pPr>
        <w:spacing w:line="400" w:lineRule="exact"/>
        <w:ind w:firstLine="2873" w:firstLineChars="795"/>
        <w:rPr>
          <w:rFonts w:ascii="Times New Roman" w:hAnsi="Times New Roman" w:cs="Times New Roman"/>
          <w:b/>
          <w:sz w:val="36"/>
          <w:szCs w:val="24"/>
          <w:highlight w:val="none"/>
        </w:rPr>
      </w:pPr>
    </w:p>
    <w:p w14:paraId="6897BB22">
      <w:pPr>
        <w:spacing w:line="400" w:lineRule="exact"/>
        <w:ind w:firstLine="2873" w:firstLineChars="795"/>
        <w:rPr>
          <w:rFonts w:ascii="Times New Roman" w:hAnsi="Times New Roman" w:cs="Times New Roman"/>
          <w:b/>
          <w:sz w:val="36"/>
          <w:szCs w:val="24"/>
          <w:highlight w:val="none"/>
        </w:rPr>
      </w:pPr>
    </w:p>
    <w:p w14:paraId="5809ACF0">
      <w:pPr>
        <w:spacing w:line="400" w:lineRule="exact"/>
        <w:ind w:firstLine="2873" w:firstLineChars="795"/>
        <w:rPr>
          <w:rFonts w:ascii="Times New Roman" w:hAnsi="Times New Roman" w:cs="Times New Roman"/>
          <w:b/>
          <w:sz w:val="36"/>
          <w:szCs w:val="24"/>
          <w:highlight w:val="none"/>
        </w:rPr>
      </w:pPr>
    </w:p>
    <w:p w14:paraId="4FD2DEE0">
      <w:pPr>
        <w:spacing w:line="400" w:lineRule="exact"/>
        <w:ind w:firstLine="2873" w:firstLineChars="795"/>
        <w:rPr>
          <w:rFonts w:ascii="Times New Roman" w:hAnsi="Times New Roman" w:cs="Times New Roman"/>
          <w:b/>
          <w:sz w:val="36"/>
          <w:szCs w:val="24"/>
          <w:highlight w:val="none"/>
        </w:rPr>
      </w:pPr>
    </w:p>
    <w:p w14:paraId="5C9780AB">
      <w:pPr>
        <w:spacing w:line="400" w:lineRule="exact"/>
        <w:ind w:firstLine="2873" w:firstLineChars="795"/>
        <w:rPr>
          <w:rFonts w:ascii="Times New Roman" w:hAnsi="Times New Roman" w:cs="Times New Roman"/>
          <w:b/>
          <w:sz w:val="36"/>
          <w:szCs w:val="24"/>
          <w:highlight w:val="none"/>
        </w:rPr>
      </w:pPr>
    </w:p>
    <w:p w14:paraId="19552B33">
      <w:pPr>
        <w:spacing w:line="360" w:lineRule="auto"/>
        <w:jc w:val="left"/>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买方：</w:t>
      </w:r>
    </w:p>
    <w:p w14:paraId="5D457538">
      <w:pPr>
        <w:spacing w:line="360" w:lineRule="auto"/>
        <w:jc w:val="left"/>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卖方：</w:t>
      </w:r>
    </w:p>
    <w:p w14:paraId="25F3AD54">
      <w:pPr>
        <w:spacing w:line="360" w:lineRule="auto"/>
        <w:jc w:val="left"/>
        <w:rPr>
          <w:rFonts w:hint="eastAsia"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签订地点：</w:t>
      </w:r>
    </w:p>
    <w:p w14:paraId="002376B5">
      <w:pPr>
        <w:spacing w:line="360" w:lineRule="auto"/>
        <w:jc w:val="left"/>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签订时间：   年  月  日</w:t>
      </w:r>
    </w:p>
    <w:p w14:paraId="4D49A8C0">
      <w:pPr>
        <w:tabs>
          <w:tab w:val="left" w:pos="709"/>
        </w:tabs>
        <w:spacing w:line="440" w:lineRule="exact"/>
        <w:jc w:val="both"/>
        <w:rPr>
          <w:rFonts w:ascii="方正小标宋简体" w:hAnsi="宋体" w:eastAsia="方正小标宋简体" w:cs="Arial"/>
          <w:bCs/>
          <w:spacing w:val="60"/>
          <w:kern w:val="0"/>
          <w:sz w:val="36"/>
          <w:szCs w:val="36"/>
        </w:rPr>
      </w:pPr>
      <w:r>
        <w:rPr>
          <w:rFonts w:hint="eastAsia" w:ascii="方正小标宋简体" w:hAnsi="宋体" w:eastAsia="方正小标宋简体" w:cs="Arial"/>
          <w:bCs/>
          <w:spacing w:val="60"/>
          <w:kern w:val="0"/>
          <w:sz w:val="36"/>
          <w:szCs w:val="36"/>
        </w:rPr>
        <w:t xml:space="preserve">    </w:t>
      </w:r>
    </w:p>
    <w:p w14:paraId="50C853A9">
      <w:pPr>
        <w:tabs>
          <w:tab w:val="left" w:pos="709"/>
        </w:tabs>
        <w:spacing w:line="440" w:lineRule="exact"/>
        <w:jc w:val="center"/>
        <w:rPr>
          <w:rFonts w:ascii="方正小标宋简体" w:hAnsi="宋体" w:eastAsia="方正小标宋简体" w:cs="Arial"/>
          <w:bCs/>
          <w:spacing w:val="60"/>
          <w:kern w:val="0"/>
          <w:sz w:val="36"/>
          <w:szCs w:val="36"/>
        </w:rPr>
      </w:pPr>
    </w:p>
    <w:p w14:paraId="1DEAFC29">
      <w:pPr>
        <w:tabs>
          <w:tab w:val="left" w:pos="709"/>
        </w:tabs>
        <w:spacing w:line="440" w:lineRule="exact"/>
        <w:jc w:val="center"/>
        <w:rPr>
          <w:rFonts w:hint="eastAsia" w:ascii="方正小标宋简体" w:hAnsi="宋体" w:eastAsia="方正小标宋简体" w:cs="Arial"/>
          <w:bCs/>
          <w:spacing w:val="60"/>
          <w:kern w:val="0"/>
          <w:sz w:val="36"/>
          <w:szCs w:val="36"/>
        </w:rPr>
      </w:pPr>
    </w:p>
    <w:p w14:paraId="2871C428">
      <w:pPr>
        <w:tabs>
          <w:tab w:val="left" w:pos="709"/>
        </w:tabs>
        <w:spacing w:line="440" w:lineRule="exact"/>
        <w:jc w:val="center"/>
        <w:rPr>
          <w:rFonts w:hint="eastAsia" w:ascii="方正小标宋简体" w:hAnsi="宋体" w:eastAsia="方正小标宋简体" w:cs="Arial"/>
          <w:bCs/>
          <w:spacing w:val="60"/>
          <w:kern w:val="0"/>
          <w:sz w:val="36"/>
          <w:szCs w:val="36"/>
        </w:rPr>
      </w:pPr>
    </w:p>
    <w:p w14:paraId="7BFD56CC">
      <w:pPr>
        <w:tabs>
          <w:tab w:val="left" w:pos="709"/>
        </w:tabs>
        <w:spacing w:line="440" w:lineRule="exact"/>
        <w:jc w:val="center"/>
        <w:rPr>
          <w:rFonts w:hint="eastAsia" w:ascii="方正小标宋简体" w:hAnsi="宋体" w:eastAsia="方正小标宋简体" w:cs="Arial"/>
          <w:bCs/>
          <w:spacing w:val="60"/>
          <w:kern w:val="0"/>
          <w:sz w:val="36"/>
          <w:szCs w:val="36"/>
        </w:rPr>
      </w:pPr>
    </w:p>
    <w:p w14:paraId="425EC677">
      <w:pPr>
        <w:tabs>
          <w:tab w:val="left" w:pos="709"/>
        </w:tabs>
        <w:spacing w:line="440" w:lineRule="exact"/>
        <w:jc w:val="center"/>
        <w:rPr>
          <w:rFonts w:ascii="方正小标宋简体" w:hAnsi="宋体" w:eastAsia="方正小标宋简体" w:cs="Arial"/>
          <w:bCs/>
          <w:spacing w:val="60"/>
          <w:kern w:val="0"/>
          <w:sz w:val="36"/>
          <w:szCs w:val="36"/>
          <w:highlight w:val="none"/>
        </w:rPr>
      </w:pPr>
      <w:r>
        <w:rPr>
          <w:rFonts w:hint="eastAsia" w:ascii="方正小标宋简体" w:hAnsi="宋体" w:eastAsia="方正小标宋简体" w:cs="Arial"/>
          <w:bCs/>
          <w:spacing w:val="60"/>
          <w:kern w:val="0"/>
          <w:sz w:val="36"/>
          <w:szCs w:val="36"/>
          <w:highlight w:val="none"/>
        </w:rPr>
        <w:t>钢材买卖合同</w:t>
      </w:r>
    </w:p>
    <w:p w14:paraId="0F091F72">
      <w:pPr>
        <w:spacing w:line="440" w:lineRule="exact"/>
        <w:jc w:val="center"/>
        <w:rPr>
          <w:rFonts w:ascii="宋体" w:hAnsi="宋体" w:cs="宋体"/>
          <w:bCs/>
          <w:kern w:val="0"/>
          <w:sz w:val="24"/>
          <w:szCs w:val="24"/>
          <w:highlight w:val="none"/>
        </w:rPr>
      </w:pPr>
      <w:r>
        <w:rPr>
          <w:rFonts w:hint="eastAsia" w:ascii="宋体" w:hAnsi="宋体" w:cs="宋体"/>
          <w:bCs/>
          <w:kern w:val="0"/>
          <w:szCs w:val="21"/>
          <w:highlight w:val="none"/>
        </w:rPr>
        <w:t xml:space="preserve">                               </w:t>
      </w:r>
      <w:r>
        <w:rPr>
          <w:rFonts w:hint="eastAsia" w:ascii="宋体" w:hAnsi="宋体" w:cs="宋体"/>
          <w:bCs/>
          <w:kern w:val="0"/>
          <w:sz w:val="24"/>
          <w:szCs w:val="24"/>
          <w:highlight w:val="none"/>
        </w:rPr>
        <w:t xml:space="preserve">   </w:t>
      </w:r>
      <w:r>
        <w:rPr>
          <w:rFonts w:hint="eastAsia" w:ascii="宋体" w:hAnsi="宋体" w:cs="宋体"/>
          <w:bCs/>
          <w:color w:val="000000"/>
          <w:kern w:val="0"/>
          <w:sz w:val="24"/>
          <w:szCs w:val="24"/>
          <w:highlight w:val="none"/>
        </w:rPr>
        <w:t>合同编号：</w:t>
      </w:r>
    </w:p>
    <w:p w14:paraId="70AB50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4"/>
          <w:szCs w:val="24"/>
          <w:highlight w:val="none"/>
        </w:rPr>
      </w:pPr>
      <w:r>
        <w:rPr>
          <w:rFonts w:hint="eastAsia" w:ascii="宋体" w:hAnsi="宋体" w:eastAsia="宋体" w:cs="宋体"/>
          <w:b/>
          <w:bCs/>
          <w:kern w:val="0"/>
          <w:sz w:val="24"/>
          <w:szCs w:val="24"/>
          <w:highlight w:val="none"/>
        </w:rPr>
        <w:t>买方</w:t>
      </w:r>
      <w:r>
        <w:rPr>
          <w:rFonts w:hint="eastAsia" w:ascii="宋体" w:hAnsi="宋体" w:eastAsia="宋体" w:cs="宋体"/>
          <w:bCs/>
          <w:kern w:val="0"/>
          <w:sz w:val="24"/>
          <w:szCs w:val="24"/>
          <w:highlight w:val="none"/>
        </w:rPr>
        <w:t>：（以下简称</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甲方</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w:t>
      </w:r>
    </w:p>
    <w:p w14:paraId="51313D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4"/>
          <w:szCs w:val="24"/>
          <w:highlight w:val="none"/>
        </w:rPr>
      </w:pPr>
      <w:r>
        <w:rPr>
          <w:rFonts w:hint="eastAsia" w:ascii="宋体" w:hAnsi="宋体" w:eastAsia="宋体" w:cs="宋体"/>
          <w:b/>
          <w:bCs/>
          <w:kern w:val="0"/>
          <w:sz w:val="24"/>
          <w:szCs w:val="24"/>
          <w:highlight w:val="none"/>
        </w:rPr>
        <w:t>卖方</w:t>
      </w:r>
      <w:r>
        <w:rPr>
          <w:rFonts w:hint="eastAsia" w:ascii="宋体" w:hAnsi="宋体" w:eastAsia="宋体" w:cs="宋体"/>
          <w:bCs/>
          <w:kern w:val="0"/>
          <w:sz w:val="24"/>
          <w:szCs w:val="24"/>
          <w:highlight w:val="none"/>
        </w:rPr>
        <w:t>：（以下简称</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乙方</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w:t>
      </w:r>
    </w:p>
    <w:p w14:paraId="5AAEE7F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》及相关法律法规规定，在平等、自愿、公平和诚实信用的基础上，经双方协商一致，订立本合同。</w:t>
      </w:r>
    </w:p>
    <w:p w14:paraId="7F475511">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第一条 产品的名称、规格、数量、价格等</w:t>
      </w:r>
    </w:p>
    <w:tbl>
      <w:tblPr>
        <w:tblStyle w:val="4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751"/>
        <w:gridCol w:w="842"/>
        <w:gridCol w:w="409"/>
        <w:gridCol w:w="478"/>
        <w:gridCol w:w="1058"/>
        <w:gridCol w:w="1014"/>
        <w:gridCol w:w="1011"/>
        <w:gridCol w:w="876"/>
        <w:gridCol w:w="1024"/>
        <w:gridCol w:w="1339"/>
      </w:tblGrid>
      <w:tr w14:paraId="460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91"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11528A2F">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1" w:type="dxa"/>
            <w:tcBorders>
              <w:top w:val="single" w:color="auto" w:sz="4" w:space="0"/>
              <w:left w:val="single" w:color="auto" w:sz="4" w:space="0"/>
              <w:bottom w:val="single" w:color="auto" w:sz="4" w:space="0"/>
              <w:right w:val="single" w:color="auto" w:sz="4" w:space="0"/>
            </w:tcBorders>
            <w:vAlign w:val="center"/>
          </w:tcPr>
          <w:p w14:paraId="7A658D27">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物资名称</w:t>
            </w:r>
          </w:p>
        </w:tc>
        <w:tc>
          <w:tcPr>
            <w:tcW w:w="842" w:type="dxa"/>
            <w:tcBorders>
              <w:top w:val="single" w:color="auto" w:sz="4" w:space="0"/>
              <w:left w:val="single" w:color="auto" w:sz="4" w:space="0"/>
              <w:bottom w:val="single" w:color="auto" w:sz="4" w:space="0"/>
              <w:right w:val="single" w:color="auto" w:sz="4" w:space="0"/>
            </w:tcBorders>
            <w:vAlign w:val="center"/>
          </w:tcPr>
          <w:p w14:paraId="4B7DED5A">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规格</w:t>
            </w:r>
          </w:p>
          <w:p w14:paraId="791EF6B8">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w:t>
            </w:r>
          </w:p>
        </w:tc>
        <w:tc>
          <w:tcPr>
            <w:tcW w:w="409" w:type="dxa"/>
            <w:tcBorders>
              <w:top w:val="single" w:color="auto" w:sz="4" w:space="0"/>
              <w:left w:val="single" w:color="auto" w:sz="4" w:space="0"/>
              <w:bottom w:val="single" w:color="auto" w:sz="4" w:space="0"/>
              <w:right w:val="single" w:color="auto" w:sz="4" w:space="0"/>
            </w:tcBorders>
            <w:vAlign w:val="center"/>
          </w:tcPr>
          <w:p w14:paraId="69BD7EF1">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w:t>
            </w:r>
          </w:p>
        </w:tc>
        <w:tc>
          <w:tcPr>
            <w:tcW w:w="478" w:type="dxa"/>
            <w:tcBorders>
              <w:top w:val="single" w:color="auto" w:sz="4" w:space="0"/>
              <w:left w:val="single" w:color="auto" w:sz="4" w:space="0"/>
              <w:bottom w:val="single" w:color="auto" w:sz="4" w:space="0"/>
              <w:right w:val="single" w:color="auto" w:sz="4" w:space="0"/>
            </w:tcBorders>
            <w:vAlign w:val="center"/>
          </w:tcPr>
          <w:p w14:paraId="5A6F0C30">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c>
          <w:tcPr>
            <w:tcW w:w="1058" w:type="dxa"/>
            <w:tcBorders>
              <w:top w:val="single" w:color="auto" w:sz="4" w:space="0"/>
              <w:left w:val="single" w:color="auto" w:sz="4" w:space="0"/>
              <w:bottom w:val="single" w:color="auto" w:sz="4" w:space="0"/>
              <w:right w:val="single" w:color="auto" w:sz="4" w:space="0"/>
            </w:tcBorders>
            <w:vAlign w:val="center"/>
          </w:tcPr>
          <w:p w14:paraId="4AF9340A">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不含增值税单价（元</w:t>
            </w:r>
            <w:r>
              <w:rPr>
                <w:rFonts w:hint="eastAsia" w:ascii="宋体" w:hAnsi="宋体" w:eastAsia="宋体" w:cs="宋体"/>
                <w:bCs/>
                <w:sz w:val="24"/>
                <w:szCs w:val="24"/>
                <w:highlight w:val="none"/>
                <w:lang w:val="en-US" w:eastAsia="zh-CN"/>
              </w:rPr>
              <w:t>/吨</w:t>
            </w:r>
            <w:r>
              <w:rPr>
                <w:rFonts w:hint="eastAsia" w:ascii="宋体" w:hAnsi="宋体" w:eastAsia="宋体" w:cs="宋体"/>
                <w:bCs/>
                <w:sz w:val="24"/>
                <w:szCs w:val="24"/>
                <w:highlight w:val="none"/>
              </w:rPr>
              <w:t>）</w:t>
            </w:r>
          </w:p>
        </w:tc>
        <w:tc>
          <w:tcPr>
            <w:tcW w:w="1014" w:type="dxa"/>
            <w:tcBorders>
              <w:top w:val="single" w:color="auto" w:sz="4" w:space="0"/>
              <w:left w:val="single" w:color="auto" w:sz="4" w:space="0"/>
              <w:bottom w:val="single" w:color="auto" w:sz="4" w:space="0"/>
              <w:right w:val="single" w:color="auto" w:sz="4" w:space="0"/>
            </w:tcBorders>
            <w:vAlign w:val="center"/>
          </w:tcPr>
          <w:p w14:paraId="68E0C6C7">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不含增值税总价（元）</w:t>
            </w:r>
          </w:p>
        </w:tc>
        <w:tc>
          <w:tcPr>
            <w:tcW w:w="1011" w:type="dxa"/>
            <w:tcBorders>
              <w:top w:val="single" w:color="auto" w:sz="4" w:space="0"/>
              <w:left w:val="single" w:color="auto" w:sz="4" w:space="0"/>
              <w:bottom w:val="single" w:color="auto" w:sz="4" w:space="0"/>
              <w:right w:val="single" w:color="auto" w:sz="4" w:space="0"/>
            </w:tcBorders>
            <w:vAlign w:val="center"/>
          </w:tcPr>
          <w:p w14:paraId="50F8AD94">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含增值税单价（元</w:t>
            </w:r>
            <w:r>
              <w:rPr>
                <w:rFonts w:hint="eastAsia" w:ascii="宋体" w:hAnsi="宋体" w:eastAsia="宋体" w:cs="宋体"/>
                <w:bCs/>
                <w:sz w:val="24"/>
                <w:szCs w:val="24"/>
                <w:highlight w:val="none"/>
                <w:lang w:val="en-US" w:eastAsia="zh-CN"/>
              </w:rPr>
              <w:t>/吨</w:t>
            </w:r>
            <w:r>
              <w:rPr>
                <w:rFonts w:hint="eastAsia" w:ascii="宋体" w:hAnsi="宋体" w:eastAsia="宋体" w:cs="宋体"/>
                <w:bCs/>
                <w:sz w:val="24"/>
                <w:szCs w:val="24"/>
                <w:highlight w:val="none"/>
              </w:rPr>
              <w:t>）</w:t>
            </w:r>
          </w:p>
        </w:tc>
        <w:tc>
          <w:tcPr>
            <w:tcW w:w="876" w:type="dxa"/>
            <w:tcBorders>
              <w:top w:val="single" w:color="auto" w:sz="4" w:space="0"/>
              <w:left w:val="single" w:color="auto" w:sz="4" w:space="0"/>
              <w:bottom w:val="single" w:color="auto" w:sz="4" w:space="0"/>
              <w:right w:val="single" w:color="auto" w:sz="4" w:space="0"/>
            </w:tcBorders>
          </w:tcPr>
          <w:p w14:paraId="21FA58D6">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含增值税总价（元）</w:t>
            </w:r>
          </w:p>
        </w:tc>
        <w:tc>
          <w:tcPr>
            <w:tcW w:w="1024" w:type="dxa"/>
            <w:tcBorders>
              <w:top w:val="single" w:color="auto" w:sz="4" w:space="0"/>
              <w:left w:val="single" w:color="auto" w:sz="4" w:space="0"/>
              <w:bottom w:val="single" w:color="auto" w:sz="4" w:space="0"/>
              <w:right w:val="single" w:color="auto" w:sz="4" w:space="0"/>
            </w:tcBorders>
            <w:vAlign w:val="center"/>
          </w:tcPr>
          <w:p w14:paraId="165732AA">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生产厂家</w:t>
            </w:r>
          </w:p>
        </w:tc>
        <w:tc>
          <w:tcPr>
            <w:tcW w:w="1339" w:type="dxa"/>
            <w:tcBorders>
              <w:top w:val="single" w:color="auto" w:sz="4" w:space="0"/>
              <w:left w:val="single" w:color="auto" w:sz="4" w:space="0"/>
              <w:bottom w:val="single" w:color="auto" w:sz="4" w:space="0"/>
              <w:right w:val="single" w:color="auto" w:sz="4" w:space="0"/>
            </w:tcBorders>
            <w:vAlign w:val="center"/>
          </w:tcPr>
          <w:p w14:paraId="16DD502E">
            <w:pPr>
              <w:pageBreakBefore w:val="0"/>
              <w:kinsoku/>
              <w:wordWrap/>
              <w:overflowPunct/>
              <w:topLinePunct w:val="0"/>
              <w:bidi w:val="0"/>
              <w:snapToGrid/>
              <w:spacing w:line="40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3EC0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0E322BEE">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51" w:type="dxa"/>
            <w:tcBorders>
              <w:top w:val="single" w:color="auto" w:sz="4" w:space="0"/>
              <w:left w:val="single" w:color="auto" w:sz="4" w:space="0"/>
              <w:bottom w:val="single" w:color="auto" w:sz="4" w:space="0"/>
              <w:right w:val="single" w:color="auto" w:sz="4" w:space="0"/>
            </w:tcBorders>
            <w:vAlign w:val="center"/>
          </w:tcPr>
          <w:p w14:paraId="2D660BE3">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C639DF2">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2CC93922">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18ECDA9D">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7903D2B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489C0A29">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0F0F168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2706FEF8">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7E7AB498">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339" w:type="dxa"/>
            <w:vMerge w:val="restart"/>
            <w:tcBorders>
              <w:top w:val="single" w:color="auto" w:sz="4" w:space="0"/>
              <w:left w:val="single" w:color="auto" w:sz="4" w:space="0"/>
              <w:right w:val="single" w:color="auto" w:sz="4" w:space="0"/>
            </w:tcBorders>
            <w:vAlign w:val="center"/>
          </w:tcPr>
          <w:p w14:paraId="37267711">
            <w:pPr>
              <w:pageBreakBefore w:val="0"/>
              <w:kinsoku/>
              <w:wordWrap/>
              <w:overflowPunct/>
              <w:topLinePunct w:val="0"/>
              <w:bidi w:val="0"/>
              <w:snapToGrid/>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提示：</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虚拟</w:t>
            </w:r>
            <w:r>
              <w:rPr>
                <w:rFonts w:hint="eastAsia" w:ascii="宋体" w:hAnsi="宋体" w:eastAsia="宋体" w:cs="宋体"/>
                <w:color w:val="000000"/>
                <w:sz w:val="24"/>
                <w:szCs w:val="24"/>
                <w:highlight w:val="none"/>
                <w:lang w:eastAsia="zh-CN"/>
              </w:rPr>
              <w:t>单</w:t>
            </w:r>
            <w:r>
              <w:rPr>
                <w:rFonts w:hint="eastAsia" w:ascii="宋体" w:hAnsi="宋体" w:eastAsia="宋体" w:cs="宋体"/>
                <w:color w:val="000000"/>
                <w:sz w:val="24"/>
                <w:szCs w:val="24"/>
                <w:highlight w:val="none"/>
              </w:rPr>
              <w:t>价为合同草拟时</w:t>
            </w:r>
            <w:r>
              <w:rPr>
                <w:rFonts w:hint="eastAsia" w:ascii="宋体" w:hAnsi="宋体" w:eastAsia="宋体" w:cs="宋体"/>
                <w:color w:val="000000"/>
                <w:sz w:val="24"/>
                <w:szCs w:val="24"/>
                <w:highlight w:val="none"/>
                <w:lang w:eastAsia="zh-CN"/>
              </w:rPr>
              <w:t>前一个工作日的网价。</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表中的单价、总价均为现金结算价。</w:t>
            </w:r>
          </w:p>
        </w:tc>
      </w:tr>
      <w:tr w14:paraId="75F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7AF39967">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51" w:type="dxa"/>
            <w:tcBorders>
              <w:top w:val="single" w:color="auto" w:sz="4" w:space="0"/>
              <w:left w:val="single" w:color="auto" w:sz="4" w:space="0"/>
              <w:bottom w:val="single" w:color="auto" w:sz="4" w:space="0"/>
              <w:right w:val="single" w:color="auto" w:sz="4" w:space="0"/>
            </w:tcBorders>
            <w:vAlign w:val="center"/>
          </w:tcPr>
          <w:p w14:paraId="644E34B9">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1047FFF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80C93C1">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02DD3F2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3E5724C5">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212E6327">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703441B9">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612EDF8B">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7F64607E">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339" w:type="dxa"/>
            <w:vMerge w:val="continue"/>
            <w:tcBorders>
              <w:left w:val="single" w:color="auto" w:sz="4" w:space="0"/>
              <w:right w:val="single" w:color="auto" w:sz="4" w:space="0"/>
            </w:tcBorders>
            <w:vAlign w:val="center"/>
          </w:tcPr>
          <w:p w14:paraId="28B0116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r>
      <w:tr w14:paraId="29F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28BC8481">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51" w:type="dxa"/>
            <w:tcBorders>
              <w:top w:val="single" w:color="auto" w:sz="4" w:space="0"/>
              <w:left w:val="single" w:color="auto" w:sz="4" w:space="0"/>
              <w:bottom w:val="single" w:color="auto" w:sz="4" w:space="0"/>
              <w:right w:val="single" w:color="auto" w:sz="4" w:space="0"/>
            </w:tcBorders>
            <w:vAlign w:val="center"/>
          </w:tcPr>
          <w:p w14:paraId="67C31452">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4423F4C3">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F07C89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70CE787F">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2B3AAA9B">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396B315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1F444C5F">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734673D1">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2FF7930F">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339" w:type="dxa"/>
            <w:vMerge w:val="continue"/>
            <w:tcBorders>
              <w:left w:val="single" w:color="auto" w:sz="4" w:space="0"/>
              <w:right w:val="single" w:color="auto" w:sz="4" w:space="0"/>
            </w:tcBorders>
            <w:vAlign w:val="center"/>
          </w:tcPr>
          <w:p w14:paraId="46349F8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r>
      <w:tr w14:paraId="660F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2B63F9A8">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51" w:type="dxa"/>
            <w:tcBorders>
              <w:top w:val="single" w:color="auto" w:sz="4" w:space="0"/>
              <w:left w:val="single" w:color="auto" w:sz="4" w:space="0"/>
              <w:bottom w:val="single" w:color="auto" w:sz="4" w:space="0"/>
              <w:right w:val="single" w:color="auto" w:sz="4" w:space="0"/>
            </w:tcBorders>
            <w:vAlign w:val="center"/>
          </w:tcPr>
          <w:p w14:paraId="7B6E1A91">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2391E88D">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D33A26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4CCE1B28">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62BB58E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796535F2">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12BFE89E">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2997871A">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6B0FC0E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339" w:type="dxa"/>
            <w:vMerge w:val="continue"/>
            <w:tcBorders>
              <w:left w:val="single" w:color="auto" w:sz="4" w:space="0"/>
              <w:right w:val="single" w:color="auto" w:sz="4" w:space="0"/>
            </w:tcBorders>
            <w:vAlign w:val="center"/>
          </w:tcPr>
          <w:p w14:paraId="0289217A">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r>
      <w:tr w14:paraId="1D9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1124" w:type="dxa"/>
            <w:gridSpan w:val="2"/>
            <w:tcBorders>
              <w:top w:val="single" w:color="auto" w:sz="4" w:space="0"/>
              <w:left w:val="single" w:color="auto" w:sz="4" w:space="0"/>
              <w:bottom w:val="single" w:color="auto" w:sz="4" w:space="0"/>
              <w:right w:val="single" w:color="auto" w:sz="4" w:space="0"/>
            </w:tcBorders>
            <w:vAlign w:val="center"/>
          </w:tcPr>
          <w:p w14:paraId="0DAC4DF4">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小计</w:t>
            </w:r>
          </w:p>
        </w:tc>
        <w:tc>
          <w:tcPr>
            <w:tcW w:w="842" w:type="dxa"/>
            <w:tcBorders>
              <w:top w:val="single" w:color="auto" w:sz="4" w:space="0"/>
              <w:left w:val="single" w:color="auto" w:sz="4" w:space="0"/>
              <w:bottom w:val="single" w:color="auto" w:sz="4" w:space="0"/>
              <w:right w:val="single" w:color="auto" w:sz="4" w:space="0"/>
            </w:tcBorders>
            <w:vAlign w:val="center"/>
          </w:tcPr>
          <w:p w14:paraId="1DB27E25">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5E2E8033">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3BF44E5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0CD6003A">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7F95B20E">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62964CD1">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7D4D2DEF">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69D08B75">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c>
          <w:tcPr>
            <w:tcW w:w="1339" w:type="dxa"/>
            <w:vMerge w:val="continue"/>
            <w:tcBorders>
              <w:left w:val="single" w:color="auto" w:sz="4" w:space="0"/>
              <w:bottom w:val="single" w:color="auto" w:sz="4" w:space="0"/>
              <w:right w:val="single" w:color="auto" w:sz="4" w:space="0"/>
            </w:tcBorders>
            <w:vAlign w:val="center"/>
          </w:tcPr>
          <w:p w14:paraId="038F2795">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tc>
      </w:tr>
      <w:tr w14:paraId="7550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75" w:type="dxa"/>
            <w:gridSpan w:val="11"/>
            <w:tcBorders>
              <w:top w:val="single" w:color="auto" w:sz="4" w:space="0"/>
              <w:left w:val="single" w:color="auto" w:sz="4" w:space="0"/>
              <w:bottom w:val="single" w:color="auto" w:sz="4" w:space="0"/>
              <w:right w:val="single" w:color="auto" w:sz="4" w:space="0"/>
            </w:tcBorders>
          </w:tcPr>
          <w:p w14:paraId="47A59F75">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增值税税率为   %，增值税额：    元。</w:t>
            </w:r>
          </w:p>
        </w:tc>
      </w:tr>
      <w:tr w14:paraId="4867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175" w:type="dxa"/>
            <w:gridSpan w:val="11"/>
            <w:tcBorders>
              <w:top w:val="single" w:color="auto" w:sz="4" w:space="0"/>
              <w:left w:val="single" w:color="auto" w:sz="4" w:space="0"/>
              <w:bottom w:val="single" w:color="auto" w:sz="4" w:space="0"/>
              <w:right w:val="single" w:color="auto" w:sz="4" w:space="0"/>
            </w:tcBorders>
          </w:tcPr>
          <w:p w14:paraId="24770BD9">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含增值税总价（大写）：        （小写）：   元。</w:t>
            </w:r>
          </w:p>
        </w:tc>
      </w:tr>
    </w:tbl>
    <w:p w14:paraId="47584AC6">
      <w:pPr>
        <w:pageBreakBefore w:val="0"/>
        <w:kinsoku/>
        <w:wordWrap/>
        <w:overflowPunct/>
        <w:topLinePunct w:val="0"/>
        <w:bidi w:val="0"/>
        <w:snapToGrid/>
        <w:spacing w:line="400" w:lineRule="exact"/>
        <w:ind w:firstLine="600" w:firstLineChars="250"/>
        <w:textAlignment w:val="auto"/>
        <w:rPr>
          <w:rFonts w:hint="eastAsia" w:ascii="宋体" w:hAnsi="宋体" w:eastAsia="宋体" w:cs="宋体"/>
          <w:sz w:val="24"/>
          <w:szCs w:val="24"/>
          <w:highlight w:val="none"/>
        </w:rPr>
      </w:pPr>
    </w:p>
    <w:p w14:paraId="5C07D2B8">
      <w:pPr>
        <w:pageBreakBefore w:val="0"/>
        <w:kinsoku/>
        <w:wordWrap/>
        <w:overflowPunct/>
        <w:topLinePunct w:val="0"/>
        <w:bidi w:val="0"/>
        <w:snapToGrid/>
        <w:spacing w:line="400" w:lineRule="exact"/>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1.1本合同暂定总价（含增值税）   元（大写：人民币   元）。其中，不含增值税价款为   元（大写：  人民币元），增值税税率为 %，增值税  元（大写：人民币   元）。若因国家税务政策变化导致税率调整，</w:t>
      </w:r>
      <w:r>
        <w:rPr>
          <w:rFonts w:hint="eastAsia" w:ascii="宋体" w:hAnsi="宋体" w:cs="宋体"/>
          <w:sz w:val="24"/>
          <w:szCs w:val="24"/>
          <w:highlight w:val="none"/>
          <w:lang w:val="en-US" w:eastAsia="zh-CN"/>
        </w:rPr>
        <w:t>综合费用</w:t>
      </w:r>
      <w:r>
        <w:rPr>
          <w:rFonts w:hint="eastAsia" w:ascii="宋体" w:hAnsi="宋体" w:eastAsia="宋体" w:cs="宋体"/>
          <w:sz w:val="24"/>
          <w:szCs w:val="24"/>
          <w:highlight w:val="none"/>
        </w:rPr>
        <w:t>不含增值税价格不变，具体税金以变更后的税率计算。</w:t>
      </w:r>
    </w:p>
    <w:p w14:paraId="4A0D081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 表中各项价格为虚拟价，仅为计算合同总额使用。结算单价=基准价+综合费用。结算价为乙方运抵甲方指定交货地点的交货价；基准价按到货当日</w:t>
      </w:r>
      <w:r>
        <w:rPr>
          <w:rFonts w:hint="eastAsia" w:ascii="宋体" w:hAnsi="宋体" w:cs="宋体"/>
          <w:kern w:val="0"/>
          <w:sz w:val="24"/>
          <w:szCs w:val="24"/>
          <w:highlight w:val="none"/>
          <w:lang w:val="en-US" w:eastAsia="zh-CN"/>
        </w:rPr>
        <w:t>成</w:t>
      </w:r>
      <w:r>
        <w:rPr>
          <w:rFonts w:hint="eastAsia" w:ascii="宋体" w:hAnsi="宋体" w:eastAsia="宋体" w:cs="宋体"/>
          <w:kern w:val="0"/>
          <w:sz w:val="24"/>
          <w:szCs w:val="24"/>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综合费用包含产品装吊、捆扎、运输、中转、仓储等到达交货地点前的所有运杂费、保险费、出库费、利润等一切费用。</w:t>
      </w:r>
    </w:p>
    <w:p w14:paraId="2548978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1.3上述数量为暂定量，甲方可根据实际需要进行数量增减。甲方减少数量的，不属于违约；甲方增加数量的，乙方应按合同其他条款执行。</w:t>
      </w:r>
      <w:r>
        <w:rPr>
          <w:rFonts w:hint="eastAsia" w:ascii="宋体" w:hAnsi="宋体" w:eastAsia="宋体" w:cs="宋体"/>
          <w:sz w:val="24"/>
          <w:szCs w:val="24"/>
          <w:highlight w:val="none"/>
        </w:rPr>
        <w:t>结算</w:t>
      </w:r>
      <w:r>
        <w:rPr>
          <w:rFonts w:hint="eastAsia" w:ascii="宋体" w:hAnsi="宋体" w:eastAsia="宋体" w:cs="宋体"/>
          <w:bCs/>
          <w:kern w:val="0"/>
          <w:sz w:val="24"/>
          <w:szCs w:val="24"/>
          <w:highlight w:val="none"/>
        </w:rPr>
        <w:t>以本合同第七条为准。</w:t>
      </w:r>
    </w:p>
    <w:p w14:paraId="3155311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第二条 合同供货期限</w:t>
      </w:r>
    </w:p>
    <w:p w14:paraId="1AA29C5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2.1本合同履行期限自合同生效</w:t>
      </w:r>
      <w:r>
        <w:rPr>
          <w:rFonts w:hint="eastAsia" w:ascii="宋体" w:hAnsi="宋体" w:eastAsia="宋体" w:cs="宋体"/>
          <w:sz w:val="24"/>
          <w:szCs w:val="24"/>
          <w:highlight w:val="none"/>
          <w:lang w:eastAsia="zh-CN"/>
        </w:rPr>
        <w:t>之日</w:t>
      </w:r>
      <w:r>
        <w:rPr>
          <w:rFonts w:hint="eastAsia" w:ascii="宋体" w:hAnsi="宋体" w:eastAsia="宋体" w:cs="宋体"/>
          <w:sz w:val="24"/>
          <w:szCs w:val="24"/>
          <w:highlight w:val="none"/>
        </w:rPr>
        <w:t>起至   年   月   日止；该期限为暂定期限，甲方有权根据施工需要单方调整合同供货期限，但应提前</w:t>
      </w:r>
      <w:r>
        <w:rPr>
          <w:rFonts w:hint="eastAsia" w:ascii="宋体" w:hAnsi="宋体" w:eastAsia="宋体" w:cs="宋体"/>
          <w:sz w:val="24"/>
          <w:szCs w:val="24"/>
          <w:highlight w:val="none"/>
          <w:u w:val="single"/>
        </w:rPr>
        <w:t>7</w:t>
      </w:r>
      <w:r>
        <w:rPr>
          <w:rFonts w:hint="eastAsia" w:ascii="宋体" w:hAnsi="宋体" w:eastAsia="宋体" w:cs="宋体"/>
          <w:sz w:val="24"/>
          <w:szCs w:val="24"/>
          <w:highlight w:val="none"/>
        </w:rPr>
        <w:t>日通知乙方。</w:t>
      </w:r>
    </w:p>
    <w:p w14:paraId="0944676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18"/>
          <w:sz w:val="24"/>
          <w:szCs w:val="24"/>
          <w:highlight w:val="none"/>
        </w:rPr>
      </w:pPr>
      <w:r>
        <w:rPr>
          <w:rFonts w:hint="eastAsia" w:ascii="宋体" w:hAnsi="宋体" w:eastAsia="宋体" w:cs="宋体"/>
          <w:kern w:val="18"/>
          <w:sz w:val="24"/>
          <w:szCs w:val="24"/>
          <w:highlight w:val="none"/>
        </w:rPr>
        <w:t>2.2在合同期限届满或终止后，甲方可根据自己实际情况的需要，单方决定是否续签合同或签订合同封</w:t>
      </w:r>
      <w:r>
        <w:rPr>
          <w:rFonts w:hint="eastAsia" w:ascii="宋体" w:hAnsi="宋体" w:eastAsia="宋体" w:cs="宋体"/>
          <w:kern w:val="18"/>
          <w:sz w:val="24"/>
          <w:szCs w:val="24"/>
          <w:highlight w:val="none"/>
          <w:lang w:eastAsia="zh-CN"/>
        </w:rPr>
        <w:t>账</w:t>
      </w:r>
      <w:r>
        <w:rPr>
          <w:rFonts w:hint="eastAsia" w:ascii="宋体" w:hAnsi="宋体" w:eastAsia="宋体" w:cs="宋体"/>
          <w:kern w:val="18"/>
          <w:sz w:val="24"/>
          <w:szCs w:val="24"/>
          <w:highlight w:val="none"/>
        </w:rPr>
        <w:t>协议。</w:t>
      </w:r>
    </w:p>
    <w:p w14:paraId="0B4C5F7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kern w:val="0"/>
          <w:sz w:val="24"/>
          <w:szCs w:val="24"/>
          <w:highlight w:val="none"/>
        </w:rPr>
      </w:pPr>
      <w:r>
        <w:rPr>
          <w:rFonts w:hint="eastAsia" w:ascii="宋体" w:hAnsi="宋体" w:eastAsia="宋体" w:cs="宋体"/>
          <w:b/>
          <w:bCs/>
          <w:kern w:val="44"/>
          <w:sz w:val="24"/>
          <w:szCs w:val="24"/>
          <w:highlight w:val="none"/>
        </w:rPr>
        <w:t>第三条 质量标准：</w:t>
      </w:r>
      <w:r>
        <w:rPr>
          <w:rFonts w:hint="eastAsia" w:ascii="宋体" w:hAnsi="宋体" w:eastAsia="宋体" w:cs="宋体"/>
          <w:b/>
          <w:kern w:val="0"/>
          <w:sz w:val="24"/>
          <w:szCs w:val="24"/>
          <w:highlight w:val="none"/>
        </w:rPr>
        <w:t xml:space="preserve"> </w:t>
      </w:r>
    </w:p>
    <w:p w14:paraId="0D30831E">
      <w:pPr>
        <w:pageBreakBefore w:val="0"/>
        <w:kinsoku/>
        <w:wordWrap/>
        <w:overflowPunct/>
        <w:topLinePunct w:val="0"/>
        <w:bidi w:val="0"/>
        <w:snapToGrid/>
        <w:spacing w:line="400" w:lineRule="exact"/>
        <w:textAlignment w:val="auto"/>
        <w:rPr>
          <w:rFonts w:hint="eastAsia" w:ascii="宋体" w:hAnsi="宋体" w:eastAsia="宋体" w:cs="宋体"/>
          <w:color w:val="FF0000"/>
          <w:kern w:val="18"/>
          <w:sz w:val="24"/>
          <w:szCs w:val="24"/>
          <w:highlight w:val="none"/>
        </w:rPr>
      </w:pPr>
      <w:r>
        <w:rPr>
          <w:rFonts w:hint="eastAsia" w:ascii="宋体" w:hAnsi="宋体" w:eastAsia="宋体" w:cs="宋体"/>
          <w:color w:val="FF0000"/>
          <w:kern w:val="18"/>
          <w:sz w:val="24"/>
          <w:szCs w:val="24"/>
          <w:highlight w:val="none"/>
        </w:rPr>
        <w:t xml:space="preserve">  </w:t>
      </w:r>
      <w:r>
        <w:rPr>
          <w:rFonts w:hint="eastAsia" w:ascii="宋体" w:hAnsi="宋体" w:eastAsia="宋体" w:cs="宋体"/>
          <w:kern w:val="18"/>
          <w:sz w:val="24"/>
          <w:szCs w:val="24"/>
          <w:highlight w:val="none"/>
        </w:rPr>
        <w:t xml:space="preserve"> 乙方供应钢筋网片采用焊接钢筋网，焊接网钢筋强度标准为CRB550级，质量必须符合行业标准《钢筋焊接网混凝土结构技术规程》(JGJ114-2014)的规定，若国家、行业标准或规范出现修改或新颁，由需方决定是否采用新标准或新规范，价格不因标准和规范适用的变化而调整</w:t>
      </w:r>
      <w:r>
        <w:rPr>
          <w:rFonts w:hint="eastAsia" w:ascii="宋体" w:hAnsi="宋体" w:cs="宋体"/>
          <w:kern w:val="18"/>
          <w:sz w:val="24"/>
          <w:szCs w:val="24"/>
          <w:highlight w:val="none"/>
          <w:lang w:eastAsia="zh-CN"/>
        </w:rPr>
        <w:t>。</w:t>
      </w:r>
    </w:p>
    <w:p w14:paraId="504E087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 xml:space="preserve">第四条 计量方法                                             </w:t>
      </w:r>
    </w:p>
    <w:p w14:paraId="00AF3F18">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按过磅重量结算；</w:t>
      </w:r>
    </w:p>
    <w:p w14:paraId="36C1F94E">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以上计量方式中材料公差应在国家标准要求范围之内。</w:t>
      </w:r>
    </w:p>
    <w:p w14:paraId="34702130">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color w:val="FF0000"/>
          <w:kern w:val="18"/>
          <w:sz w:val="24"/>
          <w:szCs w:val="24"/>
          <w:highlight w:val="none"/>
        </w:rPr>
      </w:pPr>
      <w:r>
        <w:rPr>
          <w:rFonts w:hint="eastAsia" w:ascii="宋体" w:hAnsi="宋体" w:eastAsia="宋体" w:cs="宋体"/>
          <w:bCs/>
          <w:kern w:val="0"/>
          <w:sz w:val="24"/>
          <w:szCs w:val="24"/>
          <w:highlight w:val="none"/>
        </w:rPr>
        <w:t>若甲方过磅数量磅差率超过±3‰，由甲方与乙方共同选择第三方进行复磅（复磅应选择技术监督局检验合格且距离施工现场较近的公磅处进行），复磅数量与出厂磅单数量之差若不超过±3‰范围，以乙方出厂磅单为准；若超出±3‰范围，则以复磅数量为准。复磅过程中发生的相关费用由偏差大的一方承担。</w:t>
      </w:r>
    </w:p>
    <w:p w14:paraId="30787A5B">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第五条 交货时间及方式</w:t>
      </w:r>
    </w:p>
    <w:p w14:paraId="308F403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交货时间：乙方收到甲方的供货计划通知后，应根据甲方的要求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日内将货物送到甲方指定交货地点。乙方发货时应将发货清单、车号、司机联系方式等资料告知甲方，以便甲方安排接卸、验收等相关工作。</w:t>
      </w:r>
    </w:p>
    <w:p w14:paraId="449557D7">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5.2 交货地点：甲方指定该项目施工现场或仓库。</w:t>
      </w:r>
    </w:p>
    <w:p w14:paraId="3AAD1577">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color w:val="FF0000"/>
          <w:kern w:val="18"/>
          <w:sz w:val="24"/>
          <w:szCs w:val="24"/>
          <w:highlight w:val="none"/>
        </w:rPr>
      </w:pPr>
      <w:r>
        <w:rPr>
          <w:rFonts w:hint="eastAsia" w:ascii="宋体" w:hAnsi="宋体" w:eastAsia="宋体" w:cs="宋体"/>
          <w:bCs/>
          <w:kern w:val="0"/>
          <w:sz w:val="24"/>
          <w:szCs w:val="24"/>
          <w:highlight w:val="none"/>
        </w:rPr>
        <w:t>5.3交货方式：</w:t>
      </w:r>
      <w:r>
        <w:rPr>
          <w:rFonts w:hint="eastAsia" w:ascii="宋体" w:hAnsi="宋体" w:eastAsia="宋体" w:cs="宋体"/>
          <w:sz w:val="24"/>
          <w:szCs w:val="24"/>
          <w:highlight w:val="none"/>
        </w:rPr>
        <w:t>车板交货，乙方在货物未交付甲方前，灭失、损毁的一切风险由乙方承担。</w:t>
      </w:r>
    </w:p>
    <w:p w14:paraId="74AD8AD1">
      <w:pPr>
        <w:pageBreakBefore w:val="0"/>
        <w:tabs>
          <w:tab w:val="left" w:pos="3708"/>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5.3</w:t>
      </w:r>
      <w:r>
        <w:rPr>
          <w:rFonts w:hint="eastAsia" w:ascii="宋体" w:hAnsi="宋体" w:eastAsia="宋体" w:cs="宋体"/>
          <w:sz w:val="24"/>
          <w:szCs w:val="24"/>
          <w:highlight w:val="none"/>
        </w:rPr>
        <w:t>运输方式：汽运。</w:t>
      </w:r>
    </w:p>
    <w:p w14:paraId="00CC8F15">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5.4 包装方式：按照国家标准捆扎，包装不散捆，不回收。</w:t>
      </w:r>
    </w:p>
    <w:p w14:paraId="3D5F251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第六条 验收：</w:t>
      </w:r>
    </w:p>
    <w:p w14:paraId="56018DC3">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6.1 验收时间：        ；验收地点：           。 </w:t>
      </w:r>
    </w:p>
    <w:p w14:paraId="1F3BE35B">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每批钢材的有效材质证明书等原件，应随货同行及时交到甲方收货人手里，必须确保质保书与钢材批号的对应。</w:t>
      </w:r>
    </w:p>
    <w:p w14:paraId="5F7C03E0">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 每捆包装上必须附有标签，清晰地标明生产厂家、钢材牌号、炉批号、规格、重量等。</w:t>
      </w:r>
    </w:p>
    <w:p w14:paraId="28274D0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 xml:space="preserve">6.4 </w:t>
      </w:r>
      <w:r>
        <w:rPr>
          <w:rFonts w:hint="eastAsia" w:ascii="宋体" w:hAnsi="宋体" w:eastAsia="宋体" w:cs="宋体"/>
          <w:spacing w:val="-2"/>
          <w:sz w:val="24"/>
          <w:szCs w:val="24"/>
          <w:highlight w:val="none"/>
        </w:rPr>
        <w:t>甲方有权随时检查乙方供货数量或重量，乙方应配合甲方的检查。</w:t>
      </w:r>
    </w:p>
    <w:p w14:paraId="5D67674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 甲方有权对初步验收合格后的产品交检验部门检验，任何被检验的货物不能满足质量技术和规格要求，甲方有权要求对该批货品按照合同6.6条的约定进行处理，因此产生的费用和给甲方造成的损失均由乙方承担。</w:t>
      </w:r>
    </w:p>
    <w:p w14:paraId="19DE777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FF0000"/>
          <w:kern w:val="18"/>
          <w:sz w:val="24"/>
          <w:szCs w:val="24"/>
          <w:highlight w:val="none"/>
        </w:rPr>
      </w:pPr>
      <w:r>
        <w:rPr>
          <w:rFonts w:hint="eastAsia" w:ascii="宋体" w:hAnsi="宋体" w:eastAsia="宋体" w:cs="宋体"/>
          <w:sz w:val="24"/>
          <w:szCs w:val="24"/>
          <w:highlight w:val="none"/>
        </w:rPr>
        <w:t>6.6 甲方如发现货物的品种、型号、规格和数量等不符合规定和合同约定的，应自收到货物后</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日内向乙方提出异议和处理意见，对产品质量的异议不受该时间限制，随时发现可随时提出异议和处理意见。乙方在接到甲方异议后，应在</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日内按照甲方要求负责处理,否则即视为违约，甲方有权自行处理，造成的损失由乙方自行承担。</w:t>
      </w:r>
    </w:p>
    <w:p w14:paraId="01A7002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6.7甲方指定1、姓名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2、姓名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)负责结算对账单的签认。乙方指定姓名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）负责结算对账单的签认。</w:t>
      </w:r>
      <w:r>
        <w:rPr>
          <w:rFonts w:hint="eastAsia" w:ascii="宋体" w:hAnsi="宋体" w:eastAsia="宋体" w:cs="宋体"/>
          <w:color w:val="000000"/>
          <w:sz w:val="24"/>
          <w:szCs w:val="24"/>
          <w:highlight w:val="none"/>
        </w:rPr>
        <w:t>指定的上述人员</w:t>
      </w:r>
      <w:r>
        <w:rPr>
          <w:rFonts w:hint="eastAsia" w:ascii="宋体" w:hAnsi="宋体" w:eastAsia="宋体" w:cs="宋体"/>
          <w:color w:val="000000"/>
          <w:sz w:val="24"/>
          <w:szCs w:val="24"/>
          <w:highlight w:val="none"/>
          <w:lang w:eastAsia="zh-CN"/>
        </w:rPr>
        <w:t>为双方的合同</w:t>
      </w:r>
      <w:r>
        <w:rPr>
          <w:rFonts w:hint="eastAsia" w:ascii="宋体" w:hAnsi="宋体" w:eastAsia="宋体" w:cs="宋体"/>
          <w:color w:val="000000"/>
          <w:sz w:val="24"/>
          <w:szCs w:val="24"/>
          <w:highlight w:val="none"/>
        </w:rPr>
        <w:t>结算确认人员，</w:t>
      </w:r>
      <w:r>
        <w:rPr>
          <w:rFonts w:hint="eastAsia" w:ascii="宋体" w:hAnsi="宋体" w:eastAsia="宋体" w:cs="宋体"/>
          <w:color w:val="000000"/>
          <w:sz w:val="24"/>
          <w:szCs w:val="24"/>
          <w:highlight w:val="none"/>
          <w:lang w:eastAsia="zh-CN"/>
        </w:rPr>
        <w:t>均需</w:t>
      </w:r>
      <w:r>
        <w:rPr>
          <w:rFonts w:hint="eastAsia" w:ascii="宋体" w:hAnsi="宋体" w:eastAsia="宋体" w:cs="宋体"/>
          <w:color w:val="000000"/>
          <w:sz w:val="24"/>
          <w:szCs w:val="24"/>
          <w:highlight w:val="none"/>
        </w:rPr>
        <w:t>在结算对账单</w:t>
      </w:r>
      <w:r>
        <w:rPr>
          <w:rFonts w:hint="eastAsia" w:ascii="宋体" w:hAnsi="宋体" w:eastAsia="宋体" w:cs="宋体"/>
          <w:color w:val="000000"/>
          <w:sz w:val="24"/>
          <w:szCs w:val="24"/>
          <w:highlight w:val="none"/>
          <w:lang w:eastAsia="zh-CN"/>
        </w:rPr>
        <w:t>上</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lang w:eastAsia="zh-CN"/>
        </w:rPr>
        <w:t>并盖章</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作为结算确认依据，指定人员以外其他人员的签认，对另一方不发生效力。一方指定人员发生变化时，应当及时告知对方，并自书面通知到达对方时产生效力。</w:t>
      </w:r>
    </w:p>
    <w:p w14:paraId="40AF187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甲方指定交货地材料有权签收人负责材料的交验和送货清单的签认。</w:t>
      </w:r>
      <w:r>
        <w:rPr>
          <w:rFonts w:hint="eastAsia" w:ascii="宋体" w:hAnsi="宋体" w:eastAsia="宋体" w:cs="宋体"/>
          <w:sz w:val="24"/>
          <w:szCs w:val="24"/>
          <w:highlight w:val="none"/>
          <w:lang w:eastAsia="zh-CN"/>
        </w:rPr>
        <w:t>《</w:t>
      </w:r>
      <w:r>
        <w:rPr>
          <w:rFonts w:hint="eastAsia" w:ascii="宋体" w:hAnsi="宋体" w:cs="宋体"/>
          <w:color w:val="000000"/>
          <w:sz w:val="24"/>
          <w:szCs w:val="24"/>
          <w:highlight w:val="none"/>
          <w:lang w:eastAsia="zh-CN"/>
        </w:rPr>
        <w:t>工程物资</w:t>
      </w:r>
      <w:r>
        <w:rPr>
          <w:rFonts w:hint="eastAsia" w:ascii="宋体" w:hAnsi="宋体" w:eastAsia="宋体" w:cs="宋体"/>
          <w:sz w:val="24"/>
          <w:szCs w:val="24"/>
          <w:highlight w:val="none"/>
        </w:rPr>
        <w:t>有权签收人清单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另行出具，清单与本合同具有同等法律效力。指定人员以外其他人员的验收、签认，对另一方不发生效力。指定人员发生变化时，应当及时告知对方，并自书面通知到达对方时产生效力。送货清单（或相应票据）中事先印刷的相关备注文字（双方验收人员签署的备注内容除外）内容不构成合同文件的组成部分。</w:t>
      </w:r>
      <w:r>
        <w:rPr>
          <w:rFonts w:hint="eastAsia" w:ascii="宋体" w:hAnsi="宋体" w:eastAsia="宋体" w:cs="宋体"/>
          <w:color w:val="000000"/>
          <w:sz w:val="24"/>
          <w:szCs w:val="24"/>
          <w:highlight w:val="none"/>
        </w:rPr>
        <w:t>甲方指定签收人</w:t>
      </w:r>
      <w:r>
        <w:rPr>
          <w:rFonts w:hint="eastAsia" w:ascii="宋体" w:hAnsi="宋体" w:eastAsia="宋体" w:cs="宋体"/>
          <w:color w:val="000000"/>
          <w:sz w:val="24"/>
          <w:szCs w:val="24"/>
          <w:highlight w:val="none"/>
          <w:lang w:eastAsia="zh-CN"/>
        </w:rPr>
        <w:t>员详见附件一：《</w:t>
      </w:r>
      <w:r>
        <w:rPr>
          <w:rFonts w:hint="eastAsia" w:ascii="宋体" w:hAnsi="宋体" w:cs="宋体"/>
          <w:color w:val="000000"/>
          <w:sz w:val="24"/>
          <w:szCs w:val="24"/>
          <w:highlight w:val="none"/>
          <w:lang w:eastAsia="zh-CN"/>
        </w:rPr>
        <w:t>工程物资</w:t>
      </w:r>
      <w:r>
        <w:rPr>
          <w:rFonts w:hint="eastAsia" w:ascii="宋体" w:hAnsi="宋体" w:eastAsia="宋体" w:cs="宋体"/>
          <w:color w:val="000000"/>
          <w:sz w:val="24"/>
          <w:szCs w:val="24"/>
          <w:highlight w:val="none"/>
          <w:lang w:eastAsia="zh-CN"/>
        </w:rPr>
        <w:t>有权签收人清单》，该清单需双方加盖发货方与收货方公章。</w:t>
      </w:r>
    </w:p>
    <w:p w14:paraId="5145F0D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甲方对材料的验收，并不视为免除乙方对产品质量和技术应负的责任。</w:t>
      </w:r>
    </w:p>
    <w:p w14:paraId="5F6F52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6.8本合同约定货物的质保期为</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个月，自最后一批供货验收合格之日起计算。如果乙方对货物有另外承诺的质保期且与本合同约定不一致的，双方同意以期限较长的为准。</w:t>
      </w:r>
      <w:r>
        <w:rPr>
          <w:rFonts w:hint="eastAsia" w:ascii="宋体" w:hAnsi="宋体" w:eastAsia="宋体" w:cs="宋体"/>
          <w:color w:val="000000"/>
          <w:sz w:val="24"/>
          <w:szCs w:val="24"/>
          <w:highlight w:val="none"/>
          <w:lang w:eastAsia="zh-CN"/>
        </w:rPr>
        <w:t>（采购合同中约定的质保期不得少于供应合同中的质保期）</w:t>
      </w:r>
    </w:p>
    <w:p w14:paraId="4F543243">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lang w:val="en-US" w:eastAsia="zh-CN"/>
        </w:rPr>
      </w:pPr>
      <w:r>
        <w:rPr>
          <w:rFonts w:hint="eastAsia" w:ascii="宋体" w:hAnsi="宋体" w:eastAsia="宋体" w:cs="宋体"/>
          <w:b/>
          <w:bCs/>
          <w:kern w:val="44"/>
          <w:sz w:val="24"/>
          <w:szCs w:val="24"/>
          <w:highlight w:val="none"/>
        </w:rPr>
        <w:t xml:space="preserve">第七条 货款结算与支付 </w:t>
      </w:r>
    </w:p>
    <w:p w14:paraId="1781CA4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sz w:val="24"/>
          <w:szCs w:val="24"/>
          <w:highlight w:val="none"/>
        </w:rPr>
        <w:t>7.1</w:t>
      </w:r>
      <w:r>
        <w:rPr>
          <w:rFonts w:hint="eastAsia" w:ascii="宋体" w:hAnsi="宋体" w:cs="宋体"/>
          <w:color w:val="000000"/>
          <w:sz w:val="24"/>
          <w:szCs w:val="24"/>
          <w:highlight w:val="none"/>
          <w:lang w:val="en-US" w:eastAsia="zh-CN"/>
        </w:rPr>
        <w:t>每</w:t>
      </w:r>
      <w:r>
        <w:rPr>
          <w:rFonts w:hint="eastAsia" w:ascii="宋体" w:hAnsi="宋体" w:eastAsia="宋体" w:cs="宋体"/>
          <w:color w:val="000000"/>
          <w:sz w:val="24"/>
          <w:szCs w:val="24"/>
          <w:highlight w:val="none"/>
        </w:rPr>
        <w:t>月</w:t>
      </w:r>
      <w:r>
        <w:rPr>
          <w:rFonts w:hint="eastAsia" w:ascii="宋体" w:hAnsi="宋体" w:eastAsia="宋体" w:cs="宋体"/>
          <w:bCs/>
          <w:color w:val="000000"/>
          <w:kern w:val="0"/>
          <w:sz w:val="24"/>
          <w:szCs w:val="24"/>
          <w:highlight w:val="none"/>
        </w:rPr>
        <w:t>为一个结算周期，当月</w:t>
      </w:r>
      <w:r>
        <w:rPr>
          <w:rFonts w:hint="eastAsia" w:ascii="宋体" w:hAnsi="宋体" w:cs="宋体"/>
          <w:bCs/>
          <w:color w:val="000000"/>
          <w:kern w:val="0"/>
          <w:sz w:val="24"/>
          <w:szCs w:val="24"/>
          <w:highlight w:val="none"/>
          <w:lang w:val="en-US" w:eastAsia="zh-CN"/>
        </w:rPr>
        <w:t>最后一天</w:t>
      </w:r>
      <w:r>
        <w:rPr>
          <w:rFonts w:hint="eastAsia" w:ascii="宋体" w:hAnsi="宋体" w:eastAsia="宋体" w:cs="宋体"/>
          <w:bCs/>
          <w:color w:val="000000"/>
          <w:kern w:val="0"/>
          <w:sz w:val="24"/>
          <w:szCs w:val="24"/>
          <w:highlight w:val="none"/>
        </w:rPr>
        <w:t>为</w:t>
      </w:r>
      <w:r>
        <w:rPr>
          <w:rFonts w:hint="eastAsia" w:ascii="宋体" w:hAnsi="宋体" w:cs="宋体"/>
          <w:bCs/>
          <w:color w:val="000000"/>
          <w:kern w:val="0"/>
          <w:sz w:val="24"/>
          <w:szCs w:val="24"/>
          <w:highlight w:val="none"/>
          <w:lang w:val="en-US" w:eastAsia="zh-CN"/>
        </w:rPr>
        <w:t>每月</w:t>
      </w:r>
      <w:r>
        <w:rPr>
          <w:rFonts w:hint="eastAsia" w:ascii="宋体" w:hAnsi="宋体" w:eastAsia="宋体" w:cs="宋体"/>
          <w:bCs/>
          <w:color w:val="000000"/>
          <w:kern w:val="0"/>
          <w:sz w:val="24"/>
          <w:szCs w:val="24"/>
          <w:highlight w:val="none"/>
        </w:rPr>
        <w:t>结算截止日期</w:t>
      </w:r>
      <w:r>
        <w:rPr>
          <w:rFonts w:hint="eastAsia" w:ascii="宋体" w:hAnsi="宋体" w:eastAsia="宋体" w:cs="宋体"/>
          <w:bCs/>
          <w:color w:val="000000"/>
          <w:kern w:val="0"/>
          <w:sz w:val="24"/>
          <w:szCs w:val="24"/>
          <w:highlight w:val="none"/>
          <w:lang w:eastAsia="zh-CN"/>
        </w:rPr>
        <w:t>，</w:t>
      </w:r>
      <w:r>
        <w:rPr>
          <w:rFonts w:hint="eastAsia" w:ascii="宋体" w:hAnsi="宋体" w:cs="宋体"/>
          <w:bCs/>
          <w:color w:val="000000"/>
          <w:kern w:val="0"/>
          <w:sz w:val="24"/>
          <w:szCs w:val="24"/>
          <w:highlight w:val="none"/>
          <w:lang w:val="en-US" w:eastAsia="zh-CN"/>
        </w:rPr>
        <w:t>次</w:t>
      </w:r>
      <w:r>
        <w:rPr>
          <w:rFonts w:hint="eastAsia" w:ascii="宋体" w:hAnsi="宋体" w:eastAsia="宋体" w:cs="宋体"/>
          <w:bCs/>
          <w:color w:val="000000"/>
          <w:kern w:val="0"/>
          <w:sz w:val="24"/>
          <w:szCs w:val="24"/>
          <w:highlight w:val="none"/>
          <w:lang w:val="en-US" w:eastAsia="zh-CN"/>
        </w:rPr>
        <w:t>月的</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cs="宋体"/>
          <w:bCs/>
          <w:color w:val="000000"/>
          <w:kern w:val="0"/>
          <w:sz w:val="24"/>
          <w:szCs w:val="24"/>
          <w:highlight w:val="none"/>
          <w:u w:val="single"/>
          <w:lang w:val="en-US" w:eastAsia="zh-CN"/>
        </w:rPr>
        <w:t>10</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lang w:val="en-US" w:eastAsia="zh-CN"/>
        </w:rPr>
        <w:t>日前开具发票并交于甲方</w:t>
      </w:r>
      <w:r>
        <w:rPr>
          <w:rFonts w:hint="eastAsia" w:ascii="宋体" w:hAnsi="宋体" w:eastAsia="宋体" w:cs="宋体"/>
          <w:bCs/>
          <w:color w:val="000000"/>
          <w:kern w:val="0"/>
          <w:sz w:val="24"/>
          <w:szCs w:val="24"/>
          <w:highlight w:val="none"/>
        </w:rPr>
        <w:t>。结算时根据甲方检验合格</w:t>
      </w:r>
      <w:r>
        <w:rPr>
          <w:rFonts w:hint="eastAsia" w:ascii="宋体" w:hAnsi="宋体" w:eastAsia="宋体" w:cs="宋体"/>
          <w:bCs/>
          <w:color w:val="000000"/>
          <w:kern w:val="0"/>
          <w:sz w:val="24"/>
          <w:szCs w:val="24"/>
        </w:rPr>
        <w:t>及双方共同签认的凭证计算当月实际收货数量，除此之外任何证明、收条、欠条、信函等文件，都不得作为结算、支付依据。</w:t>
      </w:r>
    </w:p>
    <w:p w14:paraId="27652101">
      <w:pPr>
        <w:keepNext/>
        <w:keepLines/>
        <w:pageBreakBefore w:val="0"/>
        <w:kinsoku/>
        <w:wordWrap/>
        <w:overflowPunct/>
        <w:topLinePunct w:val="0"/>
        <w:bidi w:val="0"/>
        <w:snapToGrid/>
        <w:spacing w:line="400" w:lineRule="exact"/>
        <w:ind w:firstLine="480" w:firstLineChars="200"/>
        <w:textAlignment w:val="auto"/>
        <w:outlineLvl w:val="0"/>
        <w:rPr>
          <w:rFonts w:hint="eastAsia" w:ascii="宋体" w:hAnsi="宋体" w:eastAsia="宋体" w:cs="宋体"/>
          <w:bCs/>
          <w:color w:val="000000"/>
          <w:kern w:val="0"/>
          <w:sz w:val="24"/>
          <w:szCs w:val="24"/>
        </w:rPr>
      </w:pPr>
      <w:r>
        <w:rPr>
          <w:rFonts w:hint="eastAsia" w:ascii="宋体" w:hAnsi="宋体" w:eastAsia="宋体" w:cs="宋体"/>
          <w:color w:val="000000"/>
          <w:sz w:val="24"/>
          <w:szCs w:val="24"/>
          <w:lang w:val="en-US" w:eastAsia="zh-CN"/>
        </w:rPr>
        <w:t>7.1.2</w:t>
      </w:r>
      <w:r>
        <w:rPr>
          <w:rFonts w:hint="eastAsia" w:ascii="宋体" w:hAnsi="宋体" w:eastAsia="宋体" w:cs="宋体"/>
          <w:color w:val="000000"/>
          <w:sz w:val="24"/>
          <w:szCs w:val="24"/>
        </w:rPr>
        <w:t>乙方承担运输及运费，一票制结算（根据实际情况填写）。甲乙双方结算后7日内，乙方应按双方确认的应付金额</w:t>
      </w:r>
      <w:r>
        <w:rPr>
          <w:rFonts w:hint="eastAsia" w:ascii="宋体" w:hAnsi="宋体" w:eastAsia="宋体" w:cs="宋体"/>
          <w:color w:val="000000"/>
          <w:sz w:val="24"/>
          <w:szCs w:val="24"/>
          <w:lang w:eastAsia="zh-CN"/>
        </w:rPr>
        <w:t>足额开具</w:t>
      </w:r>
      <w:r>
        <w:rPr>
          <w:rFonts w:hint="eastAsia" w:ascii="宋体" w:hAnsi="宋体" w:eastAsia="宋体" w:cs="宋体"/>
          <w:color w:val="000000"/>
          <w:sz w:val="24"/>
          <w:szCs w:val="24"/>
        </w:rPr>
        <w:t>增值税专用发票，并</w:t>
      </w:r>
      <w:r>
        <w:rPr>
          <w:rFonts w:hint="eastAsia" w:ascii="宋体" w:hAnsi="宋体" w:eastAsia="宋体" w:cs="宋体"/>
          <w:color w:val="000000"/>
          <w:sz w:val="24"/>
          <w:szCs w:val="24"/>
          <w:lang w:eastAsia="zh-CN"/>
        </w:rPr>
        <w:t>将</w:t>
      </w:r>
      <w:r>
        <w:rPr>
          <w:rFonts w:hint="eastAsia" w:ascii="宋体" w:hAnsi="宋体" w:eastAsia="宋体" w:cs="宋体"/>
          <w:color w:val="000000"/>
          <w:sz w:val="24"/>
          <w:szCs w:val="24"/>
        </w:rPr>
        <w:t>发票开具提交给甲方。</w:t>
      </w:r>
    </w:p>
    <w:p w14:paraId="12BDE9F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sz w:val="24"/>
          <w:szCs w:val="24"/>
        </w:rPr>
        <w:t>7.</w:t>
      </w:r>
      <w:r>
        <w:rPr>
          <w:rFonts w:hint="eastAsia" w:ascii="宋体" w:hAnsi="宋体" w:eastAsia="宋体" w:cs="宋体"/>
          <w:sz w:val="24"/>
          <w:szCs w:val="24"/>
          <w:highlight w:val="none"/>
        </w:rPr>
        <w:t>2</w:t>
      </w:r>
      <w:r>
        <w:rPr>
          <w:rFonts w:hint="eastAsia" w:ascii="宋体" w:hAnsi="宋体" w:eastAsia="宋体" w:cs="宋体"/>
          <w:bCs/>
          <w:color w:val="000000"/>
          <w:kern w:val="0"/>
          <w:sz w:val="24"/>
          <w:szCs w:val="24"/>
          <w:highlight w:val="none"/>
        </w:rPr>
        <w:t>双方特别约定：甲方支付前，乙方应按双方确认的当期应付金额向甲方提供增值税专用发票，并于发票开具后</w:t>
      </w:r>
      <w:r>
        <w:rPr>
          <w:rFonts w:hint="eastAsia" w:ascii="宋体" w:hAnsi="宋体" w:eastAsia="宋体" w:cs="宋体"/>
          <w:bCs/>
          <w:color w:val="000000"/>
          <w:kern w:val="0"/>
          <w:sz w:val="24"/>
          <w:szCs w:val="24"/>
          <w:highlight w:val="none"/>
          <w:u w:val="single"/>
        </w:rPr>
        <w:t>7</w:t>
      </w:r>
      <w:r>
        <w:rPr>
          <w:rFonts w:hint="eastAsia" w:ascii="宋体" w:hAnsi="宋体" w:eastAsia="宋体" w:cs="宋体"/>
          <w:bCs/>
          <w:color w:val="000000"/>
          <w:kern w:val="0"/>
          <w:sz w:val="24"/>
          <w:szCs w:val="24"/>
          <w:highlight w:val="none"/>
        </w:rPr>
        <w:t>日内提交给甲方。甲方收到乙方发票和完税证明后，按合同约定向乙方付款。如乙方未及时提供发票的，甲方有权延迟付款且无需承担任何违约责任。甲方收到乙方发票后，按合同约定向乙方付款。</w:t>
      </w:r>
    </w:p>
    <w:p w14:paraId="377F279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7.3货款支付采用下列第</w:t>
      </w:r>
      <w:r>
        <w:rPr>
          <w:rFonts w:hint="eastAsia" w:ascii="宋体" w:hAnsi="宋体" w:cs="宋体"/>
          <w:bCs/>
          <w:color w:val="000000"/>
          <w:kern w:val="0"/>
          <w:sz w:val="24"/>
          <w:szCs w:val="24"/>
          <w:highlight w:val="none"/>
          <w:lang w:val="en-US" w:eastAsia="zh-CN"/>
        </w:rPr>
        <w:t xml:space="preserve">  </w:t>
      </w:r>
      <w:r>
        <w:rPr>
          <w:rFonts w:hint="eastAsia" w:ascii="宋体" w:hAnsi="宋体" w:eastAsia="宋体" w:cs="宋体"/>
          <w:bCs/>
          <w:color w:val="000000"/>
          <w:kern w:val="0"/>
          <w:sz w:val="24"/>
          <w:szCs w:val="24"/>
          <w:highlight w:val="none"/>
        </w:rPr>
        <w:t>项：</w:t>
      </w:r>
    </w:p>
    <w:p w14:paraId="3932A4D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kern w:val="0"/>
          <w:sz w:val="24"/>
          <w:szCs w:val="24"/>
          <w:highlight w:val="none"/>
        </w:rPr>
        <w:t>7.3</w:t>
      </w:r>
      <w:r>
        <w:rPr>
          <w:rFonts w:hint="eastAsia" w:ascii="宋体" w:hAnsi="宋体" w:eastAsia="宋体" w:cs="宋体"/>
          <w:bCs/>
          <w:kern w:val="0"/>
          <w:sz w:val="24"/>
          <w:szCs w:val="24"/>
          <w:highlight w:val="none"/>
        </w:rPr>
        <w:t>.</w:t>
      </w: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rPr>
        <w:t>先货后款；</w:t>
      </w:r>
      <w:r>
        <w:rPr>
          <w:rFonts w:hint="eastAsia" w:ascii="宋体" w:hAnsi="宋体" w:eastAsia="宋体" w:cs="宋体"/>
          <w:bCs/>
          <w:color w:val="000000"/>
          <w:spacing w:val="4"/>
          <w:kern w:val="0"/>
          <w:sz w:val="24"/>
          <w:szCs w:val="24"/>
          <w:highlight w:val="none"/>
        </w:rPr>
        <w:t>结算完成后，甲方在收到乙方开具正式的增值税专用发票后</w:t>
      </w:r>
      <w:r>
        <w:rPr>
          <w:rFonts w:hint="eastAsia" w:ascii="宋体" w:hAnsi="宋体" w:eastAsia="宋体" w:cs="宋体"/>
          <w:bCs/>
          <w:color w:val="000000"/>
          <w:spacing w:val="4"/>
          <w:kern w:val="0"/>
          <w:sz w:val="24"/>
          <w:szCs w:val="24"/>
          <w:highlight w:val="none"/>
          <w:u w:val="single"/>
        </w:rPr>
        <w:t>30</w:t>
      </w:r>
      <w:r>
        <w:rPr>
          <w:rFonts w:hint="eastAsia" w:ascii="宋体" w:hAnsi="宋体" w:eastAsia="宋体" w:cs="宋体"/>
          <w:bCs/>
          <w:color w:val="000000"/>
          <w:spacing w:val="4"/>
          <w:kern w:val="0"/>
          <w:sz w:val="24"/>
          <w:szCs w:val="24"/>
          <w:highlight w:val="none"/>
        </w:rPr>
        <w:t>日内，向乙方支付当月结算金额的</w:t>
      </w:r>
      <w:r>
        <w:rPr>
          <w:rFonts w:hint="eastAsia" w:ascii="宋体" w:hAnsi="宋体" w:eastAsia="宋体" w:cs="宋体"/>
          <w:bCs/>
          <w:color w:val="000000"/>
          <w:spacing w:val="4"/>
          <w:kern w:val="0"/>
          <w:sz w:val="24"/>
          <w:szCs w:val="24"/>
          <w:highlight w:val="none"/>
          <w:u w:val="single"/>
          <w:lang w:val="en-US" w:eastAsia="zh-CN"/>
        </w:rPr>
        <w:t xml:space="preserve">   </w:t>
      </w:r>
      <w:r>
        <w:rPr>
          <w:rFonts w:hint="eastAsia" w:ascii="宋体" w:hAnsi="宋体" w:eastAsia="宋体" w:cs="宋体"/>
          <w:bCs/>
          <w:color w:val="000000"/>
          <w:spacing w:val="4"/>
          <w:kern w:val="0"/>
          <w:sz w:val="24"/>
          <w:szCs w:val="24"/>
          <w:highlight w:val="none"/>
          <w:u w:val="single"/>
        </w:rPr>
        <w:t>%</w:t>
      </w:r>
      <w:r>
        <w:rPr>
          <w:rFonts w:hint="eastAsia" w:ascii="宋体" w:hAnsi="宋体" w:eastAsia="宋体" w:cs="宋体"/>
          <w:bCs/>
          <w:color w:val="000000"/>
          <w:spacing w:val="4"/>
          <w:kern w:val="0"/>
          <w:sz w:val="24"/>
          <w:szCs w:val="24"/>
          <w:highlight w:val="none"/>
          <w:u w:val="none"/>
          <w:lang w:eastAsia="zh-CN"/>
        </w:rPr>
        <w:t>（根据项目资金情况约定货款支付比例）</w:t>
      </w:r>
      <w:r>
        <w:rPr>
          <w:rFonts w:hint="eastAsia" w:ascii="宋体" w:hAnsi="宋体" w:eastAsia="宋体" w:cs="宋体"/>
          <w:bCs/>
          <w:color w:val="000000"/>
          <w:spacing w:val="4"/>
          <w:kern w:val="0"/>
          <w:sz w:val="24"/>
          <w:szCs w:val="24"/>
          <w:highlight w:val="none"/>
        </w:rPr>
        <w:t>，</w:t>
      </w:r>
      <w:r>
        <w:rPr>
          <w:rFonts w:hint="eastAsia" w:ascii="宋体" w:hAnsi="宋体" w:eastAsia="宋体" w:cs="宋体"/>
          <w:bCs/>
          <w:color w:val="000000"/>
          <w:spacing w:val="4"/>
          <w:kern w:val="0"/>
          <w:sz w:val="24"/>
          <w:szCs w:val="24"/>
          <w:highlight w:val="none"/>
          <w:u w:val="single"/>
        </w:rPr>
        <w:t>60</w:t>
      </w:r>
      <w:r>
        <w:rPr>
          <w:rFonts w:hint="eastAsia" w:ascii="宋体" w:hAnsi="宋体" w:eastAsia="宋体" w:cs="宋体"/>
          <w:bCs/>
          <w:color w:val="000000"/>
          <w:spacing w:val="4"/>
          <w:kern w:val="0"/>
          <w:sz w:val="24"/>
          <w:szCs w:val="24"/>
          <w:highlight w:val="none"/>
        </w:rPr>
        <w:t>日内，向乙方支付当月结算金额的</w:t>
      </w:r>
      <w:r>
        <w:rPr>
          <w:rFonts w:hint="eastAsia" w:ascii="宋体" w:hAnsi="宋体" w:eastAsia="宋体" w:cs="宋体"/>
          <w:bCs/>
          <w:color w:val="000000"/>
          <w:spacing w:val="4"/>
          <w:kern w:val="0"/>
          <w:sz w:val="24"/>
          <w:szCs w:val="24"/>
          <w:highlight w:val="none"/>
          <w:u w:val="single"/>
          <w:lang w:val="en-US" w:eastAsia="zh-CN"/>
        </w:rPr>
        <w:t xml:space="preserve">  </w:t>
      </w:r>
      <w:r>
        <w:rPr>
          <w:rFonts w:hint="eastAsia" w:ascii="宋体" w:hAnsi="宋体" w:eastAsia="宋体" w:cs="宋体"/>
          <w:bCs/>
          <w:color w:val="000000"/>
          <w:spacing w:val="4"/>
          <w:kern w:val="0"/>
          <w:sz w:val="24"/>
          <w:szCs w:val="24"/>
          <w:highlight w:val="none"/>
          <w:u w:val="single"/>
        </w:rPr>
        <w:t>%</w:t>
      </w:r>
      <w:r>
        <w:rPr>
          <w:rFonts w:hint="eastAsia" w:ascii="宋体" w:hAnsi="宋体" w:eastAsia="宋体" w:cs="宋体"/>
          <w:bCs/>
          <w:color w:val="000000"/>
          <w:spacing w:val="4"/>
          <w:kern w:val="0"/>
          <w:sz w:val="24"/>
          <w:szCs w:val="24"/>
          <w:highlight w:val="none"/>
        </w:rPr>
        <w:t>。</w:t>
      </w:r>
      <w:r>
        <w:rPr>
          <w:rFonts w:hint="eastAsia" w:ascii="宋体" w:hAnsi="宋体" w:eastAsia="宋体" w:cs="宋体"/>
          <w:bCs/>
          <w:color w:val="000000"/>
          <w:kern w:val="0"/>
          <w:sz w:val="24"/>
          <w:szCs w:val="24"/>
          <w:highlight w:val="none"/>
        </w:rPr>
        <w:t>剩余</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rPr>
        <w:t>作为质保金，在质保期满后</w:t>
      </w:r>
      <w:r>
        <w:rPr>
          <w:rFonts w:hint="eastAsia" w:ascii="宋体" w:hAnsi="宋体" w:eastAsia="宋体" w:cs="宋体"/>
          <w:bCs/>
          <w:color w:val="000000"/>
          <w:kern w:val="0"/>
          <w:sz w:val="24"/>
          <w:szCs w:val="24"/>
          <w:highlight w:val="none"/>
          <w:u w:val="single"/>
        </w:rPr>
        <w:t>1</w:t>
      </w:r>
      <w:r>
        <w:rPr>
          <w:rFonts w:hint="eastAsia" w:ascii="宋体" w:hAnsi="宋体" w:eastAsia="宋体" w:cs="宋体"/>
          <w:bCs/>
          <w:color w:val="000000"/>
          <w:kern w:val="0"/>
          <w:sz w:val="24"/>
          <w:szCs w:val="24"/>
          <w:highlight w:val="none"/>
        </w:rPr>
        <w:t>个月内无息支付，</w:t>
      </w:r>
      <w:r>
        <w:rPr>
          <w:rFonts w:hint="eastAsia" w:ascii="宋体" w:hAnsi="宋体" w:eastAsia="宋体" w:cs="宋体"/>
          <w:bCs/>
          <w:color w:val="000000"/>
          <w:spacing w:val="4"/>
          <w:kern w:val="0"/>
          <w:sz w:val="24"/>
          <w:szCs w:val="24"/>
          <w:highlight w:val="none"/>
        </w:rPr>
        <w:t>如发生纠纷，则延后至纠纷最终解决后</w:t>
      </w:r>
      <w:r>
        <w:rPr>
          <w:rFonts w:hint="eastAsia" w:ascii="宋体" w:hAnsi="宋体" w:eastAsia="宋体" w:cs="宋体"/>
          <w:bCs/>
          <w:color w:val="000000"/>
          <w:spacing w:val="4"/>
          <w:kern w:val="0"/>
          <w:sz w:val="24"/>
          <w:szCs w:val="24"/>
          <w:highlight w:val="none"/>
          <w:u w:val="single"/>
        </w:rPr>
        <w:t>30</w:t>
      </w:r>
      <w:r>
        <w:rPr>
          <w:rFonts w:hint="eastAsia" w:ascii="宋体" w:hAnsi="宋体" w:eastAsia="宋体" w:cs="宋体"/>
          <w:bCs/>
          <w:color w:val="000000"/>
          <w:spacing w:val="4"/>
          <w:kern w:val="0"/>
          <w:sz w:val="24"/>
          <w:szCs w:val="24"/>
          <w:highlight w:val="none"/>
        </w:rPr>
        <w:t>天内付清。质量保证金的支付并不免除乙方对交付</w:t>
      </w:r>
      <w:r>
        <w:rPr>
          <w:rFonts w:hint="eastAsia" w:ascii="宋体" w:hAnsi="宋体" w:eastAsia="宋体" w:cs="宋体"/>
          <w:bCs/>
          <w:color w:val="000000"/>
          <w:kern w:val="0"/>
          <w:sz w:val="24"/>
          <w:szCs w:val="24"/>
          <w:highlight w:val="none"/>
        </w:rPr>
        <w:t>货物质量的保证责任。</w:t>
      </w:r>
    </w:p>
    <w:p w14:paraId="69611B6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pacing w:val="4"/>
          <w:kern w:val="0"/>
          <w:sz w:val="24"/>
          <w:szCs w:val="24"/>
          <w:highlight w:val="none"/>
        </w:rPr>
      </w:pPr>
      <w:r>
        <w:rPr>
          <w:rFonts w:hint="eastAsia" w:ascii="宋体" w:hAnsi="宋体" w:eastAsia="宋体" w:cs="宋体"/>
          <w:color w:val="000000"/>
          <w:sz w:val="24"/>
          <w:szCs w:val="24"/>
          <w:highlight w:val="none"/>
        </w:rPr>
        <w:t>7.4货款支付方式：</w:t>
      </w:r>
      <w:r>
        <w:rPr>
          <w:rFonts w:hint="eastAsia" w:ascii="宋体" w:hAnsi="宋体" w:eastAsia="宋体" w:cs="宋体"/>
          <w:color w:val="0070C0"/>
          <w:sz w:val="24"/>
          <w:szCs w:val="24"/>
          <w:highlight w:val="none"/>
        </w:rPr>
        <w:t xml:space="preserve"> </w:t>
      </w:r>
      <w:r>
        <w:rPr>
          <w:rFonts w:hint="eastAsia" w:ascii="宋体" w:hAnsi="宋体" w:eastAsia="宋体" w:cs="宋体"/>
          <w:bCs/>
          <w:color w:val="000000"/>
          <w:spacing w:val="4"/>
          <w:kern w:val="0"/>
          <w:sz w:val="24"/>
          <w:szCs w:val="24"/>
          <w:highlight w:val="none"/>
        </w:rPr>
        <w:t>银行转</w:t>
      </w:r>
      <w:r>
        <w:rPr>
          <w:rFonts w:hint="eastAsia" w:ascii="宋体" w:hAnsi="宋体" w:eastAsia="宋体" w:cs="宋体"/>
          <w:bCs/>
          <w:color w:val="000000"/>
          <w:spacing w:val="4"/>
          <w:kern w:val="0"/>
          <w:sz w:val="24"/>
          <w:szCs w:val="24"/>
          <w:highlight w:val="none"/>
          <w:lang w:eastAsia="zh-CN"/>
        </w:rPr>
        <w:t>账</w:t>
      </w:r>
      <w:r>
        <w:rPr>
          <w:rFonts w:hint="eastAsia" w:ascii="宋体" w:hAnsi="宋体" w:eastAsia="宋体" w:cs="宋体"/>
          <w:bCs/>
          <w:color w:val="000000"/>
          <w:spacing w:val="4"/>
          <w:kern w:val="0"/>
          <w:sz w:val="24"/>
          <w:szCs w:val="24"/>
          <w:highlight w:val="none"/>
        </w:rPr>
        <w:t>或银行承兑汇票、中铁E信、建行E信通、</w:t>
      </w:r>
      <w:r>
        <w:rPr>
          <w:rFonts w:hint="eastAsia" w:ascii="宋体" w:hAnsi="宋体" w:eastAsia="宋体" w:cs="宋体"/>
          <w:bCs/>
          <w:color w:val="000000"/>
          <w:spacing w:val="4"/>
          <w:kern w:val="0"/>
          <w:sz w:val="24"/>
          <w:szCs w:val="24"/>
          <w:highlight w:val="none"/>
          <w:lang w:eastAsia="zh-CN"/>
        </w:rPr>
        <w:t>招商云证等其它支付方式。</w:t>
      </w:r>
    </w:p>
    <w:p w14:paraId="7B7551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7.4.1银行转账:</w:t>
      </w:r>
    </w:p>
    <w:p w14:paraId="3D61B1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000000"/>
          <w:kern w:val="0"/>
          <w:sz w:val="24"/>
          <w:szCs w:val="24"/>
          <w:highlight w:val="none"/>
        </w:rPr>
        <w:t>结算价=基</w:t>
      </w:r>
      <w:r>
        <w:rPr>
          <w:rFonts w:hint="eastAsia" w:ascii="宋体" w:hAnsi="宋体" w:eastAsia="宋体" w:cs="宋体"/>
          <w:bCs/>
          <w:color w:val="auto"/>
          <w:kern w:val="0"/>
          <w:sz w:val="24"/>
          <w:szCs w:val="24"/>
          <w:highlight w:val="none"/>
        </w:rPr>
        <w:t>准价±</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元/t</w:t>
      </w:r>
    </w:p>
    <w:p w14:paraId="30535B07">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7.4.3金融票据：</w:t>
      </w:r>
    </w:p>
    <w:p w14:paraId="3056C89A">
      <w:pPr>
        <w:pageBreakBefore w:val="0"/>
        <w:kinsoku/>
        <w:wordWrap/>
        <w:overflowPunct/>
        <w:topLinePunct w:val="0"/>
        <w:bidi w:val="0"/>
        <w:snapToGrid/>
        <w:spacing w:line="400" w:lineRule="exact"/>
        <w:ind w:firstLine="480" w:firstLineChars="200"/>
        <w:textAlignment w:val="auto"/>
        <w:rPr>
          <w:rFonts w:hint="default" w:ascii="宋体" w:hAnsi="宋体" w:eastAsia="宋体" w:cs="宋体"/>
          <w:i/>
          <w:iCs/>
          <w:color w:val="auto"/>
          <w:sz w:val="24"/>
          <w:szCs w:val="24"/>
          <w:highlight w:val="none"/>
          <w:lang w:val="en-US" w:eastAsia="zh-CN"/>
        </w:rPr>
      </w:pP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中企云链、</w:t>
      </w:r>
      <w:r>
        <w:rPr>
          <w:rFonts w:hint="eastAsia" w:ascii="宋体" w:hAnsi="宋体" w:eastAsia="宋体" w:cs="宋体"/>
          <w:color w:val="auto"/>
          <w:sz w:val="24"/>
          <w:szCs w:val="24"/>
          <w:highlight w:val="none"/>
        </w:rPr>
        <w:t>中铁E信、E信通</w:t>
      </w:r>
      <w:r>
        <w:rPr>
          <w:rFonts w:hint="eastAsia" w:ascii="宋体" w:hAnsi="宋体" w:cs="宋体"/>
          <w:color w:val="auto"/>
          <w:sz w:val="24"/>
          <w:szCs w:val="24"/>
          <w:highlight w:val="none"/>
          <w:lang w:val="en-US" w:eastAsia="zh-CN"/>
        </w:rPr>
        <w:t>等其他金融票据</w:t>
      </w:r>
      <w:r>
        <w:rPr>
          <w:rFonts w:hint="eastAsia" w:ascii="宋体" w:hAnsi="宋体" w:eastAsia="宋体" w:cs="宋体"/>
          <w:color w:val="auto"/>
          <w:sz w:val="24"/>
          <w:szCs w:val="24"/>
          <w:highlight w:val="none"/>
        </w:rPr>
        <w:t>贴息费用</w:t>
      </w:r>
      <w:r>
        <w:rPr>
          <w:rFonts w:hint="eastAsia" w:ascii="宋体" w:hAnsi="宋体" w:cs="宋体"/>
          <w:color w:val="auto"/>
          <w:sz w:val="24"/>
          <w:szCs w:val="24"/>
          <w:highlight w:val="none"/>
          <w:lang w:val="en-US" w:eastAsia="zh-CN"/>
        </w:rPr>
        <w:t>由甲方据实承担。乙方提供相关票据贴息凭证。</w:t>
      </w:r>
    </w:p>
    <w:p w14:paraId="64FAE5BF">
      <w:pPr>
        <w:pageBreakBefore w:val="0"/>
        <w:kinsoku/>
        <w:wordWrap/>
        <w:overflowPunct/>
        <w:topLinePunct w:val="0"/>
        <w:bidi w:val="0"/>
        <w:snapToGrid/>
        <w:spacing w:line="400" w:lineRule="exact"/>
        <w:ind w:firstLine="364" w:firstLineChars="15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收款单位名称： </w:t>
      </w:r>
    </w:p>
    <w:p w14:paraId="584B4C4D">
      <w:pPr>
        <w:pageBreakBefore w:val="0"/>
        <w:kinsoku/>
        <w:wordWrap/>
        <w:overflowPunct/>
        <w:topLinePunct w:val="0"/>
        <w:bidi w:val="0"/>
        <w:snapToGrid/>
        <w:spacing w:line="400" w:lineRule="exact"/>
        <w:ind w:firstLine="364" w:firstLineChars="15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6BD1FE2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  号：</w:t>
      </w:r>
    </w:p>
    <w:p w14:paraId="4C6DC680">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乙方指定联系人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（身份证号：      ）</w:t>
      </w:r>
      <w:r>
        <w:rPr>
          <w:rFonts w:hint="eastAsia" w:ascii="宋体" w:hAnsi="宋体" w:eastAsia="宋体" w:cs="宋体"/>
          <w:sz w:val="24"/>
          <w:szCs w:val="24"/>
          <w:highlight w:val="none"/>
        </w:rPr>
        <w:t>，联系方式:        。</w:t>
      </w:r>
    </w:p>
    <w:p w14:paraId="4C1FCCE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7.5乙方在收到甲方支付的金融票据后，视为甲方已履行合同中约定的货款支付义务，乙方应在</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日内履行供货义务，若乙方未按照合同约定履行供货义务的，则</w:t>
      </w:r>
      <w:r>
        <w:rPr>
          <w:rFonts w:hint="eastAsia" w:ascii="宋体" w:hAnsi="宋体" w:eastAsia="宋体" w:cs="宋体"/>
          <w:i w:val="0"/>
          <w:iCs w:val="0"/>
          <w:color w:val="000000"/>
          <w:kern w:val="2"/>
          <w:sz w:val="24"/>
          <w:szCs w:val="24"/>
          <w:highlight w:val="none"/>
          <w:lang w:val="en-US" w:eastAsia="zh-CN" w:bidi="ar-SA"/>
        </w:rPr>
        <w:t>应承担违约责任。</w:t>
      </w:r>
    </w:p>
    <w:p w14:paraId="4E82661C">
      <w:pPr>
        <w:pageBreakBefore w:val="0"/>
        <w:kinsoku/>
        <w:wordWrap/>
        <w:overflowPunct/>
        <w:topLinePunct w:val="0"/>
        <w:bidi w:val="0"/>
        <w:snapToGrid/>
        <w:spacing w:line="400" w:lineRule="exact"/>
        <w:ind w:firstLine="600" w:firstLineChars="250"/>
        <w:jc w:val="center"/>
        <w:textAlignment w:val="auto"/>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eastAsia="宋体" w:cs="宋体"/>
          <w:bCs/>
          <w:kern w:val="0"/>
          <w:sz w:val="24"/>
          <w:szCs w:val="24"/>
          <w:highlight w:val="none"/>
        </w:rPr>
        <w:t>如甲方出现资金困难，乙方同意给予</w:t>
      </w:r>
      <w:r>
        <w:rPr>
          <w:rFonts w:hint="eastAsia" w:ascii="宋体" w:hAnsi="宋体" w:cs="宋体"/>
          <w:bCs/>
          <w:kern w:val="0"/>
          <w:sz w:val="24"/>
          <w:szCs w:val="24"/>
          <w:highlight w:val="none"/>
          <w:u w:val="single"/>
          <w:lang w:val="en-US" w:eastAsia="zh-CN"/>
        </w:rPr>
        <w:t>7天</w:t>
      </w:r>
      <w:r>
        <w:rPr>
          <w:rFonts w:hint="eastAsia" w:ascii="宋体" w:hAnsi="宋体" w:eastAsia="宋体" w:cs="宋体"/>
          <w:bCs/>
          <w:kern w:val="0"/>
          <w:sz w:val="24"/>
          <w:szCs w:val="24"/>
          <w:highlight w:val="none"/>
        </w:rPr>
        <w:t xml:space="preserve">的付款宽限期，在此宽期间内不视为甲方违约且不计息，乙方不得以此为由中断本项目的货物供应。 </w:t>
      </w:r>
    </w:p>
    <w:p w14:paraId="741A601B">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第八条 甲方的义务</w:t>
      </w:r>
    </w:p>
    <w:p w14:paraId="7B6EA5F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8.1 甲方负责提供供货计划和准确的交货地点。</w:t>
      </w:r>
    </w:p>
    <w:p w14:paraId="557775AA">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8.2 按合同约定支付合同价款。</w:t>
      </w:r>
    </w:p>
    <w:p w14:paraId="067FB4A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8.3 甲方不得无故拒绝接收供货计划范围内的物品。</w:t>
      </w:r>
    </w:p>
    <w:p w14:paraId="6492FDD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8.4 按合同约定对物品进行检验和验收。</w:t>
      </w:r>
    </w:p>
    <w:p w14:paraId="1036C5B6">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第九条 乙方的义务</w:t>
      </w:r>
    </w:p>
    <w:p w14:paraId="74B23AE7">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kern w:val="0"/>
          <w:sz w:val="24"/>
          <w:szCs w:val="24"/>
          <w:highlight w:val="none"/>
        </w:rPr>
        <w:t>9.1 乙方保质保量提供服务，所供钢材产品质量符合国家标准及相关规定。</w:t>
      </w:r>
      <w:r>
        <w:rPr>
          <w:rFonts w:hint="eastAsia" w:ascii="宋体" w:hAnsi="宋体" w:eastAsia="宋体" w:cs="宋体"/>
          <w:color w:val="000000"/>
          <w:sz w:val="24"/>
          <w:szCs w:val="24"/>
          <w:highlight w:val="none"/>
        </w:rPr>
        <w:t>甲方对采购物资原材料进行质量抽检时，乙方需无条件积极配合完成。</w:t>
      </w:r>
    </w:p>
    <w:p w14:paraId="1AD62A01">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9.2 乙方应在规定的时间内，准确无误地将产品送至甲方指定送货地点，并配合甲方验收，共同做好签认记录。</w:t>
      </w:r>
    </w:p>
    <w:p w14:paraId="4A1941EA">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9.3 乙方乙方承担装货、卸货的义务</w:t>
      </w:r>
      <w:r>
        <w:rPr>
          <w:rFonts w:hint="eastAsia" w:ascii="宋体" w:hAnsi="宋体" w:cs="宋体"/>
          <w:bCs/>
          <w:kern w:val="0"/>
          <w:sz w:val="24"/>
          <w:szCs w:val="24"/>
          <w:highlight w:val="none"/>
          <w:lang w:eastAsia="zh-CN"/>
        </w:rPr>
        <w:t>，</w:t>
      </w:r>
      <w:r>
        <w:rPr>
          <w:rFonts w:hint="eastAsia" w:ascii="宋体" w:hAnsi="宋体" w:eastAsia="宋体" w:cs="宋体"/>
          <w:bCs/>
          <w:kern w:val="0"/>
          <w:sz w:val="24"/>
          <w:szCs w:val="24"/>
          <w:highlight w:val="none"/>
        </w:rPr>
        <w:t>做好所供钢材进场工作，保证顺利卸货退场，确保供料正常进行。</w:t>
      </w:r>
    </w:p>
    <w:p w14:paraId="48775865">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9.4 乙方有义务协助甲方调剂非乙方原因造成的乙方所供应的多余产品。</w:t>
      </w:r>
    </w:p>
    <w:p w14:paraId="1F935A5B">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9.5 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14:paraId="374693FA">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9.6</w:t>
      </w:r>
      <w:r>
        <w:rPr>
          <w:rFonts w:hint="eastAsia" w:ascii="宋体" w:hAnsi="宋体" w:eastAsia="宋体" w:cs="宋体"/>
          <w:color w:val="000000"/>
          <w:sz w:val="24"/>
          <w:szCs w:val="24"/>
          <w:highlight w:val="none"/>
        </w:rPr>
        <w:t>乙方积极协助甲方在税法规定期限内办理有关的进项税额的认证申办手续。乙方开具的增值税专用发票在送达甲方后如发生丢失、灭失，乙方应当按照税法规定和甲方的要求及时向甲方提供该发票的存根联复印件，如因乙方拒绝履行配合义务，造成甲方经济损失的，应由乙方承担。</w:t>
      </w:r>
      <w:r>
        <w:rPr>
          <w:rFonts w:hint="eastAsia" w:ascii="宋体" w:hAnsi="宋体" w:eastAsia="宋体" w:cs="宋体"/>
          <w:color w:val="000000"/>
          <w:sz w:val="24"/>
          <w:szCs w:val="24"/>
          <w:highlight w:val="none"/>
        </w:rPr>
        <w:br w:type="textWrapping"/>
      </w: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bCs/>
          <w:kern w:val="0"/>
          <w:sz w:val="24"/>
          <w:szCs w:val="24"/>
          <w:highlight w:val="none"/>
        </w:rPr>
        <w:t>9.7 在涉及到钢材质量问题的退货行为时,如果退货行为涉及到开具红字增值税专用发票的行为,乙方应当履行相关协助义务。</w:t>
      </w:r>
    </w:p>
    <w:p w14:paraId="5DD3AABB">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9.8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14:paraId="19495768">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9.9乙方其他义务：</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2F6954DE">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第十条 违约责任</w:t>
      </w:r>
    </w:p>
    <w:p w14:paraId="002359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10.1甲方在宽限期后，仍逾期支付货款的（乙方未履行向甲方开具增值税专用发票等合同约定的义务除外），甲方对逾期付款部分从宽限期满的次日起向乙方支付违约金及利息。违约金及利息按</w:t>
      </w:r>
      <w:r>
        <w:rPr>
          <w:rFonts w:hint="eastAsia" w:ascii="宋体" w:hAnsi="宋体" w:cs="宋体"/>
          <w:sz w:val="24"/>
          <w:szCs w:val="24"/>
          <w:highlight w:val="none"/>
          <w:lang w:val="en-US" w:eastAsia="zh-CN"/>
        </w:rPr>
        <w:t>同期LPR利率</w:t>
      </w:r>
      <w:r>
        <w:rPr>
          <w:rFonts w:hint="eastAsia" w:ascii="宋体" w:hAnsi="宋体" w:eastAsia="宋体" w:cs="宋体"/>
          <w:sz w:val="24"/>
          <w:szCs w:val="24"/>
          <w:highlight w:val="none"/>
        </w:rPr>
        <w:t>计算，计算的基数以甲方最后一笔付款时剩余欠款金额为准，不包括前期逾期但现已支付部分的货款，违约金及利息最高不得超过本合同项下双方结算价款（不含增值税）的1%。除此之外，甲方不再承担其他任何违约责任。</w:t>
      </w:r>
    </w:p>
    <w:p w14:paraId="0E41B9C7">
      <w:pPr>
        <w:pageBreakBefore w:val="0"/>
        <w:tabs>
          <w:tab w:val="left" w:pos="900"/>
        </w:tabs>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10.2 乙方不能随车提供质保书和其他单证的，甲方有权拒绝收货，乙方应承担退货等责任和费用，并向甲方支付未提供单证的货款金额的</w:t>
      </w:r>
      <w:r>
        <w:rPr>
          <w:rFonts w:hint="eastAsia" w:ascii="宋体" w:hAnsi="宋体" w:cs="宋体"/>
          <w:bCs/>
          <w:kern w:val="0"/>
          <w:sz w:val="24"/>
          <w:szCs w:val="24"/>
          <w:highlight w:val="none"/>
          <w:u w:val="single"/>
          <w:lang w:eastAsia="zh-CN"/>
        </w:rPr>
        <w:t>1%</w:t>
      </w:r>
      <w:r>
        <w:rPr>
          <w:rFonts w:hint="eastAsia" w:ascii="宋体" w:hAnsi="宋体" w:eastAsia="宋体" w:cs="宋体"/>
          <w:bCs/>
          <w:kern w:val="0"/>
          <w:sz w:val="24"/>
          <w:szCs w:val="24"/>
          <w:highlight w:val="none"/>
        </w:rPr>
        <w:t>的违约金，并由此承担给甲方造成的损失。</w:t>
      </w:r>
    </w:p>
    <w:p w14:paraId="58A8FCE0">
      <w:pPr>
        <w:pageBreakBefore w:val="0"/>
        <w:tabs>
          <w:tab w:val="left" w:pos="900"/>
        </w:tabs>
        <w:kinsoku/>
        <w:wordWrap/>
        <w:overflowPunct/>
        <w:topLinePunct w:val="0"/>
        <w:bidi w:val="0"/>
        <w:snapToGrid/>
        <w:spacing w:line="400" w:lineRule="exact"/>
        <w:ind w:firstLine="360" w:firstLineChars="15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10.3 乙方逾期交货的，每逾期一日，按照逾期交货金额的</w:t>
      </w:r>
      <w:r>
        <w:rPr>
          <w:rFonts w:hint="eastAsia" w:ascii="宋体" w:hAnsi="宋体" w:cs="宋体"/>
          <w:bCs/>
          <w:kern w:val="0"/>
          <w:sz w:val="24"/>
          <w:szCs w:val="24"/>
          <w:highlight w:val="none"/>
          <w:u w:val="single"/>
          <w:lang w:eastAsia="zh-CN"/>
        </w:rPr>
        <w:t>1%</w:t>
      </w:r>
      <w:r>
        <w:rPr>
          <w:rFonts w:hint="eastAsia" w:ascii="宋体" w:hAnsi="宋体" w:eastAsia="宋体" w:cs="宋体"/>
          <w:bCs/>
          <w:kern w:val="0"/>
          <w:sz w:val="24"/>
          <w:szCs w:val="24"/>
          <w:highlight w:val="none"/>
        </w:rPr>
        <w:t>向甲方支付逾期交货的违约金，甲方视工程进度情况有权向第三方采购或部分采购产品，所增加的费用由乙方承担；如逾期超过</w:t>
      </w:r>
      <w:r>
        <w:rPr>
          <w:rFonts w:hint="eastAsia" w:ascii="宋体" w:hAnsi="宋体" w:eastAsia="宋体" w:cs="宋体"/>
          <w:bCs/>
          <w:kern w:val="0"/>
          <w:sz w:val="24"/>
          <w:szCs w:val="24"/>
          <w:highlight w:val="none"/>
          <w:u w:val="single"/>
        </w:rPr>
        <w:t>3</w:t>
      </w:r>
      <w:r>
        <w:rPr>
          <w:rFonts w:hint="eastAsia" w:ascii="宋体" w:hAnsi="宋体" w:eastAsia="宋体" w:cs="宋体"/>
          <w:bCs/>
          <w:kern w:val="0"/>
          <w:sz w:val="24"/>
          <w:szCs w:val="24"/>
          <w:highlight w:val="none"/>
        </w:rPr>
        <w:t>日，则甲方有权解除合同，乙方应承担由此给甲方造成的一切损失。</w:t>
      </w:r>
    </w:p>
    <w:p w14:paraId="6BF86F0F">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10.4 乙方所交产品的品种、型号、规格和质量等不符合合同约定的，乙方应按照甲方异议时提出的要求处理，由此产生的费用由乙方自行承担。如在甲方指定的期限内，乙方产品仍不能达到合同约定条件或甲方要求的，乙方按本批次所交产品金额的</w:t>
      </w:r>
      <w:r>
        <w:rPr>
          <w:rFonts w:hint="eastAsia" w:ascii="宋体" w:hAnsi="宋体" w:cs="宋体"/>
          <w:bCs/>
          <w:kern w:val="0"/>
          <w:sz w:val="24"/>
          <w:szCs w:val="24"/>
          <w:highlight w:val="none"/>
          <w:u w:val="single"/>
          <w:lang w:eastAsia="zh-CN"/>
        </w:rPr>
        <w:t>1%</w:t>
      </w:r>
      <w:r>
        <w:rPr>
          <w:rFonts w:hint="eastAsia" w:ascii="宋体" w:hAnsi="宋体" w:eastAsia="宋体" w:cs="宋体"/>
          <w:bCs/>
          <w:kern w:val="0"/>
          <w:sz w:val="24"/>
          <w:szCs w:val="24"/>
          <w:highlight w:val="none"/>
        </w:rPr>
        <w:t>支付违约金；逾期超过指定期限</w:t>
      </w:r>
      <w:r>
        <w:rPr>
          <w:rFonts w:hint="eastAsia" w:ascii="宋体" w:hAnsi="宋体" w:eastAsia="宋体" w:cs="宋体"/>
          <w:bCs/>
          <w:kern w:val="0"/>
          <w:sz w:val="24"/>
          <w:szCs w:val="24"/>
          <w:highlight w:val="none"/>
          <w:u w:val="single"/>
        </w:rPr>
        <w:t>7</w:t>
      </w:r>
      <w:r>
        <w:rPr>
          <w:rFonts w:hint="eastAsia" w:ascii="宋体" w:hAnsi="宋体" w:eastAsia="宋体" w:cs="宋体"/>
          <w:bCs/>
          <w:kern w:val="0"/>
          <w:sz w:val="24"/>
          <w:szCs w:val="24"/>
          <w:highlight w:val="none"/>
        </w:rPr>
        <w:t>日的，甲方有权解除本合同，由此给甲方造成的损失由乙方承担。</w:t>
      </w:r>
    </w:p>
    <w:p w14:paraId="28463069">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10.5 乙方多送产品到达甲方指定地点的，甲方有权拒绝接收多交部分产品，退场责任和费用由乙方自行负责；如乙方拒绝收回多交部分产品的，甲方有权自行处理上述货物，造成的损失由乙方承担。</w:t>
      </w:r>
    </w:p>
    <w:p w14:paraId="7E7AA19D">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10.6 </w:t>
      </w:r>
      <w:r>
        <w:rPr>
          <w:rFonts w:hint="eastAsia" w:ascii="宋体" w:hAnsi="宋体" w:cs="宋体"/>
          <w:bCs/>
          <w:kern w:val="0"/>
          <w:sz w:val="24"/>
          <w:szCs w:val="24"/>
          <w:highlight w:val="none"/>
          <w:lang w:val="en-US" w:eastAsia="zh-CN"/>
        </w:rPr>
        <w:t>甲方未逾期支付货款情况下，</w:t>
      </w:r>
      <w:r>
        <w:rPr>
          <w:rFonts w:hint="eastAsia" w:ascii="宋体" w:hAnsi="宋体" w:eastAsia="宋体" w:cs="宋体"/>
          <w:bCs/>
          <w:kern w:val="0"/>
          <w:sz w:val="24"/>
          <w:szCs w:val="24"/>
          <w:highlight w:val="none"/>
        </w:rPr>
        <w:t>乙方不得擅自停止供货，否则甲方有权重新选择其它供应商，同时乙方承担本合同第一条中含增值税总价</w:t>
      </w:r>
      <w:r>
        <w:rPr>
          <w:rFonts w:hint="eastAsia" w:ascii="宋体" w:hAnsi="宋体" w:eastAsia="宋体" w:cs="宋体"/>
          <w:bCs/>
          <w:color w:val="000000"/>
          <w:kern w:val="0"/>
          <w:sz w:val="24"/>
          <w:szCs w:val="24"/>
          <w:highlight w:val="none"/>
          <w:u w:val="single"/>
          <w:lang w:val="en-US" w:eastAsia="zh-CN"/>
        </w:rPr>
        <w:t>1</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kern w:val="0"/>
          <w:sz w:val="24"/>
          <w:szCs w:val="24"/>
          <w:highlight w:val="none"/>
        </w:rPr>
        <w:t>的违约金并赔偿断货给甲方造成的一切损失。</w:t>
      </w:r>
    </w:p>
    <w:p w14:paraId="54E80DE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kern w:val="0"/>
          <w:sz w:val="24"/>
          <w:szCs w:val="24"/>
          <w:highlight w:val="none"/>
        </w:rPr>
        <w:t>0.7乙方未能按甲方要求提供增值税专用发票（含税务机关代开），甲方有权拒付相应货款。</w:t>
      </w:r>
    </w:p>
    <w:p w14:paraId="2B470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10.8若因逾期送达发票造成甲方无法抵扣发票相应税款的，乙方还应赔偿甲方由此遭受的损失，金额相当于逾期送达发票可抵扣金额，并加收按逾期送达发票金额</w:t>
      </w:r>
      <w:r>
        <w:rPr>
          <w:rFonts w:hint="eastAsia" w:ascii="宋体" w:hAnsi="宋体" w:eastAsia="宋体" w:cs="宋体"/>
          <w:sz w:val="24"/>
          <w:szCs w:val="24"/>
          <w:highlight w:val="none"/>
          <w:u w:val="single"/>
        </w:rPr>
        <w:t>_</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_</w:t>
      </w:r>
      <w:r>
        <w:rPr>
          <w:rFonts w:hint="eastAsia" w:ascii="宋体" w:hAnsi="宋体" w:eastAsia="宋体" w:cs="宋体"/>
          <w:sz w:val="24"/>
          <w:szCs w:val="24"/>
          <w:highlight w:val="none"/>
        </w:rPr>
        <w:t>%的违约金。</w:t>
      </w:r>
    </w:p>
    <w:p w14:paraId="0D5D64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10.9乙方应提供真实、有效、合格的发票，如发现乙方提供虚假发票或虚开增值税专用发票的情况，乙方须按发票金额的</w:t>
      </w:r>
      <w:r>
        <w:rPr>
          <w:rFonts w:hint="eastAsia" w:ascii="宋体" w:hAnsi="宋体" w:eastAsia="宋体" w:cs="宋体"/>
          <w:sz w:val="24"/>
          <w:szCs w:val="24"/>
          <w:highlight w:val="none"/>
          <w:u w:val="single"/>
        </w:rPr>
        <w:t>_</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_</w:t>
      </w:r>
      <w:r>
        <w:rPr>
          <w:rFonts w:hint="eastAsia" w:ascii="宋体" w:hAnsi="宋体" w:eastAsia="宋体" w:cs="宋体"/>
          <w:sz w:val="24"/>
          <w:szCs w:val="24"/>
          <w:highlight w:val="none"/>
        </w:rPr>
        <w:t>%向甲方支付违约金，并承担对甲方造成的全部损失。由于乙方原因造成甲方无法抵扣相应税款，发现问题后退回，乙方应无条件更换为有效发票，拒绝或逾期不更换发票的，造成甲方损失及相关风险，由乙方予以承担。发生上述情况时，甲方有权选择解除合同。</w:t>
      </w:r>
    </w:p>
    <w:p w14:paraId="1C303713">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10.10乙方有义务配合甲方接受税务机关、审计部门、纪检部门的检查工作，如果乙方拒不配合，由乙方支付</w:t>
      </w:r>
      <w:r>
        <w:rPr>
          <w:rFonts w:hint="eastAsia" w:ascii="宋体" w:hAnsi="宋体" w:eastAsia="宋体" w:cs="宋体"/>
          <w:sz w:val="24"/>
          <w:szCs w:val="24"/>
          <w:highlight w:val="none"/>
          <w:u w:val="single"/>
        </w:rPr>
        <w:t>_五万_</w:t>
      </w:r>
      <w:r>
        <w:rPr>
          <w:rFonts w:hint="eastAsia" w:ascii="宋体" w:hAnsi="宋体" w:eastAsia="宋体" w:cs="宋体"/>
          <w:sz w:val="24"/>
          <w:szCs w:val="24"/>
          <w:highlight w:val="none"/>
        </w:rPr>
        <w:t>元的违约金，并承担对甲方造成的损失。</w:t>
      </w:r>
    </w:p>
    <w:p w14:paraId="6C276828">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10.11乙方保证提供的产品、服务不侵犯任何第三方知识产权和其他任何权利。任何第三方提出侵权指控时，乙方负责与第三方交涉并承担一切可能发生的经济上、法律上的责任，由此给甲方带来损失的，乙方无条件予以赔偿。</w:t>
      </w:r>
    </w:p>
    <w:p w14:paraId="16A52A38">
      <w:pPr>
        <w:spacing w:line="4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10.12如乙方被发包人、甲方上级单位或甲方列入“限制交易供应商名单”、“不合格供应商名单”、“供应商黑名单”或“关注类供方清单”等限制交易名单，甲方可以单方解除合同，解除合同的一切后果由乙方承担。</w:t>
      </w:r>
    </w:p>
    <w:p w14:paraId="573CA75B">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10.13 严禁乙方使用甲方的名称、字号、商标、LOGO及其他显著标识开展经营活动，否则甲方有权单方解除合同，乙方应赔偿甲方的一切损失。</w:t>
      </w:r>
    </w:p>
    <w:p w14:paraId="261EBD31">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10.1</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zh-CN"/>
        </w:rPr>
        <w:t xml:space="preserve"> 乙方其他违约责任：。</w:t>
      </w:r>
    </w:p>
    <w:p w14:paraId="5CF8B39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第十一条 争议解决</w:t>
      </w:r>
    </w:p>
    <w:p w14:paraId="3910535B">
      <w:pPr>
        <w:pageBreakBefore w:val="0"/>
        <w:widowControl/>
        <w:tabs>
          <w:tab w:val="left" w:pos="8364"/>
        </w:tabs>
        <w:kinsoku/>
        <w:wordWrap/>
        <w:overflowPunct/>
        <w:topLinePunct w:val="0"/>
        <w:bidi w:val="0"/>
        <w:snapToGrid/>
        <w:spacing w:line="400" w:lineRule="exact"/>
        <w:ind w:firstLine="48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bidi="ar-SA"/>
        </w:rPr>
        <w:t>11.1</w:t>
      </w:r>
      <w:r>
        <w:rPr>
          <w:rFonts w:hint="eastAsia"/>
          <w:color w:val="auto"/>
          <w:sz w:val="24"/>
          <w:szCs w:val="24"/>
          <w:highlight w:val="none"/>
          <w:lang w:val="zh-CN" w:eastAsia="zh-CN"/>
        </w:rPr>
        <w:t>甲、乙双方一致同意本协议项下的所有争议均提交甲方（即采购方）住所地人民法院管辖进行裁决。</w:t>
      </w:r>
    </w:p>
    <w:p w14:paraId="19FC94B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color w:val="FF0000"/>
          <w:kern w:val="0"/>
          <w:sz w:val="24"/>
          <w:szCs w:val="24"/>
          <w:highlight w:val="none"/>
          <w:lang w:val="zh-CN"/>
        </w:rPr>
      </w:pPr>
      <w:r>
        <w:rPr>
          <w:rFonts w:hint="eastAsia" w:ascii="宋体" w:hAnsi="宋体" w:eastAsia="宋体" w:cs="宋体"/>
          <w:b/>
          <w:bCs/>
          <w:kern w:val="44"/>
          <w:sz w:val="24"/>
          <w:szCs w:val="24"/>
          <w:highlight w:val="none"/>
        </w:rPr>
        <w:t xml:space="preserve">第十二条　廉政条款 </w:t>
      </w:r>
    </w:p>
    <w:p w14:paraId="53E3772B">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highlight w:val="none"/>
          <w:lang w:val="zh-CN"/>
        </w:rPr>
      </w:pPr>
      <w:r>
        <w:rPr>
          <w:rFonts w:hint="eastAsia" w:ascii="宋体" w:hAnsi="宋体" w:eastAsia="宋体" w:cs="宋体"/>
          <w:kern w:val="0"/>
          <w:sz w:val="24"/>
          <w:szCs w:val="24"/>
          <w:highlight w:val="none"/>
        </w:rPr>
        <w:t>12.1甲方（含甲方人员）义务</w:t>
      </w:r>
    </w:p>
    <w:p w14:paraId="205F51A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highlight w:val="none"/>
        </w:rPr>
        <w:t>12.1.1不得接受乙方或向乙方索取或以借用为名占用乙方的</w:t>
      </w:r>
      <w:r>
        <w:rPr>
          <w:rFonts w:hint="eastAsia" w:ascii="宋体" w:hAnsi="宋体" w:eastAsia="宋体" w:cs="宋体"/>
          <w:kern w:val="0"/>
          <w:sz w:val="24"/>
          <w:szCs w:val="24"/>
        </w:rPr>
        <w:t>任何财物；不得接受乙方的礼金、礼品和各种有价证券、支付凭证；不得接受乙方的任何奖金或其他经济利益。</w:t>
      </w:r>
    </w:p>
    <w:p w14:paraId="45CBB0B2">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12.1.2不从乙方报销或支付应由本单位或个人承担的费用；不得接受乙方提供的宴请、旅游、健身、娱乐等活动安排；在婚丧喜庆等活动中不邀请乙方人员参加、不接受乙方的财物。</w:t>
      </w:r>
    </w:p>
    <w:p w14:paraId="1840163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12.1.3不得利用职务便利向乙方介绍或指定工程分包单位（或个人）、物资供应商；不得利用职务便利向乙方推销或指定使用物资设备等；不得借用、占用乙方车辆。</w:t>
      </w:r>
    </w:p>
    <w:p w14:paraId="75CF7641">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12.1.4对无法拒绝的乙方及其个人所送的钱物，应在一个月内报告上级纪检监察组织，并及时退还乙方或上缴纪检监察组织。</w:t>
      </w:r>
    </w:p>
    <w:p w14:paraId="483FFA99">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12.1.5对乙方提供的有关信息，应及时调查处理并反馈结果。</w:t>
      </w:r>
    </w:p>
    <w:p w14:paraId="5B2A89C1">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12.2乙方（含乙方人员）义务</w:t>
      </w:r>
    </w:p>
    <w:p w14:paraId="0211C9AA">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12.2.1不得以任何形式向甲方行贿；不得向甲方送礼金、礼品和各种有价证券、支付凭证；不得向甲方赠送任何奖金或其他经济利益。</w:t>
      </w:r>
    </w:p>
    <w:p w14:paraId="10023B0B">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12.2.2不得为甲方报销或支付应由其单位或个人承担的费用；不向甲方提供宴请、旅游、健身、娱乐等活动；不参加甲方人员的婚丧喜庆等活动，不向甲方家庭成员及亲属赠送任何礼金、礼品。</w:t>
      </w:r>
    </w:p>
    <w:p w14:paraId="14B992D8">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12.2.3不接受甲方介绍或指定的工程分包单位和物资供应商；不接受甲方推销或指定使用的物资设备，不向甲方无偿提供车辆等。</w:t>
      </w:r>
    </w:p>
    <w:p w14:paraId="7D99EA0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12.2.4对甲方及其个人索要钱物、介绍或指定工程分包单位和物资供应商、推销或指定使用物资设备、借用占用车辆等行为予以拒绝，并及时主动向本单位（本系统）上级纪检监察组织报告。</w:t>
      </w:r>
    </w:p>
    <w:p w14:paraId="2FFBA59C">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12.2.5对甲方提供的有关信息，应及时调查处理并反馈结果。</w:t>
      </w:r>
    </w:p>
    <w:p w14:paraId="7B540E88">
      <w:pPr>
        <w:pageBreakBefore w:val="0"/>
        <w:widowControl/>
        <w:tabs>
          <w:tab w:val="left" w:pos="8364"/>
        </w:tabs>
        <w:kinsoku/>
        <w:wordWrap/>
        <w:overflowPunct/>
        <w:topLinePunct w:val="0"/>
        <w:bidi w:val="0"/>
        <w:snapToGrid/>
        <w:spacing w:line="400" w:lineRule="exact"/>
        <w:ind w:left="488" w:leftChars="228" w:hanging="9" w:hangingChars="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12.3.双方违约责任追究</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12.3.1甲乙双方不履行各自义务，构成犯罪和违纪的，由司法机关和有关</w:t>
      </w:r>
    </w:p>
    <w:p w14:paraId="49EFE0E2">
      <w:pPr>
        <w:pageBreakBefore w:val="0"/>
        <w:widowControl/>
        <w:tabs>
          <w:tab w:val="left" w:pos="8364"/>
        </w:tabs>
        <w:kinsoku/>
        <w:wordWrap/>
        <w:overflowPunct/>
        <w:topLinePunct w:val="0"/>
        <w:bidi w:val="0"/>
        <w:snapToGrid/>
        <w:spacing w:line="400" w:lineRule="exact"/>
        <w:jc w:val="left"/>
        <w:textAlignment w:val="auto"/>
        <w:rPr>
          <w:rFonts w:hint="eastAsia" w:ascii="宋体" w:hAnsi="宋体" w:eastAsia="宋体" w:cs="宋体"/>
          <w:color w:val="FF0000"/>
          <w:kern w:val="0"/>
          <w:sz w:val="24"/>
          <w:szCs w:val="24"/>
          <w:lang w:val="zh-CN"/>
        </w:rPr>
      </w:pPr>
      <w:r>
        <w:rPr>
          <w:rFonts w:hint="eastAsia" w:ascii="宋体" w:hAnsi="宋体" w:eastAsia="宋体" w:cs="宋体"/>
          <w:kern w:val="0"/>
          <w:sz w:val="24"/>
          <w:szCs w:val="24"/>
        </w:rPr>
        <w:t>纪检监察部门按管辖依法依纪处理，所认定的事实和处理结果作为承担下列约定违约责任的依据。</w:t>
      </w:r>
    </w:p>
    <w:p w14:paraId="096476F0">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12.3.2甲方向乙方索贿，甲方向乙方支付违约金五万元，乙方主动向甲方行贿，乙方向甲方支付违约金五万元。造成的直接经济损失，由采取主动行为先行违反义务一方承担。</w:t>
      </w:r>
    </w:p>
    <w:p w14:paraId="23C15616">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第十</w:t>
      </w:r>
      <w:r>
        <w:rPr>
          <w:rFonts w:hint="eastAsia" w:ascii="宋体" w:hAnsi="宋体" w:cs="宋体"/>
          <w:b/>
          <w:bCs/>
          <w:kern w:val="44"/>
          <w:sz w:val="24"/>
          <w:szCs w:val="24"/>
          <w:lang w:eastAsia="zh-CN"/>
        </w:rPr>
        <w:t>三</w:t>
      </w:r>
      <w:r>
        <w:rPr>
          <w:rFonts w:hint="eastAsia" w:ascii="宋体" w:hAnsi="宋体" w:eastAsia="宋体" w:cs="宋体"/>
          <w:b/>
          <w:bCs/>
          <w:kern w:val="44"/>
          <w:sz w:val="24"/>
          <w:szCs w:val="24"/>
        </w:rPr>
        <w:t>条　不可抗力：</w:t>
      </w:r>
    </w:p>
    <w:p w14:paraId="03EFE535">
      <w:pPr>
        <w:pageBreakBefore w:val="0"/>
        <w:kinsoku/>
        <w:wordWrap/>
        <w:overflowPunct/>
        <w:topLinePunct w:val="0"/>
        <w:bidi w:val="0"/>
        <w:snapToGrid/>
        <w:spacing w:line="400" w:lineRule="exact"/>
        <w:ind w:firstLine="480" w:firstLineChars="200"/>
        <w:textAlignment w:val="auto"/>
        <w:rPr>
          <w:rFonts w:hint="eastAsia" w:ascii="Times New Roman" w:hAnsi="Times New Roman" w:cs="Times New Roman"/>
          <w:szCs w:val="20"/>
        </w:rPr>
      </w:pPr>
      <w:r>
        <w:rPr>
          <w:rFonts w:hint="eastAsia" w:ascii="宋体" w:hAnsi="宋体" w:eastAsia="宋体" w:cs="宋体"/>
          <w:color w:val="000000"/>
          <w:sz w:val="24"/>
          <w:szCs w:val="24"/>
        </w:rPr>
        <w:t>任何一方由于不可抗力原因不能履行合同时，应在不可抗力事件发生后小时内通知对方，并在不可抗力事件结束后</w:t>
      </w:r>
      <w:r>
        <w:rPr>
          <w:rFonts w:hint="eastAsia" w:ascii="宋体" w:hAnsi="宋体" w:eastAsia="宋体" w:cs="宋体"/>
          <w:color w:val="000000"/>
          <w:sz w:val="24"/>
          <w:szCs w:val="24"/>
          <w:u w:val="single"/>
        </w:rPr>
        <w:t>_7_</w:t>
      </w:r>
      <w:r>
        <w:rPr>
          <w:rFonts w:hint="eastAsia" w:ascii="宋体" w:hAnsi="宋体" w:eastAsia="宋体" w:cs="宋体"/>
          <w:color w:val="000000"/>
          <w:sz w:val="24"/>
          <w:szCs w:val="24"/>
        </w:rPr>
        <w:t>日内将有权机构出具的不可抗力证明提交对方后，允许延期履行、部分履行或者不履行合同，并根据情况可部分或全部免予承担违约责任。</w:t>
      </w:r>
    </w:p>
    <w:p w14:paraId="74CC95A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第十</w:t>
      </w:r>
      <w:r>
        <w:rPr>
          <w:rFonts w:hint="eastAsia" w:ascii="宋体" w:hAnsi="宋体" w:cs="宋体"/>
          <w:b/>
          <w:bCs/>
          <w:kern w:val="44"/>
          <w:sz w:val="24"/>
          <w:szCs w:val="24"/>
          <w:lang w:eastAsia="zh-CN"/>
        </w:rPr>
        <w:t>四</w:t>
      </w:r>
      <w:r>
        <w:rPr>
          <w:rFonts w:hint="eastAsia" w:ascii="宋体" w:hAnsi="宋体" w:eastAsia="宋体" w:cs="宋体"/>
          <w:b/>
          <w:bCs/>
          <w:kern w:val="44"/>
          <w:sz w:val="24"/>
          <w:szCs w:val="24"/>
        </w:rPr>
        <w:t>条 其他事项</w:t>
      </w:r>
    </w:p>
    <w:p w14:paraId="175AED57">
      <w:pPr>
        <w:spacing w:line="44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14.1</w:t>
      </w:r>
      <w:r>
        <w:rPr>
          <w:rFonts w:hint="eastAsia" w:ascii="宋体" w:hAnsi="宋体" w:eastAsia="宋体" w:cs="宋体"/>
          <w:color w:val="000000"/>
          <w:kern w:val="2"/>
          <w:sz w:val="24"/>
          <w:szCs w:val="24"/>
          <w:highlight w:val="none"/>
          <w:lang w:val="en-US" w:eastAsia="zh-CN" w:bidi="ar-SA"/>
        </w:rPr>
        <w:t xml:space="preserve"> 本合同如有未尽事宜，双方协商签订书面补充协议。补充协议作为本合同的组成部分，与本合同具有同等法律效力。</w:t>
      </w:r>
    </w:p>
    <w:p w14:paraId="48C34F46">
      <w:pPr>
        <w:spacing w:line="44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14.1.1未经甲乙双方当事人一致同意，未签订书面补充协议，乙方单方供货形成的订（送）货单、凭证等交易手续文件中载明的内容，均与甲方无关；若存在甲方区域中心或甲方任何人员向乙方出具的未加盖甲方公章（或合同章）的说明或承诺的情况，乙方应在收到说明、承诺之日起3日内及时与甲方进行确认，若未经确认进行结算的，造成的责任由乙方承担；若经甲方核实，与本合同约定内容不符的，则以本合同约定为准。</w:t>
      </w:r>
    </w:p>
    <w:p w14:paraId="48FD3D78">
      <w:pPr>
        <w:pageBreakBefore w:val="0"/>
        <w:tabs>
          <w:tab w:val="left" w:pos="360"/>
        </w:tabs>
        <w:kinsoku/>
        <w:wordWrap/>
        <w:overflowPunct/>
        <w:topLinePunct w:val="0"/>
        <w:bidi w:val="0"/>
        <w:snapToGrid/>
        <w:spacing w:line="400" w:lineRule="exact"/>
        <w:ind w:firstLine="400" w:firstLineChars="167"/>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14.1.2</w:t>
      </w:r>
      <w:r>
        <w:rPr>
          <w:rFonts w:hint="eastAsia" w:ascii="宋体" w:hAnsi="宋体" w:eastAsia="宋体" w:cs="宋体"/>
          <w:color w:val="000000"/>
          <w:sz w:val="24"/>
          <w:szCs w:val="24"/>
          <w:highlight w:val="none"/>
        </w:rPr>
        <w:t>本合同项下的债权不得转让，不得用于保理等融资业务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也不得用于任何形式的担保。若乙方擅自转让或用于保理、担保的，导致任何第三方向甲方主张权利，导致甲方承担法律责任（包括但不限于：民事、经济、行政、刑事等）或被采取相关强制措施（包括但不限于：诉讼强制措施、行政强制措施、刑事强制措施）的，即为</w:t>
      </w:r>
      <w:r>
        <w:rPr>
          <w:rFonts w:hint="eastAsia" w:ascii="宋体" w:hAnsi="宋体" w:cs="宋体"/>
          <w:color w:val="000000"/>
          <w:sz w:val="24"/>
          <w:szCs w:val="24"/>
          <w:highlight w:val="none"/>
          <w:lang w:eastAsia="zh-CN"/>
        </w:rPr>
        <w:t>乙方</w:t>
      </w:r>
      <w:r>
        <w:rPr>
          <w:rFonts w:hint="eastAsia" w:ascii="宋体" w:hAnsi="宋体" w:eastAsia="宋体" w:cs="宋体"/>
          <w:color w:val="000000"/>
          <w:sz w:val="24"/>
          <w:szCs w:val="24"/>
          <w:highlight w:val="none"/>
        </w:rPr>
        <w:t>严重违约，</w:t>
      </w:r>
      <w:r>
        <w:rPr>
          <w:rFonts w:hint="eastAsia" w:ascii="宋体" w:hAnsi="宋体" w:cs="宋体"/>
          <w:color w:val="000000"/>
          <w:sz w:val="24"/>
          <w:szCs w:val="24"/>
          <w:highlight w:val="none"/>
          <w:lang w:eastAsia="zh-CN"/>
        </w:rPr>
        <w:t>甲</w:t>
      </w:r>
      <w:r>
        <w:rPr>
          <w:rFonts w:hint="eastAsia" w:ascii="宋体" w:hAnsi="宋体" w:eastAsia="宋体" w:cs="宋体"/>
          <w:color w:val="000000"/>
          <w:sz w:val="24"/>
          <w:szCs w:val="24"/>
          <w:highlight w:val="none"/>
        </w:rPr>
        <w:t>方</w:t>
      </w:r>
      <w:r>
        <w:rPr>
          <w:rFonts w:hint="eastAsia" w:ascii="宋体" w:hAnsi="宋体" w:cs="宋体"/>
          <w:color w:val="000000"/>
          <w:sz w:val="24"/>
          <w:szCs w:val="24"/>
          <w:highlight w:val="none"/>
          <w:lang w:eastAsia="zh-CN"/>
        </w:rPr>
        <w:t>可单方</w:t>
      </w:r>
      <w:r>
        <w:rPr>
          <w:rFonts w:hint="eastAsia" w:ascii="宋体" w:hAnsi="宋体" w:eastAsia="宋体" w:cs="宋体"/>
          <w:color w:val="000000"/>
          <w:sz w:val="24"/>
          <w:szCs w:val="24"/>
          <w:highlight w:val="none"/>
        </w:rPr>
        <w:t>解除合同，乙方除向甲方赔偿损失外，还应按合同总额每日1 %的标准向甲方支付违约金。</w:t>
      </w:r>
    </w:p>
    <w:p w14:paraId="77E20B17">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b/>
          <w:bCs/>
          <w:kern w:val="44"/>
          <w:sz w:val="24"/>
          <w:szCs w:val="24"/>
          <w:highlight w:val="none"/>
        </w:rPr>
      </w:pPr>
      <w:r>
        <w:rPr>
          <w:rFonts w:hint="eastAsia" w:ascii="宋体" w:hAnsi="宋体" w:eastAsia="宋体" w:cs="宋体"/>
          <w:color w:val="000000"/>
          <w:kern w:val="2"/>
          <w:sz w:val="24"/>
          <w:szCs w:val="24"/>
          <w:highlight w:val="none"/>
          <w:lang w:val="en-US" w:eastAsia="zh-CN" w:bidi="ar-SA"/>
        </w:rPr>
        <w:t>1</w:t>
      </w: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2双方约定:任何情况下(包含但不限于诉讼或仲裁),甲方支付本合同及其补充协议项下所涉款项的顺序为:除甲方特别注明外,甲方先行支付已到期的主债务本金,再支付该主债务所涉违约金/利息(如有),最后支付其他费用(如有)。乙方对此予以确认。</w:t>
      </w:r>
    </w:p>
    <w:p w14:paraId="21D67026">
      <w:pPr>
        <w:pageBreakBefore w:val="0"/>
        <w:tabs>
          <w:tab w:val="left" w:pos="360"/>
        </w:tabs>
        <w:kinsoku/>
        <w:wordWrap/>
        <w:overflowPunct/>
        <w:topLinePunct w:val="0"/>
        <w:bidi w:val="0"/>
        <w:snapToGrid/>
        <w:spacing w:line="400" w:lineRule="exact"/>
        <w:ind w:firstLine="400" w:firstLineChars="16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在本合同履行过程中，如任何一方发生税务登记、公司名称等重大信息的变更事项，应在重大信息变更后的</w:t>
      </w:r>
      <w:r>
        <w:rPr>
          <w:rFonts w:hint="eastAsia" w:ascii="宋体" w:hAnsi="宋体" w:eastAsia="宋体" w:cs="宋体"/>
          <w:sz w:val="24"/>
          <w:szCs w:val="24"/>
          <w:highlight w:val="none"/>
          <w:u w:val="single"/>
        </w:rPr>
        <w:t>_7</w:t>
      </w:r>
      <w:r>
        <w:rPr>
          <w:rFonts w:hint="eastAsia" w:ascii="宋体" w:hAnsi="宋体" w:eastAsia="宋体" w:cs="宋体"/>
          <w:sz w:val="24"/>
          <w:szCs w:val="24"/>
          <w:highlight w:val="none"/>
        </w:rPr>
        <w:t>日内书面通知对方及有关机构变更情况，并提供相关信息资料。</w:t>
      </w:r>
    </w:p>
    <w:p w14:paraId="1D5C0048">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rPr>
        <w:t>双方确定所预留的以下地址为往来函件、法院（仲裁、公证等机构）法律文书的送达地址，任一方变更送达地址必须在变更之日起</w:t>
      </w:r>
      <w:r>
        <w:rPr>
          <w:rFonts w:hint="eastAsia" w:ascii="宋体" w:hAnsi="宋体" w:eastAsia="宋体" w:cs="宋体"/>
          <w:kern w:val="0"/>
          <w:sz w:val="24"/>
          <w:szCs w:val="24"/>
          <w:highlight w:val="none"/>
          <w:u w:val="single"/>
        </w:rPr>
        <w:t xml:space="preserve"> 7</w:t>
      </w:r>
      <w:r>
        <w:rPr>
          <w:rFonts w:hint="eastAsia" w:ascii="宋体" w:hAnsi="宋体" w:eastAsia="宋体" w:cs="宋体"/>
          <w:kern w:val="0"/>
          <w:sz w:val="24"/>
          <w:szCs w:val="24"/>
          <w:highlight w:val="none"/>
        </w:rPr>
        <w:t>日内书面通知对方，否则不发生送达地址变更的法律效力，对方按原地址送达仍然为有效送达。</w:t>
      </w:r>
    </w:p>
    <w:p w14:paraId="3CCF32CE">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甲方送达地址： 。</w:t>
      </w:r>
    </w:p>
    <w:p w14:paraId="2382C6C4">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w:t>
      </w:r>
    </w:p>
    <w:p w14:paraId="74831E57">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w:t>
      </w:r>
    </w:p>
    <w:p w14:paraId="187B2FC5">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 。</w:t>
      </w:r>
    </w:p>
    <w:p w14:paraId="1D667375">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乙方送达地址： 。</w:t>
      </w:r>
    </w:p>
    <w:p w14:paraId="4C84559F">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w:t>
      </w:r>
    </w:p>
    <w:p w14:paraId="47F9511E">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w:t>
      </w:r>
    </w:p>
    <w:p w14:paraId="706EF6C2">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 。</w:t>
      </w:r>
    </w:p>
    <w:p w14:paraId="7C07E987">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合同自双方签字并盖章之日起生效。本合同</w:t>
      </w:r>
      <w:r>
        <w:rPr>
          <w:rFonts w:hint="eastAsia" w:ascii="宋体" w:hAnsi="宋体" w:eastAsia="宋体" w:cs="宋体"/>
          <w:kern w:val="0"/>
          <w:sz w:val="24"/>
          <w:szCs w:val="24"/>
          <w:highlight w:val="none"/>
        </w:rPr>
        <w:t>一式</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份，双方各执</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份。   </w:t>
      </w:r>
    </w:p>
    <w:p w14:paraId="2854A2B4">
      <w:pPr>
        <w:pageBreakBefore w:val="0"/>
        <w:kinsoku/>
        <w:wordWrap/>
        <w:overflowPunct/>
        <w:topLinePunct w:val="0"/>
        <w:bidi w:val="0"/>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（以下无合同正文）</w:t>
      </w:r>
    </w:p>
    <w:tbl>
      <w:tblPr>
        <w:tblStyle w:val="49"/>
        <w:tblpPr w:leftFromText="180" w:rightFromText="180" w:vertAnchor="text" w:horzAnchor="page" w:tblpX="1764" w:tblpY="306"/>
        <w:tblOverlap w:val="never"/>
        <w:tblW w:w="8814" w:type="dxa"/>
        <w:tblInd w:w="0" w:type="dxa"/>
        <w:tblLayout w:type="fixed"/>
        <w:tblCellMar>
          <w:top w:w="0" w:type="dxa"/>
          <w:left w:w="108" w:type="dxa"/>
          <w:bottom w:w="0" w:type="dxa"/>
          <w:right w:w="108" w:type="dxa"/>
        </w:tblCellMar>
      </w:tblPr>
      <w:tblGrid>
        <w:gridCol w:w="4407"/>
        <w:gridCol w:w="4407"/>
      </w:tblGrid>
      <w:tr w14:paraId="37AC799B">
        <w:tblPrEx>
          <w:tblCellMar>
            <w:top w:w="0" w:type="dxa"/>
            <w:left w:w="108" w:type="dxa"/>
            <w:bottom w:w="0" w:type="dxa"/>
            <w:right w:w="108" w:type="dxa"/>
          </w:tblCellMar>
        </w:tblPrEx>
        <w:trPr>
          <w:trHeight w:val="639" w:hRule="atLeast"/>
        </w:trPr>
        <w:tc>
          <w:tcPr>
            <w:tcW w:w="4407" w:type="dxa"/>
          </w:tcPr>
          <w:p w14:paraId="67735CB7">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买方：（盖章）</w:t>
            </w:r>
          </w:p>
        </w:tc>
        <w:tc>
          <w:tcPr>
            <w:tcW w:w="4407" w:type="dxa"/>
          </w:tcPr>
          <w:p w14:paraId="2BA0A1C8">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卖方：（盖章）</w:t>
            </w:r>
          </w:p>
        </w:tc>
      </w:tr>
      <w:tr w14:paraId="0460346C">
        <w:tblPrEx>
          <w:tblCellMar>
            <w:top w:w="0" w:type="dxa"/>
            <w:left w:w="108" w:type="dxa"/>
            <w:bottom w:w="0" w:type="dxa"/>
            <w:right w:w="108" w:type="dxa"/>
          </w:tblCellMar>
        </w:tblPrEx>
        <w:trPr>
          <w:trHeight w:val="639" w:hRule="atLeast"/>
        </w:trPr>
        <w:tc>
          <w:tcPr>
            <w:tcW w:w="4407" w:type="dxa"/>
          </w:tcPr>
          <w:p w14:paraId="0D46C624">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住所地址：</w:t>
            </w:r>
          </w:p>
        </w:tc>
        <w:tc>
          <w:tcPr>
            <w:tcW w:w="4407" w:type="dxa"/>
          </w:tcPr>
          <w:p w14:paraId="26A144BB">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住所地址：</w:t>
            </w:r>
          </w:p>
        </w:tc>
      </w:tr>
      <w:tr w14:paraId="764535D3">
        <w:tblPrEx>
          <w:tblCellMar>
            <w:top w:w="0" w:type="dxa"/>
            <w:left w:w="108" w:type="dxa"/>
            <w:bottom w:w="0" w:type="dxa"/>
            <w:right w:w="108" w:type="dxa"/>
          </w:tblCellMar>
        </w:tblPrEx>
        <w:trPr>
          <w:trHeight w:val="639" w:hRule="atLeast"/>
        </w:trPr>
        <w:tc>
          <w:tcPr>
            <w:tcW w:w="4407" w:type="dxa"/>
          </w:tcPr>
          <w:p w14:paraId="5E3248A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4407" w:type="dxa"/>
          </w:tcPr>
          <w:p w14:paraId="718D3B90">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14:paraId="02809A67">
        <w:tblPrEx>
          <w:tblCellMar>
            <w:top w:w="0" w:type="dxa"/>
            <w:left w:w="108" w:type="dxa"/>
            <w:bottom w:w="0" w:type="dxa"/>
            <w:right w:w="108" w:type="dxa"/>
          </w:tblCellMar>
        </w:tblPrEx>
        <w:trPr>
          <w:trHeight w:val="639" w:hRule="atLeast"/>
        </w:trPr>
        <w:tc>
          <w:tcPr>
            <w:tcW w:w="4407" w:type="dxa"/>
          </w:tcPr>
          <w:p w14:paraId="7795D40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407" w:type="dxa"/>
          </w:tcPr>
          <w:p w14:paraId="261C1E46">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026CE531">
        <w:tblPrEx>
          <w:tblCellMar>
            <w:top w:w="0" w:type="dxa"/>
            <w:left w:w="108" w:type="dxa"/>
            <w:bottom w:w="0" w:type="dxa"/>
            <w:right w:w="108" w:type="dxa"/>
          </w:tblCellMar>
        </w:tblPrEx>
        <w:trPr>
          <w:trHeight w:val="639" w:hRule="atLeast"/>
        </w:trPr>
        <w:tc>
          <w:tcPr>
            <w:tcW w:w="4407" w:type="dxa"/>
          </w:tcPr>
          <w:p w14:paraId="124E3D57">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407" w:type="dxa"/>
          </w:tcPr>
          <w:p w14:paraId="13432747">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0C13F6ED">
        <w:tblPrEx>
          <w:tblCellMar>
            <w:top w:w="0" w:type="dxa"/>
            <w:left w:w="108" w:type="dxa"/>
            <w:bottom w:w="0" w:type="dxa"/>
            <w:right w:w="108" w:type="dxa"/>
          </w:tblCellMar>
        </w:tblPrEx>
        <w:trPr>
          <w:trHeight w:val="639" w:hRule="atLeast"/>
        </w:trPr>
        <w:tc>
          <w:tcPr>
            <w:tcW w:w="4407" w:type="dxa"/>
          </w:tcPr>
          <w:p w14:paraId="11DFCCC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统一社会信用代码</w:t>
            </w:r>
            <w:r>
              <w:rPr>
                <w:rFonts w:hint="eastAsia" w:ascii="宋体" w:hAnsi="宋体" w:eastAsia="宋体" w:cs="宋体"/>
                <w:sz w:val="24"/>
                <w:szCs w:val="24"/>
                <w:highlight w:val="none"/>
              </w:rPr>
              <w:t>：</w:t>
            </w:r>
          </w:p>
        </w:tc>
        <w:tc>
          <w:tcPr>
            <w:tcW w:w="4407" w:type="dxa"/>
          </w:tcPr>
          <w:p w14:paraId="71F6A7DB">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统一社会信用代码</w:t>
            </w:r>
            <w:r>
              <w:rPr>
                <w:rFonts w:hint="eastAsia" w:ascii="宋体" w:hAnsi="宋体" w:eastAsia="宋体" w:cs="宋体"/>
                <w:sz w:val="24"/>
                <w:szCs w:val="24"/>
                <w:highlight w:val="none"/>
              </w:rPr>
              <w:t>：</w:t>
            </w:r>
          </w:p>
        </w:tc>
      </w:tr>
      <w:tr w14:paraId="6A8840F0">
        <w:tblPrEx>
          <w:tblCellMar>
            <w:top w:w="0" w:type="dxa"/>
            <w:left w:w="108" w:type="dxa"/>
            <w:bottom w:w="0" w:type="dxa"/>
            <w:right w:w="108" w:type="dxa"/>
          </w:tblCellMar>
        </w:tblPrEx>
        <w:trPr>
          <w:trHeight w:val="639" w:hRule="atLeast"/>
        </w:trPr>
        <w:tc>
          <w:tcPr>
            <w:tcW w:w="4407" w:type="dxa"/>
          </w:tcPr>
          <w:p w14:paraId="5DDC9F2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407" w:type="dxa"/>
          </w:tcPr>
          <w:p w14:paraId="09165AEC">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06A5C30E">
        <w:tblPrEx>
          <w:tblCellMar>
            <w:top w:w="0" w:type="dxa"/>
            <w:left w:w="108" w:type="dxa"/>
            <w:bottom w:w="0" w:type="dxa"/>
            <w:right w:w="108" w:type="dxa"/>
          </w:tblCellMar>
        </w:tblPrEx>
        <w:trPr>
          <w:trHeight w:val="639" w:hRule="atLeast"/>
        </w:trPr>
        <w:tc>
          <w:tcPr>
            <w:tcW w:w="4407" w:type="dxa"/>
          </w:tcPr>
          <w:p w14:paraId="5908FAD3">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0E9815A3">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p w14:paraId="6E786386">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p>
        </w:tc>
        <w:tc>
          <w:tcPr>
            <w:tcW w:w="4407" w:type="dxa"/>
          </w:tcPr>
          <w:p w14:paraId="78307FBD">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2ADBE7BA">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p>
          <w:p w14:paraId="15BBBECA">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p>
        </w:tc>
      </w:tr>
    </w:tbl>
    <w:p w14:paraId="0A1F6D6F">
      <w:pPr>
        <w:rPr>
          <w:rFonts w:hint="eastAsia" w:ascii="Times New Roman" w:hAnsi="Times New Roman" w:cs="Times New Roman"/>
          <w:sz w:val="28"/>
          <w:szCs w:val="22"/>
          <w:lang w:eastAsia="zh-CN"/>
        </w:rPr>
      </w:pPr>
      <w:r>
        <w:rPr>
          <w:rFonts w:hint="eastAsia" w:ascii="Times New Roman" w:hAnsi="Times New Roman" w:cs="Times New Roman"/>
          <w:sz w:val="28"/>
          <w:szCs w:val="22"/>
          <w:lang w:eastAsia="zh-CN"/>
        </w:rPr>
        <w:br w:type="page"/>
      </w:r>
    </w:p>
    <w:p w14:paraId="15BEC879">
      <w:pPr>
        <w:spacing w:line="390" w:lineRule="exact"/>
        <w:rPr>
          <w:rFonts w:hint="eastAsia" w:ascii="Times New Roman" w:hAnsi="Times New Roman" w:cs="Times New Roman"/>
          <w:sz w:val="28"/>
          <w:szCs w:val="22"/>
          <w:lang w:eastAsia="zh-CN"/>
        </w:rPr>
      </w:pPr>
      <w:r>
        <w:rPr>
          <w:rFonts w:hint="eastAsia" w:ascii="Times New Roman" w:hAnsi="Times New Roman" w:cs="Times New Roman"/>
          <w:sz w:val="28"/>
          <w:szCs w:val="22"/>
          <w:lang w:eastAsia="zh-CN"/>
        </w:rPr>
        <w:t>附件一：</w:t>
      </w:r>
    </w:p>
    <w:p w14:paraId="01D21A85">
      <w:pPr>
        <w:jc w:val="center"/>
        <w:rPr>
          <w:rFonts w:hint="eastAsia" w:ascii="Times New Roman" w:hAnsi="Times New Roman" w:cs="Times New Roman"/>
          <w:b/>
          <w:bCs/>
          <w:sz w:val="36"/>
          <w:szCs w:val="32"/>
          <w:lang w:eastAsia="zh-CN"/>
        </w:rPr>
      </w:pPr>
      <w:r>
        <w:rPr>
          <w:rFonts w:hint="eastAsia" w:ascii="Times New Roman" w:hAnsi="Times New Roman" w:cs="Times New Roman"/>
          <w:b/>
          <w:bCs/>
          <w:sz w:val="36"/>
          <w:szCs w:val="32"/>
          <w:lang w:eastAsia="zh-CN"/>
        </w:rPr>
        <w:t>工程物资有权签收人清单</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97"/>
        <w:gridCol w:w="868"/>
        <w:gridCol w:w="935"/>
        <w:gridCol w:w="1533"/>
        <w:gridCol w:w="1385"/>
        <w:gridCol w:w="1194"/>
        <w:gridCol w:w="749"/>
      </w:tblGrid>
      <w:tr w14:paraId="7D9A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tcPr>
          <w:p w14:paraId="1F020260">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序号</w:t>
            </w:r>
          </w:p>
        </w:tc>
        <w:tc>
          <w:tcPr>
            <w:tcW w:w="821" w:type="pct"/>
          </w:tcPr>
          <w:p w14:paraId="130407DF">
            <w:pPr>
              <w:widowControl w:val="0"/>
              <w:spacing w:line="440" w:lineRule="exact"/>
              <w:ind w:left="0" w:leftChars="0" w:firstLine="240" w:firstLineChars="100"/>
              <w:jc w:val="both"/>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项目及分部名称</w:t>
            </w:r>
          </w:p>
        </w:tc>
        <w:tc>
          <w:tcPr>
            <w:tcW w:w="510" w:type="pct"/>
          </w:tcPr>
          <w:p w14:paraId="0AB4B449">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物资名称</w:t>
            </w:r>
          </w:p>
        </w:tc>
        <w:tc>
          <w:tcPr>
            <w:tcW w:w="549" w:type="pct"/>
          </w:tcPr>
          <w:p w14:paraId="47677A96">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签收人姓名</w:t>
            </w:r>
          </w:p>
        </w:tc>
        <w:tc>
          <w:tcPr>
            <w:tcW w:w="900" w:type="pct"/>
          </w:tcPr>
          <w:p w14:paraId="4E8A0783">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身份证号码</w:t>
            </w:r>
          </w:p>
        </w:tc>
        <w:tc>
          <w:tcPr>
            <w:tcW w:w="813" w:type="pct"/>
          </w:tcPr>
          <w:p w14:paraId="2323D2AA">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联系电话</w:t>
            </w:r>
          </w:p>
        </w:tc>
        <w:tc>
          <w:tcPr>
            <w:tcW w:w="701" w:type="pct"/>
          </w:tcPr>
          <w:p w14:paraId="5B40A07F">
            <w:pPr>
              <w:widowControl w:val="0"/>
              <w:spacing w:line="440" w:lineRule="exact"/>
              <w:ind w:left="0" w:leftChars="0" w:firstLine="0" w:firstLineChars="0"/>
              <w:jc w:val="center"/>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签收人姓名字样</w:t>
            </w:r>
          </w:p>
        </w:tc>
        <w:tc>
          <w:tcPr>
            <w:tcW w:w="440" w:type="pct"/>
          </w:tcPr>
          <w:p w14:paraId="552DD980">
            <w:pPr>
              <w:widowControl w:val="0"/>
              <w:spacing w:line="440" w:lineRule="exact"/>
              <w:ind w:left="0" w:leftChars="0" w:firstLine="240" w:firstLineChars="100"/>
              <w:jc w:val="both"/>
              <w:rPr>
                <w:rFonts w:hint="eastAsia"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备注</w:t>
            </w:r>
          </w:p>
        </w:tc>
      </w:tr>
      <w:tr w14:paraId="6A8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75A7CFA8">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1</w:t>
            </w:r>
          </w:p>
        </w:tc>
        <w:tc>
          <w:tcPr>
            <w:tcW w:w="821" w:type="pct"/>
          </w:tcPr>
          <w:p w14:paraId="623E1870">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6D12C66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034941EA">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6DBC5EE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6EC354BD">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3655B6AE">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5101AF9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74F0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5F94EA27">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2</w:t>
            </w:r>
          </w:p>
        </w:tc>
        <w:tc>
          <w:tcPr>
            <w:tcW w:w="821" w:type="pct"/>
          </w:tcPr>
          <w:p w14:paraId="6E216DA1">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4A9F7EB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011B264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57DE8326">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35B9025D">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7D0F3DD8">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30EAA193">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7057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332C5E2C">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3</w:t>
            </w:r>
          </w:p>
        </w:tc>
        <w:tc>
          <w:tcPr>
            <w:tcW w:w="821" w:type="pct"/>
          </w:tcPr>
          <w:p w14:paraId="3EFDE1DF">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6E45CEB5">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3FC42EF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25240D54">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3E6F928C">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01E0DAE1">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6DB87BB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304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6CF8C2A7">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4</w:t>
            </w:r>
          </w:p>
        </w:tc>
        <w:tc>
          <w:tcPr>
            <w:tcW w:w="821" w:type="pct"/>
          </w:tcPr>
          <w:p w14:paraId="25EAE5F5">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3A17B9AC">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5292D95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6236CB58">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2E4799A4">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141B44D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0FB8E8F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4D99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35040B11">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5</w:t>
            </w:r>
          </w:p>
        </w:tc>
        <w:tc>
          <w:tcPr>
            <w:tcW w:w="821" w:type="pct"/>
          </w:tcPr>
          <w:p w14:paraId="1C270D0A">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58956B43">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476AFF55">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12E27BF5">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5464DF00">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0A3A335A">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4E2C4B2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55C7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712FD26">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6</w:t>
            </w:r>
          </w:p>
        </w:tc>
        <w:tc>
          <w:tcPr>
            <w:tcW w:w="821" w:type="pct"/>
          </w:tcPr>
          <w:p w14:paraId="64B66581">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1D9235F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744E778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2734275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74AC328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6B2FA226">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4492A24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1D49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3037C07">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7</w:t>
            </w:r>
          </w:p>
        </w:tc>
        <w:tc>
          <w:tcPr>
            <w:tcW w:w="821" w:type="pct"/>
          </w:tcPr>
          <w:p w14:paraId="089C4DDF">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5FE3CF53">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6B6BC9F3">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21FE49E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5A0128A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1077063C">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51E55ED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693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3BE5FBD">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8</w:t>
            </w:r>
          </w:p>
        </w:tc>
        <w:tc>
          <w:tcPr>
            <w:tcW w:w="821" w:type="pct"/>
          </w:tcPr>
          <w:p w14:paraId="29D90157">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3471B313">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332B9C1B">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3CD88F5D">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5E1BC161">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1F597E85">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3F66F774">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r w14:paraId="1306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59CCB066">
            <w:pPr>
              <w:widowControl w:val="0"/>
              <w:spacing w:line="440" w:lineRule="exact"/>
              <w:ind w:left="0" w:leftChars="0" w:firstLine="0" w:firstLineChars="0"/>
              <w:jc w:val="center"/>
              <w:rPr>
                <w:rFonts w:hint="default" w:ascii="仿宋_GB2312" w:hAnsi="仿宋_GB2312" w:eastAsia="仿宋_GB2312" w:cs="Times New Roman"/>
                <w:kern w:val="2"/>
                <w:sz w:val="24"/>
                <w:szCs w:val="21"/>
                <w:vertAlign w:val="baseline"/>
                <w:lang w:val="en-US" w:eastAsia="zh-CN" w:bidi="ar-SA"/>
              </w:rPr>
            </w:pPr>
            <w:r>
              <w:rPr>
                <w:rFonts w:hint="eastAsia" w:ascii="仿宋_GB2312" w:hAnsi="仿宋_GB2312" w:eastAsia="仿宋_GB2312" w:cs="Times New Roman"/>
                <w:kern w:val="2"/>
                <w:sz w:val="24"/>
                <w:szCs w:val="21"/>
                <w:vertAlign w:val="baseline"/>
                <w:lang w:val="en-US" w:eastAsia="zh-CN" w:bidi="ar-SA"/>
              </w:rPr>
              <w:t>9</w:t>
            </w:r>
          </w:p>
        </w:tc>
        <w:tc>
          <w:tcPr>
            <w:tcW w:w="821" w:type="pct"/>
          </w:tcPr>
          <w:p w14:paraId="540C4EC8">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10" w:type="pct"/>
          </w:tcPr>
          <w:p w14:paraId="69CFC5A9">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549" w:type="pct"/>
          </w:tcPr>
          <w:p w14:paraId="23F8CE2D">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900" w:type="pct"/>
          </w:tcPr>
          <w:p w14:paraId="1C2E3E26">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813" w:type="pct"/>
          </w:tcPr>
          <w:p w14:paraId="3BBC5B6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701" w:type="pct"/>
          </w:tcPr>
          <w:p w14:paraId="66E06D0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c>
          <w:tcPr>
            <w:tcW w:w="440" w:type="pct"/>
          </w:tcPr>
          <w:p w14:paraId="214C10C2">
            <w:pPr>
              <w:widowControl w:val="0"/>
              <w:spacing w:line="440" w:lineRule="exact"/>
              <w:ind w:firstLine="480" w:firstLineChars="200"/>
              <w:jc w:val="center"/>
              <w:rPr>
                <w:rFonts w:hint="eastAsia" w:ascii="仿宋_GB2312" w:hAnsi="仿宋_GB2312" w:eastAsia="仿宋_GB2312" w:cs="Times New Roman"/>
                <w:kern w:val="2"/>
                <w:sz w:val="24"/>
                <w:szCs w:val="21"/>
                <w:vertAlign w:val="baseline"/>
                <w:lang w:val="en-US" w:eastAsia="zh-CN" w:bidi="ar-SA"/>
              </w:rPr>
            </w:pPr>
          </w:p>
        </w:tc>
      </w:tr>
    </w:tbl>
    <w:p w14:paraId="768B2C71">
      <w:pPr>
        <w:spacing w:line="440" w:lineRule="exact"/>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注：附签收人身份证复印件。</w:t>
      </w:r>
    </w:p>
    <w:p w14:paraId="4AC921D4">
      <w:pPr>
        <w:rPr>
          <w:rFonts w:hint="eastAsia" w:ascii="仿宋_GB2312" w:hAnsi="仿宋_GB2312" w:eastAsia="仿宋_GB2312" w:cs="仿宋_GB2312"/>
          <w:sz w:val="24"/>
          <w:szCs w:val="24"/>
          <w:lang w:eastAsia="zh-CN"/>
        </w:rPr>
      </w:pPr>
    </w:p>
    <w:p w14:paraId="4FA2EC56">
      <w:pPr>
        <w:spacing w:line="440" w:lineRule="exact"/>
        <w:ind w:firstLine="480" w:firstLineChars="200"/>
        <w:rPr>
          <w:rFonts w:hint="eastAsia" w:ascii="仿宋_GB2312" w:hAnsi="仿宋_GB2312" w:eastAsia="仿宋_GB2312" w:cs="仿宋_GB2312"/>
          <w:kern w:val="2"/>
          <w:sz w:val="24"/>
          <w:szCs w:val="24"/>
          <w:lang w:val="en-US" w:eastAsia="zh-CN" w:bidi="ar-SA"/>
        </w:rPr>
      </w:pPr>
    </w:p>
    <w:p w14:paraId="4095A951">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发货单位：（盖章）</w:t>
      </w:r>
      <w:r>
        <w:rPr>
          <w:rFonts w:hint="eastAsia" w:ascii="仿宋_GB2312" w:hAnsi="仿宋_GB2312" w:eastAsia="仿宋_GB2312" w:cs="仿宋_GB2312"/>
          <w:sz w:val="24"/>
          <w:szCs w:val="24"/>
          <w:lang w:val="en-US" w:eastAsia="zh-CN"/>
        </w:rPr>
        <w:t xml:space="preserve">                                                  </w:t>
      </w:r>
    </w:p>
    <w:p w14:paraId="2D77D0BE">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收货单位：（盖章）</w:t>
      </w:r>
    </w:p>
    <w:p w14:paraId="723C36DC">
      <w:pPr>
        <w:ind w:left="0" w:leftChars="0" w:firstLine="1440" w:firstLineChars="600"/>
        <w:rPr>
          <w:rFonts w:hint="eastAsia" w:ascii="仿宋_GB2312" w:hAnsi="仿宋_GB2312" w:eastAsia="仿宋_GB2312" w:cs="仿宋_GB2312"/>
          <w:sz w:val="24"/>
          <w:szCs w:val="24"/>
          <w:lang w:val="en-US"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kern w:val="2"/>
          <w:sz w:val="24"/>
          <w:szCs w:val="24"/>
          <w:lang w:val="en-US" w:eastAsia="zh-CN" w:bidi="ar-SA"/>
        </w:rPr>
        <w:t xml:space="preserve">年 月  日                                                             年  月  </w:t>
      </w:r>
    </w:p>
    <w:p w14:paraId="3EAFFD39">
      <w:pPr>
        <w:rPr>
          <w:rFonts w:ascii="Times New Roman" w:hAnsi="Times New Roman" w:cs="Times New Roman"/>
          <w:szCs w:val="20"/>
        </w:rPr>
      </w:pPr>
    </w:p>
    <w:p w14:paraId="6979B060">
      <w:pPr>
        <w:rPr>
          <w:rFonts w:hint="eastAsia"/>
          <w:lang w:val="en-US" w:eastAsia="zh-CN"/>
        </w:rPr>
      </w:pPr>
    </w:p>
    <w:p w14:paraId="36C268C6">
      <w:pPr>
        <w:outlineLvl w:val="3"/>
        <w:rPr>
          <w:rFonts w:ascii="宋体" w:hAnsi="宋体" w:cs="Times New Roman"/>
          <w:b/>
          <w:sz w:val="32"/>
          <w:szCs w:val="32"/>
          <w:highlight w:val="none"/>
        </w:rPr>
      </w:pPr>
      <w:bookmarkStart w:id="561" w:name="_Toc510015789"/>
      <w:bookmarkStart w:id="562" w:name="_Toc30644"/>
      <w:bookmarkStart w:id="563" w:name="_Toc30932"/>
      <w:bookmarkStart w:id="564" w:name="_Toc23267"/>
      <w:r>
        <w:rPr>
          <w:rFonts w:hint="eastAsia" w:ascii="宋体" w:hAnsi="宋体" w:cs="Times New Roman"/>
          <w:b/>
          <w:sz w:val="32"/>
          <w:szCs w:val="32"/>
          <w:highlight w:val="none"/>
        </w:rPr>
        <w:t>附件</w:t>
      </w:r>
      <w:r>
        <w:rPr>
          <w:rFonts w:hint="eastAsia" w:ascii="宋体" w:hAnsi="宋体" w:cs="Times New Roman"/>
          <w:b/>
          <w:sz w:val="32"/>
          <w:szCs w:val="32"/>
          <w:highlight w:val="none"/>
          <w:lang w:val="en-US" w:eastAsia="zh-CN"/>
        </w:rPr>
        <w:t>二</w:t>
      </w:r>
      <w:r>
        <w:rPr>
          <w:rFonts w:hint="eastAsia" w:ascii="宋体" w:hAnsi="宋体" w:cs="Times New Roman"/>
          <w:b/>
          <w:sz w:val="32"/>
          <w:szCs w:val="32"/>
          <w:highlight w:val="none"/>
        </w:rPr>
        <w:t xml:space="preserve"> 廉政合同</w:t>
      </w:r>
      <w:bookmarkEnd w:id="561"/>
      <w:bookmarkEnd w:id="562"/>
      <w:bookmarkEnd w:id="563"/>
      <w:bookmarkEnd w:id="564"/>
    </w:p>
    <w:p w14:paraId="3AD226F7">
      <w:pPr>
        <w:widowControl/>
        <w:spacing w:line="460" w:lineRule="exact"/>
        <w:jc w:val="center"/>
        <w:rPr>
          <w:rFonts w:hint="eastAsia" w:ascii="宋体" w:hAnsi="宋体" w:eastAsia="宋体" w:cs="等线"/>
          <w:b/>
          <w:bCs/>
          <w:color w:val="auto"/>
          <w:sz w:val="32"/>
          <w:szCs w:val="32"/>
          <w:highlight w:val="none"/>
        </w:rPr>
      </w:pPr>
      <w:r>
        <w:rPr>
          <w:rFonts w:hint="eastAsia" w:ascii="宋体" w:hAnsi="宋体" w:eastAsia="宋体" w:cs="等线"/>
          <w:b/>
          <w:bCs/>
          <w:color w:val="auto"/>
          <w:sz w:val="32"/>
          <w:szCs w:val="32"/>
          <w:highlight w:val="none"/>
        </w:rPr>
        <w:t>廉 政 合 同</w:t>
      </w:r>
    </w:p>
    <w:p w14:paraId="529C86F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甲方”）与该项目的施工监理人（施工监理人名称，以下简称“乙方”），特订立如下合同。</w:t>
      </w:r>
    </w:p>
    <w:p w14:paraId="495CE029">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1. 甲乙双方的权利和义务</w:t>
      </w:r>
    </w:p>
    <w:p w14:paraId="1C7E6A88">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（1）严格遵守党的政策规定和国家有关法律法规及交通运输部的有关规定。</w:t>
      </w:r>
    </w:p>
    <w:p w14:paraId="0DAF3C36">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（2）严格执行（项目名称）施工监理合同文件，自觉按合同办事。</w:t>
      </w:r>
    </w:p>
    <w:p w14:paraId="4A1BEDBC">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（3）双方的业务活动坚持公开、公正、诚信、透明的原则（法律认定的商业秘密和合同文件另有规定除外），不得损害国家和集体利益，不得违反工程建设管理规章制度。</w:t>
      </w:r>
    </w:p>
    <w:p w14:paraId="09A5FA71">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（4）建立健全廉政制度，开展廉政教育，设立廉政告示牌，公布举报电话，监督并认真查处违法违纪行为。</w:t>
      </w:r>
    </w:p>
    <w:p w14:paraId="4A317DB9">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（5）发现对方在业务活动中有违反廉政规定的行为，有及时提醒对方纠正的权利和义务。</w:t>
      </w:r>
    </w:p>
    <w:p w14:paraId="634E34BA">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（6）发现对方严重违反本合同义务条款的行为，有向其上级有关部门举报、建议给予处理并要求告知处理结果的权利。</w:t>
      </w:r>
    </w:p>
    <w:p w14:paraId="069929CF">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2. 甲方的义务</w:t>
      </w:r>
    </w:p>
    <w:p w14:paraId="2EF0E610">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（1）甲方及其工作人员不得索要或接受乙方的礼金、有价证券和贵重物品，不得让乙方报销任何应由甲方或甲方工作人员个人支付的费用等。</w:t>
      </w:r>
    </w:p>
    <w:p w14:paraId="3045CCD2">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（2）甲方工作人员不得参加乙方安排的超标准宴请和娱乐活动；不得接受乙方提供的通信工具、交通工具和高档办公用品等。</w:t>
      </w:r>
    </w:p>
    <w:p w14:paraId="4B44C7C1">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（3）甲方及其工作人员不得要求或者接受乙方为其住房装修、婚丧嫁娶活动、配偶子女的工作安排以及出国出境、旅游等提供方便等。</w:t>
      </w:r>
    </w:p>
    <w:p w14:paraId="73E09470">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（4）甲方工作人员及其配偶、子女不得从事与甲方工程有关的材料设备供应、工程分包、劳务等经济活动等。</w:t>
      </w:r>
    </w:p>
    <w:p w14:paraId="5C83EBF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（5）甲方及其工作人员不得以任何理由向乙方推荐分包单位或推销材料，不得要求乙方购买合同规定外的材料和设备。</w:t>
      </w:r>
    </w:p>
    <w:p w14:paraId="709C6A9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（6）甲方工作人员要秉公办事，不准营私舞弊，不准利用职权从事各种个人有偿中介活动和安排个人施工监理队伍。</w:t>
      </w:r>
    </w:p>
    <w:p w14:paraId="106CE482">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3. 乙方的义务</w:t>
      </w:r>
    </w:p>
    <w:p w14:paraId="02FE7443">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（1）乙方不得以任何理由向甲方及其工作人员行贿或馈赠礼金、有价证券、贵重礼品。</w:t>
      </w:r>
    </w:p>
    <w:p w14:paraId="5CC42BC5">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（2）乙方不得以任何名义为甲方及其工作人员报销应由甲方单位或个人支付的任何费用。</w:t>
      </w:r>
    </w:p>
    <w:p w14:paraId="37C15A0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（3）乙方不得以任何理由安排甲方工作人员参加超标准宴请及娱乐活动。</w:t>
      </w:r>
    </w:p>
    <w:p w14:paraId="78C9602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（4）乙方不得为甲方单位和个人购置或提供通信工具、交通工具和高档办公用品等。</w:t>
      </w:r>
    </w:p>
    <w:p w14:paraId="7AF885E0">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4. 违约责任</w:t>
      </w:r>
    </w:p>
    <w:p w14:paraId="17057408">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（1）甲方及其工作人员违反本合同第1、2条，按管理权限，依据有关规定给予党纪、政纪或组织处理；涉嫌犯罪的，移交司法机关追究刑事责任；给乙方单位造成经济损失的，应予以赔偿。</w:t>
      </w:r>
    </w:p>
    <w:p w14:paraId="2047C89D">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2）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14:paraId="6B9A31C5">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81C2464">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6. 本合同有效期为甲方和乙方签署之日起至该工程项目竣工验收后止。</w:t>
      </w:r>
    </w:p>
    <w:p w14:paraId="4B26C649">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7. 本合同作为（项目名称）施工监理合同的附件，与工程施工监理合同具有同等的法律效力，经合同双方签署后立即生效。</w:t>
      </w:r>
    </w:p>
    <w:p w14:paraId="5A26AA7E">
      <w:pPr>
        <w:snapToGrid w:val="0"/>
        <w:spacing w:line="360" w:lineRule="auto"/>
        <w:ind w:right="34" w:rightChars="16" w:firstLine="539" w:firstLineChars="257"/>
        <w:rPr>
          <w:rFonts w:ascii="宋体" w:hAnsi="宋体" w:cs="Times New Roman"/>
          <w:szCs w:val="21"/>
          <w:highlight w:val="none"/>
        </w:rPr>
      </w:pPr>
      <w:r>
        <w:rPr>
          <w:rFonts w:hint="eastAsia" w:ascii="宋体" w:hAnsi="宋体" w:cs="Times New Roman"/>
          <w:szCs w:val="21"/>
          <w:highlight w:val="none"/>
        </w:rPr>
        <w:t>8. 本合同一式四份，由甲方和乙方各执一份，送交委托人和监理人的监督单位各一份。</w:t>
      </w:r>
    </w:p>
    <w:p w14:paraId="43E427AF">
      <w:pPr>
        <w:spacing w:line="360" w:lineRule="auto"/>
        <w:ind w:right="34" w:rightChars="16" w:firstLine="539" w:firstLineChars="257"/>
        <w:rPr>
          <w:rFonts w:ascii="宋体" w:hAnsi="宋体" w:cs="Times New Roman"/>
          <w:szCs w:val="21"/>
          <w:highlight w:val="none"/>
        </w:rPr>
      </w:pPr>
    </w:p>
    <w:p w14:paraId="04E7CD28">
      <w:pPr>
        <w:snapToGrid w:val="0"/>
        <w:spacing w:line="360" w:lineRule="auto"/>
        <w:ind w:right="34" w:rightChars="16"/>
        <w:rPr>
          <w:rFonts w:ascii="宋体" w:hAnsi="宋体" w:cs="Times New Roman"/>
          <w:szCs w:val="21"/>
          <w:highlight w:val="none"/>
        </w:rPr>
      </w:pPr>
      <w:r>
        <w:rPr>
          <w:rFonts w:hint="eastAsia" w:ascii="宋体" w:hAnsi="宋体" w:cs="Times New Roman"/>
          <w:szCs w:val="21"/>
          <w:highlight w:val="none"/>
        </w:rPr>
        <w:t>甲方：（盖单位章）                          乙方：（盖单位章）</w:t>
      </w:r>
    </w:p>
    <w:p w14:paraId="6833F487">
      <w:pPr>
        <w:snapToGrid w:val="0"/>
        <w:spacing w:line="360" w:lineRule="auto"/>
        <w:ind w:right="34" w:rightChars="16"/>
        <w:rPr>
          <w:rFonts w:ascii="宋体" w:hAnsi="宋体" w:cs="Times New Roman"/>
          <w:szCs w:val="21"/>
          <w:highlight w:val="none"/>
        </w:rPr>
      </w:pPr>
    </w:p>
    <w:p w14:paraId="5D73EB6A">
      <w:pPr>
        <w:snapToGrid w:val="0"/>
        <w:spacing w:line="360" w:lineRule="auto"/>
        <w:ind w:right="34" w:rightChars="16"/>
        <w:rPr>
          <w:rFonts w:ascii="宋体" w:hAnsi="宋体" w:cs="Times New Roman"/>
          <w:szCs w:val="21"/>
          <w:highlight w:val="none"/>
        </w:rPr>
      </w:pPr>
      <w:r>
        <w:rPr>
          <w:rFonts w:hint="eastAsia" w:ascii="宋体" w:hAnsi="宋体" w:cs="Times New Roman"/>
          <w:szCs w:val="21"/>
          <w:highlight w:val="none"/>
        </w:rPr>
        <w:t>法定代表人                                  法定代表人</w:t>
      </w:r>
    </w:p>
    <w:p w14:paraId="2B50585F">
      <w:pPr>
        <w:snapToGrid w:val="0"/>
        <w:spacing w:line="360" w:lineRule="auto"/>
        <w:ind w:right="34" w:rightChars="16"/>
        <w:rPr>
          <w:rFonts w:ascii="宋体" w:hAnsi="宋体" w:cs="Times New Roman"/>
          <w:szCs w:val="21"/>
          <w:highlight w:val="none"/>
        </w:rPr>
      </w:pPr>
      <w:r>
        <w:rPr>
          <w:rFonts w:hint="eastAsia" w:ascii="宋体" w:hAnsi="宋体" w:cs="Times New Roman"/>
          <w:szCs w:val="21"/>
          <w:highlight w:val="none"/>
        </w:rPr>
        <w:t>或其委托代理人：（签字）                    或其委托代理人：（签字）</w:t>
      </w:r>
    </w:p>
    <w:p w14:paraId="32740A27">
      <w:pPr>
        <w:snapToGrid w:val="0"/>
        <w:spacing w:line="360" w:lineRule="auto"/>
        <w:rPr>
          <w:rFonts w:ascii="宋体" w:hAnsi="宋体" w:cs="Times New Roman"/>
          <w:szCs w:val="21"/>
          <w:highlight w:val="none"/>
        </w:rPr>
      </w:pPr>
    </w:p>
    <w:p w14:paraId="6C69B895">
      <w:pPr>
        <w:spacing w:line="440" w:lineRule="exact"/>
        <w:jc w:val="left"/>
        <w:rPr>
          <w:rFonts w:hint="eastAsia" w:ascii="宋体" w:hAnsi="宋体" w:cs="宋体"/>
          <w:color w:val="auto"/>
          <w:sz w:val="24"/>
          <w:szCs w:val="24"/>
          <w:highlight w:val="none"/>
        </w:rPr>
      </w:pPr>
      <w:r>
        <w:rPr>
          <w:rFonts w:hint="eastAsia" w:ascii="宋体" w:hAnsi="宋体" w:cs="Times New Roman"/>
          <w:szCs w:val="21"/>
          <w:highlight w:val="none"/>
        </w:rPr>
        <w:t>年  月  日                                   年  月  日</w:t>
      </w:r>
    </w:p>
    <w:bookmarkEnd w:id="553"/>
    <w:bookmarkEnd w:id="554"/>
    <w:bookmarkEnd w:id="555"/>
    <w:bookmarkEnd w:id="556"/>
    <w:bookmarkEnd w:id="557"/>
    <w:bookmarkEnd w:id="558"/>
    <w:bookmarkEnd w:id="559"/>
    <w:bookmarkEnd w:id="560"/>
    <w:p w14:paraId="5519CCF5">
      <w:pPr>
        <w:rPr>
          <w:rFonts w:ascii="宋体" w:hAnsi="宋体"/>
          <w:color w:val="auto"/>
          <w:sz w:val="52"/>
          <w:szCs w:val="52"/>
          <w:highlight w:val="none"/>
        </w:rPr>
      </w:pPr>
      <w:bookmarkStart w:id="565" w:name="_Toc9852"/>
      <w:bookmarkStart w:id="566" w:name="_Toc534185823"/>
      <w:bookmarkStart w:id="567" w:name="_Toc23025"/>
      <w:bookmarkStart w:id="568" w:name="_Toc509218844"/>
      <w:r>
        <w:rPr>
          <w:rFonts w:ascii="宋体" w:hAnsi="宋体"/>
          <w:color w:val="auto"/>
          <w:sz w:val="52"/>
          <w:szCs w:val="52"/>
          <w:highlight w:val="none"/>
        </w:rPr>
        <w:br w:type="page"/>
      </w:r>
    </w:p>
    <w:p w14:paraId="11B7A3F0">
      <w:pPr>
        <w:pStyle w:val="2"/>
        <w:spacing w:before="0" w:after="0" w:line="360" w:lineRule="auto"/>
        <w:jc w:val="center"/>
        <w:rPr>
          <w:rFonts w:ascii="宋体" w:hAnsi="宋体"/>
          <w:color w:val="auto"/>
          <w:sz w:val="52"/>
          <w:szCs w:val="52"/>
          <w:highlight w:val="none"/>
        </w:rPr>
      </w:pPr>
      <w:r>
        <w:rPr>
          <w:rFonts w:ascii="宋体" w:hAnsi="宋体"/>
          <w:color w:val="auto"/>
          <w:sz w:val="52"/>
          <w:szCs w:val="52"/>
          <w:highlight w:val="none"/>
        </w:rPr>
        <w:t>第 二 卷</w:t>
      </w:r>
      <w:bookmarkEnd w:id="565"/>
      <w:bookmarkEnd w:id="566"/>
      <w:bookmarkEnd w:id="567"/>
      <w:bookmarkEnd w:id="568"/>
    </w:p>
    <w:p w14:paraId="0E863781">
      <w:pPr>
        <w:spacing w:line="360" w:lineRule="auto"/>
        <w:rPr>
          <w:rFonts w:ascii="宋体" w:hAnsi="宋体"/>
          <w:color w:val="auto"/>
          <w:szCs w:val="20"/>
          <w:highlight w:val="none"/>
        </w:rPr>
      </w:pPr>
      <w:r>
        <w:rPr>
          <w:rFonts w:ascii="宋体" w:hAnsi="宋体"/>
          <w:color w:val="auto"/>
          <w:szCs w:val="20"/>
          <w:highlight w:val="none"/>
        </w:rPr>
        <w:br w:type="page"/>
      </w:r>
    </w:p>
    <w:p w14:paraId="61301483">
      <w:pPr>
        <w:pStyle w:val="2"/>
        <w:spacing w:line="360" w:lineRule="auto"/>
        <w:jc w:val="center"/>
        <w:rPr>
          <w:rFonts w:ascii="宋体" w:hAnsi="宋体"/>
          <w:color w:val="auto"/>
          <w:highlight w:val="none"/>
        </w:rPr>
      </w:pPr>
      <w:bookmarkStart w:id="569" w:name="招标文件06章图纸"/>
      <w:bookmarkEnd w:id="569"/>
      <w:bookmarkStart w:id="570" w:name="_Toc287620803"/>
      <w:bookmarkStart w:id="571" w:name="_Toc534185825"/>
      <w:bookmarkStart w:id="572" w:name="_Toc287607861"/>
      <w:bookmarkStart w:id="573" w:name="_Toc509218846"/>
      <w:bookmarkStart w:id="574" w:name="_Toc430530519"/>
      <w:bookmarkStart w:id="575" w:name="_Toc30459"/>
      <w:bookmarkStart w:id="576" w:name="_Toc14759"/>
      <w:r>
        <w:rPr>
          <w:rFonts w:hint="eastAsia" w:ascii="宋体" w:hAnsi="宋体"/>
          <w:color w:val="auto"/>
          <w:highlight w:val="none"/>
        </w:rPr>
        <w:t xml:space="preserve">第五章  </w:t>
      </w:r>
      <w:bookmarkEnd w:id="570"/>
      <w:bookmarkEnd w:id="571"/>
      <w:bookmarkEnd w:id="572"/>
      <w:bookmarkEnd w:id="573"/>
      <w:bookmarkEnd w:id="574"/>
      <w:r>
        <w:rPr>
          <w:rFonts w:hint="eastAsia" w:ascii="宋体" w:hAnsi="宋体"/>
          <w:color w:val="auto"/>
          <w:highlight w:val="none"/>
        </w:rPr>
        <w:t>发包人要求</w:t>
      </w:r>
      <w:bookmarkEnd w:id="575"/>
      <w:bookmarkEnd w:id="576"/>
    </w:p>
    <w:p w14:paraId="4CA2B5DC">
      <w:pPr>
        <w:spacing w:line="360" w:lineRule="auto"/>
        <w:rPr>
          <w:rFonts w:ascii="宋体" w:hAnsi="宋体"/>
          <w:color w:val="auto"/>
          <w:szCs w:val="20"/>
          <w:highlight w:val="none"/>
        </w:rPr>
      </w:pPr>
    </w:p>
    <w:p w14:paraId="5C20D221">
      <w:pPr>
        <w:widowControl/>
        <w:jc w:val="left"/>
        <w:rPr>
          <w:rFonts w:ascii="宋体" w:hAnsi="宋体"/>
          <w:color w:val="auto"/>
          <w:szCs w:val="20"/>
          <w:highlight w:val="none"/>
        </w:rPr>
      </w:pPr>
      <w:bookmarkStart w:id="577" w:name="招标文件06章图纸01"/>
      <w:bookmarkEnd w:id="577"/>
      <w:bookmarkStart w:id="578" w:name="_Toc430530520"/>
      <w:bookmarkStart w:id="579" w:name="_Toc287620804"/>
      <w:r>
        <w:rPr>
          <w:rFonts w:ascii="宋体" w:hAnsi="宋体"/>
          <w:color w:val="auto"/>
          <w:szCs w:val="20"/>
          <w:highlight w:val="none"/>
        </w:rPr>
        <w:br w:type="page"/>
      </w:r>
    </w:p>
    <w:p w14:paraId="6ABECEC1">
      <w:pPr>
        <w:autoSpaceDE w:val="0"/>
        <w:autoSpaceDN w:val="0"/>
        <w:spacing w:line="441" w:lineRule="exact"/>
        <w:ind w:left="3617"/>
        <w:jc w:val="left"/>
        <w:outlineLvl w:val="2"/>
        <w:rPr>
          <w:rFonts w:ascii="宋体" w:hAnsi="宋体" w:cs="宋体"/>
          <w:color w:val="auto"/>
          <w:kern w:val="0"/>
          <w:szCs w:val="21"/>
          <w:highlight w:val="none"/>
        </w:rPr>
      </w:pPr>
      <w:bookmarkStart w:id="580" w:name="_Toc32314"/>
      <w:bookmarkStart w:id="581" w:name="_Toc66711357"/>
      <w:r>
        <w:rPr>
          <w:rFonts w:ascii="Microsoft JhengHei" w:hAnsi="Microsoft JhengHei" w:eastAsia="Microsoft JhengHei" w:cs="Microsoft JhengHei"/>
          <w:b/>
          <w:bCs/>
          <w:color w:val="auto"/>
          <w:kern w:val="0"/>
          <w:sz w:val="32"/>
          <w:szCs w:val="32"/>
          <w:highlight w:val="none"/>
        </w:rPr>
        <w:t>发包人要求</w:t>
      </w:r>
      <w:bookmarkEnd w:id="580"/>
      <w:bookmarkEnd w:id="581"/>
    </w:p>
    <w:bookmarkEnd w:id="578"/>
    <w:bookmarkEnd w:id="579"/>
    <w:p w14:paraId="2998827E">
      <w:pPr>
        <w:spacing w:line="480" w:lineRule="exact"/>
        <w:rPr>
          <w:rFonts w:ascii="Times New Roman" w:hAnsi="Times New Roman" w:eastAsia="宋体"/>
          <w:b/>
          <w:color w:val="auto"/>
          <w:szCs w:val="21"/>
          <w:highlight w:val="none"/>
        </w:rPr>
      </w:pPr>
      <w:bookmarkStart w:id="582" w:name="_Toc6839"/>
      <w:r>
        <w:rPr>
          <w:rFonts w:hint="eastAsia" w:eastAsia="宋体"/>
          <w:b/>
          <w:color w:val="auto"/>
          <w:szCs w:val="21"/>
          <w:highlight w:val="none"/>
          <w:lang w:val="en-US" w:eastAsia="zh-CN"/>
        </w:rPr>
        <w:t>1</w:t>
      </w:r>
      <w:r>
        <w:rPr>
          <w:rFonts w:hint="eastAsia" w:ascii="Times New Roman" w:hAnsi="Times New Roman" w:eastAsia="宋体"/>
          <w:b/>
          <w:color w:val="auto"/>
          <w:szCs w:val="21"/>
          <w:highlight w:val="none"/>
        </w:rPr>
        <w:t>、技术参数</w:t>
      </w:r>
    </w:p>
    <w:p w14:paraId="5AC8FDEB">
      <w:pPr>
        <w:spacing w:line="400" w:lineRule="exact"/>
        <w:ind w:firstLine="110" w:firstLineChars="50"/>
        <w:rPr>
          <w:rFonts w:ascii="Calibri" w:hAnsi="Calibri" w:eastAsia="宋体"/>
          <w:color w:val="auto"/>
          <w:szCs w:val="22"/>
          <w:highlight w:val="none"/>
        </w:rPr>
      </w:pPr>
      <w:r>
        <w:rPr>
          <w:rFonts w:hint="default" w:ascii="宋体" w:hAnsi="宋体" w:eastAsia="宋体"/>
          <w:color w:val="auto"/>
          <w:sz w:val="22"/>
          <w:szCs w:val="22"/>
          <w:highlight w:val="none"/>
        </w:rPr>
        <w:t>执行国家标准及行业标准，满足材料使用的技术性能要求。</w:t>
      </w:r>
    </w:p>
    <w:p w14:paraId="1770FCF8">
      <w:pPr>
        <w:pStyle w:val="343"/>
        <w:keepNext w:val="0"/>
        <w:keepLines w:val="0"/>
        <w:pageBreakBefore w:val="0"/>
        <w:widowControl w:val="0"/>
        <w:numPr>
          <w:ilvl w:val="0"/>
          <w:numId w:val="0"/>
        </w:numPr>
        <w:tabs>
          <w:tab w:val="left" w:pos="1620"/>
        </w:tabs>
        <w:kinsoku/>
        <w:wordWrap/>
        <w:overflowPunct/>
        <w:topLinePunct w:val="0"/>
        <w:bidi w:val="0"/>
        <w:snapToGrid w:val="0"/>
        <w:spacing w:after="0" w:line="440" w:lineRule="exact"/>
        <w:ind w:firstLine="480" w:firstLineChars="200"/>
        <w:textAlignment w:val="auto"/>
        <w:rPr>
          <w:rFonts w:hint="default" w:ascii="新宋体" w:hAnsi="新宋体" w:eastAsia="新宋体" w:cs="新宋体"/>
          <w:bCs/>
          <w:color w:val="auto"/>
          <w:kern w:val="0"/>
          <w:sz w:val="24"/>
          <w:szCs w:val="24"/>
          <w:lang w:val="en-US" w:eastAsia="zh-CN" w:bidi="ar-SA"/>
        </w:rPr>
      </w:pPr>
      <w:r>
        <w:rPr>
          <w:rFonts w:hint="default" w:ascii="新宋体" w:hAnsi="新宋体" w:eastAsia="新宋体" w:cs="新宋体"/>
          <w:bCs/>
          <w:color w:val="auto"/>
          <w:kern w:val="0"/>
          <w:sz w:val="24"/>
          <w:szCs w:val="24"/>
          <w:lang w:val="en-US" w:eastAsia="zh-CN" w:bidi="ar-SA"/>
        </w:rPr>
        <w:t>供应钢筋网片采用焊接钢筋网，焊接网钢筋强度标准为CRB550级，质量必须符合行业标准《钢焊接网混凝土结构技术规程》(JGJ114-2014)的规定，若国家、行业标准或规范出现修改或新颁，由需方决定是否采用新标准或新规范，价格不因标准和规范适用的变化而调整;</w:t>
      </w:r>
    </w:p>
    <w:p w14:paraId="13111D59">
      <w:pPr>
        <w:pStyle w:val="343"/>
        <w:keepNext w:val="0"/>
        <w:keepLines w:val="0"/>
        <w:pageBreakBefore w:val="0"/>
        <w:widowControl w:val="0"/>
        <w:numPr>
          <w:ilvl w:val="0"/>
          <w:numId w:val="0"/>
        </w:numPr>
        <w:tabs>
          <w:tab w:val="left" w:pos="1620"/>
        </w:tabs>
        <w:kinsoku/>
        <w:wordWrap/>
        <w:overflowPunct/>
        <w:topLinePunct w:val="0"/>
        <w:bidi w:val="0"/>
        <w:snapToGrid w:val="0"/>
        <w:spacing w:after="0" w:line="440" w:lineRule="exact"/>
        <w:ind w:firstLine="480" w:firstLineChars="200"/>
        <w:textAlignment w:val="auto"/>
        <w:rPr>
          <w:rFonts w:hint="default" w:ascii="新宋体" w:hAnsi="新宋体" w:eastAsia="新宋体" w:cs="新宋体"/>
          <w:bCs/>
          <w:color w:val="auto"/>
          <w:kern w:val="0"/>
          <w:sz w:val="24"/>
          <w:szCs w:val="24"/>
          <w:lang w:val="en-US" w:eastAsia="zh-CN" w:bidi="ar-SA"/>
        </w:rPr>
      </w:pPr>
      <w:r>
        <w:rPr>
          <w:rFonts w:hint="default" w:ascii="新宋体" w:hAnsi="新宋体" w:eastAsia="新宋体" w:cs="新宋体"/>
          <w:bCs/>
          <w:color w:val="auto"/>
          <w:kern w:val="0"/>
          <w:sz w:val="24"/>
          <w:szCs w:val="24"/>
          <w:lang w:val="en-US" w:eastAsia="zh-CN" w:bidi="ar-SA"/>
        </w:rPr>
        <w:t>网片的网孔尺寸、钢筋间距</w:t>
      </w:r>
      <w:r>
        <w:rPr>
          <w:rFonts w:hint="eastAsia" w:ascii="新宋体" w:hAnsi="新宋体" w:eastAsia="新宋体" w:cs="新宋体"/>
          <w:bCs/>
          <w:color w:val="auto"/>
          <w:kern w:val="0"/>
          <w:sz w:val="24"/>
          <w:szCs w:val="24"/>
          <w:lang w:val="en-US" w:eastAsia="zh-CN" w:bidi="ar-SA"/>
        </w:rPr>
        <w:t>（150*150mm）</w:t>
      </w:r>
      <w:r>
        <w:rPr>
          <w:rFonts w:hint="default" w:ascii="新宋体" w:hAnsi="新宋体" w:eastAsia="新宋体" w:cs="新宋体"/>
          <w:bCs/>
          <w:color w:val="auto"/>
          <w:kern w:val="0"/>
          <w:sz w:val="24"/>
          <w:szCs w:val="24"/>
          <w:lang w:val="en-US" w:eastAsia="zh-CN" w:bidi="ar-SA"/>
        </w:rPr>
        <w:t>、钢筋直径</w:t>
      </w:r>
      <w:r>
        <w:rPr>
          <w:rFonts w:hint="eastAsia" w:ascii="新宋体" w:hAnsi="新宋体" w:eastAsia="新宋体" w:cs="新宋体"/>
          <w:bCs/>
          <w:color w:val="auto"/>
          <w:kern w:val="0"/>
          <w:sz w:val="24"/>
          <w:szCs w:val="24"/>
          <w:lang w:val="en-US" w:eastAsia="zh-CN" w:bidi="ar-SA"/>
        </w:rPr>
        <w:t>（φ4）</w:t>
      </w:r>
      <w:r>
        <w:rPr>
          <w:rFonts w:hint="default" w:ascii="新宋体" w:hAnsi="新宋体" w:eastAsia="新宋体" w:cs="新宋体"/>
          <w:bCs/>
          <w:color w:val="auto"/>
          <w:kern w:val="0"/>
          <w:sz w:val="24"/>
          <w:szCs w:val="24"/>
          <w:lang w:val="en-US" w:eastAsia="zh-CN" w:bidi="ar-SA"/>
        </w:rPr>
        <w:t>及边缘平整度应符合设计图纸要求，误差应在允许范围内；钢筋直径应均匀一致，无明显的粗细不均现象；边缘应平整，无扭曲、变形或毛刺。表面</w:t>
      </w:r>
      <w:r>
        <w:rPr>
          <w:rFonts w:hint="eastAsia" w:ascii="新宋体" w:hAnsi="新宋体" w:eastAsia="新宋体" w:cs="新宋体"/>
          <w:bCs/>
          <w:color w:val="auto"/>
          <w:kern w:val="0"/>
          <w:sz w:val="24"/>
          <w:szCs w:val="24"/>
          <w:lang w:val="en-US" w:eastAsia="zh-CN" w:bidi="ar-SA"/>
        </w:rPr>
        <w:t>应</w:t>
      </w:r>
      <w:r>
        <w:rPr>
          <w:rFonts w:hint="default" w:ascii="新宋体" w:hAnsi="新宋体" w:eastAsia="新宋体" w:cs="新宋体"/>
          <w:bCs/>
          <w:color w:val="auto"/>
          <w:kern w:val="0"/>
          <w:sz w:val="24"/>
          <w:szCs w:val="24"/>
          <w:lang w:val="en-US" w:eastAsia="zh-CN" w:bidi="ar-SA"/>
        </w:rPr>
        <w:t>清洁，无油污、锈蚀等缺陷‌。</w:t>
      </w:r>
    </w:p>
    <w:p w14:paraId="6BFDE0C9">
      <w:pPr>
        <w:snapToGrid w:val="0"/>
        <w:spacing w:line="400" w:lineRule="exact"/>
        <w:rPr>
          <w:rFonts w:ascii="宋体" w:hAnsi="Calibri" w:eastAsia="宋体"/>
          <w:color w:val="auto"/>
          <w:szCs w:val="21"/>
          <w:highlight w:val="none"/>
        </w:rPr>
      </w:pPr>
      <w:r>
        <w:rPr>
          <w:rFonts w:hint="eastAsia" w:ascii="新宋体" w:hAnsi="新宋体" w:eastAsia="新宋体" w:cs="新宋体"/>
          <w:bCs/>
          <w:color w:val="auto"/>
          <w:kern w:val="0"/>
          <w:sz w:val="24"/>
          <w:szCs w:val="24"/>
          <w:lang w:val="en-US" w:eastAsia="zh-CN" w:bidi="ar-SA"/>
        </w:rPr>
        <w:t>网片钢筋</w:t>
      </w:r>
      <w:r>
        <w:rPr>
          <w:rFonts w:hint="default" w:ascii="新宋体" w:hAnsi="新宋体" w:eastAsia="新宋体" w:cs="新宋体"/>
          <w:bCs/>
          <w:color w:val="auto"/>
          <w:kern w:val="0"/>
          <w:sz w:val="24"/>
          <w:szCs w:val="24"/>
          <w:lang w:val="en-US" w:eastAsia="zh-CN" w:bidi="ar-SA"/>
        </w:rPr>
        <w:t>抗拉强度、屈服强度、延伸率及焊接接头</w:t>
      </w:r>
      <w:r>
        <w:rPr>
          <w:rFonts w:hint="default" w:ascii="新宋体" w:hAnsi="新宋体" w:eastAsia="新宋体" w:cs="新宋体"/>
          <w:color w:val="auto"/>
          <w:sz w:val="24"/>
          <w:szCs w:val="24"/>
          <w:highlight w:val="none"/>
          <w:lang w:val="en-US" w:eastAsia="zh-CN"/>
        </w:rPr>
        <w:t>的外观（无裂纹、夹渣、气孔等缺陷）、尺寸（焊缝宽度、高度）、强度（通过拉伸试验或剪切试验测定）</w:t>
      </w:r>
      <w:r>
        <w:rPr>
          <w:rFonts w:hint="eastAsia" w:ascii="新宋体" w:hAnsi="新宋体" w:eastAsia="新宋体" w:cs="新宋体"/>
          <w:bCs/>
          <w:color w:val="auto"/>
          <w:kern w:val="0"/>
          <w:sz w:val="24"/>
          <w:szCs w:val="24"/>
          <w:lang w:val="en-US" w:eastAsia="zh-CN" w:bidi="ar-SA"/>
        </w:rPr>
        <w:t>满足设计图纸</w:t>
      </w:r>
      <w:r>
        <w:rPr>
          <w:rFonts w:hint="default" w:ascii="新宋体" w:hAnsi="新宋体" w:eastAsia="新宋体" w:cs="新宋体"/>
          <w:bCs/>
          <w:color w:val="auto"/>
          <w:kern w:val="0"/>
          <w:sz w:val="24"/>
          <w:szCs w:val="24"/>
          <w:lang w:val="en-US" w:eastAsia="zh-CN" w:bidi="ar-SA"/>
        </w:rPr>
        <w:t>。</w:t>
      </w:r>
    </w:p>
    <w:p w14:paraId="6D2554FD">
      <w:pPr>
        <w:spacing w:line="400" w:lineRule="exact"/>
        <w:rPr>
          <w:rFonts w:ascii="Times New Roman" w:hAnsi="Times New Roman" w:eastAsia="宋体"/>
          <w:b/>
          <w:color w:val="auto"/>
          <w:szCs w:val="21"/>
          <w:highlight w:val="none"/>
        </w:rPr>
      </w:pPr>
      <w:r>
        <w:rPr>
          <w:rFonts w:hint="eastAsia" w:eastAsia="宋体"/>
          <w:b/>
          <w:color w:val="auto"/>
          <w:szCs w:val="21"/>
          <w:highlight w:val="none"/>
          <w:lang w:val="en-US" w:eastAsia="zh-CN"/>
        </w:rPr>
        <w:t>2</w:t>
      </w:r>
      <w:r>
        <w:rPr>
          <w:rFonts w:hint="eastAsia" w:ascii="Times New Roman" w:hAnsi="Times New Roman" w:eastAsia="宋体"/>
          <w:b/>
          <w:color w:val="auto"/>
          <w:szCs w:val="21"/>
          <w:highlight w:val="none"/>
        </w:rPr>
        <w:t>、投标人应提供的技术资料</w:t>
      </w:r>
    </w:p>
    <w:p w14:paraId="6FCCA637">
      <w:pPr>
        <w:widowControl w:val="0"/>
        <w:adjustRightInd w:val="0"/>
        <w:snapToGrid w:val="0"/>
        <w:spacing w:line="400" w:lineRule="exact"/>
        <w:ind w:firstLine="420"/>
        <w:jc w:val="both"/>
        <w:rPr>
          <w:rFonts w:ascii="宋体" w:hAnsi="宋体" w:eastAsia="宋体" w:cs="Times New Roman"/>
          <w:color w:val="auto"/>
          <w:kern w:val="0"/>
          <w:sz w:val="20"/>
          <w:szCs w:val="21"/>
          <w:highlight w:val="none"/>
          <w:lang w:val="en-US" w:eastAsia="zh-CN" w:bidi="ar-SA"/>
        </w:rPr>
      </w:pPr>
      <w:r>
        <w:rPr>
          <w:rFonts w:hint="eastAsia" w:ascii="宋体" w:hAnsi="宋体" w:eastAsia="宋体" w:cs="Times New Roman"/>
          <w:color w:val="auto"/>
          <w:kern w:val="0"/>
          <w:sz w:val="20"/>
          <w:szCs w:val="21"/>
          <w:highlight w:val="none"/>
          <w:lang w:val="en-US" w:eastAsia="zh-CN" w:bidi="ar-SA"/>
        </w:rPr>
        <w:t>生产和检验招标物资所执行的技术标准。</w:t>
      </w:r>
    </w:p>
    <w:p w14:paraId="5C9C5B54">
      <w:pPr>
        <w:spacing w:line="400" w:lineRule="exact"/>
        <w:rPr>
          <w:rFonts w:ascii="Calibri" w:hAnsi="Calibri" w:eastAsia="宋体"/>
          <w:color w:val="auto"/>
          <w:szCs w:val="22"/>
          <w:highlight w:val="none"/>
        </w:rPr>
      </w:pPr>
      <w:r>
        <w:rPr>
          <w:rFonts w:hint="default" w:ascii="宋体" w:hAnsi="宋体" w:eastAsia="宋体"/>
          <w:color w:val="auto"/>
          <w:sz w:val="22"/>
          <w:szCs w:val="22"/>
          <w:highlight w:val="none"/>
        </w:rPr>
        <w:t xml:space="preserve">（1）所供钢筋要求符合国家及行业标准，交货长度和尺寸完全符合供货清单中的要求，并提供试验及探伤报告，产品质量保证期限从投入运行日期算起不低于 </w:t>
      </w:r>
      <w:r>
        <w:rPr>
          <w:rFonts w:hint="default" w:eastAsia="宋体"/>
          <w:color w:val="auto"/>
          <w:sz w:val="22"/>
          <w:szCs w:val="22"/>
          <w:highlight w:val="none"/>
        </w:rPr>
        <w:t xml:space="preserve">12 </w:t>
      </w:r>
      <w:r>
        <w:rPr>
          <w:rFonts w:hint="default" w:ascii="宋体" w:hAnsi="宋体" w:eastAsia="宋体"/>
          <w:color w:val="auto"/>
          <w:sz w:val="22"/>
          <w:szCs w:val="22"/>
          <w:highlight w:val="none"/>
        </w:rPr>
        <w:t>个月。</w:t>
      </w:r>
      <w:r>
        <w:rPr>
          <w:rFonts w:hint="eastAsia" w:ascii="Calibri" w:hAnsi="Calibri" w:eastAsia="宋体"/>
          <w:color w:val="auto"/>
          <w:sz w:val="22"/>
          <w:szCs w:val="22"/>
          <w:highlight w:val="none"/>
        </w:rPr>
        <w:br w:type="textWrapping"/>
      </w:r>
      <w:r>
        <w:rPr>
          <w:rFonts w:hint="default" w:ascii="宋体" w:hAnsi="宋体" w:eastAsia="宋体"/>
          <w:color w:val="auto"/>
          <w:sz w:val="22"/>
          <w:szCs w:val="22"/>
          <w:highlight w:val="none"/>
        </w:rPr>
        <w:t>（</w:t>
      </w:r>
      <w:r>
        <w:rPr>
          <w:rFonts w:hint="default" w:eastAsia="宋体"/>
          <w:color w:val="auto"/>
          <w:sz w:val="22"/>
          <w:szCs w:val="22"/>
          <w:highlight w:val="none"/>
        </w:rPr>
        <w:t>2</w:t>
      </w:r>
      <w:r>
        <w:rPr>
          <w:rFonts w:hint="default" w:ascii="宋体" w:hAnsi="宋体" w:eastAsia="宋体"/>
          <w:color w:val="auto"/>
          <w:sz w:val="22"/>
          <w:szCs w:val="22"/>
          <w:highlight w:val="none"/>
        </w:rPr>
        <w:t>）供应商负责运输到指定地点、提供有效发票以及售后服务</w:t>
      </w:r>
      <w:r>
        <w:rPr>
          <w:rFonts w:ascii="Calibri" w:hAnsi="Calibri" w:eastAsia="宋体"/>
          <w:color w:val="auto"/>
          <w:szCs w:val="22"/>
          <w:highlight w:val="none"/>
        </w:rPr>
        <w:t xml:space="preserve"> </w:t>
      </w:r>
    </w:p>
    <w:p w14:paraId="594218E7">
      <w:pPr>
        <w:spacing w:line="400" w:lineRule="exact"/>
        <w:rPr>
          <w:rFonts w:ascii="宋体" w:hAnsi="宋体" w:eastAsia="宋体"/>
          <w:b/>
          <w:color w:val="auto"/>
          <w:szCs w:val="21"/>
          <w:highlight w:val="none"/>
          <w:shd w:val="clear" w:color="auto" w:fill="FFFFFF"/>
        </w:rPr>
      </w:pPr>
      <w:r>
        <w:rPr>
          <w:rFonts w:hint="eastAsia" w:ascii="宋体" w:hAnsi="宋体" w:eastAsia="宋体"/>
          <w:b/>
          <w:color w:val="auto"/>
          <w:szCs w:val="21"/>
          <w:highlight w:val="none"/>
          <w:shd w:val="clear" w:color="auto" w:fill="FFFFFF"/>
          <w:lang w:val="en-US" w:eastAsia="zh-CN"/>
        </w:rPr>
        <w:t>3</w:t>
      </w:r>
      <w:r>
        <w:rPr>
          <w:rFonts w:hint="eastAsia" w:ascii="宋体" w:hAnsi="宋体" w:eastAsia="宋体"/>
          <w:b/>
          <w:color w:val="auto"/>
          <w:szCs w:val="21"/>
          <w:highlight w:val="none"/>
          <w:shd w:val="clear" w:color="auto" w:fill="FFFFFF"/>
        </w:rPr>
        <w:t>、供货范围</w:t>
      </w:r>
    </w:p>
    <w:p w14:paraId="393EDF05">
      <w:pPr>
        <w:spacing w:line="400" w:lineRule="exact"/>
        <w:rPr>
          <w:rFonts w:ascii="Calibri" w:hAnsi="Calibri" w:eastAsia="宋体"/>
          <w:color w:val="auto"/>
          <w:sz w:val="22"/>
          <w:szCs w:val="22"/>
          <w:highlight w:val="none"/>
        </w:rPr>
      </w:pPr>
      <w:r>
        <w:rPr>
          <w:rFonts w:hint="default" w:ascii="宋体" w:hAnsi="宋体" w:eastAsia="宋体"/>
          <w:color w:val="auto"/>
          <w:sz w:val="22"/>
          <w:szCs w:val="22"/>
          <w:highlight w:val="none"/>
        </w:rPr>
        <w:t>（</w:t>
      </w:r>
      <w:r>
        <w:rPr>
          <w:rFonts w:hint="default" w:eastAsia="宋体"/>
          <w:color w:val="auto"/>
          <w:sz w:val="22"/>
          <w:szCs w:val="22"/>
          <w:highlight w:val="none"/>
        </w:rPr>
        <w:t>1</w:t>
      </w:r>
      <w:r>
        <w:rPr>
          <w:rFonts w:hint="default" w:ascii="宋体" w:hAnsi="宋体" w:eastAsia="宋体"/>
          <w:color w:val="auto"/>
          <w:sz w:val="22"/>
          <w:szCs w:val="22"/>
          <w:highlight w:val="none"/>
        </w:rPr>
        <w:t>）提供完整的、全新的、符合标准的、满足招标文件要求，符合技术性能要求的所列规格型号的钢筋。</w:t>
      </w:r>
    </w:p>
    <w:p w14:paraId="297C0B5F">
      <w:pPr>
        <w:spacing w:line="400" w:lineRule="exact"/>
        <w:rPr>
          <w:rFonts w:hint="default" w:ascii="Calibri" w:hAnsi="Calibri" w:eastAsia="宋体"/>
          <w:color w:val="auto"/>
          <w:szCs w:val="22"/>
          <w:highlight w:val="none"/>
        </w:rPr>
      </w:pPr>
      <w:r>
        <w:rPr>
          <w:rFonts w:hint="default" w:ascii="宋体" w:hAnsi="宋体" w:eastAsia="宋体"/>
          <w:color w:val="auto"/>
          <w:sz w:val="22"/>
          <w:szCs w:val="22"/>
          <w:highlight w:val="none"/>
        </w:rPr>
        <w:t>（</w:t>
      </w:r>
      <w:r>
        <w:rPr>
          <w:rFonts w:hint="default" w:eastAsia="宋体"/>
          <w:color w:val="auto"/>
          <w:sz w:val="22"/>
          <w:szCs w:val="22"/>
          <w:highlight w:val="none"/>
        </w:rPr>
        <w:t>2</w:t>
      </w:r>
      <w:r>
        <w:rPr>
          <w:rFonts w:hint="default" w:ascii="宋体" w:hAnsi="宋体" w:eastAsia="宋体"/>
          <w:color w:val="auto"/>
          <w:sz w:val="22"/>
          <w:szCs w:val="22"/>
          <w:highlight w:val="none"/>
        </w:rPr>
        <w:t>） 提供有关产品质量证明书等技术资料。</w:t>
      </w:r>
    </w:p>
    <w:p w14:paraId="09BAE1EC">
      <w:pPr>
        <w:spacing w:line="400" w:lineRule="exact"/>
        <w:rPr>
          <w:rFonts w:ascii="Calibri" w:hAnsi="Calibri" w:eastAsia="宋体"/>
          <w:color w:val="auto"/>
          <w:sz w:val="22"/>
          <w:szCs w:val="22"/>
          <w:highlight w:val="none"/>
        </w:rPr>
      </w:pPr>
      <w:r>
        <w:rPr>
          <w:rFonts w:ascii="Calibri" w:hAnsi="Calibri" w:eastAsia="宋体"/>
          <w:b/>
          <w:color w:val="auto"/>
          <w:szCs w:val="22"/>
          <w:highlight w:val="none"/>
        </w:rPr>
        <w:t xml:space="preserve"> </w:t>
      </w:r>
      <w:r>
        <w:rPr>
          <w:rFonts w:hint="eastAsia" w:eastAsia="宋体"/>
          <w:b/>
          <w:bCs/>
          <w:color w:val="auto"/>
          <w:sz w:val="22"/>
          <w:szCs w:val="22"/>
          <w:highlight w:val="none"/>
          <w:lang w:val="en-US" w:eastAsia="zh-CN"/>
        </w:rPr>
        <w:t>4</w:t>
      </w:r>
      <w:r>
        <w:rPr>
          <w:rFonts w:ascii="宋体" w:hAnsi="宋体" w:eastAsia="宋体"/>
          <w:b/>
          <w:color w:val="auto"/>
          <w:sz w:val="22"/>
          <w:szCs w:val="22"/>
          <w:highlight w:val="none"/>
        </w:rPr>
        <w:t>、包装运输、存放</w:t>
      </w:r>
      <w:r>
        <w:rPr>
          <w:rFonts w:hint="eastAsia" w:ascii="Calibri" w:hAnsi="Calibri" w:eastAsia="宋体"/>
          <w:b/>
          <w:color w:val="auto"/>
          <w:sz w:val="22"/>
          <w:szCs w:val="22"/>
          <w:highlight w:val="none"/>
        </w:rPr>
        <w:br w:type="textWrapping"/>
      </w:r>
      <w:r>
        <w:rPr>
          <w:rFonts w:ascii="宋体" w:hAnsi="宋体" w:eastAsia="宋体"/>
          <w:color w:val="auto"/>
          <w:sz w:val="22"/>
          <w:szCs w:val="22"/>
          <w:highlight w:val="none"/>
        </w:rPr>
        <w:t>要求供应商按照招标人的要求进行包装，一般装车和运输费用包括在合同总价中。</w:t>
      </w:r>
    </w:p>
    <w:p w14:paraId="0D16F7E4">
      <w:pPr>
        <w:spacing w:line="400" w:lineRule="exact"/>
        <w:rPr>
          <w:rFonts w:ascii="Calibri" w:hAnsi="Calibri" w:eastAsia="宋体"/>
          <w:color w:val="auto"/>
          <w:sz w:val="22"/>
          <w:szCs w:val="22"/>
          <w:highlight w:val="none"/>
        </w:rPr>
      </w:pPr>
      <w:r>
        <w:rPr>
          <w:rFonts w:hint="eastAsia" w:eastAsia="宋体"/>
          <w:b/>
          <w:bCs/>
          <w:color w:val="auto"/>
          <w:sz w:val="22"/>
          <w:szCs w:val="22"/>
          <w:highlight w:val="none"/>
          <w:lang w:val="en-US" w:eastAsia="zh-CN"/>
        </w:rPr>
        <w:t>5</w:t>
      </w:r>
      <w:r>
        <w:rPr>
          <w:rFonts w:ascii="宋体" w:hAnsi="宋体" w:eastAsia="宋体"/>
          <w:b/>
          <w:color w:val="auto"/>
          <w:sz w:val="22"/>
          <w:szCs w:val="22"/>
          <w:highlight w:val="none"/>
        </w:rPr>
        <w:t>、质量保证</w:t>
      </w:r>
      <w:r>
        <w:rPr>
          <w:rFonts w:hint="eastAsia" w:ascii="Calibri" w:hAnsi="Calibri" w:eastAsia="宋体"/>
          <w:b/>
          <w:color w:val="auto"/>
          <w:sz w:val="22"/>
          <w:szCs w:val="22"/>
          <w:highlight w:val="none"/>
        </w:rPr>
        <w:br w:type="textWrapping"/>
      </w:r>
      <w:r>
        <w:rPr>
          <w:rFonts w:ascii="宋体" w:hAnsi="宋体" w:eastAsia="宋体"/>
          <w:color w:val="auto"/>
          <w:sz w:val="22"/>
          <w:szCs w:val="22"/>
          <w:highlight w:val="none"/>
        </w:rPr>
        <w:t xml:space="preserve">供应商提供的钢筋都必须符合国家及行业标准，质量保证期为从投入运行日期算起 </w:t>
      </w:r>
      <w:r>
        <w:rPr>
          <w:rFonts w:ascii="Times New Roman" w:hAnsi="Times New Roman" w:eastAsia="宋体"/>
          <w:color w:val="auto"/>
          <w:sz w:val="22"/>
          <w:szCs w:val="22"/>
          <w:highlight w:val="none"/>
        </w:rPr>
        <w:t xml:space="preserve">12 </w:t>
      </w:r>
      <w:r>
        <w:rPr>
          <w:rFonts w:ascii="宋体" w:hAnsi="宋体" w:eastAsia="宋体"/>
          <w:color w:val="auto"/>
          <w:sz w:val="22"/>
          <w:szCs w:val="22"/>
          <w:highlight w:val="none"/>
        </w:rPr>
        <w:t>个月。</w:t>
      </w:r>
    </w:p>
    <w:p w14:paraId="139B07BF">
      <w:pPr>
        <w:spacing w:line="400" w:lineRule="exact"/>
        <w:rPr>
          <w:rFonts w:ascii="Calibri" w:hAnsi="Calibri" w:eastAsia="宋体"/>
          <w:b/>
          <w:color w:val="auto"/>
          <w:sz w:val="22"/>
          <w:szCs w:val="22"/>
          <w:highlight w:val="none"/>
        </w:rPr>
      </w:pPr>
      <w:r>
        <w:rPr>
          <w:rFonts w:hint="eastAsia" w:eastAsia="宋体"/>
          <w:b/>
          <w:bCs/>
          <w:color w:val="auto"/>
          <w:sz w:val="22"/>
          <w:szCs w:val="22"/>
          <w:highlight w:val="none"/>
          <w:lang w:val="en-US" w:eastAsia="zh-CN"/>
        </w:rPr>
        <w:t>6</w:t>
      </w:r>
      <w:r>
        <w:rPr>
          <w:rFonts w:ascii="宋体" w:hAnsi="宋体" w:eastAsia="宋体"/>
          <w:b/>
          <w:color w:val="auto"/>
          <w:sz w:val="22"/>
          <w:szCs w:val="22"/>
          <w:highlight w:val="none"/>
        </w:rPr>
        <w:t>、其它</w:t>
      </w:r>
    </w:p>
    <w:p w14:paraId="27C6A3E5">
      <w:pPr>
        <w:spacing w:line="40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.1 除合同另有规定外，工程量清单中的单价和合价包括由承包人承担的直接费、间接费、其它费用、税金等全部费用和要求获得的利润以及应由承包人承担的义务、责任和风险所发生的一切费用。</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.2 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.3 工程量清单中的“单价”和“合价”栏均应由投标人填报。投标人应填报投标报价汇总表，并在其结尾处填写投标总报价。报价货币为人民币。若投标人对某些项目未填报单价和合价，则应认为已包括在其它项目的单价和合价以及投标总报价内。</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4</w:t>
      </w:r>
      <w:r>
        <w:rPr>
          <w:rFonts w:hint="default" w:ascii="宋体" w:hAnsi="宋体" w:eastAsia="宋体" w:cs="Times New Roman"/>
          <w:color w:val="auto"/>
          <w:sz w:val="22"/>
          <w:szCs w:val="22"/>
          <w:highlight w:val="none"/>
        </w:rPr>
        <w:t xml:space="preserve"> 其他说明</w:t>
      </w:r>
      <w:r>
        <w:rPr>
          <w:rFonts w:hint="eastAsia" w:ascii="宋体" w:hAnsi="宋体" w:eastAsia="宋体" w:cs="Times New Roman"/>
          <w:color w:val="auto"/>
          <w:sz w:val="22"/>
          <w:szCs w:val="22"/>
          <w:highlight w:val="none"/>
        </w:rPr>
        <w:br w:type="textWrapping"/>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1</w:t>
      </w:r>
      <w:r>
        <w:rPr>
          <w:rFonts w:hint="default" w:ascii="宋体" w:hAnsi="宋体" w:eastAsia="宋体" w:cs="Times New Roman"/>
          <w:color w:val="auto"/>
          <w:sz w:val="22"/>
          <w:szCs w:val="22"/>
          <w:highlight w:val="none"/>
        </w:rPr>
        <w:t>）伴随服务</w:t>
      </w:r>
      <w:r>
        <w:rPr>
          <w:rFonts w:hint="eastAsia" w:ascii="宋体" w:hAnsi="宋体" w:eastAsia="宋体" w:cs="Times New Roman"/>
          <w:color w:val="auto"/>
          <w:sz w:val="22"/>
          <w:szCs w:val="22"/>
          <w:highlight w:val="none"/>
        </w:rPr>
        <w:t>及供货期间运营管理</w:t>
      </w:r>
      <w:r>
        <w:rPr>
          <w:rFonts w:hint="default" w:ascii="宋体" w:hAnsi="宋体" w:eastAsia="宋体" w:cs="Times New Roman"/>
          <w:color w:val="auto"/>
          <w:sz w:val="22"/>
          <w:szCs w:val="22"/>
          <w:highlight w:val="none"/>
        </w:rPr>
        <w:t>费用包括</w:t>
      </w:r>
      <w:r>
        <w:rPr>
          <w:rFonts w:hint="eastAsia" w:ascii="宋体" w:hAnsi="宋体" w:eastAsia="宋体" w:cs="Times New Roman"/>
          <w:color w:val="auto"/>
          <w:sz w:val="22"/>
          <w:szCs w:val="22"/>
          <w:highlight w:val="none"/>
        </w:rPr>
        <w:t>在综合固定</w:t>
      </w:r>
      <w:r>
        <w:rPr>
          <w:rFonts w:hint="default" w:ascii="宋体" w:hAnsi="宋体" w:eastAsia="宋体" w:cs="Times New Roman"/>
          <w:color w:val="auto"/>
          <w:sz w:val="22"/>
          <w:szCs w:val="22"/>
          <w:highlight w:val="none"/>
        </w:rPr>
        <w:t>费</w:t>
      </w:r>
      <w:r>
        <w:rPr>
          <w:rFonts w:hint="eastAsia" w:ascii="宋体" w:hAnsi="宋体" w:eastAsia="宋体" w:cs="Times New Roman"/>
          <w:color w:val="auto"/>
          <w:sz w:val="22"/>
          <w:szCs w:val="22"/>
          <w:highlight w:val="none"/>
        </w:rPr>
        <w:t>用中</w:t>
      </w:r>
      <w:r>
        <w:rPr>
          <w:rFonts w:hint="default" w:ascii="宋体" w:hAnsi="宋体" w:eastAsia="宋体" w:cs="Times New Roman"/>
          <w:color w:val="auto"/>
          <w:sz w:val="22"/>
          <w:szCs w:val="22"/>
          <w:highlight w:val="none"/>
        </w:rPr>
        <w:t>由投标人自行测算，</w:t>
      </w:r>
      <w:r>
        <w:rPr>
          <w:rFonts w:hint="eastAsia" w:ascii="宋体" w:hAnsi="宋体" w:eastAsia="宋体" w:cs="Times New Roman"/>
          <w:color w:val="auto"/>
          <w:sz w:val="22"/>
          <w:szCs w:val="22"/>
          <w:highlight w:val="none"/>
        </w:rPr>
        <w:t>综合固定费用在</w:t>
      </w:r>
      <w:r>
        <w:rPr>
          <w:rFonts w:hint="default" w:ascii="宋体" w:hAnsi="宋体" w:eastAsia="宋体" w:cs="Times New Roman"/>
          <w:color w:val="auto"/>
          <w:sz w:val="22"/>
          <w:szCs w:val="22"/>
          <w:highlight w:val="none"/>
        </w:rPr>
        <w:t>合同履行期间不做任何调整。</w:t>
      </w:r>
      <w:r>
        <w:rPr>
          <w:rFonts w:hint="eastAsia" w:ascii="宋体" w:hAnsi="宋体" w:eastAsia="宋体" w:cs="Times New Roman"/>
          <w:color w:val="auto"/>
          <w:sz w:val="22"/>
          <w:szCs w:val="22"/>
          <w:highlight w:val="none"/>
        </w:rPr>
        <w:br w:type="textWrapping"/>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2</w:t>
      </w:r>
      <w:r>
        <w:rPr>
          <w:rFonts w:hint="default" w:ascii="宋体" w:hAnsi="宋体" w:eastAsia="宋体" w:cs="Times New Roman"/>
          <w:color w:val="auto"/>
          <w:sz w:val="22"/>
          <w:szCs w:val="22"/>
          <w:highlight w:val="none"/>
        </w:rPr>
        <w:t>）由于</w:t>
      </w:r>
      <w:r>
        <w:rPr>
          <w:rFonts w:hint="eastAsia" w:ascii="宋体" w:hAnsi="宋体" w:eastAsia="宋体" w:cs="Times New Roman"/>
          <w:color w:val="auto"/>
          <w:sz w:val="22"/>
          <w:szCs w:val="22"/>
          <w:highlight w:val="none"/>
        </w:rPr>
        <w:t>本</w:t>
      </w:r>
      <w:r>
        <w:rPr>
          <w:rFonts w:hint="default" w:ascii="宋体" w:hAnsi="宋体" w:eastAsia="宋体" w:cs="Times New Roman"/>
          <w:color w:val="auto"/>
          <w:sz w:val="22"/>
          <w:szCs w:val="22"/>
          <w:highlight w:val="none"/>
        </w:rPr>
        <w:t>工程包件较多且分散，交通运输条件有较大差异，各投标人务必详细踏勘现场，</w:t>
      </w:r>
      <w:r>
        <w:rPr>
          <w:rFonts w:hint="eastAsia" w:ascii="宋体" w:hAnsi="宋体" w:eastAsia="宋体" w:cs="Times New Roman"/>
          <w:color w:val="auto"/>
          <w:sz w:val="22"/>
          <w:szCs w:val="22"/>
          <w:highlight w:val="none"/>
        </w:rPr>
        <w:t>综合固定费用</w:t>
      </w:r>
      <w:r>
        <w:rPr>
          <w:rFonts w:hint="default" w:ascii="宋体" w:hAnsi="宋体" w:eastAsia="宋体" w:cs="Times New Roman"/>
          <w:color w:val="auto"/>
          <w:sz w:val="22"/>
          <w:szCs w:val="22"/>
          <w:highlight w:val="none"/>
        </w:rPr>
        <w:t>为投标人自行测算，视为投标人已详尽了解各供货地点的具体情况。</w:t>
      </w:r>
    </w:p>
    <w:p w14:paraId="221F7153">
      <w:pPr>
        <w:rPr>
          <w:rFonts w:hint="eastAsia" w:ascii="宋体" w:hAnsi="宋体"/>
          <w:color w:val="auto"/>
          <w:sz w:val="52"/>
          <w:szCs w:val="52"/>
          <w:highlight w:val="none"/>
        </w:rPr>
      </w:pPr>
    </w:p>
    <w:p w14:paraId="5B3A1787">
      <w:pPr>
        <w:rPr>
          <w:rFonts w:hint="eastAsia" w:ascii="宋体" w:hAnsi="宋体"/>
          <w:color w:val="auto"/>
          <w:sz w:val="52"/>
          <w:szCs w:val="52"/>
          <w:highlight w:val="none"/>
        </w:rPr>
      </w:pPr>
      <w:bookmarkStart w:id="583" w:name="_Toc20873"/>
      <w:r>
        <w:rPr>
          <w:rFonts w:hint="eastAsia" w:ascii="宋体" w:hAnsi="宋体"/>
          <w:color w:val="auto"/>
          <w:sz w:val="52"/>
          <w:szCs w:val="52"/>
          <w:highlight w:val="none"/>
        </w:rPr>
        <w:br w:type="page"/>
      </w:r>
    </w:p>
    <w:p w14:paraId="22CB6D0F">
      <w:pPr>
        <w:pStyle w:val="2"/>
        <w:spacing w:before="0" w:after="0" w:line="360" w:lineRule="auto"/>
        <w:jc w:val="center"/>
        <w:rPr>
          <w:rFonts w:ascii="宋体" w:hAnsi="宋体"/>
          <w:color w:val="auto"/>
          <w:sz w:val="52"/>
          <w:szCs w:val="52"/>
          <w:highlight w:val="none"/>
        </w:rPr>
      </w:pPr>
      <w:r>
        <w:rPr>
          <w:rFonts w:hint="eastAsia" w:ascii="宋体" w:hAnsi="宋体"/>
          <w:color w:val="auto"/>
          <w:sz w:val="52"/>
          <w:szCs w:val="52"/>
          <w:highlight w:val="none"/>
        </w:rPr>
        <w:t>第 三 卷</w:t>
      </w:r>
      <w:bookmarkEnd w:id="582"/>
      <w:bookmarkEnd w:id="583"/>
      <w:bookmarkStart w:id="584" w:name="_Toc509218847"/>
      <w:bookmarkStart w:id="585" w:name="_Toc13210772"/>
      <w:bookmarkStart w:id="586" w:name="_Toc536628344"/>
      <w:bookmarkStart w:id="587" w:name="_Toc536797121"/>
      <w:bookmarkStart w:id="588" w:name="_Toc13211764"/>
      <w:bookmarkStart w:id="589" w:name="_Toc536796986"/>
      <w:bookmarkStart w:id="590" w:name="_Toc536619968"/>
      <w:bookmarkStart w:id="591" w:name="_Toc536796850"/>
      <w:bookmarkStart w:id="592" w:name="_Toc536797390"/>
      <w:bookmarkStart w:id="593" w:name="_Toc536621880"/>
      <w:bookmarkStart w:id="594" w:name="_Toc536797255"/>
      <w:bookmarkStart w:id="595" w:name="_Toc13211206"/>
      <w:bookmarkStart w:id="596" w:name="_Toc536620100"/>
      <w:bookmarkStart w:id="597" w:name="_Toc534185826"/>
    </w:p>
    <w:bookmarkEnd w:id="584"/>
    <w:p w14:paraId="1E50C959">
      <w:pPr>
        <w:rPr>
          <w:color w:val="auto"/>
          <w:highlight w:val="none"/>
        </w:rPr>
      </w:pPr>
      <w:r>
        <w:rPr>
          <w:color w:val="auto"/>
          <w:highlight w:val="none"/>
        </w:rPr>
        <w:br w:type="page"/>
      </w:r>
      <w:bookmarkEnd w:id="585"/>
      <w:bookmarkEnd w:id="586"/>
      <w:bookmarkEnd w:id="587"/>
      <w:bookmarkEnd w:id="588"/>
      <w:bookmarkEnd w:id="589"/>
      <w:bookmarkEnd w:id="590"/>
      <w:bookmarkEnd w:id="591"/>
      <w:bookmarkEnd w:id="592"/>
      <w:bookmarkEnd w:id="593"/>
      <w:bookmarkEnd w:id="594"/>
      <w:bookmarkEnd w:id="595"/>
      <w:bookmarkEnd w:id="596"/>
      <w:bookmarkEnd w:id="597"/>
    </w:p>
    <w:p w14:paraId="0EC15B47">
      <w:pPr>
        <w:pStyle w:val="2"/>
        <w:spacing w:line="360" w:lineRule="auto"/>
        <w:jc w:val="center"/>
        <w:rPr>
          <w:rFonts w:ascii="宋体" w:hAnsi="宋体"/>
          <w:color w:val="auto"/>
          <w:highlight w:val="none"/>
        </w:rPr>
      </w:pPr>
      <w:bookmarkStart w:id="598" w:name="招标文件07章技术标准和要求"/>
      <w:bookmarkEnd w:id="598"/>
      <w:bookmarkStart w:id="599" w:name="_Toc534185829"/>
      <w:bookmarkStart w:id="600" w:name="_Toc30596"/>
      <w:bookmarkStart w:id="601" w:name="_Toc287620812"/>
      <w:bookmarkStart w:id="602" w:name="_Toc509218852"/>
      <w:bookmarkStart w:id="603" w:name="_Toc430530528"/>
      <w:bookmarkStart w:id="604" w:name="_Toc287607865"/>
      <w:bookmarkStart w:id="605" w:name="_Toc6465"/>
      <w:r>
        <w:rPr>
          <w:rFonts w:hint="eastAsia" w:ascii="宋体" w:hAnsi="宋体"/>
          <w:color w:val="auto"/>
          <w:highlight w:val="none"/>
        </w:rPr>
        <w:t>第六章  投标文件格式</w:t>
      </w:r>
      <w:bookmarkEnd w:id="599"/>
      <w:bookmarkEnd w:id="600"/>
      <w:bookmarkEnd w:id="601"/>
      <w:bookmarkEnd w:id="602"/>
      <w:bookmarkEnd w:id="603"/>
      <w:bookmarkEnd w:id="604"/>
      <w:bookmarkEnd w:id="605"/>
    </w:p>
    <w:p w14:paraId="4432A635">
      <w:pPr>
        <w:spacing w:line="360" w:lineRule="auto"/>
        <w:rPr>
          <w:rFonts w:ascii="宋体" w:hAnsi="宋体"/>
          <w:color w:val="auto"/>
          <w:sz w:val="32"/>
          <w:szCs w:val="32"/>
          <w:highlight w:val="none"/>
        </w:rPr>
      </w:pPr>
    </w:p>
    <w:p w14:paraId="2742989E">
      <w:pPr>
        <w:spacing w:line="360" w:lineRule="auto"/>
        <w:jc w:val="center"/>
        <w:rPr>
          <w:rFonts w:ascii="宋体" w:hAnsi="宋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71450D7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71450D72"/>
                  </w:txbxContent>
                </v:textbox>
              </v:rect>
            </w:pict>
          </mc:Fallback>
        </mc:AlternateContent>
      </w:r>
      <w:r>
        <w:rPr>
          <w:rFonts w:ascii="宋体" w:hAnsi="宋体"/>
          <w:color w:val="auto"/>
          <w:szCs w:val="20"/>
          <w:highlight w:val="none"/>
        </w:rPr>
        <w:br w:type="page"/>
      </w:r>
      <w:bookmarkStart w:id="606" w:name="_Toc224103493"/>
      <w:r>
        <w:rPr>
          <w:rFonts w:hint="eastAsia" w:ascii="宋体" w:hAnsi="宋体"/>
          <w:color w:val="auto"/>
          <w:sz w:val="36"/>
          <w:szCs w:val="36"/>
          <w:highlight w:val="none"/>
        </w:rPr>
        <w:t>目  录</w:t>
      </w:r>
      <w:bookmarkEnd w:id="606"/>
    </w:p>
    <w:p w14:paraId="7FAE2C11">
      <w:pPr>
        <w:spacing w:line="360" w:lineRule="auto"/>
        <w:jc w:val="center"/>
        <w:rPr>
          <w:rFonts w:ascii="宋体" w:hAnsi="宋体"/>
          <w:color w:val="auto"/>
          <w:szCs w:val="20"/>
          <w:highlight w:val="none"/>
        </w:rPr>
      </w:pPr>
    </w:p>
    <w:p w14:paraId="6E5EE9FD">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653AE404">
      <w:pPr>
        <w:spacing w:line="360" w:lineRule="auto"/>
        <w:ind w:firstLine="420" w:firstLineChars="200"/>
        <w:rPr>
          <w:rFonts w:ascii="宋体" w:hAnsi="宋体"/>
          <w:color w:val="auto"/>
          <w:highlight w:val="none"/>
        </w:rPr>
      </w:pPr>
      <w:r>
        <w:rPr>
          <w:rFonts w:ascii="宋体" w:hAnsi="宋体"/>
          <w:color w:val="auto"/>
          <w:highlight w:val="none"/>
        </w:rPr>
        <w:t>（一）投标函</w:t>
      </w:r>
    </w:p>
    <w:p w14:paraId="61201A25">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7EFB1BFA">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 xml:space="preserve"> </w:t>
      </w:r>
      <w:r>
        <w:rPr>
          <w:rFonts w:hint="eastAsia" w:ascii="宋体" w:hAnsi="宋体" w:eastAsia="宋体" w:cs="Times New Roman"/>
          <w:color w:val="auto"/>
          <w:highlight w:val="none"/>
          <w:lang w:val="en-US" w:eastAsia="zh-CN"/>
        </w:rPr>
        <w:t>（三）报价清单</w:t>
      </w:r>
    </w:p>
    <w:p w14:paraId="65045E59">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（四）低价风险担保承诺函（如有）</w:t>
      </w:r>
    </w:p>
    <w:p w14:paraId="068AF92F">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资格审查部分</w:t>
      </w:r>
    </w:p>
    <w:p w14:paraId="406ED5AE">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0A83085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72D70B02">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eastAsia="宋体" w:cs="Times New Roman"/>
          <w:color w:val="auto"/>
          <w:highlight w:val="none"/>
          <w:lang w:val="en-US" w:eastAsia="zh-CN"/>
        </w:rPr>
        <w:t>质量及保供</w:t>
      </w:r>
      <w:r>
        <w:rPr>
          <w:rFonts w:hint="eastAsia" w:ascii="宋体" w:hAnsi="宋体" w:eastAsia="宋体" w:cs="Times New Roman"/>
          <w:color w:val="auto"/>
          <w:highlight w:val="none"/>
        </w:rPr>
        <w:t>要求</w:t>
      </w:r>
    </w:p>
    <w:p w14:paraId="7E21A408">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77BC1ADD">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（五）财务能力要求</w:t>
      </w:r>
    </w:p>
    <w:p w14:paraId="10DE69CC">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六</w:t>
      </w:r>
      <w:r>
        <w:rPr>
          <w:rFonts w:hint="eastAsia" w:ascii="宋体" w:hAnsi="宋体" w:eastAsia="宋体" w:cs="Times New Roman"/>
          <w:color w:val="auto"/>
          <w:highlight w:val="none"/>
        </w:rPr>
        <w:t>）承诺</w:t>
      </w:r>
    </w:p>
    <w:p w14:paraId="7DC5872F">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）其他资料</w:t>
      </w:r>
    </w:p>
    <w:p w14:paraId="2F7D818A">
      <w:pPr>
        <w:spacing w:line="360" w:lineRule="auto"/>
        <w:ind w:firstLine="420" w:firstLineChars="200"/>
        <w:rPr>
          <w:color w:val="auto"/>
          <w:highlight w:val="none"/>
        </w:rPr>
      </w:pPr>
    </w:p>
    <w:p w14:paraId="0319E76F">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607" w:name="_Toc430530529"/>
      <w:bookmarkStart w:id="608" w:name="_Toc224103494"/>
      <w:bookmarkStart w:id="609" w:name="_Toc287607866"/>
      <w:bookmarkStart w:id="610" w:name="_Toc277082642"/>
      <w:bookmarkStart w:id="611" w:name="_Toc287620813"/>
    </w:p>
    <w:p w14:paraId="38C2903E">
      <w:pPr>
        <w:pStyle w:val="3"/>
        <w:spacing w:line="360" w:lineRule="auto"/>
        <w:jc w:val="center"/>
        <w:rPr>
          <w:rFonts w:ascii="宋体" w:hAnsi="宋体"/>
          <w:b w:val="0"/>
          <w:bCs w:val="0"/>
          <w:color w:val="auto"/>
          <w:sz w:val="44"/>
          <w:szCs w:val="44"/>
          <w:highlight w:val="none"/>
        </w:rPr>
      </w:pPr>
      <w:bookmarkStart w:id="612" w:name="_Toc8595"/>
      <w:r>
        <w:rPr>
          <w:rFonts w:hint="eastAsia" w:ascii="宋体" w:hAnsi="宋体"/>
          <w:b w:val="0"/>
          <w:bCs w:val="0"/>
          <w:color w:val="auto"/>
          <w:sz w:val="44"/>
          <w:szCs w:val="44"/>
          <w:highlight w:val="none"/>
        </w:rPr>
        <w:t>一、投标函部分</w:t>
      </w:r>
      <w:bookmarkEnd w:id="607"/>
      <w:bookmarkEnd w:id="608"/>
      <w:bookmarkEnd w:id="609"/>
      <w:bookmarkEnd w:id="610"/>
      <w:bookmarkEnd w:id="611"/>
      <w:bookmarkEnd w:id="612"/>
    </w:p>
    <w:p w14:paraId="750701F3">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6AF79DC3">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FA9995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57E19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238D96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A62290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90267B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3F45CA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0E9E610">
      <w:pPr>
        <w:autoSpaceDE w:val="0"/>
        <w:autoSpaceDN w:val="0"/>
        <w:adjustRightInd w:val="0"/>
        <w:snapToGrid w:val="0"/>
        <w:spacing w:line="360" w:lineRule="auto"/>
        <w:jc w:val="left"/>
        <w:rPr>
          <w:rFonts w:ascii="宋体" w:hAnsi="宋体"/>
          <w:color w:val="auto"/>
          <w:kern w:val="0"/>
          <w:sz w:val="16"/>
          <w:szCs w:val="16"/>
          <w:highlight w:val="none"/>
        </w:rPr>
      </w:pPr>
    </w:p>
    <w:p w14:paraId="3514FBF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4E54DF6F">
      <w:pPr>
        <w:autoSpaceDE w:val="0"/>
        <w:autoSpaceDN w:val="0"/>
        <w:adjustRightInd w:val="0"/>
        <w:snapToGrid w:val="0"/>
        <w:spacing w:line="360" w:lineRule="auto"/>
        <w:jc w:val="left"/>
        <w:rPr>
          <w:rFonts w:ascii="宋体" w:hAnsi="宋体"/>
          <w:b/>
          <w:color w:val="auto"/>
          <w:kern w:val="0"/>
          <w:sz w:val="20"/>
          <w:szCs w:val="20"/>
          <w:highlight w:val="none"/>
        </w:rPr>
      </w:pPr>
    </w:p>
    <w:p w14:paraId="64C03DD5">
      <w:pPr>
        <w:autoSpaceDE w:val="0"/>
        <w:autoSpaceDN w:val="0"/>
        <w:adjustRightInd w:val="0"/>
        <w:snapToGrid w:val="0"/>
        <w:spacing w:line="360" w:lineRule="auto"/>
        <w:jc w:val="left"/>
        <w:rPr>
          <w:rFonts w:ascii="宋体" w:hAnsi="宋体"/>
          <w:b/>
          <w:color w:val="auto"/>
          <w:kern w:val="0"/>
          <w:sz w:val="20"/>
          <w:szCs w:val="20"/>
          <w:highlight w:val="none"/>
        </w:rPr>
      </w:pPr>
    </w:p>
    <w:p w14:paraId="59F1AECE">
      <w:pPr>
        <w:autoSpaceDE w:val="0"/>
        <w:autoSpaceDN w:val="0"/>
        <w:adjustRightInd w:val="0"/>
        <w:snapToGrid w:val="0"/>
        <w:spacing w:line="360" w:lineRule="auto"/>
        <w:jc w:val="left"/>
        <w:rPr>
          <w:rFonts w:ascii="宋体" w:hAnsi="宋体"/>
          <w:b/>
          <w:color w:val="auto"/>
          <w:kern w:val="0"/>
          <w:sz w:val="20"/>
          <w:szCs w:val="20"/>
          <w:highlight w:val="none"/>
        </w:rPr>
      </w:pPr>
    </w:p>
    <w:p w14:paraId="164211D5">
      <w:pPr>
        <w:autoSpaceDE w:val="0"/>
        <w:autoSpaceDN w:val="0"/>
        <w:adjustRightInd w:val="0"/>
        <w:snapToGrid w:val="0"/>
        <w:spacing w:line="360" w:lineRule="auto"/>
        <w:jc w:val="left"/>
        <w:rPr>
          <w:rFonts w:ascii="宋体" w:hAnsi="宋体"/>
          <w:b/>
          <w:color w:val="auto"/>
          <w:kern w:val="0"/>
          <w:sz w:val="20"/>
          <w:szCs w:val="20"/>
          <w:highlight w:val="none"/>
        </w:rPr>
      </w:pPr>
    </w:p>
    <w:p w14:paraId="7DCDC33E">
      <w:pPr>
        <w:autoSpaceDE w:val="0"/>
        <w:autoSpaceDN w:val="0"/>
        <w:adjustRightInd w:val="0"/>
        <w:snapToGrid w:val="0"/>
        <w:spacing w:line="360" w:lineRule="auto"/>
        <w:jc w:val="left"/>
        <w:rPr>
          <w:rFonts w:ascii="宋体" w:hAnsi="宋体"/>
          <w:b/>
          <w:color w:val="auto"/>
          <w:kern w:val="0"/>
          <w:sz w:val="20"/>
          <w:szCs w:val="20"/>
          <w:highlight w:val="none"/>
        </w:rPr>
      </w:pPr>
    </w:p>
    <w:p w14:paraId="608AEB92">
      <w:pPr>
        <w:autoSpaceDE w:val="0"/>
        <w:autoSpaceDN w:val="0"/>
        <w:adjustRightInd w:val="0"/>
        <w:snapToGrid w:val="0"/>
        <w:spacing w:line="360" w:lineRule="auto"/>
        <w:jc w:val="left"/>
        <w:rPr>
          <w:rFonts w:ascii="宋体" w:hAnsi="宋体"/>
          <w:b/>
          <w:color w:val="auto"/>
          <w:kern w:val="0"/>
          <w:sz w:val="20"/>
          <w:szCs w:val="20"/>
          <w:highlight w:val="none"/>
        </w:rPr>
      </w:pPr>
    </w:p>
    <w:p w14:paraId="61F9D027">
      <w:pPr>
        <w:autoSpaceDE w:val="0"/>
        <w:autoSpaceDN w:val="0"/>
        <w:adjustRightInd w:val="0"/>
        <w:snapToGrid w:val="0"/>
        <w:spacing w:line="360" w:lineRule="auto"/>
        <w:jc w:val="left"/>
        <w:rPr>
          <w:rFonts w:ascii="宋体" w:hAnsi="宋体"/>
          <w:b/>
          <w:color w:val="auto"/>
          <w:kern w:val="0"/>
          <w:sz w:val="20"/>
          <w:szCs w:val="20"/>
          <w:highlight w:val="none"/>
        </w:rPr>
      </w:pPr>
    </w:p>
    <w:p w14:paraId="0E98D5C0">
      <w:pPr>
        <w:autoSpaceDE w:val="0"/>
        <w:autoSpaceDN w:val="0"/>
        <w:adjustRightInd w:val="0"/>
        <w:snapToGrid w:val="0"/>
        <w:spacing w:line="360" w:lineRule="auto"/>
        <w:jc w:val="left"/>
        <w:rPr>
          <w:rFonts w:ascii="宋体" w:hAnsi="宋体"/>
          <w:b/>
          <w:color w:val="auto"/>
          <w:kern w:val="0"/>
          <w:sz w:val="20"/>
          <w:szCs w:val="20"/>
          <w:highlight w:val="none"/>
        </w:rPr>
      </w:pPr>
    </w:p>
    <w:p w14:paraId="55198436">
      <w:pPr>
        <w:autoSpaceDE w:val="0"/>
        <w:autoSpaceDN w:val="0"/>
        <w:adjustRightInd w:val="0"/>
        <w:snapToGrid w:val="0"/>
        <w:spacing w:line="360" w:lineRule="auto"/>
        <w:jc w:val="left"/>
        <w:rPr>
          <w:rFonts w:ascii="宋体" w:hAnsi="宋体"/>
          <w:b/>
          <w:color w:val="auto"/>
          <w:kern w:val="0"/>
          <w:sz w:val="20"/>
          <w:szCs w:val="20"/>
          <w:highlight w:val="none"/>
        </w:rPr>
      </w:pPr>
    </w:p>
    <w:p w14:paraId="53BA6071">
      <w:pPr>
        <w:autoSpaceDE w:val="0"/>
        <w:autoSpaceDN w:val="0"/>
        <w:adjustRightInd w:val="0"/>
        <w:snapToGrid w:val="0"/>
        <w:spacing w:line="360" w:lineRule="auto"/>
        <w:jc w:val="left"/>
        <w:rPr>
          <w:rFonts w:ascii="宋体" w:hAnsi="宋体"/>
          <w:b/>
          <w:color w:val="auto"/>
          <w:kern w:val="0"/>
          <w:sz w:val="20"/>
          <w:szCs w:val="20"/>
          <w:highlight w:val="none"/>
        </w:rPr>
      </w:pPr>
    </w:p>
    <w:p w14:paraId="6ABDCEB4">
      <w:pPr>
        <w:autoSpaceDE w:val="0"/>
        <w:autoSpaceDN w:val="0"/>
        <w:adjustRightInd w:val="0"/>
        <w:snapToGrid w:val="0"/>
        <w:spacing w:line="360" w:lineRule="auto"/>
        <w:jc w:val="left"/>
        <w:rPr>
          <w:rFonts w:ascii="宋体" w:hAnsi="宋体"/>
          <w:b/>
          <w:color w:val="auto"/>
          <w:kern w:val="0"/>
          <w:sz w:val="20"/>
          <w:szCs w:val="20"/>
          <w:highlight w:val="none"/>
        </w:rPr>
      </w:pPr>
    </w:p>
    <w:p w14:paraId="68C7F321">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61BEB87">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969DE34">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D62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8CE934B">
      <w:pPr>
        <w:autoSpaceDE w:val="0"/>
        <w:autoSpaceDN w:val="0"/>
        <w:adjustRightInd w:val="0"/>
        <w:snapToGrid w:val="0"/>
        <w:spacing w:line="360" w:lineRule="auto"/>
        <w:jc w:val="left"/>
        <w:rPr>
          <w:rFonts w:ascii="宋体" w:hAnsi="宋体"/>
          <w:color w:val="auto"/>
          <w:kern w:val="0"/>
          <w:sz w:val="24"/>
          <w:szCs w:val="21"/>
          <w:highlight w:val="none"/>
        </w:rPr>
      </w:pPr>
    </w:p>
    <w:p w14:paraId="2AB57D4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5053ACE0">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37264A76">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4A385176">
      <w:pPr>
        <w:autoSpaceDE w:val="0"/>
        <w:autoSpaceDN w:val="0"/>
        <w:adjustRightInd w:val="0"/>
        <w:spacing w:line="360" w:lineRule="auto"/>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（四）低价风险担保承诺函（如有）</w:t>
      </w:r>
    </w:p>
    <w:p w14:paraId="21028843">
      <w:pPr>
        <w:pStyle w:val="71"/>
        <w:ind w:firstLine="480" w:firstLineChars="200"/>
        <w:rPr>
          <w:rFonts w:hint="default" w:ascii="宋体" w:hAnsi="宋体"/>
          <w:color w:val="auto"/>
          <w:kern w:val="0"/>
          <w:sz w:val="24"/>
          <w:highlight w:val="none"/>
          <w:lang w:val="en-US" w:eastAsia="zh-CN"/>
        </w:rPr>
      </w:pPr>
    </w:p>
    <w:p w14:paraId="151CAB5E">
      <w:pPr>
        <w:autoSpaceDE w:val="0"/>
        <w:autoSpaceDN w:val="0"/>
        <w:adjustRightInd w:val="0"/>
        <w:spacing w:line="360" w:lineRule="auto"/>
        <w:ind w:firstLine="480" w:firstLineChars="200"/>
        <w:jc w:val="left"/>
        <w:rPr>
          <w:rFonts w:ascii="宋体" w:hAnsi="宋体"/>
          <w:color w:val="auto"/>
          <w:kern w:val="0"/>
          <w:sz w:val="24"/>
          <w:highlight w:val="none"/>
        </w:rPr>
      </w:pPr>
    </w:p>
    <w:p w14:paraId="70FDBB98">
      <w:pPr>
        <w:pStyle w:val="4"/>
        <w:spacing w:before="0" w:after="0" w:line="240" w:lineRule="auto"/>
        <w:jc w:val="center"/>
        <w:rPr>
          <w:rFonts w:ascii="宋体" w:hAnsi="宋体"/>
          <w:b w:val="0"/>
          <w:color w:val="auto"/>
          <w:highlight w:val="none"/>
        </w:rPr>
      </w:pPr>
      <w:bookmarkStart w:id="613" w:name="_Toc430530530"/>
      <w:bookmarkStart w:id="614" w:name="_Toc509218854"/>
      <w:bookmarkStart w:id="615" w:name="_Toc224103495"/>
      <w:bookmarkStart w:id="616" w:name="_Toc287620814"/>
      <w:bookmarkStart w:id="617" w:name="_Toc287607867"/>
      <w:bookmarkStart w:id="618" w:name="_Toc277082643"/>
      <w:bookmarkStart w:id="619" w:name="_Toc534185831"/>
      <w:r>
        <w:rPr>
          <w:rFonts w:ascii="宋体" w:hAnsi="宋体"/>
          <w:color w:val="auto"/>
          <w:highlight w:val="none"/>
        </w:rPr>
        <w:br w:type="page"/>
      </w:r>
      <w:bookmarkStart w:id="620" w:name="_Toc15607"/>
      <w:r>
        <w:rPr>
          <w:rFonts w:hint="eastAsia" w:ascii="宋体" w:hAnsi="宋体"/>
          <w:b w:val="0"/>
          <w:bCs w:val="0"/>
          <w:color w:val="auto"/>
          <w:highlight w:val="none"/>
        </w:rPr>
        <w:t>（一）投标函</w:t>
      </w:r>
      <w:bookmarkEnd w:id="613"/>
      <w:bookmarkEnd w:id="614"/>
      <w:bookmarkEnd w:id="615"/>
      <w:bookmarkEnd w:id="616"/>
      <w:bookmarkEnd w:id="617"/>
      <w:bookmarkEnd w:id="618"/>
      <w:bookmarkEnd w:id="619"/>
      <w:bookmarkEnd w:id="620"/>
    </w:p>
    <w:p w14:paraId="10CDB9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15A8C639">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（项目名称）招标项目招标文件的全部内容，愿意以下列方式对</w:t>
      </w:r>
      <w:r>
        <w:rPr>
          <w:rFonts w:hint="eastAsia" w:ascii="宋体" w:hAnsi="宋体"/>
          <w:snapToGrid w:val="0"/>
          <w:color w:val="auto"/>
          <w:kern w:val="0"/>
          <w:szCs w:val="21"/>
          <w:highlight w:val="none"/>
          <w:lang w:val="en-US" w:eastAsia="zh-CN"/>
        </w:rPr>
        <w:t>咨询</w:t>
      </w:r>
      <w:r>
        <w:rPr>
          <w:rFonts w:hint="eastAsia" w:ascii="宋体" w:hAnsi="宋体"/>
          <w:snapToGrid w:val="0"/>
          <w:color w:val="auto"/>
          <w:kern w:val="0"/>
          <w:szCs w:val="21"/>
          <w:highlight w:val="none"/>
        </w:rPr>
        <w:t>费</w:t>
      </w:r>
      <w:r>
        <w:rPr>
          <w:rFonts w:ascii="宋体" w:hAnsi="宋体"/>
          <w:snapToGrid w:val="0"/>
          <w:color w:val="auto"/>
          <w:kern w:val="0"/>
          <w:szCs w:val="21"/>
          <w:highlight w:val="none"/>
        </w:rPr>
        <w:t>进行报价</w:t>
      </w:r>
      <w:r>
        <w:rPr>
          <w:rFonts w:hint="eastAsia" w:ascii="宋体" w:hAnsi="宋体"/>
          <w:snapToGrid w:val="0"/>
          <w:color w:val="auto"/>
          <w:kern w:val="0"/>
          <w:szCs w:val="21"/>
          <w:highlight w:val="none"/>
        </w:rPr>
        <w:t>：</w:t>
      </w:r>
    </w:p>
    <w:p w14:paraId="79337E07">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投标总报价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76ABA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rPr>
        <w:t>达到招标文件的要求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0457B47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32CA330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3417690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4685B36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5FE8D02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71654C8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14:paraId="21FC689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19CCF19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（5）我方承诺以不低于招标文件第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68156A2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2F1471E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BF560A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0F42F57">
      <w:pPr>
        <w:pStyle w:val="18"/>
        <w:rPr>
          <w:color w:val="auto"/>
          <w:highlight w:val="none"/>
        </w:rPr>
      </w:pPr>
    </w:p>
    <w:p w14:paraId="6E571F2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011EA6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D998C05">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A81892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D172FF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561978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D39A6F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C8A19C4">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F68D6DC">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364987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40FD1BE">
      <w:pPr>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621" w:name="_Toc224103496"/>
      <w:bookmarkStart w:id="622" w:name="_Toc277082644"/>
      <w:bookmarkStart w:id="623" w:name="_Toc430530531"/>
      <w:bookmarkStart w:id="624" w:name="_Toc287620815"/>
      <w:bookmarkStart w:id="625" w:name="_Toc287607868"/>
      <w:r>
        <w:rPr>
          <w:rFonts w:ascii="宋体" w:hAnsi="宋体"/>
          <w:color w:val="auto"/>
          <w:sz w:val="28"/>
          <w:highlight w:val="none"/>
        </w:rPr>
        <w:br w:type="page"/>
      </w:r>
      <w:bookmarkEnd w:id="621"/>
      <w:bookmarkEnd w:id="622"/>
      <w:bookmarkEnd w:id="623"/>
      <w:bookmarkEnd w:id="624"/>
      <w:bookmarkEnd w:id="625"/>
      <w:bookmarkStart w:id="626" w:name="_Toc430530532"/>
      <w:bookmarkStart w:id="627" w:name="_Toc277082645"/>
      <w:bookmarkStart w:id="628" w:name="_Toc57905921"/>
      <w:bookmarkStart w:id="629" w:name="_Toc224103497"/>
      <w:bookmarkStart w:id="630" w:name="_Toc287607869"/>
      <w:bookmarkStart w:id="631" w:name="_Toc8650"/>
      <w:bookmarkStart w:id="632" w:name="_Toc287620816"/>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626"/>
      <w:bookmarkEnd w:id="627"/>
      <w:bookmarkEnd w:id="628"/>
      <w:bookmarkEnd w:id="629"/>
      <w:bookmarkEnd w:id="630"/>
      <w:bookmarkEnd w:id="631"/>
      <w:bookmarkEnd w:id="632"/>
    </w:p>
    <w:p w14:paraId="2830F008">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62C930F">
      <w:pPr>
        <w:spacing w:line="480" w:lineRule="auto"/>
        <w:jc w:val="center"/>
        <w:rPr>
          <w:rFonts w:ascii="宋体" w:hAnsi="宋体"/>
          <w:color w:val="auto"/>
          <w:highlight w:val="none"/>
        </w:rPr>
      </w:pPr>
    </w:p>
    <w:p w14:paraId="5BA4AE7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100A1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714E1E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6FBE04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70A1B0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3D8D8B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19B9D0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65BD1D2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814972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7C8443E9">
      <w:pPr>
        <w:pStyle w:val="18"/>
        <w:spacing w:after="0" w:line="360" w:lineRule="auto"/>
        <w:rPr>
          <w:rFonts w:ascii="宋体" w:hAnsi="宋体"/>
          <w:color w:val="auto"/>
          <w:szCs w:val="21"/>
          <w:highlight w:val="none"/>
        </w:rPr>
      </w:pPr>
    </w:p>
    <w:p w14:paraId="33EA9F34">
      <w:pPr>
        <w:pStyle w:val="18"/>
        <w:spacing w:after="0" w:line="360" w:lineRule="auto"/>
        <w:rPr>
          <w:rFonts w:ascii="宋体" w:hAnsi="宋体"/>
          <w:color w:val="auto"/>
          <w:szCs w:val="21"/>
          <w:highlight w:val="none"/>
        </w:rPr>
      </w:pPr>
    </w:p>
    <w:p w14:paraId="792C80CA">
      <w:pPr>
        <w:pStyle w:val="18"/>
        <w:spacing w:after="0" w:line="360" w:lineRule="auto"/>
        <w:rPr>
          <w:rFonts w:ascii="宋体" w:hAnsi="宋体"/>
          <w:color w:val="auto"/>
          <w:szCs w:val="21"/>
          <w:highlight w:val="none"/>
        </w:rPr>
      </w:pPr>
    </w:p>
    <w:p w14:paraId="6F2FA956">
      <w:pPr>
        <w:pStyle w:val="18"/>
        <w:spacing w:after="0" w:line="360" w:lineRule="auto"/>
        <w:rPr>
          <w:rFonts w:ascii="宋体" w:hAnsi="宋体"/>
          <w:color w:val="auto"/>
          <w:szCs w:val="21"/>
          <w:highlight w:val="none"/>
        </w:rPr>
      </w:pPr>
    </w:p>
    <w:p w14:paraId="041B11B4">
      <w:pPr>
        <w:pStyle w:val="18"/>
        <w:spacing w:after="0" w:line="360" w:lineRule="auto"/>
        <w:rPr>
          <w:rFonts w:ascii="宋体" w:hAnsi="宋体"/>
          <w:color w:val="auto"/>
          <w:szCs w:val="21"/>
          <w:highlight w:val="none"/>
        </w:rPr>
      </w:pPr>
    </w:p>
    <w:p w14:paraId="5A27EE17">
      <w:pPr>
        <w:pStyle w:val="18"/>
        <w:spacing w:after="0" w:line="360" w:lineRule="auto"/>
        <w:rPr>
          <w:rFonts w:ascii="宋体" w:hAnsi="宋体"/>
          <w:color w:val="auto"/>
          <w:szCs w:val="21"/>
          <w:highlight w:val="none"/>
        </w:rPr>
      </w:pPr>
    </w:p>
    <w:p w14:paraId="4D328EF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ED372E6">
      <w:pPr>
        <w:autoSpaceDE w:val="0"/>
        <w:autoSpaceDN w:val="0"/>
        <w:adjustRightInd w:val="0"/>
        <w:snapToGrid w:val="0"/>
        <w:spacing w:line="480" w:lineRule="auto"/>
        <w:jc w:val="left"/>
        <w:rPr>
          <w:rFonts w:ascii="宋体" w:hAnsi="宋体"/>
          <w:color w:val="auto"/>
          <w:kern w:val="0"/>
          <w:sz w:val="20"/>
          <w:szCs w:val="20"/>
          <w:highlight w:val="none"/>
        </w:rPr>
      </w:pPr>
    </w:p>
    <w:p w14:paraId="0706127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2A5D2FA">
      <w:pPr>
        <w:autoSpaceDE w:val="0"/>
        <w:autoSpaceDN w:val="0"/>
        <w:adjustRightInd w:val="0"/>
        <w:snapToGrid w:val="0"/>
        <w:spacing w:line="360" w:lineRule="auto"/>
        <w:jc w:val="left"/>
        <w:rPr>
          <w:rFonts w:ascii="宋体" w:hAnsi="宋体"/>
          <w:color w:val="auto"/>
          <w:kern w:val="0"/>
          <w:highlight w:val="none"/>
        </w:rPr>
      </w:pPr>
    </w:p>
    <w:p w14:paraId="7C492493">
      <w:pPr>
        <w:autoSpaceDE w:val="0"/>
        <w:autoSpaceDN w:val="0"/>
        <w:adjustRightInd w:val="0"/>
        <w:snapToGrid w:val="0"/>
        <w:spacing w:line="360" w:lineRule="auto"/>
        <w:jc w:val="left"/>
        <w:rPr>
          <w:rFonts w:ascii="宋体" w:hAnsi="宋体"/>
          <w:color w:val="auto"/>
          <w:kern w:val="0"/>
          <w:highlight w:val="none"/>
        </w:rPr>
      </w:pPr>
    </w:p>
    <w:p w14:paraId="1821128E">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54C6E6F4">
      <w:pPr>
        <w:autoSpaceDE w:val="0"/>
        <w:autoSpaceDN w:val="0"/>
        <w:adjustRightInd w:val="0"/>
        <w:snapToGrid w:val="0"/>
        <w:spacing w:line="360" w:lineRule="auto"/>
        <w:jc w:val="left"/>
        <w:rPr>
          <w:rFonts w:ascii="宋体" w:hAnsi="宋体"/>
          <w:color w:val="auto"/>
          <w:kern w:val="0"/>
          <w:highlight w:val="none"/>
        </w:rPr>
      </w:pPr>
    </w:p>
    <w:p w14:paraId="7CEC785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EBD888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75229C7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7E6DF8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B4F79F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DE0E0B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14320C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BE805A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E3C775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9D53A4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61E2E6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2227E4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EB127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0D0A57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534E4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D26D45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F5DF78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4BACDC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8F608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C00E6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79D87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033480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1B46FE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17EA32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624A6F9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C73EE27">
      <w:pPr>
        <w:rPr>
          <w:rFonts w:ascii="宋体" w:hAnsi="宋体"/>
          <w:color w:val="auto"/>
          <w:highlight w:val="none"/>
        </w:rPr>
      </w:pPr>
      <w:bookmarkStart w:id="633" w:name="_Toc224103499"/>
      <w:bookmarkStart w:id="634" w:name="_Toc287607871"/>
      <w:bookmarkStart w:id="635" w:name="_Toc287620818"/>
      <w:bookmarkStart w:id="636" w:name="_Toc430530533"/>
      <w:bookmarkStart w:id="637" w:name="_Toc277082647"/>
      <w:r>
        <w:rPr>
          <w:rFonts w:ascii="宋体" w:hAnsi="宋体"/>
          <w:snapToGrid w:val="0"/>
          <w:color w:val="auto"/>
          <w:kern w:val="0"/>
          <w:sz w:val="32"/>
          <w:szCs w:val="32"/>
          <w:highlight w:val="none"/>
        </w:rPr>
        <w:br w:type="page"/>
      </w:r>
      <w:bookmarkEnd w:id="633"/>
      <w:bookmarkEnd w:id="634"/>
      <w:bookmarkEnd w:id="635"/>
      <w:bookmarkEnd w:id="636"/>
      <w:bookmarkEnd w:id="637"/>
      <w:bookmarkStart w:id="638" w:name="_Toc430530534"/>
      <w:bookmarkStart w:id="639" w:name="_Toc287607872"/>
      <w:bookmarkStart w:id="640" w:name="_Toc287620819"/>
      <w:bookmarkStart w:id="641" w:name="_Toc224103500"/>
    </w:p>
    <w:p w14:paraId="37A49E5D">
      <w:pPr>
        <w:jc w:val="center"/>
        <w:rPr>
          <w:rFonts w:hint="default" w:ascii="宋体" w:hAnsi="宋体" w:eastAsia="宋体"/>
          <w:b w:val="0"/>
          <w:bCs w:val="0"/>
          <w:color w:val="auto"/>
          <w:sz w:val="44"/>
          <w:szCs w:val="44"/>
          <w:highlight w:val="none"/>
          <w:lang w:val="en-US" w:eastAsia="zh-CN"/>
        </w:rPr>
      </w:pPr>
      <w:bookmarkStart w:id="642" w:name="_Toc9448"/>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报价清单</w:t>
      </w:r>
    </w:p>
    <w:p w14:paraId="4264B8A0">
      <w:pPr>
        <w:rPr>
          <w:rFonts w:hint="eastAsia" w:ascii="宋体" w:hAnsi="宋体"/>
          <w:b w:val="0"/>
          <w:bCs w:val="0"/>
          <w:color w:val="auto"/>
          <w:sz w:val="44"/>
          <w:szCs w:val="44"/>
          <w:highlight w:val="none"/>
        </w:rPr>
      </w:pPr>
    </w:p>
    <w:p w14:paraId="1EBC1D87">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报价表说明</w:t>
      </w:r>
    </w:p>
    <w:p w14:paraId="749436F0">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报价表中填报的综合单价应是将满足招标文件要求的产品运至施工现场招标人指定交货地点的综合单价，应包含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经验收合格且交付给招标人正常使用的所有费用，以及合同明示或暗示的所有责任、义务和一般风险。</w:t>
      </w:r>
    </w:p>
    <w:p w14:paraId="1BEFF587">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2）如果未按照报价表要求进行报价，将被视为没有实质性响应招标文件。</w:t>
      </w:r>
    </w:p>
    <w:p w14:paraId="06DE85C1">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3）采购数量以最终实际发生并结算的数量为准。</w:t>
      </w:r>
    </w:p>
    <w:p w14:paraId="0482445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4）为方便统一报价，本报价中建材钢投标基准价按“</w:t>
      </w:r>
      <w:r>
        <w:rPr>
          <w:rFonts w:hint="eastAsia" w:ascii="宋体" w:hAnsi="宋体" w:cs="宋体"/>
          <w:color w:val="auto"/>
          <w:kern w:val="0"/>
          <w:sz w:val="24"/>
          <w:szCs w:val="24"/>
          <w:highlight w:val="none"/>
          <w:lang w:val="en-US" w:eastAsia="zh-CN"/>
        </w:rPr>
        <w:t>投标人须知</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3.2.4中最高限价内暂定基准价</w:t>
      </w:r>
      <w:r>
        <w:rPr>
          <w:rFonts w:hint="eastAsia" w:ascii="宋体" w:hAnsi="宋体" w:eastAsia="宋体" w:cs="宋体"/>
          <w:color w:val="auto"/>
          <w:kern w:val="0"/>
          <w:sz w:val="24"/>
          <w:szCs w:val="24"/>
          <w:highlight w:val="none"/>
        </w:rPr>
        <w:t>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此价格为投标基准价，仅作为评标使用，不作为结算依据。</w:t>
      </w:r>
    </w:p>
    <w:tbl>
      <w:tblPr>
        <w:tblStyle w:val="49"/>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gridCol w:w="1685"/>
      </w:tblGrid>
      <w:tr w14:paraId="17E7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690" w:type="dxa"/>
            <w:shd w:val="clear" w:color="auto" w:fill="auto"/>
            <w:vAlign w:val="center"/>
          </w:tcPr>
          <w:p w14:paraId="6E04E8D8">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序号</w:t>
            </w:r>
          </w:p>
        </w:tc>
        <w:tc>
          <w:tcPr>
            <w:tcW w:w="2352" w:type="dxa"/>
            <w:shd w:val="clear" w:color="auto" w:fill="auto"/>
            <w:vAlign w:val="center"/>
          </w:tcPr>
          <w:p w14:paraId="7F4379D9">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规格名称</w:t>
            </w:r>
          </w:p>
        </w:tc>
        <w:tc>
          <w:tcPr>
            <w:tcW w:w="811" w:type="dxa"/>
            <w:shd w:val="clear" w:color="auto" w:fill="auto"/>
            <w:vAlign w:val="center"/>
          </w:tcPr>
          <w:p w14:paraId="4069D664">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单位</w:t>
            </w:r>
          </w:p>
        </w:tc>
        <w:tc>
          <w:tcPr>
            <w:tcW w:w="1685" w:type="dxa"/>
            <w:shd w:val="clear" w:color="auto" w:fill="auto"/>
            <w:vAlign w:val="center"/>
          </w:tcPr>
          <w:p w14:paraId="7F2E264F">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投标基准价</w:t>
            </w:r>
          </w:p>
        </w:tc>
        <w:tc>
          <w:tcPr>
            <w:tcW w:w="1685" w:type="dxa"/>
            <w:shd w:val="clear" w:color="auto" w:fill="auto"/>
            <w:vAlign w:val="center"/>
          </w:tcPr>
          <w:p w14:paraId="666174A1">
            <w:pPr>
              <w:widowControl/>
              <w:spacing w:line="360" w:lineRule="auto"/>
              <w:ind w:left="0" w:leftChars="0" w:right="0" w:rightChars="0" w:firstLine="0" w:firstLineChars="0"/>
              <w:jc w:val="center"/>
              <w:rPr>
                <w:rFonts w:hint="default" w:ascii="Calibri" w:hAnsi="Calibri" w:eastAsia="宋体"/>
                <w:color w:val="auto"/>
                <w:szCs w:val="22"/>
                <w:highlight w:val="none"/>
                <w:lang w:val="en-US" w:eastAsia="zh-CN"/>
              </w:rPr>
            </w:pPr>
            <w:r>
              <w:rPr>
                <w:rFonts w:hint="eastAsia" w:ascii="Calibri" w:hAnsi="Calibri"/>
                <w:color w:val="auto"/>
                <w:szCs w:val="22"/>
                <w:highlight w:val="none"/>
                <w:lang w:val="en-US" w:eastAsia="zh-CN"/>
              </w:rPr>
              <w:t>综合费用</w:t>
            </w:r>
          </w:p>
        </w:tc>
      </w:tr>
      <w:tr w14:paraId="77F4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690" w:type="dxa"/>
            <w:shd w:val="clear" w:color="auto" w:fill="auto"/>
            <w:vAlign w:val="center"/>
          </w:tcPr>
          <w:p w14:paraId="21431097">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1</w:t>
            </w:r>
          </w:p>
        </w:tc>
        <w:tc>
          <w:tcPr>
            <w:tcW w:w="2352" w:type="dxa"/>
            <w:shd w:val="clear" w:color="auto" w:fill="auto"/>
            <w:vAlign w:val="top"/>
          </w:tcPr>
          <w:p w14:paraId="44E444B7">
            <w:pPr>
              <w:snapToGrid w:val="0"/>
              <w:spacing w:line="400" w:lineRule="exact"/>
              <w:jc w:val="left"/>
              <w:rPr>
                <w:rFonts w:hint="default" w:ascii="Calibri" w:hAnsi="Calibri" w:eastAsia="宋体"/>
                <w:color w:val="auto"/>
                <w:szCs w:val="22"/>
                <w:highlight w:val="none"/>
                <w:lang w:val="en-US"/>
              </w:rPr>
            </w:pPr>
            <w:r>
              <w:rPr>
                <w:rFonts w:hint="eastAsia" w:ascii="新宋体" w:hAnsi="新宋体" w:eastAsia="新宋体" w:cs="新宋体"/>
                <w:bCs/>
                <w:color w:val="auto"/>
                <w:kern w:val="0"/>
                <w:sz w:val="24"/>
                <w:szCs w:val="24"/>
                <w:highlight w:val="none"/>
                <w:lang w:val="en-US" w:eastAsia="zh-CN" w:bidi="ar-SA"/>
              </w:rPr>
              <w:t>φ</w:t>
            </w:r>
            <w:r>
              <w:rPr>
                <w:rFonts w:hint="eastAsia" w:ascii="等线" w:hAnsi="等线" w:eastAsia="等线" w:cs="等线"/>
                <w:i w:val="0"/>
                <w:iCs w:val="0"/>
                <w:color w:val="000000"/>
                <w:kern w:val="0"/>
                <w:sz w:val="22"/>
                <w:szCs w:val="22"/>
                <w:highlight w:val="none"/>
                <w:u w:val="none"/>
                <w:lang w:val="en-US" w:eastAsia="zh-CN" w:bidi="ar"/>
              </w:rPr>
              <w:t>4@150*150防裂钢筋网片</w:t>
            </w:r>
          </w:p>
        </w:tc>
        <w:tc>
          <w:tcPr>
            <w:tcW w:w="811" w:type="dxa"/>
            <w:shd w:val="clear" w:color="auto" w:fill="auto"/>
            <w:vAlign w:val="center"/>
          </w:tcPr>
          <w:p w14:paraId="66E51C36">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56761A8D">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4650</w:t>
            </w:r>
          </w:p>
        </w:tc>
        <w:tc>
          <w:tcPr>
            <w:tcW w:w="1685" w:type="dxa"/>
            <w:shd w:val="clear" w:color="auto" w:fill="auto"/>
            <w:vAlign w:val="top"/>
          </w:tcPr>
          <w:p w14:paraId="3587AAA9">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5D9C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90" w:type="dxa"/>
            <w:shd w:val="clear" w:color="auto" w:fill="auto"/>
            <w:vAlign w:val="center"/>
          </w:tcPr>
          <w:p w14:paraId="187A049B">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2</w:t>
            </w:r>
          </w:p>
        </w:tc>
        <w:tc>
          <w:tcPr>
            <w:tcW w:w="2352" w:type="dxa"/>
            <w:shd w:val="clear" w:color="auto" w:fill="auto"/>
            <w:vAlign w:val="top"/>
          </w:tcPr>
          <w:p w14:paraId="5568713F">
            <w:pPr>
              <w:snapToGrid w:val="0"/>
              <w:spacing w:line="400" w:lineRule="exact"/>
              <w:jc w:val="left"/>
              <w:rPr>
                <w:rFonts w:hint="default" w:ascii="Calibri" w:hAnsi="Calibri" w:eastAsia="宋体"/>
                <w:color w:val="auto"/>
                <w:szCs w:val="22"/>
                <w:highlight w:val="none"/>
                <w:lang w:val="en-US"/>
              </w:rPr>
            </w:pPr>
            <w:r>
              <w:rPr>
                <w:rFonts w:hint="eastAsia" w:ascii="宋体" w:hAnsi="宋体" w:cs="宋体"/>
                <w:color w:val="auto"/>
                <w:sz w:val="21"/>
                <w:szCs w:val="21"/>
                <w:highlight w:val="none"/>
                <w:vertAlign w:val="baseline"/>
                <w:lang w:val="en-US" w:eastAsia="zh-CN"/>
              </w:rPr>
              <w:t>D6钢筋网片</w:t>
            </w:r>
          </w:p>
        </w:tc>
        <w:tc>
          <w:tcPr>
            <w:tcW w:w="811" w:type="dxa"/>
            <w:shd w:val="clear" w:color="auto" w:fill="auto"/>
            <w:vAlign w:val="center"/>
          </w:tcPr>
          <w:p w14:paraId="1B5CC1A2">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3B343FFC">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4650</w:t>
            </w:r>
          </w:p>
        </w:tc>
        <w:tc>
          <w:tcPr>
            <w:tcW w:w="1685" w:type="dxa"/>
            <w:shd w:val="clear" w:color="auto" w:fill="auto"/>
            <w:vAlign w:val="top"/>
          </w:tcPr>
          <w:p w14:paraId="64452889">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340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690" w:type="dxa"/>
            <w:shd w:val="clear" w:color="auto" w:fill="auto"/>
            <w:vAlign w:val="center"/>
          </w:tcPr>
          <w:p w14:paraId="62CC3A20">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3</w:t>
            </w:r>
          </w:p>
        </w:tc>
        <w:tc>
          <w:tcPr>
            <w:tcW w:w="2352" w:type="dxa"/>
            <w:shd w:val="clear" w:color="auto" w:fill="auto"/>
            <w:vAlign w:val="top"/>
          </w:tcPr>
          <w:p w14:paraId="780529A6">
            <w:pPr>
              <w:snapToGrid w:val="0"/>
              <w:spacing w:line="400" w:lineRule="exact"/>
              <w:jc w:val="left"/>
              <w:rPr>
                <w:rFonts w:ascii="Calibri" w:hAnsi="Calibri" w:eastAsia="宋体"/>
                <w:color w:val="auto"/>
                <w:szCs w:val="22"/>
                <w:highlight w:val="none"/>
              </w:rPr>
            </w:pPr>
            <w:r>
              <w:rPr>
                <w:rFonts w:hint="eastAsia" w:ascii="宋体" w:hAnsi="宋体" w:cs="宋体"/>
                <w:color w:val="auto"/>
                <w:sz w:val="21"/>
                <w:szCs w:val="21"/>
                <w:highlight w:val="none"/>
                <w:vertAlign w:val="baseline"/>
                <w:lang w:val="en-US" w:eastAsia="zh-CN"/>
              </w:rPr>
              <w:t>D8钢筋网片</w:t>
            </w:r>
          </w:p>
        </w:tc>
        <w:tc>
          <w:tcPr>
            <w:tcW w:w="811" w:type="dxa"/>
            <w:shd w:val="clear" w:color="auto" w:fill="auto"/>
            <w:vAlign w:val="center"/>
          </w:tcPr>
          <w:p w14:paraId="4C8F6956">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5B0E3396">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4470</w:t>
            </w:r>
          </w:p>
        </w:tc>
        <w:tc>
          <w:tcPr>
            <w:tcW w:w="1685" w:type="dxa"/>
            <w:shd w:val="clear" w:color="auto" w:fill="auto"/>
            <w:vAlign w:val="top"/>
          </w:tcPr>
          <w:p w14:paraId="4BB621CF">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72A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0" w:type="dxa"/>
            <w:shd w:val="clear" w:color="auto" w:fill="auto"/>
            <w:vAlign w:val="center"/>
          </w:tcPr>
          <w:p w14:paraId="60C287F9">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4</w:t>
            </w:r>
          </w:p>
        </w:tc>
        <w:tc>
          <w:tcPr>
            <w:tcW w:w="2352" w:type="dxa"/>
            <w:shd w:val="clear" w:color="auto" w:fill="auto"/>
            <w:vAlign w:val="top"/>
          </w:tcPr>
          <w:p w14:paraId="5F1965BC">
            <w:pPr>
              <w:snapToGrid w:val="0"/>
              <w:spacing w:line="400" w:lineRule="exact"/>
              <w:jc w:val="left"/>
              <w:rPr>
                <w:rFonts w:ascii="Calibri" w:hAnsi="Calibri" w:eastAsia="宋体"/>
                <w:color w:val="auto"/>
                <w:szCs w:val="22"/>
                <w:highlight w:val="none"/>
              </w:rPr>
            </w:pPr>
            <w:r>
              <w:rPr>
                <w:rFonts w:hint="eastAsia" w:ascii="宋体" w:hAnsi="宋体" w:cs="宋体"/>
                <w:color w:val="auto"/>
                <w:sz w:val="21"/>
                <w:szCs w:val="21"/>
                <w:highlight w:val="none"/>
                <w:vertAlign w:val="baseline"/>
                <w:lang w:val="en-US" w:eastAsia="zh-CN"/>
              </w:rPr>
              <w:t>D10钢筋网片</w:t>
            </w:r>
          </w:p>
        </w:tc>
        <w:tc>
          <w:tcPr>
            <w:tcW w:w="811" w:type="dxa"/>
            <w:shd w:val="clear" w:color="auto" w:fill="auto"/>
            <w:vAlign w:val="center"/>
          </w:tcPr>
          <w:p w14:paraId="6358513F">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2B64EDFB">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4470</w:t>
            </w:r>
          </w:p>
        </w:tc>
        <w:tc>
          <w:tcPr>
            <w:tcW w:w="1685" w:type="dxa"/>
            <w:shd w:val="clear" w:color="auto" w:fill="auto"/>
            <w:vAlign w:val="top"/>
          </w:tcPr>
          <w:p w14:paraId="7CB75959">
            <w:pPr>
              <w:snapToGrid w:val="0"/>
              <w:spacing w:line="400" w:lineRule="exact"/>
              <w:jc w:val="left"/>
              <w:rPr>
                <w:rFonts w:hint="eastAsia" w:ascii="宋体" w:hAnsi="宋体" w:cs="宋体"/>
                <w:color w:val="auto"/>
                <w:sz w:val="21"/>
                <w:szCs w:val="21"/>
                <w:highlight w:val="none"/>
                <w:vertAlign w:val="baseline"/>
                <w:lang w:val="en-US" w:eastAsia="zh-CN"/>
              </w:rPr>
            </w:pPr>
          </w:p>
        </w:tc>
      </w:tr>
    </w:tbl>
    <w:p w14:paraId="1F5C84E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）结算基准价以</w:t>
      </w:r>
      <w:r>
        <w:rPr>
          <w:rFonts w:hint="eastAsia" w:ascii="宋体" w:hAnsi="宋体" w:eastAsia="宋体" w:cs="宋体"/>
          <w:kern w:val="0"/>
          <w:sz w:val="24"/>
          <w:szCs w:val="24"/>
          <w:highlight w:val="none"/>
          <w:lang w:val="zh-CN"/>
        </w:rPr>
        <w:t>基准价按到货当日基准价:基准价(网价)与综合费用，结算基准价(网价)</w:t>
      </w:r>
      <w:r>
        <w:rPr>
          <w:rFonts w:hint="eastAsia" w:ascii="宋体" w:hAnsi="宋体" w:cs="宋体"/>
          <w:kern w:val="0"/>
          <w:sz w:val="24"/>
          <w:szCs w:val="24"/>
          <w:highlight w:val="none"/>
          <w:lang w:val="en-US" w:eastAsia="zh-CN"/>
        </w:rPr>
        <w:t>成</w:t>
      </w:r>
      <w:r>
        <w:rPr>
          <w:rFonts w:hint="eastAsia" w:ascii="宋体" w:hAnsi="宋体" w:eastAsia="宋体" w:cs="宋体"/>
          <w:kern w:val="0"/>
          <w:sz w:val="24"/>
          <w:szCs w:val="24"/>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综合费用包含产品装吊、捆扎、运输、中转、仓储等到达交货地点前的所有运杂费、保险费、出库费、利润等一切费用。</w:t>
      </w:r>
      <w:r>
        <w:rPr>
          <w:rFonts w:ascii="宋体" w:hAnsi="宋体" w:eastAsia="宋体" w:cs="宋体"/>
          <w:color w:val="auto"/>
          <w:kern w:val="0"/>
          <w:sz w:val="24"/>
          <w:szCs w:val="24"/>
          <w:highlight w:val="none"/>
        </w:rPr>
        <w:t>；如遇特殊规格无参考报价的，采取结合市场协商定价</w:t>
      </w:r>
      <w:r>
        <w:rPr>
          <w:rFonts w:hint="eastAsia" w:ascii="宋体" w:hAnsi="宋体" w:eastAsia="宋体" w:cs="宋体"/>
          <w:color w:val="auto"/>
          <w:kern w:val="0"/>
          <w:sz w:val="24"/>
          <w:szCs w:val="24"/>
          <w:highlight w:val="none"/>
        </w:rPr>
        <w:t>。</w:t>
      </w:r>
    </w:p>
    <w:p w14:paraId="78C33EF6">
      <w:pPr>
        <w:rPr>
          <w:rFonts w:ascii="Calibri" w:hAnsi="Calibri" w:eastAsia="宋体"/>
          <w:color w:val="auto"/>
          <w:szCs w:val="22"/>
          <w:highlight w:val="none"/>
        </w:rPr>
      </w:pPr>
    </w:p>
    <w:p w14:paraId="6FB22B0C">
      <w:pPr>
        <w:widowControl w:val="0"/>
        <w:spacing w:after="120"/>
        <w:jc w:val="both"/>
        <w:rPr>
          <w:rFonts w:ascii="Calibri" w:hAnsi="Calibri" w:eastAsia="宋体" w:cs="Times New Roman"/>
          <w:color w:val="auto"/>
          <w:kern w:val="2"/>
          <w:sz w:val="21"/>
          <w:szCs w:val="22"/>
          <w:highlight w:val="none"/>
          <w:lang w:val="en-US" w:eastAsia="zh-CN" w:bidi="ar-SA"/>
        </w:rPr>
      </w:pPr>
    </w:p>
    <w:p w14:paraId="082E47CD">
      <w:pPr>
        <w:rPr>
          <w:rFonts w:ascii="Calibri" w:hAnsi="Calibri" w:eastAsia="宋体"/>
          <w:color w:val="auto"/>
          <w:szCs w:val="22"/>
          <w:highlight w:val="none"/>
        </w:rPr>
      </w:pPr>
    </w:p>
    <w:p w14:paraId="2DB3C077">
      <w:pPr>
        <w:widowControl w:val="0"/>
        <w:spacing w:after="120"/>
        <w:jc w:val="both"/>
        <w:rPr>
          <w:rFonts w:ascii="Calibri" w:hAnsi="Calibri" w:eastAsia="宋体" w:cs="Times New Roman"/>
          <w:color w:val="auto"/>
          <w:kern w:val="2"/>
          <w:sz w:val="21"/>
          <w:szCs w:val="22"/>
          <w:highlight w:val="none"/>
          <w:lang w:val="en-US" w:eastAsia="zh-CN" w:bidi="ar-SA"/>
        </w:rPr>
      </w:pPr>
    </w:p>
    <w:p w14:paraId="78D5AA4A">
      <w:pPr>
        <w:rPr>
          <w:rFonts w:ascii="Calibri" w:hAnsi="Calibri" w:eastAsia="宋体"/>
          <w:color w:val="auto"/>
          <w:szCs w:val="22"/>
          <w:highlight w:val="none"/>
        </w:rPr>
      </w:pPr>
    </w:p>
    <w:p w14:paraId="57526E1A">
      <w:pPr>
        <w:widowControl w:val="0"/>
        <w:spacing w:after="120"/>
        <w:jc w:val="both"/>
        <w:rPr>
          <w:rFonts w:ascii="Calibri" w:hAnsi="Calibri" w:eastAsia="宋体" w:cs="Times New Roman"/>
          <w:color w:val="auto"/>
          <w:kern w:val="2"/>
          <w:sz w:val="21"/>
          <w:szCs w:val="22"/>
          <w:highlight w:val="none"/>
          <w:lang w:val="en-US" w:eastAsia="zh-CN" w:bidi="ar-SA"/>
        </w:rPr>
      </w:pPr>
    </w:p>
    <w:p w14:paraId="0A050F36">
      <w:pPr>
        <w:widowControl w:val="0"/>
        <w:numPr>
          <w:ilvl w:val="0"/>
          <w:numId w:val="3"/>
        </w:numPr>
        <w:autoSpaceDE w:val="0"/>
        <w:autoSpaceDN w:val="0"/>
        <w:adjustRightInd w:val="0"/>
        <w:rPr>
          <w:rFonts w:ascii="Times New Roman" w:hAnsi="Times New Roman" w:eastAsia="宋体" w:cs="Times New Roman"/>
          <w:b/>
          <w:color w:val="auto"/>
          <w:sz w:val="24"/>
          <w:szCs w:val="24"/>
          <w:highlight w:val="none"/>
          <w:lang w:val="en-US" w:eastAsia="zh-CN" w:bidi="ar-SA"/>
        </w:rPr>
      </w:pPr>
      <w:r>
        <w:rPr>
          <w:rFonts w:hint="eastAsia" w:ascii="Times New Roman" w:hAnsi="Times New Roman" w:eastAsia="宋体" w:cs="Times New Roman"/>
          <w:b/>
          <w:color w:val="auto"/>
          <w:sz w:val="24"/>
          <w:szCs w:val="24"/>
          <w:highlight w:val="none"/>
          <w:lang w:val="en-US" w:eastAsia="zh-CN" w:bidi="ar-SA"/>
        </w:rPr>
        <w:t>供货</w:t>
      </w:r>
      <w:r>
        <w:rPr>
          <w:rFonts w:ascii="Times New Roman" w:hAnsi="Times New Roman" w:eastAsia="宋体" w:cs="Times New Roman"/>
          <w:b/>
          <w:color w:val="auto"/>
          <w:sz w:val="24"/>
          <w:szCs w:val="24"/>
          <w:highlight w:val="none"/>
          <w:lang w:val="en-US" w:eastAsia="zh-CN" w:bidi="ar-SA"/>
        </w:rPr>
        <w:t>报价表</w:t>
      </w:r>
    </w:p>
    <w:p w14:paraId="4D49E4D6">
      <w:pPr>
        <w:tabs>
          <w:tab w:val="left" w:pos="5636"/>
          <w:tab w:val="left" w:pos="10095"/>
        </w:tabs>
        <w:spacing w:before="109" w:after="3"/>
        <w:jc w:val="left"/>
        <w:rPr>
          <w:rFonts w:ascii="Calibri" w:hAnsi="Calibri" w:eastAsia="宋体"/>
          <w:b/>
          <w:color w:val="auto"/>
          <w:sz w:val="24"/>
          <w:szCs w:val="24"/>
          <w:highlight w:val="none"/>
        </w:rPr>
      </w:pPr>
      <w:r>
        <w:rPr>
          <w:rFonts w:hint="eastAsia" w:ascii="宋体" w:hAnsi="宋体" w:eastAsia="宋体" w:cs="宋体"/>
          <w:color w:val="auto"/>
          <w:kern w:val="0"/>
          <w:sz w:val="24"/>
          <w:szCs w:val="24"/>
          <w:highlight w:val="none"/>
        </w:rPr>
        <w:t xml:space="preserve">投标人名称：                     招标编号：             </w:t>
      </w:r>
    </w:p>
    <w:tbl>
      <w:tblPr>
        <w:tblStyle w:val="49"/>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104"/>
        <w:gridCol w:w="563"/>
        <w:gridCol w:w="551"/>
        <w:gridCol w:w="651"/>
        <w:gridCol w:w="922"/>
        <w:gridCol w:w="876"/>
        <w:gridCol w:w="1015"/>
        <w:gridCol w:w="1156"/>
        <w:gridCol w:w="950"/>
      </w:tblGrid>
      <w:tr w14:paraId="150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65" w:type="dxa"/>
            <w:vMerge w:val="restart"/>
            <w:vAlign w:val="center"/>
          </w:tcPr>
          <w:p w14:paraId="2A8A9F67">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物资名称</w:t>
            </w:r>
          </w:p>
        </w:tc>
        <w:tc>
          <w:tcPr>
            <w:tcW w:w="1104" w:type="dxa"/>
            <w:vMerge w:val="restart"/>
            <w:vAlign w:val="center"/>
          </w:tcPr>
          <w:p w14:paraId="543C7BE3">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563" w:type="dxa"/>
            <w:vMerge w:val="restart"/>
            <w:vAlign w:val="center"/>
          </w:tcPr>
          <w:p w14:paraId="5FB40A5F">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551" w:type="dxa"/>
            <w:vAlign w:val="center"/>
          </w:tcPr>
          <w:p w14:paraId="3FBF244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暂定</w:t>
            </w:r>
          </w:p>
          <w:p w14:paraId="42AD20E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651" w:type="dxa"/>
            <w:vAlign w:val="center"/>
          </w:tcPr>
          <w:p w14:paraId="2EF4631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投标基准价（元）</w:t>
            </w:r>
          </w:p>
        </w:tc>
        <w:tc>
          <w:tcPr>
            <w:tcW w:w="922" w:type="dxa"/>
            <w:vAlign w:val="center"/>
          </w:tcPr>
          <w:p w14:paraId="4B61D21F">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综合固定费</w:t>
            </w:r>
          </w:p>
          <w:p w14:paraId="1F6BAD32">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用（元）</w:t>
            </w:r>
          </w:p>
        </w:tc>
        <w:tc>
          <w:tcPr>
            <w:tcW w:w="876" w:type="dxa"/>
            <w:vAlign w:val="center"/>
          </w:tcPr>
          <w:p w14:paraId="781F2D72">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含税到站单价（元）</w:t>
            </w:r>
          </w:p>
        </w:tc>
        <w:tc>
          <w:tcPr>
            <w:tcW w:w="1015" w:type="dxa"/>
            <w:vAlign w:val="center"/>
          </w:tcPr>
          <w:p w14:paraId="02C9771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含税总价（元）</w:t>
            </w:r>
          </w:p>
        </w:tc>
        <w:tc>
          <w:tcPr>
            <w:tcW w:w="1156" w:type="dxa"/>
            <w:vMerge w:val="restart"/>
            <w:vAlign w:val="center"/>
          </w:tcPr>
          <w:p w14:paraId="20BA500B">
            <w:pPr>
              <w:tabs>
                <w:tab w:val="left" w:pos="5636"/>
                <w:tab w:val="left" w:pos="10095"/>
              </w:tabs>
              <w:spacing w:before="109" w:after="3"/>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交货地点</w:t>
            </w:r>
          </w:p>
        </w:tc>
        <w:tc>
          <w:tcPr>
            <w:tcW w:w="950" w:type="dxa"/>
            <w:vMerge w:val="restart"/>
            <w:vAlign w:val="center"/>
          </w:tcPr>
          <w:p w14:paraId="61953A2F">
            <w:pPr>
              <w:tabs>
                <w:tab w:val="left" w:pos="5636"/>
                <w:tab w:val="left" w:pos="10095"/>
              </w:tabs>
              <w:spacing w:before="109" w:after="3"/>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品牌</w:t>
            </w:r>
          </w:p>
        </w:tc>
      </w:tr>
      <w:tr w14:paraId="6A62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Merge w:val="continue"/>
          </w:tcPr>
          <w:p w14:paraId="2C9D71B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04" w:type="dxa"/>
            <w:vMerge w:val="continue"/>
          </w:tcPr>
          <w:p w14:paraId="62713FC2">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63" w:type="dxa"/>
            <w:vMerge w:val="continue"/>
          </w:tcPr>
          <w:p w14:paraId="422AA22A">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51" w:type="dxa"/>
          </w:tcPr>
          <w:p w14:paraId="152EAB7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w:t>
            </w:r>
          </w:p>
        </w:tc>
        <w:tc>
          <w:tcPr>
            <w:tcW w:w="651" w:type="dxa"/>
          </w:tcPr>
          <w:p w14:paraId="20B22B2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w:t>
            </w:r>
          </w:p>
        </w:tc>
        <w:tc>
          <w:tcPr>
            <w:tcW w:w="922" w:type="dxa"/>
          </w:tcPr>
          <w:p w14:paraId="0E18C65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w:t>
            </w:r>
          </w:p>
        </w:tc>
        <w:tc>
          <w:tcPr>
            <w:tcW w:w="876" w:type="dxa"/>
          </w:tcPr>
          <w:p w14:paraId="1F87156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D=B+C</w:t>
            </w:r>
          </w:p>
        </w:tc>
        <w:tc>
          <w:tcPr>
            <w:tcW w:w="1015" w:type="dxa"/>
          </w:tcPr>
          <w:p w14:paraId="3B4106A0">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E=A×D</w:t>
            </w:r>
          </w:p>
        </w:tc>
        <w:tc>
          <w:tcPr>
            <w:tcW w:w="1156" w:type="dxa"/>
            <w:vMerge w:val="continue"/>
          </w:tcPr>
          <w:p w14:paraId="6778C7AC">
            <w:pPr>
              <w:ind w:firstLine="40"/>
              <w:rPr>
                <w:rFonts w:ascii="Calibri" w:hAnsi="Calibri" w:eastAsia="宋体"/>
                <w:bCs/>
                <w:color w:val="auto"/>
                <w:sz w:val="24"/>
                <w:szCs w:val="24"/>
                <w:highlight w:val="none"/>
              </w:rPr>
            </w:pPr>
          </w:p>
        </w:tc>
        <w:tc>
          <w:tcPr>
            <w:tcW w:w="950" w:type="dxa"/>
            <w:vMerge w:val="continue"/>
          </w:tcPr>
          <w:p w14:paraId="01D5DD13">
            <w:pPr>
              <w:ind w:firstLine="40"/>
              <w:rPr>
                <w:rFonts w:ascii="Calibri" w:hAnsi="Calibri" w:eastAsia="宋体"/>
                <w:bCs/>
                <w:color w:val="auto"/>
                <w:sz w:val="24"/>
                <w:szCs w:val="24"/>
                <w:highlight w:val="none"/>
              </w:rPr>
            </w:pPr>
          </w:p>
        </w:tc>
      </w:tr>
      <w:tr w14:paraId="678D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965" w:type="dxa"/>
            <w:vAlign w:val="center"/>
          </w:tcPr>
          <w:p w14:paraId="65AF6AC9">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04" w:type="dxa"/>
            <w:vAlign w:val="center"/>
          </w:tcPr>
          <w:p w14:paraId="17D9C2C1">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0EA654A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8BE8B75">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77086F0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6D549C9">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68AF6A01">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353472D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restart"/>
            <w:vAlign w:val="center"/>
          </w:tcPr>
          <w:p w14:paraId="32822B57">
            <w:pPr>
              <w:widowControl w:val="0"/>
              <w:autoSpaceDE w:val="0"/>
              <w:autoSpaceDN w:val="0"/>
              <w:jc w:val="center"/>
              <w:rPr>
                <w:rFonts w:ascii="Times New Roman" w:hAnsi="仿宋" w:eastAsia="仿宋" w:cs="仿宋"/>
                <w:bCs/>
                <w:color w:val="auto"/>
                <w:kern w:val="0"/>
                <w:sz w:val="24"/>
                <w:szCs w:val="24"/>
                <w:highlight w:val="none"/>
                <w:lang w:val="en-US" w:eastAsia="zh-CN" w:bidi="zh-CN"/>
              </w:rPr>
            </w:pPr>
          </w:p>
        </w:tc>
        <w:tc>
          <w:tcPr>
            <w:tcW w:w="950" w:type="dxa"/>
            <w:vAlign w:val="center"/>
          </w:tcPr>
          <w:p w14:paraId="6D785E58">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75AA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35F77EA4">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36E47CD9">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349FDBA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91EEE2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F3BC9D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056D82D">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523EE93E">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6A4BDD21">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060D25AF">
            <w:pPr>
              <w:ind w:firstLine="40"/>
              <w:jc w:val="center"/>
              <w:rPr>
                <w:rFonts w:ascii="Calibri" w:hAnsi="Calibri" w:eastAsia="宋体"/>
                <w:bCs/>
                <w:color w:val="auto"/>
                <w:sz w:val="24"/>
                <w:szCs w:val="24"/>
                <w:highlight w:val="none"/>
              </w:rPr>
            </w:pPr>
          </w:p>
        </w:tc>
        <w:tc>
          <w:tcPr>
            <w:tcW w:w="950" w:type="dxa"/>
            <w:vAlign w:val="center"/>
          </w:tcPr>
          <w:p w14:paraId="580DBCAD">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19BE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14:paraId="6CE1E644">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5D0B8740">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3E74AEF7">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2D06A42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15D89EF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DE36B12">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6628E18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55E1E2E8">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13C04A6D">
            <w:pPr>
              <w:ind w:firstLine="40"/>
              <w:jc w:val="center"/>
              <w:rPr>
                <w:rFonts w:ascii="Calibri" w:hAnsi="Calibri" w:eastAsia="宋体"/>
                <w:bCs/>
                <w:color w:val="auto"/>
                <w:sz w:val="24"/>
                <w:szCs w:val="24"/>
                <w:highlight w:val="none"/>
              </w:rPr>
            </w:pPr>
          </w:p>
        </w:tc>
        <w:tc>
          <w:tcPr>
            <w:tcW w:w="950" w:type="dxa"/>
            <w:vAlign w:val="center"/>
          </w:tcPr>
          <w:p w14:paraId="4619821B">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2C29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4A1B20EF">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598D6A3F">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6992CD3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FE2A21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4932653">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D4DDDD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140ABA5D">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674815B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419A8FE7">
            <w:pPr>
              <w:ind w:firstLine="40"/>
              <w:jc w:val="center"/>
              <w:rPr>
                <w:rFonts w:ascii="Calibri" w:hAnsi="Calibri" w:eastAsia="宋体"/>
                <w:bCs/>
                <w:color w:val="auto"/>
                <w:sz w:val="24"/>
                <w:szCs w:val="24"/>
                <w:highlight w:val="none"/>
              </w:rPr>
            </w:pPr>
          </w:p>
        </w:tc>
        <w:tc>
          <w:tcPr>
            <w:tcW w:w="950" w:type="dxa"/>
            <w:vAlign w:val="center"/>
          </w:tcPr>
          <w:p w14:paraId="2984293E">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44E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14:paraId="72A1088E">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7D1EC50B">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2F1F829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4620285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7764F8BA">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BA436D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047E497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14646B3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78E543F4">
            <w:pPr>
              <w:ind w:firstLine="40"/>
              <w:jc w:val="center"/>
              <w:rPr>
                <w:rFonts w:ascii="Calibri" w:hAnsi="Calibri" w:eastAsia="宋体"/>
                <w:bCs/>
                <w:color w:val="auto"/>
                <w:sz w:val="24"/>
                <w:szCs w:val="24"/>
                <w:highlight w:val="none"/>
              </w:rPr>
            </w:pPr>
          </w:p>
        </w:tc>
        <w:tc>
          <w:tcPr>
            <w:tcW w:w="950" w:type="dxa"/>
            <w:vAlign w:val="center"/>
          </w:tcPr>
          <w:p w14:paraId="398C9EB6">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09DB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103BDF35">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04" w:type="dxa"/>
            <w:vAlign w:val="center"/>
          </w:tcPr>
          <w:p w14:paraId="53DEBF52">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667361C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51" w:type="dxa"/>
            <w:vAlign w:val="center"/>
          </w:tcPr>
          <w:p w14:paraId="01EA89C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BEE225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C527F7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061B5D25">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40275CE3">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7083972E">
            <w:pPr>
              <w:ind w:firstLine="40"/>
              <w:jc w:val="center"/>
              <w:rPr>
                <w:rFonts w:ascii="Calibri" w:hAnsi="Calibri" w:eastAsia="宋体"/>
                <w:bCs/>
                <w:color w:val="auto"/>
                <w:sz w:val="24"/>
                <w:szCs w:val="24"/>
                <w:highlight w:val="none"/>
              </w:rPr>
            </w:pPr>
          </w:p>
        </w:tc>
        <w:tc>
          <w:tcPr>
            <w:tcW w:w="950" w:type="dxa"/>
            <w:vAlign w:val="center"/>
          </w:tcPr>
          <w:p w14:paraId="05A576B1">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bl>
    <w:p w14:paraId="3CBCFAFF">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1.投标人必须提供一票制增值税专用发票（税率13%），合同供应方、发票开具方、材料款收款方三流一致，中标人不得委托第三方单位或个人收款；</w:t>
      </w:r>
    </w:p>
    <w:p w14:paraId="4B0F1288">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2.招标数量为暂定数量，实际供货量以工地现场实际需求量为准；</w:t>
      </w:r>
    </w:p>
    <w:p w14:paraId="400BBBAB">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中物资规格型号、单位、数量等必须与招标文件中给出的一致，投标人自行按照招标文件中物资需求一览表包件划分情况进行填写；投标人没有按照约定的报价基准价正确填写报价表的，评标时评委将直接把基准价调整为约定的基准价，综合费用不变，调整总价，将影响评标结果，后果自负。</w:t>
      </w:r>
    </w:p>
    <w:p w14:paraId="1D0AAC02">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4.品牌范围参考“供货要求”，投标人报价时将用于本项目的品牌尽量填写完整，表中的品牌要求满足招标文件中对制造商的资质要求，实际执行过程中因增加或更换品牌带来的负面影响由投标人自行承担。</w:t>
      </w:r>
    </w:p>
    <w:p w14:paraId="61AE53CD">
      <w:pPr>
        <w:widowControl w:val="0"/>
        <w:spacing w:after="120" w:line="400" w:lineRule="exact"/>
        <w:ind w:left="420" w:leftChars="200" w:firstLine="480" w:firstLineChars="200"/>
        <w:jc w:val="both"/>
        <w:rPr>
          <w:rFonts w:ascii="Calibri" w:hAnsi="Calibri" w:eastAsia="宋体" w:cs="Times New Roman"/>
          <w:color w:val="auto"/>
          <w:kern w:val="2"/>
          <w:sz w:val="24"/>
          <w:szCs w:val="24"/>
          <w:highlight w:val="none"/>
          <w:lang w:val="en-US" w:eastAsia="zh-CN" w:bidi="ar-SA"/>
        </w:rPr>
      </w:pPr>
    </w:p>
    <w:p w14:paraId="1F90147A">
      <w:pPr>
        <w:tabs>
          <w:tab w:val="left" w:pos="5636"/>
          <w:tab w:val="left" w:pos="10095"/>
        </w:tabs>
        <w:spacing w:before="109" w:after="3"/>
        <w:ind w:left="1898" w:leftChars="904"/>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投标人名称（加盖公章）：</w:t>
      </w:r>
    </w:p>
    <w:p w14:paraId="00C17E9B">
      <w:pPr>
        <w:tabs>
          <w:tab w:val="left" w:pos="5636"/>
          <w:tab w:val="left" w:pos="10095"/>
        </w:tabs>
        <w:spacing w:before="109" w:after="3"/>
        <w:ind w:left="1898" w:leftChars="904"/>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法定代表人或被授权代理人（签字）：</w:t>
      </w:r>
    </w:p>
    <w:p w14:paraId="602E57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8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宋体" w:hAnsi="宋体" w:eastAsia="宋体" w:cs="宋体"/>
          <w:color w:val="auto"/>
          <w:kern w:val="0"/>
          <w:sz w:val="24"/>
          <w:szCs w:val="24"/>
          <w:highlight w:val="none"/>
          <w:lang w:val="zh-CN"/>
        </w:rPr>
        <w:t>日 期：</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081C3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p>
    <w:p w14:paraId="4920A432">
      <w:pPr>
        <w:rPr>
          <w:rFonts w:hint="eastAsia" w:ascii="宋体" w:hAnsi="宋体" w:eastAsia="宋体" w:cs="宋体"/>
          <w:b w:val="0"/>
          <w:bCs w:val="0"/>
          <w:color w:val="auto"/>
          <w:sz w:val="20"/>
          <w:szCs w:val="20"/>
          <w:highlight w:val="none"/>
        </w:rPr>
      </w:pPr>
    </w:p>
    <w:p w14:paraId="29270D21">
      <w:pPr>
        <w:rPr>
          <w:rFonts w:hint="eastAsia" w:ascii="宋体" w:hAnsi="宋体"/>
          <w:b w:val="0"/>
          <w:bCs w:val="0"/>
          <w:color w:val="auto"/>
          <w:sz w:val="44"/>
          <w:szCs w:val="44"/>
          <w:highlight w:val="none"/>
        </w:rPr>
      </w:pPr>
      <w:r>
        <w:rPr>
          <w:rFonts w:hint="eastAsia" w:ascii="宋体" w:hAnsi="宋体"/>
          <w:b w:val="0"/>
          <w:bCs w:val="0"/>
          <w:color w:val="auto"/>
          <w:sz w:val="44"/>
          <w:szCs w:val="44"/>
          <w:highlight w:val="none"/>
        </w:rPr>
        <w:br w:type="page"/>
      </w:r>
    </w:p>
    <w:bookmarkEnd w:id="638"/>
    <w:bookmarkEnd w:id="639"/>
    <w:bookmarkEnd w:id="640"/>
    <w:bookmarkEnd w:id="641"/>
    <w:bookmarkEnd w:id="642"/>
    <w:p w14:paraId="67F31E7A">
      <w:pPr>
        <w:pStyle w:val="4"/>
        <w:spacing w:before="0" w:line="360" w:lineRule="auto"/>
        <w:jc w:val="center"/>
        <w:outlineLvl w:val="1"/>
        <w:rPr>
          <w:rFonts w:ascii="宋体" w:hAnsi="宋体" w:cs="宋体"/>
          <w:b w:val="0"/>
          <w:bCs w:val="0"/>
          <w:color w:val="auto"/>
          <w:highlight w:val="none"/>
        </w:rPr>
      </w:pPr>
      <w:bookmarkStart w:id="643" w:name="_Toc57796011"/>
      <w:bookmarkStart w:id="644" w:name="_Toc287620829"/>
      <w:bookmarkStart w:id="645" w:name="_Toc224103510"/>
      <w:bookmarkStart w:id="646" w:name="_Toc287607882"/>
      <w:bookmarkStart w:id="647" w:name="_Toc430530545"/>
      <w:bookmarkStart w:id="648" w:name="_Toc277082656"/>
      <w:bookmarkStart w:id="649" w:name="_Toc7209"/>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643"/>
    </w:p>
    <w:p w14:paraId="53595E65">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（投标报价低于招标项目最高限价的85%时采用）</w:t>
      </w:r>
    </w:p>
    <w:p w14:paraId="56C8E623">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2C67E9E">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DB7B71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14:paraId="0C17160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7F594F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3E82C061">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2B247BC">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2157FCC3">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2B0AE68E">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354C6A71">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06F288D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8ADA54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142A3D47">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846B2ED">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17AAEAE">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A484D24">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44"/>
      <w:bookmarkEnd w:id="645"/>
      <w:bookmarkEnd w:id="646"/>
      <w:bookmarkEnd w:id="647"/>
      <w:bookmarkEnd w:id="648"/>
      <w:r>
        <w:rPr>
          <w:rFonts w:hint="eastAsia" w:ascii="宋体" w:hAnsi="宋体"/>
          <w:b w:val="0"/>
          <w:bCs w:val="0"/>
          <w:color w:val="auto"/>
          <w:sz w:val="44"/>
          <w:szCs w:val="44"/>
          <w:highlight w:val="none"/>
        </w:rPr>
        <w:t>资格审查部分</w:t>
      </w:r>
      <w:bookmarkEnd w:id="649"/>
    </w:p>
    <w:p w14:paraId="362D2A76">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7304011">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0B973C">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E0A4B3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F39414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CAF922B">
      <w:pPr>
        <w:autoSpaceDE w:val="0"/>
        <w:autoSpaceDN w:val="0"/>
        <w:adjustRightInd w:val="0"/>
        <w:snapToGrid w:val="0"/>
        <w:spacing w:line="360" w:lineRule="auto"/>
        <w:jc w:val="left"/>
        <w:rPr>
          <w:rFonts w:ascii="宋体" w:hAnsi="宋体"/>
          <w:color w:val="auto"/>
          <w:kern w:val="0"/>
          <w:sz w:val="16"/>
          <w:szCs w:val="16"/>
          <w:highlight w:val="none"/>
        </w:rPr>
      </w:pPr>
    </w:p>
    <w:p w14:paraId="6EF91189">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3594FCD5">
      <w:pPr>
        <w:autoSpaceDE w:val="0"/>
        <w:autoSpaceDN w:val="0"/>
        <w:adjustRightInd w:val="0"/>
        <w:snapToGrid w:val="0"/>
        <w:spacing w:line="360" w:lineRule="auto"/>
        <w:jc w:val="left"/>
        <w:rPr>
          <w:rFonts w:ascii="宋体" w:hAnsi="宋体" w:cs="MingLiU"/>
          <w:color w:val="auto"/>
          <w:kern w:val="0"/>
          <w:sz w:val="20"/>
          <w:szCs w:val="20"/>
          <w:highlight w:val="none"/>
        </w:rPr>
      </w:pPr>
    </w:p>
    <w:p w14:paraId="70AEF795">
      <w:pPr>
        <w:adjustRightInd w:val="0"/>
        <w:snapToGrid w:val="0"/>
        <w:spacing w:line="264" w:lineRule="auto"/>
        <w:rPr>
          <w:rFonts w:ascii="宋体" w:hAnsi="宋体"/>
          <w:color w:val="auto"/>
          <w:szCs w:val="21"/>
          <w:highlight w:val="none"/>
        </w:rPr>
      </w:pPr>
    </w:p>
    <w:p w14:paraId="52F804E4">
      <w:pPr>
        <w:autoSpaceDE w:val="0"/>
        <w:autoSpaceDN w:val="0"/>
        <w:adjustRightInd w:val="0"/>
        <w:snapToGrid w:val="0"/>
        <w:spacing w:line="360" w:lineRule="auto"/>
        <w:jc w:val="left"/>
        <w:rPr>
          <w:rFonts w:ascii="宋体" w:hAnsi="宋体" w:cs="MingLiU"/>
          <w:color w:val="auto"/>
          <w:kern w:val="0"/>
          <w:sz w:val="20"/>
          <w:szCs w:val="20"/>
          <w:highlight w:val="none"/>
        </w:rPr>
      </w:pPr>
    </w:p>
    <w:p w14:paraId="5A33EFA6">
      <w:pPr>
        <w:autoSpaceDE w:val="0"/>
        <w:autoSpaceDN w:val="0"/>
        <w:adjustRightInd w:val="0"/>
        <w:snapToGrid w:val="0"/>
        <w:spacing w:line="360" w:lineRule="auto"/>
        <w:jc w:val="left"/>
        <w:rPr>
          <w:rFonts w:ascii="宋体" w:hAnsi="宋体" w:cs="MingLiU"/>
          <w:color w:val="auto"/>
          <w:kern w:val="0"/>
          <w:sz w:val="20"/>
          <w:szCs w:val="20"/>
          <w:highlight w:val="none"/>
        </w:rPr>
      </w:pPr>
    </w:p>
    <w:p w14:paraId="45DD21FD">
      <w:pPr>
        <w:autoSpaceDE w:val="0"/>
        <w:autoSpaceDN w:val="0"/>
        <w:adjustRightInd w:val="0"/>
        <w:snapToGrid w:val="0"/>
        <w:spacing w:line="360" w:lineRule="auto"/>
        <w:jc w:val="left"/>
        <w:rPr>
          <w:rFonts w:ascii="宋体" w:hAnsi="宋体" w:cs="MingLiU"/>
          <w:color w:val="auto"/>
          <w:kern w:val="0"/>
          <w:sz w:val="20"/>
          <w:szCs w:val="20"/>
          <w:highlight w:val="none"/>
        </w:rPr>
      </w:pPr>
    </w:p>
    <w:p w14:paraId="3A181EDD">
      <w:pPr>
        <w:autoSpaceDE w:val="0"/>
        <w:autoSpaceDN w:val="0"/>
        <w:adjustRightInd w:val="0"/>
        <w:snapToGrid w:val="0"/>
        <w:spacing w:line="360" w:lineRule="auto"/>
        <w:jc w:val="left"/>
        <w:rPr>
          <w:rFonts w:ascii="宋体" w:hAnsi="宋体" w:cs="MingLiU"/>
          <w:color w:val="auto"/>
          <w:kern w:val="0"/>
          <w:sz w:val="20"/>
          <w:szCs w:val="20"/>
          <w:highlight w:val="none"/>
        </w:rPr>
      </w:pPr>
    </w:p>
    <w:p w14:paraId="171063F1">
      <w:pPr>
        <w:autoSpaceDE w:val="0"/>
        <w:autoSpaceDN w:val="0"/>
        <w:adjustRightInd w:val="0"/>
        <w:snapToGrid w:val="0"/>
        <w:spacing w:line="360" w:lineRule="auto"/>
        <w:jc w:val="left"/>
        <w:rPr>
          <w:rFonts w:ascii="宋体" w:hAnsi="宋体" w:cs="MingLiU"/>
          <w:color w:val="auto"/>
          <w:kern w:val="0"/>
          <w:sz w:val="20"/>
          <w:szCs w:val="20"/>
          <w:highlight w:val="none"/>
        </w:rPr>
      </w:pPr>
    </w:p>
    <w:p w14:paraId="2FBDECC6">
      <w:pPr>
        <w:autoSpaceDE w:val="0"/>
        <w:autoSpaceDN w:val="0"/>
        <w:adjustRightInd w:val="0"/>
        <w:snapToGrid w:val="0"/>
        <w:spacing w:line="360" w:lineRule="auto"/>
        <w:jc w:val="left"/>
        <w:rPr>
          <w:rFonts w:ascii="宋体" w:hAnsi="宋体" w:cs="MingLiU"/>
          <w:color w:val="auto"/>
          <w:kern w:val="0"/>
          <w:sz w:val="20"/>
          <w:szCs w:val="20"/>
          <w:highlight w:val="none"/>
        </w:rPr>
      </w:pPr>
    </w:p>
    <w:p w14:paraId="573002FE">
      <w:pPr>
        <w:autoSpaceDE w:val="0"/>
        <w:autoSpaceDN w:val="0"/>
        <w:adjustRightInd w:val="0"/>
        <w:snapToGrid w:val="0"/>
        <w:spacing w:line="360" w:lineRule="auto"/>
        <w:jc w:val="left"/>
        <w:rPr>
          <w:rFonts w:ascii="宋体" w:hAnsi="宋体" w:cs="MingLiU"/>
          <w:color w:val="auto"/>
          <w:kern w:val="0"/>
          <w:sz w:val="20"/>
          <w:szCs w:val="20"/>
          <w:highlight w:val="none"/>
        </w:rPr>
      </w:pPr>
    </w:p>
    <w:p w14:paraId="68DAB40A">
      <w:pPr>
        <w:autoSpaceDE w:val="0"/>
        <w:autoSpaceDN w:val="0"/>
        <w:adjustRightInd w:val="0"/>
        <w:snapToGrid w:val="0"/>
        <w:spacing w:line="360" w:lineRule="auto"/>
        <w:jc w:val="left"/>
        <w:rPr>
          <w:rFonts w:ascii="宋体" w:hAnsi="宋体" w:cs="MingLiU"/>
          <w:color w:val="auto"/>
          <w:kern w:val="0"/>
          <w:sz w:val="20"/>
          <w:szCs w:val="20"/>
          <w:highlight w:val="none"/>
        </w:rPr>
      </w:pPr>
    </w:p>
    <w:p w14:paraId="7E7E9E4C">
      <w:pPr>
        <w:autoSpaceDE w:val="0"/>
        <w:autoSpaceDN w:val="0"/>
        <w:adjustRightInd w:val="0"/>
        <w:snapToGrid w:val="0"/>
        <w:spacing w:line="360" w:lineRule="auto"/>
        <w:jc w:val="left"/>
        <w:rPr>
          <w:rFonts w:ascii="宋体" w:hAnsi="宋体" w:cs="MingLiU"/>
          <w:color w:val="auto"/>
          <w:kern w:val="0"/>
          <w:sz w:val="20"/>
          <w:szCs w:val="20"/>
          <w:highlight w:val="none"/>
        </w:rPr>
      </w:pPr>
    </w:p>
    <w:p w14:paraId="486BC139">
      <w:pPr>
        <w:autoSpaceDE w:val="0"/>
        <w:autoSpaceDN w:val="0"/>
        <w:adjustRightInd w:val="0"/>
        <w:snapToGrid w:val="0"/>
        <w:spacing w:line="360" w:lineRule="auto"/>
        <w:jc w:val="left"/>
        <w:rPr>
          <w:rFonts w:ascii="宋体" w:hAnsi="宋体" w:cs="MingLiU"/>
          <w:color w:val="auto"/>
          <w:kern w:val="0"/>
          <w:sz w:val="20"/>
          <w:szCs w:val="20"/>
          <w:highlight w:val="none"/>
        </w:rPr>
      </w:pPr>
    </w:p>
    <w:p w14:paraId="375C994B">
      <w:pPr>
        <w:autoSpaceDE w:val="0"/>
        <w:autoSpaceDN w:val="0"/>
        <w:adjustRightInd w:val="0"/>
        <w:snapToGrid w:val="0"/>
        <w:spacing w:line="360" w:lineRule="auto"/>
        <w:jc w:val="left"/>
        <w:rPr>
          <w:rFonts w:ascii="宋体" w:hAnsi="宋体" w:cs="MingLiU"/>
          <w:color w:val="auto"/>
          <w:kern w:val="0"/>
          <w:sz w:val="20"/>
          <w:szCs w:val="20"/>
          <w:highlight w:val="none"/>
        </w:rPr>
      </w:pPr>
    </w:p>
    <w:p w14:paraId="3574714D">
      <w:pPr>
        <w:autoSpaceDE w:val="0"/>
        <w:autoSpaceDN w:val="0"/>
        <w:adjustRightInd w:val="0"/>
        <w:snapToGrid w:val="0"/>
        <w:spacing w:line="360" w:lineRule="auto"/>
        <w:jc w:val="left"/>
        <w:rPr>
          <w:rFonts w:ascii="宋体" w:hAnsi="宋体" w:cs="MingLiU"/>
          <w:color w:val="auto"/>
          <w:kern w:val="0"/>
          <w:sz w:val="20"/>
          <w:szCs w:val="20"/>
          <w:highlight w:val="none"/>
        </w:rPr>
      </w:pPr>
    </w:p>
    <w:p w14:paraId="487719A5">
      <w:pPr>
        <w:autoSpaceDE w:val="0"/>
        <w:autoSpaceDN w:val="0"/>
        <w:adjustRightInd w:val="0"/>
        <w:snapToGrid w:val="0"/>
        <w:spacing w:line="360" w:lineRule="auto"/>
        <w:jc w:val="left"/>
        <w:rPr>
          <w:rFonts w:ascii="宋体" w:hAnsi="宋体" w:cs="MingLiU"/>
          <w:color w:val="auto"/>
          <w:kern w:val="0"/>
          <w:sz w:val="20"/>
          <w:szCs w:val="20"/>
          <w:highlight w:val="none"/>
        </w:rPr>
      </w:pPr>
    </w:p>
    <w:p w14:paraId="6886E662">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91243C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88A05FC">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2D80236">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1B9422CB">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EBC47EC">
      <w:pPr>
        <w:spacing w:line="360" w:lineRule="auto"/>
        <w:jc w:val="center"/>
        <w:rPr>
          <w:rFonts w:ascii="宋体" w:hAnsi="宋体"/>
          <w:b/>
          <w:color w:val="auto"/>
          <w:kern w:val="0"/>
          <w:sz w:val="32"/>
          <w:szCs w:val="32"/>
          <w:highlight w:val="none"/>
        </w:rPr>
      </w:pPr>
    </w:p>
    <w:p w14:paraId="6722DBD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430D925A">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55735CBE">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eastAsia="宋体" w:cs="Times New Roman"/>
          <w:color w:val="auto"/>
          <w:highlight w:val="none"/>
          <w:lang w:val="en-US" w:eastAsia="zh-CN"/>
        </w:rPr>
        <w:t>质量及保供</w:t>
      </w:r>
      <w:r>
        <w:rPr>
          <w:rFonts w:hint="eastAsia" w:ascii="宋体" w:hAnsi="宋体" w:eastAsia="宋体" w:cs="Times New Roman"/>
          <w:color w:val="auto"/>
          <w:highlight w:val="none"/>
        </w:rPr>
        <w:t>要求</w:t>
      </w:r>
    </w:p>
    <w:p w14:paraId="49C38B42">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465F2EDE">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（五）财务能力要求</w:t>
      </w:r>
    </w:p>
    <w:p w14:paraId="598BF2D5">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六</w:t>
      </w:r>
      <w:r>
        <w:rPr>
          <w:rFonts w:hint="eastAsia" w:ascii="宋体" w:hAnsi="宋体" w:eastAsia="宋体" w:cs="Times New Roman"/>
          <w:color w:val="auto"/>
          <w:highlight w:val="none"/>
        </w:rPr>
        <w:t>）承诺</w:t>
      </w:r>
    </w:p>
    <w:p w14:paraId="3DD896B0">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）其他资料</w:t>
      </w:r>
    </w:p>
    <w:p w14:paraId="6793C7AA">
      <w:pPr>
        <w:spacing w:line="360" w:lineRule="auto"/>
        <w:ind w:firstLine="420" w:firstLineChars="200"/>
        <w:rPr>
          <w:color w:val="auto"/>
          <w:highlight w:val="none"/>
        </w:rPr>
      </w:pPr>
    </w:p>
    <w:p w14:paraId="64994FF3">
      <w:pPr>
        <w:spacing w:line="360" w:lineRule="auto"/>
        <w:jc w:val="center"/>
        <w:rPr>
          <w:rFonts w:ascii="宋体" w:hAnsi="宋体"/>
          <w:b/>
          <w:color w:val="auto"/>
          <w:kern w:val="0"/>
          <w:sz w:val="32"/>
          <w:szCs w:val="32"/>
          <w:highlight w:val="none"/>
        </w:rPr>
      </w:pPr>
    </w:p>
    <w:p w14:paraId="5192647B">
      <w:pPr>
        <w:spacing w:line="360" w:lineRule="auto"/>
        <w:jc w:val="center"/>
        <w:rPr>
          <w:rFonts w:ascii="宋体" w:hAnsi="宋体"/>
          <w:b/>
          <w:color w:val="auto"/>
          <w:kern w:val="0"/>
          <w:sz w:val="32"/>
          <w:szCs w:val="32"/>
          <w:highlight w:val="none"/>
        </w:rPr>
      </w:pPr>
    </w:p>
    <w:p w14:paraId="48C8F8E6">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650" w:name="_Toc5633"/>
      <w:bookmarkStart w:id="651" w:name="_Toc57905929"/>
      <w:bookmarkStart w:id="652" w:name="_Toc287620830"/>
      <w:bookmarkStart w:id="653" w:name="_Toc224103511"/>
      <w:bookmarkStart w:id="654" w:name="_Toc430530546"/>
      <w:bookmarkStart w:id="655" w:name="_Toc287607883"/>
      <w:bookmarkStart w:id="656" w:name="_Toc277082657"/>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50"/>
      <w:bookmarkEnd w:id="651"/>
    </w:p>
    <w:p w14:paraId="044953BA">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78BD346">
      <w:pPr>
        <w:spacing w:line="480" w:lineRule="auto"/>
        <w:jc w:val="center"/>
        <w:rPr>
          <w:rFonts w:ascii="宋体" w:hAnsi="宋体"/>
          <w:color w:val="auto"/>
          <w:highlight w:val="none"/>
        </w:rPr>
      </w:pPr>
    </w:p>
    <w:p w14:paraId="60B2D2B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B521B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4068CB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0D80617">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CC9DD8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3B05D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9881D2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3E92C8A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F85346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FFA0552">
      <w:pPr>
        <w:autoSpaceDE w:val="0"/>
        <w:autoSpaceDN w:val="0"/>
        <w:adjustRightInd w:val="0"/>
        <w:snapToGrid w:val="0"/>
        <w:spacing w:line="360" w:lineRule="auto"/>
        <w:jc w:val="left"/>
        <w:rPr>
          <w:rFonts w:ascii="宋体" w:hAnsi="宋体"/>
          <w:color w:val="auto"/>
          <w:szCs w:val="21"/>
          <w:highlight w:val="none"/>
        </w:rPr>
      </w:pPr>
    </w:p>
    <w:p w14:paraId="27FCBF5F">
      <w:pPr>
        <w:pStyle w:val="18"/>
        <w:spacing w:after="0" w:line="360" w:lineRule="auto"/>
        <w:rPr>
          <w:rFonts w:ascii="宋体" w:hAnsi="宋体"/>
          <w:color w:val="auto"/>
          <w:szCs w:val="21"/>
          <w:highlight w:val="none"/>
        </w:rPr>
      </w:pPr>
    </w:p>
    <w:p w14:paraId="03FEF738">
      <w:pPr>
        <w:pStyle w:val="18"/>
        <w:spacing w:after="0" w:line="360" w:lineRule="auto"/>
        <w:rPr>
          <w:rFonts w:ascii="宋体" w:hAnsi="宋体"/>
          <w:color w:val="auto"/>
          <w:szCs w:val="21"/>
          <w:highlight w:val="none"/>
        </w:rPr>
      </w:pPr>
    </w:p>
    <w:p w14:paraId="400F00BE">
      <w:pPr>
        <w:pStyle w:val="18"/>
        <w:spacing w:after="0" w:line="360" w:lineRule="auto"/>
        <w:rPr>
          <w:rFonts w:ascii="宋体" w:hAnsi="宋体"/>
          <w:color w:val="auto"/>
          <w:szCs w:val="21"/>
          <w:highlight w:val="none"/>
        </w:rPr>
      </w:pPr>
    </w:p>
    <w:p w14:paraId="1D51B27B">
      <w:pPr>
        <w:pStyle w:val="18"/>
        <w:spacing w:after="0" w:line="360" w:lineRule="auto"/>
        <w:rPr>
          <w:rFonts w:ascii="宋体" w:hAnsi="宋体"/>
          <w:color w:val="auto"/>
          <w:szCs w:val="21"/>
          <w:highlight w:val="none"/>
        </w:rPr>
      </w:pPr>
    </w:p>
    <w:p w14:paraId="6766E2D7">
      <w:pPr>
        <w:pStyle w:val="18"/>
        <w:spacing w:after="0" w:line="360" w:lineRule="auto"/>
        <w:rPr>
          <w:rFonts w:ascii="宋体" w:hAnsi="宋体"/>
          <w:color w:val="auto"/>
          <w:szCs w:val="21"/>
          <w:highlight w:val="none"/>
        </w:rPr>
      </w:pPr>
    </w:p>
    <w:p w14:paraId="0E9226B6">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327F64E">
      <w:pPr>
        <w:autoSpaceDE w:val="0"/>
        <w:autoSpaceDN w:val="0"/>
        <w:adjustRightInd w:val="0"/>
        <w:snapToGrid w:val="0"/>
        <w:spacing w:line="480" w:lineRule="auto"/>
        <w:jc w:val="left"/>
        <w:rPr>
          <w:rFonts w:ascii="宋体" w:hAnsi="宋体"/>
          <w:color w:val="auto"/>
          <w:kern w:val="0"/>
          <w:sz w:val="20"/>
          <w:szCs w:val="20"/>
          <w:highlight w:val="none"/>
        </w:rPr>
      </w:pPr>
    </w:p>
    <w:p w14:paraId="515F5E3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A9D692E">
      <w:pPr>
        <w:autoSpaceDE w:val="0"/>
        <w:autoSpaceDN w:val="0"/>
        <w:adjustRightInd w:val="0"/>
        <w:snapToGrid w:val="0"/>
        <w:spacing w:line="360" w:lineRule="auto"/>
        <w:jc w:val="left"/>
        <w:rPr>
          <w:rFonts w:ascii="宋体" w:hAnsi="宋体"/>
          <w:color w:val="auto"/>
          <w:kern w:val="0"/>
          <w:highlight w:val="none"/>
        </w:rPr>
      </w:pPr>
    </w:p>
    <w:p w14:paraId="3A9AF0B1">
      <w:pPr>
        <w:autoSpaceDE w:val="0"/>
        <w:autoSpaceDN w:val="0"/>
        <w:adjustRightInd w:val="0"/>
        <w:snapToGrid w:val="0"/>
        <w:spacing w:line="360" w:lineRule="auto"/>
        <w:jc w:val="left"/>
        <w:rPr>
          <w:rFonts w:ascii="宋体" w:hAnsi="宋体"/>
          <w:color w:val="auto"/>
          <w:kern w:val="0"/>
          <w:highlight w:val="none"/>
        </w:rPr>
      </w:pPr>
    </w:p>
    <w:p w14:paraId="2EDEE8CA">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52"/>
      <w:bookmarkEnd w:id="653"/>
      <w:bookmarkEnd w:id="654"/>
      <w:bookmarkEnd w:id="655"/>
      <w:bookmarkEnd w:id="656"/>
      <w:r>
        <w:rPr>
          <w:rFonts w:hint="eastAsia" w:ascii="宋体" w:hAnsi="宋体"/>
          <w:color w:val="auto"/>
          <w:kern w:val="0"/>
          <w:szCs w:val="21"/>
          <w:highlight w:val="none"/>
        </w:rPr>
        <w:t>。</w:t>
      </w:r>
    </w:p>
    <w:p w14:paraId="0D8746D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D6D982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94463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D515EC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6D71B5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4D80D25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EBA2CBB">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B726CB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15E587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11AE6EE">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8C8D99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E9D32D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4415B5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A7B50F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E7F309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3153A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2D9E0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01A96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51D7A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BA05C5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F56F8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122600F">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6090F31">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610558B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A2D7BC0">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43DDC23E">
      <w:pPr>
        <w:pStyle w:val="4"/>
        <w:spacing w:before="0" w:after="0" w:line="240" w:lineRule="auto"/>
        <w:jc w:val="center"/>
        <w:rPr>
          <w:rFonts w:hint="default" w:ascii="宋体" w:hAnsi="宋体" w:eastAsia="宋体"/>
          <w:color w:val="auto"/>
          <w:highlight w:val="none"/>
          <w:lang w:val="en-US" w:eastAsia="zh-CN"/>
        </w:rPr>
      </w:pPr>
      <w:bookmarkStart w:id="657" w:name="_Toc774"/>
      <w:bookmarkStart w:id="658" w:name="_Toc287607887"/>
      <w:bookmarkStart w:id="659" w:name="_Toc277082659"/>
      <w:r>
        <w:rPr>
          <w:rFonts w:hint="eastAsia" w:ascii="宋体" w:hAnsi="宋体"/>
          <w:b w:val="0"/>
          <w:bCs w:val="0"/>
          <w:color w:val="auto"/>
          <w:highlight w:val="none"/>
        </w:rPr>
        <w:t>（二）</w:t>
      </w:r>
      <w:bookmarkEnd w:id="657"/>
      <w:r>
        <w:rPr>
          <w:rFonts w:hint="eastAsia" w:ascii="宋体" w:hAnsi="宋体"/>
          <w:b w:val="0"/>
          <w:bCs w:val="0"/>
          <w:color w:val="auto"/>
          <w:highlight w:val="none"/>
          <w:lang w:val="en-US" w:eastAsia="zh-CN"/>
        </w:rPr>
        <w:t>资质要求及营业执照</w:t>
      </w:r>
    </w:p>
    <w:p w14:paraId="64F5354A">
      <w:pPr>
        <w:spacing w:line="360" w:lineRule="auto"/>
        <w:jc w:val="center"/>
        <w:rPr>
          <w:rFonts w:ascii="宋体" w:hAnsi="宋体"/>
          <w:color w:val="auto"/>
          <w:szCs w:val="21"/>
          <w:highlight w:val="none"/>
        </w:rPr>
      </w:pPr>
    </w:p>
    <w:p w14:paraId="6B0F313A">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60" w:name="_Toc8552"/>
      <w:bookmarkStart w:id="661" w:name="_Toc509218863"/>
      <w:bookmarkStart w:id="662" w:name="_Toc534185840"/>
      <w:r>
        <w:rPr>
          <w:rFonts w:hint="eastAsia" w:ascii="宋体" w:hAnsi="宋体"/>
          <w:b w:val="0"/>
          <w:bCs w:val="0"/>
          <w:color w:val="auto"/>
          <w:highlight w:val="none"/>
        </w:rPr>
        <w:t>（三）</w:t>
      </w:r>
      <w:bookmarkEnd w:id="660"/>
      <w:bookmarkEnd w:id="661"/>
      <w:bookmarkEnd w:id="662"/>
      <w:r>
        <w:rPr>
          <w:rFonts w:hint="eastAsia" w:ascii="宋体" w:hAnsi="宋体"/>
          <w:b w:val="0"/>
          <w:color w:val="auto"/>
          <w:highlight w:val="none"/>
          <w:lang w:val="en-US" w:eastAsia="zh-CN"/>
        </w:rPr>
        <w:t>质量及保供</w:t>
      </w:r>
      <w:r>
        <w:rPr>
          <w:rFonts w:hint="eastAsia" w:ascii="宋体" w:hAnsi="宋体"/>
          <w:b w:val="0"/>
          <w:color w:val="auto"/>
          <w:highlight w:val="none"/>
        </w:rPr>
        <w:t>要求</w:t>
      </w:r>
    </w:p>
    <w:p w14:paraId="76D8AA7B">
      <w:pPr>
        <w:spacing w:line="20" w:lineRule="exact"/>
        <w:jc w:val="center"/>
        <w:rPr>
          <w:rFonts w:ascii="宋体" w:hAnsi="宋体"/>
          <w:color w:val="auto"/>
          <w:szCs w:val="21"/>
          <w:highlight w:val="none"/>
        </w:rPr>
      </w:pPr>
    </w:p>
    <w:p w14:paraId="56B6B45F">
      <w:pPr>
        <w:keepNext/>
        <w:keepLines/>
        <w:widowControl w:val="0"/>
        <w:spacing w:before="20" w:after="0" w:line="412" w:lineRule="auto"/>
        <w:ind w:firstLine="118" w:firstLineChars="49"/>
        <w:jc w:val="center"/>
        <w:outlineLvl w:val="2"/>
        <w:rPr>
          <w:rFonts w:ascii="宋体" w:hAnsi="宋体" w:eastAsia="宋体" w:cs="宋体"/>
          <w:b/>
          <w:bCs/>
          <w:color w:val="auto"/>
          <w:kern w:val="0"/>
          <w:sz w:val="24"/>
          <w:szCs w:val="18"/>
          <w:highlight w:val="none"/>
          <w:lang w:val="en-US" w:eastAsia="zh-CN" w:bidi="ar-SA"/>
        </w:rPr>
      </w:pPr>
      <w:r>
        <w:rPr>
          <w:rFonts w:hint="eastAsia" w:ascii="宋体" w:hAnsi="宋体" w:eastAsia="宋体" w:cs="宋体"/>
          <w:b/>
          <w:bCs/>
          <w:color w:val="auto"/>
          <w:kern w:val="0"/>
          <w:sz w:val="24"/>
          <w:szCs w:val="18"/>
          <w:highlight w:val="none"/>
          <w:lang w:val="en-US" w:eastAsia="zh-CN" w:bidi="ar-SA"/>
        </w:rPr>
        <w:t>质量及保供承诺书</w:t>
      </w:r>
    </w:p>
    <w:p w14:paraId="3679CC67">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（招标人）        </w:t>
      </w:r>
    </w:p>
    <w:p w14:paraId="6BDCED0B">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我公司地址在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，库房（或厂家）设在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，常年备有充足的库存物资，保证在招标人发出需求通知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内到达指定的施工地点。本次参加</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的投标，现对所供应材料的质量标准均满足招标文件要求，对此质量标准作出真实性承诺。</w:t>
      </w:r>
    </w:p>
    <w:p w14:paraId="005C0FA5">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1、我公司如提供虚假材料及作出虚假承诺，招标人有权取消其投标资格或中标资格，扣除投标保证金；已签订合同的，招标人有权解除合同、扣除履约保证金并追究违约责任的后果。</w:t>
      </w:r>
    </w:p>
    <w:p w14:paraId="282187B2">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2、若中标，我公司将严格按照招标文件要求，按照招标确定的统一单价和指定的供货地点按时按质量进行供货，满足贵方技术标准及材料使用要求。</w:t>
      </w:r>
    </w:p>
    <w:p w14:paraId="20364136">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3、我公司保证本项目所供材料均为原厂生产，绝不贴牌销售，否则招标人有权解除合同、扣除履约保证金，并承诺赔偿由此给招标人及施工单位带来的其他经济损失。</w:t>
      </w:r>
    </w:p>
    <w:p w14:paraId="68C47CB8">
      <w:pPr>
        <w:widowControl w:val="0"/>
        <w:spacing w:after="120" w:line="400" w:lineRule="exact"/>
        <w:ind w:left="0" w:leftChars="0"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4、若中标，我公司接受招标人对本项目合同履约情况的真实客观评价，若出现所供材料质量不合格、或逾期供货超过2次的，招标人有权解除合同并按合同条款赔偿由此造成的相关责任和损失。</w:t>
      </w:r>
    </w:p>
    <w:p w14:paraId="340CF5C8">
      <w:pPr>
        <w:widowControl w:val="0"/>
        <w:spacing w:after="120" w:line="400" w:lineRule="exact"/>
        <w:ind w:left="0" w:leftChars="0" w:firstLine="42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5、我公司承诺提供的产品每批次抽检均满足《GB/T 1499.3-2022 钢筋混凝土用钢第3部分：钢筋焊接网》相关指标要求。</w:t>
      </w:r>
    </w:p>
    <w:p w14:paraId="4960A871">
      <w:pPr>
        <w:widowControl w:val="0"/>
        <w:spacing w:after="120" w:line="400" w:lineRule="exact"/>
        <w:ind w:left="0" w:leftChars="0" w:firstLine="42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特此承诺</w:t>
      </w:r>
    </w:p>
    <w:p w14:paraId="11FA7455">
      <w:pPr>
        <w:widowControl w:val="0"/>
        <w:spacing w:after="120"/>
        <w:ind w:left="420" w:leftChars="200" w:firstLine="420" w:firstLineChars="200"/>
        <w:jc w:val="both"/>
        <w:rPr>
          <w:rFonts w:ascii="Calibri" w:hAnsi="Calibri" w:eastAsia="宋体" w:cs="Times New Roman"/>
          <w:color w:val="auto"/>
          <w:kern w:val="2"/>
          <w:sz w:val="21"/>
          <w:szCs w:val="22"/>
          <w:highlight w:val="none"/>
          <w:lang w:val="en-US" w:eastAsia="zh-CN" w:bidi="ar-SA"/>
        </w:rPr>
      </w:pPr>
    </w:p>
    <w:p w14:paraId="634CCFA2">
      <w:pPr>
        <w:spacing w:line="360" w:lineRule="auto"/>
        <w:ind w:firstLine="420" w:firstLineChars="200"/>
        <w:rPr>
          <w:rFonts w:ascii="宋体" w:hAnsi="宋体" w:eastAsia="宋体" w:cs="宋体"/>
          <w:color w:val="auto"/>
          <w:szCs w:val="21"/>
          <w:highlight w:val="none"/>
        </w:rPr>
      </w:pPr>
    </w:p>
    <w:p w14:paraId="0A5DA626">
      <w:pPr>
        <w:widowControl w:val="0"/>
        <w:autoSpaceDE w:val="0"/>
        <w:autoSpaceDN w:val="0"/>
        <w:adjustRightInd w:val="0"/>
        <w:rPr>
          <w:rFonts w:ascii="Times New Roman" w:hAnsi="Times New Roman" w:eastAsia="宋体" w:cs="Times New Roman"/>
          <w:color w:val="auto"/>
          <w:sz w:val="24"/>
          <w:szCs w:val="24"/>
          <w:highlight w:val="none"/>
          <w:lang w:val="en-US" w:eastAsia="zh-CN" w:bidi="ar-SA"/>
        </w:rPr>
      </w:pPr>
    </w:p>
    <w:p w14:paraId="5A81045F">
      <w:pPr>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w:t>
      </w:r>
      <w:r>
        <w:rPr>
          <w:rFonts w:hint="eastAsia" w:ascii="宋体" w:hAnsi="宋体" w:eastAsia="宋体" w:cs="宋体"/>
          <w:color w:val="auto"/>
          <w:sz w:val="24"/>
          <w:szCs w:val="24"/>
          <w:highlight w:val="none"/>
          <w:u w:val="single"/>
        </w:rPr>
        <w:t xml:space="preserve">                  （全称）（盖章）</w:t>
      </w:r>
      <w:r>
        <w:rPr>
          <w:rFonts w:hint="eastAsia" w:ascii="宋体" w:hAnsi="宋体" w:eastAsia="宋体" w:cs="宋体"/>
          <w:color w:val="auto"/>
          <w:sz w:val="24"/>
          <w:szCs w:val="24"/>
          <w:highlight w:val="none"/>
        </w:rPr>
        <w:t xml:space="preserve"> </w:t>
      </w:r>
    </w:p>
    <w:p w14:paraId="4990CC66">
      <w:pPr>
        <w:spacing w:line="360" w:lineRule="auto"/>
        <w:ind w:firstLine="420"/>
        <w:jc w:val="righ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法定代表人或其授权的代理人:</w:t>
      </w:r>
      <w:r>
        <w:rPr>
          <w:rFonts w:hint="eastAsia" w:ascii="宋体" w:hAnsi="宋体" w:eastAsia="宋体" w:cs="宋体"/>
          <w:color w:val="auto"/>
          <w:sz w:val="24"/>
          <w:szCs w:val="24"/>
          <w:highlight w:val="none"/>
          <w:u w:val="single"/>
        </w:rPr>
        <w:t xml:space="preserve">       （签字）</w:t>
      </w:r>
    </w:p>
    <w:p w14:paraId="7AFF5B06">
      <w:pPr>
        <w:autoSpaceDE w:val="0"/>
        <w:autoSpaceDN w:val="0"/>
        <w:adjustRightInd w:val="0"/>
        <w:snapToGrid w:val="0"/>
        <w:spacing w:line="400" w:lineRule="exact"/>
        <w:ind w:firstLine="480" w:firstLineChars="200"/>
        <w:jc w:val="center"/>
        <w:rPr>
          <w:rFonts w:ascii="宋体" w:hAnsi="宋体"/>
          <w:b/>
          <w:color w:val="auto"/>
          <w:szCs w:val="21"/>
          <w:highlight w:val="none"/>
        </w:rPr>
      </w:pPr>
      <w:r>
        <w:rPr>
          <w:rFonts w:hint="eastAsia" w:ascii="宋体" w:hAnsi="宋体" w:eastAsia="宋体" w:cs="宋体"/>
          <w:color w:val="auto"/>
          <w:sz w:val="24"/>
          <w:szCs w:val="24"/>
          <w:highlight w:val="none"/>
        </w:rPr>
        <w:t xml:space="preserve">     年   月   日</w:t>
      </w:r>
      <w:r>
        <w:rPr>
          <w:rFonts w:ascii="宋体" w:hAnsi="宋体"/>
          <w:color w:val="auto"/>
          <w:highlight w:val="none"/>
        </w:rPr>
        <w:br w:type="page"/>
      </w:r>
      <w:bookmarkEnd w:id="658"/>
      <w:bookmarkEnd w:id="659"/>
      <w:bookmarkStart w:id="663" w:name="_Toc30367"/>
      <w:r>
        <w:rPr>
          <w:rFonts w:hint="eastAsia" w:ascii="宋体" w:hAnsi="宋体" w:eastAsia="宋体" w:cs="Times New Roman"/>
          <w:b w:val="0"/>
          <w:bCs w:val="0"/>
          <w:color w:val="auto"/>
          <w:kern w:val="2"/>
          <w:sz w:val="32"/>
          <w:szCs w:val="32"/>
          <w:highlight w:val="none"/>
          <w:lang w:val="en-US" w:eastAsia="zh-CN" w:bidi="ar-SA"/>
        </w:rPr>
        <w:t>（四）</w:t>
      </w:r>
      <w:bookmarkEnd w:id="663"/>
      <w:r>
        <w:rPr>
          <w:rFonts w:hint="eastAsia" w:ascii="宋体" w:hAnsi="宋体" w:eastAsia="宋体" w:cs="Times New Roman"/>
          <w:b w:val="0"/>
          <w:bCs w:val="0"/>
          <w:color w:val="auto"/>
          <w:kern w:val="2"/>
          <w:sz w:val="32"/>
          <w:szCs w:val="32"/>
          <w:highlight w:val="none"/>
          <w:lang w:val="en-US" w:eastAsia="zh-CN" w:bidi="ar-SA"/>
        </w:rPr>
        <w:t>供货业绩要求</w:t>
      </w:r>
    </w:p>
    <w:p w14:paraId="0FE06B77">
      <w:pPr>
        <w:pStyle w:val="4"/>
        <w:spacing w:before="0" w:after="0" w:line="240" w:lineRule="auto"/>
        <w:jc w:val="center"/>
        <w:outlineLvl w:val="9"/>
        <w:rPr>
          <w:rFonts w:ascii="宋体" w:hAnsi="宋体"/>
          <w:color w:val="auto"/>
          <w:highlight w:val="none"/>
        </w:rPr>
      </w:pPr>
    </w:p>
    <w:p w14:paraId="4E098A9B">
      <w:pPr>
        <w:spacing w:line="360" w:lineRule="auto"/>
        <w:rPr>
          <w:rFonts w:ascii="宋体" w:hAnsi="宋体"/>
          <w:color w:val="auto"/>
          <w:highlight w:val="none"/>
        </w:rPr>
      </w:pPr>
      <w:bookmarkStart w:id="664" w:name="_Toc224103515"/>
    </w:p>
    <w:p w14:paraId="71B754FD">
      <w:pPr>
        <w:rPr>
          <w:rFonts w:ascii="宋体" w:hAnsi="宋体"/>
          <w:color w:val="auto"/>
          <w:highlight w:val="none"/>
        </w:rPr>
      </w:pPr>
      <w:bookmarkStart w:id="665" w:name="_Toc287620834"/>
      <w:bookmarkStart w:id="666" w:name="_Toc509218864"/>
      <w:bookmarkStart w:id="667" w:name="_Toc287607888"/>
      <w:bookmarkStart w:id="668" w:name="_Toc534185841"/>
      <w:bookmarkStart w:id="669" w:name="_Toc430530550"/>
      <w:bookmarkStart w:id="670" w:name="_Toc277082660"/>
      <w:r>
        <w:rPr>
          <w:rFonts w:hint="eastAsia" w:ascii="宋体" w:hAnsi="宋体"/>
          <w:color w:val="auto"/>
          <w:highlight w:val="none"/>
        </w:rPr>
        <w:br w:type="page"/>
      </w:r>
    </w:p>
    <w:bookmarkEnd w:id="664"/>
    <w:bookmarkEnd w:id="665"/>
    <w:bookmarkEnd w:id="666"/>
    <w:bookmarkEnd w:id="667"/>
    <w:bookmarkEnd w:id="668"/>
    <w:bookmarkEnd w:id="669"/>
    <w:bookmarkEnd w:id="670"/>
    <w:p w14:paraId="72B3406A">
      <w:pPr>
        <w:spacing w:line="360" w:lineRule="auto"/>
        <w:ind w:firstLine="640" w:firstLineChars="200"/>
        <w:jc w:val="center"/>
        <w:rPr>
          <w:rFonts w:hint="eastAsia" w:ascii="宋体" w:hAnsi="宋体" w:eastAsia="宋体" w:cs="Times New Roman"/>
          <w:bCs/>
          <w:color w:val="auto"/>
          <w:sz w:val="32"/>
          <w:szCs w:val="32"/>
          <w:highlight w:val="none"/>
          <w:lang w:val="en-US" w:eastAsia="zh-CN"/>
        </w:rPr>
      </w:pPr>
      <w:bookmarkStart w:id="671" w:name="_Toc287620839"/>
      <w:bookmarkStart w:id="672" w:name="_Toc224103520"/>
      <w:bookmarkStart w:id="673" w:name="_Toc534185843"/>
      <w:bookmarkStart w:id="674" w:name="_Toc430530552"/>
      <w:bookmarkStart w:id="675" w:name="_Toc277082663"/>
      <w:bookmarkStart w:id="676" w:name="_Toc509218866"/>
      <w:bookmarkStart w:id="677" w:name="_Toc287607893"/>
      <w:bookmarkStart w:id="678" w:name="_Toc16306"/>
      <w:r>
        <w:rPr>
          <w:rFonts w:hint="eastAsia" w:ascii="宋体" w:hAnsi="宋体" w:eastAsia="宋体" w:cs="Times New Roman"/>
          <w:bCs/>
          <w:color w:val="auto"/>
          <w:sz w:val="32"/>
          <w:szCs w:val="32"/>
          <w:highlight w:val="none"/>
          <w:lang w:val="en-US" w:eastAsia="zh-CN"/>
        </w:rPr>
        <w:t>（</w:t>
      </w:r>
      <w:r>
        <w:rPr>
          <w:rFonts w:hint="eastAsia" w:ascii="宋体" w:hAnsi="宋体" w:cs="Times New Roman"/>
          <w:bCs/>
          <w:color w:val="auto"/>
          <w:sz w:val="32"/>
          <w:szCs w:val="32"/>
          <w:highlight w:val="none"/>
          <w:lang w:val="en-US" w:eastAsia="zh-CN"/>
        </w:rPr>
        <w:t>五</w:t>
      </w:r>
      <w:r>
        <w:rPr>
          <w:rFonts w:hint="eastAsia" w:ascii="宋体" w:hAnsi="宋体" w:eastAsia="宋体" w:cs="Times New Roman"/>
          <w:bCs/>
          <w:color w:val="auto"/>
          <w:sz w:val="32"/>
          <w:szCs w:val="32"/>
          <w:highlight w:val="none"/>
          <w:lang w:val="en-US" w:eastAsia="zh-CN"/>
        </w:rPr>
        <w:t>）财务能力要求</w:t>
      </w:r>
    </w:p>
    <w:p w14:paraId="50D1A6B1">
      <w:pPr>
        <w:rPr>
          <w:rFonts w:ascii="宋体" w:hAnsi="宋体"/>
          <w:b w:val="0"/>
          <w:color w:val="auto"/>
          <w:highlight w:val="none"/>
        </w:rPr>
      </w:pPr>
      <w:r>
        <w:rPr>
          <w:rFonts w:ascii="宋体" w:hAnsi="宋体"/>
          <w:b w:val="0"/>
          <w:color w:val="auto"/>
          <w:highlight w:val="none"/>
        </w:rPr>
        <w:br w:type="page"/>
      </w:r>
    </w:p>
    <w:p w14:paraId="319CF81F">
      <w:pPr>
        <w:pStyle w:val="4"/>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671"/>
      <w:bookmarkEnd w:id="672"/>
      <w:bookmarkEnd w:id="673"/>
      <w:bookmarkEnd w:id="674"/>
      <w:bookmarkEnd w:id="675"/>
      <w:bookmarkEnd w:id="676"/>
      <w:bookmarkEnd w:id="677"/>
      <w:r>
        <w:rPr>
          <w:rFonts w:hint="eastAsia" w:ascii="宋体" w:hAnsi="宋体"/>
          <w:b w:val="0"/>
          <w:color w:val="auto"/>
          <w:highlight w:val="none"/>
        </w:rPr>
        <w:t>承诺</w:t>
      </w:r>
      <w:bookmarkEnd w:id="678"/>
    </w:p>
    <w:p w14:paraId="36D2972B">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7A53DB2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47E146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38D0EA9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94F0B0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B632C4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59C4D4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591EB3B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1FB60498">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075B328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783D2C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14:paraId="372A4B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1.12.1 项的规定。</w:t>
      </w:r>
    </w:p>
    <w:p w14:paraId="630D4EC6">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、我公司的投标文件符合招标文件第四章“合同条款及格式”规定，投标文件中没有贵单位不能接受的条件。</w:t>
      </w:r>
    </w:p>
    <w:p w14:paraId="2A7D6EF9">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、我公司的投标文件符合招标文件第五章“发包人要求”中的实质性要求和条件。</w:t>
      </w:r>
    </w:p>
    <w:p w14:paraId="63BEEE37">
      <w:pPr>
        <w:snapToGrid w:val="0"/>
        <w:spacing w:line="400" w:lineRule="exact"/>
        <w:ind w:firstLineChars="200"/>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7若为经销商，我司承诺合同签订前提供厂家授权委托书。</w:t>
      </w:r>
    </w:p>
    <w:p w14:paraId="3E906DB6">
      <w:pPr>
        <w:pStyle w:val="71"/>
        <w:rPr>
          <w:color w:val="auto"/>
          <w:highlight w:val="none"/>
        </w:rPr>
      </w:pPr>
    </w:p>
    <w:p w14:paraId="18124B16">
      <w:pPr>
        <w:snapToGrid w:val="0"/>
        <w:spacing w:line="400" w:lineRule="exact"/>
        <w:ind w:firstLine="420" w:firstLineChars="200"/>
        <w:rPr>
          <w:rFonts w:ascii="宋体" w:hAnsi="宋体"/>
          <w:color w:val="auto"/>
          <w:szCs w:val="21"/>
          <w:highlight w:val="none"/>
        </w:rPr>
      </w:pPr>
    </w:p>
    <w:p w14:paraId="43E8CE9A">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D05F3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14B952B">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68A72A8">
      <w:pPr>
        <w:widowControl/>
        <w:jc w:val="left"/>
        <w:rPr>
          <w:color w:val="auto"/>
          <w:highlight w:val="none"/>
        </w:rPr>
      </w:pPr>
      <w:r>
        <w:rPr>
          <w:color w:val="auto"/>
          <w:highlight w:val="none"/>
        </w:rPr>
        <w:br w:type="page"/>
      </w:r>
    </w:p>
    <w:p w14:paraId="5A1F81CD">
      <w:pPr>
        <w:rPr>
          <w:color w:val="auto"/>
          <w:highlight w:val="none"/>
        </w:rPr>
      </w:pPr>
    </w:p>
    <w:p w14:paraId="526DD6FB">
      <w:pPr>
        <w:pStyle w:val="4"/>
        <w:spacing w:before="0" w:line="360" w:lineRule="auto"/>
        <w:jc w:val="center"/>
        <w:rPr>
          <w:rFonts w:ascii="宋体" w:hAnsi="宋体"/>
          <w:color w:val="auto"/>
          <w:highlight w:val="none"/>
        </w:rPr>
      </w:pPr>
      <w:bookmarkStart w:id="679" w:name="_Toc25487"/>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79"/>
    </w:p>
    <w:bookmarkEnd w:id="550"/>
    <w:bookmarkEnd w:id="551"/>
    <w:bookmarkEnd w:id="552"/>
    <w:p w14:paraId="66CCAC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14:paraId="4EAF563B">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023D998C">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企业基本账户开户证明文件。</w:t>
      </w:r>
    </w:p>
    <w:p w14:paraId="1009C83A">
      <w:pPr>
        <w:pStyle w:val="48"/>
        <w:numPr>
          <w:ilvl w:val="0"/>
          <w:numId w:val="4"/>
        </w:num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保证金转账凭证</w:t>
      </w:r>
    </w:p>
    <w:p w14:paraId="1C95E5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14:paraId="765840D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14:paraId="1550A105">
      <w:pPr>
        <w:pStyle w:val="18"/>
        <w:rPr>
          <w:rFonts w:ascii="宋体" w:hAnsi="宋体"/>
          <w:color w:val="auto"/>
          <w:szCs w:val="21"/>
          <w:highlight w:val="none"/>
        </w:rPr>
      </w:pPr>
    </w:p>
    <w:p w14:paraId="31FF3425">
      <w:pPr>
        <w:rPr>
          <w:rFonts w:ascii="宋体" w:hAnsi="宋体"/>
          <w:color w:val="auto"/>
          <w:szCs w:val="21"/>
          <w:highlight w:val="none"/>
        </w:rPr>
      </w:pPr>
    </w:p>
    <w:p w14:paraId="7C6A23E4">
      <w:pPr>
        <w:rPr>
          <w:rFonts w:hint="eastAsia" w:ascii="宋体" w:hAnsi="宋体"/>
          <w:b w:val="0"/>
          <w:bCs w:val="0"/>
          <w:color w:val="auto"/>
          <w:sz w:val="44"/>
          <w:szCs w:val="44"/>
          <w:highlight w:val="none"/>
          <w:lang w:val="en-US" w:eastAsia="zh-CN"/>
        </w:rPr>
      </w:pPr>
      <w:bookmarkStart w:id="680" w:name="_Toc534185830"/>
      <w:bookmarkStart w:id="681" w:name="_Toc509218853"/>
      <w:bookmarkStart w:id="682" w:name="_Toc27983320"/>
      <w:bookmarkStart w:id="683" w:name="_Toc57905917"/>
      <w:r>
        <w:rPr>
          <w:rFonts w:hint="eastAsia" w:ascii="宋体" w:hAnsi="宋体"/>
          <w:b w:val="0"/>
          <w:bCs w:val="0"/>
          <w:color w:val="auto"/>
          <w:sz w:val="44"/>
          <w:szCs w:val="44"/>
          <w:highlight w:val="none"/>
          <w:lang w:val="en-US" w:eastAsia="zh-CN"/>
        </w:rPr>
        <w:br w:type="page"/>
      </w:r>
    </w:p>
    <w:bookmarkEnd w:id="680"/>
    <w:bookmarkEnd w:id="681"/>
    <w:bookmarkEnd w:id="682"/>
    <w:bookmarkEnd w:id="683"/>
    <w:p w14:paraId="7949F139">
      <w:pPr>
        <w:rPr>
          <w:color w:val="auto"/>
          <w:highlight w:val="none"/>
        </w:rPr>
      </w:pPr>
    </w:p>
    <w:p w14:paraId="00902A52"/>
    <w:sectPr>
      <w:headerReference r:id="rId11" w:type="default"/>
      <w:footerReference r:id="rId12"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8A1607-C454-4048-8F7F-66D16BC3DC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57116C-45D7-447D-8A4C-2C40561E566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F8EC097-D89B-4165-AE36-B67BDEBB6696}"/>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C5CC57CD-964F-44D2-8E2C-329F21EF2AE1}"/>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embedRegular r:id="rId5" w:fontKey="{B03D7F64-22E6-4088-B5DC-527AEE1FF2B4}"/>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6" w:fontKey="{B5CC7B04-48E6-4335-9672-2BCEF8079F7D}"/>
  </w:font>
  <w:font w:name="新宋体">
    <w:panose1 w:val="02010609030101010101"/>
    <w:charset w:val="86"/>
    <w:family w:val="auto"/>
    <w:pitch w:val="default"/>
    <w:sig w:usb0="00000283" w:usb1="288F0000" w:usb2="00000006" w:usb3="00000000" w:csb0="00040001" w:csb1="00000000"/>
    <w:embedRegular r:id="rId7" w:fontKey="{32BB209C-970F-4E8A-8C9E-A2EA7C18950A}"/>
  </w:font>
  <w:font w:name="等线">
    <w:panose1 w:val="02010600030101010101"/>
    <w:charset w:val="86"/>
    <w:family w:val="auto"/>
    <w:pitch w:val="default"/>
    <w:sig w:usb0="A00002BF" w:usb1="38CF7CFA" w:usb2="00000016" w:usb3="00000000" w:csb0="0004000F" w:csb1="00000000"/>
    <w:embedRegular r:id="rId8" w:fontKey="{B70DBBAE-2C8C-4F7C-86C4-74C542A72DF4}"/>
  </w:font>
  <w:font w:name="方正仿宋_GBK">
    <w:panose1 w:val="03000509000000000000"/>
    <w:charset w:val="86"/>
    <w:family w:val="auto"/>
    <w:pitch w:val="default"/>
    <w:sig w:usb0="00000001" w:usb1="080E0000" w:usb2="00000000" w:usb3="00000000" w:csb0="00040000" w:csb1="00000000"/>
    <w:embedRegular r:id="rId9" w:fontKey="{E9A117D5-6FF3-4F8C-99D0-058234E88A58}"/>
  </w:font>
  <w:font w:name="Wingdings 2">
    <w:panose1 w:val="05020102010507070707"/>
    <w:charset w:val="00"/>
    <w:family w:val="auto"/>
    <w:pitch w:val="default"/>
    <w:sig w:usb0="00000000" w:usb1="00000000" w:usb2="00000000" w:usb3="00000000" w:csb0="80000000" w:csb1="00000000"/>
    <w:embedRegular r:id="rId10" w:fontKey="{DB473006-538C-4A54-A59D-CCD25352F57A}"/>
  </w:font>
  <w:font w:name="Microsoft JhengHei">
    <w:panose1 w:val="020B0604030504040204"/>
    <w:charset w:val="88"/>
    <w:family w:val="swiss"/>
    <w:pitch w:val="default"/>
    <w:sig w:usb0="000002A7" w:usb1="28CF4400" w:usb2="00000016" w:usb3="00000000" w:csb0="00100009" w:csb1="00000000"/>
    <w:embedRegular r:id="rId11" w:fontKey="{B9B68B82-E6B4-447C-A374-24A2F28D011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BAEE">
    <w:pPr>
      <w:pStyle w:val="31"/>
      <w:jc w:val="center"/>
    </w:pPr>
    <w:r>
      <w:t xml:space="preserve">- </w:t>
    </w:r>
    <w:r>
      <w:fldChar w:fldCharType="begin"/>
    </w:r>
    <w:r>
      <w:instrText xml:space="preserve"> PAGE </w:instrText>
    </w:r>
    <w:r>
      <w:fldChar w:fldCharType="separate"/>
    </w:r>
    <w:r>
      <w:t>39</w:t>
    </w:r>
    <w:r>
      <w:fldChar w:fldCharType="end"/>
    </w:r>
    <w:r>
      <w:t xml:space="preserve"> -</w:t>
    </w:r>
  </w:p>
  <w:p w14:paraId="7E459237">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F4D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- 4 -</w:t>
    </w:r>
    <w:r>
      <w:fldChar w:fldCharType="end"/>
    </w:r>
  </w:p>
  <w:p w14:paraId="3CE5B38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7E50">
    <w:pPr>
      <w:pStyle w:val="31"/>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E86B">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264</w:t>
    </w:r>
    <w:r>
      <w:fldChar w:fldCharType="end"/>
    </w:r>
  </w:p>
  <w:p w14:paraId="1ACA8685">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E4A9">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1FBF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17</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3851FBF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17</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D24E">
    <w:pPr>
      <w:pStyle w:val="3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F1CE">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4637">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5E9D">
    <w:pPr>
      <w:widowControl w:val="0"/>
      <w:pBdr>
        <w:bottom w:val="single" w:color="auto" w:sz="6" w:space="1"/>
      </w:pBdr>
      <w:tabs>
        <w:tab w:val="center" w:pos="4153"/>
        <w:tab w:val="right" w:pos="8306"/>
      </w:tabs>
      <w:snapToGrid w:val="0"/>
      <w:jc w:val="left"/>
      <w:rPr>
        <w:rFonts w:hint="default"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合同编号：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7B7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abstractNum w:abstractNumId="3">
    <w:nsid w:val="60A487A4"/>
    <w:multiLevelType w:val="singleLevel"/>
    <w:tmpl w:val="60A487A4"/>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MjRmMDU0ODU2ZTg4YjIxY2MzM2Q3ZGNmMDFjOG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3A39"/>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033AB9"/>
    <w:rsid w:val="012B1219"/>
    <w:rsid w:val="012D7681"/>
    <w:rsid w:val="01436A74"/>
    <w:rsid w:val="015C48BA"/>
    <w:rsid w:val="01875DDB"/>
    <w:rsid w:val="018E79D1"/>
    <w:rsid w:val="01C42B8B"/>
    <w:rsid w:val="01D84888"/>
    <w:rsid w:val="01D85D54"/>
    <w:rsid w:val="01EE1DC3"/>
    <w:rsid w:val="01F24567"/>
    <w:rsid w:val="020110AA"/>
    <w:rsid w:val="021D5372"/>
    <w:rsid w:val="023B31B5"/>
    <w:rsid w:val="024737BC"/>
    <w:rsid w:val="02704AC1"/>
    <w:rsid w:val="027B37D5"/>
    <w:rsid w:val="029702A0"/>
    <w:rsid w:val="02C73591"/>
    <w:rsid w:val="02D45050"/>
    <w:rsid w:val="02DD6E97"/>
    <w:rsid w:val="02ED4FDE"/>
    <w:rsid w:val="03356DF3"/>
    <w:rsid w:val="034A3347"/>
    <w:rsid w:val="03500416"/>
    <w:rsid w:val="0359522B"/>
    <w:rsid w:val="036B1328"/>
    <w:rsid w:val="036C648D"/>
    <w:rsid w:val="0431202E"/>
    <w:rsid w:val="043B10FF"/>
    <w:rsid w:val="046049E6"/>
    <w:rsid w:val="04A44EF6"/>
    <w:rsid w:val="04AC7907"/>
    <w:rsid w:val="04B36EE7"/>
    <w:rsid w:val="04DE3380"/>
    <w:rsid w:val="04E565D4"/>
    <w:rsid w:val="04ED72F1"/>
    <w:rsid w:val="04F03C97"/>
    <w:rsid w:val="04FF37A1"/>
    <w:rsid w:val="050802FE"/>
    <w:rsid w:val="053C6EDC"/>
    <w:rsid w:val="05476203"/>
    <w:rsid w:val="055B3806"/>
    <w:rsid w:val="05674D05"/>
    <w:rsid w:val="059706A5"/>
    <w:rsid w:val="05D25741"/>
    <w:rsid w:val="06055517"/>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908B8"/>
    <w:rsid w:val="09B438AC"/>
    <w:rsid w:val="09C97ECC"/>
    <w:rsid w:val="09D848E1"/>
    <w:rsid w:val="09DE4A07"/>
    <w:rsid w:val="09E53275"/>
    <w:rsid w:val="09ED20D4"/>
    <w:rsid w:val="09FF1FA9"/>
    <w:rsid w:val="0A0302D4"/>
    <w:rsid w:val="0A3347DF"/>
    <w:rsid w:val="0A3A3E6C"/>
    <w:rsid w:val="0A924382"/>
    <w:rsid w:val="0AC42474"/>
    <w:rsid w:val="0AC57974"/>
    <w:rsid w:val="0AE71698"/>
    <w:rsid w:val="0AF1029B"/>
    <w:rsid w:val="0B0D79F0"/>
    <w:rsid w:val="0B12559A"/>
    <w:rsid w:val="0B2C1046"/>
    <w:rsid w:val="0B7C0033"/>
    <w:rsid w:val="0B7E4269"/>
    <w:rsid w:val="0BB41AAC"/>
    <w:rsid w:val="0BBD25F8"/>
    <w:rsid w:val="0C3E7B88"/>
    <w:rsid w:val="0C601702"/>
    <w:rsid w:val="0C986A1D"/>
    <w:rsid w:val="0CB71B13"/>
    <w:rsid w:val="0CEB41D3"/>
    <w:rsid w:val="0CF672AA"/>
    <w:rsid w:val="0CFC2FB8"/>
    <w:rsid w:val="0D101037"/>
    <w:rsid w:val="0D755621"/>
    <w:rsid w:val="0D7D6DF4"/>
    <w:rsid w:val="0DC12675"/>
    <w:rsid w:val="0DD94183"/>
    <w:rsid w:val="0DFF58E3"/>
    <w:rsid w:val="0E26697C"/>
    <w:rsid w:val="0E5C1004"/>
    <w:rsid w:val="0E772D33"/>
    <w:rsid w:val="0E96024B"/>
    <w:rsid w:val="0EA224A6"/>
    <w:rsid w:val="0EB84C8D"/>
    <w:rsid w:val="0EC93980"/>
    <w:rsid w:val="0ED140CD"/>
    <w:rsid w:val="0EEE56EB"/>
    <w:rsid w:val="0F0E3698"/>
    <w:rsid w:val="0F182768"/>
    <w:rsid w:val="0F433308"/>
    <w:rsid w:val="0F5B2655"/>
    <w:rsid w:val="0F781459"/>
    <w:rsid w:val="0FC65D20"/>
    <w:rsid w:val="0FF25A15"/>
    <w:rsid w:val="0FFA71A6"/>
    <w:rsid w:val="0FFF7484"/>
    <w:rsid w:val="100D7DF3"/>
    <w:rsid w:val="10221450"/>
    <w:rsid w:val="102A2753"/>
    <w:rsid w:val="1095419E"/>
    <w:rsid w:val="110B2037"/>
    <w:rsid w:val="11220530"/>
    <w:rsid w:val="11252143"/>
    <w:rsid w:val="11494E5B"/>
    <w:rsid w:val="11515ED0"/>
    <w:rsid w:val="11641C95"/>
    <w:rsid w:val="117E378C"/>
    <w:rsid w:val="118063A3"/>
    <w:rsid w:val="119D6F55"/>
    <w:rsid w:val="119F0F1F"/>
    <w:rsid w:val="11D21898"/>
    <w:rsid w:val="11DA3A8D"/>
    <w:rsid w:val="11EE155E"/>
    <w:rsid w:val="12372263"/>
    <w:rsid w:val="12483364"/>
    <w:rsid w:val="125E66E4"/>
    <w:rsid w:val="126F7541"/>
    <w:rsid w:val="12B40A3B"/>
    <w:rsid w:val="12E64975"/>
    <w:rsid w:val="13194C36"/>
    <w:rsid w:val="13250FB0"/>
    <w:rsid w:val="13421B62"/>
    <w:rsid w:val="13453400"/>
    <w:rsid w:val="13A41672"/>
    <w:rsid w:val="13C06F2A"/>
    <w:rsid w:val="13EE5846"/>
    <w:rsid w:val="13F667B4"/>
    <w:rsid w:val="142851FC"/>
    <w:rsid w:val="14496F20"/>
    <w:rsid w:val="14575AE1"/>
    <w:rsid w:val="146E4BD8"/>
    <w:rsid w:val="14B724B2"/>
    <w:rsid w:val="14C61C6E"/>
    <w:rsid w:val="15076514"/>
    <w:rsid w:val="151F7675"/>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27EDD"/>
    <w:rsid w:val="16B6640F"/>
    <w:rsid w:val="17143815"/>
    <w:rsid w:val="172C5003"/>
    <w:rsid w:val="176302F9"/>
    <w:rsid w:val="176C3651"/>
    <w:rsid w:val="176E7480"/>
    <w:rsid w:val="17B772AD"/>
    <w:rsid w:val="17EE22B8"/>
    <w:rsid w:val="18194E5B"/>
    <w:rsid w:val="183D3240"/>
    <w:rsid w:val="18406847"/>
    <w:rsid w:val="18496BF1"/>
    <w:rsid w:val="1856054F"/>
    <w:rsid w:val="18757829"/>
    <w:rsid w:val="18AE5162"/>
    <w:rsid w:val="18B232E6"/>
    <w:rsid w:val="18D92F68"/>
    <w:rsid w:val="18F02DCF"/>
    <w:rsid w:val="18FC27B3"/>
    <w:rsid w:val="19314B52"/>
    <w:rsid w:val="19450578"/>
    <w:rsid w:val="1975219A"/>
    <w:rsid w:val="198F308C"/>
    <w:rsid w:val="199450E1"/>
    <w:rsid w:val="19A060EF"/>
    <w:rsid w:val="19CC03D7"/>
    <w:rsid w:val="19D0740C"/>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E5233E"/>
    <w:rsid w:val="1AF11A94"/>
    <w:rsid w:val="1AFB69F3"/>
    <w:rsid w:val="1AFF47DC"/>
    <w:rsid w:val="1B202A98"/>
    <w:rsid w:val="1B414DF5"/>
    <w:rsid w:val="1B5872B4"/>
    <w:rsid w:val="1B830F69"/>
    <w:rsid w:val="1B99253B"/>
    <w:rsid w:val="1BA24E6E"/>
    <w:rsid w:val="1BAF4AA0"/>
    <w:rsid w:val="1BB630ED"/>
    <w:rsid w:val="1BE37C5A"/>
    <w:rsid w:val="1BEC4D61"/>
    <w:rsid w:val="1C142509"/>
    <w:rsid w:val="1C3D5A6B"/>
    <w:rsid w:val="1C533032"/>
    <w:rsid w:val="1C746B04"/>
    <w:rsid w:val="1C8256C5"/>
    <w:rsid w:val="1C93342E"/>
    <w:rsid w:val="1CE617B0"/>
    <w:rsid w:val="1CE9582B"/>
    <w:rsid w:val="1CEB7EA9"/>
    <w:rsid w:val="1CF218F5"/>
    <w:rsid w:val="1D152095"/>
    <w:rsid w:val="1D1E6FFA"/>
    <w:rsid w:val="1D2D2822"/>
    <w:rsid w:val="1D61352C"/>
    <w:rsid w:val="1D6372A4"/>
    <w:rsid w:val="1D886CD2"/>
    <w:rsid w:val="1DAD5CC1"/>
    <w:rsid w:val="1DBB0E8E"/>
    <w:rsid w:val="1DCD0BC2"/>
    <w:rsid w:val="1DF223D6"/>
    <w:rsid w:val="1E16738A"/>
    <w:rsid w:val="1E3561A7"/>
    <w:rsid w:val="1E380731"/>
    <w:rsid w:val="1E3F65B7"/>
    <w:rsid w:val="1E63119C"/>
    <w:rsid w:val="1E7B6870"/>
    <w:rsid w:val="1E875215"/>
    <w:rsid w:val="1E8E0351"/>
    <w:rsid w:val="1E9E60BA"/>
    <w:rsid w:val="1EB338F7"/>
    <w:rsid w:val="1EDA0E63"/>
    <w:rsid w:val="1F2E2E47"/>
    <w:rsid w:val="1F4A6F63"/>
    <w:rsid w:val="1F505606"/>
    <w:rsid w:val="1F5144D6"/>
    <w:rsid w:val="1F525822"/>
    <w:rsid w:val="1F8D23B7"/>
    <w:rsid w:val="1FB43DE7"/>
    <w:rsid w:val="1FD043FA"/>
    <w:rsid w:val="1FDD28E5"/>
    <w:rsid w:val="1FFE32B4"/>
    <w:rsid w:val="20062169"/>
    <w:rsid w:val="20796DDF"/>
    <w:rsid w:val="207970FB"/>
    <w:rsid w:val="20831A0C"/>
    <w:rsid w:val="208458FE"/>
    <w:rsid w:val="20905657"/>
    <w:rsid w:val="209B0B03"/>
    <w:rsid w:val="20C441CE"/>
    <w:rsid w:val="20CE5014"/>
    <w:rsid w:val="20D21FD1"/>
    <w:rsid w:val="20EF26A6"/>
    <w:rsid w:val="21175A69"/>
    <w:rsid w:val="213F520D"/>
    <w:rsid w:val="215C4736"/>
    <w:rsid w:val="219F0AC7"/>
    <w:rsid w:val="21B005DE"/>
    <w:rsid w:val="224F429B"/>
    <w:rsid w:val="226A0903"/>
    <w:rsid w:val="228F28EA"/>
    <w:rsid w:val="22A7378F"/>
    <w:rsid w:val="22AB307D"/>
    <w:rsid w:val="22D327D6"/>
    <w:rsid w:val="22D33E08"/>
    <w:rsid w:val="22FF7BB1"/>
    <w:rsid w:val="23156AA1"/>
    <w:rsid w:val="2319695C"/>
    <w:rsid w:val="232E7BA6"/>
    <w:rsid w:val="23310794"/>
    <w:rsid w:val="235558E1"/>
    <w:rsid w:val="2366364A"/>
    <w:rsid w:val="23983A20"/>
    <w:rsid w:val="23DA6AE5"/>
    <w:rsid w:val="23DC390D"/>
    <w:rsid w:val="23DD6772"/>
    <w:rsid w:val="23F246D5"/>
    <w:rsid w:val="23FC0C66"/>
    <w:rsid w:val="240A1FE7"/>
    <w:rsid w:val="240E4EF4"/>
    <w:rsid w:val="244B0A92"/>
    <w:rsid w:val="244F2331"/>
    <w:rsid w:val="24613E12"/>
    <w:rsid w:val="246F4781"/>
    <w:rsid w:val="24B77ED6"/>
    <w:rsid w:val="24D528C8"/>
    <w:rsid w:val="250A44A9"/>
    <w:rsid w:val="253357AE"/>
    <w:rsid w:val="25440C67"/>
    <w:rsid w:val="254E7B1D"/>
    <w:rsid w:val="25587450"/>
    <w:rsid w:val="257C53A7"/>
    <w:rsid w:val="25845748"/>
    <w:rsid w:val="25873F58"/>
    <w:rsid w:val="25B20DC9"/>
    <w:rsid w:val="25BC57A4"/>
    <w:rsid w:val="25CB2FB1"/>
    <w:rsid w:val="25E62821"/>
    <w:rsid w:val="25FC3DF2"/>
    <w:rsid w:val="260F1500"/>
    <w:rsid w:val="2614570C"/>
    <w:rsid w:val="266176D6"/>
    <w:rsid w:val="26B20955"/>
    <w:rsid w:val="26ED7BDF"/>
    <w:rsid w:val="26F97F05"/>
    <w:rsid w:val="26FE3B9A"/>
    <w:rsid w:val="27012A0B"/>
    <w:rsid w:val="271678F5"/>
    <w:rsid w:val="27840543"/>
    <w:rsid w:val="27914D3A"/>
    <w:rsid w:val="27A110F5"/>
    <w:rsid w:val="27A6429D"/>
    <w:rsid w:val="28520641"/>
    <w:rsid w:val="28553C8E"/>
    <w:rsid w:val="285A233E"/>
    <w:rsid w:val="287405B8"/>
    <w:rsid w:val="28895B8E"/>
    <w:rsid w:val="288A1B89"/>
    <w:rsid w:val="289F315B"/>
    <w:rsid w:val="28AE0255"/>
    <w:rsid w:val="28C80903"/>
    <w:rsid w:val="28CA642A"/>
    <w:rsid w:val="28CD0E0B"/>
    <w:rsid w:val="28F416F8"/>
    <w:rsid w:val="28F60FCD"/>
    <w:rsid w:val="29257B04"/>
    <w:rsid w:val="29326457"/>
    <w:rsid w:val="293B7327"/>
    <w:rsid w:val="29630A8C"/>
    <w:rsid w:val="297350C5"/>
    <w:rsid w:val="29791BFE"/>
    <w:rsid w:val="298B77C1"/>
    <w:rsid w:val="29AA0E8A"/>
    <w:rsid w:val="29B61260"/>
    <w:rsid w:val="29C235A5"/>
    <w:rsid w:val="2AA850FE"/>
    <w:rsid w:val="2AB721F8"/>
    <w:rsid w:val="2ABE3D6C"/>
    <w:rsid w:val="2B0674C1"/>
    <w:rsid w:val="2B28694F"/>
    <w:rsid w:val="2B442E87"/>
    <w:rsid w:val="2B5926E0"/>
    <w:rsid w:val="2B6C165D"/>
    <w:rsid w:val="2B7C58B9"/>
    <w:rsid w:val="2BA2019D"/>
    <w:rsid w:val="2BB92785"/>
    <w:rsid w:val="2BC26B64"/>
    <w:rsid w:val="2C1A1CAD"/>
    <w:rsid w:val="2C9F3729"/>
    <w:rsid w:val="2D1063D5"/>
    <w:rsid w:val="2D2337CE"/>
    <w:rsid w:val="2D27472A"/>
    <w:rsid w:val="2DA336ED"/>
    <w:rsid w:val="2DAA3A50"/>
    <w:rsid w:val="2DFF6F55"/>
    <w:rsid w:val="2E3031D3"/>
    <w:rsid w:val="2E5F7614"/>
    <w:rsid w:val="2E954DE4"/>
    <w:rsid w:val="2EA6225A"/>
    <w:rsid w:val="2ED83151"/>
    <w:rsid w:val="2EE44DA7"/>
    <w:rsid w:val="2F063F34"/>
    <w:rsid w:val="2F7F4AA4"/>
    <w:rsid w:val="2F9D28F7"/>
    <w:rsid w:val="2FB27C17"/>
    <w:rsid w:val="2FC33BD3"/>
    <w:rsid w:val="2FF27434"/>
    <w:rsid w:val="30112802"/>
    <w:rsid w:val="30234671"/>
    <w:rsid w:val="30347DA4"/>
    <w:rsid w:val="303D5733"/>
    <w:rsid w:val="3059692A"/>
    <w:rsid w:val="3079709D"/>
    <w:rsid w:val="308E7BCC"/>
    <w:rsid w:val="30D53BBD"/>
    <w:rsid w:val="30EC0F07"/>
    <w:rsid w:val="30F5563F"/>
    <w:rsid w:val="30FF126C"/>
    <w:rsid w:val="312F6D42"/>
    <w:rsid w:val="314F3970"/>
    <w:rsid w:val="31927806"/>
    <w:rsid w:val="31975317"/>
    <w:rsid w:val="31BD1DE4"/>
    <w:rsid w:val="31CA1248"/>
    <w:rsid w:val="31ED4DB8"/>
    <w:rsid w:val="31ED4F37"/>
    <w:rsid w:val="321C3675"/>
    <w:rsid w:val="32624BA7"/>
    <w:rsid w:val="32696CB3"/>
    <w:rsid w:val="327921DC"/>
    <w:rsid w:val="32877139"/>
    <w:rsid w:val="32DE7134"/>
    <w:rsid w:val="32F32A21"/>
    <w:rsid w:val="331F3816"/>
    <w:rsid w:val="333F6333"/>
    <w:rsid w:val="33615BDC"/>
    <w:rsid w:val="339F245D"/>
    <w:rsid w:val="33CF1C6D"/>
    <w:rsid w:val="33DC5263"/>
    <w:rsid w:val="33FD3B57"/>
    <w:rsid w:val="340E0074"/>
    <w:rsid w:val="343155AF"/>
    <w:rsid w:val="346516EC"/>
    <w:rsid w:val="3493014C"/>
    <w:rsid w:val="349B0722"/>
    <w:rsid w:val="349D0E96"/>
    <w:rsid w:val="34A56435"/>
    <w:rsid w:val="34AC78AD"/>
    <w:rsid w:val="34AF1EA4"/>
    <w:rsid w:val="34CE04B2"/>
    <w:rsid w:val="34DC2E19"/>
    <w:rsid w:val="34F915D9"/>
    <w:rsid w:val="353B0B1D"/>
    <w:rsid w:val="353C245D"/>
    <w:rsid w:val="354B26A0"/>
    <w:rsid w:val="356E34B4"/>
    <w:rsid w:val="35780FBB"/>
    <w:rsid w:val="35814314"/>
    <w:rsid w:val="35AD335B"/>
    <w:rsid w:val="35D2691D"/>
    <w:rsid w:val="35D4302E"/>
    <w:rsid w:val="36207E7D"/>
    <w:rsid w:val="364B4675"/>
    <w:rsid w:val="364E1F79"/>
    <w:rsid w:val="365227E1"/>
    <w:rsid w:val="367C1490"/>
    <w:rsid w:val="368D7B3B"/>
    <w:rsid w:val="36946B89"/>
    <w:rsid w:val="36985DB9"/>
    <w:rsid w:val="369B7657"/>
    <w:rsid w:val="36AB24C2"/>
    <w:rsid w:val="36C06910"/>
    <w:rsid w:val="36D82ED9"/>
    <w:rsid w:val="36ED551F"/>
    <w:rsid w:val="37256F21"/>
    <w:rsid w:val="37330213"/>
    <w:rsid w:val="37411FAD"/>
    <w:rsid w:val="378D7754"/>
    <w:rsid w:val="37A463F2"/>
    <w:rsid w:val="37A7337A"/>
    <w:rsid w:val="37B02769"/>
    <w:rsid w:val="37C130EE"/>
    <w:rsid w:val="37D8637E"/>
    <w:rsid w:val="37E22F52"/>
    <w:rsid w:val="37F04329"/>
    <w:rsid w:val="38100FD4"/>
    <w:rsid w:val="38123949"/>
    <w:rsid w:val="384B7486"/>
    <w:rsid w:val="385D19D4"/>
    <w:rsid w:val="387168C2"/>
    <w:rsid w:val="39037EDB"/>
    <w:rsid w:val="39132EC3"/>
    <w:rsid w:val="393B2A2C"/>
    <w:rsid w:val="39460A0E"/>
    <w:rsid w:val="39677CC5"/>
    <w:rsid w:val="399F6627"/>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E61375"/>
    <w:rsid w:val="3BFB7870"/>
    <w:rsid w:val="3C014DF3"/>
    <w:rsid w:val="3C027E20"/>
    <w:rsid w:val="3C0E4427"/>
    <w:rsid w:val="3C277297"/>
    <w:rsid w:val="3C8D0D8F"/>
    <w:rsid w:val="3CDD09B4"/>
    <w:rsid w:val="3D2F0AF9"/>
    <w:rsid w:val="3D45031D"/>
    <w:rsid w:val="3D6469F5"/>
    <w:rsid w:val="3D65276D"/>
    <w:rsid w:val="3D9B618F"/>
    <w:rsid w:val="3DA2472E"/>
    <w:rsid w:val="3DA70690"/>
    <w:rsid w:val="3DD4074F"/>
    <w:rsid w:val="3DD86A9B"/>
    <w:rsid w:val="3E2148E6"/>
    <w:rsid w:val="3E3F16E6"/>
    <w:rsid w:val="3E646581"/>
    <w:rsid w:val="3E742234"/>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907423"/>
    <w:rsid w:val="40A1586A"/>
    <w:rsid w:val="40A9471F"/>
    <w:rsid w:val="40B21825"/>
    <w:rsid w:val="40B57980"/>
    <w:rsid w:val="40B72A48"/>
    <w:rsid w:val="40B732E0"/>
    <w:rsid w:val="40E61C44"/>
    <w:rsid w:val="40E67721"/>
    <w:rsid w:val="414803DC"/>
    <w:rsid w:val="41483F38"/>
    <w:rsid w:val="415122C4"/>
    <w:rsid w:val="41811B95"/>
    <w:rsid w:val="418331C2"/>
    <w:rsid w:val="41C23CEA"/>
    <w:rsid w:val="41D238B1"/>
    <w:rsid w:val="4222518C"/>
    <w:rsid w:val="42424E2B"/>
    <w:rsid w:val="424B6DD5"/>
    <w:rsid w:val="42772D26"/>
    <w:rsid w:val="428E5B40"/>
    <w:rsid w:val="429B5C06"/>
    <w:rsid w:val="42B10760"/>
    <w:rsid w:val="42B1476A"/>
    <w:rsid w:val="42E12896"/>
    <w:rsid w:val="42E45961"/>
    <w:rsid w:val="432D1637"/>
    <w:rsid w:val="43616E3D"/>
    <w:rsid w:val="436C03B1"/>
    <w:rsid w:val="437152C3"/>
    <w:rsid w:val="438D20D6"/>
    <w:rsid w:val="43A247AA"/>
    <w:rsid w:val="43AD1D66"/>
    <w:rsid w:val="43CF6B92"/>
    <w:rsid w:val="43D63A7D"/>
    <w:rsid w:val="43F34172"/>
    <w:rsid w:val="43FF73DB"/>
    <w:rsid w:val="4403064B"/>
    <w:rsid w:val="441462F3"/>
    <w:rsid w:val="442A7902"/>
    <w:rsid w:val="44323428"/>
    <w:rsid w:val="445F1E45"/>
    <w:rsid w:val="44827B22"/>
    <w:rsid w:val="44873928"/>
    <w:rsid w:val="44986DD2"/>
    <w:rsid w:val="44A616A1"/>
    <w:rsid w:val="44B00772"/>
    <w:rsid w:val="44E46C23"/>
    <w:rsid w:val="44E81CBA"/>
    <w:rsid w:val="4550785F"/>
    <w:rsid w:val="45730A88"/>
    <w:rsid w:val="45CB571D"/>
    <w:rsid w:val="45CC1560"/>
    <w:rsid w:val="45E36925"/>
    <w:rsid w:val="460C5E7C"/>
    <w:rsid w:val="46167423"/>
    <w:rsid w:val="4622553B"/>
    <w:rsid w:val="467F44A7"/>
    <w:rsid w:val="468D39EA"/>
    <w:rsid w:val="46BB51AC"/>
    <w:rsid w:val="46DF0E9A"/>
    <w:rsid w:val="46F34946"/>
    <w:rsid w:val="47046143"/>
    <w:rsid w:val="472732CA"/>
    <w:rsid w:val="47282017"/>
    <w:rsid w:val="47422BE1"/>
    <w:rsid w:val="477C3AE3"/>
    <w:rsid w:val="479559FD"/>
    <w:rsid w:val="47D46525"/>
    <w:rsid w:val="48373F0E"/>
    <w:rsid w:val="483F42E6"/>
    <w:rsid w:val="48514393"/>
    <w:rsid w:val="488066AD"/>
    <w:rsid w:val="48897310"/>
    <w:rsid w:val="48967C7F"/>
    <w:rsid w:val="48976630"/>
    <w:rsid w:val="489D01C2"/>
    <w:rsid w:val="48A1490F"/>
    <w:rsid w:val="48AC1740"/>
    <w:rsid w:val="48AF2D06"/>
    <w:rsid w:val="48BA396D"/>
    <w:rsid w:val="48E46C3C"/>
    <w:rsid w:val="48F149CF"/>
    <w:rsid w:val="48F232BB"/>
    <w:rsid w:val="49150762"/>
    <w:rsid w:val="492C413F"/>
    <w:rsid w:val="49B320C7"/>
    <w:rsid w:val="49BA7872"/>
    <w:rsid w:val="49D51330"/>
    <w:rsid w:val="4A0330F2"/>
    <w:rsid w:val="4A283849"/>
    <w:rsid w:val="4A7D4C52"/>
    <w:rsid w:val="4AB47748"/>
    <w:rsid w:val="4AB47DCB"/>
    <w:rsid w:val="4ADB1EDB"/>
    <w:rsid w:val="4AE271AB"/>
    <w:rsid w:val="4AEC5E6C"/>
    <w:rsid w:val="4AF13892"/>
    <w:rsid w:val="4B102BAE"/>
    <w:rsid w:val="4B5F25AA"/>
    <w:rsid w:val="4B7047B7"/>
    <w:rsid w:val="4B8F50E2"/>
    <w:rsid w:val="4BA95F1B"/>
    <w:rsid w:val="4BC03C90"/>
    <w:rsid w:val="4BC0573E"/>
    <w:rsid w:val="4BDB529B"/>
    <w:rsid w:val="4BF7490B"/>
    <w:rsid w:val="4C3C7499"/>
    <w:rsid w:val="4C8D3147"/>
    <w:rsid w:val="4C940979"/>
    <w:rsid w:val="4C9D5A7F"/>
    <w:rsid w:val="4C9D782D"/>
    <w:rsid w:val="4CC4300C"/>
    <w:rsid w:val="4CF47989"/>
    <w:rsid w:val="4CF907DC"/>
    <w:rsid w:val="4CFF3B72"/>
    <w:rsid w:val="4D242140"/>
    <w:rsid w:val="4D5A3656"/>
    <w:rsid w:val="4D6B3488"/>
    <w:rsid w:val="4DED0341"/>
    <w:rsid w:val="4DF44835"/>
    <w:rsid w:val="4E1458CD"/>
    <w:rsid w:val="4E1F4272"/>
    <w:rsid w:val="4E2C3F20"/>
    <w:rsid w:val="4E467A51"/>
    <w:rsid w:val="4E5C4F50"/>
    <w:rsid w:val="4E8E5624"/>
    <w:rsid w:val="4E9133C2"/>
    <w:rsid w:val="4E9D4FF6"/>
    <w:rsid w:val="4EA4578E"/>
    <w:rsid w:val="4ED660C1"/>
    <w:rsid w:val="4EF34375"/>
    <w:rsid w:val="4F275AD4"/>
    <w:rsid w:val="4F3F2E1E"/>
    <w:rsid w:val="4F4D1EFF"/>
    <w:rsid w:val="4F563CC4"/>
    <w:rsid w:val="4F5F72FE"/>
    <w:rsid w:val="4F6C1739"/>
    <w:rsid w:val="4F9F2A47"/>
    <w:rsid w:val="4FAA1984"/>
    <w:rsid w:val="4FB23760"/>
    <w:rsid w:val="4FBD16C8"/>
    <w:rsid w:val="4FC13833"/>
    <w:rsid w:val="4FEA2C8E"/>
    <w:rsid w:val="50003008"/>
    <w:rsid w:val="50036DF3"/>
    <w:rsid w:val="503C7352"/>
    <w:rsid w:val="505E5526"/>
    <w:rsid w:val="507A7408"/>
    <w:rsid w:val="50821593"/>
    <w:rsid w:val="50C30C4C"/>
    <w:rsid w:val="50E64646"/>
    <w:rsid w:val="510D2AA8"/>
    <w:rsid w:val="51387B25"/>
    <w:rsid w:val="51937451"/>
    <w:rsid w:val="51BB2504"/>
    <w:rsid w:val="51DF494F"/>
    <w:rsid w:val="51E754ED"/>
    <w:rsid w:val="51F83758"/>
    <w:rsid w:val="51F85506"/>
    <w:rsid w:val="51FD48CA"/>
    <w:rsid w:val="520F0DB6"/>
    <w:rsid w:val="521535AD"/>
    <w:rsid w:val="521D586D"/>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534C76"/>
    <w:rsid w:val="545D5AF4"/>
    <w:rsid w:val="547D1CF3"/>
    <w:rsid w:val="549A0AF6"/>
    <w:rsid w:val="54D8352B"/>
    <w:rsid w:val="54DD5342"/>
    <w:rsid w:val="54DF6509"/>
    <w:rsid w:val="55067F3A"/>
    <w:rsid w:val="557518DD"/>
    <w:rsid w:val="557D2A48"/>
    <w:rsid w:val="558C48E3"/>
    <w:rsid w:val="55B160F8"/>
    <w:rsid w:val="55BD37D3"/>
    <w:rsid w:val="55FE42DF"/>
    <w:rsid w:val="55FF79F4"/>
    <w:rsid w:val="56017D76"/>
    <w:rsid w:val="56097CE2"/>
    <w:rsid w:val="561F77A0"/>
    <w:rsid w:val="56462CE4"/>
    <w:rsid w:val="566F4866"/>
    <w:rsid w:val="56CB0A2B"/>
    <w:rsid w:val="56D5229D"/>
    <w:rsid w:val="56FE5351"/>
    <w:rsid w:val="57204F99"/>
    <w:rsid w:val="572648C3"/>
    <w:rsid w:val="57366BC0"/>
    <w:rsid w:val="57476D14"/>
    <w:rsid w:val="574D1E50"/>
    <w:rsid w:val="57631674"/>
    <w:rsid w:val="57672F12"/>
    <w:rsid w:val="5806440C"/>
    <w:rsid w:val="580D3C8F"/>
    <w:rsid w:val="58226C63"/>
    <w:rsid w:val="582E3170"/>
    <w:rsid w:val="583F5C3D"/>
    <w:rsid w:val="584C6889"/>
    <w:rsid w:val="588274C0"/>
    <w:rsid w:val="58A41F44"/>
    <w:rsid w:val="58A91394"/>
    <w:rsid w:val="58AA4B33"/>
    <w:rsid w:val="58C223CA"/>
    <w:rsid w:val="58C70C0A"/>
    <w:rsid w:val="58D152E0"/>
    <w:rsid w:val="58D16018"/>
    <w:rsid w:val="58EF5E22"/>
    <w:rsid w:val="58F869B7"/>
    <w:rsid w:val="59311C62"/>
    <w:rsid w:val="59383241"/>
    <w:rsid w:val="593C03FF"/>
    <w:rsid w:val="594A6647"/>
    <w:rsid w:val="59653481"/>
    <w:rsid w:val="59664C29"/>
    <w:rsid w:val="597F650C"/>
    <w:rsid w:val="5A0A2FAF"/>
    <w:rsid w:val="5A1E1882"/>
    <w:rsid w:val="5A514310"/>
    <w:rsid w:val="5A690A56"/>
    <w:rsid w:val="5A6A7096"/>
    <w:rsid w:val="5A7616BE"/>
    <w:rsid w:val="5A7871E4"/>
    <w:rsid w:val="5A8E07B6"/>
    <w:rsid w:val="5AAB5372"/>
    <w:rsid w:val="5AB07EC4"/>
    <w:rsid w:val="5ABC1339"/>
    <w:rsid w:val="5B1E7D8B"/>
    <w:rsid w:val="5BA069F2"/>
    <w:rsid w:val="5BEC7116"/>
    <w:rsid w:val="5BF07B73"/>
    <w:rsid w:val="5BF22FC6"/>
    <w:rsid w:val="5BF240B3"/>
    <w:rsid w:val="5BFE2A26"/>
    <w:rsid w:val="5C4E46A0"/>
    <w:rsid w:val="5C72639D"/>
    <w:rsid w:val="5C82434A"/>
    <w:rsid w:val="5C827239"/>
    <w:rsid w:val="5C853E3A"/>
    <w:rsid w:val="5C8956D8"/>
    <w:rsid w:val="5CD8555F"/>
    <w:rsid w:val="5CF240F8"/>
    <w:rsid w:val="5CFD6DDC"/>
    <w:rsid w:val="5D480AC5"/>
    <w:rsid w:val="5D610403"/>
    <w:rsid w:val="5D9E5209"/>
    <w:rsid w:val="5DC65CED"/>
    <w:rsid w:val="5E0314BA"/>
    <w:rsid w:val="5E0837DD"/>
    <w:rsid w:val="5E0A2849"/>
    <w:rsid w:val="5E3735CA"/>
    <w:rsid w:val="5E457D25"/>
    <w:rsid w:val="5E4749DA"/>
    <w:rsid w:val="5E5D237F"/>
    <w:rsid w:val="5E5D506F"/>
    <w:rsid w:val="5E6A480D"/>
    <w:rsid w:val="5E79352B"/>
    <w:rsid w:val="5E937F8B"/>
    <w:rsid w:val="5E9B5B97"/>
    <w:rsid w:val="5EA23B64"/>
    <w:rsid w:val="5ECA6A83"/>
    <w:rsid w:val="5ECB022A"/>
    <w:rsid w:val="5EE66679"/>
    <w:rsid w:val="5EF4396B"/>
    <w:rsid w:val="5EFD23AE"/>
    <w:rsid w:val="5F010070"/>
    <w:rsid w:val="5F2416E8"/>
    <w:rsid w:val="5F2913F5"/>
    <w:rsid w:val="5F2B7CAD"/>
    <w:rsid w:val="5F5A311A"/>
    <w:rsid w:val="5F831334"/>
    <w:rsid w:val="5F93686E"/>
    <w:rsid w:val="5F97010C"/>
    <w:rsid w:val="5FB32C8F"/>
    <w:rsid w:val="5FB707AE"/>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1716"/>
    <w:rsid w:val="61A1624B"/>
    <w:rsid w:val="61B220EC"/>
    <w:rsid w:val="61D513C0"/>
    <w:rsid w:val="62383A10"/>
    <w:rsid w:val="623F0AFD"/>
    <w:rsid w:val="624A76B8"/>
    <w:rsid w:val="62533A5E"/>
    <w:rsid w:val="626B41F2"/>
    <w:rsid w:val="629B43B7"/>
    <w:rsid w:val="62C84A81"/>
    <w:rsid w:val="62D1212E"/>
    <w:rsid w:val="62ED43A3"/>
    <w:rsid w:val="6300421A"/>
    <w:rsid w:val="63163A3E"/>
    <w:rsid w:val="63514A76"/>
    <w:rsid w:val="635A1B7D"/>
    <w:rsid w:val="636B5B38"/>
    <w:rsid w:val="637013A0"/>
    <w:rsid w:val="6371657A"/>
    <w:rsid w:val="638135AD"/>
    <w:rsid w:val="63864720"/>
    <w:rsid w:val="63C74D38"/>
    <w:rsid w:val="63D5549E"/>
    <w:rsid w:val="63FA7E67"/>
    <w:rsid w:val="641238A9"/>
    <w:rsid w:val="642910AB"/>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302AB4"/>
    <w:rsid w:val="6635242D"/>
    <w:rsid w:val="666D7E19"/>
    <w:rsid w:val="66730AB2"/>
    <w:rsid w:val="66741E8A"/>
    <w:rsid w:val="66972C7C"/>
    <w:rsid w:val="669D17DE"/>
    <w:rsid w:val="67023C27"/>
    <w:rsid w:val="67057615"/>
    <w:rsid w:val="67191D4F"/>
    <w:rsid w:val="672E75A8"/>
    <w:rsid w:val="673222E0"/>
    <w:rsid w:val="67600C28"/>
    <w:rsid w:val="6784366C"/>
    <w:rsid w:val="67B07C16"/>
    <w:rsid w:val="67B1228C"/>
    <w:rsid w:val="67CA6313"/>
    <w:rsid w:val="67CE654E"/>
    <w:rsid w:val="67D509EC"/>
    <w:rsid w:val="67D75C7D"/>
    <w:rsid w:val="67E15701"/>
    <w:rsid w:val="67EB36EB"/>
    <w:rsid w:val="67FF2CF3"/>
    <w:rsid w:val="68324836"/>
    <w:rsid w:val="6841155D"/>
    <w:rsid w:val="685B09D3"/>
    <w:rsid w:val="685C47AD"/>
    <w:rsid w:val="686314D3"/>
    <w:rsid w:val="68632D16"/>
    <w:rsid w:val="687436E1"/>
    <w:rsid w:val="688B4586"/>
    <w:rsid w:val="68A30E99"/>
    <w:rsid w:val="690D3EC7"/>
    <w:rsid w:val="692B7D65"/>
    <w:rsid w:val="692E3608"/>
    <w:rsid w:val="695452C0"/>
    <w:rsid w:val="69665C88"/>
    <w:rsid w:val="699252C4"/>
    <w:rsid w:val="69D837FB"/>
    <w:rsid w:val="69DA6A67"/>
    <w:rsid w:val="69E06B54"/>
    <w:rsid w:val="69F900CD"/>
    <w:rsid w:val="6A250150"/>
    <w:rsid w:val="6A3053E5"/>
    <w:rsid w:val="6A3F7D1E"/>
    <w:rsid w:val="6A4C5F97"/>
    <w:rsid w:val="6A613EE9"/>
    <w:rsid w:val="6A9C3978"/>
    <w:rsid w:val="6AFE1987"/>
    <w:rsid w:val="6AFF300A"/>
    <w:rsid w:val="6B0C7DAB"/>
    <w:rsid w:val="6B4F5D3F"/>
    <w:rsid w:val="6B653650"/>
    <w:rsid w:val="6B713F07"/>
    <w:rsid w:val="6B9B0F84"/>
    <w:rsid w:val="6BB04E38"/>
    <w:rsid w:val="6BD83F86"/>
    <w:rsid w:val="6BFA214F"/>
    <w:rsid w:val="6C021003"/>
    <w:rsid w:val="6C2471CC"/>
    <w:rsid w:val="6C3640A1"/>
    <w:rsid w:val="6C6F1216"/>
    <w:rsid w:val="6C735A5D"/>
    <w:rsid w:val="6C862716"/>
    <w:rsid w:val="6CA9218A"/>
    <w:rsid w:val="6CB247D7"/>
    <w:rsid w:val="6CD209D6"/>
    <w:rsid w:val="6CD7423E"/>
    <w:rsid w:val="6D0D1A0E"/>
    <w:rsid w:val="6D1F7E14"/>
    <w:rsid w:val="6D2B71ED"/>
    <w:rsid w:val="6D4228CF"/>
    <w:rsid w:val="6D4713C4"/>
    <w:rsid w:val="6D4C3D11"/>
    <w:rsid w:val="6DA73C10"/>
    <w:rsid w:val="6DDC061E"/>
    <w:rsid w:val="6E0C4A6A"/>
    <w:rsid w:val="6E2A055C"/>
    <w:rsid w:val="6E5042A8"/>
    <w:rsid w:val="6E731D44"/>
    <w:rsid w:val="6E7F693B"/>
    <w:rsid w:val="6F027A08"/>
    <w:rsid w:val="6F165703"/>
    <w:rsid w:val="6FA05DD8"/>
    <w:rsid w:val="6FBA35F7"/>
    <w:rsid w:val="6FBC31E7"/>
    <w:rsid w:val="6FED5F89"/>
    <w:rsid w:val="702B57EE"/>
    <w:rsid w:val="70384FF4"/>
    <w:rsid w:val="7053007F"/>
    <w:rsid w:val="705D3AD4"/>
    <w:rsid w:val="7060454A"/>
    <w:rsid w:val="706A7177"/>
    <w:rsid w:val="70763D6E"/>
    <w:rsid w:val="708B68E7"/>
    <w:rsid w:val="708E2E66"/>
    <w:rsid w:val="709C4221"/>
    <w:rsid w:val="70DD1A5F"/>
    <w:rsid w:val="70E8478D"/>
    <w:rsid w:val="70FF1FB5"/>
    <w:rsid w:val="71116929"/>
    <w:rsid w:val="711E5D51"/>
    <w:rsid w:val="715D222B"/>
    <w:rsid w:val="71663DE2"/>
    <w:rsid w:val="71890614"/>
    <w:rsid w:val="7195514E"/>
    <w:rsid w:val="71CF7BDA"/>
    <w:rsid w:val="71F8105B"/>
    <w:rsid w:val="71F904B7"/>
    <w:rsid w:val="722872EA"/>
    <w:rsid w:val="722F0678"/>
    <w:rsid w:val="72B7795A"/>
    <w:rsid w:val="72BA2638"/>
    <w:rsid w:val="72CC26C6"/>
    <w:rsid w:val="72F01BB6"/>
    <w:rsid w:val="730C2142"/>
    <w:rsid w:val="73155AC0"/>
    <w:rsid w:val="732950C8"/>
    <w:rsid w:val="737A3B75"/>
    <w:rsid w:val="73814F04"/>
    <w:rsid w:val="73A62BBC"/>
    <w:rsid w:val="73DD006E"/>
    <w:rsid w:val="741728FA"/>
    <w:rsid w:val="742B1A04"/>
    <w:rsid w:val="74385C71"/>
    <w:rsid w:val="7438794A"/>
    <w:rsid w:val="74455F31"/>
    <w:rsid w:val="74604B16"/>
    <w:rsid w:val="747405C4"/>
    <w:rsid w:val="74907F2E"/>
    <w:rsid w:val="74956EB9"/>
    <w:rsid w:val="751A71B9"/>
    <w:rsid w:val="7544443B"/>
    <w:rsid w:val="75736ACE"/>
    <w:rsid w:val="75781A85"/>
    <w:rsid w:val="757840E4"/>
    <w:rsid w:val="75786DBE"/>
    <w:rsid w:val="75867A54"/>
    <w:rsid w:val="75932CCC"/>
    <w:rsid w:val="76004806"/>
    <w:rsid w:val="761C449D"/>
    <w:rsid w:val="76326989"/>
    <w:rsid w:val="76865022"/>
    <w:rsid w:val="76D23B71"/>
    <w:rsid w:val="76F37914"/>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C42EA"/>
    <w:rsid w:val="78803B86"/>
    <w:rsid w:val="78CA7A0D"/>
    <w:rsid w:val="78E0447A"/>
    <w:rsid w:val="78EB40C0"/>
    <w:rsid w:val="79621333"/>
    <w:rsid w:val="79637CEE"/>
    <w:rsid w:val="79674733"/>
    <w:rsid w:val="79711576"/>
    <w:rsid w:val="7A0D29B9"/>
    <w:rsid w:val="7A3031E0"/>
    <w:rsid w:val="7A333A8D"/>
    <w:rsid w:val="7AAC661B"/>
    <w:rsid w:val="7AC322A6"/>
    <w:rsid w:val="7AF04D73"/>
    <w:rsid w:val="7B1E05B8"/>
    <w:rsid w:val="7B276391"/>
    <w:rsid w:val="7B3F2EF0"/>
    <w:rsid w:val="7B6150A8"/>
    <w:rsid w:val="7B7610C6"/>
    <w:rsid w:val="7BB7692F"/>
    <w:rsid w:val="7BBE469C"/>
    <w:rsid w:val="7BE02769"/>
    <w:rsid w:val="7C0004DA"/>
    <w:rsid w:val="7C32323F"/>
    <w:rsid w:val="7CB974BC"/>
    <w:rsid w:val="7CED53B8"/>
    <w:rsid w:val="7CFE1373"/>
    <w:rsid w:val="7D731FEC"/>
    <w:rsid w:val="7DF9570E"/>
    <w:rsid w:val="7E3E236F"/>
    <w:rsid w:val="7E521976"/>
    <w:rsid w:val="7E5C0A47"/>
    <w:rsid w:val="7E6873EC"/>
    <w:rsid w:val="7E7523DA"/>
    <w:rsid w:val="7E7A0ECD"/>
    <w:rsid w:val="7E7A4B80"/>
    <w:rsid w:val="7E9C7095"/>
    <w:rsid w:val="7EA71A11"/>
    <w:rsid w:val="7EB3390B"/>
    <w:rsid w:val="7EB63B18"/>
    <w:rsid w:val="7EB65E72"/>
    <w:rsid w:val="7EBA751C"/>
    <w:rsid w:val="7EBF4B32"/>
    <w:rsid w:val="7EE546B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73"/>
    <w:qFormat/>
    <w:uiPriority w:val="0"/>
    <w:pPr>
      <w:keepNext/>
      <w:keepLines/>
      <w:spacing w:before="260" w:after="260" w:line="416" w:lineRule="auto"/>
      <w:outlineLvl w:val="2"/>
    </w:pPr>
    <w:rPr>
      <w:b/>
      <w:bCs/>
      <w:sz w:val="32"/>
      <w:szCs w:val="32"/>
    </w:rPr>
  </w:style>
  <w:style w:type="paragraph" w:styleId="5">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76"/>
    <w:qFormat/>
    <w:uiPriority w:val="0"/>
    <w:pPr>
      <w:keepNext/>
      <w:keepLines/>
      <w:ind w:firstLine="200" w:firstLineChars="200"/>
      <w:outlineLvl w:val="5"/>
    </w:pPr>
    <w:rPr>
      <w:rFonts w:hAnsi="Arial"/>
    </w:rPr>
  </w:style>
  <w:style w:type="paragraph" w:styleId="9">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81"/>
    <w:qFormat/>
    <w:uiPriority w:val="0"/>
    <w:pPr>
      <w:shd w:val="clear" w:color="auto" w:fill="000080"/>
    </w:pPr>
  </w:style>
  <w:style w:type="paragraph" w:styleId="16">
    <w:name w:val="annotation text"/>
    <w:basedOn w:val="1"/>
    <w:link w:val="82"/>
    <w:qFormat/>
    <w:uiPriority w:val="0"/>
    <w:pPr>
      <w:jc w:val="left"/>
    </w:pPr>
  </w:style>
  <w:style w:type="paragraph" w:styleId="17">
    <w:name w:val="Body Text 3"/>
    <w:basedOn w:val="1"/>
    <w:link w:val="83"/>
    <w:qFormat/>
    <w:uiPriority w:val="0"/>
    <w:pPr>
      <w:spacing w:after="120"/>
    </w:pPr>
    <w:rPr>
      <w:sz w:val="16"/>
      <w:szCs w:val="16"/>
    </w:rPr>
  </w:style>
  <w:style w:type="paragraph" w:styleId="18">
    <w:name w:val="Body Text"/>
    <w:basedOn w:val="1"/>
    <w:next w:val="1"/>
    <w:link w:val="80"/>
    <w:qFormat/>
    <w:uiPriority w:val="0"/>
    <w:pPr>
      <w:spacing w:after="120"/>
    </w:p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4"/>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85"/>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86"/>
    <w:qFormat/>
    <w:uiPriority w:val="0"/>
    <w:pPr>
      <w:ind w:left="100" w:leftChars="2500"/>
    </w:pPr>
  </w:style>
  <w:style w:type="paragraph" w:styleId="27">
    <w:name w:val="Body Text Indent 2"/>
    <w:basedOn w:val="1"/>
    <w:next w:val="28"/>
    <w:link w:val="87"/>
    <w:qFormat/>
    <w:uiPriority w:val="0"/>
    <w:pPr>
      <w:widowControl/>
      <w:spacing w:line="480" w:lineRule="auto"/>
      <w:ind w:firstLine="560"/>
      <w:jc w:val="left"/>
    </w:pPr>
    <w:rPr>
      <w:kern w:val="0"/>
      <w:sz w:val="28"/>
    </w:rPr>
  </w:style>
  <w:style w:type="paragraph" w:customStyle="1" w:styleId="28">
    <w:name w:val="z正文"/>
    <w:basedOn w:val="24"/>
    <w:qFormat/>
    <w:uiPriority w:val="0"/>
    <w:pPr>
      <w:tabs>
        <w:tab w:val="left" w:pos="525"/>
      </w:tabs>
      <w:snapToGrid w:val="0"/>
    </w:pPr>
    <w:rPr>
      <w:rFonts w:hAnsi="宋体" w:eastAsia="宋体"/>
      <w:sz w:val="24"/>
      <w:szCs w:val="20"/>
    </w:rPr>
  </w:style>
  <w:style w:type="paragraph" w:styleId="29">
    <w:name w:val="endnote text"/>
    <w:basedOn w:val="1"/>
    <w:link w:val="88"/>
    <w:qFormat/>
    <w:uiPriority w:val="0"/>
    <w:pPr>
      <w:widowControl/>
      <w:snapToGrid w:val="0"/>
      <w:jc w:val="left"/>
    </w:pPr>
    <w:rPr>
      <w:rFonts w:ascii="Arial" w:hAnsi="Arial" w:cs="Arial"/>
      <w:kern w:val="0"/>
      <w:sz w:val="20"/>
      <w:lang w:eastAsia="en-US"/>
    </w:rPr>
  </w:style>
  <w:style w:type="paragraph" w:styleId="30">
    <w:name w:val="Balloon Text"/>
    <w:basedOn w:val="1"/>
    <w:link w:val="89"/>
    <w:qFormat/>
    <w:uiPriority w:val="0"/>
    <w:rPr>
      <w:sz w:val="18"/>
      <w:szCs w:val="18"/>
    </w:rPr>
  </w:style>
  <w:style w:type="paragraph" w:styleId="31">
    <w:name w:val="footer"/>
    <w:basedOn w:val="1"/>
    <w:link w:val="90"/>
    <w:qFormat/>
    <w:uiPriority w:val="0"/>
    <w:pPr>
      <w:tabs>
        <w:tab w:val="center" w:pos="4153"/>
        <w:tab w:val="right" w:pos="8306"/>
      </w:tabs>
      <w:snapToGrid w:val="0"/>
      <w:jc w:val="left"/>
    </w:pPr>
    <w:rPr>
      <w:sz w:val="18"/>
      <w:szCs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4">
    <w:name w:val="toc 4"/>
    <w:basedOn w:val="5"/>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92"/>
    <w:qFormat/>
    <w:uiPriority w:val="0"/>
    <w:pPr>
      <w:widowControl/>
      <w:jc w:val="center"/>
    </w:pPr>
    <w:rPr>
      <w:kern w:val="0"/>
      <w:sz w:val="20"/>
      <w:u w:val="single"/>
      <w:lang w:eastAsia="en-US"/>
    </w:rPr>
  </w:style>
  <w:style w:type="paragraph" w:styleId="36">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94"/>
    <w:qFormat/>
    <w:uiPriority w:val="0"/>
    <w:pPr>
      <w:spacing w:line="360" w:lineRule="auto"/>
      <w:ind w:firstLine="280" w:firstLineChars="100"/>
    </w:pPr>
    <w:rPr>
      <w:rFonts w:ascii="宋体" w:hAnsi="宋体"/>
      <w:sz w:val="28"/>
      <w:szCs w:val="28"/>
    </w:rPr>
  </w:style>
  <w:style w:type="paragraph" w:styleId="39">
    <w:name w:val="toc 2"/>
    <w:basedOn w:val="3"/>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link w:val="95"/>
    <w:qFormat/>
    <w:uiPriority w:val="0"/>
    <w:rPr>
      <w:i/>
      <w:iCs/>
      <w:sz w:val="26"/>
    </w:rPr>
  </w:style>
  <w:style w:type="paragraph" w:styleId="42">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97"/>
    <w:qFormat/>
    <w:uiPriority w:val="0"/>
    <w:pPr>
      <w:widowControl/>
      <w:jc w:val="center"/>
    </w:pPr>
    <w:rPr>
      <w:kern w:val="0"/>
      <w:sz w:val="20"/>
      <w:u w:val="single"/>
      <w:lang w:eastAsia="en-US"/>
    </w:rPr>
  </w:style>
  <w:style w:type="paragraph" w:styleId="46">
    <w:name w:val="annotation subject"/>
    <w:basedOn w:val="16"/>
    <w:next w:val="16"/>
    <w:link w:val="98"/>
    <w:qFormat/>
    <w:uiPriority w:val="0"/>
    <w:rPr>
      <w:b/>
      <w:bCs/>
    </w:rPr>
  </w:style>
  <w:style w:type="paragraph" w:styleId="47">
    <w:name w:val="Body Text First Indent"/>
    <w:basedOn w:val="1"/>
    <w:next w:val="27"/>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8">
    <w:name w:val="Body Text First Indent 2"/>
    <w:basedOn w:val="19"/>
    <w:qFormat/>
    <w:uiPriority w:val="0"/>
    <w:pPr>
      <w:ind w:left="420" w:firstLine="420" w:firstLineChars="200"/>
    </w:pPr>
    <w:rPr>
      <w:rFonts w:ascii="Times New Roman" w:hAnsi="Times New Roman"/>
    </w:rPr>
  </w:style>
  <w:style w:type="table" w:styleId="50">
    <w:name w:val="Table Grid"/>
    <w:basedOn w:val="4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99"/>
    <w:rPr>
      <w:color w:val="800080"/>
      <w:u w:val="single"/>
    </w:rPr>
  </w:style>
  <w:style w:type="character" w:styleId="56">
    <w:name w:val="Emphasis"/>
    <w:qFormat/>
    <w:uiPriority w:val="0"/>
    <w:rPr>
      <w:i/>
      <w:iCs/>
    </w:rPr>
  </w:style>
  <w:style w:type="character" w:styleId="57">
    <w:name w:val="HTML Definition"/>
    <w:basedOn w:val="51"/>
    <w:unhideWhenUsed/>
    <w:qFormat/>
    <w:uiPriority w:val="99"/>
  </w:style>
  <w:style w:type="character" w:styleId="58">
    <w:name w:val="HTML Typewriter"/>
    <w:basedOn w:val="51"/>
    <w:semiHidden/>
    <w:unhideWhenUsed/>
    <w:qFormat/>
    <w:uiPriority w:val="99"/>
    <w:rPr>
      <w:rFonts w:hint="default" w:ascii="monospace" w:hAnsi="monospace" w:eastAsia="monospace" w:cs="monospace"/>
      <w:sz w:val="20"/>
    </w:rPr>
  </w:style>
  <w:style w:type="character" w:styleId="59">
    <w:name w:val="HTML Acronym"/>
    <w:basedOn w:val="51"/>
    <w:semiHidden/>
    <w:unhideWhenUsed/>
    <w:qFormat/>
    <w:uiPriority w:val="99"/>
  </w:style>
  <w:style w:type="character" w:styleId="60">
    <w:name w:val="HTML Variable"/>
    <w:basedOn w:val="51"/>
    <w:unhideWhenUsed/>
    <w:qFormat/>
    <w:uiPriority w:val="99"/>
  </w:style>
  <w:style w:type="character" w:styleId="61">
    <w:name w:val="Hyperlink"/>
    <w:qFormat/>
    <w:uiPriority w:val="0"/>
    <w:rPr>
      <w:color w:val="0000FF"/>
      <w:u w:val="single"/>
    </w:rPr>
  </w:style>
  <w:style w:type="character" w:styleId="62">
    <w:name w:val="HTML Code"/>
    <w:basedOn w:val="51"/>
    <w:unhideWhenUsed/>
    <w:qFormat/>
    <w:uiPriority w:val="99"/>
    <w:rPr>
      <w:rFonts w:hint="default"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1"/>
    <w:unhideWhenUsed/>
    <w:qFormat/>
    <w:uiPriority w:val="99"/>
  </w:style>
  <w:style w:type="character" w:styleId="65">
    <w:name w:val="footnote reference"/>
    <w:qFormat/>
    <w:uiPriority w:val="0"/>
    <w:rPr>
      <w:vertAlign w:val="superscript"/>
    </w:rPr>
  </w:style>
  <w:style w:type="character" w:styleId="66">
    <w:name w:val="HTML Keyboard"/>
    <w:basedOn w:val="51"/>
    <w:semiHidden/>
    <w:unhideWhenUsed/>
    <w:qFormat/>
    <w:uiPriority w:val="99"/>
    <w:rPr>
      <w:rFonts w:hint="default" w:ascii="monospace" w:hAnsi="monospace" w:eastAsia="monospace" w:cs="monospace"/>
      <w:sz w:val="20"/>
    </w:rPr>
  </w:style>
  <w:style w:type="character" w:styleId="67">
    <w:name w:val="HTML Sample"/>
    <w:basedOn w:val="51"/>
    <w:semiHidden/>
    <w:unhideWhenUsed/>
    <w:qFormat/>
    <w:uiPriority w:val="99"/>
    <w:rPr>
      <w:rFonts w:ascii="monospace" w:hAnsi="monospace" w:eastAsia="monospace" w:cs="monospace"/>
    </w:rPr>
  </w:style>
  <w:style w:type="paragraph" w:customStyle="1" w:styleId="68">
    <w:name w:val="正文+宋体"/>
    <w:qFormat/>
    <w:uiPriority w:val="0"/>
    <w:pPr>
      <w:keepNext/>
      <w:keepLines/>
      <w:widowControl w:val="0"/>
      <w:adjustRightInd w:val="0"/>
      <w:snapToGrid w:val="0"/>
      <w:spacing w:before="60" w:after="60" w:line="360" w:lineRule="auto"/>
      <w:jc w:val="both"/>
      <w:textAlignment w:val="baseline"/>
      <w:outlineLvl w:val="2"/>
    </w:pPr>
    <w:rPr>
      <w:rFonts w:ascii="宋体" w:hAnsi="宋体" w:eastAsia="宋体" w:cs="Times New Roman"/>
      <w:b/>
      <w:color w:val="000000"/>
      <w:sz w:val="24"/>
      <w:lang w:val="en-US" w:eastAsia="zh-CN" w:bidi="ar-SA"/>
    </w:rPr>
  </w:style>
  <w:style w:type="paragraph" w:customStyle="1" w:styleId="69">
    <w:name w:val="目录 42"/>
    <w:next w:val="1"/>
    <w:qFormat/>
    <w:uiPriority w:val="0"/>
    <w:pPr>
      <w:wordWrap w:val="0"/>
      <w:ind w:left="850"/>
      <w:jc w:val="both"/>
    </w:pPr>
    <w:rPr>
      <w:rFonts w:ascii="Times New Roman" w:hAnsi="Times New Roman" w:eastAsia="宋体" w:cs="Times New Roman"/>
      <w:sz w:val="21"/>
      <w:lang w:val="en-US" w:eastAsia="zh-CN" w:bidi="ar-SA"/>
    </w:rPr>
  </w:style>
  <w:style w:type="character" w:customStyle="1" w:styleId="70">
    <w:name w:val="标题 1 字符"/>
    <w:basedOn w:val="51"/>
    <w:link w:val="2"/>
    <w:qFormat/>
    <w:uiPriority w:val="9"/>
    <w:rPr>
      <w:rFonts w:ascii="Times New Roman" w:hAnsi="Times New Roman" w:eastAsia="宋体" w:cs="Times New Roman"/>
      <w:b/>
      <w:bCs/>
      <w:kern w:val="44"/>
      <w:sz w:val="44"/>
      <w:szCs w:val="44"/>
    </w:rPr>
  </w:style>
  <w:style w:type="paragraph" w:customStyle="1" w:styleId="7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1"/>
    <w:link w:val="3"/>
    <w:qFormat/>
    <w:uiPriority w:val="9"/>
    <w:rPr>
      <w:rFonts w:ascii="Cambria" w:hAnsi="Cambria" w:eastAsia="宋体" w:cs="Times New Roman"/>
      <w:b/>
      <w:bCs/>
      <w:sz w:val="32"/>
      <w:szCs w:val="32"/>
    </w:rPr>
  </w:style>
  <w:style w:type="character" w:customStyle="1" w:styleId="73">
    <w:name w:val="标题 3 字符"/>
    <w:basedOn w:val="51"/>
    <w:link w:val="4"/>
    <w:qFormat/>
    <w:uiPriority w:val="0"/>
    <w:rPr>
      <w:rFonts w:ascii="Times New Roman" w:hAnsi="Times New Roman" w:eastAsia="宋体" w:cs="Times New Roman"/>
      <w:b/>
      <w:bCs/>
      <w:sz w:val="32"/>
      <w:szCs w:val="32"/>
    </w:rPr>
  </w:style>
  <w:style w:type="character" w:customStyle="1" w:styleId="74">
    <w:name w:val="标题 4 字符"/>
    <w:basedOn w:val="51"/>
    <w:link w:val="5"/>
    <w:qFormat/>
    <w:uiPriority w:val="0"/>
    <w:rPr>
      <w:rFonts w:ascii="宋体" w:hAnsi="宋体" w:eastAsia="宋体" w:cs="宋体"/>
      <w:b/>
      <w:bCs/>
      <w:kern w:val="0"/>
      <w:sz w:val="24"/>
      <w:szCs w:val="24"/>
    </w:rPr>
  </w:style>
  <w:style w:type="character" w:customStyle="1" w:styleId="75">
    <w:name w:val="标题 5 字符"/>
    <w:basedOn w:val="51"/>
    <w:link w:val="6"/>
    <w:qFormat/>
    <w:uiPriority w:val="0"/>
    <w:rPr>
      <w:rFonts w:ascii="宋体" w:hAnsi="宋体" w:eastAsia="宋体" w:cs="宋体"/>
      <w:b/>
      <w:bCs/>
      <w:kern w:val="0"/>
      <w:sz w:val="20"/>
      <w:szCs w:val="20"/>
    </w:rPr>
  </w:style>
  <w:style w:type="character" w:customStyle="1" w:styleId="76">
    <w:name w:val="标题 6 字符"/>
    <w:basedOn w:val="51"/>
    <w:link w:val="7"/>
    <w:qFormat/>
    <w:uiPriority w:val="0"/>
    <w:rPr>
      <w:rFonts w:ascii="Times New Roman" w:hAnsi="Arial" w:eastAsia="仿宋_GB2312" w:cs="Times New Roman"/>
      <w:kern w:val="0"/>
      <w:sz w:val="30"/>
      <w:szCs w:val="20"/>
    </w:rPr>
  </w:style>
  <w:style w:type="character" w:customStyle="1" w:styleId="77">
    <w:name w:val="标题 7 字符"/>
    <w:basedOn w:val="51"/>
    <w:link w:val="9"/>
    <w:qFormat/>
    <w:uiPriority w:val="0"/>
    <w:rPr>
      <w:rFonts w:ascii="Times New Roman" w:hAnsi="Times New Roman" w:eastAsia="仿宋_GB2312" w:cs="Times New Roman"/>
      <w:kern w:val="0"/>
      <w:sz w:val="30"/>
      <w:szCs w:val="20"/>
    </w:rPr>
  </w:style>
  <w:style w:type="character" w:customStyle="1" w:styleId="78">
    <w:name w:val="标题 8 字符"/>
    <w:basedOn w:val="51"/>
    <w:link w:val="10"/>
    <w:qFormat/>
    <w:uiPriority w:val="0"/>
    <w:rPr>
      <w:rFonts w:ascii="Times New Roman" w:hAnsi="Arial" w:eastAsia="仿宋_GB2312" w:cs="Times New Roman"/>
      <w:kern w:val="0"/>
      <w:sz w:val="30"/>
      <w:szCs w:val="20"/>
    </w:rPr>
  </w:style>
  <w:style w:type="character" w:customStyle="1" w:styleId="79">
    <w:name w:val="标题 9 字符"/>
    <w:basedOn w:val="51"/>
    <w:link w:val="11"/>
    <w:qFormat/>
    <w:uiPriority w:val="0"/>
    <w:rPr>
      <w:rFonts w:ascii="Times New Roman" w:hAnsi="Times New Roman" w:eastAsia="仿宋_GB2312" w:cs="Times New Roman"/>
      <w:kern w:val="0"/>
      <w:sz w:val="30"/>
      <w:szCs w:val="20"/>
    </w:rPr>
  </w:style>
  <w:style w:type="character" w:customStyle="1" w:styleId="80">
    <w:name w:val="正文文本 字符"/>
    <w:basedOn w:val="51"/>
    <w:link w:val="18"/>
    <w:qFormat/>
    <w:uiPriority w:val="0"/>
    <w:rPr>
      <w:rFonts w:ascii="Times New Roman" w:hAnsi="Times New Roman" w:eastAsia="宋体" w:cs="Times New Roman"/>
      <w:szCs w:val="24"/>
    </w:rPr>
  </w:style>
  <w:style w:type="character" w:customStyle="1" w:styleId="81">
    <w:name w:val="文档结构图 字符"/>
    <w:basedOn w:val="51"/>
    <w:link w:val="15"/>
    <w:qFormat/>
    <w:uiPriority w:val="0"/>
    <w:rPr>
      <w:rFonts w:ascii="Times New Roman" w:hAnsi="Times New Roman" w:eastAsia="宋体" w:cs="Times New Roman"/>
      <w:szCs w:val="24"/>
      <w:shd w:val="clear" w:color="auto" w:fill="000080"/>
    </w:rPr>
  </w:style>
  <w:style w:type="character" w:customStyle="1" w:styleId="82">
    <w:name w:val="批注文字 字符"/>
    <w:basedOn w:val="51"/>
    <w:link w:val="16"/>
    <w:qFormat/>
    <w:uiPriority w:val="0"/>
    <w:rPr>
      <w:rFonts w:ascii="Times New Roman" w:hAnsi="Times New Roman" w:eastAsia="宋体" w:cs="Times New Roman"/>
      <w:szCs w:val="24"/>
    </w:rPr>
  </w:style>
  <w:style w:type="character" w:customStyle="1" w:styleId="83">
    <w:name w:val="正文文本 3 字符"/>
    <w:basedOn w:val="51"/>
    <w:link w:val="17"/>
    <w:qFormat/>
    <w:uiPriority w:val="0"/>
    <w:rPr>
      <w:rFonts w:ascii="Times New Roman" w:hAnsi="Times New Roman" w:eastAsia="宋体" w:cs="Times New Roman"/>
      <w:sz w:val="16"/>
      <w:szCs w:val="16"/>
    </w:rPr>
  </w:style>
  <w:style w:type="character" w:customStyle="1" w:styleId="84">
    <w:name w:val="正文文本缩进 字符"/>
    <w:basedOn w:val="51"/>
    <w:link w:val="19"/>
    <w:qFormat/>
    <w:uiPriority w:val="0"/>
    <w:rPr>
      <w:rFonts w:ascii="Times New Roman" w:hAnsi="Times New Roman" w:eastAsia="宋体" w:cs="Times New Roman"/>
      <w:szCs w:val="24"/>
    </w:rPr>
  </w:style>
  <w:style w:type="character" w:customStyle="1" w:styleId="85">
    <w:name w:val="纯文本 字符"/>
    <w:basedOn w:val="51"/>
    <w:link w:val="24"/>
    <w:qFormat/>
    <w:uiPriority w:val="0"/>
    <w:rPr>
      <w:rFonts w:ascii="宋体" w:hAnsi="Courier New" w:eastAsia="宋体" w:cs="Courier New"/>
      <w:szCs w:val="21"/>
    </w:rPr>
  </w:style>
  <w:style w:type="character" w:customStyle="1" w:styleId="86">
    <w:name w:val="日期 字符"/>
    <w:basedOn w:val="51"/>
    <w:link w:val="26"/>
    <w:qFormat/>
    <w:uiPriority w:val="99"/>
    <w:rPr>
      <w:rFonts w:ascii="Times New Roman" w:hAnsi="Times New Roman" w:eastAsia="宋体" w:cs="Times New Roman"/>
      <w:szCs w:val="24"/>
    </w:rPr>
  </w:style>
  <w:style w:type="character" w:customStyle="1" w:styleId="87">
    <w:name w:val="正文文本缩进 2 字符"/>
    <w:basedOn w:val="51"/>
    <w:link w:val="27"/>
    <w:qFormat/>
    <w:uiPriority w:val="0"/>
    <w:rPr>
      <w:rFonts w:ascii="Times New Roman" w:hAnsi="Times New Roman" w:eastAsia="宋体" w:cs="Times New Roman"/>
      <w:kern w:val="0"/>
      <w:sz w:val="28"/>
      <w:szCs w:val="24"/>
    </w:rPr>
  </w:style>
  <w:style w:type="character" w:customStyle="1" w:styleId="88">
    <w:name w:val="尾注文本 字符"/>
    <w:basedOn w:val="51"/>
    <w:link w:val="29"/>
    <w:qFormat/>
    <w:uiPriority w:val="0"/>
    <w:rPr>
      <w:rFonts w:ascii="Arial" w:hAnsi="Arial" w:eastAsia="宋体" w:cs="Arial"/>
      <w:kern w:val="0"/>
      <w:sz w:val="20"/>
      <w:szCs w:val="24"/>
      <w:lang w:eastAsia="en-US"/>
    </w:rPr>
  </w:style>
  <w:style w:type="character" w:customStyle="1" w:styleId="89">
    <w:name w:val="批注框文本 字符"/>
    <w:basedOn w:val="51"/>
    <w:link w:val="30"/>
    <w:qFormat/>
    <w:uiPriority w:val="99"/>
    <w:rPr>
      <w:rFonts w:ascii="Times New Roman" w:hAnsi="Times New Roman" w:eastAsia="宋体" w:cs="Times New Roman"/>
      <w:sz w:val="18"/>
      <w:szCs w:val="18"/>
    </w:rPr>
  </w:style>
  <w:style w:type="character" w:customStyle="1" w:styleId="90">
    <w:name w:val="页脚 字符"/>
    <w:basedOn w:val="51"/>
    <w:link w:val="31"/>
    <w:qFormat/>
    <w:uiPriority w:val="99"/>
    <w:rPr>
      <w:rFonts w:ascii="Times New Roman" w:hAnsi="Times New Roman" w:eastAsia="宋体" w:cs="Times New Roman"/>
      <w:sz w:val="18"/>
      <w:szCs w:val="18"/>
    </w:rPr>
  </w:style>
  <w:style w:type="character" w:customStyle="1" w:styleId="91">
    <w:name w:val="页眉 字符"/>
    <w:basedOn w:val="51"/>
    <w:link w:val="32"/>
    <w:qFormat/>
    <w:uiPriority w:val="99"/>
    <w:rPr>
      <w:rFonts w:ascii="Times New Roman" w:hAnsi="Times New Roman" w:eastAsia="宋体" w:cs="Times New Roman"/>
      <w:sz w:val="18"/>
      <w:szCs w:val="18"/>
    </w:rPr>
  </w:style>
  <w:style w:type="character" w:customStyle="1" w:styleId="92">
    <w:name w:val="副标题 字符"/>
    <w:basedOn w:val="51"/>
    <w:link w:val="35"/>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1"/>
    <w:link w:val="36"/>
    <w:qFormat/>
    <w:uiPriority w:val="0"/>
    <w:rPr>
      <w:rFonts w:ascii="Arial" w:hAnsi="Arial" w:eastAsia="宋体" w:cs="Arial"/>
      <w:kern w:val="0"/>
      <w:sz w:val="18"/>
      <w:szCs w:val="18"/>
      <w:lang w:eastAsia="en-US"/>
    </w:rPr>
  </w:style>
  <w:style w:type="character" w:customStyle="1" w:styleId="94">
    <w:name w:val="正文文本缩进 3 字符"/>
    <w:basedOn w:val="51"/>
    <w:link w:val="38"/>
    <w:qFormat/>
    <w:uiPriority w:val="0"/>
    <w:rPr>
      <w:rFonts w:ascii="宋体" w:hAnsi="宋体" w:eastAsia="宋体" w:cs="Times New Roman"/>
      <w:sz w:val="28"/>
      <w:szCs w:val="28"/>
    </w:rPr>
  </w:style>
  <w:style w:type="character" w:customStyle="1" w:styleId="95">
    <w:name w:val="正文文本 2 字符"/>
    <w:basedOn w:val="51"/>
    <w:link w:val="41"/>
    <w:qFormat/>
    <w:uiPriority w:val="0"/>
    <w:rPr>
      <w:rFonts w:ascii="Times New Roman" w:hAnsi="Times New Roman" w:eastAsia="宋体" w:cs="Times New Roman"/>
      <w:i/>
      <w:iCs/>
      <w:sz w:val="26"/>
      <w:szCs w:val="24"/>
    </w:rPr>
  </w:style>
  <w:style w:type="character" w:customStyle="1" w:styleId="96">
    <w:name w:val="HTML 预设格式 字符"/>
    <w:basedOn w:val="51"/>
    <w:link w:val="42"/>
    <w:qFormat/>
    <w:uiPriority w:val="0"/>
    <w:rPr>
      <w:rFonts w:ascii="宋体" w:hAnsi="宋体" w:eastAsia="宋体" w:cs="宋体"/>
      <w:color w:val="000000"/>
      <w:kern w:val="0"/>
      <w:sz w:val="24"/>
      <w:szCs w:val="24"/>
    </w:rPr>
  </w:style>
  <w:style w:type="character" w:customStyle="1" w:styleId="97">
    <w:name w:val="标题 字符"/>
    <w:basedOn w:val="51"/>
    <w:link w:val="45"/>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6"/>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2"/>
    <w:next w:val="1"/>
    <w:unhideWhenUsed/>
    <w:qFormat/>
    <w:uiPriority w:val="0"/>
    <w:pPr>
      <w:outlineLvl w:val="9"/>
    </w:pPr>
    <w:rPr>
      <w:rFonts w:ascii="Calibri" w:hAnsi="Calibri"/>
    </w:rPr>
  </w:style>
  <w:style w:type="paragraph" w:customStyle="1" w:styleId="110">
    <w:name w:val="样式1"/>
    <w:basedOn w:val="1"/>
    <w:next w:val="5"/>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1"/>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3"/>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1"/>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4"/>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1"/>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1"/>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1"/>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1"/>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1"/>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1"/>
    <w:semiHidden/>
    <w:qFormat/>
    <w:uiPriority w:val="99"/>
    <w:rPr>
      <w:color w:val="808080"/>
    </w:rPr>
  </w:style>
  <w:style w:type="character" w:customStyle="1" w:styleId="322">
    <w:name w:val="datetime"/>
    <w:basedOn w:val="51"/>
    <w:qFormat/>
    <w:uiPriority w:val="0"/>
    <w:rPr>
      <w:color w:val="808080"/>
      <w:sz w:val="21"/>
      <w:szCs w:val="21"/>
    </w:rPr>
  </w:style>
  <w:style w:type="character" w:customStyle="1" w:styleId="323">
    <w:name w:val="datetime1"/>
    <w:basedOn w:val="51"/>
    <w:qFormat/>
    <w:uiPriority w:val="0"/>
  </w:style>
  <w:style w:type="character" w:customStyle="1" w:styleId="324">
    <w:name w:val="datetime2"/>
    <w:basedOn w:val="51"/>
    <w:qFormat/>
    <w:uiPriority w:val="0"/>
  </w:style>
  <w:style w:type="character" w:customStyle="1" w:styleId="325">
    <w:name w:val="datetime3"/>
    <w:basedOn w:val="51"/>
    <w:qFormat/>
    <w:uiPriority w:val="0"/>
  </w:style>
  <w:style w:type="character" w:customStyle="1" w:styleId="326">
    <w:name w:val="datetime4"/>
    <w:basedOn w:val="51"/>
    <w:qFormat/>
    <w:uiPriority w:val="0"/>
    <w:rPr>
      <w:color w:val="808080"/>
      <w:sz w:val="21"/>
      <w:szCs w:val="21"/>
    </w:rPr>
  </w:style>
  <w:style w:type="character" w:customStyle="1" w:styleId="327">
    <w:name w:val="cldh_img"/>
    <w:basedOn w:val="51"/>
    <w:qFormat/>
    <w:uiPriority w:val="0"/>
  </w:style>
  <w:style w:type="character" w:customStyle="1" w:styleId="328">
    <w:name w:val="cldh_img1"/>
    <w:basedOn w:val="51"/>
    <w:qFormat/>
    <w:uiPriority w:val="0"/>
  </w:style>
  <w:style w:type="character" w:customStyle="1" w:styleId="329">
    <w:name w:val="cldh_img2"/>
    <w:basedOn w:val="51"/>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1"/>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1"/>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2"/>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1"/>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1"/>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7"/>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1"/>
    <w:qFormat/>
    <w:uiPriority w:val="0"/>
    <w:rPr>
      <w:rFonts w:hint="default" w:ascii="Times New Roman" w:hAnsi="Times New Roman" w:cs="Times New Roman"/>
      <w:color w:val="000000"/>
      <w:sz w:val="20"/>
      <w:szCs w:val="20"/>
      <w:u w:val="none"/>
    </w:rPr>
  </w:style>
  <w:style w:type="character" w:customStyle="1" w:styleId="354">
    <w:name w:val="font21"/>
    <w:basedOn w:val="51"/>
    <w:qFormat/>
    <w:uiPriority w:val="0"/>
    <w:rPr>
      <w:rFonts w:hint="eastAsia" w:ascii="宋体" w:hAnsi="宋体" w:eastAsia="宋体" w:cs="宋体"/>
      <w:color w:val="000000"/>
      <w:sz w:val="20"/>
      <w:szCs w:val="20"/>
      <w:u w:val="none"/>
    </w:rPr>
  </w:style>
  <w:style w:type="character" w:customStyle="1" w:styleId="355">
    <w:name w:val="fontstyle01"/>
    <w:basedOn w:val="51"/>
    <w:qFormat/>
    <w:uiPriority w:val="0"/>
    <w:rPr>
      <w:rFonts w:hint="eastAsia" w:ascii="宋体" w:hAnsi="宋体" w:eastAsia="宋体"/>
      <w:color w:val="000000"/>
      <w:sz w:val="22"/>
      <w:szCs w:val="22"/>
    </w:rPr>
  </w:style>
  <w:style w:type="character" w:customStyle="1" w:styleId="356">
    <w:name w:val="fontstyle21"/>
    <w:qFormat/>
    <w:uiPriority w:val="0"/>
    <w:rPr>
      <w:rFonts w:hint="default" w:ascii="Times New Roman" w:hAnsi="Times New Roman" w:cs="Times New Roman"/>
      <w:color w:val="000000"/>
      <w:sz w:val="22"/>
      <w:szCs w:val="22"/>
    </w:rPr>
  </w:style>
  <w:style w:type="character" w:customStyle="1" w:styleId="357">
    <w:name w:val="fontstyle11"/>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36743</Words>
  <Characters>38802</Characters>
  <Lines>760</Lines>
  <Paragraphs>214</Paragraphs>
  <TotalTime>15</TotalTime>
  <ScaleCrop>false</ScaleCrop>
  <LinksUpToDate>false</LinksUpToDate>
  <CharactersWithSpaces>42685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Dominik</cp:lastModifiedBy>
  <cp:lastPrinted>2024-02-08T02:46:00Z</cp:lastPrinted>
  <dcterms:modified xsi:type="dcterms:W3CDTF">2024-10-14T01:32:48Z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D190C115B943452D8B930C8F3EF1FD8B_13</vt:lpwstr>
  </property>
</Properties>
</file>