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b/>
          <w:sz w:val="32"/>
          <w:szCs w:val="32"/>
        </w:rPr>
      </w:pPr>
    </w:p>
    <w:p>
      <w:pPr>
        <w:spacing w:line="400" w:lineRule="exact"/>
        <w:jc w:val="center"/>
        <w:rPr>
          <w:rFonts w:hint="eastAsia" w:ascii="宋体" w:hAnsi="宋体" w:cs="宋体"/>
          <w:b/>
          <w:sz w:val="32"/>
          <w:szCs w:val="32"/>
        </w:rPr>
      </w:pPr>
      <w:r>
        <w:rPr>
          <w:rFonts w:hint="eastAsia" w:ascii="宋体" w:hAnsi="宋体" w:cs="宋体"/>
          <w:b/>
          <w:sz w:val="32"/>
          <w:szCs w:val="32"/>
        </w:rPr>
        <w:t>项目名称：2024年计重设备专项</w:t>
      </w:r>
      <w:bookmarkStart w:id="257" w:name="_GoBack"/>
      <w:bookmarkEnd w:id="257"/>
      <w:r>
        <w:rPr>
          <w:rFonts w:hint="eastAsia" w:ascii="宋体" w:hAnsi="宋体" w:cs="宋体"/>
          <w:b/>
          <w:sz w:val="32"/>
          <w:szCs w:val="32"/>
        </w:rPr>
        <w:t>服务项目（成渝）</w:t>
      </w:r>
    </w:p>
    <w:p>
      <w:pPr>
        <w:rPr>
          <w:rFonts w:hint="eastAsia" w:ascii="宋体" w:hAnsi="宋体" w:cs="宋体"/>
          <w:sz w:val="28"/>
          <w:szCs w:val="28"/>
        </w:rPr>
      </w:pPr>
    </w:p>
    <w:p>
      <w:pPr>
        <w:jc w:val="center"/>
        <w:rPr>
          <w:rFonts w:hint="eastAsia" w:ascii="宋体" w:hAnsi="宋体" w:cs="宋体"/>
          <w:b/>
          <w:sz w:val="48"/>
          <w:szCs w:val="48"/>
        </w:rPr>
      </w:pPr>
      <w:r>
        <w:rPr>
          <w:rFonts w:hint="eastAsia" w:ascii="宋体" w:hAnsi="宋体" w:cs="宋体"/>
          <w:b/>
          <w:sz w:val="48"/>
          <w:szCs w:val="48"/>
        </w:rPr>
        <w:t>竞</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争</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性</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比</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选</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文</w:t>
      </w:r>
    </w:p>
    <w:p>
      <w:pPr>
        <w:jc w:val="center"/>
        <w:rPr>
          <w:rFonts w:hint="eastAsia" w:ascii="宋体" w:hAnsi="宋体" w:cs="宋体"/>
          <w:b/>
          <w:sz w:val="48"/>
          <w:szCs w:val="48"/>
        </w:rPr>
      </w:pPr>
    </w:p>
    <w:p>
      <w:pPr>
        <w:jc w:val="center"/>
        <w:rPr>
          <w:rFonts w:hint="eastAsia" w:ascii="宋体" w:hAnsi="宋体" w:cs="宋体"/>
          <w:b/>
          <w:sz w:val="96"/>
          <w:szCs w:val="72"/>
        </w:rPr>
      </w:pPr>
      <w:r>
        <w:rPr>
          <w:rFonts w:hint="eastAsia" w:ascii="宋体" w:hAnsi="宋体" w:cs="宋体"/>
          <w:b/>
          <w:sz w:val="48"/>
          <w:szCs w:val="48"/>
        </w:rPr>
        <w:t>件</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
    <w:p>
      <w:pPr>
        <w:jc w:val="center"/>
        <w:rPr>
          <w:rFonts w:hint="eastAsia" w:ascii="宋体" w:hAnsi="宋体" w:cs="宋体"/>
          <w:b/>
          <w:sz w:val="28"/>
          <w:szCs w:val="28"/>
        </w:rPr>
      </w:pPr>
      <w:r>
        <w:rPr>
          <w:rFonts w:hint="eastAsia" w:ascii="宋体" w:hAnsi="宋体" w:cs="宋体"/>
          <w:b/>
          <w:sz w:val="28"/>
          <w:szCs w:val="28"/>
        </w:rPr>
        <w:t>采购人：重庆通慧网联科技有限公司</w:t>
      </w:r>
    </w:p>
    <w:p>
      <w:pPr>
        <w:jc w:val="center"/>
        <w:rPr>
          <w:rFonts w:hint="eastAsia" w:ascii="宋体" w:hAnsi="宋体" w:cs="宋体"/>
          <w:b/>
          <w:sz w:val="28"/>
          <w:szCs w:val="28"/>
        </w:rPr>
      </w:pPr>
      <w:r>
        <w:rPr>
          <w:rFonts w:hint="eastAsia" w:ascii="宋体" w:hAnsi="宋体" w:cs="宋体"/>
          <w:b/>
          <w:sz w:val="28"/>
          <w:szCs w:val="28"/>
          <w:u w:val="single"/>
        </w:rPr>
        <w:t>2024年10月</w:t>
      </w:r>
    </w:p>
    <w:p>
      <w:pPr>
        <w:pStyle w:val="28"/>
        <w:jc w:val="center"/>
        <w:rPr>
          <w:rFonts w:hint="eastAsia" w:ascii="宋体" w:hAnsi="宋体" w:cs="宋体"/>
          <w:szCs w:val="21"/>
        </w:rPr>
      </w:pPr>
      <w:r>
        <w:br w:type="page"/>
      </w:r>
      <w:bookmarkStart w:id="0" w:name="_Toc507319889"/>
      <w:bookmarkStart w:id="1" w:name="_Toc507428442"/>
      <w:bookmarkStart w:id="2" w:name="_Toc247085669"/>
      <w:bookmarkStart w:id="3" w:name="_Toc296602400"/>
      <w:bookmarkStart w:id="4" w:name="_Toc246996898"/>
      <w:r>
        <w:rPr>
          <w:rFonts w:hint="eastAsia" w:ascii="宋体" w:hAnsi="宋体" w:cs="宋体"/>
          <w:b w:val="0"/>
          <w:sz w:val="32"/>
        </w:rPr>
        <w:t>目   录</w:t>
      </w:r>
      <w:bookmarkEnd w:id="0"/>
      <w:bookmarkEnd w:id="1"/>
      <w:bookmarkEnd w:id="2"/>
      <w:bookmarkEnd w:id="3"/>
      <w:bookmarkEnd w:id="4"/>
    </w:p>
    <w:p>
      <w:pPr>
        <w:pStyle w:val="28"/>
        <w:tabs>
          <w:tab w:val="right" w:leader="dot" w:pos="9638"/>
        </w:tabs>
        <w:rPr>
          <w:rFonts w:hint="eastAsia" w:ascii="宋体" w:hAnsi="宋体" w:cs="宋体"/>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"_Toc21719" </w:instrText>
      </w:r>
      <w:r>
        <w:fldChar w:fldCharType="separate"/>
      </w:r>
      <w:r>
        <w:rPr>
          <w:rFonts w:hint="eastAsia" w:ascii="宋体" w:hAnsi="宋体" w:cs="宋体"/>
        </w:rPr>
        <w:t>第二章 报价人须知</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"_Toc7682" </w:instrText>
      </w:r>
      <w:r>
        <w:fldChar w:fldCharType="separate"/>
      </w:r>
      <w:r>
        <w:rPr>
          <w:rFonts w:hint="eastAsia" w:ascii="宋体" w:hAnsi="宋体" w:cs="宋体"/>
        </w:rPr>
        <w:t>第三章 评标办法（经评审的最低投标价法）</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"_Toc13787" </w:instrText>
      </w:r>
      <w:r>
        <w:fldChar w:fldCharType="separate"/>
      </w:r>
      <w:r>
        <w:rPr>
          <w:rFonts w:hint="eastAsia" w:ascii="宋体" w:hAnsi="宋体" w:cs="宋体"/>
        </w:rPr>
        <w:t>第四章 报价说明</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"_Toc24503" </w:instrText>
      </w:r>
      <w:r>
        <w:fldChar w:fldCharType="separate"/>
      </w:r>
      <w:r>
        <w:rPr>
          <w:rFonts w:hint="eastAsia" w:ascii="宋体" w:hAnsi="宋体" w:cs="宋体"/>
        </w:rPr>
        <w:t>第五章  工程量清单及计量规则</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"_Toc12440" </w:instrText>
      </w:r>
      <w:r>
        <w:fldChar w:fldCharType="separate"/>
      </w:r>
      <w:r>
        <w:rPr>
          <w:rFonts w:hint="eastAsia" w:ascii="宋体" w:hAnsi="宋体" w:cs="宋体"/>
        </w:rPr>
        <w:t>第六章  图  纸</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"_Toc10887" </w:instrText>
      </w:r>
      <w:r>
        <w:fldChar w:fldCharType="separate"/>
      </w:r>
      <w:r>
        <w:rPr>
          <w:rFonts w:hint="eastAsia" w:ascii="宋体" w:hAnsi="宋体" w:cs="宋体"/>
        </w:rPr>
        <w:t>第七章  技术标准和工作要求</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"_Toc12089" </w:instrText>
      </w:r>
      <w:r>
        <w:fldChar w:fldCharType="separate"/>
      </w:r>
      <w:r>
        <w:rPr>
          <w:rFonts w:hint="eastAsia" w:ascii="宋体" w:hAnsi="宋体" w:cs="宋体"/>
        </w:rPr>
        <w:t>第八章  合同范本</w:t>
      </w:r>
      <w:r>
        <w:rPr>
          <w:rFonts w:hint="eastAsia" w:ascii="宋体" w:hAnsi="宋体" w:cs="宋体"/>
        </w:rPr>
        <w:fldChar w:fldCharType="end"/>
      </w:r>
    </w:p>
    <w:p>
      <w:pPr>
        <w:pStyle w:val="28"/>
        <w:tabs>
          <w:tab w:val="right" w:leader="dot" w:pos="9638"/>
        </w:tabs>
        <w:rPr>
          <w:rFonts w:hint="eastAsia"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rPr>
          <w:rFonts w:hint="eastAsia" w:ascii="宋体" w:hAnsi="宋体" w:cs="宋体"/>
        </w:rPr>
        <w:fldChar w:fldCharType="end"/>
      </w:r>
    </w:p>
    <w:p>
      <w:pPr>
        <w:pStyle w:val="34"/>
        <w:tabs>
          <w:tab w:val="right" w:leader="dot" w:pos="9628"/>
        </w:tabs>
        <w:ind w:left="0"/>
        <w:rPr>
          <w:rFonts w:hint="eastAsia"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2"/>
        <w:spacing w:before="0" w:after="0" w:line="360" w:lineRule="auto"/>
        <w:jc w:val="center"/>
        <w:rPr>
          <w:rFonts w:hint="eastAsia" w:ascii="宋体" w:hAnsi="宋体" w:cs="宋体"/>
        </w:rPr>
      </w:pPr>
      <w:bookmarkStart w:id="5" w:name="_Toc246996157"/>
      <w:bookmarkStart w:id="6" w:name="_Toc247085671"/>
      <w:bookmarkStart w:id="7" w:name="_Toc2000404"/>
      <w:bookmarkStart w:id="8" w:name="_Toc247096243"/>
      <w:bookmarkStart w:id="9" w:name="_Toc179632527"/>
      <w:bookmarkStart w:id="10" w:name="_Toc246996900"/>
      <w:bookmarkStart w:id="11" w:name="_Toc507319890"/>
      <w:bookmarkStart w:id="12" w:name="_Toc152042287"/>
      <w:bookmarkStart w:id="13" w:name="_Toc152045511"/>
      <w:bookmarkStart w:id="14" w:name="_Toc144974479"/>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hint="eastAsia" w:ascii="宋体" w:hAnsi="宋体" w:cs="宋体"/>
          <w:b/>
          <w:sz w:val="28"/>
          <w:szCs w:val="28"/>
        </w:rPr>
      </w:pPr>
      <w:bookmarkStart w:id="16" w:name="OLE_LINK3"/>
      <w:bookmarkStart w:id="17" w:name="OLE_LINK2"/>
    </w:p>
    <w:p>
      <w:pPr>
        <w:pStyle w:val="3"/>
        <w:spacing w:before="0" w:after="0" w:line="360" w:lineRule="auto"/>
        <w:rPr>
          <w:rFonts w:hint="eastAsia" w:ascii="宋体" w:hAnsi="宋体" w:eastAsia="宋体" w:cs="宋体"/>
        </w:rPr>
      </w:pPr>
      <w:bookmarkStart w:id="18" w:name="_Toc10076"/>
      <w:bookmarkStart w:id="19" w:name="_Toc144974480"/>
      <w:bookmarkStart w:id="20" w:name="_Toc152042288"/>
      <w:bookmarkStart w:id="21" w:name="_Toc24874"/>
      <w:bookmarkStart w:id="22" w:name="_Toc247085672"/>
      <w:bookmarkStart w:id="23" w:name="_Toc179632528"/>
      <w:bookmarkStart w:id="24" w:name="_Toc246996158"/>
      <w:bookmarkStart w:id="25" w:name="_Toc246996901"/>
      <w:bookmarkStart w:id="26" w:name="_Toc507319891"/>
      <w:bookmarkStart w:id="27" w:name="_Toc152045512"/>
      <w:bookmarkStart w:id="28" w:name="_Toc6549"/>
      <w:bookmarkStart w:id="29" w:name="_Toc11329213"/>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hint="eastAsia" w:ascii="宋体" w:hAnsi="宋体" w:cs="宋体"/>
          <w:szCs w:val="21"/>
        </w:rPr>
      </w:pPr>
      <w:r>
        <w:rPr>
          <w:rFonts w:hint="eastAsia" w:ascii="宋体" w:hAnsi="宋体" w:cs="宋体"/>
          <w:szCs w:val="21"/>
        </w:rPr>
        <w:t>　　本竞争性比选项目</w:t>
      </w:r>
      <w:r>
        <w:rPr>
          <w:rFonts w:hint="eastAsia" w:ascii="宋体" w:hAnsi="宋体" w:cs="宋体"/>
          <w:szCs w:val="21"/>
          <w:u w:val="single"/>
        </w:rPr>
        <w:t>2024年计重设备专项服务项目（成渝）</w:t>
      </w:r>
      <w:r>
        <w:rPr>
          <w:rFonts w:hint="eastAsia" w:ascii="宋体" w:hAnsi="宋体" w:cs="宋体"/>
          <w:szCs w:val="21"/>
        </w:rPr>
        <w:t>，采购人为</w:t>
      </w:r>
      <w:r>
        <w:rPr>
          <w:rFonts w:hint="eastAsia" w:ascii="宋体" w:hAnsi="宋体" w:cs="宋体"/>
          <w:szCs w:val="21"/>
          <w:u w:val="single"/>
        </w:rPr>
        <w:t xml:space="preserve"> 重庆通慧网联科技有限公司 </w:t>
      </w:r>
      <w:r>
        <w:rPr>
          <w:rFonts w:hint="eastAsia" w:ascii="宋体" w:hAnsi="宋体" w:cs="宋体"/>
          <w:szCs w:val="21"/>
        </w:rPr>
        <w:t>，该项目已具备比选条件，现对该项目进行竞争性比选。</w:t>
      </w:r>
    </w:p>
    <w:p>
      <w:pPr>
        <w:pStyle w:val="3"/>
        <w:spacing w:before="120" w:after="0" w:line="360" w:lineRule="auto"/>
        <w:rPr>
          <w:rFonts w:hint="eastAsia" w:ascii="宋体" w:hAnsi="宋体" w:eastAsia="宋体" w:cs="宋体"/>
        </w:rPr>
      </w:pPr>
      <w:bookmarkStart w:id="30" w:name="_Toc246996159"/>
      <w:bookmarkStart w:id="31" w:name="_Toc507319892"/>
      <w:bookmarkStart w:id="32" w:name="_Toc144974481"/>
      <w:bookmarkStart w:id="33" w:name="_Toc246996902"/>
      <w:bookmarkStart w:id="34" w:name="_Toc21343"/>
      <w:bookmarkStart w:id="35" w:name="_Toc179632529"/>
      <w:bookmarkStart w:id="36" w:name="_Toc10952"/>
      <w:bookmarkStart w:id="37" w:name="_Toc247085673"/>
      <w:bookmarkStart w:id="38" w:name="_Toc18109"/>
      <w:bookmarkStart w:id="39" w:name="_Toc152045513"/>
      <w:bookmarkStart w:id="40" w:name="_Toc152042289"/>
      <w:bookmarkStart w:id="41" w:name="_Toc11329214"/>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hint="eastAsia" w:ascii="宋体" w:hAnsi="宋体" w:cs="宋体"/>
          <w:szCs w:val="21"/>
          <w:u w:val="single"/>
        </w:rPr>
      </w:pPr>
      <w:bookmarkStart w:id="42" w:name="_Toc446247226"/>
      <w:r>
        <w:rPr>
          <w:rFonts w:hint="eastAsia" w:ascii="宋体" w:hAnsi="宋体" w:cs="宋体"/>
        </w:rPr>
        <w:t>2.1 项目地点：</w:t>
      </w:r>
      <w:bookmarkEnd w:id="42"/>
      <w:r>
        <w:rPr>
          <w:rFonts w:hint="eastAsia" w:ascii="宋体" w:hAnsi="宋体" w:cs="宋体"/>
          <w:u w:val="single"/>
        </w:rPr>
        <w:t>重庆高速</w:t>
      </w:r>
      <w:r>
        <w:rPr>
          <w:rFonts w:hint="eastAsia" w:ascii="宋体" w:hAnsi="宋体" w:cs="宋体"/>
          <w:szCs w:val="21"/>
          <w:u w:val="single"/>
        </w:rPr>
        <w:t>中西部所属高速成渝路段。</w:t>
      </w:r>
    </w:p>
    <w:p>
      <w:pPr>
        <w:pStyle w:val="12"/>
        <w:adjustRightInd w:val="0"/>
        <w:spacing w:line="400" w:lineRule="exact"/>
        <w:rPr>
          <w:rFonts w:hint="eastAsia" w:ascii="宋体" w:hAnsi="宋体" w:cs="宋体"/>
        </w:rPr>
      </w:pPr>
      <w:r>
        <w:rPr>
          <w:rFonts w:hint="eastAsia" w:ascii="宋体" w:hAnsi="宋体" w:cs="宋体"/>
          <w:szCs w:val="21"/>
        </w:rPr>
        <w:t>2.2 项目概况：2024年计重设备专项服务项目（成渝），本次竞争性比选内容包含2024年计重设备专项服务项目（成渝）的实施。</w:t>
      </w:r>
    </w:p>
    <w:p>
      <w:pPr>
        <w:pStyle w:val="12"/>
        <w:adjustRightInd w:val="0"/>
        <w:spacing w:line="400" w:lineRule="exact"/>
        <w:rPr>
          <w:rFonts w:hint="eastAsia" w:ascii="宋体" w:hAnsi="宋体" w:cs="宋体"/>
          <w:szCs w:val="21"/>
        </w:rPr>
      </w:pPr>
      <w:r>
        <w:rPr>
          <w:rFonts w:hint="eastAsia" w:ascii="宋体" w:hAnsi="宋体" w:cs="宋体"/>
        </w:rPr>
        <w:t>2.3 比选范围：</w:t>
      </w:r>
      <w:r>
        <w:rPr>
          <w:rFonts w:hint="eastAsia" w:ascii="宋体" w:hAnsi="宋体" w:cs="宋体"/>
          <w:szCs w:val="21"/>
        </w:rPr>
        <w:t xml:space="preserve">以甲方指令的关于本工程的标准设计施工图、合同清单、图纸会审纪要、变更通知、通知单等为依据，由乙方承担本工程的计重设备专项服务的全部专业任务。作业人员的组织和机构设置、安全生产教育、现场文明施工和标准化建设、参加甲方组织的会议等一切与乙方相关联的工作亦属承包范围。承包方式：实行施工中标人包工、包料（以工程量清单为准）、包质量、包安装、包工期、包安全施工、包文明管理的一揽子承包方式。 </w:t>
      </w:r>
    </w:p>
    <w:p>
      <w:pPr>
        <w:spacing w:line="400" w:lineRule="exact"/>
        <w:ind w:firstLine="420" w:firstLineChars="200"/>
        <w:rPr>
          <w:rFonts w:hint="eastAsia" w:ascii="宋体" w:hAnsi="宋体" w:cs="宋体"/>
          <w:b/>
          <w:bCs/>
        </w:rPr>
      </w:pPr>
      <w:r>
        <w:rPr>
          <w:rFonts w:hint="eastAsia" w:ascii="宋体" w:hAnsi="宋体" w:cs="宋体"/>
        </w:rPr>
        <w:t>2.4 工期要求：2024年</w:t>
      </w:r>
      <w:r>
        <w:rPr>
          <w:rFonts w:hint="eastAsia" w:ascii="宋体" w:hAnsi="宋体" w:cs="宋体"/>
          <w:u w:val="single"/>
        </w:rPr>
        <w:t>10</w:t>
      </w:r>
      <w:r>
        <w:rPr>
          <w:rFonts w:hint="eastAsia" w:ascii="宋体" w:hAnsi="宋体" w:cs="宋体"/>
        </w:rPr>
        <w:t>月</w:t>
      </w:r>
      <w:r>
        <w:rPr>
          <w:rFonts w:hint="eastAsia" w:ascii="宋体" w:hAnsi="宋体" w:cs="宋体"/>
          <w:u w:val="single"/>
        </w:rPr>
        <w:t>22</w:t>
      </w:r>
      <w:r>
        <w:rPr>
          <w:rFonts w:hint="eastAsia" w:ascii="宋体" w:hAnsi="宋体" w:cs="宋体"/>
        </w:rPr>
        <w:t>日-2025年</w:t>
      </w:r>
      <w:r>
        <w:rPr>
          <w:rFonts w:hint="eastAsia" w:ascii="宋体" w:hAnsi="宋体" w:cs="宋体"/>
          <w:u w:val="single"/>
        </w:rPr>
        <w:t>09</w:t>
      </w:r>
      <w:r>
        <w:rPr>
          <w:rFonts w:hint="eastAsia" w:ascii="宋体" w:hAnsi="宋体" w:cs="宋体"/>
        </w:rPr>
        <w:t>月</w:t>
      </w:r>
      <w:r>
        <w:rPr>
          <w:rFonts w:hint="eastAsia" w:ascii="宋体" w:hAnsi="宋体" w:cs="宋体"/>
          <w:u w:val="single"/>
        </w:rPr>
        <w:t>8</w:t>
      </w:r>
      <w:r>
        <w:rPr>
          <w:rFonts w:hint="eastAsia" w:ascii="宋体" w:hAnsi="宋体" w:cs="宋体"/>
        </w:rPr>
        <w:t>日，</w:t>
      </w:r>
      <w:r>
        <w:rPr>
          <w:rFonts w:hint="eastAsia" w:ascii="宋体" w:hAnsi="宋体" w:cs="宋体"/>
          <w:color w:val="000000"/>
          <w:kern w:val="0"/>
          <w:szCs w:val="21"/>
          <w:lang w:bidi="ar"/>
        </w:rPr>
        <w:t>开工日期：以甲方实际下达的开工通知为准</w:t>
      </w:r>
      <w:r>
        <w:rPr>
          <w:rFonts w:hint="eastAsia" w:ascii="宋体" w:hAnsi="宋体" w:cs="宋体"/>
        </w:rPr>
        <w:t>。</w:t>
      </w:r>
    </w:p>
    <w:p>
      <w:pPr>
        <w:spacing w:line="400" w:lineRule="exact"/>
        <w:ind w:firstLine="420" w:firstLineChars="200"/>
        <w:rPr>
          <w:rFonts w:hint="eastAsia" w:ascii="宋体" w:hAnsi="宋体" w:cs="宋体"/>
        </w:rPr>
      </w:pPr>
    </w:p>
    <w:p>
      <w:pPr>
        <w:pStyle w:val="3"/>
        <w:spacing w:before="120" w:after="0" w:line="360" w:lineRule="auto"/>
        <w:rPr>
          <w:rFonts w:hint="eastAsia" w:ascii="宋体" w:hAnsi="宋体" w:eastAsia="宋体" w:cs="宋体"/>
        </w:rPr>
      </w:pPr>
      <w:bookmarkStart w:id="43" w:name="_Toc179632530"/>
      <w:bookmarkStart w:id="44" w:name="_Toc507319893"/>
      <w:bookmarkStart w:id="45" w:name="_Toc246996903"/>
      <w:bookmarkStart w:id="46" w:name="_Toc247085674"/>
      <w:bookmarkStart w:id="47" w:name="_Toc30356"/>
      <w:bookmarkStart w:id="48" w:name="_Toc7065"/>
      <w:bookmarkStart w:id="49" w:name="_Toc11329215"/>
      <w:bookmarkStart w:id="50" w:name="_Toc152042290"/>
      <w:bookmarkStart w:id="51" w:name="_Toc10171"/>
      <w:bookmarkStart w:id="52" w:name="_Toc144974482"/>
      <w:bookmarkStart w:id="53" w:name="_Toc152045514"/>
      <w:bookmarkStart w:id="54" w:name="_Toc246996160"/>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hint="eastAsia" w:ascii="宋体" w:hAnsi="宋体" w:cs="宋体"/>
          <w:szCs w:val="21"/>
          <w:shd w:val="clear" w:color="auto" w:fill="FFFFFF"/>
        </w:rPr>
      </w:pPr>
      <w:bookmarkStart w:id="55" w:name="_Toc247085675"/>
      <w:bookmarkStart w:id="56" w:name="_Toc246996904"/>
      <w:bookmarkStart w:id="57" w:name="_Toc246996161"/>
      <w:bookmarkStart w:id="58" w:name="_Toc179632531"/>
      <w:bookmarkStart w:id="59" w:name="_Toc152042291"/>
      <w:bookmarkStart w:id="60" w:name="_Toc144974483"/>
      <w:bookmarkStart w:id="61" w:name="_Toc152045515"/>
      <w:r>
        <w:rPr>
          <w:rFonts w:hint="eastAsia" w:ascii="宋体" w:hAnsi="宋体" w:cs="宋体"/>
          <w:szCs w:val="21"/>
          <w:shd w:val="clear" w:color="auto" w:fill="FFFFFF"/>
        </w:rPr>
        <w:t>3.1 资质要求：</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（1）具有有效的营业执照（高清，并且在有效期内）；</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（2）</w:t>
      </w:r>
      <w:r>
        <w:rPr>
          <w:rFonts w:hint="eastAsia" w:ascii="宋体" w:hAnsi="宋体" w:cs="宋体"/>
          <w:szCs w:val="21"/>
        </w:rPr>
        <w:t>有效的计量器具型式批准证书（整车式动态汽车衡(100吨/150吨)）或建筑机电安装工程专业承包参级（含叁级）以上资质</w:t>
      </w:r>
      <w:r>
        <w:rPr>
          <w:rFonts w:hint="eastAsia" w:ascii="宋体" w:hAnsi="宋体" w:cs="宋体"/>
          <w:szCs w:val="21"/>
          <w:shd w:val="clear" w:color="auto" w:fill="FFFFFF"/>
        </w:rPr>
        <w:t>；</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3.2 业绩要求：2021年1月1日-2024年10月1日单个合同60万及以上高速公路计重设备维护业绩或累计2</w:t>
      </w:r>
      <w:r>
        <w:rPr>
          <w:rFonts w:ascii="宋体" w:hAnsi="宋体" w:cs="宋体"/>
          <w:szCs w:val="21"/>
          <w:shd w:val="clear" w:color="auto" w:fill="FFFFFF"/>
        </w:rPr>
        <w:t>00</w:t>
      </w:r>
      <w:r>
        <w:rPr>
          <w:rFonts w:hint="eastAsia" w:ascii="宋体" w:hAnsi="宋体" w:cs="宋体"/>
          <w:szCs w:val="21"/>
          <w:shd w:val="clear" w:color="auto" w:fill="FFFFFF"/>
        </w:rPr>
        <w:t>万元及以上计重设备销售业绩。</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.4</w:t>
      </w:r>
      <w:r>
        <w:rPr>
          <w:rFonts w:hint="eastAsia" w:ascii="宋体" w:hAnsi="宋体" w:cs="宋体"/>
          <w:szCs w:val="21"/>
          <w:shd w:val="clear" w:color="auto" w:fill="FFFFFF"/>
        </w:rPr>
        <w:t>报价人还应在人员、机械设备等方面具有相应的履行能力，详见招标文件第二章报价人须知附录1</w:t>
      </w:r>
      <w:r>
        <w:rPr>
          <w:rFonts w:ascii="宋体" w:hAnsi="宋体" w:cs="宋体"/>
          <w:szCs w:val="21"/>
          <w:shd w:val="clear" w:color="auto" w:fill="FFFFFF"/>
        </w:rPr>
        <w:t>-3</w:t>
      </w:r>
      <w:r>
        <w:rPr>
          <w:rFonts w:hint="eastAsia" w:ascii="宋体" w:hAnsi="宋体" w:cs="宋体"/>
          <w:szCs w:val="21"/>
          <w:shd w:val="clear" w:color="auto" w:fill="FFFFFF"/>
        </w:rPr>
        <w:t>项内容。</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5</w:t>
      </w:r>
      <w:r>
        <w:rPr>
          <w:rFonts w:hint="eastAsia" w:ascii="宋体" w:hAnsi="宋体" w:cs="宋体"/>
          <w:szCs w:val="21"/>
          <w:shd w:val="clear" w:color="auto" w:fill="FFFFFF"/>
        </w:rPr>
        <w:t>报价人须提供采购人要求的所有资质要求、业绩要求、信誉要求、财务状况（不作强制要求）的复印件并加盖单位鲜公章。</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6</w:t>
      </w:r>
      <w:r>
        <w:rPr>
          <w:rFonts w:hint="eastAsia" w:ascii="宋体" w:hAnsi="宋体" w:cs="宋体"/>
          <w:szCs w:val="21"/>
          <w:shd w:val="clear" w:color="auto" w:fill="FFFFFF"/>
        </w:rPr>
        <w:t xml:space="preserve"> 本次比选不接受联合体报价。</w:t>
      </w:r>
    </w:p>
    <w:p>
      <w:pPr>
        <w:pStyle w:val="3"/>
        <w:spacing w:before="120" w:after="0" w:line="400" w:lineRule="atLeast"/>
        <w:rPr>
          <w:rFonts w:hint="eastAsia" w:ascii="宋体" w:hAnsi="宋体" w:cs="宋体"/>
          <w:bCs w:val="0"/>
          <w:snapToGrid w:val="0"/>
        </w:rPr>
      </w:pPr>
      <w:bookmarkStart w:id="62" w:name="_Toc5303"/>
      <w:bookmarkStart w:id="63" w:name="_Toc12615"/>
      <w:bookmarkStart w:id="64" w:name="_Toc30274"/>
      <w:bookmarkStart w:id="65" w:name="_Toc224103302"/>
      <w:bookmarkStart w:id="66" w:name="_Toc200359430"/>
      <w:bookmarkStart w:id="67" w:name="_Toc430530419"/>
      <w:bookmarkStart w:id="68" w:name="_Toc200359241"/>
      <w:bookmarkStart w:id="69" w:name="_Toc277082539"/>
      <w:bookmarkStart w:id="70" w:name="_Toc287607731"/>
      <w:bookmarkStart w:id="71" w:name="_Toc287620670"/>
      <w:bookmarkStart w:id="72" w:name="_Toc509218695"/>
      <w:bookmarkStart w:id="73" w:name="_Toc14361"/>
      <w:bookmarkStart w:id="74" w:name="_Toc507319894"/>
      <w:bookmarkStart w:id="75" w:name="_Toc12460"/>
      <w:bookmarkStart w:id="76" w:name="_Toc25619"/>
      <w:bookmarkStart w:id="77" w:name="_Toc11329216"/>
      <w:r>
        <w:rPr>
          <w:rFonts w:hint="eastAsia" w:ascii="宋体" w:hAnsi="宋体" w:eastAsia="宋体" w:cs="宋体"/>
          <w:bCs w:val="0"/>
          <w:snapToGrid w:val="0"/>
        </w:rPr>
        <w:t>4.评标</w:t>
      </w:r>
      <w:r>
        <w:rPr>
          <w:rFonts w:hint="eastAsia" w:ascii="宋体" w:hAnsi="宋体" w:eastAsia="宋体" w:cs="宋体"/>
        </w:rPr>
        <w:t>办法</w:t>
      </w:r>
      <w:bookmarkEnd w:id="62"/>
      <w:bookmarkEnd w:id="63"/>
      <w:bookmarkEnd w:id="64"/>
    </w:p>
    <w:bookmarkEnd w:id="65"/>
    <w:bookmarkEnd w:id="66"/>
    <w:bookmarkEnd w:id="67"/>
    <w:bookmarkEnd w:id="68"/>
    <w:bookmarkEnd w:id="69"/>
    <w:bookmarkEnd w:id="70"/>
    <w:bookmarkEnd w:id="71"/>
    <w:bookmarkEnd w:id="72"/>
    <w:p>
      <w:pPr>
        <w:spacing w:line="400" w:lineRule="atLeast"/>
        <w:rPr>
          <w:rFonts w:hint="eastAsia" w:ascii="宋体" w:hAnsi="宋体" w:cs="宋体"/>
          <w:szCs w:val="21"/>
        </w:rPr>
      </w:pPr>
      <w:r>
        <w:rPr>
          <w:rFonts w:hint="eastAsia" w:ascii="宋体" w:hAnsi="宋体" w:cs="宋体"/>
          <w:szCs w:val="21"/>
        </w:rPr>
        <w:t>经评审的最低投标价法</w:t>
      </w:r>
    </w:p>
    <w:p>
      <w:pPr>
        <w:spacing w:line="400" w:lineRule="atLeast"/>
        <w:rPr>
          <w:rFonts w:hint="eastAsia" w:ascii="宋体" w:hAnsi="宋体" w:cs="宋体"/>
          <w:b/>
          <w:bCs/>
          <w:kern w:val="0"/>
          <w:sz w:val="32"/>
          <w:szCs w:val="32"/>
        </w:rPr>
      </w:pPr>
      <w:r>
        <w:rPr>
          <w:rFonts w:hint="eastAsia" w:ascii="宋体" w:hAnsi="宋体" w:cs="宋体"/>
          <w:b/>
          <w:bCs/>
          <w:kern w:val="0"/>
          <w:sz w:val="32"/>
          <w:szCs w:val="32"/>
        </w:rPr>
        <w:t>5.竞争性比选须知</w:t>
      </w:r>
    </w:p>
    <w:p>
      <w:pPr>
        <w:pStyle w:val="12"/>
        <w:adjustRightInd w:val="0"/>
        <w:spacing w:line="400" w:lineRule="atLeast"/>
        <w:rPr>
          <w:rFonts w:hint="eastAsia" w:ascii="宋体" w:hAnsi="宋体" w:cs="宋体"/>
          <w:szCs w:val="21"/>
        </w:rPr>
      </w:pPr>
      <w:r>
        <w:rPr>
          <w:rFonts w:hint="eastAsia" w:ascii="宋体" w:hAnsi="宋体" w:cs="宋体"/>
          <w:szCs w:val="21"/>
        </w:rPr>
        <w:t>5.1竞争性比选文件获取方式：凡愿意参加的潜在竞标人，从挂网日起至竞争性比选响应文件递交截止时间前，在重庆高速集团官网（https://www.cegc.com.cn/html/col1810480.html）上发布的本项目竞争性比选公告中的获取方式自行下载。不管竞标人是否下载，均视为已知晓竞争性比选文件的全部内容和有关事宜。本项目不需要报名，直接投标。竞争性比选公告及结果公示将在重庆高速集团官网（https://www.cegc.com.cn/html/col1810480.html）上发布。</w:t>
      </w:r>
    </w:p>
    <w:p>
      <w:pPr>
        <w:pStyle w:val="12"/>
        <w:adjustRightInd w:val="0"/>
        <w:spacing w:line="400" w:lineRule="exact"/>
        <w:rPr>
          <w:rFonts w:hint="eastAsia" w:ascii="宋体" w:hAnsi="宋体" w:cs="宋体"/>
          <w:szCs w:val="21"/>
        </w:rPr>
      </w:pPr>
      <w:r>
        <w:rPr>
          <w:rFonts w:hint="eastAsia" w:ascii="宋体" w:hAnsi="宋体" w:cs="宋体"/>
          <w:szCs w:val="21"/>
        </w:rPr>
        <w:t>5.2竞标文件递交截止地点：重庆通慧网联科技有限公司（重庆市渝北区龙山街道天邻风景24栋19-3）。</w:t>
      </w:r>
    </w:p>
    <w:p>
      <w:pPr>
        <w:pStyle w:val="12"/>
        <w:adjustRightInd w:val="0"/>
        <w:spacing w:line="400" w:lineRule="exact"/>
        <w:rPr>
          <w:rFonts w:hint="eastAsia" w:ascii="宋体" w:hAnsi="宋体" w:cs="宋体"/>
          <w:szCs w:val="21"/>
        </w:rPr>
      </w:pPr>
      <w:r>
        <w:rPr>
          <w:rFonts w:hint="eastAsia" w:ascii="宋体" w:hAnsi="宋体" w:cs="宋体"/>
          <w:szCs w:val="21"/>
        </w:rPr>
        <w:t>（1）报价人采取邮寄方式递交的，请自行考虑邮寄时间风险，如同城邮寄、异地邮寄。</w:t>
      </w:r>
    </w:p>
    <w:p>
      <w:pPr>
        <w:pStyle w:val="12"/>
        <w:adjustRightInd w:val="0"/>
        <w:spacing w:line="400" w:lineRule="exact"/>
        <w:rPr>
          <w:rFonts w:hint="eastAsia" w:ascii="宋体" w:hAnsi="宋体" w:cs="宋体"/>
          <w:szCs w:val="21"/>
        </w:rPr>
      </w:pPr>
      <w:r>
        <w:rPr>
          <w:rFonts w:hint="eastAsia" w:ascii="宋体" w:hAnsi="宋体" w:cs="宋体"/>
          <w:szCs w:val="21"/>
        </w:rPr>
        <w:t>（2）逾期送达、未送达指定地点的或不按要求密封的响应文件，采购人将予以拒收。</w:t>
      </w:r>
    </w:p>
    <w:p>
      <w:pPr>
        <w:pStyle w:val="12"/>
        <w:adjustRightInd w:val="0"/>
        <w:spacing w:line="400" w:lineRule="exact"/>
        <w:rPr>
          <w:rFonts w:hint="eastAsia" w:ascii="宋体" w:hAnsi="宋体" w:cs="宋体"/>
          <w:szCs w:val="21"/>
        </w:rPr>
      </w:pPr>
      <w:r>
        <w:rPr>
          <w:rFonts w:hint="eastAsia" w:ascii="宋体" w:hAnsi="宋体" w:cs="宋体"/>
          <w:szCs w:val="21"/>
        </w:rPr>
        <w:t>5.3竞标文件递交截止时间：</w:t>
      </w:r>
      <w:r>
        <w:rPr>
          <w:rFonts w:hint="eastAsia" w:ascii="宋体" w:hAnsi="宋体" w:cs="宋体"/>
          <w:szCs w:val="21"/>
          <w:u w:val="single"/>
        </w:rPr>
        <w:t xml:space="preserve"> 2024 年 10月 1</w:t>
      </w:r>
      <w:r>
        <w:rPr>
          <w:rFonts w:hint="eastAsia" w:ascii="宋体" w:hAnsi="宋体" w:cs="宋体"/>
          <w:szCs w:val="21"/>
          <w:u w:val="single"/>
          <w:lang w:val="en-US" w:eastAsia="zh-CN"/>
        </w:rPr>
        <w:t>8</w:t>
      </w:r>
      <w:r>
        <w:rPr>
          <w:rFonts w:hint="eastAsia" w:ascii="宋体" w:hAnsi="宋体" w:cs="宋体"/>
          <w:szCs w:val="21"/>
          <w:u w:val="single"/>
        </w:rPr>
        <w:t>日下午 15 时 00 分</w:t>
      </w:r>
      <w:r>
        <w:rPr>
          <w:rFonts w:hint="eastAsia" w:ascii="宋体" w:hAnsi="宋体" w:cs="宋体"/>
          <w:szCs w:val="21"/>
        </w:rPr>
        <w:t>（北京时间）。</w:t>
      </w:r>
    </w:p>
    <w:p>
      <w:pPr>
        <w:pStyle w:val="12"/>
        <w:adjustRightInd w:val="0"/>
        <w:spacing w:line="400" w:lineRule="exact"/>
        <w:rPr>
          <w:rFonts w:hint="eastAsia" w:ascii="宋体" w:hAnsi="宋体" w:cs="宋体"/>
          <w:szCs w:val="21"/>
        </w:rPr>
      </w:pPr>
      <w:r>
        <w:rPr>
          <w:rFonts w:hint="eastAsia" w:ascii="宋体" w:hAnsi="宋体" w:cs="宋体"/>
          <w:szCs w:val="21"/>
        </w:rPr>
        <w:t>5.4竞标人应根据本次竞争性比选的具体要求，编制规范的竞标文件（竞标文件，要求填写规范，密封完好并在封口处加盖公章，所有竞标在截止时间后不得接收）。竞争性比选响应文件提交正本1份，副本1份，副本可为正本的复印件，竞争性比选响应文件需装订成册；当不足3家报名时，不予开标，标书当场退回。</w:t>
      </w:r>
    </w:p>
    <w:p>
      <w:pPr>
        <w:pStyle w:val="12"/>
        <w:adjustRightInd w:val="0"/>
        <w:spacing w:line="400" w:lineRule="exact"/>
        <w:rPr>
          <w:rFonts w:hint="eastAsia" w:ascii="宋体" w:hAnsi="宋体" w:cs="宋体"/>
          <w:szCs w:val="21"/>
        </w:rPr>
      </w:pPr>
      <w:r>
        <w:rPr>
          <w:rFonts w:hint="eastAsia" w:ascii="宋体" w:hAnsi="宋体" w:cs="宋体"/>
          <w:szCs w:val="21"/>
        </w:rPr>
        <w:t>5.5密封要求：</w:t>
      </w:r>
    </w:p>
    <w:p>
      <w:pPr>
        <w:pStyle w:val="12"/>
        <w:adjustRightInd w:val="0"/>
        <w:spacing w:line="400" w:lineRule="exact"/>
        <w:rPr>
          <w:rFonts w:hint="eastAsia" w:ascii="宋体" w:hAnsi="宋体" w:cs="宋体"/>
          <w:szCs w:val="21"/>
        </w:rPr>
      </w:pPr>
      <w:r>
        <w:rPr>
          <w:rFonts w:hint="eastAsia" w:ascii="宋体" w:hAnsi="宋体" w:cs="宋体"/>
          <w:szCs w:val="21"/>
        </w:rPr>
        <w:t>按第五条要求制作响应文件，将文件密封到一个封套中，再在封套上写明：</w:t>
      </w:r>
    </w:p>
    <w:p>
      <w:pPr>
        <w:pStyle w:val="12"/>
        <w:adjustRightInd w:val="0"/>
        <w:spacing w:line="400" w:lineRule="exact"/>
        <w:rPr>
          <w:rFonts w:hint="eastAsia" w:ascii="宋体" w:hAnsi="宋体" w:cs="宋体"/>
          <w:szCs w:val="21"/>
        </w:rPr>
      </w:pPr>
      <w:r>
        <w:rPr>
          <w:rFonts w:hint="eastAsia" w:ascii="宋体" w:hAnsi="宋体" w:cs="宋体"/>
          <w:szCs w:val="21"/>
        </w:rPr>
        <w:t>重庆通慧网联科技有限公司2024年计重设备专项服务项目（成渝）响应文件</w:t>
      </w:r>
    </w:p>
    <w:p>
      <w:pPr>
        <w:pStyle w:val="12"/>
        <w:adjustRightInd w:val="0"/>
        <w:spacing w:line="400" w:lineRule="exact"/>
        <w:rPr>
          <w:rFonts w:hint="eastAsia" w:ascii="宋体" w:hAnsi="宋体" w:cs="宋体"/>
          <w:szCs w:val="21"/>
        </w:rPr>
      </w:pPr>
      <w:r>
        <w:rPr>
          <w:rFonts w:hint="eastAsia" w:ascii="宋体" w:hAnsi="宋体" w:cs="宋体"/>
          <w:szCs w:val="21"/>
        </w:rPr>
        <w:t>在</w:t>
      </w:r>
      <w:r>
        <w:rPr>
          <w:rFonts w:ascii="宋体" w:hAnsi="宋体" w:cs="宋体"/>
          <w:szCs w:val="21"/>
          <w:u w:val="single"/>
        </w:rPr>
        <w:t>2024年</w:t>
      </w:r>
      <w:r>
        <w:rPr>
          <w:rFonts w:hint="eastAsia" w:ascii="宋体" w:hAnsi="宋体" w:cs="宋体"/>
          <w:szCs w:val="21"/>
          <w:u w:val="single"/>
        </w:rPr>
        <w:t>10</w:t>
      </w:r>
      <w:r>
        <w:rPr>
          <w:rFonts w:ascii="宋体" w:hAnsi="宋体" w:cs="宋体"/>
          <w:szCs w:val="21"/>
          <w:u w:val="single"/>
        </w:rPr>
        <w:t>月</w:t>
      </w:r>
      <w:r>
        <w:rPr>
          <w:rFonts w:hint="eastAsia" w:ascii="宋体" w:hAnsi="宋体" w:cs="宋体"/>
          <w:szCs w:val="21"/>
          <w:u w:val="single"/>
        </w:rPr>
        <w:t>1</w:t>
      </w:r>
      <w:r>
        <w:rPr>
          <w:rFonts w:hint="eastAsia" w:ascii="宋体" w:hAnsi="宋体" w:cs="宋体"/>
          <w:szCs w:val="21"/>
          <w:u w:val="single"/>
          <w:lang w:val="en-US" w:eastAsia="zh-CN"/>
        </w:rPr>
        <w:t>8</w:t>
      </w:r>
      <w:r>
        <w:rPr>
          <w:rFonts w:ascii="宋体" w:hAnsi="宋体" w:cs="宋体"/>
          <w:szCs w:val="21"/>
          <w:u w:val="single"/>
        </w:rPr>
        <w:t>日</w:t>
      </w:r>
      <w:r>
        <w:rPr>
          <w:rFonts w:hint="eastAsia" w:ascii="宋体" w:hAnsi="宋体" w:cs="宋体"/>
          <w:szCs w:val="21"/>
          <w:u w:val="single"/>
        </w:rPr>
        <w:t>下</w:t>
      </w:r>
      <w:r>
        <w:rPr>
          <w:rFonts w:ascii="宋体" w:hAnsi="宋体" w:cs="宋体"/>
          <w:szCs w:val="21"/>
          <w:u w:val="single"/>
        </w:rPr>
        <w:t>午1</w:t>
      </w:r>
      <w:r>
        <w:rPr>
          <w:rFonts w:hint="eastAsia" w:ascii="宋体" w:hAnsi="宋体" w:cs="宋体"/>
          <w:szCs w:val="21"/>
          <w:u w:val="single"/>
        </w:rPr>
        <w:t>5</w:t>
      </w:r>
      <w:r>
        <w:rPr>
          <w:rFonts w:ascii="宋体" w:hAnsi="宋体" w:cs="宋体"/>
          <w:szCs w:val="21"/>
          <w:u w:val="single"/>
        </w:rPr>
        <w:t>时00分</w:t>
      </w:r>
      <w:r>
        <w:rPr>
          <w:rFonts w:hint="eastAsia" w:ascii="宋体" w:hAnsi="宋体" w:cs="宋体"/>
          <w:szCs w:val="21"/>
        </w:rPr>
        <w:t>前不得开启</w:t>
      </w:r>
    </w:p>
    <w:p>
      <w:pPr>
        <w:pStyle w:val="12"/>
        <w:adjustRightInd w:val="0"/>
        <w:spacing w:line="400" w:lineRule="exact"/>
        <w:rPr>
          <w:rFonts w:hint="eastAsia" w:ascii="宋体" w:hAnsi="宋体" w:cs="宋体"/>
          <w:szCs w:val="21"/>
        </w:rPr>
      </w:pPr>
      <w:r>
        <w:rPr>
          <w:rFonts w:hint="eastAsia" w:ascii="宋体" w:hAnsi="宋体" w:cs="宋体"/>
          <w:szCs w:val="21"/>
        </w:rPr>
        <w:t>5.6特别提醒：若报价人恶意竞得标的后不按比选要求与比选人签订合同或履约，比选人将直接将报价人及其关联单位（含法人代表与委托代理人）一并拉入黑名单，不得参与通慧网联公司所有比选项目报价。</w:t>
      </w:r>
    </w:p>
    <w:p>
      <w:pPr>
        <w:pStyle w:val="12"/>
        <w:adjustRightInd w:val="0"/>
        <w:spacing w:line="400" w:lineRule="exact"/>
        <w:rPr>
          <w:rFonts w:hint="eastAsia" w:ascii="宋体" w:hAnsi="宋体" w:cs="宋体"/>
          <w:szCs w:val="21"/>
        </w:rPr>
      </w:pPr>
      <w:r>
        <w:rPr>
          <w:rFonts w:hint="eastAsia" w:ascii="宋体" w:hAnsi="宋体" w:cs="宋体"/>
          <w:szCs w:val="21"/>
        </w:rPr>
        <w:t>5.7廉政约定：</w:t>
      </w:r>
    </w:p>
    <w:p>
      <w:pPr>
        <w:pStyle w:val="12"/>
        <w:adjustRightInd w:val="0"/>
        <w:spacing w:line="400" w:lineRule="exact"/>
        <w:rPr>
          <w:rFonts w:hint="eastAsia" w:ascii="宋体" w:hAnsi="宋体" w:cs="宋体"/>
          <w:szCs w:val="21"/>
        </w:rPr>
      </w:pPr>
      <w:r>
        <w:rPr>
          <w:rFonts w:hint="eastAsia" w:ascii="宋体" w:hAnsi="宋体" w:cs="宋体"/>
          <w:szCs w:val="21"/>
        </w:rPr>
        <w:t>为杜绝商业贿赂现象，共同营造公平、公正的竞争环境，敬请各竞标人在参与竞标报价过程中，将竞争性比选人明示或暗示要求宴请、招待，或索取礼金、礼品、礼券、其他利益，或故意刁难、显失公平现象，向我司纪检监察人员进行举报（须提供有效线索和相关证据、证明材料）。具体举报渠道告知如下：</w:t>
      </w:r>
    </w:p>
    <w:p>
      <w:pPr>
        <w:pStyle w:val="12"/>
        <w:adjustRightInd w:val="0"/>
        <w:spacing w:line="400" w:lineRule="exact"/>
        <w:rPr>
          <w:rFonts w:hint="eastAsia" w:ascii="宋体" w:hAnsi="宋体" w:cs="宋体"/>
          <w:szCs w:val="21"/>
        </w:rPr>
      </w:pPr>
      <w:r>
        <w:rPr>
          <w:rFonts w:hint="eastAsia" w:ascii="宋体" w:hAnsi="宋体" w:cs="宋体"/>
          <w:szCs w:val="21"/>
        </w:rPr>
        <w:t>举报联系人：伍老师   举报电话：19923070998</w:t>
      </w:r>
    </w:p>
    <w:p>
      <w:pPr>
        <w:pStyle w:val="12"/>
        <w:adjustRightInd w:val="0"/>
        <w:spacing w:line="400" w:lineRule="exact"/>
        <w:rPr>
          <w:rFonts w:hint="eastAsia" w:ascii="宋体" w:hAnsi="宋体" w:cs="宋体"/>
          <w:szCs w:val="21"/>
        </w:rPr>
      </w:pPr>
      <w:r>
        <w:rPr>
          <w:rFonts w:hint="eastAsia" w:ascii="宋体" w:hAnsi="宋体" w:cs="宋体"/>
          <w:szCs w:val="21"/>
        </w:rPr>
        <w:t>我司承诺：对所有举报信息及时调查处理，对举报来源严格保守秘密，对举报单位因举报所可能遭受的利益损害采取特别措施予以保护。</w:t>
      </w:r>
    </w:p>
    <w:p>
      <w:pPr>
        <w:pStyle w:val="12"/>
        <w:adjustRightInd w:val="0"/>
        <w:spacing w:line="400" w:lineRule="exact"/>
        <w:rPr>
          <w:rFonts w:hint="eastAsia" w:ascii="宋体" w:hAnsi="宋体" w:cs="宋体"/>
          <w:szCs w:val="21"/>
        </w:rPr>
      </w:pPr>
      <w:r>
        <w:rPr>
          <w:rFonts w:hint="eastAsia" w:ascii="宋体" w:hAnsi="宋体" w:cs="宋体"/>
          <w:szCs w:val="21"/>
        </w:rPr>
        <w:t>5.8比选人联系方式</w:t>
      </w:r>
    </w:p>
    <w:p>
      <w:pPr>
        <w:pStyle w:val="12"/>
        <w:adjustRightInd w:val="0"/>
        <w:spacing w:line="400" w:lineRule="exact"/>
        <w:rPr>
          <w:rFonts w:hint="eastAsia" w:ascii="宋体" w:hAnsi="宋体" w:cs="宋体"/>
          <w:szCs w:val="21"/>
        </w:rPr>
      </w:pPr>
      <w:r>
        <w:rPr>
          <w:rFonts w:hint="eastAsia" w:ascii="宋体" w:hAnsi="宋体" w:cs="宋体"/>
          <w:szCs w:val="21"/>
        </w:rPr>
        <w:t>比选人：重庆通慧网联科技有限公司</w:t>
      </w:r>
    </w:p>
    <w:p>
      <w:pPr>
        <w:pStyle w:val="12"/>
        <w:adjustRightInd w:val="0"/>
        <w:spacing w:line="400" w:lineRule="exact"/>
        <w:rPr>
          <w:rFonts w:hint="eastAsia" w:ascii="宋体" w:hAnsi="宋体" w:cs="宋体"/>
          <w:szCs w:val="21"/>
        </w:rPr>
      </w:pPr>
      <w:r>
        <w:rPr>
          <w:rFonts w:hint="eastAsia" w:ascii="宋体" w:hAnsi="宋体" w:cs="宋体"/>
          <w:szCs w:val="21"/>
        </w:rPr>
        <w:t>地址：重庆通慧网联科技有限公司（重庆市渝北区龙山街道天邻风景24栋19-3）</w:t>
      </w:r>
    </w:p>
    <w:p>
      <w:pPr>
        <w:topLinePunct/>
        <w:spacing w:line="400" w:lineRule="exact"/>
        <w:ind w:left="1050" w:leftChars="200" w:hanging="630" w:hangingChars="300"/>
        <w:rPr>
          <w:rFonts w:hint="eastAsia" w:ascii="宋体" w:hAnsi="宋体" w:cs="宋体"/>
          <w:szCs w:val="21"/>
        </w:rPr>
      </w:pPr>
      <w:r>
        <w:rPr>
          <w:rFonts w:hint="eastAsia" w:ascii="宋体" w:hAnsi="宋体" w:cs="宋体"/>
          <w:szCs w:val="21"/>
        </w:rPr>
        <w:t>商务联系人：陈泊利    电 话：15330566511</w:t>
      </w:r>
    </w:p>
    <w:p>
      <w:pPr>
        <w:topLinePunct/>
        <w:spacing w:line="400" w:lineRule="exact"/>
        <w:ind w:left="1050" w:leftChars="200" w:hanging="630" w:hangingChars="300"/>
        <w:rPr>
          <w:rFonts w:hint="eastAsia" w:ascii="宋体" w:hAnsi="宋体" w:cs="宋体"/>
          <w:szCs w:val="21"/>
        </w:rPr>
      </w:pPr>
      <w:r>
        <w:rPr>
          <w:rFonts w:hint="eastAsia" w:ascii="宋体" w:hAnsi="宋体" w:cs="宋体"/>
          <w:szCs w:val="21"/>
        </w:rPr>
        <w:t>技术联系人：李老师</w:t>
      </w:r>
      <w:r>
        <w:rPr>
          <w:rFonts w:ascii="宋体" w:hAnsi="宋体" w:cs="宋体"/>
          <w:szCs w:val="21"/>
        </w:rPr>
        <w:t xml:space="preserve">   </w:t>
      </w:r>
      <w:r>
        <w:rPr>
          <w:rFonts w:hint="eastAsia" w:ascii="宋体" w:hAnsi="宋体" w:cs="宋体"/>
          <w:szCs w:val="21"/>
        </w:rPr>
        <w:t xml:space="preserve"> 电 话：13996132911</w:t>
      </w:r>
    </w:p>
    <w:bookmarkEnd w:id="55"/>
    <w:bookmarkEnd w:id="56"/>
    <w:bookmarkEnd w:id="57"/>
    <w:bookmarkEnd w:id="58"/>
    <w:bookmarkEnd w:id="59"/>
    <w:bookmarkEnd w:id="60"/>
    <w:bookmarkEnd w:id="61"/>
    <w:bookmarkEnd w:id="73"/>
    <w:bookmarkEnd w:id="74"/>
    <w:bookmarkEnd w:id="75"/>
    <w:bookmarkEnd w:id="76"/>
    <w:bookmarkEnd w:id="77"/>
    <w:p>
      <w:r>
        <w:br w:type="page"/>
      </w:r>
    </w:p>
    <w:tbl>
      <w:tblPr>
        <w:tblStyle w:val="41"/>
        <w:tblW w:w="10095" w:type="dxa"/>
        <w:tblInd w:w="0" w:type="dxa"/>
        <w:tblLayout w:type="fixed"/>
        <w:tblCellMar>
          <w:top w:w="0" w:type="dxa"/>
          <w:left w:w="108" w:type="dxa"/>
          <w:bottom w:w="0" w:type="dxa"/>
          <w:right w:w="108" w:type="dxa"/>
        </w:tblCellMar>
      </w:tblPr>
      <w:tblGrid>
        <w:gridCol w:w="8613"/>
        <w:gridCol w:w="1482"/>
      </w:tblGrid>
      <w:tr>
        <w:tblPrEx>
          <w:tblCellMar>
            <w:top w:w="0" w:type="dxa"/>
            <w:left w:w="108" w:type="dxa"/>
            <w:bottom w:w="0" w:type="dxa"/>
            <w:right w:w="108" w:type="dxa"/>
          </w:tblCellMar>
        </w:tblPrEx>
        <w:tc>
          <w:tcPr>
            <w:tcW w:w="8613" w:type="dxa"/>
            <w:vAlign w:val="center"/>
          </w:tcPr>
          <w:p>
            <w:pPr>
              <w:topLinePunct/>
              <w:spacing w:line="420" w:lineRule="exact"/>
              <w:rPr>
                <w:rFonts w:hint="eastAsia" w:ascii="宋体" w:hAnsi="宋体" w:cs="宋体"/>
                <w:szCs w:val="21"/>
              </w:rPr>
            </w:pPr>
          </w:p>
        </w:tc>
        <w:tc>
          <w:tcPr>
            <w:tcW w:w="1482" w:type="dxa"/>
            <w:vAlign w:val="center"/>
          </w:tcPr>
          <w:p>
            <w:pPr>
              <w:spacing w:line="400" w:lineRule="exact"/>
              <w:rPr>
                <w:rFonts w:hint="eastAsia" w:ascii="宋体" w:hAnsi="宋体" w:cs="宋体"/>
                <w:szCs w:val="21"/>
              </w:rPr>
            </w:pPr>
          </w:p>
        </w:tc>
      </w:tr>
      <w:bookmarkEnd w:id="16"/>
      <w:bookmarkEnd w:id="17"/>
    </w:tbl>
    <w:p>
      <w:pPr>
        <w:pStyle w:val="2"/>
        <w:spacing w:before="0" w:after="0" w:line="360" w:lineRule="auto"/>
        <w:rPr>
          <w:rFonts w:hint="eastAsia" w:ascii="宋体" w:hAnsi="宋体" w:cs="宋体"/>
        </w:rPr>
      </w:pPr>
      <w:bookmarkStart w:id="78" w:name="_Toc246996916"/>
      <w:bookmarkStart w:id="79" w:name="_Toc2000405"/>
      <w:bookmarkStart w:id="80" w:name="_Toc21719"/>
      <w:bookmarkStart w:id="81" w:name="_Toc144974495"/>
      <w:bookmarkStart w:id="82" w:name="_Toc507319898"/>
      <w:bookmarkStart w:id="83" w:name="_Toc152045527"/>
      <w:bookmarkStart w:id="84" w:name="_Toc152042303"/>
      <w:bookmarkStart w:id="85" w:name="_Toc179632544"/>
      <w:bookmarkStart w:id="86" w:name="_Toc247085687"/>
      <w:bookmarkStart w:id="87" w:name="_Toc246996173"/>
      <w:r>
        <w:rPr>
          <w:rFonts w:hint="eastAsia" w:ascii="宋体" w:hAnsi="宋体" w:cs="宋体"/>
        </w:rPr>
        <w:t>第二章 报价人须知</w:t>
      </w:r>
      <w:bookmarkEnd w:id="78"/>
      <w:bookmarkEnd w:id="79"/>
      <w:bookmarkEnd w:id="80"/>
      <w:bookmarkEnd w:id="81"/>
      <w:bookmarkEnd w:id="82"/>
      <w:bookmarkEnd w:id="83"/>
      <w:bookmarkEnd w:id="84"/>
      <w:bookmarkEnd w:id="85"/>
      <w:bookmarkEnd w:id="86"/>
      <w:bookmarkEnd w:id="87"/>
    </w:p>
    <w:p/>
    <w:tbl>
      <w:tblPr>
        <w:tblStyle w:val="41"/>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hint="eastAsia" w:ascii="宋体" w:hAnsi="宋体" w:cs="宋体"/>
                <w:b/>
                <w:kern w:val="0"/>
                <w:szCs w:val="21"/>
              </w:rPr>
            </w:pPr>
            <w:bookmarkStart w:id="88" w:name="_Toc326760840"/>
            <w:r>
              <w:rPr>
                <w:rFonts w:hint="eastAsia" w:ascii="宋体" w:hAnsi="宋体" w:cs="宋体"/>
                <w:b/>
                <w:kern w:val="0"/>
                <w:szCs w:val="21"/>
              </w:rPr>
              <w:t>序号</w:t>
            </w:r>
          </w:p>
        </w:tc>
        <w:tc>
          <w:tcPr>
            <w:tcW w:w="2106" w:type="dxa"/>
            <w:vAlign w:val="center"/>
          </w:tcPr>
          <w:p>
            <w:pPr>
              <w:spacing w:line="400" w:lineRule="exact"/>
              <w:jc w:val="center"/>
              <w:rPr>
                <w:rFonts w:hint="eastAsia"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采购人：重庆通慧网联科技有限公司</w:t>
            </w:r>
          </w:p>
          <w:p>
            <w:pPr>
              <w:spacing w:line="400" w:lineRule="exact"/>
              <w:ind w:firstLine="420" w:firstLineChars="200"/>
              <w:rPr>
                <w:rFonts w:hint="eastAsia" w:ascii="宋体" w:hAnsi="宋体" w:cs="宋体"/>
                <w:szCs w:val="21"/>
              </w:rPr>
            </w:pPr>
            <w:r>
              <w:rPr>
                <w:rFonts w:hint="eastAsia" w:ascii="宋体" w:hAnsi="宋体" w:cs="宋体"/>
                <w:szCs w:val="21"/>
              </w:rPr>
              <w:t>地  址：重庆市渝北区冉家坝天邻风景小区2</w:t>
            </w:r>
            <w:r>
              <w:rPr>
                <w:rFonts w:ascii="宋体" w:hAnsi="宋体" w:cs="宋体"/>
                <w:szCs w:val="21"/>
              </w:rPr>
              <w:t>4</w:t>
            </w:r>
            <w:r>
              <w:rPr>
                <w:rFonts w:hint="eastAsia" w:ascii="宋体" w:hAnsi="宋体" w:cs="宋体"/>
                <w:szCs w:val="21"/>
              </w:rPr>
              <w:t>栋1</w:t>
            </w:r>
            <w:r>
              <w:rPr>
                <w:rFonts w:ascii="宋体" w:hAnsi="宋体" w:cs="宋体"/>
                <w:szCs w:val="21"/>
              </w:rPr>
              <w:t>9-3</w:t>
            </w:r>
          </w:p>
          <w:p>
            <w:pPr>
              <w:spacing w:line="400" w:lineRule="exact"/>
              <w:ind w:firstLine="420" w:firstLineChars="200"/>
              <w:rPr>
                <w:rFonts w:hint="eastAsia" w:ascii="宋体" w:hAnsi="宋体" w:cs="宋体"/>
                <w:szCs w:val="21"/>
              </w:rPr>
            </w:pPr>
            <w:r>
              <w:rPr>
                <w:rFonts w:hint="eastAsia" w:ascii="宋体" w:hAnsi="宋体" w:cs="宋体"/>
                <w:szCs w:val="21"/>
              </w:rPr>
              <w:t>联系人：陈老师</w:t>
            </w:r>
          </w:p>
          <w:p>
            <w:pPr>
              <w:topLinePunct/>
              <w:spacing w:line="420" w:lineRule="exact"/>
              <w:ind w:firstLine="420" w:firstLineChars="200"/>
            </w:pPr>
            <w:r>
              <w:rPr>
                <w:rFonts w:hint="eastAsia" w:ascii="宋体" w:hAnsi="宋体" w:cs="宋体"/>
                <w:szCs w:val="21"/>
              </w:rPr>
              <w:t>电  话：15330566511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2024年计重设备专项服务项目（成渝）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hint="eastAsia"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hint="eastAsia"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hint="eastAsia"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hint="eastAsia"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（1）资质条件：见比选公告3.1</w:t>
            </w:r>
          </w:p>
          <w:p>
            <w:pPr>
              <w:spacing w:line="400" w:lineRule="exact"/>
              <w:ind w:firstLine="420" w:firstLineChars="200"/>
              <w:rPr>
                <w:rFonts w:hint="eastAsia" w:ascii="宋体" w:hAnsi="宋体" w:cs="宋体"/>
                <w:szCs w:val="21"/>
              </w:rPr>
            </w:pPr>
            <w:r>
              <w:rPr>
                <w:rFonts w:hint="eastAsia" w:ascii="宋体" w:hAnsi="宋体" w:cs="宋体"/>
                <w:szCs w:val="21"/>
              </w:rPr>
              <w:t>（2）业绩要求：见比选公告3.2</w:t>
            </w:r>
          </w:p>
          <w:p>
            <w:pPr>
              <w:spacing w:line="400" w:lineRule="exact"/>
              <w:ind w:firstLine="420" w:firstLineChars="200"/>
              <w:rPr>
                <w:rFonts w:hint="eastAsia" w:ascii="宋体" w:hAnsi="宋体" w:cs="宋体"/>
                <w:szCs w:val="21"/>
              </w:rPr>
            </w:pPr>
            <w:r>
              <w:rPr>
                <w:rFonts w:hint="eastAsia" w:ascii="宋体" w:hAnsi="宋体" w:cs="宋体"/>
                <w:szCs w:val="21"/>
              </w:rPr>
              <w:t>（3）信誉要求：见比选公告3.3</w:t>
            </w:r>
          </w:p>
          <w:p>
            <w:pPr>
              <w:spacing w:line="400" w:lineRule="exact"/>
              <w:ind w:firstLine="420" w:firstLineChars="200"/>
              <w:rPr>
                <w:rFonts w:hint="eastAsia"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hint="eastAsia" w:ascii="宋体" w:hAnsi="宋体" w:cs="宋体"/>
                <w:szCs w:val="21"/>
              </w:rPr>
            </w:pPr>
            <w:r>
              <w:rPr>
                <w:rFonts w:hint="eastAsia" w:ascii="宋体" w:hAnsi="宋体" w:cs="宋体"/>
                <w:szCs w:val="21"/>
              </w:rPr>
              <w:t>（5）其他要求：见附录2、见附录3</w:t>
            </w:r>
          </w:p>
          <w:p>
            <w:pPr>
              <w:spacing w:line="400" w:lineRule="exact"/>
              <w:ind w:firstLine="420" w:firstLineChars="200"/>
              <w:rPr>
                <w:rFonts w:hint="eastAsia" w:ascii="宋体" w:hAnsi="宋体" w:cs="宋体"/>
                <w:szCs w:val="21"/>
              </w:rPr>
            </w:pPr>
            <w:r>
              <w:rPr>
                <w:rFonts w:hint="eastAsia" w:ascii="宋体" w:hAnsi="宋体" w:cs="宋体"/>
                <w:szCs w:val="21"/>
              </w:rPr>
              <w:t>以上（附录1-附录3中的资格审查）的要求均为强制性条件，其中任何一条不满足要求，则按否决报价处理。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是否接受</w:t>
            </w:r>
          </w:p>
          <w:p>
            <w:pPr>
              <w:spacing w:line="400" w:lineRule="exact"/>
              <w:jc w:val="center"/>
              <w:rPr>
                <w:rFonts w:hint="eastAsia"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hint="eastAsia"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hint="eastAsia"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1</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hint="eastAsia"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2</w:t>
            </w:r>
          </w:p>
        </w:tc>
        <w:tc>
          <w:tcPr>
            <w:tcW w:w="2106" w:type="dxa"/>
            <w:vAlign w:val="center"/>
          </w:tcPr>
          <w:p>
            <w:pPr>
              <w:spacing w:line="440" w:lineRule="exact"/>
              <w:jc w:val="center"/>
              <w:rPr>
                <w:rFonts w:hint="eastAsia"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hint="eastAsia"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hint="eastAsia" w:ascii="宋体" w:hAnsi="宋体" w:cs="宋体"/>
                <w:kern w:val="0"/>
                <w:szCs w:val="21"/>
              </w:rPr>
            </w:pPr>
            <w:bookmarkStart w:id="89" w:name="_Hlt227984024"/>
            <w:bookmarkEnd w:id="89"/>
            <w:r>
              <w:rPr>
                <w:rFonts w:hint="eastAsia" w:ascii="宋体" w:hAnsi="宋体" w:cs="宋体"/>
                <w:kern w:val="0"/>
                <w:szCs w:val="21"/>
              </w:rPr>
              <w:t>1</w:t>
            </w:r>
            <w:r>
              <w:rPr>
                <w:rFonts w:ascii="宋体" w:hAnsi="宋体" w:cs="宋体"/>
                <w:kern w:val="0"/>
                <w:szCs w:val="21"/>
              </w:rPr>
              <w:t>3</w:t>
            </w:r>
          </w:p>
        </w:tc>
        <w:tc>
          <w:tcPr>
            <w:tcW w:w="2106" w:type="dxa"/>
            <w:vAlign w:val="center"/>
          </w:tcPr>
          <w:p>
            <w:pPr>
              <w:spacing w:line="400" w:lineRule="exact"/>
              <w:jc w:val="center"/>
              <w:rPr>
                <w:rFonts w:hint="eastAsia"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7"/>
              <w:spacing w:before="72" w:line="400" w:lineRule="exact"/>
              <w:ind w:firstLine="420" w:firstLineChars="200"/>
              <w:jc w:val="both"/>
              <w:rPr>
                <w:rFonts w:hint="eastAsia"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4</w:t>
            </w:r>
          </w:p>
        </w:tc>
        <w:tc>
          <w:tcPr>
            <w:tcW w:w="2106" w:type="dxa"/>
            <w:tcBorders>
              <w:bottom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2" w:firstLineChars="200"/>
              <w:rPr>
                <w:rFonts w:hint="eastAsia" w:ascii="宋体" w:hAnsi="宋体" w:cs="宋体"/>
                <w:b/>
                <w:szCs w:val="21"/>
              </w:rPr>
            </w:pPr>
            <w:r>
              <w:rPr>
                <w:rFonts w:hint="eastAsia" w:ascii="宋体" w:hAnsi="宋体" w:cs="宋体"/>
                <w:b/>
                <w:szCs w:val="21"/>
              </w:rPr>
              <w:t>报价人按照采购人提供的工程量清单填写工程量清单。</w:t>
            </w:r>
          </w:p>
          <w:p>
            <w:pPr>
              <w:spacing w:line="400" w:lineRule="exact"/>
              <w:ind w:firstLine="422" w:firstLineChars="200"/>
              <w:rPr>
                <w:rFonts w:hint="eastAsia" w:ascii="宋体" w:hAnsi="宋体" w:cs="宋体"/>
                <w:b/>
                <w:szCs w:val="21"/>
              </w:rPr>
            </w:pPr>
            <w:r>
              <w:rPr>
                <w:rFonts w:hint="eastAsia" w:ascii="宋体" w:hAnsi="宋体" w:cs="宋体"/>
                <w:b/>
                <w:szCs w:val="21"/>
              </w:rPr>
              <w:t>报价人应根据工期要求填报总报价。</w:t>
            </w:r>
          </w:p>
          <w:p>
            <w:pPr>
              <w:spacing w:line="400" w:lineRule="exact"/>
              <w:ind w:firstLine="422" w:firstLineChars="200"/>
              <w:rPr>
                <w:rFonts w:hint="eastAsia"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hint="eastAsia" w:ascii="宋体" w:hAnsi="宋体" w:cs="宋体"/>
                <w:szCs w:val="21"/>
              </w:rPr>
            </w:pPr>
            <w:r>
              <w:rPr>
                <w:rFonts w:hint="eastAsia" w:ascii="宋体" w:hAnsi="宋体" w:cs="宋体"/>
                <w:b/>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5</w:t>
            </w:r>
          </w:p>
        </w:tc>
        <w:tc>
          <w:tcPr>
            <w:tcW w:w="2106"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hint="eastAsia" w:ascii="宋体" w:hAnsi="宋体"/>
                <w:b/>
                <w:bCs/>
                <w:szCs w:val="21"/>
              </w:rPr>
            </w:pPr>
            <w:r>
              <w:rPr>
                <w:rFonts w:hint="eastAsia" w:ascii="宋体" w:hAnsi="宋体"/>
                <w:b/>
                <w:bCs/>
                <w:szCs w:val="21"/>
              </w:rPr>
              <w:t>2024年计重设备专项服务项目（成渝）最高限价金额</w:t>
            </w:r>
            <w:r>
              <w:rPr>
                <w:rFonts w:hint="eastAsia" w:ascii="宋体" w:hAnsi="宋体"/>
                <w:b/>
                <w:bCs/>
                <w:szCs w:val="21"/>
                <w:u w:val="single"/>
              </w:rPr>
              <w:t>114750</w:t>
            </w:r>
            <w:r>
              <w:rPr>
                <w:rFonts w:ascii="宋体" w:hAnsi="宋体"/>
                <w:b/>
                <w:bCs/>
                <w:szCs w:val="21"/>
                <w:u w:val="single"/>
              </w:rPr>
              <w:t>.00</w:t>
            </w:r>
            <w:r>
              <w:rPr>
                <w:rFonts w:hint="eastAsia" w:ascii="宋体" w:hAnsi="宋体"/>
                <w:b/>
                <w:bCs/>
                <w:szCs w:val="21"/>
              </w:rPr>
              <w:t>元，其中安全生产费</w:t>
            </w:r>
            <w:r>
              <w:rPr>
                <w:rFonts w:hint="eastAsia" w:ascii="宋体" w:hAnsi="宋体"/>
                <w:b/>
                <w:bCs/>
                <w:szCs w:val="21"/>
                <w:u w:val="single"/>
              </w:rPr>
              <w:t>1721.25</w:t>
            </w:r>
            <w:r>
              <w:rPr>
                <w:rFonts w:hint="eastAsia" w:ascii="宋体" w:hAnsi="宋体"/>
                <w:b/>
                <w:bCs/>
                <w:szCs w:val="21"/>
              </w:rPr>
              <w:t>元；</w:t>
            </w:r>
          </w:p>
          <w:p>
            <w:pPr>
              <w:spacing w:line="400" w:lineRule="exact"/>
              <w:ind w:firstLine="422" w:firstLineChars="200"/>
              <w:rPr>
                <w:rFonts w:hint="eastAsia"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6</w:t>
            </w:r>
          </w:p>
        </w:tc>
        <w:tc>
          <w:tcPr>
            <w:tcW w:w="2106"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rPr>
              <w:t>根据项目据实计量实施完成并经验收合格后，按季度进行结算支付</w:t>
            </w:r>
            <w:r>
              <w:rPr>
                <w:rFonts w:hint="eastAsia"/>
                <w:highlight w:val="none"/>
              </w:rPr>
              <w:t>（招标人可根据项目开展情况对工程量进行调整</w:t>
            </w:r>
            <w:r>
              <w:rPr>
                <w:rFonts w:hint="eastAsia"/>
                <w:highlight w:val="none"/>
                <w:lang w:eastAsia="zh-CN"/>
              </w:rPr>
              <w:t>，</w:t>
            </w:r>
            <w:r>
              <w:rPr>
                <w:rFonts w:hint="eastAsia"/>
                <w:highlight w:val="none"/>
                <w:lang w:val="en-US" w:eastAsia="zh-CN"/>
              </w:rPr>
              <w:t>每季度根据</w:t>
            </w:r>
            <w:r>
              <w:rPr>
                <w:rFonts w:hint="eastAsia"/>
                <w:highlight w:val="none"/>
              </w:rPr>
              <w:t>招标人</w:t>
            </w:r>
            <w:r>
              <w:rPr>
                <w:rFonts w:hint="eastAsia"/>
                <w:highlight w:val="none"/>
                <w:lang w:val="en-US" w:eastAsia="zh-CN"/>
              </w:rPr>
              <w:t>通知开展技术服务工作</w:t>
            </w:r>
            <w:r>
              <w:rPr>
                <w:rFonts w:hint="eastAsia"/>
                <w:highlight w:val="none"/>
              </w:rPr>
              <w:t>）</w:t>
            </w:r>
            <w:r>
              <w:rPr>
                <w:rFonts w:hint="eastAsia"/>
              </w:rPr>
              <w:t>。中标人应于采购人每次付款前提供等额增值税专用发票（税率</w:t>
            </w:r>
            <w:r>
              <w:t>6</w:t>
            </w:r>
            <w:r>
              <w:rPr>
                <w:rFonts w:hint="eastAsia"/>
              </w:rPr>
              <w:t>%）。由乙方主动提出书面申请，经甲方业务部门确认后，30个工作日内全额支付（质量保证金不计任何利息），若乙方未提出书面申请，则相应的延迟责任由乙方自行承担；</w:t>
            </w:r>
          </w:p>
          <w:p>
            <w:pPr>
              <w:spacing w:line="400" w:lineRule="exact"/>
              <w:ind w:firstLine="420" w:firstLineChars="200"/>
            </w:pPr>
            <w:r>
              <w:rPr>
                <w:rFonts w:hint="eastAsia"/>
              </w:rPr>
              <w:t>乙方应于甲方每次付款（预付款除外）前提供等额增值税专用发票给甲方。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7</w:t>
            </w:r>
          </w:p>
        </w:tc>
        <w:tc>
          <w:tcPr>
            <w:tcW w:w="2106" w:type="dxa"/>
            <w:tcBorders>
              <w:bottom w:val="single" w:color="auto" w:sz="4" w:space="0"/>
            </w:tcBorders>
            <w:vAlign w:val="center"/>
          </w:tcPr>
          <w:p>
            <w:pPr>
              <w:spacing w:line="400" w:lineRule="exact"/>
              <w:jc w:val="center"/>
              <w:rPr>
                <w:rFonts w:hint="eastAsia" w:ascii="宋体" w:hAnsi="宋体" w:cs="宋体"/>
                <w:b w:val="0"/>
                <w:bCs w:val="0"/>
                <w:szCs w:val="21"/>
              </w:rPr>
            </w:pPr>
            <w:r>
              <w:rPr>
                <w:rFonts w:hint="eastAsia" w:ascii="宋体" w:hAnsi="宋体" w:cs="宋体"/>
                <w:b w:val="0"/>
                <w:bCs w:val="0"/>
                <w:szCs w:val="21"/>
              </w:rPr>
              <w:t>作业队伍最低要求</w:t>
            </w:r>
          </w:p>
        </w:tc>
        <w:tc>
          <w:tcPr>
            <w:tcW w:w="7104" w:type="dxa"/>
            <w:tcBorders>
              <w:bottom w:val="single" w:color="auto" w:sz="4" w:space="0"/>
            </w:tcBorders>
          </w:tcPr>
          <w:p>
            <w:pPr>
              <w:pStyle w:val="166"/>
              <w:numPr>
                <w:ilvl w:val="0"/>
                <w:numId w:val="2"/>
              </w:numPr>
              <w:ind w:firstLineChars="0"/>
              <w:rPr>
                <w:rFonts w:hint="eastAsia" w:hAnsi="宋体"/>
                <w:b w:val="0"/>
                <w:bCs w:val="0"/>
                <w:szCs w:val="21"/>
              </w:rPr>
            </w:pPr>
            <w:r>
              <w:rPr>
                <w:rFonts w:hint="eastAsia" w:hAnsi="宋体"/>
                <w:b w:val="0"/>
                <w:bCs w:val="0"/>
                <w:szCs w:val="21"/>
              </w:rPr>
              <w:t>现场服务人员不少于2名，至少一名服务人员需具备低压电工操作证（特种作业）；</w:t>
            </w:r>
          </w:p>
          <w:p>
            <w:pPr>
              <w:pStyle w:val="166"/>
              <w:numPr>
                <w:ilvl w:val="0"/>
                <w:numId w:val="2"/>
              </w:numPr>
              <w:ind w:firstLineChars="0"/>
              <w:rPr>
                <w:rFonts w:hint="eastAsia" w:hAnsi="宋体"/>
                <w:b w:val="0"/>
                <w:bCs w:val="0"/>
                <w:szCs w:val="21"/>
              </w:rPr>
            </w:pPr>
            <w:r>
              <w:rPr>
                <w:rFonts w:hint="eastAsia" w:hAnsi="宋体"/>
                <w:b w:val="0"/>
                <w:bCs w:val="0"/>
                <w:szCs w:val="21"/>
              </w:rPr>
              <w:t>现场人员年龄不超过</w:t>
            </w:r>
            <w:r>
              <w:rPr>
                <w:rFonts w:hAnsi="宋体"/>
                <w:b w:val="0"/>
                <w:bCs w:val="0"/>
                <w:szCs w:val="21"/>
              </w:rPr>
              <w:t>60</w:t>
            </w:r>
            <w:r>
              <w:rPr>
                <w:rFonts w:hint="eastAsia" w:hAnsi="宋体"/>
                <w:b w:val="0"/>
                <w:bCs w:val="0"/>
                <w:szCs w:val="21"/>
              </w:rPr>
              <w:t>岁；</w:t>
            </w:r>
          </w:p>
          <w:p>
            <w:pPr>
              <w:pStyle w:val="166"/>
              <w:numPr>
                <w:ilvl w:val="0"/>
                <w:numId w:val="2"/>
              </w:numPr>
              <w:ind w:firstLineChars="0"/>
              <w:rPr>
                <w:rFonts w:hint="eastAsia" w:hAnsi="宋体"/>
                <w:b w:val="0"/>
                <w:bCs w:val="0"/>
                <w:szCs w:val="21"/>
              </w:rPr>
            </w:pPr>
            <w:r>
              <w:rPr>
                <w:rFonts w:hint="eastAsia" w:hAnsi="宋体"/>
                <w:b w:val="0"/>
                <w:bCs w:val="0"/>
                <w:szCs w:val="21"/>
              </w:rPr>
              <w:t>驾驶人员应持驾驶证等相关证件上岗；</w:t>
            </w:r>
          </w:p>
          <w:p>
            <w:pPr>
              <w:pStyle w:val="166"/>
              <w:numPr>
                <w:ilvl w:val="0"/>
                <w:numId w:val="2"/>
              </w:numPr>
              <w:ind w:firstLineChars="0"/>
              <w:rPr>
                <w:rFonts w:hint="eastAsia" w:hAnsi="宋体"/>
                <w:b w:val="0"/>
                <w:bCs w:val="0"/>
                <w:szCs w:val="21"/>
              </w:rPr>
            </w:pPr>
            <w:r>
              <w:rPr>
                <w:rFonts w:hint="eastAsia" w:hAnsi="宋体"/>
                <w:b w:val="0"/>
                <w:bCs w:val="0"/>
                <w:szCs w:val="21"/>
              </w:rPr>
              <w:t>交通组织所需的人员、车辆、标志标牌等根据施工作业区要求另行配置。</w:t>
            </w:r>
          </w:p>
          <w:p>
            <w:pPr>
              <w:spacing w:line="400" w:lineRule="exact"/>
              <w:ind w:left="420" w:leftChars="200" w:firstLine="0" w:firstLineChars="0"/>
              <w:rPr>
                <w:b w:val="0"/>
                <w:bCs w:val="0"/>
              </w:rPr>
            </w:pPr>
            <w:r>
              <w:rPr>
                <w:rFonts w:hint="eastAsia" w:hAnsi="宋体"/>
                <w:b w:val="0"/>
                <w:bCs w:val="0"/>
                <w:szCs w:val="21"/>
              </w:rPr>
              <w:t>中标人在收到中标通知书后（与采购人签订合同前）需在</w:t>
            </w:r>
            <w:r>
              <w:rPr>
                <w:rFonts w:hAnsi="宋体"/>
                <w:b w:val="0"/>
                <w:bCs w:val="0"/>
                <w:szCs w:val="21"/>
              </w:rPr>
              <w:t>3</w:t>
            </w:r>
            <w:r>
              <w:rPr>
                <w:rFonts w:hint="eastAsia" w:hAnsi="宋体"/>
                <w:b w:val="0"/>
                <w:bCs w:val="0"/>
                <w:szCs w:val="21"/>
              </w:rPr>
              <w:t>日内提供对各个现场人员购买100万及以上的保险，</w:t>
            </w:r>
            <w:r>
              <w:rPr>
                <w:rFonts w:hint="eastAsia" w:hAnsi="宋体" w:asciiTheme="minorHAnsi" w:eastAsiaTheme="minorEastAsia" w:cstheme="minorBidi"/>
                <w:b w:val="0"/>
                <w:bCs w:val="0"/>
                <w:szCs w:val="21"/>
              </w:rPr>
              <w:t>“意外伤害医疗险”每人投保额度不低于</w:t>
            </w:r>
            <w:r>
              <w:rPr>
                <w:rFonts w:hAnsi="宋体" w:asciiTheme="minorHAnsi" w:eastAsiaTheme="minorEastAsia" w:cstheme="minorBidi"/>
                <w:b w:val="0"/>
                <w:bCs w:val="0"/>
                <w:szCs w:val="21"/>
              </w:rPr>
              <w:t>10</w:t>
            </w:r>
            <w:r>
              <w:rPr>
                <w:rFonts w:hint="eastAsia" w:hAnsi="宋体" w:asciiTheme="minorHAnsi" w:eastAsiaTheme="minorEastAsia" w:cstheme="minorBidi"/>
                <w:b w:val="0"/>
                <w:bCs w:val="0"/>
                <w:szCs w:val="21"/>
              </w:rPr>
              <w:t>万</w:t>
            </w:r>
            <w:r>
              <w:rPr>
                <w:rFonts w:hint="eastAsia" w:hAnsi="宋体"/>
                <w:b w:val="0"/>
                <w:bCs w:val="0"/>
                <w:szCs w:val="21"/>
              </w:rPr>
              <w:t>，并到采购人处进行报备。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hint="eastAsia"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pStyle w:val="166"/>
              <w:numPr>
                <w:ilvl w:val="0"/>
                <w:numId w:val="3"/>
              </w:numPr>
              <w:spacing w:line="400" w:lineRule="exact"/>
              <w:ind w:firstLineChars="0"/>
            </w:pPr>
            <w:bookmarkStart w:id="90" w:name="_Hlk93050214"/>
            <w:r>
              <w:rPr>
                <w:rFonts w:hint="eastAsia"/>
              </w:rPr>
              <w:t>承包人负责作业期间的现场安全管理，现场安全措施及标志摆放必须严格遵守国家有关安全生产的法律法规、交通部颁发的《公路养护安全作业规程》(JTGH30—2015）、《重庆市营运高速公路施工管理规范》DB50/T 959-2019及《通慧公司工程安全生产的违约处理细则》等有关安全生产的规定，认真执行工程承包合同中的有关安全要求。未按照规定要求设置标志、标牌等安全措施，应现场立即整改；整改不到位，勒令停工，造成的损失由承包人自行承担，并按照招标人“工程安全生产的违约处理细则”的条款进行处理。</w:t>
            </w:r>
          </w:p>
          <w:p>
            <w:pPr>
              <w:pStyle w:val="166"/>
              <w:numPr>
                <w:ilvl w:val="0"/>
                <w:numId w:val="3"/>
              </w:numPr>
              <w:spacing w:line="400" w:lineRule="exact"/>
              <w:ind w:firstLineChars="0"/>
            </w:pPr>
            <w:r>
              <w:rPr>
                <w:rFonts w:hint="eastAsia"/>
              </w:rPr>
              <w:t>本项目所报的现场人员须与投标文件提供的人员一致。中标人不得随意更换人员，若中标人需更换人员，需在当季度结束前14天提交资料给采购人，经采购人同意后方能进行更换。如中标人私自更换人员，一经发现从履约保证金中扣10000元/人罚款。</w:t>
            </w:r>
          </w:p>
          <w:p>
            <w:pPr>
              <w:pStyle w:val="166"/>
              <w:numPr>
                <w:ilvl w:val="0"/>
                <w:numId w:val="3"/>
              </w:numPr>
              <w:spacing w:line="400" w:lineRule="exact"/>
              <w:ind w:firstLineChars="0"/>
            </w:pPr>
            <w:r>
              <w:rPr>
                <w:rFonts w:hint="eastAsia"/>
              </w:rPr>
              <w:t>如出现1次以上未达到服务质量要求、资料提交不及时等情况，采购人有权要求中标人进行整改；拒不整改或服务弄虚作假的，采购人有权终止合同的执行，由此带来的损失由中标人承担。</w:t>
            </w:r>
          </w:p>
          <w:p>
            <w:pPr>
              <w:pStyle w:val="166"/>
              <w:numPr>
                <w:ilvl w:val="0"/>
                <w:numId w:val="3"/>
              </w:numPr>
              <w:spacing w:line="400" w:lineRule="exact"/>
              <w:ind w:firstLineChars="0"/>
            </w:pPr>
            <w:r>
              <w:rPr>
                <w:rFonts w:hint="eastAsia"/>
              </w:rPr>
              <w:t>中标人因违章作业受到行政处罚导致采购人信用受到损失，造成社会负面影响，将纳入采购人对中标人的信用考核，并按相关制度处理。</w:t>
            </w:r>
            <w:bookmarkEnd w:id="90"/>
          </w:p>
          <w:p>
            <w:pPr>
              <w:pStyle w:val="166"/>
              <w:numPr>
                <w:ilvl w:val="0"/>
                <w:numId w:val="3"/>
              </w:numPr>
              <w:spacing w:line="400" w:lineRule="exact"/>
              <w:ind w:firstLineChars="0"/>
            </w:pPr>
            <w:bookmarkStart w:id="91" w:name="_Hlk93050238"/>
            <w:r>
              <w:rPr>
                <w:rFonts w:hint="eastAsia"/>
              </w:rPr>
              <w:t>若履约保证金累计处罚到总金额的50%，则报价人应在10个工作日内补交到100%，如不能按时补交，则采购人有权终止合同。中标人擅自离场或单方面终止合同，中标人应赔付采购人合同金额的20%。</w:t>
            </w:r>
          </w:p>
          <w:p>
            <w:pPr>
              <w:pStyle w:val="166"/>
              <w:numPr>
                <w:ilvl w:val="0"/>
                <w:numId w:val="3"/>
              </w:numPr>
              <w:spacing w:line="400" w:lineRule="exact"/>
              <w:ind w:firstLineChars="0"/>
            </w:pPr>
            <w:r>
              <w:rPr>
                <w:rFonts w:hint="eastAsia"/>
              </w:rPr>
              <w:t>中标人必须遵守执行重庆通慧网联科技有限公司《工程安全生产的违约处理细则》、《工程管理违约处理实施细则》（详见附件）。如有违约按照细则条款处罚执行。</w:t>
            </w:r>
          </w:p>
          <w:p>
            <w:pPr>
              <w:pStyle w:val="166"/>
              <w:numPr>
                <w:ilvl w:val="0"/>
                <w:numId w:val="3"/>
              </w:numPr>
              <w:spacing w:line="400" w:lineRule="exact"/>
              <w:ind w:firstLineChars="0"/>
            </w:pPr>
            <w:r>
              <w:rPr>
                <w:rFonts w:hint="eastAsia"/>
              </w:rPr>
              <w:t>乙方应在每季度工作完成后30天内提交当期支付（结算）资料，若超期未提交，每超期一天扣减当期应支付金额1%，最高扣减20%；若超期90天未提交支付资料，则在履约保证金另外再处罚一万元。</w:t>
            </w:r>
            <w:bookmarkEnd w:id="91"/>
          </w:p>
          <w:p>
            <w:pPr>
              <w:pStyle w:val="166"/>
              <w:numPr>
                <w:ilvl w:val="0"/>
                <w:numId w:val="3"/>
              </w:numPr>
              <w:spacing w:line="400" w:lineRule="exact"/>
              <w:ind w:firstLineChars="0"/>
            </w:pPr>
            <w:r>
              <w:rPr>
                <w:rFonts w:hint="eastAsia"/>
              </w:rPr>
              <w:t>中标单位在收到采购人中标通知书后</w:t>
            </w:r>
            <w:r>
              <w:t>3</w:t>
            </w:r>
            <w:r>
              <w:rPr>
                <w:rFonts w:hint="eastAsia"/>
              </w:rPr>
              <w:t>日内必须组织队伍进场办理开工手续，若延期1天扣除履约保证金的1</w:t>
            </w:r>
            <w:r>
              <w:t>%</w:t>
            </w:r>
            <w:r>
              <w:rPr>
                <w:rFonts w:hint="eastAsia"/>
              </w:rPr>
              <w:t>，累计延期1</w:t>
            </w:r>
            <w:r>
              <w:t>0</w:t>
            </w:r>
            <w:r>
              <w:rPr>
                <w:rFonts w:hint="eastAsia"/>
              </w:rPr>
              <w:t>天未进场办理开工手续，甲方有权终止合同，中标人还应赔付采购人合同金额的2</w:t>
            </w:r>
            <w:r>
              <w:t>0%</w:t>
            </w:r>
            <w:r>
              <w:rPr>
                <w:rFonts w:hint="eastAsia"/>
              </w:rPr>
              <w:t>违约金。</w:t>
            </w:r>
          </w:p>
          <w:p>
            <w:pPr>
              <w:pStyle w:val="166"/>
              <w:numPr>
                <w:ilvl w:val="0"/>
                <w:numId w:val="3"/>
              </w:numPr>
              <w:spacing w:line="400" w:lineRule="exact"/>
              <w:ind w:firstLineChars="0"/>
            </w:pPr>
            <w:r>
              <w:rPr>
                <w:rFonts w:hint="eastAsia"/>
              </w:rPr>
              <w:t>乙方按照发包人通知准时提交合格规范的周期维护资料，若超期未提交，按照路段，扣减当期该路段应支付金额</w:t>
            </w:r>
            <w:r>
              <w:t>25</w:t>
            </w:r>
            <w:r>
              <w:rPr>
                <w:rFonts w:hint="eastAsia"/>
              </w:rPr>
              <w:t>%，且发包人可以指定第三方完成未提交资料路段的服务或资料（由此产生的费用由承包人承担）.</w:t>
            </w:r>
          </w:p>
          <w:p>
            <w:pPr>
              <w:pStyle w:val="166"/>
              <w:numPr>
                <w:ilvl w:val="0"/>
                <w:numId w:val="3"/>
              </w:numPr>
              <w:spacing w:line="400" w:lineRule="exact"/>
              <w:ind w:firstLineChars="0"/>
            </w:pPr>
            <w:r>
              <w:rPr>
                <w:rFonts w:hint="eastAsia"/>
              </w:rPr>
              <w:t>承包人应自备充足的维修所需备品备件，确保在接到发包人报修通知后（通知方式包含但不限于书面、电话、短信、微信等），承包人需第一时间组织人员赶赴现场开展维修工作，以重庆高速集团大楼为原点，距离</w:t>
            </w:r>
            <w:r>
              <w:t>100</w:t>
            </w:r>
            <w:r>
              <w:rPr>
                <w:rFonts w:hint="eastAsia"/>
              </w:rPr>
              <w:t>公里以内为服务半径，</w:t>
            </w:r>
            <w:r>
              <w:t>4</w:t>
            </w:r>
            <w:r>
              <w:rPr>
                <w:rFonts w:hint="eastAsia"/>
              </w:rPr>
              <w:t>小时内必须赶到现场，大于</w:t>
            </w:r>
            <w:r>
              <w:t>100</w:t>
            </w:r>
            <w:r>
              <w:rPr>
                <w:rFonts w:hint="eastAsia"/>
              </w:rPr>
              <w:t>公里，</w:t>
            </w:r>
            <w:r>
              <w:t>8</w:t>
            </w:r>
            <w:r>
              <w:rPr>
                <w:rFonts w:hint="eastAsia"/>
              </w:rPr>
              <w:t>小时内必须赶到现场；设备故障应在到达现场后</w:t>
            </w:r>
            <w:r>
              <w:t>4</w:t>
            </w:r>
            <w:r>
              <w:rPr>
                <w:rFonts w:hint="eastAsia"/>
              </w:rPr>
              <w:t>小时内解决；如遇特殊情况，须按照采购人要求的时间内到达现场并在规定的时间内排除故障，如承包人未及时到场或超过故障处理时限，发包人可以每次扣除合同总额的</w:t>
            </w:r>
            <w:r>
              <w:t>1</w:t>
            </w:r>
            <w:r>
              <w:rPr>
                <w:rFonts w:hint="eastAsia"/>
              </w:rPr>
              <w:t>％作为处罚，达到</w:t>
            </w:r>
            <w:r>
              <w:t>3</w:t>
            </w:r>
            <w:r>
              <w:rPr>
                <w:rFonts w:hint="eastAsia"/>
              </w:rPr>
              <w:t>次未及时，发包人可以终止合同。</w:t>
            </w:r>
          </w:p>
          <w:p>
            <w:pPr>
              <w:pStyle w:val="166"/>
              <w:numPr>
                <w:ilvl w:val="0"/>
                <w:numId w:val="3"/>
              </w:numPr>
              <w:spacing w:line="400" w:lineRule="exact"/>
              <w:ind w:firstLineChars="0"/>
              <w:rPr>
                <w:b/>
                <w:bCs/>
              </w:rPr>
            </w:pPr>
            <w:r>
              <w:rPr>
                <w:rFonts w:hint="eastAsia"/>
                <w:b/>
                <w:bCs/>
              </w:rPr>
              <w:t>承包人拒绝（承包人达到3次未在半小时内明确回复发包人报修通知的，且事后未作出合理解释的情况可以视为承包人的拒绝行为）任意一次发包人通知（通知方式包含但不限于书面、电话、短信、微信等）的故障报修工作的，甲方有权解除合同并要求乙方赔偿造成的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hint="eastAsia" w:ascii="宋体" w:hAnsi="宋体" w:cs="宋体"/>
                <w:szCs w:val="21"/>
              </w:rPr>
            </w:pPr>
            <w:r>
              <w:rPr>
                <w:rFonts w:ascii="宋体" w:hAnsi="宋体" w:cs="宋体"/>
                <w:szCs w:val="21"/>
              </w:rPr>
              <w:t>19</w:t>
            </w:r>
          </w:p>
        </w:tc>
        <w:tc>
          <w:tcPr>
            <w:tcW w:w="2106" w:type="dxa"/>
          </w:tcPr>
          <w:p>
            <w:pPr>
              <w:spacing w:line="400" w:lineRule="exact"/>
              <w:jc w:val="center"/>
              <w:rPr>
                <w:rFonts w:hint="eastAsia"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hint="eastAsia" w:ascii="宋体" w:hAnsi="宋体" w:cs="宋体"/>
              </w:rPr>
            </w:pPr>
            <w:r>
              <w:rPr>
                <w:rFonts w:hint="eastAsia" w:ascii="宋体" w:hAnsi="宋体" w:cs="宋体"/>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0</w:t>
            </w:r>
          </w:p>
        </w:tc>
        <w:tc>
          <w:tcPr>
            <w:tcW w:w="2106"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保证金</w:t>
            </w:r>
          </w:p>
        </w:tc>
        <w:tc>
          <w:tcPr>
            <w:tcW w:w="7104" w:type="dxa"/>
            <w:vAlign w:val="center"/>
          </w:tcPr>
          <w:p>
            <w:pPr>
              <w:snapToGrid w:val="0"/>
              <w:spacing w:line="400" w:lineRule="exact"/>
              <w:ind w:firstLine="420" w:firstLineChars="200"/>
              <w:rPr>
                <w:rFonts w:hint="eastAsia" w:ascii="宋体" w:hAnsi="宋体" w:cs="宋体"/>
              </w:rPr>
            </w:pPr>
            <w:r>
              <w:rPr>
                <w:rFonts w:hint="eastAsia" w:ascii="宋体" w:hAnsi="宋体" w:cs="宋体"/>
              </w:rPr>
              <w:t>一、投标保证金</w:t>
            </w:r>
          </w:p>
          <w:p>
            <w:pPr>
              <w:pStyle w:val="147"/>
              <w:spacing w:line="400" w:lineRule="exact"/>
              <w:ind w:firstLine="420" w:firstLineChars="200"/>
              <w:rPr>
                <w:rFonts w:hint="eastAsia" w:hAnsi="宋体"/>
                <w:color w:val="auto"/>
                <w:kern w:val="2"/>
                <w:sz w:val="21"/>
                <w:szCs w:val="21"/>
                <w:u w:val="single"/>
              </w:rPr>
            </w:pPr>
            <w:r>
              <w:rPr>
                <w:rFonts w:hint="eastAsia" w:hAnsi="宋体"/>
                <w:color w:val="auto"/>
                <w:kern w:val="2"/>
                <w:sz w:val="21"/>
                <w:szCs w:val="21"/>
                <w:u w:val="single"/>
              </w:rPr>
              <w:t>本次竞争性比选不设投标保证金。</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二、履约保证金</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1、</w:t>
            </w:r>
            <w:r>
              <w:rPr>
                <w:rFonts w:hAnsi="宋体"/>
                <w:color w:val="auto"/>
                <w:kern w:val="2"/>
                <w:sz w:val="21"/>
                <w:szCs w:val="21"/>
              </w:rPr>
              <w:t>履约担保作为本</w:t>
            </w:r>
            <w:r>
              <w:rPr>
                <w:rFonts w:hint="eastAsia" w:hAnsi="宋体"/>
                <w:color w:val="auto"/>
                <w:kern w:val="2"/>
                <w:sz w:val="21"/>
                <w:szCs w:val="21"/>
              </w:rPr>
              <w:t>项目</w:t>
            </w:r>
            <w:r>
              <w:rPr>
                <w:rFonts w:hAnsi="宋体"/>
                <w:color w:val="auto"/>
                <w:kern w:val="2"/>
                <w:sz w:val="21"/>
                <w:szCs w:val="21"/>
              </w:rPr>
              <w:t>合同附件</w:t>
            </w:r>
            <w:r>
              <w:rPr>
                <w:rFonts w:hint="eastAsia" w:hAnsi="宋体"/>
                <w:color w:val="auto"/>
                <w:kern w:val="2"/>
                <w:sz w:val="21"/>
                <w:szCs w:val="21"/>
              </w:rPr>
              <w:t>；</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2、履约保证金的金额：中标人合同金额的1</w:t>
            </w:r>
            <w:r>
              <w:rPr>
                <w:rFonts w:hAnsi="宋体"/>
                <w:color w:val="auto"/>
                <w:kern w:val="2"/>
                <w:sz w:val="21"/>
                <w:szCs w:val="21"/>
              </w:rPr>
              <w:t>0%</w:t>
            </w:r>
            <w:r>
              <w:rPr>
                <w:rFonts w:hint="eastAsia" w:hAnsi="宋体"/>
                <w:color w:val="auto"/>
                <w:kern w:val="2"/>
                <w:sz w:val="21"/>
                <w:szCs w:val="21"/>
              </w:rPr>
              <w:t>；</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3、履约保证金有效期：自双方签订的合同文件生效之日起，至合同约定时间完成为止。</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int="eastAsia" w:hAnsi="宋体"/>
                <w:color w:val="auto"/>
                <w:kern w:val="2"/>
                <w:sz w:val="21"/>
                <w:szCs w:val="21"/>
              </w:rPr>
              <w:t>。履约保证金在完成合同约定的全部工作内容后由中标人提出申请，28天后无息退还剩余部分。</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三、低价风险担保金</w:t>
            </w:r>
          </w:p>
          <w:p>
            <w:pPr>
              <w:pStyle w:val="147"/>
              <w:spacing w:line="400" w:lineRule="exact"/>
              <w:ind w:firstLine="420" w:firstLineChars="200"/>
              <w:rPr>
                <w:rFonts w:hint="eastAsia" w:hAnsi="宋体"/>
                <w:color w:val="auto"/>
                <w:kern w:val="2"/>
                <w:sz w:val="21"/>
                <w:szCs w:val="21"/>
              </w:rPr>
            </w:pPr>
            <w:r>
              <w:rPr>
                <w:rFonts w:hAnsi="宋体"/>
                <w:color w:val="auto"/>
                <w:kern w:val="2"/>
                <w:sz w:val="21"/>
                <w:szCs w:val="21"/>
              </w:rPr>
              <w:t>1、低价风险担保提交标准为最高限价的85%与中标价格差额的</w:t>
            </w:r>
            <w:r>
              <w:rPr>
                <w:rFonts w:hAnsi="宋体"/>
                <w:color w:val="auto"/>
                <w:kern w:val="2"/>
                <w:sz w:val="21"/>
                <w:szCs w:val="21"/>
                <w:u w:val="single"/>
              </w:rPr>
              <w:t xml:space="preserve"> 3 </w:t>
            </w:r>
            <w:r>
              <w:rPr>
                <w:rFonts w:hint="eastAsia" w:hAnsi="宋体"/>
                <w:color w:val="auto"/>
                <w:kern w:val="2"/>
                <w:sz w:val="21"/>
                <w:szCs w:val="21"/>
              </w:rPr>
              <w:t>倍（既低价风险担保差额倍数），中标价低于最高限价</w:t>
            </w:r>
            <w:r>
              <w:rPr>
                <w:rFonts w:hAnsi="宋体"/>
                <w:color w:val="auto"/>
                <w:kern w:val="2"/>
                <w:sz w:val="21"/>
                <w:szCs w:val="21"/>
              </w:rPr>
              <w:t>85%的价格差额；</w:t>
            </w:r>
          </w:p>
          <w:p>
            <w:pPr>
              <w:pStyle w:val="147"/>
              <w:spacing w:line="400" w:lineRule="exact"/>
              <w:ind w:firstLine="420" w:firstLineChars="200"/>
              <w:rPr>
                <w:rFonts w:hint="eastAsia" w:hAnsi="宋体"/>
                <w:color w:val="auto"/>
                <w:kern w:val="2"/>
                <w:sz w:val="21"/>
                <w:szCs w:val="21"/>
              </w:rPr>
            </w:pPr>
            <w:r>
              <w:rPr>
                <w:rFonts w:hAnsi="宋体"/>
                <w:color w:val="auto"/>
                <w:kern w:val="2"/>
                <w:sz w:val="21"/>
                <w:szCs w:val="21"/>
              </w:rPr>
              <w:t>2、低价风险担保作为本项目合同附件；</w:t>
            </w:r>
          </w:p>
          <w:p>
            <w:pPr>
              <w:pStyle w:val="147"/>
              <w:spacing w:line="400" w:lineRule="exact"/>
              <w:ind w:firstLine="420" w:firstLineChars="200"/>
              <w:rPr>
                <w:rFonts w:hint="eastAsia" w:hAnsi="宋体"/>
                <w:color w:val="auto"/>
                <w:kern w:val="2"/>
                <w:sz w:val="21"/>
                <w:szCs w:val="21"/>
              </w:rPr>
            </w:pPr>
            <w:r>
              <w:rPr>
                <w:rFonts w:hAnsi="宋体"/>
                <w:color w:val="auto"/>
                <w:kern w:val="2"/>
                <w:sz w:val="21"/>
                <w:szCs w:val="21"/>
              </w:rPr>
              <w:t>3、低价风险担保金有效期：自双方签订的合同文件生效之日起，至合同约定时间完成为止；</w:t>
            </w:r>
          </w:p>
          <w:p>
            <w:pPr>
              <w:pStyle w:val="147"/>
              <w:spacing w:line="400" w:lineRule="exact"/>
              <w:ind w:firstLine="420" w:firstLineChars="200"/>
              <w:rPr>
                <w:rFonts w:hint="eastAsia" w:hAnsi="宋体"/>
                <w:color w:val="auto"/>
                <w:kern w:val="2"/>
                <w:sz w:val="21"/>
                <w:szCs w:val="21"/>
              </w:rPr>
            </w:pPr>
            <w:r>
              <w:rPr>
                <w:rFonts w:hAnsi="宋体"/>
                <w:color w:val="auto"/>
                <w:kern w:val="2"/>
                <w:sz w:val="21"/>
                <w:szCs w:val="21"/>
              </w:rPr>
              <w:t>4、低价风险担保金的提交及退还：在甲方发出中标通知书后5个工作日内，中标人向采购人提供低价风险担保金缴纳凭证。低价风险担保金在完成合同约定的全部工作内容后由中标人提出申请，28天后无息退还剩余部分。</w:t>
            </w:r>
          </w:p>
          <w:p>
            <w:pPr>
              <w:pStyle w:val="147"/>
              <w:spacing w:line="400" w:lineRule="exact"/>
              <w:ind w:firstLine="420" w:firstLineChars="200"/>
              <w:rPr>
                <w:rFonts w:hint="eastAsia" w:hAnsi="宋体"/>
                <w:color w:val="auto"/>
                <w:kern w:val="2"/>
                <w:sz w:val="21"/>
                <w:szCs w:val="21"/>
              </w:rPr>
            </w:pPr>
            <w:r>
              <w:rPr>
                <w:rFonts w:hAnsi="宋体"/>
                <w:color w:val="auto"/>
                <w:kern w:val="2"/>
                <w:sz w:val="21"/>
                <w:szCs w:val="21"/>
              </w:rPr>
              <w:t>5</w:t>
            </w:r>
            <w:r>
              <w:rPr>
                <w:rFonts w:hint="eastAsia" w:hAnsi="宋体"/>
                <w:color w:val="auto"/>
                <w:kern w:val="2"/>
                <w:sz w:val="21"/>
                <w:szCs w:val="21"/>
              </w:rPr>
              <w:t>、低价风险担保金缴纳方式：可以为现金转账、现金和银行保函两种方式。</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四、保证金及风险担保金缴纳方式及要求</w:t>
            </w:r>
          </w:p>
          <w:p>
            <w:pPr>
              <w:pStyle w:val="147"/>
              <w:spacing w:line="400" w:lineRule="exact"/>
              <w:ind w:firstLine="420" w:firstLineChars="200"/>
              <w:rPr>
                <w:rFonts w:hint="eastAsia" w:hAnsi="宋体"/>
                <w:color w:val="auto"/>
                <w:kern w:val="2"/>
                <w:sz w:val="21"/>
                <w:szCs w:val="21"/>
              </w:rPr>
            </w:pPr>
            <w:r>
              <w:rPr>
                <w:rFonts w:hAnsi="宋体"/>
                <w:color w:val="auto"/>
                <w:kern w:val="2"/>
                <w:sz w:val="21"/>
                <w:szCs w:val="21"/>
              </w:rPr>
              <w:t>1</w:t>
            </w:r>
            <w:r>
              <w:rPr>
                <w:rFonts w:hint="eastAsia" w:hAnsi="宋体"/>
                <w:color w:val="auto"/>
                <w:kern w:val="2"/>
                <w:sz w:val="21"/>
                <w:szCs w:val="21"/>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Pr>
                <w:rFonts w:hint="eastAsia" w:hAnsi="宋体"/>
                <w:color w:val="auto"/>
                <w:kern w:val="2"/>
                <w:sz w:val="21"/>
                <w:szCs w:val="21"/>
              </w:rPr>
              <w:t>2024年计重设备专项服务项目（成渝）</w:t>
            </w:r>
            <w:r>
              <w:rPr>
                <w:rFonts w:hint="eastAsia" w:hAnsi="宋体"/>
                <w:color w:val="auto"/>
                <w:kern w:val="2"/>
                <w:sz w:val="21"/>
                <w:szCs w:val="21"/>
                <w:u w:val="single"/>
              </w:rPr>
              <w:t>X</w:t>
            </w:r>
            <w:r>
              <w:rPr>
                <w:rFonts w:hAnsi="宋体"/>
                <w:color w:val="auto"/>
                <w:kern w:val="2"/>
                <w:sz w:val="21"/>
                <w:szCs w:val="21"/>
                <w:u w:val="single"/>
              </w:rPr>
              <w:t>XX</w:t>
            </w:r>
            <w:r>
              <w:rPr>
                <w:rFonts w:hint="eastAsia" w:hAnsi="宋体"/>
                <w:color w:val="auto"/>
                <w:kern w:val="2"/>
                <w:sz w:val="21"/>
                <w:szCs w:val="21"/>
              </w:rPr>
              <w:t>保证金</w:t>
            </w:r>
            <w:r>
              <w:rPr>
                <w:rFonts w:hAnsi="宋体"/>
                <w:color w:val="auto"/>
                <w:kern w:val="2"/>
                <w:sz w:val="21"/>
                <w:szCs w:val="21"/>
              </w:rPr>
              <w:t>。</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2、风险担保金缴纳方式：报价人可采用现金、现金与银行保函组合形式提交风险担保；</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.1</w:t>
            </w:r>
            <w:r>
              <w:rPr>
                <w:rFonts w:hint="eastAsia" w:hAnsi="宋体"/>
                <w:color w:val="auto"/>
                <w:kern w:val="2"/>
                <w:sz w:val="21"/>
                <w:szCs w:val="21"/>
              </w:rPr>
              <w:t>、现金缴纳方式：企业的基本账户（开户行）在采购人规定时间内，向采购人通过电汇方式直接划付至采购人指定的保证金账户，否则，风险担保金无效。报价人自行考虑汇入时间风险，如同城汇入、异地汇入、跨行汇入的时间要求。转款备注：2024年计重设备专项服务项目（成渝）</w:t>
            </w:r>
            <w:r>
              <w:rPr>
                <w:rFonts w:hint="eastAsia" w:hAnsi="宋体"/>
                <w:color w:val="auto"/>
                <w:kern w:val="2"/>
                <w:sz w:val="21"/>
                <w:szCs w:val="21"/>
                <w:u w:val="single"/>
              </w:rPr>
              <w:t>X</w:t>
            </w:r>
            <w:r>
              <w:rPr>
                <w:rFonts w:hAnsi="宋体"/>
                <w:color w:val="auto"/>
                <w:kern w:val="2"/>
                <w:sz w:val="21"/>
                <w:szCs w:val="21"/>
                <w:u w:val="single"/>
              </w:rPr>
              <w:t>XX</w:t>
            </w:r>
            <w:r>
              <w:rPr>
                <w:rFonts w:hint="eastAsia" w:hAnsi="宋体"/>
                <w:color w:val="auto"/>
                <w:kern w:val="2"/>
                <w:sz w:val="21"/>
                <w:szCs w:val="21"/>
              </w:rPr>
              <w:t>保证金</w:t>
            </w:r>
            <w:r>
              <w:rPr>
                <w:rFonts w:hAnsi="宋体"/>
                <w:color w:val="auto"/>
                <w:kern w:val="2"/>
                <w:sz w:val="21"/>
                <w:szCs w:val="21"/>
              </w:rPr>
              <w:t>。</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.2</w:t>
            </w:r>
            <w:r>
              <w:rPr>
                <w:rFonts w:hint="eastAsia" w:hAnsi="宋体"/>
                <w:color w:val="auto"/>
                <w:kern w:val="2"/>
                <w:sz w:val="21"/>
                <w:szCs w:val="21"/>
              </w:rPr>
              <w:t>、现金与银行保函组合缴纳方式：现金方式与2</w:t>
            </w:r>
            <w:r>
              <w:rPr>
                <w:rFonts w:hAnsi="宋体"/>
                <w:color w:val="auto"/>
                <w:kern w:val="2"/>
                <w:sz w:val="21"/>
                <w:szCs w:val="21"/>
              </w:rPr>
              <w:t>.1</w:t>
            </w:r>
            <w:r>
              <w:rPr>
                <w:rFonts w:hint="eastAsia" w:hAnsi="宋体"/>
                <w:color w:val="auto"/>
                <w:kern w:val="2"/>
                <w:sz w:val="21"/>
                <w:szCs w:val="21"/>
              </w:rPr>
              <w:t>处一致，银行保函方式在甲方发出中标通知书后5个工作日内，中标人向采购人提供低风险担保。</w:t>
            </w:r>
            <w:r>
              <w:rPr>
                <w:rFonts w:hint="eastAsia" w:hAnsi="宋体"/>
                <w:color w:val="auto"/>
                <w:kern w:val="2"/>
                <w:sz w:val="21"/>
                <w:szCs w:val="21"/>
              </w:rPr>
              <w:tab/>
            </w:r>
            <w:r>
              <w:rPr>
                <w:rFonts w:hint="eastAsia" w:hAnsi="宋体"/>
                <w:color w:val="auto"/>
                <w:kern w:val="2"/>
                <w:sz w:val="21"/>
                <w:szCs w:val="21"/>
              </w:rPr>
              <w:t>低风险担保金有效期：自双方签订的合同文件生效之日起，至合同验收完成止。如果中标人出具的低风险担保保函有效期早于合同约定的有效期，中标人应在保函到期1个月之前延长保函的有效期，否则采购人有权停止支付合同价格。</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四、采购人指定的开户银行及账号如下：</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账户名称：重庆通慧网联科技有限公司</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开户银行：</w:t>
            </w:r>
            <w:r>
              <w:rPr>
                <w:rFonts w:hint="eastAsia" w:hAnsi="宋体"/>
                <w:color w:val="auto"/>
                <w:sz w:val="21"/>
                <w:szCs w:val="21"/>
              </w:rPr>
              <w:t>工行两江西湖路支行</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帐    号：</w:t>
            </w:r>
            <w:r>
              <w:rPr>
                <w:rFonts w:hint="eastAsia" w:hAnsi="宋体"/>
                <w:color w:val="auto"/>
                <w:sz w:val="21"/>
                <w:szCs w:val="21"/>
              </w:rPr>
              <w:t>3100</w:t>
            </w:r>
            <w:r>
              <w:rPr>
                <w:rFonts w:hAnsi="宋体"/>
                <w:color w:val="auto"/>
                <w:sz w:val="21"/>
                <w:szCs w:val="21"/>
              </w:rPr>
              <w:t xml:space="preserve"> </w:t>
            </w:r>
            <w:r>
              <w:rPr>
                <w:rFonts w:hint="eastAsia" w:hAnsi="宋体"/>
                <w:color w:val="auto"/>
                <w:sz w:val="21"/>
                <w:szCs w:val="21"/>
              </w:rPr>
              <w:t>0381</w:t>
            </w:r>
            <w:r>
              <w:rPr>
                <w:rFonts w:hAnsi="宋体"/>
                <w:color w:val="auto"/>
                <w:sz w:val="21"/>
                <w:szCs w:val="21"/>
              </w:rPr>
              <w:t xml:space="preserve"> </w:t>
            </w:r>
            <w:r>
              <w:rPr>
                <w:rFonts w:hint="eastAsia" w:hAnsi="宋体"/>
                <w:color w:val="auto"/>
                <w:sz w:val="21"/>
                <w:szCs w:val="21"/>
              </w:rPr>
              <w:t>1910</w:t>
            </w:r>
            <w:r>
              <w:rPr>
                <w:rFonts w:hAnsi="宋体"/>
                <w:color w:val="auto"/>
                <w:sz w:val="21"/>
                <w:szCs w:val="21"/>
              </w:rPr>
              <w:t xml:space="preserve"> </w:t>
            </w:r>
            <w:r>
              <w:rPr>
                <w:rFonts w:hint="eastAsia" w:hAnsi="宋体"/>
                <w:color w:val="auto"/>
                <w:sz w:val="21"/>
                <w:szCs w:val="21"/>
              </w:rPr>
              <w:t>0028</w:t>
            </w:r>
            <w:r>
              <w:rPr>
                <w:rFonts w:hAnsi="宋体"/>
                <w:color w:val="auto"/>
                <w:sz w:val="21"/>
                <w:szCs w:val="21"/>
              </w:rPr>
              <w:t xml:space="preserve"> </w:t>
            </w:r>
            <w:r>
              <w:rPr>
                <w:rFonts w:hint="eastAsia" w:hAnsi="宋体"/>
                <w:color w:val="auto"/>
                <w:sz w:val="21"/>
                <w:szCs w:val="21"/>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int="eastAsia" w:hAnsi="宋体"/>
                <w:color w:val="auto"/>
                <w:sz w:val="21"/>
                <w:szCs w:val="21"/>
              </w:rPr>
            </w:pPr>
            <w:r>
              <w:rPr>
                <w:rFonts w:hint="eastAsia" w:hAnsi="宋体"/>
                <w:color w:val="auto"/>
                <w:sz w:val="21"/>
                <w:szCs w:val="21"/>
              </w:rPr>
              <w:t>2</w:t>
            </w:r>
            <w:r>
              <w:rPr>
                <w:rFonts w:hAnsi="宋体"/>
                <w:color w:val="auto"/>
                <w:sz w:val="21"/>
                <w:szCs w:val="21"/>
              </w:rPr>
              <w:t>1</w:t>
            </w:r>
          </w:p>
        </w:tc>
        <w:tc>
          <w:tcPr>
            <w:tcW w:w="2106" w:type="dxa"/>
            <w:vAlign w:val="center"/>
          </w:tcPr>
          <w:p>
            <w:pPr>
              <w:pStyle w:val="147"/>
              <w:spacing w:line="400" w:lineRule="exact"/>
              <w:jc w:val="center"/>
              <w:rPr>
                <w:rFonts w:hint="eastAsia" w:hAnsi="宋体"/>
                <w:color w:val="auto"/>
                <w:sz w:val="21"/>
                <w:szCs w:val="21"/>
              </w:rPr>
            </w:pPr>
            <w:r>
              <w:rPr>
                <w:rFonts w:hint="eastAsia" w:hAnsi="宋体"/>
                <w:color w:val="auto"/>
                <w:sz w:val="21"/>
                <w:szCs w:val="21"/>
              </w:rPr>
              <w:t>合同签订方式</w:t>
            </w:r>
          </w:p>
        </w:tc>
        <w:tc>
          <w:tcPr>
            <w:tcW w:w="7104" w:type="dxa"/>
            <w:vAlign w:val="center"/>
          </w:tcPr>
          <w:p>
            <w:pPr>
              <w:pStyle w:val="147"/>
              <w:spacing w:line="400" w:lineRule="exact"/>
              <w:ind w:firstLine="420" w:firstLineChars="200"/>
              <w:rPr>
                <w:rFonts w:hint="eastAsia" w:hAnsi="宋体"/>
                <w:b/>
                <w:bCs/>
                <w:color w:val="auto"/>
                <w:sz w:val="21"/>
                <w:szCs w:val="21"/>
              </w:rPr>
            </w:pPr>
            <w:r>
              <w:rPr>
                <w:rFonts w:hint="eastAsia" w:hAnsi="宋体"/>
                <w:color w:val="auto"/>
                <w:sz w:val="21"/>
                <w:szCs w:val="21"/>
              </w:rPr>
              <w:t>1</w:t>
            </w:r>
            <w:r>
              <w:rPr>
                <w:rFonts w:hAnsi="宋体"/>
                <w:color w:val="auto"/>
                <w:sz w:val="21"/>
                <w:szCs w:val="21"/>
              </w:rPr>
              <w:t>.</w:t>
            </w:r>
            <w:r>
              <w:rPr>
                <w:rFonts w:hint="eastAsia" w:hAnsi="宋体"/>
                <w:color w:val="auto"/>
                <w:sz w:val="21"/>
                <w:szCs w:val="21"/>
              </w:rPr>
              <w:t>中标人在收到中标通知书后</w:t>
            </w:r>
            <w:r>
              <w:rPr>
                <w:rFonts w:hint="eastAsia" w:hAnsi="宋体"/>
                <w:color w:val="auto"/>
                <w:sz w:val="21"/>
                <w:szCs w:val="21"/>
                <w:u w:val="single"/>
              </w:rPr>
              <w:t>3</w:t>
            </w:r>
            <w:r>
              <w:rPr>
                <w:rFonts w:hint="eastAsia" w:hAnsi="宋体"/>
                <w:color w:val="auto"/>
                <w:sz w:val="21"/>
                <w:szCs w:val="21"/>
              </w:rPr>
              <w:t>个工作日内应委派全权代表前来与重庆通慧网联科技有限公司洽谈，并在规定时间内签订合同。</w:t>
            </w:r>
          </w:p>
          <w:p>
            <w:pPr>
              <w:pStyle w:val="147"/>
              <w:spacing w:line="400" w:lineRule="exact"/>
              <w:ind w:firstLine="420" w:firstLineChars="200"/>
              <w:rPr>
                <w:rFonts w:hint="eastAsia" w:hAnsi="宋体"/>
                <w:color w:val="auto"/>
                <w:sz w:val="21"/>
                <w:szCs w:val="21"/>
              </w:rPr>
            </w:pPr>
            <w:r>
              <w:rPr>
                <w:rFonts w:hint="eastAsia" w:hAnsi="宋体"/>
                <w:color w:val="auto"/>
                <w:sz w:val="21"/>
                <w:szCs w:val="21"/>
              </w:rPr>
              <w:t>2</w:t>
            </w:r>
            <w:r>
              <w:rPr>
                <w:rFonts w:hAnsi="宋体"/>
                <w:color w:val="auto"/>
                <w:sz w:val="21"/>
                <w:szCs w:val="21"/>
              </w:rPr>
              <w:t>.</w:t>
            </w:r>
            <w:r>
              <w:rPr>
                <w:rFonts w:hint="eastAsia" w:hAnsi="宋体"/>
                <w:color w:val="auto"/>
                <w:sz w:val="21"/>
                <w:szCs w:val="21"/>
              </w:rPr>
              <w:t>如果中标人没有按上条的规定办理，采购人将有充分理由取消中标人的中标资格，同时采购人有权另选中标人。</w:t>
            </w:r>
          </w:p>
          <w:p>
            <w:pPr>
              <w:pStyle w:val="147"/>
              <w:spacing w:line="400" w:lineRule="exact"/>
              <w:ind w:firstLine="420" w:firstLineChars="200"/>
              <w:rPr>
                <w:rFonts w:hint="eastAsia" w:hAnsi="宋体"/>
                <w:color w:val="auto"/>
                <w:sz w:val="21"/>
                <w:szCs w:val="21"/>
              </w:rPr>
            </w:pPr>
            <w:r>
              <w:rPr>
                <w:rFonts w:hint="eastAsia" w:hAnsi="宋体"/>
                <w:color w:val="auto"/>
                <w:sz w:val="21"/>
                <w:szCs w:val="21"/>
              </w:rPr>
              <w:t>3</w:t>
            </w:r>
            <w:r>
              <w:rPr>
                <w:rFonts w:hAnsi="宋体"/>
                <w:color w:val="auto"/>
                <w:sz w:val="21"/>
                <w:szCs w:val="21"/>
              </w:rPr>
              <w:t>.</w:t>
            </w:r>
            <w:r>
              <w:rPr>
                <w:rFonts w:hint="eastAsia" w:hAnsi="宋体"/>
                <w:color w:val="auto"/>
                <w:sz w:val="21"/>
                <w:szCs w:val="21"/>
              </w:rPr>
              <w:t>在签订合同时，采购人有权对本比选文件所规定的项目清单内容予以增减。</w:t>
            </w:r>
          </w:p>
          <w:p>
            <w:pPr>
              <w:pStyle w:val="147"/>
              <w:spacing w:line="400" w:lineRule="exact"/>
              <w:ind w:firstLine="420" w:firstLineChars="200"/>
              <w:rPr>
                <w:rFonts w:hint="eastAsia" w:hAnsi="宋体"/>
                <w:color w:val="auto"/>
                <w:sz w:val="21"/>
                <w:szCs w:val="21"/>
              </w:rPr>
            </w:pPr>
            <w:r>
              <w:rPr>
                <w:rFonts w:hint="eastAsia" w:hAnsi="宋体"/>
                <w:color w:val="auto"/>
                <w:sz w:val="21"/>
                <w:szCs w:val="21"/>
              </w:rPr>
              <w:t>4</w:t>
            </w:r>
            <w:r>
              <w:rPr>
                <w:rFonts w:hAnsi="宋体"/>
                <w:color w:val="auto"/>
                <w:sz w:val="21"/>
                <w:szCs w:val="21"/>
              </w:rPr>
              <w:t>.</w:t>
            </w:r>
            <w:r>
              <w:rPr>
                <w:rFonts w:hint="eastAsia" w:hAnsi="宋体"/>
                <w:color w:val="auto"/>
                <w:sz w:val="21"/>
                <w:szCs w:val="21"/>
              </w:rPr>
              <w:t>本次计重设备专项服务项目合同，将以采购人提供的合同版本签订。</w:t>
            </w:r>
          </w:p>
          <w:p>
            <w:pPr>
              <w:pStyle w:val="147"/>
              <w:spacing w:line="400" w:lineRule="exact"/>
              <w:ind w:firstLine="420" w:firstLineChars="200"/>
              <w:rPr>
                <w:rFonts w:hint="eastAsia" w:hAnsi="宋体"/>
                <w:color w:val="auto"/>
                <w:sz w:val="21"/>
                <w:szCs w:val="21"/>
              </w:rPr>
            </w:pPr>
            <w:r>
              <w:rPr>
                <w:rFonts w:hint="eastAsia" w:hAnsi="宋体"/>
                <w:color w:val="auto"/>
                <w:sz w:val="21"/>
                <w:szCs w:val="21"/>
              </w:rPr>
              <w:t>5、中标通知书发出后，中标人3日内进场开展工作。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int="eastAsia" w:hAnsi="宋体"/>
                <w:color w:val="auto"/>
                <w:sz w:val="21"/>
                <w:szCs w:val="21"/>
              </w:rPr>
            </w:pPr>
            <w:r>
              <w:rPr>
                <w:rFonts w:hint="eastAsia" w:hAnsi="宋体"/>
                <w:color w:val="auto"/>
                <w:sz w:val="21"/>
                <w:szCs w:val="21"/>
              </w:rPr>
              <w:t>2</w:t>
            </w:r>
            <w:r>
              <w:rPr>
                <w:rFonts w:hAnsi="宋体"/>
                <w:color w:val="auto"/>
                <w:sz w:val="21"/>
                <w:szCs w:val="21"/>
              </w:rPr>
              <w:t>2</w:t>
            </w:r>
          </w:p>
        </w:tc>
        <w:tc>
          <w:tcPr>
            <w:tcW w:w="2106" w:type="dxa"/>
            <w:vAlign w:val="center"/>
          </w:tcPr>
          <w:p>
            <w:pPr>
              <w:pStyle w:val="147"/>
              <w:spacing w:line="400" w:lineRule="exact"/>
              <w:jc w:val="center"/>
              <w:rPr>
                <w:rFonts w:hint="eastAsia" w:hAnsi="宋体"/>
                <w:color w:val="auto"/>
                <w:sz w:val="21"/>
                <w:szCs w:val="21"/>
              </w:rPr>
            </w:pPr>
            <w:r>
              <w:rPr>
                <w:rFonts w:hint="eastAsia" w:hAnsi="宋体"/>
                <w:color w:val="auto"/>
                <w:sz w:val="21"/>
                <w:szCs w:val="21"/>
              </w:rPr>
              <w:t>保险</w:t>
            </w:r>
          </w:p>
        </w:tc>
        <w:tc>
          <w:tcPr>
            <w:tcW w:w="7104" w:type="dxa"/>
            <w:vAlign w:val="center"/>
          </w:tcPr>
          <w:p>
            <w:pPr>
              <w:pStyle w:val="147"/>
              <w:spacing w:line="400" w:lineRule="exact"/>
              <w:ind w:firstLine="420" w:firstLineChars="200"/>
              <w:rPr>
                <w:rFonts w:hint="eastAsia" w:hAnsi="宋体"/>
                <w:color w:val="auto"/>
                <w:sz w:val="21"/>
                <w:szCs w:val="21"/>
              </w:rPr>
            </w:pPr>
            <w:r>
              <w:rPr>
                <w:rFonts w:hint="eastAsia" w:hAnsi="宋体"/>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意外伤害医疗险”每人投保额度不低于</w:t>
            </w:r>
            <w:r>
              <w:rPr>
                <w:rFonts w:hAnsi="宋体"/>
                <w:color w:val="auto"/>
                <w:sz w:val="21"/>
                <w:szCs w:val="21"/>
              </w:rPr>
              <w:t>10</w:t>
            </w:r>
            <w:r>
              <w:rPr>
                <w:rFonts w:hint="eastAsia" w:hAnsi="宋体"/>
                <w:color w:val="auto"/>
                <w:sz w:val="21"/>
                <w:szCs w:val="21"/>
              </w:rPr>
              <w:t>万。中标人投保后须将保险单明细交与采购人备案。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int="eastAsia" w:hAnsi="宋体"/>
                <w:color w:val="auto"/>
                <w:sz w:val="21"/>
                <w:szCs w:val="21"/>
              </w:rPr>
            </w:pPr>
            <w:r>
              <w:rPr>
                <w:rFonts w:hint="eastAsia" w:hAnsi="宋体"/>
                <w:color w:val="auto"/>
                <w:sz w:val="21"/>
                <w:szCs w:val="21"/>
              </w:rPr>
              <w:t>2</w:t>
            </w:r>
            <w:r>
              <w:rPr>
                <w:rFonts w:hAnsi="宋体"/>
                <w:color w:val="auto"/>
                <w:sz w:val="21"/>
                <w:szCs w:val="21"/>
              </w:rPr>
              <w:t>3</w:t>
            </w:r>
          </w:p>
        </w:tc>
        <w:tc>
          <w:tcPr>
            <w:tcW w:w="2106" w:type="dxa"/>
            <w:vAlign w:val="center"/>
          </w:tcPr>
          <w:p>
            <w:pPr>
              <w:pStyle w:val="147"/>
              <w:spacing w:line="400" w:lineRule="exact"/>
              <w:jc w:val="center"/>
              <w:rPr>
                <w:rFonts w:hint="eastAsia" w:hAnsi="宋体"/>
                <w:color w:val="auto"/>
                <w:sz w:val="21"/>
                <w:szCs w:val="21"/>
              </w:rPr>
            </w:pPr>
            <w:r>
              <w:rPr>
                <w:rFonts w:hint="eastAsia" w:hAnsi="宋体"/>
                <w:color w:val="auto"/>
                <w:kern w:val="2"/>
                <w:sz w:val="21"/>
                <w:szCs w:val="21"/>
              </w:rPr>
              <w:t>监督部门</w:t>
            </w:r>
          </w:p>
        </w:tc>
        <w:tc>
          <w:tcPr>
            <w:tcW w:w="7104" w:type="dxa"/>
            <w:vAlign w:val="center"/>
          </w:tcPr>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监督部门：重庆通慧网联科技有限公司综合部</w:t>
            </w:r>
          </w:p>
          <w:p>
            <w:pPr>
              <w:pStyle w:val="147"/>
              <w:spacing w:line="400" w:lineRule="exact"/>
              <w:ind w:firstLine="420" w:firstLineChars="200"/>
              <w:rPr>
                <w:rFonts w:hint="eastAsia" w:hAnsi="宋体"/>
                <w:color w:val="auto"/>
                <w:kern w:val="2"/>
                <w:sz w:val="21"/>
                <w:szCs w:val="21"/>
              </w:rPr>
            </w:pPr>
            <w:r>
              <w:rPr>
                <w:rFonts w:hint="eastAsia" w:hAnsi="宋体"/>
                <w:color w:val="auto"/>
                <w:kern w:val="2"/>
                <w:sz w:val="21"/>
                <w:szCs w:val="21"/>
              </w:rPr>
              <w:t>地    址：</w:t>
            </w:r>
            <w:r>
              <w:rPr>
                <w:rFonts w:hint="eastAsia" w:hAnsi="宋体"/>
                <w:color w:val="auto"/>
                <w:sz w:val="21"/>
                <w:szCs w:val="21"/>
              </w:rPr>
              <w:t>重庆市渝北区冉家坝天邻风景小区2</w:t>
            </w:r>
            <w:r>
              <w:rPr>
                <w:rFonts w:hAnsi="宋体"/>
                <w:color w:val="auto"/>
                <w:sz w:val="21"/>
                <w:szCs w:val="21"/>
              </w:rPr>
              <w:t>4</w:t>
            </w:r>
            <w:r>
              <w:rPr>
                <w:rFonts w:hint="eastAsia" w:hAnsi="宋体"/>
                <w:color w:val="auto"/>
                <w:sz w:val="21"/>
                <w:szCs w:val="21"/>
              </w:rPr>
              <w:t>栋1</w:t>
            </w:r>
            <w:r>
              <w:rPr>
                <w:rFonts w:hAnsi="宋体"/>
                <w:color w:val="auto"/>
                <w:sz w:val="21"/>
                <w:szCs w:val="21"/>
              </w:rPr>
              <w:t>9-3</w:t>
            </w:r>
          </w:p>
          <w:p>
            <w:pPr>
              <w:pStyle w:val="147"/>
              <w:spacing w:line="400" w:lineRule="exact"/>
              <w:ind w:firstLine="420" w:firstLineChars="200"/>
              <w:rPr>
                <w:rFonts w:hint="eastAsia" w:hAnsi="宋体"/>
                <w:color w:val="auto"/>
                <w:sz w:val="21"/>
                <w:szCs w:val="21"/>
              </w:rPr>
            </w:pPr>
            <w:r>
              <w:rPr>
                <w:rFonts w:hint="eastAsia" w:hAnsi="宋体"/>
                <w:color w:val="auto"/>
                <w:kern w:val="2"/>
                <w:sz w:val="21"/>
                <w:szCs w:val="21"/>
              </w:rPr>
              <w:t>电    话：1992307998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4</w:t>
            </w:r>
          </w:p>
        </w:tc>
        <w:tc>
          <w:tcPr>
            <w:tcW w:w="9210" w:type="dxa"/>
            <w:gridSpan w:val="2"/>
            <w:vAlign w:val="center"/>
          </w:tcPr>
          <w:p>
            <w:pPr>
              <w:pStyle w:val="147"/>
              <w:spacing w:line="400" w:lineRule="exact"/>
              <w:ind w:firstLine="482" w:firstLineChars="200"/>
              <w:jc w:val="center"/>
              <w:rPr>
                <w:rFonts w:hint="eastAsia"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4</w:t>
            </w:r>
            <w:r>
              <w:rPr>
                <w:rFonts w:hint="eastAsia" w:hAnsi="宋体"/>
                <w:color w:val="auto"/>
                <w:kern w:val="2"/>
                <w:sz w:val="21"/>
                <w:szCs w:val="21"/>
              </w:rPr>
              <w:t>.1</w:t>
            </w:r>
          </w:p>
        </w:tc>
        <w:tc>
          <w:tcPr>
            <w:tcW w:w="9210" w:type="dxa"/>
            <w:gridSpan w:val="2"/>
            <w:vAlign w:val="center"/>
          </w:tcPr>
          <w:p>
            <w:pPr>
              <w:pStyle w:val="147"/>
              <w:spacing w:line="400" w:lineRule="exact"/>
              <w:ind w:firstLine="422" w:firstLineChars="200"/>
              <w:rPr>
                <w:rFonts w:hint="eastAsia" w:hAnsi="宋体"/>
                <w:b/>
                <w:bCs/>
                <w:szCs w:val="21"/>
              </w:rPr>
            </w:pPr>
            <w:r>
              <w:rPr>
                <w:rFonts w:hint="eastAsia" w:hAnsi="宋体"/>
                <w:b/>
                <w:sz w:val="21"/>
                <w:szCs w:val="21"/>
              </w:rPr>
              <w:t>截止竞争性比选响应文件递交时间，递交竞争性比选响应文件不足3家的不得开启竞争性比选文件。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4.2</w:t>
            </w:r>
          </w:p>
        </w:tc>
        <w:tc>
          <w:tcPr>
            <w:tcW w:w="9210" w:type="dxa"/>
            <w:gridSpan w:val="2"/>
            <w:vAlign w:val="center"/>
          </w:tcPr>
          <w:p>
            <w:pPr>
              <w:pStyle w:val="147"/>
              <w:spacing w:line="400" w:lineRule="exact"/>
              <w:ind w:firstLine="422" w:firstLineChars="200"/>
              <w:rPr>
                <w:rFonts w:hint="eastAsia" w:hAnsi="宋体"/>
                <w:b/>
                <w:sz w:val="21"/>
                <w:szCs w:val="21"/>
              </w:rPr>
            </w:pPr>
            <w:r>
              <w:rPr>
                <w:rFonts w:hint="eastAsia" w:hAnsi="宋体"/>
                <w:b/>
                <w:sz w:val="21"/>
                <w:szCs w:val="21"/>
              </w:rPr>
              <w:t>按采购人要求由中标人自行在每个作业点设置“非现场移动可视化安全检查平台”（布控球中标人自行采购），并接入</w:t>
            </w:r>
            <w:r>
              <w:rPr>
                <w:rFonts w:hint="eastAsia" w:hAnsi="宋体"/>
                <w:b/>
                <w:sz w:val="21"/>
                <w:szCs w:val="21"/>
                <w:lang w:val="en-US" w:eastAsia="zh-CN"/>
              </w:rPr>
              <w:t>采购人指定的</w:t>
            </w:r>
            <w:r>
              <w:rPr>
                <w:rFonts w:hint="eastAsia" w:hAnsi="宋体"/>
                <w:b/>
                <w:sz w:val="21"/>
                <w:szCs w:val="21"/>
              </w:rPr>
              <w:t>安全管理平台。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4.3</w:t>
            </w:r>
          </w:p>
        </w:tc>
        <w:tc>
          <w:tcPr>
            <w:tcW w:w="9210" w:type="dxa"/>
            <w:gridSpan w:val="2"/>
            <w:vAlign w:val="center"/>
          </w:tcPr>
          <w:p>
            <w:pPr>
              <w:pStyle w:val="147"/>
              <w:spacing w:line="400" w:lineRule="exact"/>
              <w:ind w:firstLine="422" w:firstLineChars="200"/>
              <w:rPr>
                <w:rFonts w:hint="eastAsia" w:hAnsi="宋体"/>
                <w:b/>
                <w:sz w:val="21"/>
                <w:szCs w:val="21"/>
              </w:rPr>
            </w:pPr>
            <w:r>
              <w:rPr>
                <w:rFonts w:hint="eastAsia" w:hAnsi="宋体"/>
                <w:b/>
                <w:sz w:val="21"/>
                <w:szCs w:val="21"/>
              </w:rPr>
              <w:t>现场工程量清单通过据实计量结算，若采购人要求某一路段变减，中标单位须无条件服从。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5</w:t>
            </w:r>
          </w:p>
        </w:tc>
        <w:tc>
          <w:tcPr>
            <w:tcW w:w="9210" w:type="dxa"/>
            <w:gridSpan w:val="2"/>
            <w:vAlign w:val="center"/>
          </w:tcPr>
          <w:p>
            <w:pPr>
              <w:pStyle w:val="147"/>
              <w:spacing w:line="400" w:lineRule="exact"/>
              <w:ind w:firstLine="482" w:firstLineChars="200"/>
              <w:jc w:val="center"/>
              <w:rPr>
                <w:rFonts w:hint="eastAsia" w:hAnsi="宋体"/>
                <w:b/>
              </w:rPr>
            </w:pPr>
            <w:r>
              <w:rPr>
                <w:rFonts w:hint="eastAsia" w:hAnsi="宋体"/>
                <w:b/>
              </w:rPr>
              <w:t>计重称台设备专项服务技术标准、范围、内容、要求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int="eastAsia" w:hAnsi="宋体"/>
                <w:color w:val="auto"/>
                <w:kern w:val="2"/>
                <w:sz w:val="21"/>
                <w:szCs w:val="21"/>
              </w:rPr>
            </w:pPr>
            <w:r>
              <w:rPr>
                <w:rFonts w:hint="eastAsia" w:hAnsi="宋体"/>
                <w:color w:val="auto"/>
                <w:kern w:val="2"/>
                <w:sz w:val="21"/>
                <w:szCs w:val="21"/>
              </w:rPr>
              <w:t>2</w:t>
            </w:r>
            <w:r>
              <w:rPr>
                <w:rFonts w:hAnsi="宋体"/>
                <w:color w:val="auto"/>
                <w:kern w:val="2"/>
                <w:sz w:val="21"/>
                <w:szCs w:val="21"/>
              </w:rPr>
              <w:t>5.1</w:t>
            </w:r>
          </w:p>
        </w:tc>
        <w:tc>
          <w:tcPr>
            <w:tcW w:w="9210" w:type="dxa"/>
            <w:gridSpan w:val="2"/>
            <w:vAlign w:val="center"/>
          </w:tcPr>
          <w:p>
            <w:pPr>
              <w:pStyle w:val="147"/>
              <w:spacing w:line="400" w:lineRule="exact"/>
              <w:rPr>
                <w:rFonts w:hint="eastAsia" w:hAnsi="宋体"/>
                <w:b/>
                <w:bCs/>
                <w:szCs w:val="21"/>
              </w:rPr>
            </w:pPr>
            <w:r>
              <w:rPr>
                <w:rFonts w:hint="eastAsia" w:hAnsi="宋体"/>
                <w:b/>
                <w:bCs/>
                <w:szCs w:val="21"/>
              </w:rPr>
              <w:t>详情见附件。</w:t>
            </w:r>
          </w:p>
        </w:tc>
      </w:tr>
      <w:bookmarkEnd w:id="88"/>
    </w:tbl>
    <w:p>
      <w:pPr>
        <w:spacing w:line="360" w:lineRule="auto"/>
        <w:jc w:val="center"/>
        <w:rPr>
          <w:rFonts w:hint="eastAsia"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3"/>
        <w:jc w:val="center"/>
        <w:rPr>
          <w:rFonts w:hint="eastAsia" w:ascii="宋体" w:hAnsi="宋体" w:eastAsia="宋体" w:cs="宋体"/>
          <w:bCs w:val="0"/>
          <w:sz w:val="28"/>
          <w:szCs w:val="28"/>
        </w:rPr>
      </w:pPr>
      <w:bookmarkStart w:id="92" w:name="_Toc11329222"/>
      <w:bookmarkStart w:id="93" w:name="_Toc17532"/>
      <w:bookmarkStart w:id="94" w:name="_Toc30198"/>
      <w:bookmarkStart w:id="95" w:name="_Toc11284"/>
      <w:r>
        <w:rPr>
          <w:rFonts w:hint="eastAsia" w:ascii="宋体" w:hAnsi="宋体" w:eastAsia="宋体" w:cs="宋体"/>
          <w:sz w:val="28"/>
          <w:szCs w:val="28"/>
        </w:rPr>
        <w:t xml:space="preserve">附录1  </w:t>
      </w:r>
      <w:bookmarkEnd w:id="92"/>
      <w:bookmarkEnd w:id="93"/>
      <w:bookmarkEnd w:id="94"/>
      <w:bookmarkEnd w:id="95"/>
      <w:bookmarkStart w:id="96" w:name="_Toc12773"/>
      <w:bookmarkStart w:id="97" w:name="_Toc25591"/>
      <w:bookmarkStart w:id="98" w:name="_Toc27096"/>
      <w:bookmarkStart w:id="99" w:name="_Toc11329226"/>
      <w:r>
        <w:rPr>
          <w:rFonts w:hint="eastAsia" w:ascii="宋体" w:hAnsi="宋体" w:eastAsia="宋体" w:cs="宋体"/>
          <w:bCs w:val="0"/>
          <w:sz w:val="28"/>
          <w:szCs w:val="28"/>
        </w:rPr>
        <w:t>资格审查文件</w:t>
      </w:r>
    </w:p>
    <w:p>
      <w:pPr>
        <w:jc w:val="center"/>
        <w:rPr>
          <w:b/>
        </w:rPr>
      </w:pPr>
      <w:r>
        <w:rPr>
          <w:rFonts w:hint="eastAsia" w:ascii="宋体" w:hAnsi="宋体" w:cs="宋体"/>
          <w:b/>
          <w:bCs/>
          <w:sz w:val="28"/>
          <w:szCs w:val="28"/>
        </w:rPr>
        <w:t>（项目主要管理人员最低要求）</w:t>
      </w:r>
    </w:p>
    <w:tbl>
      <w:tblPr>
        <w:tblStyle w:val="41"/>
        <w:tblW w:w="10065" w:type="dxa"/>
        <w:tblInd w:w="-289" w:type="dxa"/>
        <w:tblLayout w:type="fixed"/>
        <w:tblCellMar>
          <w:top w:w="0" w:type="dxa"/>
          <w:left w:w="108" w:type="dxa"/>
          <w:bottom w:w="0" w:type="dxa"/>
          <w:right w:w="108" w:type="dxa"/>
        </w:tblCellMar>
      </w:tblPr>
      <w:tblGrid>
        <w:gridCol w:w="851"/>
        <w:gridCol w:w="3261"/>
        <w:gridCol w:w="3118"/>
        <w:gridCol w:w="2835"/>
      </w:tblGrid>
      <w:tr>
        <w:tblPrEx>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bookmarkStart w:id="100" w:name="_Hlk92357396"/>
            <w:r>
              <w:rPr>
                <w:rFonts w:hint="eastAsia" w:ascii="宋体" w:hAnsi="宋体" w:cs="宋体"/>
                <w:color w:val="000000"/>
                <w:kern w:val="0"/>
                <w:szCs w:val="21"/>
                <w:lang w:bidi="ar"/>
              </w:rPr>
              <w:t>序号</w:t>
            </w:r>
          </w:p>
        </w:tc>
        <w:tc>
          <w:tcPr>
            <w:tcW w:w="326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人员配置</w:t>
            </w:r>
          </w:p>
        </w:tc>
        <w:tc>
          <w:tcPr>
            <w:tcW w:w="31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职称或职业资格</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社保</w:t>
            </w:r>
          </w:p>
        </w:tc>
      </w:tr>
      <w:tr>
        <w:tblPrEx>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w:t>
            </w:r>
          </w:p>
        </w:tc>
        <w:tc>
          <w:tcPr>
            <w:tcW w:w="326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项目经理1名</w:t>
            </w:r>
          </w:p>
        </w:tc>
        <w:tc>
          <w:tcPr>
            <w:tcW w:w="31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无</w:t>
            </w:r>
          </w:p>
        </w:tc>
        <w:tc>
          <w:tcPr>
            <w:tcW w:w="283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近六个月及以上社保证明</w:t>
            </w:r>
          </w:p>
        </w:tc>
      </w:tr>
      <w:bookmarkEnd w:id="100"/>
    </w:tbl>
    <w:p>
      <w:r>
        <w:rPr>
          <w:rFonts w:hint="eastAsia" w:hAnsi="宋体"/>
          <w:szCs w:val="21"/>
        </w:rPr>
        <w:t>注：以上人员需提供项目主要管理人员名单（表格形式），人员相关资质证件、身份证复印件及由社保局出具的报价人为以上人员缴纳近六个月的社保证明（带有社保部门公章或社保部门的有效电子印章），所有证件需在有效期内，并加盖单位鲜公章。</w:t>
      </w:r>
    </w:p>
    <w:bookmarkEnd w:id="96"/>
    <w:bookmarkEnd w:id="97"/>
    <w:bookmarkEnd w:id="98"/>
    <w:bookmarkEnd w:id="99"/>
    <w:p>
      <w:pPr>
        <w:outlineLvl w:val="1"/>
        <w:rPr>
          <w:rFonts w:hint="eastAsia" w:ascii="宋体" w:hAnsi="宋体" w:cs="宋体"/>
          <w:b/>
          <w:sz w:val="28"/>
          <w:szCs w:val="28"/>
        </w:rPr>
        <w:sectPr>
          <w:pgSz w:w="11906" w:h="16838"/>
          <w:pgMar w:top="1418" w:right="1134" w:bottom="1418" w:left="1134" w:header="851" w:footer="992" w:gutter="0"/>
          <w:cols w:space="720" w:num="1"/>
          <w:docGrid w:type="lines" w:linePitch="312" w:charSpace="0"/>
        </w:sectPr>
      </w:pPr>
      <w:bookmarkStart w:id="101" w:name="_Toc388534043"/>
      <w:bookmarkStart w:id="102" w:name="_Toc387234996"/>
    </w:p>
    <w:p>
      <w:pPr>
        <w:pStyle w:val="3"/>
        <w:jc w:val="center"/>
        <w:rPr>
          <w:rFonts w:hint="eastAsia" w:ascii="宋体" w:hAnsi="宋体" w:eastAsia="宋体" w:cs="宋体"/>
          <w:bCs w:val="0"/>
          <w:sz w:val="28"/>
          <w:szCs w:val="28"/>
        </w:rPr>
      </w:pPr>
      <w:bookmarkStart w:id="103" w:name="_Toc21487"/>
      <w:bookmarkStart w:id="104" w:name="_Toc27148"/>
      <w:bookmarkStart w:id="105" w:name="_Toc11329227"/>
      <w:bookmarkStart w:id="106" w:name="_Toc8293"/>
      <w:r>
        <w:rPr>
          <w:rFonts w:hint="eastAsia" w:ascii="宋体" w:hAnsi="宋体" w:eastAsia="宋体" w:cs="宋体"/>
          <w:bCs w:val="0"/>
          <w:sz w:val="28"/>
          <w:szCs w:val="28"/>
        </w:rPr>
        <w:t>附录2 资格审查文件（项目其他人员最低要求）</w:t>
      </w:r>
      <w:bookmarkEnd w:id="103"/>
      <w:bookmarkEnd w:id="104"/>
      <w:bookmarkEnd w:id="105"/>
      <w:bookmarkEnd w:id="106"/>
    </w:p>
    <w:tbl>
      <w:tblPr>
        <w:tblStyle w:val="41"/>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hint="eastAsia" w:ascii="宋体" w:hAnsi="宋体" w:cs="宋体"/>
                <w:b/>
                <w:szCs w:val="21"/>
              </w:rPr>
            </w:pPr>
            <w:bookmarkStart w:id="107" w:name="_Toc413241584"/>
            <w:bookmarkStart w:id="108" w:name="_Toc23696"/>
            <w:bookmarkStart w:id="109" w:name="_Toc507319900"/>
            <w:r>
              <w:rPr>
                <w:rFonts w:hint="eastAsia" w:ascii="宋体" w:hAnsi="宋体" w:cs="宋体"/>
                <w:b/>
                <w:szCs w:val="21"/>
              </w:rPr>
              <w:t>现场人员最低要求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shd w:val="clear" w:color="auto" w:fill="auto"/>
          </w:tcPr>
          <w:p>
            <w:pPr>
              <w:pStyle w:val="166"/>
              <w:ind w:left="420" w:firstLine="0" w:firstLineChars="0"/>
              <w:rPr>
                <w:rFonts w:hint="eastAsia" w:hAnsi="宋体"/>
                <w:b/>
                <w:bCs/>
                <w:szCs w:val="21"/>
              </w:rPr>
            </w:pPr>
            <w:r>
              <w:rPr>
                <w:rFonts w:hint="eastAsia" w:hAnsi="宋体"/>
                <w:b/>
                <w:bCs/>
                <w:szCs w:val="21"/>
              </w:rPr>
              <w:t>投标人组织</w:t>
            </w:r>
            <w:r>
              <w:rPr>
                <w:rFonts w:hint="eastAsia" w:hAnsi="宋体"/>
                <w:b/>
                <w:bCs/>
                <w:szCs w:val="21"/>
                <w:lang w:val="en-US" w:eastAsia="zh-CN"/>
              </w:rPr>
              <w:t>的</w:t>
            </w:r>
            <w:r>
              <w:rPr>
                <w:rFonts w:hint="eastAsia" w:hAnsi="宋体"/>
                <w:b/>
                <w:bCs/>
                <w:szCs w:val="21"/>
              </w:rPr>
              <w:t>队伍最低要求如下：</w:t>
            </w:r>
          </w:p>
          <w:p>
            <w:pPr>
              <w:pStyle w:val="166"/>
              <w:numPr>
                <w:ilvl w:val="0"/>
                <w:numId w:val="4"/>
              </w:numPr>
              <w:ind w:left="0" w:firstLine="0" w:firstLineChars="0"/>
              <w:rPr>
                <w:rFonts w:hint="eastAsia" w:hAnsi="宋体"/>
                <w:b/>
                <w:bCs/>
                <w:szCs w:val="21"/>
              </w:rPr>
            </w:pPr>
            <w:r>
              <w:rPr>
                <w:rFonts w:hint="eastAsia" w:hAnsi="宋体"/>
                <w:b/>
                <w:bCs/>
                <w:szCs w:val="21"/>
              </w:rPr>
              <w:t>现场服务人员不少于2名，至少一名服务人员需具备低压电工操作证（特种作业）；</w:t>
            </w:r>
          </w:p>
          <w:p>
            <w:pPr>
              <w:pStyle w:val="166"/>
              <w:numPr>
                <w:ilvl w:val="-1"/>
                <w:numId w:val="0"/>
              </w:numPr>
              <w:ind w:left="0" w:firstLine="0" w:firstLineChars="0"/>
              <w:rPr>
                <w:rFonts w:hint="eastAsia" w:hAnsi="宋体"/>
                <w:b/>
                <w:bCs/>
                <w:szCs w:val="21"/>
              </w:rPr>
            </w:pPr>
            <w:r>
              <w:rPr>
                <w:rFonts w:hint="eastAsia" w:hAnsi="宋体"/>
                <w:b/>
                <w:bCs/>
                <w:szCs w:val="21"/>
                <w:lang w:val="en-US" w:eastAsia="zh-CN"/>
              </w:rPr>
              <w:t>2.</w:t>
            </w:r>
            <w:r>
              <w:rPr>
                <w:rFonts w:hint="eastAsia" w:hAnsi="宋体"/>
                <w:b/>
                <w:bCs/>
                <w:szCs w:val="21"/>
              </w:rPr>
              <w:t>现场人员年龄不超过</w:t>
            </w:r>
            <w:r>
              <w:rPr>
                <w:rFonts w:hAnsi="宋体"/>
                <w:b/>
                <w:bCs/>
                <w:szCs w:val="21"/>
              </w:rPr>
              <w:t>60</w:t>
            </w:r>
            <w:r>
              <w:rPr>
                <w:rFonts w:hint="eastAsia" w:hAnsi="宋体"/>
                <w:b/>
                <w:bCs/>
                <w:szCs w:val="21"/>
              </w:rPr>
              <w:t>岁；</w:t>
            </w:r>
          </w:p>
          <w:p>
            <w:pPr>
              <w:pStyle w:val="166"/>
              <w:numPr>
                <w:ilvl w:val="-1"/>
                <w:numId w:val="0"/>
              </w:numPr>
              <w:ind w:left="0" w:firstLine="0" w:firstLineChars="0"/>
              <w:rPr>
                <w:rFonts w:hint="eastAsia" w:hAnsi="宋体"/>
                <w:b/>
                <w:bCs/>
                <w:szCs w:val="21"/>
              </w:rPr>
            </w:pPr>
            <w:r>
              <w:rPr>
                <w:rFonts w:hint="eastAsia" w:hAnsi="宋体"/>
                <w:b/>
                <w:bCs/>
                <w:szCs w:val="21"/>
                <w:lang w:val="en-US" w:eastAsia="zh-CN"/>
              </w:rPr>
              <w:t>3.</w:t>
            </w:r>
            <w:r>
              <w:rPr>
                <w:rFonts w:hint="eastAsia" w:hAnsi="宋体"/>
                <w:b/>
                <w:bCs/>
                <w:szCs w:val="21"/>
              </w:rPr>
              <w:t>驾驶人员应持驾驶证等相关证件上岗；</w:t>
            </w:r>
          </w:p>
          <w:p>
            <w:pPr>
              <w:pStyle w:val="166"/>
              <w:numPr>
                <w:ilvl w:val="-1"/>
                <w:numId w:val="0"/>
              </w:numPr>
              <w:ind w:left="0" w:firstLine="0" w:firstLineChars="0"/>
              <w:rPr>
                <w:rFonts w:hint="eastAsia" w:hAnsi="宋体"/>
                <w:b/>
                <w:bCs/>
                <w:szCs w:val="21"/>
              </w:rPr>
            </w:pPr>
            <w:r>
              <w:rPr>
                <w:rFonts w:hint="eastAsia" w:hAnsi="宋体"/>
                <w:b/>
                <w:bCs/>
                <w:szCs w:val="21"/>
                <w:lang w:val="en-US" w:eastAsia="zh-CN"/>
              </w:rPr>
              <w:t>4</w:t>
            </w:r>
            <w:r>
              <w:rPr>
                <w:rFonts w:hint="eastAsia" w:hAnsi="宋体"/>
                <w:b/>
                <w:bCs/>
                <w:szCs w:val="21"/>
              </w:rPr>
              <w:t>交通组织所需的人员、车辆、标志标牌等根据施工作业区要求另行配置。</w:t>
            </w:r>
          </w:p>
          <w:p>
            <w:pPr>
              <w:pStyle w:val="166"/>
              <w:numPr>
                <w:ilvl w:val="-1"/>
                <w:numId w:val="0"/>
              </w:numPr>
              <w:ind w:left="0" w:firstLine="0" w:firstLineChars="0"/>
              <w:rPr>
                <w:rFonts w:hint="eastAsia" w:hAnsi="宋体"/>
                <w:b/>
                <w:bCs/>
                <w:szCs w:val="21"/>
              </w:rPr>
            </w:pPr>
            <w:r>
              <w:rPr>
                <w:rFonts w:hint="eastAsia" w:hAnsi="宋体"/>
                <w:b/>
                <w:bCs/>
                <w:szCs w:val="21"/>
                <w:lang w:val="en-US" w:eastAsia="zh-CN"/>
              </w:rPr>
              <w:t>5.</w:t>
            </w:r>
            <w:r>
              <w:rPr>
                <w:rFonts w:hint="eastAsia" w:hAnsi="宋体"/>
                <w:b/>
                <w:bCs/>
                <w:szCs w:val="21"/>
              </w:rPr>
              <w:t>中标人在收到中标通知书后（与采购人签订合同前）需在</w:t>
            </w:r>
            <w:r>
              <w:rPr>
                <w:rFonts w:hAnsi="宋体"/>
                <w:b/>
                <w:bCs/>
                <w:szCs w:val="21"/>
              </w:rPr>
              <w:t>3</w:t>
            </w:r>
            <w:r>
              <w:rPr>
                <w:rFonts w:hint="eastAsia" w:hAnsi="宋体"/>
                <w:b/>
                <w:bCs/>
                <w:szCs w:val="21"/>
              </w:rPr>
              <w:t>日内提供对各个现场人员购买100万及以上的保险，</w:t>
            </w:r>
            <w:r>
              <w:rPr>
                <w:rFonts w:hint="eastAsia" w:hAnsi="宋体" w:asciiTheme="minorHAnsi" w:eastAsiaTheme="minorEastAsia" w:cstheme="minorBidi"/>
                <w:b/>
                <w:bCs/>
                <w:szCs w:val="21"/>
              </w:rPr>
              <w:t>“意外伤害医疗险”每人投保额度不低于</w:t>
            </w:r>
            <w:r>
              <w:rPr>
                <w:rFonts w:hAnsi="宋体" w:asciiTheme="minorHAnsi" w:eastAsiaTheme="minorEastAsia" w:cstheme="minorBidi"/>
                <w:b/>
                <w:bCs/>
                <w:szCs w:val="21"/>
              </w:rPr>
              <w:t>10</w:t>
            </w:r>
            <w:r>
              <w:rPr>
                <w:rFonts w:hint="eastAsia" w:hAnsi="宋体" w:asciiTheme="minorHAnsi" w:eastAsiaTheme="minorEastAsia" w:cstheme="minorBidi"/>
                <w:b/>
                <w:bCs/>
                <w:szCs w:val="21"/>
              </w:rPr>
              <w:t>万</w:t>
            </w:r>
            <w:r>
              <w:rPr>
                <w:rFonts w:hint="eastAsia" w:hAnsi="宋体"/>
                <w:b/>
                <w:bCs/>
                <w:szCs w:val="21"/>
              </w:rPr>
              <w:t>，并到采购人处进行报备。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int="eastAsia" w:hAnsi="宋体"/>
                <w:bCs/>
                <w:szCs w:val="21"/>
              </w:rPr>
            </w:pPr>
          </w:p>
        </w:tc>
      </w:tr>
    </w:tbl>
    <w:p>
      <w:pPr>
        <w:pStyle w:val="147"/>
        <w:adjustRightInd/>
        <w:spacing w:line="360" w:lineRule="auto"/>
        <w:jc w:val="both"/>
        <w:rPr>
          <w:rFonts w:hint="eastAsia" w:hAnsi="宋体"/>
          <w:color w:val="FF0000"/>
          <w:sz w:val="21"/>
          <w:szCs w:val="21"/>
        </w:rPr>
      </w:pPr>
      <w:r>
        <w:rPr>
          <w:rFonts w:hint="eastAsia" w:hAnsi="宋体"/>
          <w:color w:val="auto"/>
          <w:sz w:val="21"/>
          <w:szCs w:val="21"/>
        </w:rPr>
        <w:t>注：需提供以上人员相身份证复印件，所有证件需在有效期内，并加盖单位鲜公章。</w:t>
      </w:r>
    </w:p>
    <w:bookmarkEnd w:id="107"/>
    <w:bookmarkEnd w:id="108"/>
    <w:bookmarkEnd w:id="109"/>
    <w:p>
      <w:pPr>
        <w:pStyle w:val="3"/>
        <w:rPr>
          <w:rStyle w:val="75"/>
          <w:rFonts w:hint="eastAsia" w:ascii="宋体" w:hAnsi="宋体" w:eastAsia="宋体" w:cs="宋体"/>
          <w:b w:val="0"/>
          <w:bCs w:val="0"/>
          <w:sz w:val="28"/>
          <w:szCs w:val="28"/>
        </w:rPr>
      </w:pPr>
    </w:p>
    <w:p>
      <w:pPr>
        <w:pStyle w:val="3"/>
        <w:rPr>
          <w:rFonts w:hint="eastAsia" w:hAnsi="宋体"/>
          <w:b w:val="0"/>
          <w:sz w:val="28"/>
          <w:szCs w:val="28"/>
        </w:rPr>
      </w:pPr>
      <w:bookmarkStart w:id="110" w:name="_Toc4169"/>
      <w:bookmarkStart w:id="111" w:name="_Toc6096"/>
      <w:bookmarkStart w:id="112" w:name="_Toc17384"/>
      <w:r>
        <w:rPr>
          <w:rFonts w:hint="eastAsia" w:ascii="宋体" w:hAnsi="宋体" w:eastAsia="宋体" w:cs="宋体"/>
          <w:bCs w:val="0"/>
          <w:sz w:val="28"/>
          <w:szCs w:val="28"/>
        </w:rPr>
        <w:t>附录3 资格审查文件（主要机械设备和试验检测设备最低要求）</w:t>
      </w:r>
      <w:bookmarkEnd w:id="110"/>
      <w:bookmarkEnd w:id="111"/>
      <w:bookmarkEnd w:id="112"/>
    </w:p>
    <w:tbl>
      <w:tblPr>
        <w:tblStyle w:val="41"/>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根据项目实际施工进度情况报价人自行提交。</w:t>
            </w:r>
          </w:p>
        </w:tc>
      </w:tr>
    </w:tbl>
    <w:p>
      <w:pPr>
        <w:spacing w:line="400" w:lineRule="exact"/>
        <w:ind w:firstLine="420"/>
        <w:rPr>
          <w:rFonts w:hint="eastAsia"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7"/>
        <w:adjustRightInd/>
        <w:spacing w:line="400" w:lineRule="exact"/>
        <w:ind w:firstLine="422" w:firstLineChars="200"/>
        <w:jc w:val="both"/>
        <w:rPr>
          <w:rFonts w:hint="eastAsia" w:hAnsi="宋体"/>
          <w:bCs/>
          <w:color w:val="auto"/>
          <w:sz w:val="21"/>
          <w:szCs w:val="21"/>
        </w:rPr>
      </w:pPr>
      <w:r>
        <w:rPr>
          <w:rFonts w:hint="eastAsia" w:hAnsi="宋体"/>
          <w:b/>
          <w:bCs/>
          <w:color w:val="auto"/>
          <w:sz w:val="21"/>
          <w:szCs w:val="21"/>
        </w:rPr>
        <w:t>以上（附录1-附录3中的资格审查）的要求均为强制性条件，其中任何一条不满足要求，则按否决报价处理。</w:t>
      </w:r>
    </w:p>
    <w:p>
      <w:pPr>
        <w:pStyle w:val="147"/>
        <w:adjustRightInd/>
        <w:spacing w:line="360" w:lineRule="auto"/>
        <w:jc w:val="both"/>
        <w:rPr>
          <w:rFonts w:hint="eastAsia" w:hAnsi="宋体"/>
          <w:bCs/>
          <w:color w:val="auto"/>
          <w:sz w:val="21"/>
          <w:szCs w:val="21"/>
        </w:rPr>
      </w:pPr>
    </w:p>
    <w:bookmarkEnd w:id="101"/>
    <w:bookmarkEnd w:id="102"/>
    <w:p>
      <w:pPr>
        <w:spacing w:line="440" w:lineRule="exact"/>
        <w:rPr>
          <w:rFonts w:hint="eastAsia"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hint="eastAsia" w:ascii="宋体" w:hAnsi="宋体" w:cs="宋体"/>
        </w:rPr>
      </w:pPr>
    </w:p>
    <w:p>
      <w:pPr>
        <w:pStyle w:val="2"/>
        <w:spacing w:before="0" w:after="0" w:line="360" w:lineRule="auto"/>
        <w:jc w:val="center"/>
        <w:rPr>
          <w:rFonts w:hint="eastAsia" w:ascii="宋体" w:hAnsi="宋体" w:cs="宋体"/>
        </w:rPr>
      </w:pPr>
      <w:bookmarkStart w:id="113" w:name="_Toc7682"/>
      <w:bookmarkStart w:id="114" w:name="_Toc152042364"/>
      <w:bookmarkStart w:id="115" w:name="_Toc152045587"/>
      <w:bookmarkStart w:id="116" w:name="_Toc507319957"/>
      <w:bookmarkStart w:id="117" w:name="_Toc179632605"/>
      <w:bookmarkStart w:id="118" w:name="_Toc247085745"/>
      <w:bookmarkStart w:id="119" w:name="_Toc144974554"/>
      <w:bookmarkStart w:id="120" w:name="_Toc2000406"/>
      <w:bookmarkStart w:id="121" w:name="_Toc246996230"/>
      <w:bookmarkStart w:id="122" w:name="_Toc246996973"/>
      <w:r>
        <w:rPr>
          <w:rFonts w:hint="eastAsia" w:ascii="宋体" w:hAnsi="宋体" w:cs="宋体"/>
        </w:rPr>
        <w:t>第三章 评标办法（经评审的最低投标价法）</w:t>
      </w:r>
      <w:bookmarkEnd w:id="113"/>
      <w:bookmarkEnd w:id="114"/>
      <w:bookmarkEnd w:id="115"/>
      <w:bookmarkEnd w:id="116"/>
      <w:bookmarkEnd w:id="117"/>
      <w:bookmarkEnd w:id="118"/>
      <w:bookmarkEnd w:id="119"/>
      <w:bookmarkEnd w:id="120"/>
      <w:bookmarkEnd w:id="121"/>
      <w:bookmarkEnd w:id="122"/>
    </w:p>
    <w:p/>
    <w:tbl>
      <w:tblPr>
        <w:tblStyle w:val="41"/>
        <w:tblW w:w="92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4"/>
        <w:gridCol w:w="1134"/>
        <w:gridCol w:w="1843"/>
        <w:gridCol w:w="56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1838"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611"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8" w:hRule="atLeast"/>
          <w:jc w:val="center"/>
        </w:trPr>
        <w:tc>
          <w:tcPr>
            <w:tcW w:w="704" w:type="dxa"/>
            <w:tcBorders>
              <w:top w:val="single" w:color="auto" w:sz="4" w:space="0"/>
              <w:right w:val="single" w:color="auto" w:sz="4" w:space="0"/>
            </w:tcBorders>
            <w:vAlign w:val="center"/>
          </w:tcPr>
          <w:p>
            <w:pPr>
              <w:spacing w:line="400" w:lineRule="exact"/>
              <w:jc w:val="center"/>
            </w:pPr>
            <w:r>
              <w:t>1</w:t>
            </w:r>
          </w:p>
        </w:tc>
        <w:tc>
          <w:tcPr>
            <w:tcW w:w="113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611" w:type="dxa"/>
            <w:tcBorders>
              <w:top w:val="single" w:color="auto" w:sz="4" w:space="0"/>
              <w:left w:val="single" w:color="auto" w:sz="4" w:space="0"/>
              <w:bottom w:val="single" w:color="auto" w:sz="4" w:space="0"/>
            </w:tcBorders>
          </w:tcPr>
          <w:p>
            <w:r>
              <w:rPr>
                <w:rFonts w:hint="eastAsia"/>
              </w:rPr>
              <w:t>1、经评审的最低价，由低到高的顺序确定中标候选人（若采购人认定报价人有非合理低价，则采购人有权不接受报价人的报价）；</w:t>
            </w:r>
          </w:p>
          <w:p>
            <w:r>
              <w:rPr>
                <w:rFonts w:hint="eastAsia"/>
              </w:rPr>
              <w:t>2、报价人所报报价不能超过最高限价，否则采购人有权对报价人所投报价作废标处理；</w:t>
            </w:r>
          </w:p>
          <w:p>
            <w:r>
              <w:rPr>
                <w:rFonts w:hint="eastAsia"/>
              </w:rPr>
              <w:t>3、如出现报价相等时，评审小组按以下原则确定第一中标候选人，以最早提交报价文件的报价人为第一中标候选人；4、其他则按照最有利于采购人的原则进行评标。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3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611" w:type="dxa"/>
            <w:tcBorders>
              <w:top w:val="single" w:color="auto" w:sz="4" w:space="0"/>
              <w:left w:val="single" w:color="auto" w:sz="4" w:space="0"/>
              <w:bottom w:val="single" w:color="auto" w:sz="4" w:space="0"/>
            </w:tcBorders>
            <w:vAlign w:val="center"/>
          </w:tcPr>
          <w:p>
            <w:pPr>
              <w:spacing w:line="400" w:lineRule="exact"/>
            </w:pPr>
            <w: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611"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611"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611"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611"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04" w:type="dxa"/>
            <w:vMerge w:val="continue"/>
            <w:tcBorders>
              <w:right w:val="single" w:color="auto" w:sz="4" w:space="0"/>
            </w:tcBorders>
            <w:vAlign w:val="center"/>
          </w:tcPr>
          <w:p>
            <w:pPr>
              <w:spacing w:line="400" w:lineRule="exact"/>
              <w:jc w:val="center"/>
            </w:pPr>
          </w:p>
        </w:tc>
        <w:tc>
          <w:tcPr>
            <w:tcW w:w="1134" w:type="dxa"/>
            <w:vMerge w:val="continue"/>
            <w:tcBorders>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611"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704" w:type="dxa"/>
            <w:vMerge w:val="continue"/>
            <w:tcBorders>
              <w:right w:val="single" w:color="auto" w:sz="4" w:space="0"/>
            </w:tcBorders>
            <w:vAlign w:val="center"/>
          </w:tcPr>
          <w:p>
            <w:pPr>
              <w:spacing w:line="400" w:lineRule="exact"/>
              <w:jc w:val="center"/>
            </w:pPr>
          </w:p>
        </w:tc>
        <w:tc>
          <w:tcPr>
            <w:tcW w:w="1134" w:type="dxa"/>
            <w:vMerge w:val="continue"/>
            <w:tcBorders>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611" w:type="dxa"/>
            <w:tcBorders>
              <w:top w:val="single" w:color="auto" w:sz="4" w:space="0"/>
              <w:left w:val="single" w:color="auto" w:sz="4" w:space="0"/>
            </w:tcBorders>
            <w:vAlign w:val="center"/>
          </w:tcPr>
          <w:p>
            <w:pPr>
              <w:spacing w:line="400" w:lineRule="exact"/>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611"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right w:val="single" w:color="auto" w:sz="4" w:space="0"/>
            </w:tcBorders>
            <w:vAlign w:val="center"/>
          </w:tcPr>
          <w:p>
            <w:pPr>
              <w:spacing w:line="400" w:lineRule="exact"/>
              <w:jc w:val="center"/>
            </w:pPr>
          </w:p>
        </w:tc>
        <w:tc>
          <w:tcPr>
            <w:tcW w:w="1134" w:type="dxa"/>
            <w:vMerge w:val="continue"/>
            <w:tcBorders>
              <w:left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611"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611"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454"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04" w:type="dxa"/>
            <w:tcBorders>
              <w:top w:val="single" w:color="auto" w:sz="4" w:space="0"/>
              <w:bottom w:val="single" w:color="auto" w:sz="4" w:space="0"/>
              <w:right w:val="single" w:color="auto" w:sz="4" w:space="0"/>
            </w:tcBorders>
            <w:vAlign w:val="center"/>
          </w:tcPr>
          <w:p>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7454" w:type="dxa"/>
            <w:gridSpan w:val="2"/>
            <w:tcBorders>
              <w:top w:val="single" w:color="auto" w:sz="4" w:space="0"/>
              <w:left w:val="single" w:color="auto" w:sz="4" w:space="0"/>
              <w:bottom w:val="single" w:color="auto" w:sz="4" w:space="0"/>
            </w:tcBorders>
          </w:tcPr>
          <w:p>
            <w:pPr>
              <w:spacing w:line="400" w:lineRule="exact"/>
              <w:ind w:firstLine="420"/>
            </w:pPr>
          </w:p>
        </w:tc>
      </w:tr>
    </w:tbl>
    <w:p>
      <w:pPr>
        <w:rPr>
          <w:rFonts w:hint="eastAsia" w:ascii="宋体" w:hAnsi="宋体" w:cs="宋体"/>
        </w:rPr>
      </w:pPr>
    </w:p>
    <w:p>
      <w:pPr>
        <w:pStyle w:val="28"/>
        <w:jc w:val="center"/>
      </w:pPr>
      <w:r>
        <w:rPr>
          <w:rFonts w:hint="eastAsia"/>
        </w:rPr>
        <w:br w:type="page"/>
      </w:r>
      <w:bookmarkStart w:id="123" w:name="_Toc13787"/>
      <w:r>
        <w:rPr>
          <w:rStyle w:val="80"/>
          <w:rFonts w:hint="eastAsia"/>
          <w:b/>
          <w:bCs/>
        </w:rPr>
        <w:t>第四章 报价说明</w:t>
      </w:r>
      <w:bookmarkEnd w:id="123"/>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安全生产费等完成本项目的一切费用，以及竞争性比选文件中明示或暗示的的所有责任、义务和一般风险。</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3、安全生产费包含但不限于①.设置、完善、改造和服务安全防护设施设备支出；②.配备、服务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pStyle w:val="28"/>
        <w:spacing w:line="380" w:lineRule="exact"/>
        <w:ind w:firstLine="420" w:firstLineChars="200"/>
      </w:pPr>
      <w:r>
        <w:rPr>
          <w:rFonts w:hint="eastAsia" w:ascii="宋体" w:hAnsi="宋体" w:cs="宋体"/>
          <w:b w:val="0"/>
          <w:bCs w:val="0"/>
          <w:sz w:val="21"/>
          <w:szCs w:val="21"/>
        </w:rPr>
        <w:t>18、报价人提供的材料设备需在报价清单中明确品牌及型号。</w:t>
      </w:r>
      <w:r>
        <w:t xml:space="preserve"> </w:t>
      </w:r>
    </w:p>
    <w:p>
      <w:pPr>
        <w:pStyle w:val="28"/>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hint="eastAsia" w:ascii="宋体" w:hAnsi="宋体" w:cs="宋体"/>
          <w:szCs w:val="21"/>
        </w:rPr>
      </w:pPr>
      <w:bookmarkStart w:id="124" w:name="_Toc246997097"/>
      <w:bookmarkStart w:id="125" w:name="_Toc247085872"/>
      <w:bookmarkStart w:id="126" w:name="_Toc152042575"/>
      <w:bookmarkStart w:id="127" w:name="_Toc152045786"/>
      <w:bookmarkStart w:id="128" w:name="_Toc246996354"/>
      <w:bookmarkStart w:id="129" w:name="_Toc144974855"/>
      <w:bookmarkStart w:id="130" w:name="_Toc179632806"/>
    </w:p>
    <w:p>
      <w:pPr>
        <w:pStyle w:val="2"/>
        <w:spacing w:before="0" w:after="0" w:line="360" w:lineRule="auto"/>
        <w:jc w:val="center"/>
        <w:rPr>
          <w:rFonts w:hint="eastAsia" w:ascii="宋体" w:hAnsi="宋体" w:cs="宋体"/>
        </w:rPr>
      </w:pPr>
      <w:bookmarkStart w:id="131" w:name="_Toc514858705"/>
      <w:bookmarkStart w:id="132" w:name="_Toc246996340"/>
      <w:bookmarkStart w:id="133" w:name="_Toc152042554"/>
      <w:bookmarkStart w:id="134" w:name="_Toc152045772"/>
      <w:bookmarkStart w:id="135" w:name="_Toc24503"/>
      <w:bookmarkStart w:id="136" w:name="_Toc2000409"/>
      <w:bookmarkStart w:id="137" w:name="_Toc247085855"/>
      <w:bookmarkStart w:id="138" w:name="_Toc246997083"/>
      <w:bookmarkStart w:id="139" w:name="_Toc179632789"/>
      <w:bookmarkStart w:id="140" w:name="_Toc144974834"/>
      <w:r>
        <w:rPr>
          <w:rFonts w:hint="eastAsia" w:ascii="宋体" w:hAnsi="宋体" w:cs="宋体"/>
        </w:rPr>
        <w:t>第五章  工程量清单</w:t>
      </w:r>
      <w:bookmarkEnd w:id="131"/>
      <w:bookmarkEnd w:id="132"/>
      <w:bookmarkEnd w:id="133"/>
      <w:bookmarkEnd w:id="134"/>
      <w:bookmarkEnd w:id="135"/>
      <w:bookmarkEnd w:id="136"/>
      <w:bookmarkEnd w:id="137"/>
      <w:bookmarkEnd w:id="138"/>
      <w:bookmarkEnd w:id="139"/>
      <w:bookmarkEnd w:id="140"/>
    </w:p>
    <w:p>
      <w:pPr>
        <w:ind w:firstLine="420"/>
        <w:jc w:val="left"/>
        <w:rPr>
          <w:rFonts w:hint="eastAsia" w:ascii="宋体" w:hAnsi="宋体" w:cs="宋体"/>
          <w:b/>
        </w:rPr>
      </w:pPr>
      <w:bookmarkStart w:id="141" w:name="_Toc247085866"/>
      <w:bookmarkStart w:id="142" w:name="_Toc179632800"/>
      <w:bookmarkStart w:id="143" w:name="_Toc144974851"/>
      <w:bookmarkStart w:id="144" w:name="_Toc152045782"/>
      <w:bookmarkStart w:id="145" w:name="_Toc247096438"/>
      <w:bookmarkStart w:id="146" w:name="_Toc246997093"/>
      <w:bookmarkStart w:id="147" w:name="_Toc246996350"/>
      <w:bookmarkStart w:id="148" w:name="_Toc152042571"/>
    </w:p>
    <w:p>
      <w:pPr>
        <w:jc w:val="center"/>
        <w:rPr>
          <w:rFonts w:hint="eastAsia" w:ascii="宋体" w:hAnsi="宋体" w:cs="宋体"/>
          <w:b/>
        </w:rPr>
      </w:pPr>
      <w:r>
        <w:rPr>
          <w:rFonts w:hint="eastAsia" w:ascii="宋体" w:hAnsi="宋体" w:cs="宋体"/>
          <w:b/>
          <w:kern w:val="0"/>
          <w:sz w:val="24"/>
        </w:rPr>
        <w:t>详见竞争性比选文件附件。</w:t>
      </w:r>
    </w:p>
    <w:p>
      <w:pPr>
        <w:jc w:val="center"/>
        <w:rPr>
          <w:rFonts w:hint="eastAsia" w:ascii="宋体" w:hAnsi="宋体" w:cs="宋体"/>
          <w:b/>
        </w:rPr>
      </w:pPr>
    </w:p>
    <w:p>
      <w:pPr>
        <w:jc w:val="left"/>
        <w:rPr>
          <w:rFonts w:hint="eastAsia" w:ascii="宋体" w:hAnsi="宋体" w:cs="宋体"/>
          <w:szCs w:val="21"/>
        </w:rPr>
      </w:pP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工程量清单计量规则：按照重庆市交通委员会2016年4月11日发布的《公路工程工程量清单及计量规范》渝内字【2016】009号执行。</w:t>
      </w: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rPr>
          <w:rFonts w:hint="eastAsia" w:ascii="宋体" w:hAnsi="宋体" w:cs="宋体"/>
          <w:b/>
        </w:rPr>
      </w:pPr>
    </w:p>
    <w:p>
      <w:pPr>
        <w:jc w:val="center"/>
        <w:rPr>
          <w:rFonts w:hint="eastAsia" w:ascii="宋体" w:hAnsi="宋体" w:cs="宋体"/>
          <w:b/>
        </w:rPr>
        <w:sectPr>
          <w:pgSz w:w="11906" w:h="16838"/>
          <w:pgMar w:top="1440" w:right="1800" w:bottom="1440" w:left="1800" w:header="851" w:footer="992" w:gutter="0"/>
          <w:cols w:space="720" w:num="1"/>
          <w:titlePg/>
          <w:docGrid w:type="lines" w:linePitch="312" w:charSpace="0"/>
        </w:sectPr>
      </w:pPr>
    </w:p>
    <w:p>
      <w:pPr>
        <w:rPr>
          <w:rFonts w:hint="eastAsia" w:ascii="宋体" w:hAnsi="宋体" w:cs="宋体"/>
          <w:b/>
        </w:rPr>
      </w:pPr>
    </w:p>
    <w:p>
      <w:pPr>
        <w:jc w:val="center"/>
        <w:rPr>
          <w:rFonts w:hint="eastAsia" w:ascii="宋体" w:hAnsi="宋体" w:cs="宋体"/>
          <w:b/>
        </w:rPr>
      </w:pPr>
    </w:p>
    <w:p>
      <w:pPr>
        <w:pStyle w:val="2"/>
        <w:spacing w:before="0" w:after="0" w:line="360" w:lineRule="auto"/>
        <w:jc w:val="center"/>
        <w:rPr>
          <w:rFonts w:hint="eastAsia" w:ascii="宋体" w:hAnsi="宋体" w:cs="宋体"/>
        </w:rPr>
      </w:pPr>
      <w:bookmarkStart w:id="149" w:name="_Toc447827048"/>
      <w:bookmarkStart w:id="150" w:name="_Toc12440"/>
      <w:bookmarkStart w:id="151" w:name="_Toc514858706"/>
      <w:bookmarkStart w:id="152" w:name="_Toc503951042"/>
      <w:bookmarkStart w:id="153" w:name="_Toc2000410"/>
      <w:bookmarkStart w:id="154" w:name="_Toc513633963"/>
      <w:r>
        <w:rPr>
          <w:rFonts w:hint="eastAsia" w:ascii="宋体" w:hAnsi="宋体" w:cs="宋体"/>
        </w:rPr>
        <w:t>第六章  图  纸</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pPr>
        <w:jc w:val="center"/>
        <w:rPr>
          <w:rFonts w:hint="eastAsia" w:ascii="宋体" w:hAnsi="宋体" w:cs="宋体"/>
          <w:b/>
        </w:rPr>
      </w:pPr>
      <w:r>
        <w:rPr>
          <w:rFonts w:hint="eastAsia" w:ascii="宋体" w:hAnsi="宋体" w:cs="宋体"/>
          <w:b/>
          <w:kern w:val="0"/>
          <w:sz w:val="24"/>
        </w:rPr>
        <w:t>无。</w:t>
      </w:r>
    </w:p>
    <w:p>
      <w:pPr>
        <w:spacing w:line="400" w:lineRule="exact"/>
        <w:rPr>
          <w:rFonts w:hint="eastAsia" w:ascii="宋体" w:hAnsi="宋体" w:cs="宋体"/>
        </w:rPr>
      </w:pPr>
      <w:r>
        <w:rPr>
          <w:rFonts w:hint="eastAsia" w:ascii="宋体" w:hAnsi="宋体" w:cs="宋体"/>
        </w:rPr>
        <w:br w:type="page"/>
      </w:r>
      <w:bookmarkStart w:id="155" w:name="_Toc144974854"/>
      <w:bookmarkStart w:id="156" w:name="_Toc152045785"/>
      <w:bookmarkStart w:id="157" w:name="_Toc152042574"/>
    </w:p>
    <w:p>
      <w:pPr>
        <w:pStyle w:val="2"/>
        <w:spacing w:before="0" w:after="0" w:line="360" w:lineRule="auto"/>
        <w:jc w:val="center"/>
        <w:rPr>
          <w:rFonts w:hint="eastAsia" w:ascii="宋体" w:hAnsi="宋体" w:cs="宋体"/>
        </w:rPr>
      </w:pPr>
      <w:bookmarkStart w:id="158" w:name="_Toc247085870"/>
      <w:bookmarkStart w:id="159" w:name="_Toc246997096"/>
      <w:bookmarkStart w:id="160" w:name="_Toc447827049"/>
      <w:bookmarkStart w:id="161" w:name="_Toc246996353"/>
      <w:bookmarkStart w:id="162" w:name="_Toc503951043"/>
      <w:bookmarkStart w:id="163" w:name="_Toc2000411"/>
      <w:bookmarkStart w:id="164" w:name="_Toc10887"/>
      <w:bookmarkStart w:id="165" w:name="_Toc514858707"/>
      <w:bookmarkStart w:id="166" w:name="_Toc513633964"/>
      <w:bookmarkStart w:id="167" w:name="_Toc179632804"/>
      <w:r>
        <w:rPr>
          <w:rFonts w:hint="eastAsia" w:ascii="宋体" w:hAnsi="宋体" w:cs="宋体"/>
        </w:rPr>
        <w:t>第七章  技术标准和工作要求</w:t>
      </w:r>
      <w:bookmarkEnd w:id="155"/>
      <w:bookmarkEnd w:id="156"/>
      <w:bookmarkEnd w:id="157"/>
      <w:bookmarkEnd w:id="158"/>
      <w:bookmarkEnd w:id="159"/>
      <w:bookmarkEnd w:id="160"/>
      <w:bookmarkEnd w:id="161"/>
      <w:bookmarkEnd w:id="162"/>
      <w:bookmarkEnd w:id="163"/>
      <w:bookmarkEnd w:id="164"/>
      <w:bookmarkEnd w:id="165"/>
      <w:bookmarkEnd w:id="166"/>
      <w:bookmarkEnd w:id="167"/>
    </w:p>
    <w:bookmarkEnd w:id="124"/>
    <w:bookmarkEnd w:id="125"/>
    <w:bookmarkEnd w:id="126"/>
    <w:bookmarkEnd w:id="127"/>
    <w:bookmarkEnd w:id="128"/>
    <w:bookmarkEnd w:id="129"/>
    <w:bookmarkEnd w:id="130"/>
    <w:p>
      <w:pPr>
        <w:pStyle w:val="2"/>
        <w:spacing w:before="0" w:after="0" w:line="360" w:lineRule="auto"/>
        <w:jc w:val="center"/>
        <w:rPr>
          <w:rFonts w:hint="eastAsia" w:ascii="宋体" w:hAnsi="宋体" w:cs="宋体"/>
        </w:rPr>
      </w:pPr>
      <w:bookmarkStart w:id="168" w:name="_Toc12089"/>
      <w:bookmarkStart w:id="169" w:name="_Toc2000412"/>
      <w:bookmarkStart w:id="170" w:name="_Toc514430114"/>
      <w:bookmarkStart w:id="171" w:name="_Toc514858708"/>
      <w:bookmarkStart w:id="172" w:name="_Toc246996355"/>
      <w:bookmarkStart w:id="173" w:name="_Toc246997098"/>
      <w:bookmarkStart w:id="174" w:name="_Toc179632807"/>
      <w:bookmarkStart w:id="175" w:name="_Toc144974856"/>
      <w:bookmarkStart w:id="176" w:name="_Toc247085873"/>
      <w:bookmarkStart w:id="177" w:name="_Toc152042576"/>
      <w:bookmarkStart w:id="178" w:name="_Toc152045787"/>
      <w:bookmarkStart w:id="179" w:name="_Toc507320039"/>
      <w:r>
        <w:rPr>
          <w:rFonts w:hint="eastAsia" w:ascii="宋体" w:hAnsi="宋体" w:cs="宋体"/>
          <w:sz w:val="24"/>
          <w:szCs w:val="24"/>
        </w:rPr>
        <w:t>详见附件。</w:t>
      </w:r>
      <w:r>
        <w:rPr>
          <w:rFonts w:hint="eastAsia" w:ascii="宋体" w:hAnsi="宋体" w:cs="宋体"/>
        </w:rPr>
        <w:br w:type="page"/>
      </w:r>
      <w:r>
        <w:rPr>
          <w:rFonts w:hint="eastAsia" w:ascii="宋体" w:hAnsi="宋体" w:cs="宋体"/>
        </w:rPr>
        <w:t xml:space="preserve">第八章  </w:t>
      </w:r>
      <w:bookmarkEnd w:id="168"/>
      <w:bookmarkEnd w:id="169"/>
      <w:bookmarkEnd w:id="170"/>
      <w:bookmarkEnd w:id="171"/>
      <w:r>
        <w:rPr>
          <w:rFonts w:hint="eastAsia" w:ascii="宋体" w:hAnsi="宋体" w:cs="宋体"/>
        </w:rPr>
        <w:t>合同范本</w:t>
      </w:r>
    </w:p>
    <w:p>
      <w:pPr>
        <w:spacing w:line="360" w:lineRule="auto"/>
        <w:ind w:firstLine="482" w:firstLineChars="200"/>
        <w:jc w:val="center"/>
        <w:rPr>
          <w:rFonts w:hint="eastAsia" w:ascii="宋体" w:hAnsi="宋体" w:cs="宋体"/>
          <w:szCs w:val="21"/>
        </w:rPr>
      </w:pPr>
      <w:r>
        <w:rPr>
          <w:rFonts w:hint="eastAsia" w:ascii="宋体" w:hAnsi="宋体" w:cs="宋体"/>
          <w:b/>
          <w:kern w:val="0"/>
          <w:sz w:val="24"/>
        </w:rPr>
        <w:t>详见竞争性比选文件附件。</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sectPr>
          <w:pgSz w:w="11906" w:h="16838"/>
          <w:pgMar w:top="1440" w:right="1803" w:bottom="1440" w:left="1803" w:header="851" w:footer="992" w:gutter="0"/>
          <w:cols w:space="720" w:num="1"/>
          <w:titlePg/>
          <w:docGrid w:type="lines" w:linePitch="319" w:charSpace="0"/>
        </w:sectPr>
      </w:pPr>
      <w:bookmarkStart w:id="180" w:name="_Toc513633965"/>
    </w:p>
    <w:p>
      <w:pPr>
        <w:rPr>
          <w:rFonts w:hint="eastAsia" w:ascii="宋体" w:hAnsi="宋体" w:cs="宋体"/>
        </w:rPr>
      </w:pPr>
    </w:p>
    <w:p>
      <w:pPr>
        <w:pStyle w:val="2"/>
        <w:spacing w:before="0" w:after="0" w:line="360" w:lineRule="auto"/>
        <w:jc w:val="center"/>
        <w:rPr>
          <w:rFonts w:hint="eastAsia" w:ascii="宋体" w:hAnsi="宋体" w:cs="宋体"/>
        </w:rPr>
      </w:pPr>
      <w:bookmarkStart w:id="181" w:name="_Toc2000413"/>
      <w:bookmarkStart w:id="182" w:name="_Toc514858709"/>
      <w:bookmarkStart w:id="183" w:name="_Toc24853"/>
      <w:r>
        <w:rPr>
          <w:rFonts w:hint="eastAsia" w:ascii="宋体" w:hAnsi="宋体" w:cs="宋体"/>
        </w:rPr>
        <w:t>第九章  竞争性比选响应文件格式</w:t>
      </w:r>
      <w:bookmarkEnd w:id="180"/>
      <w:bookmarkEnd w:id="181"/>
      <w:bookmarkEnd w:id="182"/>
      <w:bookmarkEnd w:id="183"/>
    </w:p>
    <w:p>
      <w:pPr>
        <w:rPr>
          <w:rFonts w:hint="eastAsia" w:ascii="宋体" w:hAnsi="宋体" w:cs="宋体"/>
        </w:rPr>
      </w:pPr>
    </w:p>
    <w:p>
      <w:pPr>
        <w:rPr>
          <w:rFonts w:hint="eastAsia" w:ascii="宋体" w:hAnsi="宋体" w:cs="宋体"/>
        </w:rPr>
        <w:sectPr>
          <w:pgSz w:w="11906" w:h="16838"/>
          <w:pgMar w:top="1440" w:right="1803" w:bottom="1440" w:left="1803" w:header="851" w:footer="992" w:gutter="0"/>
          <w:cols w:space="720" w:num="1"/>
          <w:titlePg/>
          <w:docGrid w:type="lines" w:linePitch="319" w:charSpace="0"/>
        </w:sectPr>
      </w:pPr>
    </w:p>
    <w:p>
      <w:pPr>
        <w:rPr>
          <w:rFonts w:hint="eastAsia" w:ascii="宋体" w:hAnsi="宋体" w:cs="宋体"/>
        </w:rPr>
      </w:pPr>
    </w:p>
    <w:p>
      <w:pPr>
        <w:jc w:val="center"/>
        <w:rPr>
          <w:rFonts w:hint="eastAsia" w:ascii="宋体" w:hAnsi="宋体" w:cs="宋体"/>
          <w:sz w:val="52"/>
          <w:szCs w:val="52"/>
          <w:u w:val="single"/>
        </w:rPr>
      </w:pPr>
      <w:bookmarkStart w:id="184" w:name="_Toc513633967"/>
      <w:bookmarkStart w:id="185" w:name="_Toc513646738"/>
      <w:bookmarkStart w:id="186" w:name="_Toc514858710"/>
      <w:bookmarkStart w:id="187" w:name="_Toc503951046"/>
      <w:bookmarkStart w:id="188" w:name="_Toc503971829"/>
      <w:r>
        <w:rPr>
          <w:rFonts w:hint="eastAsia" w:ascii="宋体" w:hAnsi="宋体" w:cs="宋体"/>
          <w:u w:val="single"/>
        </w:rPr>
        <w:t xml:space="preserve">                           </w:t>
      </w:r>
      <w:r>
        <w:rPr>
          <w:rFonts w:hint="eastAsia" w:ascii="宋体" w:hAnsi="宋体" w:cs="宋体"/>
          <w:sz w:val="52"/>
          <w:szCs w:val="52"/>
          <w:u w:val="single"/>
        </w:rPr>
        <w:t>（项目名称）</w:t>
      </w:r>
      <w:bookmarkEnd w:id="184"/>
      <w:bookmarkEnd w:id="185"/>
      <w:bookmarkEnd w:id="186"/>
      <w:bookmarkEnd w:id="187"/>
      <w:bookmarkEnd w:id="188"/>
      <w:r>
        <w:rPr>
          <w:rFonts w:hint="eastAsia" w:ascii="宋体" w:hAnsi="宋体" w:cs="宋体"/>
          <w:sz w:val="52"/>
          <w:szCs w:val="52"/>
          <w:u w:val="single"/>
        </w:rPr>
        <w:t xml:space="preserve"> </w:t>
      </w:r>
    </w:p>
    <w:p>
      <w:pPr>
        <w:rPr>
          <w:rFonts w:hint="eastAsia" w:ascii="宋体" w:hAnsi="宋体" w:cs="宋体"/>
          <w:sz w:val="20"/>
          <w:szCs w:val="20"/>
        </w:rPr>
      </w:pPr>
    </w:p>
    <w:p>
      <w:pPr>
        <w:jc w:val="center"/>
        <w:rPr>
          <w:rFonts w:hint="eastAsia" w:ascii="宋体" w:hAnsi="宋体" w:cs="宋体"/>
          <w:sz w:val="44"/>
          <w:szCs w:val="44"/>
        </w:rPr>
      </w:pPr>
      <w:r>
        <w:rPr>
          <w:rFonts w:hint="eastAsia" w:ascii="宋体" w:hAnsi="宋体" w:cs="宋体"/>
          <w:sz w:val="44"/>
          <w:szCs w:val="44"/>
        </w:rPr>
        <w:t xml:space="preserve"> </w:t>
      </w: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jc w:val="center"/>
        <w:rPr>
          <w:rFonts w:hint="eastAsia" w:ascii="宋体" w:hAnsi="宋体" w:cs="宋体"/>
          <w:b/>
          <w:sz w:val="72"/>
          <w:szCs w:val="44"/>
        </w:rPr>
      </w:pPr>
      <w:r>
        <w:rPr>
          <w:rFonts w:hint="eastAsia" w:ascii="宋体" w:hAnsi="宋体" w:cs="宋体"/>
          <w:b/>
          <w:sz w:val="72"/>
          <w:szCs w:val="44"/>
        </w:rPr>
        <w:t>竞争性比选响应文件</w:t>
      </w:r>
    </w:p>
    <w:p>
      <w:pPr>
        <w:jc w:val="center"/>
        <w:rPr>
          <w:rFonts w:hint="eastAsia" w:ascii="宋体" w:hAnsi="宋体" w:cs="宋体"/>
          <w:b/>
          <w:sz w:val="32"/>
          <w:szCs w:val="32"/>
        </w:rPr>
      </w:pP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pStyle w:val="28"/>
      </w:pPr>
    </w:p>
    <w:p/>
    <w:p>
      <w:pPr>
        <w:pStyle w:val="28"/>
      </w:pPr>
    </w:p>
    <w:p/>
    <w:p>
      <w:pPr>
        <w:pStyle w:val="28"/>
      </w:pPr>
    </w:p>
    <w:p>
      <w:pPr>
        <w:jc w:val="center"/>
        <w:rPr>
          <w:rFonts w:hint="eastAsia"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hint="eastAsia"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hint="eastAsia"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pStyle w:val="3"/>
        <w:jc w:val="center"/>
        <w:rPr>
          <w:rFonts w:hint="eastAsia" w:ascii="宋体" w:hAnsi="宋体" w:eastAsia="宋体" w:cs="宋体"/>
        </w:rPr>
      </w:pPr>
      <w:bookmarkStart w:id="189" w:name="_Toc1368"/>
      <w:bookmarkStart w:id="190" w:name="_Toc5459"/>
      <w:bookmarkStart w:id="191" w:name="_Toc28780"/>
      <w:bookmarkStart w:id="192" w:name="_Toc11329273"/>
      <w:r>
        <w:rPr>
          <w:rFonts w:hint="eastAsia" w:ascii="宋体" w:hAnsi="宋体" w:eastAsia="宋体" w:cs="宋体"/>
        </w:rPr>
        <w:t>目    录</w:t>
      </w:r>
      <w:bookmarkEnd w:id="172"/>
      <w:bookmarkEnd w:id="173"/>
      <w:bookmarkEnd w:id="174"/>
      <w:bookmarkEnd w:id="175"/>
      <w:bookmarkEnd w:id="176"/>
      <w:bookmarkEnd w:id="177"/>
      <w:bookmarkEnd w:id="178"/>
      <w:bookmarkEnd w:id="179"/>
      <w:bookmarkEnd w:id="189"/>
      <w:bookmarkEnd w:id="190"/>
      <w:bookmarkEnd w:id="191"/>
      <w:bookmarkEnd w:id="192"/>
    </w:p>
    <w:p>
      <w:pPr>
        <w:numPr>
          <w:ilvl w:val="0"/>
          <w:numId w:val="5"/>
        </w:numPr>
        <w:spacing w:line="400" w:lineRule="exact"/>
        <w:rPr>
          <w:rFonts w:hint="eastAsia" w:ascii="宋体" w:hAnsi="宋体" w:cs="宋体"/>
        </w:rPr>
      </w:pPr>
      <w:r>
        <w:rPr>
          <w:rFonts w:hint="eastAsia" w:ascii="宋体" w:hAnsi="宋体" w:cs="宋体"/>
        </w:rPr>
        <w:t>竞争性响应声明书</w:t>
      </w:r>
    </w:p>
    <w:p>
      <w:pPr>
        <w:numPr>
          <w:ilvl w:val="0"/>
          <w:numId w:val="5"/>
        </w:numPr>
        <w:spacing w:line="400" w:lineRule="exact"/>
        <w:rPr>
          <w:rFonts w:hint="eastAsia" w:ascii="宋体" w:hAnsi="宋体" w:cs="宋体"/>
        </w:rPr>
      </w:pPr>
      <w:r>
        <w:rPr>
          <w:rFonts w:ascii="宋体" w:hAnsi="宋体" w:cs="宋体"/>
        </w:rPr>
        <w:t>法定代表人身份证明或法定代表人授权委托书</w:t>
      </w:r>
    </w:p>
    <w:p>
      <w:pPr>
        <w:spacing w:line="400" w:lineRule="exact"/>
        <w:rPr>
          <w:rFonts w:hint="eastAsia" w:ascii="宋体" w:hAnsi="宋体" w:cs="宋体"/>
        </w:rPr>
      </w:pPr>
      <w:r>
        <w:rPr>
          <w:rFonts w:hint="eastAsia" w:ascii="宋体" w:hAnsi="宋体" w:cs="宋体"/>
        </w:rPr>
        <w:t>三、报价一览表</w:t>
      </w:r>
    </w:p>
    <w:p>
      <w:pPr>
        <w:spacing w:line="400" w:lineRule="exact"/>
        <w:rPr>
          <w:rFonts w:hint="eastAsia" w:ascii="宋体" w:hAnsi="宋体" w:cs="宋体"/>
        </w:rPr>
      </w:pPr>
      <w:r>
        <w:rPr>
          <w:rFonts w:hint="eastAsia" w:ascii="宋体" w:hAnsi="宋体" w:cs="宋体"/>
        </w:rPr>
        <w:t>四、资格审查资料</w:t>
      </w:r>
    </w:p>
    <w:p>
      <w:pPr>
        <w:spacing w:line="400" w:lineRule="exact"/>
        <w:rPr>
          <w:rFonts w:hint="eastAsia"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hint="eastAsia" w:ascii="宋体" w:hAnsi="宋体" w:cs="宋体"/>
          <w:szCs w:val="21"/>
        </w:rPr>
      </w:pPr>
      <w:r>
        <w:rPr>
          <w:rFonts w:hint="eastAsia" w:ascii="宋体" w:hAnsi="宋体" w:cs="宋体"/>
          <w:szCs w:val="21"/>
        </w:rPr>
        <w:t>六、报价人基本信息及其他材料</w:t>
      </w:r>
    </w:p>
    <w:p>
      <w:pPr>
        <w:pStyle w:val="28"/>
        <w:rPr>
          <w:rFonts w:hint="eastAsia" w:ascii="宋体" w:hAnsi="宋体" w:cs="宋体"/>
          <w:b w:val="0"/>
          <w:bCs w:val="0"/>
          <w:caps w:val="0"/>
          <w:sz w:val="21"/>
          <w:szCs w:val="21"/>
        </w:rPr>
      </w:pPr>
      <w:r>
        <w:rPr>
          <w:rFonts w:hint="eastAsia" w:ascii="宋体" w:hAnsi="宋体" w:cs="宋体"/>
          <w:b w:val="0"/>
          <w:bCs w:val="0"/>
          <w:caps w:val="0"/>
          <w:sz w:val="21"/>
          <w:szCs w:val="21"/>
        </w:rPr>
        <w:t>七、现场安全负责人承诺书</w:t>
      </w:r>
    </w:p>
    <w:p>
      <w:pPr>
        <w:spacing w:line="400" w:lineRule="exact"/>
        <w:rPr>
          <w:rFonts w:hint="eastAsia" w:ascii="宋体" w:hAnsi="宋体" w:cs="宋体"/>
        </w:rPr>
      </w:pPr>
      <w:r>
        <w:rPr>
          <w:rFonts w:hint="eastAsia" w:ascii="宋体" w:hAnsi="宋体" w:cs="宋体"/>
        </w:rPr>
        <w:t>八、计重设备专项服务工程量清单</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pStyle w:val="3"/>
        <w:spacing w:before="0" w:after="0" w:line="360" w:lineRule="auto"/>
        <w:jc w:val="center"/>
        <w:rPr>
          <w:rFonts w:hint="eastAsia" w:ascii="宋体" w:hAnsi="宋体" w:eastAsia="宋体" w:cs="宋体"/>
          <w:sz w:val="28"/>
        </w:rPr>
      </w:pPr>
      <w:bookmarkStart w:id="193" w:name="_Toc11329274"/>
      <w:bookmarkStart w:id="194" w:name="_Toc8870"/>
      <w:bookmarkStart w:id="195" w:name="_Toc15863"/>
      <w:bookmarkStart w:id="196" w:name="_Toc29547"/>
      <w:bookmarkStart w:id="197" w:name="_Toc25874"/>
      <w:bookmarkStart w:id="198" w:name="_Toc447827053"/>
      <w:bookmarkStart w:id="199" w:name="_Toc503951048"/>
      <w:bookmarkStart w:id="200" w:name="_Toc513633969"/>
      <w:r>
        <w:rPr>
          <w:rFonts w:hint="eastAsia" w:ascii="宋体" w:hAnsi="宋体" w:eastAsia="宋体" w:cs="宋体"/>
          <w:sz w:val="28"/>
        </w:rPr>
        <w:t>一、</w:t>
      </w:r>
      <w:bookmarkEnd w:id="193"/>
      <w:bookmarkEnd w:id="194"/>
      <w:r>
        <w:rPr>
          <w:rFonts w:hint="eastAsia" w:ascii="宋体" w:hAnsi="宋体" w:eastAsia="宋体" w:cs="宋体"/>
          <w:sz w:val="28"/>
        </w:rPr>
        <w:t>竞争比选响应声明书</w:t>
      </w:r>
      <w:bookmarkEnd w:id="195"/>
      <w:bookmarkEnd w:id="196"/>
      <w:bookmarkEnd w:id="197"/>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重庆通慧网联科技有限公司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rPr>
        <w:t>2024年计重设备专项服务项目（成渝）</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b/>
          <w:color w:val="000000"/>
          <w:sz w:val="24"/>
        </w:rPr>
      </w:pPr>
      <w:r>
        <w:rPr>
          <w:rFonts w:hint="eastAsia" w:ascii="Arial" w:hAnsi="Arial" w:cs="Arial"/>
          <w:color w:val="000000"/>
          <w:sz w:val="24"/>
          <w:u w:val="single"/>
        </w:rPr>
        <w:t>我方愿以</w:t>
      </w:r>
      <w:r>
        <w:rPr>
          <w:rFonts w:hint="eastAsia" w:ascii="Arial" w:hAnsi="Arial" w:cs="Arial"/>
          <w:b/>
          <w:bCs/>
          <w:color w:val="000000"/>
          <w:sz w:val="24"/>
          <w:u w:val="single"/>
        </w:rPr>
        <w:t>2024年计重设备专项服务项目（成渝）报价金额：</w:t>
      </w:r>
      <w:r>
        <w:rPr>
          <w:rFonts w:hint="eastAsia" w:ascii="Arial" w:hAnsi="Arial" w:cs="Arial"/>
          <w:b/>
          <w:color w:val="000000"/>
          <w:sz w:val="24"/>
          <w:u w:val="single"/>
        </w:rPr>
        <w:t xml:space="preserve"> </w:t>
      </w:r>
      <w:r>
        <w:rPr>
          <w:rFonts w:ascii="Arial" w:hAnsi="Arial" w:cs="Arial"/>
          <w:b/>
          <w:color w:val="000000"/>
          <w:sz w:val="24"/>
          <w:u w:val="single"/>
        </w:rPr>
        <w:t xml:space="preserve"> </w:t>
      </w:r>
      <w:r>
        <w:rPr>
          <w:rFonts w:hint="eastAsia" w:ascii="Arial" w:hAnsi="Arial" w:cs="Arial"/>
          <w:b/>
          <w:color w:val="000000"/>
          <w:sz w:val="24"/>
          <w:u w:val="single"/>
        </w:rPr>
        <w:t xml:space="preserve">  元</w:t>
      </w:r>
      <w:r>
        <w:rPr>
          <w:rFonts w:hint="eastAsia" w:ascii="Arial" w:hAnsi="Arial" w:cs="Arial"/>
          <w:b/>
          <w:color w:val="000000"/>
          <w:sz w:val="24"/>
        </w:rPr>
        <w:t>。</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按照竞争比选文件的要求，承担本次竞争性比选文件要求的工程。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3"/>
        <w:jc w:val="center"/>
        <w:rPr>
          <w:rFonts w:hint="eastAsia" w:ascii="宋体" w:hAnsi="宋体" w:eastAsia="宋体" w:cs="宋体"/>
          <w:sz w:val="28"/>
          <w:szCs w:val="28"/>
        </w:rPr>
      </w:pPr>
      <w:bookmarkStart w:id="201" w:name="_Toc27815"/>
      <w:bookmarkStart w:id="202" w:name="_Toc491883232"/>
      <w:r>
        <w:rPr>
          <w:rFonts w:hint="eastAsia" w:ascii="宋体" w:hAnsi="宋体" w:eastAsia="宋体" w:cs="宋体"/>
          <w:sz w:val="28"/>
          <w:szCs w:val="28"/>
        </w:rPr>
        <w:t>二、法定代表人身份证明或法定代表人授权委托书</w:t>
      </w:r>
      <w:bookmarkEnd w:id="201"/>
    </w:p>
    <w:p>
      <w:pPr>
        <w:pStyle w:val="3"/>
        <w:jc w:val="center"/>
        <w:rPr>
          <w:rFonts w:hint="eastAsia" w:ascii="宋体" w:hAnsi="宋体" w:eastAsia="宋体" w:cs="宋体"/>
          <w:sz w:val="24"/>
          <w:szCs w:val="24"/>
        </w:rPr>
      </w:pPr>
      <w:bookmarkStart w:id="203" w:name="_Toc14141"/>
      <w:r>
        <w:rPr>
          <w:rFonts w:hint="eastAsia" w:ascii="宋体" w:hAnsi="宋体" w:eastAsia="宋体" w:cs="宋体"/>
          <w:sz w:val="24"/>
          <w:szCs w:val="24"/>
        </w:rPr>
        <w:t>（一）法定代表人身份证明</w:t>
      </w:r>
      <w:bookmarkEnd w:id="202"/>
      <w:bookmarkEnd w:id="203"/>
    </w:p>
    <w:p>
      <w:pPr>
        <w:spacing w:line="440" w:lineRule="exact"/>
        <w:rPr>
          <w:rFonts w:hint="eastAsia"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hint="eastAsia" w:ascii="宋体" w:hAnsi="宋体"/>
        </w:rPr>
      </w:pPr>
      <w:r>
        <w:rPr>
          <w:rFonts w:ascii="宋体" w:hAnsi="宋体"/>
        </w:rPr>
        <w:t>姓名：</w:t>
      </w:r>
      <w:r>
        <w:rPr>
          <w:rFonts w:ascii="宋体" w:hAnsi="宋体"/>
          <w:u w:val="single"/>
        </w:rPr>
        <w:t xml:space="preserve">                </w:t>
      </w:r>
      <w:r>
        <w:rPr>
          <w:rFonts w:ascii="宋体" w:hAnsi="宋体"/>
        </w:rPr>
        <w:t>性别：</w:t>
      </w:r>
      <w:bookmarkStart w:id="204" w:name="_Toc352691662"/>
      <w:bookmarkStart w:id="205" w:name="_Toc369531698"/>
      <w:bookmarkStart w:id="206" w:name="_Toc27897"/>
      <w:r>
        <w:rPr>
          <w:rFonts w:ascii="宋体" w:hAnsi="宋体"/>
          <w:u w:val="single"/>
        </w:rPr>
        <w:t xml:space="preserve">        </w:t>
      </w:r>
      <w:r>
        <w:rPr>
          <w:rFonts w:ascii="宋体" w:hAnsi="宋体"/>
        </w:rPr>
        <w:t>年</w:t>
      </w:r>
      <w:bookmarkEnd w:id="204"/>
      <w:bookmarkEnd w:id="205"/>
      <w:bookmarkEnd w:id="206"/>
      <w:r>
        <w:rPr>
          <w:rFonts w:ascii="宋体" w:hAnsi="宋体"/>
        </w:rPr>
        <w:t>龄</w:t>
      </w:r>
      <w:bookmarkStart w:id="207" w:name="_Toc152042578"/>
      <w:bookmarkStart w:id="208" w:name="_Toc144974858"/>
      <w:bookmarkStart w:id="209" w:name="_Toc247514248"/>
      <w:bookmarkStart w:id="210" w:name="_Toc369531699"/>
      <w:bookmarkStart w:id="211" w:name="_Toc152045789"/>
      <w:bookmarkStart w:id="212" w:name="_Toc384308377"/>
      <w:bookmarkStart w:id="213" w:name="_Toc300835211"/>
      <w:bookmarkStart w:id="214" w:name="_Toc15573"/>
      <w:bookmarkStart w:id="215" w:name="_Toc247527829"/>
      <w:bookmarkStart w:id="216" w:name="_Toc361508754"/>
      <w:bookmarkStart w:id="217" w:name="_Toc352691663"/>
      <w:r>
        <w:rPr>
          <w:rFonts w:ascii="宋体" w:hAnsi="宋体"/>
        </w:rPr>
        <w:t>：</w:t>
      </w:r>
      <w:bookmarkEnd w:id="207"/>
      <w:bookmarkEnd w:id="208"/>
      <w:bookmarkEnd w:id="209"/>
      <w:bookmarkEnd w:id="210"/>
      <w:bookmarkEnd w:id="211"/>
      <w:bookmarkEnd w:id="212"/>
      <w:bookmarkEnd w:id="213"/>
      <w:bookmarkEnd w:id="214"/>
      <w:bookmarkEnd w:id="215"/>
      <w:bookmarkEnd w:id="216"/>
      <w:bookmarkEnd w:id="217"/>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hint="eastAsia"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hint="eastAsia" w:ascii="宋体" w:hAnsi="宋体"/>
        </w:rPr>
      </w:pPr>
      <w:r>
        <w:rPr>
          <w:rFonts w:ascii="宋体" w:hAnsi="宋体"/>
        </w:rPr>
        <w:t>特此证明。</w:t>
      </w:r>
    </w:p>
    <w:p>
      <w:pPr>
        <w:spacing w:line="440" w:lineRule="exact"/>
        <w:rPr>
          <w:rFonts w:hint="eastAsia" w:ascii="宋体" w:hAnsi="宋体"/>
        </w:rPr>
      </w:pPr>
    </w:p>
    <w:p>
      <w:pPr>
        <w:spacing w:line="440" w:lineRule="exact"/>
        <w:rPr>
          <w:rFonts w:hint="eastAsia" w:ascii="宋体" w:hAnsi="宋体"/>
        </w:rPr>
      </w:pPr>
      <w:r>
        <w:rPr>
          <w:rFonts w:ascii="宋体" w:hAnsi="宋体"/>
        </w:rPr>
        <w:t>附：法定代表人身份证复印件</w:t>
      </w:r>
      <w:r>
        <w:rPr>
          <w:rFonts w:hint="eastAsia" w:ascii="宋体" w:hAnsi="宋体"/>
        </w:rPr>
        <w:t>（正、反面，有效期范围内）</w:t>
      </w:r>
      <w:r>
        <w:rPr>
          <w:rFonts w:ascii="宋体" w:hAnsi="宋体"/>
        </w:rPr>
        <w:t>。</w:t>
      </w: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jc w:val="center"/>
        <w:rPr>
          <w:rFonts w:hint="eastAsia"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hint="eastAsia" w:ascii="宋体" w:hAnsi="宋体"/>
        </w:rPr>
      </w:pPr>
    </w:p>
    <w:p>
      <w:pPr>
        <w:spacing w:line="440" w:lineRule="exact"/>
        <w:ind w:firstLine="4620" w:firstLineChars="2200"/>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hint="eastAsia" w:ascii="宋体" w:hAnsi="宋体"/>
        </w:rPr>
      </w:pPr>
    </w:p>
    <w:p>
      <w:pPr>
        <w:rPr>
          <w:rFonts w:hint="eastAsia" w:ascii="宋体" w:hAnsi="宋体"/>
        </w:rPr>
      </w:pPr>
    </w:p>
    <w:p>
      <w:pPr>
        <w:spacing w:line="440" w:lineRule="exact"/>
        <w:rPr>
          <w:rFonts w:hint="eastAsia"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hint="eastAsia" w:ascii="宋体" w:hAnsi="宋体"/>
          <w:sz w:val="20"/>
        </w:rPr>
      </w:pPr>
    </w:p>
    <w:p>
      <w:pPr>
        <w:spacing w:line="20" w:lineRule="exact"/>
        <w:jc w:val="center"/>
        <w:rPr>
          <w:rFonts w:hint="eastAsia" w:ascii="宋体" w:hAnsi="宋体"/>
          <w:sz w:val="20"/>
        </w:rPr>
      </w:pPr>
      <w:r>
        <w:rPr>
          <w:rFonts w:ascii="宋体" w:hAnsi="宋体"/>
          <w:sz w:val="20"/>
        </w:rPr>
        <w:br w:type="page"/>
      </w:r>
    </w:p>
    <w:p>
      <w:pPr>
        <w:pStyle w:val="3"/>
        <w:jc w:val="center"/>
        <w:rPr>
          <w:rFonts w:hint="eastAsia" w:ascii="宋体" w:hAnsi="宋体"/>
          <w:sz w:val="28"/>
          <w:szCs w:val="28"/>
        </w:rPr>
      </w:pPr>
      <w:bookmarkStart w:id="218" w:name="_Toc491883233"/>
      <w:bookmarkStart w:id="219" w:name="_Toc58"/>
      <w:r>
        <w:rPr>
          <w:rFonts w:hint="eastAsia" w:ascii="宋体" w:hAnsi="宋体" w:eastAsia="宋体" w:cs="宋体"/>
          <w:sz w:val="24"/>
          <w:szCs w:val="24"/>
        </w:rPr>
        <w:t>（二）</w:t>
      </w:r>
      <w:bookmarkEnd w:id="218"/>
      <w:r>
        <w:rPr>
          <w:rFonts w:hint="eastAsia" w:ascii="宋体" w:hAnsi="宋体" w:eastAsia="宋体" w:cs="宋体"/>
          <w:sz w:val="24"/>
          <w:szCs w:val="24"/>
        </w:rPr>
        <w:t>法定代表人授权委托书</w:t>
      </w:r>
      <w:bookmarkEnd w:id="219"/>
    </w:p>
    <w:p>
      <w:pPr>
        <w:topLinePunct/>
        <w:spacing w:line="440" w:lineRule="exact"/>
        <w:ind w:firstLine="420" w:firstLineChars="200"/>
        <w:rPr>
          <w:rFonts w:hint="eastAsia"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hint="eastAsia"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hint="eastAsia" w:ascii="宋体" w:hAnsi="宋体"/>
        </w:rPr>
      </w:pPr>
      <w:r>
        <w:rPr>
          <w:rFonts w:ascii="宋体" w:hAnsi="宋体"/>
        </w:rPr>
        <w:t>代理人无转委托权。</w:t>
      </w:r>
    </w:p>
    <w:p>
      <w:pPr>
        <w:spacing w:line="440" w:lineRule="exact"/>
        <w:ind w:firstLine="420" w:firstLineChars="200"/>
        <w:rPr>
          <w:rFonts w:hint="eastAsia" w:ascii="宋体" w:hAnsi="宋体"/>
        </w:rPr>
      </w:pPr>
    </w:p>
    <w:p>
      <w:pPr>
        <w:spacing w:line="440" w:lineRule="exact"/>
        <w:rPr>
          <w:rFonts w:hint="eastAsia" w:ascii="宋体" w:hAnsi="宋体"/>
        </w:rPr>
      </w:pPr>
      <w:r>
        <w:rPr>
          <w:rFonts w:ascii="宋体" w:hAnsi="宋体"/>
        </w:rPr>
        <w:t>附：法定代表人身份证复印件及委托代理人身份证复印件</w:t>
      </w:r>
      <w:r>
        <w:rPr>
          <w:rFonts w:hint="eastAsia" w:ascii="宋体" w:hAnsi="宋体"/>
        </w:rPr>
        <w:t>（正、反面，有效期内）</w:t>
      </w: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spacing w:line="440" w:lineRule="exact"/>
        <w:ind w:firstLine="2692" w:firstLineChars="1282"/>
        <w:rPr>
          <w:rFonts w:hint="eastAsia"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hint="eastAsia"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hint="eastAsia"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hint="eastAsia" w:ascii="宋体" w:hAnsi="宋体"/>
        </w:rPr>
      </w:pPr>
    </w:p>
    <w:p>
      <w:pPr>
        <w:spacing w:line="440" w:lineRule="exact"/>
        <w:ind w:firstLine="4057" w:firstLineChars="1932"/>
        <w:jc w:val="right"/>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hint="eastAsia" w:ascii="宋体" w:hAnsi="宋体"/>
        </w:rPr>
      </w:pPr>
    </w:p>
    <w:p>
      <w:pPr>
        <w:rPr>
          <w:rFonts w:hint="eastAsia" w:ascii="宋体" w:hAnsi="宋体"/>
        </w:rPr>
      </w:pPr>
    </w:p>
    <w:p>
      <w:pPr>
        <w:spacing w:line="440" w:lineRule="exact"/>
        <w:rPr>
          <w:rFonts w:hint="eastAsia"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8"/>
        <w:sectPr>
          <w:pgSz w:w="11906" w:h="16838"/>
          <w:pgMar w:top="1440" w:right="1803" w:bottom="1440" w:left="1803" w:header="851" w:footer="992" w:gutter="0"/>
          <w:cols w:space="720" w:num="1"/>
          <w:titlePg/>
          <w:docGrid w:type="lines" w:linePitch="319" w:charSpace="0"/>
        </w:sectPr>
      </w:pPr>
    </w:p>
    <w:p>
      <w:pPr>
        <w:rPr>
          <w:rFonts w:hint="eastAsia" w:ascii="宋体" w:hAnsi="宋体" w:cs="宋体"/>
          <w:snapToGrid w:val="0"/>
          <w:kern w:val="0"/>
          <w:szCs w:val="21"/>
        </w:rPr>
      </w:pPr>
    </w:p>
    <w:p>
      <w:pPr>
        <w:jc w:val="center"/>
        <w:rPr>
          <w:rFonts w:hint="eastAsia" w:ascii="宋体" w:hAnsi="宋体" w:cs="宋体"/>
          <w:b/>
        </w:rPr>
      </w:pPr>
      <w:bookmarkStart w:id="220" w:name="_Toc11329275"/>
      <w:r>
        <w:rPr>
          <w:rFonts w:hint="eastAsia" w:ascii="宋体" w:hAnsi="宋体" w:cs="宋体"/>
          <w:b/>
          <w:bCs/>
          <w:kern w:val="0"/>
          <w:sz w:val="28"/>
          <w:szCs w:val="32"/>
        </w:rPr>
        <w:t>三、</w:t>
      </w:r>
      <w:bookmarkEnd w:id="198"/>
      <w:bookmarkEnd w:id="199"/>
      <w:bookmarkEnd w:id="200"/>
      <w:bookmarkEnd w:id="220"/>
      <w:r>
        <w:rPr>
          <w:rFonts w:hint="eastAsia" w:ascii="宋体" w:hAnsi="宋体" w:cs="宋体"/>
          <w:b/>
          <w:bCs/>
          <w:kern w:val="0"/>
          <w:sz w:val="28"/>
          <w:szCs w:val="32"/>
        </w:rPr>
        <w:t>报价一览表</w:t>
      </w:r>
    </w:p>
    <w:p>
      <w:pPr>
        <w:ind w:left="765"/>
        <w:jc w:val="center"/>
        <w:rPr>
          <w:rFonts w:hint="eastAsia" w:ascii="宋体" w:hAnsi="宋体" w:cs="宋体"/>
          <w:szCs w:val="21"/>
        </w:rPr>
      </w:pPr>
    </w:p>
    <w:p>
      <w:pPr>
        <w:pStyle w:val="38"/>
        <w:jc w:val="both"/>
        <w:rPr>
          <w:rFonts w:hint="eastAsia" w:hAnsi="宋体"/>
        </w:rPr>
      </w:pPr>
      <w:r>
        <w:rPr>
          <w:rFonts w:hint="eastAsia" w:hAnsi="宋体"/>
        </w:rPr>
        <w:t>重庆通慧网联科技有限公司：</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在研究了竞争性比选文件中所有文件后，我司对</w:t>
      </w:r>
      <w:r>
        <w:rPr>
          <w:rFonts w:hint="eastAsia" w:ascii="Arial" w:hAnsi="Arial" w:cs="Arial"/>
          <w:color w:val="000000"/>
          <w:sz w:val="24"/>
          <w:u w:val="single"/>
        </w:rPr>
        <w:t>2024年计重设备专项服务项目（成渝）</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p>
      <w:pPr>
        <w:spacing w:line="360" w:lineRule="auto"/>
        <w:ind w:firstLine="482" w:firstLineChars="200"/>
        <w:jc w:val="left"/>
        <w:rPr>
          <w:rFonts w:hint="eastAsia" w:ascii="宋体" w:hAnsi="宋体"/>
          <w:b/>
          <w:color w:val="000000"/>
          <w:sz w:val="24"/>
        </w:rPr>
      </w:pP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562" w:firstLineChars="200"/>
        <w:rPr>
          <w:rFonts w:hint="eastAsia" w:ascii="宋体" w:hAnsi="宋体" w:cs="宋体"/>
          <w:b/>
          <w:kern w:val="0"/>
          <w:sz w:val="28"/>
          <w:szCs w:val="28"/>
        </w:rPr>
      </w:pPr>
      <w:r>
        <w:rPr>
          <w:rFonts w:hint="eastAsia" w:ascii="宋体" w:hAnsi="宋体" w:cs="宋体"/>
          <w:b/>
          <w:kern w:val="0"/>
          <w:sz w:val="28"/>
          <w:szCs w:val="28"/>
        </w:rPr>
        <w:t xml:space="preserve"> </w:t>
      </w:r>
    </w:p>
    <w:p>
      <w:pPr>
        <w:spacing w:line="400" w:lineRule="exact"/>
        <w:rPr>
          <w:rFonts w:hint="eastAsia" w:ascii="宋体" w:hAnsi="宋体" w:cs="宋体"/>
          <w:kern w:val="0"/>
          <w:szCs w:val="21"/>
        </w:rPr>
      </w:pPr>
    </w:p>
    <w:p>
      <w:pPr>
        <w:pStyle w:val="3"/>
        <w:spacing w:before="0" w:after="0" w:line="360" w:lineRule="auto"/>
        <w:jc w:val="center"/>
        <w:rPr>
          <w:rFonts w:hint="eastAsia" w:ascii="宋体" w:hAnsi="宋体" w:eastAsia="宋体" w:cs="宋体"/>
          <w:sz w:val="28"/>
        </w:rPr>
      </w:pPr>
      <w:bookmarkStart w:id="221" w:name="_Toc11329278"/>
      <w:bookmarkStart w:id="222" w:name="_Toc513633971"/>
      <w:bookmarkStart w:id="223" w:name="_Toc503951050"/>
      <w:bookmarkStart w:id="224" w:name="_Toc152045803"/>
      <w:bookmarkStart w:id="225" w:name="_Toc179632823"/>
      <w:bookmarkStart w:id="226" w:name="_Toc247085887"/>
      <w:bookmarkStart w:id="227" w:name="_Toc447827058"/>
      <w:bookmarkStart w:id="228" w:name="_Toc152042592"/>
      <w:bookmarkStart w:id="229" w:name="_Toc246996369"/>
      <w:bookmarkStart w:id="230" w:name="_Toc246997112"/>
      <w:bookmarkStart w:id="231" w:name="_Toc144974871"/>
      <w:r>
        <w:rPr>
          <w:rFonts w:hint="eastAsia" w:ascii="宋体" w:hAnsi="宋体" w:eastAsia="宋体" w:cs="宋体"/>
          <w:sz w:val="28"/>
        </w:rPr>
        <w:br w:type="page"/>
      </w:r>
      <w:bookmarkStart w:id="232" w:name="_Toc11961"/>
      <w:bookmarkStart w:id="233" w:name="_Toc18757"/>
      <w:bookmarkStart w:id="234" w:name="_Toc12910"/>
      <w:r>
        <w:rPr>
          <w:rFonts w:hint="eastAsia" w:ascii="宋体" w:hAnsi="宋体" w:eastAsia="宋体" w:cs="宋体"/>
          <w:sz w:val="28"/>
        </w:rPr>
        <w:t>四、资格审查资料</w:t>
      </w:r>
      <w:bookmarkEnd w:id="221"/>
      <w:bookmarkEnd w:id="222"/>
      <w:bookmarkEnd w:id="223"/>
      <w:bookmarkEnd w:id="232"/>
      <w:bookmarkEnd w:id="233"/>
      <w:bookmarkEnd w:id="234"/>
    </w:p>
    <w:p>
      <w:pPr>
        <w:pStyle w:val="3"/>
        <w:spacing w:before="0" w:after="0" w:line="360" w:lineRule="auto"/>
        <w:jc w:val="center"/>
        <w:rPr>
          <w:rFonts w:hint="eastAsia" w:ascii="宋体" w:hAnsi="宋体" w:eastAsia="宋体" w:cs="宋体"/>
          <w:sz w:val="28"/>
        </w:rPr>
      </w:pPr>
      <w:bookmarkStart w:id="235" w:name="_Toc32456"/>
      <w:bookmarkStart w:id="236" w:name="_Toc17915"/>
      <w:bookmarkStart w:id="237" w:name="_Toc22003"/>
      <w:r>
        <w:rPr>
          <w:rFonts w:hint="eastAsia" w:ascii="宋体" w:hAnsi="宋体" w:eastAsia="宋体" w:cs="宋体"/>
          <w:sz w:val="28"/>
        </w:rPr>
        <w:t>（营业执照、资质证书、项目人员资料等）</w:t>
      </w:r>
      <w:bookmarkEnd w:id="235"/>
      <w:bookmarkEnd w:id="236"/>
      <w:bookmarkEnd w:id="237"/>
    </w:p>
    <w:p>
      <w:pPr>
        <w:pStyle w:val="166"/>
        <w:numPr>
          <w:ilvl w:val="0"/>
          <w:numId w:val="6"/>
        </w:numPr>
        <w:ind w:firstLineChars="0"/>
        <w:rPr>
          <w:sz w:val="28"/>
          <w:szCs w:val="28"/>
        </w:rPr>
      </w:pPr>
      <w:bookmarkStart w:id="238" w:name="_Hlk92869661"/>
      <w:r>
        <w:rPr>
          <w:rFonts w:hint="eastAsia"/>
          <w:sz w:val="28"/>
          <w:szCs w:val="28"/>
        </w:rPr>
        <w:t>营业执照</w:t>
      </w:r>
    </w:p>
    <w:p>
      <w:pPr>
        <w:rPr>
          <w:szCs w:val="21"/>
        </w:rPr>
      </w:pPr>
      <w:r>
        <w:rPr>
          <w:rFonts w:hint="eastAsia"/>
          <w:szCs w:val="21"/>
        </w:rPr>
        <w:t>注：请附营业执照复印件或扫描件（有效期内），并加盖报价人公章；</w:t>
      </w:r>
    </w:p>
    <w:p>
      <w:pPr>
        <w:rPr>
          <w:sz w:val="28"/>
          <w:szCs w:val="28"/>
        </w:rPr>
      </w:pPr>
    </w:p>
    <w:p>
      <w:pPr>
        <w:rPr>
          <w:sz w:val="28"/>
          <w:szCs w:val="28"/>
        </w:rPr>
      </w:pPr>
    </w:p>
    <w:p>
      <w:pPr>
        <w:rPr>
          <w:sz w:val="28"/>
          <w:szCs w:val="28"/>
        </w:rPr>
      </w:pPr>
    </w:p>
    <w:p>
      <w:pPr>
        <w:pStyle w:val="166"/>
        <w:numPr>
          <w:ilvl w:val="0"/>
          <w:numId w:val="6"/>
        </w:numPr>
        <w:ind w:firstLineChars="0"/>
        <w:rPr>
          <w:sz w:val="28"/>
          <w:szCs w:val="28"/>
        </w:rPr>
      </w:pPr>
      <w:r>
        <w:rPr>
          <w:rFonts w:hint="eastAsia"/>
          <w:sz w:val="28"/>
          <w:szCs w:val="28"/>
        </w:rPr>
        <w:t>资质证书</w:t>
      </w:r>
    </w:p>
    <w:p>
      <w:pPr>
        <w:rPr>
          <w:sz w:val="28"/>
          <w:szCs w:val="28"/>
        </w:rPr>
      </w:pPr>
    </w:p>
    <w:p>
      <w:pPr>
        <w:rPr>
          <w:sz w:val="28"/>
          <w:szCs w:val="28"/>
        </w:rPr>
      </w:pPr>
    </w:p>
    <w:p>
      <w:pPr>
        <w:rPr>
          <w:sz w:val="28"/>
          <w:szCs w:val="28"/>
        </w:rPr>
      </w:pPr>
    </w:p>
    <w:p>
      <w:pPr>
        <w:pStyle w:val="166"/>
        <w:numPr>
          <w:ilvl w:val="0"/>
          <w:numId w:val="6"/>
        </w:numPr>
        <w:ind w:firstLineChars="0"/>
        <w:rPr>
          <w:sz w:val="28"/>
          <w:szCs w:val="28"/>
        </w:rPr>
      </w:pPr>
      <w:r>
        <w:rPr>
          <w:rFonts w:hint="eastAsia"/>
          <w:sz w:val="28"/>
          <w:szCs w:val="28"/>
        </w:rPr>
        <w:t>业绩要求</w:t>
      </w:r>
    </w:p>
    <w:p>
      <w:pPr>
        <w:rPr>
          <w:sz w:val="28"/>
          <w:szCs w:val="28"/>
        </w:rPr>
      </w:pPr>
      <w:r>
        <w:rPr>
          <w:rFonts w:hint="eastAsia"/>
          <w:szCs w:val="21"/>
        </w:rPr>
        <w:t>注：业绩要求：2021年1月1日-2024年10月1日单个合同60万及以上高速公路计重设备维护业绩或累计200万元及以上计重设备销售业绩（提供合同扫描件），并加盖报价人公章；</w:t>
      </w:r>
    </w:p>
    <w:p>
      <w:pPr>
        <w:rPr>
          <w:sz w:val="28"/>
          <w:szCs w:val="28"/>
        </w:rPr>
      </w:pPr>
    </w:p>
    <w:p>
      <w:pPr>
        <w:rPr>
          <w:sz w:val="28"/>
          <w:szCs w:val="28"/>
        </w:rPr>
      </w:pPr>
    </w:p>
    <w:p>
      <w:pPr>
        <w:rPr>
          <w:sz w:val="28"/>
          <w:szCs w:val="28"/>
        </w:rPr>
      </w:pPr>
    </w:p>
    <w:p>
      <w:pPr>
        <w:pStyle w:val="166"/>
        <w:numPr>
          <w:ilvl w:val="0"/>
          <w:numId w:val="6"/>
        </w:numPr>
        <w:ind w:firstLineChars="0"/>
        <w:rPr>
          <w:sz w:val="28"/>
          <w:szCs w:val="28"/>
        </w:rPr>
      </w:pPr>
      <w:r>
        <w:rPr>
          <w:rFonts w:hint="eastAsia"/>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失信惩戒执行人名单截图（参见下图），并加盖报价人公章；</w:t>
      </w:r>
      <w:bookmarkEnd w:id="238"/>
    </w:p>
    <w:p/>
    <w:p>
      <w:r>
        <w:drawing>
          <wp:inline distT="0" distB="0" distL="0" distR="0">
            <wp:extent cx="5274310" cy="307340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5274310" cy="3073400"/>
                    </a:xfrm>
                    <a:prstGeom prst="rect">
                      <a:avLst/>
                    </a:prstGeom>
                  </pic:spPr>
                </pic:pic>
              </a:graphicData>
            </a:graphic>
          </wp:inline>
        </w:drawing>
      </w:r>
    </w:p>
    <w:p/>
    <w:p/>
    <w:p/>
    <w:p/>
    <w:p/>
    <w:p>
      <w:pPr>
        <w:pStyle w:val="166"/>
        <w:numPr>
          <w:ilvl w:val="0"/>
          <w:numId w:val="6"/>
        </w:numPr>
        <w:ind w:firstLineChars="0"/>
      </w:pPr>
      <w:r>
        <w:rPr>
          <w:rFonts w:hint="eastAsia"/>
          <w:sz w:val="28"/>
          <w:szCs w:val="28"/>
        </w:rPr>
        <w:t>财务状况</w:t>
      </w:r>
    </w:p>
    <w:p/>
    <w:p/>
    <w:p/>
    <w:p/>
    <w:p>
      <w:pPr>
        <w:pStyle w:val="166"/>
        <w:numPr>
          <w:ilvl w:val="0"/>
          <w:numId w:val="6"/>
        </w:numPr>
        <w:ind w:firstLineChars="0"/>
        <w:rPr>
          <w:sz w:val="28"/>
          <w:szCs w:val="28"/>
        </w:rPr>
      </w:pPr>
      <w:bookmarkStart w:id="239" w:name="_Hlk92869684"/>
      <w:r>
        <w:rPr>
          <w:rFonts w:hint="eastAsia"/>
          <w:sz w:val="28"/>
          <w:szCs w:val="28"/>
        </w:rPr>
        <w:t>人员要求</w:t>
      </w:r>
    </w:p>
    <w:p>
      <w:pPr>
        <w:pStyle w:val="166"/>
        <w:numPr>
          <w:ilvl w:val="0"/>
          <w:numId w:val="7"/>
        </w:numPr>
        <w:ind w:firstLineChars="0"/>
        <w:rPr>
          <w:b/>
          <w:szCs w:val="21"/>
        </w:rPr>
      </w:pPr>
      <w:r>
        <w:rPr>
          <w:rFonts w:hint="eastAsia"/>
          <w:b/>
          <w:szCs w:val="21"/>
        </w:rPr>
        <w:t>项目主要人员要求</w:t>
      </w:r>
      <w:bookmarkEnd w:id="239"/>
    </w:p>
    <w:p>
      <w:pPr>
        <w:jc w:val="center"/>
        <w:rPr>
          <w:b/>
          <w:szCs w:val="21"/>
        </w:rPr>
      </w:pPr>
      <w:r>
        <w:rPr>
          <w:rFonts w:hint="eastAsia"/>
          <w:b/>
          <w:szCs w:val="21"/>
        </w:rPr>
        <w:t>项目主要人员要求</w:t>
      </w:r>
    </w:p>
    <w:tbl>
      <w:tblPr>
        <w:tblStyle w:val="41"/>
        <w:tblW w:w="7654" w:type="dxa"/>
        <w:jc w:val="center"/>
        <w:tblLayout w:type="fixed"/>
        <w:tblCellMar>
          <w:top w:w="0" w:type="dxa"/>
          <w:left w:w="108" w:type="dxa"/>
          <w:bottom w:w="0" w:type="dxa"/>
          <w:right w:w="108" w:type="dxa"/>
        </w:tblCellMar>
      </w:tblPr>
      <w:tblGrid>
        <w:gridCol w:w="1418"/>
        <w:gridCol w:w="2126"/>
        <w:gridCol w:w="1134"/>
        <w:gridCol w:w="1701"/>
        <w:gridCol w:w="1275"/>
      </w:tblGrid>
      <w:tr>
        <w:tblPrEx>
          <w:tblCellMar>
            <w:top w:w="0" w:type="dxa"/>
            <w:left w:w="108" w:type="dxa"/>
            <w:bottom w:w="0" w:type="dxa"/>
            <w:right w:w="108" w:type="dxa"/>
          </w:tblCellMar>
        </w:tblPrEx>
        <w:trPr>
          <w:trHeight w:val="399" w:hRule="atLeast"/>
          <w:jc w:val="center"/>
        </w:trPr>
        <w:tc>
          <w:tcPr>
            <w:tcW w:w="141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212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人  员</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姓名</w:t>
            </w:r>
          </w:p>
        </w:tc>
        <w:tc>
          <w:tcPr>
            <w:tcW w:w="170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身份证号码</w:t>
            </w:r>
          </w:p>
        </w:tc>
        <w:tc>
          <w:tcPr>
            <w:tcW w:w="127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备注</w:t>
            </w:r>
          </w:p>
        </w:tc>
      </w:tr>
      <w:tr>
        <w:tblPrEx>
          <w:tblCellMar>
            <w:top w:w="0" w:type="dxa"/>
            <w:left w:w="108" w:type="dxa"/>
            <w:bottom w:w="0" w:type="dxa"/>
            <w:right w:w="108" w:type="dxa"/>
          </w:tblCellMar>
        </w:tblPrEx>
        <w:trPr>
          <w:trHeight w:val="300" w:hRule="atLeast"/>
          <w:jc w:val="center"/>
        </w:trPr>
        <w:tc>
          <w:tcPr>
            <w:tcW w:w="141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2126"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项目经理</w:t>
            </w:r>
          </w:p>
        </w:tc>
        <w:tc>
          <w:tcPr>
            <w:tcW w:w="113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275"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bl>
    <w:p>
      <w:bookmarkStart w:id="240" w:name="_Hlk92879097"/>
      <w:r>
        <w:rPr>
          <w:rFonts w:hint="eastAsia" w:hAnsi="宋体"/>
          <w:b/>
          <w:szCs w:val="21"/>
        </w:rPr>
        <w:t>项目主要人员证件照片（有效期内）：</w:t>
      </w:r>
      <w:bookmarkEnd w:id="240"/>
    </w:p>
    <w:p/>
    <w:p/>
    <w:p/>
    <w:p/>
    <w:p/>
    <w:p/>
    <w:p/>
    <w:p/>
    <w:p>
      <w:pPr>
        <w:pStyle w:val="166"/>
        <w:numPr>
          <w:ilvl w:val="0"/>
          <w:numId w:val="7"/>
        </w:numPr>
        <w:ind w:firstLineChars="0"/>
        <w:rPr>
          <w:rFonts w:hint="eastAsia" w:ascii="宋体" w:hAnsi="宋体"/>
          <w:b/>
        </w:rPr>
      </w:pPr>
      <w:r>
        <w:rPr>
          <w:rFonts w:hint="eastAsia"/>
          <w:b/>
          <w:szCs w:val="21"/>
        </w:rPr>
        <w:t>作业队伍人员要求</w:t>
      </w:r>
    </w:p>
    <w:p>
      <w:pPr>
        <w:rPr>
          <w:rFonts w:hint="eastAsia" w:ascii="宋体" w:hAnsi="宋体"/>
          <w:b/>
        </w:rPr>
      </w:pPr>
    </w:p>
    <w:p>
      <w:pPr>
        <w:jc w:val="center"/>
      </w:pPr>
      <w:r>
        <w:rPr>
          <w:rFonts w:hint="eastAsia" w:ascii="宋体" w:hAnsi="宋体" w:cs="宋体"/>
          <w:b/>
          <w:szCs w:val="21"/>
        </w:rPr>
        <w:t>作业队伍人员名单</w:t>
      </w:r>
    </w:p>
    <w:bookmarkEnd w:id="224"/>
    <w:bookmarkEnd w:id="225"/>
    <w:bookmarkEnd w:id="226"/>
    <w:bookmarkEnd w:id="227"/>
    <w:bookmarkEnd w:id="228"/>
    <w:bookmarkEnd w:id="229"/>
    <w:bookmarkEnd w:id="230"/>
    <w:bookmarkEnd w:id="231"/>
    <w:tbl>
      <w:tblPr>
        <w:tblStyle w:val="41"/>
        <w:tblW w:w="7792" w:type="dxa"/>
        <w:jc w:val="center"/>
        <w:tblLayout w:type="fixed"/>
        <w:tblCellMar>
          <w:top w:w="0" w:type="dxa"/>
          <w:left w:w="108" w:type="dxa"/>
          <w:bottom w:w="0" w:type="dxa"/>
          <w:right w:w="108" w:type="dxa"/>
        </w:tblCellMar>
      </w:tblPr>
      <w:tblGrid>
        <w:gridCol w:w="1129"/>
        <w:gridCol w:w="1843"/>
        <w:gridCol w:w="1854"/>
        <w:gridCol w:w="1559"/>
        <w:gridCol w:w="1407"/>
      </w:tblGrid>
      <w:tr>
        <w:tblPrEx>
          <w:tblCellMar>
            <w:top w:w="0" w:type="dxa"/>
            <w:left w:w="108" w:type="dxa"/>
            <w:bottom w:w="0" w:type="dxa"/>
            <w:right w:w="108" w:type="dxa"/>
          </w:tblCellMar>
        </w:tblPrEx>
        <w:trPr>
          <w:trHeight w:val="399"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bookmarkStart w:id="241" w:name="_Toc513633973"/>
            <w:bookmarkStart w:id="242" w:name="_Toc447827068"/>
            <w:bookmarkStart w:id="243" w:name="_Toc503951055"/>
            <w:bookmarkStart w:id="244" w:name="_Toc11672"/>
            <w:bookmarkStart w:id="245" w:name="_Toc11329281"/>
            <w:r>
              <w:rPr>
                <w:rFonts w:hint="eastAsia" w:ascii="宋体" w:hAnsi="宋体" w:cs="宋体"/>
                <w:color w:val="000000"/>
                <w:kern w:val="0"/>
                <w:szCs w:val="21"/>
              </w:rPr>
              <w:t>序号</w:t>
            </w:r>
          </w:p>
        </w:tc>
        <w:tc>
          <w:tcPr>
            <w:tcW w:w="1843"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人  员</w:t>
            </w:r>
          </w:p>
        </w:tc>
        <w:tc>
          <w:tcPr>
            <w:tcW w:w="185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姓名</w:t>
            </w:r>
          </w:p>
        </w:tc>
        <w:tc>
          <w:tcPr>
            <w:tcW w:w="1559"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身份证号码</w:t>
            </w:r>
          </w:p>
        </w:tc>
        <w:tc>
          <w:tcPr>
            <w:tcW w:w="1407"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备注</w:t>
            </w:r>
          </w:p>
        </w:tc>
      </w:tr>
      <w:tr>
        <w:tblPrEx>
          <w:tblCellMar>
            <w:top w:w="0" w:type="dxa"/>
            <w:left w:w="108" w:type="dxa"/>
            <w:bottom w:w="0" w:type="dxa"/>
            <w:right w:w="108" w:type="dxa"/>
          </w:tblCellMar>
        </w:tblPrEx>
        <w:trPr>
          <w:trHeight w:val="300"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843"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现场服务人员</w:t>
            </w:r>
          </w:p>
        </w:tc>
        <w:tc>
          <w:tcPr>
            <w:tcW w:w="185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40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300"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w:t>
            </w:r>
          </w:p>
        </w:tc>
        <w:tc>
          <w:tcPr>
            <w:tcW w:w="1843" w:type="dxa"/>
            <w:tcBorders>
              <w:top w:val="nil"/>
              <w:left w:val="nil"/>
              <w:bottom w:val="single" w:color="auto" w:sz="8" w:space="0"/>
              <w:right w:val="single" w:color="auto" w:sz="8" w:space="0"/>
            </w:tcBorders>
            <w:shd w:val="clear" w:color="auto" w:fill="auto"/>
          </w:tcPr>
          <w:p>
            <w:pPr>
              <w:widowControl/>
              <w:jc w:val="center"/>
              <w:rPr>
                <w:rFonts w:hint="eastAsia" w:ascii="宋体" w:hAnsi="宋体" w:cs="宋体"/>
                <w:color w:val="000000"/>
                <w:kern w:val="0"/>
                <w:szCs w:val="21"/>
              </w:rPr>
            </w:pPr>
            <w:r>
              <w:rPr>
                <w:rFonts w:hint="eastAsia" w:ascii="宋体" w:hAnsi="宋体" w:cs="宋体"/>
                <w:color w:val="000000"/>
                <w:kern w:val="0"/>
                <w:szCs w:val="21"/>
              </w:rPr>
              <w:t>现场服务人员</w:t>
            </w:r>
          </w:p>
        </w:tc>
        <w:tc>
          <w:tcPr>
            <w:tcW w:w="185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40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300"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ascii="宋体" w:hAnsi="宋体" w:cs="宋体"/>
                <w:color w:val="000000"/>
                <w:kern w:val="0"/>
                <w:szCs w:val="21"/>
              </w:rPr>
              <w:t>3</w:t>
            </w:r>
          </w:p>
        </w:tc>
        <w:tc>
          <w:tcPr>
            <w:tcW w:w="1843" w:type="dxa"/>
            <w:tcBorders>
              <w:top w:val="nil"/>
              <w:left w:val="nil"/>
              <w:bottom w:val="single" w:color="auto" w:sz="8" w:space="0"/>
              <w:right w:val="single" w:color="auto" w:sz="8" w:space="0"/>
            </w:tcBorders>
            <w:shd w:val="clear" w:color="auto" w:fill="auto"/>
          </w:tcPr>
          <w:p>
            <w:pPr>
              <w:widowControl/>
              <w:jc w:val="center"/>
              <w:rPr>
                <w:rFonts w:hint="eastAsia" w:ascii="宋体" w:hAnsi="宋体" w:cs="宋体"/>
                <w:color w:val="000000"/>
                <w:kern w:val="0"/>
                <w:szCs w:val="21"/>
              </w:rPr>
            </w:pPr>
            <w:r>
              <w:rPr>
                <w:rFonts w:hint="eastAsia" w:ascii="宋体" w:hAnsi="宋体" w:cs="宋体"/>
                <w:color w:val="000000"/>
                <w:kern w:val="0"/>
                <w:szCs w:val="21"/>
              </w:rPr>
              <w:t>现场服务人员</w:t>
            </w:r>
          </w:p>
        </w:tc>
        <w:tc>
          <w:tcPr>
            <w:tcW w:w="185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40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300"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ascii="宋体" w:hAnsi="宋体" w:cs="宋体"/>
                <w:color w:val="000000"/>
                <w:kern w:val="0"/>
                <w:szCs w:val="21"/>
              </w:rPr>
              <w:t>4</w:t>
            </w:r>
          </w:p>
        </w:tc>
        <w:tc>
          <w:tcPr>
            <w:tcW w:w="1843" w:type="dxa"/>
            <w:tcBorders>
              <w:top w:val="nil"/>
              <w:left w:val="nil"/>
              <w:bottom w:val="single" w:color="auto" w:sz="8" w:space="0"/>
              <w:right w:val="single" w:color="auto" w:sz="8" w:space="0"/>
            </w:tcBorders>
            <w:shd w:val="clear" w:color="auto" w:fill="auto"/>
          </w:tcPr>
          <w:p>
            <w:pPr>
              <w:widowControl/>
              <w:jc w:val="center"/>
              <w:rPr>
                <w:rFonts w:hint="eastAsia" w:ascii="宋体" w:hAnsi="宋体" w:cs="宋体"/>
                <w:color w:val="000000"/>
                <w:kern w:val="0"/>
                <w:szCs w:val="21"/>
              </w:rPr>
            </w:pPr>
            <w:r>
              <w:rPr>
                <w:rFonts w:hint="eastAsia" w:ascii="宋体" w:hAnsi="宋体" w:cs="宋体"/>
                <w:color w:val="000000"/>
                <w:kern w:val="0"/>
                <w:szCs w:val="21"/>
              </w:rPr>
              <w:t>现场服务人员</w:t>
            </w:r>
          </w:p>
        </w:tc>
        <w:tc>
          <w:tcPr>
            <w:tcW w:w="185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40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300"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ascii="宋体" w:hAnsi="宋体" w:cs="宋体"/>
                <w:color w:val="000000"/>
                <w:kern w:val="0"/>
                <w:szCs w:val="21"/>
              </w:rPr>
              <w:t>5</w:t>
            </w:r>
          </w:p>
        </w:tc>
        <w:tc>
          <w:tcPr>
            <w:tcW w:w="1843" w:type="dxa"/>
            <w:tcBorders>
              <w:top w:val="nil"/>
              <w:left w:val="nil"/>
              <w:bottom w:val="single" w:color="auto" w:sz="8" w:space="0"/>
              <w:right w:val="single" w:color="auto" w:sz="8" w:space="0"/>
            </w:tcBorders>
            <w:shd w:val="clear" w:color="auto" w:fill="auto"/>
          </w:tcPr>
          <w:p>
            <w:pPr>
              <w:widowControl/>
              <w:jc w:val="center"/>
              <w:rPr>
                <w:rFonts w:hint="eastAsia" w:ascii="宋体" w:hAnsi="宋体" w:cs="宋体"/>
                <w:color w:val="000000"/>
                <w:kern w:val="0"/>
                <w:szCs w:val="21"/>
              </w:rPr>
            </w:pPr>
            <w:r>
              <w:rPr>
                <w:rFonts w:hint="eastAsia" w:ascii="宋体" w:hAnsi="宋体" w:cs="宋体"/>
                <w:color w:val="000000"/>
                <w:kern w:val="0"/>
                <w:szCs w:val="21"/>
              </w:rPr>
              <w:t>现场服务人员</w:t>
            </w:r>
          </w:p>
        </w:tc>
        <w:tc>
          <w:tcPr>
            <w:tcW w:w="185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40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300" w:hRule="atLeast"/>
          <w:jc w:val="center"/>
        </w:trPr>
        <w:tc>
          <w:tcPr>
            <w:tcW w:w="112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ascii="宋体" w:hAnsi="宋体" w:cs="宋体"/>
                <w:color w:val="000000"/>
                <w:kern w:val="0"/>
                <w:szCs w:val="21"/>
              </w:rPr>
              <w:t>6</w:t>
            </w:r>
          </w:p>
        </w:tc>
        <w:tc>
          <w:tcPr>
            <w:tcW w:w="1843" w:type="dxa"/>
            <w:tcBorders>
              <w:top w:val="nil"/>
              <w:left w:val="nil"/>
              <w:bottom w:val="single" w:color="auto" w:sz="8" w:space="0"/>
              <w:right w:val="single" w:color="auto" w:sz="8" w:space="0"/>
            </w:tcBorders>
            <w:shd w:val="clear" w:color="auto" w:fill="auto"/>
          </w:tcPr>
          <w:p>
            <w:pPr>
              <w:widowControl/>
              <w:jc w:val="center"/>
              <w:rPr>
                <w:rFonts w:hint="eastAsia" w:ascii="宋体" w:hAnsi="宋体" w:cs="宋体"/>
                <w:color w:val="000000"/>
                <w:kern w:val="0"/>
                <w:szCs w:val="21"/>
              </w:rPr>
            </w:pPr>
            <w:r>
              <w:rPr>
                <w:rFonts w:hint="eastAsia" w:ascii="宋体" w:hAnsi="宋体" w:cs="宋体"/>
                <w:color w:val="000000"/>
                <w:kern w:val="0"/>
                <w:szCs w:val="21"/>
              </w:rPr>
              <w:t>现场服务人员</w:t>
            </w:r>
          </w:p>
        </w:tc>
        <w:tc>
          <w:tcPr>
            <w:tcW w:w="185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c>
          <w:tcPr>
            <w:tcW w:w="140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w:t>
            </w:r>
          </w:p>
        </w:tc>
      </w:tr>
    </w:tbl>
    <w:p>
      <w:pPr>
        <w:pStyle w:val="147"/>
        <w:adjustRightInd/>
        <w:spacing w:line="360" w:lineRule="auto"/>
        <w:rPr>
          <w:rFonts w:hint="eastAsia" w:ascii="Times New Roman" w:hAnsi="宋体" w:cs="Times New Roman"/>
          <w:color w:val="auto"/>
          <w:sz w:val="21"/>
          <w:szCs w:val="21"/>
        </w:rPr>
      </w:pPr>
      <w:r>
        <w:rPr>
          <w:rFonts w:hint="eastAsia" w:ascii="Times New Roman" w:hAnsi="宋体" w:cs="Times New Roman"/>
          <w:color w:val="auto"/>
          <w:sz w:val="21"/>
          <w:szCs w:val="21"/>
        </w:rPr>
        <w:t>注：需提供项目现场服务人员名单（表格形式），以上人员相关身份证复印件。（有效期内，并加盖单位鲜公章）</w:t>
      </w:r>
    </w:p>
    <w:p>
      <w:pPr>
        <w:pStyle w:val="147"/>
        <w:adjustRightInd/>
        <w:spacing w:line="360" w:lineRule="auto"/>
        <w:rPr>
          <w:rFonts w:hint="eastAsia" w:ascii="Times New Roman" w:hAnsi="宋体" w:cs="Times New Roman"/>
          <w:b/>
          <w:color w:val="auto"/>
          <w:sz w:val="21"/>
          <w:szCs w:val="21"/>
        </w:rPr>
      </w:pPr>
      <w:r>
        <w:rPr>
          <w:rFonts w:hint="eastAsia" w:ascii="Times New Roman" w:hAnsi="宋体" w:cs="Times New Roman"/>
          <w:b/>
          <w:color w:val="auto"/>
          <w:sz w:val="21"/>
          <w:szCs w:val="21"/>
        </w:rPr>
        <w:t>现场人员证件照片：</w:t>
      </w:r>
    </w:p>
    <w:p>
      <w:pPr>
        <w:pStyle w:val="147"/>
        <w:adjustRightInd/>
        <w:spacing w:line="360" w:lineRule="auto"/>
        <w:rPr>
          <w:rFonts w:hint="eastAsia" w:ascii="Times New Roman" w:hAnsi="宋体" w:cs="Times New Roman"/>
          <w:b/>
          <w:color w:val="auto"/>
          <w:sz w:val="21"/>
          <w:szCs w:val="21"/>
        </w:rPr>
      </w:pPr>
    </w:p>
    <w:p>
      <w:pPr>
        <w:pStyle w:val="147"/>
        <w:adjustRightInd/>
        <w:spacing w:line="360" w:lineRule="auto"/>
        <w:rPr>
          <w:rFonts w:hint="eastAsia" w:ascii="Times New Roman" w:hAnsi="宋体" w:cs="Times New Roman"/>
          <w:color w:val="auto"/>
          <w:sz w:val="21"/>
          <w:szCs w:val="21"/>
        </w:rPr>
      </w:pPr>
    </w:p>
    <w:p>
      <w:pPr>
        <w:pStyle w:val="147"/>
        <w:adjustRightInd/>
        <w:spacing w:line="360" w:lineRule="auto"/>
        <w:rPr>
          <w:rFonts w:hint="eastAsia" w:ascii="Times New Roman" w:hAnsi="宋体" w:cs="Times New Roman"/>
          <w:color w:val="auto"/>
          <w:sz w:val="21"/>
          <w:szCs w:val="21"/>
        </w:rPr>
      </w:pPr>
    </w:p>
    <w:p>
      <w:pPr>
        <w:pStyle w:val="147"/>
        <w:adjustRightInd/>
        <w:spacing w:line="360" w:lineRule="auto"/>
        <w:rPr>
          <w:rFonts w:hint="eastAsia" w:ascii="Times New Roman" w:hAnsi="宋体" w:cs="Times New Roman"/>
          <w:color w:val="auto"/>
          <w:sz w:val="21"/>
          <w:szCs w:val="21"/>
        </w:rPr>
      </w:pPr>
    </w:p>
    <w:p>
      <w:pPr>
        <w:jc w:val="center"/>
      </w:pPr>
      <w:r>
        <w:rPr>
          <w:rFonts w:hint="eastAsia" w:ascii="宋体" w:hAnsi="宋体" w:cs="宋体"/>
          <w:b/>
          <w:szCs w:val="21"/>
        </w:rPr>
        <w:t>其他人员名单</w:t>
      </w:r>
    </w:p>
    <w:tbl>
      <w:tblPr>
        <w:tblStyle w:val="41"/>
        <w:tblW w:w="7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711"/>
        <w:gridCol w:w="1134"/>
        <w:gridCol w:w="1559"/>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序号</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人  员</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姓名</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身份证号码</w:t>
            </w:r>
          </w:p>
        </w:tc>
        <w:tc>
          <w:tcPr>
            <w:tcW w:w="15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1</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如：电工、焊工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5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2</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5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3</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c>
          <w:tcPr>
            <w:tcW w:w="15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Cs w:val="21"/>
              </w:rPr>
            </w:pPr>
          </w:p>
        </w:tc>
      </w:tr>
    </w:tbl>
    <w:p>
      <w:pPr>
        <w:pStyle w:val="147"/>
        <w:adjustRightInd/>
        <w:spacing w:line="360" w:lineRule="auto"/>
        <w:rPr>
          <w:rFonts w:hint="eastAsia" w:hAnsi="宋体"/>
          <w:color w:val="FF0000"/>
          <w:sz w:val="21"/>
          <w:szCs w:val="21"/>
        </w:rPr>
      </w:pPr>
      <w:r>
        <w:rPr>
          <w:rFonts w:hint="eastAsia" w:hAnsi="宋体"/>
          <w:color w:val="auto"/>
          <w:sz w:val="21"/>
          <w:szCs w:val="21"/>
        </w:rPr>
        <w:t>注：</w:t>
      </w:r>
      <w:r>
        <w:rPr>
          <w:rFonts w:hint="eastAsia" w:ascii="Times New Roman" w:hAnsi="宋体" w:cs="Times New Roman"/>
          <w:color w:val="auto"/>
          <w:sz w:val="21"/>
          <w:szCs w:val="21"/>
        </w:rPr>
        <w:t>需提供以上人员相关资质证件及身份证复印件（有效期内），并加盖单位鲜公章。</w:t>
      </w:r>
    </w:p>
    <w:p>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br w:type="page"/>
      </w:r>
      <w:bookmarkStart w:id="246" w:name="_Toc29559"/>
      <w:bookmarkStart w:id="247" w:name="_Toc11243"/>
      <w:r>
        <w:rPr>
          <w:rFonts w:hint="eastAsia" w:ascii="宋体" w:hAnsi="宋体" w:eastAsia="宋体" w:cs="宋体"/>
          <w:sz w:val="28"/>
        </w:rPr>
        <w:t>五、</w:t>
      </w:r>
      <w:bookmarkEnd w:id="241"/>
      <w:bookmarkEnd w:id="242"/>
      <w:bookmarkEnd w:id="243"/>
      <w:r>
        <w:rPr>
          <w:rFonts w:hint="eastAsia" w:ascii="宋体" w:hAnsi="宋体" w:eastAsia="宋体" w:cs="宋体"/>
          <w:sz w:val="28"/>
        </w:rPr>
        <w:t>报价人须知前附表规定的材料</w:t>
      </w:r>
      <w:bookmarkEnd w:id="244"/>
      <w:bookmarkEnd w:id="245"/>
      <w:bookmarkEnd w:id="246"/>
      <w:bookmarkEnd w:id="247"/>
    </w:p>
    <w:p>
      <w:pPr>
        <w:pStyle w:val="4"/>
        <w:jc w:val="center"/>
        <w:rPr>
          <w:rFonts w:hint="eastAsia" w:ascii="宋体" w:hAnsi="宋体" w:cs="宋体"/>
          <w:sz w:val="28"/>
        </w:rPr>
      </w:pPr>
      <w:bookmarkStart w:id="248" w:name="bookmark81"/>
      <w:bookmarkStart w:id="249" w:name="_Toc513633974"/>
      <w:bookmarkStart w:id="250" w:name="_Toc503951058"/>
      <w:r>
        <w:rPr>
          <w:rFonts w:hint="eastAsia" w:ascii="宋体" w:hAnsi="宋体" w:cs="宋体"/>
          <w:sz w:val="28"/>
        </w:rPr>
        <w:t>（一）</w:t>
      </w:r>
      <w:bookmarkEnd w:id="248"/>
      <w:bookmarkStart w:id="251" w:name="_Toc504639215"/>
      <w:bookmarkStart w:id="252" w:name="_Toc507681488"/>
      <w:bookmarkStart w:id="253" w:name="_Toc507681700"/>
      <w:r>
        <w:rPr>
          <w:rFonts w:hint="eastAsia" w:ascii="宋体" w:hAnsi="宋体" w:cs="宋体"/>
          <w:sz w:val="28"/>
        </w:rPr>
        <w:t>报价人自行承诺部分</w:t>
      </w:r>
      <w:bookmarkEnd w:id="251"/>
      <w:bookmarkEnd w:id="252"/>
      <w:bookmarkEnd w:id="253"/>
    </w:p>
    <w:p>
      <w:pPr>
        <w:jc w:val="center"/>
        <w:rPr>
          <w:rFonts w:hint="eastAsia" w:ascii="宋体" w:hAnsi="宋体"/>
          <w:sz w:val="44"/>
          <w:szCs w:val="44"/>
        </w:rPr>
      </w:pPr>
      <w:r>
        <w:rPr>
          <w:rFonts w:hint="eastAsia" w:ascii="宋体" w:hAnsi="宋体"/>
          <w:sz w:val="44"/>
          <w:szCs w:val="44"/>
        </w:rPr>
        <w:t>承诺书</w:t>
      </w:r>
    </w:p>
    <w:p>
      <w:pPr>
        <w:rPr>
          <w:rFonts w:hint="eastAsia" w:ascii="宋体" w:hAnsi="宋体"/>
          <w:sz w:val="28"/>
          <w:szCs w:val="28"/>
        </w:rPr>
      </w:pP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（招标人名称）：</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我公司</w:t>
      </w:r>
      <w:r>
        <w:rPr>
          <w:rFonts w:hint="eastAsia" w:ascii="宋体" w:hAnsi="宋体" w:cs="宋体"/>
          <w:szCs w:val="21"/>
          <w:u w:val="single"/>
        </w:rPr>
        <w:t xml:space="preserve">        （投标人名称）</w:t>
      </w:r>
      <w:r>
        <w:rPr>
          <w:rFonts w:hint="eastAsia" w:ascii="宋体" w:hAnsi="宋体" w:cs="宋体"/>
          <w:szCs w:val="21"/>
        </w:rPr>
        <w:t>参加了贵单位</w:t>
      </w:r>
      <w:r>
        <w:rPr>
          <w:rFonts w:hint="eastAsia" w:ascii="宋体" w:hAnsi="宋体" w:cs="宋体"/>
          <w:b/>
          <w:bCs/>
          <w:szCs w:val="21"/>
          <w:u w:val="single"/>
        </w:rPr>
        <w:t xml:space="preserve">                     </w:t>
      </w:r>
      <w:r>
        <w:rPr>
          <w:rFonts w:hint="eastAsia" w:ascii="宋体" w:hAnsi="宋体" w:cs="宋体"/>
          <w:szCs w:val="21"/>
        </w:rPr>
        <w:t>项目的投标，自愿作出以下承诺：</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1、投标截止日投标资格情况不存在下列情形之一：</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（4）被国家、重庆市（含市或任意区县）有关行政部门处以暂停投标资格行政处罚或暂停在渝承揽新业务，且在暂停期限内。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（5）被国家企业信用信息公示系统（http://www.gsxt.gov.cn/）中列入严重违法失信企业名单（黑名单）信息。</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（6）被“信用中国”网站（http://www.creditchina.gov.cn/）列入失信惩戒执行人名单。</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2、中标后，3日内安排服务人员进场，进场当日提交特种作业证和人员保险证明。接到故障报修通知后，半小时内响应。我公司会根据项目实际施工进度情况，配备相应的主要机械设备和试验检测设备。</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我公司严格按照“工程量清单”的规定进行报价。比选文件中规定工程量清单不允许修改的内容不得修改。投标总报价不高于贵单位公布的投标总报价最高限价。各清单子目单价不高于贵单位公布的各清单子目单价最高限价的。</w:t>
      </w:r>
    </w:p>
    <w:p>
      <w:pPr>
        <w:adjustRightInd w:val="0"/>
        <w:snapToGrid w:val="0"/>
        <w:spacing w:line="360" w:lineRule="auto"/>
        <w:ind w:firstLine="420" w:firstLineChars="200"/>
        <w:jc w:val="left"/>
        <w:rPr>
          <w:rFonts w:hint="eastAsia" w:ascii="宋体" w:hAnsi="宋体"/>
          <w:sz w:val="28"/>
          <w:szCs w:val="28"/>
        </w:rPr>
      </w:pPr>
      <w:r>
        <w:rPr>
          <w:rFonts w:hint="eastAsia" w:ascii="宋体" w:hAnsi="宋体" w:cs="宋体"/>
          <w:szCs w:val="21"/>
        </w:rPr>
        <w:t>4、我公司在报价文件中提供的相关证明材料真实有效，不存在弄虚作假情形。贵单位在合同签订前均有权对我公司提供的资料进行核实，若发现弄虚作假，按相关规定取消我公司中标资格，并按相关法律法规报招标投标监督部门，投标保证金及履约保证金不予退还，我公司自愿承担因此造成的相关责任并赔偿相应损失。</w:t>
      </w:r>
    </w:p>
    <w:p>
      <w:pPr>
        <w:adjustRightInd w:val="0"/>
        <w:snapToGrid w:val="0"/>
        <w:spacing w:line="360" w:lineRule="auto"/>
        <w:ind w:firstLine="420" w:firstLineChars="200"/>
        <w:jc w:val="right"/>
        <w:rPr>
          <w:rFonts w:hint="eastAsia" w:ascii="宋体" w:hAnsi="宋体" w:cs="宋体"/>
          <w:szCs w:val="21"/>
          <w:u w:val="single"/>
        </w:rPr>
      </w:pPr>
      <w:r>
        <w:rPr>
          <w:rFonts w:hint="eastAsia" w:ascii="宋体" w:hAnsi="宋体" w:cs="宋体"/>
          <w:szCs w:val="21"/>
        </w:rPr>
        <w:t>投标人：</w:t>
      </w:r>
      <w:r>
        <w:rPr>
          <w:rFonts w:hint="eastAsia" w:ascii="宋体" w:hAnsi="宋体" w:cs="宋体"/>
          <w:szCs w:val="21"/>
          <w:u w:val="single"/>
        </w:rPr>
        <w:t xml:space="preserve">                    盖单位法人章）</w:t>
      </w:r>
    </w:p>
    <w:p>
      <w:pPr>
        <w:adjustRightInd w:val="0"/>
        <w:snapToGrid w:val="0"/>
        <w:spacing w:line="360" w:lineRule="auto"/>
        <w:ind w:firstLine="420" w:firstLineChars="200"/>
        <w:jc w:val="right"/>
        <w:rPr>
          <w:rFonts w:hint="eastAsia" w:ascii="宋体" w:hAnsi="宋体" w:cs="宋体"/>
          <w:szCs w:val="21"/>
        </w:rPr>
      </w:pPr>
      <w:r>
        <w:rPr>
          <w:rFonts w:hint="eastAsia" w:ascii="宋体" w:hAnsi="宋体" w:cs="宋体"/>
          <w:szCs w:val="21"/>
        </w:rPr>
        <w:t>法定代表人：</w:t>
      </w:r>
      <w:r>
        <w:rPr>
          <w:rFonts w:hint="eastAsia" w:ascii="宋体" w:hAnsi="宋体" w:cs="宋体"/>
          <w:szCs w:val="21"/>
          <w:u w:val="single"/>
        </w:rPr>
        <w:t xml:space="preserve">                （签字或盖章）</w:t>
      </w:r>
    </w:p>
    <w:p>
      <w:pPr>
        <w:adjustRightInd w:val="0"/>
        <w:snapToGrid w:val="0"/>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p>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t>六、报价人基本信息及其他材料</w:t>
      </w:r>
    </w:p>
    <w:p>
      <w:pPr>
        <w:pStyle w:val="4"/>
        <w:spacing w:before="0" w:after="0" w:line="360" w:lineRule="auto"/>
        <w:jc w:val="center"/>
        <w:rPr>
          <w:sz w:val="28"/>
          <w:szCs w:val="28"/>
        </w:rPr>
      </w:pPr>
      <w:bookmarkStart w:id="254" w:name="_Toc4375"/>
      <w:bookmarkStart w:id="255" w:name="_Toc508110857"/>
      <w:bookmarkStart w:id="256" w:name="_Toc452107137"/>
      <w:r>
        <w:rPr>
          <w:rFonts w:hint="eastAsia"/>
          <w:sz w:val="28"/>
          <w:szCs w:val="28"/>
        </w:rPr>
        <w:t>（一）报价人基本信息表</w:t>
      </w:r>
      <w:bookmarkEnd w:id="254"/>
      <w:bookmarkEnd w:id="255"/>
      <w:bookmarkEnd w:id="256"/>
    </w:p>
    <w:p>
      <w:pPr>
        <w:pStyle w:val="26"/>
      </w:pPr>
    </w:p>
    <w:tbl>
      <w:tblPr>
        <w:tblStyle w:val="41"/>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hint="eastAsia"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cs="宋体"/>
                <w:color w:val="000000"/>
                <w:szCs w:val="21"/>
              </w:rPr>
            </w:pPr>
          </w:p>
        </w:tc>
      </w:tr>
    </w:tbl>
    <w:p>
      <w:pPr>
        <w:pStyle w:val="4"/>
        <w:jc w:val="center"/>
        <w:rPr>
          <w:rFonts w:hint="eastAsia" w:ascii="宋体" w:hAnsi="宋体" w:cs="宋体"/>
          <w:sz w:val="28"/>
        </w:rPr>
      </w:pPr>
      <w:r>
        <w:rPr>
          <w:rFonts w:hint="eastAsia" w:ascii="宋体" w:hAnsi="宋体" w:cs="宋体"/>
          <w:sz w:val="28"/>
        </w:rPr>
        <w:t>（二）其他材料</w:t>
      </w:r>
    </w:p>
    <w:p/>
    <w:p>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t>七、现场安全负责人承诺书</w:t>
      </w:r>
    </w:p>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重庆通慧网联科技有限公司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rPr>
        <w:t>2024年计重设备专项服务项目（成渝）</w:t>
      </w:r>
      <w:r>
        <w:rPr>
          <w:rFonts w:hint="eastAsia" w:ascii="Arial" w:hAnsi="Arial" w:cs="Arial"/>
          <w:color w:val="000000"/>
          <w:sz w:val="24"/>
        </w:rPr>
        <w:t>竞争性比选项目及服务的竞争比选邀请，</w:t>
      </w:r>
      <w:r>
        <w:rPr>
          <w:rFonts w:hint="eastAsia" w:ascii="Arial" w:hAnsi="Arial" w:cs="Arial"/>
          <w:color w:val="000000"/>
          <w:sz w:val="24"/>
          <w:u w:val="single"/>
        </w:rPr>
        <w:t>（姓名）</w:t>
      </w:r>
      <w:r>
        <w:rPr>
          <w:rFonts w:hint="eastAsia" w:ascii="Arial" w:hAnsi="Arial" w:cs="Arial"/>
          <w:color w:val="000000"/>
          <w:sz w:val="24"/>
        </w:rPr>
        <w:t>经正式任命为</w:t>
      </w:r>
      <w:r>
        <w:rPr>
          <w:rFonts w:hint="eastAsia" w:ascii="Arial" w:hAnsi="Arial" w:cs="Arial"/>
          <w:color w:val="000000"/>
          <w:sz w:val="24"/>
          <w:u w:val="single"/>
        </w:rPr>
        <w:t>2024年计重设备专项服务项目（成渝）</w:t>
      </w:r>
      <w:r>
        <w:rPr>
          <w:rFonts w:hint="eastAsia" w:ascii="Arial" w:hAnsi="Arial" w:cs="Arial"/>
          <w:color w:val="000000"/>
          <w:sz w:val="24"/>
        </w:rPr>
        <w:t>竞争比选项目及服务现场安全负责人，严格遵守国家有关安全生产的法律法规、交通部颁发的《公路养护安全作业规程》(JTGH30—2015）、《重庆市营运高速公路施工管理规范》DB50/T 959-2019及《通慧公司工程安全生产的违约处理细则》等有关安全生产的规定，承诺施工期间在现场开展安全管理工作。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8"/>
        <w:rPr>
          <w:rFonts w:ascii="Arial" w:hAnsi="Arial" w:cs="Arial"/>
          <w:caps w:val="0"/>
          <w:color w:val="000000"/>
          <w:sz w:val="24"/>
          <w:szCs w:val="24"/>
        </w:rPr>
      </w:pPr>
    </w:p>
    <w:p>
      <w:pPr>
        <w:rPr>
          <w:rFonts w:ascii="Arial" w:hAnsi="Arial" w:cs="Arial"/>
          <w:b/>
          <w:bCs/>
          <w:color w:val="000000"/>
          <w:sz w:val="24"/>
        </w:rPr>
      </w:pPr>
    </w:p>
    <w:p>
      <w:pPr>
        <w:pStyle w:val="28"/>
        <w:rPr>
          <w:rFonts w:ascii="Arial" w:hAnsi="Arial" w:cs="Arial"/>
          <w:caps w:val="0"/>
          <w:color w:val="000000"/>
          <w:sz w:val="24"/>
          <w:szCs w:val="24"/>
        </w:rPr>
      </w:pPr>
    </w:p>
    <w:p>
      <w:pPr>
        <w:pStyle w:val="17"/>
        <w:jc w:val="left"/>
      </w:pPr>
    </w:p>
    <w:p>
      <w:pPr>
        <w:pStyle w:val="17"/>
        <w:jc w:val="left"/>
      </w:pPr>
    </w:p>
    <w:p>
      <w:pPr>
        <w:pStyle w:val="17"/>
        <w:jc w:val="left"/>
        <w:rPr>
          <w:u w:val="single"/>
        </w:rPr>
      </w:pPr>
      <w:r>
        <w:t>竞争比选响应单位</w:t>
      </w:r>
      <w:r>
        <w:rPr>
          <w:rFonts w:hint="eastAsia"/>
        </w:rPr>
        <w:t>现场安全负责人</w:t>
      </w:r>
      <w:r>
        <w:t>（签字）：</w:t>
      </w:r>
      <w:r>
        <w:rPr>
          <w:rFonts w:hint="eastAsia"/>
        </w:rPr>
        <w:t xml:space="preserve"> </w:t>
      </w:r>
      <w:r>
        <w:rPr>
          <w:rFonts w:hint="eastAsia"/>
          <w:u w:val="single"/>
        </w:rPr>
        <w:t xml:space="preserve">              </w:t>
      </w:r>
    </w:p>
    <w:p>
      <w:pPr>
        <w:pStyle w:val="17"/>
        <w:jc w:val="left"/>
      </w:pPr>
      <w:r>
        <w:t>竞争比选响应单位名称（加盖公章）：</w:t>
      </w:r>
      <w:r>
        <w:rPr>
          <w:rFonts w:hint="eastAsia"/>
          <w:u w:val="single"/>
        </w:rPr>
        <w:t xml:space="preserve">                     </w:t>
      </w:r>
    </w:p>
    <w:p>
      <w:pPr>
        <w:pStyle w:val="17"/>
        <w:jc w:val="left"/>
      </w:pPr>
      <w:r>
        <w:t>日期：     年      月      日</w:t>
      </w:r>
    </w:p>
    <w:p>
      <w:pPr>
        <w:pStyle w:val="28"/>
        <w:jc w:val="right"/>
        <w:rPr>
          <w:rFonts w:ascii="Arial" w:hAnsi="Arial" w:cs="Arial"/>
          <w:caps w:val="0"/>
          <w:color w:val="000000"/>
          <w:sz w:val="24"/>
          <w:szCs w:val="24"/>
        </w:rPr>
      </w:pPr>
    </w:p>
    <w:p>
      <w:pPr>
        <w:rPr>
          <w:rFonts w:ascii="Arial" w:hAnsi="Arial" w:cs="Arial"/>
          <w:b/>
          <w:bCs/>
          <w:color w:val="000000"/>
          <w:sz w:val="24"/>
        </w:rPr>
      </w:pPr>
    </w:p>
    <w:p>
      <w:pPr>
        <w:pStyle w:val="28"/>
        <w:rPr>
          <w:rFonts w:ascii="Arial" w:hAnsi="Arial" w:cs="Arial"/>
          <w:caps w:val="0"/>
          <w:color w:val="000000"/>
          <w:sz w:val="24"/>
          <w:szCs w:val="24"/>
        </w:rPr>
      </w:pPr>
    </w:p>
    <w:p>
      <w:pPr>
        <w:pStyle w:val="28"/>
        <w:rPr>
          <w:rFonts w:ascii="Arial" w:hAnsi="Arial" w:cs="Arial"/>
          <w:caps w:val="0"/>
          <w:color w:val="000000"/>
          <w:sz w:val="24"/>
          <w:szCs w:val="24"/>
        </w:rPr>
      </w:pPr>
    </w:p>
    <w:bookmarkEnd w:id="249"/>
    <w:bookmarkEnd w:id="250"/>
    <w:p>
      <w:pPr>
        <w:pStyle w:val="28"/>
      </w:pPr>
    </w:p>
    <w:p/>
    <w:p>
      <w:pPr>
        <w:keepNext/>
        <w:keepLines/>
        <w:spacing w:line="360" w:lineRule="auto"/>
        <w:outlineLvl w:val="1"/>
        <w:rPr>
          <w:rFonts w:hint="eastAsia" w:ascii="宋体" w:hAnsi="宋体" w:cs="宋体"/>
          <w:b/>
          <w:bCs/>
          <w:kern w:val="0"/>
          <w:sz w:val="28"/>
          <w:szCs w:val="32"/>
        </w:rPr>
      </w:pPr>
    </w:p>
    <w:p/>
    <w:p>
      <w:pPr>
        <w:tabs>
          <w:tab w:val="left" w:pos="3490"/>
        </w:tabs>
        <w:rPr>
          <w:rFonts w:hint="eastAsia"/>
        </w:rPr>
      </w:pPr>
    </w:p>
    <w:p>
      <w:pPr>
        <w:keepNext/>
        <w:keepLines/>
        <w:spacing w:line="360" w:lineRule="auto"/>
        <w:jc w:val="center"/>
        <w:outlineLvl w:val="1"/>
        <w:rPr>
          <w:rFonts w:hint="eastAsia" w:ascii="宋体" w:hAnsi="宋体" w:cs="宋体"/>
          <w:b/>
          <w:bCs/>
          <w:kern w:val="0"/>
          <w:sz w:val="28"/>
          <w:szCs w:val="32"/>
        </w:rPr>
      </w:pPr>
      <w:r>
        <w:rPr>
          <w:rFonts w:hint="eastAsia" w:ascii="宋体" w:hAnsi="宋体" w:cs="宋体"/>
          <w:b/>
          <w:bCs/>
          <w:kern w:val="0"/>
          <w:sz w:val="28"/>
          <w:szCs w:val="32"/>
        </w:rPr>
        <w:t>八、计重称台专项服务工程量清单</w:t>
      </w: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jc w:val="center"/>
        <w:outlineLvl w:val="1"/>
      </w:pPr>
    </w:p>
    <w:p>
      <w:pPr>
        <w:keepNext/>
        <w:keepLines/>
        <w:spacing w:line="360" w:lineRule="auto"/>
        <w:outlineLvl w:val="1"/>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A001A31-A281-48C9-9001-576B3F0D690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7C8A112-3ACB-4B5A-A9DD-AA8C07C07251}"/>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5"/>
      </w:rPr>
    </w:pPr>
    <w:r>
      <w:fldChar w:fldCharType="begin"/>
    </w:r>
    <w:r>
      <w:rPr>
        <w:rStyle w:val="45"/>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10</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8</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5"/>
      </w:rPr>
    </w:pPr>
    <w:r>
      <w:fldChar w:fldCharType="begin"/>
    </w:r>
    <w:r>
      <w:rPr>
        <w:rStyle w:val="45"/>
      </w:rPr>
      <w:instrText xml:space="preserve">PAGE  </w:instrText>
    </w:r>
    <w:r>
      <w:fldChar w:fldCharType="separate"/>
    </w:r>
    <w:r>
      <w:rPr>
        <w:rStyle w:val="45"/>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5"/>
      </w:rPr>
    </w:pPr>
    <w:r>
      <w:fldChar w:fldCharType="begin"/>
    </w:r>
    <w:r>
      <w:rPr>
        <w:rStyle w:val="45"/>
      </w:rPr>
      <w:instrText xml:space="preserve">PAGE  </w:instrText>
    </w:r>
    <w:r>
      <w:fldChar w:fldCharType="separate"/>
    </w:r>
    <w:r>
      <w:rPr>
        <w:rStyle w:val="45"/>
      </w:rPr>
      <w:t>23</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5"/>
                            </w:rPr>
                          </w:pPr>
                          <w:r>
                            <w:fldChar w:fldCharType="begin"/>
                          </w:r>
                          <w:r>
                            <w:rPr>
                              <w:rStyle w:val="45"/>
                            </w:rPr>
                            <w:instrText xml:space="preserve">PAGE  </w:instrText>
                          </w:r>
                          <w:r>
                            <w:fldChar w:fldCharType="separate"/>
                          </w:r>
                          <w:r>
                            <w:rPr>
                              <w:rStyle w:val="45"/>
                            </w:rPr>
                            <w:t>32</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5"/>
                      </w:rPr>
                    </w:pPr>
                    <w:r>
                      <w:fldChar w:fldCharType="begin"/>
                    </w:r>
                    <w:r>
                      <w:rPr>
                        <w:rStyle w:val="45"/>
                      </w:rPr>
                      <w:instrText xml:space="preserve">PAGE  </w:instrText>
                    </w:r>
                    <w:r>
                      <w:fldChar w:fldCharType="separate"/>
                    </w:r>
                    <w:r>
                      <w:rPr>
                        <w:rStyle w:val="45"/>
                      </w:rPr>
                      <w:t>32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DCED4"/>
    <w:multiLevelType w:val="singleLevel"/>
    <w:tmpl w:val="E7BDCED4"/>
    <w:lvl w:ilvl="0" w:tentative="0">
      <w:start w:val="1"/>
      <w:numFmt w:val="decimal"/>
      <w:lvlText w:val="%1."/>
      <w:lvlJc w:val="left"/>
      <w:pPr>
        <w:tabs>
          <w:tab w:val="left" w:pos="312"/>
        </w:tabs>
      </w:pPr>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0"/>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1B2C0DF2"/>
    <w:multiLevelType w:val="multilevel"/>
    <w:tmpl w:val="1B2C0D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3A6A44F2"/>
    <w:multiLevelType w:val="multilevel"/>
    <w:tmpl w:val="3A6A44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CA75B75"/>
    <w:multiLevelType w:val="multilevel"/>
    <w:tmpl w:val="4CA75B7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E2C7F43"/>
    <w:multiLevelType w:val="multilevel"/>
    <w:tmpl w:val="5E2C7F43"/>
    <w:lvl w:ilvl="0" w:tentative="0">
      <w:start w:val="1"/>
      <w:numFmt w:val="decimal"/>
      <w:lvlText w:val="%1."/>
      <w:lvlJc w:val="left"/>
      <w:pPr>
        <w:ind w:left="420" w:hanging="420"/>
      </w:pPr>
      <w:rPr>
        <w:rFonts w:ascii="宋体" w:hAnsi="宋体" w:eastAsia="宋体"/>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4"/>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TrueTypeFonts/>
  <w:saveSubsetFonts/>
  <w:bordersDoNotSurroundHeader w:val="1"/>
  <w:bordersDoNotSurroundFooter w:val="1"/>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yN2I1NDU5N2E1MDJhNmQzMTRjZDVjODJmNzg0ODYifQ=="/>
  </w:docVars>
  <w:rsids>
    <w:rsidRoot w:val="00F1787C"/>
    <w:rsid w:val="00002283"/>
    <w:rsid w:val="0000322E"/>
    <w:rsid w:val="00003524"/>
    <w:rsid w:val="000039A4"/>
    <w:rsid w:val="00006239"/>
    <w:rsid w:val="00006DC2"/>
    <w:rsid w:val="00014C52"/>
    <w:rsid w:val="00014F18"/>
    <w:rsid w:val="0002191D"/>
    <w:rsid w:val="00022C81"/>
    <w:rsid w:val="000247E8"/>
    <w:rsid w:val="00025133"/>
    <w:rsid w:val="000252CD"/>
    <w:rsid w:val="00025B39"/>
    <w:rsid w:val="00025C29"/>
    <w:rsid w:val="00026634"/>
    <w:rsid w:val="00026C62"/>
    <w:rsid w:val="00030934"/>
    <w:rsid w:val="000309E6"/>
    <w:rsid w:val="00031B7B"/>
    <w:rsid w:val="000329B5"/>
    <w:rsid w:val="000338C1"/>
    <w:rsid w:val="000349C1"/>
    <w:rsid w:val="00035D65"/>
    <w:rsid w:val="00035FD9"/>
    <w:rsid w:val="00037178"/>
    <w:rsid w:val="000418C2"/>
    <w:rsid w:val="0004226D"/>
    <w:rsid w:val="00042B62"/>
    <w:rsid w:val="000434C8"/>
    <w:rsid w:val="000439C9"/>
    <w:rsid w:val="000439F3"/>
    <w:rsid w:val="00045558"/>
    <w:rsid w:val="00046EC8"/>
    <w:rsid w:val="0005109B"/>
    <w:rsid w:val="00055B95"/>
    <w:rsid w:val="0005603D"/>
    <w:rsid w:val="000563B8"/>
    <w:rsid w:val="000572DF"/>
    <w:rsid w:val="00057B74"/>
    <w:rsid w:val="00061110"/>
    <w:rsid w:val="0006209E"/>
    <w:rsid w:val="000620D8"/>
    <w:rsid w:val="000626C4"/>
    <w:rsid w:val="00066BA0"/>
    <w:rsid w:val="00067251"/>
    <w:rsid w:val="000757B2"/>
    <w:rsid w:val="0007698A"/>
    <w:rsid w:val="00076FDF"/>
    <w:rsid w:val="0007796F"/>
    <w:rsid w:val="00077B7D"/>
    <w:rsid w:val="00077B92"/>
    <w:rsid w:val="0008303D"/>
    <w:rsid w:val="0008378C"/>
    <w:rsid w:val="000849FA"/>
    <w:rsid w:val="00085499"/>
    <w:rsid w:val="000868B9"/>
    <w:rsid w:val="00086CAB"/>
    <w:rsid w:val="000875BF"/>
    <w:rsid w:val="00087626"/>
    <w:rsid w:val="0009000C"/>
    <w:rsid w:val="0009140C"/>
    <w:rsid w:val="0009304C"/>
    <w:rsid w:val="00093516"/>
    <w:rsid w:val="000936D7"/>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23BC"/>
    <w:rsid w:val="000B2797"/>
    <w:rsid w:val="000B2945"/>
    <w:rsid w:val="000B3499"/>
    <w:rsid w:val="000B446C"/>
    <w:rsid w:val="000B48BA"/>
    <w:rsid w:val="000B7D1A"/>
    <w:rsid w:val="000C0102"/>
    <w:rsid w:val="000C153A"/>
    <w:rsid w:val="000C3C36"/>
    <w:rsid w:val="000C4170"/>
    <w:rsid w:val="000C42B0"/>
    <w:rsid w:val="000C4955"/>
    <w:rsid w:val="000C5DB1"/>
    <w:rsid w:val="000C6399"/>
    <w:rsid w:val="000C6C80"/>
    <w:rsid w:val="000C6EF3"/>
    <w:rsid w:val="000D0FF5"/>
    <w:rsid w:val="000D6003"/>
    <w:rsid w:val="000E2A4B"/>
    <w:rsid w:val="000E313E"/>
    <w:rsid w:val="000E551A"/>
    <w:rsid w:val="000E59C6"/>
    <w:rsid w:val="000E6FB5"/>
    <w:rsid w:val="000F2842"/>
    <w:rsid w:val="000F60E0"/>
    <w:rsid w:val="0010063D"/>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165F1"/>
    <w:rsid w:val="00120582"/>
    <w:rsid w:val="00123DF3"/>
    <w:rsid w:val="0012612C"/>
    <w:rsid w:val="0012618D"/>
    <w:rsid w:val="001264BE"/>
    <w:rsid w:val="00127D7C"/>
    <w:rsid w:val="00131319"/>
    <w:rsid w:val="001326B8"/>
    <w:rsid w:val="00133F0F"/>
    <w:rsid w:val="0013640A"/>
    <w:rsid w:val="00137B7C"/>
    <w:rsid w:val="00137FF4"/>
    <w:rsid w:val="001401D3"/>
    <w:rsid w:val="00141EFD"/>
    <w:rsid w:val="00142542"/>
    <w:rsid w:val="00143D4F"/>
    <w:rsid w:val="001465F0"/>
    <w:rsid w:val="00146D46"/>
    <w:rsid w:val="00147ECF"/>
    <w:rsid w:val="001509A5"/>
    <w:rsid w:val="00151358"/>
    <w:rsid w:val="001528F7"/>
    <w:rsid w:val="00157672"/>
    <w:rsid w:val="00157E7E"/>
    <w:rsid w:val="00160A9D"/>
    <w:rsid w:val="00160EE4"/>
    <w:rsid w:val="0016131C"/>
    <w:rsid w:val="00161AD4"/>
    <w:rsid w:val="00161FBA"/>
    <w:rsid w:val="0016288A"/>
    <w:rsid w:val="0016324C"/>
    <w:rsid w:val="001637E6"/>
    <w:rsid w:val="001646C7"/>
    <w:rsid w:val="001661DF"/>
    <w:rsid w:val="00166289"/>
    <w:rsid w:val="00167BC0"/>
    <w:rsid w:val="00167BDB"/>
    <w:rsid w:val="00170C4F"/>
    <w:rsid w:val="001743B9"/>
    <w:rsid w:val="00180EFE"/>
    <w:rsid w:val="001828B4"/>
    <w:rsid w:val="00183AF3"/>
    <w:rsid w:val="00183BEA"/>
    <w:rsid w:val="00184A5E"/>
    <w:rsid w:val="0018579A"/>
    <w:rsid w:val="00190087"/>
    <w:rsid w:val="0019148A"/>
    <w:rsid w:val="00192569"/>
    <w:rsid w:val="00193888"/>
    <w:rsid w:val="00193F59"/>
    <w:rsid w:val="00197C37"/>
    <w:rsid w:val="001A0539"/>
    <w:rsid w:val="001A09DE"/>
    <w:rsid w:val="001A0AC3"/>
    <w:rsid w:val="001A38AF"/>
    <w:rsid w:val="001A5CDC"/>
    <w:rsid w:val="001A728E"/>
    <w:rsid w:val="001A7336"/>
    <w:rsid w:val="001B37EE"/>
    <w:rsid w:val="001B455F"/>
    <w:rsid w:val="001B767B"/>
    <w:rsid w:val="001B7789"/>
    <w:rsid w:val="001B7CA6"/>
    <w:rsid w:val="001C0BBE"/>
    <w:rsid w:val="001C47B4"/>
    <w:rsid w:val="001C7A81"/>
    <w:rsid w:val="001D0E4A"/>
    <w:rsid w:val="001D16F4"/>
    <w:rsid w:val="001D2DD2"/>
    <w:rsid w:val="001D4A30"/>
    <w:rsid w:val="001D5992"/>
    <w:rsid w:val="001D620B"/>
    <w:rsid w:val="001D6232"/>
    <w:rsid w:val="001D748A"/>
    <w:rsid w:val="001E2FBC"/>
    <w:rsid w:val="001E35E5"/>
    <w:rsid w:val="001E3AE0"/>
    <w:rsid w:val="001E4ED8"/>
    <w:rsid w:val="001F1B61"/>
    <w:rsid w:val="001F4738"/>
    <w:rsid w:val="001F5D0C"/>
    <w:rsid w:val="001F5D29"/>
    <w:rsid w:val="001F5E17"/>
    <w:rsid w:val="001F6241"/>
    <w:rsid w:val="00203576"/>
    <w:rsid w:val="00204A89"/>
    <w:rsid w:val="00204AFA"/>
    <w:rsid w:val="002111A4"/>
    <w:rsid w:val="00211B00"/>
    <w:rsid w:val="002136F9"/>
    <w:rsid w:val="00213C13"/>
    <w:rsid w:val="00214A65"/>
    <w:rsid w:val="00214A8A"/>
    <w:rsid w:val="00214E11"/>
    <w:rsid w:val="0021510A"/>
    <w:rsid w:val="002154B3"/>
    <w:rsid w:val="0021556C"/>
    <w:rsid w:val="00217ABC"/>
    <w:rsid w:val="00217CD9"/>
    <w:rsid w:val="00217F8C"/>
    <w:rsid w:val="002202C8"/>
    <w:rsid w:val="00220469"/>
    <w:rsid w:val="00220B1B"/>
    <w:rsid w:val="00220F2D"/>
    <w:rsid w:val="00222DE6"/>
    <w:rsid w:val="0022430A"/>
    <w:rsid w:val="002258E9"/>
    <w:rsid w:val="00226226"/>
    <w:rsid w:val="00230813"/>
    <w:rsid w:val="00231314"/>
    <w:rsid w:val="00231845"/>
    <w:rsid w:val="002339FF"/>
    <w:rsid w:val="00234855"/>
    <w:rsid w:val="00235CEC"/>
    <w:rsid w:val="00240856"/>
    <w:rsid w:val="002414C8"/>
    <w:rsid w:val="00244008"/>
    <w:rsid w:val="002460EA"/>
    <w:rsid w:val="00246DBB"/>
    <w:rsid w:val="00252890"/>
    <w:rsid w:val="00252C62"/>
    <w:rsid w:val="002537F9"/>
    <w:rsid w:val="00253875"/>
    <w:rsid w:val="002540EC"/>
    <w:rsid w:val="0025448C"/>
    <w:rsid w:val="00254F7F"/>
    <w:rsid w:val="00261056"/>
    <w:rsid w:val="00262CBA"/>
    <w:rsid w:val="00264053"/>
    <w:rsid w:val="00264707"/>
    <w:rsid w:val="002660DD"/>
    <w:rsid w:val="00266595"/>
    <w:rsid w:val="0026774D"/>
    <w:rsid w:val="00271B91"/>
    <w:rsid w:val="00272FC8"/>
    <w:rsid w:val="00277055"/>
    <w:rsid w:val="00277351"/>
    <w:rsid w:val="00277BB5"/>
    <w:rsid w:val="002826F6"/>
    <w:rsid w:val="0028294D"/>
    <w:rsid w:val="00283001"/>
    <w:rsid w:val="00283159"/>
    <w:rsid w:val="002844C3"/>
    <w:rsid w:val="00285B3A"/>
    <w:rsid w:val="00287A1A"/>
    <w:rsid w:val="0029061A"/>
    <w:rsid w:val="0029172B"/>
    <w:rsid w:val="00291BB4"/>
    <w:rsid w:val="00292743"/>
    <w:rsid w:val="002928AE"/>
    <w:rsid w:val="0029648C"/>
    <w:rsid w:val="002966A3"/>
    <w:rsid w:val="00296F6F"/>
    <w:rsid w:val="00297D35"/>
    <w:rsid w:val="002A0370"/>
    <w:rsid w:val="002A055F"/>
    <w:rsid w:val="002A0EDA"/>
    <w:rsid w:val="002A2803"/>
    <w:rsid w:val="002A4245"/>
    <w:rsid w:val="002A4D9A"/>
    <w:rsid w:val="002B19F4"/>
    <w:rsid w:val="002B1B39"/>
    <w:rsid w:val="002B2579"/>
    <w:rsid w:val="002B3E31"/>
    <w:rsid w:val="002B3F24"/>
    <w:rsid w:val="002B4E72"/>
    <w:rsid w:val="002B52E8"/>
    <w:rsid w:val="002B6790"/>
    <w:rsid w:val="002B6B13"/>
    <w:rsid w:val="002B6E57"/>
    <w:rsid w:val="002B72CF"/>
    <w:rsid w:val="002C0734"/>
    <w:rsid w:val="002C20E5"/>
    <w:rsid w:val="002C2E51"/>
    <w:rsid w:val="002C471B"/>
    <w:rsid w:val="002C5A0E"/>
    <w:rsid w:val="002C7AB6"/>
    <w:rsid w:val="002D2CFE"/>
    <w:rsid w:val="002D54DB"/>
    <w:rsid w:val="002D5695"/>
    <w:rsid w:val="002E1D11"/>
    <w:rsid w:val="002E4C0E"/>
    <w:rsid w:val="002E5CEA"/>
    <w:rsid w:val="002E695F"/>
    <w:rsid w:val="002F308B"/>
    <w:rsid w:val="002F59DF"/>
    <w:rsid w:val="002F6545"/>
    <w:rsid w:val="002F737A"/>
    <w:rsid w:val="002F73BF"/>
    <w:rsid w:val="002F7968"/>
    <w:rsid w:val="00300BA8"/>
    <w:rsid w:val="0030183E"/>
    <w:rsid w:val="00303F69"/>
    <w:rsid w:val="00305027"/>
    <w:rsid w:val="00307F35"/>
    <w:rsid w:val="003111A2"/>
    <w:rsid w:val="0031451A"/>
    <w:rsid w:val="0031530B"/>
    <w:rsid w:val="00320431"/>
    <w:rsid w:val="00321B20"/>
    <w:rsid w:val="00321B30"/>
    <w:rsid w:val="00322BDC"/>
    <w:rsid w:val="00322C4B"/>
    <w:rsid w:val="00323A00"/>
    <w:rsid w:val="00323C7B"/>
    <w:rsid w:val="0032479B"/>
    <w:rsid w:val="00324A05"/>
    <w:rsid w:val="00325CDF"/>
    <w:rsid w:val="003264B5"/>
    <w:rsid w:val="00326D75"/>
    <w:rsid w:val="00331D9C"/>
    <w:rsid w:val="003331DE"/>
    <w:rsid w:val="003332D7"/>
    <w:rsid w:val="003349A6"/>
    <w:rsid w:val="00334A1D"/>
    <w:rsid w:val="003356B4"/>
    <w:rsid w:val="00335ED1"/>
    <w:rsid w:val="00336C7D"/>
    <w:rsid w:val="00336D14"/>
    <w:rsid w:val="003400D3"/>
    <w:rsid w:val="00340515"/>
    <w:rsid w:val="003413B4"/>
    <w:rsid w:val="003450F3"/>
    <w:rsid w:val="0034521F"/>
    <w:rsid w:val="003458EB"/>
    <w:rsid w:val="00345A28"/>
    <w:rsid w:val="003467A2"/>
    <w:rsid w:val="003515E2"/>
    <w:rsid w:val="00351749"/>
    <w:rsid w:val="0035184A"/>
    <w:rsid w:val="00353C23"/>
    <w:rsid w:val="00355399"/>
    <w:rsid w:val="003577AA"/>
    <w:rsid w:val="003600B5"/>
    <w:rsid w:val="00361ABE"/>
    <w:rsid w:val="00362AD2"/>
    <w:rsid w:val="00363710"/>
    <w:rsid w:val="003638FE"/>
    <w:rsid w:val="00364F50"/>
    <w:rsid w:val="003668C2"/>
    <w:rsid w:val="00367182"/>
    <w:rsid w:val="0037709D"/>
    <w:rsid w:val="003801EC"/>
    <w:rsid w:val="00380543"/>
    <w:rsid w:val="00383AFE"/>
    <w:rsid w:val="00384108"/>
    <w:rsid w:val="00384E9A"/>
    <w:rsid w:val="003856B3"/>
    <w:rsid w:val="003858BE"/>
    <w:rsid w:val="003859B8"/>
    <w:rsid w:val="0039099F"/>
    <w:rsid w:val="00392C85"/>
    <w:rsid w:val="003957ED"/>
    <w:rsid w:val="00397134"/>
    <w:rsid w:val="003A063A"/>
    <w:rsid w:val="003A1A5F"/>
    <w:rsid w:val="003A2C5E"/>
    <w:rsid w:val="003A62E4"/>
    <w:rsid w:val="003A645C"/>
    <w:rsid w:val="003A67CF"/>
    <w:rsid w:val="003B38FD"/>
    <w:rsid w:val="003B5115"/>
    <w:rsid w:val="003B5AAE"/>
    <w:rsid w:val="003B5BE8"/>
    <w:rsid w:val="003B5CF1"/>
    <w:rsid w:val="003B696A"/>
    <w:rsid w:val="003C18C8"/>
    <w:rsid w:val="003C22DB"/>
    <w:rsid w:val="003C28DD"/>
    <w:rsid w:val="003C4C34"/>
    <w:rsid w:val="003C55C2"/>
    <w:rsid w:val="003C7632"/>
    <w:rsid w:val="003C7809"/>
    <w:rsid w:val="003D0BF2"/>
    <w:rsid w:val="003D1288"/>
    <w:rsid w:val="003D3C3A"/>
    <w:rsid w:val="003D439D"/>
    <w:rsid w:val="003D4436"/>
    <w:rsid w:val="003D5153"/>
    <w:rsid w:val="003D5F84"/>
    <w:rsid w:val="003E0D5A"/>
    <w:rsid w:val="003E3316"/>
    <w:rsid w:val="003E35D0"/>
    <w:rsid w:val="003E3829"/>
    <w:rsid w:val="003E38BD"/>
    <w:rsid w:val="003E631D"/>
    <w:rsid w:val="003E68AB"/>
    <w:rsid w:val="003F098D"/>
    <w:rsid w:val="003F1C45"/>
    <w:rsid w:val="003F1C5A"/>
    <w:rsid w:val="003F1F45"/>
    <w:rsid w:val="003F2179"/>
    <w:rsid w:val="003F34F8"/>
    <w:rsid w:val="003F4216"/>
    <w:rsid w:val="003F6AEE"/>
    <w:rsid w:val="003F7927"/>
    <w:rsid w:val="003F7A0C"/>
    <w:rsid w:val="00401C41"/>
    <w:rsid w:val="00402F66"/>
    <w:rsid w:val="00403314"/>
    <w:rsid w:val="0040481A"/>
    <w:rsid w:val="00404848"/>
    <w:rsid w:val="0041039B"/>
    <w:rsid w:val="00411545"/>
    <w:rsid w:val="00412072"/>
    <w:rsid w:val="00415B6A"/>
    <w:rsid w:val="00415B93"/>
    <w:rsid w:val="00420586"/>
    <w:rsid w:val="00420FC3"/>
    <w:rsid w:val="00421DFA"/>
    <w:rsid w:val="00422EEE"/>
    <w:rsid w:val="00423CEA"/>
    <w:rsid w:val="00426621"/>
    <w:rsid w:val="0043226B"/>
    <w:rsid w:val="0043326B"/>
    <w:rsid w:val="00434144"/>
    <w:rsid w:val="00435BC6"/>
    <w:rsid w:val="004409EE"/>
    <w:rsid w:val="0044320E"/>
    <w:rsid w:val="004438E8"/>
    <w:rsid w:val="00443CBF"/>
    <w:rsid w:val="00443D42"/>
    <w:rsid w:val="00443D8E"/>
    <w:rsid w:val="00444730"/>
    <w:rsid w:val="00451E93"/>
    <w:rsid w:val="00452F25"/>
    <w:rsid w:val="00453BE6"/>
    <w:rsid w:val="00454E6B"/>
    <w:rsid w:val="0045502B"/>
    <w:rsid w:val="004556E2"/>
    <w:rsid w:val="004566D2"/>
    <w:rsid w:val="004567FD"/>
    <w:rsid w:val="0045695D"/>
    <w:rsid w:val="00460A11"/>
    <w:rsid w:val="00460AD4"/>
    <w:rsid w:val="004611F7"/>
    <w:rsid w:val="00461AD0"/>
    <w:rsid w:val="004634AB"/>
    <w:rsid w:val="00466348"/>
    <w:rsid w:val="004671C8"/>
    <w:rsid w:val="00467FB8"/>
    <w:rsid w:val="004706E6"/>
    <w:rsid w:val="0047569F"/>
    <w:rsid w:val="00475DB9"/>
    <w:rsid w:val="00476803"/>
    <w:rsid w:val="004774EC"/>
    <w:rsid w:val="0047791A"/>
    <w:rsid w:val="00480132"/>
    <w:rsid w:val="004802D9"/>
    <w:rsid w:val="00480BDB"/>
    <w:rsid w:val="00481CDD"/>
    <w:rsid w:val="004826B4"/>
    <w:rsid w:val="0048320C"/>
    <w:rsid w:val="004851D3"/>
    <w:rsid w:val="00492555"/>
    <w:rsid w:val="004928C0"/>
    <w:rsid w:val="00493C71"/>
    <w:rsid w:val="00494844"/>
    <w:rsid w:val="00494ABF"/>
    <w:rsid w:val="00496408"/>
    <w:rsid w:val="00496C67"/>
    <w:rsid w:val="00496CB0"/>
    <w:rsid w:val="00496F1C"/>
    <w:rsid w:val="004A15BA"/>
    <w:rsid w:val="004A1630"/>
    <w:rsid w:val="004A16CA"/>
    <w:rsid w:val="004A19AC"/>
    <w:rsid w:val="004A380A"/>
    <w:rsid w:val="004A3E48"/>
    <w:rsid w:val="004B0EB0"/>
    <w:rsid w:val="004B13EB"/>
    <w:rsid w:val="004B1AAB"/>
    <w:rsid w:val="004B2413"/>
    <w:rsid w:val="004B24DB"/>
    <w:rsid w:val="004B36BA"/>
    <w:rsid w:val="004B7D75"/>
    <w:rsid w:val="004C00BE"/>
    <w:rsid w:val="004C023B"/>
    <w:rsid w:val="004C0E82"/>
    <w:rsid w:val="004C1326"/>
    <w:rsid w:val="004C1C0B"/>
    <w:rsid w:val="004C1F48"/>
    <w:rsid w:val="004C2A83"/>
    <w:rsid w:val="004C3453"/>
    <w:rsid w:val="004C42BC"/>
    <w:rsid w:val="004C4B65"/>
    <w:rsid w:val="004C5682"/>
    <w:rsid w:val="004C6795"/>
    <w:rsid w:val="004C71DC"/>
    <w:rsid w:val="004D0012"/>
    <w:rsid w:val="004D1ADF"/>
    <w:rsid w:val="004D3636"/>
    <w:rsid w:val="004D4A97"/>
    <w:rsid w:val="004D5467"/>
    <w:rsid w:val="004D6EA5"/>
    <w:rsid w:val="004E4464"/>
    <w:rsid w:val="004E6A77"/>
    <w:rsid w:val="004E7B54"/>
    <w:rsid w:val="004F05BD"/>
    <w:rsid w:val="004F1F78"/>
    <w:rsid w:val="004F2B03"/>
    <w:rsid w:val="004F45E9"/>
    <w:rsid w:val="004F5845"/>
    <w:rsid w:val="004F6771"/>
    <w:rsid w:val="004F7236"/>
    <w:rsid w:val="005016AD"/>
    <w:rsid w:val="00501C58"/>
    <w:rsid w:val="00502E26"/>
    <w:rsid w:val="00504EDE"/>
    <w:rsid w:val="00507FAD"/>
    <w:rsid w:val="005118BF"/>
    <w:rsid w:val="0051368F"/>
    <w:rsid w:val="005142E6"/>
    <w:rsid w:val="00514DF5"/>
    <w:rsid w:val="005216B1"/>
    <w:rsid w:val="005230E8"/>
    <w:rsid w:val="005248B7"/>
    <w:rsid w:val="00524972"/>
    <w:rsid w:val="00524AAD"/>
    <w:rsid w:val="00527DED"/>
    <w:rsid w:val="0053576A"/>
    <w:rsid w:val="0053749E"/>
    <w:rsid w:val="0053783C"/>
    <w:rsid w:val="00540A63"/>
    <w:rsid w:val="00541EAD"/>
    <w:rsid w:val="00543B84"/>
    <w:rsid w:val="005501C8"/>
    <w:rsid w:val="00551444"/>
    <w:rsid w:val="005516BA"/>
    <w:rsid w:val="00553FC3"/>
    <w:rsid w:val="00554CE3"/>
    <w:rsid w:val="0055642F"/>
    <w:rsid w:val="005600F1"/>
    <w:rsid w:val="005631C5"/>
    <w:rsid w:val="005659BA"/>
    <w:rsid w:val="00565E3C"/>
    <w:rsid w:val="0056641F"/>
    <w:rsid w:val="005668C7"/>
    <w:rsid w:val="00571660"/>
    <w:rsid w:val="0057233D"/>
    <w:rsid w:val="00573321"/>
    <w:rsid w:val="00573BD0"/>
    <w:rsid w:val="005758E3"/>
    <w:rsid w:val="00577BA4"/>
    <w:rsid w:val="00587EBC"/>
    <w:rsid w:val="005914DA"/>
    <w:rsid w:val="00591F3F"/>
    <w:rsid w:val="00594228"/>
    <w:rsid w:val="005946A1"/>
    <w:rsid w:val="00594DBC"/>
    <w:rsid w:val="0059501D"/>
    <w:rsid w:val="005A0E5B"/>
    <w:rsid w:val="005A1707"/>
    <w:rsid w:val="005A390C"/>
    <w:rsid w:val="005A3A19"/>
    <w:rsid w:val="005A3A26"/>
    <w:rsid w:val="005A473E"/>
    <w:rsid w:val="005A6CF0"/>
    <w:rsid w:val="005B0870"/>
    <w:rsid w:val="005B2708"/>
    <w:rsid w:val="005B2C7F"/>
    <w:rsid w:val="005B635A"/>
    <w:rsid w:val="005C1367"/>
    <w:rsid w:val="005C137A"/>
    <w:rsid w:val="005C284E"/>
    <w:rsid w:val="005C3C93"/>
    <w:rsid w:val="005C4E16"/>
    <w:rsid w:val="005C5DAB"/>
    <w:rsid w:val="005C7304"/>
    <w:rsid w:val="005C755D"/>
    <w:rsid w:val="005D1938"/>
    <w:rsid w:val="005D1C59"/>
    <w:rsid w:val="005D3202"/>
    <w:rsid w:val="005D48DB"/>
    <w:rsid w:val="005E25FB"/>
    <w:rsid w:val="005E3EBE"/>
    <w:rsid w:val="005E3F38"/>
    <w:rsid w:val="005E782A"/>
    <w:rsid w:val="005F18AC"/>
    <w:rsid w:val="005F2C77"/>
    <w:rsid w:val="005F47AE"/>
    <w:rsid w:val="005F558B"/>
    <w:rsid w:val="006005EF"/>
    <w:rsid w:val="00600AF1"/>
    <w:rsid w:val="006041B7"/>
    <w:rsid w:val="00605878"/>
    <w:rsid w:val="00606A11"/>
    <w:rsid w:val="00610B12"/>
    <w:rsid w:val="00610C35"/>
    <w:rsid w:val="00611462"/>
    <w:rsid w:val="00612C1F"/>
    <w:rsid w:val="006133CC"/>
    <w:rsid w:val="00614387"/>
    <w:rsid w:val="00614689"/>
    <w:rsid w:val="00616253"/>
    <w:rsid w:val="0061673D"/>
    <w:rsid w:val="00617262"/>
    <w:rsid w:val="006201A2"/>
    <w:rsid w:val="0062133B"/>
    <w:rsid w:val="006226F3"/>
    <w:rsid w:val="006227F1"/>
    <w:rsid w:val="00622C1A"/>
    <w:rsid w:val="00623718"/>
    <w:rsid w:val="00625994"/>
    <w:rsid w:val="00625AF6"/>
    <w:rsid w:val="00626C3A"/>
    <w:rsid w:val="00626E29"/>
    <w:rsid w:val="00627BB4"/>
    <w:rsid w:val="00627E12"/>
    <w:rsid w:val="006310E4"/>
    <w:rsid w:val="00633525"/>
    <w:rsid w:val="00634491"/>
    <w:rsid w:val="00637C64"/>
    <w:rsid w:val="00640A2B"/>
    <w:rsid w:val="006410AE"/>
    <w:rsid w:val="00641DDB"/>
    <w:rsid w:val="00642E63"/>
    <w:rsid w:val="00642EFA"/>
    <w:rsid w:val="0064335A"/>
    <w:rsid w:val="00645AA4"/>
    <w:rsid w:val="0064614C"/>
    <w:rsid w:val="00647E76"/>
    <w:rsid w:val="006501D9"/>
    <w:rsid w:val="0065343F"/>
    <w:rsid w:val="00662461"/>
    <w:rsid w:val="00662A26"/>
    <w:rsid w:val="0066337D"/>
    <w:rsid w:val="00663C2A"/>
    <w:rsid w:val="00664ABD"/>
    <w:rsid w:val="00667F8E"/>
    <w:rsid w:val="00672863"/>
    <w:rsid w:val="0067304E"/>
    <w:rsid w:val="0067333E"/>
    <w:rsid w:val="00674008"/>
    <w:rsid w:val="0067464F"/>
    <w:rsid w:val="006747F2"/>
    <w:rsid w:val="00674AF9"/>
    <w:rsid w:val="0067529C"/>
    <w:rsid w:val="0067739E"/>
    <w:rsid w:val="00677827"/>
    <w:rsid w:val="00680AC1"/>
    <w:rsid w:val="00680EC8"/>
    <w:rsid w:val="00681547"/>
    <w:rsid w:val="00681630"/>
    <w:rsid w:val="00682C2B"/>
    <w:rsid w:val="00682C95"/>
    <w:rsid w:val="006837A1"/>
    <w:rsid w:val="00685B7E"/>
    <w:rsid w:val="00685D10"/>
    <w:rsid w:val="00692E2E"/>
    <w:rsid w:val="00694FA7"/>
    <w:rsid w:val="006A29F5"/>
    <w:rsid w:val="006A2D0D"/>
    <w:rsid w:val="006A4D20"/>
    <w:rsid w:val="006A79F4"/>
    <w:rsid w:val="006B1A0A"/>
    <w:rsid w:val="006B2C73"/>
    <w:rsid w:val="006B49C1"/>
    <w:rsid w:val="006B60A9"/>
    <w:rsid w:val="006C41F0"/>
    <w:rsid w:val="006C497C"/>
    <w:rsid w:val="006C6DAF"/>
    <w:rsid w:val="006C71CE"/>
    <w:rsid w:val="006C74B9"/>
    <w:rsid w:val="006C75C9"/>
    <w:rsid w:val="006C7F0A"/>
    <w:rsid w:val="006D1032"/>
    <w:rsid w:val="006D39CD"/>
    <w:rsid w:val="006D48FF"/>
    <w:rsid w:val="006D4950"/>
    <w:rsid w:val="006D734E"/>
    <w:rsid w:val="006E2BEB"/>
    <w:rsid w:val="006E2F3D"/>
    <w:rsid w:val="006E3F3F"/>
    <w:rsid w:val="006E421E"/>
    <w:rsid w:val="006E42A4"/>
    <w:rsid w:val="006E44D5"/>
    <w:rsid w:val="006F08B7"/>
    <w:rsid w:val="006F5953"/>
    <w:rsid w:val="007010E4"/>
    <w:rsid w:val="0070183D"/>
    <w:rsid w:val="00702554"/>
    <w:rsid w:val="0070267A"/>
    <w:rsid w:val="00704D64"/>
    <w:rsid w:val="00704E87"/>
    <w:rsid w:val="00705864"/>
    <w:rsid w:val="0071015C"/>
    <w:rsid w:val="00711126"/>
    <w:rsid w:val="0071261D"/>
    <w:rsid w:val="0071777A"/>
    <w:rsid w:val="00721859"/>
    <w:rsid w:val="00722FD3"/>
    <w:rsid w:val="0072398F"/>
    <w:rsid w:val="00724D14"/>
    <w:rsid w:val="007279AE"/>
    <w:rsid w:val="00727D4B"/>
    <w:rsid w:val="00736D71"/>
    <w:rsid w:val="007372DF"/>
    <w:rsid w:val="00737EEA"/>
    <w:rsid w:val="00741B7A"/>
    <w:rsid w:val="00747B86"/>
    <w:rsid w:val="007504EC"/>
    <w:rsid w:val="007508E2"/>
    <w:rsid w:val="00750F48"/>
    <w:rsid w:val="007543F1"/>
    <w:rsid w:val="007560DB"/>
    <w:rsid w:val="00756727"/>
    <w:rsid w:val="00756FB5"/>
    <w:rsid w:val="00756FFD"/>
    <w:rsid w:val="00761FD8"/>
    <w:rsid w:val="007656D2"/>
    <w:rsid w:val="00765A6A"/>
    <w:rsid w:val="00766052"/>
    <w:rsid w:val="00766091"/>
    <w:rsid w:val="00767E72"/>
    <w:rsid w:val="00767FD9"/>
    <w:rsid w:val="00770528"/>
    <w:rsid w:val="007709B9"/>
    <w:rsid w:val="00770B52"/>
    <w:rsid w:val="00771915"/>
    <w:rsid w:val="00773693"/>
    <w:rsid w:val="0077482F"/>
    <w:rsid w:val="00775C9B"/>
    <w:rsid w:val="007765BE"/>
    <w:rsid w:val="00776703"/>
    <w:rsid w:val="007771F7"/>
    <w:rsid w:val="007805DB"/>
    <w:rsid w:val="0078068A"/>
    <w:rsid w:val="00780EE3"/>
    <w:rsid w:val="00781120"/>
    <w:rsid w:val="0078136B"/>
    <w:rsid w:val="00782E61"/>
    <w:rsid w:val="007849C3"/>
    <w:rsid w:val="007857ED"/>
    <w:rsid w:val="007860F7"/>
    <w:rsid w:val="007900D9"/>
    <w:rsid w:val="007911CC"/>
    <w:rsid w:val="00792435"/>
    <w:rsid w:val="0079289A"/>
    <w:rsid w:val="00793C61"/>
    <w:rsid w:val="00794208"/>
    <w:rsid w:val="00795C0E"/>
    <w:rsid w:val="007961C7"/>
    <w:rsid w:val="0079676D"/>
    <w:rsid w:val="0079740B"/>
    <w:rsid w:val="00797A87"/>
    <w:rsid w:val="00797B24"/>
    <w:rsid w:val="007A0CD6"/>
    <w:rsid w:val="007A0FAF"/>
    <w:rsid w:val="007A113F"/>
    <w:rsid w:val="007A1179"/>
    <w:rsid w:val="007A1880"/>
    <w:rsid w:val="007A1D32"/>
    <w:rsid w:val="007A328F"/>
    <w:rsid w:val="007A5B10"/>
    <w:rsid w:val="007A6154"/>
    <w:rsid w:val="007A683C"/>
    <w:rsid w:val="007A6D78"/>
    <w:rsid w:val="007A7296"/>
    <w:rsid w:val="007B04A9"/>
    <w:rsid w:val="007B119C"/>
    <w:rsid w:val="007B14F3"/>
    <w:rsid w:val="007B187B"/>
    <w:rsid w:val="007B1FF2"/>
    <w:rsid w:val="007B536D"/>
    <w:rsid w:val="007B53BD"/>
    <w:rsid w:val="007C074F"/>
    <w:rsid w:val="007C2233"/>
    <w:rsid w:val="007C27E7"/>
    <w:rsid w:val="007C38AE"/>
    <w:rsid w:val="007C401C"/>
    <w:rsid w:val="007C4438"/>
    <w:rsid w:val="007C4BDE"/>
    <w:rsid w:val="007C643E"/>
    <w:rsid w:val="007C6B07"/>
    <w:rsid w:val="007D0ED0"/>
    <w:rsid w:val="007D1AE2"/>
    <w:rsid w:val="007D285E"/>
    <w:rsid w:val="007D2FBA"/>
    <w:rsid w:val="007D320A"/>
    <w:rsid w:val="007D39EF"/>
    <w:rsid w:val="007D39FA"/>
    <w:rsid w:val="007D3CE4"/>
    <w:rsid w:val="007D4B42"/>
    <w:rsid w:val="007D6D40"/>
    <w:rsid w:val="007D719A"/>
    <w:rsid w:val="007E07E5"/>
    <w:rsid w:val="007E090D"/>
    <w:rsid w:val="007E4014"/>
    <w:rsid w:val="007E4AFA"/>
    <w:rsid w:val="007E4D6B"/>
    <w:rsid w:val="007E586D"/>
    <w:rsid w:val="007E5AE7"/>
    <w:rsid w:val="007E5E4C"/>
    <w:rsid w:val="007E5F8D"/>
    <w:rsid w:val="007F0231"/>
    <w:rsid w:val="007F0FBC"/>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047"/>
    <w:rsid w:val="00803A57"/>
    <w:rsid w:val="008048A3"/>
    <w:rsid w:val="00805344"/>
    <w:rsid w:val="00805BEB"/>
    <w:rsid w:val="00806DE5"/>
    <w:rsid w:val="008104E5"/>
    <w:rsid w:val="008106B5"/>
    <w:rsid w:val="00810DE5"/>
    <w:rsid w:val="008111A1"/>
    <w:rsid w:val="00812649"/>
    <w:rsid w:val="00812A52"/>
    <w:rsid w:val="00812B54"/>
    <w:rsid w:val="00814D70"/>
    <w:rsid w:val="00815822"/>
    <w:rsid w:val="00816118"/>
    <w:rsid w:val="00816C40"/>
    <w:rsid w:val="008170C3"/>
    <w:rsid w:val="008173A6"/>
    <w:rsid w:val="008177FC"/>
    <w:rsid w:val="00821D15"/>
    <w:rsid w:val="00822222"/>
    <w:rsid w:val="00825742"/>
    <w:rsid w:val="0082666C"/>
    <w:rsid w:val="00826FB5"/>
    <w:rsid w:val="008311A7"/>
    <w:rsid w:val="0083205C"/>
    <w:rsid w:val="00833989"/>
    <w:rsid w:val="00833B41"/>
    <w:rsid w:val="00833C07"/>
    <w:rsid w:val="00833FEE"/>
    <w:rsid w:val="00834654"/>
    <w:rsid w:val="008346F1"/>
    <w:rsid w:val="008354B1"/>
    <w:rsid w:val="008365E2"/>
    <w:rsid w:val="00836AA3"/>
    <w:rsid w:val="00836FDB"/>
    <w:rsid w:val="008375AD"/>
    <w:rsid w:val="0084014A"/>
    <w:rsid w:val="00840D93"/>
    <w:rsid w:val="0084176C"/>
    <w:rsid w:val="00842D69"/>
    <w:rsid w:val="00844D0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268"/>
    <w:rsid w:val="0088161E"/>
    <w:rsid w:val="0088193E"/>
    <w:rsid w:val="00881C7B"/>
    <w:rsid w:val="00882774"/>
    <w:rsid w:val="00882B8D"/>
    <w:rsid w:val="00885AC5"/>
    <w:rsid w:val="00886F6A"/>
    <w:rsid w:val="008871BD"/>
    <w:rsid w:val="008876AE"/>
    <w:rsid w:val="00887D97"/>
    <w:rsid w:val="00890EBC"/>
    <w:rsid w:val="00891734"/>
    <w:rsid w:val="00893360"/>
    <w:rsid w:val="00893D53"/>
    <w:rsid w:val="0089501E"/>
    <w:rsid w:val="008953C9"/>
    <w:rsid w:val="008958D8"/>
    <w:rsid w:val="008959CA"/>
    <w:rsid w:val="00895E46"/>
    <w:rsid w:val="008967CB"/>
    <w:rsid w:val="008977A4"/>
    <w:rsid w:val="008A3AA0"/>
    <w:rsid w:val="008A55D4"/>
    <w:rsid w:val="008B1019"/>
    <w:rsid w:val="008B140C"/>
    <w:rsid w:val="008B3FC7"/>
    <w:rsid w:val="008B5DEA"/>
    <w:rsid w:val="008B6331"/>
    <w:rsid w:val="008B67BA"/>
    <w:rsid w:val="008B6BB3"/>
    <w:rsid w:val="008B7405"/>
    <w:rsid w:val="008C301B"/>
    <w:rsid w:val="008C410E"/>
    <w:rsid w:val="008C5B46"/>
    <w:rsid w:val="008C725C"/>
    <w:rsid w:val="008C7D03"/>
    <w:rsid w:val="008D00FA"/>
    <w:rsid w:val="008D0883"/>
    <w:rsid w:val="008D3D8B"/>
    <w:rsid w:val="008D61C8"/>
    <w:rsid w:val="008D63E7"/>
    <w:rsid w:val="008D73C7"/>
    <w:rsid w:val="008E0572"/>
    <w:rsid w:val="008E064D"/>
    <w:rsid w:val="008E08C5"/>
    <w:rsid w:val="008E101E"/>
    <w:rsid w:val="008E1519"/>
    <w:rsid w:val="008E287D"/>
    <w:rsid w:val="008E45A7"/>
    <w:rsid w:val="008F3B9E"/>
    <w:rsid w:val="008F4750"/>
    <w:rsid w:val="008F5DEC"/>
    <w:rsid w:val="008F6EAC"/>
    <w:rsid w:val="00900693"/>
    <w:rsid w:val="009006A6"/>
    <w:rsid w:val="00903037"/>
    <w:rsid w:val="009046B3"/>
    <w:rsid w:val="00905B3A"/>
    <w:rsid w:val="009069AD"/>
    <w:rsid w:val="009107F5"/>
    <w:rsid w:val="009126DF"/>
    <w:rsid w:val="00916B64"/>
    <w:rsid w:val="00920887"/>
    <w:rsid w:val="00920C99"/>
    <w:rsid w:val="00925EBF"/>
    <w:rsid w:val="00927097"/>
    <w:rsid w:val="009275AE"/>
    <w:rsid w:val="009279C7"/>
    <w:rsid w:val="00931886"/>
    <w:rsid w:val="009332B4"/>
    <w:rsid w:val="00933641"/>
    <w:rsid w:val="0093372E"/>
    <w:rsid w:val="00933E5E"/>
    <w:rsid w:val="009369CE"/>
    <w:rsid w:val="00937613"/>
    <w:rsid w:val="00940847"/>
    <w:rsid w:val="00940FA6"/>
    <w:rsid w:val="0094101C"/>
    <w:rsid w:val="009421B0"/>
    <w:rsid w:val="009431C2"/>
    <w:rsid w:val="0094715F"/>
    <w:rsid w:val="009514A5"/>
    <w:rsid w:val="00953549"/>
    <w:rsid w:val="00954247"/>
    <w:rsid w:val="009564C7"/>
    <w:rsid w:val="00956F8D"/>
    <w:rsid w:val="009572C8"/>
    <w:rsid w:val="0096130C"/>
    <w:rsid w:val="00962652"/>
    <w:rsid w:val="00962870"/>
    <w:rsid w:val="00962ACC"/>
    <w:rsid w:val="00963345"/>
    <w:rsid w:val="00963630"/>
    <w:rsid w:val="00964B02"/>
    <w:rsid w:val="009661C5"/>
    <w:rsid w:val="009666BF"/>
    <w:rsid w:val="00972900"/>
    <w:rsid w:val="00972BE1"/>
    <w:rsid w:val="009736AB"/>
    <w:rsid w:val="00974712"/>
    <w:rsid w:val="00974ED2"/>
    <w:rsid w:val="00975065"/>
    <w:rsid w:val="009756CC"/>
    <w:rsid w:val="00976090"/>
    <w:rsid w:val="009762B7"/>
    <w:rsid w:val="0097647B"/>
    <w:rsid w:val="00984865"/>
    <w:rsid w:val="00993114"/>
    <w:rsid w:val="009933AA"/>
    <w:rsid w:val="009967E9"/>
    <w:rsid w:val="00997538"/>
    <w:rsid w:val="00997E7B"/>
    <w:rsid w:val="009A00FE"/>
    <w:rsid w:val="009A2809"/>
    <w:rsid w:val="009A2EF8"/>
    <w:rsid w:val="009A4256"/>
    <w:rsid w:val="009A4442"/>
    <w:rsid w:val="009B2BC0"/>
    <w:rsid w:val="009B2DE4"/>
    <w:rsid w:val="009B48F2"/>
    <w:rsid w:val="009B6D72"/>
    <w:rsid w:val="009C1CE2"/>
    <w:rsid w:val="009C33B6"/>
    <w:rsid w:val="009C5D1A"/>
    <w:rsid w:val="009C64B8"/>
    <w:rsid w:val="009C672B"/>
    <w:rsid w:val="009C6EA7"/>
    <w:rsid w:val="009D0121"/>
    <w:rsid w:val="009D1627"/>
    <w:rsid w:val="009D17CA"/>
    <w:rsid w:val="009D2781"/>
    <w:rsid w:val="009D412F"/>
    <w:rsid w:val="009D51D1"/>
    <w:rsid w:val="009D62DE"/>
    <w:rsid w:val="009D797B"/>
    <w:rsid w:val="009D7B9F"/>
    <w:rsid w:val="009E0777"/>
    <w:rsid w:val="009E117B"/>
    <w:rsid w:val="009E1498"/>
    <w:rsid w:val="009E1C34"/>
    <w:rsid w:val="009E2F4B"/>
    <w:rsid w:val="009E2FCF"/>
    <w:rsid w:val="009E3D1F"/>
    <w:rsid w:val="009E772E"/>
    <w:rsid w:val="009E7BD9"/>
    <w:rsid w:val="009E7FE7"/>
    <w:rsid w:val="009F05A1"/>
    <w:rsid w:val="009F0838"/>
    <w:rsid w:val="009F0B73"/>
    <w:rsid w:val="009F2D22"/>
    <w:rsid w:val="009F2DFC"/>
    <w:rsid w:val="009F5199"/>
    <w:rsid w:val="009F5A4B"/>
    <w:rsid w:val="009F5D57"/>
    <w:rsid w:val="009F6408"/>
    <w:rsid w:val="009F679D"/>
    <w:rsid w:val="00A0075D"/>
    <w:rsid w:val="00A00E02"/>
    <w:rsid w:val="00A03619"/>
    <w:rsid w:val="00A03769"/>
    <w:rsid w:val="00A047ED"/>
    <w:rsid w:val="00A05452"/>
    <w:rsid w:val="00A059E4"/>
    <w:rsid w:val="00A06B2C"/>
    <w:rsid w:val="00A077AC"/>
    <w:rsid w:val="00A07B5A"/>
    <w:rsid w:val="00A07D0B"/>
    <w:rsid w:val="00A11121"/>
    <w:rsid w:val="00A123BA"/>
    <w:rsid w:val="00A13F44"/>
    <w:rsid w:val="00A14408"/>
    <w:rsid w:val="00A17C0D"/>
    <w:rsid w:val="00A21CCE"/>
    <w:rsid w:val="00A2254A"/>
    <w:rsid w:val="00A231FA"/>
    <w:rsid w:val="00A23A4F"/>
    <w:rsid w:val="00A23CC4"/>
    <w:rsid w:val="00A2461B"/>
    <w:rsid w:val="00A2552A"/>
    <w:rsid w:val="00A260BF"/>
    <w:rsid w:val="00A268ED"/>
    <w:rsid w:val="00A27BFC"/>
    <w:rsid w:val="00A27D60"/>
    <w:rsid w:val="00A3283D"/>
    <w:rsid w:val="00A32C05"/>
    <w:rsid w:val="00A32F7D"/>
    <w:rsid w:val="00A33C8C"/>
    <w:rsid w:val="00A347AC"/>
    <w:rsid w:val="00A35AB5"/>
    <w:rsid w:val="00A35DDA"/>
    <w:rsid w:val="00A371A1"/>
    <w:rsid w:val="00A37435"/>
    <w:rsid w:val="00A37FB7"/>
    <w:rsid w:val="00A40D7A"/>
    <w:rsid w:val="00A428B1"/>
    <w:rsid w:val="00A4428D"/>
    <w:rsid w:val="00A44A99"/>
    <w:rsid w:val="00A44C07"/>
    <w:rsid w:val="00A459AB"/>
    <w:rsid w:val="00A45C50"/>
    <w:rsid w:val="00A45DFE"/>
    <w:rsid w:val="00A47351"/>
    <w:rsid w:val="00A47721"/>
    <w:rsid w:val="00A47E7E"/>
    <w:rsid w:val="00A47FEC"/>
    <w:rsid w:val="00A50146"/>
    <w:rsid w:val="00A5144E"/>
    <w:rsid w:val="00A51EE2"/>
    <w:rsid w:val="00A52E4B"/>
    <w:rsid w:val="00A53075"/>
    <w:rsid w:val="00A5312F"/>
    <w:rsid w:val="00A53179"/>
    <w:rsid w:val="00A532CB"/>
    <w:rsid w:val="00A543C4"/>
    <w:rsid w:val="00A56AFF"/>
    <w:rsid w:val="00A637BA"/>
    <w:rsid w:val="00A63F81"/>
    <w:rsid w:val="00A66FA8"/>
    <w:rsid w:val="00A67D74"/>
    <w:rsid w:val="00A70CA2"/>
    <w:rsid w:val="00A71A44"/>
    <w:rsid w:val="00A7363E"/>
    <w:rsid w:val="00A7511A"/>
    <w:rsid w:val="00A756D5"/>
    <w:rsid w:val="00A805C4"/>
    <w:rsid w:val="00A81C0E"/>
    <w:rsid w:val="00A826A4"/>
    <w:rsid w:val="00A828D4"/>
    <w:rsid w:val="00A838F6"/>
    <w:rsid w:val="00A83919"/>
    <w:rsid w:val="00A84585"/>
    <w:rsid w:val="00A84832"/>
    <w:rsid w:val="00A8542F"/>
    <w:rsid w:val="00A8704F"/>
    <w:rsid w:val="00A870CC"/>
    <w:rsid w:val="00A92E22"/>
    <w:rsid w:val="00A94E31"/>
    <w:rsid w:val="00A9582E"/>
    <w:rsid w:val="00A95AFB"/>
    <w:rsid w:val="00AA1ED7"/>
    <w:rsid w:val="00AA2125"/>
    <w:rsid w:val="00AA7B39"/>
    <w:rsid w:val="00AA7D28"/>
    <w:rsid w:val="00AA7EC8"/>
    <w:rsid w:val="00AB291E"/>
    <w:rsid w:val="00AB3079"/>
    <w:rsid w:val="00AB454C"/>
    <w:rsid w:val="00AB4A84"/>
    <w:rsid w:val="00AB7314"/>
    <w:rsid w:val="00AB7E87"/>
    <w:rsid w:val="00AC0B60"/>
    <w:rsid w:val="00AC0F2B"/>
    <w:rsid w:val="00AC35C8"/>
    <w:rsid w:val="00AC5187"/>
    <w:rsid w:val="00AC5579"/>
    <w:rsid w:val="00AC5878"/>
    <w:rsid w:val="00AC6FAB"/>
    <w:rsid w:val="00AC77D9"/>
    <w:rsid w:val="00AC7B8C"/>
    <w:rsid w:val="00AD254C"/>
    <w:rsid w:val="00AD3F91"/>
    <w:rsid w:val="00AD5063"/>
    <w:rsid w:val="00AD6DE5"/>
    <w:rsid w:val="00AD6E24"/>
    <w:rsid w:val="00AE0656"/>
    <w:rsid w:val="00AE0F5B"/>
    <w:rsid w:val="00AE10D8"/>
    <w:rsid w:val="00AE17FA"/>
    <w:rsid w:val="00AE3AEB"/>
    <w:rsid w:val="00AE5683"/>
    <w:rsid w:val="00AE696D"/>
    <w:rsid w:val="00AE700C"/>
    <w:rsid w:val="00AE7FF3"/>
    <w:rsid w:val="00AF42DE"/>
    <w:rsid w:val="00AF49C2"/>
    <w:rsid w:val="00AF5F1C"/>
    <w:rsid w:val="00AF6CF5"/>
    <w:rsid w:val="00B00DAE"/>
    <w:rsid w:val="00B0490C"/>
    <w:rsid w:val="00B05534"/>
    <w:rsid w:val="00B05CAE"/>
    <w:rsid w:val="00B0648E"/>
    <w:rsid w:val="00B070E2"/>
    <w:rsid w:val="00B12019"/>
    <w:rsid w:val="00B122D8"/>
    <w:rsid w:val="00B13624"/>
    <w:rsid w:val="00B13908"/>
    <w:rsid w:val="00B14EF6"/>
    <w:rsid w:val="00B151A8"/>
    <w:rsid w:val="00B15FDC"/>
    <w:rsid w:val="00B17DED"/>
    <w:rsid w:val="00B20392"/>
    <w:rsid w:val="00B21C0D"/>
    <w:rsid w:val="00B235BC"/>
    <w:rsid w:val="00B24221"/>
    <w:rsid w:val="00B2626C"/>
    <w:rsid w:val="00B26B4D"/>
    <w:rsid w:val="00B307F7"/>
    <w:rsid w:val="00B32CAE"/>
    <w:rsid w:val="00B3421D"/>
    <w:rsid w:val="00B35641"/>
    <w:rsid w:val="00B36173"/>
    <w:rsid w:val="00B36770"/>
    <w:rsid w:val="00B41020"/>
    <w:rsid w:val="00B413E7"/>
    <w:rsid w:val="00B42257"/>
    <w:rsid w:val="00B42F0E"/>
    <w:rsid w:val="00B42F9A"/>
    <w:rsid w:val="00B430EB"/>
    <w:rsid w:val="00B4416A"/>
    <w:rsid w:val="00B459DA"/>
    <w:rsid w:val="00B4774B"/>
    <w:rsid w:val="00B52622"/>
    <w:rsid w:val="00B529B8"/>
    <w:rsid w:val="00B53E1B"/>
    <w:rsid w:val="00B53EAE"/>
    <w:rsid w:val="00B54C3E"/>
    <w:rsid w:val="00B56327"/>
    <w:rsid w:val="00B63108"/>
    <w:rsid w:val="00B64A4E"/>
    <w:rsid w:val="00B64B11"/>
    <w:rsid w:val="00B64BC6"/>
    <w:rsid w:val="00B657A0"/>
    <w:rsid w:val="00B66875"/>
    <w:rsid w:val="00B70F94"/>
    <w:rsid w:val="00B71696"/>
    <w:rsid w:val="00B71C05"/>
    <w:rsid w:val="00B71DBF"/>
    <w:rsid w:val="00B73167"/>
    <w:rsid w:val="00B756D1"/>
    <w:rsid w:val="00B7661F"/>
    <w:rsid w:val="00B77309"/>
    <w:rsid w:val="00B77958"/>
    <w:rsid w:val="00B7798B"/>
    <w:rsid w:val="00B82491"/>
    <w:rsid w:val="00B851D0"/>
    <w:rsid w:val="00B92194"/>
    <w:rsid w:val="00B94AC5"/>
    <w:rsid w:val="00B95D90"/>
    <w:rsid w:val="00B95DF5"/>
    <w:rsid w:val="00B96171"/>
    <w:rsid w:val="00B962E5"/>
    <w:rsid w:val="00B97202"/>
    <w:rsid w:val="00B97C03"/>
    <w:rsid w:val="00BA114B"/>
    <w:rsid w:val="00BA32D6"/>
    <w:rsid w:val="00BA4B1A"/>
    <w:rsid w:val="00BA4C4A"/>
    <w:rsid w:val="00BA5453"/>
    <w:rsid w:val="00BA613A"/>
    <w:rsid w:val="00BA65F5"/>
    <w:rsid w:val="00BA6E27"/>
    <w:rsid w:val="00BA7026"/>
    <w:rsid w:val="00BA714F"/>
    <w:rsid w:val="00BA718D"/>
    <w:rsid w:val="00BA7616"/>
    <w:rsid w:val="00BA7E13"/>
    <w:rsid w:val="00BB0F57"/>
    <w:rsid w:val="00BB1932"/>
    <w:rsid w:val="00BB1D9F"/>
    <w:rsid w:val="00BB471C"/>
    <w:rsid w:val="00BB4F16"/>
    <w:rsid w:val="00BB4F74"/>
    <w:rsid w:val="00BB5003"/>
    <w:rsid w:val="00BB5AA4"/>
    <w:rsid w:val="00BB60E7"/>
    <w:rsid w:val="00BC050E"/>
    <w:rsid w:val="00BC1203"/>
    <w:rsid w:val="00BC12EE"/>
    <w:rsid w:val="00BC1389"/>
    <w:rsid w:val="00BC1489"/>
    <w:rsid w:val="00BC203B"/>
    <w:rsid w:val="00BC2585"/>
    <w:rsid w:val="00BC2DC1"/>
    <w:rsid w:val="00BC33A9"/>
    <w:rsid w:val="00BC385D"/>
    <w:rsid w:val="00BC5F92"/>
    <w:rsid w:val="00BD1434"/>
    <w:rsid w:val="00BD2681"/>
    <w:rsid w:val="00BD463F"/>
    <w:rsid w:val="00BD6DC6"/>
    <w:rsid w:val="00BE1BEC"/>
    <w:rsid w:val="00BE4A86"/>
    <w:rsid w:val="00BE4A91"/>
    <w:rsid w:val="00BE60A7"/>
    <w:rsid w:val="00BF28B3"/>
    <w:rsid w:val="00BF6FA8"/>
    <w:rsid w:val="00BF76B0"/>
    <w:rsid w:val="00BF79E3"/>
    <w:rsid w:val="00C02712"/>
    <w:rsid w:val="00C05F40"/>
    <w:rsid w:val="00C07B2A"/>
    <w:rsid w:val="00C10A1F"/>
    <w:rsid w:val="00C11F6E"/>
    <w:rsid w:val="00C13F63"/>
    <w:rsid w:val="00C15831"/>
    <w:rsid w:val="00C15BB9"/>
    <w:rsid w:val="00C168B7"/>
    <w:rsid w:val="00C21595"/>
    <w:rsid w:val="00C21D32"/>
    <w:rsid w:val="00C22F13"/>
    <w:rsid w:val="00C22FCC"/>
    <w:rsid w:val="00C24264"/>
    <w:rsid w:val="00C2444F"/>
    <w:rsid w:val="00C30BA4"/>
    <w:rsid w:val="00C30D22"/>
    <w:rsid w:val="00C31019"/>
    <w:rsid w:val="00C31744"/>
    <w:rsid w:val="00C33666"/>
    <w:rsid w:val="00C350FD"/>
    <w:rsid w:val="00C35906"/>
    <w:rsid w:val="00C364DD"/>
    <w:rsid w:val="00C37792"/>
    <w:rsid w:val="00C415BC"/>
    <w:rsid w:val="00C44E2D"/>
    <w:rsid w:val="00C46B60"/>
    <w:rsid w:val="00C474B2"/>
    <w:rsid w:val="00C51E97"/>
    <w:rsid w:val="00C525C4"/>
    <w:rsid w:val="00C5400C"/>
    <w:rsid w:val="00C563B6"/>
    <w:rsid w:val="00C624A2"/>
    <w:rsid w:val="00C65656"/>
    <w:rsid w:val="00C66A53"/>
    <w:rsid w:val="00C66FB7"/>
    <w:rsid w:val="00C67056"/>
    <w:rsid w:val="00C679F5"/>
    <w:rsid w:val="00C728EB"/>
    <w:rsid w:val="00C731DC"/>
    <w:rsid w:val="00C74D01"/>
    <w:rsid w:val="00C76490"/>
    <w:rsid w:val="00C819AA"/>
    <w:rsid w:val="00C825BA"/>
    <w:rsid w:val="00C848C9"/>
    <w:rsid w:val="00C84F55"/>
    <w:rsid w:val="00C8655B"/>
    <w:rsid w:val="00C91CDE"/>
    <w:rsid w:val="00C91F22"/>
    <w:rsid w:val="00C92C81"/>
    <w:rsid w:val="00C930C5"/>
    <w:rsid w:val="00C93466"/>
    <w:rsid w:val="00C943E9"/>
    <w:rsid w:val="00C94892"/>
    <w:rsid w:val="00C958FA"/>
    <w:rsid w:val="00CA01B6"/>
    <w:rsid w:val="00CA0B9C"/>
    <w:rsid w:val="00CA1B5E"/>
    <w:rsid w:val="00CA1DC2"/>
    <w:rsid w:val="00CA2781"/>
    <w:rsid w:val="00CA398D"/>
    <w:rsid w:val="00CA45CB"/>
    <w:rsid w:val="00CA6808"/>
    <w:rsid w:val="00CA7567"/>
    <w:rsid w:val="00CB0C9B"/>
    <w:rsid w:val="00CB17DD"/>
    <w:rsid w:val="00CB452C"/>
    <w:rsid w:val="00CB4A3D"/>
    <w:rsid w:val="00CB5C0F"/>
    <w:rsid w:val="00CB7B18"/>
    <w:rsid w:val="00CB7FDA"/>
    <w:rsid w:val="00CC0132"/>
    <w:rsid w:val="00CC124E"/>
    <w:rsid w:val="00CC23D2"/>
    <w:rsid w:val="00CC505F"/>
    <w:rsid w:val="00CC5715"/>
    <w:rsid w:val="00CC63AF"/>
    <w:rsid w:val="00CC7E6B"/>
    <w:rsid w:val="00CD1726"/>
    <w:rsid w:val="00CD225D"/>
    <w:rsid w:val="00CD4175"/>
    <w:rsid w:val="00CD534B"/>
    <w:rsid w:val="00CD6C3C"/>
    <w:rsid w:val="00CD6C71"/>
    <w:rsid w:val="00CD78E5"/>
    <w:rsid w:val="00CE076F"/>
    <w:rsid w:val="00CE0B6F"/>
    <w:rsid w:val="00CE0E41"/>
    <w:rsid w:val="00CE2D7F"/>
    <w:rsid w:val="00CE32CD"/>
    <w:rsid w:val="00CE44DD"/>
    <w:rsid w:val="00CF24F3"/>
    <w:rsid w:val="00CF2931"/>
    <w:rsid w:val="00CF3754"/>
    <w:rsid w:val="00CF38A9"/>
    <w:rsid w:val="00CF3D31"/>
    <w:rsid w:val="00CF3FE8"/>
    <w:rsid w:val="00CF4655"/>
    <w:rsid w:val="00D0363A"/>
    <w:rsid w:val="00D04D71"/>
    <w:rsid w:val="00D065C5"/>
    <w:rsid w:val="00D073B3"/>
    <w:rsid w:val="00D0782A"/>
    <w:rsid w:val="00D07E2E"/>
    <w:rsid w:val="00D1077A"/>
    <w:rsid w:val="00D111F9"/>
    <w:rsid w:val="00D12C7D"/>
    <w:rsid w:val="00D14327"/>
    <w:rsid w:val="00D1446B"/>
    <w:rsid w:val="00D17B0D"/>
    <w:rsid w:val="00D22D2D"/>
    <w:rsid w:val="00D230C6"/>
    <w:rsid w:val="00D2649C"/>
    <w:rsid w:val="00D2667A"/>
    <w:rsid w:val="00D273BE"/>
    <w:rsid w:val="00D3252E"/>
    <w:rsid w:val="00D32643"/>
    <w:rsid w:val="00D3367B"/>
    <w:rsid w:val="00D356BC"/>
    <w:rsid w:val="00D37D3B"/>
    <w:rsid w:val="00D4215A"/>
    <w:rsid w:val="00D42476"/>
    <w:rsid w:val="00D609BA"/>
    <w:rsid w:val="00D61413"/>
    <w:rsid w:val="00D62541"/>
    <w:rsid w:val="00D64F3A"/>
    <w:rsid w:val="00D66247"/>
    <w:rsid w:val="00D66886"/>
    <w:rsid w:val="00D66F49"/>
    <w:rsid w:val="00D67489"/>
    <w:rsid w:val="00D709FB"/>
    <w:rsid w:val="00D70D47"/>
    <w:rsid w:val="00D7284C"/>
    <w:rsid w:val="00D72B6F"/>
    <w:rsid w:val="00D73242"/>
    <w:rsid w:val="00D74280"/>
    <w:rsid w:val="00D742BF"/>
    <w:rsid w:val="00D765D5"/>
    <w:rsid w:val="00D77AEF"/>
    <w:rsid w:val="00D80335"/>
    <w:rsid w:val="00D813D8"/>
    <w:rsid w:val="00D8175D"/>
    <w:rsid w:val="00D818CF"/>
    <w:rsid w:val="00D81A15"/>
    <w:rsid w:val="00D827AB"/>
    <w:rsid w:val="00D83624"/>
    <w:rsid w:val="00D83DD9"/>
    <w:rsid w:val="00D85C60"/>
    <w:rsid w:val="00D879C7"/>
    <w:rsid w:val="00D9071B"/>
    <w:rsid w:val="00D92D86"/>
    <w:rsid w:val="00D9317E"/>
    <w:rsid w:val="00D95553"/>
    <w:rsid w:val="00D97A95"/>
    <w:rsid w:val="00DA0216"/>
    <w:rsid w:val="00DA24A3"/>
    <w:rsid w:val="00DA528F"/>
    <w:rsid w:val="00DA6D32"/>
    <w:rsid w:val="00DB01F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3AA1"/>
    <w:rsid w:val="00DD4A11"/>
    <w:rsid w:val="00DD4FB9"/>
    <w:rsid w:val="00DD62A3"/>
    <w:rsid w:val="00DD737B"/>
    <w:rsid w:val="00DE1033"/>
    <w:rsid w:val="00DE288F"/>
    <w:rsid w:val="00DE2BFF"/>
    <w:rsid w:val="00DE3226"/>
    <w:rsid w:val="00DE58F9"/>
    <w:rsid w:val="00DE680C"/>
    <w:rsid w:val="00DE7089"/>
    <w:rsid w:val="00DE731E"/>
    <w:rsid w:val="00DE7971"/>
    <w:rsid w:val="00DF000A"/>
    <w:rsid w:val="00DF1985"/>
    <w:rsid w:val="00DF298B"/>
    <w:rsid w:val="00DF4D61"/>
    <w:rsid w:val="00DF5B31"/>
    <w:rsid w:val="00DF606B"/>
    <w:rsid w:val="00DF60E0"/>
    <w:rsid w:val="00DF6299"/>
    <w:rsid w:val="00E005CC"/>
    <w:rsid w:val="00E02114"/>
    <w:rsid w:val="00E03783"/>
    <w:rsid w:val="00E03A0A"/>
    <w:rsid w:val="00E06292"/>
    <w:rsid w:val="00E06502"/>
    <w:rsid w:val="00E06E20"/>
    <w:rsid w:val="00E0716D"/>
    <w:rsid w:val="00E10E7C"/>
    <w:rsid w:val="00E15007"/>
    <w:rsid w:val="00E162A6"/>
    <w:rsid w:val="00E17769"/>
    <w:rsid w:val="00E20ABC"/>
    <w:rsid w:val="00E23505"/>
    <w:rsid w:val="00E24890"/>
    <w:rsid w:val="00E24BFB"/>
    <w:rsid w:val="00E26737"/>
    <w:rsid w:val="00E30BDB"/>
    <w:rsid w:val="00E32E91"/>
    <w:rsid w:val="00E34C6A"/>
    <w:rsid w:val="00E35387"/>
    <w:rsid w:val="00E36724"/>
    <w:rsid w:val="00E36FA3"/>
    <w:rsid w:val="00E42612"/>
    <w:rsid w:val="00E42AF9"/>
    <w:rsid w:val="00E433F5"/>
    <w:rsid w:val="00E44E76"/>
    <w:rsid w:val="00E450A8"/>
    <w:rsid w:val="00E457A5"/>
    <w:rsid w:val="00E45EDE"/>
    <w:rsid w:val="00E516C7"/>
    <w:rsid w:val="00E52FD0"/>
    <w:rsid w:val="00E53013"/>
    <w:rsid w:val="00E53668"/>
    <w:rsid w:val="00E5519B"/>
    <w:rsid w:val="00E562C9"/>
    <w:rsid w:val="00E57CE7"/>
    <w:rsid w:val="00E64D73"/>
    <w:rsid w:val="00E65B2B"/>
    <w:rsid w:val="00E676E8"/>
    <w:rsid w:val="00E809D9"/>
    <w:rsid w:val="00E814C3"/>
    <w:rsid w:val="00E84AD3"/>
    <w:rsid w:val="00E8555A"/>
    <w:rsid w:val="00E87579"/>
    <w:rsid w:val="00E907D3"/>
    <w:rsid w:val="00E9117E"/>
    <w:rsid w:val="00E91C2B"/>
    <w:rsid w:val="00E9267B"/>
    <w:rsid w:val="00E9477F"/>
    <w:rsid w:val="00EA1143"/>
    <w:rsid w:val="00EA168E"/>
    <w:rsid w:val="00EA2585"/>
    <w:rsid w:val="00EA416E"/>
    <w:rsid w:val="00EA6533"/>
    <w:rsid w:val="00EA68CF"/>
    <w:rsid w:val="00EA7196"/>
    <w:rsid w:val="00EB209E"/>
    <w:rsid w:val="00EB4044"/>
    <w:rsid w:val="00EB46E0"/>
    <w:rsid w:val="00EB6899"/>
    <w:rsid w:val="00EC0FB9"/>
    <w:rsid w:val="00EC1329"/>
    <w:rsid w:val="00EC1698"/>
    <w:rsid w:val="00EC21B3"/>
    <w:rsid w:val="00EC26B2"/>
    <w:rsid w:val="00EC4BAC"/>
    <w:rsid w:val="00EC58D0"/>
    <w:rsid w:val="00EC6200"/>
    <w:rsid w:val="00ED0A1E"/>
    <w:rsid w:val="00ED29DF"/>
    <w:rsid w:val="00ED45BB"/>
    <w:rsid w:val="00EE1E03"/>
    <w:rsid w:val="00EE220D"/>
    <w:rsid w:val="00EE2ED7"/>
    <w:rsid w:val="00EE440D"/>
    <w:rsid w:val="00EE4955"/>
    <w:rsid w:val="00EE5143"/>
    <w:rsid w:val="00EE68F2"/>
    <w:rsid w:val="00EE75C1"/>
    <w:rsid w:val="00EF1DC0"/>
    <w:rsid w:val="00EF309A"/>
    <w:rsid w:val="00EF4112"/>
    <w:rsid w:val="00EF46F5"/>
    <w:rsid w:val="00EF7399"/>
    <w:rsid w:val="00F02127"/>
    <w:rsid w:val="00F02979"/>
    <w:rsid w:val="00F03096"/>
    <w:rsid w:val="00F04171"/>
    <w:rsid w:val="00F04CFE"/>
    <w:rsid w:val="00F04E3D"/>
    <w:rsid w:val="00F0703C"/>
    <w:rsid w:val="00F0792B"/>
    <w:rsid w:val="00F10690"/>
    <w:rsid w:val="00F14AAD"/>
    <w:rsid w:val="00F15938"/>
    <w:rsid w:val="00F15A03"/>
    <w:rsid w:val="00F1614E"/>
    <w:rsid w:val="00F169C6"/>
    <w:rsid w:val="00F1787C"/>
    <w:rsid w:val="00F17B63"/>
    <w:rsid w:val="00F209D5"/>
    <w:rsid w:val="00F23B12"/>
    <w:rsid w:val="00F30814"/>
    <w:rsid w:val="00F3551B"/>
    <w:rsid w:val="00F40D3B"/>
    <w:rsid w:val="00F43948"/>
    <w:rsid w:val="00F4432F"/>
    <w:rsid w:val="00F44E26"/>
    <w:rsid w:val="00F46D4E"/>
    <w:rsid w:val="00F47A3D"/>
    <w:rsid w:val="00F47D02"/>
    <w:rsid w:val="00F518DB"/>
    <w:rsid w:val="00F52B1F"/>
    <w:rsid w:val="00F53AE6"/>
    <w:rsid w:val="00F53D6E"/>
    <w:rsid w:val="00F541FD"/>
    <w:rsid w:val="00F54D73"/>
    <w:rsid w:val="00F55898"/>
    <w:rsid w:val="00F55EB1"/>
    <w:rsid w:val="00F56076"/>
    <w:rsid w:val="00F620DD"/>
    <w:rsid w:val="00F6265D"/>
    <w:rsid w:val="00F63B4D"/>
    <w:rsid w:val="00F646A2"/>
    <w:rsid w:val="00F65BF5"/>
    <w:rsid w:val="00F70302"/>
    <w:rsid w:val="00F72A20"/>
    <w:rsid w:val="00F72AAD"/>
    <w:rsid w:val="00F72FBB"/>
    <w:rsid w:val="00F73BC2"/>
    <w:rsid w:val="00F73F3B"/>
    <w:rsid w:val="00F74157"/>
    <w:rsid w:val="00F74775"/>
    <w:rsid w:val="00F75143"/>
    <w:rsid w:val="00F807D7"/>
    <w:rsid w:val="00F81491"/>
    <w:rsid w:val="00F8218B"/>
    <w:rsid w:val="00F8241E"/>
    <w:rsid w:val="00F83C2D"/>
    <w:rsid w:val="00F848FF"/>
    <w:rsid w:val="00F857E5"/>
    <w:rsid w:val="00F8662C"/>
    <w:rsid w:val="00F90AD7"/>
    <w:rsid w:val="00F91967"/>
    <w:rsid w:val="00F92857"/>
    <w:rsid w:val="00F94032"/>
    <w:rsid w:val="00F941F8"/>
    <w:rsid w:val="00F948BB"/>
    <w:rsid w:val="00F9556C"/>
    <w:rsid w:val="00F97718"/>
    <w:rsid w:val="00F97C4A"/>
    <w:rsid w:val="00FA0801"/>
    <w:rsid w:val="00FA0BBD"/>
    <w:rsid w:val="00FA1207"/>
    <w:rsid w:val="00FA676E"/>
    <w:rsid w:val="00FA6D96"/>
    <w:rsid w:val="00FA7E59"/>
    <w:rsid w:val="00FB09A6"/>
    <w:rsid w:val="00FB0F5E"/>
    <w:rsid w:val="00FB438B"/>
    <w:rsid w:val="00FB5E2B"/>
    <w:rsid w:val="00FB671E"/>
    <w:rsid w:val="00FC070A"/>
    <w:rsid w:val="00FC2717"/>
    <w:rsid w:val="00FC3792"/>
    <w:rsid w:val="00FC3F5C"/>
    <w:rsid w:val="00FC47BF"/>
    <w:rsid w:val="00FC505C"/>
    <w:rsid w:val="00FC6389"/>
    <w:rsid w:val="00FC6BE5"/>
    <w:rsid w:val="00FC6C43"/>
    <w:rsid w:val="00FD2B70"/>
    <w:rsid w:val="00FD480A"/>
    <w:rsid w:val="00FD4E1C"/>
    <w:rsid w:val="00FD5A4F"/>
    <w:rsid w:val="00FE041C"/>
    <w:rsid w:val="00FE2566"/>
    <w:rsid w:val="00FE3166"/>
    <w:rsid w:val="00FE3D50"/>
    <w:rsid w:val="00FE3EEF"/>
    <w:rsid w:val="00FE5EBF"/>
    <w:rsid w:val="00FE70E4"/>
    <w:rsid w:val="00FE7AEA"/>
    <w:rsid w:val="00FF3180"/>
    <w:rsid w:val="00FF4C28"/>
    <w:rsid w:val="00FF569F"/>
    <w:rsid w:val="00FF7182"/>
    <w:rsid w:val="015D18DC"/>
    <w:rsid w:val="01852BD3"/>
    <w:rsid w:val="01880BC6"/>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421F9F"/>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396D5A"/>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16F2"/>
    <w:rsid w:val="0DC02AA1"/>
    <w:rsid w:val="0DDE695A"/>
    <w:rsid w:val="0DF73A5B"/>
    <w:rsid w:val="0E164CA8"/>
    <w:rsid w:val="0E231949"/>
    <w:rsid w:val="0E2D072E"/>
    <w:rsid w:val="0E3B295D"/>
    <w:rsid w:val="0E47249B"/>
    <w:rsid w:val="0E551882"/>
    <w:rsid w:val="0E5E565A"/>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1DE71B8"/>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16FD1"/>
    <w:rsid w:val="1CB33990"/>
    <w:rsid w:val="1CF6260F"/>
    <w:rsid w:val="1CF83AEA"/>
    <w:rsid w:val="1CF911FC"/>
    <w:rsid w:val="1D415179"/>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4B3E1B"/>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BC64A5A"/>
    <w:rsid w:val="2BD72BC0"/>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BA0B10"/>
    <w:rsid w:val="2FCA4353"/>
    <w:rsid w:val="2FE55D75"/>
    <w:rsid w:val="2FF23F99"/>
    <w:rsid w:val="30236367"/>
    <w:rsid w:val="30331BC6"/>
    <w:rsid w:val="303E7E03"/>
    <w:rsid w:val="304A182B"/>
    <w:rsid w:val="30700C52"/>
    <w:rsid w:val="30757C00"/>
    <w:rsid w:val="307D5D65"/>
    <w:rsid w:val="308D5EB4"/>
    <w:rsid w:val="30B34CE3"/>
    <w:rsid w:val="30CB1C83"/>
    <w:rsid w:val="30ED2830"/>
    <w:rsid w:val="316B2857"/>
    <w:rsid w:val="31832D29"/>
    <w:rsid w:val="319D5339"/>
    <w:rsid w:val="319F2F47"/>
    <w:rsid w:val="31D20CDE"/>
    <w:rsid w:val="31F3014F"/>
    <w:rsid w:val="31F37E23"/>
    <w:rsid w:val="31FE689A"/>
    <w:rsid w:val="32223DC6"/>
    <w:rsid w:val="325A02A1"/>
    <w:rsid w:val="329032EF"/>
    <w:rsid w:val="329970EF"/>
    <w:rsid w:val="32B35AAA"/>
    <w:rsid w:val="33135210"/>
    <w:rsid w:val="3326373F"/>
    <w:rsid w:val="334459AC"/>
    <w:rsid w:val="33705A64"/>
    <w:rsid w:val="33A055AF"/>
    <w:rsid w:val="33A51E80"/>
    <w:rsid w:val="33E1202D"/>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9724F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3FD95252"/>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57EE6"/>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573E09"/>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913633"/>
    <w:rsid w:val="4AA73240"/>
    <w:rsid w:val="4AB72272"/>
    <w:rsid w:val="4AD703A4"/>
    <w:rsid w:val="4B124490"/>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0D32069"/>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843E3C"/>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5FB7FC45"/>
    <w:rsid w:val="600E788A"/>
    <w:rsid w:val="604130CF"/>
    <w:rsid w:val="60663C94"/>
    <w:rsid w:val="60794FD4"/>
    <w:rsid w:val="60814FEF"/>
    <w:rsid w:val="60867D36"/>
    <w:rsid w:val="60AE4E89"/>
    <w:rsid w:val="60D32F5A"/>
    <w:rsid w:val="610E2B4C"/>
    <w:rsid w:val="619945D7"/>
    <w:rsid w:val="61C24BFD"/>
    <w:rsid w:val="61DE43D4"/>
    <w:rsid w:val="61E06967"/>
    <w:rsid w:val="61ED083B"/>
    <w:rsid w:val="624216A0"/>
    <w:rsid w:val="626343A0"/>
    <w:rsid w:val="626736F9"/>
    <w:rsid w:val="626B4082"/>
    <w:rsid w:val="626B6B00"/>
    <w:rsid w:val="628E1BE9"/>
    <w:rsid w:val="62B9172E"/>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94119A"/>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B4C76"/>
    <w:rsid w:val="6D135E16"/>
    <w:rsid w:val="6D1C168A"/>
    <w:rsid w:val="6D347A31"/>
    <w:rsid w:val="6D3668DD"/>
    <w:rsid w:val="6D471CAB"/>
    <w:rsid w:val="6DAC0977"/>
    <w:rsid w:val="6DB941BD"/>
    <w:rsid w:val="6DC60F63"/>
    <w:rsid w:val="6DCB5DF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4C2434"/>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9D42044"/>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EFF2EF6"/>
    <w:rsid w:val="7F0D08DC"/>
    <w:rsid w:val="7F173D26"/>
    <w:rsid w:val="7F666017"/>
    <w:rsid w:val="7F714EE5"/>
    <w:rsid w:val="7F7F2734"/>
    <w:rsid w:val="7FA63F96"/>
    <w:rsid w:val="7FB9287C"/>
    <w:rsid w:val="7FCC47FD"/>
    <w:rsid w:val="7FD31973"/>
    <w:rsid w:val="7FE15B01"/>
    <w:rsid w:val="7FFB1B6E"/>
    <w:rsid w:val="FF5B8C6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0"/>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5"/>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4"/>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89"/>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6"/>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6"/>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78"/>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0"/>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6"/>
    <w:qFormat/>
    <w:uiPriority w:val="0"/>
    <w:pPr>
      <w:ind w:firstLine="420" w:firstLineChars="200"/>
    </w:pPr>
  </w:style>
  <w:style w:type="paragraph" w:styleId="13">
    <w:name w:val="Document Map"/>
    <w:basedOn w:val="1"/>
    <w:link w:val="73"/>
    <w:qFormat/>
    <w:uiPriority w:val="0"/>
    <w:pPr>
      <w:shd w:val="clear" w:color="auto" w:fill="000080"/>
    </w:pPr>
    <w:rPr>
      <w:kern w:val="0"/>
      <w:sz w:val="20"/>
    </w:rPr>
  </w:style>
  <w:style w:type="paragraph" w:styleId="14">
    <w:name w:val="annotation text"/>
    <w:basedOn w:val="1"/>
    <w:link w:val="55"/>
    <w:unhideWhenUsed/>
    <w:qFormat/>
    <w:uiPriority w:val="99"/>
    <w:pPr>
      <w:jc w:val="left"/>
    </w:pPr>
    <w:rPr>
      <w:kern w:val="0"/>
      <w:sz w:val="20"/>
    </w:rPr>
  </w:style>
  <w:style w:type="paragraph" w:styleId="15">
    <w:name w:val="Body Text 3"/>
    <w:basedOn w:val="1"/>
    <w:link w:val="59"/>
    <w:qFormat/>
    <w:uiPriority w:val="0"/>
    <w:rPr>
      <w:rFonts w:ascii="宋体"/>
      <w:kern w:val="0"/>
      <w:sz w:val="24"/>
      <w:szCs w:val="20"/>
    </w:rPr>
  </w:style>
  <w:style w:type="paragraph" w:styleId="16">
    <w:name w:val="Body Text"/>
    <w:basedOn w:val="1"/>
    <w:link w:val="62"/>
    <w:qFormat/>
    <w:uiPriority w:val="0"/>
    <w:pPr>
      <w:spacing w:after="120"/>
    </w:pPr>
    <w:rPr>
      <w:kern w:val="0"/>
      <w:sz w:val="20"/>
    </w:rPr>
  </w:style>
  <w:style w:type="paragraph" w:styleId="17">
    <w:name w:val="Body Text Indent"/>
    <w:basedOn w:val="1"/>
    <w:link w:val="72"/>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5"/>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9"/>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7"/>
    <w:qFormat/>
    <w:uiPriority w:val="0"/>
    <w:rPr>
      <w:kern w:val="0"/>
      <w:sz w:val="18"/>
      <w:szCs w:val="18"/>
    </w:rPr>
  </w:style>
  <w:style w:type="paragraph" w:styleId="26">
    <w:name w:val="footer"/>
    <w:basedOn w:val="1"/>
    <w:link w:val="91"/>
    <w:qFormat/>
    <w:uiPriority w:val="99"/>
    <w:pPr>
      <w:tabs>
        <w:tab w:val="center" w:pos="4153"/>
        <w:tab w:val="right" w:pos="8306"/>
      </w:tabs>
      <w:snapToGrid w:val="0"/>
      <w:jc w:val="left"/>
    </w:pPr>
    <w:rPr>
      <w:kern w:val="0"/>
      <w:sz w:val="18"/>
      <w:szCs w:val="18"/>
    </w:rPr>
  </w:style>
  <w:style w:type="paragraph" w:styleId="27">
    <w:name w:val="header"/>
    <w:basedOn w:val="1"/>
    <w:link w:val="69"/>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3"/>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3"/>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3"/>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6"/>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5"/>
    <w:qFormat/>
    <w:uiPriority w:val="0"/>
    <w:rPr>
      <w:b/>
      <w:bCs/>
    </w:rPr>
  </w:style>
  <w:style w:type="table" w:styleId="42">
    <w:name w:val="Table Grid"/>
    <w:basedOn w:val="41"/>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qFormat/>
    <w:uiPriority w:val="0"/>
  </w:style>
  <w:style w:type="character" w:styleId="46">
    <w:name w:val="FollowedHyperlink"/>
    <w:basedOn w:val="43"/>
    <w:qFormat/>
    <w:uiPriority w:val="0"/>
    <w:rPr>
      <w:rFonts w:hint="default" w:ascii="Arial" w:hAnsi="Arial" w:eastAsia="Arial" w:cs="Arial"/>
      <w:color w:val="333333"/>
      <w:sz w:val="21"/>
      <w:szCs w:val="21"/>
      <w:u w:val="none"/>
    </w:rPr>
  </w:style>
  <w:style w:type="character" w:styleId="47">
    <w:name w:val="Hyperlink"/>
    <w:basedOn w:val="43"/>
    <w:qFormat/>
    <w:uiPriority w:val="99"/>
    <w:rPr>
      <w:rFonts w:ascii="Arial" w:hAnsi="Arial" w:eastAsia="Arial" w:cs="Arial"/>
      <w:color w:val="333333"/>
      <w:sz w:val="21"/>
      <w:szCs w:val="21"/>
      <w:u w:val="none"/>
    </w:rPr>
  </w:style>
  <w:style w:type="character" w:styleId="48">
    <w:name w:val="annotation reference"/>
    <w:qFormat/>
    <w:uiPriority w:val="0"/>
    <w:rPr>
      <w:sz w:val="21"/>
      <w:szCs w:val="21"/>
    </w:rPr>
  </w:style>
  <w:style w:type="character" w:styleId="49">
    <w:name w:val="footnote reference"/>
    <w:qFormat/>
    <w:uiPriority w:val="0"/>
    <w:rPr>
      <w:vertAlign w:val="superscript"/>
    </w:rPr>
  </w:style>
  <w:style w:type="character" w:customStyle="1" w:styleId="50">
    <w:name w:val="apple-style-span"/>
    <w:qFormat/>
    <w:uiPriority w:val="0"/>
    <w:rPr>
      <w:rFonts w:ascii="Verdana" w:hAnsi="Verdana" w:eastAsia="宋体"/>
      <w:sz w:val="21"/>
      <w:lang w:val="en-US" w:eastAsia="en-US" w:bidi="ar-SA"/>
    </w:rPr>
  </w:style>
  <w:style w:type="character" w:customStyle="1" w:styleId="51">
    <w:name w:val="正文文本 3 Char1"/>
    <w:semiHidden/>
    <w:qFormat/>
    <w:uiPriority w:val="99"/>
    <w:rPr>
      <w:rFonts w:ascii="Times New Roman" w:hAnsi="Times New Roman" w:eastAsia="宋体" w:cs="Times New Roman"/>
      <w:sz w:val="16"/>
      <w:szCs w:val="16"/>
    </w:rPr>
  </w:style>
  <w:style w:type="character" w:customStyle="1" w:styleId="52">
    <w:name w:val="样式 宋体"/>
    <w:qFormat/>
    <w:uiPriority w:val="0"/>
    <w:rPr>
      <w:rFonts w:ascii="Times New Roman" w:hAnsi="Times New Roman" w:eastAsia="宋体"/>
      <w:sz w:val="21"/>
    </w:rPr>
  </w:style>
  <w:style w:type="character" w:customStyle="1" w:styleId="53">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4">
    <w:name w:val="标题 3 字符"/>
    <w:link w:val="4"/>
    <w:qFormat/>
    <w:uiPriority w:val="0"/>
    <w:rPr>
      <w:rFonts w:ascii="Times New Roman" w:hAnsi="Times New Roman" w:eastAsia="宋体" w:cs="Times New Roman"/>
      <w:b/>
      <w:bCs/>
      <w:sz w:val="32"/>
      <w:szCs w:val="32"/>
    </w:rPr>
  </w:style>
  <w:style w:type="character" w:customStyle="1" w:styleId="55">
    <w:name w:val="批注文字 字符"/>
    <w:link w:val="14"/>
    <w:semiHidden/>
    <w:qFormat/>
    <w:uiPriority w:val="99"/>
    <w:rPr>
      <w:rFonts w:ascii="Times New Roman" w:hAnsi="Times New Roman" w:eastAsia="宋体" w:cs="Times New Roman"/>
      <w:szCs w:val="24"/>
    </w:rPr>
  </w:style>
  <w:style w:type="character" w:customStyle="1" w:styleId="56">
    <w:name w:val="标题 6 字符"/>
    <w:link w:val="6"/>
    <w:qFormat/>
    <w:uiPriority w:val="0"/>
    <w:rPr>
      <w:rFonts w:ascii="Arial" w:hAnsi="Arial" w:eastAsia="黑体" w:cs="Times New Roman"/>
      <w:b/>
      <w:bCs/>
      <w:kern w:val="0"/>
      <w:sz w:val="24"/>
      <w:szCs w:val="24"/>
    </w:rPr>
  </w:style>
  <w:style w:type="character" w:customStyle="1" w:styleId="57">
    <w:name w:val="Char Char8"/>
    <w:qFormat/>
    <w:uiPriority w:val="0"/>
    <w:rPr>
      <w:rFonts w:ascii="Arial" w:hAnsi="Arial" w:eastAsia="黑体"/>
      <w:b/>
      <w:bCs/>
      <w:kern w:val="2"/>
      <w:sz w:val="32"/>
      <w:szCs w:val="32"/>
      <w:lang w:val="en-US" w:eastAsia="zh-CN" w:bidi="ar-SA"/>
    </w:rPr>
  </w:style>
  <w:style w:type="character" w:customStyle="1" w:styleId="58">
    <w:name w:val="脚注文本 Char1"/>
    <w:semiHidden/>
    <w:qFormat/>
    <w:uiPriority w:val="99"/>
    <w:rPr>
      <w:rFonts w:ascii="Times New Roman" w:hAnsi="Times New Roman" w:eastAsia="宋体" w:cs="Times New Roman"/>
      <w:sz w:val="18"/>
      <w:szCs w:val="18"/>
    </w:rPr>
  </w:style>
  <w:style w:type="character" w:customStyle="1" w:styleId="59">
    <w:name w:val="正文文本 3 字符"/>
    <w:link w:val="15"/>
    <w:qFormat/>
    <w:uiPriority w:val="0"/>
    <w:rPr>
      <w:rFonts w:ascii="宋体"/>
      <w:sz w:val="24"/>
    </w:rPr>
  </w:style>
  <w:style w:type="character" w:customStyle="1" w:styleId="60">
    <w:name w:val="页脚 Char1"/>
    <w:semiHidden/>
    <w:qFormat/>
    <w:uiPriority w:val="99"/>
    <w:rPr>
      <w:rFonts w:ascii="Times New Roman" w:hAnsi="Times New Roman" w:eastAsia="宋体" w:cs="Times New Roman"/>
      <w:sz w:val="18"/>
      <w:szCs w:val="18"/>
    </w:rPr>
  </w:style>
  <w:style w:type="character" w:customStyle="1" w:styleId="61">
    <w:name w:val="标题 Char1"/>
    <w:qFormat/>
    <w:uiPriority w:val="10"/>
    <w:rPr>
      <w:rFonts w:ascii="Calibri Light" w:hAnsi="Calibri Light" w:eastAsia="宋体" w:cs="Times New Roman"/>
      <w:b/>
      <w:bCs/>
      <w:sz w:val="32"/>
      <w:szCs w:val="32"/>
    </w:rPr>
  </w:style>
  <w:style w:type="character" w:customStyle="1" w:styleId="62">
    <w:name w:val="正文文本 字符"/>
    <w:link w:val="16"/>
    <w:qFormat/>
    <w:uiPriority w:val="0"/>
    <w:rPr>
      <w:rFonts w:eastAsia="宋体"/>
      <w:szCs w:val="24"/>
    </w:rPr>
  </w:style>
  <w:style w:type="character" w:customStyle="1" w:styleId="63">
    <w:name w:val="脚注文本 字符"/>
    <w:link w:val="30"/>
    <w:qFormat/>
    <w:uiPriority w:val="0"/>
    <w:rPr>
      <w:rFonts w:eastAsia="宋体"/>
    </w:rPr>
  </w:style>
  <w:style w:type="character" w:customStyle="1" w:styleId="64">
    <w:name w:val="纯文本 Char1"/>
    <w:semiHidden/>
    <w:qFormat/>
    <w:uiPriority w:val="99"/>
    <w:rPr>
      <w:rFonts w:ascii="宋体" w:hAnsi="Courier New" w:eastAsia="宋体" w:cs="Courier New"/>
      <w:szCs w:val="21"/>
    </w:rPr>
  </w:style>
  <w:style w:type="character" w:customStyle="1" w:styleId="65">
    <w:name w:val="批注主题 字符"/>
    <w:link w:val="40"/>
    <w:qFormat/>
    <w:uiPriority w:val="0"/>
    <w:rPr>
      <w:rFonts w:ascii="Times New Roman" w:hAnsi="Times New Roman" w:eastAsia="宋体" w:cs="Times New Roman"/>
      <w:b/>
      <w:bCs/>
      <w:szCs w:val="24"/>
    </w:rPr>
  </w:style>
  <w:style w:type="character" w:customStyle="1" w:styleId="66">
    <w:name w:val="正文缩进 字符"/>
    <w:link w:val="12"/>
    <w:qFormat/>
    <w:locked/>
    <w:uiPriority w:val="0"/>
    <w:rPr>
      <w:kern w:val="2"/>
      <w:sz w:val="21"/>
      <w:szCs w:val="24"/>
    </w:rPr>
  </w:style>
  <w:style w:type="character" w:customStyle="1" w:styleId="67">
    <w:name w:val="font11"/>
    <w:qFormat/>
    <w:uiPriority w:val="0"/>
    <w:rPr>
      <w:rFonts w:hint="default" w:ascii="Times New Roman" w:hAnsi="Times New Roman" w:cs="Times New Roman"/>
      <w:color w:val="000000"/>
      <w:sz w:val="22"/>
      <w:szCs w:val="22"/>
      <w:u w:val="none"/>
    </w:rPr>
  </w:style>
  <w:style w:type="character" w:customStyle="1" w:styleId="68">
    <w:name w:val="font01"/>
    <w:qFormat/>
    <w:uiPriority w:val="0"/>
    <w:rPr>
      <w:rFonts w:hint="eastAsia" w:ascii="宋体" w:hAnsi="宋体" w:eastAsia="宋体" w:cs="宋体"/>
      <w:color w:val="000000"/>
      <w:sz w:val="22"/>
      <w:szCs w:val="22"/>
      <w:u w:val="none"/>
    </w:rPr>
  </w:style>
  <w:style w:type="character" w:customStyle="1" w:styleId="69">
    <w:name w:val="页眉 字符"/>
    <w:link w:val="27"/>
    <w:qFormat/>
    <w:uiPriority w:val="0"/>
    <w:rPr>
      <w:rFonts w:ascii="Times New Roman" w:hAnsi="Times New Roman" w:eastAsia="宋体" w:cs="Times New Roman"/>
      <w:sz w:val="18"/>
      <w:szCs w:val="18"/>
    </w:rPr>
  </w:style>
  <w:style w:type="character" w:customStyle="1" w:styleId="70">
    <w:name w:val="标题 9 字符"/>
    <w:link w:val="9"/>
    <w:qFormat/>
    <w:uiPriority w:val="0"/>
    <w:rPr>
      <w:rFonts w:ascii="Arial" w:hAnsi="Arial" w:eastAsia="黑体" w:cs="Times New Roman"/>
      <w:kern w:val="0"/>
      <w:szCs w:val="21"/>
    </w:rPr>
  </w:style>
  <w:style w:type="character" w:customStyle="1" w:styleId="71">
    <w:name w:val="标题 2 Char1"/>
    <w:qFormat/>
    <w:uiPriority w:val="0"/>
    <w:rPr>
      <w:rFonts w:ascii="Arial" w:hAnsi="Arial" w:eastAsia="黑体" w:cs="Times New Roman"/>
      <w:b/>
      <w:bCs/>
      <w:sz w:val="32"/>
      <w:szCs w:val="32"/>
      <w:lang w:val="en-US" w:eastAsia="en-US" w:bidi="ar-SA"/>
    </w:rPr>
  </w:style>
  <w:style w:type="character" w:customStyle="1" w:styleId="72">
    <w:name w:val="正文文本缩进 字符"/>
    <w:link w:val="17"/>
    <w:qFormat/>
    <w:uiPriority w:val="0"/>
    <w:rPr>
      <w:szCs w:val="24"/>
    </w:rPr>
  </w:style>
  <w:style w:type="character" w:customStyle="1" w:styleId="73">
    <w:name w:val="文档结构图 字符"/>
    <w:link w:val="13"/>
    <w:qFormat/>
    <w:uiPriority w:val="0"/>
    <w:rPr>
      <w:rFonts w:ascii="Times New Roman" w:hAnsi="Times New Roman" w:eastAsia="宋体" w:cs="Times New Roman"/>
      <w:szCs w:val="24"/>
      <w:shd w:val="clear" w:color="auto" w:fill="000080"/>
    </w:rPr>
  </w:style>
  <w:style w:type="character" w:customStyle="1" w:styleId="74">
    <w:name w:val="font161"/>
    <w:qFormat/>
    <w:uiPriority w:val="0"/>
    <w:rPr>
      <w:b/>
      <w:bCs/>
      <w:sz w:val="32"/>
      <w:szCs w:val="32"/>
    </w:rPr>
  </w:style>
  <w:style w:type="character" w:customStyle="1" w:styleId="75">
    <w:name w:val="标题 2 字符"/>
    <w:link w:val="3"/>
    <w:qFormat/>
    <w:uiPriority w:val="0"/>
    <w:rPr>
      <w:rFonts w:ascii="Arial" w:hAnsi="Arial" w:eastAsia="黑体" w:cs="Times New Roman"/>
      <w:b/>
      <w:bCs/>
      <w:sz w:val="32"/>
      <w:szCs w:val="32"/>
    </w:rPr>
  </w:style>
  <w:style w:type="character" w:customStyle="1" w:styleId="76">
    <w:name w:val="标题 字符"/>
    <w:link w:val="39"/>
    <w:qFormat/>
    <w:uiPriority w:val="0"/>
    <w:rPr>
      <w:rFonts w:ascii="Arial" w:hAnsi="Arial"/>
      <w:b/>
      <w:sz w:val="32"/>
    </w:rPr>
  </w:style>
  <w:style w:type="character" w:customStyle="1" w:styleId="77">
    <w:name w:val="批注框文本 字符"/>
    <w:link w:val="25"/>
    <w:qFormat/>
    <w:uiPriority w:val="0"/>
    <w:rPr>
      <w:rFonts w:ascii="Times New Roman" w:hAnsi="Times New Roman" w:eastAsia="宋体" w:cs="Times New Roman"/>
      <w:sz w:val="18"/>
      <w:szCs w:val="18"/>
    </w:rPr>
  </w:style>
  <w:style w:type="character" w:customStyle="1" w:styleId="78">
    <w:name w:val="标题 8 字符"/>
    <w:link w:val="8"/>
    <w:qFormat/>
    <w:uiPriority w:val="0"/>
    <w:rPr>
      <w:rFonts w:ascii="Arial" w:hAnsi="Arial" w:eastAsia="黑体" w:cs="Times New Roman"/>
      <w:kern w:val="0"/>
      <w:sz w:val="24"/>
      <w:szCs w:val="24"/>
    </w:rPr>
  </w:style>
  <w:style w:type="character" w:customStyle="1" w:styleId="79">
    <w:name w:val="日期 字符"/>
    <w:link w:val="23"/>
    <w:qFormat/>
    <w:uiPriority w:val="0"/>
    <w:rPr>
      <w:rFonts w:ascii="Times New Roman" w:hAnsi="Times New Roman" w:eastAsia="宋体" w:cs="Times New Roman"/>
      <w:sz w:val="24"/>
      <w:szCs w:val="20"/>
    </w:rPr>
  </w:style>
  <w:style w:type="character" w:customStyle="1" w:styleId="80">
    <w:name w:val="标题 1 字符"/>
    <w:link w:val="2"/>
    <w:qFormat/>
    <w:uiPriority w:val="0"/>
    <w:rPr>
      <w:rFonts w:ascii="Times New Roman" w:hAnsi="Times New Roman" w:eastAsia="宋体" w:cs="Times New Roman"/>
      <w:b/>
      <w:bCs/>
      <w:kern w:val="44"/>
      <w:sz w:val="44"/>
      <w:szCs w:val="44"/>
    </w:rPr>
  </w:style>
  <w:style w:type="character" w:customStyle="1" w:styleId="81">
    <w:name w:val="招标节 Char"/>
    <w:link w:val="82"/>
    <w:qFormat/>
    <w:locked/>
    <w:uiPriority w:val="0"/>
    <w:rPr>
      <w:b/>
      <w:sz w:val="24"/>
      <w:szCs w:val="24"/>
    </w:rPr>
  </w:style>
  <w:style w:type="paragraph" w:customStyle="1" w:styleId="82">
    <w:name w:val="招标节"/>
    <w:basedOn w:val="1"/>
    <w:next w:val="1"/>
    <w:link w:val="81"/>
    <w:qFormat/>
    <w:uiPriority w:val="0"/>
    <w:pPr>
      <w:spacing w:beforeLines="50" w:afterLines="50"/>
      <w:outlineLvl w:val="1"/>
    </w:pPr>
    <w:rPr>
      <w:b/>
      <w:kern w:val="0"/>
      <w:sz w:val="24"/>
    </w:rPr>
  </w:style>
  <w:style w:type="character" w:customStyle="1" w:styleId="83">
    <w:name w:val="正文文本缩进 3 字符"/>
    <w:link w:val="32"/>
    <w:qFormat/>
    <w:uiPriority w:val="0"/>
    <w:rPr>
      <w:rFonts w:ascii="Times New Roman" w:hAnsi="Times New Roman" w:eastAsia="宋体" w:cs="Times New Roman"/>
      <w:sz w:val="16"/>
      <w:szCs w:val="16"/>
    </w:rPr>
  </w:style>
  <w:style w:type="character" w:customStyle="1" w:styleId="84">
    <w:name w:val="tpc_content1"/>
    <w:qFormat/>
    <w:uiPriority w:val="0"/>
    <w:rPr>
      <w:sz w:val="20"/>
      <w:szCs w:val="20"/>
    </w:rPr>
  </w:style>
  <w:style w:type="character" w:customStyle="1" w:styleId="85">
    <w:name w:val="Char Char"/>
    <w:qFormat/>
    <w:uiPriority w:val="0"/>
    <w:rPr>
      <w:rFonts w:ascii="Arial" w:hAnsi="Arial" w:eastAsia="黑体"/>
      <w:b/>
      <w:bCs/>
      <w:kern w:val="2"/>
      <w:sz w:val="32"/>
      <w:szCs w:val="32"/>
      <w:lang w:val="en-US" w:eastAsia="zh-CN" w:bidi="ar-SA"/>
    </w:rPr>
  </w:style>
  <w:style w:type="character" w:customStyle="1" w:styleId="86">
    <w:name w:val="正文文本 Char1"/>
    <w:semiHidden/>
    <w:qFormat/>
    <w:uiPriority w:val="99"/>
    <w:rPr>
      <w:rFonts w:ascii="Times New Roman" w:hAnsi="Times New Roman" w:eastAsia="宋体" w:cs="Times New Roman"/>
      <w:szCs w:val="24"/>
    </w:rPr>
  </w:style>
  <w:style w:type="character" w:customStyle="1" w:styleId="87">
    <w:name w:val="Char Char2"/>
    <w:qFormat/>
    <w:uiPriority w:val="0"/>
    <w:rPr>
      <w:rFonts w:eastAsia="宋体"/>
      <w:kern w:val="2"/>
      <w:sz w:val="21"/>
      <w:szCs w:val="24"/>
      <w:lang w:val="en-US" w:eastAsia="zh-CN" w:bidi="ar-SA"/>
    </w:rPr>
  </w:style>
  <w:style w:type="character" w:customStyle="1" w:styleId="88">
    <w:name w:val="apple-converted-space"/>
    <w:qFormat/>
    <w:uiPriority w:val="0"/>
  </w:style>
  <w:style w:type="character" w:customStyle="1" w:styleId="89">
    <w:name w:val="标题 4 字符"/>
    <w:link w:val="5"/>
    <w:qFormat/>
    <w:uiPriority w:val="0"/>
    <w:rPr>
      <w:rFonts w:ascii="Arial" w:hAnsi="Arial" w:eastAsia="黑体" w:cs="Times New Roman"/>
      <w:b/>
      <w:bCs/>
      <w:sz w:val="28"/>
      <w:szCs w:val="28"/>
    </w:rPr>
  </w:style>
  <w:style w:type="character" w:customStyle="1" w:styleId="90">
    <w:name w:val="正文文本缩进 Char1"/>
    <w:semiHidden/>
    <w:qFormat/>
    <w:uiPriority w:val="99"/>
    <w:rPr>
      <w:rFonts w:ascii="Times New Roman" w:hAnsi="Times New Roman" w:eastAsia="宋体" w:cs="Times New Roman"/>
      <w:szCs w:val="24"/>
    </w:rPr>
  </w:style>
  <w:style w:type="character" w:customStyle="1" w:styleId="91">
    <w:name w:val="页脚 字符"/>
    <w:link w:val="26"/>
    <w:qFormat/>
    <w:uiPriority w:val="99"/>
    <w:rPr>
      <w:sz w:val="18"/>
      <w:szCs w:val="18"/>
    </w:rPr>
  </w:style>
  <w:style w:type="character" w:customStyle="1" w:styleId="92">
    <w:name w:val="Char Char7"/>
    <w:qFormat/>
    <w:uiPriority w:val="0"/>
    <w:rPr>
      <w:rFonts w:ascii="Arial" w:hAnsi="Arial" w:eastAsia="黑体"/>
      <w:b/>
      <w:bCs/>
      <w:kern w:val="2"/>
      <w:sz w:val="32"/>
      <w:szCs w:val="32"/>
      <w:lang w:val="en-US" w:eastAsia="zh-CN" w:bidi="ar-SA"/>
    </w:rPr>
  </w:style>
  <w:style w:type="character" w:customStyle="1" w:styleId="93">
    <w:name w:val="HTML 预设格式 字符"/>
    <w:link w:val="36"/>
    <w:qFormat/>
    <w:uiPriority w:val="0"/>
    <w:rPr>
      <w:rFonts w:ascii="微软雅黑" w:hAnsi="微软雅黑" w:eastAsia="微软雅黑" w:cs="Times New Roman"/>
      <w:kern w:val="0"/>
      <w:sz w:val="24"/>
      <w:szCs w:val="24"/>
    </w:rPr>
  </w:style>
  <w:style w:type="character" w:customStyle="1" w:styleId="94">
    <w:name w:val="批注文字 Char"/>
    <w:qFormat/>
    <w:uiPriority w:val="0"/>
    <w:rPr>
      <w:rFonts w:eastAsia="宋体"/>
      <w:kern w:val="2"/>
      <w:sz w:val="21"/>
      <w:szCs w:val="24"/>
      <w:lang w:val="en-US" w:eastAsia="zh-CN" w:bidi="ar-SA"/>
    </w:rPr>
  </w:style>
  <w:style w:type="character" w:customStyle="1" w:styleId="95">
    <w:name w:val="纯文本 字符"/>
    <w:link w:val="21"/>
    <w:qFormat/>
    <w:uiPriority w:val="99"/>
    <w:rPr>
      <w:rFonts w:ascii="Courier New" w:hAnsi="Courier New"/>
    </w:rPr>
  </w:style>
  <w:style w:type="character" w:customStyle="1" w:styleId="96">
    <w:name w:val="标题 7 字符"/>
    <w:link w:val="7"/>
    <w:qFormat/>
    <w:uiPriority w:val="0"/>
    <w:rPr>
      <w:rFonts w:ascii="Times New Roman" w:hAnsi="Times New Roman" w:eastAsia="宋体" w:cs="Times New Roman"/>
      <w:b/>
      <w:bCs/>
      <w:kern w:val="0"/>
      <w:sz w:val="24"/>
      <w:szCs w:val="24"/>
    </w:rPr>
  </w:style>
  <w:style w:type="paragraph" w:customStyle="1" w:styleId="97">
    <w:name w:val="样式4"/>
    <w:basedOn w:val="4"/>
    <w:qFormat/>
    <w:uiPriority w:val="0"/>
    <w:rPr>
      <w:rFonts w:eastAsia="Arial"/>
    </w:rPr>
  </w:style>
  <w:style w:type="paragraph" w:customStyle="1" w:styleId="98">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font10"/>
    <w:basedOn w:val="1"/>
    <w:qFormat/>
    <w:uiPriority w:val="0"/>
    <w:pPr>
      <w:widowControl/>
      <w:spacing w:before="100" w:beforeAutospacing="1" w:after="100" w:afterAutospacing="1"/>
      <w:jc w:val="left"/>
    </w:pPr>
    <w:rPr>
      <w:kern w:val="0"/>
      <w:sz w:val="28"/>
      <w:szCs w:val="28"/>
    </w:rPr>
  </w:style>
  <w:style w:type="paragraph" w:customStyle="1" w:styleId="101">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样式1"/>
    <w:basedOn w:val="4"/>
    <w:qFormat/>
    <w:uiPriority w:val="0"/>
    <w:rPr>
      <w:rFonts w:eastAsia="Arial"/>
    </w:rPr>
  </w:style>
  <w:style w:type="paragraph" w:customStyle="1" w:styleId="104">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Char"/>
    <w:basedOn w:val="1"/>
    <w:qFormat/>
    <w:uiPriority w:val="0"/>
    <w:pPr>
      <w:tabs>
        <w:tab w:val="left" w:pos="360"/>
      </w:tabs>
    </w:pPr>
    <w:rPr>
      <w:sz w:val="24"/>
    </w:rPr>
  </w:style>
  <w:style w:type="paragraph" w:customStyle="1" w:styleId="107">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表格"/>
    <w:basedOn w:val="1"/>
    <w:qFormat/>
    <w:uiPriority w:val="0"/>
    <w:pPr>
      <w:jc w:val="center"/>
      <w:textAlignment w:val="center"/>
    </w:pPr>
    <w:rPr>
      <w:rFonts w:ascii="华文细黑" w:hAnsi="华文细黑"/>
      <w:kern w:val="0"/>
      <w:szCs w:val="20"/>
    </w:rPr>
  </w:style>
  <w:style w:type="paragraph" w:customStyle="1" w:styleId="109">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3">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列表段落1"/>
    <w:basedOn w:val="1"/>
    <w:qFormat/>
    <w:uiPriority w:val="34"/>
    <w:pPr>
      <w:ind w:firstLine="420" w:firstLineChars="200"/>
    </w:pPr>
    <w:rPr>
      <w:rFonts w:ascii="Calibri" w:hAnsi="Calibri"/>
      <w:szCs w:val="22"/>
    </w:rPr>
  </w:style>
  <w:style w:type="paragraph" w:customStyle="1" w:styleId="11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0">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3">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4">
    <w:name w:val="1"/>
    <w:basedOn w:val="1"/>
    <w:next w:val="1"/>
    <w:qFormat/>
    <w:uiPriority w:val="0"/>
  </w:style>
  <w:style w:type="paragraph" w:customStyle="1" w:styleId="125">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8">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9">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0">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样式3"/>
    <w:basedOn w:val="4"/>
    <w:qFormat/>
    <w:uiPriority w:val="0"/>
    <w:rPr>
      <w:rFonts w:eastAsia="Arial"/>
    </w:rPr>
  </w:style>
  <w:style w:type="paragraph" w:customStyle="1" w:styleId="132">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5">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7">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0">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1">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3">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5">
    <w:name w:val="第二"/>
    <w:basedOn w:val="1"/>
    <w:qFormat/>
    <w:uiPriority w:val="0"/>
    <w:pPr>
      <w:adjustRightInd w:val="0"/>
      <w:snapToGrid w:val="0"/>
      <w:spacing w:line="360" w:lineRule="auto"/>
      <w:ind w:right="-108" w:rightChars="-45" w:firstLine="482"/>
    </w:pPr>
    <w:rPr>
      <w:b/>
    </w:rPr>
  </w:style>
  <w:style w:type="paragraph" w:customStyle="1" w:styleId="146">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8">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9">
    <w:name w:val="内容"/>
    <w:basedOn w:val="1"/>
    <w:qFormat/>
    <w:uiPriority w:val="0"/>
    <w:pPr>
      <w:spacing w:line="480" w:lineRule="exact"/>
      <w:ind w:firstLine="200" w:firstLineChars="200"/>
    </w:pPr>
  </w:style>
  <w:style w:type="paragraph" w:customStyle="1" w:styleId="150">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1">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2">
    <w:name w:val="列出段落1"/>
    <w:basedOn w:val="1"/>
    <w:qFormat/>
    <w:uiPriority w:val="99"/>
    <w:pPr>
      <w:ind w:firstLine="420" w:firstLineChars="200"/>
    </w:pPr>
  </w:style>
  <w:style w:type="paragraph" w:customStyle="1" w:styleId="15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表格文字"/>
    <w:basedOn w:val="1"/>
    <w:qFormat/>
    <w:uiPriority w:val="0"/>
    <w:pPr>
      <w:adjustRightInd w:val="0"/>
      <w:spacing w:line="420" w:lineRule="atLeast"/>
      <w:jc w:val="left"/>
      <w:textAlignment w:val="baseline"/>
    </w:pPr>
    <w:rPr>
      <w:kern w:val="0"/>
      <w:szCs w:val="20"/>
    </w:rPr>
  </w:style>
  <w:style w:type="paragraph" w:customStyle="1" w:styleId="155">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6">
    <w:name w:val="样式2"/>
    <w:basedOn w:val="4"/>
    <w:qFormat/>
    <w:uiPriority w:val="0"/>
  </w:style>
  <w:style w:type="character" w:customStyle="1" w:styleId="157">
    <w:name w:val="after"/>
    <w:basedOn w:val="43"/>
    <w:qFormat/>
    <w:uiPriority w:val="0"/>
    <w:rPr>
      <w:bdr w:val="dashed" w:color="auto" w:sz="48" w:space="0"/>
    </w:rPr>
  </w:style>
  <w:style w:type="character" w:customStyle="1" w:styleId="158">
    <w:name w:val="before"/>
    <w:basedOn w:val="43"/>
    <w:qFormat/>
    <w:uiPriority w:val="0"/>
    <w:rPr>
      <w:bdr w:val="single" w:color="auto" w:sz="48" w:space="0"/>
    </w:rPr>
  </w:style>
  <w:style w:type="character" w:customStyle="1" w:styleId="159">
    <w:name w:val="hover48"/>
    <w:basedOn w:val="43"/>
    <w:qFormat/>
    <w:uiPriority w:val="0"/>
    <w:rPr>
      <w:shd w:val="clear" w:color="auto" w:fill="346AC3"/>
    </w:rPr>
  </w:style>
  <w:style w:type="character" w:customStyle="1" w:styleId="160">
    <w:name w:val="hover49"/>
    <w:basedOn w:val="43"/>
    <w:qFormat/>
    <w:uiPriority w:val="0"/>
  </w:style>
  <w:style w:type="character" w:customStyle="1" w:styleId="161">
    <w:name w:val="hover50"/>
    <w:basedOn w:val="43"/>
    <w:qFormat/>
    <w:uiPriority w:val="0"/>
    <w:rPr>
      <w:color w:val="4285F4"/>
      <w:u w:val="none"/>
    </w:rPr>
  </w:style>
  <w:style w:type="character" w:customStyle="1" w:styleId="162">
    <w:name w:val="hover51"/>
    <w:basedOn w:val="43"/>
    <w:qFormat/>
    <w:uiPriority w:val="0"/>
    <w:rPr>
      <w:color w:val="4285F4"/>
    </w:rPr>
  </w:style>
  <w:style w:type="character" w:customStyle="1" w:styleId="163">
    <w:name w:val="hover52"/>
    <w:basedOn w:val="43"/>
    <w:qFormat/>
    <w:uiPriority w:val="0"/>
    <w:rPr>
      <w:color w:val="1A85D7"/>
    </w:rPr>
  </w:style>
  <w:style w:type="character" w:customStyle="1" w:styleId="164">
    <w:name w:val="credit"/>
    <w:basedOn w:val="43"/>
    <w:qFormat/>
    <w:uiPriority w:val="0"/>
    <w:rPr>
      <w:sz w:val="18"/>
      <w:szCs w:val="18"/>
    </w:rPr>
  </w:style>
  <w:style w:type="character" w:customStyle="1" w:styleId="165">
    <w:name w:val="first-child"/>
    <w:basedOn w:val="43"/>
    <w:qFormat/>
    <w:uiPriority w:val="0"/>
  </w:style>
  <w:style w:type="paragraph" w:styleId="166">
    <w:name w:val="List Paragraph"/>
    <w:basedOn w:val="1"/>
    <w:qFormat/>
    <w:uiPriority w:val="34"/>
    <w:pPr>
      <w:ind w:firstLine="420" w:firstLineChars="200"/>
    </w:pPr>
  </w:style>
  <w:style w:type="character" w:customStyle="1" w:styleId="167">
    <w:name w:val="未处理的提及1"/>
    <w:basedOn w:val="43"/>
    <w:semiHidden/>
    <w:unhideWhenUsed/>
    <w:qFormat/>
    <w:uiPriority w:val="99"/>
    <w:rPr>
      <w:color w:val="605E5C"/>
      <w:shd w:val="clear" w:color="auto" w:fill="E1DFDD"/>
    </w:rPr>
  </w:style>
  <w:style w:type="paragraph" w:customStyle="1" w:styleId="168">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69">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70">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17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151E18-0FB6-4DEA-8AAB-A3CE45BE163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35</Pages>
  <Words>4016</Words>
  <Characters>4395</Characters>
  <Lines>102</Lines>
  <Paragraphs>28</Paragraphs>
  <TotalTime>14</TotalTime>
  <ScaleCrop>false</ScaleCrop>
  <LinksUpToDate>false</LinksUpToDate>
  <CharactersWithSpaces>4464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2024-05-21T15:16:00Z</dcterms:created>
  <dc:creator>陈桂兰</dc:creator>
  <cp:lastModifiedBy>陈泊利</cp:lastModifiedBy>
  <cp:lastPrinted>2023-04-18T09:32:00Z</cp:lastPrinted>
  <dcterms:modified xsi:type="dcterms:W3CDTF">2024-10-12T08:32:24Z</dcterms:modified>
  <dc:title>项目名称：2019年重庆市取消高速公路省界收费站项目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DCADF7B99A9740EDB8FF75A34BD7F52A</vt:lpwstr>
  </property>
</Properties>
</file>