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首讯公司可行性研究服务</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4</w:t>
      </w:r>
      <w:r>
        <w:rPr>
          <w:rFonts w:hint="eastAsia" w:ascii="宋体" w:hAnsi="宋体" w:cs="宋体"/>
          <w:b/>
          <w:sz w:val="28"/>
          <w:szCs w:val="28"/>
        </w:rPr>
        <w:t>年</w:t>
      </w:r>
      <w:r>
        <w:rPr>
          <w:rFonts w:hint="default" w:ascii="宋体" w:hAnsi="宋体" w:cs="宋体"/>
          <w:b/>
          <w:sz w:val="28"/>
          <w:szCs w:val="28"/>
          <w:u w:val="single"/>
        </w:rPr>
        <w:t xml:space="preserve"> </w:t>
      </w:r>
      <w:r>
        <w:rPr>
          <w:rFonts w:hint="eastAsia" w:ascii="宋体" w:hAnsi="宋体" w:cs="宋体"/>
          <w:b/>
          <w:sz w:val="28"/>
          <w:szCs w:val="28"/>
          <w:u w:val="single"/>
          <w:lang w:val="en-US" w:eastAsia="zh-CN"/>
        </w:rPr>
        <w:t>10</w:t>
      </w:r>
      <w:r>
        <w:rPr>
          <w:rFonts w:hint="eastAsia" w:ascii="宋体" w:hAnsi="宋体" w:cs="宋体"/>
          <w:b/>
          <w:sz w:val="28"/>
          <w:szCs w:val="28"/>
          <w:u w:val="single"/>
        </w:rPr>
        <w:t xml:space="preserve"> </w:t>
      </w:r>
      <w:r>
        <w:rPr>
          <w:rFonts w:hint="eastAsia" w:ascii="宋体" w:hAnsi="宋体" w:cs="宋体"/>
          <w:b/>
          <w:sz w:val="28"/>
          <w:szCs w:val="28"/>
        </w:rPr>
        <w:t>月</w:t>
      </w:r>
    </w:p>
    <w:p>
      <w:pPr>
        <w:pStyle w:val="29"/>
        <w:jc w:val="center"/>
        <w:rPr>
          <w:rFonts w:ascii="宋体" w:hAnsi="宋体" w:cs="宋体"/>
          <w:szCs w:val="21"/>
        </w:rPr>
      </w:pPr>
      <w:r>
        <w:br w:type="page"/>
      </w:r>
      <w:bookmarkStart w:id="0" w:name="_Toc507428442"/>
      <w:bookmarkStart w:id="1" w:name="_Toc507319889"/>
      <w:bookmarkStart w:id="2" w:name="_Toc247085669"/>
      <w:bookmarkStart w:id="3" w:name="_Toc246996898"/>
      <w:bookmarkStart w:id="4" w:name="_Toc296602400"/>
      <w:r>
        <w:rPr>
          <w:rFonts w:hint="eastAsia" w:ascii="宋体" w:hAnsi="宋体" w:cs="宋体"/>
          <w:b w:val="0"/>
          <w:sz w:val="32"/>
        </w:rPr>
        <w:t>目   录</w:t>
      </w:r>
      <w:bookmarkEnd w:id="0"/>
      <w:bookmarkEnd w:id="1"/>
      <w:bookmarkEnd w:id="2"/>
      <w:bookmarkEnd w:id="3"/>
      <w:bookmarkEnd w:id="4"/>
    </w:p>
    <w:p>
      <w:pPr>
        <w:pStyle w:val="29"/>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9"/>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9"/>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评标办法（综合评估法）</w:t>
      </w:r>
      <w:r>
        <w:tab/>
      </w:r>
      <w:r>
        <w:fldChar w:fldCharType="end"/>
      </w:r>
    </w:p>
    <w:p>
      <w:pPr>
        <w:pStyle w:val="29"/>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9"/>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工程量清单及计量规则</w:t>
      </w:r>
      <w:r>
        <w:tab/>
      </w:r>
      <w:r>
        <w:fldChar w:fldCharType="end"/>
      </w:r>
    </w:p>
    <w:p>
      <w:pPr>
        <w:pStyle w:val="29"/>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9"/>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9"/>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
      <w:pPr>
        <w:pStyle w:val="35"/>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7096243"/>
      <w:bookmarkStart w:id="6" w:name="_Toc507319890"/>
      <w:bookmarkStart w:id="7" w:name="_Toc144974479"/>
      <w:bookmarkStart w:id="8" w:name="_Toc179632527"/>
      <w:bookmarkStart w:id="9" w:name="_Toc152042287"/>
      <w:bookmarkStart w:id="10" w:name="_Toc2000404"/>
      <w:bookmarkStart w:id="11" w:name="_Toc152045511"/>
      <w:bookmarkStart w:id="12" w:name="_Toc247085671"/>
      <w:bookmarkStart w:id="13" w:name="_Toc246996900"/>
      <w:bookmarkStart w:id="14" w:name="_Toc246996157"/>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p>
    <w:p>
      <w:pPr>
        <w:pStyle w:val="4"/>
        <w:spacing w:before="0" w:after="0" w:line="360" w:lineRule="auto"/>
        <w:rPr>
          <w:rFonts w:ascii="宋体" w:hAnsi="宋体" w:eastAsia="宋体" w:cs="宋体"/>
        </w:rPr>
      </w:pPr>
      <w:bookmarkStart w:id="18" w:name="_Toc246996158"/>
      <w:bookmarkStart w:id="19" w:name="_Toc24874"/>
      <w:bookmarkStart w:id="20" w:name="_Toc247085672"/>
      <w:bookmarkStart w:id="21" w:name="_Toc6549"/>
      <w:bookmarkStart w:id="22" w:name="_Toc11329213"/>
      <w:bookmarkStart w:id="23" w:name="_Toc507319891"/>
      <w:bookmarkStart w:id="24" w:name="_Toc144974480"/>
      <w:bookmarkStart w:id="25" w:name="_Toc179632528"/>
      <w:bookmarkStart w:id="26" w:name="_Toc246996901"/>
      <w:bookmarkStart w:id="27" w:name="_Toc10076"/>
      <w:bookmarkStart w:id="28" w:name="_Toc152042288"/>
      <w:bookmarkStart w:id="29" w:name="_Toc152045512"/>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首讯公司可行性研究服务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152045513"/>
      <w:bookmarkStart w:id="31" w:name="_Toc18109"/>
      <w:bookmarkStart w:id="32" w:name="_Toc246996159"/>
      <w:bookmarkStart w:id="33" w:name="_Toc10952"/>
      <w:bookmarkStart w:id="34" w:name="_Toc11329214"/>
      <w:bookmarkStart w:id="35" w:name="_Toc247085673"/>
      <w:bookmarkStart w:id="36" w:name="_Toc21343"/>
      <w:bookmarkStart w:id="37" w:name="_Toc507319892"/>
      <w:bookmarkStart w:id="38" w:name="_Toc144974481"/>
      <w:bookmarkStart w:id="39" w:name="_Toc179632529"/>
      <w:bookmarkStart w:id="40" w:name="_Toc152042289"/>
      <w:bookmarkStart w:id="41" w:name="_Toc246996902"/>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lang w:eastAsia="zh-CN"/>
        </w:rPr>
        <w:t>重庆</w:t>
      </w:r>
      <w:r>
        <w:rPr>
          <w:rFonts w:hint="eastAsia" w:ascii="宋体" w:hAnsi="宋体" w:cs="宋体"/>
          <w:szCs w:val="21"/>
          <w:u w:val="single"/>
          <w:lang w:val="en-US" w:eastAsia="zh-CN"/>
        </w:rPr>
        <w:t>首讯科技股份有限公司</w:t>
      </w:r>
      <w:r>
        <w:rPr>
          <w:rFonts w:hint="eastAsia" w:ascii="宋体" w:hAnsi="宋体" w:cs="宋体"/>
        </w:rPr>
        <w:t>。</w:t>
      </w:r>
    </w:p>
    <w:p>
      <w:pPr>
        <w:ind w:firstLine="420" w:firstLineChars="200"/>
        <w:rPr>
          <w:rFonts w:ascii="宋体" w:hAnsi="宋体" w:cs="宋体"/>
        </w:rPr>
      </w:pPr>
      <w:r>
        <w:rPr>
          <w:rFonts w:hint="eastAsia" w:ascii="宋体" w:hAnsi="宋体" w:cs="宋体"/>
          <w:szCs w:val="21"/>
        </w:rPr>
        <w:t>2.2 项目概况：本项目为重庆首讯科技股份有限公司需对通慧公司的股权转让事项进行认真的技术经济分析和比较论证，对项目的流程进行科学的预测和安排，并编制项目的可行性研究报告，主要内容包括但不限于总论、项目背景和概况、必要性分析、市场分析、项目实施方案及分析、股权价值估算、财务效益、经济效益评价、风险分析、可行性研究结论与建议等，可参考《可行性研究报告编制目录大纲（2012年国家发改委标准版）》，最终成果符合企业关于可行性研究报告审查内容和深度的规定要求，达到为公司是否进行股权转让以及如何转让提供科学可靠的决策依据的目标。</w:t>
      </w:r>
      <w:r>
        <w:rPr>
          <w:rFonts w:hint="eastAsia" w:ascii="宋体" w:hAnsi="宋体" w:cs="宋体"/>
          <w:szCs w:val="21"/>
          <w:lang w:val="en-US" w:eastAsia="zh-CN"/>
        </w:rPr>
        <w:t>等工作内容。</w:t>
      </w:r>
    </w:p>
    <w:p>
      <w:pPr>
        <w:pStyle w:val="13"/>
        <w:adjustRightInd w:val="0"/>
        <w:spacing w:line="400" w:lineRule="exac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2.3 比选范围：主要工作内容为</w:t>
      </w:r>
      <w:r>
        <w:rPr>
          <w:rFonts w:hint="eastAsia" w:ascii="宋体" w:hAnsi="宋体" w:cs="宋体"/>
          <w:kern w:val="2"/>
          <w:sz w:val="21"/>
          <w:szCs w:val="21"/>
          <w:lang w:val="en-US" w:eastAsia="zh-CN" w:bidi="ar-SA"/>
        </w:rPr>
        <w:t>首讯公司可行性研究服务</w:t>
      </w:r>
      <w:r>
        <w:rPr>
          <w:rFonts w:hint="eastAsia" w:ascii="宋体" w:hAnsi="宋体" w:eastAsia="宋体" w:cs="宋体"/>
          <w:kern w:val="2"/>
          <w:sz w:val="21"/>
          <w:szCs w:val="21"/>
          <w:lang w:val="en-US" w:eastAsia="zh-CN" w:bidi="ar-SA"/>
        </w:rPr>
        <w:t>等服务内容</w:t>
      </w:r>
      <w:r>
        <w:rPr>
          <w:rFonts w:hint="eastAsia"/>
          <w:color w:val="auto"/>
        </w:rPr>
        <w:t>（详情见</w:t>
      </w:r>
      <w:r>
        <w:rPr>
          <w:rFonts w:hint="eastAsia"/>
          <w:color w:val="auto"/>
          <w:lang w:val="en-US" w:eastAsia="zh-CN"/>
        </w:rPr>
        <w:t>服务技术要求</w:t>
      </w:r>
      <w:r>
        <w:rPr>
          <w:rFonts w:hint="eastAsia"/>
          <w:color w:val="auto"/>
        </w:rPr>
        <w:t>）</w:t>
      </w:r>
      <w:r>
        <w:rPr>
          <w:rFonts w:hint="eastAsia" w:ascii="宋体" w:hAnsi="宋体" w:eastAsia="宋体" w:cs="宋体"/>
          <w:kern w:val="2"/>
          <w:sz w:val="21"/>
          <w:szCs w:val="21"/>
          <w:lang w:val="en-US" w:eastAsia="zh-CN" w:bidi="ar-SA"/>
        </w:rPr>
        <w:t xml:space="preserve">。 </w:t>
      </w:r>
    </w:p>
    <w:p>
      <w:pPr>
        <w:widowControl/>
        <w:spacing w:line="400" w:lineRule="atLeast"/>
        <w:ind w:firstLine="420"/>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 预计采购金额：</w:t>
      </w:r>
      <w:r>
        <w:rPr>
          <w:rFonts w:hint="eastAsia" w:ascii="宋体" w:hAnsi="宋体" w:cs="宋体"/>
          <w:kern w:val="2"/>
          <w:sz w:val="21"/>
          <w:szCs w:val="21"/>
          <w:highlight w:val="none"/>
          <w:lang w:val="en-US" w:eastAsia="zh-CN" w:bidi="ar-SA"/>
        </w:rPr>
        <w:t>129600.00元</w:t>
      </w:r>
      <w:r>
        <w:rPr>
          <w:rFonts w:hint="eastAsia" w:ascii="宋体" w:hAnsi="宋体" w:cs="宋体"/>
          <w:kern w:val="2"/>
          <w:sz w:val="21"/>
          <w:szCs w:val="21"/>
          <w:lang w:val="en-US" w:eastAsia="zh-CN" w:bidi="ar-SA"/>
        </w:rPr>
        <w:t>。</w:t>
      </w:r>
    </w:p>
    <w:p>
      <w:pPr>
        <w:widowControl/>
        <w:spacing w:line="400" w:lineRule="atLeast"/>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2.5 工期要求：在进场后20日内出具可行性研究报告初稿，并经委托人确认后5日内出具最终报告，最终以签署的合同内容为准。</w:t>
      </w:r>
    </w:p>
    <w:p>
      <w:pPr>
        <w:widowControl/>
        <w:spacing w:line="400" w:lineRule="atLeast"/>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2.6 标段划分：</w:t>
      </w:r>
      <w:r>
        <w:rPr>
          <w:rFonts w:hint="eastAsia" w:ascii="宋体" w:hAnsi="宋体" w:eastAsia="宋体" w:cs="宋体"/>
          <w:b w:val="0"/>
          <w:kern w:val="2"/>
          <w:sz w:val="21"/>
          <w:szCs w:val="21"/>
          <w:highlight w:val="none"/>
          <w:lang w:val="en-US" w:eastAsia="zh-CN" w:bidi="ar"/>
        </w:rPr>
        <w:t>本项目划分为一个标段</w:t>
      </w:r>
      <w:r>
        <w:rPr>
          <w:rFonts w:hint="eastAsia" w:ascii="宋体" w:hAnsi="宋体" w:cs="宋体"/>
          <w:b w:val="0"/>
          <w:kern w:val="2"/>
          <w:sz w:val="21"/>
          <w:szCs w:val="21"/>
          <w:highlight w:val="none"/>
          <w:lang w:val="en-US" w:eastAsia="zh-CN" w:bidi="ar"/>
        </w:rPr>
        <w:t>。</w:t>
      </w:r>
    </w:p>
    <w:p>
      <w:pPr>
        <w:widowControl/>
        <w:spacing w:line="400" w:lineRule="atLeast"/>
        <w:ind w:firstLine="420"/>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 xml:space="preserve">2.7 </w:t>
      </w:r>
      <w:r>
        <w:rPr>
          <w:rFonts w:hint="eastAsia" w:ascii="宋体" w:hAnsi="宋体" w:cs="宋体"/>
          <w:b w:val="0"/>
          <w:kern w:val="2"/>
          <w:sz w:val="21"/>
          <w:szCs w:val="21"/>
          <w:highlight w:val="none"/>
          <w:lang w:val="en-US" w:eastAsia="zh-CN" w:bidi="ar"/>
        </w:rPr>
        <w:t>评分办法：综合评估法。</w:t>
      </w:r>
    </w:p>
    <w:p>
      <w:pPr>
        <w:pStyle w:val="4"/>
        <w:spacing w:before="120" w:after="0" w:line="360" w:lineRule="auto"/>
        <w:rPr>
          <w:rFonts w:ascii="宋体" w:hAnsi="宋体" w:eastAsia="宋体" w:cs="宋体"/>
        </w:rPr>
      </w:pPr>
      <w:bookmarkStart w:id="43" w:name="_Toc7065"/>
      <w:bookmarkStart w:id="44" w:name="_Toc30356"/>
      <w:bookmarkStart w:id="45" w:name="_Toc247085674"/>
      <w:bookmarkStart w:id="46" w:name="_Toc144974482"/>
      <w:bookmarkStart w:id="47" w:name="_Toc10171"/>
      <w:bookmarkStart w:id="48" w:name="_Toc246996160"/>
      <w:bookmarkStart w:id="49" w:name="_Toc179632530"/>
      <w:bookmarkStart w:id="50" w:name="_Toc11329215"/>
      <w:bookmarkStart w:id="51" w:name="_Toc507319893"/>
      <w:bookmarkStart w:id="52" w:name="_Toc246996903"/>
      <w:bookmarkStart w:id="53" w:name="_Toc152042290"/>
      <w:bookmarkStart w:id="54" w:name="_Toc152045514"/>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ind w:firstLine="420" w:firstLineChars="200"/>
        <w:rPr>
          <w:rFonts w:hint="eastAsia" w:ascii="宋体" w:hAnsi="宋体" w:cs="宋体"/>
          <w:szCs w:val="21"/>
          <w:highlight w:val="none"/>
          <w:shd w:val="clear" w:color="auto" w:fill="FFFFFF"/>
        </w:rPr>
      </w:pPr>
      <w:bookmarkStart w:id="55" w:name="_Toc152045515"/>
      <w:bookmarkStart w:id="56" w:name="_Toc152042291"/>
      <w:bookmarkStart w:id="57" w:name="_Toc246996161"/>
      <w:bookmarkStart w:id="58" w:name="_Toc246996904"/>
      <w:bookmarkStart w:id="59" w:name="_Toc144974483"/>
      <w:bookmarkStart w:id="60" w:name="_Toc179632531"/>
      <w:bookmarkStart w:id="61" w:name="_Toc247085675"/>
      <w:r>
        <w:rPr>
          <w:rFonts w:hint="eastAsia" w:ascii="宋体" w:hAnsi="宋体" w:cs="宋体"/>
          <w:szCs w:val="21"/>
          <w:highlight w:val="none"/>
          <w:shd w:val="clear" w:color="auto" w:fill="FFFFFF"/>
        </w:rPr>
        <w:t>3.1 资质要求（以下资质文件若因疫情影响过期无法办理延续手续，需附相关行政部门下发的延期办理文件）：</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1</w:t>
      </w:r>
      <w:r>
        <w:rPr>
          <w:rFonts w:hint="eastAsia" w:ascii="宋体" w:hAnsi="宋体" w:cs="宋体"/>
          <w:szCs w:val="21"/>
          <w:highlight w:val="none"/>
          <w:shd w:val="clear" w:color="auto" w:fill="FFFFFF"/>
          <w:lang w:eastAsia="zh-CN"/>
        </w:rPr>
        <w:t>）具备独立法人资格；</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）具有有效的营业执照；</w:t>
      </w:r>
    </w:p>
    <w:p>
      <w:pPr>
        <w:spacing w:line="400" w:lineRule="exact"/>
        <w:ind w:firstLine="420" w:firstLineChars="200"/>
        <w:rPr>
          <w:rFonts w:hint="default" w:ascii="宋体" w:hAnsi="宋体" w:eastAsia="宋体" w:cs="宋体"/>
          <w:szCs w:val="21"/>
          <w:highlight w:val="none"/>
          <w:shd w:val="clear" w:color="auto" w:fill="FFFFFF"/>
          <w:lang w:val="en-US" w:eastAsia="zh-CN"/>
        </w:rPr>
      </w:pPr>
      <w:r>
        <w:rPr>
          <w:rFonts w:hint="eastAsia" w:ascii="宋体" w:hAnsi="宋体" w:cs="宋体"/>
          <w:szCs w:val="21"/>
          <w:highlight w:val="none"/>
          <w:shd w:val="clear" w:color="auto" w:fill="FFFFFF"/>
        </w:rPr>
        <w:t xml:space="preserve">3.2 </w:t>
      </w:r>
      <w:r>
        <w:rPr>
          <w:rFonts w:hint="eastAsia" w:ascii="宋体" w:hAnsi="宋体" w:cs="宋体"/>
          <w:szCs w:val="21"/>
          <w:highlight w:val="none"/>
          <w:shd w:val="clear" w:color="auto" w:fill="FFFFFF"/>
          <w:lang w:val="en-US" w:eastAsia="zh-CN"/>
        </w:rPr>
        <w:t>业绩要求：2021年1月1日至报价截止日期（以合同签订时间为准）至少承担一项股权转让或股权投资或股权合作类似领域的可行性研究业绩或咨询业绩（提供合同扫描件）；</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3.3 </w:t>
      </w:r>
      <w:r>
        <w:rPr>
          <w:rFonts w:hint="eastAsia" w:ascii="宋体" w:hAnsi="宋体" w:cs="宋体"/>
          <w:szCs w:val="21"/>
          <w:highlight w:val="none"/>
          <w:shd w:val="clear" w:color="auto" w:fill="FFFFFF"/>
        </w:rPr>
        <w:t>信誉要求：在国家企业信用信息公示系统（http://www.gsxt.gov.cn/）中未被列入严重违法失信企业名单（黑名单）信息；在“信用中国”网站（http://www.creditchina.gov.cn/）中未被列入严重失信主体名单。</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4</w:t>
      </w:r>
      <w:r>
        <w:rPr>
          <w:rFonts w:hint="eastAsia" w:ascii="宋体" w:hAnsi="宋体" w:cs="宋体"/>
          <w:szCs w:val="21"/>
          <w:highlight w:val="none"/>
          <w:shd w:val="clear" w:color="auto" w:fill="FFFFFF"/>
        </w:rPr>
        <w:t xml:space="preserve"> </w:t>
      </w:r>
      <w:r>
        <w:rPr>
          <w:rFonts w:hint="eastAsia" w:ascii="宋体" w:hAnsi="宋体" w:eastAsia="宋体" w:cs="宋体"/>
          <w:kern w:val="2"/>
          <w:sz w:val="21"/>
          <w:szCs w:val="21"/>
          <w:highlight w:val="none"/>
          <w:shd w:val="clear" w:fill="FFFFFF"/>
          <w:lang w:val="en-US" w:eastAsia="zh-CN" w:bidi="ar"/>
        </w:rPr>
        <w:t>报价人须提供采购人要求的所有资质要求、业绩要求、信誉要求的复印件并加盖单位公章。</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3.5 </w:t>
      </w:r>
      <w:r>
        <w:rPr>
          <w:rFonts w:hint="eastAsia" w:ascii="宋体" w:hAnsi="宋体" w:cs="宋体"/>
          <w:szCs w:val="21"/>
          <w:highlight w:val="none"/>
          <w:shd w:val="clear" w:color="auto" w:fill="FFFFFF"/>
        </w:rPr>
        <w:t>本次比选不接受联合体报价。</w:t>
      </w:r>
    </w:p>
    <w:p>
      <w:pPr>
        <w:pStyle w:val="4"/>
        <w:spacing w:before="120" w:after="0" w:line="400" w:lineRule="exact"/>
        <w:rPr>
          <w:rFonts w:ascii="宋体" w:hAnsi="宋体" w:eastAsia="宋体" w:cs="宋体"/>
        </w:rPr>
      </w:pPr>
      <w:bookmarkStart w:id="62" w:name="_Toc14361"/>
      <w:bookmarkStart w:id="63" w:name="_Toc507319894"/>
      <w:bookmarkStart w:id="64" w:name="_Toc12460"/>
      <w:bookmarkStart w:id="65" w:name="_Toc11329216"/>
      <w:bookmarkStart w:id="66" w:name="_Toc25619"/>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ascii="宋体" w:hAnsi="宋体"/>
          <w:szCs w:val="21"/>
          <w:highlight w:val="yellow"/>
        </w:rPr>
      </w:pPr>
      <w:bookmarkStart w:id="67" w:name="_Toc144974484"/>
      <w:bookmarkStart w:id="68" w:name="_Toc247085676"/>
      <w:bookmarkStart w:id="69" w:name="_Toc507319895"/>
      <w:bookmarkStart w:id="70" w:name="_Toc152045516"/>
      <w:bookmarkStart w:id="71" w:name="_Toc246996162"/>
      <w:bookmarkStart w:id="72" w:name="_Toc11329217"/>
      <w:bookmarkStart w:id="73" w:name="_Toc152042292"/>
      <w:bookmarkStart w:id="74" w:name="_Toc179632532"/>
      <w:bookmarkStart w:id="75" w:name="_Toc246996905"/>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default" w:ascii="宋体" w:hAnsi="宋体"/>
          <w:szCs w:val="21"/>
          <w:highlight w:val="none"/>
          <w:u w:val="single"/>
        </w:rPr>
        <w:t xml:space="preserve"> </w:t>
      </w:r>
      <w:r>
        <w:rPr>
          <w:rFonts w:hint="eastAsia" w:ascii="宋体" w:hAnsi="宋体"/>
          <w:szCs w:val="21"/>
          <w:highlight w:val="none"/>
          <w:u w:val="single"/>
          <w:lang w:val="en-US" w:eastAsia="zh-CN"/>
        </w:rPr>
        <w:t>10</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17</w:t>
      </w:r>
      <w:r>
        <w:rPr>
          <w:rFonts w:hint="eastAsia" w:ascii="宋体" w:hAnsi="宋体"/>
          <w:szCs w:val="21"/>
          <w:highlight w:val="none"/>
          <w:u w:val="single"/>
        </w:rPr>
        <w:t xml:space="preserve"> </w:t>
      </w:r>
      <w:r>
        <w:rPr>
          <w:rFonts w:hint="eastAsia" w:ascii="宋体" w:hAnsi="宋体"/>
          <w:szCs w:val="21"/>
          <w:highlight w:val="none"/>
        </w:rPr>
        <w:t>日</w:t>
      </w:r>
      <w:r>
        <w:rPr>
          <w:rFonts w:hint="eastAsia" w:ascii="宋体" w:hAnsi="宋体"/>
          <w:szCs w:val="21"/>
          <w:highlight w:val="none"/>
          <w:lang w:val="en-US" w:eastAsia="zh-CN"/>
        </w:rPr>
        <w:t>上</w:t>
      </w:r>
      <w:r>
        <w:rPr>
          <w:rFonts w:hint="eastAsia" w:ascii="宋体" w:hAnsi="宋体"/>
          <w:szCs w:val="21"/>
          <w:highlight w:val="none"/>
        </w:rPr>
        <w:t>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szCs w:val="21"/>
          <w:highlight w:val="none"/>
          <w:u w:val="single"/>
        </w:rPr>
        <w:t>:</w:t>
      </w:r>
      <w:r>
        <w:rPr>
          <w:rFonts w:hint="eastAsia" w:ascii="宋体" w:hAnsi="宋体"/>
          <w:szCs w:val="21"/>
          <w:highlight w:val="none"/>
          <w:u w:val="single"/>
          <w:lang w:val="en-US" w:eastAsia="zh-CN"/>
        </w:rPr>
        <w:t>0</w:t>
      </w:r>
      <w:r>
        <w:rPr>
          <w:rFonts w:hint="eastAsia" w:ascii="宋体" w:hAnsi="宋体"/>
          <w:szCs w:val="21"/>
          <w:highlight w:val="none"/>
          <w:u w:val="single"/>
        </w:rPr>
        <w:t>0</w:t>
      </w:r>
      <w:r>
        <w:rPr>
          <w:rFonts w:hint="eastAsia" w:ascii="宋体" w:hAnsi="宋体"/>
          <w:szCs w:val="21"/>
          <w:highlight w:val="none"/>
        </w:rPr>
        <w:t>前</w:t>
      </w:r>
      <w:r>
        <w:rPr>
          <w:rFonts w:hint="eastAsia" w:ascii="宋体" w:hAnsi="宋体"/>
          <w:szCs w:val="21"/>
        </w:rPr>
        <w:t>在重庆高速集团官网平台上获取报价文件，各报价人应随时关注网上发布的竞争性比选文件答疑、补遗、澄清等文件内容，不管报价人是否下载，均视为已知晓竞争性比选文件的全部内容和有关事宜。</w:t>
      </w:r>
    </w:p>
    <w:bookmarkEnd w:id="67"/>
    <w:bookmarkEnd w:id="68"/>
    <w:bookmarkEnd w:id="69"/>
    <w:bookmarkEnd w:id="70"/>
    <w:bookmarkEnd w:id="71"/>
    <w:bookmarkEnd w:id="72"/>
    <w:bookmarkEnd w:id="73"/>
    <w:bookmarkEnd w:id="74"/>
    <w:bookmarkEnd w:id="75"/>
    <w:p>
      <w:pPr>
        <w:pStyle w:val="4"/>
        <w:spacing w:before="120" w:after="0" w:line="400" w:lineRule="exact"/>
        <w:rPr>
          <w:rFonts w:ascii="宋体" w:hAnsi="宋体" w:eastAsia="宋体" w:cs="宋体"/>
          <w:highlight w:val="none"/>
        </w:rPr>
      </w:pPr>
      <w:r>
        <w:rPr>
          <w:rFonts w:hint="eastAsia" w:ascii="宋体" w:hAnsi="宋体" w:eastAsia="宋体" w:cs="宋体"/>
          <w:highlight w:val="none"/>
        </w:rPr>
        <w:t>5. 竞争性比选响应文件的递交及相关事宜</w:t>
      </w:r>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w:t>
      </w:r>
      <w:r>
        <w:rPr>
          <w:rFonts w:hint="default" w:ascii="宋体" w:hAnsi="宋体" w:cs="宋体"/>
          <w:szCs w:val="21"/>
          <w:highlight w:val="none"/>
        </w:rPr>
        <w:t xml:space="preserve"> </w:t>
      </w:r>
      <w:r>
        <w:rPr>
          <w:rFonts w:hint="eastAsia" w:ascii="宋体" w:hAnsi="宋体" w:cs="宋体"/>
          <w:szCs w:val="21"/>
          <w:highlight w:val="none"/>
        </w:rPr>
        <w:t>报价截止时间和开标时间：</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eastAsia" w:ascii="宋体" w:hAnsi="宋体"/>
          <w:szCs w:val="21"/>
          <w:highlight w:val="none"/>
          <w:u w:val="single"/>
          <w:lang w:val="en-US" w:eastAsia="zh-CN"/>
        </w:rPr>
        <w:t>10</w:t>
      </w:r>
      <w:r>
        <w:rPr>
          <w:rFonts w:hint="eastAsia" w:ascii="宋体" w:hAnsi="宋体"/>
          <w:szCs w:val="21"/>
          <w:highlight w:val="none"/>
        </w:rPr>
        <w:t>月</w:t>
      </w:r>
      <w:r>
        <w:rPr>
          <w:rFonts w:hint="eastAsia" w:ascii="宋体" w:hAnsi="宋体"/>
          <w:szCs w:val="21"/>
          <w:highlight w:val="none"/>
          <w:u w:val="single"/>
          <w:lang w:val="en-US" w:eastAsia="zh-CN"/>
        </w:rPr>
        <w:t xml:space="preserve"> 17</w:t>
      </w:r>
      <w:r>
        <w:rPr>
          <w:rFonts w:hint="eastAsia" w:ascii="宋体" w:hAnsi="宋体"/>
          <w:szCs w:val="21"/>
          <w:highlight w:val="none"/>
        </w:rPr>
        <w:t>日上午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cs="宋体"/>
          <w:szCs w:val="21"/>
          <w:highlight w:val="none"/>
        </w:rPr>
        <w:t>时</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0</w:t>
      </w:r>
      <w:r>
        <w:rPr>
          <w:rFonts w:hint="eastAsia" w:ascii="宋体" w:hAnsi="宋体" w:cs="宋体"/>
          <w:szCs w:val="21"/>
          <w:highlight w:val="none"/>
          <w:u w:val="single"/>
        </w:rPr>
        <w:t xml:space="preserve">0 </w:t>
      </w:r>
      <w:r>
        <w:rPr>
          <w:rFonts w:hint="eastAsia" w:ascii="宋体" w:hAnsi="宋体" w:cs="宋体"/>
          <w:szCs w:val="21"/>
          <w:highlight w:val="none"/>
        </w:rPr>
        <w:t>分（北京时间）。</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cs="宋体"/>
          <w:color w:val="auto"/>
          <w:szCs w:val="21"/>
          <w:highlight w:val="none"/>
        </w:rPr>
        <w:t>5.2</w:t>
      </w:r>
      <w:r>
        <w:rPr>
          <w:rFonts w:hint="default" w:ascii="宋体" w:hAnsi="宋体" w:cs="宋体"/>
          <w:color w:val="auto"/>
          <w:szCs w:val="21"/>
          <w:highlight w:val="none"/>
        </w:rPr>
        <w:t xml:space="preserve"> </w:t>
      </w:r>
      <w:r>
        <w:rPr>
          <w:rFonts w:hint="eastAsia" w:ascii="宋体" w:hAnsi="宋体" w:eastAsia="宋体" w:cs="宋体"/>
          <w:color w:val="auto"/>
          <w:szCs w:val="21"/>
          <w:highlight w:val="none"/>
        </w:rPr>
        <w:t>报价的递交方式：</w:t>
      </w:r>
      <w:r>
        <w:rPr>
          <w:rFonts w:hint="eastAsia" w:ascii="宋体" w:hAnsi="宋体" w:eastAsia="宋体" w:cs="宋体"/>
          <w:color w:val="auto"/>
          <w:kern w:val="2"/>
          <w:sz w:val="21"/>
          <w:szCs w:val="21"/>
          <w:highlight w:val="none"/>
          <w:lang w:val="en-US" w:eastAsia="zh-CN" w:bidi="ar"/>
        </w:rPr>
        <w:t>现场递交或邮寄，若采用现场递交方式</w:t>
      </w:r>
      <w:r>
        <w:rPr>
          <w:rFonts w:hint="default" w:ascii="宋体" w:hAnsi="宋体" w:cs="宋体"/>
          <w:color w:val="auto"/>
          <w:kern w:val="2"/>
          <w:sz w:val="21"/>
          <w:szCs w:val="21"/>
          <w:highlight w:val="none"/>
          <w:lang w:eastAsia="zh-CN" w:bidi="ar"/>
        </w:rPr>
        <w:t>须</w:t>
      </w:r>
      <w:r>
        <w:rPr>
          <w:rFonts w:hint="eastAsia" w:ascii="宋体" w:hAnsi="宋体" w:eastAsia="宋体" w:cs="宋体"/>
          <w:color w:val="auto"/>
          <w:kern w:val="2"/>
          <w:sz w:val="21"/>
          <w:szCs w:val="21"/>
          <w:highlight w:val="none"/>
          <w:lang w:val="en-US" w:eastAsia="zh-CN" w:bidi="ar"/>
        </w:rPr>
        <w:t>在</w:t>
      </w:r>
      <w:r>
        <w:rPr>
          <w:rFonts w:hint="default" w:ascii="宋体" w:hAnsi="宋体" w:cs="宋体"/>
          <w:color w:val="auto"/>
          <w:kern w:val="2"/>
          <w:sz w:val="21"/>
          <w:szCs w:val="21"/>
          <w:highlight w:val="none"/>
          <w:lang w:eastAsia="zh-CN" w:bidi="ar"/>
        </w:rPr>
        <w:t>报价截止</w:t>
      </w:r>
      <w:r>
        <w:rPr>
          <w:rFonts w:hint="eastAsia" w:ascii="宋体" w:hAnsi="宋体" w:eastAsia="宋体" w:cs="宋体"/>
          <w:color w:val="auto"/>
          <w:kern w:val="2"/>
          <w:sz w:val="21"/>
          <w:szCs w:val="21"/>
          <w:highlight w:val="none"/>
          <w:lang w:val="en-US" w:eastAsia="zh-CN" w:bidi="ar"/>
        </w:rPr>
        <w:t>当天将文件送达并参与现场开标；若采用邮寄方式需</w:t>
      </w:r>
      <w:r>
        <w:rPr>
          <w:rFonts w:hint="default" w:ascii="宋体" w:hAnsi="宋体" w:eastAsia="宋体" w:cs="宋体"/>
          <w:color w:val="auto"/>
          <w:kern w:val="2"/>
          <w:sz w:val="21"/>
          <w:szCs w:val="21"/>
          <w:highlight w:val="none"/>
          <w:lang w:eastAsia="zh-CN" w:bidi="ar"/>
        </w:rPr>
        <w:t>在报价截止时间之前将响应文件邮寄</w:t>
      </w:r>
      <w:r>
        <w:rPr>
          <w:rFonts w:hint="default" w:ascii="宋体" w:hAnsi="宋体" w:cs="宋体"/>
          <w:color w:val="auto"/>
          <w:kern w:val="2"/>
          <w:sz w:val="21"/>
          <w:szCs w:val="21"/>
          <w:highlight w:val="none"/>
          <w:lang w:eastAsia="zh-CN" w:bidi="ar"/>
        </w:rPr>
        <w:t>到达</w:t>
      </w:r>
      <w:r>
        <w:rPr>
          <w:rFonts w:hint="default" w:ascii="宋体" w:hAnsi="宋体" w:eastAsia="宋体" w:cs="宋体"/>
          <w:color w:val="auto"/>
          <w:kern w:val="2"/>
          <w:sz w:val="21"/>
          <w:szCs w:val="21"/>
          <w:highlight w:val="none"/>
          <w:lang w:eastAsia="zh-CN" w:bidi="ar"/>
        </w:rPr>
        <w:t>递交地址，并</w:t>
      </w:r>
      <w:r>
        <w:rPr>
          <w:rFonts w:hint="default" w:ascii="宋体" w:hAnsi="宋体" w:cs="宋体"/>
          <w:color w:val="auto"/>
          <w:kern w:val="2"/>
          <w:sz w:val="21"/>
          <w:szCs w:val="21"/>
          <w:highlight w:val="none"/>
          <w:lang w:eastAsia="zh-CN" w:bidi="ar"/>
        </w:rPr>
        <w:t>按要求进行密封，</w:t>
      </w:r>
      <w:r>
        <w:rPr>
          <w:rFonts w:hint="eastAsia" w:ascii="宋体" w:hAnsi="宋体" w:eastAsia="宋体" w:cs="宋体"/>
          <w:color w:val="auto"/>
          <w:kern w:val="2"/>
          <w:sz w:val="21"/>
          <w:szCs w:val="21"/>
          <w:highlight w:val="none"/>
          <w:lang w:val="en-US" w:eastAsia="zh-CN" w:bidi="ar"/>
        </w:rPr>
        <w:t>否则采购人有权拒收，采用邮寄方式的报价人默认认可采购人的开标结果，不得由此提出任何质疑。</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 递交地址：重庆市渝北区新南路52号东界龙湖</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rPr>
        <w:t>楼重庆首讯科技股份有限公司。</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5.4 逾期送达，或未送达指定地点，或未密封的竞争性比选响应文件，采购人不予受理。</w:t>
      </w:r>
    </w:p>
    <w:p>
      <w:pPr>
        <w:tabs>
          <w:tab w:val="left" w:pos="360"/>
        </w:tabs>
        <w:spacing w:line="400" w:lineRule="exact"/>
        <w:ind w:firstLine="420" w:firstLineChars="200"/>
        <w:rPr>
          <w:rFonts w:ascii="宋体" w:hAnsi="宋体" w:cs="宋体"/>
          <w:szCs w:val="21"/>
          <w:highlight w:val="yellow"/>
        </w:rPr>
      </w:pPr>
      <w:r>
        <w:rPr>
          <w:rFonts w:hint="eastAsia" w:ascii="宋体" w:hAnsi="宋体" w:eastAsia="宋体" w:cs="宋体"/>
          <w:color w:val="auto"/>
          <w:szCs w:val="21"/>
          <w:highlight w:val="none"/>
        </w:rPr>
        <w:t>5.5</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采购人不组织现场踏勘，不召开报价预备会。</w:t>
      </w:r>
    </w:p>
    <w:p>
      <w:pPr>
        <w:pStyle w:val="4"/>
        <w:spacing w:before="120" w:after="0" w:line="400" w:lineRule="exact"/>
        <w:rPr>
          <w:rFonts w:ascii="宋体" w:hAnsi="宋体" w:eastAsia="宋体" w:cs="宋体"/>
        </w:rPr>
      </w:pPr>
      <w:bookmarkStart w:id="76" w:name="_Toc144974485"/>
      <w:bookmarkStart w:id="77" w:name="_Toc179632534"/>
      <w:bookmarkStart w:id="78" w:name="_Toc246996164"/>
      <w:bookmarkStart w:id="79" w:name="_Toc18402"/>
      <w:bookmarkStart w:id="80" w:name="_Toc507319897"/>
      <w:bookmarkStart w:id="81" w:name="_Toc152042293"/>
      <w:bookmarkStart w:id="82" w:name="_Toc247085678"/>
      <w:bookmarkStart w:id="83" w:name="_Toc11329219"/>
      <w:bookmarkStart w:id="84" w:name="_Toc152045517"/>
      <w:bookmarkStart w:id="85" w:name="_Toc21615"/>
      <w:bookmarkStart w:id="86" w:name="_Toc246996907"/>
      <w:bookmarkStart w:id="87" w:name="_Toc393"/>
      <w:r>
        <w:rPr>
          <w:rFonts w:hint="eastAsia" w:ascii="宋体" w:hAnsi="宋体" w:eastAsia="宋体" w:cs="宋体"/>
        </w:rPr>
        <w:t>6. 联系方式</w:t>
      </w:r>
      <w:bookmarkEnd w:id="76"/>
      <w:bookmarkEnd w:id="77"/>
      <w:bookmarkEnd w:id="78"/>
      <w:bookmarkEnd w:id="79"/>
      <w:bookmarkEnd w:id="80"/>
      <w:bookmarkEnd w:id="81"/>
      <w:bookmarkEnd w:id="82"/>
      <w:bookmarkEnd w:id="83"/>
      <w:bookmarkEnd w:id="84"/>
      <w:bookmarkEnd w:id="85"/>
      <w:bookmarkEnd w:id="86"/>
      <w:bookmarkEnd w:id="87"/>
    </w:p>
    <w:tbl>
      <w:tblPr>
        <w:tblStyle w:val="45"/>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4"/>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4"/>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eastAsia" w:ascii="宋体" w:hAnsi="宋体" w:cs="宋体"/>
                <w:szCs w:val="21"/>
              </w:rPr>
            </w:pPr>
            <w:r>
              <w:rPr>
                <w:rFonts w:hint="eastAsia" w:ascii="宋体" w:hAnsi="宋体" w:cs="宋体"/>
                <w:szCs w:val="21"/>
              </w:rPr>
              <w:t>地址：</w:t>
            </w:r>
            <w:r>
              <w:rPr>
                <w:rFonts w:hint="eastAsia" w:ascii="宋体" w:hAnsi="宋体" w:eastAsia="宋体" w:cs="宋体"/>
                <w:kern w:val="2"/>
                <w:sz w:val="21"/>
                <w:szCs w:val="21"/>
                <w:highlight w:val="none"/>
                <w:lang w:val="en-US" w:eastAsia="zh-CN" w:bidi="ar-SA"/>
              </w:rPr>
              <w:t>重庆市渝北区龙溪街道新南路52号东界龙湖三楼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r>
        <w:tblPrEx>
          <w:tblCellMar>
            <w:top w:w="0" w:type="dxa"/>
            <w:left w:w="108" w:type="dxa"/>
            <w:bottom w:w="0" w:type="dxa"/>
            <w:right w:w="108" w:type="dxa"/>
          </w:tblCellMar>
        </w:tblPrEx>
        <w:trPr>
          <w:trHeight w:val="9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ascii="宋体" w:hAnsi="宋体" w:eastAsia="宋体" w:cs="宋体"/>
                <w:szCs w:val="21"/>
                <w:lang w:val="en-US" w:eastAsia="zh-CN"/>
              </w:rPr>
            </w:pPr>
            <w:r>
              <w:rPr>
                <w:rFonts w:hint="eastAsia" w:ascii="宋体" w:hAnsi="宋体" w:cs="宋体"/>
                <w:szCs w:val="21"/>
              </w:rPr>
              <w:t>技术联系人：</w:t>
            </w:r>
            <w:r>
              <w:rPr>
                <w:rFonts w:hint="eastAsia" w:ascii="宋体" w:hAnsi="宋体" w:cs="宋体"/>
                <w:szCs w:val="21"/>
                <w:lang w:val="en-US" w:eastAsia="zh-CN"/>
              </w:rPr>
              <w:t>张</w:t>
            </w:r>
            <w:r>
              <w:rPr>
                <w:rFonts w:hint="eastAsia" w:ascii="宋体" w:hAnsi="宋体" w:cs="宋体"/>
                <w:szCs w:val="21"/>
              </w:rPr>
              <w:t>老师  电 话：</w:t>
            </w:r>
            <w:r>
              <w:rPr>
                <w:rFonts w:hint="eastAsia" w:ascii="宋体" w:hAnsi="宋体" w:cs="宋体"/>
                <w:szCs w:val="21"/>
                <w:lang w:val="en-US" w:eastAsia="zh-CN"/>
              </w:rPr>
              <w:t>18883304102</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eastAsia="宋体"/>
                <w:lang w:val="en-US" w:eastAsia="zh-CN"/>
              </w:rPr>
            </w:pPr>
            <w:r>
              <w:rPr>
                <w:rFonts w:hint="eastAsia" w:ascii="宋体" w:hAnsi="宋体" w:cs="宋体"/>
                <w:szCs w:val="21"/>
              </w:rPr>
              <w:t>商务联系人：</w:t>
            </w:r>
            <w:r>
              <w:rPr>
                <w:rFonts w:hint="eastAsia" w:ascii="宋体" w:hAnsi="宋体" w:cs="宋体"/>
                <w:szCs w:val="21"/>
                <w:lang w:val="en-US" w:eastAsia="zh-CN"/>
              </w:rPr>
              <w:t>孙</w:t>
            </w:r>
            <w:r>
              <w:rPr>
                <w:rFonts w:hint="eastAsia" w:ascii="宋体" w:hAnsi="宋体" w:cs="宋体"/>
                <w:szCs w:val="21"/>
              </w:rPr>
              <w:t>老师  电 话：</w:t>
            </w:r>
            <w:r>
              <w:rPr>
                <w:rFonts w:hint="eastAsia" w:ascii="宋体" w:hAnsi="宋体" w:cs="宋体"/>
                <w:szCs w:val="21"/>
                <w:lang w:val="en-US" w:eastAsia="zh-CN"/>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bl>
    <w:p/>
    <w:p>
      <w:pPr>
        <w:pStyle w:val="29"/>
      </w:pPr>
    </w:p>
    <w:p/>
    <w:p>
      <w:pPr>
        <w:pStyle w:val="29"/>
      </w:pPr>
    </w:p>
    <w:p>
      <w:pPr>
        <w:pStyle w:val="29"/>
      </w:pPr>
    </w:p>
    <w:bookmarkEnd w:id="16"/>
    <w:bookmarkEnd w:id="17"/>
    <w:p>
      <w:pPr>
        <w:pStyle w:val="3"/>
        <w:spacing w:before="0" w:after="0" w:line="360" w:lineRule="auto"/>
        <w:jc w:val="center"/>
        <w:rPr>
          <w:rFonts w:ascii="宋体" w:hAnsi="宋体" w:cs="宋体"/>
        </w:rPr>
      </w:pPr>
      <w:bookmarkStart w:id="88" w:name="_Toc152045527"/>
      <w:bookmarkStart w:id="89" w:name="_Toc152042303"/>
      <w:bookmarkStart w:id="90" w:name="_Toc179632544"/>
      <w:bookmarkStart w:id="91" w:name="_Toc246996916"/>
      <w:bookmarkStart w:id="92" w:name="_Toc247085687"/>
      <w:bookmarkStart w:id="93" w:name="_Toc21719"/>
      <w:bookmarkStart w:id="94" w:name="_Toc144974495"/>
      <w:bookmarkStart w:id="95" w:name="_Toc507319898"/>
      <w:bookmarkStart w:id="96" w:name="_Toc246996173"/>
      <w:bookmarkStart w:id="97" w:name="_Toc2000405"/>
      <w:r>
        <w:rPr>
          <w:rFonts w:hint="eastAsia" w:ascii="宋体" w:hAnsi="宋体" w:cs="宋体"/>
        </w:rPr>
        <w:br w:type="page"/>
      </w:r>
      <w:r>
        <w:rPr>
          <w:rFonts w:hint="eastAsia" w:ascii="宋体" w:hAnsi="宋体" w:cs="宋体"/>
        </w:rPr>
        <w:t>第二章 报价人须知</w:t>
      </w:r>
      <w:bookmarkEnd w:id="88"/>
      <w:bookmarkEnd w:id="89"/>
      <w:bookmarkEnd w:id="90"/>
      <w:bookmarkEnd w:id="91"/>
      <w:bookmarkEnd w:id="92"/>
      <w:bookmarkEnd w:id="93"/>
      <w:bookmarkEnd w:id="94"/>
      <w:bookmarkEnd w:id="95"/>
      <w:bookmarkEnd w:id="96"/>
      <w:bookmarkEnd w:id="97"/>
    </w:p>
    <w:p/>
    <w:tbl>
      <w:tblPr>
        <w:tblStyle w:val="45"/>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rPr>
            </w:pPr>
            <w:bookmarkStart w:id="98" w:name="_Toc326760840"/>
            <w:r>
              <w:rPr>
                <w:rFonts w:hint="eastAsia" w:ascii="宋体" w:hAnsi="宋体" w:cs="宋体"/>
                <w:b/>
                <w:kern w:val="0"/>
                <w:szCs w:val="21"/>
              </w:rPr>
              <w:t>序号</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rPr>
            </w:pPr>
            <w:r>
              <w:rPr>
                <w:rFonts w:hint="eastAsia" w:ascii="宋体" w:hAnsi="宋体" w:cs="宋体"/>
                <w:b/>
                <w:kern w:val="0"/>
                <w:szCs w:val="21"/>
              </w:rPr>
              <w:t>条款名称</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jc w:val="center"/>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采购人</w:t>
            </w:r>
          </w:p>
        </w:tc>
        <w:tc>
          <w:tcPr>
            <w:tcW w:w="7104"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采购人：重庆首讯科技股份有限公司</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地  址：</w:t>
            </w:r>
            <w:r>
              <w:rPr>
                <w:rFonts w:hint="eastAsia" w:ascii="宋体" w:hAnsi="宋体" w:eastAsia="宋体" w:cs="宋体"/>
                <w:kern w:val="2"/>
                <w:sz w:val="21"/>
                <w:szCs w:val="21"/>
                <w:highlight w:val="none"/>
                <w:lang w:val="en-US" w:eastAsia="zh-CN" w:bidi="ar-SA"/>
              </w:rPr>
              <w:t>重庆市渝北区龙溪街道新南路52号东界龙湖三楼</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联系人：</w:t>
            </w:r>
            <w:r>
              <w:rPr>
                <w:rFonts w:hint="eastAsia" w:ascii="宋体" w:hAnsi="宋体" w:cs="宋体"/>
                <w:szCs w:val="21"/>
                <w:shd w:val="clear" w:color="auto" w:fill="FFFFFF"/>
                <w:lang w:val="en-US" w:eastAsia="zh-CN"/>
              </w:rPr>
              <w:t>孙</w:t>
            </w:r>
            <w:r>
              <w:rPr>
                <w:rFonts w:hint="eastAsia" w:ascii="宋体" w:hAnsi="宋体" w:cs="宋体"/>
                <w:szCs w:val="21"/>
                <w:shd w:val="clear" w:color="auto" w:fill="FFFFFF"/>
              </w:rPr>
              <w:t>老师</w:t>
            </w:r>
          </w:p>
          <w:p>
            <w:pPr>
              <w:keepNext w:val="0"/>
              <w:keepLines w:val="0"/>
              <w:suppressLineNumbers w:val="0"/>
              <w:spacing w:before="0" w:beforeAutospacing="0" w:after="0" w:afterAutospacing="0"/>
              <w:ind w:left="420" w:right="0"/>
              <w:rPr>
                <w:rFonts w:hint="default" w:eastAsia="宋体"/>
                <w:lang w:val="en-US" w:eastAsia="zh-CN"/>
              </w:rPr>
            </w:pPr>
            <w:r>
              <w:rPr>
                <w:rFonts w:hint="eastAsia" w:ascii="宋体" w:hAnsi="宋体" w:cs="宋体"/>
                <w:szCs w:val="21"/>
                <w:shd w:val="clear" w:color="auto" w:fill="FFFFFF"/>
              </w:rPr>
              <w:t>电  话：</w:t>
            </w:r>
            <w:r>
              <w:rPr>
                <w:rFonts w:hint="eastAsia" w:ascii="宋体" w:hAnsi="宋体" w:cs="宋体"/>
                <w:szCs w:val="21"/>
                <w:shd w:val="clear" w:color="auto" w:fill="FFFFFF"/>
                <w:lang w:val="en-US" w:eastAsia="zh-CN"/>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2</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项目名称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eastAsia="zh-CN"/>
              </w:rPr>
            </w:pPr>
            <w:r>
              <w:rPr>
                <w:rFonts w:hint="eastAsia" w:ascii="宋体" w:hAnsi="宋体" w:cs="宋体"/>
                <w:szCs w:val="21"/>
                <w:lang w:eastAsia="zh-CN"/>
              </w:rPr>
              <w:t>首讯公司可行性研究服务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3</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项目地点</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4</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比选范围</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5</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工期要求</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6</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质量要求</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7</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安全目标</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8</w:t>
            </w:r>
          </w:p>
        </w:tc>
        <w:tc>
          <w:tcPr>
            <w:tcW w:w="2106" w:type="dxa"/>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报价人资质条件、能力与信誉</w:t>
            </w:r>
          </w:p>
        </w:tc>
        <w:tc>
          <w:tcPr>
            <w:tcW w:w="7104" w:type="dxa"/>
            <w:vAlign w:val="center"/>
          </w:tcPr>
          <w:p>
            <w:pPr>
              <w:keepNext w:val="0"/>
              <w:keepLines w:val="0"/>
              <w:numPr>
                <w:ilvl w:val="0"/>
                <w:numId w:val="2"/>
              </w:numPr>
              <w:suppressLineNumbers w:val="0"/>
              <w:spacing w:before="0" w:beforeAutospacing="0" w:after="0" w:afterAutospacing="0" w:line="400" w:lineRule="exact"/>
              <w:ind w:left="0" w:right="0" w:firstLine="420" w:firstLineChars="200"/>
              <w:rPr>
                <w:rFonts w:hint="eastAsia"/>
              </w:rPr>
            </w:pPr>
            <w:r>
              <w:rPr>
                <w:rFonts w:hint="eastAsia" w:ascii="宋体" w:hAnsi="宋体" w:cs="宋体"/>
                <w:szCs w:val="21"/>
              </w:rPr>
              <w:t>资质条件：见比选公告3.1</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val="en-US" w:eastAsia="zh-CN"/>
              </w:rPr>
            </w:pPr>
            <w:r>
              <w:rPr>
                <w:rFonts w:hint="eastAsia" w:ascii="宋体" w:hAnsi="宋体" w:cs="宋体"/>
                <w:szCs w:val="21"/>
              </w:rPr>
              <w:t>（3）业绩要求：见比选公告3.</w:t>
            </w:r>
            <w:r>
              <w:rPr>
                <w:rFonts w:hint="eastAsia" w:ascii="宋体" w:hAnsi="宋体" w:cs="宋体"/>
                <w:szCs w:val="21"/>
                <w:lang w:val="en-US" w:eastAsia="zh-CN"/>
              </w:rPr>
              <w:t>2</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val="en-US" w:eastAsia="zh-CN"/>
              </w:rPr>
            </w:pPr>
            <w:r>
              <w:rPr>
                <w:rFonts w:hint="eastAsia" w:ascii="宋体" w:hAnsi="宋体" w:cs="宋体"/>
                <w:szCs w:val="21"/>
              </w:rPr>
              <w:t>（4）信誉要求：见比选公告3.</w:t>
            </w:r>
            <w:r>
              <w:rPr>
                <w:rFonts w:hint="eastAsia" w:ascii="宋体" w:hAnsi="宋体" w:cs="宋体"/>
                <w:szCs w:val="21"/>
                <w:lang w:val="en-US" w:eastAsia="zh-CN"/>
              </w:rPr>
              <w:t>3</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（5）项目主要人员要求：见附录1</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highlight w:val="none"/>
              </w:rPr>
              <w:t>（6）其他要求：见附录2、见附录3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9</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是否接受</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联合体报价</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10</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踏勘现场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11</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分包</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12</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偏差</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rPr>
                <w:rFonts w:hint="eastAsia"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13</w:t>
            </w:r>
          </w:p>
        </w:tc>
        <w:tc>
          <w:tcPr>
            <w:tcW w:w="2106" w:type="dxa"/>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构成比选文件的其他材料</w:t>
            </w:r>
          </w:p>
        </w:tc>
        <w:tc>
          <w:tcPr>
            <w:tcW w:w="7104" w:type="dxa"/>
            <w:vAlign w:val="center"/>
          </w:tcPr>
          <w:p>
            <w:pPr>
              <w:keepNext w:val="0"/>
              <w:keepLines w:val="0"/>
              <w:suppressLineNumbers w:val="0"/>
              <w:spacing w:before="0" w:beforeAutospacing="0" w:after="0" w:afterAutospacing="0" w:line="440" w:lineRule="exact"/>
              <w:ind w:left="0" w:right="0" w:firstLine="420" w:firstLineChars="200"/>
              <w:rPr>
                <w:rFonts w:hint="eastAsia"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bookmarkStart w:id="99" w:name="_Hlt227984024"/>
            <w:bookmarkEnd w:id="99"/>
            <w:r>
              <w:rPr>
                <w:rFonts w:hint="eastAsia" w:ascii="宋体" w:hAnsi="宋体" w:cs="宋体"/>
                <w:kern w:val="0"/>
                <w:szCs w:val="21"/>
              </w:rPr>
              <w:t>14</w:t>
            </w:r>
          </w:p>
        </w:tc>
        <w:tc>
          <w:tcPr>
            <w:tcW w:w="2106" w:type="dxa"/>
            <w:vAlign w:val="center"/>
          </w:tcPr>
          <w:p>
            <w:pPr>
              <w:keepNext w:val="0"/>
              <w:keepLines w:val="0"/>
              <w:suppressLineNumbers w:val="0"/>
              <w:spacing w:before="0" w:beforeAutospacing="0" w:after="0" w:afterAutospacing="0"/>
              <w:ind w:left="0" w:right="0"/>
              <w:rPr>
                <w:rFonts w:hint="eastAsia" w:ascii="宋体" w:hAnsi="宋体" w:cs="宋体"/>
                <w:szCs w:val="21"/>
                <w:shd w:val="clear" w:color="auto" w:fill="FFFFFF"/>
              </w:rPr>
            </w:pPr>
            <w:r>
              <w:rPr>
                <w:rFonts w:hint="eastAsia" w:ascii="宋体" w:hAnsi="宋体" w:cs="宋体"/>
                <w:szCs w:val="21"/>
                <w:shd w:val="clear" w:color="auto" w:fill="FFFFFF"/>
              </w:rPr>
              <w:t>构成竞争性比选响应文件的其他材料</w:t>
            </w:r>
          </w:p>
        </w:tc>
        <w:tc>
          <w:tcPr>
            <w:tcW w:w="7104" w:type="dxa"/>
            <w:vAlign w:val="center"/>
          </w:tcPr>
          <w:p>
            <w:pPr>
              <w:pStyle w:val="151"/>
              <w:keepNext w:val="0"/>
              <w:keepLines w:val="0"/>
              <w:suppressLineNumbers w:val="0"/>
              <w:spacing w:before="72" w:beforeAutospacing="0" w:after="0" w:afterAutospacing="0" w:line="400" w:lineRule="exact"/>
              <w:ind w:left="0" w:right="0" w:firstLine="420" w:firstLineChars="200"/>
              <w:jc w:val="both"/>
              <w:rPr>
                <w:rFonts w:hint="eastAsia"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工程量清单的填写方式</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s="宋体"/>
                <w:szCs w:val="21"/>
              </w:rPr>
            </w:pPr>
            <w:r>
              <w:rPr>
                <w:rFonts w:hint="eastAsia" w:ascii="宋体" w:hAnsi="宋体" w:cs="宋体"/>
              </w:rPr>
              <w:t>报价人按照采购人提供的工程量清单填写工程量清单</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szCs w:val="21"/>
              </w:rPr>
            </w:pPr>
            <w:r>
              <w:rPr>
                <w:rFonts w:hint="eastAsia" w:ascii="宋体" w:hAnsi="宋体" w:cs="宋体"/>
                <w:b/>
                <w:szCs w:val="21"/>
              </w:rPr>
              <w:t>综合单价取小数点后两位，小数点后第三位四舍五入。</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2" w:firstLineChars="200"/>
              <w:rPr>
                <w:rFonts w:hint="eastAsia" w:ascii="宋体" w:hAnsi="宋体"/>
                <w:szCs w:val="21"/>
                <w:highlight w:val="none"/>
              </w:rPr>
            </w:pPr>
            <w:r>
              <w:rPr>
                <w:rFonts w:hint="eastAsia" w:ascii="宋体" w:hAnsi="宋体"/>
                <w:b/>
                <w:bCs/>
                <w:szCs w:val="21"/>
                <w:highlight w:val="none"/>
              </w:rPr>
              <w:t>本项目最高限价</w:t>
            </w:r>
            <w:r>
              <w:rPr>
                <w:rFonts w:hint="eastAsia" w:ascii="宋体" w:hAnsi="宋体"/>
                <w:b/>
                <w:bCs/>
                <w:szCs w:val="21"/>
                <w:highlight w:val="none"/>
                <w:u w:val="single"/>
              </w:rPr>
              <w:t>129600.00</w:t>
            </w:r>
            <w:r>
              <w:rPr>
                <w:rFonts w:hint="eastAsia" w:ascii="宋体" w:hAnsi="宋体"/>
                <w:b/>
                <w:bCs/>
                <w:szCs w:val="21"/>
                <w:highlight w:val="none"/>
              </w:rPr>
              <w:t>元。</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keepNext w:val="0"/>
              <w:keepLines w:val="0"/>
              <w:suppressLineNumbers w:val="0"/>
              <w:spacing w:before="0" w:beforeAutospacing="0" w:after="0" w:afterAutospacing="0"/>
              <w:ind w:left="0" w:right="0" w:firstLine="420" w:firstLineChars="200"/>
              <w:rPr>
                <w:rFonts w:hint="eastAsia"/>
              </w:rPr>
            </w:pPr>
            <w:r>
              <w:rPr>
                <w:rFonts w:hint="eastAsia"/>
              </w:rPr>
              <w:t>乙方落实所有方案论证并完成可行性研究终稿后，经甲方验收后10个工作日内支付至合同金额的100%。</w:t>
            </w:r>
          </w:p>
          <w:p>
            <w:pPr>
              <w:keepNext w:val="0"/>
              <w:keepLines w:val="0"/>
              <w:suppressLineNumbers w:val="0"/>
              <w:spacing w:before="0" w:beforeAutospacing="0" w:after="0" w:afterAutospacing="0"/>
              <w:ind w:left="0" w:right="0" w:firstLine="420" w:firstLineChars="200"/>
              <w:rPr>
                <w:rFonts w:hint="eastAsia"/>
              </w:rPr>
            </w:pPr>
            <w:r>
              <w:rPr>
                <w:rFonts w:hint="eastAsia"/>
              </w:rPr>
              <w:t>注：</w:t>
            </w:r>
          </w:p>
          <w:p>
            <w:pPr>
              <w:keepNext w:val="0"/>
              <w:keepLines w:val="0"/>
              <w:suppressLineNumbers w:val="0"/>
              <w:spacing w:before="0" w:beforeAutospacing="0" w:after="0" w:afterAutospacing="0"/>
              <w:ind w:left="0" w:right="0" w:firstLine="420" w:firstLineChars="200"/>
              <w:rPr>
                <w:rFonts w:hint="eastAsia"/>
              </w:rPr>
            </w:pPr>
            <w:r>
              <w:rPr>
                <w:rFonts w:hint="eastAsia"/>
              </w:rPr>
              <w:t>1、乙方应于甲方每次付款前提供等额增值税发票(税率6%)给甲方（预付款除外），否则甲方有权不予支付相应款项（预付款除外）。每次付款前，乙方应向甲方提交书面支付申请，并根据甲方流程要求提供相应资料。</w:t>
            </w:r>
          </w:p>
          <w:p>
            <w:pPr>
              <w:keepNext w:val="0"/>
              <w:keepLines w:val="0"/>
              <w:suppressLineNumbers w:val="0"/>
              <w:spacing w:before="0" w:beforeAutospacing="0" w:after="0" w:afterAutospacing="0"/>
              <w:ind w:left="0" w:right="0" w:firstLine="420" w:firstLineChars="200"/>
              <w:rPr>
                <w:rFonts w:hint="eastAsia"/>
              </w:rPr>
            </w:pPr>
            <w:r>
              <w:rPr>
                <w:rFonts w:hint="eastAsia"/>
              </w:rPr>
              <w:t>2、费用包干，包括为乙方履行义务所发生的市内交通差旅费、寄件等费用。</w:t>
            </w:r>
          </w:p>
          <w:p>
            <w:pPr>
              <w:keepNext w:val="0"/>
              <w:keepLines w:val="0"/>
              <w:suppressLineNumbers w:val="0"/>
              <w:spacing w:before="0" w:beforeAutospacing="0" w:after="0" w:afterAutospacing="0"/>
              <w:ind w:left="0" w:right="0" w:firstLine="420" w:firstLineChars="200"/>
              <w:rPr>
                <w:rFonts w:hint="eastAsia"/>
              </w:rPr>
            </w:pPr>
            <w:r>
              <w:rPr>
                <w:rFonts w:hint="eastAsia"/>
              </w:rPr>
              <w:t>3、乙方按合同约定的税率开具符合甲方要求的增值税专用发票。在合同履行期间，若国家税率政策发生变更调整的，合同的执行税率也随之进行相应的调整。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keepNext w:val="0"/>
              <w:keepLines w:val="0"/>
              <w:widowControl/>
              <w:suppressLineNumbers w:val="0"/>
              <w:spacing w:before="0" w:beforeAutospacing="0" w:after="0" w:afterAutospacing="0"/>
              <w:ind w:left="0" w:right="0" w:firstLine="420" w:firstLineChars="200"/>
              <w:rPr>
                <w:rFonts w:hint="eastAsia" w:eastAsia="宋体"/>
                <w:lang w:eastAsia="zh-CN"/>
              </w:rPr>
            </w:pPr>
            <w:r>
              <w:rPr>
                <w:rFonts w:hint="eastAsia"/>
                <w:sz w:val="21"/>
                <w:szCs w:val="21"/>
                <w:highlight w:val="none"/>
              </w:rPr>
              <w:t>乙方未能按合同进度计划及时完成合同约定的工作，已造成或预期造成工期延误，甲方有权终止乙方不能按合同约定或预期不能按时完成的剩余工程，并由甲方另行选择单位实施，且因此产生的费用由乙方承担。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rPr>
              <w:t>19</w:t>
            </w:r>
          </w:p>
        </w:tc>
        <w:tc>
          <w:tcPr>
            <w:tcW w:w="2106" w:type="dxa"/>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rPr>
              <w:t>中标候选人的人数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20</w:t>
            </w:r>
          </w:p>
        </w:tc>
        <w:tc>
          <w:tcPr>
            <w:tcW w:w="2106"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保证金</w:t>
            </w:r>
          </w:p>
        </w:tc>
        <w:tc>
          <w:tcPr>
            <w:tcW w:w="7104"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eastAsia="宋体"/>
                <w:lang w:val="en-US" w:eastAsia="zh-CN"/>
              </w:rPr>
            </w:pPr>
            <w:r>
              <w:rPr>
                <w:rFonts w:hint="eastAsia"/>
              </w:rPr>
              <w:t>一、投标保证金</w:t>
            </w:r>
            <w:r>
              <w:rPr>
                <w:rFonts w:hint="eastAsia"/>
                <w:lang w:val="en-US" w:eastAsia="zh-CN"/>
              </w:rPr>
              <w:t xml:space="preserve">  无</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1、报价人须缴纳投标保证金</w:t>
            </w:r>
            <w:r>
              <w:rPr>
                <w:rFonts w:hint="eastAsia" w:ascii="Times New Roman" w:cs="Times New Roman"/>
                <w:color w:val="auto"/>
                <w:kern w:val="2"/>
                <w:sz w:val="21"/>
                <w:szCs w:val="24"/>
                <w:lang w:val="en-US" w:eastAsia="zh-CN" w:bidi="ar-SA"/>
              </w:rPr>
              <w:t>****</w:t>
            </w:r>
            <w:r>
              <w:rPr>
                <w:rFonts w:hint="eastAsia" w:ascii="Times New Roman" w:hAnsi="Times New Roman" w:eastAsia="宋体" w:cs="Times New Roman"/>
                <w:color w:val="auto"/>
                <w:kern w:val="2"/>
                <w:sz w:val="21"/>
                <w:szCs w:val="24"/>
                <w:lang w:val="en-US" w:eastAsia="zh-CN" w:bidi="ar-SA"/>
              </w:rPr>
              <w:t>元，由报价人从公司基本账户将投标保证金汇至以下指定账户：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保证金到账截止时间：202</w:t>
            </w:r>
            <w:r>
              <w:rPr>
                <w:rFonts w:hint="eastAsia" w:ascii="Times New Roman" w:cs="Times New Roman"/>
                <w:color w:val="auto"/>
                <w:kern w:val="2"/>
                <w:sz w:val="21"/>
                <w:szCs w:val="24"/>
                <w:lang w:val="en-US" w:eastAsia="zh-CN" w:bidi="ar-SA"/>
              </w:rPr>
              <w:t>4</w:t>
            </w:r>
            <w:r>
              <w:rPr>
                <w:rFonts w:hint="eastAsia" w:ascii="Times New Roman" w:hAnsi="Times New Roman" w:eastAsia="宋体" w:cs="Times New Roman"/>
                <w:color w:val="auto"/>
                <w:kern w:val="2"/>
                <w:sz w:val="21"/>
                <w:szCs w:val="24"/>
                <w:lang w:val="en-US" w:eastAsia="zh-CN" w:bidi="ar-SA"/>
              </w:rPr>
              <w:t>年</w:t>
            </w:r>
            <w:r>
              <w:rPr>
                <w:rFonts w:hint="eastAsia" w:ascii="Times New Roman" w:cs="Times New Roman"/>
                <w:color w:val="auto"/>
                <w:kern w:val="2"/>
                <w:sz w:val="21"/>
                <w:szCs w:val="24"/>
                <w:lang w:val="en-US" w:eastAsia="zh-CN" w:bidi="ar-SA"/>
              </w:rPr>
              <w:t xml:space="preserve"> </w:t>
            </w:r>
            <w:r>
              <w:rPr>
                <w:rFonts w:hint="eastAsia" w:ascii="Times New Roman" w:hAnsi="Times New Roman" w:eastAsia="宋体" w:cs="Times New Roman"/>
                <w:color w:val="auto"/>
                <w:kern w:val="2"/>
                <w:sz w:val="21"/>
                <w:szCs w:val="24"/>
                <w:lang w:val="en-US" w:eastAsia="zh-CN" w:bidi="ar-SA"/>
              </w:rPr>
              <w:t>月</w:t>
            </w:r>
            <w:r>
              <w:rPr>
                <w:rFonts w:hint="eastAsia" w:ascii="Times New Roman" w:cs="Times New Roman"/>
                <w:color w:val="auto"/>
                <w:kern w:val="2"/>
                <w:sz w:val="21"/>
                <w:szCs w:val="24"/>
                <w:lang w:val="en-US" w:eastAsia="zh-CN" w:bidi="ar-SA"/>
              </w:rPr>
              <w:t xml:space="preserve"> </w:t>
            </w:r>
            <w:r>
              <w:rPr>
                <w:rFonts w:hint="eastAsia" w:ascii="Times New Roman" w:hAnsi="Times New Roman" w:eastAsia="宋体" w:cs="Times New Roman"/>
                <w:color w:val="auto"/>
                <w:kern w:val="2"/>
                <w:sz w:val="21"/>
                <w:szCs w:val="24"/>
                <w:lang w:val="en-US" w:eastAsia="zh-CN" w:bidi="ar-SA"/>
              </w:rPr>
              <w:t>日</w:t>
            </w:r>
            <w:r>
              <w:rPr>
                <w:rFonts w:hint="eastAsia" w:ascii="Times New Roman" w:cs="Times New Roman"/>
                <w:color w:val="auto"/>
                <w:kern w:val="2"/>
                <w:sz w:val="21"/>
                <w:szCs w:val="24"/>
                <w:lang w:val="en-US" w:eastAsia="zh-CN" w:bidi="ar-SA"/>
              </w:rPr>
              <w:t>11</w:t>
            </w:r>
            <w:r>
              <w:rPr>
                <w:rFonts w:hint="eastAsia" w:ascii="Times New Roman" w:hAnsi="Times New Roman" w:eastAsia="宋体" w:cs="Times New Roman"/>
                <w:color w:val="auto"/>
                <w:kern w:val="2"/>
                <w:sz w:val="21"/>
                <w:szCs w:val="24"/>
                <w:lang w:val="en-US" w:eastAsia="zh-CN" w:bidi="ar-SA"/>
              </w:rPr>
              <w:t>时</w:t>
            </w:r>
            <w:r>
              <w:rPr>
                <w:rFonts w:hint="eastAsia" w:ascii="Times New Roman" w:cs="Times New Roman"/>
                <w:color w:val="auto"/>
                <w:kern w:val="2"/>
                <w:sz w:val="21"/>
                <w:szCs w:val="24"/>
                <w:lang w:val="en-US" w:eastAsia="zh-CN" w:bidi="ar-SA"/>
              </w:rPr>
              <w:t>0</w:t>
            </w:r>
            <w:r>
              <w:rPr>
                <w:rFonts w:hint="eastAsia" w:ascii="Times New Roman" w:hAnsi="Times New Roman" w:eastAsia="宋体" w:cs="Times New Roman"/>
                <w:color w:val="auto"/>
                <w:kern w:val="2"/>
                <w:sz w:val="21"/>
                <w:szCs w:val="24"/>
                <w:lang w:val="en-US" w:eastAsia="zh-CN" w:bidi="ar-SA"/>
              </w:rPr>
              <w:t>0分前；</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若竞争性比选响应文件内无投标保证金缴纳凭证，采购人有权作废标处理，若投标保证金存在虚假不实情况，采购人有权作废标处理。</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2、投标保证金退还方式</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为便于及时退还，报价人在递交响应文件的同时，递交本项目保证金银行回单和公司的开户许可证复印件。</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未中标报价人的投标保证金，于该项目结果公示期结束后15个工作日内无息退还至报价人基本账户。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中标人的投标保证金，自合同签订后15个工作日内无息退还至中标人基本账户。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二、履约保证金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无。</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转款备注：***项目投标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四、采购人指定的开户银行及账号如下：</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账户名称：重庆首讯科技股份有限公司</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开户银行：兴业银行重庆分行营业部</w:t>
            </w:r>
          </w:p>
          <w:p>
            <w:pPr>
              <w:pStyle w:val="151"/>
              <w:keepNext w:val="0"/>
              <w:keepLines w:val="0"/>
              <w:widowControl/>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帐    号：3460 1010 0100 4791 14</w:t>
            </w:r>
          </w:p>
          <w:p>
            <w:pPr>
              <w:pStyle w:val="151"/>
              <w:keepNext w:val="0"/>
              <w:keepLines w:val="0"/>
              <w:suppressLineNumbers w:val="0"/>
              <w:spacing w:before="0" w:beforeAutospacing="0" w:after="0" w:afterAutospacing="0" w:line="400" w:lineRule="exact"/>
              <w:ind w:left="0" w:right="0" w:firstLine="420" w:firstLineChars="200"/>
              <w:rPr>
                <w:rFonts w:hint="eastAsia"/>
              </w:rPr>
            </w:pPr>
            <w:r>
              <w:rPr>
                <w:rFonts w:hint="eastAsia" w:ascii="Times New Roman" w:hAnsi="Times New Roman" w:eastAsia="宋体" w:cs="Times New Roman"/>
                <w:color w:val="auto"/>
                <w:kern w:val="2"/>
                <w:sz w:val="21"/>
                <w:szCs w:val="24"/>
                <w:lang w:val="en-US" w:eastAsia="zh-CN" w:bidi="ar-SA"/>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sz w:val="21"/>
                <w:szCs w:val="21"/>
              </w:rPr>
            </w:pPr>
            <w:r>
              <w:rPr>
                <w:rFonts w:hint="eastAsia" w:hAnsi="宋体"/>
                <w:color w:val="auto"/>
                <w:sz w:val="21"/>
                <w:szCs w:val="21"/>
              </w:rPr>
              <w:t>21</w:t>
            </w:r>
          </w:p>
        </w:tc>
        <w:tc>
          <w:tcPr>
            <w:tcW w:w="2106"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sz w:val="21"/>
                <w:szCs w:val="21"/>
              </w:rPr>
            </w:pPr>
            <w:r>
              <w:rPr>
                <w:rFonts w:hint="eastAsia" w:hAnsi="宋体"/>
                <w:color w:val="auto"/>
                <w:kern w:val="2"/>
                <w:sz w:val="21"/>
                <w:szCs w:val="21"/>
              </w:rPr>
              <w:t>监督部门</w:t>
            </w:r>
          </w:p>
        </w:tc>
        <w:tc>
          <w:tcPr>
            <w:tcW w:w="7104" w:type="dxa"/>
            <w:vAlign w:val="center"/>
          </w:tcPr>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监督部门：重庆首讯科技股份有限公司</w:t>
            </w:r>
            <w:r>
              <w:rPr>
                <w:rFonts w:hint="default" w:hAnsi="宋体"/>
                <w:color w:val="auto"/>
                <w:kern w:val="2"/>
                <w:sz w:val="21"/>
                <w:szCs w:val="21"/>
              </w:rPr>
              <w:t>合规监管部</w:t>
            </w:r>
          </w:p>
          <w:p>
            <w:pPr>
              <w:pStyle w:val="151"/>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rPr>
            </w:pPr>
            <w:r>
              <w:rPr>
                <w:rFonts w:hint="eastAsia" w:hAnsi="宋体"/>
                <w:color w:val="auto"/>
                <w:kern w:val="2"/>
                <w:sz w:val="21"/>
                <w:szCs w:val="21"/>
              </w:rPr>
              <w:t>地    址：</w:t>
            </w:r>
            <w:r>
              <w:rPr>
                <w:rFonts w:hint="eastAsia" w:ascii="宋体" w:hAnsi="宋体" w:eastAsia="宋体" w:cs="宋体"/>
                <w:kern w:val="2"/>
                <w:sz w:val="21"/>
                <w:szCs w:val="21"/>
                <w:highlight w:val="none"/>
                <w:lang w:val="en-US" w:eastAsia="zh-CN" w:bidi="ar-SA"/>
              </w:rPr>
              <w:t>重庆市渝北区龙溪街道新南路52号东界龙湖三楼</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rPr>
            </w:pPr>
            <w:r>
              <w:rPr>
                <w:rFonts w:hint="eastAsia" w:hAnsi="宋体"/>
                <w:color w:val="auto"/>
                <w:kern w:val="2"/>
                <w:sz w:val="21"/>
                <w:szCs w:val="21"/>
              </w:rPr>
              <w:t>电    话：023-</w:t>
            </w:r>
            <w:r>
              <w:rPr>
                <w:rFonts w:hint="default" w:hAnsi="宋体"/>
                <w:color w:val="auto"/>
                <w:kern w:val="2"/>
                <w:sz w:val="21"/>
                <w:szCs w:val="21"/>
              </w:rPr>
              <w:t>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default" w:ascii="宋体" w:hAnsi="宋体" w:eastAsia="宋体" w:cs="宋体"/>
                <w:color w:val="000000"/>
                <w:kern w:val="2"/>
                <w:sz w:val="21"/>
                <w:szCs w:val="21"/>
                <w:highlight w:val="none"/>
                <w:lang w:val="en-US" w:eastAsia="zh-CN" w:bidi="ar"/>
              </w:rPr>
            </w:pPr>
            <w:r>
              <w:rPr>
                <w:rFonts w:hint="eastAsia" w:ascii="宋体" w:hAnsi="宋体" w:eastAsia="宋体" w:cs="宋体"/>
                <w:color w:val="000000"/>
                <w:kern w:val="2"/>
                <w:sz w:val="21"/>
                <w:szCs w:val="21"/>
                <w:highlight w:val="none"/>
                <w:lang w:val="en-US" w:eastAsia="zh-CN" w:bidi="ar"/>
              </w:rPr>
              <w:t>2</w:t>
            </w:r>
            <w:r>
              <w:rPr>
                <w:rFonts w:hint="eastAsia" w:cs="宋体"/>
                <w:color w:val="000000"/>
                <w:kern w:val="2"/>
                <w:sz w:val="21"/>
                <w:szCs w:val="21"/>
                <w:highlight w:val="none"/>
                <w:lang w:val="en-US" w:eastAsia="zh-CN" w:bidi="ar"/>
              </w:rPr>
              <w:t>2</w:t>
            </w:r>
          </w:p>
        </w:tc>
        <w:tc>
          <w:tcPr>
            <w:tcW w:w="2106"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
              </w:rPr>
              <w:t>中标候选人公示</w:t>
            </w:r>
          </w:p>
        </w:tc>
        <w:tc>
          <w:tcPr>
            <w:tcW w:w="7104"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ascii="宋体" w:hAnsi="宋体" w:eastAsia="宋体" w:cs="宋体"/>
                <w:kern w:val="2"/>
                <w:sz w:val="21"/>
                <w:szCs w:val="21"/>
                <w:highlight w:val="none"/>
                <w:lang w:val="en-US" w:eastAsia="zh-CN" w:bidi="ar-SA"/>
              </w:rPr>
            </w:pPr>
            <w:r>
              <w:rPr>
                <w:rFonts w:hint="eastAsia" w:hAnsi="宋体"/>
                <w:color w:val="auto"/>
                <w:sz w:val="21"/>
                <w:szCs w:val="21"/>
                <w:highlight w:val="none"/>
              </w:rPr>
              <w:t>评标结果将在</w:t>
            </w:r>
            <w:r>
              <w:rPr>
                <w:rFonts w:hint="eastAsia" w:hAnsi="宋体"/>
                <w:color w:val="auto"/>
                <w:sz w:val="21"/>
                <w:szCs w:val="21"/>
                <w:highlight w:val="none"/>
                <w:u w:val="single"/>
              </w:rPr>
              <w:t>重庆高速集团官网（http://www.cegc.com.cn）</w:t>
            </w:r>
            <w:r>
              <w:rPr>
                <w:rFonts w:hint="eastAsia" w:hAnsi="宋体"/>
                <w:color w:val="auto"/>
                <w:sz w:val="21"/>
                <w:szCs w:val="21"/>
                <w:highlight w:val="none"/>
              </w:rPr>
              <w:t>上进行公示，公示期为 3 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eastAsia="宋体"/>
                <w:color w:val="auto"/>
                <w:kern w:val="2"/>
                <w:sz w:val="21"/>
                <w:szCs w:val="21"/>
                <w:lang w:val="en-US" w:eastAsia="zh-CN"/>
              </w:rPr>
            </w:pPr>
            <w:r>
              <w:rPr>
                <w:rFonts w:hint="eastAsia" w:hAnsi="宋体"/>
                <w:color w:val="auto"/>
                <w:kern w:val="2"/>
                <w:sz w:val="21"/>
                <w:szCs w:val="21"/>
              </w:rPr>
              <w:t>2</w:t>
            </w:r>
            <w:r>
              <w:rPr>
                <w:rFonts w:hint="eastAsia" w:hAnsi="宋体"/>
                <w:color w:val="auto"/>
                <w:kern w:val="2"/>
                <w:sz w:val="21"/>
                <w:szCs w:val="21"/>
                <w:lang w:val="en-US" w:eastAsia="zh-CN"/>
              </w:rPr>
              <w:t>3</w:t>
            </w:r>
          </w:p>
        </w:tc>
        <w:tc>
          <w:tcPr>
            <w:tcW w:w="9210" w:type="dxa"/>
            <w:gridSpan w:val="2"/>
            <w:vAlign w:val="center"/>
          </w:tcPr>
          <w:p>
            <w:pPr>
              <w:pStyle w:val="151"/>
              <w:keepNext w:val="0"/>
              <w:keepLines w:val="0"/>
              <w:suppressLineNumbers w:val="0"/>
              <w:spacing w:before="0" w:beforeAutospacing="0" w:after="0" w:afterAutospacing="0" w:line="400" w:lineRule="exact"/>
              <w:ind w:left="0" w:right="0" w:firstLine="482" w:firstLineChars="200"/>
              <w:jc w:val="center"/>
              <w:rPr>
                <w:rFonts w:hint="eastAsia" w:hAnsi="宋体"/>
                <w:color w:val="auto"/>
                <w:kern w:val="2"/>
                <w:sz w:val="21"/>
                <w:szCs w:val="21"/>
              </w:rPr>
            </w:pPr>
            <w:r>
              <w:rPr>
                <w:rFonts w:hint="eastAsia"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3</w:t>
            </w:r>
            <w:r>
              <w:rPr>
                <w:rFonts w:hint="eastAsia" w:hAnsi="宋体"/>
                <w:color w:val="auto"/>
                <w:kern w:val="2"/>
                <w:sz w:val="21"/>
                <w:szCs w:val="21"/>
              </w:rPr>
              <w:t>.1</w:t>
            </w:r>
          </w:p>
        </w:tc>
        <w:tc>
          <w:tcPr>
            <w:tcW w:w="9210" w:type="dxa"/>
            <w:gridSpan w:val="2"/>
            <w:vAlign w:val="center"/>
          </w:tcPr>
          <w:p>
            <w:pPr>
              <w:pStyle w:val="151"/>
              <w:keepNext w:val="0"/>
              <w:keepLines w:val="0"/>
              <w:suppressLineNumbers w:val="0"/>
              <w:spacing w:before="0" w:beforeAutospacing="0" w:after="0" w:afterAutospacing="0" w:line="400" w:lineRule="exact"/>
              <w:ind w:left="0" w:right="0" w:firstLine="420" w:firstLineChars="200"/>
              <w:rPr>
                <w:rFonts w:hint="eastAsia" w:hAnsi="宋体"/>
                <w:sz w:val="21"/>
                <w:szCs w:val="21"/>
              </w:rPr>
            </w:pPr>
            <w:r>
              <w:rPr>
                <w:rFonts w:hint="eastAsia" w:hAnsi="宋体"/>
                <w:sz w:val="21"/>
                <w:szCs w:val="21"/>
              </w:rPr>
              <w:t>截止竞争性比选响应文件递交时间，递交竞争性比选响应文件不足3家的不得开启竞争性比选文件。重新招标后报价人仍少于3个，按法定程序开标和评标，确定中标候选人。</w:t>
            </w:r>
          </w:p>
        </w:tc>
      </w:tr>
      <w:bookmarkEnd w:id="98"/>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00" w:name="_Toc11284"/>
      <w:bookmarkStart w:id="101" w:name="_Toc17532"/>
      <w:bookmarkStart w:id="102" w:name="_Toc11329222"/>
      <w:bookmarkStart w:id="103" w:name="_Toc30198"/>
      <w:r>
        <w:rPr>
          <w:rFonts w:hint="eastAsia" w:ascii="宋体" w:hAnsi="宋体" w:eastAsia="宋体" w:cs="宋体"/>
          <w:sz w:val="28"/>
          <w:szCs w:val="28"/>
        </w:rPr>
        <w:t xml:space="preserve">附录1  </w:t>
      </w:r>
      <w:bookmarkEnd w:id="100"/>
      <w:bookmarkEnd w:id="101"/>
      <w:bookmarkEnd w:id="102"/>
      <w:bookmarkEnd w:id="103"/>
      <w:bookmarkStart w:id="104" w:name="_Toc27096"/>
      <w:bookmarkStart w:id="105" w:name="_Toc11329226"/>
      <w:bookmarkStart w:id="106" w:name="_Toc25591"/>
      <w:bookmarkStart w:id="107" w:name="_Toc12773"/>
      <w:r>
        <w:rPr>
          <w:rFonts w:hint="eastAsia" w:ascii="宋体" w:hAnsi="宋体" w:eastAsia="宋体" w:cs="宋体"/>
          <w:bCs w:val="0"/>
          <w:sz w:val="28"/>
          <w:szCs w:val="28"/>
        </w:rPr>
        <w:t>资格审查文件（项目主要管理人员最低要求）</w:t>
      </w:r>
      <w:bookmarkEnd w:id="104"/>
      <w:bookmarkEnd w:id="105"/>
      <w:bookmarkEnd w:id="106"/>
      <w:bookmarkEnd w:id="107"/>
    </w:p>
    <w:p>
      <w:pPr>
        <w:spacing w:line="400" w:lineRule="exact"/>
        <w:jc w:val="center"/>
      </w:pPr>
      <w:r>
        <w:rPr>
          <w:rFonts w:hint="eastAsia" w:ascii="宋体" w:hAnsi="宋体" w:cs="宋体"/>
          <w:b/>
          <w:szCs w:val="21"/>
        </w:rPr>
        <w:t>主要管理人员最低要求</w:t>
      </w:r>
    </w:p>
    <w:tbl>
      <w:tblPr>
        <w:tblStyle w:val="45"/>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bookmarkStart w:id="108" w:name="_Toc387234996"/>
            <w:bookmarkStart w:id="109" w:name="_Toc388534043"/>
            <w:r>
              <w:rPr>
                <w:rFonts w:hint="eastAsia" w:ascii="宋体" w:hAnsi="宋体" w:cs="宋体"/>
                <w:szCs w:val="21"/>
                <w:lang w:bidi="ar"/>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数量</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96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eastAsia="宋体" w:cs="宋体"/>
                <w:szCs w:val="21"/>
                <w:lang w:val="en-US" w:eastAsia="zh-CN"/>
              </w:rPr>
            </w:pPr>
            <w:r>
              <w:rPr>
                <w:rFonts w:hint="default" w:ascii="宋体" w:hAnsi="宋体" w:eastAsia="宋体" w:cs="宋体"/>
                <w:szCs w:val="21"/>
                <w:lang w:val="en-US" w:eastAsia="zh-CN"/>
              </w:rPr>
              <w:t>无要求</w:t>
            </w:r>
            <w:r>
              <w:rPr>
                <w:rFonts w:hint="eastAsia" w:ascii="宋体" w:hAnsi="宋体" w:cs="宋体"/>
                <w:szCs w:val="21"/>
                <w:lang w:val="en-US" w:eastAsia="zh-CN"/>
              </w:rPr>
              <w:t>。</w:t>
            </w:r>
          </w:p>
        </w:tc>
      </w:tr>
    </w:tbl>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jc w:val="center"/>
        <w:rPr>
          <w:rFonts w:ascii="宋体" w:hAnsi="宋体" w:eastAsia="宋体" w:cs="宋体"/>
          <w:bCs w:val="0"/>
          <w:sz w:val="28"/>
          <w:szCs w:val="28"/>
        </w:rPr>
      </w:pPr>
      <w:bookmarkStart w:id="110" w:name="_Toc21487"/>
      <w:bookmarkStart w:id="111" w:name="_Toc8293"/>
      <w:bookmarkStart w:id="112" w:name="_Toc27148"/>
      <w:bookmarkStart w:id="113" w:name="_Toc11329227"/>
      <w:r>
        <w:rPr>
          <w:rFonts w:hint="eastAsia" w:ascii="宋体" w:hAnsi="宋体" w:eastAsia="宋体" w:cs="宋体"/>
          <w:bCs w:val="0"/>
          <w:sz w:val="28"/>
          <w:szCs w:val="28"/>
        </w:rPr>
        <w:t>附录2 资格审查文件（项目其他人员最低要求）</w:t>
      </w:r>
      <w:bookmarkEnd w:id="110"/>
      <w:bookmarkEnd w:id="111"/>
      <w:bookmarkEnd w:id="112"/>
      <w:bookmarkEnd w:id="113"/>
    </w:p>
    <w:tbl>
      <w:tblPr>
        <w:tblStyle w:val="45"/>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bookmarkStart w:id="114" w:name="_Toc23696"/>
            <w:bookmarkStart w:id="115" w:name="_Toc507319900"/>
            <w:bookmarkStart w:id="116" w:name="_Toc413241584"/>
            <w:r>
              <w:rPr>
                <w:rFonts w:hint="eastAsia" w:ascii="宋体" w:hAnsi="宋体" w:cs="宋体"/>
                <w:szCs w:val="21"/>
              </w:rPr>
              <w:t>项目其他人员最低要求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160" w:type="dxa"/>
          </w:tcPr>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highlight w:val="none"/>
                <w:lang w:val="en-US" w:eastAsia="zh-CN"/>
              </w:rPr>
              <w:t>无要求</w:t>
            </w:r>
          </w:p>
        </w:tc>
      </w:tr>
      <w:bookmarkEnd w:id="114"/>
      <w:bookmarkEnd w:id="115"/>
      <w:bookmarkEnd w:id="116"/>
    </w:tbl>
    <w:p>
      <w:pPr>
        <w:pStyle w:val="4"/>
        <w:rPr>
          <w:rStyle w:val="79"/>
          <w:rFonts w:ascii="宋体" w:hAnsi="宋体" w:eastAsia="宋体" w:cs="宋体"/>
          <w:b w:val="0"/>
          <w:bCs w:val="0"/>
          <w:sz w:val="28"/>
          <w:szCs w:val="28"/>
          <w:highlight w:val="none"/>
        </w:rPr>
      </w:pPr>
    </w:p>
    <w:p>
      <w:pPr>
        <w:pStyle w:val="4"/>
        <w:rPr>
          <w:rFonts w:hAnsi="宋体"/>
          <w:b w:val="0"/>
          <w:sz w:val="28"/>
          <w:szCs w:val="28"/>
          <w:highlight w:val="none"/>
        </w:rPr>
      </w:pPr>
      <w:bookmarkStart w:id="117" w:name="_Toc4169"/>
      <w:bookmarkStart w:id="118" w:name="_Toc17384"/>
      <w:bookmarkStart w:id="119" w:name="_Toc6096"/>
      <w:r>
        <w:rPr>
          <w:rFonts w:hint="eastAsia" w:ascii="宋体" w:hAnsi="宋体" w:eastAsia="宋体" w:cs="宋体"/>
          <w:bCs w:val="0"/>
          <w:sz w:val="28"/>
          <w:szCs w:val="28"/>
          <w:highlight w:val="none"/>
        </w:rPr>
        <w:t>附录3 资格审查文件（主要机械设备和试验检测设备最低要求）</w:t>
      </w:r>
      <w:bookmarkEnd w:id="117"/>
      <w:bookmarkEnd w:id="118"/>
      <w:bookmarkEnd w:id="119"/>
    </w:p>
    <w:tbl>
      <w:tblPr>
        <w:tblStyle w:val="45"/>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eastAsia="宋体"/>
                <w:highlight w:val="none"/>
                <w:lang w:val="en-US" w:eastAsia="zh-CN"/>
              </w:rPr>
            </w:pPr>
            <w:r>
              <w:rPr>
                <w:rFonts w:hint="eastAsia"/>
                <w:highlight w:val="none"/>
                <w:lang w:val="en-US" w:eastAsia="zh-CN"/>
              </w:rPr>
              <w:t>无要求。</w:t>
            </w:r>
          </w:p>
        </w:tc>
      </w:tr>
    </w:tbl>
    <w:p>
      <w:pPr>
        <w:pStyle w:val="151"/>
        <w:adjustRightInd/>
        <w:spacing w:line="400" w:lineRule="exact"/>
        <w:ind w:firstLine="422" w:firstLineChars="200"/>
        <w:jc w:val="both"/>
        <w:rPr>
          <w:rFonts w:hAnsi="宋体"/>
          <w:szCs w:val="21"/>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color w:val="auto"/>
          <w:sz w:val="21"/>
          <w:szCs w:val="21"/>
          <w:highlight w:val="none"/>
        </w:rPr>
        <w:t>以上（附录1-附录3中的资格审查）的要求均为强制性条件，其中任何一条不满足要求，</w:t>
      </w:r>
      <w:r>
        <w:rPr>
          <w:rFonts w:hint="eastAsia" w:hAnsi="宋体"/>
          <w:b/>
          <w:bCs/>
          <w:color w:val="auto"/>
          <w:sz w:val="21"/>
          <w:szCs w:val="21"/>
        </w:rPr>
        <w:t>则按否决报价处理。</w:t>
      </w:r>
      <w:bookmarkEnd w:id="108"/>
      <w:bookmarkEnd w:id="109"/>
    </w:p>
    <w:p>
      <w:pPr>
        <w:spacing w:line="440" w:lineRule="exact"/>
        <w:rPr>
          <w:rFonts w:ascii="宋体" w:hAnsi="宋体" w:cs="宋体"/>
          <w:highlight w:val="none"/>
        </w:rPr>
      </w:pPr>
    </w:p>
    <w:p>
      <w:pPr>
        <w:pStyle w:val="3"/>
        <w:numPr>
          <w:ilvl w:val="0"/>
          <w:numId w:val="3"/>
        </w:numPr>
        <w:spacing w:before="0" w:after="0" w:line="360" w:lineRule="auto"/>
        <w:jc w:val="center"/>
        <w:rPr>
          <w:highlight w:val="none"/>
        </w:rPr>
      </w:pPr>
      <w:bookmarkStart w:id="120" w:name="_Toc179632605"/>
      <w:bookmarkStart w:id="121" w:name="_Toc246996230"/>
      <w:bookmarkStart w:id="122" w:name="_Toc152045587"/>
      <w:bookmarkStart w:id="123" w:name="_Toc507319957"/>
      <w:bookmarkStart w:id="124" w:name="_Toc247085745"/>
      <w:bookmarkStart w:id="125" w:name="_Toc144974554"/>
      <w:bookmarkStart w:id="126" w:name="_Toc246996973"/>
      <w:bookmarkStart w:id="127" w:name="_Toc2000406"/>
      <w:bookmarkStart w:id="128" w:name="_Toc152042364"/>
      <w:bookmarkStart w:id="129" w:name="_Toc7682"/>
      <w:r>
        <w:rPr>
          <w:rFonts w:hint="eastAsia" w:ascii="宋体" w:hAnsi="宋体" w:cs="宋体"/>
          <w:highlight w:val="none"/>
        </w:rPr>
        <w:t>评标办法（综合评估法）</w:t>
      </w:r>
      <w:bookmarkEnd w:id="120"/>
      <w:bookmarkEnd w:id="121"/>
      <w:bookmarkEnd w:id="122"/>
      <w:bookmarkEnd w:id="123"/>
      <w:bookmarkEnd w:id="124"/>
      <w:bookmarkEnd w:id="125"/>
      <w:bookmarkEnd w:id="126"/>
      <w:bookmarkEnd w:id="127"/>
      <w:bookmarkEnd w:id="128"/>
      <w:bookmarkEnd w:id="129"/>
    </w:p>
    <w:p>
      <w:pPr>
        <w:rPr>
          <w:highlight w:val="none"/>
        </w:rPr>
      </w:pPr>
    </w:p>
    <w:p>
      <w:pPr>
        <w:rPr>
          <w:b/>
          <w:bCs/>
          <w:highlight w:val="none"/>
        </w:rPr>
      </w:pPr>
      <w:r>
        <w:rPr>
          <w:rFonts w:hint="eastAsia"/>
          <w:b/>
          <w:bCs/>
          <w:highlight w:val="none"/>
        </w:rPr>
        <w:t>评标办法前附表</w:t>
      </w:r>
    </w:p>
    <w:tbl>
      <w:tblPr>
        <w:tblStyle w:val="45"/>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条款号</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评审因素</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1</w:t>
            </w:r>
          </w:p>
        </w:tc>
        <w:tc>
          <w:tcPr>
            <w:tcW w:w="1124"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评标方法</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中标候选人排序方法</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spacing w:before="0" w:beforeAutospacing="0" w:after="0" w:afterAutospacing="0"/>
              <w:ind w:left="0" w:right="0"/>
              <w:rPr>
                <w:rFonts w:hint="eastAsia"/>
              </w:rPr>
            </w:pPr>
            <w:r>
              <w:rPr>
                <w:rFonts w:hint="eastAsia"/>
              </w:rPr>
              <w:t>本次评标采用综合评分法，如出现得分(精确到小数点后两位)相等时，按以下原则确定第一中标候选人：</w:t>
            </w:r>
          </w:p>
          <w:p>
            <w:pPr>
              <w:keepNext w:val="0"/>
              <w:keepLines w:val="0"/>
              <w:suppressLineNumbers w:val="0"/>
              <w:spacing w:before="0" w:beforeAutospacing="0" w:after="0" w:afterAutospacing="0"/>
              <w:ind w:left="0" w:right="0"/>
              <w:rPr>
                <w:rFonts w:hint="eastAsia"/>
              </w:rPr>
            </w:pPr>
            <w:r>
              <w:rPr>
                <w:rFonts w:hint="eastAsia"/>
              </w:rPr>
              <w:t>（1）以评标价低的报价人优先；</w:t>
            </w:r>
          </w:p>
          <w:p>
            <w:pPr>
              <w:keepNext w:val="0"/>
              <w:keepLines w:val="0"/>
              <w:suppressLineNumbers w:val="0"/>
              <w:spacing w:before="0" w:beforeAutospacing="0" w:after="0" w:afterAutospacing="0"/>
              <w:ind w:left="0" w:right="0"/>
              <w:rPr>
                <w:rFonts w:hint="eastAsia"/>
              </w:rPr>
            </w:pPr>
            <w:r>
              <w:rPr>
                <w:rFonts w:hint="eastAsia"/>
              </w:rPr>
              <w:t>（2）如评标价也相同时，以技术得分较高的报价人优先；</w:t>
            </w:r>
          </w:p>
          <w:p>
            <w:pPr>
              <w:keepNext w:val="0"/>
              <w:keepLines w:val="0"/>
              <w:suppressLineNumbers w:val="0"/>
              <w:spacing w:before="0" w:beforeAutospacing="0" w:after="0" w:afterAutospacing="0"/>
              <w:ind w:left="0" w:right="0"/>
              <w:rPr>
                <w:rFonts w:hint="eastAsia"/>
              </w:rPr>
            </w:pPr>
            <w:r>
              <w:rPr>
                <w:rFonts w:hint="eastAsia"/>
              </w:rPr>
              <w:t>（3）如技术得分也相同时，以商务得分高的优先；</w:t>
            </w:r>
          </w:p>
          <w:p>
            <w:pPr>
              <w:keepNext w:val="0"/>
              <w:keepLines w:val="0"/>
              <w:suppressLineNumbers w:val="0"/>
              <w:spacing w:before="0" w:beforeAutospacing="0" w:after="0" w:afterAutospacing="0"/>
              <w:ind w:left="0" w:right="0"/>
              <w:rPr>
                <w:rFonts w:hint="eastAsia"/>
              </w:rPr>
            </w:pPr>
            <w:r>
              <w:rPr>
                <w:rFonts w:hint="eastAsia"/>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2</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形式评审标准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报价人名称</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报价函签字盖章</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竞争性比选响应文件格式</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符合第八章“竞争性比选响应文件格式”的要求，字迹及相关证件扫描件清晰可辨。</w:t>
            </w:r>
          </w:p>
          <w:p>
            <w:pPr>
              <w:keepNext w:val="0"/>
              <w:keepLines w:val="0"/>
              <w:suppressLineNumbers w:val="0"/>
              <w:spacing w:before="0" w:beforeAutospacing="0" w:after="0" w:afterAutospacing="0" w:line="400" w:lineRule="exact"/>
              <w:ind w:left="0" w:right="0"/>
              <w:rPr>
                <w:rFonts w:hint="eastAsia"/>
              </w:rPr>
            </w:pPr>
            <w:r>
              <w:rPr>
                <w:rFonts w:hint="eastAsia"/>
              </w:rPr>
              <w:t>1.报价函的所有数据均符合比选文件的规定；</w:t>
            </w:r>
          </w:p>
          <w:p>
            <w:pPr>
              <w:keepNext w:val="0"/>
              <w:keepLines w:val="0"/>
              <w:suppressLineNumbers w:val="0"/>
              <w:spacing w:before="0" w:beforeAutospacing="0" w:after="0" w:afterAutospacing="0" w:line="400" w:lineRule="exact"/>
              <w:ind w:left="0" w:right="0"/>
              <w:rPr>
                <w:rFonts w:hint="eastAsia"/>
              </w:rPr>
            </w:pPr>
            <w:r>
              <w:rPr>
                <w:rFonts w:hint="eastAsia"/>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rPr>
            </w:pPr>
            <w:r>
              <w:rPr>
                <w:rFonts w:hint="eastAsia"/>
              </w:rPr>
              <w:t>已标价报价清单</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40" w:lineRule="exact"/>
              <w:ind w:left="0" w:right="0"/>
              <w:rPr>
                <w:rFonts w:hint="eastAsia"/>
              </w:rPr>
            </w:pPr>
            <w:r>
              <w:rPr>
                <w:rFonts w:hint="eastAsia"/>
              </w:rPr>
              <w:t>符合第五章“报价清单”给出的范围及数量。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rPr>
            </w:pPr>
            <w:r>
              <w:rPr>
                <w:rFonts w:hint="eastAsia"/>
              </w:rPr>
              <w:t>报价其它要求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40" w:lineRule="exact"/>
              <w:ind w:left="0" w:right="0"/>
              <w:rPr>
                <w:rFonts w:hint="eastAsia"/>
              </w:rPr>
            </w:pPr>
            <w:r>
              <w:rPr>
                <w:rFonts w:hint="eastAsia"/>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rPr>
            </w:pPr>
            <w:r>
              <w:rPr>
                <w:rFonts w:hint="eastAsia"/>
                <w:szCs w:val="21"/>
              </w:rPr>
              <w:t>竞争性比选响应文件正本中法定代表人或其授权代理人签署</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szCs w:val="21"/>
              </w:rPr>
            </w:pPr>
            <w:r>
              <w:rPr>
                <w:rFonts w:hint="eastAsia"/>
                <w:szCs w:val="21"/>
              </w:rPr>
              <w:t>其他材料</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资格评审标准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营业执照</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资质要求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业绩要求</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信誉要求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Theme="minorEastAsia" w:hAnsiTheme="minorEastAsia" w:eastAsiaTheme="minorEastAsia" w:cstheme="minorEastAsia"/>
                <w:szCs w:val="21"/>
                <w:highlight w:val="none"/>
              </w:rPr>
              <w:t>项目主要管理人员最低要求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Theme="minorEastAsia" w:hAnsiTheme="minorEastAsia" w:eastAsiaTheme="minorEastAsia" w:cstheme="minorEastAsia"/>
                <w:szCs w:val="21"/>
                <w:highlight w:val="none"/>
              </w:rPr>
              <w:t>其他人员最低要求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kern w:val="1"/>
              </w:rPr>
            </w:pPr>
            <w:r>
              <w:rPr>
                <w:rFonts w:hint="eastAsia" w:asciiTheme="minorEastAsia" w:hAnsiTheme="minorEastAsia" w:eastAsiaTheme="minorEastAsia" w:cstheme="minorEastAsia"/>
                <w:szCs w:val="21"/>
                <w:highlight w:val="none"/>
              </w:rPr>
              <w:t>主要机械设备和试验检测设备最低要求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响应性评审标准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投标内容</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符合第二章“报价人须知”第4项规定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工期要求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符合第二章“报价人须知”第5项规定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质量标准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符合第二章“报价人须知”第6项规定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安全目标</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符合第二章“报价人须知”第7项规定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5</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ascii="宋体" w:hAnsi="宋体" w:cs="宋体"/>
                <w:kern w:val="0"/>
                <w:szCs w:val="21"/>
              </w:rPr>
              <w:t>分值构成</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r>
              <w:rPr>
                <w:rFonts w:hint="eastAsia" w:ascii="宋体" w:hAnsi="宋体" w:cs="宋体"/>
                <w:kern w:val="0"/>
                <w:szCs w:val="21"/>
              </w:rPr>
              <w:t>分值构成</w:t>
            </w:r>
          </w:p>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（总分100分）</w:t>
            </w:r>
          </w:p>
        </w:tc>
        <w:tc>
          <w:tcPr>
            <w:tcW w:w="5004" w:type="dxa"/>
            <w:tcBorders>
              <w:top w:val="single" w:color="auto" w:sz="4" w:space="0"/>
              <w:left w:val="single" w:color="auto" w:sz="4" w:space="0"/>
              <w:bottom w:val="single" w:color="auto" w:sz="4" w:space="0"/>
            </w:tcBorders>
            <w:noWrap w:val="0"/>
            <w:vAlign w:val="top"/>
          </w:tcPr>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报价部分A：</w:t>
            </w:r>
            <w:r>
              <w:rPr>
                <w:rFonts w:hint="eastAsia" w:ascii="宋体" w:hAnsi="宋体" w:cs="宋体"/>
                <w:kern w:val="0"/>
                <w:szCs w:val="21"/>
                <w:lang w:val="en-US" w:eastAsia="zh-CN"/>
              </w:rPr>
              <w:t>6</w:t>
            </w:r>
            <w:r>
              <w:rPr>
                <w:rFonts w:hint="eastAsia" w:ascii="宋体" w:hAnsi="宋体" w:cs="宋体"/>
                <w:kern w:val="0"/>
                <w:szCs w:val="21"/>
              </w:rPr>
              <w:t>0分；</w:t>
            </w:r>
          </w:p>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商务部分B：</w:t>
            </w:r>
            <w:r>
              <w:rPr>
                <w:rFonts w:hint="eastAsia" w:ascii="宋体" w:hAnsi="宋体" w:cs="宋体"/>
                <w:kern w:val="0"/>
                <w:szCs w:val="21"/>
                <w:lang w:val="en-US" w:eastAsia="zh-CN"/>
              </w:rPr>
              <w:t>20</w:t>
            </w:r>
            <w:r>
              <w:rPr>
                <w:rFonts w:hint="eastAsia" w:ascii="宋体" w:hAnsi="宋体" w:cs="宋体"/>
                <w:kern w:val="0"/>
                <w:szCs w:val="21"/>
              </w:rPr>
              <w:t>分；</w:t>
            </w:r>
          </w:p>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技术部分C：</w:t>
            </w:r>
            <w:r>
              <w:rPr>
                <w:rFonts w:hint="eastAsia" w:ascii="宋体" w:hAnsi="宋体" w:cs="宋体"/>
                <w:kern w:val="0"/>
                <w:szCs w:val="21"/>
                <w:lang w:val="en-US" w:eastAsia="zh-CN"/>
              </w:rPr>
              <w:t>2</w:t>
            </w:r>
            <w:r>
              <w:rPr>
                <w:rFonts w:hint="eastAsia" w:ascii="宋体" w:hAnsi="宋体" w:cs="宋体"/>
                <w:kern w:val="0"/>
                <w:szCs w:val="21"/>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6</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A.报价部分评分标准（</w:t>
            </w:r>
            <w:r>
              <w:rPr>
                <w:rFonts w:hint="eastAsia" w:ascii="宋体" w:hAnsi="宋体" w:cs="宋体"/>
                <w:kern w:val="0"/>
                <w:szCs w:val="21"/>
                <w:lang w:val="en-US" w:eastAsia="zh-CN"/>
              </w:rPr>
              <w:t>60</w:t>
            </w:r>
            <w:r>
              <w:rPr>
                <w:rFonts w:hint="eastAsia" w:ascii="宋体" w:hAnsi="宋体" w:cs="宋体"/>
                <w:kern w:val="0"/>
                <w:szCs w:val="21"/>
              </w:rPr>
              <w:t>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rPr>
            </w:pPr>
            <w:r>
              <w:rPr>
                <w:rFonts w:hint="eastAsia" w:ascii="宋体" w:hAnsi="宋体" w:cs="宋体"/>
                <w:kern w:val="0"/>
                <w:szCs w:val="21"/>
                <w:highlight w:val="none"/>
              </w:rPr>
              <w:t>报价得分（</w:t>
            </w:r>
            <w:r>
              <w:rPr>
                <w:rFonts w:hint="eastAsia" w:ascii="宋体" w:hAnsi="宋体" w:cs="宋体"/>
                <w:kern w:val="0"/>
                <w:szCs w:val="21"/>
                <w:highlight w:val="none"/>
                <w:lang w:val="en-US" w:eastAsia="zh-CN"/>
              </w:rPr>
              <w:t>6</w:t>
            </w:r>
            <w:r>
              <w:rPr>
                <w:rFonts w:hint="eastAsia" w:ascii="宋体" w:hAnsi="宋体" w:cs="宋体"/>
                <w:kern w:val="0"/>
                <w:szCs w:val="21"/>
                <w:highlight w:val="none"/>
              </w:rPr>
              <w:t>0分）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由评标委员会计算评标基准价：</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（1）评标价的确定：评标价＝投标函文字报价</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（2）评标基准价的确定：</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在通过初步评审后不高于最高限价的投标报价中去掉六分之一（不能整除的按小数前整数取整，不足六家报价则不去掉）的最低价和相同家数的最高价后的算术平均值为评标基准价。</w:t>
            </w:r>
          </w:p>
          <w:p>
            <w:pPr>
              <w:keepNext w:val="0"/>
              <w:keepLines w:val="0"/>
              <w:suppressLineNumbers w:val="0"/>
              <w:spacing w:before="0" w:beforeAutospacing="0" w:after="0" w:afterAutospacing="0" w:line="400" w:lineRule="exact"/>
              <w:ind w:left="0" w:right="0" w:firstLine="422" w:firstLineChars="200"/>
              <w:rPr>
                <w:rFonts w:hint="eastAsia" w:ascii="宋体" w:hAnsi="宋体"/>
                <w:szCs w:val="21"/>
                <w:highlight w:val="none"/>
              </w:rPr>
            </w:pPr>
            <w:r>
              <w:rPr>
                <w:rFonts w:hint="eastAsia" w:ascii="宋体" w:hAnsi="宋体" w:cs="宋体"/>
                <w:b/>
                <w:bCs/>
                <w:szCs w:val="21"/>
              </w:rPr>
              <w:t>偏差率＝100%×（投标价-评标基准价）/评标基准价，偏差率为百分率（示例：xx.xx%)，偏差率计算保留小数点后两位，小数点后第三位“四舍五入”。</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 xml:space="preserve"> 如果报价人的评标价＞评标基准价，则评标价得分＝F-偏差率×100×E1。</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如果报价人的评标价≤评标基准价,则评标价得分＝F-|偏差率×100×E2|。</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其中：F是评标价所占的权重分值；E1是评标价每高于评标基准价一个百分点的扣分值，E2是评标价每低于评标基准价一个百分点的扣分值；本项目设置E1=</w:t>
            </w:r>
            <w:r>
              <w:rPr>
                <w:rFonts w:hint="eastAsia" w:ascii="宋体" w:hAnsi="宋体"/>
                <w:szCs w:val="21"/>
                <w:lang w:val="en-US" w:eastAsia="zh-CN"/>
              </w:rPr>
              <w:t>0.5</w:t>
            </w:r>
            <w:r>
              <w:rPr>
                <w:rFonts w:hint="eastAsia" w:ascii="宋体" w:hAnsi="宋体"/>
                <w:szCs w:val="21"/>
              </w:rPr>
              <w:t>，E2=0.</w:t>
            </w:r>
            <w:r>
              <w:rPr>
                <w:rFonts w:hint="eastAsia" w:ascii="宋体" w:hAnsi="宋体"/>
                <w:szCs w:val="21"/>
                <w:lang w:val="en-US" w:eastAsia="zh-CN"/>
              </w:rPr>
              <w:t>2</w:t>
            </w:r>
            <w:r>
              <w:rPr>
                <w:rFonts w:hint="eastAsia" w:ascii="宋体" w:hAnsi="宋体"/>
                <w:szCs w:val="21"/>
              </w:rPr>
              <w:t>。</w:t>
            </w:r>
          </w:p>
          <w:p>
            <w:pPr>
              <w:keepNext w:val="0"/>
              <w:keepLines w:val="0"/>
              <w:suppressLineNumbers w:val="0"/>
              <w:spacing w:before="0" w:beforeAutospacing="0" w:after="0" w:afterAutospacing="0" w:line="400" w:lineRule="exact"/>
              <w:ind w:left="0" w:leftChars="0" w:right="0" w:rightChars="0" w:firstLine="420" w:firstLineChars="200"/>
              <w:rPr>
                <w:rFonts w:hint="eastAsia" w:ascii="宋体" w:hAnsi="宋体"/>
                <w:szCs w:val="21"/>
              </w:rPr>
            </w:pPr>
            <w:r>
              <w:rPr>
                <w:rFonts w:hint="eastAsia" w:ascii="宋体" w:hAnsi="宋体"/>
                <w:szCs w:val="21"/>
              </w:rPr>
              <w:t>最后得分保留2位小数，小数点后第三位“四舍五入”。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78" w:hRule="atLeas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7</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B.商务部分评分标准（</w:t>
            </w:r>
            <w:r>
              <w:rPr>
                <w:rFonts w:hint="eastAsia" w:ascii="宋体" w:hAnsi="宋体" w:cs="宋体"/>
                <w:kern w:val="0"/>
                <w:szCs w:val="21"/>
                <w:lang w:val="en-US" w:eastAsia="zh-CN"/>
              </w:rPr>
              <w:t>2</w:t>
            </w:r>
            <w:r>
              <w:rPr>
                <w:rFonts w:hint="eastAsia" w:ascii="宋体" w:hAnsi="宋体" w:cs="宋体"/>
                <w:kern w:val="0"/>
                <w:szCs w:val="21"/>
              </w:rPr>
              <w:t>0分）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方正仿宋_GBK"/>
                <w:snapToGrid w:val="0"/>
                <w:kern w:val="0"/>
                <w:szCs w:val="21"/>
                <w:lang w:val="en-US" w:eastAsia="zh-CN"/>
              </w:rPr>
            </w:pPr>
            <w:r>
              <w:rPr>
                <w:rFonts w:hint="eastAsia" w:ascii="宋体" w:hAnsi="宋体" w:cs="方正仿宋_GBK"/>
                <w:snapToGrid w:val="0"/>
                <w:kern w:val="0"/>
                <w:szCs w:val="21"/>
                <w:lang w:val="en-US" w:eastAsia="zh-CN"/>
              </w:rPr>
              <w:t>项目团队人员</w:t>
            </w:r>
          </w:p>
          <w:p>
            <w:pPr>
              <w:keepNext w:val="0"/>
              <w:keepLines w:val="0"/>
              <w:suppressLineNumbers w:val="0"/>
              <w:spacing w:before="0" w:beforeAutospacing="0" w:after="0" w:afterAutospacing="0"/>
              <w:ind w:left="0" w:leftChars="0" w:right="0" w:rightChars="0"/>
              <w:jc w:val="center"/>
              <w:rPr>
                <w:rFonts w:hint="eastAsia"/>
              </w:rPr>
            </w:pPr>
            <w:r>
              <w:rPr>
                <w:rFonts w:hint="eastAsia" w:ascii="宋体" w:hAnsi="宋体" w:cs="方正仿宋_GBK"/>
                <w:snapToGrid w:val="0"/>
                <w:kern w:val="0"/>
                <w:szCs w:val="21"/>
              </w:rPr>
              <w:t>（</w:t>
            </w:r>
            <w:r>
              <w:rPr>
                <w:rFonts w:hint="eastAsia" w:ascii="宋体" w:hAnsi="宋体" w:cs="方正仿宋_GBK"/>
                <w:snapToGrid w:val="0"/>
                <w:kern w:val="0"/>
                <w:szCs w:val="21"/>
                <w:lang w:val="en-US" w:eastAsia="zh-CN"/>
              </w:rPr>
              <w:t>9</w:t>
            </w:r>
            <w:r>
              <w:rPr>
                <w:rFonts w:hint="eastAsia" w:ascii="宋体" w:hAnsi="宋体" w:cs="方正仿宋_GBK"/>
                <w:snapToGrid w:val="0"/>
                <w:kern w:val="0"/>
                <w:szCs w:val="21"/>
              </w:rPr>
              <w:t>分）</w:t>
            </w:r>
          </w:p>
        </w:tc>
        <w:tc>
          <w:tcPr>
            <w:tcW w:w="5004" w:type="dxa"/>
            <w:tcBorders>
              <w:top w:val="single" w:color="auto" w:sz="4" w:space="0"/>
              <w:left w:val="single" w:color="auto" w:sz="4" w:space="0"/>
              <w:bottom w:val="single" w:color="auto" w:sz="4" w:space="0"/>
            </w:tcBorders>
            <w:noWrap w:val="0"/>
            <w:vAlign w:val="center"/>
          </w:tcPr>
          <w:p>
            <w:pPr>
              <w:keepNext w:val="0"/>
              <w:keepLines w:val="0"/>
              <w:numPr>
                <w:ilvl w:val="0"/>
                <w:numId w:val="0"/>
              </w:numPr>
              <w:suppressLineNumbers w:val="0"/>
              <w:adjustRightInd w:val="0"/>
              <w:snapToGrid w:val="0"/>
              <w:spacing w:before="0" w:beforeAutospacing="0" w:after="0" w:afterAutospacing="0" w:line="240" w:lineRule="auto"/>
              <w:ind w:left="0" w:right="0" w:firstLine="420" w:firstLineChars="200"/>
              <w:jc w:val="left"/>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1、</w:t>
            </w:r>
            <w:r>
              <w:rPr>
                <w:rFonts w:hint="eastAsia" w:cs="Times New Roman"/>
                <w:kern w:val="2"/>
                <w:sz w:val="21"/>
                <w:szCs w:val="20"/>
                <w:lang w:val="en-US" w:eastAsia="zh-CN" w:bidi="ar-SA"/>
              </w:rPr>
              <w:t>报价人</w:t>
            </w:r>
            <w:r>
              <w:rPr>
                <w:rFonts w:hint="eastAsia" w:ascii="Times New Roman" w:hAnsi="Times New Roman" w:eastAsia="宋体" w:cs="Times New Roman"/>
                <w:kern w:val="2"/>
                <w:sz w:val="21"/>
                <w:szCs w:val="20"/>
                <w:lang w:val="en-US" w:eastAsia="zh-CN" w:bidi="ar-SA"/>
              </w:rPr>
              <w:t>在本项目每配备1个</w:t>
            </w:r>
            <w:r>
              <w:rPr>
                <w:rFonts w:hint="eastAsia" w:ascii="Times New Roman" w:hAnsi="Times New Roman" w:eastAsia="宋体" w:cs="Times New Roman"/>
                <w:kern w:val="2"/>
                <w:sz w:val="21"/>
                <w:szCs w:val="20"/>
                <w:highlight w:val="none"/>
                <w:lang w:val="en-US" w:eastAsia="zh-CN" w:bidi="ar-SA"/>
              </w:rPr>
              <w:t>咨询</w:t>
            </w:r>
            <w:r>
              <w:rPr>
                <w:rFonts w:hint="eastAsia" w:cs="Times New Roman"/>
                <w:kern w:val="2"/>
                <w:sz w:val="21"/>
                <w:szCs w:val="20"/>
                <w:highlight w:val="none"/>
                <w:lang w:val="en-US" w:eastAsia="zh-CN" w:bidi="ar-SA"/>
              </w:rPr>
              <w:t>人员</w:t>
            </w:r>
            <w:r>
              <w:rPr>
                <w:rFonts w:hint="eastAsia" w:ascii="Times New Roman" w:hAnsi="Times New Roman" w:eastAsia="宋体" w:cs="Times New Roman"/>
                <w:kern w:val="2"/>
                <w:sz w:val="21"/>
                <w:szCs w:val="20"/>
                <w:lang w:val="en-US" w:eastAsia="zh-CN" w:bidi="ar-SA"/>
              </w:rPr>
              <w:t>得2分，本项最高得</w:t>
            </w:r>
            <w:r>
              <w:rPr>
                <w:rFonts w:hint="eastAsia" w:cs="Times New Roman"/>
                <w:kern w:val="2"/>
                <w:sz w:val="21"/>
                <w:szCs w:val="20"/>
                <w:lang w:val="en-US" w:eastAsia="zh-CN" w:bidi="ar-SA"/>
              </w:rPr>
              <w:t>6</w:t>
            </w:r>
            <w:r>
              <w:rPr>
                <w:rFonts w:hint="eastAsia" w:ascii="Times New Roman" w:hAnsi="Times New Roman" w:eastAsia="宋体" w:cs="Times New Roman"/>
                <w:kern w:val="2"/>
                <w:sz w:val="21"/>
                <w:szCs w:val="20"/>
                <w:lang w:val="en-US" w:eastAsia="zh-CN" w:bidi="ar-SA"/>
              </w:rPr>
              <w:t>分；</w:t>
            </w:r>
          </w:p>
          <w:p>
            <w:pPr>
              <w:keepNext w:val="0"/>
              <w:keepLines w:val="0"/>
              <w:numPr>
                <w:ilvl w:val="0"/>
                <w:numId w:val="0"/>
              </w:numPr>
              <w:suppressLineNumbers w:val="0"/>
              <w:adjustRightInd w:val="0"/>
              <w:snapToGrid w:val="0"/>
              <w:spacing w:before="0" w:beforeAutospacing="0" w:after="0" w:afterAutospacing="0" w:line="240" w:lineRule="auto"/>
              <w:ind w:left="0" w:right="0" w:firstLine="420" w:firstLineChars="200"/>
              <w:jc w:val="left"/>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2、</w:t>
            </w:r>
            <w:r>
              <w:rPr>
                <w:rFonts w:hint="eastAsia" w:cs="Times New Roman"/>
                <w:kern w:val="2"/>
                <w:sz w:val="21"/>
                <w:szCs w:val="20"/>
                <w:lang w:val="en-US" w:eastAsia="zh-CN" w:bidi="ar-SA"/>
              </w:rPr>
              <w:t>报价人</w:t>
            </w:r>
            <w:r>
              <w:rPr>
                <w:rFonts w:hint="eastAsia" w:ascii="Times New Roman" w:hAnsi="Times New Roman" w:eastAsia="宋体" w:cs="Times New Roman"/>
                <w:kern w:val="2"/>
                <w:sz w:val="21"/>
                <w:szCs w:val="20"/>
                <w:lang w:val="en-US" w:eastAsia="zh-CN" w:bidi="ar-SA"/>
              </w:rPr>
              <w:t>在本项目每配备1个具有</w:t>
            </w:r>
            <w:r>
              <w:rPr>
                <w:rFonts w:hint="eastAsia" w:cs="Times New Roman"/>
                <w:kern w:val="2"/>
                <w:sz w:val="21"/>
                <w:szCs w:val="20"/>
                <w:lang w:val="en-US" w:eastAsia="zh-CN" w:bidi="ar-SA"/>
              </w:rPr>
              <w:t>经济专业的</w:t>
            </w:r>
            <w:r>
              <w:rPr>
                <w:rFonts w:hint="eastAsia" w:ascii="Times New Roman" w:hAnsi="Times New Roman" w:eastAsia="宋体" w:cs="Times New Roman"/>
                <w:kern w:val="2"/>
                <w:sz w:val="21"/>
                <w:szCs w:val="20"/>
                <w:lang w:val="en-US" w:eastAsia="zh-CN" w:bidi="ar-SA"/>
              </w:rPr>
              <w:t>高级</w:t>
            </w:r>
            <w:r>
              <w:rPr>
                <w:rFonts w:hint="eastAsia" w:cs="Times New Roman"/>
                <w:kern w:val="2"/>
                <w:sz w:val="21"/>
                <w:szCs w:val="20"/>
                <w:lang w:val="en-US" w:eastAsia="zh-CN" w:bidi="ar-SA"/>
              </w:rPr>
              <w:t>及以上</w:t>
            </w:r>
            <w:r>
              <w:rPr>
                <w:rFonts w:hint="eastAsia" w:ascii="Times New Roman" w:hAnsi="Times New Roman" w:eastAsia="宋体" w:cs="Times New Roman"/>
                <w:kern w:val="2"/>
                <w:sz w:val="21"/>
                <w:szCs w:val="20"/>
                <w:lang w:val="en-US" w:eastAsia="zh-CN" w:bidi="ar-SA"/>
              </w:rPr>
              <w:t>职称</w:t>
            </w:r>
            <w:r>
              <w:rPr>
                <w:rFonts w:hint="eastAsia" w:cs="Times New Roman"/>
                <w:kern w:val="2"/>
                <w:sz w:val="21"/>
                <w:szCs w:val="20"/>
                <w:lang w:val="en-US" w:eastAsia="zh-CN" w:bidi="ar-SA"/>
              </w:rPr>
              <w:t>的</w:t>
            </w:r>
            <w:r>
              <w:rPr>
                <w:rFonts w:hint="eastAsia" w:ascii="Times New Roman" w:hAnsi="Times New Roman" w:eastAsia="宋体" w:cs="Times New Roman"/>
                <w:kern w:val="2"/>
                <w:sz w:val="21"/>
                <w:szCs w:val="20"/>
                <w:highlight w:val="none"/>
                <w:lang w:val="en-US" w:eastAsia="zh-CN" w:bidi="ar-SA"/>
              </w:rPr>
              <w:t>咨询</w:t>
            </w:r>
            <w:r>
              <w:rPr>
                <w:rFonts w:hint="eastAsia" w:cs="Times New Roman"/>
                <w:kern w:val="2"/>
                <w:sz w:val="21"/>
                <w:szCs w:val="20"/>
                <w:highlight w:val="none"/>
                <w:lang w:val="en-US" w:eastAsia="zh-CN" w:bidi="ar-SA"/>
              </w:rPr>
              <w:t>人员</w:t>
            </w:r>
            <w:r>
              <w:rPr>
                <w:rFonts w:hint="eastAsia" w:ascii="Times New Roman" w:hAnsi="Times New Roman" w:eastAsia="宋体" w:cs="Times New Roman"/>
                <w:kern w:val="2"/>
                <w:sz w:val="21"/>
                <w:szCs w:val="20"/>
                <w:lang w:val="en-US" w:eastAsia="zh-CN" w:bidi="ar-SA"/>
              </w:rPr>
              <w:t>，得3分，本项最高得分</w:t>
            </w:r>
            <w:r>
              <w:rPr>
                <w:rFonts w:hint="eastAsia" w:cs="Times New Roman"/>
                <w:kern w:val="2"/>
                <w:sz w:val="21"/>
                <w:szCs w:val="20"/>
                <w:lang w:val="en-US" w:eastAsia="zh-CN" w:bidi="ar-SA"/>
              </w:rPr>
              <w:t>3</w:t>
            </w:r>
            <w:r>
              <w:rPr>
                <w:rFonts w:hint="eastAsia" w:ascii="Times New Roman" w:hAnsi="Times New Roman" w:eastAsia="宋体" w:cs="Times New Roman"/>
                <w:kern w:val="2"/>
                <w:sz w:val="21"/>
                <w:szCs w:val="20"/>
                <w:lang w:val="en-US" w:eastAsia="zh-CN" w:bidi="ar-SA"/>
              </w:rPr>
              <w:t>分；</w:t>
            </w:r>
          </w:p>
          <w:p>
            <w:pPr>
              <w:keepNext w:val="0"/>
              <w:keepLines w:val="0"/>
              <w:widowControl w:val="0"/>
              <w:suppressLineNumbers w:val="0"/>
              <w:spacing w:before="0" w:beforeAutospacing="0" w:after="0" w:afterAutospacing="0"/>
              <w:ind w:left="0" w:leftChars="0" w:right="0" w:rightChars="0" w:firstLine="420" w:firstLineChars="200"/>
              <w:jc w:val="both"/>
              <w:rPr>
                <w:rFonts w:hint="eastAsia" w:ascii="宋体" w:hAnsi="宋体" w:eastAsia="宋体" w:cs="宋体"/>
                <w:szCs w:val="21"/>
                <w:lang w:val="en-US" w:eastAsia="zh-CN"/>
              </w:rPr>
            </w:pPr>
            <w:r>
              <w:rPr>
                <w:rFonts w:hint="eastAsia" w:ascii="宋体" w:hAnsi="宋体" w:eastAsia="宋体" w:cs="宋体"/>
                <w:kern w:val="2"/>
                <w:sz w:val="21"/>
                <w:szCs w:val="21"/>
                <w:lang w:val="en-US" w:eastAsia="zh-CN" w:bidi="ar"/>
              </w:rPr>
              <w:t>注：报价人须提供以上人员身份证、职称复印件、由报价人为其购买社保近3个月的相关证明材料和资格证明材料，并加盖单位鲜公章，以上人员按最高得分计算，不能重复计算得分，。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07"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方正仿宋_GBK"/>
                <w:snapToGrid w:val="0"/>
                <w:kern w:val="0"/>
                <w:szCs w:val="21"/>
                <w:lang w:val="en-US" w:eastAsia="zh-CN"/>
              </w:rPr>
            </w:pPr>
            <w:r>
              <w:rPr>
                <w:rFonts w:hint="eastAsia" w:ascii="宋体" w:hAnsi="宋体" w:cs="方正仿宋_GBK"/>
                <w:snapToGrid w:val="0"/>
                <w:kern w:val="0"/>
                <w:szCs w:val="21"/>
                <w:lang w:val="en-US" w:eastAsia="zh-CN"/>
              </w:rPr>
              <w:t xml:space="preserve">业绩       </w:t>
            </w:r>
          </w:p>
          <w:p>
            <w:pPr>
              <w:keepNext w:val="0"/>
              <w:keepLines w:val="0"/>
              <w:suppressLineNumbers w:val="0"/>
              <w:spacing w:before="0" w:beforeAutospacing="0" w:after="0" w:afterAutospacing="0"/>
              <w:ind w:left="0" w:leftChars="0" w:right="0" w:rightChars="0"/>
              <w:jc w:val="center"/>
              <w:rPr>
                <w:rFonts w:hint="eastAsia" w:ascii="宋体" w:hAnsi="宋体" w:eastAsia="宋体" w:cs="宋体"/>
                <w:kern w:val="0"/>
                <w:szCs w:val="21"/>
                <w:lang w:eastAsia="zh-CN"/>
              </w:rPr>
            </w:pPr>
            <w:r>
              <w:rPr>
                <w:rFonts w:hint="eastAsia" w:ascii="宋体" w:hAnsi="宋体" w:cs="方正仿宋_GBK"/>
                <w:snapToGrid w:val="0"/>
                <w:kern w:val="0"/>
                <w:szCs w:val="21"/>
                <w:lang w:val="en-US" w:eastAsia="zh-CN"/>
              </w:rPr>
              <w:t>（9分）</w:t>
            </w:r>
          </w:p>
        </w:tc>
        <w:tc>
          <w:tcPr>
            <w:tcW w:w="5004" w:type="dxa"/>
            <w:tcBorders>
              <w:top w:val="single" w:color="auto" w:sz="4" w:space="0"/>
              <w:left w:val="single" w:color="auto" w:sz="4" w:space="0"/>
              <w:bottom w:val="single" w:color="auto" w:sz="4" w:space="0"/>
            </w:tcBorders>
            <w:noWrap w:val="0"/>
            <w:vAlign w:val="center"/>
          </w:tcPr>
          <w:p>
            <w:pPr>
              <w:keepNext w:val="0"/>
              <w:keepLines w:val="0"/>
              <w:widowControl w:val="0"/>
              <w:suppressLineNumbers w:val="0"/>
              <w:spacing w:before="0" w:beforeAutospacing="0" w:after="0" w:afterAutospacing="0"/>
              <w:ind w:left="0" w:right="0" w:firstLine="420" w:firstLineChars="200"/>
              <w:jc w:val="both"/>
              <w:rPr>
                <w:rFonts w:hint="eastAsia" w:ascii="宋体" w:hAnsi="宋体" w:cs="方正仿宋_GBK"/>
                <w:b w:val="0"/>
                <w:bCs w:val="0"/>
                <w:szCs w:val="21"/>
                <w:lang w:val="en-US" w:eastAsia="zh-CN"/>
              </w:rPr>
            </w:pPr>
            <w:r>
              <w:rPr>
                <w:rFonts w:hint="eastAsia" w:ascii="宋体" w:hAnsi="宋体" w:eastAsia="宋体" w:cs="方正仿宋_GBK"/>
                <w:b w:val="0"/>
                <w:bCs w:val="0"/>
                <w:kern w:val="2"/>
                <w:sz w:val="21"/>
                <w:szCs w:val="21"/>
                <w:lang w:val="en-US" w:eastAsia="zh-CN" w:bidi="ar-SA"/>
              </w:rPr>
              <w:t>1、</w:t>
            </w:r>
            <w:r>
              <w:rPr>
                <w:rFonts w:hint="eastAsia" w:ascii="宋体" w:hAnsi="宋体" w:eastAsia="宋体" w:cs="宋体"/>
                <w:b w:val="0"/>
                <w:bCs w:val="0"/>
                <w:kern w:val="2"/>
                <w:sz w:val="21"/>
                <w:szCs w:val="21"/>
                <w:lang w:val="en-US" w:eastAsia="zh-CN" w:bidi="ar"/>
              </w:rPr>
              <w:t>在满足基础资格业绩下，得</w:t>
            </w:r>
            <w:r>
              <w:rPr>
                <w:rFonts w:hint="eastAsia" w:ascii="宋体" w:hAnsi="宋体" w:cs="宋体"/>
                <w:b w:val="0"/>
                <w:bCs w:val="0"/>
                <w:kern w:val="2"/>
                <w:sz w:val="21"/>
                <w:szCs w:val="21"/>
                <w:lang w:val="en-US" w:eastAsia="zh-CN" w:bidi="ar"/>
              </w:rPr>
              <w:t>3</w:t>
            </w:r>
            <w:r>
              <w:rPr>
                <w:rFonts w:hint="eastAsia" w:ascii="宋体" w:hAnsi="宋体" w:eastAsia="宋体" w:cs="宋体"/>
                <w:b w:val="0"/>
                <w:bCs w:val="0"/>
                <w:kern w:val="2"/>
                <w:sz w:val="21"/>
                <w:szCs w:val="21"/>
                <w:lang w:val="en-US" w:eastAsia="zh-CN" w:bidi="ar"/>
              </w:rPr>
              <w:t>分</w:t>
            </w:r>
            <w:r>
              <w:rPr>
                <w:rFonts w:hint="eastAsia" w:ascii="宋体" w:hAnsi="宋体" w:cs="方正仿宋_GBK"/>
                <w:b w:val="0"/>
                <w:bCs w:val="0"/>
                <w:szCs w:val="21"/>
                <w:lang w:val="en-US" w:eastAsia="zh-CN"/>
              </w:rPr>
              <w:t>；</w:t>
            </w:r>
          </w:p>
          <w:p>
            <w:pPr>
              <w:keepNext w:val="0"/>
              <w:keepLines w:val="0"/>
              <w:numPr>
                <w:ilvl w:val="0"/>
                <w:numId w:val="0"/>
              </w:numPr>
              <w:suppressLineNumbers w:val="0"/>
              <w:adjustRightInd w:val="0"/>
              <w:snapToGrid w:val="0"/>
              <w:spacing w:before="0" w:beforeAutospacing="0" w:after="0" w:afterAutospacing="0" w:line="360" w:lineRule="auto"/>
              <w:ind w:left="0" w:right="0" w:firstLine="420" w:firstLineChars="200"/>
              <w:jc w:val="left"/>
              <w:rPr>
                <w:rFonts w:hint="eastAsia" w:ascii="宋体" w:hAnsi="宋体" w:cs="方正仿宋_GBK"/>
                <w:b w:val="0"/>
                <w:bCs w:val="0"/>
                <w:szCs w:val="21"/>
                <w:lang w:val="en-US" w:eastAsia="zh-CN"/>
              </w:rPr>
            </w:pPr>
            <w:r>
              <w:rPr>
                <w:rFonts w:hint="default" w:ascii="宋体" w:hAnsi="宋体" w:eastAsia="宋体" w:cs="方正仿宋_GBK"/>
                <w:b w:val="0"/>
                <w:bCs w:val="0"/>
                <w:kern w:val="2"/>
                <w:sz w:val="21"/>
                <w:szCs w:val="21"/>
                <w:lang w:val="en-US" w:eastAsia="zh-CN" w:bidi="ar-SA"/>
              </w:rPr>
              <w:t>2、</w:t>
            </w:r>
            <w:r>
              <w:rPr>
                <w:rFonts w:hint="eastAsia" w:ascii="宋体" w:hAnsi="宋体" w:cs="方正仿宋_GBK"/>
                <w:b w:val="0"/>
                <w:bCs w:val="0"/>
                <w:szCs w:val="21"/>
                <w:lang w:val="en-US" w:eastAsia="zh-CN"/>
              </w:rPr>
              <w:t>报价人在2021年1月1日至投标截止时间内，每增加一个股权转让或股权投资或股权合作类似领域的可行性研究业绩或咨询业绩，得3分，本项最高得6分。</w:t>
            </w:r>
          </w:p>
          <w:p>
            <w:pPr>
              <w:pStyle w:val="2"/>
              <w:keepNext w:val="0"/>
              <w:keepLines w:val="0"/>
              <w:suppressLineNumbers w:val="0"/>
              <w:spacing w:before="0" w:beforeAutospacing="0" w:afterAutospacing="0" w:line="240" w:lineRule="auto"/>
              <w:ind w:left="420" w:leftChars="200" w:right="0" w:rightChars="0"/>
              <w:rPr>
                <w:rFonts w:hint="eastAsia" w:ascii="宋体" w:hAnsi="宋体" w:cs="宋体"/>
                <w:szCs w:val="21"/>
              </w:rPr>
            </w:pPr>
            <w:r>
              <w:rPr>
                <w:rFonts w:hint="eastAsia" w:ascii="宋体" w:hAnsi="宋体" w:eastAsia="宋体" w:cs="方正仿宋_GBK"/>
                <w:b w:val="0"/>
                <w:bCs w:val="0"/>
                <w:kern w:val="2"/>
                <w:sz w:val="21"/>
                <w:szCs w:val="21"/>
                <w:lang w:val="en-US" w:eastAsia="zh-CN" w:bidi="ar-SA"/>
              </w:rPr>
              <w:t>注：</w:t>
            </w:r>
            <w:r>
              <w:rPr>
                <w:rFonts w:hint="eastAsia" w:ascii="宋体" w:hAnsi="宋体" w:cs="方正仿宋_GBK"/>
                <w:b w:val="0"/>
                <w:bCs w:val="0"/>
                <w:kern w:val="2"/>
                <w:sz w:val="21"/>
                <w:szCs w:val="21"/>
                <w:lang w:val="en-US" w:eastAsia="zh-CN" w:bidi="ar-SA"/>
              </w:rPr>
              <w:t>报价人</w:t>
            </w:r>
            <w:r>
              <w:rPr>
                <w:rFonts w:hint="eastAsia" w:ascii="宋体" w:hAnsi="宋体" w:eastAsia="宋体" w:cs="宋体"/>
                <w:kern w:val="2"/>
                <w:sz w:val="21"/>
                <w:szCs w:val="21"/>
                <w:lang w:val="en-US" w:eastAsia="zh-CN" w:bidi="ar"/>
              </w:rPr>
              <w:t>须</w:t>
            </w:r>
            <w:r>
              <w:rPr>
                <w:rFonts w:hint="eastAsia" w:ascii="宋体" w:hAnsi="宋体" w:eastAsia="宋体" w:cs="方正仿宋_GBK"/>
                <w:b w:val="0"/>
                <w:bCs w:val="0"/>
                <w:kern w:val="2"/>
                <w:sz w:val="21"/>
                <w:szCs w:val="21"/>
                <w:lang w:val="en-US" w:eastAsia="zh-CN" w:bidi="ar-SA"/>
              </w:rPr>
              <w:t>提供</w:t>
            </w:r>
            <w:r>
              <w:rPr>
                <w:rFonts w:hint="eastAsia" w:ascii="宋体" w:hAnsi="宋体" w:cs="方正仿宋_GBK"/>
                <w:b w:val="0"/>
                <w:bCs w:val="0"/>
                <w:kern w:val="2"/>
                <w:sz w:val="21"/>
                <w:szCs w:val="21"/>
                <w:lang w:val="en-US" w:eastAsia="zh-CN" w:bidi="ar-SA"/>
              </w:rPr>
              <w:t>业绩</w:t>
            </w:r>
            <w:r>
              <w:rPr>
                <w:rFonts w:hint="eastAsia" w:ascii="宋体" w:hAnsi="宋体" w:eastAsia="宋体" w:cs="方正仿宋_GBK"/>
                <w:b w:val="0"/>
                <w:bCs w:val="0"/>
                <w:kern w:val="2"/>
                <w:sz w:val="21"/>
                <w:szCs w:val="21"/>
                <w:lang w:val="en-US" w:eastAsia="zh-CN" w:bidi="ar-SA"/>
              </w:rPr>
              <w:t>合同扫描件，并加盖单位鲜公章。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方正仿宋_GBK"/>
                <w:snapToGrid w:val="0"/>
                <w:kern w:val="0"/>
                <w:szCs w:val="21"/>
              </w:rPr>
            </w:pPr>
            <w:r>
              <w:rPr>
                <w:rFonts w:hint="eastAsia" w:ascii="宋体" w:hAnsi="宋体" w:cs="方正仿宋_GBK"/>
                <w:snapToGrid w:val="0"/>
                <w:kern w:val="0"/>
                <w:szCs w:val="21"/>
              </w:rPr>
              <w:t>财务能力</w:t>
            </w:r>
          </w:p>
          <w:p>
            <w:pPr>
              <w:keepNext w:val="0"/>
              <w:keepLines w:val="0"/>
              <w:suppressLineNumbers w:val="0"/>
              <w:spacing w:before="0" w:beforeAutospacing="0" w:after="0" w:afterAutospacing="0"/>
              <w:ind w:left="0" w:leftChars="0" w:right="0" w:rightChars="0"/>
              <w:jc w:val="center"/>
              <w:rPr>
                <w:rFonts w:hint="eastAsia" w:ascii="宋体" w:hAnsi="宋体" w:cs="宋体"/>
                <w:kern w:val="0"/>
                <w:szCs w:val="21"/>
              </w:rPr>
            </w:pPr>
            <w:r>
              <w:rPr>
                <w:rFonts w:hint="eastAsia" w:ascii="宋体" w:hAnsi="宋体" w:cs="方正仿宋_GBK"/>
                <w:snapToGrid w:val="0"/>
                <w:kern w:val="0"/>
                <w:szCs w:val="21"/>
              </w:rPr>
              <w:t>（2分）</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eastAsia" w:ascii="宋体" w:hAnsi="宋体" w:cs="方正仿宋_GBK"/>
                <w:szCs w:val="21"/>
                <w:highlight w:val="none"/>
              </w:rPr>
            </w:pPr>
            <w:r>
              <w:rPr>
                <w:rFonts w:hint="eastAsia" w:ascii="宋体" w:hAnsi="宋体" w:cs="方正仿宋_GBK"/>
                <w:szCs w:val="21"/>
                <w:highlight w:val="none"/>
                <w:lang w:eastAsia="zh-CN"/>
              </w:rPr>
              <w:t>报价人</w:t>
            </w:r>
            <w:r>
              <w:rPr>
                <w:rFonts w:hint="eastAsia" w:ascii="宋体" w:hAnsi="宋体" w:cs="方正仿宋_GBK"/>
                <w:szCs w:val="21"/>
                <w:highlight w:val="none"/>
              </w:rPr>
              <w:t>202</w:t>
            </w:r>
            <w:r>
              <w:rPr>
                <w:rFonts w:hint="eastAsia" w:ascii="宋体" w:hAnsi="宋体" w:cs="方正仿宋_GBK"/>
                <w:szCs w:val="21"/>
                <w:highlight w:val="none"/>
                <w:lang w:val="en-US" w:eastAsia="zh-CN"/>
              </w:rPr>
              <w:t>1</w:t>
            </w:r>
            <w:r>
              <w:rPr>
                <w:rFonts w:hint="eastAsia" w:ascii="宋体" w:hAnsi="宋体" w:cs="方正仿宋_GBK"/>
                <w:szCs w:val="21"/>
                <w:highlight w:val="none"/>
                <w:lang w:eastAsia="zh-CN"/>
              </w:rPr>
              <w:t>、</w:t>
            </w:r>
            <w:r>
              <w:rPr>
                <w:rFonts w:hint="eastAsia" w:ascii="宋体" w:hAnsi="宋体" w:cs="方正仿宋_GBK"/>
                <w:szCs w:val="21"/>
                <w:highlight w:val="none"/>
                <w:lang w:val="en-US" w:eastAsia="zh-CN"/>
              </w:rPr>
              <w:t>2022</w:t>
            </w:r>
            <w:r>
              <w:rPr>
                <w:rFonts w:hint="eastAsia" w:ascii="宋体" w:hAnsi="宋体" w:cs="方正仿宋_GBK"/>
                <w:szCs w:val="21"/>
                <w:highlight w:val="none"/>
              </w:rPr>
              <w:t>及2023年经营状况良好，</w:t>
            </w:r>
            <w:r>
              <w:rPr>
                <w:rFonts w:hint="eastAsia" w:ascii="宋体" w:hAnsi="宋体" w:cs="方正仿宋_GBK"/>
                <w:szCs w:val="21"/>
                <w:highlight w:val="none"/>
                <w:lang w:val="en-US" w:eastAsia="zh-CN"/>
              </w:rPr>
              <w:t>3</w:t>
            </w:r>
            <w:r>
              <w:rPr>
                <w:rFonts w:hint="eastAsia" w:ascii="宋体" w:hAnsi="宋体" w:cs="方正仿宋_GBK"/>
                <w:szCs w:val="21"/>
                <w:highlight w:val="none"/>
              </w:rPr>
              <w:t>年均不亏损得2分，</w:t>
            </w:r>
            <w:r>
              <w:rPr>
                <w:rFonts w:hint="eastAsia" w:ascii="宋体" w:hAnsi="宋体" w:cs="方正仿宋_GBK"/>
                <w:szCs w:val="21"/>
                <w:highlight w:val="none"/>
                <w:lang w:val="en-US" w:eastAsia="zh-CN"/>
              </w:rPr>
              <w:t>其余情况不得分</w:t>
            </w:r>
            <w:r>
              <w:rPr>
                <w:rFonts w:hint="eastAsia" w:ascii="宋体" w:hAnsi="宋体" w:cs="方正仿宋_GBK"/>
                <w:szCs w:val="21"/>
                <w:highlight w:val="none"/>
              </w:rPr>
              <w:t>，满分2分。</w:t>
            </w:r>
          </w:p>
          <w:p>
            <w:pPr>
              <w:keepNext w:val="0"/>
              <w:keepLines w:val="0"/>
              <w:suppressLineNumbers w:val="0"/>
              <w:adjustRightInd w:val="0"/>
              <w:snapToGrid w:val="0"/>
              <w:spacing w:before="0" w:beforeAutospacing="0" w:after="0" w:afterAutospacing="0" w:line="360" w:lineRule="auto"/>
              <w:ind w:left="0" w:leftChars="0" w:right="0" w:rightChars="0" w:firstLine="420" w:firstLineChars="200"/>
              <w:jc w:val="left"/>
              <w:rPr>
                <w:rFonts w:hint="eastAsia" w:ascii="宋体" w:hAnsi="宋体" w:cs="宋体"/>
                <w:szCs w:val="21"/>
              </w:rPr>
            </w:pPr>
            <w:r>
              <w:rPr>
                <w:rFonts w:hint="eastAsia" w:ascii="宋体" w:hAnsi="宋体" w:cs="方正仿宋_GBK"/>
                <w:kern w:val="0"/>
                <w:szCs w:val="21"/>
                <w:highlight w:val="none"/>
              </w:rPr>
              <w:t>注：提供第三方审计机构出具的财务报告复印件并加盖</w:t>
            </w:r>
            <w:r>
              <w:rPr>
                <w:rFonts w:hint="eastAsia" w:ascii="宋体" w:hAnsi="宋体" w:cs="方正仿宋_GBK"/>
                <w:szCs w:val="21"/>
                <w:highlight w:val="none"/>
              </w:rPr>
              <w:t>投标单位法人章</w:t>
            </w:r>
            <w:r>
              <w:rPr>
                <w:rFonts w:hint="eastAsia" w:ascii="宋体" w:hAnsi="宋体" w:cs="方正仿宋_GBK"/>
                <w:kern w:val="0"/>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8" w:hRule="atLeas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8</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C.技术部分评分标准（</w:t>
            </w:r>
            <w:r>
              <w:rPr>
                <w:rFonts w:hint="eastAsia" w:ascii="宋体" w:hAnsi="宋体" w:cs="宋体"/>
                <w:kern w:val="0"/>
                <w:szCs w:val="21"/>
                <w:lang w:val="en-US" w:eastAsia="zh-CN"/>
              </w:rPr>
              <w:t>2</w:t>
            </w:r>
            <w:r>
              <w:rPr>
                <w:rFonts w:hint="eastAsia" w:ascii="宋体" w:hAnsi="宋体" w:cs="宋体"/>
                <w:kern w:val="0"/>
                <w:szCs w:val="21"/>
              </w:rPr>
              <w:t>0分）</w:t>
            </w:r>
          </w:p>
        </w:tc>
        <w:tc>
          <w:tcPr>
            <w:tcW w:w="2117" w:type="dxa"/>
            <w:tcBorders>
              <w:top w:val="single" w:color="auto" w:sz="4" w:space="0"/>
              <w:left w:val="single" w:color="auto" w:sz="4" w:space="0"/>
              <w:bottom w:val="single" w:color="auto" w:sz="4" w:space="0"/>
            </w:tcBorders>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rPr>
            </w:pPr>
            <w:r>
              <w:rPr>
                <w:rFonts w:hint="eastAsia" w:ascii="宋体" w:hAnsi="宋体" w:eastAsia="宋体" w:cs="宋体"/>
                <w:kern w:val="2"/>
                <w:sz w:val="21"/>
                <w:szCs w:val="21"/>
                <w:lang w:val="en-US" w:eastAsia="zh-CN" w:bidi="ar"/>
              </w:rPr>
              <w:t>项目组织方案        （10分）</w:t>
            </w:r>
          </w:p>
        </w:tc>
        <w:tc>
          <w:tcPr>
            <w:tcW w:w="5004" w:type="dxa"/>
            <w:tcBorders>
              <w:top w:val="single" w:color="auto" w:sz="4" w:space="0"/>
              <w:left w:val="single" w:color="auto" w:sz="4" w:space="0"/>
              <w:bottom w:val="single" w:color="auto" w:sz="4" w:space="0"/>
            </w:tcBorders>
            <w:noWrap w:val="0"/>
            <w:vAlign w:val="top"/>
          </w:tcPr>
          <w:p>
            <w:pPr>
              <w:keepNext/>
              <w:keepLines/>
              <w:widowControl w:val="0"/>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eastAsia="宋体" w:cs="方正仿宋_GBK"/>
                <w:kern w:val="2"/>
                <w:sz w:val="21"/>
                <w:szCs w:val="21"/>
              </w:rPr>
            </w:pPr>
            <w:r>
              <w:rPr>
                <w:rFonts w:hint="eastAsia" w:ascii="宋体" w:hAnsi="宋体" w:eastAsia="宋体" w:cs="宋体"/>
                <w:kern w:val="2"/>
                <w:sz w:val="21"/>
                <w:szCs w:val="21"/>
                <w:lang w:val="en-US" w:eastAsia="zh-CN" w:bidi="ar"/>
              </w:rPr>
              <w:t>根据本项目实际情况，编制项目组织布置及规划方案，主要包含项目的工期安排计划、人员安排计划及保证措施等方面内容。</w:t>
            </w:r>
          </w:p>
          <w:p>
            <w:pPr>
              <w:keepNext/>
              <w:keepLines/>
              <w:widowControl w:val="0"/>
              <w:suppressLineNumbers w:val="0"/>
              <w:adjustRightInd w:val="0"/>
              <w:snapToGrid w:val="0"/>
              <w:spacing w:before="0" w:beforeAutospacing="0" w:after="0" w:afterAutospacing="0" w:line="360" w:lineRule="auto"/>
              <w:ind w:left="0" w:leftChars="0" w:right="0" w:rightChars="0" w:firstLine="420" w:firstLineChars="200"/>
              <w:jc w:val="left"/>
              <w:outlineLvl w:val="2"/>
              <w:rPr>
                <w:rFonts w:hint="eastAsia"/>
                <w:szCs w:val="21"/>
              </w:rPr>
            </w:pPr>
            <w:r>
              <w:rPr>
                <w:rFonts w:hint="eastAsia" w:ascii="宋体" w:hAnsi="宋体" w:eastAsia="宋体" w:cs="宋体"/>
                <w:kern w:val="2"/>
                <w:sz w:val="21"/>
                <w:szCs w:val="21"/>
                <w:lang w:val="en-US" w:eastAsia="zh-CN" w:bidi="ar"/>
              </w:rPr>
              <w:t>方案详细、完整、全面，服务目标明确，工作流程清晰、规范的得10~8分；方案较为完整、工作较为流程清晰、规范的得8~6，方案不齐全、内容不详实可操作性差的得6~0分，缺陷不得分。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6"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宋体"/>
                <w:kern w:val="0"/>
                <w:szCs w:val="21"/>
              </w:rPr>
            </w:pPr>
            <w:r>
              <w:rPr>
                <w:rFonts w:hint="eastAsia" w:ascii="宋体" w:hAnsi="宋体" w:cs="方正仿宋_GBK"/>
                <w:szCs w:val="24"/>
              </w:rPr>
              <w:t>项目实施方案</w:t>
            </w:r>
            <w:r>
              <w:rPr>
                <w:rFonts w:hint="eastAsia" w:ascii="宋体" w:hAnsi="宋体" w:cs="方正仿宋_GBK"/>
                <w:kern w:val="0"/>
                <w:szCs w:val="21"/>
              </w:rPr>
              <w:t xml:space="preserve">     （10分）</w:t>
            </w:r>
          </w:p>
        </w:tc>
        <w:tc>
          <w:tcPr>
            <w:tcW w:w="5004" w:type="dxa"/>
            <w:tcBorders>
              <w:top w:val="single" w:color="auto" w:sz="4" w:space="0"/>
              <w:left w:val="single" w:color="auto" w:sz="4" w:space="0"/>
              <w:bottom w:val="single" w:color="auto" w:sz="4" w:space="0"/>
            </w:tcBorders>
            <w:noWrap w:val="0"/>
            <w:vAlign w:val="top"/>
          </w:tcPr>
          <w:p>
            <w:pPr>
              <w:keepNext/>
              <w:keepLines/>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cs="方正仿宋_GBK"/>
                <w:szCs w:val="22"/>
              </w:rPr>
            </w:pPr>
            <w:r>
              <w:rPr>
                <w:rFonts w:hint="eastAsia" w:ascii="宋体" w:hAnsi="宋体" w:cs="方正仿宋_GBK"/>
                <w:szCs w:val="22"/>
              </w:rPr>
              <w:t>项目实施方案需包含：</w:t>
            </w:r>
            <w:r>
              <w:rPr>
                <w:rFonts w:hint="eastAsia" w:ascii="宋体" w:hAnsi="宋体" w:cs="方正仿宋_GBK"/>
                <w:szCs w:val="21"/>
              </w:rPr>
              <w:t>①</w:t>
            </w:r>
            <w:r>
              <w:rPr>
                <w:rFonts w:hint="eastAsia" w:ascii="宋体" w:hAnsi="宋体" w:cs="方正仿宋_GBK"/>
                <w:szCs w:val="21"/>
                <w:lang w:val="en-US" w:eastAsia="zh-CN"/>
              </w:rPr>
              <w:t>技术分析及论证方法</w:t>
            </w:r>
            <w:r>
              <w:rPr>
                <w:rFonts w:hint="eastAsia" w:ascii="宋体" w:hAnsi="宋体" w:cs="方正仿宋_GBK"/>
                <w:szCs w:val="21"/>
              </w:rPr>
              <w:t>②</w:t>
            </w:r>
            <w:r>
              <w:rPr>
                <w:rFonts w:hint="eastAsia" w:ascii="宋体" w:hAnsi="宋体" w:cs="方正仿宋_GBK"/>
                <w:szCs w:val="21"/>
                <w:lang w:val="en-US" w:eastAsia="zh-CN"/>
              </w:rPr>
              <w:t>项目可行性研究报告的基本框架</w:t>
            </w:r>
            <w:r>
              <w:rPr>
                <w:rFonts w:hint="eastAsia" w:ascii="宋体" w:hAnsi="宋体" w:cs="方正仿宋_GBK"/>
                <w:szCs w:val="22"/>
              </w:rPr>
              <w:t>。</w:t>
            </w:r>
          </w:p>
          <w:p>
            <w:pPr>
              <w:keepNext/>
              <w:keepLines/>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cs="方正仿宋_GBK"/>
                <w:szCs w:val="21"/>
              </w:rPr>
            </w:pPr>
            <w:r>
              <w:rPr>
                <w:rFonts w:hint="eastAsia" w:ascii="宋体" w:hAnsi="宋体" w:cs="方正仿宋_GBK"/>
                <w:szCs w:val="21"/>
              </w:rPr>
              <w:t>方案详细、完整、全面，服务目标明确，工作流程清晰、规范的得10~8分；方案较为完整、工作较为流程清晰、规范的得8~6，方案不齐全、内容不详实可操作性差的得6~0分，缺陷不得分。</w:t>
            </w:r>
          </w:p>
          <w:p>
            <w:pPr>
              <w:keepNext/>
              <w:keepLines/>
              <w:suppressLineNumbers w:val="0"/>
              <w:adjustRightInd w:val="0"/>
              <w:snapToGrid w:val="0"/>
              <w:spacing w:before="0" w:beforeAutospacing="0" w:after="0" w:afterAutospacing="0" w:line="360" w:lineRule="auto"/>
              <w:ind w:left="0" w:leftChars="0" w:right="0" w:rightChars="0" w:firstLine="422" w:firstLineChars="200"/>
              <w:jc w:val="left"/>
              <w:outlineLvl w:val="2"/>
              <w:rPr>
                <w:rFonts w:hint="eastAsia"/>
                <w:szCs w:val="21"/>
              </w:rPr>
            </w:pPr>
            <w:r>
              <w:rPr>
                <w:rFonts w:hint="eastAsia" w:ascii="宋体" w:hAnsi="宋体" w:cs="方正仿宋_GBK"/>
                <w:b/>
                <w:bCs/>
                <w:szCs w:val="24"/>
              </w:rPr>
              <w:t>注：技术分析及论证方法、项目可行性研究报告</w:t>
            </w:r>
            <w:r>
              <w:rPr>
                <w:rFonts w:hint="eastAsia" w:ascii="宋体" w:hAnsi="宋体" w:cs="方正仿宋_GBK"/>
                <w:b/>
                <w:bCs/>
                <w:szCs w:val="24"/>
                <w:lang w:val="en-US" w:eastAsia="zh-CN"/>
              </w:rPr>
              <w:t>的基本框架</w:t>
            </w:r>
            <w:r>
              <w:rPr>
                <w:rFonts w:hint="eastAsia" w:ascii="宋体" w:hAnsi="宋体" w:cs="方正仿宋_GBK"/>
                <w:b/>
                <w:bCs/>
                <w:szCs w:val="24"/>
              </w:rPr>
              <w:t>需分别编写。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9</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r>
              <w:rPr>
                <w:rFonts w:hint="eastAsia" w:ascii="宋体" w:hAnsi="宋体" w:cs="宋体"/>
                <w:kern w:val="0"/>
                <w:szCs w:val="21"/>
              </w:rPr>
              <w:t>评标</w:t>
            </w:r>
          </w:p>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程序</w:t>
            </w:r>
          </w:p>
        </w:tc>
        <w:tc>
          <w:tcPr>
            <w:tcW w:w="7121" w:type="dxa"/>
            <w:gridSpan w:val="2"/>
            <w:tcBorders>
              <w:top w:val="single" w:color="auto" w:sz="4" w:space="0"/>
              <w:left w:val="single" w:color="auto" w:sz="4" w:space="0"/>
              <w:bottom w:val="single" w:color="auto" w:sz="4" w:space="0"/>
            </w:tcBorders>
            <w:noWrap w:val="0"/>
            <w:vAlign w:val="center"/>
          </w:tcPr>
          <w:p>
            <w:pPr>
              <w:pStyle w:val="17"/>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 xml:space="preserve">1.按本章评标办法第2.1款、2.2款及2.3款进行初步评审，未通过初步评审或评标委员会认定为无效的投标文件的不再进行后续评审。 </w:t>
            </w:r>
          </w:p>
          <w:p>
            <w:pPr>
              <w:pStyle w:val="17"/>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2.按本章评标办法前附表第3.1款的规定进行报价投标报价部分评审；</w:t>
            </w:r>
          </w:p>
          <w:p>
            <w:pPr>
              <w:pStyle w:val="17"/>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3.按本章评标办法前附表第3.2款的规定进行商务部分的评审；</w:t>
            </w:r>
          </w:p>
          <w:p>
            <w:pPr>
              <w:pStyle w:val="17"/>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4.按本章评标办法前附表第 3.3款的规定进行技术部分的评审；</w:t>
            </w:r>
          </w:p>
          <w:p>
            <w:pPr>
              <w:pStyle w:val="17"/>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5.因评标委员会作否决投标处理导致有效</w:t>
            </w:r>
            <w:r>
              <w:rPr>
                <w:rFonts w:hint="eastAsia"/>
                <w:highlight w:val="none"/>
                <w:lang w:eastAsia="zh-CN"/>
              </w:rPr>
              <w:t>报价人</w:t>
            </w:r>
            <w:r>
              <w:rPr>
                <w:rFonts w:hint="eastAsia"/>
                <w:highlight w:val="none"/>
              </w:rPr>
              <w:t>不足三个的，评标委员会 应当否决所有投标。但是有效</w:t>
            </w:r>
            <w:r>
              <w:rPr>
                <w:rFonts w:hint="eastAsia"/>
                <w:highlight w:val="none"/>
                <w:lang w:eastAsia="zh-CN"/>
              </w:rPr>
              <w:t>报价人</w:t>
            </w:r>
            <w:r>
              <w:rPr>
                <w:rFonts w:hint="eastAsia"/>
                <w:highlight w:val="none"/>
              </w:rPr>
              <w:t xml:space="preserve">的经济、技术等指标仍然具有市场竞争力， 能够满足采购文件要求的，评标委员会可以继续评标并确定中标候选人。 </w:t>
            </w:r>
          </w:p>
          <w:p>
            <w:pPr>
              <w:pStyle w:val="17"/>
              <w:keepNext w:val="0"/>
              <w:keepLines w:val="0"/>
              <w:suppressLineNumbers w:val="0"/>
              <w:spacing w:before="0" w:beforeAutospacing="0" w:afterAutospacing="0"/>
              <w:ind w:left="0" w:right="0" w:firstLine="420" w:firstLineChars="200"/>
              <w:rPr>
                <w:rFonts w:hint="default" w:eastAsia="宋体"/>
                <w:lang w:val="en-US" w:eastAsia="zh-CN"/>
              </w:rPr>
            </w:pPr>
            <w:r>
              <w:rPr>
                <w:rFonts w:hint="eastAsia"/>
                <w:kern w:val="2"/>
                <w:sz w:val="21"/>
                <w:highlight w:val="none"/>
              </w:rPr>
              <w:t>6.对技术部分、商务部分、投标总报价得分进行汇总，确定得分由高至低前 2名</w:t>
            </w:r>
            <w:r>
              <w:rPr>
                <w:rFonts w:hint="eastAsia"/>
                <w:kern w:val="2"/>
                <w:sz w:val="21"/>
                <w:highlight w:val="none"/>
                <w:lang w:eastAsia="zh-CN"/>
              </w:rPr>
              <w:t>报价人</w:t>
            </w:r>
            <w:r>
              <w:rPr>
                <w:rFonts w:hint="eastAsia"/>
                <w:kern w:val="2"/>
                <w:sz w:val="21"/>
                <w:highlight w:val="none"/>
              </w:rPr>
              <w:t>为中标候选人。</w:t>
            </w:r>
            <w:r>
              <w:rPr>
                <w:rFonts w:hint="eastAsia"/>
                <w:highlight w:val="non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10</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1" w:lineRule="exact"/>
              <w:ind w:left="0" w:right="0"/>
              <w:jc w:val="center"/>
              <w:rPr>
                <w:rFonts w:hint="eastAsia"/>
              </w:rPr>
            </w:pPr>
            <w:r>
              <w:rPr>
                <w:rFonts w:hint="eastAsia" w:ascii="宋体" w:hAnsi="宋体" w:cs="宋体"/>
                <w:szCs w:val="21"/>
              </w:rPr>
              <w:t>报价人得分</w:t>
            </w:r>
          </w:p>
        </w:tc>
        <w:tc>
          <w:tcPr>
            <w:tcW w:w="7121" w:type="dxa"/>
            <w:gridSpan w:val="2"/>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firstLine="420"/>
              <w:jc w:val="center"/>
              <w:rPr>
                <w:rFonts w:hint="eastAsia"/>
              </w:rPr>
            </w:pPr>
            <w:r>
              <w:rPr>
                <w:rFonts w:hint="eastAsia" w:ascii="宋体" w:hAnsi="宋体" w:cs="宋体"/>
                <w:szCs w:val="21"/>
              </w:rPr>
              <w:t>报价人得分=A+B+C</w:t>
            </w:r>
          </w:p>
        </w:tc>
      </w:tr>
    </w:tbl>
    <w:p>
      <w:pPr>
        <w:pStyle w:val="9"/>
        <w:spacing w:line="418" w:lineRule="exact"/>
        <w:ind w:left="0" w:firstLine="0"/>
        <w:outlineLvl w:val="1"/>
        <w:rPr>
          <w:rFonts w:ascii="宋体" w:hAnsi="宋体" w:eastAsia="宋体" w:cs="宋体"/>
          <w:kern w:val="2"/>
          <w:sz w:val="21"/>
          <w:szCs w:val="21"/>
        </w:rPr>
      </w:pPr>
      <w:r>
        <w:rPr>
          <w:rFonts w:hint="eastAsia" w:ascii="宋体" w:hAnsi="宋体" w:eastAsia="宋体" w:cs="宋体"/>
          <w:kern w:val="2"/>
          <w:sz w:val="21"/>
          <w:szCs w:val="21"/>
        </w:rPr>
        <w:t xml:space="preserve">1. 评标方法 </w:t>
      </w:r>
    </w:p>
    <w:p>
      <w:pPr>
        <w:pStyle w:val="17"/>
        <w:spacing w:before="119" w:line="352" w:lineRule="auto"/>
        <w:ind w:firstLine="420" w:firstLineChars="200"/>
        <w:rPr>
          <w:rFonts w:ascii="宋体" w:hAnsi="宋体" w:cs="宋体"/>
          <w:kern w:val="2"/>
          <w:sz w:val="21"/>
          <w:szCs w:val="21"/>
        </w:rPr>
      </w:pPr>
      <w:r>
        <w:rPr>
          <w:rFonts w:hint="eastAsia" w:ascii="宋体" w:hAnsi="宋体" w:cs="宋体"/>
          <w:kern w:val="2"/>
          <w:sz w:val="21"/>
          <w:szCs w:val="21"/>
        </w:rPr>
        <w:t>本次评标采用综合评分法。评标委员会按照本章评标办法前附表规定的评分标准进行打分，按得分由高到低顺序推荐中标候选人，若出现</w:t>
      </w:r>
      <w:r>
        <w:rPr>
          <w:rFonts w:hint="eastAsia" w:ascii="宋体" w:hAnsi="宋体" w:cs="宋体"/>
          <w:kern w:val="2"/>
          <w:sz w:val="21"/>
          <w:szCs w:val="21"/>
          <w:lang w:eastAsia="zh-CN"/>
        </w:rPr>
        <w:t>报价人</w:t>
      </w:r>
      <w:r>
        <w:rPr>
          <w:rFonts w:hint="eastAsia" w:ascii="宋体" w:hAnsi="宋体" w:cs="宋体"/>
          <w:kern w:val="2"/>
          <w:sz w:val="21"/>
          <w:szCs w:val="21"/>
        </w:rPr>
        <w:t xml:space="preserve">投标报价相同的，以评标办法前附表约定的原则确定排序。 </w:t>
      </w:r>
    </w:p>
    <w:p>
      <w:pPr>
        <w:pStyle w:val="9"/>
        <w:spacing w:before="56"/>
        <w:outlineLvl w:val="1"/>
        <w:rPr>
          <w:rFonts w:ascii="宋体" w:hAnsi="宋体" w:eastAsia="宋体" w:cs="宋体"/>
          <w:kern w:val="2"/>
          <w:sz w:val="21"/>
          <w:szCs w:val="21"/>
        </w:rPr>
      </w:pPr>
      <w:bookmarkStart w:id="130" w:name="2._评审标准"/>
      <w:bookmarkEnd w:id="130"/>
      <w:r>
        <w:rPr>
          <w:rFonts w:hint="eastAsia" w:ascii="宋体" w:hAnsi="宋体" w:eastAsia="宋体" w:cs="宋体"/>
          <w:kern w:val="2"/>
          <w:sz w:val="21"/>
          <w:szCs w:val="21"/>
        </w:rPr>
        <w:t xml:space="preserve">2. 评审标准 </w:t>
      </w:r>
    </w:p>
    <w:p>
      <w:pPr>
        <w:spacing w:before="156"/>
        <w:ind w:left="106"/>
        <w:outlineLvl w:val="2"/>
        <w:rPr>
          <w:rFonts w:ascii="宋体" w:hAnsi="宋体" w:cs="宋体"/>
          <w:szCs w:val="21"/>
        </w:rPr>
      </w:pPr>
      <w:bookmarkStart w:id="131" w:name="2.1_初步评审标准"/>
      <w:bookmarkEnd w:id="131"/>
      <w:r>
        <w:rPr>
          <w:rFonts w:hint="eastAsia" w:ascii="宋体" w:hAnsi="宋体" w:cs="宋体"/>
          <w:szCs w:val="21"/>
        </w:rPr>
        <w:t xml:space="preserve">2.1 初步评审标准 </w:t>
      </w:r>
    </w:p>
    <w:p>
      <w:pPr>
        <w:pStyle w:val="17"/>
        <w:spacing w:before="61"/>
        <w:ind w:left="647"/>
        <w:rPr>
          <w:rFonts w:ascii="宋体" w:hAnsi="宋体" w:cs="宋体"/>
          <w:caps/>
          <w:kern w:val="2"/>
          <w:sz w:val="21"/>
          <w:szCs w:val="21"/>
        </w:rPr>
      </w:pPr>
      <w:r>
        <w:rPr>
          <w:rFonts w:hint="eastAsia" w:ascii="宋体" w:hAnsi="宋体" w:cs="宋体"/>
          <w:caps/>
          <w:kern w:val="2"/>
          <w:sz w:val="21"/>
          <w:szCs w:val="21"/>
        </w:rPr>
        <w:t xml:space="preserve">2.1.1 资格评审标准：见评标办法前附表。 </w:t>
      </w:r>
    </w:p>
    <w:p>
      <w:pPr>
        <w:pStyle w:val="17"/>
        <w:spacing w:before="130"/>
        <w:ind w:left="647"/>
        <w:rPr>
          <w:rFonts w:ascii="宋体" w:hAnsi="宋体" w:cs="宋体"/>
          <w:caps/>
          <w:kern w:val="2"/>
          <w:sz w:val="21"/>
          <w:szCs w:val="21"/>
        </w:rPr>
      </w:pPr>
      <w:r>
        <w:rPr>
          <w:rFonts w:hint="eastAsia" w:ascii="宋体" w:hAnsi="宋体" w:cs="宋体"/>
          <w:caps/>
          <w:kern w:val="2"/>
          <w:sz w:val="21"/>
          <w:szCs w:val="21"/>
        </w:rPr>
        <w:t xml:space="preserve">2.1.2 形式评审标准：见评标办法前附表。 </w:t>
      </w:r>
    </w:p>
    <w:p>
      <w:pPr>
        <w:pStyle w:val="17"/>
        <w:spacing w:before="130"/>
        <w:ind w:left="647"/>
        <w:rPr>
          <w:rFonts w:ascii="宋体" w:hAnsi="宋体" w:cs="宋体"/>
          <w:caps/>
          <w:kern w:val="2"/>
          <w:sz w:val="21"/>
          <w:szCs w:val="21"/>
        </w:rPr>
      </w:pPr>
      <w:r>
        <w:rPr>
          <w:rFonts w:hint="eastAsia" w:ascii="宋体" w:hAnsi="宋体" w:cs="宋体"/>
          <w:caps/>
          <w:kern w:val="2"/>
          <w:sz w:val="21"/>
          <w:szCs w:val="21"/>
        </w:rPr>
        <w:t xml:space="preserve">2.1.3 响应性评审标准：见评标办法前附表。 </w:t>
      </w:r>
    </w:p>
    <w:p>
      <w:pPr>
        <w:rPr>
          <w:rFonts w:ascii="宋体" w:hAnsi="宋体" w:cs="宋体"/>
          <w:caps/>
          <w:szCs w:val="21"/>
        </w:rPr>
      </w:pPr>
    </w:p>
    <w:p>
      <w:pPr>
        <w:ind w:left="106"/>
        <w:outlineLvl w:val="2"/>
        <w:rPr>
          <w:rFonts w:ascii="宋体" w:hAnsi="宋体" w:cs="宋体"/>
          <w:caps/>
          <w:szCs w:val="21"/>
        </w:rPr>
      </w:pPr>
      <w:bookmarkStart w:id="132" w:name="2.2_分值构成与评分标准"/>
      <w:bookmarkEnd w:id="132"/>
      <w:r>
        <w:rPr>
          <w:rFonts w:hint="eastAsia" w:ascii="宋体" w:hAnsi="宋体" w:cs="宋体"/>
          <w:caps/>
          <w:szCs w:val="21"/>
        </w:rPr>
        <w:t xml:space="preserve">2.2 分值构成与评分标准 </w:t>
      </w:r>
    </w:p>
    <w:p>
      <w:pPr>
        <w:pStyle w:val="17"/>
        <w:spacing w:before="62"/>
        <w:ind w:left="632"/>
        <w:rPr>
          <w:rFonts w:ascii="宋体" w:hAnsi="宋体" w:cs="宋体"/>
          <w:caps/>
          <w:kern w:val="2"/>
          <w:sz w:val="21"/>
          <w:szCs w:val="21"/>
        </w:rPr>
      </w:pPr>
      <w:r>
        <w:rPr>
          <w:rFonts w:hint="eastAsia" w:ascii="宋体" w:hAnsi="宋体" w:cs="宋体"/>
          <w:caps/>
          <w:kern w:val="2"/>
          <w:sz w:val="21"/>
          <w:szCs w:val="21"/>
        </w:rPr>
        <w:t xml:space="preserve">2.2.1 分值构成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（1）技术部分：见评标办法前附表； </w:t>
      </w:r>
    </w:p>
    <w:p>
      <w:pPr>
        <w:pStyle w:val="17"/>
        <w:spacing w:before="145"/>
        <w:ind w:left="526"/>
        <w:rPr>
          <w:rFonts w:ascii="宋体" w:hAnsi="宋体" w:cs="宋体"/>
          <w:caps/>
          <w:kern w:val="2"/>
          <w:sz w:val="21"/>
          <w:szCs w:val="21"/>
        </w:rPr>
      </w:pPr>
      <w:r>
        <w:rPr>
          <w:rFonts w:hint="eastAsia" w:ascii="宋体" w:hAnsi="宋体" w:cs="宋体"/>
          <w:caps/>
          <w:kern w:val="2"/>
          <w:sz w:val="21"/>
          <w:szCs w:val="21"/>
        </w:rPr>
        <w:t xml:space="preserve">（2）商务部分：见评标办法前附表； </w:t>
      </w:r>
    </w:p>
    <w:p>
      <w:pPr>
        <w:pStyle w:val="17"/>
        <w:spacing w:before="29" w:line="367" w:lineRule="auto"/>
        <w:ind w:firstLine="526"/>
        <w:rPr>
          <w:rFonts w:ascii="宋体" w:hAnsi="宋体" w:cs="宋体"/>
          <w:caps/>
          <w:kern w:val="2"/>
          <w:sz w:val="21"/>
          <w:szCs w:val="21"/>
        </w:rPr>
      </w:pPr>
      <w:r>
        <w:rPr>
          <w:rFonts w:hint="eastAsia" w:ascii="宋体" w:hAnsi="宋体" w:cs="宋体"/>
          <w:caps/>
          <w:kern w:val="2"/>
          <w:sz w:val="21"/>
          <w:szCs w:val="21"/>
        </w:rPr>
        <w:t>（3）投标总报价：见评标办法前附表。</w:t>
      </w:r>
    </w:p>
    <w:p>
      <w:pPr>
        <w:pStyle w:val="17"/>
        <w:spacing w:before="145" w:line="355" w:lineRule="auto"/>
        <w:ind w:left="632" w:right="5004" w:hanging="106"/>
        <w:rPr>
          <w:rFonts w:ascii="宋体" w:hAnsi="宋体" w:cs="宋体"/>
          <w:caps/>
          <w:kern w:val="2"/>
          <w:sz w:val="21"/>
          <w:szCs w:val="21"/>
        </w:rPr>
      </w:pPr>
      <w:r>
        <w:rPr>
          <w:rFonts w:hint="eastAsia" w:ascii="宋体" w:hAnsi="宋体" w:cs="宋体"/>
          <w:caps/>
          <w:kern w:val="2"/>
          <w:sz w:val="21"/>
          <w:szCs w:val="21"/>
        </w:rPr>
        <w:t xml:space="preserve"> 2.2.2 评审标准 </w:t>
      </w:r>
    </w:p>
    <w:p>
      <w:pPr>
        <w:pStyle w:val="17"/>
        <w:spacing w:before="29" w:line="367" w:lineRule="auto"/>
        <w:ind w:firstLine="526"/>
        <w:rPr>
          <w:rFonts w:ascii="宋体" w:hAnsi="宋体" w:cs="宋体"/>
          <w:caps/>
          <w:kern w:val="2"/>
          <w:sz w:val="21"/>
          <w:szCs w:val="21"/>
        </w:rPr>
      </w:pPr>
      <w:r>
        <w:rPr>
          <w:rFonts w:hint="eastAsia" w:ascii="宋体" w:hAnsi="宋体" w:cs="宋体"/>
          <w:caps/>
          <w:kern w:val="2"/>
          <w:sz w:val="21"/>
          <w:szCs w:val="21"/>
        </w:rPr>
        <w:t>（1）技术部分评分标准：见评标办法前附表；（对于施工难度大、专业技术复杂的项目，应由</w:t>
      </w:r>
      <w:r>
        <w:rPr>
          <w:rFonts w:hint="eastAsia" w:ascii="宋体" w:hAnsi="宋体" w:cs="宋体"/>
          <w:caps/>
          <w:kern w:val="2"/>
          <w:sz w:val="21"/>
          <w:szCs w:val="21"/>
          <w:lang w:eastAsia="zh-CN"/>
        </w:rPr>
        <w:t>采购人</w:t>
      </w:r>
      <w:r>
        <w:rPr>
          <w:rFonts w:hint="eastAsia" w:ascii="宋体" w:hAnsi="宋体" w:cs="宋体"/>
          <w:caps/>
          <w:kern w:val="2"/>
          <w:sz w:val="21"/>
          <w:szCs w:val="21"/>
        </w:rPr>
        <w:t xml:space="preserve">会同设计单位提出技术方案方案编写要点，作为评分标准）。 </w:t>
      </w:r>
    </w:p>
    <w:p>
      <w:pPr>
        <w:pStyle w:val="17"/>
        <w:spacing w:before="19"/>
        <w:ind w:left="647"/>
        <w:rPr>
          <w:rFonts w:ascii="宋体" w:hAnsi="宋体" w:cs="宋体"/>
          <w:caps/>
          <w:kern w:val="2"/>
          <w:sz w:val="21"/>
          <w:szCs w:val="21"/>
        </w:rPr>
      </w:pPr>
      <w:r>
        <w:rPr>
          <w:rFonts w:hint="eastAsia" w:ascii="宋体" w:hAnsi="宋体" w:cs="宋体"/>
          <w:caps/>
          <w:kern w:val="2"/>
          <w:sz w:val="21"/>
          <w:szCs w:val="21"/>
        </w:rPr>
        <w:t xml:space="preserve">（2） 商务部分评分标准：见评标办法前附表； </w:t>
      </w:r>
    </w:p>
    <w:p>
      <w:pPr>
        <w:pStyle w:val="17"/>
        <w:spacing w:before="130" w:line="360" w:lineRule="auto"/>
        <w:ind w:left="647" w:right="2891"/>
        <w:rPr>
          <w:rFonts w:ascii="宋体" w:hAnsi="宋体" w:cs="宋体"/>
          <w:caps/>
          <w:kern w:val="2"/>
          <w:sz w:val="21"/>
          <w:szCs w:val="21"/>
        </w:rPr>
      </w:pPr>
      <w:r>
        <w:rPr>
          <w:rFonts w:hint="eastAsia" w:ascii="宋体" w:hAnsi="宋体" w:cs="宋体"/>
          <w:caps/>
          <w:kern w:val="2"/>
          <w:sz w:val="21"/>
          <w:szCs w:val="21"/>
        </w:rPr>
        <w:t xml:space="preserve">（3） 报价评审标准：见评标办法前附表； </w:t>
      </w:r>
    </w:p>
    <w:p>
      <w:pPr>
        <w:pStyle w:val="17"/>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2.2.3 评标基准价计算 评标基准价的计算方法：见评标办法前附表。 </w:t>
      </w:r>
    </w:p>
    <w:p>
      <w:pPr>
        <w:pStyle w:val="17"/>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2.2.4 投标报价的偏差率计算 投标报价的偏差率计算公式：见评标办法前附表。 </w:t>
      </w:r>
    </w:p>
    <w:p>
      <w:pPr>
        <w:pStyle w:val="9"/>
        <w:spacing w:before="54"/>
        <w:outlineLvl w:val="1"/>
        <w:rPr>
          <w:rFonts w:ascii="宋体" w:hAnsi="宋体" w:eastAsia="宋体" w:cs="宋体"/>
          <w:caps/>
          <w:kern w:val="2"/>
          <w:sz w:val="21"/>
          <w:szCs w:val="21"/>
        </w:rPr>
      </w:pPr>
      <w:bookmarkStart w:id="133" w:name="3._评标程序"/>
      <w:bookmarkEnd w:id="133"/>
      <w:r>
        <w:rPr>
          <w:rFonts w:hint="eastAsia" w:ascii="宋体" w:hAnsi="宋体" w:eastAsia="宋体" w:cs="宋体"/>
          <w:caps/>
          <w:kern w:val="2"/>
          <w:sz w:val="21"/>
          <w:szCs w:val="21"/>
        </w:rPr>
        <w:t xml:space="preserve">3. 评标程序 </w:t>
      </w:r>
    </w:p>
    <w:p>
      <w:pPr>
        <w:spacing w:before="157"/>
        <w:ind w:left="106"/>
        <w:outlineLvl w:val="2"/>
        <w:rPr>
          <w:rFonts w:ascii="宋体" w:hAnsi="宋体" w:cs="宋体"/>
          <w:caps/>
          <w:szCs w:val="21"/>
        </w:rPr>
      </w:pPr>
      <w:bookmarkStart w:id="134" w:name="3.1_初步评审"/>
      <w:bookmarkEnd w:id="134"/>
      <w:r>
        <w:rPr>
          <w:rFonts w:hint="eastAsia" w:ascii="宋体" w:hAnsi="宋体" w:cs="宋体"/>
          <w:caps/>
          <w:szCs w:val="21"/>
        </w:rPr>
        <w:t xml:space="preserve">3.1 初步评审 </w:t>
      </w:r>
    </w:p>
    <w:p>
      <w:pPr>
        <w:pStyle w:val="17"/>
        <w:spacing w:before="61" w:line="355" w:lineRule="auto"/>
        <w:ind w:firstLine="420"/>
        <w:rPr>
          <w:rFonts w:ascii="宋体" w:hAnsi="宋体" w:cs="宋体"/>
          <w:caps/>
          <w:kern w:val="2"/>
          <w:sz w:val="21"/>
          <w:szCs w:val="21"/>
        </w:rPr>
      </w:pPr>
      <w:r>
        <w:rPr>
          <w:rFonts w:hint="eastAsia" w:ascii="宋体" w:hAnsi="宋体" w:cs="宋体"/>
          <w:caps/>
          <w:kern w:val="2"/>
          <w:sz w:val="21"/>
          <w:szCs w:val="21"/>
        </w:rPr>
        <w:t>3.1.1 评标委员会依据本章第2.1款、2.2款及2.3款规定的标准对投标文件进行初步评审。有一项不符合评审标准的，作否决投标处理。</w:t>
      </w:r>
    </w:p>
    <w:p>
      <w:pPr>
        <w:pStyle w:val="17"/>
        <w:spacing w:before="32"/>
        <w:ind w:left="526"/>
        <w:rPr>
          <w:rFonts w:ascii="宋体" w:hAnsi="宋体" w:cs="宋体"/>
          <w:caps/>
          <w:kern w:val="2"/>
          <w:sz w:val="21"/>
          <w:szCs w:val="21"/>
        </w:rPr>
      </w:pPr>
      <w:r>
        <w:rPr>
          <w:rFonts w:hint="eastAsia" w:ascii="宋体" w:hAnsi="宋体" w:cs="宋体"/>
          <w:caps/>
          <w:kern w:val="2"/>
          <w:sz w:val="21"/>
          <w:szCs w:val="21"/>
        </w:rPr>
        <w:t xml:space="preserve">3.1.2 </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有以下情形之一的，其投标作否决投标处理： </w:t>
      </w:r>
    </w:p>
    <w:p>
      <w:pPr>
        <w:pStyle w:val="17"/>
        <w:spacing w:before="145"/>
        <w:ind w:left="526"/>
        <w:rPr>
          <w:rFonts w:ascii="宋体" w:hAnsi="宋体" w:cs="宋体"/>
          <w:caps/>
          <w:kern w:val="2"/>
          <w:sz w:val="21"/>
          <w:szCs w:val="21"/>
        </w:rPr>
      </w:pPr>
      <w:r>
        <w:rPr>
          <w:rFonts w:hint="eastAsia" w:ascii="宋体" w:hAnsi="宋体" w:cs="宋体"/>
          <w:caps/>
          <w:kern w:val="2"/>
          <w:sz w:val="21"/>
          <w:szCs w:val="21"/>
        </w:rPr>
        <w:t>（1）第二章“</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须知”第1.4.3项规定的任何一种情形的；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（2）本次投标有串通投标、弄虚作假等其他违反招投标相关法律、法规行为的；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（3）拒绝按评标委员会要求澄清、说明或补正的。 </w:t>
      </w:r>
    </w:p>
    <w:p>
      <w:pPr>
        <w:pStyle w:val="17"/>
        <w:spacing w:before="6" w:line="352" w:lineRule="auto"/>
        <w:ind w:firstLine="630" w:firstLineChars="300"/>
        <w:rPr>
          <w:rFonts w:ascii="宋体" w:hAnsi="宋体" w:cs="宋体"/>
          <w:caps/>
          <w:kern w:val="2"/>
          <w:sz w:val="21"/>
          <w:szCs w:val="21"/>
        </w:rPr>
      </w:pPr>
      <w:r>
        <w:rPr>
          <w:rFonts w:hint="eastAsia" w:ascii="宋体" w:hAnsi="宋体" w:cs="宋体"/>
          <w:caps/>
          <w:kern w:val="2"/>
          <w:sz w:val="21"/>
          <w:szCs w:val="21"/>
        </w:rPr>
        <w:t>3.1.3 投标报价有算术错误的，评标委员会按以下原则对投标报价进行修正，修正的价格经</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 书面确认后具有约束力，修正原则如下： </w:t>
      </w:r>
    </w:p>
    <w:p>
      <w:pPr>
        <w:pStyle w:val="17"/>
        <w:spacing w:before="32"/>
        <w:ind w:firstLine="420" w:firstLineChars="200"/>
        <w:rPr>
          <w:rFonts w:ascii="宋体" w:hAnsi="宋体" w:cs="宋体"/>
          <w:caps/>
          <w:kern w:val="2"/>
          <w:sz w:val="21"/>
          <w:szCs w:val="21"/>
        </w:rPr>
      </w:pPr>
      <w:r>
        <w:rPr>
          <w:rFonts w:hint="eastAsia" w:ascii="宋体" w:hAnsi="宋体" w:cs="宋体"/>
          <w:caps/>
          <w:kern w:val="2"/>
          <w:sz w:val="21"/>
          <w:szCs w:val="21"/>
        </w:rPr>
        <w:t xml:space="preserve">（1）投标文件中的大写金额与小写金额不一致的，以大写金额为准； </w:t>
      </w:r>
    </w:p>
    <w:p>
      <w:pPr>
        <w:pStyle w:val="17"/>
        <w:spacing w:before="145"/>
        <w:ind w:firstLine="420"/>
        <w:rPr>
          <w:rFonts w:ascii="宋体" w:hAnsi="宋体" w:cs="宋体"/>
          <w:caps/>
          <w:kern w:val="2"/>
          <w:sz w:val="21"/>
          <w:szCs w:val="21"/>
        </w:rPr>
      </w:pPr>
      <w:r>
        <w:rPr>
          <w:rFonts w:hint="eastAsia" w:ascii="宋体" w:hAnsi="宋体" w:cs="宋体"/>
          <w:caps/>
          <w:kern w:val="2"/>
          <w:sz w:val="21"/>
          <w:szCs w:val="21"/>
        </w:rPr>
        <w:t xml:space="preserve">（2）竞争性比选响应声明书的总报价与已标价工程量清单总报价不一致的，由评标委员会作否决投标处理。 </w:t>
      </w:r>
    </w:p>
    <w:p>
      <w:pPr>
        <w:spacing w:before="169"/>
        <w:ind w:left="106"/>
        <w:outlineLvl w:val="2"/>
        <w:rPr>
          <w:rFonts w:ascii="宋体" w:hAnsi="宋体" w:cs="宋体"/>
          <w:caps/>
          <w:szCs w:val="21"/>
        </w:rPr>
      </w:pPr>
      <w:bookmarkStart w:id="135" w:name="3.2_详细评审"/>
      <w:bookmarkEnd w:id="135"/>
      <w:r>
        <w:rPr>
          <w:rFonts w:hint="eastAsia" w:ascii="宋体" w:hAnsi="宋体" w:cs="宋体"/>
          <w:caps/>
          <w:szCs w:val="21"/>
        </w:rPr>
        <w:t xml:space="preserve">3.2 详细评审 </w:t>
      </w:r>
    </w:p>
    <w:p>
      <w:pPr>
        <w:pStyle w:val="17"/>
        <w:spacing w:before="61"/>
        <w:ind w:left="526"/>
        <w:rPr>
          <w:rFonts w:ascii="宋体" w:hAnsi="宋体" w:cs="宋体"/>
          <w:caps/>
          <w:kern w:val="2"/>
          <w:sz w:val="21"/>
          <w:szCs w:val="21"/>
        </w:rPr>
      </w:pPr>
      <w:r>
        <w:rPr>
          <w:rFonts w:hint="eastAsia" w:ascii="宋体" w:hAnsi="宋体" w:cs="宋体"/>
          <w:caps/>
          <w:kern w:val="2"/>
          <w:sz w:val="21"/>
          <w:szCs w:val="21"/>
        </w:rPr>
        <w:t xml:space="preserve">3.2.1 评标委员会按本章第3.1款、3.2款及3.3款规定的量化因素和分值进行打分，并计算出综合评估得分。 </w:t>
      </w:r>
    </w:p>
    <w:p>
      <w:pPr>
        <w:pStyle w:val="17"/>
        <w:spacing w:before="130" w:line="367" w:lineRule="auto"/>
        <w:ind w:firstLine="420"/>
        <w:rPr>
          <w:rFonts w:ascii="宋体" w:hAnsi="宋体" w:cs="宋体"/>
          <w:caps/>
          <w:kern w:val="2"/>
          <w:sz w:val="21"/>
          <w:szCs w:val="21"/>
        </w:rPr>
      </w:pPr>
      <w:r>
        <w:rPr>
          <w:rFonts w:hint="eastAsia" w:ascii="宋体" w:hAnsi="宋体" w:cs="宋体"/>
          <w:caps/>
          <w:kern w:val="2"/>
          <w:sz w:val="21"/>
          <w:szCs w:val="21"/>
        </w:rPr>
        <w:t>（1）按本章第3.3目规定的评审因素和分值对技术部分计算出得分A（所有评委打分中去掉 一个最高和一个最低分，余下评委打分取算术平均值为该</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技术部分得分。） </w:t>
      </w:r>
    </w:p>
    <w:p>
      <w:pPr>
        <w:pStyle w:val="17"/>
        <w:spacing w:before="19"/>
        <w:ind w:left="526"/>
        <w:rPr>
          <w:rFonts w:ascii="宋体" w:hAnsi="宋体" w:cs="宋体"/>
          <w:caps/>
          <w:kern w:val="2"/>
          <w:sz w:val="21"/>
          <w:szCs w:val="21"/>
        </w:rPr>
      </w:pPr>
      <w:r>
        <w:rPr>
          <w:rFonts w:hint="eastAsia" w:ascii="宋体" w:hAnsi="宋体" w:cs="宋体"/>
          <w:caps/>
          <w:kern w:val="2"/>
          <w:sz w:val="21"/>
          <w:szCs w:val="21"/>
        </w:rPr>
        <w:t xml:space="preserve">（2）按本章第3.2目规定的评审因素和分值对商务部分计算出得分B。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（3）按本章第3.1目规定的评审因素和分值对投标总报价计算出得分C。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3.2.2 各类评分分值的最终计算结果保留小数点后两位，小数点后第三位“四舍五入”。 </w:t>
      </w:r>
    </w:p>
    <w:p>
      <w:pPr>
        <w:pStyle w:val="17"/>
        <w:spacing w:before="130"/>
        <w:ind w:left="526"/>
        <w:rPr>
          <w:rFonts w:ascii="宋体" w:hAnsi="宋体" w:cs="宋体"/>
          <w:caps/>
          <w:kern w:val="2"/>
          <w:sz w:val="21"/>
          <w:szCs w:val="21"/>
        </w:rPr>
      </w:pPr>
      <w:r>
        <w:rPr>
          <w:rFonts w:hint="eastAsia" w:ascii="宋体" w:hAnsi="宋体" w:cs="宋体"/>
          <w:caps/>
          <w:kern w:val="2"/>
          <w:sz w:val="21"/>
          <w:szCs w:val="21"/>
        </w:rPr>
        <w:t xml:space="preserve">3.2.3  </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得分=A+B+C。 </w:t>
      </w:r>
    </w:p>
    <w:p>
      <w:pPr>
        <w:spacing w:before="1"/>
        <w:rPr>
          <w:rFonts w:ascii="宋体" w:hAnsi="宋体" w:cs="宋体"/>
          <w:caps/>
          <w:szCs w:val="21"/>
        </w:rPr>
      </w:pPr>
    </w:p>
    <w:p>
      <w:pPr>
        <w:ind w:left="106"/>
        <w:outlineLvl w:val="2"/>
        <w:rPr>
          <w:rFonts w:ascii="宋体" w:hAnsi="宋体" w:cs="宋体"/>
          <w:caps/>
          <w:szCs w:val="21"/>
        </w:rPr>
      </w:pPr>
      <w:bookmarkStart w:id="136" w:name="3.3_投标文件的澄清和补正"/>
      <w:bookmarkEnd w:id="136"/>
      <w:r>
        <w:rPr>
          <w:rFonts w:hint="eastAsia" w:ascii="宋体" w:hAnsi="宋体" w:cs="宋体"/>
          <w:caps/>
          <w:szCs w:val="21"/>
        </w:rPr>
        <w:t xml:space="preserve">3.3 投标文件的澄清和补正 </w:t>
      </w:r>
    </w:p>
    <w:p>
      <w:pPr>
        <w:pStyle w:val="17"/>
        <w:spacing w:before="61" w:line="355" w:lineRule="auto"/>
        <w:ind w:firstLine="420"/>
        <w:rPr>
          <w:rFonts w:ascii="宋体" w:hAnsi="宋体" w:cs="宋体"/>
          <w:caps/>
          <w:kern w:val="2"/>
          <w:sz w:val="21"/>
          <w:szCs w:val="21"/>
        </w:rPr>
      </w:pPr>
      <w:r>
        <w:rPr>
          <w:rFonts w:hint="eastAsia" w:ascii="宋体" w:hAnsi="宋体" w:cs="宋体"/>
          <w:caps/>
          <w:kern w:val="2"/>
          <w:sz w:val="21"/>
          <w:szCs w:val="21"/>
        </w:rPr>
        <w:t>3.3.1 在评标过程中，评标委员会可以书面形式要求</w:t>
      </w:r>
      <w:r>
        <w:rPr>
          <w:rFonts w:hint="eastAsia" w:ascii="宋体" w:hAnsi="宋体" w:cs="宋体"/>
          <w:caps/>
          <w:kern w:val="2"/>
          <w:sz w:val="21"/>
          <w:szCs w:val="21"/>
          <w:lang w:eastAsia="zh-CN"/>
        </w:rPr>
        <w:t>报价人</w:t>
      </w:r>
      <w:r>
        <w:rPr>
          <w:rFonts w:hint="eastAsia" w:ascii="宋体" w:hAnsi="宋体" w:cs="宋体"/>
          <w:caps/>
          <w:kern w:val="2"/>
          <w:sz w:val="21"/>
          <w:szCs w:val="21"/>
        </w:rPr>
        <w:t>对所提交投标文件中不明确的内容进行 书面澄清或说明，或者对细微偏差进行补正。评标委员会不接受</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主动提出的澄清、说明或补正。 </w:t>
      </w:r>
    </w:p>
    <w:p>
      <w:pPr>
        <w:pStyle w:val="17"/>
        <w:spacing w:before="29" w:line="367" w:lineRule="auto"/>
        <w:ind w:firstLine="420"/>
        <w:rPr>
          <w:rFonts w:ascii="宋体" w:hAnsi="宋体" w:cs="宋体"/>
          <w:caps/>
          <w:kern w:val="2"/>
          <w:sz w:val="21"/>
          <w:szCs w:val="21"/>
        </w:rPr>
      </w:pPr>
      <w:r>
        <w:rPr>
          <w:rFonts w:hint="eastAsia" w:ascii="宋体" w:hAnsi="宋体" w:cs="宋体"/>
          <w:caps/>
          <w:kern w:val="2"/>
          <w:sz w:val="21"/>
          <w:szCs w:val="21"/>
        </w:rPr>
        <w:t>3.3.2 澄清、说明和补正不得改变投标文件的实质性内容（算术性错误修正的除外）。</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的书 面澄清、说明和补正属于投标文件的组成部分。 </w:t>
      </w:r>
    </w:p>
    <w:p>
      <w:pPr>
        <w:pStyle w:val="17"/>
        <w:spacing w:before="19" w:line="355" w:lineRule="auto"/>
        <w:ind w:firstLine="420"/>
        <w:rPr>
          <w:rFonts w:ascii="宋体" w:hAnsi="宋体" w:cs="宋体"/>
          <w:caps/>
          <w:kern w:val="2"/>
          <w:sz w:val="21"/>
          <w:szCs w:val="21"/>
        </w:rPr>
      </w:pPr>
      <w:r>
        <w:rPr>
          <w:rFonts w:hint="eastAsia" w:ascii="宋体" w:hAnsi="宋体" w:cs="宋体"/>
          <w:caps/>
          <w:kern w:val="2"/>
          <w:sz w:val="21"/>
          <w:szCs w:val="21"/>
        </w:rPr>
        <w:t>3.3.3 评标委员会对</w:t>
      </w:r>
      <w:r>
        <w:rPr>
          <w:rFonts w:hint="eastAsia" w:ascii="宋体" w:hAnsi="宋体" w:cs="宋体"/>
          <w:caps/>
          <w:kern w:val="2"/>
          <w:sz w:val="21"/>
          <w:szCs w:val="21"/>
          <w:lang w:eastAsia="zh-CN"/>
        </w:rPr>
        <w:t>报价人</w:t>
      </w:r>
      <w:r>
        <w:rPr>
          <w:rFonts w:hint="eastAsia" w:ascii="宋体" w:hAnsi="宋体" w:cs="宋体"/>
          <w:caps/>
          <w:kern w:val="2"/>
          <w:sz w:val="21"/>
          <w:szCs w:val="21"/>
        </w:rPr>
        <w:t>提交的澄清、说明或补正有疑问的，可以要求</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进一步澄清、说明 或补正，直至满足评标委员会的要求。 </w:t>
      </w:r>
    </w:p>
    <w:p>
      <w:pPr>
        <w:spacing w:before="68"/>
        <w:ind w:left="106"/>
        <w:outlineLvl w:val="2"/>
        <w:rPr>
          <w:rFonts w:ascii="宋体" w:hAnsi="宋体" w:cs="宋体"/>
          <w:caps/>
          <w:szCs w:val="21"/>
        </w:rPr>
      </w:pPr>
      <w:bookmarkStart w:id="137" w:name="3.4_评标结果"/>
      <w:bookmarkEnd w:id="137"/>
      <w:r>
        <w:rPr>
          <w:rFonts w:hint="eastAsia" w:ascii="宋体" w:hAnsi="宋体" w:cs="宋体"/>
          <w:caps/>
          <w:szCs w:val="21"/>
        </w:rPr>
        <w:t xml:space="preserve">3.4 评标结果 </w:t>
      </w:r>
    </w:p>
    <w:p>
      <w:pPr>
        <w:pStyle w:val="17"/>
        <w:spacing w:before="76" w:line="355" w:lineRule="auto"/>
        <w:ind w:firstLine="420"/>
        <w:rPr>
          <w:rFonts w:hint="eastAsia" w:ascii="宋体" w:hAnsi="宋体" w:cs="宋体"/>
          <w:caps/>
          <w:kern w:val="2"/>
          <w:sz w:val="21"/>
          <w:szCs w:val="21"/>
        </w:rPr>
      </w:pPr>
      <w:r>
        <w:rPr>
          <w:rFonts w:hint="eastAsia" w:ascii="宋体" w:hAnsi="宋体" w:cs="宋体"/>
          <w:caps/>
          <w:kern w:val="2"/>
          <w:sz w:val="21"/>
          <w:szCs w:val="21"/>
        </w:rPr>
        <w:t>3.4.1 除第二章“</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须知”前附表授权直接确定中标人外，评标委员会按照得分由高到低的顺 序推荐中标候选人。 </w:t>
      </w:r>
    </w:p>
    <w:p>
      <w:pPr>
        <w:pStyle w:val="17"/>
        <w:spacing w:before="76" w:line="355" w:lineRule="auto"/>
        <w:ind w:firstLine="420"/>
        <w:jc w:val="left"/>
        <w:rPr>
          <w:rFonts w:hint="eastAsia" w:ascii="宋体" w:hAnsi="宋体" w:cs="宋体"/>
          <w:b w:val="0"/>
          <w:bCs w:val="0"/>
          <w:sz w:val="21"/>
          <w:szCs w:val="21"/>
        </w:rPr>
      </w:pPr>
      <w:r>
        <w:rPr>
          <w:rFonts w:hint="eastAsia" w:ascii="宋体" w:hAnsi="宋体" w:cs="宋体"/>
          <w:b w:val="0"/>
          <w:bCs w:val="0"/>
          <w:sz w:val="21"/>
          <w:szCs w:val="21"/>
        </w:rPr>
        <w:t>3.4.2 评标委员会完成评标后，应当向</w:t>
      </w:r>
      <w:r>
        <w:rPr>
          <w:rFonts w:hint="eastAsia" w:ascii="宋体" w:hAnsi="宋体" w:cs="宋体"/>
          <w:b w:val="0"/>
          <w:bCs w:val="0"/>
          <w:sz w:val="21"/>
          <w:szCs w:val="21"/>
          <w:lang w:eastAsia="zh-CN"/>
        </w:rPr>
        <w:t>采购人</w:t>
      </w:r>
      <w:r>
        <w:rPr>
          <w:rFonts w:hint="eastAsia" w:ascii="宋体" w:hAnsi="宋体" w:cs="宋体"/>
          <w:b w:val="0"/>
          <w:bCs w:val="0"/>
          <w:sz w:val="21"/>
          <w:szCs w:val="21"/>
        </w:rPr>
        <w:t xml:space="preserve">提交书面评标报告。 </w:t>
      </w:r>
    </w:p>
    <w:p>
      <w:pPr>
        <w:pStyle w:val="17"/>
        <w:spacing w:before="76" w:line="355" w:lineRule="auto"/>
        <w:ind w:firstLine="420"/>
        <w:jc w:val="center"/>
      </w:pPr>
      <w:r>
        <w:rPr>
          <w:rFonts w:hint="eastAsia"/>
        </w:rPr>
        <w:br w:type="page"/>
      </w:r>
      <w:bookmarkStart w:id="138" w:name="_Toc13787"/>
      <w:r>
        <w:rPr>
          <w:rStyle w:val="84"/>
          <w:rFonts w:hint="eastAsia"/>
          <w:b/>
          <w:bCs/>
        </w:rPr>
        <w:t>第四章 报价说明</w:t>
      </w:r>
      <w:bookmarkEnd w:id="138"/>
    </w:p>
    <w:p>
      <w:pPr>
        <w:rPr>
          <w:rFonts w:hint="eastAsia"/>
        </w:rPr>
      </w:pPr>
      <w:r>
        <w:rPr>
          <w:rFonts w:hint="eastAsia"/>
        </w:rPr>
        <w:t>1、工程量清单应与本项目竞争性比选文件、技术标准和要求等文件结合起来查阅与理解。</w:t>
      </w:r>
    </w:p>
    <w:p>
      <w:pPr>
        <w:rPr>
          <w:rFonts w:hint="eastAsia"/>
        </w:rPr>
      </w:pPr>
      <w:r>
        <w:rPr>
          <w:rFonts w:hint="eastAsia"/>
        </w:rPr>
        <w:t>2、本竞争性比选报价采用综合单价报价。报价人应在充分考虑</w:t>
      </w:r>
      <w:r>
        <w:rPr>
          <w:rFonts w:hint="eastAsia"/>
          <w:lang w:val="en-US" w:eastAsia="zh-CN"/>
        </w:rPr>
        <w:t>办公费、通行费、人员工资</w:t>
      </w:r>
      <w:r>
        <w:rPr>
          <w:rFonts w:hint="eastAsia"/>
        </w:rPr>
        <w:t>、增值税专用发票税费等费用，费用分摊到其它相关报价中，业主不再另行支付。在合同执行过程中，如因国家税务政策调整，当增值税税率提高，本合同含税单价不变；当增值税税率降低，本合同不含税单价不变，并相应减少增值税金额。</w:t>
      </w:r>
    </w:p>
    <w:p>
      <w:pPr>
        <w:rPr>
          <w:rFonts w:hint="eastAsia"/>
        </w:rPr>
      </w:pPr>
      <w:r>
        <w:rPr>
          <w:rFonts w:hint="eastAsia"/>
          <w:lang w:val="en-US" w:eastAsia="zh-CN"/>
        </w:rPr>
        <w:t>3</w:t>
      </w:r>
      <w:r>
        <w:rPr>
          <w:rFonts w:hint="eastAsia"/>
        </w:rPr>
        <w:t>、报价人应认真阅读</w:t>
      </w:r>
      <w:r>
        <w:rPr>
          <w:rFonts w:hint="eastAsia"/>
          <w:lang w:val="en-US" w:eastAsia="zh-CN"/>
        </w:rPr>
        <w:t>服务</w:t>
      </w:r>
      <w:r>
        <w:rPr>
          <w:rFonts w:hint="eastAsia"/>
        </w:rPr>
        <w:t>清单中的要求后，填报单价和价格。报出的单价和价格应被认为包括所有劳务、材料、机械、运输、出厂检验、缺陷修复、相关税率、水电、利润和明示或隐含的风险、保险、责任和义务。</w:t>
      </w:r>
    </w:p>
    <w:p>
      <w:pPr>
        <w:rPr>
          <w:rFonts w:hint="eastAsia"/>
        </w:rPr>
      </w:pPr>
      <w:r>
        <w:rPr>
          <w:rFonts w:hint="eastAsia"/>
          <w:lang w:val="en-US" w:eastAsia="zh-CN"/>
        </w:rPr>
        <w:t>4</w:t>
      </w:r>
      <w:r>
        <w:rPr>
          <w:rFonts w:hint="eastAsia"/>
        </w:rPr>
        <w:t>、工程量清单中所列工程量的变动，丝毫不会降低或影响合同条款的效力，也不免除报价人按规定的标准进行供货和修复缺陷的责任。</w:t>
      </w:r>
    </w:p>
    <w:p>
      <w:pPr>
        <w:rPr>
          <w:rFonts w:hint="eastAsia"/>
        </w:rPr>
      </w:pPr>
      <w:r>
        <w:rPr>
          <w:rFonts w:hint="eastAsia"/>
          <w:lang w:val="en-US" w:eastAsia="zh-CN"/>
        </w:rPr>
        <w:t>5</w:t>
      </w:r>
      <w:r>
        <w:rPr>
          <w:rFonts w:hint="eastAsia"/>
        </w:rPr>
        <w:t>、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rPr>
          <w:rFonts w:hint="eastAsia"/>
        </w:rPr>
      </w:pPr>
      <w:r>
        <w:rPr>
          <w:rFonts w:hint="eastAsia"/>
          <w:lang w:val="en-US" w:eastAsia="zh-CN"/>
        </w:rPr>
        <w:t>6</w:t>
      </w:r>
      <w:r>
        <w:rPr>
          <w:rFonts w:hint="eastAsia"/>
        </w:rPr>
        <w:t>、工程量清单中的任何内容不得随意删除或涂改，若有误，在有效时间内书面向采购人提出，以“补遗”资料为准。</w:t>
      </w:r>
    </w:p>
    <w:p>
      <w:pPr>
        <w:rPr>
          <w:rFonts w:hint="eastAsia"/>
        </w:rPr>
      </w:pPr>
      <w:r>
        <w:rPr>
          <w:rFonts w:hint="eastAsia"/>
          <w:lang w:val="en-US" w:eastAsia="zh-CN"/>
        </w:rPr>
        <w:t>7</w:t>
      </w:r>
      <w:r>
        <w:rPr>
          <w:rFonts w:hint="eastAsia"/>
        </w:rPr>
        <w:t>、不同单项及单位工程中的分部分项工程量清单中相同项目（项目特征及工作内容相同）的应报价统一，如有差异，按最低的一个报价进行结算。</w:t>
      </w:r>
    </w:p>
    <w:p>
      <w:pPr>
        <w:rPr>
          <w:rFonts w:hint="eastAsia"/>
        </w:rPr>
      </w:pPr>
      <w:r>
        <w:rPr>
          <w:rFonts w:hint="eastAsia"/>
          <w:lang w:val="en-US" w:eastAsia="zh-CN"/>
        </w:rPr>
        <w:t>8</w:t>
      </w:r>
      <w:r>
        <w:rPr>
          <w:rFonts w:hint="eastAsia"/>
        </w:rPr>
        <w:t>、对作业和材料的技术标准和要求及一般说明或规定，未重复写入工程量清单内，在给工程量清单各细目报价前，应参阅设计文件及竞争性比选文件中技术标准和要求的有关部分。</w:t>
      </w:r>
    </w:p>
    <w:p>
      <w:pPr>
        <w:rPr>
          <w:rFonts w:hint="eastAsia"/>
        </w:rPr>
      </w:pPr>
      <w:r>
        <w:rPr>
          <w:rFonts w:hint="eastAsia"/>
          <w:lang w:val="en-US" w:eastAsia="zh-CN"/>
        </w:rPr>
        <w:t>9</w:t>
      </w:r>
      <w:r>
        <w:rPr>
          <w:rFonts w:hint="eastAsia"/>
        </w:rPr>
        <w:t>、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rPr>
          <w:rFonts w:hint="eastAsia"/>
        </w:rPr>
      </w:pPr>
      <w:r>
        <w:rPr>
          <w:rFonts w:hint="eastAsia"/>
        </w:rPr>
        <w:t>1</w:t>
      </w:r>
      <w:r>
        <w:rPr>
          <w:rFonts w:hint="eastAsia"/>
          <w:lang w:val="en-US" w:eastAsia="zh-CN"/>
        </w:rPr>
        <w:t>0</w:t>
      </w:r>
      <w:r>
        <w:rPr>
          <w:rFonts w:hint="eastAsia"/>
        </w:rPr>
        <w:t>、报价中的单价和合价全部以人民币（元）表示。</w:t>
      </w:r>
    </w:p>
    <w:p>
      <w:pPr>
        <w:rPr>
          <w:rFonts w:hint="eastAsia"/>
        </w:rPr>
      </w:pPr>
      <w:r>
        <w:rPr>
          <w:rFonts w:hint="eastAsia"/>
        </w:rPr>
        <w:t>1</w:t>
      </w:r>
      <w:r>
        <w:rPr>
          <w:rFonts w:hint="eastAsia"/>
          <w:lang w:val="en-US" w:eastAsia="zh-CN"/>
        </w:rPr>
        <w:t>1</w:t>
      </w:r>
      <w:r>
        <w:rPr>
          <w:rFonts w:hint="eastAsia"/>
        </w:rPr>
        <w:t>、对于报价人报价中明显高于市场价的单项报价，采购人有权进行价格审核后调整。调整后应以取得报价人的同意，并确认修正后的最终报价。如果报价人拒绝确认，则其竞争性响应文件将不予评审。</w:t>
      </w:r>
    </w:p>
    <w:p>
      <w:pPr>
        <w:rPr>
          <w:rFonts w:hint="eastAsia"/>
        </w:rPr>
      </w:pPr>
      <w:r>
        <w:rPr>
          <w:rFonts w:hint="eastAsia"/>
        </w:rPr>
        <w:t>1</w:t>
      </w:r>
      <w:r>
        <w:rPr>
          <w:rFonts w:hint="eastAsia"/>
          <w:lang w:val="en-US" w:eastAsia="zh-CN"/>
        </w:rPr>
        <w:t>2</w:t>
      </w:r>
      <w:r>
        <w:rPr>
          <w:rFonts w:hint="eastAsia"/>
        </w:rPr>
        <w:t>、合同为单价合同，合同期间不予调价。</w:t>
      </w:r>
    </w:p>
    <w:p>
      <w:pPr>
        <w:rPr>
          <w:rFonts w:hint="eastAsia"/>
        </w:rPr>
      </w:pPr>
      <w:r>
        <w:rPr>
          <w:rFonts w:hint="eastAsia"/>
        </w:rPr>
        <w:t>1</w:t>
      </w:r>
      <w:r>
        <w:rPr>
          <w:rFonts w:hint="eastAsia"/>
          <w:lang w:val="en-US" w:eastAsia="zh-CN"/>
        </w:rPr>
        <w:t>3</w:t>
      </w:r>
      <w:r>
        <w:rPr>
          <w:rFonts w:hint="eastAsia"/>
        </w:rPr>
        <w:t>、报价人应严格按照工程量清单进行报价，不得随意修改采购人发布的工程量清单数量、公式及相关内容。</w:t>
      </w:r>
    </w:p>
    <w:p>
      <w:pPr>
        <w:pStyle w:val="29"/>
        <w:sectPr>
          <w:footerReference r:id="rId9"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rPr>
      </w:pPr>
      <w:bookmarkStart w:id="139" w:name="_Toc179632789"/>
      <w:bookmarkStart w:id="140" w:name="_Toc2000409"/>
      <w:bookmarkStart w:id="141" w:name="_Toc24503"/>
      <w:bookmarkStart w:id="142" w:name="_Toc247085855"/>
      <w:bookmarkStart w:id="143" w:name="_Toc246996340"/>
      <w:bookmarkStart w:id="144" w:name="_Toc144974834"/>
      <w:bookmarkStart w:id="145" w:name="_Toc152042554"/>
      <w:bookmarkStart w:id="146" w:name="_Toc246997083"/>
      <w:bookmarkStart w:id="147" w:name="_Toc514858705"/>
      <w:bookmarkStart w:id="148" w:name="_Toc152045772"/>
      <w:bookmarkStart w:id="149" w:name="_Toc179632806"/>
      <w:bookmarkStart w:id="150" w:name="_Toc246997097"/>
      <w:bookmarkStart w:id="151" w:name="_Toc152042575"/>
      <w:bookmarkStart w:id="152" w:name="_Toc152045786"/>
      <w:bookmarkStart w:id="153" w:name="_Toc247085872"/>
      <w:bookmarkStart w:id="154" w:name="_Toc246996354"/>
      <w:bookmarkStart w:id="155" w:name="_Toc144974855"/>
      <w:r>
        <w:rPr>
          <w:rFonts w:hint="eastAsia" w:ascii="宋体" w:hAnsi="宋体" w:cs="宋体"/>
        </w:rPr>
        <w:t>第五章  工程量清单</w:t>
      </w:r>
      <w:bookmarkEnd w:id="139"/>
      <w:bookmarkEnd w:id="140"/>
      <w:bookmarkEnd w:id="141"/>
      <w:bookmarkEnd w:id="142"/>
      <w:bookmarkEnd w:id="143"/>
      <w:bookmarkEnd w:id="144"/>
      <w:bookmarkEnd w:id="145"/>
      <w:bookmarkEnd w:id="146"/>
      <w:bookmarkEnd w:id="147"/>
      <w:bookmarkEnd w:id="148"/>
    </w:p>
    <w:p>
      <w:pPr>
        <w:ind w:firstLine="420"/>
        <w:jc w:val="left"/>
        <w:rPr>
          <w:rFonts w:ascii="宋体" w:hAnsi="宋体" w:cs="宋体"/>
          <w:b/>
        </w:rPr>
      </w:pPr>
      <w:bookmarkStart w:id="156" w:name="_Toc152045782"/>
      <w:bookmarkStart w:id="157" w:name="_Toc247096438"/>
      <w:bookmarkStart w:id="158" w:name="_Toc152042571"/>
      <w:bookmarkStart w:id="159" w:name="_Toc247085866"/>
      <w:bookmarkStart w:id="160" w:name="_Toc246997093"/>
      <w:bookmarkStart w:id="161" w:name="_Toc246996350"/>
      <w:bookmarkStart w:id="162" w:name="_Toc179632800"/>
      <w:bookmarkStart w:id="163" w:name="_Toc144974851"/>
    </w:p>
    <w:p>
      <w:pPr>
        <w:jc w:val="center"/>
        <w:rPr>
          <w:rFonts w:hint="default" w:ascii="宋体" w:hAnsi="宋体" w:eastAsia="宋体" w:cs="宋体"/>
          <w:b/>
          <w:lang w:val="en-US" w:eastAsia="zh-CN"/>
        </w:rPr>
      </w:pPr>
      <w:r>
        <w:rPr>
          <w:rFonts w:hint="eastAsia" w:ascii="宋体" w:hAnsi="宋体" w:cs="宋体"/>
          <w:b/>
          <w:lang w:val="en-US" w:eastAsia="zh-CN"/>
        </w:rPr>
        <w:t>无。</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64" w:name="_Toc513633963"/>
      <w:bookmarkStart w:id="165" w:name="_Toc447827048"/>
      <w:bookmarkStart w:id="166" w:name="_Toc2000410"/>
      <w:bookmarkStart w:id="167" w:name="_Toc503951042"/>
      <w:bookmarkStart w:id="168" w:name="_Toc12440"/>
      <w:bookmarkStart w:id="169" w:name="_Toc514858706"/>
      <w:r>
        <w:rPr>
          <w:rFonts w:hint="eastAsia" w:ascii="宋体" w:hAnsi="宋体" w:cs="宋体"/>
        </w:rPr>
        <w:t>第六章  图  纸</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70" w:name="_Toc152045785"/>
      <w:bookmarkStart w:id="171" w:name="_Toc152042574"/>
      <w:bookmarkStart w:id="172" w:name="_Toc144974854"/>
    </w:p>
    <w:p>
      <w:pPr>
        <w:pStyle w:val="3"/>
        <w:spacing w:before="0" w:after="0" w:line="360" w:lineRule="auto"/>
        <w:jc w:val="center"/>
        <w:rPr>
          <w:rFonts w:ascii="宋体" w:hAnsi="宋体" w:cs="宋体"/>
          <w:highlight w:val="cyan"/>
        </w:rPr>
      </w:pPr>
      <w:bookmarkStart w:id="173" w:name="_Toc247085870"/>
      <w:bookmarkStart w:id="174" w:name="_Toc447827049"/>
      <w:bookmarkStart w:id="175" w:name="_Toc246996353"/>
      <w:bookmarkStart w:id="176" w:name="_Toc246997096"/>
      <w:bookmarkStart w:id="177" w:name="_Toc513633964"/>
      <w:bookmarkStart w:id="178" w:name="_Toc2000411"/>
      <w:bookmarkStart w:id="179" w:name="_Toc10887"/>
      <w:bookmarkStart w:id="180" w:name="_Toc503951043"/>
      <w:bookmarkStart w:id="181" w:name="_Toc514858707"/>
      <w:bookmarkStart w:id="182" w:name="_Toc179632804"/>
      <w:r>
        <w:rPr>
          <w:rFonts w:hint="eastAsia" w:ascii="宋体" w:hAnsi="宋体" w:cs="宋体"/>
          <w:highlight w:val="none"/>
        </w:rPr>
        <w:t>第七章  技术标准和工作要求</w:t>
      </w:r>
      <w:bookmarkEnd w:id="170"/>
      <w:bookmarkEnd w:id="171"/>
      <w:bookmarkEnd w:id="172"/>
      <w:bookmarkEnd w:id="173"/>
      <w:bookmarkEnd w:id="174"/>
      <w:bookmarkEnd w:id="175"/>
      <w:bookmarkEnd w:id="176"/>
      <w:bookmarkEnd w:id="177"/>
      <w:bookmarkEnd w:id="178"/>
      <w:bookmarkEnd w:id="179"/>
      <w:bookmarkEnd w:id="180"/>
      <w:bookmarkEnd w:id="181"/>
      <w:bookmarkEnd w:id="182"/>
    </w:p>
    <w:bookmarkEnd w:id="149"/>
    <w:bookmarkEnd w:id="150"/>
    <w:bookmarkEnd w:id="151"/>
    <w:bookmarkEnd w:id="152"/>
    <w:bookmarkEnd w:id="153"/>
    <w:bookmarkEnd w:id="154"/>
    <w:bookmarkEnd w:id="155"/>
    <w:p>
      <w:pPr>
        <w:bidi w:val="0"/>
        <w:ind w:left="0" w:leftChars="0" w:firstLine="0" w:firstLineChars="0"/>
        <w:jc w:val="center"/>
        <w:rPr>
          <w:rFonts w:hint="default" w:eastAsia="宋体"/>
          <w:b/>
          <w:bCs/>
          <w:color w:val="auto"/>
          <w:highlight w:val="none"/>
          <w:lang w:val="en-US" w:eastAsia="zh-CN"/>
        </w:rPr>
      </w:pPr>
      <w:bookmarkStart w:id="183" w:name="_Toc2000412"/>
      <w:bookmarkStart w:id="184" w:name="_Toc12089"/>
      <w:bookmarkStart w:id="185" w:name="_Toc514430114"/>
      <w:bookmarkStart w:id="186" w:name="_Toc514858708"/>
      <w:bookmarkStart w:id="187" w:name="_Toc246997098"/>
      <w:bookmarkStart w:id="188" w:name="_Toc144974856"/>
      <w:bookmarkStart w:id="189" w:name="_Toc247085873"/>
      <w:bookmarkStart w:id="190" w:name="_Toc152045787"/>
      <w:bookmarkStart w:id="191" w:name="_Toc152042576"/>
      <w:bookmarkStart w:id="192" w:name="_Toc507320039"/>
      <w:bookmarkStart w:id="193" w:name="_Toc179632807"/>
      <w:bookmarkStart w:id="194" w:name="_Toc246996355"/>
      <w:r>
        <w:rPr>
          <w:rFonts w:hint="eastAsia"/>
          <w:b/>
          <w:bCs/>
          <w:color w:val="auto"/>
          <w:highlight w:val="none"/>
          <w:lang w:val="en-US" w:eastAsia="zh-CN"/>
        </w:rPr>
        <w:t>详情见附件。</w:t>
      </w:r>
    </w:p>
    <w:p>
      <w:pPr>
        <w:adjustRightInd w:val="0"/>
        <w:snapToGrid w:val="0"/>
        <w:spacing w:line="360" w:lineRule="auto"/>
        <w:ind w:firstLine="420" w:firstLineChars="200"/>
        <w:rPr>
          <w:rFonts w:hint="eastAsia" w:ascii="宋体" w:hAnsi="宋体" w:cs="宋体"/>
          <w:highlight w:val="none"/>
        </w:rPr>
      </w:pPr>
    </w:p>
    <w:p>
      <w:pPr>
        <w:adjustRightInd w:val="0"/>
        <w:snapToGrid w:val="0"/>
        <w:spacing w:line="360" w:lineRule="auto"/>
        <w:ind w:firstLine="420" w:firstLineChars="200"/>
        <w:rPr>
          <w:rFonts w:ascii="宋体" w:hAnsi="宋体" w:cs="宋体"/>
        </w:rPr>
      </w:pPr>
      <w:r>
        <w:rPr>
          <w:rFonts w:hint="eastAsia" w:ascii="宋体" w:hAnsi="宋体" w:cs="宋体"/>
          <w:highlight w:val="none"/>
        </w:rPr>
        <w:br w:type="page"/>
      </w:r>
      <w:bookmarkEnd w:id="183"/>
      <w:bookmarkEnd w:id="184"/>
      <w:bookmarkEnd w:id="185"/>
      <w:bookmarkEnd w:id="186"/>
      <w:bookmarkStart w:id="195" w:name="_Toc513633965"/>
    </w:p>
    <w:p>
      <w:pPr>
        <w:pStyle w:val="3"/>
        <w:numPr>
          <w:ilvl w:val="0"/>
          <w:numId w:val="5"/>
        </w:numPr>
        <w:spacing w:before="0" w:after="0" w:line="360" w:lineRule="auto"/>
        <w:jc w:val="center"/>
        <w:rPr>
          <w:rFonts w:hint="eastAsia" w:ascii="宋体" w:hAnsi="宋体" w:eastAsia="宋体" w:cs="宋体"/>
          <w:kern w:val="44"/>
          <w:sz w:val="44"/>
          <w:szCs w:val="44"/>
          <w:highlight w:val="none"/>
          <w:lang w:val="en-US" w:eastAsia="zh-CN" w:bidi="ar"/>
        </w:rPr>
      </w:pPr>
      <w:bookmarkStart w:id="196" w:name="_Toc1492756943"/>
      <w:bookmarkStart w:id="197" w:name="_Toc884457659"/>
      <w:bookmarkStart w:id="198" w:name="_Toc161044330"/>
      <w:bookmarkStart w:id="199" w:name="_Toc514858709"/>
      <w:bookmarkStart w:id="200" w:name="_Toc2000413"/>
      <w:bookmarkStart w:id="201" w:name="_Toc24853"/>
      <w:r>
        <w:rPr>
          <w:rFonts w:hint="eastAsia" w:ascii="宋体" w:hAnsi="宋体" w:cs="宋体"/>
          <w:highlight w:val="none"/>
        </w:rPr>
        <w:t xml:space="preserve"> </w:t>
      </w:r>
      <w:r>
        <w:rPr>
          <w:rFonts w:hint="eastAsia" w:ascii="宋体" w:hAnsi="宋体" w:eastAsia="宋体" w:cs="宋体"/>
          <w:kern w:val="44"/>
          <w:sz w:val="44"/>
          <w:szCs w:val="44"/>
          <w:highlight w:val="none"/>
          <w:lang w:val="en-US" w:eastAsia="zh-CN" w:bidi="ar"/>
        </w:rPr>
        <w:t>合同条款及格式</w:t>
      </w:r>
      <w:bookmarkEnd w:id="196"/>
      <w:bookmarkEnd w:id="197"/>
      <w:bookmarkEnd w:id="198"/>
    </w:p>
    <w:p>
      <w:pPr>
        <w:pStyle w:val="17"/>
        <w:jc w:val="center"/>
        <w:rPr>
          <w:rFonts w:hint="eastAsia"/>
        </w:rPr>
        <w:sectPr>
          <w:pgSz w:w="11906" w:h="16838"/>
          <w:pgMar w:top="1440" w:right="1803" w:bottom="1440" w:left="1803" w:header="851" w:footer="992" w:gutter="0"/>
          <w:cols w:space="720" w:num="1"/>
          <w:titlePg/>
          <w:docGrid w:type="lines" w:linePitch="319" w:charSpace="0"/>
        </w:sectPr>
      </w:pPr>
      <w:r>
        <w:rPr>
          <w:rFonts w:hint="eastAsia" w:ascii="宋体" w:hAnsi="宋体" w:cs="宋体"/>
          <w:b/>
          <w:kern w:val="0"/>
          <w:sz w:val="24"/>
          <w:highlight w:val="none"/>
          <w:lang w:val="en-US" w:eastAsia="zh-CN"/>
        </w:rPr>
        <w:t>详情见附件。</w:t>
      </w:r>
    </w:p>
    <w:p>
      <w:pPr>
        <w:pStyle w:val="3"/>
        <w:spacing w:before="0" w:after="0" w:line="360" w:lineRule="auto"/>
        <w:jc w:val="center"/>
        <w:rPr>
          <w:rFonts w:ascii="宋体" w:hAnsi="宋体" w:cs="宋体"/>
        </w:rPr>
      </w:pPr>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bookmarkEnd w:id="195"/>
      <w:bookmarkEnd w:id="199"/>
      <w:bookmarkEnd w:id="200"/>
      <w:bookmarkEnd w:id="201"/>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outlineLvl w:val="0"/>
        <w:rPr>
          <w:rFonts w:ascii="宋体" w:hAnsi="宋体" w:cs="宋体"/>
          <w:sz w:val="52"/>
          <w:szCs w:val="52"/>
          <w:u w:val="single"/>
        </w:rPr>
      </w:pPr>
      <w:bookmarkStart w:id="202" w:name="_Toc503971829"/>
      <w:bookmarkStart w:id="203" w:name="_Toc513646738"/>
      <w:bookmarkStart w:id="204" w:name="_Toc513633967"/>
      <w:bookmarkStart w:id="205" w:name="_Toc514858710"/>
      <w:bookmarkStart w:id="206" w:name="_Toc503951046"/>
      <w:r>
        <w:rPr>
          <w:rFonts w:hint="eastAsia" w:ascii="宋体" w:hAnsi="宋体" w:cs="宋体"/>
          <w:u w:val="single"/>
        </w:rPr>
        <w:t xml:space="preserve">                           </w:t>
      </w:r>
      <w:r>
        <w:rPr>
          <w:rFonts w:hint="eastAsia" w:ascii="宋体" w:hAnsi="宋体" w:cs="宋体"/>
          <w:sz w:val="52"/>
          <w:szCs w:val="52"/>
          <w:u w:val="single"/>
        </w:rPr>
        <w:t>（项目名称）</w:t>
      </w:r>
      <w:bookmarkEnd w:id="202"/>
      <w:bookmarkEnd w:id="203"/>
      <w:bookmarkEnd w:id="204"/>
      <w:bookmarkEnd w:id="205"/>
      <w:bookmarkEnd w:id="206"/>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outlineLvl w:val="0"/>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9"/>
      </w:pPr>
    </w:p>
    <w:p/>
    <w:p>
      <w:pPr>
        <w:pStyle w:val="29"/>
      </w:pPr>
    </w:p>
    <w:p/>
    <w:p>
      <w:pPr>
        <w:pStyle w:val="29"/>
      </w:pPr>
    </w:p>
    <w:p>
      <w:pPr>
        <w:jc w:val="center"/>
        <w:outlineLvl w:val="0"/>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outlineLvl w:val="0"/>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outlineLvl w:val="0"/>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07" w:name="_Toc1368"/>
      <w:bookmarkStart w:id="208" w:name="_Toc11329273"/>
      <w:bookmarkStart w:id="209" w:name="_Toc28780"/>
      <w:bookmarkStart w:id="210" w:name="_Toc5459"/>
      <w:r>
        <w:rPr>
          <w:rFonts w:hint="eastAsia" w:ascii="宋体" w:hAnsi="宋体" w:eastAsia="宋体" w:cs="宋体"/>
        </w:rPr>
        <w:t>目    录</w:t>
      </w:r>
      <w:bookmarkEnd w:id="187"/>
      <w:bookmarkEnd w:id="188"/>
      <w:bookmarkEnd w:id="189"/>
      <w:bookmarkEnd w:id="190"/>
      <w:bookmarkEnd w:id="191"/>
      <w:bookmarkEnd w:id="192"/>
      <w:bookmarkEnd w:id="193"/>
      <w:bookmarkEnd w:id="194"/>
      <w:bookmarkEnd w:id="207"/>
      <w:bookmarkEnd w:id="208"/>
      <w:bookmarkEnd w:id="209"/>
      <w:bookmarkEnd w:id="210"/>
    </w:p>
    <w:p>
      <w:pPr>
        <w:numPr>
          <w:ilvl w:val="0"/>
          <w:numId w:val="6"/>
        </w:numPr>
        <w:spacing w:line="400" w:lineRule="exact"/>
        <w:outlineLvl w:val="0"/>
        <w:rPr>
          <w:rFonts w:ascii="宋体" w:hAnsi="宋体" w:cs="宋体"/>
        </w:rPr>
      </w:pPr>
      <w:r>
        <w:rPr>
          <w:rFonts w:hint="eastAsia" w:ascii="宋体" w:hAnsi="宋体" w:cs="宋体"/>
        </w:rPr>
        <w:t>竞争性响应声明书</w:t>
      </w:r>
    </w:p>
    <w:p>
      <w:pPr>
        <w:numPr>
          <w:ilvl w:val="0"/>
          <w:numId w:val="6"/>
        </w:numPr>
        <w:spacing w:line="400" w:lineRule="exact"/>
        <w:outlineLvl w:val="0"/>
        <w:rPr>
          <w:rFonts w:ascii="宋体" w:hAnsi="宋体" w:cs="宋体"/>
        </w:rPr>
      </w:pPr>
      <w:r>
        <w:rPr>
          <w:rFonts w:ascii="宋体" w:hAnsi="宋体" w:cs="宋体"/>
        </w:rPr>
        <w:t>法定代表人身份证明或法定代表人授权委托书</w:t>
      </w:r>
    </w:p>
    <w:p>
      <w:pPr>
        <w:spacing w:line="400" w:lineRule="exact"/>
        <w:outlineLvl w:val="0"/>
        <w:rPr>
          <w:rFonts w:ascii="宋体" w:hAnsi="宋体" w:cs="宋体"/>
        </w:rPr>
      </w:pPr>
      <w:r>
        <w:rPr>
          <w:rFonts w:hint="eastAsia" w:ascii="宋体" w:hAnsi="宋体" w:cs="宋体"/>
        </w:rPr>
        <w:t>三、报价一览表</w:t>
      </w:r>
    </w:p>
    <w:p>
      <w:pPr>
        <w:spacing w:line="400" w:lineRule="exact"/>
        <w:outlineLvl w:val="0"/>
        <w:rPr>
          <w:rFonts w:ascii="宋体" w:hAnsi="宋体" w:cs="宋体"/>
        </w:rPr>
      </w:pPr>
      <w:r>
        <w:rPr>
          <w:rFonts w:hint="eastAsia" w:ascii="宋体" w:hAnsi="宋体" w:cs="宋体"/>
        </w:rPr>
        <w:t>四、资格审查资料</w:t>
      </w:r>
    </w:p>
    <w:p>
      <w:pPr>
        <w:spacing w:line="400" w:lineRule="exact"/>
        <w:outlineLvl w:val="0"/>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outlineLvl w:val="0"/>
        <w:rPr>
          <w:rFonts w:ascii="宋体" w:hAnsi="宋体" w:cs="宋体"/>
          <w:szCs w:val="21"/>
        </w:rPr>
      </w:pPr>
      <w:r>
        <w:rPr>
          <w:rFonts w:hint="eastAsia" w:ascii="宋体" w:hAnsi="宋体" w:cs="宋体"/>
          <w:szCs w:val="21"/>
        </w:rPr>
        <w:t>六、报价人基本信息及其他材料</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outlineLvl w:val="0"/>
        <w:rPr>
          <w:rFonts w:ascii="宋体" w:hAnsi="宋体" w:eastAsia="宋体" w:cs="宋体"/>
          <w:sz w:val="28"/>
        </w:rPr>
      </w:pPr>
      <w:bookmarkStart w:id="211" w:name="_Toc11329274"/>
      <w:bookmarkStart w:id="212" w:name="_Toc8870"/>
      <w:bookmarkStart w:id="213" w:name="_Toc15863"/>
      <w:bookmarkStart w:id="214" w:name="_Toc29547"/>
      <w:bookmarkStart w:id="215" w:name="_Toc25874"/>
      <w:bookmarkStart w:id="216" w:name="_Toc503951048"/>
      <w:bookmarkStart w:id="217" w:name="_Toc447827053"/>
      <w:bookmarkStart w:id="218" w:name="_Toc513633969"/>
      <w:r>
        <w:rPr>
          <w:rFonts w:hint="eastAsia" w:ascii="宋体" w:hAnsi="宋体" w:eastAsia="宋体" w:cs="宋体"/>
          <w:sz w:val="28"/>
        </w:rPr>
        <w:t>一、</w:t>
      </w:r>
      <w:bookmarkEnd w:id="211"/>
      <w:bookmarkEnd w:id="212"/>
      <w:r>
        <w:rPr>
          <w:rFonts w:hint="eastAsia" w:ascii="宋体" w:hAnsi="宋体" w:eastAsia="宋体" w:cs="宋体"/>
          <w:sz w:val="28"/>
        </w:rPr>
        <w:t>竞争比选响应声明书</w:t>
      </w:r>
      <w:bookmarkEnd w:id="213"/>
      <w:bookmarkEnd w:id="214"/>
      <w:bookmarkEnd w:id="215"/>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首讯公司可行性研究服务</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w:t>
      </w:r>
      <w:r>
        <w:rPr>
          <w:rFonts w:hint="eastAsia" w:ascii="Arial" w:hAnsi="Arial" w:cs="Arial"/>
          <w:color w:val="000000"/>
          <w:sz w:val="24"/>
          <w:u w:val="single"/>
          <w:lang w:val="en-US" w:eastAsia="zh-CN"/>
        </w:rPr>
        <w:t>服务工作</w:t>
      </w:r>
      <w:r>
        <w:rPr>
          <w:rFonts w:hint="eastAsia" w:ascii="Arial" w:hAnsi="Arial" w:cs="Arial"/>
          <w:color w:val="000000"/>
          <w:sz w:val="24"/>
          <w:u w:val="single"/>
        </w:rPr>
        <w:t>。</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4"/>
        <w:jc w:val="center"/>
        <w:outlineLvl w:val="0"/>
        <w:rPr>
          <w:rFonts w:ascii="宋体" w:hAnsi="宋体" w:eastAsia="宋体" w:cs="宋体"/>
          <w:sz w:val="28"/>
          <w:szCs w:val="28"/>
        </w:rPr>
      </w:pPr>
      <w:bookmarkStart w:id="219" w:name="_Toc27815"/>
      <w:bookmarkStart w:id="220" w:name="_Toc491883232"/>
      <w:r>
        <w:rPr>
          <w:rFonts w:hint="eastAsia" w:ascii="宋体" w:hAnsi="宋体" w:eastAsia="宋体" w:cs="宋体"/>
          <w:sz w:val="28"/>
          <w:szCs w:val="28"/>
        </w:rPr>
        <w:t>二、法定代表人身份证明或法定代表人授权委托书</w:t>
      </w:r>
      <w:bookmarkEnd w:id="219"/>
    </w:p>
    <w:p>
      <w:pPr>
        <w:pStyle w:val="4"/>
        <w:jc w:val="center"/>
        <w:rPr>
          <w:rFonts w:ascii="宋体" w:hAnsi="宋体" w:eastAsia="宋体" w:cs="宋体"/>
          <w:sz w:val="24"/>
          <w:szCs w:val="24"/>
        </w:rPr>
      </w:pPr>
      <w:bookmarkStart w:id="221" w:name="_Toc14141"/>
      <w:r>
        <w:rPr>
          <w:rFonts w:hint="eastAsia" w:ascii="宋体" w:hAnsi="宋体" w:eastAsia="宋体" w:cs="宋体"/>
          <w:sz w:val="24"/>
          <w:szCs w:val="24"/>
        </w:rPr>
        <w:t>（一）法定代表人身份证明</w:t>
      </w:r>
      <w:bookmarkEnd w:id="220"/>
      <w:bookmarkEnd w:id="221"/>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22" w:name="_Toc369531698"/>
      <w:bookmarkStart w:id="223" w:name="_Toc352691662"/>
      <w:bookmarkStart w:id="224" w:name="_Toc27897"/>
      <w:r>
        <w:rPr>
          <w:rFonts w:ascii="宋体" w:hAnsi="宋体"/>
          <w:u w:val="single"/>
        </w:rPr>
        <w:t xml:space="preserve">        </w:t>
      </w:r>
      <w:r>
        <w:rPr>
          <w:rFonts w:ascii="宋体" w:hAnsi="宋体"/>
        </w:rPr>
        <w:t>年</w:t>
      </w:r>
      <w:bookmarkEnd w:id="222"/>
      <w:bookmarkEnd w:id="223"/>
      <w:bookmarkEnd w:id="224"/>
      <w:r>
        <w:rPr>
          <w:rFonts w:ascii="宋体" w:hAnsi="宋体"/>
        </w:rPr>
        <w:t>龄</w:t>
      </w:r>
      <w:bookmarkStart w:id="225" w:name="_Toc361508754"/>
      <w:bookmarkStart w:id="226" w:name="_Toc369531699"/>
      <w:bookmarkStart w:id="227" w:name="_Toc247514248"/>
      <w:bookmarkStart w:id="228" w:name="_Toc384308377"/>
      <w:bookmarkStart w:id="229" w:name="_Toc152042578"/>
      <w:bookmarkStart w:id="230" w:name="_Toc352691663"/>
      <w:bookmarkStart w:id="231" w:name="_Toc247527829"/>
      <w:bookmarkStart w:id="232" w:name="_Toc152045789"/>
      <w:bookmarkStart w:id="233" w:name="_Toc300835211"/>
      <w:bookmarkStart w:id="234" w:name="_Toc144974858"/>
      <w:bookmarkStart w:id="235" w:name="_Toc15573"/>
      <w:r>
        <w:rPr>
          <w:rFonts w:ascii="宋体" w:hAnsi="宋体"/>
        </w:rPr>
        <w:t>：</w:t>
      </w:r>
      <w:bookmarkEnd w:id="225"/>
      <w:bookmarkEnd w:id="226"/>
      <w:bookmarkEnd w:id="227"/>
      <w:bookmarkEnd w:id="228"/>
      <w:bookmarkEnd w:id="229"/>
      <w:bookmarkEnd w:id="230"/>
      <w:bookmarkEnd w:id="231"/>
      <w:bookmarkEnd w:id="232"/>
      <w:bookmarkEnd w:id="233"/>
      <w:bookmarkEnd w:id="234"/>
      <w:bookmarkEnd w:id="235"/>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36" w:name="_Toc491883233"/>
      <w:bookmarkStart w:id="237" w:name="_Toc58"/>
      <w:r>
        <w:rPr>
          <w:rFonts w:hint="eastAsia" w:ascii="宋体" w:hAnsi="宋体" w:eastAsia="宋体" w:cs="宋体"/>
          <w:sz w:val="24"/>
          <w:szCs w:val="24"/>
        </w:rPr>
        <w:t>（二）</w:t>
      </w:r>
      <w:bookmarkEnd w:id="236"/>
      <w:r>
        <w:rPr>
          <w:rFonts w:hint="eastAsia" w:ascii="宋体" w:hAnsi="宋体" w:eastAsia="宋体" w:cs="宋体"/>
          <w:sz w:val="24"/>
          <w:szCs w:val="24"/>
        </w:rPr>
        <w:t>法定代表人授权委托书</w:t>
      </w:r>
      <w:bookmarkEnd w:id="237"/>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9"/>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outlineLvl w:val="0"/>
        <w:rPr>
          <w:rFonts w:ascii="宋体" w:hAnsi="宋体" w:cs="宋体"/>
          <w:b/>
        </w:rPr>
      </w:pPr>
      <w:bookmarkStart w:id="238" w:name="_Toc11329275"/>
      <w:r>
        <w:rPr>
          <w:rFonts w:hint="eastAsia" w:ascii="宋体" w:hAnsi="宋体" w:cs="宋体"/>
          <w:b/>
          <w:bCs/>
          <w:kern w:val="0"/>
          <w:sz w:val="28"/>
          <w:szCs w:val="32"/>
        </w:rPr>
        <w:t>三、</w:t>
      </w:r>
      <w:bookmarkEnd w:id="216"/>
      <w:bookmarkEnd w:id="217"/>
      <w:bookmarkEnd w:id="218"/>
      <w:bookmarkEnd w:id="238"/>
      <w:r>
        <w:rPr>
          <w:rFonts w:hint="eastAsia" w:ascii="宋体" w:hAnsi="宋体" w:cs="宋体"/>
          <w:b/>
          <w:bCs/>
          <w:kern w:val="0"/>
          <w:sz w:val="28"/>
          <w:szCs w:val="32"/>
        </w:rPr>
        <w:t>报价一览表</w:t>
      </w:r>
    </w:p>
    <w:p>
      <w:pPr>
        <w:ind w:left="765"/>
        <w:jc w:val="center"/>
        <w:rPr>
          <w:rFonts w:ascii="宋体" w:hAnsi="宋体" w:cs="宋体"/>
          <w:szCs w:val="21"/>
        </w:rPr>
      </w:pPr>
    </w:p>
    <w:p>
      <w:pPr>
        <w:pStyle w:val="40"/>
        <w:jc w:val="both"/>
        <w:outlineLvl w:val="1"/>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首讯公司可行性研究服务</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tbl>
      <w:tblPr>
        <w:tblW w:w="9600" w:type="dxa"/>
        <w:tblInd w:w="-58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853"/>
        <w:gridCol w:w="4293"/>
        <w:gridCol w:w="1727"/>
        <w:gridCol w:w="17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9600" w:type="dxa"/>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首讯公司可行性研究服务报价表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85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服务名称</w:t>
            </w:r>
          </w:p>
        </w:tc>
        <w:tc>
          <w:tcPr>
            <w:tcW w:w="429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服务内容</w:t>
            </w:r>
          </w:p>
        </w:tc>
        <w:tc>
          <w:tcPr>
            <w:tcW w:w="172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报价金额</w:t>
            </w:r>
          </w:p>
        </w:tc>
        <w:tc>
          <w:tcPr>
            <w:tcW w:w="172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7" w:hRule="atLeast"/>
        </w:trPr>
        <w:tc>
          <w:tcPr>
            <w:tcW w:w="185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首讯公司可行性研究服务</w:t>
            </w:r>
          </w:p>
        </w:tc>
        <w:tc>
          <w:tcPr>
            <w:tcW w:w="429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本次股权转让事项进行认真的技术经济分析和比较论证，对项目的流程进行科学的预测和安排，并编制项目的可行性研究报告，主要内容包括但不限于总论、项目背景和概况、必要性分析、市场分析、项目实施方案及分析、股权价值估算、财务效益、经济效益评价、风险分析、可行性研究结论与建议等，可参考《可行性研究报告编制目录大纲（2012年国家发改委标准版）》，最终成果符合企业关于可行性研究报告审查内容和深度的规定要求，达到为公司是否进行股权转让以及如何转让提供科学可靠的决策依据的目标。</w:t>
            </w:r>
          </w:p>
        </w:tc>
        <w:tc>
          <w:tcPr>
            <w:tcW w:w="172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bookmarkStart w:id="271" w:name="_GoBack"/>
            <w:bookmarkEnd w:id="271"/>
          </w:p>
        </w:tc>
        <w:tc>
          <w:tcPr>
            <w:tcW w:w="1727"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r>
    </w:tbl>
    <w:p>
      <w:pPr>
        <w:tabs>
          <w:tab w:val="left" w:pos="1680"/>
          <w:tab w:val="left" w:pos="4215"/>
          <w:tab w:val="left" w:pos="4305"/>
          <w:tab w:val="left" w:pos="8000"/>
        </w:tabs>
        <w:autoSpaceDE w:val="0"/>
        <w:autoSpaceDN w:val="0"/>
        <w:adjustRightInd w:val="0"/>
        <w:snapToGrid w:val="0"/>
        <w:spacing w:line="360" w:lineRule="auto"/>
        <w:ind w:firstLine="562" w:firstLineChars="200"/>
        <w:outlineLvl w:val="1"/>
        <w:rPr>
          <w:rFonts w:ascii="宋体" w:hAnsi="宋体" w:cs="宋体"/>
          <w:b/>
          <w:kern w:val="0"/>
          <w:sz w:val="28"/>
          <w:szCs w:val="28"/>
        </w:rPr>
      </w:pP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highlight w:val="none"/>
        </w:rPr>
      </w:pPr>
      <w:bookmarkStart w:id="239" w:name="_Toc503951050"/>
      <w:bookmarkStart w:id="240" w:name="_Toc513633971"/>
      <w:bookmarkStart w:id="241" w:name="_Toc11329278"/>
      <w:bookmarkStart w:id="242" w:name="_Toc246997112"/>
      <w:bookmarkStart w:id="243" w:name="_Toc179632823"/>
      <w:bookmarkStart w:id="244" w:name="_Toc247085887"/>
      <w:bookmarkStart w:id="245" w:name="_Toc246996369"/>
      <w:bookmarkStart w:id="246" w:name="_Toc144974871"/>
      <w:bookmarkStart w:id="247" w:name="_Toc152042592"/>
      <w:bookmarkStart w:id="248" w:name="_Toc152045803"/>
      <w:bookmarkStart w:id="249" w:name="_Toc447827058"/>
      <w:r>
        <w:rPr>
          <w:rFonts w:hint="eastAsia" w:ascii="宋体" w:hAnsi="宋体" w:eastAsia="宋体" w:cs="宋体"/>
          <w:sz w:val="28"/>
        </w:rPr>
        <w:br w:type="page"/>
      </w:r>
      <w:bookmarkEnd w:id="239"/>
      <w:bookmarkEnd w:id="240"/>
      <w:bookmarkEnd w:id="241"/>
      <w:bookmarkStart w:id="250" w:name="_Toc739161924"/>
      <w:r>
        <w:rPr>
          <w:rFonts w:hint="eastAsia" w:ascii="宋体" w:hAnsi="宋体" w:eastAsia="宋体" w:cs="宋体"/>
          <w:sz w:val="28"/>
          <w:highlight w:val="none"/>
          <w:lang w:val="en-US" w:eastAsia="zh-CN"/>
        </w:rPr>
        <w:t>四</w:t>
      </w:r>
      <w:r>
        <w:rPr>
          <w:rFonts w:hint="eastAsia" w:ascii="宋体" w:hAnsi="宋体" w:eastAsia="宋体" w:cs="宋体"/>
          <w:sz w:val="28"/>
          <w:highlight w:val="none"/>
        </w:rPr>
        <w:t>、审查资料</w:t>
      </w:r>
      <w:bookmarkEnd w:id="250"/>
    </w:p>
    <w:p>
      <w:pPr>
        <w:spacing w:line="360" w:lineRule="auto"/>
        <w:jc w:val="center"/>
        <w:outlineLvl w:val="1"/>
        <w:rPr>
          <w:rFonts w:ascii="宋体" w:hAnsi="宋体" w:cs="宋体"/>
          <w:b/>
          <w:bCs/>
          <w:kern w:val="0"/>
          <w:sz w:val="28"/>
          <w:szCs w:val="32"/>
          <w:highlight w:val="none"/>
        </w:rPr>
      </w:pPr>
      <w:bookmarkStart w:id="251" w:name="_Toc26946"/>
      <w:bookmarkStart w:id="252" w:name="_Toc1658678965"/>
      <w:r>
        <w:rPr>
          <w:rFonts w:hint="eastAsia" w:ascii="宋体" w:hAnsi="宋体" w:cs="宋体"/>
          <w:b/>
          <w:bCs/>
          <w:kern w:val="0"/>
          <w:sz w:val="28"/>
          <w:szCs w:val="32"/>
          <w:highlight w:val="none"/>
        </w:rPr>
        <w:t>（一）资格</w:t>
      </w:r>
      <w:r>
        <w:rPr>
          <w:rFonts w:hint="eastAsia" w:ascii="宋体" w:hAnsi="宋体" w:cs="宋体"/>
          <w:b/>
          <w:bCs/>
          <w:kern w:val="0"/>
          <w:sz w:val="28"/>
          <w:szCs w:val="32"/>
          <w:highlight w:val="none"/>
          <w:lang w:val="en-US" w:eastAsia="zh-CN"/>
        </w:rPr>
        <w:t>审查</w:t>
      </w:r>
      <w:r>
        <w:rPr>
          <w:rFonts w:hint="eastAsia" w:ascii="宋体" w:hAnsi="宋体" w:cs="宋体"/>
          <w:b/>
          <w:bCs/>
          <w:kern w:val="0"/>
          <w:sz w:val="28"/>
          <w:szCs w:val="32"/>
          <w:highlight w:val="none"/>
        </w:rPr>
        <w:t>条件</w:t>
      </w:r>
      <w:bookmarkEnd w:id="251"/>
      <w:bookmarkEnd w:id="252"/>
    </w:p>
    <w:tbl>
      <w:tblPr>
        <w:tblStyle w:val="45"/>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基本要求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76" w:lineRule="auto"/>
              <w:ind w:left="0" w:right="0" w:firstLine="420" w:firstLineChars="200"/>
              <w:rPr>
                <w:rFonts w:hint="eastAsia"/>
              </w:rPr>
            </w:pPr>
            <w:r>
              <w:rPr>
                <w:rFonts w:hint="eastAsia"/>
              </w:rPr>
              <w:t>1、具有独立法人资质；</w:t>
            </w:r>
          </w:p>
          <w:p>
            <w:pPr>
              <w:keepNext w:val="0"/>
              <w:keepLines w:val="0"/>
              <w:suppressLineNumbers w:val="0"/>
              <w:spacing w:before="0" w:beforeAutospacing="0" w:after="0" w:afterAutospacing="0" w:line="276" w:lineRule="auto"/>
              <w:ind w:left="0" w:right="0" w:firstLine="420" w:firstLineChars="200"/>
              <w:rPr>
                <w:rFonts w:hint="eastAsia"/>
                <w:lang w:val="en-US" w:eastAsia="zh-CN"/>
              </w:rPr>
            </w:pPr>
            <w:r>
              <w:rPr>
                <w:rFonts w:hint="eastAsia"/>
              </w:rPr>
              <w:t>2、具备有效的营业执照；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2021年1月1日至报价截止日期（以合同签订时间为准）至少承担一项股权转让或股权投资或股权合作类似领域的可行性研究业绩或咨询业绩（提供合同扫描件）；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在国家企业信用信息公示系统（http://www.gsxt.gov.cn/）中未被列入严重违法失信企业名单（黑名单）信息；在“信用中国”网站（http://www.creditchina.gov.cn/）中未被列入严重失信主体名单。</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宋体" w:eastAsia="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 xml:space="preserve"> 注：1.提供营业执照复印件，并加盖</w:t>
      </w:r>
      <w:r>
        <w:rPr>
          <w:rFonts w:hint="eastAsia" w:hAnsi="宋体" w:cs="Times New Roman"/>
          <w:b w:val="0"/>
          <w:bCs w:val="0"/>
          <w:color w:val="auto"/>
          <w:kern w:val="0"/>
          <w:sz w:val="21"/>
          <w:szCs w:val="21"/>
          <w:highlight w:val="none"/>
          <w:lang w:val="en-US" w:eastAsia="zh-CN" w:bidi="ar-SA"/>
        </w:rPr>
        <w:t>鲜公章</w:t>
      </w:r>
      <w:r>
        <w:rPr>
          <w:rFonts w:hint="eastAsia" w:ascii="Times New Roman" w:hAnsi="宋体" w:eastAsia="宋体" w:cs="Times New Roman"/>
          <w:b w:val="0"/>
          <w:bCs w:val="0"/>
          <w:color w:val="auto"/>
          <w:kern w:val="0"/>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hAnsi="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 xml:space="preserve"> 2.</w:t>
      </w:r>
      <w:r>
        <w:rPr>
          <w:rFonts w:hint="eastAsia" w:hAnsi="宋体" w:cs="Times New Roman"/>
          <w:b w:val="0"/>
          <w:bCs w:val="0"/>
          <w:color w:val="auto"/>
          <w:kern w:val="0"/>
          <w:sz w:val="21"/>
          <w:szCs w:val="21"/>
          <w:highlight w:val="none"/>
          <w:lang w:val="en-US" w:eastAsia="zh-CN" w:bidi="ar-SA"/>
        </w:rPr>
        <w:t xml:space="preserve"> 提供相关业绩证明材料，并加盖鲜公章。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8"/>
          <w:highlight w:val="none"/>
          <w:lang w:val="en-US"/>
        </w:rPr>
      </w:pPr>
      <w:r>
        <w:rPr>
          <w:rFonts w:hint="eastAsia" w:hAnsi="宋体" w:cs="Times New Roman"/>
          <w:b w:val="0"/>
          <w:bCs w:val="0"/>
          <w:color w:val="auto"/>
          <w:kern w:val="0"/>
          <w:sz w:val="21"/>
          <w:szCs w:val="21"/>
          <w:highlight w:val="none"/>
          <w:lang w:val="en-US" w:eastAsia="zh-CN" w:bidi="ar-SA"/>
        </w:rPr>
        <w:t>3.</w:t>
      </w:r>
      <w:r>
        <w:rPr>
          <w:rFonts w:hint="eastAsia" w:ascii="Times New Roman" w:hAnsi="宋体" w:eastAsia="宋体" w:cs="Times New Roman"/>
          <w:b w:val="0"/>
          <w:bCs w:val="0"/>
          <w:color w:val="auto"/>
          <w:kern w:val="0"/>
          <w:sz w:val="21"/>
          <w:szCs w:val="21"/>
          <w:highlight w:val="none"/>
          <w:lang w:val="en-US" w:eastAsia="zh-CN" w:bidi="ar-SA"/>
        </w:rPr>
        <w:t>提供在国家企业信用信息公示系统（http://www.gsxt.gov.cn/）中未被列入严重违法失信企业名单（黑名单）信息；在“信用中国”网站（http://www.creditchina.gov.cn/）中未被列入严重失信主体名单</w:t>
      </w:r>
      <w:r>
        <w:rPr>
          <w:rFonts w:hint="eastAsia" w:ascii="宋体" w:hAnsi="宋体" w:cs="宋体"/>
          <w:szCs w:val="21"/>
          <w:highlight w:val="none"/>
          <w:shd w:val="clear" w:color="auto" w:fill="FFFFFF"/>
          <w:lang w:val="en-US" w:eastAsia="zh-CN"/>
        </w:rPr>
        <w:t>截图并加盖鲜章。</w:t>
      </w:r>
    </w:p>
    <w:p>
      <w:pPr>
        <w:rPr>
          <w:highlight w:val="none"/>
        </w:rPr>
      </w:pPr>
    </w:p>
    <w:p>
      <w:pPr>
        <w:rPr>
          <w:highlight w:val="none"/>
        </w:rPr>
      </w:pPr>
    </w:p>
    <w:p>
      <w:pPr>
        <w:spacing w:line="240" w:lineRule="auto"/>
        <w:jc w:val="left"/>
        <w:outlineLvl w:val="9"/>
        <w:rPr>
          <w:rFonts w:hint="eastAsia" w:ascii="宋体" w:hAnsi="宋体" w:cs="宋体"/>
          <w:sz w:val="28"/>
          <w:highlight w:val="none"/>
        </w:rPr>
      </w:pPr>
      <w:r>
        <w:rPr>
          <w:rFonts w:hint="eastAsia" w:ascii="宋体" w:hAnsi="宋体" w:cs="宋体"/>
          <w:sz w:val="28"/>
          <w:highlight w:val="none"/>
        </w:rPr>
        <w:br w:type="page"/>
      </w:r>
    </w:p>
    <w:p>
      <w:pPr>
        <w:pStyle w:val="4"/>
        <w:numPr>
          <w:ilvl w:val="0"/>
          <w:numId w:val="7"/>
        </w:numPr>
        <w:spacing w:before="0" w:after="0" w:line="360" w:lineRule="auto"/>
        <w:ind w:left="0" w:leftChars="0" w:firstLine="420" w:firstLineChars="0"/>
        <w:jc w:val="center"/>
        <w:rPr>
          <w:rFonts w:hint="default" w:ascii="宋体" w:hAnsi="宋体" w:eastAsia="宋体" w:cs="宋体"/>
          <w:sz w:val="28"/>
          <w:highlight w:val="none"/>
          <w:lang w:val="en-US" w:eastAsia="zh-CN"/>
        </w:rPr>
      </w:pPr>
      <w:bookmarkStart w:id="253" w:name="_Toc22180"/>
      <w:r>
        <w:rPr>
          <w:rFonts w:hint="eastAsia" w:ascii="宋体" w:hAnsi="宋体" w:eastAsia="宋体" w:cs="宋体"/>
          <w:sz w:val="28"/>
          <w:highlight w:val="none"/>
          <w:lang w:val="en-US" w:eastAsia="zh-CN"/>
        </w:rPr>
        <w:t>营业执照</w:t>
      </w:r>
      <w:bookmarkEnd w:id="253"/>
      <w:r>
        <w:rPr>
          <w:rFonts w:hint="eastAsia" w:ascii="宋体" w:hAnsi="宋体" w:eastAsia="宋体" w:cs="宋体"/>
          <w:sz w:val="28"/>
          <w:highlight w:val="none"/>
          <w:lang w:val="en-US" w:eastAsia="zh-CN"/>
        </w:rPr>
        <w:t>及资质文件</w:t>
      </w:r>
    </w:p>
    <w:p>
      <w:pPr>
        <w:spacing w:line="400" w:lineRule="exact"/>
        <w:jc w:val="left"/>
        <w:rPr>
          <w:rFonts w:hint="eastAsia" w:ascii="Times New Roman" w:hAnsi="宋体" w:eastAsia="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提供营业执照复印件</w:t>
      </w:r>
      <w:r>
        <w:rPr>
          <w:rFonts w:hint="eastAsia" w:hAnsi="宋体" w:cs="Times New Roman"/>
          <w:b w:val="0"/>
          <w:bCs w:val="0"/>
          <w:color w:val="auto"/>
          <w:kern w:val="0"/>
          <w:sz w:val="21"/>
          <w:szCs w:val="21"/>
          <w:highlight w:val="none"/>
          <w:lang w:val="en-US" w:eastAsia="zh-CN" w:bidi="ar-SA"/>
        </w:rPr>
        <w:t>，</w:t>
      </w:r>
      <w:r>
        <w:rPr>
          <w:rFonts w:hint="eastAsia" w:ascii="Times New Roman" w:hAnsi="宋体" w:eastAsia="宋体" w:cs="Times New Roman"/>
          <w:b w:val="0"/>
          <w:bCs w:val="0"/>
          <w:color w:val="auto"/>
          <w:kern w:val="0"/>
          <w:sz w:val="21"/>
          <w:szCs w:val="21"/>
          <w:highlight w:val="none"/>
          <w:lang w:val="en-US" w:eastAsia="zh-CN" w:bidi="ar-SA"/>
        </w:rPr>
        <w:t>并加盖鲜章。</w:t>
      </w:r>
    </w:p>
    <w:p>
      <w:pPr>
        <w:pStyle w:val="17"/>
        <w:rPr>
          <w:rFonts w:hint="eastAsia"/>
          <w:lang w:val="en-US" w:eastAsia="zh-CN"/>
        </w:rPr>
      </w:pPr>
    </w:p>
    <w:p>
      <w:pPr>
        <w:rPr>
          <w:rFonts w:hint="eastAsia"/>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bookmarkStart w:id="254" w:name="_Toc29865"/>
      <w:r>
        <w:rPr>
          <w:rFonts w:hint="eastAsia" w:ascii="宋体" w:hAnsi="宋体" w:eastAsia="宋体" w:cs="宋体"/>
          <w:sz w:val="28"/>
          <w:highlight w:val="none"/>
          <w:lang w:val="en-US" w:eastAsia="zh-CN"/>
        </w:rPr>
        <w:t>业绩要求</w:t>
      </w:r>
    </w:p>
    <w:p>
      <w:pPr>
        <w:rPr>
          <w:rFonts w:hint="eastAsia"/>
          <w:lang w:val="en-US" w:eastAsia="zh-CN"/>
        </w:rPr>
      </w:pPr>
      <w:r>
        <w:rPr>
          <w:rFonts w:hint="eastAsia"/>
          <w:lang w:val="en-US" w:eastAsia="zh-CN"/>
        </w:rPr>
        <w:t>2021年1月1日至报价截止日期（以合同签订时间为准）至少承担一项股权转让或股权投资或股权合作类似领域的可行性研究业绩或咨询业绩（提供合同扫描件）；</w:t>
      </w:r>
    </w:p>
    <w:p>
      <w:pPr>
        <w:pStyle w:val="17"/>
        <w:rPr>
          <w:rFonts w:hint="eastAsia"/>
          <w:lang w:val="en-US" w:eastAsia="zh-CN"/>
        </w:rPr>
      </w:pPr>
    </w:p>
    <w:p>
      <w:pPr>
        <w:rPr>
          <w:rFonts w:hint="eastAsia"/>
          <w:lang w:val="en-US" w:eastAsia="zh-CN"/>
        </w:rPr>
      </w:pPr>
    </w:p>
    <w:p>
      <w:pPr>
        <w:pStyle w:val="17"/>
        <w:rPr>
          <w:rFonts w:hint="eastAsia"/>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r>
        <w:rPr>
          <w:rFonts w:hint="eastAsia" w:ascii="宋体" w:hAnsi="宋体" w:eastAsia="宋体" w:cs="宋体"/>
          <w:sz w:val="28"/>
          <w:highlight w:val="none"/>
          <w:lang w:val="en-US" w:eastAsia="zh-CN"/>
        </w:rPr>
        <w:t>信誉要求</w:t>
      </w:r>
      <w:bookmarkEnd w:id="254"/>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8"/>
          <w:highlight w:val="none"/>
          <w:lang w:val="en-US"/>
        </w:rPr>
      </w:pPr>
      <w:r>
        <w:rPr>
          <w:rFonts w:hint="eastAsia" w:ascii="Times New Roman" w:hAnsi="宋体" w:eastAsia="宋体" w:cs="Times New Roman"/>
          <w:b w:val="0"/>
          <w:bCs w:val="0"/>
          <w:color w:val="auto"/>
          <w:kern w:val="0"/>
          <w:sz w:val="21"/>
          <w:szCs w:val="21"/>
          <w:highlight w:val="none"/>
          <w:lang w:val="en-US" w:eastAsia="zh-CN" w:bidi="ar-SA"/>
        </w:rPr>
        <w:t>提供在国家企业信用信息公示系统（http://www.gsxt.gov.cn/）中未被列入严重违法失信企业名单（黑名单）信息；在“信用中国”网站（http://www.creditchina.gov.cn/）中未被列入严重失信主体名单</w:t>
      </w:r>
      <w:r>
        <w:rPr>
          <w:rFonts w:hint="eastAsia" w:ascii="宋体" w:hAnsi="宋体" w:cs="宋体"/>
          <w:szCs w:val="21"/>
          <w:highlight w:val="none"/>
          <w:shd w:val="clear" w:color="auto" w:fill="FFFFFF"/>
          <w:lang w:val="en-US" w:eastAsia="zh-CN"/>
        </w:rPr>
        <w:t>截图并加盖鲜章。</w:t>
      </w:r>
    </w:p>
    <w:p>
      <w:pPr>
        <w:pStyle w:val="4"/>
        <w:spacing w:before="0" w:after="0" w:line="360" w:lineRule="auto"/>
        <w:jc w:val="center"/>
        <w:rPr>
          <w:rFonts w:ascii="宋体" w:hAnsi="宋体" w:eastAsia="宋体" w:cs="宋体"/>
          <w:sz w:val="28"/>
        </w:rPr>
      </w:pPr>
    </w:p>
    <w:bookmarkEnd w:id="242"/>
    <w:bookmarkEnd w:id="243"/>
    <w:bookmarkEnd w:id="244"/>
    <w:bookmarkEnd w:id="245"/>
    <w:bookmarkEnd w:id="246"/>
    <w:bookmarkEnd w:id="247"/>
    <w:bookmarkEnd w:id="248"/>
    <w:bookmarkEnd w:id="249"/>
    <w:p>
      <w:pPr>
        <w:pStyle w:val="4"/>
        <w:spacing w:before="0" w:after="0" w:line="360" w:lineRule="auto"/>
        <w:jc w:val="center"/>
        <w:outlineLvl w:val="0"/>
        <w:rPr>
          <w:rFonts w:ascii="宋体" w:hAnsi="宋体" w:eastAsia="宋体" w:cs="宋体"/>
          <w:sz w:val="28"/>
        </w:rPr>
      </w:pPr>
      <w:bookmarkStart w:id="255" w:name="_Toc503951055"/>
      <w:bookmarkStart w:id="256" w:name="_Toc447827068"/>
      <w:bookmarkStart w:id="257" w:name="_Toc513633973"/>
      <w:bookmarkStart w:id="258" w:name="_Toc11329281"/>
      <w:bookmarkStart w:id="259" w:name="_Toc11672"/>
      <w:r>
        <w:rPr>
          <w:rFonts w:hint="eastAsia" w:ascii="宋体" w:hAnsi="宋体" w:eastAsia="宋体" w:cs="宋体"/>
          <w:sz w:val="28"/>
        </w:rPr>
        <w:br w:type="page"/>
      </w:r>
      <w:bookmarkStart w:id="260" w:name="_Toc11243"/>
      <w:bookmarkStart w:id="261" w:name="_Toc29559"/>
      <w:r>
        <w:rPr>
          <w:rFonts w:hint="eastAsia" w:ascii="宋体" w:hAnsi="宋体" w:eastAsia="宋体" w:cs="宋体"/>
          <w:sz w:val="28"/>
        </w:rPr>
        <w:t>五、</w:t>
      </w:r>
      <w:bookmarkEnd w:id="255"/>
      <w:bookmarkEnd w:id="256"/>
      <w:bookmarkEnd w:id="257"/>
      <w:r>
        <w:rPr>
          <w:rFonts w:hint="eastAsia" w:ascii="宋体" w:hAnsi="宋体" w:eastAsia="宋体" w:cs="宋体"/>
          <w:sz w:val="28"/>
        </w:rPr>
        <w:t>报价人须知前附表规定的材料</w:t>
      </w:r>
      <w:bookmarkEnd w:id="258"/>
      <w:bookmarkEnd w:id="259"/>
      <w:bookmarkEnd w:id="260"/>
      <w:bookmarkEnd w:id="261"/>
    </w:p>
    <w:p>
      <w:pPr>
        <w:jc w:val="center"/>
        <w:rPr>
          <w:b/>
          <w:bCs/>
          <w:sz w:val="32"/>
          <w:szCs w:val="36"/>
        </w:rPr>
      </w:pPr>
      <w:bookmarkStart w:id="262" w:name="_Toc503951058"/>
      <w:bookmarkStart w:id="263" w:name="_Toc513633974"/>
      <w:r>
        <w:rPr>
          <w:rFonts w:hint="eastAsia" w:ascii="Times New Roman" w:hAnsi="Times New Roman" w:eastAsia="宋体" w:cs="Times New Roman"/>
          <w:kern w:val="0"/>
          <w:sz w:val="20"/>
          <w:szCs w:val="20"/>
          <w:highlight w:val="none"/>
          <w:lang w:val="en-US" w:eastAsia="zh-CN" w:bidi="ar"/>
        </w:rPr>
        <w:t xml:space="preserve"> </w:t>
      </w:r>
      <w:bookmarkStart w:id="264" w:name="bookmark81"/>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480" w:firstLineChars="200"/>
        <w:rPr>
          <w:rFonts w:hint="eastAsia"/>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ind w:firstLine="480" w:firstLineChars="200"/>
        <w:rPr>
          <w:rFonts w:hint="eastAsia"/>
          <w:sz w:val="24"/>
          <w:szCs w:val="28"/>
        </w:rPr>
      </w:pPr>
      <w:r>
        <w:rPr>
          <w:rFonts w:hint="eastAsia"/>
          <w:sz w:val="24"/>
          <w:szCs w:val="28"/>
        </w:rPr>
        <w:t>1、我方比选响应文件中所有资料都是真实、准确、完整的；</w:t>
      </w:r>
    </w:p>
    <w:p>
      <w:pPr>
        <w:spacing w:line="360" w:lineRule="auto"/>
        <w:ind w:firstLine="480" w:firstLineChars="200"/>
        <w:rPr>
          <w:sz w:val="24"/>
          <w:szCs w:val="28"/>
        </w:rPr>
      </w:pPr>
      <w:r>
        <w:rPr>
          <w:rFonts w:hint="eastAsia"/>
          <w:sz w:val="24"/>
          <w:szCs w:val="28"/>
        </w:rPr>
        <w:t>2、我方不存在资质挂靠或参与串标、围标情形。所报项目相关人员未在其他项目任职。</w:t>
      </w:r>
    </w:p>
    <w:p>
      <w:pPr>
        <w:spacing w:line="360" w:lineRule="auto"/>
        <w:ind w:firstLine="480" w:firstLineChars="200"/>
        <w:rPr>
          <w:rFonts w:hint="eastAsia"/>
          <w:sz w:val="24"/>
          <w:szCs w:val="28"/>
        </w:rPr>
      </w:pPr>
      <w:r>
        <w:rPr>
          <w:rFonts w:hint="eastAsia"/>
          <w:sz w:val="24"/>
          <w:szCs w:val="28"/>
        </w:rPr>
        <w:t>3、完全响应竞争性比选文件中的人员要求、机械设备要求、投标内容要求、报价要求、工期要求、质量标准、安全目标等要求；</w:t>
      </w:r>
    </w:p>
    <w:p>
      <w:pPr>
        <w:spacing w:line="360" w:lineRule="auto"/>
        <w:ind w:firstLine="480" w:firstLineChars="200"/>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rFonts w:hint="eastAsia"/>
          <w:sz w:val="24"/>
          <w:szCs w:val="28"/>
        </w:rPr>
      </w:pPr>
      <w:r>
        <w:rPr>
          <w:rFonts w:hint="eastAsia"/>
          <w:sz w:val="24"/>
          <w:szCs w:val="28"/>
        </w:rPr>
        <w:t xml:space="preserve">                    报价人（单位名称）：</w:t>
      </w:r>
    </w:p>
    <w:p>
      <w:pPr>
        <w:spacing w:line="360" w:lineRule="auto"/>
        <w:rPr>
          <w:rFonts w:hint="eastAsia"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宋体"/>
          <w:kern w:val="0"/>
          <w:szCs w:val="21"/>
        </w:rPr>
      </w:pPr>
      <w:r>
        <w:rPr>
          <w:rFonts w:hint="eastAsia" w:ascii="宋体" w:hAnsi="宋体"/>
          <w:sz w:val="24"/>
          <w:szCs w:val="28"/>
        </w:rPr>
        <w:t xml:space="preserve">     日期：</w:t>
      </w:r>
    </w:p>
    <w:p>
      <w:pPr>
        <w:pStyle w:val="5"/>
        <w:jc w:val="center"/>
        <w:rPr>
          <w:rFonts w:hint="eastAsia" w:ascii="宋体" w:hAnsi="宋体" w:cs="宋体"/>
          <w:sz w:val="28"/>
          <w:highlight w:val="none"/>
        </w:rPr>
      </w:pPr>
    </w:p>
    <w:p>
      <w:pPr>
        <w:pStyle w:val="5"/>
        <w:jc w:val="center"/>
        <w:rPr>
          <w:rFonts w:hint="eastAsia" w:ascii="宋体" w:hAnsi="宋体" w:cs="宋体"/>
          <w:sz w:val="28"/>
          <w:highlight w:val="none"/>
        </w:rPr>
      </w:pPr>
      <w:r>
        <w:rPr>
          <w:rFonts w:hint="eastAsia" w:ascii="宋体" w:hAnsi="宋体" w:cs="宋体"/>
          <w:sz w:val="28"/>
          <w:highlight w:val="none"/>
        </w:rPr>
        <w:t>（</w:t>
      </w:r>
      <w:r>
        <w:rPr>
          <w:rFonts w:hint="eastAsia" w:ascii="宋体" w:hAnsi="宋体" w:cs="宋体"/>
          <w:sz w:val="28"/>
          <w:highlight w:val="none"/>
          <w:lang w:val="en-US" w:eastAsia="zh-CN"/>
        </w:rPr>
        <w:t>二</w:t>
      </w:r>
      <w:r>
        <w:rPr>
          <w:rFonts w:hint="eastAsia" w:ascii="宋体" w:hAnsi="宋体" w:cs="宋体"/>
          <w:sz w:val="28"/>
          <w:highlight w:val="none"/>
        </w:rPr>
        <w:t>）</w:t>
      </w:r>
      <w:bookmarkEnd w:id="264"/>
      <w:bookmarkStart w:id="265" w:name="_Toc507681488"/>
      <w:bookmarkStart w:id="266" w:name="_Toc507681700"/>
      <w:bookmarkStart w:id="267" w:name="_Toc504639215"/>
      <w:r>
        <w:rPr>
          <w:rFonts w:hint="eastAsia" w:ascii="宋体" w:hAnsi="宋体" w:cs="宋体"/>
          <w:sz w:val="28"/>
          <w:highlight w:val="none"/>
        </w:rPr>
        <w:t>报价人自行承诺部分</w:t>
      </w:r>
      <w:bookmarkEnd w:id="265"/>
      <w:bookmarkEnd w:id="266"/>
      <w:bookmarkEnd w:id="267"/>
    </w:p>
    <w:p>
      <w:pPr>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比选文件中要求报价人自行承诺的，由报价人按比选文件要求内容承诺，格式自拟。</w:t>
      </w:r>
    </w:p>
    <w:p>
      <w:pPr>
        <w:pStyle w:val="4"/>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5"/>
        <w:spacing w:before="0" w:after="0" w:line="360" w:lineRule="auto"/>
        <w:jc w:val="center"/>
        <w:rPr>
          <w:sz w:val="28"/>
          <w:szCs w:val="28"/>
        </w:rPr>
      </w:pPr>
      <w:bookmarkStart w:id="268" w:name="_Toc508110857"/>
      <w:bookmarkStart w:id="269" w:name="_Toc4375"/>
      <w:bookmarkStart w:id="270" w:name="_Toc452107137"/>
      <w:r>
        <w:rPr>
          <w:rFonts w:hint="eastAsia"/>
          <w:sz w:val="28"/>
          <w:szCs w:val="28"/>
        </w:rPr>
        <w:t>（一）报价人基本信息表</w:t>
      </w:r>
      <w:bookmarkEnd w:id="268"/>
      <w:bookmarkEnd w:id="269"/>
      <w:bookmarkEnd w:id="270"/>
    </w:p>
    <w:p>
      <w:pPr>
        <w:pStyle w:val="27"/>
      </w:pPr>
    </w:p>
    <w:tbl>
      <w:tblPr>
        <w:tblStyle w:val="45"/>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报价人</w:t>
            </w:r>
          </w:p>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eastAsia"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bl>
    <w:p>
      <w:pPr>
        <w:pStyle w:val="5"/>
        <w:jc w:val="center"/>
        <w:rPr>
          <w:rFonts w:ascii="宋体" w:hAnsi="宋体" w:cs="宋体"/>
          <w:sz w:val="28"/>
        </w:rPr>
      </w:pPr>
    </w:p>
    <w:p>
      <w:pPr>
        <w:pStyle w:val="5"/>
        <w:numPr>
          <w:ilvl w:val="0"/>
          <w:numId w:val="8"/>
        </w:numPr>
        <w:jc w:val="center"/>
        <w:rPr>
          <w:rFonts w:hint="eastAsia" w:ascii="宋体" w:hAnsi="宋体" w:cs="宋体"/>
          <w:sz w:val="22"/>
          <w:szCs w:val="24"/>
          <w:lang w:val="en-US" w:eastAsia="zh-CN"/>
        </w:rPr>
      </w:pPr>
      <w:r>
        <w:rPr>
          <w:rFonts w:hint="eastAsia" w:ascii="宋体" w:hAnsi="宋体" w:cs="宋体"/>
          <w:sz w:val="28"/>
        </w:rPr>
        <w:t>其他材料</w:t>
      </w:r>
      <w:r>
        <w:rPr>
          <w:rFonts w:hint="eastAsia" w:ascii="宋体" w:hAnsi="宋体" w:cs="宋体"/>
          <w:sz w:val="28"/>
          <w:lang w:val="en-US" w:eastAsia="zh-CN"/>
        </w:rPr>
        <w:t xml:space="preserve">  </w:t>
      </w:r>
    </w:p>
    <w:p>
      <w:pPr>
        <w:pStyle w:val="5"/>
        <w:numPr>
          <w:ilvl w:val="0"/>
          <w:numId w:val="0"/>
        </w:numPr>
        <w:jc w:val="both"/>
        <w:rPr>
          <w:rFonts w:hint="eastAsia" w:ascii="宋体" w:hAnsi="宋体" w:eastAsia="宋体" w:cs="宋体"/>
          <w:sz w:val="22"/>
          <w:szCs w:val="24"/>
          <w:lang w:eastAsia="zh-CN"/>
        </w:rPr>
      </w:pPr>
      <w:r>
        <w:rPr>
          <w:rFonts w:hint="eastAsia" w:ascii="宋体" w:hAnsi="宋体" w:cs="宋体"/>
          <w:sz w:val="22"/>
          <w:szCs w:val="24"/>
          <w:lang w:val="en-US" w:eastAsia="zh-CN"/>
        </w:rPr>
        <w:t>加分业绩</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000"/>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商务得分部分</w:t>
            </w:r>
          </w:p>
        </w:tc>
        <w:tc>
          <w:tcPr>
            <w:tcW w:w="2000" w:type="dxa"/>
          </w:tcPr>
          <w:p>
            <w:pPr>
              <w:keepNext w:val="0"/>
              <w:keepLines w:val="0"/>
              <w:suppressLineNumbers w:val="0"/>
              <w:spacing w:before="0" w:beforeAutospacing="0" w:after="0" w:afterAutospacing="0"/>
              <w:ind w:left="0" w:right="0"/>
              <w:jc w:val="center"/>
              <w:rPr>
                <w:rFonts w:hint="eastAsia" w:eastAsia="宋体"/>
                <w:vertAlign w:val="baseline"/>
                <w:lang w:val="en-US" w:eastAsia="zh-CN"/>
              </w:rPr>
            </w:pPr>
            <w:r>
              <w:rPr>
                <w:rFonts w:hint="eastAsia"/>
                <w:vertAlign w:val="baseline"/>
                <w:lang w:val="en-US" w:eastAsia="zh-CN"/>
              </w:rPr>
              <w:t>页码</w:t>
            </w:r>
          </w:p>
        </w:tc>
        <w:tc>
          <w:tcPr>
            <w:tcW w:w="2261"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例;P60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技术得分部分</w:t>
            </w:r>
          </w:p>
        </w:tc>
        <w:tc>
          <w:tcPr>
            <w:tcW w:w="2000" w:type="dxa"/>
          </w:tcPr>
          <w:p>
            <w:pPr>
              <w:keepNext w:val="0"/>
              <w:keepLines w:val="0"/>
              <w:suppressLineNumbers w:val="0"/>
              <w:spacing w:before="0" w:beforeAutospacing="0" w:after="0" w:afterAutospacing="0"/>
              <w:ind w:left="0" w:right="0"/>
              <w:jc w:val="center"/>
              <w:rPr>
                <w:rFonts w:hint="eastAsia"/>
                <w:vertAlign w:val="baseline"/>
              </w:rPr>
            </w:pPr>
            <w:r>
              <w:rPr>
                <w:rFonts w:hint="eastAsia"/>
                <w:vertAlign w:val="baseline"/>
                <w:lang w:val="en-US" w:eastAsia="zh-CN"/>
              </w:rPr>
              <w:t>页码</w:t>
            </w:r>
          </w:p>
        </w:tc>
        <w:tc>
          <w:tcPr>
            <w:tcW w:w="2261" w:type="dxa"/>
          </w:tcPr>
          <w:p>
            <w:pPr>
              <w:keepNext w:val="0"/>
              <w:keepLines w:val="0"/>
              <w:suppressLineNumbers w:val="0"/>
              <w:spacing w:before="0" w:beforeAutospacing="0" w:after="0" w:afterAutospacing="0"/>
              <w:ind w:left="0" w:right="0"/>
              <w:jc w:val="center"/>
              <w:rPr>
                <w:rFonts w:hint="eastAsia"/>
                <w:vertAlign w:val="baseline"/>
              </w:rPr>
            </w:pPr>
            <w:r>
              <w:rPr>
                <w:rFonts w:hint="eastAsia"/>
                <w:vertAlign w:val="baseline"/>
                <w:lang w:val="en-US" w:eastAsia="zh-CN"/>
              </w:rPr>
              <w:t>例;P70</w:t>
            </w:r>
          </w:p>
        </w:tc>
      </w:tr>
    </w:tbl>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p>
      <w:pPr>
        <w:pStyle w:val="17"/>
      </w:pPr>
    </w:p>
    <w:p/>
    <w:bookmarkEnd w:id="262"/>
    <w:bookmarkEnd w:id="263"/>
    <w:p>
      <w:pPr>
        <w:pStyle w:val="17"/>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78D33A7-51D0-4B9F-B4AF-4EFEC16B928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altName w:val="微软雅黑"/>
    <w:panose1 w:val="03000509000000000000"/>
    <w:charset w:val="86"/>
    <w:family w:val="script"/>
    <w:pitch w:val="default"/>
    <w:sig w:usb0="00000000" w:usb1="00000000" w:usb2="00000000" w:usb3="00000000" w:csb0="00040000" w:csb1="00000000"/>
    <w:embedRegular r:id="rId2" w:fontKey="{EAA0FB4D-5D71-4BC0-9218-F6F002F841FA}"/>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79</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35</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9"/>
      </w:rPr>
    </w:pPr>
    <w:r>
      <w:fldChar w:fldCharType="begin"/>
    </w:r>
    <w:r>
      <w:rPr>
        <w:rStyle w:val="49"/>
      </w:rPr>
      <w:instrText xml:space="preserve">PAGE  </w:instrText>
    </w:r>
    <w:r>
      <w:fldChar w:fldCharType="separate"/>
    </w:r>
    <w:r>
      <w:rPr>
        <w:rStyle w:val="49"/>
      </w:rPr>
      <w:t>73</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9"/>
      </w:rPr>
    </w:pPr>
    <w:r>
      <w:fldChar w:fldCharType="begin"/>
    </w:r>
    <w:r>
      <w:rPr>
        <w:rStyle w:val="49"/>
      </w:rPr>
      <w:instrText xml:space="preserve">PAGE  </w:instrText>
    </w:r>
    <w:r>
      <w:fldChar w:fldCharType="separate"/>
    </w:r>
    <w:r>
      <w:rPr>
        <w:rStyle w:val="49"/>
      </w:rPr>
      <w:t>78</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Style w:val="49"/>
                            </w:rPr>
                          </w:pPr>
                          <w:r>
                            <w:fldChar w:fldCharType="begin"/>
                          </w:r>
                          <w:r>
                            <w:rPr>
                              <w:rStyle w:val="49"/>
                            </w:rPr>
                            <w:instrText xml:space="preserve">PAGE  </w:instrText>
                          </w:r>
                          <w:r>
                            <w:fldChar w:fldCharType="separate"/>
                          </w:r>
                          <w:r>
                            <w:rPr>
                              <w:rStyle w:val="49"/>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7"/>
                      <w:rPr>
                        <w:rStyle w:val="49"/>
                      </w:rPr>
                    </w:pPr>
                    <w:r>
                      <w:fldChar w:fldCharType="begin"/>
                    </w:r>
                    <w:r>
                      <w:rPr>
                        <w:rStyle w:val="49"/>
                      </w:rPr>
                      <w:instrText xml:space="preserve">PAGE  </w:instrText>
                    </w:r>
                    <w:r>
                      <w:fldChar w:fldCharType="separate"/>
                    </w:r>
                    <w:r>
                      <w:rPr>
                        <w:rStyle w:val="49"/>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A75AE1FA"/>
    <w:multiLevelType w:val="singleLevel"/>
    <w:tmpl w:val="A75AE1FA"/>
    <w:lvl w:ilvl="0" w:tentative="0">
      <w:start w:val="1"/>
      <w:numFmt w:val="chineseCounting"/>
      <w:suff w:val="nothing"/>
      <w:lvlText w:val="（%1）"/>
      <w:lvlJc w:val="left"/>
      <w:pPr>
        <w:ind w:left="0" w:firstLine="420"/>
      </w:pPr>
      <w:rPr>
        <w:rFonts w:hint="eastAsia"/>
      </w:rPr>
    </w:lvl>
  </w:abstractNum>
  <w:abstractNum w:abstractNumId="2">
    <w:nsid w:val="A7AF1576"/>
    <w:multiLevelType w:val="singleLevel"/>
    <w:tmpl w:val="A7AF1576"/>
    <w:lvl w:ilvl="0" w:tentative="0">
      <w:start w:val="1"/>
      <w:numFmt w:val="decimal"/>
      <w:lvlText w:val="%1."/>
      <w:lvlJc w:val="left"/>
      <w:pPr>
        <w:tabs>
          <w:tab w:val="left" w:pos="312"/>
        </w:tabs>
      </w:pPr>
      <w:rPr>
        <w:rFonts w:hint="default"/>
        <w:color w:val="auto"/>
      </w:rPr>
    </w:lvl>
  </w:abstractNum>
  <w:abstractNum w:abstractNumId="3">
    <w:nsid w:val="A857D94E"/>
    <w:multiLevelType w:val="singleLevel"/>
    <w:tmpl w:val="A857D94E"/>
    <w:lvl w:ilvl="0" w:tentative="0">
      <w:start w:val="8"/>
      <w:numFmt w:val="chineseCounting"/>
      <w:suff w:val="space"/>
      <w:lvlText w:val="第%1章"/>
      <w:lvlJc w:val="left"/>
      <w:rPr>
        <w:rFonts w:hint="eastAsia"/>
      </w:rPr>
    </w:lvl>
  </w:abstractNum>
  <w:abstractNum w:abstractNumId="4">
    <w:nsid w:val="CACEFFC6"/>
    <w:multiLevelType w:val="singleLevel"/>
    <w:tmpl w:val="CACEFFC6"/>
    <w:lvl w:ilvl="0" w:tentative="0">
      <w:start w:val="2"/>
      <w:numFmt w:val="chineseCounting"/>
      <w:suff w:val="nothing"/>
      <w:lvlText w:val="（%1）"/>
      <w:lvlJc w:val="left"/>
      <w:rPr>
        <w:rFonts w:hint="eastAsia"/>
      </w:rPr>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4"/>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3871CE1D"/>
    <w:multiLevelType w:val="singleLevel"/>
    <w:tmpl w:val="3871CE1D"/>
    <w:lvl w:ilvl="0" w:tentative="0">
      <w:start w:val="1"/>
      <w:numFmt w:val="chineseCounting"/>
      <w:suff w:val="nothing"/>
      <w:lvlText w:val="%1、"/>
      <w:lvlJc w:val="left"/>
      <w:rPr>
        <w:rFonts w:hint="eastAsia"/>
      </w:rPr>
    </w:lvl>
  </w:abstractNum>
  <w:abstractNum w:abstractNumId="7">
    <w:nsid w:val="55E7E3B4"/>
    <w:multiLevelType w:val="singleLevel"/>
    <w:tmpl w:val="55E7E3B4"/>
    <w:lvl w:ilvl="0" w:tentative="0">
      <w:start w:val="3"/>
      <w:numFmt w:val="chineseCounting"/>
      <w:suff w:val="space"/>
      <w:lvlText w:val="第%1章"/>
      <w:lvlJc w:val="left"/>
      <w:rPr>
        <w:rFonts w:hint="eastAsia"/>
      </w:rPr>
    </w:lvl>
  </w:abstractNum>
  <w:num w:numId="1">
    <w:abstractNumId w:val="5"/>
  </w:num>
  <w:num w:numId="2">
    <w:abstractNumId w:val="0"/>
  </w:num>
  <w:num w:numId="3">
    <w:abstractNumId w:val="7"/>
  </w:num>
  <w:num w:numId="4">
    <w:abstractNumId w:val="2"/>
  </w:num>
  <w:num w:numId="5">
    <w:abstractNumId w:val="3"/>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1956"/>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7E8"/>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5FE1"/>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73F"/>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74E"/>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AC2"/>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22DB"/>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67B81"/>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3C9A"/>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502D"/>
    <w:rsid w:val="00816118"/>
    <w:rsid w:val="00816C40"/>
    <w:rsid w:val="008170C3"/>
    <w:rsid w:val="00817E08"/>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4FC9"/>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17EE0"/>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1F7E"/>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16E9"/>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80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110D91"/>
    <w:rsid w:val="01232ED2"/>
    <w:rsid w:val="012D5C45"/>
    <w:rsid w:val="015D18DC"/>
    <w:rsid w:val="0184380B"/>
    <w:rsid w:val="01852BD3"/>
    <w:rsid w:val="018A6C3C"/>
    <w:rsid w:val="01912179"/>
    <w:rsid w:val="01A8609A"/>
    <w:rsid w:val="01A93FA3"/>
    <w:rsid w:val="01B37E92"/>
    <w:rsid w:val="01CA6EA2"/>
    <w:rsid w:val="01E05F01"/>
    <w:rsid w:val="020C0D2B"/>
    <w:rsid w:val="02195A53"/>
    <w:rsid w:val="022831DB"/>
    <w:rsid w:val="02375428"/>
    <w:rsid w:val="02427F54"/>
    <w:rsid w:val="029D41FE"/>
    <w:rsid w:val="02A800C5"/>
    <w:rsid w:val="02B53517"/>
    <w:rsid w:val="02C6499B"/>
    <w:rsid w:val="02C91CAA"/>
    <w:rsid w:val="02D0709E"/>
    <w:rsid w:val="02FA438B"/>
    <w:rsid w:val="0342021E"/>
    <w:rsid w:val="035E20C2"/>
    <w:rsid w:val="037D0CD2"/>
    <w:rsid w:val="038B3366"/>
    <w:rsid w:val="03981B5E"/>
    <w:rsid w:val="03996EAD"/>
    <w:rsid w:val="03A528AE"/>
    <w:rsid w:val="03B659FC"/>
    <w:rsid w:val="03F60BFA"/>
    <w:rsid w:val="04023CC8"/>
    <w:rsid w:val="042674F4"/>
    <w:rsid w:val="042A6EF2"/>
    <w:rsid w:val="042D3C13"/>
    <w:rsid w:val="04566DE4"/>
    <w:rsid w:val="04722D72"/>
    <w:rsid w:val="047475DC"/>
    <w:rsid w:val="047A0BBC"/>
    <w:rsid w:val="04933E65"/>
    <w:rsid w:val="04945913"/>
    <w:rsid w:val="04B32944"/>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71A0A"/>
    <w:rsid w:val="058B2628"/>
    <w:rsid w:val="05A42E7B"/>
    <w:rsid w:val="05A70EA9"/>
    <w:rsid w:val="05D55D36"/>
    <w:rsid w:val="060C2525"/>
    <w:rsid w:val="062756FD"/>
    <w:rsid w:val="06465A4B"/>
    <w:rsid w:val="065F7A31"/>
    <w:rsid w:val="067C53E7"/>
    <w:rsid w:val="06820F5E"/>
    <w:rsid w:val="06A7180A"/>
    <w:rsid w:val="06AE2ABA"/>
    <w:rsid w:val="06BA1001"/>
    <w:rsid w:val="06C106CD"/>
    <w:rsid w:val="06C75DF5"/>
    <w:rsid w:val="06DD02BB"/>
    <w:rsid w:val="06E71F51"/>
    <w:rsid w:val="06F965AD"/>
    <w:rsid w:val="07035F04"/>
    <w:rsid w:val="07050666"/>
    <w:rsid w:val="071A6392"/>
    <w:rsid w:val="071C4DB7"/>
    <w:rsid w:val="07362674"/>
    <w:rsid w:val="073B54B2"/>
    <w:rsid w:val="073E79EE"/>
    <w:rsid w:val="07410810"/>
    <w:rsid w:val="07537EF9"/>
    <w:rsid w:val="0760673E"/>
    <w:rsid w:val="076619FA"/>
    <w:rsid w:val="077E1A2E"/>
    <w:rsid w:val="07815EE7"/>
    <w:rsid w:val="0784155A"/>
    <w:rsid w:val="079A613C"/>
    <w:rsid w:val="07E6454D"/>
    <w:rsid w:val="081748AE"/>
    <w:rsid w:val="08483CA7"/>
    <w:rsid w:val="08594641"/>
    <w:rsid w:val="085C3CE3"/>
    <w:rsid w:val="08635851"/>
    <w:rsid w:val="08891E69"/>
    <w:rsid w:val="08A30341"/>
    <w:rsid w:val="08C2359B"/>
    <w:rsid w:val="08ED052C"/>
    <w:rsid w:val="09041814"/>
    <w:rsid w:val="092D7BDC"/>
    <w:rsid w:val="09332D2B"/>
    <w:rsid w:val="093E2D64"/>
    <w:rsid w:val="09455F12"/>
    <w:rsid w:val="09472203"/>
    <w:rsid w:val="0947295E"/>
    <w:rsid w:val="098B1DA7"/>
    <w:rsid w:val="09907951"/>
    <w:rsid w:val="099F43E4"/>
    <w:rsid w:val="09A31A61"/>
    <w:rsid w:val="09BA7A85"/>
    <w:rsid w:val="09DE1094"/>
    <w:rsid w:val="09E2475B"/>
    <w:rsid w:val="0A183EA3"/>
    <w:rsid w:val="0A1B0252"/>
    <w:rsid w:val="0A207013"/>
    <w:rsid w:val="0A3F34B7"/>
    <w:rsid w:val="0A4B11BE"/>
    <w:rsid w:val="0A7B4003"/>
    <w:rsid w:val="0A7D7D7B"/>
    <w:rsid w:val="0A8E5B8D"/>
    <w:rsid w:val="0A922065"/>
    <w:rsid w:val="0AA23F09"/>
    <w:rsid w:val="0AA240FA"/>
    <w:rsid w:val="0AAC0CBB"/>
    <w:rsid w:val="0ACC0D02"/>
    <w:rsid w:val="0AD84BD3"/>
    <w:rsid w:val="0AE941D3"/>
    <w:rsid w:val="0AFA761E"/>
    <w:rsid w:val="0B1061C6"/>
    <w:rsid w:val="0B246449"/>
    <w:rsid w:val="0B2B08D5"/>
    <w:rsid w:val="0B3A2110"/>
    <w:rsid w:val="0B896BF3"/>
    <w:rsid w:val="0B8B6E20"/>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8201C"/>
    <w:rsid w:val="0CAB3827"/>
    <w:rsid w:val="0CAD24AF"/>
    <w:rsid w:val="0CB27F34"/>
    <w:rsid w:val="0CC41080"/>
    <w:rsid w:val="0D0D3F93"/>
    <w:rsid w:val="0D12389F"/>
    <w:rsid w:val="0D2820B7"/>
    <w:rsid w:val="0D2B5BA2"/>
    <w:rsid w:val="0D2F6875"/>
    <w:rsid w:val="0D33523D"/>
    <w:rsid w:val="0D5B6D69"/>
    <w:rsid w:val="0D6065F9"/>
    <w:rsid w:val="0D650C0A"/>
    <w:rsid w:val="0D662EE5"/>
    <w:rsid w:val="0D6A3AE7"/>
    <w:rsid w:val="0D860EC5"/>
    <w:rsid w:val="0D9339BE"/>
    <w:rsid w:val="0D991370"/>
    <w:rsid w:val="0D9E6A67"/>
    <w:rsid w:val="0D9F0DC4"/>
    <w:rsid w:val="0DA07FC9"/>
    <w:rsid w:val="0DAE46EF"/>
    <w:rsid w:val="0DC02AA1"/>
    <w:rsid w:val="0DDE695A"/>
    <w:rsid w:val="0DF73A5B"/>
    <w:rsid w:val="0E164CA8"/>
    <w:rsid w:val="0E1F54E6"/>
    <w:rsid w:val="0E231949"/>
    <w:rsid w:val="0E2D072E"/>
    <w:rsid w:val="0E3B295D"/>
    <w:rsid w:val="0E47249B"/>
    <w:rsid w:val="0E551882"/>
    <w:rsid w:val="0E5C239D"/>
    <w:rsid w:val="0E7306EC"/>
    <w:rsid w:val="0E963048"/>
    <w:rsid w:val="0EAD7E50"/>
    <w:rsid w:val="0EB254B2"/>
    <w:rsid w:val="0EB567A2"/>
    <w:rsid w:val="0ED91C40"/>
    <w:rsid w:val="0EFB3F5D"/>
    <w:rsid w:val="0F041CC7"/>
    <w:rsid w:val="0F042317"/>
    <w:rsid w:val="0F1209F8"/>
    <w:rsid w:val="0F4C19DA"/>
    <w:rsid w:val="0F4C7D05"/>
    <w:rsid w:val="0F4F31AF"/>
    <w:rsid w:val="0F5F17BD"/>
    <w:rsid w:val="0F6B0BDE"/>
    <w:rsid w:val="0F7E014D"/>
    <w:rsid w:val="0F7F6CFB"/>
    <w:rsid w:val="0F8120BC"/>
    <w:rsid w:val="0F90531D"/>
    <w:rsid w:val="0FAD64B5"/>
    <w:rsid w:val="0FB21FD4"/>
    <w:rsid w:val="0FC35FC8"/>
    <w:rsid w:val="0FFF5930"/>
    <w:rsid w:val="1018536D"/>
    <w:rsid w:val="103E679C"/>
    <w:rsid w:val="104D6442"/>
    <w:rsid w:val="10740078"/>
    <w:rsid w:val="108E33C3"/>
    <w:rsid w:val="10A265EF"/>
    <w:rsid w:val="10EC4A0F"/>
    <w:rsid w:val="10FB7C4C"/>
    <w:rsid w:val="11156FC6"/>
    <w:rsid w:val="11485B0D"/>
    <w:rsid w:val="114C7209"/>
    <w:rsid w:val="11537A88"/>
    <w:rsid w:val="1154158B"/>
    <w:rsid w:val="11677BA5"/>
    <w:rsid w:val="117019D5"/>
    <w:rsid w:val="117076B2"/>
    <w:rsid w:val="119E6579"/>
    <w:rsid w:val="11D435DD"/>
    <w:rsid w:val="11DA3C43"/>
    <w:rsid w:val="11E15B8A"/>
    <w:rsid w:val="11F35990"/>
    <w:rsid w:val="1220326C"/>
    <w:rsid w:val="123A67B6"/>
    <w:rsid w:val="125515DD"/>
    <w:rsid w:val="125670E6"/>
    <w:rsid w:val="125E1A9C"/>
    <w:rsid w:val="1276289F"/>
    <w:rsid w:val="1288522D"/>
    <w:rsid w:val="129D6A95"/>
    <w:rsid w:val="12AF4046"/>
    <w:rsid w:val="12CE506D"/>
    <w:rsid w:val="12D036D1"/>
    <w:rsid w:val="12F65490"/>
    <w:rsid w:val="12F73D2A"/>
    <w:rsid w:val="12F9698E"/>
    <w:rsid w:val="13111CF5"/>
    <w:rsid w:val="13112273"/>
    <w:rsid w:val="131C7C5D"/>
    <w:rsid w:val="13511DF6"/>
    <w:rsid w:val="1359610F"/>
    <w:rsid w:val="136F3685"/>
    <w:rsid w:val="138B4634"/>
    <w:rsid w:val="138F1214"/>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B86D74"/>
    <w:rsid w:val="15E63361"/>
    <w:rsid w:val="15FB01ED"/>
    <w:rsid w:val="160B0227"/>
    <w:rsid w:val="1613731C"/>
    <w:rsid w:val="161715F5"/>
    <w:rsid w:val="16864176"/>
    <w:rsid w:val="169825E7"/>
    <w:rsid w:val="16B34B25"/>
    <w:rsid w:val="16E04880"/>
    <w:rsid w:val="16F86032"/>
    <w:rsid w:val="16FE2244"/>
    <w:rsid w:val="17081A7A"/>
    <w:rsid w:val="17092996"/>
    <w:rsid w:val="17292C0C"/>
    <w:rsid w:val="176F50FE"/>
    <w:rsid w:val="17A35761"/>
    <w:rsid w:val="17D10049"/>
    <w:rsid w:val="17D565E9"/>
    <w:rsid w:val="17D75109"/>
    <w:rsid w:val="17DD0B49"/>
    <w:rsid w:val="17F1563C"/>
    <w:rsid w:val="17F23C73"/>
    <w:rsid w:val="18066F34"/>
    <w:rsid w:val="180D0283"/>
    <w:rsid w:val="180F3B80"/>
    <w:rsid w:val="1812568C"/>
    <w:rsid w:val="18190BFA"/>
    <w:rsid w:val="181B1411"/>
    <w:rsid w:val="181C1400"/>
    <w:rsid w:val="18223BBF"/>
    <w:rsid w:val="18406E44"/>
    <w:rsid w:val="185C1918"/>
    <w:rsid w:val="1880349D"/>
    <w:rsid w:val="18A24E51"/>
    <w:rsid w:val="18BD142C"/>
    <w:rsid w:val="18BD60C6"/>
    <w:rsid w:val="18C3452E"/>
    <w:rsid w:val="18D435BC"/>
    <w:rsid w:val="18E261BC"/>
    <w:rsid w:val="18E6320F"/>
    <w:rsid w:val="190050D9"/>
    <w:rsid w:val="19193365"/>
    <w:rsid w:val="19261639"/>
    <w:rsid w:val="195D5C0E"/>
    <w:rsid w:val="19B116AD"/>
    <w:rsid w:val="19B17485"/>
    <w:rsid w:val="19B64CC2"/>
    <w:rsid w:val="19BA69A5"/>
    <w:rsid w:val="19BF304A"/>
    <w:rsid w:val="19CC487B"/>
    <w:rsid w:val="19DA3CF6"/>
    <w:rsid w:val="19DF6D3F"/>
    <w:rsid w:val="19E24459"/>
    <w:rsid w:val="19E75211"/>
    <w:rsid w:val="19EF2451"/>
    <w:rsid w:val="1A176F08"/>
    <w:rsid w:val="1A194A1B"/>
    <w:rsid w:val="1A305FF4"/>
    <w:rsid w:val="1A3D7EBE"/>
    <w:rsid w:val="1A4274FB"/>
    <w:rsid w:val="1A4353A0"/>
    <w:rsid w:val="1A557489"/>
    <w:rsid w:val="1A89451A"/>
    <w:rsid w:val="1AF45443"/>
    <w:rsid w:val="1AF673AA"/>
    <w:rsid w:val="1B075A0C"/>
    <w:rsid w:val="1B1C7DC9"/>
    <w:rsid w:val="1B67066F"/>
    <w:rsid w:val="1B7229E4"/>
    <w:rsid w:val="1B7A5EC7"/>
    <w:rsid w:val="1B8E5EC0"/>
    <w:rsid w:val="1BBE47DE"/>
    <w:rsid w:val="1BC10D01"/>
    <w:rsid w:val="1BCB334D"/>
    <w:rsid w:val="1BD163B0"/>
    <w:rsid w:val="1C2403B8"/>
    <w:rsid w:val="1C2613A8"/>
    <w:rsid w:val="1C477E44"/>
    <w:rsid w:val="1C871B48"/>
    <w:rsid w:val="1C9B22E2"/>
    <w:rsid w:val="1CA53B30"/>
    <w:rsid w:val="1CB33990"/>
    <w:rsid w:val="1CB94E5F"/>
    <w:rsid w:val="1CBE72D2"/>
    <w:rsid w:val="1CDA422E"/>
    <w:rsid w:val="1CF6260F"/>
    <w:rsid w:val="1CF83AEA"/>
    <w:rsid w:val="1CF911FC"/>
    <w:rsid w:val="1CFC0FD3"/>
    <w:rsid w:val="1CFF7A9C"/>
    <w:rsid w:val="1D0048A3"/>
    <w:rsid w:val="1D34223E"/>
    <w:rsid w:val="1D6914D5"/>
    <w:rsid w:val="1D7C7A22"/>
    <w:rsid w:val="1D7E09CF"/>
    <w:rsid w:val="1D9F1A69"/>
    <w:rsid w:val="1DB50BD0"/>
    <w:rsid w:val="1DE41480"/>
    <w:rsid w:val="1DFF50F3"/>
    <w:rsid w:val="1E191715"/>
    <w:rsid w:val="1E2139B7"/>
    <w:rsid w:val="1E7A14A8"/>
    <w:rsid w:val="1E7F32B0"/>
    <w:rsid w:val="1EA77665"/>
    <w:rsid w:val="1EBA058B"/>
    <w:rsid w:val="1EBB622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15DBF"/>
    <w:rsid w:val="212B522B"/>
    <w:rsid w:val="213F6312"/>
    <w:rsid w:val="21736537"/>
    <w:rsid w:val="21977807"/>
    <w:rsid w:val="219A6D4B"/>
    <w:rsid w:val="21B30D9B"/>
    <w:rsid w:val="21B32189"/>
    <w:rsid w:val="21C2735E"/>
    <w:rsid w:val="21CE2E82"/>
    <w:rsid w:val="21E57FA3"/>
    <w:rsid w:val="21FB5A74"/>
    <w:rsid w:val="22677BAA"/>
    <w:rsid w:val="226827C0"/>
    <w:rsid w:val="227C6EFF"/>
    <w:rsid w:val="22942795"/>
    <w:rsid w:val="22A10D06"/>
    <w:rsid w:val="22B665A5"/>
    <w:rsid w:val="22C925E0"/>
    <w:rsid w:val="22D84291"/>
    <w:rsid w:val="22E46F4A"/>
    <w:rsid w:val="22E82DE7"/>
    <w:rsid w:val="22F20107"/>
    <w:rsid w:val="22F20159"/>
    <w:rsid w:val="22F42968"/>
    <w:rsid w:val="23005537"/>
    <w:rsid w:val="231A3C9A"/>
    <w:rsid w:val="232C54A8"/>
    <w:rsid w:val="233C2C53"/>
    <w:rsid w:val="23486890"/>
    <w:rsid w:val="236F1F61"/>
    <w:rsid w:val="23A361CC"/>
    <w:rsid w:val="23AB4CDF"/>
    <w:rsid w:val="23C37A75"/>
    <w:rsid w:val="240404D0"/>
    <w:rsid w:val="24220F3E"/>
    <w:rsid w:val="2423604B"/>
    <w:rsid w:val="243A3F7E"/>
    <w:rsid w:val="24436391"/>
    <w:rsid w:val="2450121E"/>
    <w:rsid w:val="247A4C56"/>
    <w:rsid w:val="2487622C"/>
    <w:rsid w:val="248945BF"/>
    <w:rsid w:val="24973094"/>
    <w:rsid w:val="24AD6D9A"/>
    <w:rsid w:val="24E52AD8"/>
    <w:rsid w:val="24E85B0E"/>
    <w:rsid w:val="251418FC"/>
    <w:rsid w:val="254925FD"/>
    <w:rsid w:val="255249D2"/>
    <w:rsid w:val="256C0CC0"/>
    <w:rsid w:val="25712B23"/>
    <w:rsid w:val="25951FC5"/>
    <w:rsid w:val="25A845B3"/>
    <w:rsid w:val="25EB71B7"/>
    <w:rsid w:val="26154215"/>
    <w:rsid w:val="261A0BE6"/>
    <w:rsid w:val="26385E8A"/>
    <w:rsid w:val="263C7691"/>
    <w:rsid w:val="264E29E7"/>
    <w:rsid w:val="265E2776"/>
    <w:rsid w:val="26666FDC"/>
    <w:rsid w:val="26963D4E"/>
    <w:rsid w:val="26AB763C"/>
    <w:rsid w:val="26B267E7"/>
    <w:rsid w:val="26D794B7"/>
    <w:rsid w:val="26F131DC"/>
    <w:rsid w:val="26F65310"/>
    <w:rsid w:val="27052D05"/>
    <w:rsid w:val="27082804"/>
    <w:rsid w:val="270832AE"/>
    <w:rsid w:val="27343A60"/>
    <w:rsid w:val="27357F9F"/>
    <w:rsid w:val="275E35BF"/>
    <w:rsid w:val="276332FD"/>
    <w:rsid w:val="276C71C3"/>
    <w:rsid w:val="27A4553F"/>
    <w:rsid w:val="27CA7E10"/>
    <w:rsid w:val="27D35135"/>
    <w:rsid w:val="27DC04E2"/>
    <w:rsid w:val="27DD1D93"/>
    <w:rsid w:val="27EF1935"/>
    <w:rsid w:val="280A1B75"/>
    <w:rsid w:val="28257458"/>
    <w:rsid w:val="283962F8"/>
    <w:rsid w:val="284E28FF"/>
    <w:rsid w:val="285D6583"/>
    <w:rsid w:val="287A36F4"/>
    <w:rsid w:val="288458E7"/>
    <w:rsid w:val="28A33A20"/>
    <w:rsid w:val="28A47F17"/>
    <w:rsid w:val="28A95D87"/>
    <w:rsid w:val="28EC32AF"/>
    <w:rsid w:val="28FE6071"/>
    <w:rsid w:val="290212C1"/>
    <w:rsid w:val="290D5ED8"/>
    <w:rsid w:val="29656DCE"/>
    <w:rsid w:val="29722140"/>
    <w:rsid w:val="298B4B23"/>
    <w:rsid w:val="29AD63FD"/>
    <w:rsid w:val="29B71FDB"/>
    <w:rsid w:val="29CF18DD"/>
    <w:rsid w:val="29D65D23"/>
    <w:rsid w:val="29D875FE"/>
    <w:rsid w:val="29FE44DD"/>
    <w:rsid w:val="2A1169E3"/>
    <w:rsid w:val="2A194E5D"/>
    <w:rsid w:val="2A21554B"/>
    <w:rsid w:val="2A594BC2"/>
    <w:rsid w:val="2A5A558B"/>
    <w:rsid w:val="2A9F7561"/>
    <w:rsid w:val="2AA90FA0"/>
    <w:rsid w:val="2AB103DC"/>
    <w:rsid w:val="2AB31CE2"/>
    <w:rsid w:val="2AB55266"/>
    <w:rsid w:val="2AD71DDB"/>
    <w:rsid w:val="2AF000D8"/>
    <w:rsid w:val="2B311BDC"/>
    <w:rsid w:val="2B487382"/>
    <w:rsid w:val="2B552F60"/>
    <w:rsid w:val="2B5D3585"/>
    <w:rsid w:val="2B751409"/>
    <w:rsid w:val="2B7841A6"/>
    <w:rsid w:val="2BA85AE0"/>
    <w:rsid w:val="2BB367B9"/>
    <w:rsid w:val="2BB62D59"/>
    <w:rsid w:val="2BEC2B5B"/>
    <w:rsid w:val="2C13380B"/>
    <w:rsid w:val="2C184D47"/>
    <w:rsid w:val="2C4602D1"/>
    <w:rsid w:val="2C796A89"/>
    <w:rsid w:val="2C7C10B6"/>
    <w:rsid w:val="2C9837D1"/>
    <w:rsid w:val="2CB204A3"/>
    <w:rsid w:val="2CBD3A96"/>
    <w:rsid w:val="2CC74339"/>
    <w:rsid w:val="2CCC23F7"/>
    <w:rsid w:val="2CCE1414"/>
    <w:rsid w:val="2CF93ABF"/>
    <w:rsid w:val="2D1E27A3"/>
    <w:rsid w:val="2D1E560F"/>
    <w:rsid w:val="2D394FF5"/>
    <w:rsid w:val="2D766528"/>
    <w:rsid w:val="2D797435"/>
    <w:rsid w:val="2D817536"/>
    <w:rsid w:val="2DF50B51"/>
    <w:rsid w:val="2DFB3193"/>
    <w:rsid w:val="2E6111A5"/>
    <w:rsid w:val="2E671D49"/>
    <w:rsid w:val="2E6A704D"/>
    <w:rsid w:val="2E6C0B54"/>
    <w:rsid w:val="2E7A444E"/>
    <w:rsid w:val="2E8A6255"/>
    <w:rsid w:val="2E8B21B7"/>
    <w:rsid w:val="2EB8596B"/>
    <w:rsid w:val="2EC8145A"/>
    <w:rsid w:val="2F033612"/>
    <w:rsid w:val="2F0B1048"/>
    <w:rsid w:val="2F132DA3"/>
    <w:rsid w:val="2F141AAA"/>
    <w:rsid w:val="2F2165A1"/>
    <w:rsid w:val="2F57653D"/>
    <w:rsid w:val="2FCA4353"/>
    <w:rsid w:val="2FE55D75"/>
    <w:rsid w:val="2FF23F99"/>
    <w:rsid w:val="2FF43D8C"/>
    <w:rsid w:val="2FFD0E93"/>
    <w:rsid w:val="2FFF3277"/>
    <w:rsid w:val="30236367"/>
    <w:rsid w:val="30331BC6"/>
    <w:rsid w:val="303E7E03"/>
    <w:rsid w:val="30405AEB"/>
    <w:rsid w:val="304A182B"/>
    <w:rsid w:val="30700C52"/>
    <w:rsid w:val="30757C00"/>
    <w:rsid w:val="30782C0F"/>
    <w:rsid w:val="307D5D65"/>
    <w:rsid w:val="30A51368"/>
    <w:rsid w:val="30B34CE3"/>
    <w:rsid w:val="30BB557A"/>
    <w:rsid w:val="30CB1C83"/>
    <w:rsid w:val="30CE6CD3"/>
    <w:rsid w:val="30E34E96"/>
    <w:rsid w:val="30ED2830"/>
    <w:rsid w:val="310743D8"/>
    <w:rsid w:val="3112096E"/>
    <w:rsid w:val="316B2857"/>
    <w:rsid w:val="317B3D70"/>
    <w:rsid w:val="31832D29"/>
    <w:rsid w:val="31997196"/>
    <w:rsid w:val="319D5339"/>
    <w:rsid w:val="319F2F47"/>
    <w:rsid w:val="31B2277E"/>
    <w:rsid w:val="31BF03BB"/>
    <w:rsid w:val="31D20CDE"/>
    <w:rsid w:val="31F37E23"/>
    <w:rsid w:val="31FE689A"/>
    <w:rsid w:val="32036559"/>
    <w:rsid w:val="32223DC6"/>
    <w:rsid w:val="323A7025"/>
    <w:rsid w:val="32551C6D"/>
    <w:rsid w:val="325A02A1"/>
    <w:rsid w:val="325E612F"/>
    <w:rsid w:val="3282506A"/>
    <w:rsid w:val="329032EF"/>
    <w:rsid w:val="329970EF"/>
    <w:rsid w:val="32AE0B6A"/>
    <w:rsid w:val="32B35AAA"/>
    <w:rsid w:val="32BA56C5"/>
    <w:rsid w:val="32F81DE5"/>
    <w:rsid w:val="32FD11AA"/>
    <w:rsid w:val="330F3777"/>
    <w:rsid w:val="33135210"/>
    <w:rsid w:val="3326373F"/>
    <w:rsid w:val="334459AC"/>
    <w:rsid w:val="33691AE5"/>
    <w:rsid w:val="33705A64"/>
    <w:rsid w:val="338E32D5"/>
    <w:rsid w:val="33A055AF"/>
    <w:rsid w:val="33A51E8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A61339"/>
    <w:rsid w:val="34AF4725"/>
    <w:rsid w:val="34CC3006"/>
    <w:rsid w:val="34DF8555"/>
    <w:rsid w:val="34F3793E"/>
    <w:rsid w:val="34F66E75"/>
    <w:rsid w:val="34FA09EA"/>
    <w:rsid w:val="354B5D9D"/>
    <w:rsid w:val="35574E9C"/>
    <w:rsid w:val="35580207"/>
    <w:rsid w:val="35681367"/>
    <w:rsid w:val="35712E34"/>
    <w:rsid w:val="35832558"/>
    <w:rsid w:val="359305B1"/>
    <w:rsid w:val="35966E67"/>
    <w:rsid w:val="35A50BC0"/>
    <w:rsid w:val="35A973C7"/>
    <w:rsid w:val="35ED793B"/>
    <w:rsid w:val="35F06F52"/>
    <w:rsid w:val="35F84740"/>
    <w:rsid w:val="36383125"/>
    <w:rsid w:val="36562A90"/>
    <w:rsid w:val="365E28A7"/>
    <w:rsid w:val="366A5CD5"/>
    <w:rsid w:val="366C082D"/>
    <w:rsid w:val="367571F9"/>
    <w:rsid w:val="368816D2"/>
    <w:rsid w:val="368C388A"/>
    <w:rsid w:val="36A26E38"/>
    <w:rsid w:val="36C00E6C"/>
    <w:rsid w:val="36C90DD1"/>
    <w:rsid w:val="36EF2646"/>
    <w:rsid w:val="36F275DD"/>
    <w:rsid w:val="36F55D23"/>
    <w:rsid w:val="37031C33"/>
    <w:rsid w:val="37114931"/>
    <w:rsid w:val="371918BE"/>
    <w:rsid w:val="372A4537"/>
    <w:rsid w:val="374634AB"/>
    <w:rsid w:val="37543CF6"/>
    <w:rsid w:val="37704489"/>
    <w:rsid w:val="37710026"/>
    <w:rsid w:val="37925427"/>
    <w:rsid w:val="37A01319"/>
    <w:rsid w:val="37A55DCC"/>
    <w:rsid w:val="37B97220"/>
    <w:rsid w:val="37C075FB"/>
    <w:rsid w:val="37CA04FF"/>
    <w:rsid w:val="37D30771"/>
    <w:rsid w:val="37E3512E"/>
    <w:rsid w:val="37EC0BB8"/>
    <w:rsid w:val="382F75E3"/>
    <w:rsid w:val="38371ACC"/>
    <w:rsid w:val="389205E6"/>
    <w:rsid w:val="38A748FD"/>
    <w:rsid w:val="38AA7F06"/>
    <w:rsid w:val="38AD10E3"/>
    <w:rsid w:val="38D53666"/>
    <w:rsid w:val="38E70932"/>
    <w:rsid w:val="38ED2171"/>
    <w:rsid w:val="38FF39F5"/>
    <w:rsid w:val="393342D7"/>
    <w:rsid w:val="393A3142"/>
    <w:rsid w:val="394C68A5"/>
    <w:rsid w:val="3952462B"/>
    <w:rsid w:val="395E479A"/>
    <w:rsid w:val="39675804"/>
    <w:rsid w:val="3988749C"/>
    <w:rsid w:val="398A60A0"/>
    <w:rsid w:val="39964534"/>
    <w:rsid w:val="399C03AF"/>
    <w:rsid w:val="39A36C2D"/>
    <w:rsid w:val="39AA29B9"/>
    <w:rsid w:val="39AE63D1"/>
    <w:rsid w:val="39D7D99B"/>
    <w:rsid w:val="39E71AEC"/>
    <w:rsid w:val="39F60058"/>
    <w:rsid w:val="3A104089"/>
    <w:rsid w:val="3A190FBF"/>
    <w:rsid w:val="3A1A692D"/>
    <w:rsid w:val="3A7A55EE"/>
    <w:rsid w:val="3A7B586B"/>
    <w:rsid w:val="3A8217DE"/>
    <w:rsid w:val="3A822B01"/>
    <w:rsid w:val="3A8D375B"/>
    <w:rsid w:val="3AAE2912"/>
    <w:rsid w:val="3AB8426E"/>
    <w:rsid w:val="3ACF765C"/>
    <w:rsid w:val="3AD278CD"/>
    <w:rsid w:val="3AFA4BE5"/>
    <w:rsid w:val="3B196D9D"/>
    <w:rsid w:val="3B2A44B8"/>
    <w:rsid w:val="3B2B6476"/>
    <w:rsid w:val="3B2E718A"/>
    <w:rsid w:val="3B83616D"/>
    <w:rsid w:val="3BA0301A"/>
    <w:rsid w:val="3BA50AE5"/>
    <w:rsid w:val="3BAF3CA2"/>
    <w:rsid w:val="3BBC038E"/>
    <w:rsid w:val="3BEF2858"/>
    <w:rsid w:val="3BF72351"/>
    <w:rsid w:val="3BFE3F02"/>
    <w:rsid w:val="3C2972FD"/>
    <w:rsid w:val="3C3261E8"/>
    <w:rsid w:val="3C524EFE"/>
    <w:rsid w:val="3C5B4444"/>
    <w:rsid w:val="3C852047"/>
    <w:rsid w:val="3CA13116"/>
    <w:rsid w:val="3CA925AE"/>
    <w:rsid w:val="3CC42CCC"/>
    <w:rsid w:val="3CCF4FA4"/>
    <w:rsid w:val="3CD15652"/>
    <w:rsid w:val="3CF877AB"/>
    <w:rsid w:val="3D306CB2"/>
    <w:rsid w:val="3D32729D"/>
    <w:rsid w:val="3D485E54"/>
    <w:rsid w:val="3D604BEF"/>
    <w:rsid w:val="3D62504C"/>
    <w:rsid w:val="3D667959"/>
    <w:rsid w:val="3D8230F2"/>
    <w:rsid w:val="3D886E2C"/>
    <w:rsid w:val="3D9A6B04"/>
    <w:rsid w:val="3DAA5519"/>
    <w:rsid w:val="3DC413E8"/>
    <w:rsid w:val="3DCA34BB"/>
    <w:rsid w:val="3DD83D60"/>
    <w:rsid w:val="3DEE7764"/>
    <w:rsid w:val="3E044CAE"/>
    <w:rsid w:val="3E12201C"/>
    <w:rsid w:val="3E174CFF"/>
    <w:rsid w:val="3E2E34C3"/>
    <w:rsid w:val="3E427218"/>
    <w:rsid w:val="3E460E59"/>
    <w:rsid w:val="3E8F30B5"/>
    <w:rsid w:val="3E962C89"/>
    <w:rsid w:val="3E9D9EE9"/>
    <w:rsid w:val="3EA27573"/>
    <w:rsid w:val="3EA72ABE"/>
    <w:rsid w:val="3EAD4174"/>
    <w:rsid w:val="3EAD7F9C"/>
    <w:rsid w:val="3EB260B8"/>
    <w:rsid w:val="3EB32892"/>
    <w:rsid w:val="3EBC3336"/>
    <w:rsid w:val="3ED81A0B"/>
    <w:rsid w:val="3EDE47BC"/>
    <w:rsid w:val="3EDE79C6"/>
    <w:rsid w:val="3EF01ED0"/>
    <w:rsid w:val="3EF60080"/>
    <w:rsid w:val="3EF65530"/>
    <w:rsid w:val="3EFEC654"/>
    <w:rsid w:val="3F064AE9"/>
    <w:rsid w:val="3F3B0C43"/>
    <w:rsid w:val="3F4C62B0"/>
    <w:rsid w:val="3F585F31"/>
    <w:rsid w:val="3F6A4BE4"/>
    <w:rsid w:val="3F7279F0"/>
    <w:rsid w:val="3F7C65CA"/>
    <w:rsid w:val="3F7F0FB6"/>
    <w:rsid w:val="3F9717D1"/>
    <w:rsid w:val="3F9B13A5"/>
    <w:rsid w:val="3F9F2EEF"/>
    <w:rsid w:val="3FB2485B"/>
    <w:rsid w:val="3FB50298"/>
    <w:rsid w:val="3FBD3AE8"/>
    <w:rsid w:val="3FEE166B"/>
    <w:rsid w:val="3FF04A5D"/>
    <w:rsid w:val="401E123E"/>
    <w:rsid w:val="402A34B8"/>
    <w:rsid w:val="402C4889"/>
    <w:rsid w:val="40360CD1"/>
    <w:rsid w:val="40361D66"/>
    <w:rsid w:val="404339FD"/>
    <w:rsid w:val="404C1EBB"/>
    <w:rsid w:val="405214DD"/>
    <w:rsid w:val="406060C3"/>
    <w:rsid w:val="40613E30"/>
    <w:rsid w:val="40736573"/>
    <w:rsid w:val="407D7357"/>
    <w:rsid w:val="40860A30"/>
    <w:rsid w:val="408D0A8F"/>
    <w:rsid w:val="409B4A07"/>
    <w:rsid w:val="40BF6E39"/>
    <w:rsid w:val="40C25B7F"/>
    <w:rsid w:val="40C73A02"/>
    <w:rsid w:val="40DB53F4"/>
    <w:rsid w:val="40E02BC9"/>
    <w:rsid w:val="40F66678"/>
    <w:rsid w:val="40FA12EB"/>
    <w:rsid w:val="410A16AB"/>
    <w:rsid w:val="410E1C56"/>
    <w:rsid w:val="4120577A"/>
    <w:rsid w:val="41603084"/>
    <w:rsid w:val="41686388"/>
    <w:rsid w:val="416C142E"/>
    <w:rsid w:val="41E677EA"/>
    <w:rsid w:val="41FD121E"/>
    <w:rsid w:val="42004FD7"/>
    <w:rsid w:val="42117A10"/>
    <w:rsid w:val="421A7627"/>
    <w:rsid w:val="4233112B"/>
    <w:rsid w:val="42401E98"/>
    <w:rsid w:val="42474F8A"/>
    <w:rsid w:val="42675C80"/>
    <w:rsid w:val="42872311"/>
    <w:rsid w:val="428B5762"/>
    <w:rsid w:val="429F3B64"/>
    <w:rsid w:val="42B64F1C"/>
    <w:rsid w:val="42D47C2B"/>
    <w:rsid w:val="42DA32B5"/>
    <w:rsid w:val="42FB45E4"/>
    <w:rsid w:val="4307713D"/>
    <w:rsid w:val="433543AC"/>
    <w:rsid w:val="433E465F"/>
    <w:rsid w:val="43420FE8"/>
    <w:rsid w:val="434513F0"/>
    <w:rsid w:val="43606D1A"/>
    <w:rsid w:val="43702851"/>
    <w:rsid w:val="437269BA"/>
    <w:rsid w:val="437F3C65"/>
    <w:rsid w:val="43B34232"/>
    <w:rsid w:val="43CA4F48"/>
    <w:rsid w:val="43FE78B1"/>
    <w:rsid w:val="440A7CA0"/>
    <w:rsid w:val="441F3AB4"/>
    <w:rsid w:val="4424604A"/>
    <w:rsid w:val="442967DE"/>
    <w:rsid w:val="445014AB"/>
    <w:rsid w:val="44CE660D"/>
    <w:rsid w:val="44F103C7"/>
    <w:rsid w:val="450F3A65"/>
    <w:rsid w:val="452D47A4"/>
    <w:rsid w:val="4545710C"/>
    <w:rsid w:val="454C3E11"/>
    <w:rsid w:val="454F0B76"/>
    <w:rsid w:val="45595C53"/>
    <w:rsid w:val="45795008"/>
    <w:rsid w:val="4579514B"/>
    <w:rsid w:val="457E2BBE"/>
    <w:rsid w:val="457F72E8"/>
    <w:rsid w:val="459D0CC6"/>
    <w:rsid w:val="459F05CE"/>
    <w:rsid w:val="45D72674"/>
    <w:rsid w:val="45DE083B"/>
    <w:rsid w:val="45E076C0"/>
    <w:rsid w:val="45F36067"/>
    <w:rsid w:val="460C0745"/>
    <w:rsid w:val="463122D8"/>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30142A"/>
    <w:rsid w:val="47642381"/>
    <w:rsid w:val="476870E2"/>
    <w:rsid w:val="476D294A"/>
    <w:rsid w:val="478A0CA0"/>
    <w:rsid w:val="478E4BD2"/>
    <w:rsid w:val="47C848F5"/>
    <w:rsid w:val="47D84DCE"/>
    <w:rsid w:val="47DD756D"/>
    <w:rsid w:val="47F23FFF"/>
    <w:rsid w:val="48037A8A"/>
    <w:rsid w:val="48057880"/>
    <w:rsid w:val="48150BC3"/>
    <w:rsid w:val="482427DA"/>
    <w:rsid w:val="48377D23"/>
    <w:rsid w:val="4851401A"/>
    <w:rsid w:val="486634EE"/>
    <w:rsid w:val="48807890"/>
    <w:rsid w:val="48A64B98"/>
    <w:rsid w:val="48A71804"/>
    <w:rsid w:val="48B30830"/>
    <w:rsid w:val="48B308CE"/>
    <w:rsid w:val="48BC156D"/>
    <w:rsid w:val="48C14CEB"/>
    <w:rsid w:val="48CF5E32"/>
    <w:rsid w:val="48DF62C3"/>
    <w:rsid w:val="48EA3B26"/>
    <w:rsid w:val="48F765BE"/>
    <w:rsid w:val="490445F2"/>
    <w:rsid w:val="49137521"/>
    <w:rsid w:val="49320F23"/>
    <w:rsid w:val="493A087A"/>
    <w:rsid w:val="49831FB1"/>
    <w:rsid w:val="49A10911"/>
    <w:rsid w:val="49CA61CE"/>
    <w:rsid w:val="49DD73AE"/>
    <w:rsid w:val="49E97FD0"/>
    <w:rsid w:val="49F95BD6"/>
    <w:rsid w:val="4A0C7375"/>
    <w:rsid w:val="4A194AA5"/>
    <w:rsid w:val="4A2710F3"/>
    <w:rsid w:val="4A2B3C78"/>
    <w:rsid w:val="4A3B124A"/>
    <w:rsid w:val="4A4915FD"/>
    <w:rsid w:val="4A4934DE"/>
    <w:rsid w:val="4A4D25BF"/>
    <w:rsid w:val="4A5E47CC"/>
    <w:rsid w:val="4A6E0EB3"/>
    <w:rsid w:val="4A9106FD"/>
    <w:rsid w:val="4AA73240"/>
    <w:rsid w:val="4AB72272"/>
    <w:rsid w:val="4AC63E7C"/>
    <w:rsid w:val="4AD703A4"/>
    <w:rsid w:val="4ADF7E5C"/>
    <w:rsid w:val="4B305E1B"/>
    <w:rsid w:val="4B4B6AFE"/>
    <w:rsid w:val="4B5D2E40"/>
    <w:rsid w:val="4B602D44"/>
    <w:rsid w:val="4B842010"/>
    <w:rsid w:val="4BB92D8E"/>
    <w:rsid w:val="4BBB7216"/>
    <w:rsid w:val="4BD07B58"/>
    <w:rsid w:val="4BE87BA5"/>
    <w:rsid w:val="4BFE1C3A"/>
    <w:rsid w:val="4C151D2C"/>
    <w:rsid w:val="4C155F10"/>
    <w:rsid w:val="4C2F7851"/>
    <w:rsid w:val="4C3176AB"/>
    <w:rsid w:val="4C324162"/>
    <w:rsid w:val="4C3C12ED"/>
    <w:rsid w:val="4C415DC1"/>
    <w:rsid w:val="4C571AC7"/>
    <w:rsid w:val="4C6E278E"/>
    <w:rsid w:val="4C9F789F"/>
    <w:rsid w:val="4CA95F3B"/>
    <w:rsid w:val="4CE45067"/>
    <w:rsid w:val="4CFF538B"/>
    <w:rsid w:val="4D2A4B22"/>
    <w:rsid w:val="4D471EEE"/>
    <w:rsid w:val="4D4D7800"/>
    <w:rsid w:val="4D7251FF"/>
    <w:rsid w:val="4DCD0712"/>
    <w:rsid w:val="4DDB4948"/>
    <w:rsid w:val="4DE50C0B"/>
    <w:rsid w:val="4DF831B6"/>
    <w:rsid w:val="4E11105D"/>
    <w:rsid w:val="4E16225A"/>
    <w:rsid w:val="4E253AB8"/>
    <w:rsid w:val="4E472C92"/>
    <w:rsid w:val="4E824D97"/>
    <w:rsid w:val="4E9D5C2D"/>
    <w:rsid w:val="4EBA57C1"/>
    <w:rsid w:val="4EC8768D"/>
    <w:rsid w:val="4EE5084A"/>
    <w:rsid w:val="4EEB58EF"/>
    <w:rsid w:val="4EFC68C1"/>
    <w:rsid w:val="4EFE6975"/>
    <w:rsid w:val="4F047E0A"/>
    <w:rsid w:val="4F33177C"/>
    <w:rsid w:val="4F477F24"/>
    <w:rsid w:val="4F6C3E7C"/>
    <w:rsid w:val="4F80531F"/>
    <w:rsid w:val="4FA91AAC"/>
    <w:rsid w:val="4FBD0FF5"/>
    <w:rsid w:val="4FC854D7"/>
    <w:rsid w:val="50051AD4"/>
    <w:rsid w:val="50142DE1"/>
    <w:rsid w:val="5015687B"/>
    <w:rsid w:val="501926CA"/>
    <w:rsid w:val="502E6B39"/>
    <w:rsid w:val="503109FF"/>
    <w:rsid w:val="503E7F87"/>
    <w:rsid w:val="504544C8"/>
    <w:rsid w:val="505E3D68"/>
    <w:rsid w:val="505F4DFA"/>
    <w:rsid w:val="505F5918"/>
    <w:rsid w:val="506071FC"/>
    <w:rsid w:val="506F5953"/>
    <w:rsid w:val="507A0E74"/>
    <w:rsid w:val="50966E45"/>
    <w:rsid w:val="50A218B6"/>
    <w:rsid w:val="50C2531E"/>
    <w:rsid w:val="50D13748"/>
    <w:rsid w:val="50D43A3A"/>
    <w:rsid w:val="50E87D5C"/>
    <w:rsid w:val="510A120A"/>
    <w:rsid w:val="51426BF5"/>
    <w:rsid w:val="516A440A"/>
    <w:rsid w:val="51B053DC"/>
    <w:rsid w:val="51BA5A6F"/>
    <w:rsid w:val="51C42E16"/>
    <w:rsid w:val="51E5538B"/>
    <w:rsid w:val="520D6221"/>
    <w:rsid w:val="5244074B"/>
    <w:rsid w:val="525351F4"/>
    <w:rsid w:val="525A6FBC"/>
    <w:rsid w:val="526C0997"/>
    <w:rsid w:val="5277467D"/>
    <w:rsid w:val="52855A65"/>
    <w:rsid w:val="529E3DA2"/>
    <w:rsid w:val="52E11882"/>
    <w:rsid w:val="52E44E05"/>
    <w:rsid w:val="530B071F"/>
    <w:rsid w:val="53311AB3"/>
    <w:rsid w:val="53317F44"/>
    <w:rsid w:val="533274BF"/>
    <w:rsid w:val="533D33D1"/>
    <w:rsid w:val="53511F1B"/>
    <w:rsid w:val="5353295D"/>
    <w:rsid w:val="53670B33"/>
    <w:rsid w:val="537735FB"/>
    <w:rsid w:val="53775B6A"/>
    <w:rsid w:val="538F5737"/>
    <w:rsid w:val="53BB3C51"/>
    <w:rsid w:val="53CA0B91"/>
    <w:rsid w:val="53D43855"/>
    <w:rsid w:val="53D6214F"/>
    <w:rsid w:val="53E030A9"/>
    <w:rsid w:val="53EE1101"/>
    <w:rsid w:val="53FC4E8E"/>
    <w:rsid w:val="54111ADD"/>
    <w:rsid w:val="541717DC"/>
    <w:rsid w:val="54271D5C"/>
    <w:rsid w:val="5427740E"/>
    <w:rsid w:val="542B571F"/>
    <w:rsid w:val="542D7E04"/>
    <w:rsid w:val="5473009A"/>
    <w:rsid w:val="54976AA9"/>
    <w:rsid w:val="549A3F89"/>
    <w:rsid w:val="54A022DD"/>
    <w:rsid w:val="54CF639A"/>
    <w:rsid w:val="54DE0134"/>
    <w:rsid w:val="54DE6493"/>
    <w:rsid w:val="54FC0026"/>
    <w:rsid w:val="553C46BA"/>
    <w:rsid w:val="55485688"/>
    <w:rsid w:val="55494082"/>
    <w:rsid w:val="555B3FA7"/>
    <w:rsid w:val="555F54CC"/>
    <w:rsid w:val="557D5B60"/>
    <w:rsid w:val="55834A19"/>
    <w:rsid w:val="559D43FA"/>
    <w:rsid w:val="55CF743F"/>
    <w:rsid w:val="55DF6034"/>
    <w:rsid w:val="55F27046"/>
    <w:rsid w:val="55F526C6"/>
    <w:rsid w:val="56066DC9"/>
    <w:rsid w:val="560B2337"/>
    <w:rsid w:val="56135A4E"/>
    <w:rsid w:val="561A7CC7"/>
    <w:rsid w:val="564E1228"/>
    <w:rsid w:val="56A6131D"/>
    <w:rsid w:val="56A7120C"/>
    <w:rsid w:val="56A82B00"/>
    <w:rsid w:val="56BC5AD0"/>
    <w:rsid w:val="56D00C68"/>
    <w:rsid w:val="56D02CD3"/>
    <w:rsid w:val="56EB60FD"/>
    <w:rsid w:val="57005202"/>
    <w:rsid w:val="57022BD1"/>
    <w:rsid w:val="57212B27"/>
    <w:rsid w:val="572809C2"/>
    <w:rsid w:val="57381EA7"/>
    <w:rsid w:val="57480C4D"/>
    <w:rsid w:val="574973B9"/>
    <w:rsid w:val="574C27F3"/>
    <w:rsid w:val="57895A45"/>
    <w:rsid w:val="579D6934"/>
    <w:rsid w:val="57A16858"/>
    <w:rsid w:val="57B30CDA"/>
    <w:rsid w:val="57C5313B"/>
    <w:rsid w:val="57D807D4"/>
    <w:rsid w:val="57D82389"/>
    <w:rsid w:val="57E05B57"/>
    <w:rsid w:val="57EA7969"/>
    <w:rsid w:val="57F740F4"/>
    <w:rsid w:val="57FA3D86"/>
    <w:rsid w:val="58425BDC"/>
    <w:rsid w:val="58466FCB"/>
    <w:rsid w:val="58750691"/>
    <w:rsid w:val="58AB575D"/>
    <w:rsid w:val="58AD0DF8"/>
    <w:rsid w:val="58BC728D"/>
    <w:rsid w:val="58BD4DB3"/>
    <w:rsid w:val="58D22E69"/>
    <w:rsid w:val="58D64DCB"/>
    <w:rsid w:val="58DD0763"/>
    <w:rsid w:val="58E829A8"/>
    <w:rsid w:val="58E9031B"/>
    <w:rsid w:val="58EA22FF"/>
    <w:rsid w:val="58EB59C1"/>
    <w:rsid w:val="59445F91"/>
    <w:rsid w:val="596A4F3B"/>
    <w:rsid w:val="59815208"/>
    <w:rsid w:val="5993057B"/>
    <w:rsid w:val="59A43D8B"/>
    <w:rsid w:val="59A64B68"/>
    <w:rsid w:val="59BB3756"/>
    <w:rsid w:val="59C63D39"/>
    <w:rsid w:val="59F001A4"/>
    <w:rsid w:val="59F861A7"/>
    <w:rsid w:val="5A1E2DE7"/>
    <w:rsid w:val="5A20427A"/>
    <w:rsid w:val="5A331DE9"/>
    <w:rsid w:val="5A395FB6"/>
    <w:rsid w:val="5A436A2D"/>
    <w:rsid w:val="5A9833A8"/>
    <w:rsid w:val="5AAC047B"/>
    <w:rsid w:val="5AC95404"/>
    <w:rsid w:val="5ACD0648"/>
    <w:rsid w:val="5AEB160B"/>
    <w:rsid w:val="5B0A066E"/>
    <w:rsid w:val="5B123FA7"/>
    <w:rsid w:val="5B1A2268"/>
    <w:rsid w:val="5B1D0885"/>
    <w:rsid w:val="5B2D4966"/>
    <w:rsid w:val="5B4F3422"/>
    <w:rsid w:val="5B5E18A4"/>
    <w:rsid w:val="5B613C0E"/>
    <w:rsid w:val="5B8A736E"/>
    <w:rsid w:val="5B955E96"/>
    <w:rsid w:val="5B9B3675"/>
    <w:rsid w:val="5BA26571"/>
    <w:rsid w:val="5BBA7015"/>
    <w:rsid w:val="5BCA6564"/>
    <w:rsid w:val="5BD66D67"/>
    <w:rsid w:val="5BE24948"/>
    <w:rsid w:val="5BFE7E52"/>
    <w:rsid w:val="5C107D40"/>
    <w:rsid w:val="5C1D1988"/>
    <w:rsid w:val="5C1E3775"/>
    <w:rsid w:val="5C381264"/>
    <w:rsid w:val="5C5E6BE8"/>
    <w:rsid w:val="5C604A0A"/>
    <w:rsid w:val="5C672644"/>
    <w:rsid w:val="5C8132C7"/>
    <w:rsid w:val="5CA23A25"/>
    <w:rsid w:val="5CC26330"/>
    <w:rsid w:val="5CD67F41"/>
    <w:rsid w:val="5CDF760E"/>
    <w:rsid w:val="5CE07ABA"/>
    <w:rsid w:val="5D017C51"/>
    <w:rsid w:val="5D3B00F8"/>
    <w:rsid w:val="5D4165A3"/>
    <w:rsid w:val="5D463591"/>
    <w:rsid w:val="5D4F2A78"/>
    <w:rsid w:val="5D570A59"/>
    <w:rsid w:val="5D792AE4"/>
    <w:rsid w:val="5D9E1D89"/>
    <w:rsid w:val="5DC25C67"/>
    <w:rsid w:val="5DD97571"/>
    <w:rsid w:val="5DDA1D04"/>
    <w:rsid w:val="5DE22BD1"/>
    <w:rsid w:val="5E101ABB"/>
    <w:rsid w:val="5E2F58D3"/>
    <w:rsid w:val="5E5A06FD"/>
    <w:rsid w:val="5E8A56FD"/>
    <w:rsid w:val="5E9342EC"/>
    <w:rsid w:val="5EA27CF7"/>
    <w:rsid w:val="5EBC3C1E"/>
    <w:rsid w:val="5EEE45E3"/>
    <w:rsid w:val="5EF17565"/>
    <w:rsid w:val="5EF706F4"/>
    <w:rsid w:val="5F052BBC"/>
    <w:rsid w:val="5F3815EE"/>
    <w:rsid w:val="5F5C32D6"/>
    <w:rsid w:val="5F9175A8"/>
    <w:rsid w:val="5FB10E83"/>
    <w:rsid w:val="5FC24A29"/>
    <w:rsid w:val="5FDC6467"/>
    <w:rsid w:val="5FFD96AC"/>
    <w:rsid w:val="600E788A"/>
    <w:rsid w:val="60173C67"/>
    <w:rsid w:val="601B025C"/>
    <w:rsid w:val="60206354"/>
    <w:rsid w:val="603911C4"/>
    <w:rsid w:val="604130CF"/>
    <w:rsid w:val="604162CA"/>
    <w:rsid w:val="60572C99"/>
    <w:rsid w:val="60663C94"/>
    <w:rsid w:val="60794FD4"/>
    <w:rsid w:val="60814FEF"/>
    <w:rsid w:val="60946411"/>
    <w:rsid w:val="60A00B94"/>
    <w:rsid w:val="60AE4E89"/>
    <w:rsid w:val="60CD4AC4"/>
    <w:rsid w:val="60D32F5A"/>
    <w:rsid w:val="61001CE1"/>
    <w:rsid w:val="610E2B4C"/>
    <w:rsid w:val="613E3956"/>
    <w:rsid w:val="6151253D"/>
    <w:rsid w:val="617F0AF7"/>
    <w:rsid w:val="619945D7"/>
    <w:rsid w:val="61A865ED"/>
    <w:rsid w:val="61C210E3"/>
    <w:rsid w:val="61C24BFD"/>
    <w:rsid w:val="61DE43D4"/>
    <w:rsid w:val="61E06967"/>
    <w:rsid w:val="61ED083B"/>
    <w:rsid w:val="622F0AD0"/>
    <w:rsid w:val="624216A0"/>
    <w:rsid w:val="626343A0"/>
    <w:rsid w:val="626736F9"/>
    <w:rsid w:val="626B4082"/>
    <w:rsid w:val="626B6B00"/>
    <w:rsid w:val="628E1BE9"/>
    <w:rsid w:val="62A3326C"/>
    <w:rsid w:val="62C126EC"/>
    <w:rsid w:val="62C351CA"/>
    <w:rsid w:val="62CF1703"/>
    <w:rsid w:val="62D06FF9"/>
    <w:rsid w:val="62D358FF"/>
    <w:rsid w:val="62D765EB"/>
    <w:rsid w:val="62E16861"/>
    <w:rsid w:val="63646678"/>
    <w:rsid w:val="636B22CC"/>
    <w:rsid w:val="636C198B"/>
    <w:rsid w:val="63B65AC7"/>
    <w:rsid w:val="63D7428B"/>
    <w:rsid w:val="64002DAD"/>
    <w:rsid w:val="640C4C0D"/>
    <w:rsid w:val="643477F7"/>
    <w:rsid w:val="64374EF8"/>
    <w:rsid w:val="643B5584"/>
    <w:rsid w:val="64550596"/>
    <w:rsid w:val="645830D7"/>
    <w:rsid w:val="64675414"/>
    <w:rsid w:val="646D58E0"/>
    <w:rsid w:val="647258C3"/>
    <w:rsid w:val="64763CBE"/>
    <w:rsid w:val="647F41B9"/>
    <w:rsid w:val="648F5856"/>
    <w:rsid w:val="64AA2E73"/>
    <w:rsid w:val="64B8434A"/>
    <w:rsid w:val="64BD6867"/>
    <w:rsid w:val="64C5008F"/>
    <w:rsid w:val="64E8446E"/>
    <w:rsid w:val="64E959FD"/>
    <w:rsid w:val="64F9CCE6"/>
    <w:rsid w:val="651B5828"/>
    <w:rsid w:val="6530087B"/>
    <w:rsid w:val="65376B47"/>
    <w:rsid w:val="654042F5"/>
    <w:rsid w:val="65434131"/>
    <w:rsid w:val="654C7094"/>
    <w:rsid w:val="65AB2B63"/>
    <w:rsid w:val="65E44DFA"/>
    <w:rsid w:val="65E63B9C"/>
    <w:rsid w:val="65E91151"/>
    <w:rsid w:val="65F66C79"/>
    <w:rsid w:val="660447CA"/>
    <w:rsid w:val="662B5A52"/>
    <w:rsid w:val="665622BC"/>
    <w:rsid w:val="66653739"/>
    <w:rsid w:val="666C4EE6"/>
    <w:rsid w:val="66792487"/>
    <w:rsid w:val="668B794B"/>
    <w:rsid w:val="66E61293"/>
    <w:rsid w:val="66ED2CA0"/>
    <w:rsid w:val="66F722EC"/>
    <w:rsid w:val="66FB0FDC"/>
    <w:rsid w:val="66FC5AFF"/>
    <w:rsid w:val="6709462E"/>
    <w:rsid w:val="6777196F"/>
    <w:rsid w:val="67825F62"/>
    <w:rsid w:val="678A1ED0"/>
    <w:rsid w:val="67AB61F8"/>
    <w:rsid w:val="67BA7741"/>
    <w:rsid w:val="67E6170C"/>
    <w:rsid w:val="67ED1BBE"/>
    <w:rsid w:val="67ED7463"/>
    <w:rsid w:val="67FD51CC"/>
    <w:rsid w:val="67FE41C1"/>
    <w:rsid w:val="680D0CA5"/>
    <w:rsid w:val="684D7F02"/>
    <w:rsid w:val="68514B3E"/>
    <w:rsid w:val="686C7F9F"/>
    <w:rsid w:val="68A45648"/>
    <w:rsid w:val="68A5668C"/>
    <w:rsid w:val="68BD44C2"/>
    <w:rsid w:val="68D27297"/>
    <w:rsid w:val="68D61A8E"/>
    <w:rsid w:val="68F42855"/>
    <w:rsid w:val="6911241F"/>
    <w:rsid w:val="692055FA"/>
    <w:rsid w:val="69232A11"/>
    <w:rsid w:val="69586B5E"/>
    <w:rsid w:val="69B55D5F"/>
    <w:rsid w:val="69B67115"/>
    <w:rsid w:val="69B82DF4"/>
    <w:rsid w:val="69EF53B4"/>
    <w:rsid w:val="69FB8724"/>
    <w:rsid w:val="6A126DD2"/>
    <w:rsid w:val="6A2B4273"/>
    <w:rsid w:val="6A420E56"/>
    <w:rsid w:val="6A6C78F0"/>
    <w:rsid w:val="6A924E32"/>
    <w:rsid w:val="6A94008C"/>
    <w:rsid w:val="6AA005F1"/>
    <w:rsid w:val="6AC635A8"/>
    <w:rsid w:val="6AC83B0F"/>
    <w:rsid w:val="6AE60947"/>
    <w:rsid w:val="6AEF6EB8"/>
    <w:rsid w:val="6AFC79BD"/>
    <w:rsid w:val="6AFD0629"/>
    <w:rsid w:val="6B0B374F"/>
    <w:rsid w:val="6B0E6D92"/>
    <w:rsid w:val="6B17074E"/>
    <w:rsid w:val="6B1F0CCB"/>
    <w:rsid w:val="6B285847"/>
    <w:rsid w:val="6B5A0989"/>
    <w:rsid w:val="6B5F1CFB"/>
    <w:rsid w:val="6B6234E5"/>
    <w:rsid w:val="6B711708"/>
    <w:rsid w:val="6B980A95"/>
    <w:rsid w:val="6BA67A32"/>
    <w:rsid w:val="6BBD11F5"/>
    <w:rsid w:val="6BCE1834"/>
    <w:rsid w:val="6BD12800"/>
    <w:rsid w:val="6C022DB1"/>
    <w:rsid w:val="6C172034"/>
    <w:rsid w:val="6C1B1096"/>
    <w:rsid w:val="6C5E02FC"/>
    <w:rsid w:val="6C611966"/>
    <w:rsid w:val="6C721812"/>
    <w:rsid w:val="6C8B0F52"/>
    <w:rsid w:val="6CC73E80"/>
    <w:rsid w:val="6CDD0DD0"/>
    <w:rsid w:val="6CFA7DB1"/>
    <w:rsid w:val="6D0127E4"/>
    <w:rsid w:val="6D135E16"/>
    <w:rsid w:val="6D1C168A"/>
    <w:rsid w:val="6D2154B9"/>
    <w:rsid w:val="6D344536"/>
    <w:rsid w:val="6D347A31"/>
    <w:rsid w:val="6D3668DD"/>
    <w:rsid w:val="6D471CAB"/>
    <w:rsid w:val="6D70425D"/>
    <w:rsid w:val="6D7C7746"/>
    <w:rsid w:val="6D986796"/>
    <w:rsid w:val="6DAC0977"/>
    <w:rsid w:val="6DB941BD"/>
    <w:rsid w:val="6DC60F63"/>
    <w:rsid w:val="6DE735C7"/>
    <w:rsid w:val="6DF11063"/>
    <w:rsid w:val="6E3B32BE"/>
    <w:rsid w:val="6E4C770B"/>
    <w:rsid w:val="6E5F1098"/>
    <w:rsid w:val="6E6F2793"/>
    <w:rsid w:val="6E703D8E"/>
    <w:rsid w:val="6E7F1EDE"/>
    <w:rsid w:val="6E84323D"/>
    <w:rsid w:val="6E942A76"/>
    <w:rsid w:val="6EA41FA2"/>
    <w:rsid w:val="6EB44AD4"/>
    <w:rsid w:val="6EBA69C8"/>
    <w:rsid w:val="6EBC31C7"/>
    <w:rsid w:val="6ED94AD0"/>
    <w:rsid w:val="6EF65E36"/>
    <w:rsid w:val="6F1718AD"/>
    <w:rsid w:val="6F265009"/>
    <w:rsid w:val="6F313FE8"/>
    <w:rsid w:val="6F381CAC"/>
    <w:rsid w:val="6F5A1FC6"/>
    <w:rsid w:val="6F6128C1"/>
    <w:rsid w:val="6F723264"/>
    <w:rsid w:val="6F9C6902"/>
    <w:rsid w:val="6F9E6156"/>
    <w:rsid w:val="6FA06B69"/>
    <w:rsid w:val="6FA0729C"/>
    <w:rsid w:val="700E142B"/>
    <w:rsid w:val="70100CA2"/>
    <w:rsid w:val="70393572"/>
    <w:rsid w:val="704F6D52"/>
    <w:rsid w:val="706E27A1"/>
    <w:rsid w:val="706F0977"/>
    <w:rsid w:val="707263F3"/>
    <w:rsid w:val="70A24D48"/>
    <w:rsid w:val="70B07280"/>
    <w:rsid w:val="70BA64EF"/>
    <w:rsid w:val="70C42D2B"/>
    <w:rsid w:val="70C900DF"/>
    <w:rsid w:val="70F80524"/>
    <w:rsid w:val="70FB3771"/>
    <w:rsid w:val="71081E5C"/>
    <w:rsid w:val="710A2419"/>
    <w:rsid w:val="710E65A0"/>
    <w:rsid w:val="711C6B89"/>
    <w:rsid w:val="712011DF"/>
    <w:rsid w:val="71326D32"/>
    <w:rsid w:val="71347EB1"/>
    <w:rsid w:val="71453598"/>
    <w:rsid w:val="714C2CD0"/>
    <w:rsid w:val="715A596A"/>
    <w:rsid w:val="716A44DC"/>
    <w:rsid w:val="717C247D"/>
    <w:rsid w:val="717F26E4"/>
    <w:rsid w:val="71816B8E"/>
    <w:rsid w:val="71832D29"/>
    <w:rsid w:val="71907818"/>
    <w:rsid w:val="71B252F9"/>
    <w:rsid w:val="71C8684B"/>
    <w:rsid w:val="71DE7E1D"/>
    <w:rsid w:val="71E95916"/>
    <w:rsid w:val="71EB1F0E"/>
    <w:rsid w:val="7203413E"/>
    <w:rsid w:val="72081F64"/>
    <w:rsid w:val="72191ED0"/>
    <w:rsid w:val="721C3014"/>
    <w:rsid w:val="721D0BFB"/>
    <w:rsid w:val="7250588C"/>
    <w:rsid w:val="726F5278"/>
    <w:rsid w:val="7273049E"/>
    <w:rsid w:val="727E786A"/>
    <w:rsid w:val="72887FD4"/>
    <w:rsid w:val="72916342"/>
    <w:rsid w:val="72BD0544"/>
    <w:rsid w:val="72BF20D0"/>
    <w:rsid w:val="72C0472D"/>
    <w:rsid w:val="72CB03A1"/>
    <w:rsid w:val="72D00816"/>
    <w:rsid w:val="72D11D5C"/>
    <w:rsid w:val="72DC3720"/>
    <w:rsid w:val="72DC4121"/>
    <w:rsid w:val="72E4193A"/>
    <w:rsid w:val="72E85DAD"/>
    <w:rsid w:val="73133AF6"/>
    <w:rsid w:val="732303D9"/>
    <w:rsid w:val="73360D13"/>
    <w:rsid w:val="7344428A"/>
    <w:rsid w:val="734979C3"/>
    <w:rsid w:val="73532CC9"/>
    <w:rsid w:val="735C549D"/>
    <w:rsid w:val="736F7373"/>
    <w:rsid w:val="738F6C61"/>
    <w:rsid w:val="73AD5CF9"/>
    <w:rsid w:val="73D223F2"/>
    <w:rsid w:val="73D73D11"/>
    <w:rsid w:val="73E95EE8"/>
    <w:rsid w:val="74097ADC"/>
    <w:rsid w:val="744975DD"/>
    <w:rsid w:val="744C34C9"/>
    <w:rsid w:val="74610332"/>
    <w:rsid w:val="746920A5"/>
    <w:rsid w:val="74AD6F4A"/>
    <w:rsid w:val="74AE06FF"/>
    <w:rsid w:val="74B66149"/>
    <w:rsid w:val="74CB1EDB"/>
    <w:rsid w:val="74DE73F5"/>
    <w:rsid w:val="750E239F"/>
    <w:rsid w:val="7517095A"/>
    <w:rsid w:val="751E77AF"/>
    <w:rsid w:val="75702156"/>
    <w:rsid w:val="757A6A57"/>
    <w:rsid w:val="75B00579"/>
    <w:rsid w:val="75D07F8B"/>
    <w:rsid w:val="75EE5669"/>
    <w:rsid w:val="764928A0"/>
    <w:rsid w:val="76806DF8"/>
    <w:rsid w:val="76957051"/>
    <w:rsid w:val="76BD4232"/>
    <w:rsid w:val="76C10199"/>
    <w:rsid w:val="76C57BCB"/>
    <w:rsid w:val="76D474B3"/>
    <w:rsid w:val="76EF6DD7"/>
    <w:rsid w:val="76F927CD"/>
    <w:rsid w:val="77043E82"/>
    <w:rsid w:val="772F78A5"/>
    <w:rsid w:val="773B2934"/>
    <w:rsid w:val="773E064E"/>
    <w:rsid w:val="774E1211"/>
    <w:rsid w:val="7767181A"/>
    <w:rsid w:val="776E7DAE"/>
    <w:rsid w:val="777B71D8"/>
    <w:rsid w:val="779415BD"/>
    <w:rsid w:val="77A54D53"/>
    <w:rsid w:val="77AB25AD"/>
    <w:rsid w:val="77D75F2B"/>
    <w:rsid w:val="77FC6767"/>
    <w:rsid w:val="781A0BEC"/>
    <w:rsid w:val="78202415"/>
    <w:rsid w:val="78213FC9"/>
    <w:rsid w:val="78360DC6"/>
    <w:rsid w:val="78572B59"/>
    <w:rsid w:val="78701D9C"/>
    <w:rsid w:val="78C964A3"/>
    <w:rsid w:val="78F9F6D3"/>
    <w:rsid w:val="78FA0671"/>
    <w:rsid w:val="790635D1"/>
    <w:rsid w:val="79393B8B"/>
    <w:rsid w:val="793A634F"/>
    <w:rsid w:val="7954611D"/>
    <w:rsid w:val="797A5A56"/>
    <w:rsid w:val="798635EB"/>
    <w:rsid w:val="79A062A8"/>
    <w:rsid w:val="79A5750A"/>
    <w:rsid w:val="79CF368F"/>
    <w:rsid w:val="79EB2FD6"/>
    <w:rsid w:val="79ECAB6F"/>
    <w:rsid w:val="79ED0DA8"/>
    <w:rsid w:val="7A0C1011"/>
    <w:rsid w:val="7A0E7A81"/>
    <w:rsid w:val="7A17211E"/>
    <w:rsid w:val="7A321CDB"/>
    <w:rsid w:val="7A4A1526"/>
    <w:rsid w:val="7A4B626B"/>
    <w:rsid w:val="7A567B6E"/>
    <w:rsid w:val="7A6E32C8"/>
    <w:rsid w:val="7AA5772A"/>
    <w:rsid w:val="7AB0113D"/>
    <w:rsid w:val="7AC900CF"/>
    <w:rsid w:val="7AE56F93"/>
    <w:rsid w:val="7B052FBD"/>
    <w:rsid w:val="7B28499C"/>
    <w:rsid w:val="7B2F54B5"/>
    <w:rsid w:val="7B48416D"/>
    <w:rsid w:val="7B5A5A6C"/>
    <w:rsid w:val="7B5C250E"/>
    <w:rsid w:val="7B5C3BBA"/>
    <w:rsid w:val="7B63305F"/>
    <w:rsid w:val="7B6D0F87"/>
    <w:rsid w:val="7B72691F"/>
    <w:rsid w:val="7B783FD8"/>
    <w:rsid w:val="7B941D50"/>
    <w:rsid w:val="7B9A3DB8"/>
    <w:rsid w:val="7BA113AB"/>
    <w:rsid w:val="7BA46429"/>
    <w:rsid w:val="7BA67BFD"/>
    <w:rsid w:val="7BAC4AE8"/>
    <w:rsid w:val="7BB06590"/>
    <w:rsid w:val="7BD52290"/>
    <w:rsid w:val="7BD568A0"/>
    <w:rsid w:val="7BE22960"/>
    <w:rsid w:val="7BF20E1E"/>
    <w:rsid w:val="7BF73D70"/>
    <w:rsid w:val="7BFF70BE"/>
    <w:rsid w:val="7C120F4C"/>
    <w:rsid w:val="7C1B29E5"/>
    <w:rsid w:val="7C5728ED"/>
    <w:rsid w:val="7C686BCF"/>
    <w:rsid w:val="7C9408F4"/>
    <w:rsid w:val="7CB83597"/>
    <w:rsid w:val="7CB90CC2"/>
    <w:rsid w:val="7CC752E0"/>
    <w:rsid w:val="7CFB2CE9"/>
    <w:rsid w:val="7CFBCE9D"/>
    <w:rsid w:val="7D0C34C4"/>
    <w:rsid w:val="7D1E71EA"/>
    <w:rsid w:val="7D212CA5"/>
    <w:rsid w:val="7D255EE2"/>
    <w:rsid w:val="7D26D855"/>
    <w:rsid w:val="7D293184"/>
    <w:rsid w:val="7D2B742D"/>
    <w:rsid w:val="7D4B3EE6"/>
    <w:rsid w:val="7D6112EF"/>
    <w:rsid w:val="7D68620F"/>
    <w:rsid w:val="7D69777E"/>
    <w:rsid w:val="7D6FB106"/>
    <w:rsid w:val="7D752C5B"/>
    <w:rsid w:val="7D927DC0"/>
    <w:rsid w:val="7D9F5025"/>
    <w:rsid w:val="7DB34706"/>
    <w:rsid w:val="7DCB6D3F"/>
    <w:rsid w:val="7DE9584E"/>
    <w:rsid w:val="7E1A0A9F"/>
    <w:rsid w:val="7E2327E1"/>
    <w:rsid w:val="7E3C401A"/>
    <w:rsid w:val="7E641213"/>
    <w:rsid w:val="7EA7EB6C"/>
    <w:rsid w:val="7EAD3628"/>
    <w:rsid w:val="7EB859C9"/>
    <w:rsid w:val="7ECB4935"/>
    <w:rsid w:val="7EE33139"/>
    <w:rsid w:val="7EEBD690"/>
    <w:rsid w:val="7EF34773"/>
    <w:rsid w:val="7EF931C4"/>
    <w:rsid w:val="7F0144D6"/>
    <w:rsid w:val="7F0D08DC"/>
    <w:rsid w:val="7F173D26"/>
    <w:rsid w:val="7F263BA7"/>
    <w:rsid w:val="7F457705"/>
    <w:rsid w:val="7F4E1AA0"/>
    <w:rsid w:val="7F666017"/>
    <w:rsid w:val="7F6FBE70"/>
    <w:rsid w:val="7F714EE5"/>
    <w:rsid w:val="7F765549"/>
    <w:rsid w:val="7F7F2734"/>
    <w:rsid w:val="7F8B714F"/>
    <w:rsid w:val="7F9B10FB"/>
    <w:rsid w:val="7FA63F96"/>
    <w:rsid w:val="7FB9287C"/>
    <w:rsid w:val="7FC32F20"/>
    <w:rsid w:val="7FCC47FD"/>
    <w:rsid w:val="7FCFFCC4"/>
    <w:rsid w:val="7FD31973"/>
    <w:rsid w:val="7FD92575"/>
    <w:rsid w:val="7FE15B01"/>
    <w:rsid w:val="7FFB1B6E"/>
    <w:rsid w:val="C6F5E4F8"/>
    <w:rsid w:val="CDFDF7C2"/>
    <w:rsid w:val="DCE705B6"/>
    <w:rsid w:val="DE35E862"/>
    <w:rsid w:val="DF77D5E2"/>
    <w:rsid w:val="DFE64E7C"/>
    <w:rsid w:val="E7DF9B21"/>
    <w:rsid w:val="EF9E7FFA"/>
    <w:rsid w:val="F76F081C"/>
    <w:rsid w:val="F7B3F097"/>
    <w:rsid w:val="F7BF1B7E"/>
    <w:rsid w:val="F7E80245"/>
    <w:rsid w:val="FDFFB25B"/>
    <w:rsid w:val="FE7782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4"/>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9"/>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8"/>
    <w:autoRedefine/>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3"/>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60"/>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100"/>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2"/>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4"/>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7">
    <w:name w:val="Default Paragraph Font"/>
    <w:autoRedefine/>
    <w:semiHidden/>
    <w:unhideWhenUsed/>
    <w:qFormat/>
    <w:uiPriority w:val="1"/>
  </w:style>
  <w:style w:type="table" w:default="1" w:styleId="45">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Body Text Indent 2"/>
    <w:basedOn w:val="1"/>
    <w:autoRedefine/>
    <w:qFormat/>
    <w:uiPriority w:val="0"/>
    <w:pPr>
      <w:spacing w:after="120" w:line="480" w:lineRule="auto"/>
      <w:ind w:left="420" w:leftChars="200"/>
    </w:pPr>
  </w:style>
  <w:style w:type="paragraph" w:styleId="11">
    <w:name w:val="toc 7"/>
    <w:basedOn w:val="1"/>
    <w:next w:val="1"/>
    <w:autoRedefine/>
    <w:qFormat/>
    <w:uiPriority w:val="39"/>
    <w:pPr>
      <w:ind w:left="1260"/>
      <w:jc w:val="left"/>
    </w:pPr>
    <w:rPr>
      <w:rFonts w:ascii="Calibri" w:hAnsi="Calibri"/>
      <w:sz w:val="18"/>
      <w:szCs w:val="18"/>
    </w:rPr>
  </w:style>
  <w:style w:type="paragraph" w:styleId="12">
    <w:name w:val="table of authorities"/>
    <w:basedOn w:val="1"/>
    <w:next w:val="1"/>
    <w:autoRedefine/>
    <w:qFormat/>
    <w:uiPriority w:val="99"/>
    <w:pPr>
      <w:ind w:left="420" w:leftChars="200"/>
    </w:pPr>
  </w:style>
  <w:style w:type="paragraph" w:styleId="13">
    <w:name w:val="Normal Indent"/>
    <w:basedOn w:val="1"/>
    <w:link w:val="70"/>
    <w:autoRedefine/>
    <w:qFormat/>
    <w:uiPriority w:val="0"/>
    <w:pPr>
      <w:ind w:firstLine="420" w:firstLineChars="200"/>
    </w:pPr>
  </w:style>
  <w:style w:type="paragraph" w:styleId="14">
    <w:name w:val="Document Map"/>
    <w:basedOn w:val="1"/>
    <w:link w:val="77"/>
    <w:autoRedefine/>
    <w:qFormat/>
    <w:uiPriority w:val="0"/>
    <w:pPr>
      <w:shd w:val="clear" w:color="auto" w:fill="000080"/>
    </w:pPr>
    <w:rPr>
      <w:kern w:val="0"/>
      <w:sz w:val="20"/>
    </w:rPr>
  </w:style>
  <w:style w:type="paragraph" w:styleId="15">
    <w:name w:val="annotation text"/>
    <w:basedOn w:val="1"/>
    <w:link w:val="59"/>
    <w:autoRedefine/>
    <w:unhideWhenUsed/>
    <w:qFormat/>
    <w:uiPriority w:val="99"/>
    <w:pPr>
      <w:jc w:val="left"/>
    </w:pPr>
    <w:rPr>
      <w:kern w:val="0"/>
      <w:sz w:val="20"/>
    </w:rPr>
  </w:style>
  <w:style w:type="paragraph" w:styleId="16">
    <w:name w:val="Body Text 3"/>
    <w:basedOn w:val="1"/>
    <w:link w:val="63"/>
    <w:autoRedefine/>
    <w:qFormat/>
    <w:uiPriority w:val="0"/>
    <w:rPr>
      <w:rFonts w:ascii="宋体"/>
      <w:kern w:val="0"/>
      <w:sz w:val="24"/>
      <w:szCs w:val="20"/>
    </w:rPr>
  </w:style>
  <w:style w:type="paragraph" w:styleId="17">
    <w:name w:val="Body Text"/>
    <w:basedOn w:val="1"/>
    <w:next w:val="1"/>
    <w:link w:val="66"/>
    <w:autoRedefine/>
    <w:qFormat/>
    <w:uiPriority w:val="0"/>
    <w:pPr>
      <w:spacing w:after="120"/>
    </w:pPr>
    <w:rPr>
      <w:kern w:val="0"/>
      <w:sz w:val="20"/>
    </w:rPr>
  </w:style>
  <w:style w:type="paragraph" w:styleId="18">
    <w:name w:val="Body Text Indent"/>
    <w:basedOn w:val="1"/>
    <w:next w:val="19"/>
    <w:link w:val="76"/>
    <w:autoRedefine/>
    <w:qFormat/>
    <w:uiPriority w:val="0"/>
    <w:pPr>
      <w:spacing w:after="120"/>
      <w:ind w:left="420" w:leftChars="200"/>
    </w:pPr>
    <w:rPr>
      <w:kern w:val="0"/>
      <w:sz w:val="20"/>
    </w:rPr>
  </w:style>
  <w:style w:type="paragraph" w:styleId="19">
    <w:name w:val="envelope return"/>
    <w:basedOn w:val="1"/>
    <w:autoRedefine/>
    <w:unhideWhenUsed/>
    <w:qFormat/>
    <w:uiPriority w:val="99"/>
    <w:pPr>
      <w:snapToGrid w:val="0"/>
    </w:pPr>
    <w:rPr>
      <w:rFonts w:ascii="Arial" w:hAnsi="Arial" w:cs="Arial"/>
    </w:rPr>
  </w:style>
  <w:style w:type="paragraph" w:styleId="20">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toc 5"/>
    <w:basedOn w:val="1"/>
    <w:next w:val="1"/>
    <w:autoRedefine/>
    <w:qFormat/>
    <w:uiPriority w:val="39"/>
    <w:pPr>
      <w:ind w:left="840"/>
      <w:jc w:val="left"/>
    </w:pPr>
    <w:rPr>
      <w:rFonts w:ascii="Calibri" w:hAnsi="Calibri"/>
      <w:sz w:val="18"/>
      <w:szCs w:val="18"/>
    </w:rPr>
  </w:style>
  <w:style w:type="paragraph" w:styleId="22">
    <w:name w:val="toc 3"/>
    <w:basedOn w:val="1"/>
    <w:next w:val="1"/>
    <w:autoRedefine/>
    <w:qFormat/>
    <w:uiPriority w:val="39"/>
    <w:pPr>
      <w:ind w:left="420"/>
      <w:jc w:val="left"/>
    </w:pPr>
    <w:rPr>
      <w:rFonts w:ascii="Calibri" w:hAnsi="Calibri"/>
      <w:i/>
      <w:iCs/>
      <w:sz w:val="20"/>
      <w:szCs w:val="20"/>
    </w:rPr>
  </w:style>
  <w:style w:type="paragraph" w:styleId="23">
    <w:name w:val="Plain Text"/>
    <w:basedOn w:val="1"/>
    <w:link w:val="99"/>
    <w:autoRedefine/>
    <w:qFormat/>
    <w:uiPriority w:val="99"/>
    <w:rPr>
      <w:rFonts w:ascii="Courier New" w:hAnsi="Courier New"/>
      <w:kern w:val="0"/>
      <w:sz w:val="20"/>
      <w:szCs w:val="20"/>
    </w:rPr>
  </w:style>
  <w:style w:type="paragraph" w:styleId="24">
    <w:name w:val="toc 8"/>
    <w:basedOn w:val="1"/>
    <w:next w:val="1"/>
    <w:autoRedefine/>
    <w:qFormat/>
    <w:uiPriority w:val="39"/>
    <w:pPr>
      <w:ind w:left="1470"/>
      <w:jc w:val="left"/>
    </w:pPr>
    <w:rPr>
      <w:rFonts w:ascii="Calibri" w:hAnsi="Calibri"/>
      <w:sz w:val="18"/>
      <w:szCs w:val="18"/>
    </w:rPr>
  </w:style>
  <w:style w:type="paragraph" w:styleId="25">
    <w:name w:val="Date"/>
    <w:basedOn w:val="1"/>
    <w:next w:val="1"/>
    <w:link w:val="83"/>
    <w:autoRedefine/>
    <w:qFormat/>
    <w:uiPriority w:val="0"/>
    <w:rPr>
      <w:kern w:val="0"/>
      <w:sz w:val="24"/>
      <w:szCs w:val="20"/>
    </w:rPr>
  </w:style>
  <w:style w:type="paragraph" w:styleId="26">
    <w:name w:val="Balloon Text"/>
    <w:basedOn w:val="1"/>
    <w:link w:val="81"/>
    <w:autoRedefine/>
    <w:qFormat/>
    <w:uiPriority w:val="0"/>
    <w:rPr>
      <w:kern w:val="0"/>
      <w:sz w:val="18"/>
      <w:szCs w:val="18"/>
    </w:rPr>
  </w:style>
  <w:style w:type="paragraph" w:styleId="27">
    <w:name w:val="footer"/>
    <w:basedOn w:val="1"/>
    <w:link w:val="95"/>
    <w:autoRedefine/>
    <w:qFormat/>
    <w:uiPriority w:val="99"/>
    <w:pPr>
      <w:tabs>
        <w:tab w:val="center" w:pos="4153"/>
        <w:tab w:val="right" w:pos="8306"/>
      </w:tabs>
      <w:snapToGrid w:val="0"/>
      <w:jc w:val="left"/>
    </w:pPr>
    <w:rPr>
      <w:kern w:val="0"/>
      <w:sz w:val="18"/>
      <w:szCs w:val="18"/>
    </w:rPr>
  </w:style>
  <w:style w:type="paragraph" w:styleId="28">
    <w:name w:val="header"/>
    <w:basedOn w:val="1"/>
    <w:link w:val="73"/>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autoRedefine/>
    <w:qFormat/>
    <w:uiPriority w:val="39"/>
    <w:pPr>
      <w:spacing w:before="120" w:after="120"/>
      <w:jc w:val="left"/>
    </w:pPr>
    <w:rPr>
      <w:rFonts w:ascii="Calibri" w:hAnsi="Calibri"/>
      <w:b/>
      <w:bCs/>
      <w:caps/>
      <w:sz w:val="20"/>
      <w:szCs w:val="20"/>
    </w:rPr>
  </w:style>
  <w:style w:type="paragraph" w:styleId="30">
    <w:name w:val="toc 4"/>
    <w:basedOn w:val="1"/>
    <w:next w:val="1"/>
    <w:autoRedefine/>
    <w:qFormat/>
    <w:uiPriority w:val="39"/>
    <w:pPr>
      <w:ind w:left="630"/>
      <w:jc w:val="left"/>
    </w:pPr>
    <w:rPr>
      <w:rFonts w:ascii="Calibri" w:hAnsi="Calibri"/>
      <w:sz w:val="18"/>
      <w:szCs w:val="18"/>
    </w:rPr>
  </w:style>
  <w:style w:type="paragraph" w:styleId="31">
    <w:name w:val="footnote text"/>
    <w:basedOn w:val="1"/>
    <w:link w:val="67"/>
    <w:autoRedefine/>
    <w:qFormat/>
    <w:uiPriority w:val="0"/>
    <w:rPr>
      <w:kern w:val="0"/>
      <w:sz w:val="20"/>
      <w:szCs w:val="20"/>
    </w:rPr>
  </w:style>
  <w:style w:type="paragraph" w:styleId="32">
    <w:name w:val="toc 6"/>
    <w:basedOn w:val="1"/>
    <w:next w:val="1"/>
    <w:autoRedefine/>
    <w:qFormat/>
    <w:uiPriority w:val="39"/>
    <w:pPr>
      <w:ind w:left="1050"/>
      <w:jc w:val="left"/>
    </w:pPr>
    <w:rPr>
      <w:rFonts w:ascii="Calibri" w:hAnsi="Calibri"/>
      <w:sz w:val="18"/>
      <w:szCs w:val="18"/>
    </w:rPr>
  </w:style>
  <w:style w:type="paragraph" w:styleId="33">
    <w:name w:val="Body Text Indent 3"/>
    <w:basedOn w:val="1"/>
    <w:link w:val="87"/>
    <w:autoRedefine/>
    <w:qFormat/>
    <w:uiPriority w:val="0"/>
    <w:pPr>
      <w:spacing w:after="120"/>
      <w:ind w:left="420" w:leftChars="200"/>
    </w:pPr>
    <w:rPr>
      <w:kern w:val="0"/>
      <w:sz w:val="16"/>
      <w:szCs w:val="16"/>
    </w:rPr>
  </w:style>
  <w:style w:type="paragraph" w:styleId="34">
    <w:name w:val="table of figures"/>
    <w:basedOn w:val="1"/>
    <w:next w:val="1"/>
    <w:autoRedefine/>
    <w:qFormat/>
    <w:uiPriority w:val="0"/>
    <w:pPr>
      <w:ind w:left="200" w:leftChars="200" w:hanging="200" w:hangingChars="200"/>
    </w:pPr>
  </w:style>
  <w:style w:type="paragraph" w:styleId="35">
    <w:name w:val="toc 2"/>
    <w:basedOn w:val="1"/>
    <w:next w:val="1"/>
    <w:autoRedefine/>
    <w:qFormat/>
    <w:uiPriority w:val="39"/>
    <w:pPr>
      <w:ind w:left="210"/>
      <w:jc w:val="left"/>
    </w:pPr>
    <w:rPr>
      <w:rFonts w:ascii="Calibri" w:hAnsi="Calibri"/>
      <w:smallCaps/>
      <w:sz w:val="20"/>
      <w:szCs w:val="20"/>
    </w:rPr>
  </w:style>
  <w:style w:type="paragraph" w:styleId="36">
    <w:name w:val="toc 9"/>
    <w:basedOn w:val="1"/>
    <w:next w:val="1"/>
    <w:autoRedefine/>
    <w:qFormat/>
    <w:uiPriority w:val="39"/>
    <w:pPr>
      <w:ind w:left="1680"/>
      <w:jc w:val="left"/>
    </w:pPr>
    <w:rPr>
      <w:rFonts w:ascii="Calibri" w:hAnsi="Calibri"/>
      <w:sz w:val="18"/>
      <w:szCs w:val="18"/>
    </w:rPr>
  </w:style>
  <w:style w:type="paragraph" w:styleId="37">
    <w:name w:val="Body Text 2"/>
    <w:basedOn w:val="1"/>
    <w:autoRedefine/>
    <w:unhideWhenUsed/>
    <w:qFormat/>
    <w:uiPriority w:val="99"/>
    <w:pPr>
      <w:spacing w:after="120" w:line="480" w:lineRule="auto"/>
    </w:pPr>
  </w:style>
  <w:style w:type="paragraph" w:styleId="38">
    <w:name w:val="HTML Preformatted"/>
    <w:basedOn w:val="1"/>
    <w:link w:val="97"/>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autoRedefine/>
    <w:semiHidden/>
    <w:qFormat/>
    <w:uiPriority w:val="0"/>
    <w:pPr>
      <w:spacing w:line="360" w:lineRule="auto"/>
      <w:jc w:val="center"/>
    </w:pPr>
    <w:rPr>
      <w:rFonts w:ascii="宋体" w:hAnsi="Arial" w:cs="Arial"/>
      <w:b/>
      <w:color w:val="000000"/>
      <w:sz w:val="24"/>
    </w:rPr>
  </w:style>
  <w:style w:type="paragraph" w:styleId="41">
    <w:name w:val="Title"/>
    <w:basedOn w:val="1"/>
    <w:link w:val="80"/>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2">
    <w:name w:val="annotation subject"/>
    <w:basedOn w:val="15"/>
    <w:next w:val="15"/>
    <w:link w:val="69"/>
    <w:autoRedefine/>
    <w:qFormat/>
    <w:uiPriority w:val="0"/>
    <w:rPr>
      <w:b/>
      <w:bCs/>
    </w:rPr>
  </w:style>
  <w:style w:type="paragraph" w:styleId="43">
    <w:name w:val="Body Text First Indent"/>
    <w:basedOn w:val="17"/>
    <w:autoRedefine/>
    <w:qFormat/>
    <w:uiPriority w:val="0"/>
    <w:pPr>
      <w:adjustRightInd w:val="0"/>
      <w:spacing w:line="275" w:lineRule="atLeast"/>
      <w:ind w:firstLine="420"/>
      <w:textAlignment w:val="baseline"/>
    </w:pPr>
    <w:rPr>
      <w:rFonts w:ascii="宋体" w:eastAsia="楷体_GB2312"/>
      <w:sz w:val="24"/>
      <w:szCs w:val="20"/>
    </w:rPr>
  </w:style>
  <w:style w:type="paragraph" w:styleId="44">
    <w:name w:val="Body Text First Indent 2"/>
    <w:basedOn w:val="18"/>
    <w:next w:val="1"/>
    <w:autoRedefine/>
    <w:unhideWhenUsed/>
    <w:qFormat/>
    <w:uiPriority w:val="0"/>
    <w:pPr>
      <w:ind w:firstLine="420"/>
    </w:pPr>
  </w:style>
  <w:style w:type="table" w:styleId="46">
    <w:name w:val="Table Grid"/>
    <w:basedOn w:val="45"/>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autoRedefine/>
    <w:qFormat/>
    <w:uiPriority w:val="0"/>
    <w:rPr>
      <w:b/>
      <w:bCs/>
    </w:rPr>
  </w:style>
  <w:style w:type="character" w:styleId="49">
    <w:name w:val="page number"/>
    <w:autoRedefine/>
    <w:qFormat/>
    <w:uiPriority w:val="0"/>
  </w:style>
  <w:style w:type="character" w:styleId="50">
    <w:name w:val="FollowedHyperlink"/>
    <w:basedOn w:val="47"/>
    <w:autoRedefine/>
    <w:qFormat/>
    <w:uiPriority w:val="0"/>
    <w:rPr>
      <w:rFonts w:hint="default" w:ascii="Arial" w:hAnsi="Arial" w:eastAsia="Arial" w:cs="Arial"/>
      <w:color w:val="333333"/>
      <w:sz w:val="21"/>
      <w:szCs w:val="21"/>
      <w:u w:val="none"/>
    </w:rPr>
  </w:style>
  <w:style w:type="character" w:styleId="51">
    <w:name w:val="Hyperlink"/>
    <w:basedOn w:val="47"/>
    <w:autoRedefine/>
    <w:qFormat/>
    <w:uiPriority w:val="99"/>
    <w:rPr>
      <w:rFonts w:ascii="Arial" w:hAnsi="Arial" w:eastAsia="Arial" w:cs="Arial"/>
      <w:color w:val="333333"/>
      <w:sz w:val="21"/>
      <w:szCs w:val="21"/>
      <w:u w:val="none"/>
    </w:rPr>
  </w:style>
  <w:style w:type="character" w:styleId="52">
    <w:name w:val="annotation reference"/>
    <w:autoRedefine/>
    <w:qFormat/>
    <w:uiPriority w:val="0"/>
    <w:rPr>
      <w:sz w:val="21"/>
      <w:szCs w:val="21"/>
    </w:rPr>
  </w:style>
  <w:style w:type="character" w:styleId="53">
    <w:name w:val="footnote reference"/>
    <w:autoRedefine/>
    <w:qFormat/>
    <w:uiPriority w:val="0"/>
    <w:rPr>
      <w:vertAlign w:val="superscript"/>
    </w:rPr>
  </w:style>
  <w:style w:type="character" w:customStyle="1" w:styleId="54">
    <w:name w:val="apple-style-span"/>
    <w:autoRedefine/>
    <w:qFormat/>
    <w:uiPriority w:val="0"/>
    <w:rPr>
      <w:rFonts w:ascii="Verdana" w:hAnsi="Verdana" w:eastAsia="宋体"/>
      <w:sz w:val="21"/>
      <w:lang w:val="en-US" w:eastAsia="en-US" w:bidi="ar-SA"/>
    </w:rPr>
  </w:style>
  <w:style w:type="character" w:customStyle="1" w:styleId="55">
    <w:name w:val="正文文本 3 Char1"/>
    <w:autoRedefine/>
    <w:semiHidden/>
    <w:qFormat/>
    <w:uiPriority w:val="99"/>
    <w:rPr>
      <w:rFonts w:ascii="Times New Roman" w:hAnsi="Times New Roman" w:eastAsia="宋体" w:cs="Times New Roman"/>
      <w:sz w:val="16"/>
      <w:szCs w:val="16"/>
    </w:rPr>
  </w:style>
  <w:style w:type="character" w:customStyle="1" w:styleId="56">
    <w:name w:val="样式 宋体"/>
    <w:autoRedefine/>
    <w:qFormat/>
    <w:uiPriority w:val="0"/>
    <w:rPr>
      <w:rFonts w:ascii="Times New Roman" w:hAnsi="Times New Roman" w:eastAsia="宋体"/>
      <w:sz w:val="21"/>
    </w:rPr>
  </w:style>
  <w:style w:type="character" w:customStyle="1" w:styleId="57">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8">
    <w:name w:val="标题 3 字符"/>
    <w:link w:val="5"/>
    <w:autoRedefine/>
    <w:qFormat/>
    <w:uiPriority w:val="0"/>
    <w:rPr>
      <w:rFonts w:ascii="Times New Roman" w:hAnsi="Times New Roman" w:eastAsia="宋体" w:cs="Times New Roman"/>
      <w:b/>
      <w:bCs/>
      <w:sz w:val="32"/>
      <w:szCs w:val="32"/>
    </w:rPr>
  </w:style>
  <w:style w:type="character" w:customStyle="1" w:styleId="59">
    <w:name w:val="批注文字 字符"/>
    <w:link w:val="15"/>
    <w:autoRedefine/>
    <w:semiHidden/>
    <w:qFormat/>
    <w:uiPriority w:val="99"/>
    <w:rPr>
      <w:rFonts w:ascii="Times New Roman" w:hAnsi="Times New Roman" w:eastAsia="宋体" w:cs="Times New Roman"/>
      <w:szCs w:val="24"/>
    </w:rPr>
  </w:style>
  <w:style w:type="character" w:customStyle="1" w:styleId="60">
    <w:name w:val="标题 6 字符"/>
    <w:link w:val="7"/>
    <w:autoRedefine/>
    <w:qFormat/>
    <w:uiPriority w:val="0"/>
    <w:rPr>
      <w:rFonts w:ascii="Arial" w:hAnsi="Arial" w:eastAsia="黑体" w:cs="Times New Roman"/>
      <w:b/>
      <w:bCs/>
      <w:kern w:val="0"/>
      <w:sz w:val="24"/>
      <w:szCs w:val="24"/>
    </w:rPr>
  </w:style>
  <w:style w:type="character" w:customStyle="1" w:styleId="61">
    <w:name w:val="Char Char8"/>
    <w:autoRedefine/>
    <w:qFormat/>
    <w:uiPriority w:val="0"/>
    <w:rPr>
      <w:rFonts w:ascii="Arial" w:hAnsi="Arial" w:eastAsia="黑体"/>
      <w:b/>
      <w:bCs/>
      <w:kern w:val="2"/>
      <w:sz w:val="32"/>
      <w:szCs w:val="32"/>
      <w:lang w:val="en-US" w:eastAsia="zh-CN" w:bidi="ar-SA"/>
    </w:rPr>
  </w:style>
  <w:style w:type="character" w:customStyle="1" w:styleId="62">
    <w:name w:val="脚注文本 Char1"/>
    <w:autoRedefine/>
    <w:semiHidden/>
    <w:qFormat/>
    <w:uiPriority w:val="99"/>
    <w:rPr>
      <w:rFonts w:ascii="Times New Roman" w:hAnsi="Times New Roman" w:eastAsia="宋体" w:cs="Times New Roman"/>
      <w:sz w:val="18"/>
      <w:szCs w:val="18"/>
    </w:rPr>
  </w:style>
  <w:style w:type="character" w:customStyle="1" w:styleId="63">
    <w:name w:val="正文文本 3 字符"/>
    <w:link w:val="16"/>
    <w:autoRedefine/>
    <w:qFormat/>
    <w:uiPriority w:val="0"/>
    <w:rPr>
      <w:rFonts w:ascii="宋体"/>
      <w:sz w:val="24"/>
    </w:rPr>
  </w:style>
  <w:style w:type="character" w:customStyle="1" w:styleId="64">
    <w:name w:val="页脚 Char1"/>
    <w:autoRedefine/>
    <w:semiHidden/>
    <w:qFormat/>
    <w:uiPriority w:val="99"/>
    <w:rPr>
      <w:rFonts w:ascii="Times New Roman" w:hAnsi="Times New Roman" w:eastAsia="宋体" w:cs="Times New Roman"/>
      <w:sz w:val="18"/>
      <w:szCs w:val="18"/>
    </w:rPr>
  </w:style>
  <w:style w:type="character" w:customStyle="1" w:styleId="65">
    <w:name w:val="标题 Char1"/>
    <w:autoRedefine/>
    <w:qFormat/>
    <w:uiPriority w:val="10"/>
    <w:rPr>
      <w:rFonts w:ascii="Calibri Light" w:hAnsi="Calibri Light" w:eastAsia="宋体" w:cs="Times New Roman"/>
      <w:b/>
      <w:bCs/>
      <w:sz w:val="32"/>
      <w:szCs w:val="32"/>
    </w:rPr>
  </w:style>
  <w:style w:type="character" w:customStyle="1" w:styleId="66">
    <w:name w:val="正文文本 字符"/>
    <w:link w:val="17"/>
    <w:autoRedefine/>
    <w:qFormat/>
    <w:uiPriority w:val="0"/>
    <w:rPr>
      <w:rFonts w:eastAsia="宋体"/>
      <w:szCs w:val="24"/>
    </w:rPr>
  </w:style>
  <w:style w:type="character" w:customStyle="1" w:styleId="67">
    <w:name w:val="脚注文本 字符"/>
    <w:link w:val="31"/>
    <w:autoRedefine/>
    <w:qFormat/>
    <w:uiPriority w:val="0"/>
    <w:rPr>
      <w:rFonts w:eastAsia="宋体"/>
    </w:rPr>
  </w:style>
  <w:style w:type="character" w:customStyle="1" w:styleId="68">
    <w:name w:val="纯文本 Char1"/>
    <w:autoRedefine/>
    <w:semiHidden/>
    <w:qFormat/>
    <w:uiPriority w:val="99"/>
    <w:rPr>
      <w:rFonts w:ascii="宋体" w:hAnsi="Courier New" w:eastAsia="宋体" w:cs="Courier New"/>
      <w:szCs w:val="21"/>
    </w:rPr>
  </w:style>
  <w:style w:type="character" w:customStyle="1" w:styleId="69">
    <w:name w:val="批注主题 字符"/>
    <w:link w:val="42"/>
    <w:autoRedefine/>
    <w:qFormat/>
    <w:uiPriority w:val="0"/>
    <w:rPr>
      <w:rFonts w:ascii="Times New Roman" w:hAnsi="Times New Roman" w:eastAsia="宋体" w:cs="Times New Roman"/>
      <w:b/>
      <w:bCs/>
      <w:szCs w:val="24"/>
    </w:rPr>
  </w:style>
  <w:style w:type="character" w:customStyle="1" w:styleId="70">
    <w:name w:val="正文缩进 字符"/>
    <w:link w:val="13"/>
    <w:autoRedefine/>
    <w:qFormat/>
    <w:locked/>
    <w:uiPriority w:val="0"/>
    <w:rPr>
      <w:kern w:val="2"/>
      <w:sz w:val="21"/>
      <w:szCs w:val="24"/>
    </w:rPr>
  </w:style>
  <w:style w:type="character" w:customStyle="1" w:styleId="71">
    <w:name w:val="font11"/>
    <w:autoRedefine/>
    <w:qFormat/>
    <w:uiPriority w:val="0"/>
    <w:rPr>
      <w:rFonts w:hint="default" w:ascii="Times New Roman" w:hAnsi="Times New Roman" w:cs="Times New Roman"/>
      <w:color w:val="000000"/>
      <w:sz w:val="22"/>
      <w:szCs w:val="22"/>
      <w:u w:val="none"/>
    </w:rPr>
  </w:style>
  <w:style w:type="character" w:customStyle="1" w:styleId="72">
    <w:name w:val="font01"/>
    <w:autoRedefine/>
    <w:qFormat/>
    <w:uiPriority w:val="0"/>
    <w:rPr>
      <w:rFonts w:hint="eastAsia" w:ascii="宋体" w:hAnsi="宋体" w:eastAsia="宋体" w:cs="宋体"/>
      <w:color w:val="000000"/>
      <w:sz w:val="22"/>
      <w:szCs w:val="22"/>
      <w:u w:val="none"/>
    </w:rPr>
  </w:style>
  <w:style w:type="character" w:customStyle="1" w:styleId="73">
    <w:name w:val="页眉 字符"/>
    <w:link w:val="28"/>
    <w:autoRedefine/>
    <w:qFormat/>
    <w:uiPriority w:val="0"/>
    <w:rPr>
      <w:rFonts w:ascii="Times New Roman" w:hAnsi="Times New Roman" w:eastAsia="宋体" w:cs="Times New Roman"/>
      <w:sz w:val="18"/>
      <w:szCs w:val="18"/>
    </w:rPr>
  </w:style>
  <w:style w:type="character" w:customStyle="1" w:styleId="74">
    <w:name w:val="标题 9 字符"/>
    <w:link w:val="10"/>
    <w:autoRedefine/>
    <w:qFormat/>
    <w:uiPriority w:val="0"/>
    <w:rPr>
      <w:rFonts w:ascii="Arial" w:hAnsi="Arial" w:eastAsia="黑体" w:cs="Times New Roman"/>
      <w:kern w:val="0"/>
      <w:szCs w:val="21"/>
    </w:rPr>
  </w:style>
  <w:style w:type="character" w:customStyle="1" w:styleId="75">
    <w:name w:val="标题 2 Char1"/>
    <w:autoRedefine/>
    <w:qFormat/>
    <w:uiPriority w:val="0"/>
    <w:rPr>
      <w:rFonts w:ascii="Arial" w:hAnsi="Arial" w:eastAsia="黑体" w:cs="Times New Roman"/>
      <w:b/>
      <w:bCs/>
      <w:sz w:val="32"/>
      <w:szCs w:val="32"/>
      <w:lang w:val="en-US" w:eastAsia="en-US" w:bidi="ar-SA"/>
    </w:rPr>
  </w:style>
  <w:style w:type="character" w:customStyle="1" w:styleId="76">
    <w:name w:val="正文文本缩进 字符"/>
    <w:link w:val="18"/>
    <w:autoRedefine/>
    <w:qFormat/>
    <w:uiPriority w:val="0"/>
    <w:rPr>
      <w:szCs w:val="24"/>
    </w:rPr>
  </w:style>
  <w:style w:type="character" w:customStyle="1" w:styleId="77">
    <w:name w:val="文档结构图 字符"/>
    <w:link w:val="14"/>
    <w:autoRedefine/>
    <w:qFormat/>
    <w:uiPriority w:val="0"/>
    <w:rPr>
      <w:rFonts w:ascii="Times New Roman" w:hAnsi="Times New Roman" w:eastAsia="宋体" w:cs="Times New Roman"/>
      <w:szCs w:val="24"/>
      <w:shd w:val="clear" w:color="auto" w:fill="000080"/>
    </w:rPr>
  </w:style>
  <w:style w:type="character" w:customStyle="1" w:styleId="78">
    <w:name w:val="font161"/>
    <w:autoRedefine/>
    <w:qFormat/>
    <w:uiPriority w:val="0"/>
    <w:rPr>
      <w:b/>
      <w:bCs/>
      <w:sz w:val="32"/>
      <w:szCs w:val="32"/>
    </w:rPr>
  </w:style>
  <w:style w:type="character" w:customStyle="1" w:styleId="79">
    <w:name w:val="标题 2 字符"/>
    <w:link w:val="4"/>
    <w:autoRedefine/>
    <w:qFormat/>
    <w:uiPriority w:val="0"/>
    <w:rPr>
      <w:rFonts w:ascii="Arial" w:hAnsi="Arial" w:eastAsia="黑体" w:cs="Times New Roman"/>
      <w:b/>
      <w:bCs/>
      <w:sz w:val="32"/>
      <w:szCs w:val="32"/>
    </w:rPr>
  </w:style>
  <w:style w:type="character" w:customStyle="1" w:styleId="80">
    <w:name w:val="标题 字符"/>
    <w:link w:val="41"/>
    <w:autoRedefine/>
    <w:qFormat/>
    <w:uiPriority w:val="0"/>
    <w:rPr>
      <w:rFonts w:ascii="Arial" w:hAnsi="Arial"/>
      <w:b/>
      <w:sz w:val="32"/>
    </w:rPr>
  </w:style>
  <w:style w:type="character" w:customStyle="1" w:styleId="81">
    <w:name w:val="批注框文本 字符"/>
    <w:link w:val="26"/>
    <w:autoRedefine/>
    <w:qFormat/>
    <w:uiPriority w:val="0"/>
    <w:rPr>
      <w:rFonts w:ascii="Times New Roman" w:hAnsi="Times New Roman" w:eastAsia="宋体" w:cs="Times New Roman"/>
      <w:sz w:val="18"/>
      <w:szCs w:val="18"/>
    </w:rPr>
  </w:style>
  <w:style w:type="character" w:customStyle="1" w:styleId="82">
    <w:name w:val="标题 8 字符"/>
    <w:link w:val="9"/>
    <w:autoRedefine/>
    <w:qFormat/>
    <w:uiPriority w:val="0"/>
    <w:rPr>
      <w:rFonts w:ascii="Arial" w:hAnsi="Arial" w:eastAsia="黑体" w:cs="Times New Roman"/>
      <w:kern w:val="0"/>
      <w:sz w:val="24"/>
      <w:szCs w:val="24"/>
    </w:rPr>
  </w:style>
  <w:style w:type="character" w:customStyle="1" w:styleId="83">
    <w:name w:val="日期 字符"/>
    <w:link w:val="25"/>
    <w:autoRedefine/>
    <w:qFormat/>
    <w:uiPriority w:val="0"/>
    <w:rPr>
      <w:rFonts w:ascii="Times New Roman" w:hAnsi="Times New Roman" w:eastAsia="宋体" w:cs="Times New Roman"/>
      <w:sz w:val="24"/>
      <w:szCs w:val="20"/>
    </w:rPr>
  </w:style>
  <w:style w:type="character" w:customStyle="1" w:styleId="84">
    <w:name w:val="标题 1 字符"/>
    <w:link w:val="3"/>
    <w:autoRedefine/>
    <w:qFormat/>
    <w:uiPriority w:val="0"/>
    <w:rPr>
      <w:rFonts w:ascii="Times New Roman" w:hAnsi="Times New Roman" w:eastAsia="宋体" w:cs="Times New Roman"/>
      <w:b/>
      <w:bCs/>
      <w:kern w:val="44"/>
      <w:sz w:val="44"/>
      <w:szCs w:val="44"/>
    </w:rPr>
  </w:style>
  <w:style w:type="character" w:customStyle="1" w:styleId="85">
    <w:name w:val="招标节 Char"/>
    <w:link w:val="86"/>
    <w:autoRedefine/>
    <w:qFormat/>
    <w:locked/>
    <w:uiPriority w:val="0"/>
    <w:rPr>
      <w:b/>
      <w:sz w:val="24"/>
      <w:szCs w:val="24"/>
    </w:rPr>
  </w:style>
  <w:style w:type="paragraph" w:customStyle="1" w:styleId="86">
    <w:name w:val="招标节"/>
    <w:basedOn w:val="1"/>
    <w:next w:val="1"/>
    <w:link w:val="85"/>
    <w:autoRedefine/>
    <w:qFormat/>
    <w:uiPriority w:val="0"/>
    <w:pPr>
      <w:spacing w:beforeLines="50" w:afterLines="50"/>
      <w:outlineLvl w:val="1"/>
    </w:pPr>
    <w:rPr>
      <w:b/>
      <w:kern w:val="0"/>
      <w:sz w:val="24"/>
    </w:rPr>
  </w:style>
  <w:style w:type="character" w:customStyle="1" w:styleId="87">
    <w:name w:val="正文文本缩进 3 字符"/>
    <w:link w:val="33"/>
    <w:autoRedefine/>
    <w:qFormat/>
    <w:uiPriority w:val="0"/>
    <w:rPr>
      <w:rFonts w:ascii="Times New Roman" w:hAnsi="Times New Roman" w:eastAsia="宋体" w:cs="Times New Roman"/>
      <w:sz w:val="16"/>
      <w:szCs w:val="16"/>
    </w:rPr>
  </w:style>
  <w:style w:type="character" w:customStyle="1" w:styleId="88">
    <w:name w:val="tpc_content1"/>
    <w:autoRedefine/>
    <w:qFormat/>
    <w:uiPriority w:val="0"/>
    <w:rPr>
      <w:sz w:val="20"/>
      <w:szCs w:val="20"/>
    </w:rPr>
  </w:style>
  <w:style w:type="character" w:customStyle="1" w:styleId="89">
    <w:name w:val="Char Char"/>
    <w:autoRedefine/>
    <w:qFormat/>
    <w:uiPriority w:val="0"/>
    <w:rPr>
      <w:rFonts w:ascii="Arial" w:hAnsi="Arial" w:eastAsia="黑体"/>
      <w:b/>
      <w:bCs/>
      <w:kern w:val="2"/>
      <w:sz w:val="32"/>
      <w:szCs w:val="32"/>
      <w:lang w:val="en-US" w:eastAsia="zh-CN" w:bidi="ar-SA"/>
    </w:rPr>
  </w:style>
  <w:style w:type="character" w:customStyle="1" w:styleId="90">
    <w:name w:val="正文文本 Char1"/>
    <w:autoRedefine/>
    <w:semiHidden/>
    <w:qFormat/>
    <w:uiPriority w:val="99"/>
    <w:rPr>
      <w:rFonts w:ascii="Times New Roman" w:hAnsi="Times New Roman" w:eastAsia="宋体" w:cs="Times New Roman"/>
      <w:szCs w:val="24"/>
    </w:rPr>
  </w:style>
  <w:style w:type="character" w:customStyle="1" w:styleId="91">
    <w:name w:val="Char Char2"/>
    <w:autoRedefine/>
    <w:qFormat/>
    <w:uiPriority w:val="0"/>
    <w:rPr>
      <w:rFonts w:eastAsia="宋体"/>
      <w:kern w:val="2"/>
      <w:sz w:val="21"/>
      <w:szCs w:val="24"/>
      <w:lang w:val="en-US" w:eastAsia="zh-CN" w:bidi="ar-SA"/>
    </w:rPr>
  </w:style>
  <w:style w:type="character" w:customStyle="1" w:styleId="92">
    <w:name w:val="apple-converted-space"/>
    <w:autoRedefine/>
    <w:qFormat/>
    <w:uiPriority w:val="0"/>
  </w:style>
  <w:style w:type="character" w:customStyle="1" w:styleId="93">
    <w:name w:val="标题 4 字符"/>
    <w:link w:val="6"/>
    <w:autoRedefine/>
    <w:qFormat/>
    <w:uiPriority w:val="0"/>
    <w:rPr>
      <w:rFonts w:ascii="Arial" w:hAnsi="Arial" w:eastAsia="黑体" w:cs="Times New Roman"/>
      <w:b/>
      <w:bCs/>
      <w:sz w:val="28"/>
      <w:szCs w:val="28"/>
    </w:rPr>
  </w:style>
  <w:style w:type="character" w:customStyle="1" w:styleId="94">
    <w:name w:val="正文文本缩进 Char1"/>
    <w:autoRedefine/>
    <w:semiHidden/>
    <w:qFormat/>
    <w:uiPriority w:val="99"/>
    <w:rPr>
      <w:rFonts w:ascii="Times New Roman" w:hAnsi="Times New Roman" w:eastAsia="宋体" w:cs="Times New Roman"/>
      <w:szCs w:val="24"/>
    </w:rPr>
  </w:style>
  <w:style w:type="character" w:customStyle="1" w:styleId="95">
    <w:name w:val="页脚 字符"/>
    <w:link w:val="27"/>
    <w:autoRedefine/>
    <w:qFormat/>
    <w:uiPriority w:val="99"/>
    <w:rPr>
      <w:sz w:val="18"/>
      <w:szCs w:val="18"/>
    </w:rPr>
  </w:style>
  <w:style w:type="character" w:customStyle="1" w:styleId="96">
    <w:name w:val="Char Char7"/>
    <w:autoRedefine/>
    <w:qFormat/>
    <w:uiPriority w:val="0"/>
    <w:rPr>
      <w:rFonts w:ascii="Arial" w:hAnsi="Arial" w:eastAsia="黑体"/>
      <w:b/>
      <w:bCs/>
      <w:kern w:val="2"/>
      <w:sz w:val="32"/>
      <w:szCs w:val="32"/>
      <w:lang w:val="en-US" w:eastAsia="zh-CN" w:bidi="ar-SA"/>
    </w:rPr>
  </w:style>
  <w:style w:type="character" w:customStyle="1" w:styleId="97">
    <w:name w:val="HTML 预设格式 字符"/>
    <w:link w:val="38"/>
    <w:autoRedefine/>
    <w:qFormat/>
    <w:uiPriority w:val="0"/>
    <w:rPr>
      <w:rFonts w:ascii="微软雅黑" w:hAnsi="微软雅黑" w:eastAsia="微软雅黑" w:cs="Times New Roman"/>
      <w:kern w:val="0"/>
      <w:sz w:val="24"/>
      <w:szCs w:val="24"/>
    </w:rPr>
  </w:style>
  <w:style w:type="character" w:customStyle="1" w:styleId="98">
    <w:name w:val="批注文字 Char"/>
    <w:autoRedefine/>
    <w:qFormat/>
    <w:uiPriority w:val="0"/>
    <w:rPr>
      <w:rFonts w:eastAsia="宋体"/>
      <w:kern w:val="2"/>
      <w:sz w:val="21"/>
      <w:szCs w:val="24"/>
      <w:lang w:val="en-US" w:eastAsia="zh-CN" w:bidi="ar-SA"/>
    </w:rPr>
  </w:style>
  <w:style w:type="character" w:customStyle="1" w:styleId="99">
    <w:name w:val="纯文本 字符"/>
    <w:link w:val="23"/>
    <w:autoRedefine/>
    <w:qFormat/>
    <w:uiPriority w:val="99"/>
    <w:rPr>
      <w:rFonts w:ascii="Courier New" w:hAnsi="Courier New"/>
    </w:rPr>
  </w:style>
  <w:style w:type="character" w:customStyle="1" w:styleId="100">
    <w:name w:val="标题 7 字符"/>
    <w:link w:val="8"/>
    <w:autoRedefine/>
    <w:qFormat/>
    <w:uiPriority w:val="0"/>
    <w:rPr>
      <w:rFonts w:ascii="Times New Roman" w:hAnsi="Times New Roman" w:eastAsia="宋体" w:cs="Times New Roman"/>
      <w:b/>
      <w:bCs/>
      <w:kern w:val="0"/>
      <w:sz w:val="24"/>
      <w:szCs w:val="24"/>
    </w:rPr>
  </w:style>
  <w:style w:type="paragraph" w:customStyle="1" w:styleId="101">
    <w:name w:val="样式4"/>
    <w:basedOn w:val="5"/>
    <w:autoRedefine/>
    <w:qFormat/>
    <w:uiPriority w:val="0"/>
    <w:rPr>
      <w:rFonts w:eastAsia="Arial"/>
    </w:rPr>
  </w:style>
  <w:style w:type="paragraph" w:customStyle="1" w:styleId="102">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font10"/>
    <w:basedOn w:val="1"/>
    <w:autoRedefine/>
    <w:qFormat/>
    <w:uiPriority w:val="0"/>
    <w:pPr>
      <w:widowControl/>
      <w:spacing w:before="100" w:beforeAutospacing="1" w:after="100" w:afterAutospacing="1"/>
      <w:jc w:val="left"/>
    </w:pPr>
    <w:rPr>
      <w:kern w:val="0"/>
      <w:sz w:val="28"/>
      <w:szCs w:val="28"/>
    </w:rPr>
  </w:style>
  <w:style w:type="paragraph" w:customStyle="1" w:styleId="105">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样式1"/>
    <w:basedOn w:val="5"/>
    <w:autoRedefine/>
    <w:qFormat/>
    <w:uiPriority w:val="0"/>
    <w:rPr>
      <w:rFonts w:eastAsia="Arial"/>
    </w:rPr>
  </w:style>
  <w:style w:type="paragraph" w:customStyle="1" w:styleId="108">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Char"/>
    <w:basedOn w:val="1"/>
    <w:autoRedefine/>
    <w:qFormat/>
    <w:uiPriority w:val="0"/>
    <w:pPr>
      <w:tabs>
        <w:tab w:val="left" w:pos="360"/>
      </w:tabs>
    </w:pPr>
    <w:rPr>
      <w:sz w:val="24"/>
    </w:rPr>
  </w:style>
  <w:style w:type="paragraph" w:customStyle="1" w:styleId="111">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表格"/>
    <w:basedOn w:val="1"/>
    <w:autoRedefine/>
    <w:qFormat/>
    <w:uiPriority w:val="0"/>
    <w:pPr>
      <w:jc w:val="center"/>
      <w:textAlignment w:val="center"/>
    </w:pPr>
    <w:rPr>
      <w:rFonts w:ascii="华文细黑" w:hAnsi="华文细黑"/>
      <w:kern w:val="0"/>
      <w:szCs w:val="20"/>
    </w:rPr>
  </w:style>
  <w:style w:type="paragraph" w:customStyle="1" w:styleId="113">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7">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列表段落1"/>
    <w:basedOn w:val="1"/>
    <w:autoRedefine/>
    <w:qFormat/>
    <w:uiPriority w:val="34"/>
    <w:pPr>
      <w:ind w:firstLine="420" w:firstLineChars="200"/>
    </w:pPr>
    <w:rPr>
      <w:rFonts w:ascii="Calibri" w:hAnsi="Calibri"/>
      <w:szCs w:val="22"/>
    </w:rPr>
  </w:style>
  <w:style w:type="paragraph" w:customStyle="1" w:styleId="123">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4">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7">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8">
    <w:name w:val="1"/>
    <w:basedOn w:val="1"/>
    <w:next w:val="1"/>
    <w:autoRedefine/>
    <w:qFormat/>
    <w:uiPriority w:val="0"/>
  </w:style>
  <w:style w:type="paragraph" w:customStyle="1" w:styleId="129">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规范文本"/>
    <w:basedOn w:val="23"/>
    <w:autoRedefine/>
    <w:qFormat/>
    <w:uiPriority w:val="0"/>
    <w:pPr>
      <w:adjustRightInd w:val="0"/>
      <w:snapToGrid w:val="0"/>
      <w:spacing w:line="360" w:lineRule="exact"/>
      <w:ind w:firstLine="420"/>
    </w:pPr>
    <w:rPr>
      <w:rFonts w:ascii="宋体"/>
      <w:snapToGrid w:val="0"/>
      <w:szCs w:val="21"/>
    </w:rPr>
  </w:style>
  <w:style w:type="paragraph" w:customStyle="1" w:styleId="132">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3">
    <w:name w:val="节"/>
    <w:basedOn w:val="23"/>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4">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样式3"/>
    <w:basedOn w:val="5"/>
    <w:autoRedefine/>
    <w:qFormat/>
    <w:uiPriority w:val="0"/>
    <w:rPr>
      <w:rFonts w:eastAsia="Arial"/>
    </w:rPr>
  </w:style>
  <w:style w:type="paragraph" w:customStyle="1" w:styleId="136">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9">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1">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4">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5">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7">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9">
    <w:name w:val="第二"/>
    <w:basedOn w:val="1"/>
    <w:autoRedefine/>
    <w:qFormat/>
    <w:uiPriority w:val="0"/>
    <w:pPr>
      <w:adjustRightInd w:val="0"/>
      <w:snapToGrid w:val="0"/>
      <w:spacing w:line="360" w:lineRule="auto"/>
      <w:ind w:right="-108" w:rightChars="-45" w:firstLine="482"/>
    </w:pPr>
    <w:rPr>
      <w:b/>
    </w:rPr>
  </w:style>
  <w:style w:type="paragraph" w:customStyle="1" w:styleId="150">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151">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2">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3">
    <w:name w:val="内容"/>
    <w:basedOn w:val="1"/>
    <w:autoRedefine/>
    <w:qFormat/>
    <w:uiPriority w:val="0"/>
    <w:pPr>
      <w:spacing w:line="480" w:lineRule="exact"/>
      <w:ind w:firstLine="200" w:firstLineChars="200"/>
    </w:pPr>
  </w:style>
  <w:style w:type="paragraph" w:customStyle="1" w:styleId="154">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5">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列出段落1"/>
    <w:basedOn w:val="1"/>
    <w:autoRedefine/>
    <w:qFormat/>
    <w:uiPriority w:val="99"/>
    <w:pPr>
      <w:ind w:firstLine="420" w:firstLineChars="200"/>
    </w:pPr>
  </w:style>
  <w:style w:type="paragraph" w:customStyle="1" w:styleId="157">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8">
    <w:name w:val="表格文字"/>
    <w:basedOn w:val="1"/>
    <w:autoRedefine/>
    <w:qFormat/>
    <w:uiPriority w:val="0"/>
    <w:pPr>
      <w:adjustRightInd w:val="0"/>
      <w:spacing w:line="420" w:lineRule="atLeast"/>
      <w:jc w:val="left"/>
      <w:textAlignment w:val="baseline"/>
    </w:pPr>
    <w:rPr>
      <w:kern w:val="0"/>
      <w:szCs w:val="20"/>
    </w:rPr>
  </w:style>
  <w:style w:type="paragraph" w:customStyle="1" w:styleId="159">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0">
    <w:name w:val="样式2"/>
    <w:basedOn w:val="5"/>
    <w:autoRedefine/>
    <w:qFormat/>
    <w:uiPriority w:val="0"/>
  </w:style>
  <w:style w:type="character" w:customStyle="1" w:styleId="161">
    <w:name w:val="after"/>
    <w:basedOn w:val="47"/>
    <w:autoRedefine/>
    <w:qFormat/>
    <w:uiPriority w:val="0"/>
    <w:rPr>
      <w:bdr w:val="dashed" w:color="auto" w:sz="48" w:space="0"/>
    </w:rPr>
  </w:style>
  <w:style w:type="character" w:customStyle="1" w:styleId="162">
    <w:name w:val="before"/>
    <w:basedOn w:val="47"/>
    <w:autoRedefine/>
    <w:qFormat/>
    <w:uiPriority w:val="0"/>
    <w:rPr>
      <w:bdr w:val="single" w:color="auto" w:sz="48" w:space="0"/>
    </w:rPr>
  </w:style>
  <w:style w:type="character" w:customStyle="1" w:styleId="163">
    <w:name w:val="hover48"/>
    <w:basedOn w:val="47"/>
    <w:autoRedefine/>
    <w:qFormat/>
    <w:uiPriority w:val="0"/>
    <w:rPr>
      <w:shd w:val="clear" w:color="auto" w:fill="346AC3"/>
    </w:rPr>
  </w:style>
  <w:style w:type="character" w:customStyle="1" w:styleId="164">
    <w:name w:val="hover49"/>
    <w:basedOn w:val="47"/>
    <w:autoRedefine/>
    <w:qFormat/>
    <w:uiPriority w:val="0"/>
  </w:style>
  <w:style w:type="character" w:customStyle="1" w:styleId="165">
    <w:name w:val="hover50"/>
    <w:basedOn w:val="47"/>
    <w:autoRedefine/>
    <w:qFormat/>
    <w:uiPriority w:val="0"/>
    <w:rPr>
      <w:color w:val="4285F4"/>
      <w:u w:val="none"/>
    </w:rPr>
  </w:style>
  <w:style w:type="character" w:customStyle="1" w:styleId="166">
    <w:name w:val="hover51"/>
    <w:basedOn w:val="47"/>
    <w:autoRedefine/>
    <w:qFormat/>
    <w:uiPriority w:val="0"/>
    <w:rPr>
      <w:color w:val="4285F4"/>
    </w:rPr>
  </w:style>
  <w:style w:type="character" w:customStyle="1" w:styleId="167">
    <w:name w:val="hover52"/>
    <w:basedOn w:val="47"/>
    <w:autoRedefine/>
    <w:qFormat/>
    <w:uiPriority w:val="0"/>
    <w:rPr>
      <w:color w:val="1A85D7"/>
    </w:rPr>
  </w:style>
  <w:style w:type="character" w:customStyle="1" w:styleId="168">
    <w:name w:val="credit"/>
    <w:basedOn w:val="47"/>
    <w:autoRedefine/>
    <w:qFormat/>
    <w:uiPriority w:val="0"/>
    <w:rPr>
      <w:sz w:val="18"/>
      <w:szCs w:val="18"/>
    </w:rPr>
  </w:style>
  <w:style w:type="character" w:customStyle="1" w:styleId="169">
    <w:name w:val="first-child"/>
    <w:basedOn w:val="47"/>
    <w:autoRedefine/>
    <w:qFormat/>
    <w:uiPriority w:val="0"/>
  </w:style>
  <w:style w:type="paragraph" w:customStyle="1" w:styleId="170">
    <w:name w:val="Table Paragraph"/>
    <w:basedOn w:val="1"/>
    <w:autoRedefine/>
    <w:qFormat/>
    <w:uiPriority w:val="1"/>
  </w:style>
  <w:style w:type="table" w:customStyle="1" w:styleId="171">
    <w:name w:val="Table Normal"/>
    <w:autoRedefine/>
    <w:semiHidden/>
    <w:unhideWhenUsed/>
    <w:qFormat/>
    <w:uiPriority w:val="2"/>
    <w:tblPr>
      <w:tblCellMar>
        <w:top w:w="0" w:type="dxa"/>
        <w:left w:w="0" w:type="dxa"/>
        <w:bottom w:w="0" w:type="dxa"/>
        <w:right w:w="0" w:type="dxa"/>
      </w:tblCellMar>
    </w:tblPr>
  </w:style>
  <w:style w:type="paragraph" w:styleId="17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32</Pages>
  <Words>10052</Words>
  <Characters>10755</Characters>
  <Lines>105</Lines>
  <Paragraphs>29</Paragraphs>
  <TotalTime>3</TotalTime>
  <ScaleCrop>false</ScaleCrop>
  <LinksUpToDate>false</LinksUpToDate>
  <CharactersWithSpaces>11731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2020-05-04T08:16:00Z</dcterms:created>
  <dc:creator>陈桂兰</dc:creator>
  <cp:lastModifiedBy>Kevin</cp:lastModifiedBy>
  <cp:lastPrinted>2022-06-11T18:10:00Z</cp:lastPrinted>
  <dcterms:modified xsi:type="dcterms:W3CDTF">2024-10-14T01:23:02Z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5FC415C8BC544453A7F391456F7EC709_13</vt:lpwstr>
  </property>
  <property fmtid="{D5CDD505-2E9C-101B-9397-08002B2CF9AE}" pid="4" name="commondata">
    <vt:lpwstr>eyJoZGlkIjoiNmI0YzI4NGJiMjg2ZWZlN2MzZDcyYzg5ZDEwYzBhZDAifQ==</vt:lpwstr>
  </property>
</Properties>
</file>