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F31BE">
      <w:pPr>
        <w:tabs>
          <w:tab w:val="left" w:pos="1695"/>
          <w:tab w:val="left" w:pos="3370"/>
          <w:tab w:val="left" w:pos="5555"/>
        </w:tabs>
        <w:autoSpaceDE w:val="0"/>
        <w:autoSpaceDN w:val="0"/>
        <w:adjustRightInd w:val="0"/>
        <w:snapToGrid w:val="0"/>
        <w:spacing w:line="360" w:lineRule="auto"/>
        <w:ind w:right="-241" w:rightChars="-115"/>
        <w:jc w:val="left"/>
        <w:rPr>
          <w:rFonts w:hint="eastAsia" w:ascii="宋体" w:eastAsia="宋体"/>
          <w:b/>
          <w:color w:val="auto"/>
          <w:kern w:val="10"/>
          <w:sz w:val="24"/>
          <w:szCs w:val="24"/>
          <w:highlight w:val="none"/>
          <w:lang w:eastAsia="zh-CN"/>
        </w:rPr>
      </w:pPr>
      <w:bookmarkStart w:id="0" w:name="_Toc287620665"/>
      <w:r>
        <w:rPr>
          <w:rFonts w:ascii="宋体"/>
          <w:b/>
          <w:color w:val="auto"/>
          <w:kern w:val="10"/>
          <w:sz w:val="28"/>
          <w:szCs w:val="28"/>
          <w:highlight w:val="none"/>
        </w:rPr>
        <w:t>项目名称：</w:t>
      </w:r>
      <w:r>
        <w:rPr>
          <w:rFonts w:hint="eastAsia" w:ascii="宋体"/>
          <w:b/>
          <w:color w:val="auto"/>
          <w:kern w:val="10"/>
          <w:sz w:val="28"/>
          <w:szCs w:val="28"/>
          <w:highlight w:val="none"/>
          <w:lang w:eastAsia="zh-CN"/>
        </w:rPr>
        <w:t>重庆高速公路集团有限公司集采中心2024年度钢材集中采购（钢筋网片）（第二次）</w:t>
      </w:r>
    </w:p>
    <w:p w14:paraId="67419D83">
      <w:pPr>
        <w:tabs>
          <w:tab w:val="left" w:pos="1695"/>
          <w:tab w:val="left" w:pos="3370"/>
          <w:tab w:val="left" w:pos="5555"/>
        </w:tabs>
        <w:autoSpaceDE w:val="0"/>
        <w:autoSpaceDN w:val="0"/>
        <w:adjustRightInd w:val="0"/>
        <w:snapToGrid w:val="0"/>
        <w:spacing w:line="360" w:lineRule="auto"/>
        <w:rPr>
          <w:rFonts w:hint="eastAsia" w:ascii="宋体"/>
          <w:b/>
          <w:color w:val="auto"/>
          <w:kern w:val="10"/>
          <w:sz w:val="28"/>
          <w:szCs w:val="28"/>
          <w:highlight w:val="none"/>
          <w:lang w:eastAsia="zh-CN"/>
        </w:rPr>
      </w:pPr>
      <w:r>
        <w:rPr>
          <w:rFonts w:ascii="宋体"/>
          <w:b/>
          <w:color w:val="auto"/>
          <w:sz w:val="28"/>
          <w:szCs w:val="28"/>
          <w:highlight w:val="none"/>
        </w:rPr>
        <w:t>招标编号：</w:t>
      </w:r>
      <w:r>
        <w:rPr>
          <w:rFonts w:hint="eastAsia" w:ascii="宋体"/>
          <w:b/>
          <w:color w:val="auto"/>
          <w:kern w:val="10"/>
          <w:sz w:val="28"/>
          <w:szCs w:val="28"/>
          <w:highlight w:val="none"/>
          <w:lang w:eastAsia="zh-CN"/>
        </w:rPr>
        <w:t xml:space="preserve"> 0611-2400160950A</w:t>
      </w:r>
    </w:p>
    <w:p w14:paraId="028AC56C">
      <w:pPr>
        <w:autoSpaceDE w:val="0"/>
        <w:autoSpaceDN w:val="0"/>
        <w:adjustRightInd w:val="0"/>
        <w:snapToGrid w:val="0"/>
        <w:spacing w:line="360" w:lineRule="auto"/>
        <w:jc w:val="left"/>
        <w:rPr>
          <w:rFonts w:ascii="宋体" w:hAnsi="宋体"/>
          <w:color w:val="auto"/>
          <w:kern w:val="0"/>
          <w:sz w:val="20"/>
          <w:szCs w:val="20"/>
          <w:highlight w:val="none"/>
        </w:rPr>
      </w:pPr>
    </w:p>
    <w:p w14:paraId="3A5CC031">
      <w:pPr>
        <w:autoSpaceDE w:val="0"/>
        <w:autoSpaceDN w:val="0"/>
        <w:adjustRightInd w:val="0"/>
        <w:snapToGrid w:val="0"/>
        <w:spacing w:line="360" w:lineRule="auto"/>
        <w:jc w:val="left"/>
        <w:rPr>
          <w:rFonts w:ascii="宋体" w:hAnsi="宋体"/>
          <w:color w:val="auto"/>
          <w:kern w:val="0"/>
          <w:sz w:val="20"/>
          <w:szCs w:val="20"/>
          <w:highlight w:val="none"/>
        </w:rPr>
      </w:pPr>
    </w:p>
    <w:p w14:paraId="02F0D14A">
      <w:pPr>
        <w:autoSpaceDE w:val="0"/>
        <w:autoSpaceDN w:val="0"/>
        <w:adjustRightInd w:val="0"/>
        <w:snapToGrid w:val="0"/>
        <w:spacing w:line="360" w:lineRule="auto"/>
        <w:jc w:val="left"/>
        <w:rPr>
          <w:rFonts w:ascii="宋体" w:hAnsi="宋体"/>
          <w:color w:val="auto"/>
          <w:kern w:val="0"/>
          <w:sz w:val="20"/>
          <w:szCs w:val="20"/>
          <w:highlight w:val="none"/>
        </w:rPr>
      </w:pPr>
    </w:p>
    <w:p w14:paraId="0ED0A5C6">
      <w:pPr>
        <w:autoSpaceDE w:val="0"/>
        <w:autoSpaceDN w:val="0"/>
        <w:adjustRightInd w:val="0"/>
        <w:snapToGrid w:val="0"/>
        <w:spacing w:line="360" w:lineRule="auto"/>
        <w:jc w:val="left"/>
        <w:rPr>
          <w:rFonts w:ascii="宋体" w:hAnsi="宋体"/>
          <w:color w:val="auto"/>
          <w:kern w:val="0"/>
          <w:sz w:val="20"/>
          <w:szCs w:val="20"/>
          <w:highlight w:val="none"/>
        </w:rPr>
      </w:pPr>
    </w:p>
    <w:p w14:paraId="519303DA">
      <w:pPr>
        <w:autoSpaceDE w:val="0"/>
        <w:autoSpaceDN w:val="0"/>
        <w:adjustRightInd w:val="0"/>
        <w:snapToGrid w:val="0"/>
        <w:spacing w:line="360" w:lineRule="auto"/>
        <w:jc w:val="left"/>
        <w:rPr>
          <w:rFonts w:ascii="宋体" w:hAnsi="宋体"/>
          <w:color w:val="auto"/>
          <w:kern w:val="0"/>
          <w:sz w:val="20"/>
          <w:szCs w:val="20"/>
          <w:highlight w:val="none"/>
        </w:rPr>
      </w:pPr>
    </w:p>
    <w:p w14:paraId="1ACD67E7">
      <w:pPr>
        <w:autoSpaceDE w:val="0"/>
        <w:autoSpaceDN w:val="0"/>
        <w:adjustRightInd w:val="0"/>
        <w:snapToGrid w:val="0"/>
        <w:spacing w:line="360" w:lineRule="auto"/>
        <w:jc w:val="left"/>
        <w:rPr>
          <w:rFonts w:ascii="宋体" w:hAnsi="宋体"/>
          <w:color w:val="auto"/>
          <w:kern w:val="0"/>
          <w:sz w:val="20"/>
          <w:szCs w:val="20"/>
          <w:highlight w:val="none"/>
        </w:rPr>
      </w:pPr>
    </w:p>
    <w:p w14:paraId="3E7564DE">
      <w:pPr>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lang w:val="en-US" w:eastAsia="zh-CN"/>
        </w:rPr>
        <w:t>竞争性比选</w:t>
      </w:r>
      <w:r>
        <w:rPr>
          <w:rFonts w:ascii="宋体" w:hAnsi="宋体"/>
          <w:color w:val="auto"/>
          <w:kern w:val="0"/>
          <w:sz w:val="72"/>
          <w:szCs w:val="72"/>
          <w:highlight w:val="none"/>
        </w:rPr>
        <w:t>文</w:t>
      </w:r>
      <w:r>
        <w:rPr>
          <w:rFonts w:hint="eastAsia" w:ascii="宋体" w:hAnsi="宋体"/>
          <w:color w:val="auto"/>
          <w:kern w:val="0"/>
          <w:sz w:val="72"/>
          <w:szCs w:val="72"/>
          <w:highlight w:val="none"/>
        </w:rPr>
        <w:t xml:space="preserve"> </w:t>
      </w:r>
      <w:r>
        <w:rPr>
          <w:rFonts w:ascii="宋体" w:hAnsi="宋体"/>
          <w:color w:val="auto"/>
          <w:kern w:val="0"/>
          <w:sz w:val="72"/>
          <w:szCs w:val="72"/>
          <w:highlight w:val="none"/>
        </w:rPr>
        <w:t>件</w:t>
      </w:r>
    </w:p>
    <w:p w14:paraId="2F3A1AE4">
      <w:pPr>
        <w:autoSpaceDE w:val="0"/>
        <w:autoSpaceDN w:val="0"/>
        <w:adjustRightInd w:val="0"/>
        <w:snapToGrid w:val="0"/>
        <w:spacing w:line="360" w:lineRule="auto"/>
        <w:jc w:val="left"/>
        <w:rPr>
          <w:rFonts w:ascii="宋体" w:hAnsi="宋体"/>
          <w:color w:val="auto"/>
          <w:kern w:val="0"/>
          <w:sz w:val="10"/>
          <w:szCs w:val="10"/>
          <w:highlight w:val="none"/>
        </w:rPr>
      </w:pPr>
    </w:p>
    <w:p w14:paraId="076AE04A">
      <w:pPr>
        <w:spacing w:line="360" w:lineRule="auto"/>
        <w:jc w:val="center"/>
        <w:rPr>
          <w:color w:val="auto"/>
          <w:sz w:val="32"/>
          <w:szCs w:val="32"/>
          <w:highlight w:val="none"/>
        </w:rPr>
      </w:pPr>
      <w:bookmarkStart w:id="1" w:name="_Toc23843"/>
      <w:r>
        <w:rPr>
          <w:color w:val="auto"/>
          <w:sz w:val="36"/>
          <w:szCs w:val="36"/>
          <w:highlight w:val="none"/>
        </w:rPr>
        <w:drawing>
          <wp:inline distT="0" distB="0" distL="114300" distR="114300">
            <wp:extent cx="1609725" cy="975995"/>
            <wp:effectExtent l="0" t="0" r="9525" b="14605"/>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4"/>
                    <a:stretch>
                      <a:fillRect/>
                    </a:stretch>
                  </pic:blipFill>
                  <pic:spPr>
                    <a:xfrm>
                      <a:off x="0" y="0"/>
                      <a:ext cx="1609725" cy="975995"/>
                    </a:xfrm>
                    <a:prstGeom prst="rect">
                      <a:avLst/>
                    </a:prstGeom>
                    <a:noFill/>
                    <a:ln w="9525" cap="flat" cmpd="sng">
                      <a:noFill/>
                      <a:prstDash val="solid"/>
                      <a:round/>
                    </a:ln>
                  </pic:spPr>
                </pic:pic>
              </a:graphicData>
            </a:graphic>
          </wp:inline>
        </w:drawing>
      </w:r>
    </w:p>
    <w:p w14:paraId="245AE583">
      <w:pPr>
        <w:spacing w:line="360" w:lineRule="auto"/>
        <w:rPr>
          <w:color w:val="auto"/>
          <w:sz w:val="32"/>
          <w:szCs w:val="32"/>
          <w:highlight w:val="none"/>
        </w:rPr>
      </w:pPr>
    </w:p>
    <w:p w14:paraId="6E62A941">
      <w:pPr>
        <w:spacing w:line="360" w:lineRule="auto"/>
        <w:rPr>
          <w:b/>
          <w:bCs/>
          <w:color w:val="auto"/>
          <w:sz w:val="30"/>
          <w:szCs w:val="30"/>
          <w:highlight w:val="none"/>
        </w:rPr>
      </w:pPr>
    </w:p>
    <w:p w14:paraId="06AF0E3A">
      <w:pPr>
        <w:spacing w:line="360" w:lineRule="auto"/>
        <w:rPr>
          <w:b/>
          <w:bCs/>
          <w:color w:val="auto"/>
          <w:sz w:val="30"/>
          <w:szCs w:val="30"/>
          <w:highlight w:val="none"/>
        </w:rPr>
      </w:pPr>
    </w:p>
    <w:p w14:paraId="13154F6C">
      <w:pPr>
        <w:pStyle w:val="18"/>
        <w:rPr>
          <w:b/>
          <w:bCs/>
          <w:color w:val="auto"/>
          <w:sz w:val="30"/>
          <w:szCs w:val="30"/>
          <w:highlight w:val="none"/>
        </w:rPr>
      </w:pPr>
    </w:p>
    <w:p w14:paraId="13FE6A3E">
      <w:pPr>
        <w:rPr>
          <w:b/>
          <w:bCs/>
          <w:color w:val="auto"/>
          <w:sz w:val="30"/>
          <w:szCs w:val="30"/>
          <w:highlight w:val="none"/>
        </w:rPr>
      </w:pPr>
    </w:p>
    <w:p w14:paraId="50E1DE29">
      <w:pPr>
        <w:pStyle w:val="18"/>
        <w:rPr>
          <w:color w:val="auto"/>
          <w:highlight w:val="none"/>
        </w:rPr>
      </w:pPr>
    </w:p>
    <w:p w14:paraId="1B4F22A7">
      <w:pPr>
        <w:spacing w:line="360" w:lineRule="auto"/>
        <w:rPr>
          <w:b/>
          <w:bCs/>
          <w:color w:val="auto"/>
          <w:sz w:val="30"/>
          <w:szCs w:val="30"/>
          <w:highlight w:val="none"/>
        </w:rPr>
      </w:pPr>
    </w:p>
    <w:p w14:paraId="39FD8A42">
      <w:pPr>
        <w:autoSpaceDE w:val="0"/>
        <w:autoSpaceDN w:val="0"/>
        <w:adjustRightInd w:val="0"/>
        <w:rPr>
          <w:color w:val="auto"/>
          <w:sz w:val="24"/>
          <w:highlight w:val="none"/>
        </w:rPr>
      </w:pPr>
    </w:p>
    <w:p w14:paraId="29771C2E">
      <w:pPr>
        <w:spacing w:line="360" w:lineRule="auto"/>
        <w:rPr>
          <w:b/>
          <w:bCs/>
          <w:color w:val="auto"/>
          <w:sz w:val="30"/>
          <w:szCs w:val="30"/>
          <w:highlight w:val="none"/>
        </w:rPr>
      </w:pPr>
    </w:p>
    <w:p w14:paraId="2E8FDCF8">
      <w:pPr>
        <w:spacing w:line="360" w:lineRule="auto"/>
        <w:outlineLvl w:val="0"/>
        <w:rPr>
          <w:color w:val="auto"/>
          <w:highlight w:val="none"/>
        </w:rPr>
      </w:pPr>
      <w:bookmarkStart w:id="2" w:name="_Toc29776"/>
      <w:r>
        <w:rPr>
          <w:rFonts w:hint="eastAsia"/>
          <w:b/>
          <w:bCs/>
          <w:color w:val="auto"/>
          <w:sz w:val="30"/>
          <w:szCs w:val="30"/>
          <w:highlight w:val="none"/>
          <w:lang w:val="en-US" w:eastAsia="zh-CN"/>
        </w:rPr>
        <w:t>比</w:t>
      </w:r>
      <w:r>
        <w:rPr>
          <w:rFonts w:hint="eastAsia"/>
          <w:b/>
          <w:bCs/>
          <w:color w:val="auto"/>
          <w:sz w:val="30"/>
          <w:szCs w:val="30"/>
          <w:highlight w:val="none"/>
        </w:rPr>
        <w:t xml:space="preserve">  </w:t>
      </w:r>
      <w:r>
        <w:rPr>
          <w:rFonts w:hint="eastAsia"/>
          <w:b/>
          <w:bCs/>
          <w:color w:val="auto"/>
          <w:sz w:val="30"/>
          <w:szCs w:val="30"/>
          <w:highlight w:val="none"/>
          <w:lang w:val="en-US" w:eastAsia="zh-CN"/>
        </w:rPr>
        <w:t>选</w:t>
      </w:r>
      <w:r>
        <w:rPr>
          <w:rFonts w:hint="eastAsia"/>
          <w:b/>
          <w:bCs/>
          <w:color w:val="auto"/>
          <w:sz w:val="30"/>
          <w:szCs w:val="30"/>
          <w:highlight w:val="none"/>
        </w:rPr>
        <w:t xml:space="preserve">  </w:t>
      </w:r>
      <w:r>
        <w:rPr>
          <w:b/>
          <w:bCs/>
          <w:color w:val="auto"/>
          <w:sz w:val="30"/>
          <w:szCs w:val="30"/>
          <w:highlight w:val="none"/>
        </w:rPr>
        <w:t>人：</w:t>
      </w:r>
      <w:r>
        <w:rPr>
          <w:rFonts w:hint="eastAsia"/>
          <w:b/>
          <w:bCs/>
          <w:color w:val="auto"/>
          <w:sz w:val="30"/>
          <w:szCs w:val="30"/>
          <w:highlight w:val="none"/>
          <w:u w:val="single"/>
          <w:lang w:eastAsia="zh-CN"/>
        </w:rPr>
        <w:t>重庆高速资产经营管理有限公司</w:t>
      </w:r>
      <w:r>
        <w:rPr>
          <w:rFonts w:hint="eastAsia"/>
          <w:b/>
          <w:bCs/>
          <w:color w:val="auto"/>
          <w:sz w:val="30"/>
          <w:szCs w:val="30"/>
          <w:highlight w:val="none"/>
        </w:rPr>
        <w:t>（盖单位法人章）</w:t>
      </w:r>
      <w:bookmarkEnd w:id="2"/>
    </w:p>
    <w:p w14:paraId="24E3DF1E">
      <w:pPr>
        <w:spacing w:line="360" w:lineRule="auto"/>
        <w:rPr>
          <w:color w:val="auto"/>
          <w:sz w:val="30"/>
          <w:szCs w:val="30"/>
          <w:highlight w:val="none"/>
          <w:u w:val="single"/>
        </w:rPr>
      </w:pPr>
      <w:r>
        <w:rPr>
          <w:rFonts w:hint="eastAsia"/>
          <w:b/>
          <w:bCs/>
          <w:color w:val="auto"/>
          <w:sz w:val="30"/>
          <w:szCs w:val="30"/>
          <w:highlight w:val="none"/>
          <w:lang w:eastAsia="zh-CN"/>
        </w:rPr>
        <w:t>比选代理机构</w:t>
      </w:r>
      <w:r>
        <w:rPr>
          <w:b/>
          <w:bCs/>
          <w:color w:val="auto"/>
          <w:sz w:val="30"/>
          <w:szCs w:val="30"/>
          <w:highlight w:val="none"/>
        </w:rPr>
        <w:t>：</w:t>
      </w:r>
      <w:r>
        <w:rPr>
          <w:rFonts w:hint="eastAsia"/>
          <w:b/>
          <w:bCs/>
          <w:color w:val="auto"/>
          <w:kern w:val="0"/>
          <w:sz w:val="30"/>
          <w:szCs w:val="30"/>
          <w:highlight w:val="none"/>
          <w:u w:val="single"/>
        </w:rPr>
        <w:t>重庆国际投资咨询集团有限公司</w:t>
      </w:r>
      <w:r>
        <w:rPr>
          <w:rFonts w:hint="eastAsia"/>
          <w:b/>
          <w:bCs/>
          <w:color w:val="auto"/>
          <w:sz w:val="30"/>
          <w:szCs w:val="30"/>
          <w:highlight w:val="none"/>
        </w:rPr>
        <w:t>（盖单位法人章）</w:t>
      </w:r>
    </w:p>
    <w:p w14:paraId="0EAE86FF">
      <w:pPr>
        <w:autoSpaceDE w:val="0"/>
        <w:autoSpaceDN w:val="0"/>
        <w:adjustRightInd w:val="0"/>
        <w:snapToGrid w:val="0"/>
        <w:spacing w:line="360" w:lineRule="auto"/>
        <w:rPr>
          <w:rFonts w:ascii="宋体" w:hAnsi="宋体"/>
          <w:bCs/>
          <w:color w:val="auto"/>
          <w:kern w:val="0"/>
          <w:sz w:val="20"/>
          <w:szCs w:val="20"/>
          <w:highlight w:val="none"/>
        </w:rPr>
      </w:pPr>
    </w:p>
    <w:p w14:paraId="6322EB8E">
      <w:pPr>
        <w:tabs>
          <w:tab w:val="left" w:pos="6252"/>
        </w:tabs>
        <w:autoSpaceDE w:val="0"/>
        <w:autoSpaceDN w:val="0"/>
        <w:adjustRightInd w:val="0"/>
        <w:snapToGrid w:val="0"/>
        <w:spacing w:line="360" w:lineRule="auto"/>
        <w:jc w:val="center"/>
        <w:rPr>
          <w:rFonts w:ascii="宋体" w:hAnsi="宋体"/>
          <w:bCs/>
          <w:color w:val="auto"/>
          <w:spacing w:val="8"/>
          <w:kern w:val="0"/>
          <w:sz w:val="28"/>
          <w:szCs w:val="28"/>
          <w:highlight w:val="none"/>
        </w:rPr>
      </w:pPr>
      <w:bookmarkStart w:id="3" w:name="_Toc536796736"/>
      <w:bookmarkStart w:id="4" w:name="_Toc13210649"/>
      <w:bookmarkStart w:id="5" w:name="_Toc536621766"/>
      <w:bookmarkStart w:id="6" w:name="_Toc509218549"/>
      <w:bookmarkStart w:id="7" w:name="_Toc536797277"/>
      <w:r>
        <w:rPr>
          <w:rFonts w:hint="eastAsia" w:ascii="宋体" w:hAnsi="宋体"/>
          <w:bCs/>
          <w:color w:val="auto"/>
          <w:spacing w:val="8"/>
          <w:kern w:val="0"/>
          <w:sz w:val="28"/>
          <w:szCs w:val="28"/>
          <w:highlight w:val="none"/>
          <w:u w:val="single"/>
        </w:rPr>
        <w:t>2024</w:t>
      </w:r>
      <w:r>
        <w:rPr>
          <w:rFonts w:ascii="宋体" w:hAnsi="宋体"/>
          <w:bCs/>
          <w:color w:val="auto"/>
          <w:spacing w:val="8"/>
          <w:kern w:val="0"/>
          <w:sz w:val="28"/>
          <w:szCs w:val="28"/>
          <w:highlight w:val="none"/>
        </w:rPr>
        <w:t>年</w:t>
      </w:r>
      <w:r>
        <w:rPr>
          <w:rFonts w:hint="eastAsia" w:ascii="宋体" w:hAnsi="宋体"/>
          <w:bCs/>
          <w:color w:val="auto"/>
          <w:spacing w:val="8"/>
          <w:kern w:val="0"/>
          <w:sz w:val="28"/>
          <w:szCs w:val="28"/>
          <w:highlight w:val="none"/>
          <w:u w:val="single"/>
          <w:lang w:val="en-US" w:eastAsia="zh-CN"/>
        </w:rPr>
        <w:t>10</w:t>
      </w:r>
      <w:r>
        <w:rPr>
          <w:rFonts w:ascii="宋体" w:hAnsi="宋体"/>
          <w:bCs/>
          <w:color w:val="auto"/>
          <w:spacing w:val="8"/>
          <w:kern w:val="0"/>
          <w:sz w:val="28"/>
          <w:szCs w:val="28"/>
          <w:highlight w:val="none"/>
        </w:rPr>
        <w:t>月</w:t>
      </w:r>
      <w:bookmarkEnd w:id="3"/>
      <w:bookmarkEnd w:id="4"/>
      <w:bookmarkEnd w:id="5"/>
      <w:bookmarkEnd w:id="6"/>
      <w:bookmarkEnd w:id="7"/>
    </w:p>
    <w:p w14:paraId="5B1D5760">
      <w:pPr>
        <w:pStyle w:val="2"/>
        <w:spacing w:line="360" w:lineRule="auto"/>
        <w:outlineLvl w:val="9"/>
        <w:rPr>
          <w:rFonts w:ascii="宋体" w:hAnsi="宋体"/>
          <w:color w:val="auto"/>
          <w:w w:val="99"/>
          <w:kern w:val="0"/>
          <w:sz w:val="24"/>
          <w:highlight w:val="none"/>
        </w:rPr>
        <w:sectPr>
          <w:footerReference r:id="rId4" w:type="first"/>
          <w:headerReference r:id="rId3" w:type="default"/>
          <w:pgSz w:w="11907" w:h="16840"/>
          <w:pgMar w:top="1304" w:right="1134" w:bottom="1304" w:left="1304" w:header="851" w:footer="992" w:gutter="0"/>
          <w:pgNumType w:fmt="numberInDash" w:start="1"/>
          <w:cols w:space="720" w:num="1"/>
          <w:docGrid w:linePitch="312" w:charSpace="0"/>
        </w:sectPr>
      </w:pPr>
    </w:p>
    <w:bookmarkEnd w:id="1"/>
    <w:sdt>
      <w:sdtPr>
        <w:rPr>
          <w:rFonts w:ascii="宋体" w:hAnsi="宋体" w:eastAsia="宋体" w:cs="Times New Roman"/>
          <w:color w:val="auto"/>
          <w:kern w:val="2"/>
          <w:sz w:val="21"/>
          <w:szCs w:val="24"/>
          <w:highlight w:val="none"/>
          <w:lang w:val="en-US" w:eastAsia="zh-CN" w:bidi="ar-SA"/>
        </w:rPr>
        <w:id w:val="147479849"/>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3A4352ED">
          <w:pPr>
            <w:spacing w:before="0" w:beforeLines="0" w:after="0" w:afterLines="0" w:line="480" w:lineRule="auto"/>
            <w:ind w:left="0" w:leftChars="0" w:right="0" w:rightChars="0" w:firstLine="0" w:firstLineChars="0"/>
            <w:jc w:val="center"/>
            <w:rPr>
              <w:color w:val="auto"/>
              <w:sz w:val="32"/>
              <w:szCs w:val="40"/>
              <w:highlight w:val="none"/>
            </w:rPr>
          </w:pPr>
          <w:r>
            <w:rPr>
              <w:rFonts w:ascii="宋体" w:hAnsi="宋体" w:eastAsia="宋体"/>
              <w:color w:val="auto"/>
              <w:sz w:val="32"/>
              <w:szCs w:val="40"/>
              <w:highlight w:val="none"/>
            </w:rPr>
            <w:t>目录</w:t>
          </w:r>
        </w:p>
        <w:p w14:paraId="7D803133">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TOC \o "1-1" \h \u </w:instrText>
          </w:r>
          <w:r>
            <w:rPr>
              <w:rFonts w:ascii="宋体" w:hAnsi="宋体"/>
              <w:color w:val="auto"/>
              <w:sz w:val="28"/>
              <w:szCs w:val="28"/>
              <w:highlight w:val="none"/>
            </w:rPr>
            <w:fldChar w:fldCharType="separate"/>
          </w:r>
        </w:p>
        <w:p w14:paraId="16171C8D">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_Toc26562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第一章  </w:t>
          </w:r>
          <w:r>
            <w:rPr>
              <w:rFonts w:hint="eastAsia" w:ascii="宋体" w:hAnsi="宋体"/>
              <w:snapToGrid w:val="0"/>
              <w:color w:val="auto"/>
              <w:kern w:val="0"/>
              <w:sz w:val="28"/>
              <w:szCs w:val="28"/>
              <w:highlight w:val="none"/>
              <w:lang w:val="en-US" w:eastAsia="zh-CN"/>
            </w:rPr>
            <w:t>比选</w:t>
          </w:r>
          <w:r>
            <w:rPr>
              <w:rFonts w:ascii="宋体" w:hAnsi="宋体"/>
              <w:snapToGrid w:val="0"/>
              <w:color w:val="auto"/>
              <w:kern w:val="0"/>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_Toc26562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ascii="宋体" w:hAnsi="宋体"/>
              <w:color w:val="auto"/>
              <w:sz w:val="28"/>
              <w:szCs w:val="28"/>
              <w:highlight w:val="none"/>
            </w:rPr>
            <w:fldChar w:fldCharType="end"/>
          </w:r>
        </w:p>
        <w:p w14:paraId="4DED5E7C">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_Toc1733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第二章  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_Toc1733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ascii="宋体" w:hAnsi="宋体"/>
              <w:color w:val="auto"/>
              <w:sz w:val="28"/>
              <w:szCs w:val="28"/>
              <w:highlight w:val="none"/>
            </w:rPr>
            <w:fldChar w:fldCharType="end"/>
          </w:r>
        </w:p>
        <w:p w14:paraId="72B7B75A">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_Toc26140 </w:instrText>
          </w:r>
          <w:r>
            <w:rPr>
              <w:rFonts w:ascii="宋体" w:hAnsi="宋体"/>
              <w:color w:val="auto"/>
              <w:sz w:val="28"/>
              <w:szCs w:val="28"/>
              <w:highlight w:val="none"/>
            </w:rPr>
            <w:fldChar w:fldCharType="separate"/>
          </w:r>
          <w:r>
            <w:rPr>
              <w:rFonts w:ascii="宋体" w:hAnsi="宋体"/>
              <w:snapToGrid w:val="0"/>
              <w:color w:val="auto"/>
              <w:kern w:val="0"/>
              <w:sz w:val="28"/>
              <w:szCs w:val="28"/>
              <w:highlight w:val="none"/>
            </w:rPr>
            <w:t xml:space="preserve">第三章 </w:t>
          </w:r>
          <w:r>
            <w:rPr>
              <w:rFonts w:hint="eastAsia" w:ascii="宋体" w:hAnsi="宋体"/>
              <w:snapToGrid w:val="0"/>
              <w:color w:val="auto"/>
              <w:kern w:val="0"/>
              <w:sz w:val="28"/>
              <w:szCs w:val="28"/>
              <w:highlight w:val="none"/>
            </w:rPr>
            <w:t xml:space="preserve"> </w:t>
          </w:r>
          <w:r>
            <w:rPr>
              <w:rFonts w:ascii="宋体" w:hAnsi="宋体"/>
              <w:snapToGrid w:val="0"/>
              <w:color w:val="auto"/>
              <w:kern w:val="0"/>
              <w:sz w:val="28"/>
              <w:szCs w:val="28"/>
              <w:highlight w:val="none"/>
            </w:rPr>
            <w:t>评标办法（</w:t>
          </w:r>
          <w:r>
            <w:rPr>
              <w:rFonts w:hint="eastAsia" w:ascii="宋体" w:hAnsi="宋体"/>
              <w:snapToGrid w:val="0"/>
              <w:color w:val="auto"/>
              <w:kern w:val="0"/>
              <w:sz w:val="28"/>
              <w:szCs w:val="28"/>
              <w:highlight w:val="none"/>
            </w:rPr>
            <w:t>经评审的最低投标价法</w:t>
          </w:r>
          <w:r>
            <w:rPr>
              <w:rFonts w:ascii="宋体" w:hAnsi="宋体"/>
              <w:snapToGrid w:val="0"/>
              <w:color w:val="auto"/>
              <w:kern w:val="0"/>
              <w:sz w:val="28"/>
              <w:szCs w:val="28"/>
              <w:highlight w:val="none"/>
            </w:rPr>
            <w:t>）</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_Toc26140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rFonts w:ascii="宋体" w:hAnsi="宋体"/>
              <w:color w:val="auto"/>
              <w:sz w:val="28"/>
              <w:szCs w:val="28"/>
              <w:highlight w:val="none"/>
            </w:rPr>
            <w:fldChar w:fldCharType="end"/>
          </w:r>
        </w:p>
        <w:p w14:paraId="6F467C4B">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_Toc20627 </w:instrText>
          </w:r>
          <w:r>
            <w:rPr>
              <w:rFonts w:ascii="宋体" w:hAnsi="宋体"/>
              <w:color w:val="auto"/>
              <w:sz w:val="28"/>
              <w:szCs w:val="28"/>
              <w:highlight w:val="none"/>
            </w:rPr>
            <w:fldChar w:fldCharType="separate"/>
          </w:r>
          <w:r>
            <w:rPr>
              <w:rFonts w:hint="eastAsia" w:ascii="宋体" w:hAnsi="宋体"/>
              <w:color w:val="auto"/>
              <w:kern w:val="0"/>
              <w:sz w:val="28"/>
              <w:szCs w:val="28"/>
              <w:highlight w:val="none"/>
            </w:rPr>
            <w:t>第四章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_Toc20627 \h </w:instrText>
          </w:r>
          <w:r>
            <w:rPr>
              <w:color w:val="auto"/>
              <w:sz w:val="28"/>
              <w:szCs w:val="28"/>
              <w:highlight w:val="none"/>
            </w:rPr>
            <w:fldChar w:fldCharType="separate"/>
          </w:r>
          <w:r>
            <w:rPr>
              <w:color w:val="auto"/>
              <w:sz w:val="28"/>
              <w:szCs w:val="28"/>
              <w:highlight w:val="none"/>
            </w:rPr>
            <w:t>38</w:t>
          </w:r>
          <w:r>
            <w:rPr>
              <w:color w:val="auto"/>
              <w:sz w:val="28"/>
              <w:szCs w:val="28"/>
              <w:highlight w:val="none"/>
            </w:rPr>
            <w:fldChar w:fldCharType="end"/>
          </w:r>
          <w:r>
            <w:rPr>
              <w:rFonts w:ascii="宋体" w:hAnsi="宋体"/>
              <w:color w:val="auto"/>
              <w:sz w:val="28"/>
              <w:szCs w:val="28"/>
              <w:highlight w:val="none"/>
            </w:rPr>
            <w:fldChar w:fldCharType="end"/>
          </w:r>
        </w:p>
        <w:p w14:paraId="0BD47FDA">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_Toc14759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第五章  发包人要求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_Toc14759 \h </w:instrText>
          </w:r>
          <w:r>
            <w:rPr>
              <w:color w:val="auto"/>
              <w:sz w:val="28"/>
              <w:szCs w:val="28"/>
              <w:highlight w:val="none"/>
            </w:rPr>
            <w:fldChar w:fldCharType="separate"/>
          </w:r>
          <w:r>
            <w:rPr>
              <w:color w:val="auto"/>
              <w:sz w:val="28"/>
              <w:szCs w:val="28"/>
              <w:highlight w:val="none"/>
            </w:rPr>
            <w:t>53</w:t>
          </w:r>
          <w:r>
            <w:rPr>
              <w:color w:val="auto"/>
              <w:sz w:val="28"/>
              <w:szCs w:val="28"/>
              <w:highlight w:val="none"/>
            </w:rPr>
            <w:fldChar w:fldCharType="end"/>
          </w:r>
          <w:r>
            <w:rPr>
              <w:rFonts w:ascii="宋体" w:hAnsi="宋体"/>
              <w:color w:val="auto"/>
              <w:sz w:val="28"/>
              <w:szCs w:val="28"/>
              <w:highlight w:val="none"/>
            </w:rPr>
            <w:fldChar w:fldCharType="end"/>
          </w:r>
        </w:p>
        <w:p w14:paraId="5D02A5F8">
          <w:pPr>
            <w:pStyle w:val="352"/>
            <w:tabs>
              <w:tab w:val="right" w:leader="dot" w:pos="9469"/>
            </w:tabs>
            <w:spacing w:line="480" w:lineRule="auto"/>
            <w:rPr>
              <w:color w:val="auto"/>
              <w:sz w:val="28"/>
              <w:szCs w:val="28"/>
              <w:highlight w:val="none"/>
            </w:rPr>
          </w:pPr>
          <w:r>
            <w:rPr>
              <w:rFonts w:ascii="宋体" w:hAnsi="宋体"/>
              <w:color w:val="auto"/>
              <w:sz w:val="28"/>
              <w:szCs w:val="28"/>
              <w:highlight w:val="none"/>
            </w:rPr>
            <w:fldChar w:fldCharType="begin"/>
          </w:r>
          <w:r>
            <w:rPr>
              <w:rFonts w:ascii="宋体" w:hAnsi="宋体"/>
              <w:color w:val="auto"/>
              <w:sz w:val="28"/>
              <w:szCs w:val="28"/>
              <w:highlight w:val="none"/>
            </w:rPr>
            <w:instrText xml:space="preserve"> HYPERLINK \l _Toc30596 </w:instrText>
          </w:r>
          <w:r>
            <w:rPr>
              <w:rFonts w:ascii="宋体" w:hAnsi="宋体"/>
              <w:color w:val="auto"/>
              <w:sz w:val="28"/>
              <w:szCs w:val="28"/>
              <w:highlight w:val="none"/>
            </w:rPr>
            <w:fldChar w:fldCharType="separate"/>
          </w:r>
          <w:r>
            <w:rPr>
              <w:rFonts w:hint="eastAsia" w:ascii="宋体" w:hAnsi="宋体"/>
              <w:color w:val="auto"/>
              <w:sz w:val="28"/>
              <w:szCs w:val="28"/>
              <w:highlight w:val="none"/>
            </w:rPr>
            <w:t>第六章  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_Toc30596 \h </w:instrText>
          </w:r>
          <w:r>
            <w:rPr>
              <w:color w:val="auto"/>
              <w:sz w:val="28"/>
              <w:szCs w:val="28"/>
              <w:highlight w:val="none"/>
            </w:rPr>
            <w:fldChar w:fldCharType="separate"/>
          </w:r>
          <w:r>
            <w:rPr>
              <w:color w:val="auto"/>
              <w:sz w:val="28"/>
              <w:szCs w:val="28"/>
              <w:highlight w:val="none"/>
            </w:rPr>
            <w:t>57</w:t>
          </w:r>
          <w:r>
            <w:rPr>
              <w:color w:val="auto"/>
              <w:sz w:val="28"/>
              <w:szCs w:val="28"/>
              <w:highlight w:val="none"/>
            </w:rPr>
            <w:fldChar w:fldCharType="end"/>
          </w:r>
          <w:r>
            <w:rPr>
              <w:rFonts w:ascii="宋体" w:hAnsi="宋体"/>
              <w:color w:val="auto"/>
              <w:sz w:val="28"/>
              <w:szCs w:val="28"/>
              <w:highlight w:val="none"/>
            </w:rPr>
            <w:fldChar w:fldCharType="end"/>
          </w:r>
        </w:p>
        <w:p w14:paraId="1DDDAEE2">
          <w:pPr>
            <w:spacing w:line="480" w:lineRule="auto"/>
            <w:rPr>
              <w:rFonts w:ascii="宋体" w:hAnsi="宋体"/>
              <w:color w:val="auto"/>
              <w:highlight w:val="none"/>
            </w:rPr>
          </w:pPr>
          <w:r>
            <w:rPr>
              <w:rFonts w:ascii="宋体" w:hAnsi="宋体"/>
              <w:color w:val="auto"/>
              <w:sz w:val="32"/>
              <w:szCs w:val="40"/>
              <w:highlight w:val="none"/>
            </w:rPr>
            <w:fldChar w:fldCharType="end"/>
          </w:r>
        </w:p>
      </w:sdtContent>
    </w:sdt>
    <w:bookmarkEnd w:id="0"/>
    <w:p w14:paraId="57C18A4A">
      <w:pPr>
        <w:spacing w:line="20" w:lineRule="exact"/>
        <w:rPr>
          <w:rFonts w:ascii="宋体" w:hAnsi="宋体"/>
          <w:color w:val="auto"/>
          <w:highlight w:val="none"/>
        </w:rPr>
      </w:pPr>
      <w:bookmarkStart w:id="8" w:name="_Toc430530414"/>
    </w:p>
    <w:p w14:paraId="459B10A3">
      <w:pPr>
        <w:spacing w:line="20" w:lineRule="exact"/>
        <w:jc w:val="left"/>
        <w:rPr>
          <w:rFonts w:ascii="宋体" w:hAnsi="宋体"/>
          <w:color w:val="auto"/>
          <w:highlight w:val="none"/>
        </w:rPr>
        <w:sectPr>
          <w:headerReference r:id="rId5" w:type="default"/>
          <w:footerReference r:id="rId6" w:type="default"/>
          <w:pgSz w:w="11907" w:h="16840"/>
          <w:pgMar w:top="1304" w:right="1134" w:bottom="1304" w:left="1304" w:header="851" w:footer="992" w:gutter="0"/>
          <w:pgNumType w:fmt="numberInDash" w:start="1"/>
          <w:cols w:space="720" w:num="1"/>
          <w:docGrid w:linePitch="312" w:charSpace="0"/>
        </w:sectPr>
      </w:pPr>
    </w:p>
    <w:bookmarkEnd w:id="8"/>
    <w:p w14:paraId="4E8827E6">
      <w:pPr>
        <w:spacing w:line="360" w:lineRule="auto"/>
        <w:rPr>
          <w:rFonts w:ascii="宋体" w:hAnsi="宋体"/>
          <w:color w:val="auto"/>
          <w:highlight w:val="none"/>
        </w:rPr>
      </w:pPr>
    </w:p>
    <w:p w14:paraId="340C2630">
      <w:pPr>
        <w:pStyle w:val="2"/>
        <w:spacing w:before="0" w:after="0" w:line="480" w:lineRule="auto"/>
        <w:jc w:val="center"/>
        <w:rPr>
          <w:rFonts w:ascii="宋体" w:hAnsi="宋体"/>
          <w:color w:val="auto"/>
          <w:sz w:val="52"/>
          <w:szCs w:val="52"/>
          <w:highlight w:val="none"/>
        </w:rPr>
      </w:pPr>
      <w:bookmarkStart w:id="9" w:name="_Toc9815"/>
      <w:bookmarkStart w:id="10" w:name="_Toc509218690"/>
      <w:bookmarkStart w:id="11" w:name="_Toc32060"/>
      <w:r>
        <w:rPr>
          <w:rFonts w:hint="eastAsia" w:ascii="宋体" w:hAnsi="宋体"/>
          <w:color w:val="auto"/>
          <w:sz w:val="52"/>
          <w:szCs w:val="52"/>
          <w:highlight w:val="none"/>
        </w:rPr>
        <w:t>第 一 卷</w:t>
      </w:r>
      <w:bookmarkEnd w:id="9"/>
      <w:bookmarkEnd w:id="10"/>
      <w:bookmarkEnd w:id="11"/>
    </w:p>
    <w:p w14:paraId="2FBFA2D9">
      <w:pPr>
        <w:spacing w:line="200" w:lineRule="exact"/>
        <w:rPr>
          <w:rFonts w:ascii="宋体" w:hAnsi="宋体"/>
          <w:color w:val="auto"/>
          <w:highlight w:val="none"/>
        </w:rPr>
      </w:pPr>
      <w:r>
        <w:rPr>
          <w:rFonts w:ascii="宋体" w:hAnsi="宋体"/>
          <w:color w:val="auto"/>
          <w:highlight w:val="none"/>
        </w:rPr>
        <w:br w:type="page"/>
      </w:r>
    </w:p>
    <w:p w14:paraId="472A75E0">
      <w:pPr>
        <w:pStyle w:val="2"/>
        <w:spacing w:line="360" w:lineRule="auto"/>
        <w:jc w:val="center"/>
        <w:rPr>
          <w:rFonts w:ascii="宋体" w:hAnsi="宋体"/>
          <w:snapToGrid w:val="0"/>
          <w:color w:val="auto"/>
          <w:kern w:val="0"/>
          <w:highlight w:val="none"/>
        </w:rPr>
      </w:pPr>
      <w:bookmarkStart w:id="12" w:name="_Toc224103298"/>
      <w:bookmarkStart w:id="13" w:name="_Toc287620666"/>
      <w:bookmarkStart w:id="14" w:name="_Toc277082535"/>
      <w:bookmarkStart w:id="15" w:name="_Toc25965"/>
      <w:bookmarkStart w:id="16" w:name="_Toc430530415"/>
      <w:bookmarkStart w:id="17" w:name="_Toc287607727"/>
      <w:bookmarkStart w:id="18" w:name="_Toc26562"/>
      <w:bookmarkStart w:id="19" w:name="_Toc509218691"/>
      <w:r>
        <w:rPr>
          <w:rFonts w:ascii="宋体" w:hAnsi="宋体"/>
          <w:snapToGrid w:val="0"/>
          <w:color w:val="auto"/>
          <w:kern w:val="0"/>
          <w:highlight w:val="none"/>
        </w:rPr>
        <w:t xml:space="preserve">第一章  </w:t>
      </w:r>
      <w:r>
        <w:rPr>
          <w:rFonts w:hint="eastAsia" w:ascii="宋体" w:hAnsi="宋体"/>
          <w:snapToGrid w:val="0"/>
          <w:color w:val="auto"/>
          <w:kern w:val="0"/>
          <w:highlight w:val="none"/>
          <w:lang w:val="en-US" w:eastAsia="zh-CN"/>
        </w:rPr>
        <w:t>比选</w:t>
      </w:r>
      <w:r>
        <w:rPr>
          <w:rFonts w:ascii="宋体" w:hAnsi="宋体"/>
          <w:snapToGrid w:val="0"/>
          <w:color w:val="auto"/>
          <w:kern w:val="0"/>
          <w:highlight w:val="none"/>
        </w:rPr>
        <w:t>公告</w:t>
      </w:r>
      <w:bookmarkEnd w:id="12"/>
      <w:bookmarkEnd w:id="13"/>
      <w:bookmarkEnd w:id="14"/>
      <w:bookmarkEnd w:id="15"/>
      <w:bookmarkEnd w:id="16"/>
      <w:bookmarkEnd w:id="17"/>
      <w:bookmarkEnd w:id="18"/>
      <w:bookmarkEnd w:id="19"/>
    </w:p>
    <w:p w14:paraId="5FA62B5A">
      <w:pPr>
        <w:autoSpaceDE w:val="0"/>
        <w:autoSpaceDN w:val="0"/>
        <w:adjustRightInd w:val="0"/>
        <w:snapToGrid w:val="0"/>
        <w:spacing w:line="360" w:lineRule="auto"/>
        <w:jc w:val="center"/>
        <w:outlineLvl w:val="2"/>
        <w:rPr>
          <w:rFonts w:ascii="宋体" w:hAnsi="宋体"/>
          <w:b/>
          <w:bCs/>
          <w:snapToGrid w:val="0"/>
          <w:color w:val="auto"/>
          <w:kern w:val="0"/>
          <w:sz w:val="28"/>
          <w:szCs w:val="28"/>
          <w:highlight w:val="none"/>
        </w:rPr>
      </w:pPr>
      <w:bookmarkStart w:id="20" w:name="_Toc20918"/>
      <w:r>
        <w:rPr>
          <w:rFonts w:hint="eastAsia" w:ascii="宋体"/>
          <w:b/>
          <w:color w:val="auto"/>
          <w:kern w:val="10"/>
          <w:sz w:val="28"/>
          <w:szCs w:val="28"/>
          <w:highlight w:val="none"/>
          <w:lang w:eastAsia="zh-CN"/>
        </w:rPr>
        <w:t>重庆高速公路集团有限公司集采中心2024年度</w:t>
      </w:r>
      <w:bookmarkStart w:id="684" w:name="_GoBack"/>
      <w:r>
        <w:rPr>
          <w:rFonts w:hint="eastAsia" w:ascii="宋体"/>
          <w:b/>
          <w:color w:val="auto"/>
          <w:kern w:val="10"/>
          <w:sz w:val="28"/>
          <w:szCs w:val="28"/>
          <w:highlight w:val="none"/>
          <w:lang w:eastAsia="zh-CN"/>
        </w:rPr>
        <w:t>钢材集中采购</w:t>
      </w:r>
      <w:bookmarkEnd w:id="684"/>
      <w:r>
        <w:rPr>
          <w:rFonts w:hint="eastAsia" w:ascii="宋体"/>
          <w:b/>
          <w:color w:val="auto"/>
          <w:kern w:val="10"/>
          <w:sz w:val="28"/>
          <w:szCs w:val="28"/>
          <w:highlight w:val="none"/>
          <w:lang w:eastAsia="zh-CN"/>
        </w:rPr>
        <w:t>（钢筋网片）（第二次）</w:t>
      </w:r>
      <w:r>
        <w:rPr>
          <w:rFonts w:hint="eastAsia" w:ascii="宋体" w:hAnsi="宋体"/>
          <w:b/>
          <w:bCs/>
          <w:snapToGrid w:val="0"/>
          <w:color w:val="auto"/>
          <w:w w:val="99"/>
          <w:kern w:val="0"/>
          <w:sz w:val="28"/>
          <w:szCs w:val="28"/>
          <w:highlight w:val="none"/>
          <w:lang w:val="en-US" w:eastAsia="zh-CN"/>
        </w:rPr>
        <w:t>比选</w:t>
      </w:r>
      <w:r>
        <w:rPr>
          <w:rFonts w:ascii="宋体" w:hAnsi="宋体"/>
          <w:b/>
          <w:bCs/>
          <w:snapToGrid w:val="0"/>
          <w:color w:val="auto"/>
          <w:w w:val="99"/>
          <w:kern w:val="0"/>
          <w:sz w:val="28"/>
          <w:szCs w:val="28"/>
          <w:highlight w:val="none"/>
        </w:rPr>
        <w:t>公告</w:t>
      </w:r>
      <w:bookmarkEnd w:id="20"/>
    </w:p>
    <w:p w14:paraId="36AEC749">
      <w:pPr>
        <w:pStyle w:val="3"/>
        <w:spacing w:before="100" w:after="100" w:line="460" w:lineRule="exact"/>
        <w:rPr>
          <w:rFonts w:ascii="宋体" w:hAnsi="宋体"/>
          <w:snapToGrid w:val="0"/>
          <w:color w:val="auto"/>
          <w:sz w:val="28"/>
          <w:szCs w:val="28"/>
          <w:highlight w:val="none"/>
        </w:rPr>
      </w:pPr>
      <w:bookmarkStart w:id="21" w:name="_Toc509218692"/>
      <w:bookmarkStart w:id="22" w:name="_Toc430530416"/>
      <w:bookmarkStart w:id="23" w:name="_Toc200359427"/>
      <w:bookmarkStart w:id="24" w:name="_Toc287620667"/>
      <w:bookmarkStart w:id="25" w:name="_Toc287607728"/>
      <w:bookmarkStart w:id="26" w:name="_Toc2350"/>
      <w:bookmarkStart w:id="27" w:name="_Toc277082536"/>
      <w:bookmarkStart w:id="28" w:name="_Toc224103299"/>
      <w:bookmarkStart w:id="29" w:name="_Toc200359238"/>
      <w:r>
        <w:rPr>
          <w:rFonts w:ascii="宋体" w:hAnsi="宋体"/>
          <w:snapToGrid w:val="0"/>
          <w:color w:val="auto"/>
          <w:sz w:val="28"/>
          <w:szCs w:val="28"/>
          <w:highlight w:val="none"/>
        </w:rPr>
        <w:t xml:space="preserve">1.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招标条件</w:t>
      </w:r>
      <w:bookmarkEnd w:id="21"/>
      <w:bookmarkEnd w:id="22"/>
      <w:bookmarkEnd w:id="23"/>
      <w:bookmarkEnd w:id="24"/>
      <w:bookmarkEnd w:id="25"/>
      <w:bookmarkEnd w:id="26"/>
      <w:bookmarkEnd w:id="27"/>
      <w:bookmarkEnd w:id="28"/>
      <w:bookmarkEnd w:id="29"/>
    </w:p>
    <w:p w14:paraId="03EB760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auto"/>
          <w:kern w:val="0"/>
          <w:szCs w:val="21"/>
          <w:highlight w:val="none"/>
        </w:rPr>
      </w:pPr>
      <w:r>
        <w:rPr>
          <w:rFonts w:ascii="宋体" w:hAnsi="宋体"/>
          <w:snapToGrid w:val="0"/>
          <w:color w:val="auto"/>
          <w:kern w:val="0"/>
          <w:szCs w:val="21"/>
          <w:highlight w:val="none"/>
        </w:rPr>
        <w:t>本招标项目</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eastAsia="zh-CN"/>
        </w:rPr>
        <w:t>重庆高速公路集团有限公司集采中心2024年度钢材集中采购（</w:t>
      </w:r>
      <w:r>
        <w:rPr>
          <w:rFonts w:hint="eastAsia" w:ascii="宋体" w:hAnsi="宋体"/>
          <w:snapToGrid w:val="0"/>
          <w:color w:val="auto"/>
          <w:kern w:val="0"/>
          <w:szCs w:val="21"/>
          <w:highlight w:val="none"/>
          <w:u w:val="single"/>
          <w:lang w:val="en-US" w:eastAsia="zh-CN"/>
        </w:rPr>
        <w:t>钢筋网片</w:t>
      </w:r>
      <w:r>
        <w:rPr>
          <w:rFonts w:hint="eastAsia" w:ascii="宋体" w:hAnsi="宋体"/>
          <w:snapToGrid w:val="0"/>
          <w:color w:val="auto"/>
          <w:kern w:val="0"/>
          <w:szCs w:val="21"/>
          <w:highlight w:val="none"/>
          <w:u w:val="single"/>
          <w:lang w:eastAsia="zh-CN"/>
        </w:rPr>
        <w:t>）</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业主自筹</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为</w:t>
      </w:r>
      <w:r>
        <w:rPr>
          <w:rFonts w:hint="eastAsia" w:ascii="宋体" w:hAnsi="宋体"/>
          <w:snapToGrid w:val="0"/>
          <w:color w:val="auto"/>
          <w:kern w:val="0"/>
          <w:szCs w:val="21"/>
          <w:highlight w:val="none"/>
          <w:u w:val="single"/>
          <w:lang w:eastAsia="zh-CN"/>
        </w:rPr>
        <w:t>重庆高速资产经营管理有限公司</w:t>
      </w:r>
      <w:r>
        <w:rPr>
          <w:rFonts w:ascii="宋体" w:hAnsi="宋体"/>
          <w:snapToGrid w:val="0"/>
          <w:color w:val="auto"/>
          <w:kern w:val="0"/>
          <w:position w:val="-2"/>
          <w:szCs w:val="21"/>
          <w:highlight w:val="none"/>
        </w:rPr>
        <w:t>。项目已具备招标条件，现对</w:t>
      </w:r>
      <w:r>
        <w:rPr>
          <w:rFonts w:hint="eastAsia" w:ascii="宋体" w:hAnsi="宋体"/>
          <w:snapToGrid w:val="0"/>
          <w:color w:val="auto"/>
          <w:kern w:val="0"/>
          <w:position w:val="-2"/>
          <w:szCs w:val="21"/>
          <w:highlight w:val="none"/>
          <w:u w:val="none"/>
          <w:lang w:val="en-US" w:eastAsia="zh-CN"/>
        </w:rPr>
        <w:t>该项目</w:t>
      </w:r>
      <w:r>
        <w:rPr>
          <w:rFonts w:ascii="宋体" w:hAnsi="宋体"/>
          <w:snapToGrid w:val="0"/>
          <w:color w:val="auto"/>
          <w:kern w:val="0"/>
          <w:position w:val="-2"/>
          <w:szCs w:val="21"/>
          <w:highlight w:val="none"/>
        </w:rPr>
        <w:t>进行公开</w:t>
      </w:r>
      <w:r>
        <w:rPr>
          <w:rFonts w:hint="eastAsia" w:ascii="宋体" w:hAnsi="宋体"/>
          <w:snapToGrid w:val="0"/>
          <w:color w:val="auto"/>
          <w:kern w:val="0"/>
          <w:position w:val="-2"/>
          <w:szCs w:val="21"/>
          <w:highlight w:val="none"/>
          <w:lang w:val="en-US" w:eastAsia="zh-CN"/>
        </w:rPr>
        <w:t>比选</w:t>
      </w:r>
      <w:r>
        <w:rPr>
          <w:rFonts w:ascii="宋体" w:hAnsi="宋体"/>
          <w:snapToGrid w:val="0"/>
          <w:color w:val="auto"/>
          <w:kern w:val="0"/>
          <w:position w:val="-2"/>
          <w:szCs w:val="21"/>
          <w:highlight w:val="none"/>
        </w:rPr>
        <w:t>。</w:t>
      </w:r>
    </w:p>
    <w:p w14:paraId="2B8D0F9D">
      <w:pPr>
        <w:pStyle w:val="3"/>
        <w:spacing w:before="100" w:after="100" w:line="460" w:lineRule="exact"/>
        <w:rPr>
          <w:rFonts w:hint="eastAsia" w:ascii="宋体" w:hAnsi="宋体" w:eastAsia="宋体"/>
          <w:snapToGrid w:val="0"/>
          <w:color w:val="auto"/>
          <w:sz w:val="28"/>
          <w:szCs w:val="28"/>
          <w:highlight w:val="none"/>
          <w:lang w:eastAsia="zh-CN"/>
        </w:rPr>
      </w:pPr>
      <w:bookmarkStart w:id="30" w:name="_Toc200359428"/>
      <w:bookmarkStart w:id="31" w:name="_Toc277082537"/>
      <w:bookmarkStart w:id="32" w:name="_Toc224103300"/>
      <w:bookmarkStart w:id="33" w:name="_Toc17146"/>
      <w:bookmarkStart w:id="34" w:name="_Toc200359239"/>
      <w:bookmarkStart w:id="35" w:name="_Toc287607729"/>
      <w:bookmarkStart w:id="36" w:name="_Toc509218693"/>
      <w:bookmarkStart w:id="37" w:name="_Toc430530417"/>
      <w:bookmarkStart w:id="38" w:name="_Toc287620668"/>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w:t>
      </w:r>
      <w:bookmarkEnd w:id="30"/>
      <w:bookmarkEnd w:id="31"/>
      <w:bookmarkEnd w:id="32"/>
      <w:bookmarkEnd w:id="33"/>
      <w:bookmarkEnd w:id="34"/>
      <w:bookmarkEnd w:id="35"/>
      <w:bookmarkEnd w:id="36"/>
      <w:bookmarkEnd w:id="37"/>
      <w:bookmarkEnd w:id="38"/>
      <w:r>
        <w:rPr>
          <w:rFonts w:hint="eastAsia" w:ascii="宋体" w:hAnsi="宋体"/>
          <w:snapToGrid w:val="0"/>
          <w:color w:val="auto"/>
          <w:sz w:val="28"/>
          <w:szCs w:val="28"/>
          <w:highlight w:val="none"/>
          <w:lang w:eastAsia="zh-CN"/>
        </w:rPr>
        <w:t>比选范围</w:t>
      </w:r>
    </w:p>
    <w:p w14:paraId="5DDE18B3">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重庆市</w:t>
      </w:r>
      <w:r>
        <w:rPr>
          <w:rFonts w:hint="eastAsia" w:ascii="宋体" w:hAnsi="宋体"/>
          <w:snapToGrid w:val="0"/>
          <w:color w:val="auto"/>
          <w:kern w:val="0"/>
          <w:szCs w:val="21"/>
          <w:highlight w:val="none"/>
          <w:u w:val="single"/>
        </w:rPr>
        <w:t xml:space="preserve"> </w:t>
      </w:r>
    </w:p>
    <w:p w14:paraId="1A38A24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2.2 项目概况与建设规模：</w:t>
      </w:r>
      <w:r>
        <w:rPr>
          <w:rFonts w:hint="eastAsia" w:ascii="宋体" w:hAnsi="宋体"/>
          <w:snapToGrid w:val="0"/>
          <w:color w:val="auto"/>
          <w:kern w:val="0"/>
          <w:szCs w:val="21"/>
          <w:highlight w:val="none"/>
          <w:u w:val="single"/>
          <w:lang w:val="en-US" w:eastAsia="zh-CN"/>
        </w:rPr>
        <w:t>鹞子丘片区路网工程一期项目、G渝赤（水）叙（永）高速公路（重庆段）4标。</w:t>
      </w:r>
    </w:p>
    <w:p w14:paraId="0920467C">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宋体"/>
          <w:i w:val="0"/>
          <w:iCs w:val="0"/>
          <w:caps w:val="0"/>
          <w:color w:val="auto"/>
          <w:spacing w:val="0"/>
          <w:sz w:val="21"/>
          <w:szCs w:val="21"/>
          <w:highlight w:val="none"/>
          <w:u w:val="single"/>
          <w:shd w:val="clear" w:fill="FFFFFF"/>
          <w:lang w:eastAsia="zh-CN"/>
        </w:rPr>
      </w:pPr>
      <w:r>
        <w:rPr>
          <w:rFonts w:hint="eastAsia" w:ascii="宋体" w:hAnsi="宋体" w:eastAsia="宋体" w:cs="Times New Roman"/>
          <w:snapToGrid w:val="0"/>
          <w:color w:val="auto"/>
          <w:kern w:val="0"/>
          <w:szCs w:val="21"/>
          <w:highlight w:val="none"/>
        </w:rPr>
        <w:t xml:space="preserve">2.3 本次招标项目合同估算金额： </w:t>
      </w:r>
      <w:r>
        <w:rPr>
          <w:rFonts w:hint="eastAsia" w:ascii="宋体" w:hAnsi="宋体" w:eastAsia="宋体" w:cs="宋体"/>
          <w:i w:val="0"/>
          <w:iCs w:val="0"/>
          <w:caps w:val="0"/>
          <w:color w:val="auto"/>
          <w:spacing w:val="0"/>
          <w:sz w:val="21"/>
          <w:szCs w:val="21"/>
          <w:highlight w:val="none"/>
          <w:u w:val="single"/>
          <w:shd w:val="clear" w:fill="FFFFFF"/>
        </w:rPr>
        <w:t>约</w:t>
      </w:r>
      <w:r>
        <w:rPr>
          <w:rFonts w:hint="eastAsia" w:ascii="宋体" w:hAnsi="宋体" w:cs="宋体"/>
          <w:i w:val="0"/>
          <w:iCs w:val="0"/>
          <w:color w:val="auto"/>
          <w:kern w:val="0"/>
          <w:sz w:val="21"/>
          <w:szCs w:val="21"/>
          <w:highlight w:val="none"/>
          <w:u w:val="single"/>
          <w:lang w:val="en-US" w:eastAsia="zh-CN" w:bidi="ar"/>
        </w:rPr>
        <w:t>454.13</w:t>
      </w:r>
      <w:r>
        <w:rPr>
          <w:rFonts w:hint="eastAsia" w:ascii="宋体" w:hAnsi="宋体" w:cs="宋体"/>
          <w:i w:val="0"/>
          <w:iCs w:val="0"/>
          <w:color w:val="auto"/>
          <w:kern w:val="0"/>
          <w:sz w:val="20"/>
          <w:szCs w:val="20"/>
          <w:highlight w:val="none"/>
          <w:u w:val="single"/>
          <w:lang w:val="en-US" w:eastAsia="zh-CN" w:bidi="ar"/>
        </w:rPr>
        <w:t>万</w:t>
      </w:r>
      <w:r>
        <w:rPr>
          <w:rFonts w:hint="eastAsia" w:ascii="宋体" w:hAnsi="宋体" w:eastAsia="宋体" w:cs="宋体"/>
          <w:i w:val="0"/>
          <w:iCs w:val="0"/>
          <w:caps w:val="0"/>
          <w:color w:val="auto"/>
          <w:spacing w:val="0"/>
          <w:sz w:val="21"/>
          <w:szCs w:val="21"/>
          <w:highlight w:val="none"/>
          <w:u w:val="single"/>
          <w:shd w:val="clear" w:fill="FFFFFF"/>
        </w:rPr>
        <w:t xml:space="preserve">元 </w:t>
      </w:r>
      <w:r>
        <w:rPr>
          <w:rFonts w:hint="eastAsia" w:ascii="宋体" w:hAnsi="宋体" w:eastAsia="宋体" w:cs="宋体"/>
          <w:i w:val="0"/>
          <w:iCs w:val="0"/>
          <w:caps w:val="0"/>
          <w:color w:val="auto"/>
          <w:spacing w:val="0"/>
          <w:sz w:val="21"/>
          <w:szCs w:val="21"/>
          <w:highlight w:val="none"/>
          <w:u w:val="single"/>
          <w:shd w:val="clear" w:fill="FFFFFF"/>
          <w:lang w:eastAsia="zh-CN"/>
        </w:rPr>
        <w:t>。</w:t>
      </w:r>
    </w:p>
    <w:p w14:paraId="428CCB00">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cs="Times New Roman"/>
          <w:snapToGrid w:val="0"/>
          <w:color w:val="auto"/>
          <w:kern w:val="0"/>
          <w:szCs w:val="21"/>
          <w:highlight w:val="none"/>
        </w:rPr>
      </w:pPr>
      <w:r>
        <w:rPr>
          <w:rFonts w:hint="eastAsia" w:ascii="宋体" w:hAnsi="宋体" w:eastAsia="宋体" w:cs="Times New Roman"/>
          <w:snapToGrid w:val="0"/>
          <w:color w:val="auto"/>
          <w:kern w:val="0"/>
          <w:szCs w:val="21"/>
          <w:highlight w:val="none"/>
        </w:rPr>
        <w:t xml:space="preserve">2.4 </w:t>
      </w:r>
      <w:r>
        <w:rPr>
          <w:rFonts w:hint="eastAsia" w:ascii="宋体" w:hAnsi="宋体" w:cs="Times New Roman"/>
          <w:snapToGrid w:val="0"/>
          <w:color w:val="auto"/>
          <w:kern w:val="0"/>
          <w:szCs w:val="21"/>
          <w:highlight w:val="none"/>
          <w:lang w:eastAsia="zh-CN"/>
        </w:rPr>
        <w:t>比选范围</w:t>
      </w:r>
      <w:r>
        <w:rPr>
          <w:rFonts w:hint="eastAsia" w:ascii="宋体" w:hAnsi="宋体" w:eastAsia="宋体" w:cs="Times New Roman"/>
          <w:snapToGrid w:val="0"/>
          <w:color w:val="auto"/>
          <w:kern w:val="0"/>
          <w:szCs w:val="21"/>
          <w:highlight w:val="none"/>
        </w:rPr>
        <w:t>：</w:t>
      </w: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1"/>
        <w:gridCol w:w="1541"/>
        <w:gridCol w:w="1964"/>
        <w:gridCol w:w="1541"/>
        <w:gridCol w:w="1545"/>
        <w:gridCol w:w="1546"/>
      </w:tblGrid>
      <w:tr w14:paraId="289F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tcPr>
          <w:p w14:paraId="5D31073D">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796" w:type="pct"/>
          </w:tcPr>
          <w:p w14:paraId="1F7B973D">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物资名称</w:t>
            </w:r>
          </w:p>
        </w:tc>
        <w:tc>
          <w:tcPr>
            <w:tcW w:w="1014" w:type="pct"/>
          </w:tcPr>
          <w:p w14:paraId="5900D327">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796" w:type="pct"/>
          </w:tcPr>
          <w:p w14:paraId="694BAEAD">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预计数量（吨）</w:t>
            </w:r>
          </w:p>
        </w:tc>
        <w:tc>
          <w:tcPr>
            <w:tcW w:w="798" w:type="pct"/>
          </w:tcPr>
          <w:p w14:paraId="44DDF41D">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项目名称</w:t>
            </w:r>
          </w:p>
        </w:tc>
        <w:tc>
          <w:tcPr>
            <w:tcW w:w="798" w:type="pct"/>
          </w:tcPr>
          <w:p w14:paraId="3192AB7D">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收货地址</w:t>
            </w:r>
          </w:p>
        </w:tc>
      </w:tr>
      <w:tr w14:paraId="7866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tcPr>
          <w:p w14:paraId="220E1547">
            <w:pPr>
              <w:snapToGrid w:val="0"/>
              <w:spacing w:line="400" w:lineRule="exact"/>
              <w:jc w:val="left"/>
              <w:rPr>
                <w:rFonts w:hint="default"/>
                <w:color w:val="auto"/>
                <w:highlight w:val="none"/>
                <w:lang w:val="en-US" w:eastAsia="zh-CN"/>
              </w:rPr>
            </w:pPr>
            <w:r>
              <w:rPr>
                <w:rFonts w:hint="eastAsia" w:ascii="宋体" w:hAnsi="宋体" w:cs="宋体"/>
                <w:color w:val="auto"/>
                <w:sz w:val="21"/>
                <w:szCs w:val="21"/>
                <w:highlight w:val="none"/>
                <w:vertAlign w:val="baseline"/>
                <w:lang w:val="en-US" w:eastAsia="zh-CN"/>
              </w:rPr>
              <w:t>1</w:t>
            </w:r>
          </w:p>
        </w:tc>
        <w:tc>
          <w:tcPr>
            <w:tcW w:w="796" w:type="pct"/>
          </w:tcPr>
          <w:p w14:paraId="49FA7D70">
            <w:pPr>
              <w:snapToGrid w:val="0"/>
              <w:spacing w:line="400" w:lineRule="exact"/>
              <w:jc w:val="left"/>
              <w:rPr>
                <w:rFonts w:hint="eastAsia" w:ascii="宋体" w:hAnsi="宋体" w:eastAsia="宋体" w:cs="宋体"/>
                <w:color w:val="auto"/>
                <w:sz w:val="21"/>
                <w:szCs w:val="21"/>
                <w:highlight w:val="none"/>
                <w:vertAlign w:val="baseline"/>
              </w:rPr>
            </w:pPr>
            <w:r>
              <w:rPr>
                <w:rFonts w:hint="eastAsia" w:ascii="等线" w:hAnsi="等线" w:eastAsia="等线" w:cs="等线"/>
                <w:i w:val="0"/>
                <w:iCs w:val="0"/>
                <w:color w:val="auto"/>
                <w:kern w:val="0"/>
                <w:sz w:val="22"/>
                <w:szCs w:val="22"/>
                <w:highlight w:val="none"/>
                <w:u w:val="none"/>
                <w:lang w:val="en-US" w:eastAsia="zh-CN" w:bidi="ar"/>
              </w:rPr>
              <w:t>防裂钢筋网</w:t>
            </w:r>
          </w:p>
        </w:tc>
        <w:tc>
          <w:tcPr>
            <w:tcW w:w="1014" w:type="pct"/>
          </w:tcPr>
          <w:p w14:paraId="61473F95">
            <w:pPr>
              <w:snapToGrid w:val="0"/>
              <w:spacing w:line="400" w:lineRule="exact"/>
              <w:jc w:val="left"/>
              <w:rPr>
                <w:rFonts w:hint="eastAsia" w:ascii="宋体" w:hAnsi="宋体" w:eastAsia="宋体" w:cs="宋体"/>
                <w:color w:val="auto"/>
                <w:sz w:val="21"/>
                <w:szCs w:val="21"/>
                <w:highlight w:val="none"/>
                <w:vertAlign w:val="baseline"/>
              </w:rPr>
            </w:pPr>
            <w:r>
              <w:rPr>
                <w:rFonts w:hint="eastAsia" w:ascii="新宋体" w:hAnsi="新宋体" w:eastAsia="新宋体" w:cs="新宋体"/>
                <w:bCs/>
                <w:color w:val="auto"/>
                <w:kern w:val="0"/>
                <w:sz w:val="24"/>
                <w:szCs w:val="24"/>
                <w:highlight w:val="none"/>
                <w:lang w:val="en-US" w:eastAsia="zh-CN" w:bidi="ar-SA"/>
              </w:rPr>
              <w:t>φ</w:t>
            </w:r>
            <w:r>
              <w:rPr>
                <w:rFonts w:hint="eastAsia" w:ascii="等线" w:hAnsi="等线" w:eastAsia="等线" w:cs="等线"/>
                <w:i w:val="0"/>
                <w:iCs w:val="0"/>
                <w:color w:val="auto"/>
                <w:kern w:val="0"/>
                <w:sz w:val="22"/>
                <w:szCs w:val="22"/>
                <w:highlight w:val="none"/>
                <w:u w:val="none"/>
                <w:lang w:val="en-US" w:eastAsia="zh-CN" w:bidi="ar"/>
              </w:rPr>
              <w:t>4@150*150</w:t>
            </w:r>
          </w:p>
        </w:tc>
        <w:tc>
          <w:tcPr>
            <w:tcW w:w="796" w:type="pct"/>
          </w:tcPr>
          <w:p w14:paraId="6CF295EC">
            <w:pPr>
              <w:snapToGrid w:val="0"/>
              <w:spacing w:line="400" w:lineRule="exact"/>
              <w:jc w:val="left"/>
              <w:rPr>
                <w:rFonts w:hint="eastAsia" w:ascii="宋体" w:hAnsi="宋体" w:eastAsia="宋体" w:cs="宋体"/>
                <w:color w:val="auto"/>
                <w:sz w:val="21"/>
                <w:szCs w:val="21"/>
                <w:highlight w:val="none"/>
                <w:vertAlign w:val="baseline"/>
              </w:rPr>
            </w:pPr>
            <w:r>
              <w:rPr>
                <w:rFonts w:hint="eastAsia" w:ascii="等线" w:hAnsi="等线" w:eastAsia="等线" w:cs="等线"/>
                <w:i w:val="0"/>
                <w:iCs w:val="0"/>
                <w:color w:val="auto"/>
                <w:kern w:val="0"/>
                <w:sz w:val="22"/>
                <w:szCs w:val="22"/>
                <w:highlight w:val="none"/>
                <w:u w:val="none"/>
                <w:lang w:val="en-US" w:eastAsia="zh-CN" w:bidi="ar"/>
              </w:rPr>
              <w:t>4.44</w:t>
            </w:r>
          </w:p>
        </w:tc>
        <w:tc>
          <w:tcPr>
            <w:tcW w:w="798" w:type="pct"/>
          </w:tcPr>
          <w:p w14:paraId="44C0037F">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鹞子丘片区路网工程一期项目</w:t>
            </w:r>
          </w:p>
        </w:tc>
        <w:tc>
          <w:tcPr>
            <w:tcW w:w="798" w:type="pct"/>
          </w:tcPr>
          <w:p w14:paraId="71BB228F">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江北区观音桥电测村</w:t>
            </w:r>
          </w:p>
        </w:tc>
      </w:tr>
      <w:tr w14:paraId="4A71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tcPr>
          <w:p w14:paraId="7FBDDBEC">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796" w:type="pct"/>
          </w:tcPr>
          <w:p w14:paraId="009F3E26">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钢筋网片</w:t>
            </w:r>
          </w:p>
        </w:tc>
        <w:tc>
          <w:tcPr>
            <w:tcW w:w="1014" w:type="pct"/>
          </w:tcPr>
          <w:p w14:paraId="312BB16A">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D6</w:t>
            </w:r>
          </w:p>
        </w:tc>
        <w:tc>
          <w:tcPr>
            <w:tcW w:w="796" w:type="pct"/>
          </w:tcPr>
          <w:p w14:paraId="5B499F28">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170</w:t>
            </w:r>
          </w:p>
        </w:tc>
        <w:tc>
          <w:tcPr>
            <w:tcW w:w="798" w:type="pct"/>
            <w:vMerge w:val="restart"/>
          </w:tcPr>
          <w:p w14:paraId="5A9D4782">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sz w:val="21"/>
                <w:szCs w:val="21"/>
                <w:highlight w:val="none"/>
                <w:u w:val="none"/>
                <w:lang w:val="en-US" w:eastAsia="zh-CN"/>
              </w:rPr>
              <w:t>渝赤（水）叙（永）高速公路（重庆段）4标</w:t>
            </w:r>
          </w:p>
        </w:tc>
        <w:tc>
          <w:tcPr>
            <w:tcW w:w="798" w:type="pct"/>
            <w:vMerge w:val="restart"/>
          </w:tcPr>
          <w:p w14:paraId="1E40C0B6">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江津区蔡家镇、嘉平镇</w:t>
            </w:r>
          </w:p>
        </w:tc>
      </w:tr>
      <w:tr w14:paraId="25B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tcPr>
          <w:p w14:paraId="627CF32F">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796" w:type="pct"/>
          </w:tcPr>
          <w:p w14:paraId="1973AA01">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钢筋网片</w:t>
            </w:r>
          </w:p>
        </w:tc>
        <w:tc>
          <w:tcPr>
            <w:tcW w:w="1014" w:type="pct"/>
          </w:tcPr>
          <w:p w14:paraId="25B1D035">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D8</w:t>
            </w:r>
          </w:p>
        </w:tc>
        <w:tc>
          <w:tcPr>
            <w:tcW w:w="796" w:type="pct"/>
          </w:tcPr>
          <w:p w14:paraId="757A141E">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30</w:t>
            </w:r>
          </w:p>
        </w:tc>
        <w:tc>
          <w:tcPr>
            <w:tcW w:w="798" w:type="pct"/>
            <w:vMerge w:val="continue"/>
          </w:tcPr>
          <w:p w14:paraId="2F6941A1">
            <w:pPr>
              <w:snapToGrid w:val="0"/>
              <w:spacing w:line="400" w:lineRule="exact"/>
              <w:jc w:val="left"/>
              <w:rPr>
                <w:rFonts w:hint="eastAsia" w:ascii="宋体" w:hAnsi="宋体" w:eastAsia="宋体" w:cs="宋体"/>
                <w:color w:val="auto"/>
                <w:sz w:val="21"/>
                <w:szCs w:val="21"/>
                <w:highlight w:val="none"/>
                <w:vertAlign w:val="baseline"/>
              </w:rPr>
            </w:pPr>
          </w:p>
        </w:tc>
        <w:tc>
          <w:tcPr>
            <w:tcW w:w="798" w:type="pct"/>
            <w:vMerge w:val="continue"/>
          </w:tcPr>
          <w:p w14:paraId="0A53C872">
            <w:pPr>
              <w:snapToGrid w:val="0"/>
              <w:spacing w:line="400" w:lineRule="exact"/>
              <w:jc w:val="left"/>
              <w:rPr>
                <w:rFonts w:hint="eastAsia" w:ascii="宋体" w:hAnsi="宋体" w:eastAsia="宋体" w:cs="宋体"/>
                <w:color w:val="auto"/>
                <w:sz w:val="21"/>
                <w:szCs w:val="21"/>
                <w:highlight w:val="none"/>
                <w:vertAlign w:val="baseline"/>
              </w:rPr>
            </w:pPr>
          </w:p>
        </w:tc>
      </w:tr>
      <w:tr w14:paraId="17CE6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 w:type="pct"/>
          </w:tcPr>
          <w:p w14:paraId="2C01DA5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796" w:type="pct"/>
          </w:tcPr>
          <w:p w14:paraId="7B252A88">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钢筋网片</w:t>
            </w:r>
          </w:p>
        </w:tc>
        <w:tc>
          <w:tcPr>
            <w:tcW w:w="1014" w:type="pct"/>
          </w:tcPr>
          <w:p w14:paraId="30654705">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D10</w:t>
            </w:r>
          </w:p>
        </w:tc>
        <w:tc>
          <w:tcPr>
            <w:tcW w:w="796" w:type="pct"/>
          </w:tcPr>
          <w:p w14:paraId="4062582F">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800</w:t>
            </w:r>
          </w:p>
        </w:tc>
        <w:tc>
          <w:tcPr>
            <w:tcW w:w="798" w:type="pct"/>
            <w:vMerge w:val="continue"/>
          </w:tcPr>
          <w:p w14:paraId="65318695">
            <w:pPr>
              <w:snapToGrid w:val="0"/>
              <w:spacing w:line="400" w:lineRule="exact"/>
              <w:jc w:val="left"/>
              <w:rPr>
                <w:rFonts w:hint="eastAsia" w:ascii="宋体" w:hAnsi="宋体" w:eastAsia="宋体" w:cs="宋体"/>
                <w:color w:val="auto"/>
                <w:sz w:val="21"/>
                <w:szCs w:val="21"/>
                <w:highlight w:val="none"/>
                <w:vertAlign w:val="baseline"/>
              </w:rPr>
            </w:pPr>
          </w:p>
        </w:tc>
        <w:tc>
          <w:tcPr>
            <w:tcW w:w="798" w:type="pct"/>
            <w:vMerge w:val="continue"/>
          </w:tcPr>
          <w:p w14:paraId="20637B98">
            <w:pPr>
              <w:snapToGrid w:val="0"/>
              <w:spacing w:line="400" w:lineRule="exact"/>
              <w:jc w:val="left"/>
              <w:rPr>
                <w:rFonts w:hint="eastAsia" w:ascii="宋体" w:hAnsi="宋体" w:eastAsia="宋体" w:cs="宋体"/>
                <w:color w:val="auto"/>
                <w:sz w:val="21"/>
                <w:szCs w:val="21"/>
                <w:highlight w:val="none"/>
                <w:vertAlign w:val="baseline"/>
              </w:rPr>
            </w:pPr>
          </w:p>
        </w:tc>
      </w:tr>
    </w:tbl>
    <w:p w14:paraId="4386BD5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2.5 </w:t>
      </w:r>
      <w:bookmarkStart w:id="39" w:name="_Hlk64626254"/>
      <w:r>
        <w:rPr>
          <w:rFonts w:hint="eastAsia"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合同签订之日起至项目竣工之日止</w:t>
      </w:r>
      <w:r>
        <w:rPr>
          <w:rFonts w:hint="eastAsia" w:ascii="宋体" w:hAnsi="宋体" w:eastAsia="宋体" w:cs="宋体"/>
          <w:i w:val="0"/>
          <w:iCs w:val="0"/>
          <w:caps w:val="0"/>
          <w:color w:val="auto"/>
          <w:spacing w:val="0"/>
          <w:sz w:val="21"/>
          <w:szCs w:val="21"/>
          <w:highlight w:val="none"/>
          <w:u w:val="single"/>
          <w:shd w:val="clear" w:fill="FFFFFF"/>
          <w:lang w:val="en-US" w:eastAsia="zh-CN"/>
        </w:rPr>
        <w:t>。</w:t>
      </w:r>
    </w:p>
    <w:bookmarkEnd w:id="39"/>
    <w:p w14:paraId="3534EB67">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2.6 </w:t>
      </w:r>
      <w:r>
        <w:rPr>
          <w:rFonts w:hint="eastAsia" w:ascii="宋体" w:hAnsi="宋体"/>
          <w:snapToGrid w:val="0"/>
          <w:color w:val="auto"/>
          <w:kern w:val="0"/>
          <w:szCs w:val="21"/>
          <w:highlight w:val="none"/>
          <w:lang w:val="en-US" w:eastAsia="zh-CN"/>
        </w:rPr>
        <w:t>包件</w:t>
      </w:r>
      <w:r>
        <w:rPr>
          <w:rFonts w:hint="eastAsia" w:ascii="宋体" w:hAnsi="宋体"/>
          <w:snapToGrid w:val="0"/>
          <w:color w:val="auto"/>
          <w:kern w:val="0"/>
          <w:szCs w:val="21"/>
          <w:highlight w:val="none"/>
        </w:rPr>
        <w:t>划分（如有）：</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1个</w:t>
      </w:r>
      <w:r>
        <w:rPr>
          <w:rFonts w:hint="eastAsia" w:ascii="宋体" w:hAnsi="宋体"/>
          <w:snapToGrid w:val="0"/>
          <w:color w:val="auto"/>
          <w:kern w:val="0"/>
          <w:szCs w:val="21"/>
          <w:highlight w:val="none"/>
          <w:u w:val="single"/>
        </w:rPr>
        <w:t xml:space="preserve">    </w:t>
      </w:r>
    </w:p>
    <w:p w14:paraId="1E80D654">
      <w:pPr>
        <w:pStyle w:val="3"/>
        <w:spacing w:before="100" w:after="100" w:line="460" w:lineRule="exact"/>
        <w:rPr>
          <w:rFonts w:ascii="宋体" w:hAnsi="宋体"/>
          <w:snapToGrid w:val="0"/>
          <w:color w:val="auto"/>
          <w:sz w:val="28"/>
          <w:szCs w:val="28"/>
          <w:highlight w:val="none"/>
        </w:rPr>
      </w:pPr>
      <w:bookmarkStart w:id="40" w:name="_Toc13670"/>
      <w:bookmarkStart w:id="41" w:name="_Toc509218694"/>
      <w:bookmarkStart w:id="42" w:name="_Toc200359429"/>
      <w:bookmarkStart w:id="43" w:name="_Toc430530418"/>
      <w:bookmarkStart w:id="44" w:name="_Toc200359240"/>
      <w:bookmarkStart w:id="45" w:name="_Toc287620669"/>
      <w:bookmarkStart w:id="46" w:name="_Toc224103301"/>
      <w:bookmarkStart w:id="47" w:name="_Toc287607730"/>
      <w:bookmarkStart w:id="48" w:name="_Toc277082538"/>
      <w:r>
        <w:rPr>
          <w:rFonts w:ascii="宋体" w:hAnsi="宋体"/>
          <w:snapToGrid w:val="0"/>
          <w:color w:val="auto"/>
          <w:sz w:val="28"/>
          <w:szCs w:val="28"/>
          <w:highlight w:val="none"/>
        </w:rPr>
        <w:t xml:space="preserve">3.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投标人资格要求</w:t>
      </w:r>
      <w:bookmarkEnd w:id="40"/>
      <w:bookmarkEnd w:id="41"/>
      <w:bookmarkEnd w:id="42"/>
      <w:bookmarkEnd w:id="43"/>
      <w:bookmarkEnd w:id="44"/>
      <w:bookmarkEnd w:id="45"/>
      <w:bookmarkEnd w:id="46"/>
      <w:bookmarkEnd w:id="47"/>
      <w:bookmarkEnd w:id="48"/>
    </w:p>
    <w:p w14:paraId="2447E32A">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3.1  本次招标要求投标人须具备</w:t>
      </w:r>
      <w:r>
        <w:rPr>
          <w:rFonts w:hint="eastAsia" w:ascii="宋体" w:hAnsi="宋体"/>
          <w:snapToGrid w:val="0"/>
          <w:color w:val="auto"/>
          <w:kern w:val="0"/>
          <w:szCs w:val="21"/>
          <w:highlight w:val="none"/>
        </w:rPr>
        <w:t>以下条件：</w:t>
      </w:r>
    </w:p>
    <w:p w14:paraId="442EEB72">
      <w:pPr>
        <w:tabs>
          <w:tab w:val="left" w:pos="3840"/>
          <w:tab w:val="left" w:pos="5300"/>
        </w:tabs>
        <w:autoSpaceDE w:val="0"/>
        <w:autoSpaceDN w:val="0"/>
        <w:adjustRightInd w:val="0"/>
        <w:snapToGrid w:val="0"/>
        <w:spacing w:line="460" w:lineRule="exact"/>
        <w:ind w:firstLine="420" w:firstLineChars="200"/>
        <w:jc w:val="left"/>
        <w:rPr>
          <w:rFonts w:hint="default" w:ascii="宋体" w:hAnsi="宋体"/>
          <w:snapToGrid w:val="0"/>
          <w:color w:val="auto"/>
          <w:kern w:val="0"/>
          <w:szCs w:val="21"/>
          <w:highlight w:val="none"/>
          <w:u w:val="single"/>
          <w:lang w:val="en-US"/>
        </w:rPr>
      </w:pPr>
      <w:r>
        <w:rPr>
          <w:rFonts w:hint="eastAsia" w:ascii="宋体" w:hAnsi="宋体"/>
          <w:snapToGrid w:val="0"/>
          <w:color w:val="auto"/>
          <w:kern w:val="0"/>
          <w:szCs w:val="21"/>
          <w:highlight w:val="none"/>
        </w:rPr>
        <w:t>3.1.1 本次招标要求投标人</w:t>
      </w:r>
      <w:r>
        <w:rPr>
          <w:rFonts w:ascii="宋体" w:hAnsi="宋体"/>
          <w:snapToGrid w:val="0"/>
          <w:color w:val="auto"/>
          <w:kern w:val="0"/>
          <w:szCs w:val="21"/>
          <w:highlight w:val="none"/>
        </w:rPr>
        <w:t>具备</w:t>
      </w:r>
      <w:r>
        <w:rPr>
          <w:rFonts w:hint="eastAsia" w:ascii="宋体" w:hAnsi="宋体"/>
          <w:snapToGrid w:val="0"/>
          <w:color w:val="auto"/>
          <w:kern w:val="0"/>
          <w:szCs w:val="21"/>
          <w:highlight w:val="none"/>
        </w:rPr>
        <w:t>以下</w:t>
      </w:r>
      <w:r>
        <w:rPr>
          <w:rFonts w:hint="eastAsia" w:ascii="宋体" w:hAnsi="宋体"/>
          <w:snapToGrid w:val="0"/>
          <w:color w:val="auto"/>
          <w:kern w:val="0"/>
          <w:szCs w:val="21"/>
          <w:highlight w:val="none"/>
          <w:lang w:val="en-US" w:eastAsia="zh-CN"/>
        </w:rPr>
        <w:t>资质条件</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u w:val="single"/>
          <w:lang w:eastAsia="zh-CN"/>
        </w:rPr>
        <w:t>投标人</w:t>
      </w:r>
      <w:r>
        <w:rPr>
          <w:rFonts w:hint="eastAsia" w:ascii="宋体" w:hAnsi="宋体"/>
          <w:snapToGrid w:val="0"/>
          <w:color w:val="auto"/>
          <w:kern w:val="0"/>
          <w:szCs w:val="21"/>
          <w:highlight w:val="none"/>
          <w:u w:val="single"/>
        </w:rPr>
        <w:t>为</w:t>
      </w:r>
      <w:r>
        <w:rPr>
          <w:rFonts w:hint="eastAsia" w:ascii="宋体" w:hAnsi="宋体"/>
          <w:snapToGrid w:val="0"/>
          <w:color w:val="auto"/>
          <w:kern w:val="0"/>
          <w:szCs w:val="21"/>
          <w:highlight w:val="none"/>
          <w:u w:val="single"/>
          <w:lang w:val="en-US" w:eastAsia="zh-CN"/>
        </w:rPr>
        <w:t>钢筋网片</w:t>
      </w:r>
      <w:r>
        <w:rPr>
          <w:rFonts w:hint="eastAsia" w:ascii="宋体" w:hAnsi="宋体"/>
          <w:snapToGrid w:val="0"/>
          <w:color w:val="auto"/>
          <w:kern w:val="0"/>
          <w:szCs w:val="21"/>
          <w:highlight w:val="none"/>
          <w:u w:val="single"/>
        </w:rPr>
        <w:t>的生产厂商或代理商（包括经销商、制造商下属销售子公司），若代理商（包括经销商、制造商下属销售子公司）竞选，需提供生产厂商授权委托书。</w:t>
      </w:r>
    </w:p>
    <w:p w14:paraId="1824DAF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3.1.2 投标人还应在</w:t>
      </w:r>
      <w:r>
        <w:rPr>
          <w:rFonts w:hint="eastAsia" w:ascii="宋体" w:hAnsi="宋体"/>
          <w:snapToGrid w:val="0"/>
          <w:color w:val="auto"/>
          <w:kern w:val="0"/>
          <w:szCs w:val="21"/>
          <w:highlight w:val="none"/>
          <w:lang w:val="en-US" w:eastAsia="zh-CN"/>
        </w:rPr>
        <w:t>其他</w:t>
      </w:r>
      <w:r>
        <w:rPr>
          <w:rFonts w:hint="eastAsia" w:ascii="宋体" w:hAnsi="宋体"/>
          <w:snapToGrid w:val="0"/>
          <w:color w:val="auto"/>
          <w:kern w:val="0"/>
          <w:szCs w:val="21"/>
          <w:highlight w:val="none"/>
        </w:rPr>
        <w:t>方面具有相应的能力，详见招标文件第二章投标人须知前附表第1.4.1项内容。</w:t>
      </w:r>
    </w:p>
    <w:p w14:paraId="068AA3A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3.2  本</w:t>
      </w:r>
      <w:r>
        <w:rPr>
          <w:rFonts w:ascii="宋体" w:hAnsi="宋体"/>
          <w:snapToGrid w:val="0"/>
          <w:color w:val="auto"/>
          <w:kern w:val="0"/>
          <w:szCs w:val="21"/>
          <w:highlight w:val="none"/>
        </w:rPr>
        <w:t>次招标</w:t>
      </w: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p>
    <w:p w14:paraId="2F2DEE74">
      <w:pPr>
        <w:pStyle w:val="3"/>
        <w:spacing w:before="100" w:after="100" w:line="460" w:lineRule="exact"/>
        <w:rPr>
          <w:rFonts w:ascii="宋体" w:hAnsi="宋体"/>
          <w:snapToGrid w:val="0"/>
          <w:color w:val="auto"/>
          <w:sz w:val="28"/>
          <w:szCs w:val="28"/>
          <w:highlight w:val="none"/>
        </w:rPr>
      </w:pPr>
      <w:bookmarkStart w:id="49" w:name="_Toc430530419"/>
      <w:bookmarkStart w:id="50" w:name="_Toc200359430"/>
      <w:bookmarkStart w:id="51" w:name="_Toc287620670"/>
      <w:bookmarkStart w:id="52" w:name="_Toc200359241"/>
      <w:bookmarkStart w:id="53" w:name="_Toc32099"/>
      <w:bookmarkStart w:id="54" w:name="_Toc224103302"/>
      <w:bookmarkStart w:id="55" w:name="_Toc509218695"/>
      <w:bookmarkStart w:id="56" w:name="_Toc277082539"/>
      <w:bookmarkStart w:id="57" w:name="_Toc287607731"/>
      <w:r>
        <w:rPr>
          <w:rFonts w:hint="eastAsia" w:ascii="宋体" w:hAnsi="宋体"/>
          <w:snapToGrid w:val="0"/>
          <w:color w:val="auto"/>
          <w:sz w:val="28"/>
          <w:szCs w:val="28"/>
          <w:highlight w:val="none"/>
        </w:rPr>
        <w:t>4</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招标文件的获取</w:t>
      </w:r>
      <w:bookmarkEnd w:id="49"/>
      <w:bookmarkEnd w:id="50"/>
      <w:bookmarkEnd w:id="51"/>
      <w:bookmarkEnd w:id="52"/>
      <w:bookmarkEnd w:id="53"/>
      <w:bookmarkEnd w:id="54"/>
      <w:bookmarkEnd w:id="55"/>
      <w:bookmarkEnd w:id="56"/>
      <w:bookmarkEnd w:id="57"/>
    </w:p>
    <w:p w14:paraId="46E45C1A">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u w:val="single"/>
          <w:lang w:eastAsia="zh-CN"/>
        </w:rPr>
      </w:pPr>
      <w:r>
        <w:rPr>
          <w:rFonts w:hint="eastAsia" w:ascii="宋体" w:hAnsi="宋体" w:eastAsia="宋体" w:cs="Times New Roman"/>
          <w:snapToGrid w:val="0"/>
          <w:color w:val="auto"/>
          <w:kern w:val="0"/>
          <w:szCs w:val="21"/>
          <w:highlight w:val="none"/>
        </w:rPr>
        <w:t xml:space="preserve">4.1 </w:t>
      </w:r>
      <w:r>
        <w:rPr>
          <w:rFonts w:hint="eastAsia" w:ascii="宋体" w:hAnsi="宋体" w:eastAsia="宋体" w:cs="Times New Roman"/>
          <w:i w:val="0"/>
          <w:iCs w:val="0"/>
          <w:caps w:val="0"/>
          <w:snapToGrid w:val="0"/>
          <w:color w:val="auto"/>
          <w:spacing w:val="0"/>
          <w:kern w:val="0"/>
          <w:sz w:val="21"/>
          <w:szCs w:val="21"/>
          <w:highlight w:val="none"/>
        </w:rPr>
        <w:t>获取时间：</w:t>
      </w:r>
      <w:r>
        <w:rPr>
          <w:rFonts w:hint="eastAsia" w:ascii="宋体" w:hAnsi="宋体" w:eastAsia="宋体" w:cs="Times New Roman"/>
          <w:snapToGrid w:val="0"/>
          <w:color w:val="auto"/>
          <w:kern w:val="0"/>
          <w:szCs w:val="21"/>
          <w:highlight w:val="none"/>
          <w:u w:val="single"/>
        </w:rPr>
        <w:t>从2024年</w:t>
      </w:r>
      <w:r>
        <w:rPr>
          <w:rFonts w:hint="eastAsia" w:ascii="宋体" w:hAnsi="宋体" w:cs="Times New Roman"/>
          <w:snapToGrid w:val="0"/>
          <w:color w:val="auto"/>
          <w:kern w:val="0"/>
          <w:szCs w:val="21"/>
          <w:highlight w:val="none"/>
          <w:u w:val="single"/>
          <w:lang w:val="en-US" w:eastAsia="zh-CN"/>
        </w:rPr>
        <w:t>10</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28</w:t>
      </w:r>
      <w:r>
        <w:rPr>
          <w:rFonts w:hint="eastAsia" w:ascii="宋体" w:hAnsi="宋体" w:eastAsia="宋体" w:cs="Times New Roman"/>
          <w:snapToGrid w:val="0"/>
          <w:color w:val="auto"/>
          <w:kern w:val="0"/>
          <w:szCs w:val="21"/>
          <w:highlight w:val="none"/>
          <w:u w:val="single"/>
        </w:rPr>
        <w:t>日到2024年</w:t>
      </w:r>
      <w:r>
        <w:rPr>
          <w:rFonts w:hint="eastAsia" w:ascii="宋体" w:hAnsi="宋体" w:cs="Times New Roman"/>
          <w:snapToGrid w:val="0"/>
          <w:color w:val="auto"/>
          <w:kern w:val="0"/>
          <w:szCs w:val="21"/>
          <w:highlight w:val="none"/>
          <w:u w:val="single"/>
          <w:lang w:val="en-US" w:eastAsia="zh-CN"/>
        </w:rPr>
        <w:t>11</w:t>
      </w:r>
      <w:r>
        <w:rPr>
          <w:rFonts w:hint="eastAsia" w:ascii="宋体" w:hAnsi="宋体" w:eastAsia="宋体" w:cs="Times New Roman"/>
          <w:snapToGrid w:val="0"/>
          <w:color w:val="auto"/>
          <w:kern w:val="0"/>
          <w:szCs w:val="21"/>
          <w:highlight w:val="none"/>
          <w:u w:val="single"/>
        </w:rPr>
        <w:t>月</w:t>
      </w:r>
      <w:r>
        <w:rPr>
          <w:rFonts w:hint="eastAsia" w:ascii="宋体" w:hAnsi="宋体" w:cs="Times New Roman"/>
          <w:snapToGrid w:val="0"/>
          <w:color w:val="auto"/>
          <w:kern w:val="0"/>
          <w:szCs w:val="21"/>
          <w:highlight w:val="none"/>
          <w:u w:val="single"/>
          <w:lang w:val="en-US" w:eastAsia="zh-CN"/>
        </w:rPr>
        <w:t xml:space="preserve">1 </w:t>
      </w:r>
      <w:r>
        <w:rPr>
          <w:rFonts w:hint="eastAsia" w:ascii="宋体" w:hAnsi="宋体" w:eastAsia="宋体" w:cs="Times New Roman"/>
          <w:snapToGrid w:val="0"/>
          <w:color w:val="auto"/>
          <w:kern w:val="0"/>
          <w:szCs w:val="21"/>
          <w:highlight w:val="none"/>
          <w:u w:val="single"/>
        </w:rPr>
        <w:t>日</w:t>
      </w:r>
      <w:r>
        <w:rPr>
          <w:rFonts w:hint="eastAsia" w:ascii="宋体" w:hAnsi="宋体" w:cs="Times New Roman"/>
          <w:snapToGrid w:val="0"/>
          <w:color w:val="auto"/>
          <w:kern w:val="0"/>
          <w:szCs w:val="21"/>
          <w:highlight w:val="none"/>
          <w:u w:val="single"/>
          <w:lang w:val="en-US" w:eastAsia="zh-CN"/>
        </w:rPr>
        <w:t>9</w:t>
      </w:r>
      <w:r>
        <w:rPr>
          <w:rFonts w:hint="eastAsia" w:ascii="宋体" w:hAnsi="宋体" w:eastAsia="宋体" w:cs="Times New Roman"/>
          <w:snapToGrid w:val="0"/>
          <w:color w:val="auto"/>
          <w:kern w:val="0"/>
          <w:szCs w:val="21"/>
          <w:highlight w:val="none"/>
          <w:u w:val="single"/>
        </w:rPr>
        <w:t>时</w:t>
      </w:r>
      <w:r>
        <w:rPr>
          <w:rFonts w:hint="eastAsia" w:ascii="宋体" w:hAnsi="宋体" w:cs="Times New Roman"/>
          <w:snapToGrid w:val="0"/>
          <w:color w:val="auto"/>
          <w:kern w:val="0"/>
          <w:szCs w:val="21"/>
          <w:highlight w:val="none"/>
          <w:u w:val="single"/>
          <w:lang w:val="en-US" w:eastAsia="zh-CN"/>
        </w:rPr>
        <w:t>30</w:t>
      </w:r>
      <w:r>
        <w:rPr>
          <w:rFonts w:hint="eastAsia" w:ascii="宋体" w:hAnsi="宋体" w:eastAsia="宋体" w:cs="Times New Roman"/>
          <w:snapToGrid w:val="0"/>
          <w:color w:val="auto"/>
          <w:kern w:val="0"/>
          <w:szCs w:val="21"/>
          <w:highlight w:val="none"/>
          <w:u w:val="single"/>
        </w:rPr>
        <w:t>分</w:t>
      </w:r>
      <w:r>
        <w:rPr>
          <w:rFonts w:hint="eastAsia" w:ascii="宋体" w:hAnsi="宋体" w:cs="Times New Roman"/>
          <w:snapToGrid w:val="0"/>
          <w:color w:val="auto"/>
          <w:kern w:val="0"/>
          <w:szCs w:val="21"/>
          <w:highlight w:val="none"/>
          <w:u w:val="single"/>
          <w:lang w:eastAsia="zh-CN"/>
        </w:rPr>
        <w:t>。</w:t>
      </w:r>
    </w:p>
    <w:p w14:paraId="2491E82E">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lang w:val="en-US" w:eastAsia="zh-CN"/>
        </w:rPr>
        <w:t>4.2</w:t>
      </w:r>
      <w:r>
        <w:rPr>
          <w:rFonts w:hint="eastAsia" w:ascii="宋体" w:hAnsi="宋体" w:eastAsia="宋体" w:cs="Times New Roman"/>
          <w:i w:val="0"/>
          <w:iCs w:val="0"/>
          <w:caps w:val="0"/>
          <w:snapToGrid w:val="0"/>
          <w:color w:val="auto"/>
          <w:spacing w:val="0"/>
          <w:kern w:val="0"/>
          <w:sz w:val="21"/>
          <w:szCs w:val="21"/>
          <w:highlight w:val="none"/>
        </w:rPr>
        <w:t>获取方式：</w:t>
      </w:r>
    </w:p>
    <w:p w14:paraId="68101B02">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hint="eastAsia" w:ascii="宋体" w:hAnsi="宋体" w:eastAsia="宋体" w:cs="Times New Roman"/>
          <w:i w:val="0"/>
          <w:iCs w:val="0"/>
          <w:caps w:val="0"/>
          <w:snapToGrid w:val="0"/>
          <w:color w:val="auto"/>
          <w:spacing w:val="0"/>
          <w:kern w:val="0"/>
          <w:sz w:val="21"/>
          <w:szCs w:val="21"/>
          <w:highlight w:val="none"/>
        </w:rPr>
      </w:pPr>
      <w:r>
        <w:rPr>
          <w:rFonts w:hint="eastAsia" w:ascii="宋体" w:hAnsi="宋体" w:eastAsia="宋体" w:cs="Times New Roman"/>
          <w:i w:val="0"/>
          <w:iCs w:val="0"/>
          <w:caps w:val="0"/>
          <w:snapToGrid w:val="0"/>
          <w:color w:val="auto"/>
          <w:spacing w:val="0"/>
          <w:kern w:val="0"/>
          <w:sz w:val="21"/>
          <w:szCs w:val="21"/>
          <w:highlight w:val="none"/>
        </w:rPr>
        <w:t>请投标人在投标截止日之前可在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val="en-US" w:eastAsia="zh-CN"/>
        </w:rPr>
        <w:t>或</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Times New Roman"/>
          <w:i w:val="0"/>
          <w:iCs w:val="0"/>
          <w:caps w:val="0"/>
          <w:snapToGrid w:val="0"/>
          <w:color w:val="auto"/>
          <w:spacing w:val="0"/>
          <w:kern w:val="0"/>
          <w:sz w:val="21"/>
          <w:szCs w:val="21"/>
          <w:highlight w:val="none"/>
        </w:rPr>
        <w:t>下载</w:t>
      </w:r>
      <w:r>
        <w:rPr>
          <w:rFonts w:hint="eastAsia" w:ascii="宋体" w:hAnsi="宋体" w:cs="Times New Roman"/>
          <w:i w:val="0"/>
          <w:iCs w:val="0"/>
          <w:caps w:val="0"/>
          <w:snapToGrid w:val="0"/>
          <w:color w:val="auto"/>
          <w:spacing w:val="0"/>
          <w:kern w:val="0"/>
          <w:sz w:val="21"/>
          <w:szCs w:val="21"/>
          <w:highlight w:val="none"/>
          <w:lang w:eastAsia="zh-CN"/>
        </w:rPr>
        <w:t>比选</w:t>
      </w:r>
      <w:r>
        <w:rPr>
          <w:rFonts w:hint="eastAsia" w:ascii="宋体" w:hAnsi="宋体" w:eastAsia="宋体" w:cs="Times New Roman"/>
          <w:i w:val="0"/>
          <w:iCs w:val="0"/>
          <w:caps w:val="0"/>
          <w:snapToGrid w:val="0"/>
          <w:color w:val="auto"/>
          <w:spacing w:val="0"/>
          <w:kern w:val="0"/>
          <w:sz w:val="21"/>
          <w:szCs w:val="21"/>
          <w:highlight w:val="none"/>
        </w:rPr>
        <w:t>文件、清单、澄清、修改、补充通知、最高限价通知等全部内容。</w:t>
      </w:r>
    </w:p>
    <w:p w14:paraId="1E40F612">
      <w:pPr>
        <w:pStyle w:val="3"/>
        <w:spacing w:before="100" w:after="100" w:line="460" w:lineRule="exact"/>
        <w:rPr>
          <w:rFonts w:ascii="宋体" w:hAnsi="宋体"/>
          <w:snapToGrid w:val="0"/>
          <w:color w:val="auto"/>
          <w:sz w:val="28"/>
          <w:szCs w:val="28"/>
          <w:highlight w:val="none"/>
        </w:rPr>
      </w:pPr>
      <w:bookmarkStart w:id="58" w:name="_Toc200359242"/>
      <w:bookmarkStart w:id="59" w:name="_Toc200359431"/>
      <w:bookmarkStart w:id="60" w:name="_Toc287620671"/>
      <w:bookmarkStart w:id="61" w:name="_Toc509218696"/>
      <w:bookmarkStart w:id="62" w:name="_Toc2973"/>
      <w:bookmarkStart w:id="63" w:name="_Toc287607732"/>
      <w:bookmarkStart w:id="64" w:name="_Toc224103303"/>
      <w:bookmarkStart w:id="65" w:name="_Toc430530420"/>
      <w:bookmarkStart w:id="66" w:name="_Toc277082540"/>
      <w:r>
        <w:rPr>
          <w:rFonts w:hint="eastAsia" w:ascii="宋体" w:hAnsi="宋体"/>
          <w:snapToGrid w:val="0"/>
          <w:color w:val="auto"/>
          <w:sz w:val="28"/>
          <w:szCs w:val="28"/>
          <w:highlight w:val="none"/>
        </w:rPr>
        <w:t>5</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投标文件的递交</w:t>
      </w:r>
      <w:bookmarkEnd w:id="58"/>
      <w:bookmarkEnd w:id="59"/>
      <w:bookmarkEnd w:id="60"/>
      <w:bookmarkEnd w:id="61"/>
      <w:bookmarkEnd w:id="62"/>
      <w:bookmarkEnd w:id="63"/>
      <w:bookmarkEnd w:id="64"/>
      <w:bookmarkEnd w:id="65"/>
      <w:bookmarkEnd w:id="66"/>
    </w:p>
    <w:p w14:paraId="51205A48">
      <w:pPr>
        <w:spacing w:line="360" w:lineRule="auto"/>
        <w:ind w:firstLine="400" w:firstLineChars="200"/>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5.1投标文件递交：</w:t>
      </w:r>
      <w:r>
        <w:rPr>
          <w:rFonts w:hint="eastAsia" w:ascii="宋体" w:hAnsi="宋体" w:eastAsia="宋体" w:cs="宋体"/>
          <w:color w:val="auto"/>
          <w:sz w:val="20"/>
          <w:szCs w:val="20"/>
          <w:highlight w:val="none"/>
          <w:u w:val="single"/>
          <w:lang w:val="en-US" w:eastAsia="zh-CN"/>
        </w:rPr>
        <w:t>本次</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采用</w:t>
      </w:r>
      <w:r>
        <w:rPr>
          <w:rFonts w:hint="eastAsia" w:ascii="宋体" w:hAnsi="宋体" w:eastAsia="宋体" w:cs="宋体"/>
          <w:b/>
          <w:bCs/>
          <w:color w:val="auto"/>
          <w:sz w:val="20"/>
          <w:szCs w:val="20"/>
          <w:highlight w:val="none"/>
          <w:u w:val="single"/>
          <w:lang w:val="en-US" w:eastAsia="zh-CN"/>
        </w:rPr>
        <w:t>线下</w:t>
      </w:r>
      <w:r>
        <w:rPr>
          <w:rFonts w:hint="eastAsia" w:ascii="宋体" w:hAnsi="宋体" w:cs="宋体"/>
          <w:b/>
          <w:bCs/>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w:t>
      </w:r>
    </w:p>
    <w:p w14:paraId="34A6B139">
      <w:pPr>
        <w:spacing w:line="360" w:lineRule="auto"/>
        <w:ind w:firstLine="400" w:firstLineChars="200"/>
        <w:rPr>
          <w:rFonts w:hint="eastAsia" w:ascii="宋体" w:hAnsi="宋体" w:eastAsia="宋体" w:cs="宋体"/>
          <w:color w:val="auto"/>
          <w:sz w:val="20"/>
          <w:szCs w:val="20"/>
          <w:highlight w:val="none"/>
          <w:u w:val="single"/>
          <w:lang w:val="en-US" w:eastAsia="zh-CN"/>
        </w:rPr>
      </w:pP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人应当在投标截止时间前，将纸质版</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文件递交至</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eastAsia="宋体" w:cs="宋体"/>
          <w:color w:val="auto"/>
          <w:sz w:val="20"/>
          <w:szCs w:val="20"/>
          <w:highlight w:val="none"/>
          <w:u w:val="single"/>
        </w:rPr>
        <w:t>逾期送达，或未送达指定地点，或未密封的</w:t>
      </w:r>
      <w:r>
        <w:rPr>
          <w:rFonts w:hint="eastAsia" w:ascii="宋体" w:hAnsi="宋体" w:eastAsia="宋体" w:cs="宋体"/>
          <w:color w:val="auto"/>
          <w:sz w:val="20"/>
          <w:szCs w:val="20"/>
          <w:highlight w:val="none"/>
          <w:u w:val="single"/>
          <w:lang w:eastAsia="zh-CN"/>
        </w:rPr>
        <w:t>竞选</w:t>
      </w:r>
      <w:r>
        <w:rPr>
          <w:rFonts w:hint="eastAsia" w:ascii="宋体" w:hAnsi="宋体" w:eastAsia="宋体" w:cs="宋体"/>
          <w:color w:val="auto"/>
          <w:sz w:val="20"/>
          <w:szCs w:val="20"/>
          <w:highlight w:val="none"/>
          <w:u w:val="single"/>
        </w:rPr>
        <w:t>文件，</w:t>
      </w:r>
      <w:r>
        <w:rPr>
          <w:rFonts w:hint="eastAsia" w:ascii="宋体" w:hAnsi="宋体" w:eastAsia="宋体" w:cs="宋体"/>
          <w:color w:val="auto"/>
          <w:sz w:val="20"/>
          <w:szCs w:val="20"/>
          <w:highlight w:val="none"/>
          <w:u w:val="single"/>
          <w:lang w:eastAsia="zh-CN"/>
        </w:rPr>
        <w:t>比选</w:t>
      </w:r>
      <w:r>
        <w:rPr>
          <w:rFonts w:hint="eastAsia" w:ascii="宋体" w:hAnsi="宋体" w:eastAsia="宋体" w:cs="宋体"/>
          <w:color w:val="auto"/>
          <w:sz w:val="20"/>
          <w:szCs w:val="20"/>
          <w:highlight w:val="none"/>
          <w:u w:val="single"/>
        </w:rPr>
        <w:t>人不予受理。</w:t>
      </w:r>
    </w:p>
    <w:p w14:paraId="15CDF617">
      <w:pPr>
        <w:spacing w:line="360" w:lineRule="auto"/>
        <w:ind w:firstLine="400" w:firstLineChars="200"/>
        <w:rPr>
          <w:rFonts w:hint="eastAsia" w:ascii="宋体" w:hAnsi="宋体" w:eastAsia="宋体" w:cs="宋体"/>
          <w:color w:val="auto"/>
          <w:sz w:val="20"/>
          <w:szCs w:val="20"/>
          <w:highlight w:val="none"/>
          <w:u w:val="single"/>
        </w:rPr>
      </w:pPr>
      <w:r>
        <w:rPr>
          <w:rFonts w:hint="eastAsia" w:ascii="宋体" w:hAnsi="宋体" w:eastAsia="宋体" w:cs="宋体"/>
          <w:color w:val="auto"/>
          <w:sz w:val="20"/>
          <w:szCs w:val="20"/>
          <w:highlight w:val="none"/>
          <w:lang w:val="en-US" w:eastAsia="zh-CN"/>
        </w:rPr>
        <w:t>5.2</w:t>
      </w:r>
      <w:r>
        <w:rPr>
          <w:rFonts w:hint="eastAsia" w:ascii="宋体" w:hAnsi="宋体" w:eastAsia="宋体" w:cs="宋体"/>
          <w:color w:val="auto"/>
          <w:sz w:val="20"/>
          <w:szCs w:val="20"/>
          <w:highlight w:val="none"/>
        </w:rPr>
        <w:t>开标地点：</w:t>
      </w:r>
      <w:r>
        <w:rPr>
          <w:rFonts w:hint="eastAsia" w:ascii="宋体" w:hAnsi="宋体"/>
          <w:snapToGrid w:val="0"/>
          <w:color w:val="auto"/>
          <w:kern w:val="0"/>
          <w:szCs w:val="21"/>
          <w:highlight w:val="none"/>
          <w:u w:val="single"/>
        </w:rPr>
        <w:t>重庆市江北区五简路2号重咨大厦A座负1楼开标厅</w:t>
      </w:r>
      <w:r>
        <w:rPr>
          <w:rFonts w:hint="eastAsia" w:ascii="宋体" w:hAnsi="宋体" w:eastAsia="宋体" w:cs="宋体"/>
          <w:color w:val="auto"/>
          <w:sz w:val="20"/>
          <w:szCs w:val="20"/>
          <w:highlight w:val="none"/>
          <w:u w:val="single"/>
          <w:lang w:eastAsia="zh-CN"/>
        </w:rPr>
        <w:t>。（</w:t>
      </w:r>
      <w:r>
        <w:rPr>
          <w:rFonts w:hint="eastAsia" w:ascii="宋体" w:hAnsi="宋体" w:cs="宋体"/>
          <w:color w:val="auto"/>
          <w:sz w:val="20"/>
          <w:szCs w:val="20"/>
          <w:highlight w:val="none"/>
          <w:u w:val="single"/>
          <w:lang w:val="en-US" w:eastAsia="zh-CN"/>
        </w:rPr>
        <w:t>投标</w:t>
      </w:r>
      <w:r>
        <w:rPr>
          <w:rFonts w:hint="eastAsia" w:ascii="宋体" w:hAnsi="宋体" w:eastAsia="宋体" w:cs="宋体"/>
          <w:color w:val="auto"/>
          <w:sz w:val="20"/>
          <w:szCs w:val="20"/>
          <w:highlight w:val="none"/>
          <w:u w:val="single"/>
          <w:lang w:val="en-US" w:eastAsia="zh-CN"/>
        </w:rPr>
        <w:t>人可根据自身情况选择是否参加开标会，未参加开标会的视为默认开标结果。</w:t>
      </w:r>
      <w:r>
        <w:rPr>
          <w:rFonts w:hint="eastAsia" w:ascii="宋体" w:hAnsi="宋体" w:eastAsia="宋体" w:cs="宋体"/>
          <w:color w:val="auto"/>
          <w:sz w:val="20"/>
          <w:szCs w:val="20"/>
          <w:highlight w:val="none"/>
          <w:u w:val="single"/>
          <w:lang w:eastAsia="zh-CN"/>
        </w:rPr>
        <w:t>）</w:t>
      </w:r>
    </w:p>
    <w:p w14:paraId="30E5EAF5">
      <w:pPr>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5.3</w:t>
      </w:r>
      <w:r>
        <w:rPr>
          <w:rFonts w:hint="eastAsia" w:ascii="宋体" w:hAnsi="宋体" w:eastAsia="宋体" w:cs="宋体"/>
          <w:color w:val="auto"/>
          <w:sz w:val="20"/>
          <w:szCs w:val="20"/>
          <w:highlight w:val="none"/>
        </w:rPr>
        <w:t xml:space="preserve"> </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lang w:val="en-US" w:eastAsia="zh-CN"/>
        </w:rPr>
        <w:t>文件</w:t>
      </w:r>
      <w:r>
        <w:rPr>
          <w:rFonts w:hint="eastAsia" w:ascii="宋体" w:hAnsi="宋体" w:eastAsia="宋体" w:cs="宋体"/>
          <w:color w:val="auto"/>
          <w:sz w:val="20"/>
          <w:szCs w:val="20"/>
          <w:highlight w:val="none"/>
        </w:rPr>
        <w:t>递交截止时间：</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11</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30</w:t>
      </w:r>
      <w:r>
        <w:rPr>
          <w:rFonts w:hint="eastAsia" w:ascii="宋体" w:hAnsi="宋体" w:eastAsia="宋体" w:cs="宋体"/>
          <w:color w:val="auto"/>
          <w:sz w:val="20"/>
          <w:szCs w:val="20"/>
          <w:highlight w:val="none"/>
          <w:u w:val="single"/>
        </w:rPr>
        <w:t>分，</w:t>
      </w:r>
    </w:p>
    <w:p w14:paraId="1795C654">
      <w:pPr>
        <w:autoSpaceDE w:val="0"/>
        <w:autoSpaceDN w:val="0"/>
        <w:adjustRightInd w:val="0"/>
        <w:snapToGrid w:val="0"/>
        <w:spacing w:line="450" w:lineRule="exact"/>
        <w:ind w:firstLine="400" w:firstLineChars="200"/>
        <w:rPr>
          <w:rFonts w:hint="eastAsia" w:ascii="宋体" w:hAnsi="宋体"/>
          <w:snapToGrid w:val="0"/>
          <w:color w:val="auto"/>
          <w:kern w:val="0"/>
          <w:szCs w:val="21"/>
          <w:highlight w:val="none"/>
        </w:rPr>
      </w:pPr>
      <w:r>
        <w:rPr>
          <w:rFonts w:hint="eastAsia" w:ascii="宋体" w:hAnsi="宋体" w:eastAsia="宋体" w:cs="宋体"/>
          <w:color w:val="auto"/>
          <w:sz w:val="20"/>
          <w:szCs w:val="20"/>
          <w:highlight w:val="none"/>
          <w:lang w:val="en-US" w:eastAsia="zh-CN"/>
        </w:rPr>
        <w:t>5.4</w:t>
      </w:r>
      <w:r>
        <w:rPr>
          <w:rFonts w:hint="eastAsia" w:ascii="宋体" w:hAnsi="宋体" w:eastAsia="宋体" w:cs="宋体"/>
          <w:color w:val="auto"/>
          <w:sz w:val="20"/>
          <w:szCs w:val="20"/>
          <w:highlight w:val="none"/>
        </w:rPr>
        <w:t>递交</w:t>
      </w:r>
      <w:r>
        <w:rPr>
          <w:rFonts w:hint="eastAsia" w:ascii="宋体" w:hAnsi="宋体" w:cs="宋体"/>
          <w:color w:val="auto"/>
          <w:sz w:val="20"/>
          <w:szCs w:val="20"/>
          <w:highlight w:val="none"/>
          <w:lang w:val="en-US" w:eastAsia="zh-CN"/>
        </w:rPr>
        <w:t>投标</w:t>
      </w:r>
      <w:r>
        <w:rPr>
          <w:rFonts w:hint="eastAsia" w:ascii="宋体" w:hAnsi="宋体" w:eastAsia="宋体" w:cs="宋体"/>
          <w:color w:val="auto"/>
          <w:sz w:val="20"/>
          <w:szCs w:val="20"/>
          <w:highlight w:val="none"/>
        </w:rPr>
        <w:t>文件的时间为</w:t>
      </w:r>
      <w:r>
        <w:rPr>
          <w:rFonts w:hint="eastAsia" w:ascii="宋体" w:hAnsi="宋体" w:eastAsia="宋体" w:cs="宋体"/>
          <w:color w:val="auto"/>
          <w:sz w:val="20"/>
          <w:szCs w:val="20"/>
          <w:highlight w:val="none"/>
          <w:u w:val="single"/>
        </w:rPr>
        <w:t>2024年</w:t>
      </w:r>
      <w:r>
        <w:rPr>
          <w:rFonts w:hint="eastAsia" w:ascii="宋体" w:hAnsi="宋体" w:cs="宋体"/>
          <w:color w:val="auto"/>
          <w:sz w:val="20"/>
          <w:szCs w:val="20"/>
          <w:highlight w:val="none"/>
          <w:u w:val="single"/>
          <w:lang w:val="en-US" w:eastAsia="zh-CN"/>
        </w:rPr>
        <w:t>11</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00</w:t>
      </w:r>
      <w:r>
        <w:rPr>
          <w:rFonts w:hint="eastAsia" w:ascii="宋体" w:hAnsi="宋体" w:eastAsia="宋体" w:cs="宋体"/>
          <w:color w:val="auto"/>
          <w:sz w:val="20"/>
          <w:szCs w:val="20"/>
          <w:highlight w:val="none"/>
          <w:u w:val="single"/>
        </w:rPr>
        <w:t>分至2024年</w:t>
      </w:r>
      <w:r>
        <w:rPr>
          <w:rFonts w:hint="eastAsia" w:ascii="宋体" w:hAnsi="宋体" w:cs="宋体"/>
          <w:color w:val="auto"/>
          <w:sz w:val="20"/>
          <w:szCs w:val="20"/>
          <w:highlight w:val="none"/>
          <w:u w:val="single"/>
          <w:lang w:val="en-US" w:eastAsia="zh-CN"/>
        </w:rPr>
        <w:t>11</w:t>
      </w:r>
      <w:r>
        <w:rPr>
          <w:rFonts w:hint="eastAsia" w:ascii="宋体" w:hAnsi="宋体" w:eastAsia="宋体" w:cs="宋体"/>
          <w:color w:val="auto"/>
          <w:sz w:val="20"/>
          <w:szCs w:val="20"/>
          <w:highlight w:val="none"/>
          <w:u w:val="single"/>
        </w:rPr>
        <w:t>月</w:t>
      </w:r>
      <w:r>
        <w:rPr>
          <w:rFonts w:hint="eastAsia" w:ascii="宋体" w:hAnsi="宋体" w:cs="宋体"/>
          <w:color w:val="auto"/>
          <w:sz w:val="20"/>
          <w:szCs w:val="20"/>
          <w:highlight w:val="none"/>
          <w:u w:val="single"/>
          <w:lang w:val="en-US" w:eastAsia="zh-CN"/>
        </w:rPr>
        <w:t>1</w:t>
      </w:r>
      <w:r>
        <w:rPr>
          <w:rFonts w:hint="eastAsia" w:ascii="宋体" w:hAnsi="宋体" w:eastAsia="宋体" w:cs="宋体"/>
          <w:color w:val="auto"/>
          <w:sz w:val="20"/>
          <w:szCs w:val="20"/>
          <w:highlight w:val="none"/>
          <w:u w:val="single"/>
        </w:rPr>
        <w:t>日</w:t>
      </w:r>
      <w:r>
        <w:rPr>
          <w:rFonts w:hint="eastAsia" w:ascii="宋体" w:hAnsi="宋体" w:cs="宋体"/>
          <w:color w:val="auto"/>
          <w:sz w:val="20"/>
          <w:szCs w:val="20"/>
          <w:highlight w:val="none"/>
          <w:u w:val="single"/>
          <w:lang w:val="en-US" w:eastAsia="zh-CN"/>
        </w:rPr>
        <w:t>9</w:t>
      </w:r>
      <w:r>
        <w:rPr>
          <w:rFonts w:hint="eastAsia" w:ascii="宋体" w:hAnsi="宋体" w:eastAsia="宋体" w:cs="宋体"/>
          <w:color w:val="auto"/>
          <w:sz w:val="20"/>
          <w:szCs w:val="20"/>
          <w:highlight w:val="none"/>
          <w:u w:val="single"/>
        </w:rPr>
        <w:t>时</w:t>
      </w:r>
      <w:r>
        <w:rPr>
          <w:rFonts w:hint="eastAsia" w:ascii="宋体" w:hAnsi="宋体" w:cs="宋体"/>
          <w:color w:val="auto"/>
          <w:sz w:val="20"/>
          <w:szCs w:val="20"/>
          <w:highlight w:val="none"/>
          <w:u w:val="single"/>
          <w:lang w:val="en-US" w:eastAsia="zh-CN"/>
        </w:rPr>
        <w:t>30</w:t>
      </w:r>
      <w:r>
        <w:rPr>
          <w:rFonts w:hint="eastAsia" w:ascii="宋体" w:hAnsi="宋体" w:eastAsia="宋体" w:cs="宋体"/>
          <w:color w:val="auto"/>
          <w:sz w:val="20"/>
          <w:szCs w:val="20"/>
          <w:highlight w:val="none"/>
          <w:u w:val="single"/>
        </w:rPr>
        <w:t>分</w:t>
      </w:r>
      <w:r>
        <w:rPr>
          <w:rFonts w:hint="eastAsia" w:ascii="宋体" w:hAnsi="宋体" w:cs="宋体"/>
          <w:color w:val="auto"/>
          <w:sz w:val="20"/>
          <w:szCs w:val="20"/>
          <w:highlight w:val="none"/>
          <w:u w:val="single"/>
          <w:lang w:eastAsia="zh-CN"/>
        </w:rPr>
        <w:t>。</w:t>
      </w:r>
    </w:p>
    <w:p w14:paraId="6819617D">
      <w:pPr>
        <w:pStyle w:val="3"/>
        <w:spacing w:before="100" w:after="100" w:line="460" w:lineRule="exact"/>
        <w:rPr>
          <w:rFonts w:ascii="宋体" w:hAnsi="宋体"/>
          <w:snapToGrid w:val="0"/>
          <w:color w:val="auto"/>
          <w:sz w:val="28"/>
          <w:szCs w:val="28"/>
          <w:highlight w:val="none"/>
        </w:rPr>
      </w:pPr>
      <w:bookmarkStart w:id="67" w:name="_Toc200359243"/>
      <w:bookmarkStart w:id="68" w:name="_Toc277082541"/>
      <w:bookmarkStart w:id="69" w:name="_Toc200359432"/>
      <w:bookmarkStart w:id="70" w:name="_Toc509218697"/>
      <w:bookmarkStart w:id="71" w:name="_Toc8848"/>
      <w:bookmarkStart w:id="72" w:name="_Toc287620672"/>
      <w:bookmarkStart w:id="73" w:name="_Toc430530421"/>
      <w:bookmarkStart w:id="74" w:name="_Toc287607733"/>
      <w:bookmarkStart w:id="75" w:name="_Toc224103304"/>
      <w:r>
        <w:rPr>
          <w:rFonts w:hint="eastAsia" w:ascii="宋体" w:hAnsi="宋体"/>
          <w:snapToGrid w:val="0"/>
          <w:color w:val="auto"/>
          <w:sz w:val="28"/>
          <w:szCs w:val="28"/>
          <w:highlight w:val="none"/>
        </w:rPr>
        <w:t>6</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发布公告的媒介</w:t>
      </w:r>
      <w:bookmarkEnd w:id="67"/>
      <w:bookmarkEnd w:id="68"/>
      <w:bookmarkEnd w:id="69"/>
      <w:bookmarkEnd w:id="70"/>
      <w:bookmarkEnd w:id="71"/>
      <w:bookmarkEnd w:id="72"/>
      <w:bookmarkEnd w:id="73"/>
      <w:bookmarkEnd w:id="74"/>
      <w:bookmarkEnd w:id="75"/>
    </w:p>
    <w:p w14:paraId="2C706FF3">
      <w:pPr>
        <w:tabs>
          <w:tab w:val="left" w:pos="4950"/>
        </w:tabs>
        <w:autoSpaceDE w:val="0"/>
        <w:autoSpaceDN w:val="0"/>
        <w:adjustRightInd w:val="0"/>
        <w:snapToGrid w:val="0"/>
        <w:spacing w:line="45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本次</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公告同时在</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rFonts w:hint="eastAsia" w:ascii="宋体" w:hAnsi="宋体" w:eastAsia="宋体" w:cs="宋体"/>
          <w:snapToGrid w:val="0"/>
          <w:color w:val="auto"/>
          <w:kern w:val="0"/>
          <w:sz w:val="20"/>
          <w:szCs w:val="20"/>
          <w:highlight w:val="none"/>
          <w:u w:val="single"/>
          <w:lang w:eastAsia="zh-CN"/>
        </w:rPr>
        <w:t>巨能集团集中采购平台网址 （http://222.178.219.165:7001/merchants/login）</w:t>
      </w:r>
      <w:r>
        <w:rPr>
          <w:color w:val="auto"/>
          <w:spacing w:val="-57"/>
          <w:sz w:val="20"/>
          <w:szCs w:val="20"/>
          <w:highlight w:val="none"/>
          <w:u w:val="single" w:color="auto"/>
        </w:rPr>
        <w:t xml:space="preserve"> </w:t>
      </w:r>
      <w:r>
        <w:rPr>
          <w:rFonts w:ascii="宋体" w:hAnsi="宋体"/>
          <w:snapToGrid w:val="0"/>
          <w:color w:val="auto"/>
          <w:kern w:val="0"/>
          <w:szCs w:val="21"/>
          <w:highlight w:val="none"/>
        </w:rPr>
        <w:t>上发布。</w:t>
      </w:r>
    </w:p>
    <w:p w14:paraId="75FDAD62">
      <w:pPr>
        <w:pStyle w:val="3"/>
        <w:spacing w:before="100" w:after="100" w:line="460" w:lineRule="exact"/>
        <w:rPr>
          <w:rFonts w:ascii="宋体" w:hAnsi="宋体"/>
          <w:snapToGrid w:val="0"/>
          <w:color w:val="auto"/>
          <w:sz w:val="28"/>
          <w:szCs w:val="28"/>
          <w:highlight w:val="none"/>
        </w:rPr>
      </w:pPr>
      <w:bookmarkStart w:id="76" w:name="_Toc277082542"/>
      <w:bookmarkStart w:id="77" w:name="_Toc287607734"/>
      <w:bookmarkStart w:id="78" w:name="_Toc287620673"/>
      <w:bookmarkStart w:id="79" w:name="_Toc509218698"/>
      <w:bookmarkStart w:id="80" w:name="_Toc31809"/>
      <w:bookmarkStart w:id="81" w:name="_Toc430530422"/>
      <w:bookmarkStart w:id="82" w:name="_Toc224103305"/>
      <w:r>
        <w:rPr>
          <w:rFonts w:hint="eastAsia" w:ascii="宋体" w:hAnsi="宋体"/>
          <w:snapToGrid w:val="0"/>
          <w:color w:val="auto"/>
          <w:sz w:val="28"/>
          <w:szCs w:val="28"/>
          <w:highlight w:val="none"/>
        </w:rPr>
        <w:t>7</w:t>
      </w:r>
      <w:r>
        <w:rPr>
          <w:rFonts w:ascii="宋体" w:hAnsi="宋体"/>
          <w:snapToGrid w:val="0"/>
          <w:color w:val="auto"/>
          <w:sz w:val="28"/>
          <w:szCs w:val="28"/>
          <w:highlight w:val="none"/>
        </w:rPr>
        <w:t xml:space="preserve">. </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联系方式</w:t>
      </w:r>
      <w:bookmarkEnd w:id="76"/>
      <w:bookmarkEnd w:id="77"/>
      <w:bookmarkEnd w:id="78"/>
      <w:bookmarkEnd w:id="79"/>
      <w:bookmarkEnd w:id="80"/>
      <w:bookmarkEnd w:id="81"/>
      <w:bookmarkEnd w:id="82"/>
    </w:p>
    <w:p w14:paraId="71C68ADA">
      <w:pPr>
        <w:tabs>
          <w:tab w:val="left" w:pos="5140"/>
          <w:tab w:val="left" w:pos="8420"/>
        </w:tabs>
        <w:autoSpaceDE w:val="0"/>
        <w:autoSpaceDN w:val="0"/>
        <w:adjustRightInd w:val="0"/>
        <w:snapToGrid w:val="0"/>
        <w:spacing w:line="400" w:lineRule="exact"/>
        <w:ind w:firstLine="420" w:firstLineChars="200"/>
        <w:jc w:val="left"/>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重庆高速资产经营管理有限公司</w:t>
      </w:r>
    </w:p>
    <w:p w14:paraId="1C4A58F6">
      <w:pPr>
        <w:tabs>
          <w:tab w:val="left" w:pos="5140"/>
          <w:tab w:val="left" w:pos="8420"/>
        </w:tabs>
        <w:autoSpaceDE w:val="0"/>
        <w:autoSpaceDN w:val="0"/>
        <w:adjustRightInd w:val="0"/>
        <w:snapToGrid w:val="0"/>
        <w:spacing w:line="400" w:lineRule="exact"/>
        <w:ind w:firstLine="420" w:firstLineChars="200"/>
        <w:jc w:val="left"/>
        <w:rPr>
          <w:rFonts w:hint="default" w:ascii="宋体" w:hAnsi="宋体"/>
          <w:snapToGrid w:val="0"/>
          <w:color w:val="auto"/>
          <w:kern w:val="0"/>
          <w:szCs w:val="21"/>
          <w:highlight w:val="none"/>
          <w:lang w:val="en-US"/>
        </w:rPr>
      </w:pPr>
      <w:r>
        <w:rPr>
          <w:rFonts w:hint="eastAsia" w:ascii="宋体" w:hAnsi="宋体"/>
          <w:snapToGrid w:val="0"/>
          <w:color w:val="auto"/>
          <w:kern w:val="0"/>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2212C494">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联系人：</w:t>
      </w:r>
      <w:r>
        <w:rPr>
          <w:rFonts w:hint="eastAsia" w:ascii="宋体" w:hAnsi="宋体" w:cs="Times New Roman"/>
          <w:color w:val="auto"/>
          <w:szCs w:val="21"/>
          <w:highlight w:val="none"/>
          <w:lang w:val="en-US" w:eastAsia="zh-CN"/>
        </w:rPr>
        <w:t>丁老师</w:t>
      </w:r>
    </w:p>
    <w:p w14:paraId="0B5F21B8">
      <w:pPr>
        <w:topLinePunct/>
        <w:spacing w:line="420" w:lineRule="exact"/>
        <w:ind w:firstLine="420" w:firstLineChars="20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p w14:paraId="6358F63A">
      <w:pPr>
        <w:pStyle w:val="18"/>
        <w:rPr>
          <w:color w:val="auto"/>
          <w:highlight w:val="none"/>
        </w:rPr>
      </w:pPr>
    </w:p>
    <w:p w14:paraId="631CBC5D">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rPr>
        <w:t>：重庆国际投资咨询集团有限公司</w:t>
      </w:r>
    </w:p>
    <w:p w14:paraId="38CF254F">
      <w:pPr>
        <w:tabs>
          <w:tab w:val="left" w:pos="5140"/>
          <w:tab w:val="left" w:pos="8420"/>
        </w:tabs>
        <w:autoSpaceDE w:val="0"/>
        <w:autoSpaceDN w:val="0"/>
        <w:adjustRightInd w:val="0"/>
        <w:snapToGrid w:val="0"/>
        <w:spacing w:line="40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地址：重庆市江北区五简路2号重庆咨询大厦A座</w:t>
      </w:r>
    </w:p>
    <w:p w14:paraId="56F953BA">
      <w:pPr>
        <w:tabs>
          <w:tab w:val="left" w:pos="5140"/>
          <w:tab w:val="left" w:pos="8420"/>
        </w:tabs>
        <w:autoSpaceDE w:val="0"/>
        <w:autoSpaceDN w:val="0"/>
        <w:adjustRightInd w:val="0"/>
        <w:snapToGrid w:val="0"/>
        <w:spacing w:line="400" w:lineRule="exact"/>
        <w:ind w:firstLine="420" w:firstLineChars="200"/>
        <w:jc w:val="left"/>
        <w:rPr>
          <w:rFonts w:hint="default" w:ascii="宋体" w:hAnsi="宋体" w:eastAsia="宋体"/>
          <w:snapToGrid w:val="0"/>
          <w:color w:val="auto"/>
          <w:kern w:val="0"/>
          <w:szCs w:val="21"/>
          <w:highlight w:val="none"/>
          <w:lang w:val="en-US" w:eastAsia="zh-CN"/>
        </w:rPr>
      </w:pPr>
      <w:r>
        <w:rPr>
          <w:rFonts w:hint="eastAsia" w:ascii="宋体" w:hAnsi="宋体"/>
          <w:snapToGrid w:val="0"/>
          <w:color w:val="auto"/>
          <w:kern w:val="0"/>
          <w:szCs w:val="21"/>
          <w:highlight w:val="none"/>
        </w:rPr>
        <w:t>联系人：谭老师</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李老师</w:t>
      </w:r>
    </w:p>
    <w:p w14:paraId="39915F9C">
      <w:pPr>
        <w:autoSpaceDE w:val="0"/>
        <w:autoSpaceDN w:val="0"/>
        <w:adjustRightInd w:val="0"/>
        <w:snapToGrid w:val="0"/>
        <w:spacing w:line="440" w:lineRule="exact"/>
        <w:ind w:firstLine="420" w:firstLineChars="200"/>
        <w:jc w:val="left"/>
        <w:rPr>
          <w:rFonts w:ascii="宋体" w:hAnsi="宋体"/>
          <w:snapToGrid w:val="0"/>
          <w:color w:val="auto"/>
          <w:kern w:val="0"/>
          <w:sz w:val="20"/>
          <w:szCs w:val="20"/>
          <w:highlight w:val="none"/>
        </w:rPr>
      </w:pPr>
      <w:r>
        <w:rPr>
          <w:rFonts w:hint="eastAsia" w:ascii="宋体" w:hAnsi="宋体"/>
          <w:snapToGrid w:val="0"/>
          <w:color w:val="auto"/>
          <w:kern w:val="0"/>
          <w:szCs w:val="21"/>
          <w:highlight w:val="none"/>
        </w:rPr>
        <w:t>电 话：</w:t>
      </w:r>
      <w:r>
        <w:rPr>
          <w:rFonts w:ascii="宋体" w:hAnsi="宋体"/>
          <w:snapToGrid w:val="0"/>
          <w:color w:val="auto"/>
          <w:kern w:val="0"/>
          <w:szCs w:val="21"/>
          <w:highlight w:val="none"/>
        </w:rPr>
        <w:t>023-67590752</w:t>
      </w:r>
    </w:p>
    <w:p w14:paraId="272435C2">
      <w:pPr>
        <w:pStyle w:val="18"/>
        <w:rPr>
          <w:snapToGrid w:val="0"/>
          <w:color w:val="auto"/>
          <w:highlight w:val="none"/>
        </w:rPr>
      </w:pPr>
      <w:r>
        <w:rPr>
          <w:snapToGrid w:val="0"/>
          <w:color w:val="auto"/>
          <w:highlight w:val="none"/>
        </w:rPr>
        <w:br w:type="page"/>
      </w:r>
    </w:p>
    <w:p w14:paraId="5008E4E0">
      <w:pPr>
        <w:pStyle w:val="2"/>
        <w:spacing w:line="360" w:lineRule="auto"/>
        <w:jc w:val="center"/>
        <w:rPr>
          <w:rFonts w:ascii="宋体" w:hAnsi="宋体"/>
          <w:bCs w:val="0"/>
          <w:snapToGrid w:val="0"/>
          <w:color w:val="auto"/>
          <w:kern w:val="0"/>
          <w:highlight w:val="none"/>
        </w:rPr>
      </w:pPr>
      <w:bookmarkStart w:id="83" w:name="_Toc430530432"/>
      <w:bookmarkStart w:id="84" w:name="_Toc1733"/>
      <w:bookmarkStart w:id="85" w:name="_Toc287607744"/>
      <w:bookmarkStart w:id="86" w:name="_Toc10561"/>
      <w:bookmarkStart w:id="87" w:name="_Toc224103315"/>
      <w:bookmarkStart w:id="88" w:name="_Toc287620683"/>
      <w:r>
        <w:rPr>
          <w:rFonts w:ascii="宋体" w:hAnsi="宋体"/>
          <w:snapToGrid w:val="0"/>
          <w:color w:val="auto"/>
          <w:kern w:val="0"/>
          <w:highlight w:val="none"/>
        </w:rPr>
        <w:t>第二章  投标人须知</w:t>
      </w:r>
      <w:bookmarkEnd w:id="83"/>
      <w:bookmarkEnd w:id="84"/>
      <w:bookmarkEnd w:id="85"/>
      <w:bookmarkEnd w:id="86"/>
      <w:bookmarkEnd w:id="87"/>
      <w:bookmarkEnd w:id="88"/>
      <w:bookmarkStart w:id="89" w:name="_Toc277082551"/>
      <w:bookmarkStart w:id="90" w:name="_Toc430530433"/>
      <w:bookmarkStart w:id="91" w:name="_Toc287620684"/>
      <w:bookmarkStart w:id="92" w:name="_Toc287607745"/>
      <w:bookmarkStart w:id="93" w:name="_Toc224103316"/>
    </w:p>
    <w:p w14:paraId="50510584">
      <w:pPr>
        <w:pStyle w:val="3"/>
        <w:spacing w:before="100" w:after="100" w:line="360" w:lineRule="auto"/>
        <w:rPr>
          <w:rFonts w:ascii="宋体" w:hAnsi="宋体"/>
          <w:color w:val="auto"/>
          <w:highlight w:val="none"/>
        </w:rPr>
      </w:pPr>
      <w:bookmarkStart w:id="94" w:name="_Toc509218708"/>
      <w:bookmarkStart w:id="95" w:name="_Toc29433"/>
      <w:r>
        <w:rPr>
          <w:rFonts w:hint="eastAsia" w:ascii="宋体" w:hAnsi="宋体"/>
          <w:color w:val="auto"/>
          <w:highlight w:val="none"/>
        </w:rPr>
        <w:t>投标人须知前附表</w:t>
      </w:r>
      <w:bookmarkEnd w:id="89"/>
      <w:bookmarkEnd w:id="90"/>
      <w:bookmarkEnd w:id="91"/>
      <w:bookmarkEnd w:id="92"/>
      <w:bookmarkEnd w:id="93"/>
      <w:bookmarkEnd w:id="94"/>
      <w:bookmarkEnd w:id="95"/>
    </w:p>
    <w:p w14:paraId="5EB3B770">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9"/>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34B1B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14:paraId="74694082">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 款 号</w:t>
            </w:r>
          </w:p>
        </w:tc>
        <w:tc>
          <w:tcPr>
            <w:tcW w:w="1644" w:type="dxa"/>
            <w:vAlign w:val="center"/>
          </w:tcPr>
          <w:p w14:paraId="55A8491F">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条款名称</w:t>
            </w:r>
          </w:p>
        </w:tc>
        <w:tc>
          <w:tcPr>
            <w:tcW w:w="6490" w:type="dxa"/>
            <w:vAlign w:val="center"/>
          </w:tcPr>
          <w:p w14:paraId="05EA3783">
            <w:pPr>
              <w:snapToGrid w:val="0"/>
              <w:spacing w:line="400" w:lineRule="exact"/>
              <w:jc w:val="center"/>
              <w:rPr>
                <w:rFonts w:ascii="宋体" w:hAnsi="宋体"/>
                <w:b/>
                <w:color w:val="auto"/>
                <w:kern w:val="0"/>
                <w:szCs w:val="21"/>
                <w:highlight w:val="none"/>
              </w:rPr>
            </w:pPr>
            <w:r>
              <w:rPr>
                <w:rFonts w:ascii="宋体" w:hAnsi="宋体"/>
                <w:b/>
                <w:color w:val="auto"/>
                <w:kern w:val="0"/>
                <w:szCs w:val="21"/>
                <w:highlight w:val="none"/>
              </w:rPr>
              <w:t>编  列  内  容</w:t>
            </w:r>
          </w:p>
        </w:tc>
      </w:tr>
      <w:tr w14:paraId="24205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91DE2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w:t>
            </w:r>
          </w:p>
        </w:tc>
        <w:tc>
          <w:tcPr>
            <w:tcW w:w="1644" w:type="dxa"/>
            <w:vAlign w:val="center"/>
          </w:tcPr>
          <w:p w14:paraId="6F3B7276">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490" w:type="dxa"/>
            <w:vAlign w:val="center"/>
          </w:tcPr>
          <w:p w14:paraId="1E1B3BD6">
            <w:pPr>
              <w:topLinePunct/>
              <w:snapToGrid/>
              <w:spacing w:line="420" w:lineRule="exact"/>
              <w:rPr>
                <w:rFonts w:hint="eastAsia" w:ascii="宋体" w:hAnsi="宋体" w:eastAsia="宋体"/>
                <w:snapToGrid w:val="0"/>
                <w:color w:val="auto"/>
                <w:kern w:val="0"/>
                <w:szCs w:val="21"/>
                <w:highlight w:val="none"/>
                <w:lang w:eastAsia="zh-CN"/>
              </w:rPr>
            </w:pPr>
            <w:r>
              <w:rPr>
                <w:rFonts w:ascii="宋体" w:hAnsi="宋体"/>
                <w:color w:val="auto"/>
                <w:kern w:val="0"/>
                <w:szCs w:val="21"/>
                <w:highlight w:val="none"/>
              </w:rPr>
              <w:t>名称：</w:t>
            </w:r>
            <w:r>
              <w:rPr>
                <w:rFonts w:hint="eastAsia" w:ascii="宋体" w:hAnsi="宋体"/>
                <w:snapToGrid w:val="0"/>
                <w:color w:val="auto"/>
                <w:kern w:val="0"/>
                <w:szCs w:val="21"/>
                <w:highlight w:val="none"/>
                <w:lang w:eastAsia="zh-CN"/>
              </w:rPr>
              <w:t>重庆高速资产经营管理有限公司</w:t>
            </w:r>
          </w:p>
          <w:p w14:paraId="6C01F895">
            <w:pPr>
              <w:topLinePunct/>
              <w:spacing w:line="420" w:lineRule="exact"/>
              <w:ind w:firstLine="0" w:firstLineChars="0"/>
              <w:rPr>
                <w:rFonts w:hint="default" w:ascii="宋体" w:hAnsi="宋体" w:eastAsia="宋体" w:cs="Times New Roman"/>
                <w:color w:val="auto"/>
                <w:szCs w:val="21"/>
                <w:highlight w:val="none"/>
                <w:lang w:val="en-US" w:eastAsia="zh-CN"/>
              </w:rPr>
            </w:pPr>
            <w:r>
              <w:rPr>
                <w:rFonts w:ascii="宋体" w:hAnsi="宋体" w:eastAsia="宋体" w:cs="Times New Roman"/>
                <w:color w:val="auto"/>
                <w:szCs w:val="21"/>
                <w:highlight w:val="none"/>
              </w:rPr>
              <w:t>地  址：</w:t>
            </w:r>
            <w:r>
              <w:rPr>
                <w:rFonts w:hint="eastAsia" w:ascii="宋体" w:hAnsi="宋体" w:eastAsia="宋体" w:cs="Times New Roman"/>
                <w:color w:val="auto"/>
                <w:szCs w:val="21"/>
                <w:highlight w:val="none"/>
              </w:rPr>
              <w:t>重庆市渝北区</w:t>
            </w:r>
            <w:r>
              <w:rPr>
                <w:rFonts w:hint="eastAsia" w:ascii="宋体" w:hAnsi="宋体" w:cs="Times New Roman"/>
                <w:color w:val="auto"/>
                <w:szCs w:val="21"/>
                <w:highlight w:val="none"/>
                <w:lang w:val="en-US" w:eastAsia="zh-CN"/>
              </w:rPr>
              <w:t>海王星大厦D座5F</w:t>
            </w:r>
          </w:p>
          <w:p w14:paraId="7D2CE2B8">
            <w:pPr>
              <w:topLinePunct/>
              <w:spacing w:line="420" w:lineRule="exact"/>
              <w:ind w:firstLine="0" w:firstLineChars="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联</w:t>
            </w:r>
            <w:r>
              <w:rPr>
                <w:rFonts w:ascii="宋体" w:hAnsi="宋体" w:eastAsia="宋体" w:cs="Times New Roman"/>
                <w:color w:val="auto"/>
                <w:szCs w:val="21"/>
                <w:highlight w:val="none"/>
              </w:rPr>
              <w:t>系人</w:t>
            </w:r>
            <w:r>
              <w:rPr>
                <w:rFonts w:hint="eastAsia" w:ascii="宋体" w:hAnsi="宋体" w:cs="Times New Roman"/>
                <w:color w:val="auto"/>
                <w:szCs w:val="21"/>
                <w:highlight w:val="none"/>
                <w:lang w:eastAsia="zh-CN"/>
              </w:rPr>
              <w:t>：</w:t>
            </w:r>
            <w:r>
              <w:rPr>
                <w:rFonts w:hint="eastAsia" w:ascii="宋体" w:hAnsi="宋体" w:cs="Times New Roman"/>
                <w:color w:val="auto"/>
                <w:szCs w:val="21"/>
                <w:highlight w:val="none"/>
                <w:lang w:val="en-US" w:eastAsia="zh-CN"/>
              </w:rPr>
              <w:t>丁老师</w:t>
            </w:r>
          </w:p>
          <w:p w14:paraId="04B2BA5E">
            <w:pPr>
              <w:topLinePunct/>
              <w:snapToGrid/>
              <w:spacing w:line="420" w:lineRule="exact"/>
              <w:rPr>
                <w:rFonts w:ascii="宋体" w:hAnsi="宋体"/>
                <w:color w:val="auto"/>
                <w:kern w:val="0"/>
                <w:szCs w:val="21"/>
                <w:highlight w:val="none"/>
              </w:rPr>
            </w:pPr>
            <w:r>
              <w:rPr>
                <w:rFonts w:ascii="宋体" w:hAnsi="宋体" w:eastAsia="宋体" w:cs="Times New Roman"/>
                <w:color w:val="auto"/>
                <w:szCs w:val="21"/>
                <w:highlight w:val="none"/>
              </w:rPr>
              <w:t>电话：</w:t>
            </w:r>
            <w:r>
              <w:rPr>
                <w:rFonts w:hint="eastAsia" w:ascii="宋体" w:hAnsi="宋体" w:cs="Times New Roman"/>
                <w:color w:val="auto"/>
                <w:szCs w:val="21"/>
                <w:highlight w:val="none"/>
                <w:lang w:val="en-US" w:eastAsia="zh-CN"/>
              </w:rPr>
              <w:t>023-89138382</w:t>
            </w:r>
          </w:p>
        </w:tc>
      </w:tr>
      <w:tr w14:paraId="0A8332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FDAD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1.1.3</w:t>
            </w:r>
          </w:p>
        </w:tc>
        <w:tc>
          <w:tcPr>
            <w:tcW w:w="1644" w:type="dxa"/>
            <w:vAlign w:val="center"/>
          </w:tcPr>
          <w:p w14:paraId="1E306A97">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490" w:type="dxa"/>
            <w:vAlign w:val="center"/>
          </w:tcPr>
          <w:p w14:paraId="4F55625D">
            <w:pPr>
              <w:snapToGrid w:val="0"/>
              <w:spacing w:line="400" w:lineRule="exact"/>
              <w:rPr>
                <w:rFonts w:ascii="宋体"/>
                <w:color w:val="auto"/>
                <w:kern w:val="0"/>
                <w:szCs w:val="21"/>
                <w:highlight w:val="none"/>
              </w:rPr>
            </w:pPr>
            <w:r>
              <w:rPr>
                <w:rFonts w:hint="eastAsia" w:ascii="宋体"/>
                <w:color w:val="auto"/>
                <w:kern w:val="0"/>
                <w:szCs w:val="21"/>
                <w:highlight w:val="none"/>
              </w:rPr>
              <w:t>名称：重庆国际投资咨询集团有限公司</w:t>
            </w:r>
          </w:p>
          <w:p w14:paraId="2AF07615">
            <w:pPr>
              <w:snapToGrid w:val="0"/>
              <w:spacing w:line="400" w:lineRule="exact"/>
              <w:rPr>
                <w:rFonts w:ascii="宋体"/>
                <w:color w:val="auto"/>
                <w:kern w:val="0"/>
                <w:szCs w:val="21"/>
                <w:highlight w:val="none"/>
              </w:rPr>
            </w:pPr>
            <w:r>
              <w:rPr>
                <w:rFonts w:hint="eastAsia" w:ascii="宋体"/>
                <w:color w:val="auto"/>
                <w:kern w:val="0"/>
                <w:szCs w:val="21"/>
                <w:highlight w:val="none"/>
              </w:rPr>
              <w:t xml:space="preserve">地址：重庆市江北区五简路2号重庆咨询大厦A栋 </w:t>
            </w:r>
          </w:p>
          <w:p w14:paraId="662F78B4">
            <w:pPr>
              <w:snapToGrid w:val="0"/>
              <w:spacing w:line="400" w:lineRule="exact"/>
              <w:rPr>
                <w:rFonts w:ascii="宋体"/>
                <w:color w:val="auto"/>
                <w:kern w:val="0"/>
                <w:szCs w:val="21"/>
                <w:highlight w:val="none"/>
              </w:rPr>
            </w:pPr>
            <w:r>
              <w:rPr>
                <w:rFonts w:hint="eastAsia" w:ascii="宋体"/>
                <w:color w:val="auto"/>
                <w:kern w:val="0"/>
                <w:szCs w:val="21"/>
                <w:highlight w:val="none"/>
              </w:rPr>
              <w:t>联系人：谭老师、</w:t>
            </w:r>
            <w:r>
              <w:rPr>
                <w:rFonts w:hint="eastAsia" w:ascii="宋体"/>
                <w:color w:val="auto"/>
                <w:kern w:val="0"/>
                <w:szCs w:val="21"/>
                <w:highlight w:val="none"/>
                <w:lang w:val="en-US" w:eastAsia="zh-CN"/>
              </w:rPr>
              <w:t>李</w:t>
            </w:r>
            <w:r>
              <w:rPr>
                <w:rFonts w:hint="eastAsia" w:ascii="宋体"/>
                <w:color w:val="auto"/>
                <w:kern w:val="0"/>
                <w:szCs w:val="21"/>
                <w:highlight w:val="none"/>
              </w:rPr>
              <w:t xml:space="preserve">老师                        </w:t>
            </w:r>
          </w:p>
          <w:p w14:paraId="49993AA3">
            <w:pPr>
              <w:snapToGrid w:val="0"/>
              <w:spacing w:line="400" w:lineRule="exact"/>
              <w:rPr>
                <w:rFonts w:ascii="宋体" w:hAnsi="宋体"/>
                <w:color w:val="auto"/>
                <w:kern w:val="0"/>
                <w:szCs w:val="21"/>
                <w:highlight w:val="none"/>
              </w:rPr>
            </w:pPr>
            <w:r>
              <w:rPr>
                <w:rFonts w:hint="eastAsia" w:ascii="宋体"/>
                <w:color w:val="auto"/>
                <w:kern w:val="0"/>
                <w:szCs w:val="21"/>
                <w:highlight w:val="none"/>
              </w:rPr>
              <w:t>电话：</w:t>
            </w:r>
            <w:r>
              <w:rPr>
                <w:rFonts w:ascii="宋体" w:hAnsi="宋体"/>
                <w:snapToGrid w:val="0"/>
                <w:color w:val="auto"/>
                <w:kern w:val="0"/>
                <w:szCs w:val="21"/>
                <w:highlight w:val="none"/>
              </w:rPr>
              <w:t>023-67590752</w:t>
            </w:r>
            <w:r>
              <w:rPr>
                <w:rFonts w:hint="eastAsia" w:ascii="宋体" w:hAnsi="宋体"/>
                <w:snapToGrid w:val="0"/>
                <w:color w:val="auto"/>
                <w:kern w:val="0"/>
                <w:szCs w:val="21"/>
                <w:highlight w:val="none"/>
              </w:rPr>
              <w:t>、023-67107374</w:t>
            </w:r>
          </w:p>
        </w:tc>
      </w:tr>
      <w:tr w14:paraId="63D439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A2307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1.1.4</w:t>
            </w:r>
          </w:p>
        </w:tc>
        <w:tc>
          <w:tcPr>
            <w:tcW w:w="1644" w:type="dxa"/>
            <w:vAlign w:val="center"/>
          </w:tcPr>
          <w:p w14:paraId="25CC3A4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招标</w:t>
            </w:r>
            <w:r>
              <w:rPr>
                <w:rFonts w:ascii="宋体" w:hAnsi="宋体"/>
                <w:color w:val="auto"/>
                <w:kern w:val="0"/>
                <w:szCs w:val="21"/>
                <w:highlight w:val="none"/>
              </w:rPr>
              <w:t>项目名称</w:t>
            </w:r>
          </w:p>
        </w:tc>
        <w:tc>
          <w:tcPr>
            <w:tcW w:w="6490" w:type="dxa"/>
            <w:vAlign w:val="center"/>
          </w:tcPr>
          <w:p w14:paraId="7EFDF5B5">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u w:val="single"/>
                <w:lang w:eastAsia="zh-CN"/>
              </w:rPr>
              <w:t>重庆高速公路集团有限公司集采中心2024年度钢材集中采购（钢筋网片）（第二次）</w:t>
            </w:r>
            <w:r>
              <w:rPr>
                <w:rFonts w:hint="eastAsia" w:ascii="宋体" w:hAnsi="宋体"/>
                <w:snapToGrid w:val="0"/>
                <w:color w:val="auto"/>
                <w:kern w:val="0"/>
                <w:szCs w:val="21"/>
                <w:highlight w:val="none"/>
                <w:u w:val="single"/>
              </w:rPr>
              <w:t xml:space="preserve"> </w:t>
            </w:r>
          </w:p>
        </w:tc>
      </w:tr>
      <w:tr w14:paraId="277355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23BC6C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1.1.5</w:t>
            </w:r>
          </w:p>
        </w:tc>
        <w:tc>
          <w:tcPr>
            <w:tcW w:w="1644" w:type="dxa"/>
            <w:vAlign w:val="center"/>
          </w:tcPr>
          <w:p w14:paraId="75FAD004">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建设地点</w:t>
            </w:r>
          </w:p>
        </w:tc>
        <w:tc>
          <w:tcPr>
            <w:tcW w:w="6490" w:type="dxa"/>
            <w:vAlign w:val="center"/>
          </w:tcPr>
          <w:p w14:paraId="12F313FE">
            <w:pPr>
              <w:snapToGrid w:val="0"/>
              <w:spacing w:line="40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见第一章招标公告</w:t>
            </w:r>
          </w:p>
        </w:tc>
      </w:tr>
      <w:tr w14:paraId="14BAED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FC338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1.1.6</w:t>
            </w:r>
          </w:p>
        </w:tc>
        <w:tc>
          <w:tcPr>
            <w:tcW w:w="1644" w:type="dxa"/>
            <w:vAlign w:val="center"/>
          </w:tcPr>
          <w:p w14:paraId="7EF0BB9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项目</w:t>
            </w:r>
            <w:r>
              <w:rPr>
                <w:rFonts w:ascii="宋体" w:hAnsi="宋体"/>
                <w:color w:val="auto"/>
                <w:kern w:val="0"/>
                <w:szCs w:val="21"/>
                <w:highlight w:val="none"/>
              </w:rPr>
              <w:t>建设规模</w:t>
            </w:r>
          </w:p>
        </w:tc>
        <w:tc>
          <w:tcPr>
            <w:tcW w:w="6490" w:type="dxa"/>
            <w:vAlign w:val="center"/>
          </w:tcPr>
          <w:p w14:paraId="2B107BE5">
            <w:pPr>
              <w:tabs>
                <w:tab w:val="left" w:pos="3840"/>
                <w:tab w:val="left" w:pos="5300"/>
              </w:tabs>
              <w:autoSpaceDE w:val="0"/>
              <w:autoSpaceDN w:val="0"/>
              <w:adjustRightInd w:val="0"/>
              <w:snapToGrid w:val="0"/>
              <w:spacing w:line="460" w:lineRule="exact"/>
              <w:rPr>
                <w:rFonts w:ascii="宋体" w:hAnsi="宋体"/>
                <w:i/>
                <w:snapToGrid w:val="0"/>
                <w:color w:val="auto"/>
                <w:kern w:val="0"/>
                <w:szCs w:val="21"/>
                <w:highlight w:val="none"/>
              </w:rPr>
            </w:pPr>
            <w:r>
              <w:rPr>
                <w:rFonts w:hint="eastAsia" w:ascii="宋体" w:hAnsi="宋体"/>
                <w:snapToGrid w:val="0"/>
                <w:color w:val="auto"/>
                <w:kern w:val="0"/>
                <w:szCs w:val="21"/>
                <w:highlight w:val="none"/>
              </w:rPr>
              <w:t>见第一章招标公告</w:t>
            </w:r>
          </w:p>
        </w:tc>
      </w:tr>
      <w:tr w14:paraId="57B55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F196D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.1.7</w:t>
            </w:r>
          </w:p>
        </w:tc>
        <w:tc>
          <w:tcPr>
            <w:tcW w:w="1644" w:type="dxa"/>
            <w:vAlign w:val="center"/>
          </w:tcPr>
          <w:p w14:paraId="7A557857">
            <w:pPr>
              <w:snapToGrid w:val="0"/>
              <w:spacing w:line="400" w:lineRule="exact"/>
              <w:jc w:val="center"/>
              <w:rPr>
                <w:color w:val="auto"/>
                <w:highlight w:val="none"/>
              </w:rPr>
            </w:pPr>
            <w:r>
              <w:rPr>
                <w:rFonts w:hint="eastAsia" w:ascii="宋体" w:hAnsi="宋体"/>
                <w:color w:val="auto"/>
                <w:kern w:val="0"/>
                <w:szCs w:val="21"/>
                <w:highlight w:val="none"/>
              </w:rPr>
              <w:t>项目估算金额</w:t>
            </w:r>
          </w:p>
        </w:tc>
        <w:tc>
          <w:tcPr>
            <w:tcW w:w="6490" w:type="dxa"/>
            <w:vAlign w:val="center"/>
          </w:tcPr>
          <w:p w14:paraId="19E82BAE">
            <w:pPr>
              <w:tabs>
                <w:tab w:val="left" w:pos="3840"/>
                <w:tab w:val="left" w:pos="5300"/>
              </w:tabs>
              <w:autoSpaceDE w:val="0"/>
              <w:autoSpaceDN w:val="0"/>
              <w:adjustRightInd w:val="0"/>
              <w:snapToGrid w:val="0"/>
              <w:spacing w:line="460" w:lineRule="exact"/>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见第一章招标公告</w:t>
            </w:r>
          </w:p>
        </w:tc>
      </w:tr>
      <w:tr w14:paraId="35DDF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A45F2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1.2.1</w:t>
            </w:r>
          </w:p>
        </w:tc>
        <w:tc>
          <w:tcPr>
            <w:tcW w:w="1644" w:type="dxa"/>
            <w:vAlign w:val="center"/>
          </w:tcPr>
          <w:p w14:paraId="36B55CB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资金来源</w:t>
            </w:r>
            <w:r>
              <w:rPr>
                <w:rFonts w:hint="eastAsia" w:ascii="宋体" w:hAnsi="宋体"/>
                <w:color w:val="auto"/>
                <w:kern w:val="0"/>
                <w:szCs w:val="21"/>
                <w:highlight w:val="none"/>
              </w:rPr>
              <w:t>及比例</w:t>
            </w:r>
          </w:p>
        </w:tc>
        <w:tc>
          <w:tcPr>
            <w:tcW w:w="6490" w:type="dxa"/>
            <w:vAlign w:val="center"/>
          </w:tcPr>
          <w:p w14:paraId="59C69FF2">
            <w:pPr>
              <w:tabs>
                <w:tab w:val="left" w:pos="3840"/>
                <w:tab w:val="left" w:pos="5300"/>
              </w:tabs>
              <w:autoSpaceDE w:val="0"/>
              <w:autoSpaceDN w:val="0"/>
              <w:adjustRightInd w:val="0"/>
              <w:snapToGrid w:val="0"/>
              <w:spacing w:line="46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见第一章招标公告</w:t>
            </w:r>
          </w:p>
        </w:tc>
      </w:tr>
      <w:tr w14:paraId="6041A0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F7C84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1.2.2</w:t>
            </w:r>
          </w:p>
        </w:tc>
        <w:tc>
          <w:tcPr>
            <w:tcW w:w="1644" w:type="dxa"/>
            <w:vAlign w:val="center"/>
          </w:tcPr>
          <w:p w14:paraId="1B5355A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资金落实情况</w:t>
            </w:r>
          </w:p>
        </w:tc>
        <w:tc>
          <w:tcPr>
            <w:tcW w:w="6490" w:type="dxa"/>
            <w:vAlign w:val="center"/>
          </w:tcPr>
          <w:p w14:paraId="5E4E7B14">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u w:val="single"/>
              </w:rPr>
              <w:t>已落实</w:t>
            </w:r>
          </w:p>
        </w:tc>
      </w:tr>
      <w:tr w14:paraId="284996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76D7DE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1.3.1</w:t>
            </w:r>
          </w:p>
        </w:tc>
        <w:tc>
          <w:tcPr>
            <w:tcW w:w="1644" w:type="dxa"/>
            <w:vAlign w:val="center"/>
          </w:tcPr>
          <w:p w14:paraId="413FF69D">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比选范围</w:t>
            </w:r>
          </w:p>
        </w:tc>
        <w:tc>
          <w:tcPr>
            <w:tcW w:w="6490" w:type="dxa"/>
            <w:vAlign w:val="center"/>
          </w:tcPr>
          <w:p w14:paraId="72DFFEB4">
            <w:pPr>
              <w:snapToGrid w:val="0"/>
              <w:spacing w:line="400" w:lineRule="exact"/>
              <w:rPr>
                <w:rFonts w:ascii="宋体" w:hAnsi="宋体"/>
                <w:i/>
                <w:color w:val="auto"/>
                <w:szCs w:val="21"/>
                <w:highlight w:val="none"/>
              </w:rPr>
            </w:pPr>
            <w:r>
              <w:rPr>
                <w:rFonts w:hint="eastAsia" w:ascii="宋体" w:hAnsi="宋体"/>
                <w:snapToGrid w:val="0"/>
                <w:color w:val="auto"/>
                <w:kern w:val="0"/>
                <w:szCs w:val="21"/>
                <w:highlight w:val="none"/>
              </w:rPr>
              <w:t>见第一章招标公告</w:t>
            </w:r>
          </w:p>
        </w:tc>
      </w:tr>
      <w:tr w14:paraId="3BFE84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605A68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1.3.2</w:t>
            </w:r>
          </w:p>
        </w:tc>
        <w:tc>
          <w:tcPr>
            <w:tcW w:w="1644" w:type="dxa"/>
            <w:vAlign w:val="center"/>
          </w:tcPr>
          <w:p w14:paraId="76BE3E5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服务期限</w:t>
            </w:r>
          </w:p>
        </w:tc>
        <w:tc>
          <w:tcPr>
            <w:tcW w:w="6490" w:type="dxa"/>
            <w:vAlign w:val="center"/>
          </w:tcPr>
          <w:p w14:paraId="7B8F30C0">
            <w:pPr>
              <w:snapToGrid w:val="0"/>
              <w:spacing w:line="400" w:lineRule="exact"/>
              <w:rPr>
                <w:rFonts w:ascii="宋体" w:hAnsi="宋体"/>
                <w:snapToGrid w:val="0"/>
                <w:color w:val="auto"/>
                <w:kern w:val="0"/>
                <w:szCs w:val="21"/>
                <w:highlight w:val="none"/>
              </w:rPr>
            </w:pPr>
            <w:r>
              <w:rPr>
                <w:rFonts w:hint="eastAsia" w:ascii="宋体" w:hAnsi="宋体"/>
                <w:snapToGrid w:val="0"/>
                <w:color w:val="auto"/>
                <w:kern w:val="0"/>
                <w:szCs w:val="21"/>
                <w:highlight w:val="none"/>
              </w:rPr>
              <w:t>见第一章招标公告</w:t>
            </w:r>
          </w:p>
        </w:tc>
      </w:tr>
      <w:tr w14:paraId="0B07B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DA2C94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1.3.3</w:t>
            </w:r>
          </w:p>
        </w:tc>
        <w:tc>
          <w:tcPr>
            <w:tcW w:w="1644" w:type="dxa"/>
            <w:vAlign w:val="center"/>
          </w:tcPr>
          <w:p w14:paraId="31D929F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质量</w:t>
            </w:r>
            <w:r>
              <w:rPr>
                <w:rFonts w:hint="eastAsia" w:ascii="宋体" w:hAnsi="宋体"/>
                <w:color w:val="auto"/>
                <w:kern w:val="0"/>
                <w:szCs w:val="21"/>
                <w:highlight w:val="none"/>
              </w:rPr>
              <w:t>标准</w:t>
            </w:r>
          </w:p>
        </w:tc>
        <w:tc>
          <w:tcPr>
            <w:tcW w:w="6490" w:type="dxa"/>
            <w:vAlign w:val="center"/>
          </w:tcPr>
          <w:p w14:paraId="671710C0">
            <w:pPr>
              <w:tabs>
                <w:tab w:val="left" w:pos="3840"/>
                <w:tab w:val="left" w:pos="5300"/>
              </w:tabs>
              <w:autoSpaceDE w:val="0"/>
              <w:autoSpaceDN w:val="0"/>
              <w:adjustRightInd w:val="0"/>
              <w:snapToGrid w:val="0"/>
              <w:spacing w:line="460" w:lineRule="exact"/>
              <w:jc w:val="left"/>
              <w:rPr>
                <w:rFonts w:ascii="宋体" w:hAnsi="宋体"/>
                <w:color w:val="auto"/>
                <w:szCs w:val="21"/>
                <w:highlight w:val="none"/>
              </w:rPr>
            </w:pPr>
            <w:r>
              <w:rPr>
                <w:rFonts w:hint="eastAsia" w:ascii="宋体" w:hAnsi="宋体"/>
                <w:snapToGrid w:val="0"/>
                <w:color w:val="auto"/>
                <w:kern w:val="0"/>
                <w:szCs w:val="21"/>
                <w:highlight w:val="none"/>
              </w:rPr>
              <w:t>见第一章招标公告</w:t>
            </w:r>
          </w:p>
        </w:tc>
      </w:tr>
      <w:tr w14:paraId="2C214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1335" w:type="dxa"/>
            <w:vAlign w:val="center"/>
          </w:tcPr>
          <w:p w14:paraId="6179A5CE">
            <w:pPr>
              <w:snapToGrid w:val="0"/>
              <w:spacing w:line="400" w:lineRule="exact"/>
              <w:jc w:val="center"/>
              <w:rPr>
                <w:rFonts w:ascii="宋体" w:hAnsi="宋体"/>
                <w:color w:val="auto"/>
                <w:kern w:val="0"/>
                <w:szCs w:val="21"/>
                <w:highlight w:val="none"/>
              </w:rPr>
            </w:pPr>
          </w:p>
          <w:p w14:paraId="6593912C">
            <w:pPr>
              <w:snapToGrid w:val="0"/>
              <w:spacing w:line="400" w:lineRule="exact"/>
              <w:jc w:val="center"/>
              <w:rPr>
                <w:rFonts w:ascii="宋体" w:hAnsi="宋体"/>
                <w:color w:val="auto"/>
                <w:kern w:val="0"/>
                <w:szCs w:val="21"/>
                <w:highlight w:val="none"/>
              </w:rPr>
            </w:pPr>
          </w:p>
          <w:p w14:paraId="33607FA7">
            <w:pPr>
              <w:snapToGrid w:val="0"/>
              <w:spacing w:line="400" w:lineRule="exact"/>
              <w:jc w:val="center"/>
              <w:rPr>
                <w:rFonts w:ascii="宋体" w:hAnsi="宋体"/>
                <w:color w:val="auto"/>
                <w:kern w:val="0"/>
                <w:szCs w:val="21"/>
                <w:highlight w:val="none"/>
              </w:rPr>
            </w:pPr>
          </w:p>
          <w:p w14:paraId="09B42896">
            <w:pPr>
              <w:snapToGrid w:val="0"/>
              <w:spacing w:line="400" w:lineRule="exact"/>
              <w:jc w:val="center"/>
              <w:rPr>
                <w:rFonts w:ascii="宋体" w:hAnsi="宋体"/>
                <w:color w:val="auto"/>
                <w:kern w:val="0"/>
                <w:szCs w:val="21"/>
                <w:highlight w:val="none"/>
              </w:rPr>
            </w:pPr>
          </w:p>
          <w:p w14:paraId="6B991B8C">
            <w:pPr>
              <w:snapToGrid w:val="0"/>
              <w:spacing w:line="400" w:lineRule="exact"/>
              <w:jc w:val="center"/>
              <w:rPr>
                <w:rFonts w:ascii="宋体" w:hAnsi="宋体"/>
                <w:color w:val="auto"/>
                <w:kern w:val="0"/>
                <w:szCs w:val="21"/>
                <w:highlight w:val="none"/>
              </w:rPr>
            </w:pPr>
          </w:p>
          <w:p w14:paraId="7B4B0E9B">
            <w:pPr>
              <w:snapToGrid w:val="0"/>
              <w:spacing w:line="400" w:lineRule="exact"/>
              <w:jc w:val="center"/>
              <w:rPr>
                <w:rFonts w:ascii="宋体" w:hAnsi="宋体"/>
                <w:color w:val="auto"/>
                <w:kern w:val="0"/>
                <w:szCs w:val="21"/>
                <w:highlight w:val="none"/>
              </w:rPr>
            </w:pPr>
          </w:p>
          <w:p w14:paraId="184DC840">
            <w:pPr>
              <w:snapToGrid w:val="0"/>
              <w:spacing w:line="400" w:lineRule="exact"/>
              <w:jc w:val="center"/>
              <w:rPr>
                <w:rFonts w:ascii="宋体" w:hAnsi="宋体"/>
                <w:color w:val="auto"/>
                <w:kern w:val="0"/>
                <w:szCs w:val="21"/>
                <w:highlight w:val="none"/>
              </w:rPr>
            </w:pPr>
          </w:p>
          <w:p w14:paraId="25E21F07">
            <w:pPr>
              <w:snapToGrid w:val="0"/>
              <w:spacing w:line="400" w:lineRule="exact"/>
              <w:jc w:val="center"/>
              <w:rPr>
                <w:rFonts w:ascii="宋体" w:hAnsi="宋体"/>
                <w:color w:val="auto"/>
                <w:kern w:val="0"/>
                <w:szCs w:val="21"/>
                <w:highlight w:val="none"/>
              </w:rPr>
            </w:pPr>
          </w:p>
          <w:p w14:paraId="586C5816">
            <w:pPr>
              <w:snapToGrid w:val="0"/>
              <w:spacing w:line="400" w:lineRule="exact"/>
              <w:jc w:val="center"/>
              <w:rPr>
                <w:rFonts w:ascii="宋体" w:hAnsi="宋体"/>
                <w:color w:val="auto"/>
                <w:kern w:val="0"/>
                <w:szCs w:val="21"/>
                <w:highlight w:val="none"/>
              </w:rPr>
            </w:pPr>
          </w:p>
          <w:p w14:paraId="2363E7A1">
            <w:pPr>
              <w:snapToGrid w:val="0"/>
              <w:spacing w:line="400" w:lineRule="exact"/>
              <w:jc w:val="center"/>
              <w:rPr>
                <w:rFonts w:ascii="宋体" w:hAnsi="宋体"/>
                <w:color w:val="auto"/>
                <w:kern w:val="0"/>
                <w:szCs w:val="21"/>
                <w:highlight w:val="none"/>
              </w:rPr>
            </w:pPr>
          </w:p>
          <w:p w14:paraId="73602B67">
            <w:pPr>
              <w:snapToGrid w:val="0"/>
              <w:spacing w:line="400" w:lineRule="exact"/>
              <w:jc w:val="center"/>
              <w:rPr>
                <w:rFonts w:ascii="宋体" w:hAnsi="宋体"/>
                <w:color w:val="auto"/>
                <w:kern w:val="0"/>
                <w:szCs w:val="21"/>
                <w:highlight w:val="none"/>
              </w:rPr>
            </w:pPr>
          </w:p>
          <w:p w14:paraId="613B4807">
            <w:pPr>
              <w:snapToGrid w:val="0"/>
              <w:spacing w:line="400" w:lineRule="exact"/>
              <w:jc w:val="center"/>
              <w:rPr>
                <w:rFonts w:ascii="宋体" w:hAnsi="宋体"/>
                <w:color w:val="auto"/>
                <w:kern w:val="0"/>
                <w:szCs w:val="21"/>
                <w:highlight w:val="none"/>
              </w:rPr>
            </w:pPr>
          </w:p>
          <w:p w14:paraId="6DB4D336">
            <w:pPr>
              <w:snapToGrid w:val="0"/>
              <w:spacing w:line="400" w:lineRule="exact"/>
              <w:jc w:val="center"/>
              <w:rPr>
                <w:rFonts w:ascii="宋体" w:hAnsi="宋体"/>
                <w:color w:val="auto"/>
                <w:kern w:val="0"/>
                <w:szCs w:val="21"/>
                <w:highlight w:val="none"/>
              </w:rPr>
            </w:pPr>
          </w:p>
          <w:p w14:paraId="272E0A35">
            <w:pPr>
              <w:snapToGrid w:val="0"/>
              <w:spacing w:line="400" w:lineRule="exact"/>
              <w:jc w:val="center"/>
              <w:rPr>
                <w:rFonts w:ascii="宋体" w:hAnsi="宋体"/>
                <w:color w:val="auto"/>
                <w:kern w:val="0"/>
                <w:szCs w:val="21"/>
                <w:highlight w:val="none"/>
              </w:rPr>
            </w:pPr>
          </w:p>
          <w:p w14:paraId="7A909646">
            <w:pPr>
              <w:snapToGrid w:val="0"/>
              <w:spacing w:line="400" w:lineRule="exact"/>
              <w:jc w:val="center"/>
              <w:rPr>
                <w:rFonts w:ascii="宋体" w:hAnsi="宋体"/>
                <w:color w:val="auto"/>
                <w:kern w:val="0"/>
                <w:szCs w:val="21"/>
                <w:highlight w:val="none"/>
              </w:rPr>
            </w:pPr>
          </w:p>
          <w:p w14:paraId="13287FB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65EE0133">
            <w:pPr>
              <w:snapToGrid w:val="0"/>
              <w:spacing w:line="400" w:lineRule="exact"/>
              <w:jc w:val="center"/>
              <w:rPr>
                <w:rFonts w:ascii="宋体" w:hAnsi="宋体"/>
                <w:color w:val="auto"/>
                <w:kern w:val="0"/>
                <w:szCs w:val="21"/>
                <w:highlight w:val="none"/>
              </w:rPr>
            </w:pPr>
          </w:p>
          <w:p w14:paraId="47CE0359">
            <w:pPr>
              <w:snapToGrid w:val="0"/>
              <w:spacing w:line="400" w:lineRule="exact"/>
              <w:jc w:val="center"/>
              <w:rPr>
                <w:rFonts w:ascii="宋体" w:hAnsi="宋体"/>
                <w:color w:val="auto"/>
                <w:kern w:val="0"/>
                <w:szCs w:val="21"/>
                <w:highlight w:val="none"/>
              </w:rPr>
            </w:pPr>
          </w:p>
          <w:p w14:paraId="5092CDB5">
            <w:pPr>
              <w:snapToGrid w:val="0"/>
              <w:spacing w:line="400" w:lineRule="exact"/>
              <w:jc w:val="center"/>
              <w:rPr>
                <w:rFonts w:ascii="宋体" w:hAnsi="宋体"/>
                <w:color w:val="auto"/>
                <w:kern w:val="0"/>
                <w:szCs w:val="21"/>
                <w:highlight w:val="none"/>
              </w:rPr>
            </w:pPr>
          </w:p>
          <w:p w14:paraId="45DB7FBF">
            <w:pPr>
              <w:snapToGrid w:val="0"/>
              <w:spacing w:line="400" w:lineRule="exact"/>
              <w:jc w:val="center"/>
              <w:rPr>
                <w:rFonts w:ascii="宋体" w:hAnsi="宋体"/>
                <w:color w:val="auto"/>
                <w:kern w:val="0"/>
                <w:szCs w:val="21"/>
                <w:highlight w:val="none"/>
              </w:rPr>
            </w:pPr>
          </w:p>
          <w:p w14:paraId="1F66E6A9">
            <w:pPr>
              <w:snapToGrid w:val="0"/>
              <w:spacing w:line="400" w:lineRule="exact"/>
              <w:jc w:val="center"/>
              <w:rPr>
                <w:rFonts w:ascii="宋体" w:hAnsi="宋体"/>
                <w:color w:val="auto"/>
                <w:kern w:val="0"/>
                <w:szCs w:val="21"/>
                <w:highlight w:val="none"/>
              </w:rPr>
            </w:pPr>
          </w:p>
          <w:p w14:paraId="036C2F3F">
            <w:pPr>
              <w:snapToGrid w:val="0"/>
              <w:spacing w:line="400" w:lineRule="exact"/>
              <w:jc w:val="center"/>
              <w:rPr>
                <w:rFonts w:ascii="宋体" w:hAnsi="宋体"/>
                <w:color w:val="auto"/>
                <w:kern w:val="0"/>
                <w:szCs w:val="21"/>
                <w:highlight w:val="none"/>
              </w:rPr>
            </w:pPr>
          </w:p>
          <w:p w14:paraId="0D4F53E5">
            <w:pPr>
              <w:snapToGrid w:val="0"/>
              <w:spacing w:line="400" w:lineRule="exact"/>
              <w:jc w:val="center"/>
              <w:rPr>
                <w:rFonts w:ascii="宋体" w:hAnsi="宋体"/>
                <w:color w:val="auto"/>
                <w:kern w:val="0"/>
                <w:szCs w:val="21"/>
                <w:highlight w:val="none"/>
              </w:rPr>
            </w:pPr>
          </w:p>
          <w:p w14:paraId="00AEF703">
            <w:pPr>
              <w:snapToGrid w:val="0"/>
              <w:spacing w:line="400" w:lineRule="exact"/>
              <w:jc w:val="center"/>
              <w:rPr>
                <w:rFonts w:ascii="宋体" w:hAnsi="宋体"/>
                <w:color w:val="auto"/>
                <w:kern w:val="0"/>
                <w:szCs w:val="21"/>
                <w:highlight w:val="none"/>
              </w:rPr>
            </w:pPr>
          </w:p>
          <w:p w14:paraId="71D377AC">
            <w:pPr>
              <w:snapToGrid w:val="0"/>
              <w:spacing w:line="400" w:lineRule="exact"/>
              <w:jc w:val="center"/>
              <w:rPr>
                <w:rFonts w:ascii="宋体" w:hAnsi="宋体"/>
                <w:color w:val="auto"/>
                <w:kern w:val="0"/>
                <w:szCs w:val="21"/>
                <w:highlight w:val="none"/>
              </w:rPr>
            </w:pPr>
          </w:p>
          <w:p w14:paraId="04EB74AB">
            <w:pPr>
              <w:snapToGrid w:val="0"/>
              <w:spacing w:line="400" w:lineRule="exact"/>
              <w:jc w:val="center"/>
              <w:rPr>
                <w:rFonts w:ascii="宋体" w:hAnsi="宋体"/>
                <w:color w:val="auto"/>
                <w:kern w:val="0"/>
                <w:szCs w:val="21"/>
                <w:highlight w:val="none"/>
              </w:rPr>
            </w:pPr>
          </w:p>
          <w:p w14:paraId="2153B01E">
            <w:pPr>
              <w:snapToGrid w:val="0"/>
              <w:spacing w:line="400" w:lineRule="exact"/>
              <w:jc w:val="center"/>
              <w:rPr>
                <w:rFonts w:ascii="宋体" w:hAnsi="宋体"/>
                <w:color w:val="auto"/>
                <w:kern w:val="0"/>
                <w:szCs w:val="21"/>
                <w:highlight w:val="none"/>
              </w:rPr>
            </w:pPr>
          </w:p>
          <w:p w14:paraId="3C9450B2">
            <w:pPr>
              <w:snapToGrid w:val="0"/>
              <w:spacing w:line="400" w:lineRule="exact"/>
              <w:jc w:val="center"/>
              <w:rPr>
                <w:rFonts w:ascii="宋体" w:hAnsi="宋体"/>
                <w:color w:val="auto"/>
                <w:kern w:val="0"/>
                <w:szCs w:val="21"/>
                <w:highlight w:val="none"/>
              </w:rPr>
            </w:pPr>
          </w:p>
          <w:p w14:paraId="69C3CB56">
            <w:pPr>
              <w:snapToGrid w:val="0"/>
              <w:spacing w:line="400" w:lineRule="exact"/>
              <w:jc w:val="center"/>
              <w:rPr>
                <w:rFonts w:ascii="宋体" w:hAnsi="宋体"/>
                <w:color w:val="auto"/>
                <w:kern w:val="0"/>
                <w:szCs w:val="21"/>
                <w:highlight w:val="none"/>
              </w:rPr>
            </w:pPr>
          </w:p>
          <w:p w14:paraId="768F015E">
            <w:pPr>
              <w:snapToGrid w:val="0"/>
              <w:spacing w:line="400" w:lineRule="exact"/>
              <w:jc w:val="center"/>
              <w:rPr>
                <w:rFonts w:ascii="宋体" w:hAnsi="宋体"/>
                <w:color w:val="auto"/>
                <w:kern w:val="0"/>
                <w:szCs w:val="21"/>
                <w:highlight w:val="none"/>
              </w:rPr>
            </w:pPr>
          </w:p>
          <w:p w14:paraId="410073C1">
            <w:pPr>
              <w:snapToGrid w:val="0"/>
              <w:spacing w:line="400" w:lineRule="exact"/>
              <w:jc w:val="center"/>
              <w:rPr>
                <w:rFonts w:ascii="宋体" w:hAnsi="宋体"/>
                <w:color w:val="auto"/>
                <w:kern w:val="0"/>
                <w:szCs w:val="21"/>
                <w:highlight w:val="none"/>
              </w:rPr>
            </w:pPr>
          </w:p>
          <w:p w14:paraId="6D0BF9DA">
            <w:pPr>
              <w:snapToGrid w:val="0"/>
              <w:spacing w:line="400" w:lineRule="exact"/>
              <w:jc w:val="center"/>
              <w:rPr>
                <w:rFonts w:ascii="宋体" w:hAnsi="宋体"/>
                <w:color w:val="auto"/>
                <w:kern w:val="0"/>
                <w:szCs w:val="21"/>
                <w:highlight w:val="none"/>
              </w:rPr>
            </w:pPr>
          </w:p>
          <w:p w14:paraId="7245C76B">
            <w:pPr>
              <w:snapToGrid w:val="0"/>
              <w:spacing w:line="400" w:lineRule="exact"/>
              <w:jc w:val="center"/>
              <w:rPr>
                <w:rFonts w:ascii="宋体" w:hAnsi="宋体"/>
                <w:color w:val="auto"/>
                <w:kern w:val="0"/>
                <w:szCs w:val="21"/>
                <w:highlight w:val="none"/>
              </w:rPr>
            </w:pPr>
          </w:p>
          <w:p w14:paraId="6F7969D5">
            <w:pPr>
              <w:snapToGrid w:val="0"/>
              <w:spacing w:line="400" w:lineRule="exact"/>
              <w:jc w:val="center"/>
              <w:rPr>
                <w:rFonts w:ascii="宋体" w:hAnsi="宋体"/>
                <w:color w:val="auto"/>
                <w:kern w:val="0"/>
                <w:szCs w:val="21"/>
                <w:highlight w:val="none"/>
              </w:rPr>
            </w:pPr>
          </w:p>
          <w:p w14:paraId="7156F18E">
            <w:pPr>
              <w:snapToGrid w:val="0"/>
              <w:spacing w:line="400" w:lineRule="exact"/>
              <w:jc w:val="center"/>
              <w:rPr>
                <w:rFonts w:ascii="宋体" w:hAnsi="宋体"/>
                <w:color w:val="auto"/>
                <w:kern w:val="0"/>
                <w:szCs w:val="21"/>
                <w:highlight w:val="none"/>
              </w:rPr>
            </w:pPr>
          </w:p>
          <w:p w14:paraId="62BD0A61">
            <w:pPr>
              <w:snapToGrid w:val="0"/>
              <w:spacing w:line="400" w:lineRule="exact"/>
              <w:jc w:val="center"/>
              <w:rPr>
                <w:rFonts w:ascii="宋体" w:hAnsi="宋体"/>
                <w:color w:val="auto"/>
                <w:kern w:val="0"/>
                <w:szCs w:val="21"/>
                <w:highlight w:val="none"/>
              </w:rPr>
            </w:pPr>
          </w:p>
          <w:p w14:paraId="0C6ED8E6">
            <w:pPr>
              <w:snapToGrid w:val="0"/>
              <w:spacing w:line="400" w:lineRule="exact"/>
              <w:jc w:val="center"/>
              <w:rPr>
                <w:rFonts w:ascii="宋体" w:hAnsi="宋体"/>
                <w:color w:val="auto"/>
                <w:kern w:val="0"/>
                <w:szCs w:val="21"/>
                <w:highlight w:val="none"/>
              </w:rPr>
            </w:pPr>
          </w:p>
          <w:p w14:paraId="19C188B8">
            <w:pPr>
              <w:snapToGrid w:val="0"/>
              <w:spacing w:line="400" w:lineRule="exact"/>
              <w:jc w:val="center"/>
              <w:rPr>
                <w:rFonts w:ascii="宋体" w:hAnsi="宋体"/>
                <w:color w:val="auto"/>
                <w:kern w:val="0"/>
                <w:szCs w:val="21"/>
                <w:highlight w:val="none"/>
              </w:rPr>
            </w:pPr>
          </w:p>
          <w:p w14:paraId="7F1ABA9F">
            <w:pPr>
              <w:snapToGrid w:val="0"/>
              <w:spacing w:line="400" w:lineRule="exact"/>
              <w:jc w:val="center"/>
              <w:rPr>
                <w:rFonts w:ascii="宋体" w:hAnsi="宋体"/>
                <w:color w:val="auto"/>
                <w:kern w:val="0"/>
                <w:szCs w:val="21"/>
                <w:highlight w:val="none"/>
              </w:rPr>
            </w:pPr>
          </w:p>
          <w:p w14:paraId="0DE73547">
            <w:pPr>
              <w:snapToGrid w:val="0"/>
              <w:spacing w:line="400" w:lineRule="exact"/>
              <w:jc w:val="center"/>
              <w:rPr>
                <w:rFonts w:ascii="宋体" w:hAnsi="宋体"/>
                <w:color w:val="auto"/>
                <w:kern w:val="0"/>
                <w:szCs w:val="21"/>
                <w:highlight w:val="none"/>
              </w:rPr>
            </w:pPr>
          </w:p>
          <w:p w14:paraId="3470C12F">
            <w:pPr>
              <w:snapToGrid w:val="0"/>
              <w:spacing w:line="400" w:lineRule="exact"/>
              <w:jc w:val="center"/>
              <w:rPr>
                <w:rFonts w:ascii="宋体" w:hAnsi="宋体"/>
                <w:color w:val="auto"/>
                <w:kern w:val="0"/>
                <w:szCs w:val="21"/>
                <w:highlight w:val="none"/>
              </w:rPr>
            </w:pPr>
          </w:p>
          <w:p w14:paraId="7018F69A">
            <w:pPr>
              <w:snapToGrid w:val="0"/>
              <w:spacing w:line="400" w:lineRule="exact"/>
              <w:jc w:val="center"/>
              <w:rPr>
                <w:rFonts w:ascii="宋体" w:hAnsi="宋体"/>
                <w:color w:val="auto"/>
                <w:kern w:val="0"/>
                <w:szCs w:val="21"/>
                <w:highlight w:val="none"/>
              </w:rPr>
            </w:pPr>
          </w:p>
          <w:p w14:paraId="02393232">
            <w:pPr>
              <w:snapToGrid w:val="0"/>
              <w:spacing w:line="400" w:lineRule="exact"/>
              <w:jc w:val="center"/>
              <w:rPr>
                <w:rFonts w:ascii="宋体" w:hAnsi="宋体"/>
                <w:color w:val="auto"/>
                <w:kern w:val="0"/>
                <w:szCs w:val="21"/>
                <w:highlight w:val="none"/>
              </w:rPr>
            </w:pPr>
          </w:p>
          <w:p w14:paraId="7B0AD4D6">
            <w:pPr>
              <w:snapToGrid w:val="0"/>
              <w:spacing w:line="400" w:lineRule="exact"/>
              <w:jc w:val="center"/>
              <w:rPr>
                <w:rFonts w:ascii="宋体" w:hAnsi="宋体"/>
                <w:color w:val="auto"/>
                <w:kern w:val="0"/>
                <w:szCs w:val="21"/>
                <w:highlight w:val="none"/>
              </w:rPr>
            </w:pPr>
          </w:p>
          <w:p w14:paraId="7D2CD864">
            <w:pPr>
              <w:snapToGrid w:val="0"/>
              <w:spacing w:line="400" w:lineRule="exact"/>
              <w:jc w:val="center"/>
              <w:rPr>
                <w:rFonts w:ascii="宋体" w:hAnsi="宋体"/>
                <w:color w:val="auto"/>
                <w:kern w:val="0"/>
                <w:szCs w:val="21"/>
                <w:highlight w:val="none"/>
              </w:rPr>
            </w:pPr>
          </w:p>
          <w:p w14:paraId="3F52148E">
            <w:pPr>
              <w:snapToGrid w:val="0"/>
              <w:spacing w:line="400" w:lineRule="exact"/>
              <w:jc w:val="center"/>
              <w:rPr>
                <w:rFonts w:ascii="宋体" w:hAnsi="宋体"/>
                <w:color w:val="auto"/>
                <w:kern w:val="0"/>
                <w:szCs w:val="21"/>
                <w:highlight w:val="none"/>
              </w:rPr>
            </w:pPr>
          </w:p>
          <w:p w14:paraId="191CC057">
            <w:pPr>
              <w:snapToGrid w:val="0"/>
              <w:spacing w:line="400" w:lineRule="exact"/>
              <w:jc w:val="center"/>
              <w:rPr>
                <w:rFonts w:ascii="宋体" w:hAnsi="宋体"/>
                <w:color w:val="auto"/>
                <w:kern w:val="0"/>
                <w:szCs w:val="21"/>
                <w:highlight w:val="none"/>
              </w:rPr>
            </w:pPr>
          </w:p>
          <w:p w14:paraId="20D45ACC">
            <w:pPr>
              <w:snapToGrid w:val="0"/>
              <w:spacing w:line="400" w:lineRule="exact"/>
              <w:jc w:val="center"/>
              <w:rPr>
                <w:rFonts w:ascii="宋体" w:hAnsi="宋体"/>
                <w:color w:val="auto"/>
                <w:kern w:val="0"/>
                <w:szCs w:val="21"/>
                <w:highlight w:val="none"/>
              </w:rPr>
            </w:pPr>
          </w:p>
          <w:p w14:paraId="28F397E6">
            <w:pPr>
              <w:snapToGrid w:val="0"/>
              <w:spacing w:line="400" w:lineRule="exact"/>
              <w:jc w:val="center"/>
              <w:rPr>
                <w:rFonts w:ascii="宋体" w:hAnsi="宋体"/>
                <w:color w:val="auto"/>
                <w:kern w:val="0"/>
                <w:szCs w:val="21"/>
                <w:highlight w:val="none"/>
              </w:rPr>
            </w:pPr>
          </w:p>
          <w:p w14:paraId="42D83D85">
            <w:pPr>
              <w:snapToGrid w:val="0"/>
              <w:spacing w:line="400" w:lineRule="exact"/>
              <w:jc w:val="center"/>
              <w:rPr>
                <w:rFonts w:ascii="宋体" w:hAnsi="宋体"/>
                <w:color w:val="auto"/>
                <w:kern w:val="0"/>
                <w:szCs w:val="21"/>
                <w:highlight w:val="none"/>
              </w:rPr>
            </w:pPr>
          </w:p>
          <w:p w14:paraId="05271FC7">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w:t>
            </w:r>
            <w:r>
              <w:rPr>
                <w:rFonts w:ascii="宋体" w:hAnsi="宋体"/>
                <w:color w:val="auto"/>
                <w:kern w:val="0"/>
                <w:szCs w:val="21"/>
                <w:highlight w:val="none"/>
              </w:rPr>
              <w:t>.4.1</w:t>
            </w:r>
          </w:p>
          <w:p w14:paraId="40A0A088">
            <w:pPr>
              <w:snapToGrid w:val="0"/>
              <w:spacing w:line="400" w:lineRule="exact"/>
              <w:jc w:val="center"/>
              <w:rPr>
                <w:rFonts w:ascii="宋体" w:hAnsi="宋体"/>
                <w:color w:val="auto"/>
                <w:kern w:val="0"/>
                <w:szCs w:val="21"/>
                <w:highlight w:val="none"/>
              </w:rPr>
            </w:pPr>
          </w:p>
          <w:p w14:paraId="6C18531C">
            <w:pPr>
              <w:snapToGrid w:val="0"/>
              <w:spacing w:line="400" w:lineRule="exact"/>
              <w:jc w:val="center"/>
              <w:rPr>
                <w:rFonts w:ascii="宋体" w:hAnsi="宋体"/>
                <w:color w:val="auto"/>
                <w:kern w:val="0"/>
                <w:szCs w:val="21"/>
                <w:highlight w:val="none"/>
              </w:rPr>
            </w:pPr>
          </w:p>
          <w:p w14:paraId="531CC071">
            <w:pPr>
              <w:snapToGrid w:val="0"/>
              <w:spacing w:line="400" w:lineRule="exact"/>
              <w:jc w:val="center"/>
              <w:rPr>
                <w:rFonts w:ascii="宋体" w:hAnsi="宋体"/>
                <w:color w:val="auto"/>
                <w:kern w:val="0"/>
                <w:szCs w:val="21"/>
                <w:highlight w:val="none"/>
              </w:rPr>
            </w:pPr>
          </w:p>
          <w:p w14:paraId="29D153E5">
            <w:pPr>
              <w:snapToGrid w:val="0"/>
              <w:spacing w:line="400" w:lineRule="exact"/>
              <w:jc w:val="center"/>
              <w:rPr>
                <w:rFonts w:ascii="宋体" w:hAnsi="宋体"/>
                <w:color w:val="auto"/>
                <w:kern w:val="0"/>
                <w:szCs w:val="21"/>
                <w:highlight w:val="none"/>
              </w:rPr>
            </w:pPr>
          </w:p>
          <w:p w14:paraId="0DA6AA09">
            <w:pPr>
              <w:snapToGrid w:val="0"/>
              <w:spacing w:line="400" w:lineRule="exact"/>
              <w:jc w:val="center"/>
              <w:rPr>
                <w:rFonts w:ascii="宋体" w:hAnsi="宋体"/>
                <w:color w:val="auto"/>
                <w:kern w:val="0"/>
                <w:szCs w:val="21"/>
                <w:highlight w:val="none"/>
              </w:rPr>
            </w:pPr>
          </w:p>
          <w:p w14:paraId="254F84A1">
            <w:pPr>
              <w:snapToGrid w:val="0"/>
              <w:spacing w:line="400" w:lineRule="exact"/>
              <w:jc w:val="center"/>
              <w:rPr>
                <w:rFonts w:ascii="宋体" w:hAnsi="宋体"/>
                <w:color w:val="auto"/>
                <w:kern w:val="0"/>
                <w:szCs w:val="21"/>
                <w:highlight w:val="none"/>
              </w:rPr>
            </w:pPr>
          </w:p>
          <w:p w14:paraId="5550E034">
            <w:pPr>
              <w:snapToGrid w:val="0"/>
              <w:spacing w:line="400" w:lineRule="exact"/>
              <w:jc w:val="center"/>
              <w:rPr>
                <w:rFonts w:ascii="宋体" w:hAnsi="宋体"/>
                <w:color w:val="auto"/>
                <w:kern w:val="0"/>
                <w:szCs w:val="21"/>
                <w:highlight w:val="none"/>
              </w:rPr>
            </w:pPr>
          </w:p>
          <w:p w14:paraId="755E989B">
            <w:pPr>
              <w:snapToGrid w:val="0"/>
              <w:spacing w:line="400" w:lineRule="exact"/>
              <w:jc w:val="center"/>
              <w:rPr>
                <w:rFonts w:ascii="宋体" w:hAnsi="宋体"/>
                <w:color w:val="auto"/>
                <w:kern w:val="0"/>
                <w:szCs w:val="21"/>
                <w:highlight w:val="none"/>
              </w:rPr>
            </w:pPr>
          </w:p>
          <w:p w14:paraId="7D3DC861">
            <w:pPr>
              <w:snapToGrid w:val="0"/>
              <w:spacing w:line="400" w:lineRule="exact"/>
              <w:jc w:val="center"/>
              <w:rPr>
                <w:rFonts w:ascii="宋体" w:hAnsi="宋体"/>
                <w:color w:val="auto"/>
                <w:kern w:val="0"/>
                <w:szCs w:val="21"/>
                <w:highlight w:val="none"/>
              </w:rPr>
            </w:pPr>
          </w:p>
          <w:p w14:paraId="51C0AF60">
            <w:pPr>
              <w:snapToGrid w:val="0"/>
              <w:spacing w:line="400" w:lineRule="exact"/>
              <w:jc w:val="center"/>
              <w:rPr>
                <w:rFonts w:ascii="宋体" w:hAnsi="宋体"/>
                <w:color w:val="auto"/>
                <w:kern w:val="0"/>
                <w:szCs w:val="21"/>
                <w:highlight w:val="none"/>
              </w:rPr>
            </w:pPr>
          </w:p>
          <w:p w14:paraId="1FF880BF">
            <w:pPr>
              <w:snapToGrid w:val="0"/>
              <w:spacing w:line="400" w:lineRule="exact"/>
              <w:jc w:val="center"/>
              <w:rPr>
                <w:rFonts w:ascii="宋体" w:hAnsi="宋体"/>
                <w:color w:val="auto"/>
                <w:kern w:val="0"/>
                <w:szCs w:val="21"/>
                <w:highlight w:val="none"/>
              </w:rPr>
            </w:pPr>
          </w:p>
          <w:p w14:paraId="4893BB26">
            <w:pPr>
              <w:snapToGrid w:val="0"/>
              <w:spacing w:line="400" w:lineRule="exact"/>
              <w:jc w:val="center"/>
              <w:rPr>
                <w:rFonts w:ascii="宋体" w:hAnsi="宋体"/>
                <w:color w:val="auto"/>
                <w:kern w:val="0"/>
                <w:szCs w:val="21"/>
                <w:highlight w:val="none"/>
              </w:rPr>
            </w:pPr>
          </w:p>
          <w:p w14:paraId="51D76655">
            <w:pPr>
              <w:snapToGrid w:val="0"/>
              <w:spacing w:line="400" w:lineRule="exact"/>
              <w:jc w:val="both"/>
              <w:rPr>
                <w:rFonts w:ascii="宋体" w:hAnsi="宋体"/>
                <w:color w:val="auto"/>
                <w:kern w:val="0"/>
                <w:szCs w:val="21"/>
                <w:highlight w:val="none"/>
              </w:rPr>
            </w:pPr>
          </w:p>
        </w:tc>
        <w:tc>
          <w:tcPr>
            <w:tcW w:w="1644" w:type="dxa"/>
            <w:vAlign w:val="center"/>
          </w:tcPr>
          <w:p w14:paraId="5946B513">
            <w:pPr>
              <w:snapToGrid w:val="0"/>
              <w:spacing w:line="400" w:lineRule="exact"/>
              <w:jc w:val="center"/>
              <w:rPr>
                <w:rFonts w:ascii="宋体" w:hAnsi="宋体"/>
                <w:color w:val="auto"/>
                <w:kern w:val="0"/>
                <w:szCs w:val="21"/>
                <w:highlight w:val="none"/>
              </w:rPr>
            </w:pPr>
          </w:p>
          <w:p w14:paraId="0066A0B3">
            <w:pPr>
              <w:snapToGrid w:val="0"/>
              <w:spacing w:line="400" w:lineRule="exact"/>
              <w:jc w:val="center"/>
              <w:rPr>
                <w:rFonts w:ascii="宋体" w:hAnsi="宋体"/>
                <w:color w:val="auto"/>
                <w:kern w:val="0"/>
                <w:szCs w:val="21"/>
                <w:highlight w:val="none"/>
              </w:rPr>
            </w:pPr>
          </w:p>
          <w:p w14:paraId="480DC071">
            <w:pPr>
              <w:snapToGrid w:val="0"/>
              <w:spacing w:line="400" w:lineRule="exact"/>
              <w:jc w:val="center"/>
              <w:rPr>
                <w:rFonts w:ascii="宋体" w:hAnsi="宋体"/>
                <w:color w:val="auto"/>
                <w:kern w:val="0"/>
                <w:szCs w:val="21"/>
                <w:highlight w:val="none"/>
              </w:rPr>
            </w:pPr>
          </w:p>
          <w:p w14:paraId="2FE90022">
            <w:pPr>
              <w:snapToGrid w:val="0"/>
              <w:spacing w:line="400" w:lineRule="exact"/>
              <w:jc w:val="center"/>
              <w:rPr>
                <w:rFonts w:ascii="宋体" w:hAnsi="宋体"/>
                <w:color w:val="auto"/>
                <w:kern w:val="0"/>
                <w:szCs w:val="21"/>
                <w:highlight w:val="none"/>
              </w:rPr>
            </w:pPr>
          </w:p>
          <w:p w14:paraId="6BDB8C54">
            <w:pPr>
              <w:snapToGrid w:val="0"/>
              <w:spacing w:line="400" w:lineRule="exact"/>
              <w:jc w:val="center"/>
              <w:rPr>
                <w:rFonts w:ascii="宋体" w:hAnsi="宋体"/>
                <w:color w:val="auto"/>
                <w:kern w:val="0"/>
                <w:szCs w:val="21"/>
                <w:highlight w:val="none"/>
              </w:rPr>
            </w:pPr>
          </w:p>
          <w:p w14:paraId="47384003">
            <w:pPr>
              <w:snapToGrid w:val="0"/>
              <w:spacing w:line="400" w:lineRule="exact"/>
              <w:jc w:val="center"/>
              <w:rPr>
                <w:rFonts w:ascii="宋体" w:hAnsi="宋体"/>
                <w:color w:val="auto"/>
                <w:kern w:val="0"/>
                <w:szCs w:val="21"/>
                <w:highlight w:val="none"/>
              </w:rPr>
            </w:pPr>
          </w:p>
          <w:p w14:paraId="48BD3812">
            <w:pPr>
              <w:snapToGrid w:val="0"/>
              <w:spacing w:line="400" w:lineRule="exact"/>
              <w:jc w:val="center"/>
              <w:rPr>
                <w:rFonts w:ascii="宋体" w:hAnsi="宋体"/>
                <w:color w:val="auto"/>
                <w:kern w:val="0"/>
                <w:szCs w:val="21"/>
                <w:highlight w:val="none"/>
              </w:rPr>
            </w:pPr>
          </w:p>
          <w:p w14:paraId="71434AB1">
            <w:pPr>
              <w:snapToGrid w:val="0"/>
              <w:spacing w:line="400" w:lineRule="exact"/>
              <w:jc w:val="center"/>
              <w:rPr>
                <w:rFonts w:ascii="宋体" w:hAnsi="宋体"/>
                <w:color w:val="auto"/>
                <w:kern w:val="0"/>
                <w:szCs w:val="21"/>
                <w:highlight w:val="none"/>
              </w:rPr>
            </w:pPr>
          </w:p>
          <w:p w14:paraId="5FD2FBA9">
            <w:pPr>
              <w:snapToGrid w:val="0"/>
              <w:spacing w:line="400" w:lineRule="exact"/>
              <w:jc w:val="center"/>
              <w:rPr>
                <w:rFonts w:ascii="宋体" w:hAnsi="宋体"/>
                <w:color w:val="auto"/>
                <w:kern w:val="0"/>
                <w:szCs w:val="21"/>
                <w:highlight w:val="none"/>
              </w:rPr>
            </w:pPr>
          </w:p>
          <w:p w14:paraId="1C8D2FFB">
            <w:pPr>
              <w:snapToGrid w:val="0"/>
              <w:spacing w:line="400" w:lineRule="exact"/>
              <w:jc w:val="center"/>
              <w:rPr>
                <w:rFonts w:ascii="宋体" w:hAnsi="宋体"/>
                <w:color w:val="auto"/>
                <w:kern w:val="0"/>
                <w:szCs w:val="21"/>
                <w:highlight w:val="none"/>
              </w:rPr>
            </w:pPr>
          </w:p>
          <w:p w14:paraId="40BFE022">
            <w:pPr>
              <w:snapToGrid w:val="0"/>
              <w:spacing w:line="400" w:lineRule="exact"/>
              <w:jc w:val="center"/>
              <w:rPr>
                <w:rFonts w:ascii="宋体" w:hAnsi="宋体"/>
                <w:color w:val="auto"/>
                <w:kern w:val="0"/>
                <w:szCs w:val="21"/>
                <w:highlight w:val="none"/>
              </w:rPr>
            </w:pPr>
          </w:p>
          <w:p w14:paraId="5BC7AC3C">
            <w:pPr>
              <w:snapToGrid w:val="0"/>
              <w:spacing w:line="400" w:lineRule="exact"/>
              <w:jc w:val="center"/>
              <w:rPr>
                <w:rFonts w:ascii="宋体" w:hAnsi="宋体"/>
                <w:color w:val="auto"/>
                <w:kern w:val="0"/>
                <w:szCs w:val="21"/>
                <w:highlight w:val="none"/>
              </w:rPr>
            </w:pPr>
          </w:p>
          <w:p w14:paraId="56630D40">
            <w:pPr>
              <w:snapToGrid w:val="0"/>
              <w:spacing w:line="400" w:lineRule="exact"/>
              <w:jc w:val="center"/>
              <w:rPr>
                <w:rFonts w:ascii="宋体" w:hAnsi="宋体"/>
                <w:color w:val="auto"/>
                <w:kern w:val="0"/>
                <w:szCs w:val="21"/>
                <w:highlight w:val="none"/>
              </w:rPr>
            </w:pPr>
          </w:p>
          <w:p w14:paraId="3C1AE7CA">
            <w:pPr>
              <w:snapToGrid w:val="0"/>
              <w:spacing w:line="400" w:lineRule="exact"/>
              <w:jc w:val="center"/>
              <w:rPr>
                <w:rFonts w:ascii="宋体" w:hAnsi="宋体"/>
                <w:color w:val="auto"/>
                <w:kern w:val="0"/>
                <w:szCs w:val="21"/>
                <w:highlight w:val="none"/>
              </w:rPr>
            </w:pPr>
          </w:p>
          <w:p w14:paraId="569942F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3F4F1A30">
            <w:pPr>
              <w:snapToGrid w:val="0"/>
              <w:spacing w:line="400" w:lineRule="exact"/>
              <w:jc w:val="center"/>
              <w:rPr>
                <w:rFonts w:ascii="宋体" w:hAnsi="宋体"/>
                <w:color w:val="auto"/>
                <w:kern w:val="0"/>
                <w:szCs w:val="21"/>
                <w:highlight w:val="none"/>
              </w:rPr>
            </w:pPr>
          </w:p>
          <w:p w14:paraId="1A7C53E4">
            <w:pPr>
              <w:snapToGrid w:val="0"/>
              <w:spacing w:line="400" w:lineRule="exact"/>
              <w:jc w:val="center"/>
              <w:rPr>
                <w:rFonts w:ascii="宋体" w:hAnsi="宋体"/>
                <w:color w:val="auto"/>
                <w:kern w:val="0"/>
                <w:szCs w:val="21"/>
                <w:highlight w:val="none"/>
              </w:rPr>
            </w:pPr>
          </w:p>
          <w:p w14:paraId="546B2D44">
            <w:pPr>
              <w:snapToGrid w:val="0"/>
              <w:spacing w:line="400" w:lineRule="exact"/>
              <w:jc w:val="center"/>
              <w:rPr>
                <w:rFonts w:ascii="宋体" w:hAnsi="宋体"/>
                <w:color w:val="auto"/>
                <w:kern w:val="0"/>
                <w:szCs w:val="21"/>
                <w:highlight w:val="none"/>
              </w:rPr>
            </w:pPr>
          </w:p>
          <w:p w14:paraId="307873D4">
            <w:pPr>
              <w:snapToGrid w:val="0"/>
              <w:spacing w:line="400" w:lineRule="exact"/>
              <w:jc w:val="center"/>
              <w:rPr>
                <w:rFonts w:ascii="宋体" w:hAnsi="宋体"/>
                <w:color w:val="auto"/>
                <w:kern w:val="0"/>
                <w:szCs w:val="21"/>
                <w:highlight w:val="none"/>
              </w:rPr>
            </w:pPr>
          </w:p>
          <w:p w14:paraId="10EE9CB4">
            <w:pPr>
              <w:snapToGrid w:val="0"/>
              <w:spacing w:line="400" w:lineRule="exact"/>
              <w:jc w:val="center"/>
              <w:rPr>
                <w:rFonts w:ascii="宋体" w:hAnsi="宋体"/>
                <w:color w:val="auto"/>
                <w:kern w:val="0"/>
                <w:szCs w:val="21"/>
                <w:highlight w:val="none"/>
              </w:rPr>
            </w:pPr>
          </w:p>
          <w:p w14:paraId="171C807F">
            <w:pPr>
              <w:snapToGrid w:val="0"/>
              <w:spacing w:line="400" w:lineRule="exact"/>
              <w:jc w:val="center"/>
              <w:rPr>
                <w:rFonts w:ascii="宋体" w:hAnsi="宋体"/>
                <w:color w:val="auto"/>
                <w:kern w:val="0"/>
                <w:szCs w:val="21"/>
                <w:highlight w:val="none"/>
              </w:rPr>
            </w:pPr>
          </w:p>
          <w:p w14:paraId="10218D69">
            <w:pPr>
              <w:snapToGrid w:val="0"/>
              <w:spacing w:line="400" w:lineRule="exact"/>
              <w:jc w:val="center"/>
              <w:rPr>
                <w:rFonts w:ascii="宋体" w:hAnsi="宋体"/>
                <w:color w:val="auto"/>
                <w:kern w:val="0"/>
                <w:szCs w:val="21"/>
                <w:highlight w:val="none"/>
              </w:rPr>
            </w:pPr>
          </w:p>
          <w:p w14:paraId="36381830">
            <w:pPr>
              <w:snapToGrid w:val="0"/>
              <w:spacing w:line="400" w:lineRule="exact"/>
              <w:jc w:val="center"/>
              <w:rPr>
                <w:rFonts w:ascii="宋体" w:hAnsi="宋体"/>
                <w:color w:val="auto"/>
                <w:kern w:val="0"/>
                <w:szCs w:val="21"/>
                <w:highlight w:val="none"/>
              </w:rPr>
            </w:pPr>
          </w:p>
          <w:p w14:paraId="10071625">
            <w:pPr>
              <w:snapToGrid w:val="0"/>
              <w:spacing w:line="400" w:lineRule="exact"/>
              <w:jc w:val="center"/>
              <w:rPr>
                <w:rFonts w:ascii="宋体" w:hAnsi="宋体"/>
                <w:color w:val="auto"/>
                <w:kern w:val="0"/>
                <w:szCs w:val="21"/>
                <w:highlight w:val="none"/>
              </w:rPr>
            </w:pPr>
          </w:p>
          <w:p w14:paraId="1DD65304">
            <w:pPr>
              <w:snapToGrid w:val="0"/>
              <w:spacing w:line="400" w:lineRule="exact"/>
              <w:jc w:val="center"/>
              <w:rPr>
                <w:rFonts w:ascii="宋体" w:hAnsi="宋体"/>
                <w:color w:val="auto"/>
                <w:kern w:val="0"/>
                <w:szCs w:val="21"/>
                <w:highlight w:val="none"/>
              </w:rPr>
            </w:pPr>
          </w:p>
          <w:p w14:paraId="65053777">
            <w:pPr>
              <w:snapToGrid w:val="0"/>
              <w:spacing w:line="400" w:lineRule="exact"/>
              <w:jc w:val="center"/>
              <w:rPr>
                <w:rFonts w:ascii="宋体" w:hAnsi="宋体"/>
                <w:color w:val="auto"/>
                <w:kern w:val="0"/>
                <w:szCs w:val="21"/>
                <w:highlight w:val="none"/>
              </w:rPr>
            </w:pPr>
          </w:p>
          <w:p w14:paraId="4F8E076C">
            <w:pPr>
              <w:snapToGrid w:val="0"/>
              <w:spacing w:line="400" w:lineRule="exact"/>
              <w:jc w:val="center"/>
              <w:rPr>
                <w:rFonts w:ascii="宋体" w:hAnsi="宋体"/>
                <w:color w:val="auto"/>
                <w:kern w:val="0"/>
                <w:szCs w:val="21"/>
                <w:highlight w:val="none"/>
              </w:rPr>
            </w:pPr>
          </w:p>
          <w:p w14:paraId="0B2B69C2">
            <w:pPr>
              <w:snapToGrid w:val="0"/>
              <w:spacing w:line="400" w:lineRule="exact"/>
              <w:jc w:val="center"/>
              <w:rPr>
                <w:rFonts w:ascii="宋体" w:hAnsi="宋体"/>
                <w:color w:val="auto"/>
                <w:kern w:val="0"/>
                <w:szCs w:val="21"/>
                <w:highlight w:val="none"/>
              </w:rPr>
            </w:pPr>
          </w:p>
          <w:p w14:paraId="60B4903A">
            <w:pPr>
              <w:snapToGrid w:val="0"/>
              <w:spacing w:line="400" w:lineRule="exact"/>
              <w:jc w:val="center"/>
              <w:rPr>
                <w:rFonts w:ascii="宋体" w:hAnsi="宋体"/>
                <w:color w:val="auto"/>
                <w:kern w:val="0"/>
                <w:szCs w:val="21"/>
                <w:highlight w:val="none"/>
              </w:rPr>
            </w:pPr>
          </w:p>
          <w:p w14:paraId="69C7714A">
            <w:pPr>
              <w:snapToGrid w:val="0"/>
              <w:spacing w:line="400" w:lineRule="exact"/>
              <w:jc w:val="center"/>
              <w:rPr>
                <w:rFonts w:ascii="宋体" w:hAnsi="宋体"/>
                <w:color w:val="auto"/>
                <w:kern w:val="0"/>
                <w:szCs w:val="21"/>
                <w:highlight w:val="none"/>
              </w:rPr>
            </w:pPr>
          </w:p>
          <w:p w14:paraId="2BD6A2F1">
            <w:pPr>
              <w:snapToGrid w:val="0"/>
              <w:spacing w:line="400" w:lineRule="exact"/>
              <w:jc w:val="center"/>
              <w:rPr>
                <w:rFonts w:ascii="宋体" w:hAnsi="宋体"/>
                <w:color w:val="auto"/>
                <w:kern w:val="0"/>
                <w:szCs w:val="21"/>
                <w:highlight w:val="none"/>
              </w:rPr>
            </w:pPr>
          </w:p>
          <w:p w14:paraId="2057C9B4">
            <w:pPr>
              <w:snapToGrid w:val="0"/>
              <w:spacing w:line="400" w:lineRule="exact"/>
              <w:jc w:val="center"/>
              <w:rPr>
                <w:rFonts w:ascii="宋体" w:hAnsi="宋体"/>
                <w:color w:val="auto"/>
                <w:kern w:val="0"/>
                <w:szCs w:val="21"/>
                <w:highlight w:val="none"/>
              </w:rPr>
            </w:pPr>
          </w:p>
          <w:p w14:paraId="475DBA3D">
            <w:pPr>
              <w:snapToGrid w:val="0"/>
              <w:spacing w:line="400" w:lineRule="exact"/>
              <w:jc w:val="center"/>
              <w:rPr>
                <w:rFonts w:ascii="宋体" w:hAnsi="宋体"/>
                <w:color w:val="auto"/>
                <w:kern w:val="0"/>
                <w:szCs w:val="21"/>
                <w:highlight w:val="none"/>
              </w:rPr>
            </w:pPr>
          </w:p>
          <w:p w14:paraId="6A59B866">
            <w:pPr>
              <w:snapToGrid w:val="0"/>
              <w:spacing w:line="400" w:lineRule="exact"/>
              <w:jc w:val="center"/>
              <w:rPr>
                <w:rFonts w:ascii="宋体" w:hAnsi="宋体"/>
                <w:color w:val="auto"/>
                <w:kern w:val="0"/>
                <w:szCs w:val="21"/>
                <w:highlight w:val="none"/>
              </w:rPr>
            </w:pPr>
          </w:p>
          <w:p w14:paraId="6FA9E96D">
            <w:pPr>
              <w:snapToGrid w:val="0"/>
              <w:spacing w:line="400" w:lineRule="exact"/>
              <w:jc w:val="center"/>
              <w:rPr>
                <w:rFonts w:ascii="宋体" w:hAnsi="宋体"/>
                <w:color w:val="auto"/>
                <w:kern w:val="0"/>
                <w:szCs w:val="21"/>
                <w:highlight w:val="none"/>
              </w:rPr>
            </w:pPr>
          </w:p>
          <w:p w14:paraId="6B89BE06">
            <w:pPr>
              <w:snapToGrid w:val="0"/>
              <w:spacing w:line="400" w:lineRule="exact"/>
              <w:jc w:val="center"/>
              <w:rPr>
                <w:rFonts w:ascii="宋体" w:hAnsi="宋体"/>
                <w:color w:val="auto"/>
                <w:kern w:val="0"/>
                <w:szCs w:val="21"/>
                <w:highlight w:val="none"/>
              </w:rPr>
            </w:pPr>
          </w:p>
          <w:p w14:paraId="7EA6DC5E">
            <w:pPr>
              <w:snapToGrid w:val="0"/>
              <w:spacing w:line="400" w:lineRule="exact"/>
              <w:jc w:val="center"/>
              <w:rPr>
                <w:rFonts w:ascii="宋体" w:hAnsi="宋体"/>
                <w:color w:val="auto"/>
                <w:kern w:val="0"/>
                <w:szCs w:val="21"/>
                <w:highlight w:val="none"/>
              </w:rPr>
            </w:pPr>
          </w:p>
          <w:p w14:paraId="674B6CA1">
            <w:pPr>
              <w:snapToGrid w:val="0"/>
              <w:spacing w:line="400" w:lineRule="exact"/>
              <w:jc w:val="center"/>
              <w:rPr>
                <w:rFonts w:ascii="宋体" w:hAnsi="宋体"/>
                <w:color w:val="auto"/>
                <w:kern w:val="0"/>
                <w:szCs w:val="21"/>
                <w:highlight w:val="none"/>
              </w:rPr>
            </w:pPr>
          </w:p>
          <w:p w14:paraId="4440C66C">
            <w:pPr>
              <w:snapToGrid w:val="0"/>
              <w:spacing w:line="400" w:lineRule="exact"/>
              <w:jc w:val="center"/>
              <w:rPr>
                <w:rFonts w:ascii="宋体" w:hAnsi="宋体"/>
                <w:color w:val="auto"/>
                <w:kern w:val="0"/>
                <w:szCs w:val="21"/>
                <w:highlight w:val="none"/>
              </w:rPr>
            </w:pPr>
          </w:p>
          <w:p w14:paraId="53351452">
            <w:pPr>
              <w:snapToGrid w:val="0"/>
              <w:spacing w:line="400" w:lineRule="exact"/>
              <w:jc w:val="center"/>
              <w:rPr>
                <w:rFonts w:ascii="宋体" w:hAnsi="宋体"/>
                <w:color w:val="auto"/>
                <w:kern w:val="0"/>
                <w:szCs w:val="21"/>
                <w:highlight w:val="none"/>
              </w:rPr>
            </w:pPr>
          </w:p>
          <w:p w14:paraId="2AB31C18">
            <w:pPr>
              <w:snapToGrid w:val="0"/>
              <w:spacing w:line="400" w:lineRule="exact"/>
              <w:jc w:val="center"/>
              <w:rPr>
                <w:rFonts w:ascii="宋体" w:hAnsi="宋体"/>
                <w:color w:val="auto"/>
                <w:kern w:val="0"/>
                <w:szCs w:val="21"/>
                <w:highlight w:val="none"/>
              </w:rPr>
            </w:pPr>
          </w:p>
          <w:p w14:paraId="58444A75">
            <w:pPr>
              <w:snapToGrid w:val="0"/>
              <w:spacing w:line="400" w:lineRule="exact"/>
              <w:jc w:val="center"/>
              <w:rPr>
                <w:rFonts w:ascii="宋体" w:hAnsi="宋体"/>
                <w:color w:val="auto"/>
                <w:kern w:val="0"/>
                <w:szCs w:val="21"/>
                <w:highlight w:val="none"/>
              </w:rPr>
            </w:pPr>
          </w:p>
          <w:p w14:paraId="6117163F">
            <w:pPr>
              <w:snapToGrid w:val="0"/>
              <w:spacing w:line="400" w:lineRule="exact"/>
              <w:jc w:val="center"/>
              <w:rPr>
                <w:rFonts w:ascii="宋体" w:hAnsi="宋体"/>
                <w:color w:val="auto"/>
                <w:kern w:val="0"/>
                <w:szCs w:val="21"/>
                <w:highlight w:val="none"/>
              </w:rPr>
            </w:pPr>
          </w:p>
          <w:p w14:paraId="754C23D6">
            <w:pPr>
              <w:snapToGrid w:val="0"/>
              <w:spacing w:line="400" w:lineRule="exact"/>
              <w:jc w:val="center"/>
              <w:rPr>
                <w:rFonts w:ascii="宋体" w:hAnsi="宋体"/>
                <w:color w:val="auto"/>
                <w:kern w:val="0"/>
                <w:szCs w:val="21"/>
                <w:highlight w:val="none"/>
              </w:rPr>
            </w:pPr>
          </w:p>
          <w:p w14:paraId="7AE363A1">
            <w:pPr>
              <w:snapToGrid w:val="0"/>
              <w:spacing w:line="400" w:lineRule="exact"/>
              <w:jc w:val="center"/>
              <w:rPr>
                <w:rFonts w:ascii="宋体" w:hAnsi="宋体"/>
                <w:color w:val="auto"/>
                <w:kern w:val="0"/>
                <w:szCs w:val="21"/>
                <w:highlight w:val="none"/>
              </w:rPr>
            </w:pPr>
          </w:p>
          <w:p w14:paraId="39CD0674">
            <w:pPr>
              <w:snapToGrid w:val="0"/>
              <w:spacing w:line="400" w:lineRule="exact"/>
              <w:jc w:val="center"/>
              <w:rPr>
                <w:rFonts w:ascii="宋体" w:hAnsi="宋体"/>
                <w:color w:val="auto"/>
                <w:kern w:val="0"/>
                <w:szCs w:val="21"/>
                <w:highlight w:val="none"/>
              </w:rPr>
            </w:pPr>
          </w:p>
          <w:p w14:paraId="695C4775">
            <w:pPr>
              <w:snapToGrid w:val="0"/>
              <w:spacing w:line="400" w:lineRule="exact"/>
              <w:jc w:val="center"/>
              <w:rPr>
                <w:rFonts w:ascii="宋体" w:hAnsi="宋体"/>
                <w:color w:val="auto"/>
                <w:kern w:val="0"/>
                <w:szCs w:val="21"/>
                <w:highlight w:val="none"/>
              </w:rPr>
            </w:pPr>
          </w:p>
          <w:p w14:paraId="4AC876F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投标人资质条件、能力和信誉</w:t>
            </w:r>
          </w:p>
          <w:p w14:paraId="55B10AA5">
            <w:pPr>
              <w:snapToGrid w:val="0"/>
              <w:spacing w:line="400" w:lineRule="exact"/>
              <w:jc w:val="center"/>
              <w:rPr>
                <w:rFonts w:ascii="宋体" w:hAnsi="宋体"/>
                <w:color w:val="auto"/>
                <w:kern w:val="0"/>
                <w:szCs w:val="21"/>
                <w:highlight w:val="none"/>
              </w:rPr>
            </w:pPr>
          </w:p>
          <w:p w14:paraId="2932917A">
            <w:pPr>
              <w:snapToGrid w:val="0"/>
              <w:spacing w:line="400" w:lineRule="exact"/>
              <w:jc w:val="center"/>
              <w:rPr>
                <w:rFonts w:ascii="宋体" w:hAnsi="宋体"/>
                <w:color w:val="auto"/>
                <w:kern w:val="0"/>
                <w:szCs w:val="21"/>
                <w:highlight w:val="none"/>
              </w:rPr>
            </w:pPr>
          </w:p>
          <w:p w14:paraId="0D832B93">
            <w:pPr>
              <w:snapToGrid w:val="0"/>
              <w:spacing w:line="400" w:lineRule="exact"/>
              <w:jc w:val="center"/>
              <w:rPr>
                <w:rFonts w:ascii="宋体" w:hAnsi="宋体"/>
                <w:color w:val="auto"/>
                <w:kern w:val="0"/>
                <w:szCs w:val="21"/>
                <w:highlight w:val="none"/>
              </w:rPr>
            </w:pPr>
          </w:p>
          <w:p w14:paraId="009240CA">
            <w:pPr>
              <w:snapToGrid w:val="0"/>
              <w:spacing w:line="400" w:lineRule="exact"/>
              <w:jc w:val="center"/>
              <w:rPr>
                <w:rFonts w:ascii="宋体" w:hAnsi="宋体"/>
                <w:color w:val="auto"/>
                <w:kern w:val="0"/>
                <w:szCs w:val="21"/>
                <w:highlight w:val="none"/>
              </w:rPr>
            </w:pPr>
          </w:p>
          <w:p w14:paraId="3FCC463E">
            <w:pPr>
              <w:snapToGrid w:val="0"/>
              <w:spacing w:line="400" w:lineRule="exact"/>
              <w:jc w:val="center"/>
              <w:rPr>
                <w:rFonts w:ascii="宋体" w:hAnsi="宋体"/>
                <w:color w:val="auto"/>
                <w:kern w:val="0"/>
                <w:szCs w:val="21"/>
                <w:highlight w:val="none"/>
              </w:rPr>
            </w:pPr>
          </w:p>
          <w:p w14:paraId="512E6939">
            <w:pPr>
              <w:snapToGrid w:val="0"/>
              <w:spacing w:line="400" w:lineRule="exact"/>
              <w:jc w:val="center"/>
              <w:rPr>
                <w:rFonts w:ascii="宋体" w:hAnsi="宋体"/>
                <w:color w:val="auto"/>
                <w:kern w:val="0"/>
                <w:szCs w:val="21"/>
                <w:highlight w:val="none"/>
              </w:rPr>
            </w:pPr>
          </w:p>
          <w:p w14:paraId="7A58C547">
            <w:pPr>
              <w:snapToGrid w:val="0"/>
              <w:spacing w:line="400" w:lineRule="exact"/>
              <w:jc w:val="center"/>
              <w:rPr>
                <w:rFonts w:ascii="宋体" w:hAnsi="宋体"/>
                <w:color w:val="auto"/>
                <w:kern w:val="0"/>
                <w:szCs w:val="21"/>
                <w:highlight w:val="none"/>
              </w:rPr>
            </w:pPr>
          </w:p>
          <w:p w14:paraId="3EC5A8C3">
            <w:pPr>
              <w:snapToGrid w:val="0"/>
              <w:spacing w:line="400" w:lineRule="exact"/>
              <w:jc w:val="center"/>
              <w:rPr>
                <w:rFonts w:ascii="宋体" w:hAnsi="宋体"/>
                <w:color w:val="auto"/>
                <w:kern w:val="0"/>
                <w:szCs w:val="21"/>
                <w:highlight w:val="none"/>
              </w:rPr>
            </w:pPr>
          </w:p>
          <w:p w14:paraId="1CCED5CC">
            <w:pPr>
              <w:snapToGrid w:val="0"/>
              <w:spacing w:line="400" w:lineRule="exact"/>
              <w:jc w:val="center"/>
              <w:rPr>
                <w:rFonts w:ascii="宋体" w:hAnsi="宋体"/>
                <w:color w:val="auto"/>
                <w:kern w:val="0"/>
                <w:szCs w:val="21"/>
                <w:highlight w:val="none"/>
              </w:rPr>
            </w:pPr>
          </w:p>
        </w:tc>
        <w:tc>
          <w:tcPr>
            <w:tcW w:w="6490" w:type="dxa"/>
            <w:vAlign w:val="center"/>
          </w:tcPr>
          <w:p w14:paraId="14DAD2F7">
            <w:pPr>
              <w:autoSpaceDE w:val="0"/>
              <w:autoSpaceDN w:val="0"/>
              <w:adjustRightInd w:val="0"/>
              <w:snapToGrid w:val="0"/>
              <w:spacing w:line="400" w:lineRule="exact"/>
              <w:ind w:firstLine="420" w:firstLineChars="200"/>
              <w:rPr>
                <w:rFonts w:ascii="宋体" w:hAnsi="宋体"/>
                <w:color w:val="auto"/>
                <w:szCs w:val="21"/>
                <w:highlight w:val="none"/>
              </w:rPr>
            </w:pPr>
            <w:bookmarkStart w:id="96" w:name="OLE_LINK1"/>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招标实行资格后审，投标人应</w:t>
            </w:r>
            <w:bookmarkStart w:id="97" w:name="一是"/>
            <w:bookmarkEnd w:id="97"/>
            <w:r>
              <w:rPr>
                <w:rFonts w:ascii="宋体" w:hAnsi="宋体"/>
                <w:color w:val="auto"/>
                <w:szCs w:val="21"/>
                <w:highlight w:val="none"/>
              </w:rPr>
              <w:t>具备以下资格条件：</w:t>
            </w:r>
          </w:p>
          <w:bookmarkEnd w:id="96"/>
          <w:p w14:paraId="78DD3D7C">
            <w:pPr>
              <w:autoSpaceDE w:val="0"/>
              <w:autoSpaceDN w:val="0"/>
              <w:adjustRightInd w:val="0"/>
              <w:snapToGrid w:val="0"/>
              <w:spacing w:line="400" w:lineRule="exact"/>
              <w:ind w:firstLine="422" w:firstLineChars="200"/>
              <w:rPr>
                <w:rFonts w:ascii="宋体" w:hAnsi="宋体"/>
                <w:b/>
                <w:color w:val="auto"/>
                <w:szCs w:val="21"/>
                <w:highlight w:val="none"/>
              </w:rPr>
            </w:pPr>
            <w:r>
              <w:rPr>
                <w:rFonts w:ascii="宋体" w:hAnsi="宋体"/>
                <w:b/>
                <w:color w:val="auto"/>
                <w:szCs w:val="21"/>
                <w:highlight w:val="none"/>
              </w:rPr>
              <w:t>1.资质</w:t>
            </w:r>
            <w:r>
              <w:rPr>
                <w:rFonts w:hint="eastAsia" w:ascii="宋体" w:hAnsi="宋体"/>
                <w:b/>
                <w:color w:val="auto"/>
                <w:szCs w:val="21"/>
                <w:highlight w:val="none"/>
              </w:rPr>
              <w:t>要求及</w:t>
            </w:r>
            <w:r>
              <w:rPr>
                <w:rFonts w:ascii="宋体" w:hAnsi="宋体"/>
                <w:b/>
                <w:color w:val="auto"/>
                <w:szCs w:val="21"/>
                <w:highlight w:val="none"/>
              </w:rPr>
              <w:t>营业执照</w:t>
            </w:r>
          </w:p>
          <w:p w14:paraId="2BFA971B">
            <w:pPr>
              <w:autoSpaceDE w:val="0"/>
              <w:autoSpaceDN w:val="0"/>
              <w:adjustRightInd w:val="0"/>
              <w:snapToGrid w:val="0"/>
              <w:spacing w:line="400" w:lineRule="exact"/>
              <w:ind w:firstLine="420" w:firstLineChars="200"/>
              <w:rPr>
                <w:rFonts w:hint="eastAsia" w:ascii="宋体" w:hAnsi="宋体"/>
                <w:b/>
                <w:bCs/>
                <w:color w:val="auto"/>
                <w:szCs w:val="21"/>
                <w:highlight w:val="none"/>
                <w:lang w:val="en-US" w:eastAsia="zh-CN"/>
              </w:rPr>
            </w:pPr>
            <w:r>
              <w:rPr>
                <w:rFonts w:hint="eastAsia" w:ascii="宋体" w:hAnsi="宋体"/>
                <w:snapToGrid w:val="0"/>
                <w:color w:val="auto"/>
                <w:kern w:val="0"/>
                <w:szCs w:val="21"/>
                <w:highlight w:val="none"/>
                <w:u w:val="single"/>
                <w:lang w:eastAsia="zh-CN"/>
              </w:rPr>
              <w:t>投标人</w:t>
            </w:r>
            <w:r>
              <w:rPr>
                <w:rFonts w:hint="eastAsia" w:ascii="宋体" w:hAnsi="宋体"/>
                <w:snapToGrid w:val="0"/>
                <w:color w:val="auto"/>
                <w:kern w:val="0"/>
                <w:szCs w:val="21"/>
                <w:highlight w:val="none"/>
                <w:u w:val="single"/>
              </w:rPr>
              <w:t>为</w:t>
            </w:r>
            <w:r>
              <w:rPr>
                <w:rFonts w:hint="eastAsia" w:ascii="宋体" w:hAnsi="宋体"/>
                <w:snapToGrid w:val="0"/>
                <w:color w:val="auto"/>
                <w:kern w:val="0"/>
                <w:szCs w:val="21"/>
                <w:highlight w:val="none"/>
                <w:u w:val="single"/>
                <w:lang w:val="en-US" w:eastAsia="zh-CN"/>
              </w:rPr>
              <w:t>钢筋网片</w:t>
            </w:r>
            <w:r>
              <w:rPr>
                <w:rFonts w:hint="eastAsia" w:ascii="宋体" w:hAnsi="宋体"/>
                <w:snapToGrid w:val="0"/>
                <w:color w:val="auto"/>
                <w:kern w:val="0"/>
                <w:szCs w:val="21"/>
                <w:highlight w:val="none"/>
                <w:u w:val="single"/>
              </w:rPr>
              <w:t>的生产厂商或代理商（包括经销商、制造商下属销售子公司），若代理商（包括经销商、制造商下属销售子公司）竞选，需提供生产厂商授权委托书。</w:t>
            </w:r>
          </w:p>
          <w:p w14:paraId="1B1E0B52">
            <w:pPr>
              <w:autoSpaceDE w:val="0"/>
              <w:autoSpaceDN w:val="0"/>
              <w:adjustRightInd w:val="0"/>
              <w:snapToGrid w:val="0"/>
              <w:spacing w:line="400" w:lineRule="exact"/>
              <w:ind w:firstLine="422" w:firstLineChars="200"/>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w:t>
            </w:r>
            <w:r>
              <w:rPr>
                <w:rFonts w:ascii="宋体" w:hAnsi="宋体"/>
                <w:b/>
                <w:bCs/>
                <w:color w:val="auto"/>
                <w:szCs w:val="21"/>
                <w:highlight w:val="none"/>
              </w:rPr>
              <w:t>须</w:t>
            </w:r>
            <w:r>
              <w:rPr>
                <w:rFonts w:hint="eastAsia" w:ascii="宋体" w:hAnsi="宋体"/>
                <w:b/>
                <w:bCs/>
                <w:color w:val="auto"/>
                <w:szCs w:val="21"/>
                <w:highlight w:val="none"/>
              </w:rPr>
              <w:t>在投标文件资格审查部分</w:t>
            </w:r>
            <w:r>
              <w:rPr>
                <w:rFonts w:ascii="宋体" w:hAnsi="宋体"/>
                <w:b/>
                <w:bCs/>
                <w:color w:val="auto"/>
                <w:szCs w:val="21"/>
                <w:highlight w:val="none"/>
              </w:rPr>
              <w:t>提供有效的营业执照</w:t>
            </w:r>
            <w:r>
              <w:rPr>
                <w:rFonts w:hint="eastAsia" w:ascii="宋体" w:hAnsi="宋体"/>
                <w:b/>
                <w:bCs/>
                <w:color w:val="auto"/>
                <w:szCs w:val="21"/>
                <w:highlight w:val="none"/>
                <w:lang w:val="en-US" w:eastAsia="zh-CN"/>
              </w:rPr>
              <w:t>复印件并加盖公章，</w:t>
            </w:r>
            <w:r>
              <w:rPr>
                <w:rFonts w:hint="eastAsia" w:ascii="宋体" w:hAnsi="宋体"/>
                <w:snapToGrid w:val="0"/>
                <w:color w:val="auto"/>
                <w:kern w:val="0"/>
                <w:szCs w:val="21"/>
                <w:highlight w:val="none"/>
                <w:u w:val="single"/>
              </w:rPr>
              <w:t>若代理商（包括经销商、制造商下属销售子公司）竞选，需提供生产厂商授权委托书</w:t>
            </w:r>
            <w:r>
              <w:rPr>
                <w:rFonts w:ascii="宋体" w:hAnsi="宋体"/>
                <w:b/>
                <w:bCs/>
                <w:color w:val="auto"/>
                <w:szCs w:val="21"/>
                <w:highlight w:val="none"/>
              </w:rPr>
              <w:t>。</w:t>
            </w:r>
          </w:p>
          <w:p w14:paraId="1C19DD12">
            <w:pPr>
              <w:autoSpaceDE w:val="0"/>
              <w:autoSpaceDN w:val="0"/>
              <w:adjustRightInd w:val="0"/>
              <w:snapToGrid w:val="0"/>
              <w:spacing w:line="400" w:lineRule="exact"/>
              <w:ind w:firstLine="422" w:firstLineChars="200"/>
              <w:rPr>
                <w:rFonts w:hint="eastAsia"/>
                <w:b/>
                <w:bCs/>
                <w:color w:val="auto"/>
                <w:highlight w:val="none"/>
              </w:rPr>
            </w:pPr>
            <w:r>
              <w:rPr>
                <w:rFonts w:hint="eastAsia"/>
                <w:b/>
                <w:bCs/>
                <w:color w:val="auto"/>
                <w:highlight w:val="none"/>
              </w:rPr>
              <w:t>注：不得将投标人营业执照记载的经营范围作为评审因素。</w:t>
            </w:r>
          </w:p>
          <w:p w14:paraId="5FCFF6D4">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2.</w:t>
            </w:r>
            <w:r>
              <w:rPr>
                <w:rFonts w:hint="eastAsia" w:ascii="宋体" w:hAnsi="宋体"/>
                <w:b/>
                <w:bCs w:val="0"/>
                <w:color w:val="auto"/>
                <w:szCs w:val="21"/>
                <w:highlight w:val="none"/>
                <w:lang w:val="en-US" w:eastAsia="zh-CN"/>
              </w:rPr>
              <w:t>质量及保供</w:t>
            </w:r>
            <w:r>
              <w:rPr>
                <w:rFonts w:hint="eastAsia" w:ascii="宋体" w:hAnsi="宋体"/>
                <w:b/>
                <w:bCs w:val="0"/>
                <w:snapToGrid w:val="0"/>
                <w:color w:val="auto"/>
                <w:kern w:val="0"/>
                <w:szCs w:val="21"/>
                <w:highlight w:val="none"/>
              </w:rPr>
              <w:t>要求</w:t>
            </w:r>
          </w:p>
          <w:p w14:paraId="7E76F433">
            <w:pPr>
              <w:snapToGrid w:val="0"/>
              <w:spacing w:line="400" w:lineRule="exact"/>
              <w:ind w:firstLine="420" w:firstLineChars="200"/>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产品每批次抽检均需满足《GB/T 1499.3-2022 钢筋混凝土用钢 第3部分：钢筋焊接网》相关指标要求。</w:t>
            </w:r>
          </w:p>
          <w:p w14:paraId="7DBCDC08">
            <w:pPr>
              <w:snapToGrid w:val="0"/>
              <w:spacing w:line="400" w:lineRule="exact"/>
              <w:ind w:firstLine="420" w:firstLineChars="200"/>
              <w:rPr>
                <w:rFonts w:hint="eastAsia" w:ascii="宋体" w:hAnsi="宋体"/>
                <w:snapToGrid w:val="0"/>
                <w:color w:val="auto"/>
                <w:kern w:val="0"/>
                <w:szCs w:val="21"/>
                <w:highlight w:val="none"/>
                <w:u w:val="single"/>
                <w:lang w:val="en-US" w:eastAsia="zh-CN"/>
              </w:rPr>
            </w:pPr>
            <w:r>
              <w:rPr>
                <w:rFonts w:hint="eastAsia" w:ascii="宋体" w:hAnsi="宋体"/>
                <w:snapToGrid w:val="0"/>
                <w:color w:val="auto"/>
                <w:kern w:val="0"/>
                <w:szCs w:val="21"/>
                <w:highlight w:val="none"/>
                <w:u w:val="single"/>
                <w:lang w:val="en-US" w:eastAsia="zh-CN"/>
              </w:rPr>
              <w:t>投标人需具备近两年内市场监督管理部门对投标人钢筋网片产品的检测报告。</w:t>
            </w:r>
          </w:p>
          <w:p w14:paraId="4C5A6120">
            <w:pPr>
              <w:snapToGrid w:val="0"/>
              <w:spacing w:line="400" w:lineRule="exact"/>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lang w:val="en-US" w:eastAsia="zh-CN"/>
              </w:rPr>
              <w:t>提供：①近两年内市场监督管理部门对投标人钢筋网片产品的检测报告复印件并加盖公章；②按投标文件格式提供承诺书并加盖公章。</w:t>
            </w:r>
          </w:p>
          <w:p w14:paraId="36B7BD4D">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ascii="宋体" w:hAnsi="宋体"/>
                <w:b/>
                <w:color w:val="auto"/>
                <w:szCs w:val="21"/>
                <w:highlight w:val="none"/>
              </w:rPr>
              <w:t>3.</w:t>
            </w:r>
            <w:r>
              <w:rPr>
                <w:rFonts w:hint="eastAsia" w:ascii="宋体" w:hAnsi="宋体"/>
                <w:b/>
                <w:color w:val="auto"/>
                <w:szCs w:val="21"/>
                <w:highlight w:val="none"/>
                <w:lang w:val="en-US" w:eastAsia="zh-CN"/>
              </w:rPr>
              <w:t>财务能力</w:t>
            </w:r>
            <w:r>
              <w:rPr>
                <w:rFonts w:ascii="宋体" w:hAnsi="宋体"/>
                <w:b/>
                <w:color w:val="auto"/>
                <w:szCs w:val="21"/>
                <w:highlight w:val="none"/>
              </w:rPr>
              <w:t>要求</w:t>
            </w:r>
          </w:p>
          <w:p w14:paraId="2B4A4D5E">
            <w:pPr>
              <w:snapToGrid w:val="0"/>
              <w:spacing w:line="400" w:lineRule="exact"/>
              <w:ind w:firstLine="420" w:firstLineChars="200"/>
              <w:rPr>
                <w:rFonts w:hint="eastAsia" w:ascii="宋体" w:hAnsi="宋体" w:eastAsia="宋体" w:cs="Times New Roman"/>
                <w:snapToGrid w:val="0"/>
                <w:color w:val="auto"/>
                <w:kern w:val="0"/>
                <w:szCs w:val="21"/>
                <w:highlight w:val="none"/>
              </w:rPr>
            </w:pPr>
            <w:r>
              <w:rPr>
                <w:rFonts w:hint="eastAsia" w:ascii="宋体" w:hAnsi="宋体"/>
                <w:snapToGrid w:val="0"/>
                <w:color w:val="auto"/>
                <w:kern w:val="0"/>
                <w:szCs w:val="21"/>
                <w:highlight w:val="none"/>
                <w:u w:val="single"/>
                <w:lang w:val="en-US" w:eastAsia="zh-CN"/>
              </w:rPr>
              <w:t>2022-2023年连续两年不亏损且近2年营业收入年均不少于3000万元（含）人民币以上。</w:t>
            </w:r>
          </w:p>
          <w:p w14:paraId="0264D0DF">
            <w:pPr>
              <w:autoSpaceDE w:val="0"/>
              <w:autoSpaceDN w:val="0"/>
              <w:adjustRightInd w:val="0"/>
              <w:snapToGrid w:val="0"/>
              <w:spacing w:line="276" w:lineRule="auto"/>
              <w:ind w:firstLine="420"/>
              <w:jc w:val="left"/>
              <w:rPr>
                <w:rFonts w:hint="eastAsia" w:ascii="Times New Roman"/>
                <w:b/>
                <w:bCs w:val="0"/>
                <w:color w:val="auto"/>
                <w:kern w:val="0"/>
                <w:szCs w:val="21"/>
                <w:highlight w:val="none"/>
                <w:lang w:val="en-US" w:eastAsia="zh-CN"/>
              </w:rPr>
            </w:pPr>
            <w:r>
              <w:rPr>
                <w:rFonts w:hint="eastAsia" w:ascii="Times New Roman"/>
                <w:b/>
                <w:bCs w:val="0"/>
                <w:color w:val="auto"/>
                <w:kern w:val="0"/>
                <w:szCs w:val="21"/>
                <w:highlight w:val="none"/>
                <w:lang w:val="en-US" w:eastAsia="zh-CN"/>
              </w:rPr>
              <w:t>提供：</w:t>
            </w:r>
          </w:p>
          <w:p w14:paraId="5D07E4B8">
            <w:pPr>
              <w:autoSpaceDE w:val="0"/>
              <w:autoSpaceDN w:val="0"/>
              <w:adjustRightInd w:val="0"/>
              <w:snapToGrid w:val="0"/>
              <w:spacing w:line="276" w:lineRule="auto"/>
              <w:ind w:firstLine="420"/>
              <w:jc w:val="left"/>
              <w:rPr>
                <w:rFonts w:hint="eastAsia" w:ascii="宋体" w:hAnsi="宋体" w:eastAsia="宋体" w:cs="Times New Roman"/>
                <w:b/>
                <w:bCs w:val="0"/>
                <w:snapToGrid w:val="0"/>
                <w:color w:val="auto"/>
                <w:kern w:val="0"/>
                <w:szCs w:val="21"/>
                <w:highlight w:val="none"/>
              </w:rPr>
            </w:pPr>
            <w:r>
              <w:rPr>
                <w:rFonts w:hint="eastAsia" w:ascii="宋体" w:hAnsi="宋体"/>
                <w:b/>
                <w:bCs w:val="0"/>
                <w:color w:val="auto"/>
                <w:szCs w:val="21"/>
                <w:highlight w:val="none"/>
              </w:rPr>
              <w:t>投标人</w:t>
            </w:r>
            <w:r>
              <w:rPr>
                <w:rFonts w:ascii="宋体" w:hAnsi="宋体"/>
                <w:b/>
                <w:bCs w:val="0"/>
                <w:color w:val="auto"/>
                <w:szCs w:val="21"/>
                <w:highlight w:val="none"/>
              </w:rPr>
              <w:t>须</w:t>
            </w:r>
            <w:r>
              <w:rPr>
                <w:rFonts w:hint="eastAsia" w:ascii="宋体" w:hAnsi="宋体"/>
                <w:b/>
                <w:bCs w:val="0"/>
                <w:color w:val="auto"/>
                <w:szCs w:val="21"/>
                <w:highlight w:val="none"/>
              </w:rPr>
              <w:t>在投标文件资格审查部分</w:t>
            </w:r>
            <w:r>
              <w:rPr>
                <w:rFonts w:hint="eastAsia" w:ascii="宋体" w:hAnsi="宋体" w:eastAsia="宋体" w:cs="Times New Roman"/>
                <w:b/>
                <w:bCs w:val="0"/>
                <w:snapToGrid w:val="0"/>
                <w:color w:val="auto"/>
                <w:kern w:val="0"/>
                <w:szCs w:val="21"/>
                <w:highlight w:val="none"/>
              </w:rPr>
              <w:t>提供经会计师事务所或审计机构审计的财务审计报告及报表。</w:t>
            </w:r>
          </w:p>
          <w:p w14:paraId="40E592BC">
            <w:pPr>
              <w:tabs>
                <w:tab w:val="left" w:pos="2388"/>
                <w:tab w:val="left" w:pos="2832"/>
                <w:tab w:val="left" w:pos="3472"/>
                <w:tab w:val="left" w:pos="6667"/>
                <w:tab w:val="left" w:pos="7270"/>
              </w:tabs>
              <w:autoSpaceDE w:val="0"/>
              <w:autoSpaceDN w:val="0"/>
              <w:spacing w:line="276" w:lineRule="auto"/>
              <w:ind w:firstLine="422" w:firstLineChars="200"/>
              <w:rPr>
                <w:rFonts w:ascii="Times New Roman" w:eastAsia="宋体"/>
                <w:b/>
                <w:bCs w:val="0"/>
                <w:color w:val="auto"/>
                <w:kern w:val="0"/>
                <w:szCs w:val="21"/>
                <w:highlight w:val="none"/>
              </w:rPr>
            </w:pPr>
            <w:r>
              <w:rPr>
                <w:rFonts w:ascii="Times New Roman" w:eastAsia="宋体"/>
                <w:b/>
                <w:bCs w:val="0"/>
                <w:color w:val="auto"/>
                <w:kern w:val="0"/>
                <w:szCs w:val="21"/>
                <w:highlight w:val="none"/>
              </w:rPr>
              <w:t>以上证明资料的复印件须加盖投标人单位公章。</w:t>
            </w:r>
          </w:p>
          <w:p w14:paraId="23D2D273">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4</w:t>
            </w:r>
            <w:r>
              <w:rPr>
                <w:rFonts w:ascii="宋体" w:hAnsi="宋体"/>
                <w:b/>
                <w:color w:val="auto"/>
                <w:szCs w:val="21"/>
                <w:highlight w:val="none"/>
              </w:rPr>
              <w:t>.</w:t>
            </w:r>
            <w:r>
              <w:rPr>
                <w:rFonts w:hint="eastAsia" w:ascii="宋体" w:hAnsi="宋体"/>
                <w:b/>
                <w:color w:val="auto"/>
                <w:szCs w:val="21"/>
                <w:highlight w:val="none"/>
                <w:lang w:val="en-US" w:eastAsia="zh-CN"/>
              </w:rPr>
              <w:t>供货</w:t>
            </w:r>
            <w:r>
              <w:rPr>
                <w:rFonts w:ascii="宋体" w:hAnsi="宋体"/>
                <w:b/>
                <w:color w:val="auto"/>
                <w:szCs w:val="21"/>
                <w:highlight w:val="none"/>
              </w:rPr>
              <w:t>业绩要求</w:t>
            </w:r>
          </w:p>
          <w:p w14:paraId="09A4ADA6">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auto"/>
                <w:kern w:val="0"/>
                <w:szCs w:val="21"/>
                <w:highlight w:val="none"/>
              </w:rPr>
            </w:pPr>
            <w:r>
              <w:rPr>
                <w:rFonts w:hint="eastAsia" w:ascii="宋体" w:hAnsi="宋体"/>
                <w:snapToGrid w:val="0"/>
                <w:color w:val="auto"/>
                <w:kern w:val="0"/>
                <w:szCs w:val="21"/>
                <w:highlight w:val="none"/>
                <w:u w:val="single"/>
              </w:rPr>
              <w:t>20</w:t>
            </w:r>
            <w:r>
              <w:rPr>
                <w:rFonts w:hint="eastAsia" w:ascii="宋体" w:hAnsi="宋体"/>
                <w:snapToGrid w:val="0"/>
                <w:color w:val="auto"/>
                <w:kern w:val="0"/>
                <w:szCs w:val="21"/>
                <w:highlight w:val="none"/>
                <w:u w:val="single"/>
                <w:lang w:val="en-US" w:eastAsia="zh-CN"/>
              </w:rPr>
              <w:t>19</w:t>
            </w:r>
            <w:r>
              <w:rPr>
                <w:rFonts w:hint="eastAsia" w:ascii="宋体" w:hAnsi="宋体"/>
                <w:snapToGrid w:val="0"/>
                <w:color w:val="auto"/>
                <w:kern w:val="0"/>
                <w:szCs w:val="21"/>
                <w:highlight w:val="none"/>
                <w:u w:val="single"/>
              </w:rPr>
              <w:t>年1月1日至投标截止日止（以合同签订时间为准），投标人具有</w:t>
            </w:r>
            <w:r>
              <w:rPr>
                <w:rFonts w:hint="eastAsia" w:ascii="宋体" w:hAnsi="宋体"/>
                <w:snapToGrid w:val="0"/>
                <w:color w:val="auto"/>
                <w:kern w:val="0"/>
                <w:szCs w:val="21"/>
                <w:highlight w:val="none"/>
                <w:u w:val="single"/>
                <w:lang w:val="en-US" w:eastAsia="zh-CN"/>
              </w:rPr>
              <w:t>3</w:t>
            </w:r>
            <w:r>
              <w:rPr>
                <w:rFonts w:hint="eastAsia" w:ascii="宋体" w:hAnsi="宋体"/>
                <w:snapToGrid w:val="0"/>
                <w:color w:val="auto"/>
                <w:kern w:val="0"/>
                <w:szCs w:val="21"/>
                <w:highlight w:val="none"/>
                <w:u w:val="single"/>
              </w:rPr>
              <w:t>个及以上的</w:t>
            </w:r>
            <w:r>
              <w:rPr>
                <w:rFonts w:hint="eastAsia" w:ascii="宋体" w:hAnsi="宋体"/>
                <w:snapToGrid w:val="0"/>
                <w:color w:val="auto"/>
                <w:kern w:val="0"/>
                <w:szCs w:val="21"/>
                <w:highlight w:val="none"/>
                <w:u w:val="single"/>
                <w:lang w:val="en-US" w:eastAsia="zh-CN"/>
              </w:rPr>
              <w:t>工程项目钢筋网片</w:t>
            </w:r>
            <w:r>
              <w:rPr>
                <w:rFonts w:hint="eastAsia" w:ascii="宋体" w:hAnsi="宋体"/>
                <w:snapToGrid w:val="0"/>
                <w:color w:val="auto"/>
                <w:kern w:val="0"/>
                <w:szCs w:val="21"/>
                <w:highlight w:val="none"/>
                <w:u w:val="single"/>
                <w:lang w:val="en-US" w:eastAsia="zh-CN"/>
              </w:rPr>
              <w:t>或钢材等钢制品销售合同</w:t>
            </w:r>
            <w:r>
              <w:rPr>
                <w:rFonts w:hint="eastAsia"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val="en-US" w:eastAsia="zh-CN"/>
              </w:rPr>
              <w:t>且单个</w:t>
            </w:r>
            <w:r>
              <w:rPr>
                <w:rFonts w:hint="eastAsia" w:ascii="宋体" w:hAnsi="宋体"/>
                <w:snapToGrid w:val="0"/>
                <w:color w:val="auto"/>
                <w:kern w:val="0"/>
                <w:szCs w:val="21"/>
                <w:highlight w:val="none"/>
                <w:u w:val="single"/>
              </w:rPr>
              <w:t>合同</w:t>
            </w:r>
            <w:r>
              <w:rPr>
                <w:rFonts w:hint="eastAsia" w:ascii="宋体" w:hAnsi="宋体"/>
                <w:snapToGrid w:val="0"/>
                <w:color w:val="auto"/>
                <w:kern w:val="0"/>
                <w:szCs w:val="21"/>
                <w:highlight w:val="none"/>
                <w:u w:val="single"/>
                <w:lang w:val="en-US" w:eastAsia="zh-CN"/>
              </w:rPr>
              <w:t>金额</w:t>
            </w:r>
            <w:r>
              <w:rPr>
                <w:rFonts w:hint="eastAsia" w:ascii="宋体" w:hAnsi="宋体"/>
                <w:snapToGrid w:val="0"/>
                <w:color w:val="auto"/>
                <w:kern w:val="0"/>
                <w:szCs w:val="21"/>
                <w:highlight w:val="none"/>
                <w:u w:val="single"/>
              </w:rPr>
              <w:t>不低于</w:t>
            </w:r>
            <w:r>
              <w:rPr>
                <w:rFonts w:hint="eastAsia" w:ascii="宋体" w:hAnsi="宋体"/>
                <w:snapToGrid w:val="0"/>
                <w:color w:val="auto"/>
                <w:kern w:val="0"/>
                <w:szCs w:val="21"/>
                <w:highlight w:val="none"/>
                <w:u w:val="single"/>
                <w:lang w:val="en-US" w:eastAsia="zh-CN"/>
              </w:rPr>
              <w:t>500</w:t>
            </w:r>
            <w:r>
              <w:rPr>
                <w:rFonts w:hint="eastAsia" w:ascii="宋体" w:hAnsi="宋体"/>
                <w:snapToGrid w:val="0"/>
                <w:color w:val="auto"/>
                <w:kern w:val="0"/>
                <w:szCs w:val="21"/>
                <w:highlight w:val="none"/>
                <w:u w:val="single"/>
              </w:rPr>
              <w:t>万</w:t>
            </w:r>
            <w:r>
              <w:rPr>
                <w:rFonts w:hint="eastAsia" w:ascii="宋体" w:hAnsi="宋体"/>
                <w:snapToGrid w:val="0"/>
                <w:color w:val="auto"/>
                <w:kern w:val="0"/>
                <w:szCs w:val="21"/>
                <w:highlight w:val="none"/>
                <w:u w:val="single"/>
                <w:lang w:val="en-US" w:eastAsia="zh-CN"/>
              </w:rPr>
              <w:t>元</w:t>
            </w:r>
            <w:r>
              <w:rPr>
                <w:rFonts w:hint="eastAsia" w:ascii="宋体" w:hAnsi="宋体"/>
                <w:snapToGrid w:val="0"/>
                <w:color w:val="auto"/>
                <w:kern w:val="0"/>
                <w:szCs w:val="21"/>
                <w:highlight w:val="none"/>
                <w:u w:val="single"/>
              </w:rPr>
              <w:t>。</w:t>
            </w:r>
          </w:p>
          <w:p w14:paraId="013CDDB2">
            <w:pPr>
              <w:autoSpaceDE w:val="0"/>
              <w:autoSpaceDN w:val="0"/>
              <w:adjustRightInd w:val="0"/>
              <w:snapToGrid w:val="0"/>
              <w:spacing w:line="400" w:lineRule="exact"/>
              <w:ind w:firstLine="417" w:firstLineChars="198"/>
              <w:rPr>
                <w:rFonts w:hint="default" w:ascii="宋体" w:hAnsi="宋体" w:eastAsia="宋体"/>
                <w:b/>
                <w:bCs/>
                <w:color w:val="auto"/>
                <w:szCs w:val="21"/>
                <w:highlight w:val="none"/>
                <w:lang w:val="en-US" w:eastAsia="zh-CN"/>
              </w:rPr>
            </w:pPr>
            <w:r>
              <w:rPr>
                <w:rFonts w:hint="eastAsia" w:ascii="宋体" w:hAnsi="宋体"/>
                <w:b/>
                <w:bCs/>
                <w:color w:val="auto"/>
                <w:szCs w:val="21"/>
                <w:highlight w:val="none"/>
                <w:lang w:val="en-US" w:eastAsia="zh-CN"/>
              </w:rPr>
              <w:t>提供：</w:t>
            </w:r>
            <w:r>
              <w:rPr>
                <w:rFonts w:hint="eastAsia" w:ascii="宋体" w:hAnsi="宋体"/>
                <w:b/>
                <w:bCs/>
                <w:color w:val="auto"/>
                <w:szCs w:val="21"/>
                <w:highlight w:val="none"/>
              </w:rPr>
              <w:t>投标人须在投标文件资格审查部分提供业绩的合同协议书</w:t>
            </w:r>
            <w:r>
              <w:rPr>
                <w:rFonts w:hint="eastAsia" w:ascii="宋体" w:hAnsi="宋体"/>
                <w:b/>
                <w:bCs/>
                <w:color w:val="auto"/>
                <w:szCs w:val="21"/>
                <w:highlight w:val="none"/>
                <w:lang w:val="en-US" w:eastAsia="zh-CN"/>
              </w:rPr>
              <w:t>复印件并加盖公章，需至少体现供应内容、合同金额</w:t>
            </w:r>
            <w:r>
              <w:rPr>
                <w:rFonts w:hint="eastAsia" w:ascii="宋体" w:hAnsi="宋体"/>
                <w:b/>
                <w:bCs/>
                <w:color w:val="auto"/>
                <w:szCs w:val="21"/>
                <w:highlight w:val="none"/>
              </w:rPr>
              <w:t>。</w:t>
            </w:r>
            <w:r>
              <w:rPr>
                <w:rFonts w:hint="eastAsia" w:ascii="宋体" w:hAnsi="宋体"/>
                <w:b/>
                <w:bCs/>
                <w:color w:val="auto"/>
                <w:szCs w:val="21"/>
                <w:highlight w:val="none"/>
                <w:lang w:val="en-US" w:eastAsia="zh-CN"/>
              </w:rPr>
              <w:t>若合同中未体现业绩要求中相关指标的，可提供业主证明作为佐证。</w:t>
            </w:r>
          </w:p>
          <w:p w14:paraId="7DA3DCD2">
            <w:pPr>
              <w:autoSpaceDE w:val="0"/>
              <w:autoSpaceDN w:val="0"/>
              <w:adjustRightInd w:val="0"/>
              <w:snapToGrid w:val="0"/>
              <w:spacing w:line="400" w:lineRule="exact"/>
              <w:ind w:firstLine="415" w:firstLineChars="198"/>
              <w:rPr>
                <w:rFonts w:ascii="宋体" w:hAnsi="宋体"/>
                <w:color w:val="auto"/>
                <w:szCs w:val="21"/>
                <w:highlight w:val="none"/>
              </w:rPr>
            </w:pPr>
            <w:r>
              <w:rPr>
                <w:rFonts w:hint="eastAsia" w:ascii="宋体" w:hAnsi="宋体"/>
                <w:color w:val="auto"/>
                <w:szCs w:val="21"/>
                <w:highlight w:val="none"/>
              </w:rPr>
              <w:t>注：（1）投标人应对其提供的业绩证明材料的真实性负责。</w:t>
            </w:r>
          </w:p>
          <w:p w14:paraId="39134553">
            <w:pPr>
              <w:autoSpaceDE w:val="0"/>
              <w:autoSpaceDN w:val="0"/>
              <w:adjustRightInd w:val="0"/>
              <w:snapToGrid w:val="0"/>
              <w:spacing w:line="400" w:lineRule="exact"/>
              <w:ind w:firstLine="415" w:firstLineChars="198"/>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不满足上述业绩要求的业绩视为无效。</w:t>
            </w:r>
          </w:p>
          <w:p w14:paraId="5DB9B0C7">
            <w:pPr>
              <w:autoSpaceDE w:val="0"/>
              <w:autoSpaceDN w:val="0"/>
              <w:adjustRightInd w:val="0"/>
              <w:snapToGrid w:val="0"/>
              <w:spacing w:line="400" w:lineRule="exact"/>
              <w:ind w:firstLine="422" w:firstLineChars="200"/>
              <w:rPr>
                <w:rFonts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5</w:t>
            </w:r>
            <w:r>
              <w:rPr>
                <w:rFonts w:ascii="宋体" w:hAnsi="宋体" w:eastAsia="宋体" w:cs="Times New Roman"/>
                <w:b/>
                <w:color w:val="auto"/>
                <w:szCs w:val="21"/>
                <w:highlight w:val="none"/>
              </w:rPr>
              <w:t>.投标截止日投标资格情况</w:t>
            </w:r>
          </w:p>
          <w:p w14:paraId="6B35EC1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投标人自行承诺（格式见第六章投标文件格式）不得存在下列情形之一：</w:t>
            </w:r>
          </w:p>
          <w:p w14:paraId="68416CB3">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2F14F55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3B367228">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14:paraId="58D52A6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79DBF33D">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50ED6153">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rPr>
              <w:t>近三年无因自身履约问题而引起的法律诉讼、没有与骗取合同有关的犯罪或严重违法行为，不在其他项目中有未履约行为的</w:t>
            </w:r>
            <w:r>
              <w:rPr>
                <w:rFonts w:hint="eastAsia" w:ascii="宋体" w:hAnsi="宋体" w:eastAsia="宋体" w:cs="Times New Roman"/>
                <w:snapToGrid/>
                <w:color w:val="auto"/>
                <w:kern w:val="2"/>
                <w:szCs w:val="21"/>
                <w:highlight w:val="none"/>
                <w:lang w:eastAsia="zh-CN"/>
              </w:rPr>
              <w:t>。</w:t>
            </w:r>
          </w:p>
          <w:p w14:paraId="16B26E41">
            <w:pPr>
              <w:snapToGrid w:val="0"/>
              <w:spacing w:line="400" w:lineRule="exact"/>
              <w:ind w:firstLine="422" w:firstLineChars="200"/>
              <w:rPr>
                <w:rFonts w:hint="eastAsia"/>
                <w:b/>
                <w:bCs/>
                <w:color w:val="auto"/>
                <w:highlight w:val="none"/>
              </w:rPr>
            </w:pPr>
            <w:r>
              <w:rPr>
                <w:rFonts w:hint="eastAsia"/>
                <w:b/>
                <w:bCs/>
                <w:color w:val="auto"/>
                <w:highlight w:val="none"/>
              </w:rPr>
              <w:t>投标人须在投标文件资格审查部分提供承诺</w:t>
            </w:r>
            <w:r>
              <w:rPr>
                <w:rFonts w:hint="eastAsia" w:ascii="宋体" w:hAnsi="宋体"/>
                <w:b/>
                <w:bCs/>
                <w:color w:val="auto"/>
                <w:szCs w:val="21"/>
                <w:highlight w:val="none"/>
                <w:lang w:val="en-US" w:eastAsia="zh-CN"/>
              </w:rPr>
              <w:t>并加盖公章</w:t>
            </w:r>
            <w:r>
              <w:rPr>
                <w:rFonts w:hint="eastAsia"/>
                <w:b/>
                <w:bCs/>
                <w:color w:val="auto"/>
                <w:highlight w:val="none"/>
              </w:rPr>
              <w:t>。</w:t>
            </w:r>
          </w:p>
          <w:p w14:paraId="6E000790">
            <w:pPr>
              <w:autoSpaceDE w:val="0"/>
              <w:autoSpaceDN w:val="0"/>
              <w:adjustRightInd w:val="0"/>
              <w:snapToGrid w:val="0"/>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lang w:val="en-US" w:eastAsia="zh-CN"/>
              </w:rPr>
              <w:t>6</w:t>
            </w:r>
            <w:r>
              <w:rPr>
                <w:rFonts w:ascii="宋体" w:hAnsi="宋体"/>
                <w:b/>
                <w:color w:val="auto"/>
                <w:szCs w:val="21"/>
                <w:highlight w:val="none"/>
              </w:rPr>
              <w:t>.其他要求</w:t>
            </w:r>
          </w:p>
          <w:p w14:paraId="236EE729">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lang w:val="en-US" w:eastAsia="zh-CN"/>
              </w:rPr>
              <w:t>1</w:t>
            </w:r>
            <w:r>
              <w:rPr>
                <w:rFonts w:ascii="宋体" w:hAnsi="宋体"/>
                <w:color w:val="auto"/>
                <w:kern w:val="0"/>
                <w:szCs w:val="21"/>
                <w:highlight w:val="none"/>
              </w:rPr>
              <w:t>）委托代理人</w:t>
            </w:r>
            <w:r>
              <w:rPr>
                <w:rFonts w:hint="eastAsia" w:ascii="宋体" w:hAnsi="宋体"/>
                <w:color w:val="auto"/>
                <w:kern w:val="0"/>
                <w:szCs w:val="21"/>
                <w:highlight w:val="none"/>
              </w:rPr>
              <w:t>：</w:t>
            </w:r>
          </w:p>
          <w:p w14:paraId="6B02902F">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委托代理人必须为投标人本单位</w:t>
            </w:r>
            <w:r>
              <w:rPr>
                <w:rFonts w:hint="eastAsia" w:ascii="宋体" w:hAnsi="宋体"/>
                <w:color w:val="auto"/>
                <w:kern w:val="0"/>
                <w:szCs w:val="21"/>
                <w:highlight w:val="none"/>
              </w:rPr>
              <w:t>人员</w:t>
            </w:r>
            <w:r>
              <w:rPr>
                <w:rFonts w:ascii="宋体" w:hAnsi="宋体"/>
                <w:color w:val="auto"/>
                <w:kern w:val="0"/>
                <w:szCs w:val="21"/>
                <w:highlight w:val="none"/>
              </w:rPr>
              <w:t>。</w:t>
            </w:r>
          </w:p>
          <w:p w14:paraId="46C3371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投标人</w:t>
            </w:r>
            <w:r>
              <w:rPr>
                <w:rFonts w:ascii="宋体" w:hAnsi="宋体"/>
                <w:color w:val="auto"/>
                <w:kern w:val="0"/>
                <w:szCs w:val="21"/>
                <w:highlight w:val="none"/>
              </w:rPr>
              <w:t>须</w:t>
            </w:r>
            <w:r>
              <w:rPr>
                <w:rFonts w:hint="eastAsia" w:ascii="宋体" w:hAnsi="宋体"/>
                <w:color w:val="auto"/>
                <w:kern w:val="0"/>
                <w:szCs w:val="21"/>
                <w:highlight w:val="none"/>
              </w:rPr>
              <w:t>在投标文件资格审查部分</w:t>
            </w:r>
            <w:r>
              <w:rPr>
                <w:rFonts w:ascii="宋体" w:hAnsi="宋体"/>
                <w:color w:val="auto"/>
                <w:kern w:val="0"/>
                <w:szCs w:val="21"/>
                <w:highlight w:val="none"/>
              </w:rPr>
              <w:t>提供</w:t>
            </w:r>
            <w:r>
              <w:rPr>
                <w:rFonts w:hint="eastAsia" w:ascii="宋体" w:hAnsi="宋体"/>
                <w:color w:val="auto"/>
                <w:kern w:val="0"/>
                <w:szCs w:val="21"/>
                <w:highlight w:val="none"/>
              </w:rPr>
              <w:t>投标人为该</w:t>
            </w:r>
            <w:r>
              <w:rPr>
                <w:rFonts w:ascii="宋体" w:hAnsi="宋体"/>
                <w:color w:val="auto"/>
                <w:kern w:val="0"/>
                <w:szCs w:val="21"/>
                <w:highlight w:val="none"/>
              </w:rPr>
              <w:t>委托代理人</w:t>
            </w:r>
            <w:r>
              <w:rPr>
                <w:rFonts w:hint="eastAsia" w:ascii="宋体" w:hAnsi="宋体"/>
                <w:color w:val="auto"/>
                <w:kern w:val="0"/>
                <w:szCs w:val="21"/>
                <w:highlight w:val="none"/>
              </w:rPr>
              <w:t>缴纳的养老保险证明</w:t>
            </w:r>
            <w:r>
              <w:rPr>
                <w:rFonts w:hint="eastAsia" w:ascii="宋体" w:hAnsi="宋体"/>
                <w:color w:val="auto"/>
                <w:szCs w:val="21"/>
                <w:highlight w:val="none"/>
                <w:lang w:val="en-US" w:eastAsia="zh-CN"/>
              </w:rPr>
              <w:t>复印件并加盖公章</w:t>
            </w:r>
            <w:r>
              <w:rPr>
                <w:rFonts w:hint="eastAsia" w:ascii="宋体" w:hAnsi="宋体"/>
                <w:color w:val="auto"/>
                <w:kern w:val="0"/>
                <w:szCs w:val="21"/>
                <w:highlight w:val="none"/>
              </w:rPr>
              <w:t>。否则，将由评标委员会作否决投标处理。</w:t>
            </w:r>
          </w:p>
          <w:p w14:paraId="763B5DF5">
            <w:pPr>
              <w:autoSpaceDE w:val="0"/>
              <w:autoSpaceDN w:val="0"/>
              <w:adjustRightInd w:val="0"/>
              <w:snapToGrid w:val="0"/>
              <w:spacing w:line="400" w:lineRule="exact"/>
              <w:ind w:firstLine="417" w:firstLineChars="198"/>
              <w:rPr>
                <w:rFonts w:ascii="宋体" w:hAnsi="宋体" w:cs="宋体"/>
                <w:b/>
                <w:color w:val="auto"/>
                <w:szCs w:val="21"/>
                <w:highlight w:val="none"/>
              </w:rPr>
            </w:pPr>
            <w:r>
              <w:rPr>
                <w:rFonts w:hint="eastAsia" w:ascii="宋体" w:hAnsi="宋体" w:cs="宋体"/>
                <w:b/>
                <w:color w:val="auto"/>
                <w:szCs w:val="21"/>
                <w:highlight w:val="none"/>
              </w:rPr>
              <w:t>特别说明：</w:t>
            </w:r>
          </w:p>
          <w:p w14:paraId="2C7E9F75">
            <w:pPr>
              <w:autoSpaceDE w:val="0"/>
              <w:autoSpaceDN w:val="0"/>
              <w:adjustRightInd w:val="0"/>
              <w:snapToGrid w:val="0"/>
              <w:spacing w:line="400" w:lineRule="exact"/>
              <w:ind w:firstLine="415" w:firstLineChars="198"/>
              <w:rPr>
                <w:rFonts w:ascii="宋体" w:hAnsi="宋体" w:cs="宋体"/>
                <w:color w:val="auto"/>
                <w:kern w:val="0"/>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w:t>
            </w:r>
            <w:r>
              <w:rPr>
                <w:rFonts w:hint="eastAsia" w:ascii="宋体" w:hAnsi="宋体" w:cs="宋体"/>
                <w:color w:val="auto"/>
                <w:szCs w:val="21"/>
                <w:highlight w:val="none"/>
              </w:rPr>
              <w:t>要求须提交的相关证明材料须清晰可辨，</w:t>
            </w:r>
            <w:r>
              <w:rPr>
                <w:rFonts w:hint="eastAsia" w:ascii="宋体" w:hAnsi="宋体" w:cs="宋体"/>
                <w:color w:val="auto"/>
                <w:kern w:val="0"/>
                <w:szCs w:val="21"/>
                <w:highlight w:val="none"/>
              </w:rPr>
              <w:t>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14:paraId="17821A81">
            <w:pPr>
              <w:autoSpaceDE w:val="0"/>
              <w:autoSpaceDN w:val="0"/>
              <w:adjustRightInd w:val="0"/>
              <w:snapToGrid w:val="0"/>
              <w:spacing w:line="400" w:lineRule="exact"/>
              <w:ind w:firstLine="415" w:firstLineChars="198"/>
              <w:rPr>
                <w:rFonts w:ascii="宋体" w:hAnsi="宋体" w:cs="宋体"/>
                <w:color w:val="auto"/>
                <w:szCs w:val="21"/>
                <w:highlight w:val="none"/>
              </w:rPr>
            </w:pPr>
            <w:r>
              <w:rPr>
                <w:rFonts w:hint="eastAsia" w:ascii="宋体" w:hAnsi="宋体" w:cs="宋体"/>
                <w:color w:val="auto"/>
                <w:szCs w:val="21"/>
                <w:highlight w:val="none"/>
              </w:rPr>
              <w:t>（2）投标人须自行承诺其提供的上述相关证明材料真实有效，不存在弄虚作假情形（格式见第六章投标文件格式）。</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均有权对投标人提供的资料进行核实，若发现弄虚作假，按相关规定取消其中标资格，并按相关法律法规报招标投标监督部门，其投标保证金不予退还，投标人承担因此造成的相关责任并赔偿相应损失。</w:t>
            </w:r>
          </w:p>
          <w:p w14:paraId="6AB9B21C">
            <w:pPr>
              <w:spacing w:line="400" w:lineRule="exact"/>
              <w:ind w:firstLine="420" w:firstLineChars="200"/>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本招标文件中所要求的人员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14:paraId="0D7EAE70">
            <w:pPr>
              <w:spacing w:line="400" w:lineRule="exact"/>
              <w:ind w:firstLine="420" w:firstLineChars="200"/>
              <w:rPr>
                <w:rFonts w:ascii="宋体" w:hAnsi="宋体"/>
                <w:bCs/>
                <w:color w:val="auto"/>
                <w:kern w:val="0"/>
                <w:szCs w:val="21"/>
                <w:highlight w:val="none"/>
              </w:rPr>
            </w:pPr>
            <w:r>
              <w:rPr>
                <w:rFonts w:ascii="宋体" w:hAnsi="宋体"/>
                <w:bCs/>
                <w:color w:val="auto"/>
                <w:kern w:val="0"/>
                <w:szCs w:val="21"/>
                <w:highlight w:val="none"/>
              </w:rPr>
              <w:t>①</w:t>
            </w:r>
            <w:r>
              <w:rPr>
                <w:rFonts w:hint="eastAsia" w:ascii="宋体" w:hAnsi="宋体"/>
                <w:bCs/>
                <w:color w:val="auto"/>
                <w:kern w:val="0"/>
                <w:szCs w:val="21"/>
                <w:highlight w:val="none"/>
              </w:rPr>
              <w:t>企业</w:t>
            </w:r>
            <w:r>
              <w:rPr>
                <w:rFonts w:ascii="宋体" w:hAnsi="宋体"/>
                <w:bCs/>
                <w:color w:val="auto"/>
                <w:kern w:val="0"/>
                <w:szCs w:val="21"/>
                <w:highlight w:val="none"/>
              </w:rPr>
              <w:t>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14:paraId="0419B85B">
            <w:pPr>
              <w:spacing w:line="400" w:lineRule="exact"/>
              <w:ind w:firstLine="420" w:firstLineChars="200"/>
              <w:rPr>
                <w:rFonts w:ascii="宋体" w:hAnsi="宋体"/>
                <w:bCs/>
                <w:snapToGrid w:val="0"/>
                <w:color w:val="auto"/>
                <w:kern w:val="0"/>
                <w:szCs w:val="21"/>
                <w:highlight w:val="none"/>
              </w:rPr>
            </w:pPr>
            <w:r>
              <w:rPr>
                <w:rFonts w:ascii="宋体" w:hAnsi="宋体"/>
                <w:bCs/>
                <w:color w:val="auto"/>
                <w:kern w:val="0"/>
                <w:szCs w:val="21"/>
                <w:highlight w:val="none"/>
              </w:rPr>
              <w:t>②</w:t>
            </w:r>
            <w:r>
              <w:rPr>
                <w:rFonts w:hint="eastAsia" w:ascii="宋体" w:hAnsi="宋体"/>
                <w:bCs/>
                <w:snapToGrid w:val="0"/>
                <w:color w:val="auto"/>
                <w:kern w:val="0"/>
                <w:szCs w:val="21"/>
                <w:highlight w:val="none"/>
                <w:lang w:val="en-US" w:eastAsia="zh-CN"/>
              </w:rPr>
              <w:t>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连续养老保险</w:t>
            </w:r>
            <w:r>
              <w:rPr>
                <w:rFonts w:ascii="宋体" w:hAnsi="宋体"/>
                <w:bCs/>
                <w:snapToGrid w:val="0"/>
                <w:color w:val="auto"/>
                <w:kern w:val="0"/>
                <w:szCs w:val="21"/>
                <w:highlight w:val="none"/>
              </w:rPr>
              <w:t>证明期限</w:t>
            </w:r>
            <w:r>
              <w:rPr>
                <w:rFonts w:hint="eastAsia" w:ascii="宋体" w:hAnsi="宋体"/>
                <w:bCs/>
                <w:snapToGrid w:val="0"/>
                <w:color w:val="auto"/>
                <w:kern w:val="0"/>
                <w:szCs w:val="21"/>
                <w:highlight w:val="none"/>
              </w:rPr>
              <w:t>须包含</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3</w:t>
            </w:r>
            <w:r>
              <w:rPr>
                <w:rFonts w:ascii="宋体" w:hAnsi="宋体"/>
                <w:bCs/>
                <w:snapToGrid w:val="0"/>
                <w:color w:val="auto"/>
                <w:kern w:val="0"/>
                <w:szCs w:val="21"/>
                <w:highlight w:val="none"/>
              </w:rPr>
              <w:t>月至</w:t>
            </w:r>
            <w:r>
              <w:rPr>
                <w:rFonts w:hint="eastAsia" w:ascii="宋体" w:hAnsi="宋体"/>
                <w:bCs/>
                <w:snapToGrid w:val="0"/>
                <w:color w:val="auto"/>
                <w:kern w:val="0"/>
                <w:szCs w:val="21"/>
                <w:highlight w:val="none"/>
                <w:u w:val="single"/>
              </w:rPr>
              <w:t>202</w:t>
            </w:r>
            <w:r>
              <w:rPr>
                <w:rFonts w:hint="eastAsia" w:ascii="宋体" w:hAnsi="宋体"/>
                <w:bCs/>
                <w:snapToGrid w:val="0"/>
                <w:color w:val="auto"/>
                <w:kern w:val="0"/>
                <w:szCs w:val="21"/>
                <w:highlight w:val="none"/>
                <w:u w:val="single"/>
                <w:lang w:val="en-US" w:eastAsia="zh-CN"/>
              </w:rPr>
              <w:t>4</w:t>
            </w:r>
            <w:r>
              <w:rPr>
                <w:rFonts w:ascii="宋体" w:hAnsi="宋体"/>
                <w:bCs/>
                <w:snapToGrid w:val="0"/>
                <w:color w:val="auto"/>
                <w:kern w:val="0"/>
                <w:szCs w:val="21"/>
                <w:highlight w:val="none"/>
              </w:rPr>
              <w:t>年</w:t>
            </w:r>
            <w:r>
              <w:rPr>
                <w:rFonts w:hint="eastAsia" w:ascii="宋体" w:hAnsi="宋体"/>
                <w:bCs/>
                <w:snapToGrid w:val="0"/>
                <w:color w:val="auto"/>
                <w:kern w:val="0"/>
                <w:szCs w:val="21"/>
                <w:highlight w:val="none"/>
                <w:u w:val="single"/>
                <w:lang w:val="en-US" w:eastAsia="zh-CN"/>
              </w:rPr>
              <w:t>8</w:t>
            </w:r>
            <w:r>
              <w:rPr>
                <w:rFonts w:ascii="宋体" w:hAnsi="宋体"/>
                <w:bCs/>
                <w:snapToGrid w:val="0"/>
                <w:color w:val="auto"/>
                <w:kern w:val="0"/>
                <w:szCs w:val="21"/>
                <w:highlight w:val="none"/>
              </w:rPr>
              <w:t>月</w:t>
            </w:r>
            <w:r>
              <w:rPr>
                <w:rFonts w:hint="eastAsia" w:ascii="宋体" w:hAnsi="宋体"/>
                <w:bCs/>
                <w:color w:val="auto"/>
                <w:szCs w:val="21"/>
                <w:highlight w:val="none"/>
              </w:rPr>
              <w:t>。提供的养老保险参保证明须体现上述人员的姓名、身份证号（或社保号）、单位名称、本单位参保时间（或起始参保时间），并带有社保部门公章或社保部门的有效电子印章。</w:t>
            </w:r>
          </w:p>
        </w:tc>
      </w:tr>
      <w:tr w14:paraId="2C340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18C2DB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1.4.2</w:t>
            </w:r>
          </w:p>
        </w:tc>
        <w:tc>
          <w:tcPr>
            <w:tcW w:w="1644" w:type="dxa"/>
            <w:vAlign w:val="center"/>
          </w:tcPr>
          <w:p w14:paraId="53B942C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是否接受联合体投标</w:t>
            </w:r>
          </w:p>
        </w:tc>
        <w:tc>
          <w:tcPr>
            <w:tcW w:w="6490" w:type="dxa"/>
            <w:vAlign w:val="center"/>
          </w:tcPr>
          <w:p w14:paraId="7CC699DC">
            <w:pPr>
              <w:snapToGrid w:val="0"/>
              <w:spacing w:line="400" w:lineRule="exact"/>
              <w:ind w:firstLine="420" w:firstLineChars="200"/>
              <w:rPr>
                <w:rFonts w:ascii="宋体" w:hAnsi="宋体"/>
                <w:color w:val="auto"/>
                <w:kern w:val="0"/>
                <w:szCs w:val="21"/>
                <w:highlight w:val="none"/>
              </w:rPr>
            </w:pPr>
            <w:r>
              <w:rPr>
                <w:rFonts w:hint="eastAsia" w:ascii="宋体" w:hAnsi="宋体"/>
                <w:snapToGrid w:val="0"/>
                <w:color w:val="auto"/>
                <w:kern w:val="0"/>
                <w:szCs w:val="21"/>
                <w:highlight w:val="none"/>
                <w:lang w:val="en-US" w:eastAsia="zh-CN"/>
              </w:rPr>
              <w:t>不</w:t>
            </w:r>
            <w:r>
              <w:rPr>
                <w:rFonts w:hint="eastAsia" w:ascii="宋体" w:hAnsi="宋体"/>
                <w:snapToGrid w:val="0"/>
                <w:color w:val="auto"/>
                <w:kern w:val="0"/>
                <w:szCs w:val="21"/>
                <w:highlight w:val="none"/>
              </w:rPr>
              <w:t>接受</w:t>
            </w:r>
            <w:r>
              <w:rPr>
                <w:rFonts w:ascii="宋体" w:hAnsi="宋体"/>
                <w:snapToGrid w:val="0"/>
                <w:color w:val="auto"/>
                <w:kern w:val="0"/>
                <w:szCs w:val="21"/>
                <w:highlight w:val="none"/>
              </w:rPr>
              <w:t>联合体投标</w:t>
            </w:r>
            <w:r>
              <w:rPr>
                <w:rFonts w:hint="eastAsia" w:ascii="宋体" w:hAnsi="宋体"/>
                <w:snapToGrid w:val="0"/>
                <w:color w:val="auto"/>
                <w:kern w:val="0"/>
                <w:szCs w:val="21"/>
                <w:highlight w:val="none"/>
                <w:lang w:eastAsia="zh-CN"/>
              </w:rPr>
              <w:t>。</w:t>
            </w:r>
          </w:p>
        </w:tc>
      </w:tr>
      <w:tr w14:paraId="01A43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A5CE4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1.4.3</w:t>
            </w:r>
          </w:p>
        </w:tc>
        <w:tc>
          <w:tcPr>
            <w:tcW w:w="1644" w:type="dxa"/>
            <w:vAlign w:val="center"/>
          </w:tcPr>
          <w:p w14:paraId="373084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投标人不得存在的其他情形</w:t>
            </w:r>
          </w:p>
        </w:tc>
        <w:tc>
          <w:tcPr>
            <w:tcW w:w="6490" w:type="dxa"/>
            <w:vAlign w:val="center"/>
          </w:tcPr>
          <w:p w14:paraId="42588556">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w:t>
            </w:r>
          </w:p>
        </w:tc>
      </w:tr>
      <w:tr w14:paraId="4AF78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A733E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1.9.1</w:t>
            </w:r>
          </w:p>
        </w:tc>
        <w:tc>
          <w:tcPr>
            <w:tcW w:w="1644" w:type="dxa"/>
            <w:vAlign w:val="center"/>
          </w:tcPr>
          <w:p w14:paraId="5B14AF2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踏勘现场</w:t>
            </w:r>
          </w:p>
        </w:tc>
        <w:tc>
          <w:tcPr>
            <w:tcW w:w="6490" w:type="dxa"/>
            <w:vAlign w:val="center"/>
          </w:tcPr>
          <w:p w14:paraId="47AD5FD1">
            <w:pPr>
              <w:snapToGrid w:val="0"/>
              <w:spacing w:line="400" w:lineRule="exact"/>
              <w:ind w:firstLine="420" w:firstLineChars="200"/>
              <w:jc w:val="left"/>
              <w:rPr>
                <w:rFonts w:ascii="宋体" w:hAnsi="宋体"/>
                <w:color w:val="auto"/>
                <w:kern w:val="0"/>
                <w:szCs w:val="21"/>
                <w:highlight w:val="none"/>
              </w:rPr>
            </w:pPr>
            <w:r>
              <w:rPr>
                <w:rFonts w:ascii="宋体" w:hAnsi="宋体"/>
                <w:color w:val="auto"/>
                <w:kern w:val="0"/>
                <w:szCs w:val="21"/>
                <w:highlight w:val="none"/>
              </w:rPr>
              <w:t>不组织</w:t>
            </w:r>
          </w:p>
        </w:tc>
      </w:tr>
      <w:tr w14:paraId="1A4A3A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35623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1.10.1</w:t>
            </w:r>
          </w:p>
        </w:tc>
        <w:tc>
          <w:tcPr>
            <w:tcW w:w="1644" w:type="dxa"/>
            <w:vAlign w:val="center"/>
          </w:tcPr>
          <w:p w14:paraId="0C0BE01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投标预备会</w:t>
            </w:r>
          </w:p>
        </w:tc>
        <w:tc>
          <w:tcPr>
            <w:tcW w:w="6490" w:type="dxa"/>
            <w:vAlign w:val="center"/>
          </w:tcPr>
          <w:p w14:paraId="58FD3E6B">
            <w:pPr>
              <w:snapToGrid w:val="0"/>
              <w:spacing w:after="12" w:afterLines="5"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不召开</w:t>
            </w:r>
          </w:p>
        </w:tc>
      </w:tr>
      <w:tr w14:paraId="0BD9D9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617EEA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1.11.1</w:t>
            </w:r>
          </w:p>
        </w:tc>
        <w:tc>
          <w:tcPr>
            <w:tcW w:w="1644" w:type="dxa"/>
            <w:vAlign w:val="center"/>
          </w:tcPr>
          <w:p w14:paraId="15DB8A4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分包</w:t>
            </w:r>
          </w:p>
        </w:tc>
        <w:tc>
          <w:tcPr>
            <w:tcW w:w="6490" w:type="dxa"/>
            <w:vAlign w:val="center"/>
          </w:tcPr>
          <w:p w14:paraId="5E55B8E4">
            <w:pPr>
              <w:snapToGrid w:val="0"/>
              <w:spacing w:line="400" w:lineRule="exact"/>
              <w:ind w:firstLine="420" w:firstLineChars="200"/>
              <w:rPr>
                <w:color w:val="auto"/>
                <w:highlight w:val="none"/>
              </w:rPr>
            </w:pPr>
            <w:r>
              <w:rPr>
                <w:color w:val="auto"/>
                <w:highlight w:val="none"/>
              </w:rPr>
              <w:t>不允许</w:t>
            </w:r>
          </w:p>
        </w:tc>
      </w:tr>
      <w:tr w14:paraId="3F0AB7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313689">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1.12.3</w:t>
            </w:r>
          </w:p>
        </w:tc>
        <w:tc>
          <w:tcPr>
            <w:tcW w:w="1644" w:type="dxa"/>
            <w:vAlign w:val="center"/>
          </w:tcPr>
          <w:p w14:paraId="4344E95C">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响应和偏离</w:t>
            </w:r>
          </w:p>
        </w:tc>
        <w:tc>
          <w:tcPr>
            <w:tcW w:w="6490" w:type="dxa"/>
            <w:vAlign w:val="center"/>
          </w:tcPr>
          <w:p w14:paraId="1F7D288E">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投标文件存在</w:t>
            </w:r>
            <w:r>
              <w:rPr>
                <w:rFonts w:hint="eastAsia" w:ascii="宋体" w:hAnsi="宋体"/>
                <w:color w:val="auto"/>
                <w:szCs w:val="21"/>
                <w:highlight w:val="none"/>
              </w:rPr>
              <w:t>第三章“附件：否决投标情况一览表”中</w:t>
            </w:r>
            <w:r>
              <w:rPr>
                <w:rFonts w:hint="eastAsia" w:ascii="宋体" w:hAnsi="宋体"/>
                <w:color w:val="auto"/>
                <w:kern w:val="0"/>
                <w:szCs w:val="21"/>
                <w:highlight w:val="none"/>
              </w:rPr>
              <w:t>情形之一的，投标文件视为重大偏差并作否决投标处理，否则，评标委员会不得视为重大偏差而否决投标人的投标文件。</w:t>
            </w:r>
          </w:p>
        </w:tc>
      </w:tr>
      <w:tr w14:paraId="339D8B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B257C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2.1</w:t>
            </w:r>
          </w:p>
        </w:tc>
        <w:tc>
          <w:tcPr>
            <w:tcW w:w="1644" w:type="dxa"/>
            <w:vAlign w:val="center"/>
          </w:tcPr>
          <w:p w14:paraId="417C26B2">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构成招标文件的其他材料</w:t>
            </w:r>
          </w:p>
        </w:tc>
        <w:tc>
          <w:tcPr>
            <w:tcW w:w="6490" w:type="dxa"/>
            <w:vAlign w:val="center"/>
          </w:tcPr>
          <w:p w14:paraId="78CB98B3">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发出的</w:t>
            </w:r>
            <w:r>
              <w:rPr>
                <w:rFonts w:hint="eastAsia" w:ascii="宋体" w:hAnsi="宋体"/>
                <w:color w:val="auto"/>
                <w:szCs w:val="21"/>
                <w:highlight w:val="none"/>
              </w:rPr>
              <w:t>澄清</w:t>
            </w:r>
            <w:r>
              <w:rPr>
                <w:rFonts w:ascii="宋体" w:hAnsi="宋体"/>
                <w:color w:val="auto"/>
                <w:szCs w:val="21"/>
                <w:highlight w:val="none"/>
              </w:rPr>
              <w:t>及</w:t>
            </w:r>
            <w:r>
              <w:rPr>
                <w:rFonts w:hint="eastAsia" w:ascii="宋体" w:hAnsi="宋体"/>
                <w:color w:val="auto"/>
                <w:szCs w:val="21"/>
                <w:highlight w:val="none"/>
              </w:rPr>
              <w:t>修改</w:t>
            </w:r>
          </w:p>
        </w:tc>
      </w:tr>
      <w:tr w14:paraId="2019B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0F531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644" w:type="dxa"/>
            <w:tcBorders>
              <w:bottom w:val="single" w:color="auto" w:sz="4" w:space="0"/>
            </w:tcBorders>
            <w:vAlign w:val="center"/>
          </w:tcPr>
          <w:p w14:paraId="478F4FB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投标人要求澄清招标文件的</w:t>
            </w:r>
            <w:r>
              <w:rPr>
                <w:rFonts w:hint="eastAsia" w:ascii="宋体" w:hAnsi="宋体"/>
                <w:color w:val="auto"/>
                <w:kern w:val="0"/>
                <w:szCs w:val="21"/>
                <w:highlight w:val="none"/>
              </w:rPr>
              <w:t>形式和</w:t>
            </w:r>
            <w:r>
              <w:rPr>
                <w:rFonts w:ascii="宋体" w:hAnsi="宋体"/>
                <w:color w:val="auto"/>
                <w:kern w:val="0"/>
                <w:szCs w:val="21"/>
                <w:highlight w:val="none"/>
              </w:rPr>
              <w:t>截止时间</w:t>
            </w:r>
          </w:p>
        </w:tc>
        <w:tc>
          <w:tcPr>
            <w:tcW w:w="6490" w:type="dxa"/>
            <w:vAlign w:val="center"/>
          </w:tcPr>
          <w:p w14:paraId="2F5C301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ascii="宋体" w:hAnsi="宋体"/>
                <w:color w:val="auto"/>
                <w:kern w:val="0"/>
                <w:szCs w:val="21"/>
                <w:highlight w:val="none"/>
              </w:rPr>
              <w:t>招标文件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u w:val="single"/>
                <w:lang w:val="en-US" w:eastAsia="zh-CN"/>
              </w:rPr>
              <w:t>2024年10月30日 17时 00  分</w:t>
            </w:r>
            <w:r>
              <w:rPr>
                <w:rFonts w:hint="eastAsia" w:ascii="宋体" w:hAnsi="宋体" w:cs="宋体"/>
                <w:color w:val="auto"/>
                <w:kern w:val="0"/>
                <w:szCs w:val="21"/>
                <w:highlight w:val="none"/>
                <w:lang w:val="en-US" w:eastAsia="zh-CN"/>
              </w:rPr>
              <w:t>前以书面形式向比选人或比选代理机构提出</w:t>
            </w:r>
            <w:r>
              <w:rPr>
                <w:rFonts w:ascii="宋体" w:hAnsi="宋体"/>
                <w:color w:val="auto"/>
                <w:kern w:val="0"/>
                <w:szCs w:val="21"/>
                <w:highlight w:val="none"/>
              </w:rPr>
              <w:t>。</w:t>
            </w:r>
          </w:p>
        </w:tc>
      </w:tr>
      <w:tr w14:paraId="2C943E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Align w:val="center"/>
          </w:tcPr>
          <w:p w14:paraId="35216A6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2.2.2</w:t>
            </w:r>
          </w:p>
        </w:tc>
        <w:tc>
          <w:tcPr>
            <w:tcW w:w="1644" w:type="dxa"/>
            <w:tcBorders>
              <w:top w:val="single" w:color="auto" w:sz="4" w:space="0"/>
            </w:tcBorders>
            <w:vAlign w:val="center"/>
          </w:tcPr>
          <w:p w14:paraId="1244D70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招标文件澄清发出的</w:t>
            </w:r>
            <w:r>
              <w:rPr>
                <w:rFonts w:hint="eastAsia" w:ascii="宋体" w:hAnsi="宋体"/>
                <w:color w:val="auto"/>
                <w:kern w:val="0"/>
                <w:szCs w:val="21"/>
                <w:highlight w:val="none"/>
              </w:rPr>
              <w:t>形式和</w:t>
            </w:r>
            <w:r>
              <w:rPr>
                <w:rFonts w:ascii="宋体" w:hAnsi="宋体"/>
                <w:color w:val="auto"/>
                <w:kern w:val="0"/>
                <w:szCs w:val="21"/>
                <w:highlight w:val="none"/>
              </w:rPr>
              <w:t>时间</w:t>
            </w:r>
          </w:p>
        </w:tc>
        <w:tc>
          <w:tcPr>
            <w:tcW w:w="6490" w:type="dxa"/>
            <w:vAlign w:val="center"/>
          </w:tcPr>
          <w:p w14:paraId="3BC1F2E5">
            <w:pPr>
              <w:snapToGrid w:val="0"/>
              <w:spacing w:line="400" w:lineRule="exact"/>
              <w:ind w:firstLine="420" w:firstLineChars="200"/>
              <w:rPr>
                <w:rFonts w:ascii="宋体" w:hAnsi="宋体" w:eastAsia="宋体" w:cs="Times New Roman"/>
                <w:snapToGrid/>
                <w:color w:val="auto"/>
                <w:kern w:val="0"/>
                <w:szCs w:val="21"/>
                <w:highlight w:val="none"/>
              </w:rPr>
            </w:pPr>
            <w:r>
              <w:rPr>
                <w:rFonts w:hint="eastAsia" w:ascii="宋体" w:hAnsi="宋体" w:cs="Times New Roman"/>
                <w:color w:val="auto"/>
                <w:kern w:val="0"/>
                <w:szCs w:val="21"/>
                <w:highlight w:val="none"/>
                <w:lang w:eastAsia="zh-CN"/>
              </w:rPr>
              <w:t>比选人</w:t>
            </w:r>
            <w:r>
              <w:rPr>
                <w:rFonts w:hint="default" w:ascii="宋体" w:hAnsi="宋体" w:eastAsia="宋体" w:cs="Times New Roman"/>
                <w:color w:val="auto"/>
                <w:kern w:val="0"/>
                <w:szCs w:val="21"/>
                <w:highlight w:val="none"/>
              </w:rPr>
              <w:t>应在</w:t>
            </w:r>
            <w:r>
              <w:rPr>
                <w:rFonts w:hint="default" w:ascii="宋体" w:hAnsi="宋体" w:eastAsia="宋体" w:cs="Times New Roman"/>
                <w:color w:val="auto"/>
                <w:kern w:val="0"/>
                <w:szCs w:val="21"/>
                <w:highlight w:val="none"/>
                <w:u w:val="single"/>
                <w:lang w:val="en-US" w:eastAsia="zh-CN"/>
              </w:rPr>
              <w:t>2024年</w:t>
            </w:r>
            <w:r>
              <w:rPr>
                <w:rFonts w:hint="eastAsia" w:ascii="宋体" w:hAnsi="宋体" w:cs="Times New Roman"/>
                <w:color w:val="auto"/>
                <w:kern w:val="0"/>
                <w:szCs w:val="21"/>
                <w:highlight w:val="none"/>
                <w:u w:val="single"/>
                <w:lang w:val="en-US" w:eastAsia="zh-CN"/>
              </w:rPr>
              <w:t>10</w:t>
            </w:r>
            <w:r>
              <w:rPr>
                <w:rFonts w:hint="default" w:ascii="宋体" w:hAnsi="宋体" w:eastAsia="宋体" w:cs="Times New Roman"/>
                <w:color w:val="auto"/>
                <w:kern w:val="0"/>
                <w:szCs w:val="21"/>
                <w:highlight w:val="none"/>
                <w:u w:val="single"/>
                <w:lang w:val="en-US" w:eastAsia="zh-CN"/>
              </w:rPr>
              <w:t>月</w:t>
            </w:r>
            <w:r>
              <w:rPr>
                <w:rFonts w:hint="eastAsia" w:ascii="宋体" w:hAnsi="宋体" w:cs="Times New Roman"/>
                <w:color w:val="auto"/>
                <w:kern w:val="0"/>
                <w:szCs w:val="21"/>
                <w:highlight w:val="none"/>
                <w:u w:val="single"/>
                <w:lang w:val="en-US" w:eastAsia="zh-CN"/>
              </w:rPr>
              <w:t>31</w:t>
            </w:r>
            <w:r>
              <w:rPr>
                <w:rFonts w:hint="default" w:ascii="宋体" w:hAnsi="宋体" w:eastAsia="宋体" w:cs="Times New Roman"/>
                <w:color w:val="auto"/>
                <w:kern w:val="0"/>
                <w:szCs w:val="21"/>
                <w:highlight w:val="none"/>
                <w:u w:val="single"/>
                <w:lang w:val="en-US" w:eastAsia="zh-CN"/>
              </w:rPr>
              <w:t xml:space="preserve">日 </w:t>
            </w:r>
            <w:r>
              <w:rPr>
                <w:rFonts w:hint="eastAsia" w:ascii="宋体" w:hAnsi="宋体" w:cs="Times New Roman"/>
                <w:color w:val="auto"/>
                <w:kern w:val="0"/>
                <w:szCs w:val="21"/>
                <w:highlight w:val="none"/>
                <w:u w:val="single"/>
                <w:lang w:val="en-US" w:eastAsia="zh-CN"/>
              </w:rPr>
              <w:t>18</w:t>
            </w:r>
            <w:r>
              <w:rPr>
                <w:rFonts w:hint="default" w:ascii="宋体" w:hAnsi="宋体" w:eastAsia="宋体" w:cs="Times New Roman"/>
                <w:color w:val="auto"/>
                <w:kern w:val="0"/>
                <w:szCs w:val="21"/>
                <w:highlight w:val="none"/>
                <w:u w:val="single"/>
                <w:lang w:val="en-US" w:eastAsia="zh-CN"/>
              </w:rPr>
              <w:t xml:space="preserve"> 时 </w:t>
            </w:r>
            <w:r>
              <w:rPr>
                <w:rFonts w:hint="eastAsia" w:ascii="宋体" w:hAnsi="宋体" w:cs="Times New Roman"/>
                <w:color w:val="auto"/>
                <w:kern w:val="0"/>
                <w:szCs w:val="21"/>
                <w:highlight w:val="none"/>
                <w:u w:val="single"/>
                <w:lang w:val="en-US" w:eastAsia="zh-CN"/>
              </w:rPr>
              <w:t>00</w:t>
            </w:r>
            <w:r>
              <w:rPr>
                <w:rFonts w:hint="default" w:ascii="宋体" w:hAnsi="宋体" w:eastAsia="宋体" w:cs="Times New Roman"/>
                <w:color w:val="auto"/>
                <w:kern w:val="0"/>
                <w:szCs w:val="21"/>
                <w:highlight w:val="none"/>
                <w:u w:val="single"/>
                <w:lang w:val="en-US" w:eastAsia="zh-CN"/>
              </w:rPr>
              <w:t xml:space="preserve">  分前</w:t>
            </w:r>
            <w:r>
              <w:rPr>
                <w:rFonts w:ascii="宋体" w:hAnsi="宋体" w:eastAsia="宋体" w:cs="Times New Roman"/>
                <w:color w:val="auto"/>
                <w:kern w:val="0"/>
                <w:szCs w:val="21"/>
                <w:highlight w:val="none"/>
              </w:rPr>
              <w:t>，</w:t>
            </w:r>
            <w:r>
              <w:rPr>
                <w:rFonts w:hint="default" w:ascii="宋体" w:hAnsi="宋体" w:eastAsia="宋体" w:cs="Times New Roman"/>
                <w:bCs w:val="0"/>
                <w:color w:val="auto"/>
                <w:kern w:val="0"/>
                <w:sz w:val="21"/>
                <w:szCs w:val="21"/>
                <w:highlight w:val="none"/>
              </w:rPr>
              <w:t>发布对招标文件的内容进行修改</w:t>
            </w:r>
            <w:r>
              <w:rPr>
                <w:rFonts w:hint="default" w:ascii="宋体" w:hAnsi="宋体" w:eastAsia="宋体" w:cs="Times New Roman"/>
                <w:bCs w:val="0"/>
                <w:color w:val="auto"/>
                <w:kern w:val="0"/>
                <w:sz w:val="21"/>
                <w:szCs w:val="21"/>
                <w:highlight w:val="none"/>
                <w:lang w:val="zh-TW"/>
              </w:rPr>
              <w:t>，由各投标人自行下载。</w:t>
            </w:r>
          </w:p>
        </w:tc>
      </w:tr>
      <w:tr w14:paraId="08512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0D6B3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2.3.1</w:t>
            </w:r>
          </w:p>
        </w:tc>
        <w:tc>
          <w:tcPr>
            <w:tcW w:w="1644" w:type="dxa"/>
            <w:vAlign w:val="center"/>
          </w:tcPr>
          <w:p w14:paraId="240BC9FC">
            <w:pPr>
              <w:snapToGrid w:val="0"/>
              <w:spacing w:after="12" w:afterLines="5" w:line="400" w:lineRule="exact"/>
              <w:jc w:val="center"/>
              <w:rPr>
                <w:rFonts w:ascii="宋体" w:hAnsi="宋体"/>
                <w:color w:val="auto"/>
                <w:kern w:val="0"/>
                <w:szCs w:val="21"/>
                <w:highlight w:val="none"/>
              </w:rPr>
            </w:pPr>
            <w:r>
              <w:rPr>
                <w:rFonts w:ascii="宋体" w:hAnsi="宋体"/>
                <w:color w:val="auto"/>
                <w:kern w:val="0"/>
                <w:szCs w:val="21"/>
                <w:highlight w:val="none"/>
              </w:rPr>
              <w:t>招标文件修改发出的形式</w:t>
            </w:r>
            <w:r>
              <w:rPr>
                <w:rFonts w:hint="eastAsia" w:ascii="宋体" w:hAnsi="宋体"/>
                <w:color w:val="auto"/>
                <w:kern w:val="0"/>
                <w:szCs w:val="21"/>
                <w:highlight w:val="none"/>
              </w:rPr>
              <w:t>和</w:t>
            </w:r>
            <w:r>
              <w:rPr>
                <w:rFonts w:ascii="宋体" w:hAnsi="宋体"/>
                <w:color w:val="auto"/>
                <w:kern w:val="0"/>
                <w:szCs w:val="21"/>
                <w:highlight w:val="none"/>
              </w:rPr>
              <w:t>时间</w:t>
            </w:r>
          </w:p>
        </w:tc>
        <w:tc>
          <w:tcPr>
            <w:tcW w:w="6490" w:type="dxa"/>
            <w:vAlign w:val="center"/>
          </w:tcPr>
          <w:p w14:paraId="6D044282">
            <w:pPr>
              <w:snapToGrid w:val="0"/>
              <w:spacing w:line="400" w:lineRule="exact"/>
              <w:ind w:firstLine="420" w:firstLineChars="200"/>
              <w:rPr>
                <w:rFonts w:ascii="宋体" w:hAnsi="宋体" w:eastAsia="宋体" w:cs="Times New Roman"/>
                <w:color w:val="auto"/>
                <w:kern w:val="0"/>
                <w:szCs w:val="21"/>
                <w:highlight w:val="none"/>
              </w:rPr>
            </w:pPr>
            <w:r>
              <w:rPr>
                <w:rFonts w:hint="eastAsia" w:ascii="宋体" w:hAnsi="宋体" w:cs="Times New Roman"/>
                <w:color w:val="auto"/>
                <w:kern w:val="0"/>
                <w:szCs w:val="21"/>
                <w:highlight w:val="none"/>
                <w:lang w:eastAsia="zh-CN"/>
              </w:rPr>
              <w:t>比选人</w:t>
            </w:r>
            <w:r>
              <w:rPr>
                <w:rFonts w:hint="default" w:ascii="宋体" w:hAnsi="宋体" w:eastAsia="宋体" w:cs="Times New Roman"/>
                <w:color w:val="auto"/>
                <w:kern w:val="0"/>
                <w:szCs w:val="21"/>
                <w:highlight w:val="none"/>
              </w:rPr>
              <w:t>应在</w:t>
            </w:r>
            <w:r>
              <w:rPr>
                <w:rFonts w:hint="default" w:ascii="宋体" w:hAnsi="宋体" w:eastAsia="宋体" w:cs="Times New Roman"/>
                <w:color w:val="auto"/>
                <w:kern w:val="0"/>
                <w:szCs w:val="21"/>
                <w:highlight w:val="none"/>
                <w:u w:val="single"/>
                <w:lang w:val="en-US" w:eastAsia="zh-CN"/>
              </w:rPr>
              <w:t>2024年</w:t>
            </w:r>
            <w:r>
              <w:rPr>
                <w:rFonts w:hint="eastAsia" w:ascii="宋体" w:hAnsi="宋体" w:cs="Times New Roman"/>
                <w:color w:val="auto"/>
                <w:kern w:val="0"/>
                <w:szCs w:val="21"/>
                <w:highlight w:val="none"/>
                <w:u w:val="single"/>
                <w:lang w:val="en-US" w:eastAsia="zh-CN"/>
              </w:rPr>
              <w:t>10</w:t>
            </w:r>
            <w:r>
              <w:rPr>
                <w:rFonts w:hint="default" w:ascii="宋体" w:hAnsi="宋体" w:eastAsia="宋体" w:cs="Times New Roman"/>
                <w:color w:val="auto"/>
                <w:kern w:val="0"/>
                <w:szCs w:val="21"/>
                <w:highlight w:val="none"/>
                <w:u w:val="single"/>
                <w:lang w:val="en-US" w:eastAsia="zh-CN"/>
              </w:rPr>
              <w:t>月</w:t>
            </w:r>
            <w:r>
              <w:rPr>
                <w:rFonts w:hint="eastAsia" w:ascii="宋体" w:hAnsi="宋体" w:cs="Times New Roman"/>
                <w:color w:val="auto"/>
                <w:kern w:val="0"/>
                <w:szCs w:val="21"/>
                <w:highlight w:val="none"/>
                <w:u w:val="single"/>
                <w:lang w:val="en-US" w:eastAsia="zh-CN"/>
              </w:rPr>
              <w:t>31</w:t>
            </w:r>
            <w:r>
              <w:rPr>
                <w:rFonts w:hint="default" w:ascii="宋体" w:hAnsi="宋体" w:eastAsia="宋体" w:cs="Times New Roman"/>
                <w:color w:val="auto"/>
                <w:kern w:val="0"/>
                <w:szCs w:val="21"/>
                <w:highlight w:val="none"/>
                <w:u w:val="single"/>
                <w:lang w:val="en-US" w:eastAsia="zh-CN"/>
              </w:rPr>
              <w:t xml:space="preserve">日 </w:t>
            </w:r>
            <w:r>
              <w:rPr>
                <w:rFonts w:hint="eastAsia" w:ascii="宋体" w:hAnsi="宋体" w:cs="Times New Roman"/>
                <w:color w:val="auto"/>
                <w:kern w:val="0"/>
                <w:szCs w:val="21"/>
                <w:highlight w:val="none"/>
                <w:u w:val="single"/>
                <w:lang w:val="en-US" w:eastAsia="zh-CN"/>
              </w:rPr>
              <w:t>18</w:t>
            </w:r>
            <w:r>
              <w:rPr>
                <w:rFonts w:hint="default" w:ascii="宋体" w:hAnsi="宋体" w:eastAsia="宋体" w:cs="Times New Roman"/>
                <w:color w:val="auto"/>
                <w:kern w:val="0"/>
                <w:szCs w:val="21"/>
                <w:highlight w:val="none"/>
                <w:u w:val="single"/>
                <w:lang w:val="en-US" w:eastAsia="zh-CN"/>
              </w:rPr>
              <w:t xml:space="preserve"> 时  </w:t>
            </w:r>
            <w:r>
              <w:rPr>
                <w:rFonts w:hint="eastAsia" w:ascii="宋体" w:hAnsi="宋体" w:cs="Times New Roman"/>
                <w:color w:val="auto"/>
                <w:kern w:val="0"/>
                <w:szCs w:val="21"/>
                <w:highlight w:val="none"/>
                <w:u w:val="single"/>
                <w:lang w:val="en-US" w:eastAsia="zh-CN"/>
              </w:rPr>
              <w:t>00</w:t>
            </w:r>
            <w:r>
              <w:rPr>
                <w:rFonts w:hint="default" w:ascii="宋体" w:hAnsi="宋体" w:eastAsia="宋体" w:cs="Times New Roman"/>
                <w:color w:val="auto"/>
                <w:kern w:val="0"/>
                <w:szCs w:val="21"/>
                <w:highlight w:val="none"/>
                <w:lang w:val="en-US" w:eastAsia="zh-CN"/>
              </w:rPr>
              <w:t xml:space="preserve"> 分前</w:t>
            </w:r>
            <w:r>
              <w:rPr>
                <w:rFonts w:ascii="宋体" w:hAnsi="宋体" w:eastAsia="宋体" w:cs="Times New Roman"/>
                <w:color w:val="auto"/>
                <w:kern w:val="0"/>
                <w:szCs w:val="21"/>
                <w:highlight w:val="none"/>
              </w:rPr>
              <w:t>，</w:t>
            </w:r>
            <w:r>
              <w:rPr>
                <w:rFonts w:hint="default" w:ascii="宋体" w:hAnsi="宋体" w:eastAsia="宋体" w:cs="Times New Roman"/>
                <w:bCs w:val="0"/>
                <w:color w:val="auto"/>
                <w:kern w:val="0"/>
                <w:sz w:val="21"/>
                <w:szCs w:val="21"/>
                <w:highlight w:val="none"/>
              </w:rPr>
              <w:t>发布对招标文件的内容进行修改</w:t>
            </w:r>
            <w:r>
              <w:rPr>
                <w:rFonts w:hint="default" w:ascii="宋体" w:hAnsi="宋体" w:eastAsia="宋体" w:cs="Times New Roman"/>
                <w:bCs w:val="0"/>
                <w:color w:val="auto"/>
                <w:kern w:val="0"/>
                <w:sz w:val="21"/>
                <w:szCs w:val="21"/>
                <w:highlight w:val="none"/>
                <w:lang w:val="zh-TW"/>
              </w:rPr>
              <w:t>，由各投标人自行下载。</w:t>
            </w:r>
          </w:p>
        </w:tc>
      </w:tr>
      <w:tr w14:paraId="2DD3E3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3F540BD">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2.4</w:t>
            </w:r>
          </w:p>
        </w:tc>
        <w:tc>
          <w:tcPr>
            <w:tcW w:w="1644" w:type="dxa"/>
            <w:vAlign w:val="center"/>
          </w:tcPr>
          <w:p w14:paraId="09EBEB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投标人对招标文件及澄清修改提出异议的</w:t>
            </w:r>
            <w:r>
              <w:rPr>
                <w:rFonts w:hint="eastAsia" w:ascii="宋体" w:hAnsi="宋体"/>
                <w:color w:val="auto"/>
                <w:kern w:val="0"/>
                <w:szCs w:val="21"/>
                <w:highlight w:val="none"/>
              </w:rPr>
              <w:t>形式和时间</w:t>
            </w:r>
          </w:p>
        </w:tc>
        <w:tc>
          <w:tcPr>
            <w:tcW w:w="6490" w:type="dxa"/>
            <w:vAlign w:val="center"/>
          </w:tcPr>
          <w:p w14:paraId="6857022A">
            <w:pPr>
              <w:snapToGrid w:val="0"/>
              <w:spacing w:line="400" w:lineRule="exact"/>
              <w:ind w:firstLine="420" w:firstLineChars="200"/>
              <w:rPr>
                <w:rFonts w:ascii="宋体" w:hAnsi="宋体" w:eastAsia="宋体" w:cs="Times New Roman"/>
                <w:snapToGrid/>
                <w:color w:val="auto"/>
                <w:kern w:val="0"/>
                <w:szCs w:val="21"/>
                <w:highlight w:val="none"/>
              </w:rPr>
            </w:pPr>
            <w:r>
              <w:rPr>
                <w:rFonts w:hint="default" w:ascii="宋体" w:hAnsi="宋体" w:eastAsia="宋体" w:cs="Times New Roman"/>
                <w:snapToGrid/>
                <w:color w:val="auto"/>
                <w:kern w:val="0"/>
                <w:sz w:val="21"/>
                <w:szCs w:val="21"/>
                <w:highlight w:val="none"/>
              </w:rPr>
              <w:t>投标人对招标文件和澄清修改有异议的，通过</w:t>
            </w:r>
            <w:r>
              <w:rPr>
                <w:rFonts w:hint="eastAsia" w:ascii="宋体" w:hAnsi="宋体" w:cs="Times New Roman"/>
                <w:snapToGrid/>
                <w:color w:val="auto"/>
                <w:kern w:val="0"/>
                <w:sz w:val="21"/>
                <w:szCs w:val="21"/>
                <w:highlight w:val="none"/>
                <w:lang w:val="en-US" w:eastAsia="zh-CN"/>
              </w:rPr>
              <w:t>书面形式</w:t>
            </w:r>
            <w:r>
              <w:rPr>
                <w:rFonts w:hint="default" w:ascii="宋体" w:hAnsi="宋体" w:eastAsia="宋体" w:cs="Times New Roman"/>
                <w:snapToGrid/>
                <w:color w:val="auto"/>
                <w:kern w:val="0"/>
                <w:sz w:val="21"/>
                <w:szCs w:val="21"/>
                <w:highlight w:val="none"/>
              </w:rPr>
              <w:t>提出。答复内容可能影响投标文件编制的，将以修改的形式</w:t>
            </w:r>
            <w:r>
              <w:rPr>
                <w:rFonts w:hint="eastAsia" w:ascii="宋体" w:hAnsi="宋体" w:cs="Times New Roman"/>
                <w:bCs w:val="0"/>
                <w:color w:val="auto"/>
                <w:kern w:val="0"/>
                <w:sz w:val="21"/>
                <w:szCs w:val="21"/>
                <w:highlight w:val="none"/>
                <w:lang w:val="en-US" w:eastAsia="zh-CN"/>
              </w:rPr>
              <w:t>发布</w:t>
            </w:r>
            <w:r>
              <w:rPr>
                <w:rFonts w:hint="default" w:ascii="宋体" w:hAnsi="宋体" w:eastAsia="宋体" w:cs="Times New Roman"/>
                <w:snapToGrid/>
                <w:color w:val="auto"/>
                <w:kern w:val="0"/>
                <w:sz w:val="21"/>
                <w:szCs w:val="21"/>
                <w:highlight w:val="none"/>
              </w:rPr>
              <w:t>澄清修改。</w:t>
            </w:r>
          </w:p>
        </w:tc>
      </w:tr>
      <w:tr w14:paraId="07582D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BB3050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3.1.1</w:t>
            </w:r>
          </w:p>
        </w:tc>
        <w:tc>
          <w:tcPr>
            <w:tcW w:w="1644" w:type="dxa"/>
            <w:vAlign w:val="center"/>
          </w:tcPr>
          <w:p w14:paraId="2604F7B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构成投标文件的其他</w:t>
            </w:r>
            <w:r>
              <w:rPr>
                <w:rFonts w:hint="eastAsia" w:ascii="宋体" w:hAnsi="宋体"/>
                <w:color w:val="auto"/>
                <w:kern w:val="0"/>
                <w:szCs w:val="21"/>
                <w:highlight w:val="none"/>
              </w:rPr>
              <w:t>资</w:t>
            </w:r>
            <w:r>
              <w:rPr>
                <w:rFonts w:ascii="宋体" w:hAnsi="宋体"/>
                <w:color w:val="auto"/>
                <w:kern w:val="0"/>
                <w:szCs w:val="21"/>
                <w:highlight w:val="none"/>
              </w:rPr>
              <w:t>料</w:t>
            </w:r>
          </w:p>
        </w:tc>
        <w:tc>
          <w:tcPr>
            <w:tcW w:w="6490" w:type="dxa"/>
            <w:vAlign w:val="center"/>
          </w:tcPr>
          <w:p w14:paraId="2904DF87">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投标人的书面澄清、说明和补正（但不得改变投标文件的实质性内容）</w:t>
            </w:r>
          </w:p>
        </w:tc>
      </w:tr>
      <w:tr w14:paraId="34EAE9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D7D17A1">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.2.1</w:t>
            </w:r>
          </w:p>
        </w:tc>
        <w:tc>
          <w:tcPr>
            <w:tcW w:w="1644" w:type="dxa"/>
            <w:vAlign w:val="center"/>
          </w:tcPr>
          <w:p w14:paraId="230E78AE">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增值税税金的计算方法</w:t>
            </w:r>
          </w:p>
        </w:tc>
        <w:tc>
          <w:tcPr>
            <w:tcW w:w="6490" w:type="dxa"/>
            <w:vAlign w:val="center"/>
          </w:tcPr>
          <w:p w14:paraId="793716E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一般计税法</w:t>
            </w:r>
          </w:p>
        </w:tc>
      </w:tr>
      <w:tr w14:paraId="4F5188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FC5DA2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.2.3</w:t>
            </w:r>
          </w:p>
        </w:tc>
        <w:tc>
          <w:tcPr>
            <w:tcW w:w="1644" w:type="dxa"/>
            <w:vAlign w:val="center"/>
          </w:tcPr>
          <w:p w14:paraId="6C850D1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报价方式</w:t>
            </w:r>
          </w:p>
        </w:tc>
        <w:tc>
          <w:tcPr>
            <w:tcW w:w="6490" w:type="dxa"/>
            <w:vAlign w:val="center"/>
          </w:tcPr>
          <w:p w14:paraId="6493C75C">
            <w:pPr>
              <w:snapToGrid w:val="0"/>
              <w:spacing w:line="400" w:lineRule="exact"/>
              <w:ind w:firstLine="420" w:firstLineChars="200"/>
              <w:rPr>
                <w:color w:val="auto"/>
                <w:highlight w:val="none"/>
              </w:rPr>
            </w:pPr>
            <w:r>
              <w:rPr>
                <w:rFonts w:ascii="Times New Roman" w:eastAsia="宋体"/>
                <w:color w:val="auto"/>
                <w:kern w:val="0"/>
                <w:szCs w:val="21"/>
                <w:highlight w:val="none"/>
              </w:rPr>
              <w:t>本项目采用固定单价的方式，投标报价以本招标文件第</w:t>
            </w:r>
            <w:r>
              <w:rPr>
                <w:rFonts w:hint="eastAsia" w:ascii="Times New Roman"/>
                <w:color w:val="auto"/>
                <w:kern w:val="0"/>
                <w:szCs w:val="21"/>
                <w:highlight w:val="none"/>
                <w:lang w:val="en-US" w:eastAsia="zh-CN"/>
              </w:rPr>
              <w:t>六</w:t>
            </w:r>
            <w:r>
              <w:rPr>
                <w:rFonts w:ascii="Times New Roman" w:eastAsia="宋体"/>
                <w:color w:val="auto"/>
                <w:kern w:val="0"/>
                <w:szCs w:val="21"/>
                <w:highlight w:val="none"/>
              </w:rPr>
              <w:t>章</w:t>
            </w:r>
            <w:r>
              <w:rPr>
                <w:rFonts w:hint="eastAsia"/>
                <w:color w:val="auto"/>
                <w:kern w:val="0"/>
                <w:szCs w:val="21"/>
                <w:highlight w:val="none"/>
                <w:lang w:val="en-US" w:eastAsia="zh-CN"/>
              </w:rPr>
              <w:t>报价</w:t>
            </w:r>
            <w:r>
              <w:rPr>
                <w:rFonts w:ascii="Times New Roman" w:eastAsia="宋体"/>
                <w:color w:val="auto"/>
                <w:kern w:val="0"/>
                <w:szCs w:val="21"/>
                <w:highlight w:val="none"/>
              </w:rPr>
              <w:t>清单</w:t>
            </w:r>
            <w:r>
              <w:rPr>
                <w:rFonts w:hint="eastAsia" w:ascii="Times New Roman"/>
                <w:color w:val="auto"/>
                <w:kern w:val="0"/>
                <w:szCs w:val="21"/>
                <w:highlight w:val="none"/>
                <w:lang w:val="en-US" w:eastAsia="zh-CN"/>
              </w:rPr>
              <w:t>进行报价</w:t>
            </w:r>
            <w:r>
              <w:rPr>
                <w:rFonts w:ascii="Times New Roman" w:eastAsia="宋体"/>
                <w:color w:val="auto"/>
                <w:kern w:val="0"/>
                <w:szCs w:val="21"/>
                <w:highlight w:val="none"/>
              </w:rPr>
              <w:t>。</w:t>
            </w:r>
          </w:p>
        </w:tc>
      </w:tr>
      <w:tr w14:paraId="1F8DA9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9CDE20">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w:t>
            </w:r>
            <w:r>
              <w:rPr>
                <w:rFonts w:ascii="宋体" w:hAnsi="宋体"/>
                <w:color w:val="auto"/>
                <w:kern w:val="0"/>
                <w:szCs w:val="21"/>
                <w:highlight w:val="none"/>
              </w:rPr>
              <w:t>.2.4</w:t>
            </w:r>
          </w:p>
        </w:tc>
        <w:tc>
          <w:tcPr>
            <w:tcW w:w="1644" w:type="dxa"/>
            <w:vAlign w:val="center"/>
          </w:tcPr>
          <w:p w14:paraId="258A036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最高投标限价</w:t>
            </w:r>
          </w:p>
        </w:tc>
        <w:tc>
          <w:tcPr>
            <w:tcW w:w="6490" w:type="dxa"/>
            <w:vAlign w:val="center"/>
          </w:tcPr>
          <w:tbl>
            <w:tblPr>
              <w:tblStyle w:val="50"/>
              <w:tblW w:w="6276"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97"/>
              <w:gridCol w:w="697"/>
              <w:gridCol w:w="697"/>
              <w:gridCol w:w="697"/>
              <w:gridCol w:w="697"/>
              <w:gridCol w:w="698"/>
              <w:gridCol w:w="698"/>
              <w:gridCol w:w="698"/>
            </w:tblGrid>
            <w:tr w14:paraId="6817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04058CD4">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697" w:type="dxa"/>
                </w:tcPr>
                <w:p w14:paraId="032F82A9">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物资名称</w:t>
                  </w:r>
                </w:p>
              </w:tc>
              <w:tc>
                <w:tcPr>
                  <w:tcW w:w="697" w:type="dxa"/>
                </w:tcPr>
                <w:p w14:paraId="21AA20E7">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规格型号</w:t>
                  </w:r>
                </w:p>
              </w:tc>
              <w:tc>
                <w:tcPr>
                  <w:tcW w:w="697" w:type="dxa"/>
                </w:tcPr>
                <w:p w14:paraId="2B846BE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预计数量（吨）</w:t>
                  </w:r>
                </w:p>
              </w:tc>
              <w:tc>
                <w:tcPr>
                  <w:tcW w:w="697" w:type="dxa"/>
                </w:tcPr>
                <w:p w14:paraId="62D0DF8C">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暂定基准价（网价）</w:t>
                  </w:r>
                </w:p>
              </w:tc>
              <w:tc>
                <w:tcPr>
                  <w:tcW w:w="697" w:type="dxa"/>
                </w:tcPr>
                <w:p w14:paraId="013B5E11">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综合费用</w:t>
                  </w:r>
                </w:p>
              </w:tc>
              <w:tc>
                <w:tcPr>
                  <w:tcW w:w="698" w:type="dxa"/>
                </w:tcPr>
                <w:p w14:paraId="5D5B36E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含税合计</w:t>
                  </w:r>
                </w:p>
              </w:tc>
              <w:tc>
                <w:tcPr>
                  <w:tcW w:w="698" w:type="dxa"/>
                </w:tcPr>
                <w:p w14:paraId="61980B6B">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项目名称</w:t>
                  </w:r>
                </w:p>
              </w:tc>
              <w:tc>
                <w:tcPr>
                  <w:tcW w:w="698" w:type="dxa"/>
                </w:tcPr>
                <w:p w14:paraId="6B6DDE0F">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收货地址</w:t>
                  </w:r>
                </w:p>
              </w:tc>
            </w:tr>
            <w:tr w14:paraId="3374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34336983">
                  <w:pPr>
                    <w:snapToGrid w:val="0"/>
                    <w:spacing w:line="400" w:lineRule="exact"/>
                    <w:jc w:val="left"/>
                    <w:rPr>
                      <w:rFonts w:hint="default"/>
                      <w:color w:val="auto"/>
                      <w:highlight w:val="none"/>
                      <w:lang w:val="en-US" w:eastAsia="zh-CN"/>
                    </w:rPr>
                  </w:pPr>
                  <w:r>
                    <w:rPr>
                      <w:rFonts w:hint="eastAsia" w:ascii="宋体" w:hAnsi="宋体" w:cs="宋体"/>
                      <w:color w:val="auto"/>
                      <w:sz w:val="21"/>
                      <w:szCs w:val="21"/>
                      <w:highlight w:val="none"/>
                      <w:vertAlign w:val="baseline"/>
                      <w:lang w:val="en-US" w:eastAsia="zh-CN"/>
                    </w:rPr>
                    <w:t>1</w:t>
                  </w:r>
                </w:p>
              </w:tc>
              <w:tc>
                <w:tcPr>
                  <w:tcW w:w="697" w:type="dxa"/>
                </w:tcPr>
                <w:p w14:paraId="6C027300">
                  <w:pPr>
                    <w:snapToGrid w:val="0"/>
                    <w:spacing w:line="400" w:lineRule="exact"/>
                    <w:jc w:val="left"/>
                    <w:rPr>
                      <w:rFonts w:hint="eastAsia" w:ascii="宋体" w:hAnsi="宋体" w:eastAsia="宋体" w:cs="宋体"/>
                      <w:color w:val="auto"/>
                      <w:sz w:val="21"/>
                      <w:szCs w:val="21"/>
                      <w:highlight w:val="none"/>
                      <w:vertAlign w:val="baseline"/>
                    </w:rPr>
                  </w:pPr>
                  <w:r>
                    <w:rPr>
                      <w:rFonts w:hint="eastAsia" w:ascii="等线" w:hAnsi="等线" w:eastAsia="等线" w:cs="等线"/>
                      <w:i w:val="0"/>
                      <w:iCs w:val="0"/>
                      <w:color w:val="auto"/>
                      <w:kern w:val="0"/>
                      <w:sz w:val="22"/>
                      <w:szCs w:val="22"/>
                      <w:highlight w:val="none"/>
                      <w:u w:val="none"/>
                      <w:lang w:val="en-US" w:eastAsia="zh-CN" w:bidi="ar"/>
                    </w:rPr>
                    <w:t>防裂钢筋网</w:t>
                  </w:r>
                </w:p>
              </w:tc>
              <w:tc>
                <w:tcPr>
                  <w:tcW w:w="697" w:type="dxa"/>
                </w:tcPr>
                <w:p w14:paraId="0D4710DF">
                  <w:pPr>
                    <w:snapToGrid w:val="0"/>
                    <w:spacing w:line="400" w:lineRule="exact"/>
                    <w:jc w:val="left"/>
                    <w:rPr>
                      <w:rFonts w:hint="eastAsia" w:ascii="宋体" w:hAnsi="宋体" w:eastAsia="宋体" w:cs="宋体"/>
                      <w:color w:val="auto"/>
                      <w:sz w:val="21"/>
                      <w:szCs w:val="21"/>
                      <w:highlight w:val="none"/>
                      <w:vertAlign w:val="baseline"/>
                    </w:rPr>
                  </w:pPr>
                  <w:r>
                    <w:rPr>
                      <w:rFonts w:hint="eastAsia" w:ascii="新宋体" w:hAnsi="新宋体" w:eastAsia="新宋体" w:cs="新宋体"/>
                      <w:bCs/>
                      <w:color w:val="auto"/>
                      <w:kern w:val="0"/>
                      <w:sz w:val="24"/>
                      <w:szCs w:val="24"/>
                      <w:highlight w:val="none"/>
                      <w:lang w:val="en-US" w:eastAsia="zh-CN" w:bidi="ar-SA"/>
                    </w:rPr>
                    <w:t>φ</w:t>
                  </w:r>
                  <w:r>
                    <w:rPr>
                      <w:rFonts w:hint="eastAsia" w:ascii="等线" w:hAnsi="等线" w:eastAsia="等线" w:cs="等线"/>
                      <w:i w:val="0"/>
                      <w:iCs w:val="0"/>
                      <w:color w:val="auto"/>
                      <w:kern w:val="0"/>
                      <w:sz w:val="22"/>
                      <w:szCs w:val="22"/>
                      <w:highlight w:val="none"/>
                      <w:u w:val="none"/>
                      <w:lang w:val="en-US" w:eastAsia="zh-CN" w:bidi="ar"/>
                    </w:rPr>
                    <w:t>4@150*150</w:t>
                  </w:r>
                </w:p>
              </w:tc>
              <w:tc>
                <w:tcPr>
                  <w:tcW w:w="697" w:type="dxa"/>
                </w:tcPr>
                <w:p w14:paraId="77839485">
                  <w:pPr>
                    <w:snapToGrid w:val="0"/>
                    <w:spacing w:line="400" w:lineRule="exact"/>
                    <w:jc w:val="left"/>
                    <w:rPr>
                      <w:rFonts w:hint="eastAsia" w:ascii="宋体" w:hAnsi="宋体" w:eastAsia="宋体" w:cs="宋体"/>
                      <w:color w:val="auto"/>
                      <w:sz w:val="21"/>
                      <w:szCs w:val="21"/>
                      <w:highlight w:val="none"/>
                      <w:vertAlign w:val="baseline"/>
                    </w:rPr>
                  </w:pPr>
                  <w:r>
                    <w:rPr>
                      <w:rFonts w:hint="eastAsia" w:ascii="等线" w:hAnsi="等线" w:eastAsia="等线" w:cs="等线"/>
                      <w:i w:val="0"/>
                      <w:iCs w:val="0"/>
                      <w:color w:val="auto"/>
                      <w:kern w:val="0"/>
                      <w:sz w:val="22"/>
                      <w:szCs w:val="22"/>
                      <w:highlight w:val="none"/>
                      <w:u w:val="none"/>
                      <w:lang w:val="en-US" w:eastAsia="zh-CN" w:bidi="ar"/>
                    </w:rPr>
                    <w:t>4.44</w:t>
                  </w:r>
                </w:p>
              </w:tc>
              <w:tc>
                <w:tcPr>
                  <w:tcW w:w="697" w:type="dxa"/>
                </w:tcPr>
                <w:p w14:paraId="795CCE75">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4650</w:t>
                  </w:r>
                </w:p>
              </w:tc>
              <w:tc>
                <w:tcPr>
                  <w:tcW w:w="697" w:type="dxa"/>
                </w:tcPr>
                <w:p w14:paraId="0CD9336C">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98" w:type="dxa"/>
                </w:tcPr>
                <w:p w14:paraId="0FBCCA66">
                  <w:pPr>
                    <w:snapToGrid w:val="0"/>
                    <w:spacing w:line="400" w:lineRule="exact"/>
                    <w:jc w:val="left"/>
                    <w:rPr>
                      <w:rFonts w:hint="default" w:ascii="宋体" w:hAnsi="宋体" w:eastAsia="宋体" w:cs="宋体"/>
                      <w:color w:val="auto"/>
                      <w:sz w:val="21"/>
                      <w:szCs w:val="21"/>
                      <w:highlight w:val="none"/>
                      <w:vertAlign w:val="baseline"/>
                      <w:lang w:val="en-US"/>
                    </w:rPr>
                  </w:pPr>
                  <w:r>
                    <w:rPr>
                      <w:rFonts w:hint="eastAsia" w:ascii="方正仿宋_GBK" w:hAnsi="方正仿宋_GBK" w:eastAsia="方正仿宋_GBK" w:cs="方正仿宋_GBK"/>
                      <w:i w:val="0"/>
                      <w:iCs w:val="0"/>
                      <w:color w:val="auto"/>
                      <w:spacing w:val="-2"/>
                      <w:kern w:val="0"/>
                      <w:sz w:val="21"/>
                      <w:szCs w:val="21"/>
                      <w:highlight w:val="none"/>
                      <w:u w:val="none"/>
                      <w:lang w:val="en-US" w:eastAsia="zh-CN" w:bidi="ar"/>
                    </w:rPr>
                    <w:t>20734.80</w:t>
                  </w:r>
                </w:p>
              </w:tc>
              <w:tc>
                <w:tcPr>
                  <w:tcW w:w="698" w:type="dxa"/>
                </w:tcPr>
                <w:p w14:paraId="5520E119">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color w:val="auto"/>
                      <w:sz w:val="21"/>
                      <w:szCs w:val="21"/>
                      <w:highlight w:val="none"/>
                      <w:vertAlign w:val="baseline"/>
                    </w:rPr>
                    <w:t>鹞子丘片区路网工程一期项目</w:t>
                  </w:r>
                </w:p>
              </w:tc>
              <w:tc>
                <w:tcPr>
                  <w:tcW w:w="698" w:type="dxa"/>
                </w:tcPr>
                <w:p w14:paraId="09183644">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kern w:val="0"/>
                      <w:sz w:val="21"/>
                      <w:szCs w:val="21"/>
                      <w:highlight w:val="none"/>
                      <w:u w:val="none"/>
                      <w:lang w:val="en-US" w:eastAsia="zh-CN" w:bidi="ar"/>
                    </w:rPr>
                    <w:t>江北区观音桥电测村</w:t>
                  </w:r>
                </w:p>
              </w:tc>
            </w:tr>
            <w:tr w14:paraId="6DB4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423D6901">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697" w:type="dxa"/>
                </w:tcPr>
                <w:p w14:paraId="10CA3E2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钢筋网片</w:t>
                  </w:r>
                </w:p>
              </w:tc>
              <w:tc>
                <w:tcPr>
                  <w:tcW w:w="697" w:type="dxa"/>
                </w:tcPr>
                <w:p w14:paraId="146FB7C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D6</w:t>
                  </w:r>
                </w:p>
              </w:tc>
              <w:tc>
                <w:tcPr>
                  <w:tcW w:w="697" w:type="dxa"/>
                </w:tcPr>
                <w:p w14:paraId="24CB935C">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170</w:t>
                  </w:r>
                </w:p>
              </w:tc>
              <w:tc>
                <w:tcPr>
                  <w:tcW w:w="697" w:type="dxa"/>
                </w:tcPr>
                <w:p w14:paraId="6E8552A9">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4650</w:t>
                  </w:r>
                </w:p>
              </w:tc>
              <w:tc>
                <w:tcPr>
                  <w:tcW w:w="697" w:type="dxa"/>
                </w:tcPr>
                <w:p w14:paraId="65ACF4E6">
                  <w:pPr>
                    <w:snapToGrid w:val="0"/>
                    <w:spacing w:line="400" w:lineRule="exact"/>
                    <w:jc w:val="left"/>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p w14:paraId="2760C9D9">
                  <w:pPr>
                    <w:pStyle w:val="18"/>
                    <w:rPr>
                      <w:rFonts w:hint="default"/>
                      <w:color w:val="auto"/>
                      <w:highlight w:val="none"/>
                      <w:lang w:val="en-US" w:eastAsia="zh-CN"/>
                    </w:rPr>
                  </w:pPr>
                </w:p>
              </w:tc>
              <w:tc>
                <w:tcPr>
                  <w:tcW w:w="698" w:type="dxa"/>
                </w:tcPr>
                <w:p w14:paraId="33FE2A1B">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793900</w:t>
                  </w:r>
                </w:p>
              </w:tc>
              <w:tc>
                <w:tcPr>
                  <w:tcW w:w="698" w:type="dxa"/>
                  <w:vMerge w:val="restart"/>
                </w:tcPr>
                <w:p w14:paraId="6548F4D4">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eastAsia="宋体" w:cs="宋体"/>
                      <w:i w:val="0"/>
                      <w:iCs w:val="0"/>
                      <w:color w:val="auto"/>
                      <w:sz w:val="21"/>
                      <w:szCs w:val="21"/>
                      <w:highlight w:val="none"/>
                      <w:u w:val="none"/>
                      <w:lang w:val="en-US" w:eastAsia="zh-CN"/>
                    </w:rPr>
                    <w:t>渝赤（水）叙（永）高速公路（重庆段）4标</w:t>
                  </w:r>
                </w:p>
              </w:tc>
              <w:tc>
                <w:tcPr>
                  <w:tcW w:w="698" w:type="dxa"/>
                  <w:vMerge w:val="restart"/>
                </w:tcPr>
                <w:p w14:paraId="0211224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江津区蔡家镇、嘉平镇</w:t>
                  </w:r>
                </w:p>
              </w:tc>
            </w:tr>
            <w:tr w14:paraId="366E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297C9550">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w:t>
                  </w:r>
                </w:p>
              </w:tc>
              <w:tc>
                <w:tcPr>
                  <w:tcW w:w="697" w:type="dxa"/>
                </w:tcPr>
                <w:p w14:paraId="4C578AAF">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钢筋网片</w:t>
                  </w:r>
                </w:p>
              </w:tc>
              <w:tc>
                <w:tcPr>
                  <w:tcW w:w="697" w:type="dxa"/>
                </w:tcPr>
                <w:p w14:paraId="205A69B1">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D8</w:t>
                  </w:r>
                </w:p>
              </w:tc>
              <w:tc>
                <w:tcPr>
                  <w:tcW w:w="697" w:type="dxa"/>
                </w:tcPr>
                <w:p w14:paraId="5632DCD7">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30</w:t>
                  </w:r>
                </w:p>
              </w:tc>
              <w:tc>
                <w:tcPr>
                  <w:tcW w:w="697" w:type="dxa"/>
                </w:tcPr>
                <w:p w14:paraId="35018260">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4470</w:t>
                  </w:r>
                </w:p>
              </w:tc>
              <w:tc>
                <w:tcPr>
                  <w:tcW w:w="697" w:type="dxa"/>
                </w:tcPr>
                <w:p w14:paraId="36472A54">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98" w:type="dxa"/>
                </w:tcPr>
                <w:p w14:paraId="7A28EB4D">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134700</w:t>
                  </w:r>
                </w:p>
              </w:tc>
              <w:tc>
                <w:tcPr>
                  <w:tcW w:w="698" w:type="dxa"/>
                  <w:vMerge w:val="continue"/>
                </w:tcPr>
                <w:p w14:paraId="5F5319FF">
                  <w:pPr>
                    <w:snapToGrid w:val="0"/>
                    <w:spacing w:line="400" w:lineRule="exact"/>
                    <w:jc w:val="left"/>
                    <w:rPr>
                      <w:rFonts w:hint="eastAsia" w:ascii="宋体" w:hAnsi="宋体" w:eastAsia="宋体" w:cs="宋体"/>
                      <w:color w:val="auto"/>
                      <w:sz w:val="21"/>
                      <w:szCs w:val="21"/>
                      <w:highlight w:val="none"/>
                      <w:vertAlign w:val="baseline"/>
                    </w:rPr>
                  </w:pPr>
                </w:p>
              </w:tc>
              <w:tc>
                <w:tcPr>
                  <w:tcW w:w="698" w:type="dxa"/>
                  <w:vMerge w:val="continue"/>
                </w:tcPr>
                <w:p w14:paraId="529FF119">
                  <w:pPr>
                    <w:snapToGrid w:val="0"/>
                    <w:spacing w:line="400" w:lineRule="exact"/>
                    <w:jc w:val="left"/>
                    <w:rPr>
                      <w:rFonts w:hint="eastAsia" w:ascii="宋体" w:hAnsi="宋体" w:eastAsia="宋体" w:cs="宋体"/>
                      <w:color w:val="auto"/>
                      <w:sz w:val="21"/>
                      <w:szCs w:val="21"/>
                      <w:highlight w:val="none"/>
                      <w:vertAlign w:val="baseline"/>
                    </w:rPr>
                  </w:pPr>
                </w:p>
              </w:tc>
            </w:tr>
            <w:tr w14:paraId="11C4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29EE901A">
                  <w:pPr>
                    <w:snapToGrid w:val="0"/>
                    <w:spacing w:line="400" w:lineRule="exact"/>
                    <w:jc w:val="left"/>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w:t>
                  </w:r>
                </w:p>
              </w:tc>
              <w:tc>
                <w:tcPr>
                  <w:tcW w:w="697" w:type="dxa"/>
                </w:tcPr>
                <w:p w14:paraId="456B8A2C">
                  <w:pPr>
                    <w:snapToGrid w:val="0"/>
                    <w:spacing w:line="400" w:lineRule="exact"/>
                    <w:jc w:val="left"/>
                    <w:rPr>
                      <w:rFonts w:hint="eastAsia" w:ascii="宋体" w:hAnsi="宋体" w:eastAsia="宋体" w:cs="宋体"/>
                      <w:color w:val="auto"/>
                      <w:sz w:val="21"/>
                      <w:szCs w:val="21"/>
                      <w:highlight w:val="none"/>
                      <w:vertAlign w:val="baseline"/>
                    </w:rPr>
                  </w:pPr>
                  <w:r>
                    <w:rPr>
                      <w:rFonts w:hint="eastAsia" w:ascii="宋体" w:hAnsi="宋体" w:cs="宋体"/>
                      <w:color w:val="auto"/>
                      <w:sz w:val="21"/>
                      <w:szCs w:val="21"/>
                      <w:highlight w:val="none"/>
                      <w:vertAlign w:val="baseline"/>
                      <w:lang w:val="en-US" w:eastAsia="zh-CN"/>
                    </w:rPr>
                    <w:t>钢筋网片</w:t>
                  </w:r>
                </w:p>
              </w:tc>
              <w:tc>
                <w:tcPr>
                  <w:tcW w:w="697" w:type="dxa"/>
                </w:tcPr>
                <w:p w14:paraId="0AB2C722">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D10</w:t>
                  </w:r>
                </w:p>
              </w:tc>
              <w:tc>
                <w:tcPr>
                  <w:tcW w:w="697" w:type="dxa"/>
                </w:tcPr>
                <w:p w14:paraId="1F029CC0">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800</w:t>
                  </w:r>
                </w:p>
              </w:tc>
              <w:tc>
                <w:tcPr>
                  <w:tcW w:w="697" w:type="dxa"/>
                </w:tcPr>
                <w:p w14:paraId="79652043">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4470</w:t>
                  </w:r>
                </w:p>
              </w:tc>
              <w:tc>
                <w:tcPr>
                  <w:tcW w:w="697" w:type="dxa"/>
                </w:tcPr>
                <w:p w14:paraId="1B6013B9">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w:t>
                  </w:r>
                </w:p>
              </w:tc>
              <w:tc>
                <w:tcPr>
                  <w:tcW w:w="698" w:type="dxa"/>
                </w:tcPr>
                <w:p w14:paraId="0AAC27BF">
                  <w:pPr>
                    <w:snapToGrid w:val="0"/>
                    <w:spacing w:line="400" w:lineRule="exact"/>
                    <w:jc w:val="left"/>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3592000</w:t>
                  </w:r>
                </w:p>
              </w:tc>
              <w:tc>
                <w:tcPr>
                  <w:tcW w:w="698" w:type="dxa"/>
                  <w:vMerge w:val="continue"/>
                </w:tcPr>
                <w:p w14:paraId="65395CC1">
                  <w:pPr>
                    <w:snapToGrid w:val="0"/>
                    <w:spacing w:line="400" w:lineRule="exact"/>
                    <w:jc w:val="left"/>
                    <w:rPr>
                      <w:rFonts w:hint="eastAsia" w:ascii="宋体" w:hAnsi="宋体" w:eastAsia="宋体" w:cs="宋体"/>
                      <w:color w:val="auto"/>
                      <w:sz w:val="21"/>
                      <w:szCs w:val="21"/>
                      <w:highlight w:val="none"/>
                      <w:vertAlign w:val="baseline"/>
                    </w:rPr>
                  </w:pPr>
                </w:p>
              </w:tc>
              <w:tc>
                <w:tcPr>
                  <w:tcW w:w="698" w:type="dxa"/>
                  <w:vMerge w:val="continue"/>
                </w:tcPr>
                <w:p w14:paraId="764E7B4E">
                  <w:pPr>
                    <w:snapToGrid w:val="0"/>
                    <w:spacing w:line="400" w:lineRule="exact"/>
                    <w:jc w:val="left"/>
                    <w:rPr>
                      <w:rFonts w:hint="eastAsia" w:ascii="宋体" w:hAnsi="宋体" w:eastAsia="宋体" w:cs="宋体"/>
                      <w:color w:val="auto"/>
                      <w:sz w:val="21"/>
                      <w:szCs w:val="21"/>
                      <w:highlight w:val="none"/>
                      <w:vertAlign w:val="baseline"/>
                    </w:rPr>
                  </w:pPr>
                </w:p>
              </w:tc>
            </w:tr>
          </w:tbl>
          <w:p w14:paraId="4BC3BF76">
            <w:pPr>
              <w:snapToGrid w:val="0"/>
              <w:spacing w:line="400" w:lineRule="exact"/>
              <w:ind w:firstLine="420" w:firstLineChars="2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本项目总报价最高限价为</w:t>
            </w:r>
            <w:r>
              <w:rPr>
                <w:rFonts w:hint="eastAsia" w:ascii="宋体" w:hAnsi="宋体" w:eastAsia="宋体" w:cs="宋体"/>
                <w:color w:val="auto"/>
                <w:sz w:val="21"/>
                <w:szCs w:val="21"/>
                <w:highlight w:val="none"/>
                <w:lang w:eastAsia="zh-CN"/>
              </w:rPr>
              <w:t>：</w:t>
            </w:r>
            <w:r>
              <w:rPr>
                <w:rFonts w:hint="eastAsia" w:ascii="宋体" w:hAnsi="宋体" w:cs="宋体"/>
                <w:i w:val="0"/>
                <w:iCs w:val="0"/>
                <w:color w:val="auto"/>
                <w:kern w:val="0"/>
                <w:sz w:val="21"/>
                <w:szCs w:val="21"/>
                <w:highlight w:val="none"/>
                <w:u w:val="none"/>
                <w:lang w:val="en-US" w:eastAsia="zh-CN" w:bidi="ar"/>
              </w:rPr>
              <w:t>4541334.80</w:t>
            </w:r>
            <w:r>
              <w:rPr>
                <w:rFonts w:hint="eastAsia" w:ascii="宋体" w:hAnsi="宋体" w:eastAsia="宋体" w:cs="宋体"/>
                <w:i w:val="0"/>
                <w:iCs w:val="0"/>
                <w:color w:val="auto"/>
                <w:kern w:val="0"/>
                <w:sz w:val="21"/>
                <w:szCs w:val="21"/>
                <w:highlight w:val="none"/>
                <w:u w:val="none"/>
                <w:lang w:val="en-US" w:eastAsia="zh-CN" w:bidi="ar"/>
              </w:rPr>
              <w:t>元；其中：</w:t>
            </w:r>
            <w:r>
              <w:rPr>
                <w:rFonts w:hint="eastAsia" w:ascii="宋体" w:hAnsi="宋体" w:eastAsia="宋体" w:cs="宋体"/>
                <w:i w:val="0"/>
                <w:iCs w:val="0"/>
                <w:color w:val="auto"/>
                <w:sz w:val="21"/>
                <w:szCs w:val="21"/>
                <w:highlight w:val="none"/>
                <w:u w:val="none"/>
                <w:lang w:val="en-US" w:eastAsia="zh-CN"/>
              </w:rPr>
              <w:t>鹞子丘片区路网工程一期项目</w:t>
            </w:r>
            <w:r>
              <w:rPr>
                <w:rFonts w:hint="eastAsia" w:ascii="宋体" w:hAnsi="宋体" w:eastAsia="宋体" w:cs="宋体"/>
                <w:i w:val="0"/>
                <w:iCs w:val="0"/>
                <w:color w:val="auto"/>
                <w:spacing w:val="0"/>
                <w:kern w:val="2"/>
                <w:sz w:val="21"/>
                <w:szCs w:val="21"/>
                <w:highlight w:val="none"/>
                <w:u w:val="none"/>
                <w:lang w:val="en-US" w:eastAsia="zh-CN" w:bidi="ar"/>
              </w:rPr>
              <w:t>20734.80</w:t>
            </w:r>
            <w:r>
              <w:rPr>
                <w:rFonts w:hint="eastAsia" w:ascii="宋体" w:hAnsi="宋体" w:eastAsia="宋体" w:cs="宋体"/>
                <w:b w:val="0"/>
                <w:bCs w:val="0"/>
                <w:color w:val="auto"/>
                <w:sz w:val="21"/>
                <w:szCs w:val="21"/>
                <w:highlight w:val="none"/>
                <w:u w:val="none"/>
                <w:lang w:val="en-US" w:eastAsia="zh-CN"/>
              </w:rPr>
              <w:t>元</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i w:val="0"/>
                <w:iCs w:val="0"/>
                <w:color w:val="auto"/>
                <w:sz w:val="21"/>
                <w:szCs w:val="21"/>
                <w:highlight w:val="none"/>
                <w:u w:val="none"/>
                <w:lang w:val="en-US" w:eastAsia="zh-CN"/>
              </w:rPr>
              <w:t>G渝赤（水）叙（永）高速公路（重庆段）4标</w:t>
            </w:r>
            <w:r>
              <w:rPr>
                <w:rFonts w:hint="eastAsia" w:ascii="宋体" w:hAnsi="宋体" w:cs="宋体"/>
                <w:b w:val="0"/>
                <w:bCs w:val="0"/>
                <w:color w:val="auto"/>
                <w:sz w:val="21"/>
                <w:szCs w:val="21"/>
                <w:highlight w:val="none"/>
                <w:lang w:val="en-US" w:eastAsia="zh-CN"/>
              </w:rPr>
              <w:t>4520600.00</w:t>
            </w:r>
            <w:r>
              <w:rPr>
                <w:rFonts w:hint="eastAsia" w:ascii="宋体" w:hAnsi="宋体" w:eastAsia="宋体" w:cs="宋体"/>
                <w:color w:val="auto"/>
                <w:sz w:val="21"/>
                <w:szCs w:val="21"/>
                <w:highlight w:val="none"/>
                <w:lang w:val="en-US" w:eastAsia="zh-CN"/>
              </w:rPr>
              <w:t>元。</w:t>
            </w:r>
          </w:p>
          <w:p w14:paraId="765EF31D">
            <w:pPr>
              <w:snapToGrid w:val="0"/>
              <w:spacing w:line="400" w:lineRule="exact"/>
              <w:ind w:firstLine="422" w:firstLineChars="200"/>
              <w:jc w:val="left"/>
              <w:rPr>
                <w:rFonts w:hint="eastAsia" w:ascii="宋体" w:hAnsi="宋体" w:eastAsia="宋体" w:cs="宋体"/>
                <w:color w:val="auto"/>
                <w:sz w:val="21"/>
                <w:szCs w:val="21"/>
                <w:highlight w:val="none"/>
                <w:lang w:val="en-US" w:eastAsia="zh-CN"/>
              </w:rPr>
            </w:pPr>
            <w:r>
              <w:rPr>
                <w:rFonts w:ascii="宋体" w:hAnsi="宋体"/>
                <w:b/>
                <w:bCs/>
                <w:color w:val="auto"/>
                <w:szCs w:val="21"/>
                <w:highlight w:val="none"/>
              </w:rPr>
              <w:t>注：投标人</w:t>
            </w:r>
            <w:r>
              <w:rPr>
                <w:rFonts w:hint="eastAsia" w:ascii="宋体" w:hAnsi="宋体"/>
                <w:b/>
                <w:bCs/>
                <w:color w:val="auto"/>
                <w:szCs w:val="21"/>
                <w:highlight w:val="none"/>
              </w:rPr>
              <w:t>的投标总</w:t>
            </w:r>
            <w:r>
              <w:rPr>
                <w:rFonts w:ascii="宋体" w:hAnsi="宋体"/>
                <w:b/>
                <w:bCs/>
                <w:color w:val="auto"/>
                <w:szCs w:val="21"/>
                <w:highlight w:val="none"/>
              </w:rPr>
              <w:t>报价</w:t>
            </w:r>
            <w:r>
              <w:rPr>
                <w:rFonts w:hint="eastAsia" w:ascii="宋体" w:hAnsi="宋体"/>
                <w:b/>
                <w:bCs/>
                <w:color w:val="auto"/>
                <w:szCs w:val="21"/>
                <w:highlight w:val="none"/>
              </w:rPr>
              <w:t>及综合单价报价均</w:t>
            </w:r>
            <w:r>
              <w:rPr>
                <w:rFonts w:ascii="宋体" w:hAnsi="宋体"/>
                <w:b/>
                <w:bCs/>
                <w:color w:val="auto"/>
                <w:szCs w:val="21"/>
                <w:highlight w:val="none"/>
              </w:rPr>
              <w:t>不得超出相应</w:t>
            </w:r>
            <w:r>
              <w:rPr>
                <w:rFonts w:hint="eastAsia" w:ascii="宋体" w:hAnsi="宋体"/>
                <w:b/>
                <w:bCs/>
                <w:color w:val="auto"/>
                <w:szCs w:val="21"/>
                <w:highlight w:val="none"/>
              </w:rPr>
              <w:t>的</w:t>
            </w:r>
            <w:r>
              <w:rPr>
                <w:rFonts w:ascii="宋体" w:hAnsi="宋体"/>
                <w:b/>
                <w:bCs/>
                <w:color w:val="auto"/>
                <w:szCs w:val="21"/>
                <w:highlight w:val="none"/>
              </w:rPr>
              <w:t>最高限价</w:t>
            </w:r>
            <w:r>
              <w:rPr>
                <w:rFonts w:hint="eastAsia" w:ascii="宋体" w:hAnsi="宋体"/>
                <w:b/>
                <w:bCs/>
                <w:color w:val="auto"/>
                <w:szCs w:val="21"/>
                <w:highlight w:val="none"/>
              </w:rPr>
              <w:t>，</w:t>
            </w:r>
            <w:r>
              <w:rPr>
                <w:rFonts w:ascii="宋体" w:hAnsi="宋体"/>
                <w:b/>
                <w:bCs/>
                <w:color w:val="auto"/>
                <w:szCs w:val="21"/>
                <w:highlight w:val="none"/>
              </w:rPr>
              <w:t>否则视为重大偏差，按否决投标处理。</w:t>
            </w:r>
          </w:p>
          <w:p w14:paraId="60453009">
            <w:pPr>
              <w:snapToGrid w:val="0"/>
              <w:spacing w:line="400" w:lineRule="exact"/>
              <w:rPr>
                <w:color w:val="auto"/>
                <w:highlight w:val="none"/>
              </w:rPr>
            </w:pPr>
          </w:p>
        </w:tc>
      </w:tr>
      <w:tr w14:paraId="3EAAA7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111695">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3</w:t>
            </w:r>
            <w:r>
              <w:rPr>
                <w:rFonts w:ascii="宋体" w:hAnsi="宋体"/>
                <w:color w:val="auto"/>
                <w:kern w:val="0"/>
                <w:szCs w:val="21"/>
                <w:highlight w:val="none"/>
              </w:rPr>
              <w:t>.2.</w:t>
            </w:r>
            <w:r>
              <w:rPr>
                <w:rFonts w:hint="eastAsia" w:ascii="宋体" w:hAnsi="宋体"/>
                <w:color w:val="auto"/>
                <w:kern w:val="0"/>
                <w:szCs w:val="21"/>
                <w:highlight w:val="none"/>
                <w:lang w:val="en-US" w:eastAsia="zh-CN"/>
              </w:rPr>
              <w:t>5</w:t>
            </w:r>
          </w:p>
        </w:tc>
        <w:tc>
          <w:tcPr>
            <w:tcW w:w="1644" w:type="dxa"/>
            <w:vAlign w:val="center"/>
          </w:tcPr>
          <w:p w14:paraId="07BD8521">
            <w:pPr>
              <w:snapToGrid w:val="0"/>
              <w:spacing w:line="400" w:lineRule="exact"/>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报价其他要求</w:t>
            </w:r>
          </w:p>
        </w:tc>
        <w:tc>
          <w:tcPr>
            <w:tcW w:w="6490" w:type="dxa"/>
            <w:vAlign w:val="center"/>
          </w:tcPr>
          <w:p w14:paraId="698FDF80">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1、</w:t>
            </w:r>
            <w:r>
              <w:rPr>
                <w:rFonts w:hint="eastAsia" w:ascii="Calibri" w:hAnsi="Calibri" w:eastAsia="宋体"/>
                <w:color w:val="auto"/>
                <w:szCs w:val="22"/>
                <w:highlight w:val="none"/>
              </w:rPr>
              <w:t>投标人在报价表中填报的综合单价应是将满足招标文件要求的产品运至施工现场</w:t>
            </w:r>
            <w:r>
              <w:rPr>
                <w:rFonts w:hint="eastAsia" w:ascii="Calibri" w:hAnsi="Calibri"/>
                <w:color w:val="auto"/>
                <w:szCs w:val="22"/>
                <w:highlight w:val="none"/>
                <w:lang w:eastAsia="zh-CN"/>
              </w:rPr>
              <w:t>比选人</w:t>
            </w:r>
            <w:r>
              <w:rPr>
                <w:rFonts w:hint="eastAsia" w:ascii="Calibri" w:hAnsi="Calibri" w:eastAsia="宋体"/>
                <w:color w:val="auto"/>
                <w:szCs w:val="22"/>
                <w:highlight w:val="none"/>
              </w:rPr>
              <w:t>指定交货地点的综合单价，应包括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w:t>
            </w:r>
            <w:r>
              <w:rPr>
                <w:rFonts w:ascii="Calibri" w:hAnsi="Calibri" w:eastAsia="宋体"/>
                <w:color w:val="auto"/>
                <w:szCs w:val="22"/>
                <w:highlight w:val="none"/>
              </w:rPr>
              <w:t>满足现场施工要求，及时解答材料使用中的问题和注意事项等</w:t>
            </w:r>
            <w:r>
              <w:rPr>
                <w:rFonts w:hint="eastAsia" w:ascii="Calibri" w:hAnsi="Calibri" w:eastAsia="宋体"/>
                <w:color w:val="auto"/>
                <w:szCs w:val="22"/>
                <w:highlight w:val="none"/>
              </w:rPr>
              <w:t>）、</w:t>
            </w:r>
            <w:r>
              <w:rPr>
                <w:rFonts w:ascii="Calibri" w:hAnsi="Calibri" w:eastAsia="宋体"/>
                <w:color w:val="auto"/>
                <w:szCs w:val="22"/>
                <w:highlight w:val="none"/>
              </w:rPr>
              <w:t>经验收合格且交付给</w:t>
            </w:r>
            <w:r>
              <w:rPr>
                <w:rFonts w:hint="eastAsia" w:ascii="Calibri" w:hAnsi="Calibri"/>
                <w:color w:val="auto"/>
                <w:szCs w:val="22"/>
                <w:highlight w:val="none"/>
                <w:lang w:eastAsia="zh-CN"/>
              </w:rPr>
              <w:t>比选人</w:t>
            </w:r>
            <w:r>
              <w:rPr>
                <w:rFonts w:ascii="Calibri" w:hAnsi="Calibri" w:eastAsia="宋体"/>
                <w:color w:val="auto"/>
                <w:szCs w:val="22"/>
                <w:highlight w:val="none"/>
              </w:rPr>
              <w:t>正常使用的所有费用，以及合同明示或暗示的所有责任、义务和一般风险。</w:t>
            </w:r>
          </w:p>
          <w:p w14:paraId="7B117DAA">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2、</w:t>
            </w:r>
            <w:r>
              <w:rPr>
                <w:rFonts w:ascii="Calibri" w:hAnsi="Calibri" w:eastAsia="宋体"/>
                <w:color w:val="auto"/>
                <w:szCs w:val="22"/>
                <w:highlight w:val="none"/>
              </w:rPr>
              <w:t>在合同执行期间，投标人填写的综合单价按合同约定根据“我的钢铁网”约定标的物作为</w:t>
            </w:r>
            <w:r>
              <w:rPr>
                <w:rFonts w:hint="eastAsia" w:ascii="Calibri" w:hAnsi="Calibri" w:eastAsia="宋体"/>
                <w:color w:val="auto"/>
                <w:szCs w:val="22"/>
                <w:highlight w:val="none"/>
              </w:rPr>
              <w:t>结算</w:t>
            </w:r>
            <w:r>
              <w:rPr>
                <w:rFonts w:ascii="Calibri" w:hAnsi="Calibri" w:eastAsia="宋体"/>
                <w:color w:val="auto"/>
                <w:szCs w:val="22"/>
                <w:highlight w:val="none"/>
              </w:rPr>
              <w:t>基准价，投标人应充分考虑供货期间的价格风险和供需情况风险。</w:t>
            </w:r>
          </w:p>
          <w:p w14:paraId="4BA57A8F">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3、</w:t>
            </w:r>
            <w:r>
              <w:rPr>
                <w:rFonts w:ascii="Calibri" w:hAnsi="Calibri" w:eastAsia="宋体"/>
                <w:color w:val="auto"/>
                <w:szCs w:val="22"/>
                <w:highlight w:val="none"/>
              </w:rPr>
              <w:t>如投标人中标，则其因承包本合同需缴纳的一切税费均由投标人自行承担，并包含在所报的单价或总额价中，</w:t>
            </w:r>
            <w:r>
              <w:rPr>
                <w:rFonts w:hint="eastAsia" w:ascii="Calibri" w:hAnsi="Calibri"/>
                <w:color w:val="auto"/>
                <w:szCs w:val="22"/>
                <w:highlight w:val="none"/>
                <w:lang w:eastAsia="zh-CN"/>
              </w:rPr>
              <w:t>比选人</w:t>
            </w:r>
            <w:r>
              <w:rPr>
                <w:rFonts w:ascii="Calibri" w:hAnsi="Calibri" w:eastAsia="宋体"/>
                <w:color w:val="auto"/>
                <w:szCs w:val="22"/>
                <w:highlight w:val="none"/>
              </w:rPr>
              <w:t>概不负责。</w:t>
            </w:r>
          </w:p>
          <w:p w14:paraId="42AF5307">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4、</w:t>
            </w:r>
            <w:r>
              <w:rPr>
                <w:rFonts w:ascii="Calibri" w:hAnsi="Calibri" w:eastAsia="宋体"/>
                <w:color w:val="auto"/>
                <w:szCs w:val="22"/>
                <w:highlight w:val="none"/>
              </w:rPr>
              <w:t>投标人应负责办理为执行本招标文件规定义务而投入的机具设备、运输工具的财产保险和人身保险、产品运输险、包装物的保险、第三方责任险以及应投保的其他保险，保险费由投标人承担并支付，并包含在产品的综合单价之中，</w:t>
            </w:r>
            <w:r>
              <w:rPr>
                <w:rFonts w:hint="eastAsia" w:ascii="Calibri" w:hAnsi="Calibri"/>
                <w:color w:val="auto"/>
                <w:szCs w:val="22"/>
                <w:highlight w:val="none"/>
                <w:lang w:eastAsia="zh-CN"/>
              </w:rPr>
              <w:t>比选人</w:t>
            </w:r>
            <w:r>
              <w:rPr>
                <w:rFonts w:ascii="Calibri" w:hAnsi="Calibri" w:eastAsia="宋体"/>
                <w:color w:val="auto"/>
                <w:szCs w:val="22"/>
                <w:highlight w:val="none"/>
              </w:rPr>
              <w:t>将不再单独支付。</w:t>
            </w:r>
          </w:p>
          <w:p w14:paraId="66A9957C">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5、</w:t>
            </w:r>
            <w:r>
              <w:rPr>
                <w:rFonts w:ascii="Calibri" w:hAnsi="Calibri" w:eastAsia="宋体"/>
                <w:color w:val="auto"/>
                <w:szCs w:val="22"/>
                <w:highlight w:val="none"/>
              </w:rPr>
              <w:t>投标人的投标文件报价表中的投标报价与投标书文字报价应保持一致，否则，其投标文件将被否决。</w:t>
            </w:r>
          </w:p>
          <w:p w14:paraId="60F2B433">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6、</w:t>
            </w:r>
            <w:r>
              <w:rPr>
                <w:rFonts w:hint="eastAsia" w:ascii="Calibri" w:hAnsi="Calibri" w:eastAsia="宋体"/>
                <w:color w:val="auto"/>
                <w:szCs w:val="22"/>
                <w:highlight w:val="none"/>
              </w:rPr>
              <w:t>如果未按照报价表要求进行报价，将被视为没有实质性响应招标文件</w:t>
            </w:r>
            <w:r>
              <w:rPr>
                <w:rFonts w:hint="eastAsia" w:ascii="Calibri" w:hAnsi="Calibri" w:eastAsia="宋体"/>
                <w:color w:val="auto"/>
                <w:szCs w:val="22"/>
                <w:highlight w:val="none"/>
                <w:lang w:eastAsia="zh-CN"/>
              </w:rPr>
              <w:t>，</w:t>
            </w:r>
            <w:r>
              <w:rPr>
                <w:rFonts w:hint="eastAsia" w:ascii="Calibri" w:hAnsi="Calibri" w:eastAsia="宋体"/>
                <w:color w:val="auto"/>
                <w:szCs w:val="22"/>
                <w:highlight w:val="none"/>
                <w:lang w:val="en-US" w:eastAsia="zh-CN"/>
              </w:rPr>
              <w:t>投标文件按否决投标处理</w:t>
            </w:r>
            <w:r>
              <w:rPr>
                <w:rFonts w:hint="eastAsia" w:ascii="Calibri" w:hAnsi="Calibri" w:eastAsia="宋体"/>
                <w:color w:val="auto"/>
                <w:szCs w:val="22"/>
                <w:highlight w:val="none"/>
              </w:rPr>
              <w:t>。</w:t>
            </w:r>
          </w:p>
          <w:p w14:paraId="24708AF5">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7、</w:t>
            </w:r>
            <w:r>
              <w:rPr>
                <w:rFonts w:hint="eastAsia" w:ascii="Calibri" w:hAnsi="Calibri" w:eastAsia="宋体"/>
                <w:color w:val="auto"/>
                <w:szCs w:val="22"/>
                <w:highlight w:val="none"/>
              </w:rPr>
              <w:t>采购数量以最终实际发生并结算的数量为准。</w:t>
            </w:r>
          </w:p>
          <w:p w14:paraId="0018CD73">
            <w:pPr>
              <w:widowControl/>
              <w:spacing w:line="360" w:lineRule="auto"/>
              <w:ind w:firstLine="420" w:firstLineChars="200"/>
              <w:jc w:val="left"/>
              <w:rPr>
                <w:rFonts w:ascii="Calibri" w:hAnsi="Calibri" w:eastAsia="宋体"/>
                <w:color w:val="auto"/>
                <w:szCs w:val="22"/>
                <w:highlight w:val="none"/>
              </w:rPr>
            </w:pPr>
            <w:r>
              <w:rPr>
                <w:rFonts w:hint="eastAsia" w:ascii="Calibri" w:hAnsi="Calibri" w:eastAsia="宋体"/>
                <w:color w:val="auto"/>
                <w:szCs w:val="22"/>
                <w:highlight w:val="none"/>
                <w:lang w:val="en-US" w:eastAsia="zh-CN"/>
              </w:rPr>
              <w:t>8、</w:t>
            </w:r>
            <w:r>
              <w:rPr>
                <w:rFonts w:hint="eastAsia" w:ascii="Calibri" w:hAnsi="Calibri" w:eastAsia="宋体"/>
                <w:color w:val="auto"/>
                <w:szCs w:val="22"/>
                <w:highlight w:val="none"/>
              </w:rPr>
              <w:t>为方便统一报价，本报价中投标基准价按</w:t>
            </w:r>
            <w:r>
              <w:rPr>
                <w:rFonts w:hint="eastAsia" w:ascii="Calibri" w:hAnsi="Calibri"/>
                <w:color w:val="auto"/>
                <w:szCs w:val="22"/>
                <w:highlight w:val="none"/>
                <w:lang w:val="en-US" w:eastAsia="zh-CN"/>
              </w:rPr>
              <w:t>给定的暂定投标基准价填报，</w:t>
            </w:r>
            <w:r>
              <w:rPr>
                <w:rFonts w:hint="eastAsia" w:ascii="Calibri" w:hAnsi="Calibri" w:eastAsia="宋体"/>
                <w:color w:val="auto"/>
                <w:szCs w:val="22"/>
                <w:highlight w:val="none"/>
              </w:rPr>
              <w:t>此价格为投标基准价，仅作为评标使用，不作为结算依据。</w:t>
            </w:r>
          </w:p>
          <w:p w14:paraId="51BD992A">
            <w:pPr>
              <w:widowControl/>
              <w:spacing w:line="360" w:lineRule="auto"/>
              <w:ind w:firstLine="420" w:firstLineChars="200"/>
              <w:jc w:val="left"/>
              <w:rPr>
                <w:rFonts w:hint="eastAsia" w:ascii="Calibri" w:hAnsi="Calibri" w:eastAsia="宋体"/>
                <w:color w:val="auto"/>
                <w:szCs w:val="22"/>
                <w:highlight w:val="none"/>
              </w:rPr>
            </w:pPr>
            <w:r>
              <w:rPr>
                <w:rFonts w:hint="eastAsia" w:ascii="Calibri" w:hAnsi="Calibri" w:eastAsia="宋体"/>
                <w:color w:val="auto"/>
                <w:szCs w:val="22"/>
                <w:highlight w:val="none"/>
                <w:lang w:val="en-US" w:eastAsia="zh-CN"/>
              </w:rPr>
              <w:t>9、</w:t>
            </w:r>
            <w:r>
              <w:rPr>
                <w:rFonts w:hint="eastAsia" w:ascii="Calibri" w:hAnsi="Calibri" w:eastAsia="宋体" w:cs="Times New Roman"/>
                <w:color w:val="auto"/>
                <w:kern w:val="2"/>
                <w:sz w:val="21"/>
                <w:szCs w:val="22"/>
                <w:highlight w:val="none"/>
                <w:lang w:val="zh-CN"/>
              </w:rPr>
              <w:t>结算单价=基准价+综合费用。结算价为乙方运抵甲方指定交货地点的交货价；</w:t>
            </w:r>
            <w:bookmarkStart w:id="98" w:name="OLE_LINK3"/>
            <w:r>
              <w:rPr>
                <w:rFonts w:hint="eastAsia" w:ascii="Calibri" w:hAnsi="Calibri" w:cs="Times New Roman"/>
                <w:color w:val="auto"/>
                <w:kern w:val="2"/>
                <w:sz w:val="21"/>
                <w:szCs w:val="22"/>
                <w:highlight w:val="none"/>
                <w:lang w:val="en-US" w:eastAsia="zh-CN"/>
              </w:rPr>
              <w:t>基准价</w:t>
            </w:r>
            <w:r>
              <w:rPr>
                <w:rFonts w:hint="eastAsia" w:ascii="Calibri" w:hAnsi="Calibri" w:eastAsia="宋体" w:cs="Times New Roman"/>
                <w:color w:val="auto"/>
                <w:kern w:val="2"/>
                <w:sz w:val="21"/>
                <w:szCs w:val="22"/>
                <w:highlight w:val="none"/>
                <w:lang w:val="zh-CN"/>
              </w:rPr>
              <w:t>按到货当日成基准价:基准价(网价)与综合费用，结算基准价(网价)</w:t>
            </w:r>
            <w:r>
              <w:rPr>
                <w:rFonts w:hint="eastAsia" w:ascii="Calibri" w:hAnsi="Calibri" w:cs="Times New Roman"/>
                <w:color w:val="auto"/>
                <w:kern w:val="2"/>
                <w:sz w:val="21"/>
                <w:szCs w:val="22"/>
                <w:highlight w:val="none"/>
                <w:lang w:val="en-US" w:eastAsia="zh-CN"/>
              </w:rPr>
              <w:t>成</w:t>
            </w:r>
            <w:r>
              <w:rPr>
                <w:rFonts w:hint="eastAsia" w:ascii="Calibri" w:hAnsi="Calibri" w:eastAsia="宋体" w:cs="Times New Roman"/>
                <w:color w:val="auto"/>
                <w:kern w:val="2"/>
                <w:sz w:val="21"/>
                <w:szCs w:val="22"/>
                <w:highlight w:val="none"/>
                <w:lang w:val="zh-CN"/>
              </w:rPr>
              <w:t>都地区“我的钢铁网”对应焊接钢筋网片规格型号价格进行确定若到货当日未发布网价信息，以最近一次公布的网价为准，若当日对应品牌规格出现多个网价，以第一次发布的网价为准，若该品牌无对应规格网价信息，以投标时确定的厂家及品牌确定价格。</w:t>
            </w:r>
            <w:bookmarkEnd w:id="98"/>
            <w:r>
              <w:rPr>
                <w:rFonts w:hint="eastAsia" w:ascii="Calibri" w:hAnsi="Calibri" w:eastAsia="宋体" w:cs="Times New Roman"/>
                <w:color w:val="auto"/>
                <w:kern w:val="2"/>
                <w:sz w:val="21"/>
                <w:szCs w:val="22"/>
                <w:highlight w:val="none"/>
                <w:lang w:val="zh-CN"/>
              </w:rPr>
              <w:t>综合费用包含产品装吊、捆扎、运输、中转、仓储等到达交货地点前的所有运杂费、保险费、出库费、利润等一切费用。</w:t>
            </w:r>
          </w:p>
          <w:p w14:paraId="11CCCA80">
            <w:pPr>
              <w:widowControl/>
              <w:spacing w:line="360" w:lineRule="auto"/>
              <w:ind w:firstLine="420" w:firstLineChars="200"/>
              <w:jc w:val="left"/>
              <w:rPr>
                <w:rFonts w:hint="eastAsia" w:ascii="Calibri" w:hAnsi="Calibri" w:eastAsia="宋体"/>
                <w:color w:val="auto"/>
                <w:szCs w:val="22"/>
                <w:highlight w:val="none"/>
              </w:rPr>
            </w:pPr>
            <w:r>
              <w:rPr>
                <w:rFonts w:hint="eastAsia" w:ascii="Calibri" w:hAnsi="Calibri" w:eastAsia="宋体"/>
                <w:color w:val="auto"/>
                <w:szCs w:val="22"/>
                <w:highlight w:val="none"/>
                <w:lang w:val="en-US" w:eastAsia="zh-CN"/>
              </w:rPr>
              <w:t>10、</w:t>
            </w:r>
            <w:r>
              <w:rPr>
                <w:rFonts w:hint="eastAsia" w:ascii="Calibri" w:hAnsi="Calibri" w:eastAsia="宋体"/>
                <w:color w:val="auto"/>
                <w:szCs w:val="22"/>
                <w:highlight w:val="none"/>
              </w:rPr>
              <w:t xml:space="preserve">品牌范围参考“第五章 </w:t>
            </w:r>
            <w:r>
              <w:rPr>
                <w:rFonts w:hint="eastAsia" w:ascii="Calibri" w:hAnsi="Calibri" w:eastAsia="宋体"/>
                <w:color w:val="auto"/>
                <w:szCs w:val="22"/>
                <w:highlight w:val="none"/>
                <w:lang w:val="en-US" w:eastAsia="zh-CN"/>
              </w:rPr>
              <w:t>发包人</w:t>
            </w:r>
            <w:r>
              <w:rPr>
                <w:rFonts w:hint="eastAsia" w:ascii="Calibri" w:hAnsi="Calibri" w:eastAsia="宋体"/>
                <w:color w:val="auto"/>
                <w:szCs w:val="22"/>
                <w:highlight w:val="none"/>
              </w:rPr>
              <w:t>要求”，投标人报价时将用于本项目的品牌应尽量填写完整，表中的品牌要求满足招标文件中对制造商的资质要求，实际执行过程中因增加或更换品牌带来的负面影响由投标人自行承担。</w:t>
            </w:r>
          </w:p>
          <w:p w14:paraId="4F17B5A1">
            <w:pPr>
              <w:widowControl/>
              <w:spacing w:line="360" w:lineRule="auto"/>
              <w:ind w:firstLine="420" w:firstLineChars="200"/>
              <w:jc w:val="left"/>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val="en-US" w:eastAsia="zh-CN"/>
              </w:rPr>
              <w:t>11、</w:t>
            </w:r>
            <w:r>
              <w:rPr>
                <w:rFonts w:ascii="宋体" w:hAnsi="宋体" w:eastAsia="宋体" w:cs="宋体"/>
                <w:color w:val="auto"/>
                <w:kern w:val="2"/>
                <w:sz w:val="21"/>
                <w:szCs w:val="21"/>
                <w:highlight w:val="none"/>
              </w:rPr>
              <w:t>投标人的投标文件报价表中的投标报价与投标</w:t>
            </w:r>
            <w:r>
              <w:rPr>
                <w:rFonts w:hint="eastAsia" w:ascii="宋体" w:hAnsi="宋体" w:eastAsia="宋体" w:cs="宋体"/>
                <w:color w:val="auto"/>
                <w:kern w:val="2"/>
                <w:sz w:val="21"/>
                <w:szCs w:val="21"/>
                <w:highlight w:val="none"/>
                <w:lang w:val="en-US" w:eastAsia="zh-CN"/>
              </w:rPr>
              <w:t>函投标</w:t>
            </w:r>
            <w:r>
              <w:rPr>
                <w:rFonts w:ascii="宋体" w:hAnsi="宋体" w:eastAsia="宋体" w:cs="宋体"/>
                <w:color w:val="auto"/>
                <w:kern w:val="2"/>
                <w:sz w:val="21"/>
                <w:szCs w:val="21"/>
                <w:highlight w:val="none"/>
              </w:rPr>
              <w:t>报价应保持一致</w:t>
            </w:r>
            <w:r>
              <w:rPr>
                <w:rFonts w:hint="eastAsia" w:ascii="宋体" w:hAnsi="宋体" w:eastAsia="宋体" w:cs="宋体"/>
                <w:color w:val="auto"/>
                <w:kern w:val="2"/>
                <w:sz w:val="21"/>
                <w:szCs w:val="21"/>
                <w:highlight w:val="none"/>
                <w:lang w:eastAsia="zh-CN"/>
              </w:rPr>
              <w:t>。</w:t>
            </w:r>
          </w:p>
          <w:p w14:paraId="3B25EE8E">
            <w:pPr>
              <w:snapToGrid w:val="0"/>
              <w:spacing w:line="400" w:lineRule="exact"/>
              <w:ind w:firstLine="420" w:firstLineChars="200"/>
              <w:rPr>
                <w:rFonts w:hint="eastAsia" w:ascii="宋体" w:hAnsi="宋体"/>
                <w:color w:val="auto"/>
                <w:szCs w:val="21"/>
                <w:highlight w:val="none"/>
                <w:u w:val="single"/>
              </w:rPr>
            </w:pPr>
            <w:r>
              <w:rPr>
                <w:rFonts w:hint="eastAsia" w:ascii="宋体" w:hAnsi="宋体" w:eastAsia="宋体" w:cs="宋体"/>
                <w:color w:val="auto"/>
                <w:kern w:val="2"/>
                <w:sz w:val="21"/>
                <w:szCs w:val="21"/>
                <w:highlight w:val="none"/>
                <w:lang w:val="en-US" w:eastAsia="zh-CN"/>
              </w:rPr>
              <w:t>12、</w:t>
            </w:r>
            <w:r>
              <w:rPr>
                <w:rFonts w:ascii="宋体" w:hAnsi="宋体" w:eastAsia="宋体" w:cs="宋体"/>
                <w:color w:val="auto"/>
                <w:kern w:val="2"/>
                <w:sz w:val="21"/>
                <w:szCs w:val="21"/>
                <w:highlight w:val="none"/>
              </w:rPr>
              <w:t>投标人的投标文件报价表中的投标报价与投标</w:t>
            </w:r>
            <w:r>
              <w:rPr>
                <w:rFonts w:hint="eastAsia" w:ascii="宋体" w:hAnsi="宋体" w:eastAsia="宋体" w:cs="宋体"/>
                <w:color w:val="auto"/>
                <w:kern w:val="2"/>
                <w:sz w:val="21"/>
                <w:szCs w:val="21"/>
                <w:highlight w:val="none"/>
                <w:lang w:val="en-US" w:eastAsia="zh-CN"/>
              </w:rPr>
              <w:t>函投标</w:t>
            </w:r>
            <w:r>
              <w:rPr>
                <w:rFonts w:ascii="宋体" w:hAnsi="宋体" w:eastAsia="宋体" w:cs="宋体"/>
                <w:color w:val="auto"/>
                <w:kern w:val="2"/>
                <w:sz w:val="21"/>
                <w:szCs w:val="21"/>
                <w:highlight w:val="none"/>
              </w:rPr>
              <w:t>报价应保持一致</w:t>
            </w:r>
            <w:r>
              <w:rPr>
                <w:rFonts w:hint="eastAsia" w:ascii="宋体" w:hAnsi="宋体" w:eastAsia="宋体" w:cs="宋体"/>
                <w:color w:val="auto"/>
                <w:kern w:val="2"/>
                <w:sz w:val="21"/>
                <w:szCs w:val="21"/>
                <w:highlight w:val="none"/>
                <w:lang w:eastAsia="zh-CN"/>
              </w:rPr>
              <w:t>。</w:t>
            </w:r>
          </w:p>
        </w:tc>
      </w:tr>
      <w:tr w14:paraId="242CFB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BDAED4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3.3.1</w:t>
            </w:r>
          </w:p>
        </w:tc>
        <w:tc>
          <w:tcPr>
            <w:tcW w:w="1644" w:type="dxa"/>
            <w:vAlign w:val="center"/>
          </w:tcPr>
          <w:p w14:paraId="16D12E2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投标有效期</w:t>
            </w:r>
          </w:p>
        </w:tc>
        <w:tc>
          <w:tcPr>
            <w:tcW w:w="6490" w:type="dxa"/>
            <w:vAlign w:val="center"/>
          </w:tcPr>
          <w:p w14:paraId="7B9B3BA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p>
        </w:tc>
      </w:tr>
      <w:tr w14:paraId="319C26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BF454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3.4.1</w:t>
            </w:r>
          </w:p>
        </w:tc>
        <w:tc>
          <w:tcPr>
            <w:tcW w:w="1644" w:type="dxa"/>
            <w:vAlign w:val="center"/>
          </w:tcPr>
          <w:p w14:paraId="1844BDC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投标保证金</w:t>
            </w:r>
          </w:p>
        </w:tc>
        <w:tc>
          <w:tcPr>
            <w:tcW w:w="6490" w:type="dxa"/>
            <w:vAlign w:val="center"/>
          </w:tcPr>
          <w:p w14:paraId="6EDD7FF8">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1、投标保证金的金额为人民币</w:t>
            </w:r>
            <w:r>
              <w:rPr>
                <w:rFonts w:hint="eastAsia"/>
                <w:color w:val="auto"/>
                <w:highlight w:val="none"/>
                <w:lang w:val="en-US" w:eastAsia="zh-CN"/>
              </w:rPr>
              <w:t xml:space="preserve"> </w:t>
            </w:r>
            <w:r>
              <w:rPr>
                <w:rFonts w:hint="eastAsia"/>
                <w:b/>
                <w:bCs/>
                <w:color w:val="auto"/>
                <w:highlight w:val="none"/>
                <w:u w:val="single"/>
                <w:lang w:val="en-US" w:eastAsia="zh-CN"/>
              </w:rPr>
              <w:t xml:space="preserve"> 5</w:t>
            </w:r>
            <w:r>
              <w:rPr>
                <w:rFonts w:hint="eastAsia"/>
                <w:color w:val="auto"/>
                <w:highlight w:val="none"/>
                <w:lang w:val="en-US" w:eastAsia="zh-CN"/>
              </w:rPr>
              <w:t xml:space="preserve"> </w:t>
            </w:r>
            <w:r>
              <w:rPr>
                <w:rFonts w:hint="eastAsia"/>
                <w:color w:val="auto"/>
                <w:highlight w:val="none"/>
              </w:rPr>
              <w:t>万元整。</w:t>
            </w:r>
          </w:p>
          <w:p w14:paraId="14268358">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2、投标保证金提交方式：以银行转账或银行电汇形式提交，投标人可任选一种。</w:t>
            </w:r>
          </w:p>
          <w:p w14:paraId="4A8346F7">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3、提交时间和方式：由投标人基本账户转（汇）入重庆国际投资咨询集团有限公司的银行账户，其转（汇）款到账截止时间为</w:t>
            </w:r>
            <w:r>
              <w:rPr>
                <w:rFonts w:hint="eastAsia"/>
                <w:color w:val="auto"/>
                <w:highlight w:val="none"/>
                <w:u w:val="single"/>
              </w:rPr>
              <w:t>2024年</w:t>
            </w:r>
            <w:r>
              <w:rPr>
                <w:rFonts w:hint="eastAsia"/>
                <w:color w:val="auto"/>
                <w:highlight w:val="none"/>
                <w:u w:val="single"/>
                <w:lang w:val="en-US" w:eastAsia="zh-CN"/>
              </w:rPr>
              <w:t>11</w:t>
            </w:r>
            <w:r>
              <w:rPr>
                <w:rFonts w:hint="eastAsia"/>
                <w:color w:val="auto"/>
                <w:highlight w:val="none"/>
                <w:u w:val="single"/>
              </w:rPr>
              <w:t>月</w:t>
            </w:r>
            <w:r>
              <w:rPr>
                <w:rFonts w:hint="eastAsia"/>
                <w:color w:val="auto"/>
                <w:highlight w:val="none"/>
                <w:u w:val="single"/>
                <w:lang w:val="en-US" w:eastAsia="zh-CN"/>
              </w:rPr>
              <w:t>1</w:t>
            </w:r>
            <w:r>
              <w:rPr>
                <w:rFonts w:hint="eastAsia"/>
                <w:color w:val="auto"/>
                <w:highlight w:val="none"/>
                <w:u w:val="single"/>
              </w:rPr>
              <w:t>日</w:t>
            </w:r>
            <w:r>
              <w:rPr>
                <w:rFonts w:hint="eastAsia"/>
                <w:color w:val="auto"/>
                <w:highlight w:val="none"/>
                <w:u w:val="single"/>
                <w:lang w:val="en-US" w:eastAsia="zh-CN"/>
              </w:rPr>
              <w:t>9</w:t>
            </w:r>
            <w:r>
              <w:rPr>
                <w:rFonts w:hint="eastAsia"/>
                <w:color w:val="auto"/>
                <w:highlight w:val="none"/>
                <w:u w:val="single"/>
              </w:rPr>
              <w:t>时</w:t>
            </w:r>
            <w:r>
              <w:rPr>
                <w:rFonts w:hint="eastAsia"/>
                <w:color w:val="auto"/>
                <w:highlight w:val="none"/>
                <w:u w:val="single"/>
                <w:lang w:val="en-US" w:eastAsia="zh-CN"/>
              </w:rPr>
              <w:t>00</w:t>
            </w:r>
            <w:r>
              <w:rPr>
                <w:rFonts w:hint="eastAsia"/>
                <w:color w:val="auto"/>
                <w:highlight w:val="none"/>
                <w:u w:val="single"/>
              </w:rPr>
              <w:t>分前</w:t>
            </w:r>
            <w:r>
              <w:rPr>
                <w:rFonts w:hint="eastAsia"/>
                <w:color w:val="auto"/>
                <w:highlight w:val="none"/>
              </w:rPr>
              <w:t>。</w:t>
            </w:r>
          </w:p>
          <w:p w14:paraId="4D5E212A">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投标保证金指定账户如下：</w:t>
            </w:r>
          </w:p>
          <w:p w14:paraId="6B4060CF">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单位全称：重庆国际投资咨询集团有限公司</w:t>
            </w:r>
          </w:p>
          <w:p w14:paraId="46399E35">
            <w:pPr>
              <w:tabs>
                <w:tab w:val="left" w:pos="480"/>
              </w:tabs>
              <w:adjustRightInd w:val="0"/>
              <w:snapToGrid w:val="0"/>
              <w:spacing w:line="380" w:lineRule="exact"/>
              <w:ind w:firstLine="411" w:firstLineChars="196"/>
              <w:rPr>
                <w:rFonts w:hint="default" w:eastAsia="宋体"/>
                <w:color w:val="auto"/>
                <w:highlight w:val="none"/>
                <w:lang w:val="en-US" w:eastAsia="zh-CN"/>
              </w:rPr>
            </w:pPr>
            <w:r>
              <w:rPr>
                <w:rFonts w:hint="eastAsia"/>
                <w:color w:val="auto"/>
                <w:highlight w:val="none"/>
              </w:rPr>
              <w:t>开户行：</w:t>
            </w:r>
            <w:r>
              <w:rPr>
                <w:rFonts w:hint="eastAsia"/>
                <w:color w:val="auto"/>
                <w:highlight w:val="none"/>
                <w:lang w:val="en-US" w:eastAsia="zh-CN"/>
              </w:rPr>
              <w:t>兴业银行重庆分行营业部</w:t>
            </w:r>
          </w:p>
          <w:p w14:paraId="349F4E40">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账号：346010100105300879011237</w:t>
            </w:r>
          </w:p>
          <w:p w14:paraId="04F0ED80">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特别提示：请投标人务必详细阅读下列条款！！！</w:t>
            </w:r>
          </w:p>
          <w:p w14:paraId="572628FE">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 xml:space="preserve">（1）投标人必须在付款凭证备注栏中注明是“ </w:t>
            </w:r>
            <w:r>
              <w:rPr>
                <w:rFonts w:hint="eastAsia"/>
                <w:color w:val="auto"/>
                <w:highlight w:val="none"/>
                <w:lang w:eastAsia="zh-CN"/>
              </w:rPr>
              <w:t>重庆高速公路集团有限公司集采中心2024年度钢材集中采购（钢筋网片）（第二次）</w:t>
            </w:r>
            <w:r>
              <w:rPr>
                <w:rFonts w:hint="eastAsia"/>
                <w:color w:val="auto"/>
                <w:highlight w:val="none"/>
              </w:rPr>
              <w:t>”（可简写为“</w:t>
            </w:r>
            <w:r>
              <w:rPr>
                <w:rFonts w:hint="eastAsia"/>
                <w:color w:val="auto"/>
                <w:highlight w:val="none"/>
                <w:lang w:eastAsia="zh-CN"/>
              </w:rPr>
              <w:t>集采中心</w:t>
            </w:r>
            <w:r>
              <w:rPr>
                <w:rFonts w:hint="eastAsia"/>
                <w:color w:val="auto"/>
                <w:highlight w:val="none"/>
                <w:lang w:val="en-US" w:eastAsia="zh-CN"/>
              </w:rPr>
              <w:t>钢材</w:t>
            </w:r>
            <w:r>
              <w:rPr>
                <w:rFonts w:hint="eastAsia"/>
                <w:color w:val="auto"/>
                <w:highlight w:val="none"/>
                <w:lang w:eastAsia="zh-CN"/>
              </w:rPr>
              <w:t>采购</w:t>
            </w:r>
            <w:r>
              <w:rPr>
                <w:rFonts w:hint="eastAsia"/>
                <w:color w:val="auto"/>
                <w:highlight w:val="none"/>
              </w:rPr>
              <w:t>”）；</w:t>
            </w:r>
          </w:p>
          <w:p w14:paraId="1F9C4404">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2）各投标人在银行转账（电汇）投标保证金时，须充分考虑银行转账（电汇）的时间差风险，如同城转账、异地转账或汇款、跨行转账或电汇的时间要求。各投标人的投标保证金具体到账情况均以重庆国际投资咨询集团有限公司财务查询的银行到账信息为准。未在本</w:t>
            </w:r>
            <w:r>
              <w:rPr>
                <w:rFonts w:hint="eastAsia"/>
                <w:color w:val="auto"/>
                <w:highlight w:val="none"/>
                <w:lang w:eastAsia="zh-CN"/>
              </w:rPr>
              <w:t>招标</w:t>
            </w:r>
            <w:r>
              <w:rPr>
                <w:rFonts w:hint="eastAsia"/>
                <w:color w:val="auto"/>
                <w:highlight w:val="none"/>
              </w:rPr>
              <w:t>文件规定的截止时间前到账的，其投标文件作否决投标处理；</w:t>
            </w:r>
          </w:p>
          <w:p w14:paraId="47E1052C">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（3）投标保证金有效期与投标有效期一致；</w:t>
            </w:r>
          </w:p>
          <w:p w14:paraId="33D4E14B">
            <w:pPr>
              <w:tabs>
                <w:tab w:val="left" w:pos="480"/>
              </w:tabs>
              <w:adjustRightInd w:val="0"/>
              <w:snapToGrid w:val="0"/>
              <w:spacing w:line="380" w:lineRule="exact"/>
              <w:ind w:firstLine="411" w:firstLineChars="196"/>
              <w:rPr>
                <w:rFonts w:hint="eastAsia"/>
                <w:color w:val="auto"/>
                <w:highlight w:val="none"/>
              </w:rPr>
            </w:pPr>
            <w:r>
              <w:rPr>
                <w:rFonts w:hint="eastAsia"/>
                <w:color w:val="auto"/>
                <w:highlight w:val="none"/>
              </w:rPr>
              <w:t>5、投标保证金的退还：</w:t>
            </w:r>
          </w:p>
          <w:p w14:paraId="54EF23C8">
            <w:pPr>
              <w:tabs>
                <w:tab w:val="left" w:pos="480"/>
              </w:tabs>
              <w:adjustRightInd w:val="0"/>
              <w:snapToGrid w:val="0"/>
              <w:spacing w:line="380" w:lineRule="exact"/>
              <w:ind w:firstLine="411" w:firstLineChars="196"/>
              <w:rPr>
                <w:rFonts w:ascii="宋体" w:hAnsi="宋体" w:cs="宋体"/>
                <w:color w:val="auto"/>
                <w:kern w:val="0"/>
                <w:szCs w:val="21"/>
                <w:highlight w:val="none"/>
              </w:rPr>
            </w:pPr>
            <w:r>
              <w:rPr>
                <w:rFonts w:hint="eastAsia"/>
                <w:color w:val="auto"/>
                <w:highlight w:val="none"/>
                <w:lang w:val="en-US" w:eastAsia="zh-CN"/>
              </w:rPr>
              <w:t>比选人</w:t>
            </w:r>
            <w:r>
              <w:rPr>
                <w:rFonts w:hint="eastAsia"/>
                <w:color w:val="auto"/>
                <w:highlight w:val="none"/>
              </w:rPr>
              <w:t>应当在规定时间内确定中标人，并向中标人发出中标通知书，同时</w:t>
            </w:r>
            <w:r>
              <w:rPr>
                <w:rFonts w:hint="eastAsia"/>
                <w:color w:val="auto"/>
                <w:highlight w:val="none"/>
                <w:lang w:val="en-US" w:eastAsia="zh-CN"/>
              </w:rPr>
              <w:t>比选代理机构</w:t>
            </w:r>
            <w:r>
              <w:rPr>
                <w:rFonts w:hint="eastAsia"/>
                <w:color w:val="auto"/>
                <w:highlight w:val="none"/>
              </w:rPr>
              <w:t>将在中标通知书发出后5日内向中标候选人以外的投标人退还投标保证金，投标保证金退还至投标人银行基本账户。中标人和其他中标候选人在</w:t>
            </w:r>
            <w:r>
              <w:rPr>
                <w:rFonts w:hint="eastAsia"/>
                <w:color w:val="auto"/>
                <w:highlight w:val="none"/>
                <w:lang w:eastAsia="zh-CN"/>
              </w:rPr>
              <w:t>比选人</w:t>
            </w:r>
            <w:r>
              <w:rPr>
                <w:rFonts w:hint="eastAsia"/>
                <w:color w:val="auto"/>
                <w:highlight w:val="none"/>
              </w:rPr>
              <w:t>与中标人签订合同后，由</w:t>
            </w:r>
            <w:r>
              <w:rPr>
                <w:rFonts w:hint="eastAsia"/>
                <w:color w:val="auto"/>
                <w:highlight w:val="none"/>
                <w:lang w:val="en-US" w:eastAsia="zh-CN"/>
              </w:rPr>
              <w:t>比选代理机构</w:t>
            </w:r>
            <w:r>
              <w:rPr>
                <w:rFonts w:hint="eastAsia"/>
                <w:color w:val="auto"/>
                <w:highlight w:val="none"/>
              </w:rPr>
              <w:t>向其退还投标保证金，投标保证金退还至中标候选人银行基本账户。</w:t>
            </w:r>
          </w:p>
        </w:tc>
      </w:tr>
      <w:tr w14:paraId="3425C8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E588BF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3.6.1</w:t>
            </w:r>
          </w:p>
        </w:tc>
        <w:tc>
          <w:tcPr>
            <w:tcW w:w="1644" w:type="dxa"/>
            <w:vAlign w:val="center"/>
          </w:tcPr>
          <w:p w14:paraId="50D6DBE6">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是否允许递交</w:t>
            </w:r>
          </w:p>
          <w:p w14:paraId="7F13D504">
            <w:pPr>
              <w:snapToGrid w:val="0"/>
              <w:spacing w:after="72" w:afterLines="30" w:line="400" w:lineRule="exact"/>
              <w:jc w:val="center"/>
              <w:rPr>
                <w:rFonts w:ascii="宋体" w:hAnsi="宋体"/>
                <w:color w:val="auto"/>
                <w:kern w:val="0"/>
                <w:szCs w:val="21"/>
                <w:highlight w:val="none"/>
              </w:rPr>
            </w:pPr>
            <w:r>
              <w:rPr>
                <w:rFonts w:ascii="宋体" w:hAnsi="宋体"/>
                <w:color w:val="auto"/>
                <w:kern w:val="0"/>
                <w:szCs w:val="21"/>
                <w:highlight w:val="none"/>
              </w:rPr>
              <w:t>备选投标方案</w:t>
            </w:r>
          </w:p>
        </w:tc>
        <w:tc>
          <w:tcPr>
            <w:tcW w:w="6490" w:type="dxa"/>
            <w:vAlign w:val="center"/>
          </w:tcPr>
          <w:p w14:paraId="136137A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不允许</w:t>
            </w:r>
          </w:p>
        </w:tc>
      </w:tr>
      <w:tr w14:paraId="3199AC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475A6E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3.7.1</w:t>
            </w:r>
          </w:p>
        </w:tc>
        <w:tc>
          <w:tcPr>
            <w:tcW w:w="1644" w:type="dxa"/>
            <w:vAlign w:val="center"/>
          </w:tcPr>
          <w:p w14:paraId="51C2B235">
            <w:pPr>
              <w:snapToGrid w:val="0"/>
              <w:spacing w:after="72" w:afterLines="30"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投标文件格式要求</w:t>
            </w:r>
          </w:p>
        </w:tc>
        <w:tc>
          <w:tcPr>
            <w:tcW w:w="6490" w:type="dxa"/>
            <w:vAlign w:val="center"/>
          </w:tcPr>
          <w:p w14:paraId="34C19AB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编制投标文件时不得对第六章“投标文件格式”的相应要素作实质性修改，否则视为重大偏差，由评标委员会作否决投标处理。</w:t>
            </w:r>
          </w:p>
        </w:tc>
      </w:tr>
      <w:tr w14:paraId="4FEEF6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945C0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3.7.3</w:t>
            </w:r>
          </w:p>
        </w:tc>
        <w:tc>
          <w:tcPr>
            <w:tcW w:w="1644" w:type="dxa"/>
            <w:vAlign w:val="center"/>
          </w:tcPr>
          <w:p w14:paraId="1A172D8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签名</w:t>
            </w:r>
            <w:r>
              <w:rPr>
                <w:rFonts w:ascii="宋体" w:hAnsi="宋体"/>
                <w:color w:val="auto"/>
                <w:kern w:val="0"/>
                <w:szCs w:val="21"/>
                <w:highlight w:val="none"/>
              </w:rPr>
              <w:t>盖章要求</w:t>
            </w:r>
          </w:p>
        </w:tc>
        <w:tc>
          <w:tcPr>
            <w:tcW w:w="6490" w:type="dxa"/>
            <w:vAlign w:val="center"/>
          </w:tcPr>
          <w:p w14:paraId="7B97F3C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3809D449">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未按上述规定执行的，交由评标委员会作否决投标处理。</w:t>
            </w:r>
          </w:p>
        </w:tc>
      </w:tr>
      <w:tr w14:paraId="6494F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7BD817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3.7.4</w:t>
            </w:r>
          </w:p>
        </w:tc>
        <w:tc>
          <w:tcPr>
            <w:tcW w:w="1644" w:type="dxa"/>
            <w:vAlign w:val="center"/>
          </w:tcPr>
          <w:p w14:paraId="0EB85A0E">
            <w:pPr>
              <w:snapToGrid w:val="0"/>
              <w:spacing w:line="400" w:lineRule="exact"/>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490" w:type="dxa"/>
            <w:vAlign w:val="center"/>
          </w:tcPr>
          <w:p w14:paraId="4F624E81">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副本可以为正本的复印件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，电子版形式（光盘</w:t>
            </w:r>
            <w:r>
              <w:rPr>
                <w:rFonts w:hint="eastAsia" w:ascii="宋体" w:hAnsi="宋体"/>
                <w:color w:val="auto"/>
                <w:kern w:val="0"/>
                <w:szCs w:val="21"/>
                <w:highlight w:val="none"/>
                <w:lang w:val="en-US" w:eastAsia="zh-CN"/>
              </w:rPr>
              <w:t>或U盘</w:t>
            </w:r>
            <w:r>
              <w:rPr>
                <w:rFonts w:hint="eastAsia" w:ascii="宋体" w:hAnsi="宋体"/>
                <w:color w:val="auto"/>
                <w:kern w:val="0"/>
                <w:szCs w:val="21"/>
                <w:highlight w:val="none"/>
              </w:rPr>
              <w:t>）1份。当副本和正本不一致时，以正本为准。否则由评标委员会作否决投标处理。</w:t>
            </w:r>
          </w:p>
          <w:p w14:paraId="3A113334">
            <w:pPr>
              <w:autoSpaceDE w:val="0"/>
              <w:autoSpaceDN w:val="0"/>
              <w:adjustRightInd w:val="0"/>
              <w:snapToGrid w:val="0"/>
              <w:spacing w:after="72" w:afterLines="30" w:line="400" w:lineRule="exact"/>
              <w:ind w:firstLine="420" w:firstLineChars="200"/>
              <w:rPr>
                <w:rFonts w:ascii="宋体" w:hAnsi="宋体"/>
                <w:i/>
                <w:color w:val="auto"/>
                <w:kern w:val="0"/>
                <w:szCs w:val="21"/>
                <w:highlight w:val="none"/>
              </w:rPr>
            </w:pPr>
            <w:r>
              <w:rPr>
                <w:rFonts w:hint="eastAsia" w:ascii="宋体" w:hAnsi="宋体"/>
                <w:color w:val="auto"/>
                <w:kern w:val="0"/>
                <w:szCs w:val="21"/>
                <w:highlight w:val="none"/>
              </w:rPr>
              <w:t>注：在核发中标通知书时，</w:t>
            </w:r>
            <w:r>
              <w:rPr>
                <w:rFonts w:hint="eastAsia" w:ascii="宋体" w:hAnsi="宋体"/>
                <w:color w:val="auto"/>
                <w:kern w:val="0"/>
                <w:szCs w:val="21"/>
                <w:highlight w:val="none"/>
                <w:lang w:val="en-US" w:eastAsia="zh-CN"/>
              </w:rPr>
              <w:t>比选人如有需要</w:t>
            </w:r>
            <w:r>
              <w:rPr>
                <w:rFonts w:hint="eastAsia" w:ascii="宋体" w:hAnsi="宋体"/>
                <w:color w:val="auto"/>
                <w:kern w:val="0"/>
                <w:szCs w:val="21"/>
                <w:highlight w:val="none"/>
              </w:rPr>
              <w:t>中标人应另外补充投标文件（内容必须与投标时提交的投标文件相一致）。</w:t>
            </w:r>
          </w:p>
        </w:tc>
      </w:tr>
      <w:tr w14:paraId="3E1260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335" w:type="dxa"/>
            <w:vAlign w:val="center"/>
          </w:tcPr>
          <w:p w14:paraId="4FCB3E9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3.7.5</w:t>
            </w:r>
          </w:p>
        </w:tc>
        <w:tc>
          <w:tcPr>
            <w:tcW w:w="1644" w:type="dxa"/>
            <w:vAlign w:val="center"/>
          </w:tcPr>
          <w:p w14:paraId="7845C6D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编制</w:t>
            </w:r>
            <w:r>
              <w:rPr>
                <w:rFonts w:ascii="宋体" w:hAnsi="宋体"/>
                <w:color w:val="auto"/>
                <w:kern w:val="0"/>
                <w:szCs w:val="21"/>
                <w:highlight w:val="none"/>
              </w:rPr>
              <w:t>要求</w:t>
            </w:r>
          </w:p>
        </w:tc>
        <w:tc>
          <w:tcPr>
            <w:tcW w:w="6490" w:type="dxa"/>
            <w:vAlign w:val="center"/>
          </w:tcPr>
          <w:p w14:paraId="40904173">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本</w:t>
            </w:r>
            <w:r>
              <w:rPr>
                <w:rFonts w:hint="eastAsia" w:ascii="宋体" w:hAnsi="宋体"/>
                <w:color w:val="auto"/>
                <w:szCs w:val="21"/>
                <w:highlight w:val="none"/>
                <w:lang w:val="en-US" w:eastAsia="zh-CN"/>
              </w:rPr>
              <w:t>项目</w:t>
            </w:r>
            <w:r>
              <w:rPr>
                <w:rFonts w:ascii="宋体" w:hAnsi="宋体"/>
                <w:color w:val="auto"/>
                <w:szCs w:val="21"/>
                <w:highlight w:val="none"/>
              </w:rPr>
              <w:t>应将投标函部分</w:t>
            </w:r>
            <w:r>
              <w:rPr>
                <w:rFonts w:hint="eastAsia" w:ascii="宋体" w:hAnsi="宋体"/>
                <w:color w:val="auto"/>
                <w:szCs w:val="21"/>
                <w:highlight w:val="none"/>
              </w:rPr>
              <w:t>资格审查部分</w:t>
            </w:r>
            <w:r>
              <w:rPr>
                <w:rFonts w:ascii="宋体" w:hAnsi="宋体"/>
                <w:color w:val="auto"/>
                <w:szCs w:val="21"/>
                <w:highlight w:val="none"/>
              </w:rPr>
              <w:t>各自分别装订成册。</w:t>
            </w:r>
          </w:p>
          <w:p w14:paraId="08012789">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14:paraId="3CE8FCA0">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1</w:t>
            </w:r>
            <w:r>
              <w:rPr>
                <w:rFonts w:ascii="宋体" w:hAnsi="宋体"/>
                <w:color w:val="auto"/>
                <w:szCs w:val="21"/>
                <w:highlight w:val="none"/>
              </w:rPr>
              <w:t>）投标函部分的装订要求</w:t>
            </w:r>
          </w:p>
          <w:p w14:paraId="26402BBB">
            <w:pPr>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，标注页码。</w:t>
            </w:r>
          </w:p>
          <w:p w14:paraId="692C4ABC">
            <w:pPr>
              <w:adjustRightInd w:val="0"/>
              <w:snapToGrid w:val="0"/>
              <w:spacing w:line="400" w:lineRule="exact"/>
              <w:ind w:firstLine="420" w:firstLineChars="200"/>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14:paraId="54718206">
            <w:pPr>
              <w:adjustRightInd w:val="0"/>
              <w:snapToGrid w:val="0"/>
              <w:spacing w:line="400" w:lineRule="exact"/>
              <w:ind w:firstLine="420" w:firstLineChars="200"/>
              <w:rPr>
                <w:rStyle w:val="63"/>
                <w:color w:val="auto"/>
                <w:highlight w:val="none"/>
              </w:rPr>
            </w:pPr>
            <w:r>
              <w:rPr>
                <w:rFonts w:ascii="宋体" w:hAnsi="宋体"/>
                <w:color w:val="auto"/>
                <w:szCs w:val="21"/>
                <w:highlight w:val="none"/>
              </w:rPr>
              <w:t>应按照第</w:t>
            </w:r>
            <w:r>
              <w:rPr>
                <w:rFonts w:hint="eastAsia" w:ascii="宋体" w:hAnsi="宋体"/>
                <w:color w:val="auto"/>
                <w:szCs w:val="21"/>
                <w:highlight w:val="none"/>
                <w:lang w:val="en-US" w:eastAsia="zh-CN"/>
              </w:rPr>
              <w:t>六</w:t>
            </w:r>
            <w:r>
              <w:rPr>
                <w:rFonts w:ascii="宋体" w:hAnsi="宋体"/>
                <w:color w:val="auto"/>
                <w:szCs w:val="21"/>
                <w:highlight w:val="none"/>
              </w:rPr>
              <w:t>章规定格式装订成册，</w:t>
            </w:r>
            <w:r>
              <w:rPr>
                <w:rFonts w:hint="eastAsia" w:ascii="宋体" w:hAnsi="宋体"/>
                <w:color w:val="auto"/>
                <w:szCs w:val="21"/>
                <w:highlight w:val="none"/>
                <w:lang w:val="en-US" w:eastAsia="zh-CN"/>
              </w:rPr>
              <w:t>原则上</w:t>
            </w:r>
            <w:r>
              <w:rPr>
                <w:rFonts w:ascii="宋体" w:hAnsi="宋体"/>
                <w:color w:val="auto"/>
                <w:szCs w:val="21"/>
                <w:highlight w:val="none"/>
              </w:rPr>
              <w:t>应编制目录</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但不得将目录编制作为评审因素</w:t>
            </w:r>
            <w:r>
              <w:rPr>
                <w:rFonts w:hint="eastAsia" w:ascii="宋体" w:hAnsi="宋体"/>
                <w:color w:val="auto"/>
                <w:szCs w:val="21"/>
                <w:highlight w:val="none"/>
                <w:lang w:eastAsia="zh-CN"/>
              </w:rPr>
              <w:t>）</w:t>
            </w:r>
            <w:r>
              <w:rPr>
                <w:rFonts w:ascii="宋体" w:hAnsi="宋体"/>
                <w:color w:val="auto"/>
                <w:szCs w:val="21"/>
                <w:highlight w:val="none"/>
              </w:rPr>
              <w:t>，标注页</w:t>
            </w:r>
            <w:r>
              <w:rPr>
                <w:rFonts w:ascii="宋体" w:hAnsi="宋体"/>
                <w:color w:val="auto"/>
                <w:kern w:val="0"/>
                <w:szCs w:val="21"/>
                <w:highlight w:val="none"/>
              </w:rPr>
              <w:t>码。</w:t>
            </w:r>
          </w:p>
        </w:tc>
      </w:tr>
      <w:tr w14:paraId="49DA07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827DB3">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4.1.1</w:t>
            </w:r>
          </w:p>
        </w:tc>
        <w:tc>
          <w:tcPr>
            <w:tcW w:w="1644" w:type="dxa"/>
            <w:vAlign w:val="center"/>
          </w:tcPr>
          <w:p w14:paraId="31200BE7">
            <w:pPr>
              <w:snapToGrid w:val="0"/>
              <w:spacing w:line="400" w:lineRule="exact"/>
              <w:jc w:val="center"/>
              <w:rPr>
                <w:rFonts w:ascii="宋体" w:hAnsi="宋体"/>
                <w:color w:val="auto"/>
                <w:spacing w:val="-6"/>
                <w:kern w:val="0"/>
                <w:szCs w:val="21"/>
                <w:highlight w:val="none"/>
              </w:rPr>
            </w:pPr>
            <w:r>
              <w:rPr>
                <w:rFonts w:ascii="宋体" w:hAnsi="宋体"/>
                <w:color w:val="auto"/>
                <w:spacing w:val="-6"/>
                <w:kern w:val="0"/>
                <w:szCs w:val="21"/>
                <w:highlight w:val="none"/>
              </w:rPr>
              <w:t>投标文件</w:t>
            </w:r>
          </w:p>
          <w:p w14:paraId="61FB9593">
            <w:pPr>
              <w:snapToGrid w:val="0"/>
              <w:spacing w:line="400" w:lineRule="exact"/>
              <w:jc w:val="center"/>
              <w:rPr>
                <w:rFonts w:ascii="宋体" w:hAnsi="宋体"/>
                <w:color w:val="auto"/>
                <w:spacing w:val="-6"/>
                <w:kern w:val="0"/>
                <w:szCs w:val="21"/>
                <w:highlight w:val="none"/>
              </w:rPr>
            </w:pPr>
            <w:r>
              <w:rPr>
                <w:rFonts w:hint="eastAsia" w:ascii="宋体" w:hAnsi="宋体"/>
                <w:color w:val="auto"/>
                <w:spacing w:val="-6"/>
                <w:kern w:val="0"/>
                <w:szCs w:val="21"/>
                <w:highlight w:val="none"/>
              </w:rPr>
              <w:t>的密封</w:t>
            </w:r>
          </w:p>
        </w:tc>
        <w:tc>
          <w:tcPr>
            <w:tcW w:w="6490" w:type="dxa"/>
            <w:vAlign w:val="center"/>
          </w:tcPr>
          <w:p w14:paraId="4318BDD6">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投标文件袋使用“投标保函部分”袋</w:t>
            </w:r>
            <w:r>
              <w:rPr>
                <w:rFonts w:hint="eastAsia" w:ascii="宋体" w:hAnsi="宋体"/>
                <w:color w:val="auto"/>
                <w:szCs w:val="21"/>
                <w:highlight w:val="none"/>
              </w:rPr>
              <w:t>（如有）</w:t>
            </w:r>
            <w:r>
              <w:rPr>
                <w:rFonts w:ascii="宋体" w:hAnsi="宋体"/>
                <w:color w:val="auto"/>
                <w:szCs w:val="21"/>
                <w:highlight w:val="none"/>
              </w:rPr>
              <w:t>、“投标函部分”袋、“</w:t>
            </w:r>
            <w:r>
              <w:rPr>
                <w:rFonts w:hint="eastAsia" w:ascii="宋体" w:hAnsi="宋体"/>
                <w:color w:val="auto"/>
                <w:szCs w:val="21"/>
                <w:highlight w:val="none"/>
              </w:rPr>
              <w:t>资格审查部分</w:t>
            </w:r>
            <w:r>
              <w:rPr>
                <w:rFonts w:ascii="宋体" w:hAnsi="宋体"/>
                <w:color w:val="auto"/>
                <w:szCs w:val="21"/>
                <w:highlight w:val="none"/>
              </w:rPr>
              <w:t>”袋以及“投标文件”大袋。</w:t>
            </w:r>
          </w:p>
          <w:p w14:paraId="3228E9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2. </w:t>
            </w:r>
            <w:r>
              <w:rPr>
                <w:rFonts w:ascii="宋体" w:hAnsi="宋体"/>
                <w:color w:val="auto"/>
                <w:szCs w:val="21"/>
                <w:highlight w:val="none"/>
              </w:rPr>
              <w:t>投标保函正本</w:t>
            </w:r>
            <w:r>
              <w:rPr>
                <w:rFonts w:ascii="宋体" w:hAnsi="宋体"/>
                <w:color w:val="auto"/>
                <w:kern w:val="0"/>
                <w:szCs w:val="21"/>
                <w:highlight w:val="none"/>
              </w:rPr>
              <w:t>复印件装入</w:t>
            </w:r>
            <w:r>
              <w:rPr>
                <w:rFonts w:ascii="宋体" w:hAnsi="宋体"/>
                <w:color w:val="auto"/>
                <w:szCs w:val="21"/>
                <w:highlight w:val="none"/>
              </w:rPr>
              <w:t>“投标保函部分”袋</w:t>
            </w:r>
            <w:r>
              <w:rPr>
                <w:rFonts w:hint="eastAsia" w:ascii="宋体" w:hAnsi="宋体"/>
                <w:color w:val="auto"/>
                <w:szCs w:val="21"/>
                <w:highlight w:val="none"/>
              </w:rPr>
              <w:t>，单独封装</w:t>
            </w:r>
            <w:r>
              <w:rPr>
                <w:rFonts w:ascii="宋体" w:hAnsi="宋体"/>
                <w:color w:val="auto"/>
                <w:szCs w:val="21"/>
                <w:highlight w:val="none"/>
              </w:rPr>
              <w:t>并在袋上加盖投标人单位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p>
          <w:p w14:paraId="44F0021C">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和电子版形式（光盘</w:t>
            </w:r>
            <w:r>
              <w:rPr>
                <w:rFonts w:hint="eastAsia" w:ascii="宋体" w:hAnsi="宋体"/>
                <w:color w:val="auto"/>
                <w:szCs w:val="21"/>
                <w:highlight w:val="none"/>
                <w:lang w:val="en-US" w:eastAsia="zh-CN"/>
              </w:rPr>
              <w:t>或U盘</w:t>
            </w:r>
            <w:r>
              <w:rPr>
                <w:rFonts w:hint="eastAsia" w:ascii="宋体" w:hAnsi="宋体"/>
                <w:color w:val="auto"/>
                <w:szCs w:val="21"/>
                <w:highlight w:val="none"/>
              </w:rPr>
              <w:t>）</w:t>
            </w:r>
            <w:r>
              <w:rPr>
                <w:rFonts w:ascii="宋体" w:hAnsi="宋体"/>
                <w:color w:val="auto"/>
                <w:szCs w:val="21"/>
                <w:highlight w:val="none"/>
              </w:rPr>
              <w:t>装入“投标函部分”袋中，密封并在袋上加盖投标人单位</w:t>
            </w:r>
            <w:r>
              <w:rPr>
                <w:rFonts w:hint="eastAsia" w:ascii="宋体" w:hAnsi="宋体"/>
                <w:color w:val="auto"/>
                <w:szCs w:val="21"/>
                <w:highlight w:val="none"/>
              </w:rPr>
              <w:t>法人</w:t>
            </w:r>
            <w:r>
              <w:rPr>
                <w:rFonts w:ascii="宋体" w:hAnsi="宋体"/>
                <w:color w:val="auto"/>
                <w:szCs w:val="21"/>
                <w:highlight w:val="none"/>
              </w:rPr>
              <w:t>章。</w:t>
            </w:r>
          </w:p>
          <w:p w14:paraId="2FBE11B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 资格审查部分装入“资格审查部分”袋中，密封并在袋上加盖投标人单位法人章。</w:t>
            </w:r>
          </w:p>
          <w:p w14:paraId="056E8AF2">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w:t>
            </w:r>
            <w:r>
              <w:rPr>
                <w:rFonts w:hint="eastAsia" w:ascii="宋体" w:hAnsi="宋体"/>
                <w:color w:val="auto"/>
                <w:szCs w:val="21"/>
                <w:highlight w:val="none"/>
              </w:rPr>
              <w:t>、“资格审查部分”</w:t>
            </w:r>
            <w:r>
              <w:rPr>
                <w:rFonts w:ascii="宋体" w:hAnsi="宋体"/>
                <w:color w:val="auto"/>
                <w:szCs w:val="21"/>
                <w:highlight w:val="none"/>
              </w:rPr>
              <w:t>等小袋装入“投标文件”大袋中，密封并在大袋上加盖投标人单位</w:t>
            </w:r>
            <w:r>
              <w:rPr>
                <w:rFonts w:hint="eastAsia" w:ascii="宋体" w:hAnsi="宋体"/>
                <w:color w:val="auto"/>
                <w:szCs w:val="21"/>
                <w:highlight w:val="none"/>
              </w:rPr>
              <w:t>法人</w:t>
            </w:r>
            <w:r>
              <w:rPr>
                <w:rFonts w:ascii="宋体" w:hAnsi="宋体"/>
                <w:color w:val="auto"/>
                <w:szCs w:val="21"/>
                <w:highlight w:val="none"/>
              </w:rPr>
              <w:t>章，同时“投标文件”大袋应按本表第4.1.2项的规定写明相应内容。</w:t>
            </w:r>
            <w:r>
              <w:rPr>
                <w:rFonts w:hint="eastAsia" w:ascii="宋体" w:hAnsi="宋体"/>
                <w:color w:val="auto"/>
                <w:szCs w:val="21"/>
                <w:highlight w:val="none"/>
              </w:rPr>
              <w:t>一个大袋装不下的，可使用多个大袋分册封装。大袋未按要求密封的，</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或代理机构应该拒收。</w:t>
            </w:r>
          </w:p>
          <w:p w14:paraId="200F04D5">
            <w:pPr>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注：“投标函部分”袋、“资格审查部分”袋只为方便投标文件分装，不作为判定密封合格与否的条件。但为了方便开标，请各投标人主动配合，按要求分装。</w:t>
            </w:r>
          </w:p>
        </w:tc>
      </w:tr>
      <w:tr w14:paraId="0BBA50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89B19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4.1.2</w:t>
            </w:r>
          </w:p>
        </w:tc>
        <w:tc>
          <w:tcPr>
            <w:tcW w:w="1644" w:type="dxa"/>
            <w:vAlign w:val="center"/>
          </w:tcPr>
          <w:p w14:paraId="781F108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封套上应载明的信息</w:t>
            </w:r>
          </w:p>
        </w:tc>
        <w:tc>
          <w:tcPr>
            <w:tcW w:w="6490" w:type="dxa"/>
            <w:vAlign w:val="center"/>
          </w:tcPr>
          <w:p w14:paraId="0E6FF0A0">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应在</w:t>
            </w:r>
            <w:r>
              <w:rPr>
                <w:rFonts w:ascii="宋体" w:hAnsi="宋体"/>
                <w:color w:val="auto"/>
                <w:szCs w:val="21"/>
                <w:highlight w:val="none"/>
              </w:rPr>
              <w:t xml:space="preserve"> </w:t>
            </w:r>
            <w:r>
              <w:rPr>
                <w:rFonts w:ascii="宋体" w:hAnsi="宋体"/>
                <w:color w:val="auto"/>
                <w:kern w:val="0"/>
                <w:szCs w:val="21"/>
                <w:highlight w:val="none"/>
              </w:rPr>
              <w:t>“投标文件”袋封套上写明如下内容：</w:t>
            </w:r>
          </w:p>
          <w:p w14:paraId="5CE0F956">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color w:val="auto"/>
                <w:kern w:val="0"/>
                <w:szCs w:val="21"/>
                <w:highlight w:val="none"/>
                <w:u w:val="single"/>
              </w:rPr>
              <w:t xml:space="preserve">            </w:t>
            </w:r>
          </w:p>
          <w:p w14:paraId="3FFAFAFC">
            <w:pPr>
              <w:snapToGrid w:val="0"/>
              <w:spacing w:line="400" w:lineRule="exact"/>
              <w:ind w:firstLine="420" w:firstLineChars="200"/>
              <w:rPr>
                <w:rFonts w:ascii="宋体" w:hAnsi="宋体"/>
                <w:color w:val="auto"/>
                <w:kern w:val="0"/>
                <w:szCs w:val="21"/>
                <w:highlight w:val="none"/>
                <w:u w:val="single"/>
              </w:rPr>
            </w:pPr>
            <w:r>
              <w:rPr>
                <w:rFonts w:hint="eastAsia"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14:paraId="7E8F3944">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u w:val="single"/>
              </w:rPr>
              <w:t xml:space="preserve">                （项目名称）</w:t>
            </w:r>
            <w:r>
              <w:rPr>
                <w:rFonts w:ascii="宋体" w:hAnsi="宋体"/>
                <w:color w:val="auto"/>
                <w:kern w:val="0"/>
                <w:szCs w:val="21"/>
                <w:highlight w:val="none"/>
              </w:rPr>
              <w:t>投标文件</w:t>
            </w:r>
          </w:p>
          <w:p w14:paraId="174BFA7E">
            <w:pPr>
              <w:snapToGrid w:val="0"/>
              <w:spacing w:line="400" w:lineRule="exact"/>
              <w:ind w:firstLine="420" w:firstLineChars="200"/>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rPr>
              <w:t xml:space="preserve">    </w:t>
            </w:r>
            <w:r>
              <w:rPr>
                <w:rFonts w:ascii="宋体" w:hAnsi="宋体"/>
                <w:color w:val="auto"/>
                <w:kern w:val="0"/>
                <w:szCs w:val="21"/>
                <w:highlight w:val="none"/>
              </w:rPr>
              <w:t>分前不得开启</w:t>
            </w:r>
          </w:p>
        </w:tc>
      </w:tr>
      <w:tr w14:paraId="4AEE74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F3A2383">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4</w:t>
            </w:r>
            <w:r>
              <w:rPr>
                <w:rFonts w:ascii="宋体" w:hAnsi="宋体"/>
                <w:color w:val="auto"/>
                <w:kern w:val="0"/>
                <w:szCs w:val="21"/>
                <w:highlight w:val="none"/>
              </w:rPr>
              <w:t>.2.1</w:t>
            </w:r>
          </w:p>
        </w:tc>
        <w:tc>
          <w:tcPr>
            <w:tcW w:w="1644" w:type="dxa"/>
            <w:vAlign w:val="center"/>
          </w:tcPr>
          <w:p w14:paraId="0EC4351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490" w:type="dxa"/>
            <w:vAlign w:val="center"/>
          </w:tcPr>
          <w:p w14:paraId="5C72C4CA">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详见招标公告中规定的投标文件递交截止时间。</w:t>
            </w:r>
          </w:p>
        </w:tc>
      </w:tr>
      <w:tr w14:paraId="433D31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16E298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4.2.2</w:t>
            </w:r>
          </w:p>
        </w:tc>
        <w:tc>
          <w:tcPr>
            <w:tcW w:w="1644" w:type="dxa"/>
            <w:vAlign w:val="center"/>
          </w:tcPr>
          <w:p w14:paraId="31CB7F3F">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递交投标文件地点</w:t>
            </w:r>
          </w:p>
        </w:tc>
        <w:tc>
          <w:tcPr>
            <w:tcW w:w="6490" w:type="dxa"/>
            <w:vAlign w:val="center"/>
          </w:tcPr>
          <w:p w14:paraId="7FE13A71">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bCs/>
                <w:color w:val="auto"/>
                <w:szCs w:val="21"/>
                <w:highlight w:val="none"/>
              </w:rPr>
            </w:pPr>
            <w:r>
              <w:rPr>
                <w:rFonts w:hint="eastAsia" w:ascii="宋体" w:hAnsi="宋体"/>
                <w:snapToGrid w:val="0"/>
                <w:color w:val="auto"/>
                <w:kern w:val="0"/>
                <w:szCs w:val="21"/>
                <w:highlight w:val="none"/>
                <w:u w:val="single"/>
              </w:rPr>
              <w:t>重庆市江北区五简路2号重庆咨询大厦A座负1楼开标厅</w:t>
            </w:r>
            <w:r>
              <w:rPr>
                <w:rFonts w:hint="eastAsia" w:ascii="宋体" w:hAnsi="宋体"/>
                <w:snapToGrid w:val="0"/>
                <w:color w:val="auto"/>
                <w:kern w:val="0"/>
                <w:szCs w:val="21"/>
                <w:highlight w:val="none"/>
              </w:rPr>
              <w:t>。</w:t>
            </w:r>
          </w:p>
        </w:tc>
      </w:tr>
      <w:tr w14:paraId="5B9C8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CCA7C6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4.2.3</w:t>
            </w:r>
          </w:p>
        </w:tc>
        <w:tc>
          <w:tcPr>
            <w:tcW w:w="1644" w:type="dxa"/>
            <w:vAlign w:val="center"/>
          </w:tcPr>
          <w:p w14:paraId="03611F32">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投标文件是否退还</w:t>
            </w:r>
          </w:p>
        </w:tc>
        <w:tc>
          <w:tcPr>
            <w:tcW w:w="6490" w:type="dxa"/>
            <w:vAlign w:val="center"/>
          </w:tcPr>
          <w:p w14:paraId="464E10A9">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否</w:t>
            </w:r>
          </w:p>
        </w:tc>
      </w:tr>
      <w:tr w14:paraId="4E9C5D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B1725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644" w:type="dxa"/>
            <w:vAlign w:val="center"/>
          </w:tcPr>
          <w:p w14:paraId="4FCA2C9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开标时间和</w:t>
            </w:r>
          </w:p>
          <w:p w14:paraId="168877AA">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地点</w:t>
            </w:r>
          </w:p>
        </w:tc>
        <w:tc>
          <w:tcPr>
            <w:tcW w:w="6490" w:type="dxa"/>
            <w:vAlign w:val="center"/>
          </w:tcPr>
          <w:p w14:paraId="1D334584">
            <w:pPr>
              <w:snapToGrid w:val="0"/>
              <w:spacing w:line="400" w:lineRule="exact"/>
              <w:ind w:firstLine="420" w:firstLineChars="200"/>
              <w:rPr>
                <w:color w:val="auto"/>
                <w:highlight w:val="none"/>
              </w:rPr>
            </w:pPr>
            <w:r>
              <w:rPr>
                <w:color w:val="auto"/>
                <w:highlight w:val="none"/>
              </w:rPr>
              <w:t>开标时间：同投标截止时间</w:t>
            </w:r>
          </w:p>
          <w:p w14:paraId="5B6C7C4D">
            <w:pPr>
              <w:snapToGrid w:val="0"/>
              <w:spacing w:line="400" w:lineRule="exact"/>
              <w:ind w:firstLine="420" w:firstLineChars="200"/>
              <w:rPr>
                <w:color w:val="auto"/>
                <w:highlight w:val="none"/>
              </w:rPr>
            </w:pPr>
            <w:r>
              <w:rPr>
                <w:color w:val="auto"/>
                <w:highlight w:val="none"/>
              </w:rPr>
              <w:t>开标地点：</w:t>
            </w:r>
            <w:r>
              <w:rPr>
                <w:rFonts w:hint="eastAsia" w:ascii="宋体" w:hAnsi="宋体"/>
                <w:snapToGrid w:val="0"/>
                <w:color w:val="auto"/>
                <w:kern w:val="0"/>
                <w:szCs w:val="21"/>
                <w:highlight w:val="none"/>
                <w:u w:val="single"/>
              </w:rPr>
              <w:t>重庆市江北区五简路2号重庆咨询大厦A座负1楼开标厅</w:t>
            </w:r>
            <w:r>
              <w:rPr>
                <w:rFonts w:hint="eastAsia" w:ascii="宋体" w:hAnsi="宋体"/>
                <w:snapToGrid w:val="0"/>
                <w:color w:val="auto"/>
                <w:kern w:val="0"/>
                <w:szCs w:val="21"/>
                <w:highlight w:val="none"/>
              </w:rPr>
              <w:t>。</w:t>
            </w:r>
          </w:p>
        </w:tc>
      </w:tr>
      <w:tr w14:paraId="2F938B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58A97E9">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5.2</w:t>
            </w:r>
          </w:p>
        </w:tc>
        <w:tc>
          <w:tcPr>
            <w:tcW w:w="1644" w:type="dxa"/>
            <w:vAlign w:val="center"/>
          </w:tcPr>
          <w:p w14:paraId="654196D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开标程序</w:t>
            </w:r>
          </w:p>
        </w:tc>
        <w:tc>
          <w:tcPr>
            <w:tcW w:w="6490" w:type="dxa"/>
            <w:vAlign w:val="center"/>
          </w:tcPr>
          <w:p w14:paraId="2E42E0BA">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主持人按下列程序进行开标：</w:t>
            </w:r>
          </w:p>
          <w:p w14:paraId="6CB26985">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14:paraId="247012A9">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 宣布开标人、唱标人、记录人、监标人等有关人员姓名</w:t>
            </w:r>
            <w:r>
              <w:rPr>
                <w:rFonts w:hint="eastAsia" w:ascii="宋体" w:hAnsi="宋体"/>
                <w:color w:val="auto"/>
                <w:szCs w:val="21"/>
                <w:highlight w:val="none"/>
              </w:rPr>
              <w:t>。</w:t>
            </w:r>
          </w:p>
          <w:p w14:paraId="1118B0F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 公布在投标截止时间前递交投标文件的投标人名称</w:t>
            </w:r>
            <w:r>
              <w:rPr>
                <w:rFonts w:hint="eastAsia" w:ascii="宋体" w:hAnsi="宋体"/>
                <w:color w:val="auto"/>
                <w:szCs w:val="21"/>
                <w:highlight w:val="none"/>
              </w:rPr>
              <w:t>。</w:t>
            </w:r>
          </w:p>
          <w:p w14:paraId="0FCC75B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 xml:space="preserve">. </w:t>
            </w:r>
            <w:r>
              <w:rPr>
                <w:rFonts w:hint="eastAsia" w:ascii="宋体" w:hAnsi="宋体"/>
                <w:color w:val="auto"/>
                <w:szCs w:val="21"/>
                <w:highlight w:val="none"/>
              </w:rPr>
              <w:t>投标文件的密封检查：投标人可对自己的投标文件封装情况进行检查，以确认其投标文件密封完好。</w:t>
            </w:r>
          </w:p>
          <w:p w14:paraId="2D4BEAB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 展示投标保证金</w:t>
            </w:r>
            <w:r>
              <w:rPr>
                <w:rFonts w:hint="eastAsia" w:ascii="宋体" w:hAnsi="宋体"/>
                <w:color w:val="auto"/>
                <w:szCs w:val="21"/>
                <w:highlight w:val="none"/>
                <w:lang w:eastAsia="zh-CN"/>
              </w:rPr>
              <w:t>缴纳</w:t>
            </w:r>
            <w:r>
              <w:rPr>
                <w:rFonts w:hint="eastAsia" w:ascii="宋体" w:hAnsi="宋体"/>
                <w:color w:val="auto"/>
                <w:szCs w:val="21"/>
                <w:highlight w:val="none"/>
              </w:rPr>
              <w:t>情况</w:t>
            </w:r>
          </w:p>
          <w:p w14:paraId="0810FF06">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6</w:t>
            </w:r>
            <w:r>
              <w:rPr>
                <w:rFonts w:ascii="宋体" w:hAnsi="宋体"/>
                <w:color w:val="auto"/>
                <w:szCs w:val="21"/>
                <w:highlight w:val="none"/>
              </w:rPr>
              <w:t>. 公布最高限价</w:t>
            </w:r>
            <w:r>
              <w:rPr>
                <w:rFonts w:hint="eastAsia" w:ascii="宋体" w:hAnsi="宋体"/>
                <w:color w:val="auto"/>
                <w:szCs w:val="21"/>
                <w:highlight w:val="none"/>
              </w:rPr>
              <w:t>。</w:t>
            </w:r>
          </w:p>
          <w:p w14:paraId="106BAF4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7</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逐单位随机开启投标文件。开启投标文件大袋及投标函部分袋</w:t>
            </w:r>
            <w:r>
              <w:rPr>
                <w:rFonts w:hint="eastAsia" w:ascii="宋体" w:hAnsi="宋体"/>
                <w:color w:val="auto"/>
                <w:szCs w:val="21"/>
                <w:highlight w:val="none"/>
              </w:rPr>
              <w:t>、资格审查部分袋</w:t>
            </w:r>
            <w:r>
              <w:rPr>
                <w:rFonts w:ascii="宋体" w:hAnsi="宋体"/>
                <w:color w:val="auto"/>
                <w:szCs w:val="21"/>
                <w:highlight w:val="none"/>
              </w:rPr>
              <w:t>；公布投标人名称、投标报价、质量要求、工期及其他内容并记录在案</w:t>
            </w:r>
            <w:r>
              <w:rPr>
                <w:rFonts w:hint="eastAsia" w:ascii="宋体" w:hAnsi="宋体"/>
                <w:color w:val="auto"/>
                <w:szCs w:val="21"/>
                <w:highlight w:val="none"/>
              </w:rPr>
              <w:t>。</w:t>
            </w:r>
          </w:p>
          <w:p w14:paraId="6580694F">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8</w:t>
            </w:r>
            <w:r>
              <w:rPr>
                <w:rFonts w:hint="eastAsia" w:ascii="宋体" w:hAnsi="宋体"/>
                <w:color w:val="auto"/>
                <w:szCs w:val="21"/>
                <w:highlight w:val="none"/>
              </w:rPr>
              <w:t>. 投标人对开标有异议的，应当场提出，由</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或代理机构当场答复，并记录到开标记录表中。异议处理完毕后，汇总开标情况，打印开标记录表。</w:t>
            </w:r>
          </w:p>
          <w:p w14:paraId="0216FC1C">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9</w:t>
            </w:r>
            <w:r>
              <w:rPr>
                <w:rFonts w:ascii="宋体" w:hAnsi="宋体"/>
                <w:color w:val="auto"/>
                <w:szCs w:val="21"/>
                <w:highlight w:val="none"/>
              </w:rPr>
              <w:t>. 投标人代表、</w:t>
            </w:r>
            <w:r>
              <w:rPr>
                <w:rFonts w:hint="eastAsia" w:ascii="宋体" w:hAnsi="宋体"/>
                <w:color w:val="auto"/>
                <w:szCs w:val="21"/>
                <w:highlight w:val="none"/>
                <w:lang w:eastAsia="zh-CN"/>
              </w:rPr>
              <w:t>比选人</w:t>
            </w:r>
            <w:r>
              <w:rPr>
                <w:rFonts w:ascii="宋体" w:hAnsi="宋体"/>
                <w:color w:val="auto"/>
                <w:szCs w:val="21"/>
                <w:highlight w:val="none"/>
              </w:rPr>
              <w:t>代表、监标人、</w:t>
            </w:r>
            <w:r>
              <w:rPr>
                <w:rFonts w:hint="eastAsia" w:ascii="宋体" w:hAnsi="宋体"/>
                <w:color w:val="auto"/>
                <w:szCs w:val="21"/>
                <w:highlight w:val="none"/>
              </w:rPr>
              <w:t>主持人、</w:t>
            </w:r>
            <w:r>
              <w:rPr>
                <w:rFonts w:ascii="宋体" w:hAnsi="宋体"/>
                <w:color w:val="auto"/>
                <w:szCs w:val="21"/>
                <w:highlight w:val="none"/>
              </w:rPr>
              <w:t>记录人等有关人员在开标记录上</w:t>
            </w:r>
            <w:r>
              <w:rPr>
                <w:rFonts w:hint="eastAsia" w:ascii="宋体" w:hAnsi="宋体"/>
                <w:color w:val="auto"/>
                <w:szCs w:val="21"/>
                <w:highlight w:val="none"/>
              </w:rPr>
              <w:t>签名</w:t>
            </w:r>
            <w:r>
              <w:rPr>
                <w:rFonts w:ascii="宋体" w:hAnsi="宋体"/>
                <w:color w:val="auto"/>
                <w:szCs w:val="21"/>
                <w:highlight w:val="none"/>
              </w:rPr>
              <w:t>确认</w:t>
            </w:r>
            <w:r>
              <w:rPr>
                <w:rFonts w:hint="eastAsia" w:ascii="宋体" w:hAnsi="宋体"/>
                <w:color w:val="auto"/>
                <w:szCs w:val="21"/>
                <w:highlight w:val="none"/>
              </w:rPr>
              <w:t>。因其他原因未能签名的，视为默认开标结果。</w:t>
            </w:r>
          </w:p>
          <w:p w14:paraId="5588D36B">
            <w:pPr>
              <w:autoSpaceDE w:val="0"/>
              <w:autoSpaceDN w:val="0"/>
              <w:adjustRightInd w:val="0"/>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 开标结束。</w:t>
            </w:r>
          </w:p>
        </w:tc>
      </w:tr>
      <w:tr w14:paraId="1FF864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C1572C7">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6.1.1</w:t>
            </w:r>
          </w:p>
        </w:tc>
        <w:tc>
          <w:tcPr>
            <w:tcW w:w="1644" w:type="dxa"/>
            <w:vAlign w:val="center"/>
          </w:tcPr>
          <w:p w14:paraId="759F9105">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评标委员会的组建</w:t>
            </w:r>
          </w:p>
        </w:tc>
        <w:tc>
          <w:tcPr>
            <w:tcW w:w="6490" w:type="dxa"/>
            <w:vAlign w:val="center"/>
          </w:tcPr>
          <w:p w14:paraId="304F0EA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s="宋体"/>
                <w:color w:val="auto"/>
                <w:highlight w:val="none"/>
              </w:rPr>
              <w:t>由</w:t>
            </w:r>
            <w:r>
              <w:rPr>
                <w:rFonts w:hint="eastAsia" w:ascii="宋体" w:hAnsi="宋体" w:cs="宋体"/>
                <w:color w:val="auto"/>
                <w:highlight w:val="none"/>
                <w:lang w:eastAsia="zh-CN"/>
              </w:rPr>
              <w:t>比选人</w:t>
            </w:r>
            <w:r>
              <w:rPr>
                <w:rFonts w:hint="eastAsia" w:ascii="宋体" w:hAnsi="宋体" w:cs="宋体"/>
                <w:color w:val="auto"/>
                <w:highlight w:val="none"/>
              </w:rPr>
              <w:t>按法律法规及相关规定依法组建评标委员会。</w:t>
            </w:r>
          </w:p>
        </w:tc>
      </w:tr>
      <w:tr w14:paraId="3F0D56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35" w:type="dxa"/>
            <w:vAlign w:val="center"/>
          </w:tcPr>
          <w:p w14:paraId="15C2E05E">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6</w:t>
            </w:r>
            <w:r>
              <w:rPr>
                <w:rFonts w:ascii="宋体" w:hAnsi="宋体"/>
                <w:color w:val="auto"/>
                <w:kern w:val="0"/>
                <w:szCs w:val="21"/>
                <w:highlight w:val="none"/>
              </w:rPr>
              <w:t>.3.2</w:t>
            </w:r>
          </w:p>
        </w:tc>
        <w:tc>
          <w:tcPr>
            <w:tcW w:w="1644" w:type="dxa"/>
            <w:vAlign w:val="center"/>
          </w:tcPr>
          <w:p w14:paraId="2D4D71C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评标委员会推荐中标候选人的人数</w:t>
            </w:r>
          </w:p>
        </w:tc>
        <w:tc>
          <w:tcPr>
            <w:tcW w:w="6490" w:type="dxa"/>
            <w:vAlign w:val="center"/>
          </w:tcPr>
          <w:p w14:paraId="0032B444">
            <w:pPr>
              <w:autoSpaceDE w:val="0"/>
              <w:autoSpaceDN w:val="0"/>
              <w:adjustRightInd w:val="0"/>
              <w:snapToGrid w:val="0"/>
              <w:spacing w:line="400" w:lineRule="exact"/>
              <w:ind w:firstLine="420" w:firstLineChars="200"/>
              <w:rPr>
                <w:rFonts w:hint="eastAsia" w:ascii="宋体" w:hAnsi="宋体" w:cs="宋体"/>
                <w:color w:val="auto"/>
                <w:kern w:val="0"/>
                <w:szCs w:val="21"/>
                <w:highlight w:val="none"/>
                <w:lang w:val="en-US" w:eastAsia="zh-CN"/>
              </w:rPr>
            </w:pPr>
            <w:r>
              <w:rPr>
                <w:rFonts w:ascii="宋体" w:hAnsi="宋体"/>
                <w:color w:val="auto"/>
                <w:kern w:val="0"/>
                <w:szCs w:val="21"/>
                <w:highlight w:val="none"/>
              </w:rPr>
              <w:t>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r>
              <w:rPr>
                <w:rFonts w:hint="eastAsia" w:ascii="宋体" w:hAnsi="宋体" w:cs="宋体"/>
                <w:color w:val="auto"/>
                <w:kern w:val="0"/>
                <w:szCs w:val="21"/>
                <w:highlight w:val="none"/>
                <w:lang w:val="en-US" w:eastAsia="zh-CN"/>
              </w:rPr>
              <w:t>若有效投标人少于三个的，按实际推荐。</w:t>
            </w:r>
          </w:p>
          <w:p w14:paraId="4773C663">
            <w:pPr>
              <w:autoSpaceDE w:val="0"/>
              <w:autoSpaceDN w:val="0"/>
              <w:adjustRightInd w:val="0"/>
              <w:snapToGrid w:val="0"/>
              <w:spacing w:line="400" w:lineRule="exact"/>
              <w:ind w:firstLine="0" w:firstLineChars="0"/>
              <w:rPr>
                <w:rFonts w:hint="default" w:ascii="宋体" w:hAnsi="宋体" w:cs="宋体"/>
                <w:b/>
                <w:bCs/>
                <w:color w:val="auto"/>
                <w:kern w:val="0"/>
                <w:szCs w:val="21"/>
                <w:highlight w:val="none"/>
                <w:lang w:val="en-US" w:eastAsia="zh-CN"/>
              </w:rPr>
            </w:pPr>
          </w:p>
        </w:tc>
      </w:tr>
      <w:tr w14:paraId="4FD40E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B49F38B">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.1</w:t>
            </w:r>
          </w:p>
        </w:tc>
        <w:tc>
          <w:tcPr>
            <w:tcW w:w="1644" w:type="dxa"/>
            <w:vAlign w:val="center"/>
          </w:tcPr>
          <w:p w14:paraId="28DFA6A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中标公示</w:t>
            </w:r>
          </w:p>
        </w:tc>
        <w:tc>
          <w:tcPr>
            <w:tcW w:w="6490" w:type="dxa"/>
            <w:vAlign w:val="center"/>
          </w:tcPr>
          <w:p w14:paraId="7A2A8442">
            <w:pPr>
              <w:autoSpaceDE w:val="0"/>
              <w:autoSpaceDN w:val="0"/>
              <w:adjustRightInd w:val="0"/>
              <w:snapToGrid w:val="0"/>
              <w:spacing w:line="400" w:lineRule="exact"/>
              <w:ind w:firstLine="420" w:firstLineChars="200"/>
              <w:rPr>
                <w:rFonts w:ascii="宋体" w:hAnsi="宋体"/>
                <w:color w:val="auto"/>
                <w:spacing w:val="4"/>
                <w:kern w:val="0"/>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eastAsia" w:ascii="宋体" w:hAnsi="宋体" w:cs="宋体"/>
                <w:color w:val="auto"/>
                <w:szCs w:val="21"/>
                <w:highlight w:val="none"/>
                <w:u w:val="single"/>
              </w:rPr>
              <w:t xml:space="preserve"> </w:t>
            </w:r>
            <w:r>
              <w:rPr>
                <w:rFonts w:hint="eastAsia" w:ascii="宋体" w:hAnsi="宋体"/>
                <w:snapToGrid w:val="0"/>
                <w:color w:val="auto"/>
                <w:kern w:val="0"/>
                <w:szCs w:val="21"/>
                <w:highlight w:val="none"/>
                <w:u w:val="single"/>
              </w:rPr>
              <w:t>重庆高速公路集团有限公司官方网站（http://www.cegc.com.cn/）</w:t>
            </w:r>
            <w:r>
              <w:rPr>
                <w:rFonts w:hint="eastAsia" w:ascii="宋体" w:hAnsi="宋体"/>
                <w:snapToGrid w:val="0"/>
                <w:color w:val="auto"/>
                <w:kern w:val="0"/>
                <w:szCs w:val="21"/>
                <w:highlight w:val="none"/>
                <w:u w:val="single"/>
                <w:lang w:eastAsia="zh-CN"/>
              </w:rPr>
              <w:t>、</w:t>
            </w:r>
            <w:r>
              <w:rPr>
                <w:rFonts w:cs="Calibri"/>
                <w:color w:val="auto"/>
                <w:highlight w:val="none"/>
                <w:u w:val="single"/>
              </w:rPr>
              <w:t>重庆国际投资咨询集团有限公司官网（</w:t>
            </w:r>
            <w:r>
              <w:rPr>
                <w:color w:val="auto"/>
                <w:highlight w:val="none"/>
                <w:u w:val="single"/>
              </w:rPr>
              <w:t>http://cqiic.com/）</w:t>
            </w:r>
            <w:r>
              <w:rPr>
                <w:color w:val="auto"/>
                <w:spacing w:val="-57"/>
                <w:sz w:val="20"/>
                <w:szCs w:val="20"/>
                <w:highlight w:val="none"/>
                <w:u w:val="single" w:color="auto"/>
              </w:rPr>
              <w:t xml:space="preserve"> </w:t>
            </w:r>
            <w:r>
              <w:rPr>
                <w:rFonts w:hint="eastAsia" w:ascii="宋体" w:hAnsi="宋体" w:cs="宋体"/>
                <w:color w:val="auto"/>
                <w:szCs w:val="21"/>
                <w:highlight w:val="none"/>
                <w:u w:val="single"/>
              </w:rPr>
              <w:t xml:space="preserve"> </w:t>
            </w:r>
            <w:r>
              <w:rPr>
                <w:rFonts w:hint="eastAsia" w:ascii="宋体" w:hAnsi="宋体" w:eastAsia="宋体" w:cs="宋体"/>
                <w:snapToGrid w:val="0"/>
                <w:color w:val="auto"/>
                <w:kern w:val="0"/>
                <w:sz w:val="20"/>
                <w:szCs w:val="20"/>
                <w:highlight w:val="none"/>
                <w:u w:val="single"/>
                <w:lang w:eastAsia="zh-CN"/>
              </w:rPr>
              <w:t>巨能集团集中采购平台网址 （http://222.178.219.165:7001/merchants/login）</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上进行公示，公示期为</w:t>
            </w:r>
            <w:r>
              <w:rPr>
                <w:rFonts w:ascii="宋体" w:hAnsi="宋体" w:cs="宋体"/>
                <w:color w:val="auto"/>
                <w:szCs w:val="21"/>
                <w:highlight w:val="none"/>
              </w:rPr>
              <w:t>3日</w:t>
            </w:r>
            <w:r>
              <w:rPr>
                <w:rFonts w:hint="eastAsia" w:ascii="宋体" w:hAnsi="宋体" w:cs="宋体"/>
                <w:color w:val="auto"/>
                <w:szCs w:val="21"/>
                <w:highlight w:val="none"/>
              </w:rPr>
              <w:t>。</w:t>
            </w:r>
          </w:p>
        </w:tc>
      </w:tr>
      <w:tr w14:paraId="3C59B2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204D7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7.4</w:t>
            </w:r>
          </w:p>
        </w:tc>
        <w:tc>
          <w:tcPr>
            <w:tcW w:w="1644" w:type="dxa"/>
            <w:vAlign w:val="center"/>
          </w:tcPr>
          <w:p w14:paraId="70C24AB0">
            <w:pPr>
              <w:snapToGrid w:val="0"/>
              <w:spacing w:after="48" w:afterLines="20" w:line="400" w:lineRule="exact"/>
              <w:jc w:val="center"/>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490" w:type="dxa"/>
            <w:vAlign w:val="center"/>
          </w:tcPr>
          <w:p w14:paraId="29B71562">
            <w:pPr>
              <w:snapToGrid w:val="0"/>
              <w:spacing w:line="400" w:lineRule="exact"/>
              <w:ind w:firstLine="420" w:firstLineChars="200"/>
              <w:rPr>
                <w:rFonts w:ascii="宋体" w:hAnsi="宋体"/>
                <w:i/>
                <w:color w:val="auto"/>
                <w:kern w:val="0"/>
                <w:szCs w:val="21"/>
                <w:highlight w:val="none"/>
              </w:rPr>
            </w:pPr>
            <w:r>
              <w:rPr>
                <w:rFonts w:ascii="宋体" w:hAnsi="宋体"/>
                <w:color w:val="auto"/>
                <w:kern w:val="0"/>
                <w:szCs w:val="21"/>
                <w:highlight w:val="none"/>
              </w:rPr>
              <w:t>否</w:t>
            </w:r>
          </w:p>
        </w:tc>
      </w:tr>
      <w:tr w14:paraId="0E506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FF79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7.</w:t>
            </w:r>
            <w:r>
              <w:rPr>
                <w:rFonts w:ascii="宋体" w:hAnsi="宋体"/>
                <w:color w:val="auto"/>
                <w:kern w:val="0"/>
                <w:szCs w:val="21"/>
                <w:highlight w:val="none"/>
              </w:rPr>
              <w:t>6</w:t>
            </w:r>
          </w:p>
        </w:tc>
        <w:tc>
          <w:tcPr>
            <w:tcW w:w="1644" w:type="dxa"/>
            <w:vAlign w:val="center"/>
          </w:tcPr>
          <w:p w14:paraId="20AFAD8E">
            <w:pPr>
              <w:snapToGrid w:val="0"/>
              <w:spacing w:after="48" w:afterLines="20" w:line="400" w:lineRule="exact"/>
              <w:jc w:val="center"/>
              <w:rPr>
                <w:rFonts w:ascii="宋体" w:hAnsi="宋体"/>
                <w:color w:val="auto"/>
                <w:kern w:val="0"/>
                <w:szCs w:val="21"/>
                <w:highlight w:val="none"/>
              </w:rPr>
            </w:pPr>
            <w:r>
              <w:rPr>
                <w:rFonts w:hint="eastAsia" w:ascii="宋体" w:hAnsi="宋体"/>
                <w:color w:val="auto"/>
                <w:kern w:val="0"/>
                <w:szCs w:val="21"/>
                <w:highlight w:val="none"/>
              </w:rPr>
              <w:t>技术成果经济补偿</w:t>
            </w:r>
          </w:p>
        </w:tc>
        <w:tc>
          <w:tcPr>
            <w:tcW w:w="6490" w:type="dxa"/>
            <w:vAlign w:val="center"/>
          </w:tcPr>
          <w:p w14:paraId="06FFF3F8">
            <w:pPr>
              <w:snapToGrid w:val="0"/>
              <w:spacing w:line="400" w:lineRule="exact"/>
              <w:ind w:firstLine="420" w:firstLineChars="200"/>
              <w:rPr>
                <w:color w:val="auto"/>
                <w:highlight w:val="none"/>
              </w:rPr>
            </w:pPr>
            <w:r>
              <w:rPr>
                <w:rFonts w:hint="eastAsia"/>
                <w:color w:val="auto"/>
                <w:highlight w:val="none"/>
              </w:rPr>
              <w:t>不补偿</w:t>
            </w:r>
          </w:p>
        </w:tc>
      </w:tr>
      <w:tr w14:paraId="07EA4F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F0672E8">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7.7.1</w:t>
            </w:r>
          </w:p>
        </w:tc>
        <w:tc>
          <w:tcPr>
            <w:tcW w:w="1644" w:type="dxa"/>
            <w:vAlign w:val="center"/>
          </w:tcPr>
          <w:p w14:paraId="74761D96">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履约保证金</w:t>
            </w:r>
          </w:p>
        </w:tc>
        <w:tc>
          <w:tcPr>
            <w:tcW w:w="6490" w:type="dxa"/>
            <w:vAlign w:val="center"/>
          </w:tcPr>
          <w:p w14:paraId="5BF1DDB7">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中标人是否提供履约担保：</w:t>
            </w:r>
            <w:r>
              <w:rPr>
                <w:rFonts w:hint="eastAsia" w:ascii="宋体" w:hAnsi="宋体"/>
                <w:color w:val="auto"/>
                <w:kern w:val="0"/>
                <w:szCs w:val="21"/>
                <w:highlight w:val="none"/>
                <w:lang w:val="en-US" w:eastAsia="zh-CN"/>
              </w:rPr>
              <w:t>不</w:t>
            </w:r>
            <w:r>
              <w:rPr>
                <w:rFonts w:hint="eastAsia" w:ascii="宋体" w:hAnsi="宋体"/>
                <w:color w:val="auto"/>
                <w:kern w:val="0"/>
                <w:szCs w:val="21"/>
                <w:highlight w:val="none"/>
              </w:rPr>
              <w:t>提供。</w:t>
            </w:r>
          </w:p>
        </w:tc>
      </w:tr>
      <w:tr w14:paraId="45D5AC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6EC844">
            <w:pPr>
              <w:snapToGrid w:val="0"/>
              <w:spacing w:line="400" w:lineRule="exact"/>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7.</w:t>
            </w:r>
            <w:r>
              <w:rPr>
                <w:rFonts w:ascii="宋体" w:hAnsi="宋体"/>
                <w:color w:val="auto"/>
                <w:kern w:val="0"/>
                <w:szCs w:val="21"/>
                <w:highlight w:val="none"/>
              </w:rPr>
              <w:t>8</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4</w:t>
            </w:r>
          </w:p>
        </w:tc>
        <w:tc>
          <w:tcPr>
            <w:tcW w:w="1644" w:type="dxa"/>
            <w:vAlign w:val="center"/>
          </w:tcPr>
          <w:p w14:paraId="746BF039">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签订合同</w:t>
            </w:r>
          </w:p>
        </w:tc>
        <w:tc>
          <w:tcPr>
            <w:tcW w:w="6490" w:type="dxa"/>
            <w:vAlign w:val="center"/>
          </w:tcPr>
          <w:p w14:paraId="6AC95DA7">
            <w:pPr>
              <w:pStyle w:val="13"/>
              <w:ind w:left="0" w:leftChars="0" w:firstLine="420" w:firstLineChars="200"/>
              <w:rPr>
                <w:rFonts w:hint="default" w:eastAsia="宋体"/>
                <w:color w:val="auto"/>
                <w:highlight w:val="none"/>
                <w:lang w:val="en-US" w:eastAsia="zh-CN"/>
              </w:rPr>
            </w:pPr>
            <w:r>
              <w:rPr>
                <w:rFonts w:hint="eastAsia" w:ascii="宋体" w:hAnsi="宋体" w:eastAsia="宋体" w:cs="Times New Roman"/>
                <w:color w:val="auto"/>
                <w:kern w:val="0"/>
                <w:sz w:val="21"/>
                <w:szCs w:val="21"/>
                <w:highlight w:val="none"/>
                <w:lang w:val="en-US" w:eastAsia="zh-CN" w:bidi="ar-SA"/>
              </w:rPr>
              <w:t>本次招标公示期结束后，由各项目物资使用单位与各中标候选人签订</w:t>
            </w:r>
            <w:r>
              <w:rPr>
                <w:rFonts w:hint="eastAsia" w:ascii="宋体" w:hAnsi="宋体" w:cs="Times New Roman"/>
                <w:color w:val="auto"/>
                <w:kern w:val="0"/>
                <w:sz w:val="21"/>
                <w:szCs w:val="21"/>
                <w:highlight w:val="none"/>
                <w:lang w:val="en-US" w:eastAsia="zh-CN" w:bidi="ar-SA"/>
              </w:rPr>
              <w:t>钢材</w:t>
            </w:r>
            <w:r>
              <w:rPr>
                <w:rFonts w:hint="eastAsia" w:ascii="宋体" w:hAnsi="宋体" w:eastAsia="宋体" w:cs="Times New Roman"/>
                <w:color w:val="auto"/>
                <w:kern w:val="0"/>
                <w:sz w:val="21"/>
                <w:szCs w:val="21"/>
                <w:highlight w:val="none"/>
                <w:lang w:val="en-US" w:eastAsia="zh-CN" w:bidi="ar-SA"/>
              </w:rPr>
              <w:t>采购合同</w:t>
            </w:r>
          </w:p>
        </w:tc>
      </w:tr>
      <w:tr w14:paraId="61B2E3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7E5DCEB">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8.1</w:t>
            </w:r>
          </w:p>
        </w:tc>
        <w:tc>
          <w:tcPr>
            <w:tcW w:w="1644" w:type="dxa"/>
            <w:vAlign w:val="center"/>
          </w:tcPr>
          <w:p w14:paraId="0939BE1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重新招标</w:t>
            </w:r>
            <w:r>
              <w:rPr>
                <w:rFonts w:hint="eastAsia" w:ascii="宋体" w:hAnsi="宋体"/>
                <w:color w:val="auto"/>
                <w:kern w:val="0"/>
                <w:szCs w:val="21"/>
                <w:highlight w:val="none"/>
              </w:rPr>
              <w:t>的情形</w:t>
            </w:r>
          </w:p>
        </w:tc>
        <w:tc>
          <w:tcPr>
            <w:tcW w:w="6490" w:type="dxa"/>
            <w:vAlign w:val="center"/>
          </w:tcPr>
          <w:p w14:paraId="708E9F65">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1.按投标人须知第8.1（1）执行；</w:t>
            </w:r>
          </w:p>
          <w:p w14:paraId="2A59084A">
            <w:pPr>
              <w:snapToGrid w:val="0"/>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2.按投标人须知第8.1（2）执行；</w:t>
            </w:r>
          </w:p>
          <w:p w14:paraId="49A44208">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14:paraId="61018200">
            <w:pPr>
              <w:snapToGrid w:val="0"/>
              <w:spacing w:line="400" w:lineRule="exact"/>
              <w:ind w:firstLine="420" w:firstLineChars="200"/>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r>
              <w:rPr>
                <w:rFonts w:hint="eastAsia" w:ascii="宋体" w:hAnsi="宋体"/>
                <w:color w:val="auto"/>
                <w:kern w:val="0"/>
                <w:szCs w:val="21"/>
                <w:highlight w:val="none"/>
              </w:rPr>
              <w:t>；</w:t>
            </w:r>
          </w:p>
          <w:p w14:paraId="6D02B280">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注：本款只适用于首次招标。</w:t>
            </w:r>
          </w:p>
        </w:tc>
      </w:tr>
      <w:tr w14:paraId="588DCF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6A06F50">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8.2</w:t>
            </w:r>
          </w:p>
        </w:tc>
        <w:tc>
          <w:tcPr>
            <w:tcW w:w="1644" w:type="dxa"/>
            <w:vAlign w:val="center"/>
          </w:tcPr>
          <w:p w14:paraId="504E9A8C">
            <w:pPr>
              <w:snapToGrid w:val="0"/>
              <w:spacing w:line="400" w:lineRule="exact"/>
              <w:jc w:val="center"/>
              <w:rPr>
                <w:color w:val="auto"/>
                <w:highlight w:val="none"/>
              </w:rPr>
            </w:pPr>
            <w:bookmarkStart w:id="99" w:name="_Toc509218709"/>
            <w:bookmarkStart w:id="100" w:name="_Toc536628250"/>
            <w:bookmarkStart w:id="101" w:name="_Toc430530434"/>
            <w:bookmarkStart w:id="102" w:name="_Toc16930431"/>
            <w:bookmarkStart w:id="103" w:name="_Toc13210670"/>
            <w:r>
              <w:rPr>
                <w:rFonts w:hint="eastAsia" w:ascii="宋体" w:hAnsi="宋体"/>
                <w:color w:val="auto"/>
                <w:kern w:val="0"/>
                <w:szCs w:val="21"/>
                <w:highlight w:val="none"/>
              </w:rPr>
              <w:t>重新</w:t>
            </w:r>
            <w:r>
              <w:rPr>
                <w:rFonts w:ascii="宋体" w:hAnsi="宋体"/>
                <w:color w:val="auto"/>
                <w:kern w:val="0"/>
                <w:szCs w:val="21"/>
                <w:highlight w:val="none"/>
              </w:rPr>
              <w:t>招标和不再招标</w:t>
            </w:r>
            <w:bookmarkEnd w:id="99"/>
            <w:bookmarkEnd w:id="100"/>
            <w:bookmarkEnd w:id="101"/>
            <w:bookmarkEnd w:id="102"/>
            <w:bookmarkEnd w:id="103"/>
          </w:p>
        </w:tc>
        <w:tc>
          <w:tcPr>
            <w:tcW w:w="6490" w:type="dxa"/>
            <w:vAlign w:val="center"/>
          </w:tcPr>
          <w:p w14:paraId="5D867036">
            <w:pPr>
              <w:autoSpaceDE w:val="0"/>
              <w:autoSpaceDN w:val="0"/>
              <w:adjustRightInd w:val="0"/>
              <w:snapToGrid w:val="0"/>
              <w:spacing w:after="48" w:afterLines="20"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tc>
      </w:tr>
      <w:tr w14:paraId="6E8D8E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D804581">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w:t>
            </w:r>
          </w:p>
        </w:tc>
        <w:tc>
          <w:tcPr>
            <w:tcW w:w="8134" w:type="dxa"/>
            <w:gridSpan w:val="2"/>
            <w:vAlign w:val="center"/>
          </w:tcPr>
          <w:p w14:paraId="1891B9DC">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需要补充的其他内容</w:t>
            </w:r>
          </w:p>
        </w:tc>
      </w:tr>
      <w:tr w14:paraId="234F27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DE3124">
            <w:pPr>
              <w:snapToGrid w:val="0"/>
              <w:spacing w:line="400" w:lineRule="exact"/>
              <w:jc w:val="center"/>
              <w:rPr>
                <w:rFonts w:ascii="宋体" w:hAnsi="宋体"/>
                <w:color w:val="auto"/>
                <w:kern w:val="0"/>
                <w:szCs w:val="21"/>
                <w:highlight w:val="none"/>
              </w:rPr>
            </w:pPr>
            <w:r>
              <w:rPr>
                <w:rFonts w:ascii="宋体" w:hAnsi="宋体"/>
                <w:color w:val="auto"/>
                <w:kern w:val="0"/>
                <w:szCs w:val="21"/>
                <w:highlight w:val="none"/>
              </w:rPr>
              <w:t>10.1</w:t>
            </w:r>
          </w:p>
        </w:tc>
        <w:tc>
          <w:tcPr>
            <w:tcW w:w="1644" w:type="dxa"/>
            <w:vAlign w:val="center"/>
          </w:tcPr>
          <w:p w14:paraId="71963B1D">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异议、</w:t>
            </w:r>
            <w:r>
              <w:rPr>
                <w:rFonts w:ascii="宋体" w:hAnsi="宋体"/>
                <w:color w:val="auto"/>
                <w:kern w:val="0"/>
                <w:szCs w:val="21"/>
                <w:highlight w:val="none"/>
              </w:rPr>
              <w:t>投诉处理</w:t>
            </w:r>
          </w:p>
        </w:tc>
        <w:tc>
          <w:tcPr>
            <w:tcW w:w="6490" w:type="dxa"/>
            <w:vAlign w:val="center"/>
          </w:tcPr>
          <w:p w14:paraId="37A23252">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投标人或者其他利害关系人就本项目的招标文件</w:t>
            </w:r>
            <w:r>
              <w:rPr>
                <w:rFonts w:hint="eastAsia" w:ascii="宋体" w:hAnsi="宋体"/>
                <w:color w:val="auto"/>
                <w:kern w:val="0"/>
                <w:szCs w:val="21"/>
                <w:highlight w:val="none"/>
              </w:rPr>
              <w:t>（含澄清修改）、开标情况、</w:t>
            </w:r>
            <w:r>
              <w:rPr>
                <w:rFonts w:ascii="宋体" w:hAnsi="宋体"/>
                <w:color w:val="auto"/>
                <w:kern w:val="0"/>
                <w:szCs w:val="21"/>
                <w:highlight w:val="none"/>
              </w:rPr>
              <w:t>评标结果等事项提出投诉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的答复不满意，可向监督部门投诉。</w:t>
            </w:r>
          </w:p>
          <w:p w14:paraId="5E9128AE">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提出异议或投诉时应当包括下列内容：</w:t>
            </w:r>
          </w:p>
          <w:p w14:paraId="234A56EB">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（1）异议人或投诉人的名称、地址及有效联系方式；</w:t>
            </w:r>
          </w:p>
          <w:p w14:paraId="3D9B45E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（2）被异议人或被投诉人的名称、地址及有效联系方式；</w:t>
            </w:r>
          </w:p>
          <w:p w14:paraId="71352387">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（3）异议或投诉事项的基本事实；</w:t>
            </w:r>
          </w:p>
          <w:p w14:paraId="11EFD02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（4）请求及主张；</w:t>
            </w:r>
          </w:p>
          <w:p w14:paraId="1F55A72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（5）涉及事项的证据、证明材料。</w:t>
            </w:r>
          </w:p>
          <w:p w14:paraId="1CBF8AD3">
            <w:pPr>
              <w:widowControl/>
              <w:spacing w:line="400" w:lineRule="exact"/>
              <w:ind w:firstLine="420" w:firstLineChars="200"/>
              <w:rPr>
                <w:rFonts w:ascii="宋体" w:hAnsi="宋体"/>
                <w:color w:val="auto"/>
                <w:kern w:val="0"/>
                <w:szCs w:val="21"/>
                <w:highlight w:val="none"/>
              </w:rPr>
            </w:pPr>
            <w:r>
              <w:rPr>
                <w:rFonts w:hint="eastAsia" w:ascii="宋体" w:hAnsi="宋体" w:cs="宋体"/>
                <w:color w:val="auto"/>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42D13C35">
            <w:pPr>
              <w:widowControl/>
              <w:spacing w:line="400" w:lineRule="exact"/>
              <w:ind w:firstLine="420" w:firstLineChars="200"/>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监督部门依照《</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w:t>
            </w:r>
            <w:r>
              <w:rPr>
                <w:rFonts w:hint="eastAsia" w:ascii="宋体" w:hAnsi="宋体"/>
                <w:color w:val="auto"/>
                <w:kern w:val="0"/>
                <w:szCs w:val="21"/>
                <w:highlight w:val="none"/>
              </w:rPr>
              <w:t>中华人民共和国</w:t>
            </w:r>
            <w:r>
              <w:rPr>
                <w:rFonts w:ascii="宋体" w:hAnsi="宋体"/>
                <w:color w:val="auto"/>
                <w:kern w:val="0"/>
                <w:szCs w:val="21"/>
                <w:highlight w:val="none"/>
              </w:rPr>
              <w:t>招标投标法实施条例》、《重庆市招标投标条例》、《工程建设项目招标投标活动投诉处理办法》（七部委令第11号（根据九部门2013年第23号令修正））、</w:t>
            </w:r>
            <w:r>
              <w:rPr>
                <w:rFonts w:hint="eastAsia" w:ascii="宋体" w:hAnsi="宋体"/>
                <w:color w:val="auto"/>
                <w:kern w:val="0"/>
                <w:szCs w:val="21"/>
                <w:highlight w:val="none"/>
              </w:rPr>
              <w:t>《关于印发&lt;重庆市招标投标活动投诉处理实施细则（修订）&gt;的通知》（渝公管发〔2021〕54号）</w:t>
            </w:r>
            <w:r>
              <w:rPr>
                <w:rFonts w:ascii="宋体" w:hAnsi="宋体"/>
                <w:color w:val="auto"/>
                <w:kern w:val="0"/>
                <w:szCs w:val="21"/>
                <w:highlight w:val="none"/>
              </w:rPr>
              <w:t>等法律法规文件处理投诉。</w:t>
            </w:r>
          </w:p>
          <w:p w14:paraId="73F33EB5">
            <w:pPr>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p w14:paraId="516CB2F4">
            <w:pPr>
              <w:widowControl/>
              <w:spacing w:line="400" w:lineRule="exact"/>
              <w:ind w:firstLine="420" w:firstLineChars="200"/>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4</w:t>
            </w:r>
            <w:r>
              <w:rPr>
                <w:rFonts w:ascii="宋体" w:hAnsi="宋体"/>
                <w:color w:val="auto"/>
                <w:kern w:val="0"/>
                <w:szCs w:val="21"/>
                <w:highlight w:val="none"/>
              </w:rPr>
              <w:t xml:space="preserve">. </w:t>
            </w:r>
            <w:r>
              <w:rPr>
                <w:rFonts w:hint="eastAsia" w:ascii="宋体" w:hAnsi="宋体"/>
                <w:color w:val="auto"/>
                <w:kern w:val="0"/>
                <w:szCs w:val="21"/>
                <w:highlight w:val="none"/>
              </w:rPr>
              <w:t>异议受理单位：</w:t>
            </w:r>
            <w:r>
              <w:rPr>
                <w:rFonts w:hint="eastAsia" w:ascii="宋体" w:hAnsi="宋体"/>
                <w:color w:val="auto"/>
                <w:kern w:val="0"/>
                <w:szCs w:val="21"/>
                <w:highlight w:val="none"/>
                <w:lang w:eastAsia="zh-CN"/>
              </w:rPr>
              <w:t>重庆高速资产经营管理有限公司</w:t>
            </w:r>
          </w:p>
          <w:p w14:paraId="5D325C1D">
            <w:pPr>
              <w:widowControl/>
              <w:spacing w:line="400" w:lineRule="exact"/>
              <w:ind w:firstLine="420" w:firstLineChars="200"/>
              <w:rPr>
                <w:rFonts w:hint="default" w:ascii="宋体" w:hAnsi="宋体"/>
                <w:color w:val="auto"/>
                <w:kern w:val="0"/>
                <w:szCs w:val="21"/>
                <w:highlight w:val="none"/>
                <w:u w:val="singl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023-89138382</w:t>
            </w:r>
          </w:p>
          <w:p w14:paraId="707C9A32">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投诉受理部门：</w:t>
            </w:r>
            <w:r>
              <w:rPr>
                <w:rFonts w:hint="eastAsia" w:ascii="宋体" w:hAnsi="宋体"/>
                <w:color w:val="auto"/>
                <w:kern w:val="0"/>
                <w:szCs w:val="21"/>
                <w:highlight w:val="none"/>
                <w:lang w:eastAsia="zh-CN"/>
              </w:rPr>
              <w:t>重庆高速资产经营管理有限公司</w:t>
            </w:r>
          </w:p>
          <w:p w14:paraId="5C214E7D">
            <w:pPr>
              <w:snapToGrid w:val="0"/>
              <w:spacing w:line="400" w:lineRule="exact"/>
              <w:ind w:firstLine="420" w:firstLineChars="200"/>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rPr>
              <w:t>联系电话：</w:t>
            </w:r>
            <w:r>
              <w:rPr>
                <w:rFonts w:hint="eastAsia" w:ascii="宋体" w:hAnsi="宋体"/>
                <w:color w:val="auto"/>
                <w:kern w:val="0"/>
                <w:szCs w:val="21"/>
                <w:highlight w:val="none"/>
                <w:u w:val="single"/>
                <w:lang w:val="en-US" w:eastAsia="zh-CN"/>
              </w:rPr>
              <w:t xml:space="preserve"> 023-89138397   </w:t>
            </w:r>
          </w:p>
        </w:tc>
      </w:tr>
      <w:tr w14:paraId="43221E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A57873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2</w:t>
            </w:r>
          </w:p>
        </w:tc>
        <w:tc>
          <w:tcPr>
            <w:tcW w:w="1644" w:type="dxa"/>
            <w:vAlign w:val="center"/>
          </w:tcPr>
          <w:p w14:paraId="03281CE5">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关于对招标文件及投标争议的解释</w:t>
            </w:r>
          </w:p>
        </w:tc>
        <w:tc>
          <w:tcPr>
            <w:tcW w:w="6490" w:type="dxa"/>
            <w:vAlign w:val="center"/>
          </w:tcPr>
          <w:p w14:paraId="5019219A">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对资格预审文件或者招标文件的评标标准和方法，以及资格审查和否决投标条款理解有争议的，应当作出不利于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14:paraId="71AFA0D5">
            <w:pPr>
              <w:autoSpaceDE w:val="0"/>
              <w:autoSpaceDN w:val="0"/>
              <w:adjustRightInd w:val="0"/>
              <w:snapToGrid w:val="0"/>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14:paraId="574BC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150699F">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s="宋体"/>
                <w:color w:val="auto"/>
                <w:kern w:val="0"/>
                <w:szCs w:val="21"/>
                <w:highlight w:val="none"/>
              </w:rPr>
              <w:t>10.</w:t>
            </w:r>
            <w:r>
              <w:rPr>
                <w:rFonts w:hint="eastAsia" w:ascii="宋体" w:hAnsi="宋体" w:cs="宋体"/>
                <w:color w:val="auto"/>
                <w:kern w:val="0"/>
                <w:szCs w:val="21"/>
                <w:highlight w:val="none"/>
                <w:lang w:val="en-US" w:eastAsia="zh-CN"/>
              </w:rPr>
              <w:t>3</w:t>
            </w:r>
          </w:p>
        </w:tc>
        <w:tc>
          <w:tcPr>
            <w:tcW w:w="1644" w:type="dxa"/>
            <w:vAlign w:val="center"/>
          </w:tcPr>
          <w:p w14:paraId="0047758C">
            <w:pPr>
              <w:snapToGrid w:val="0"/>
              <w:spacing w:line="40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低价风险担保</w:t>
            </w:r>
          </w:p>
          <w:p w14:paraId="7E35FBB6">
            <w:pPr>
              <w:snapToGrid w:val="0"/>
              <w:spacing w:line="400" w:lineRule="exact"/>
              <w:jc w:val="center"/>
              <w:rPr>
                <w:rFonts w:hint="eastAsia" w:ascii="宋体" w:hAnsi="宋体"/>
                <w:color w:val="auto"/>
                <w:kern w:val="0"/>
                <w:szCs w:val="21"/>
                <w:highlight w:val="none"/>
              </w:rPr>
            </w:pPr>
            <w:r>
              <w:rPr>
                <w:rFonts w:hint="eastAsia" w:ascii="宋体" w:hAnsi="宋体" w:cs="宋体"/>
                <w:color w:val="auto"/>
                <w:kern w:val="0"/>
                <w:szCs w:val="21"/>
                <w:highlight w:val="none"/>
              </w:rPr>
              <w:t>（采用经评审的最低投标价法适用）</w:t>
            </w:r>
          </w:p>
        </w:tc>
        <w:tc>
          <w:tcPr>
            <w:tcW w:w="6490" w:type="dxa"/>
            <w:vAlign w:val="center"/>
          </w:tcPr>
          <w:p w14:paraId="74AFEBC9">
            <w:pPr>
              <w:widowControl/>
              <w:spacing w:line="400" w:lineRule="exact"/>
              <w:ind w:firstLine="420" w:firstLineChars="200"/>
              <w:rPr>
                <w:rFonts w:hint="eastAsia"/>
                <w:color w:val="auto"/>
                <w:highlight w:val="none"/>
              </w:rPr>
            </w:pPr>
            <w:r>
              <w:rPr>
                <w:rFonts w:hint="eastAsia"/>
                <w:color w:val="auto"/>
                <w:highlight w:val="none"/>
              </w:rPr>
              <w:t>1、低价风险担保：中标价低于最高限价的85%时提供，如不按时足额提供，视为中标人放弃中标，</w:t>
            </w:r>
            <w:r>
              <w:rPr>
                <w:rFonts w:hint="eastAsia"/>
                <w:color w:val="auto"/>
                <w:highlight w:val="none"/>
                <w:lang w:eastAsia="zh-CN"/>
              </w:rPr>
              <w:t>比选人</w:t>
            </w:r>
            <w:r>
              <w:rPr>
                <w:rFonts w:hint="eastAsia"/>
                <w:color w:val="auto"/>
                <w:highlight w:val="none"/>
              </w:rPr>
              <w:t>有权不退还其投标保证金。</w:t>
            </w:r>
          </w:p>
          <w:p w14:paraId="5B8D4AC6">
            <w:pPr>
              <w:widowControl/>
              <w:spacing w:line="400" w:lineRule="exact"/>
              <w:ind w:firstLine="420" w:firstLineChars="200"/>
              <w:rPr>
                <w:rFonts w:hint="eastAsia"/>
                <w:color w:val="auto"/>
                <w:highlight w:val="none"/>
              </w:rPr>
            </w:pPr>
            <w:r>
              <w:rPr>
                <w:rFonts w:hint="eastAsia"/>
                <w:color w:val="auto"/>
                <w:highlight w:val="none"/>
              </w:rPr>
              <w:t>2、中标人提供低价风险担保的形式、金额及期限：</w:t>
            </w:r>
          </w:p>
          <w:p w14:paraId="74141537">
            <w:pPr>
              <w:widowControl/>
              <w:spacing w:line="400" w:lineRule="exact"/>
              <w:ind w:firstLine="420" w:firstLineChars="200"/>
              <w:rPr>
                <w:rFonts w:hint="eastAsia"/>
                <w:color w:val="auto"/>
                <w:highlight w:val="none"/>
                <w:u w:val="single"/>
              </w:rPr>
            </w:pPr>
            <w:r>
              <w:rPr>
                <w:rFonts w:hint="eastAsia"/>
                <w:color w:val="auto"/>
                <w:highlight w:val="none"/>
              </w:rPr>
              <w:t>（1）低价风险担保的形式：</w:t>
            </w:r>
            <w:r>
              <w:rPr>
                <w:rFonts w:hint="eastAsia"/>
                <w:color w:val="auto"/>
                <w:highlight w:val="none"/>
                <w:u w:val="none"/>
              </w:rPr>
              <w:t>现金或银行保函或现金+银行保函的组合；采用银行保函形式的，保函必须为不可撤销</w:t>
            </w:r>
            <w:r>
              <w:rPr>
                <w:rFonts w:hint="eastAsia"/>
                <w:color w:val="auto"/>
                <w:highlight w:val="none"/>
                <w:u w:val="none"/>
                <w:lang w:eastAsia="zh-CN"/>
              </w:rPr>
              <w:t>、</w:t>
            </w:r>
            <w:r>
              <w:rPr>
                <w:rFonts w:hint="eastAsia"/>
                <w:color w:val="auto"/>
                <w:highlight w:val="none"/>
                <w:u w:val="none"/>
                <w:lang w:val="en-US" w:eastAsia="zh-CN"/>
              </w:rPr>
              <w:t>不可转让</w:t>
            </w:r>
            <w:r>
              <w:rPr>
                <w:rFonts w:hint="eastAsia"/>
                <w:color w:val="auto"/>
                <w:highlight w:val="none"/>
                <w:u w:val="none"/>
              </w:rPr>
              <w:t>且见索即付</w:t>
            </w:r>
            <w:r>
              <w:rPr>
                <w:rFonts w:hint="eastAsia"/>
                <w:color w:val="auto"/>
                <w:highlight w:val="none"/>
                <w:u w:val="none"/>
                <w:lang w:val="en-US" w:eastAsia="zh-CN"/>
              </w:rPr>
              <w:t>的独立保函，保函格式详见第四章合同条款及格式附件，中标人出具保函时，</w:t>
            </w:r>
            <w:r>
              <w:rPr>
                <w:rFonts w:hint="eastAsia" w:ascii="宋体" w:hAnsi="宋体"/>
                <w:color w:val="auto"/>
                <w:szCs w:val="21"/>
                <w:highlight w:val="none"/>
              </w:rPr>
              <w:t>不得修改“低价风险担保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函”名称，</w:t>
            </w:r>
            <w:r>
              <w:rPr>
                <w:rFonts w:hint="eastAsia" w:ascii="宋体" w:hAnsi="宋体"/>
                <w:color w:val="auto"/>
                <w:szCs w:val="21"/>
                <w:highlight w:val="none"/>
                <w:lang w:val="en-US" w:eastAsia="zh-CN"/>
              </w:rPr>
              <w:t>也</w:t>
            </w:r>
            <w:r>
              <w:rPr>
                <w:rFonts w:hint="eastAsia" w:ascii="宋体" w:hAnsi="宋体"/>
                <w:color w:val="auto"/>
                <w:szCs w:val="21"/>
                <w:highlight w:val="none"/>
              </w:rPr>
              <w:t>不得对低价风险担保</w:t>
            </w:r>
            <w:r>
              <w:rPr>
                <w:rFonts w:hint="eastAsia" w:ascii="宋体" w:hAnsi="宋体"/>
                <w:color w:val="auto"/>
                <w:szCs w:val="21"/>
                <w:highlight w:val="none"/>
                <w:lang w:val="en-US" w:eastAsia="zh-CN"/>
              </w:rPr>
              <w:t>保</w:t>
            </w:r>
            <w:r>
              <w:rPr>
                <w:rFonts w:hint="eastAsia" w:ascii="宋体" w:hAnsi="宋体"/>
                <w:color w:val="auto"/>
                <w:szCs w:val="21"/>
                <w:highlight w:val="none"/>
              </w:rPr>
              <w:t>函</w:t>
            </w:r>
            <w:r>
              <w:rPr>
                <w:rFonts w:hint="eastAsia" w:ascii="宋体" w:hAnsi="宋体"/>
                <w:color w:val="auto"/>
                <w:szCs w:val="21"/>
                <w:highlight w:val="none"/>
                <w:lang w:val="en-US" w:eastAsia="zh-CN"/>
              </w:rPr>
              <w:t>示范文本中付款</w:t>
            </w:r>
            <w:r>
              <w:rPr>
                <w:rFonts w:hint="eastAsia" w:ascii="宋体" w:hAnsi="宋体"/>
                <w:color w:val="auto"/>
                <w:szCs w:val="21"/>
                <w:highlight w:val="none"/>
              </w:rPr>
              <w:t>条件等实质性内容进行修改</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否则视为不符合招标文件规定</w:t>
            </w:r>
            <w:r>
              <w:rPr>
                <w:rFonts w:hint="eastAsia"/>
                <w:color w:val="auto"/>
                <w:highlight w:val="none"/>
                <w:u w:val="none"/>
              </w:rPr>
              <w:t>。</w:t>
            </w:r>
          </w:p>
          <w:p w14:paraId="07DC5FB2">
            <w:pPr>
              <w:widowControl/>
              <w:spacing w:line="400" w:lineRule="exact"/>
              <w:ind w:firstLine="420" w:firstLineChars="200"/>
              <w:rPr>
                <w:rFonts w:hint="eastAsia"/>
                <w:color w:val="auto"/>
                <w:highlight w:val="none"/>
              </w:rPr>
            </w:pPr>
            <w:r>
              <w:rPr>
                <w:rFonts w:hint="eastAsia"/>
                <w:color w:val="auto"/>
                <w:highlight w:val="none"/>
              </w:rPr>
              <w:t>（2）低价风险担保的金额：（最高限价×85%-中标价）×</w:t>
            </w:r>
            <w:r>
              <w:rPr>
                <w:rFonts w:hint="eastAsia"/>
                <w:color w:val="auto"/>
                <w:highlight w:val="none"/>
              </w:rPr>
              <w:sym w:font="Wingdings 2" w:char="0052"/>
            </w:r>
            <w:r>
              <w:rPr>
                <w:rFonts w:hint="eastAsia"/>
                <w:color w:val="auto"/>
                <w:highlight w:val="none"/>
              </w:rPr>
              <w:t>3，</w:t>
            </w:r>
            <w:r>
              <w:rPr>
                <w:color w:val="auto"/>
                <w:highlight w:val="none"/>
              </w:rPr>
              <w:t>且最高不超过最高限价的85%</w:t>
            </w:r>
            <w:r>
              <w:rPr>
                <w:rFonts w:hint="eastAsia"/>
                <w:color w:val="auto"/>
                <w:highlight w:val="none"/>
                <w:lang w:eastAsia="zh-CN"/>
              </w:rPr>
              <w:t>。</w:t>
            </w:r>
          </w:p>
          <w:p w14:paraId="75134559">
            <w:pPr>
              <w:widowControl/>
              <w:spacing w:line="400" w:lineRule="exact"/>
              <w:ind w:firstLine="420" w:firstLineChars="200"/>
              <w:rPr>
                <w:rFonts w:hint="eastAsia"/>
                <w:color w:val="auto"/>
                <w:highlight w:val="none"/>
              </w:rPr>
            </w:pPr>
            <w:r>
              <w:rPr>
                <w:rFonts w:hint="eastAsia"/>
                <w:color w:val="auto"/>
                <w:highlight w:val="none"/>
              </w:rPr>
              <w:t>（3）低价风险担保送达</w:t>
            </w:r>
            <w:r>
              <w:rPr>
                <w:rFonts w:hint="eastAsia"/>
                <w:color w:val="auto"/>
                <w:highlight w:val="none"/>
                <w:lang w:eastAsia="zh-CN"/>
              </w:rPr>
              <w:t>比选人</w:t>
            </w:r>
            <w:r>
              <w:rPr>
                <w:rFonts w:hint="eastAsia"/>
                <w:color w:val="auto"/>
                <w:highlight w:val="none"/>
              </w:rPr>
              <w:t>的时间：从</w:t>
            </w:r>
            <w:r>
              <w:rPr>
                <w:rFonts w:hint="eastAsia"/>
                <w:color w:val="auto"/>
                <w:highlight w:val="none"/>
                <w:lang w:eastAsia="zh-CN"/>
              </w:rPr>
              <w:t>比选人</w:t>
            </w:r>
            <w:r>
              <w:rPr>
                <w:rFonts w:hint="eastAsia"/>
                <w:color w:val="auto"/>
                <w:szCs w:val="21"/>
                <w:highlight w:val="none"/>
              </w:rPr>
              <w:t>中标通知书</w:t>
            </w:r>
            <w:r>
              <w:rPr>
                <w:rFonts w:hint="eastAsia"/>
                <w:color w:val="auto"/>
                <w:highlight w:val="none"/>
              </w:rPr>
              <w:t>送达拟中标人之日起</w:t>
            </w:r>
            <w:r>
              <w:rPr>
                <w:rFonts w:hint="eastAsia"/>
                <w:color w:val="auto"/>
                <w:highlight w:val="none"/>
                <w:u w:val="single"/>
              </w:rPr>
              <w:t xml:space="preserve">  </w:t>
            </w:r>
            <w:r>
              <w:rPr>
                <w:rFonts w:hint="eastAsia"/>
                <w:color w:val="auto"/>
                <w:highlight w:val="none"/>
                <w:u w:val="single"/>
                <w:lang w:val="en-US" w:eastAsia="zh-CN"/>
              </w:rPr>
              <w:t>14</w:t>
            </w:r>
            <w:r>
              <w:rPr>
                <w:rFonts w:hint="eastAsia"/>
                <w:color w:val="auto"/>
                <w:highlight w:val="none"/>
                <w:u w:val="single"/>
              </w:rPr>
              <w:t xml:space="preserve">  </w:t>
            </w:r>
            <w:r>
              <w:rPr>
                <w:rFonts w:hint="eastAsia"/>
                <w:color w:val="auto"/>
                <w:highlight w:val="none"/>
              </w:rPr>
              <w:t>工作日内；</w:t>
            </w:r>
          </w:p>
          <w:p w14:paraId="2F16600C">
            <w:pPr>
              <w:widowControl/>
              <w:spacing w:line="400" w:lineRule="exact"/>
              <w:ind w:firstLine="420" w:firstLineChars="200"/>
              <w:rPr>
                <w:rFonts w:hint="eastAsia"/>
                <w:color w:val="auto"/>
                <w:highlight w:val="none"/>
              </w:rPr>
            </w:pPr>
            <w:r>
              <w:rPr>
                <w:rFonts w:hint="eastAsia"/>
                <w:color w:val="auto"/>
                <w:highlight w:val="none"/>
              </w:rPr>
              <w:t>（4）中标人因自身原因未按中标通知书规定的时限与</w:t>
            </w:r>
            <w:r>
              <w:rPr>
                <w:rFonts w:hint="eastAsia"/>
                <w:color w:val="auto"/>
                <w:highlight w:val="none"/>
                <w:lang w:eastAsia="zh-CN"/>
              </w:rPr>
              <w:t>比选人</w:t>
            </w:r>
            <w:r>
              <w:rPr>
                <w:rFonts w:hint="eastAsia"/>
                <w:color w:val="auto"/>
                <w:highlight w:val="none"/>
              </w:rPr>
              <w:t>签订合同的，</w:t>
            </w:r>
            <w:r>
              <w:rPr>
                <w:rFonts w:hint="eastAsia"/>
                <w:color w:val="auto"/>
                <w:highlight w:val="none"/>
                <w:lang w:eastAsia="zh-CN"/>
              </w:rPr>
              <w:t>比选人</w:t>
            </w:r>
            <w:r>
              <w:rPr>
                <w:rFonts w:hint="eastAsia"/>
                <w:color w:val="auto"/>
                <w:highlight w:val="none"/>
              </w:rPr>
              <w:t>有权扣除其低价风险担保并取消中标资格。</w:t>
            </w:r>
          </w:p>
          <w:p w14:paraId="1ABAC51C">
            <w:pPr>
              <w:widowControl/>
              <w:spacing w:line="400" w:lineRule="exact"/>
              <w:ind w:firstLine="420" w:firstLineChars="200"/>
              <w:rPr>
                <w:rFonts w:hint="eastAsia"/>
                <w:color w:val="auto"/>
                <w:highlight w:val="none"/>
              </w:rPr>
            </w:pPr>
            <w:r>
              <w:rPr>
                <w:rFonts w:hint="eastAsia"/>
                <w:color w:val="auto"/>
                <w:highlight w:val="none"/>
              </w:rPr>
              <w:t>（5）低价风险担保的期限：</w:t>
            </w:r>
            <w:r>
              <w:rPr>
                <w:rFonts w:hint="eastAsia"/>
                <w:color w:val="auto"/>
                <w:highlight w:val="none"/>
                <w:u w:val="single"/>
              </w:rPr>
              <w:t>自低价风险担保生效之日起至</w:t>
            </w:r>
            <w:r>
              <w:rPr>
                <w:rFonts w:hint="eastAsia"/>
                <w:color w:val="auto"/>
                <w:highlight w:val="none"/>
                <w:u w:val="single"/>
                <w:lang w:val="en-US" w:eastAsia="zh-CN"/>
              </w:rPr>
              <w:t>项目履行完毕</w:t>
            </w:r>
            <w:r>
              <w:rPr>
                <w:rFonts w:hint="eastAsia"/>
                <w:color w:val="auto"/>
                <w:highlight w:val="none"/>
              </w:rPr>
              <w:t>。</w:t>
            </w:r>
          </w:p>
          <w:p w14:paraId="521485F9">
            <w:pPr>
              <w:widowControl/>
              <w:spacing w:line="400" w:lineRule="exact"/>
              <w:ind w:firstLine="420" w:firstLineChars="200"/>
              <w:rPr>
                <w:rFonts w:hint="eastAsia"/>
                <w:color w:val="auto"/>
                <w:highlight w:val="none"/>
              </w:rPr>
            </w:pPr>
            <w:r>
              <w:rPr>
                <w:rFonts w:hint="eastAsia"/>
                <w:color w:val="auto"/>
                <w:highlight w:val="none"/>
              </w:rPr>
              <w:t>3、低价风险担保的退还时间：</w:t>
            </w:r>
            <w:r>
              <w:rPr>
                <w:rFonts w:hint="eastAsia" w:ascii="宋体" w:cs="宋体"/>
                <w:color w:val="auto"/>
                <w:kern w:val="0"/>
                <w:szCs w:val="21"/>
                <w:highlight w:val="none"/>
                <w:u w:val="single"/>
                <w:lang w:val="en-US" w:eastAsia="zh-CN" w:bidi="ar"/>
              </w:rPr>
              <w:t>项目履约完毕后无息退还</w:t>
            </w:r>
            <w:r>
              <w:rPr>
                <w:rFonts w:hint="eastAsia"/>
                <w:color w:val="auto"/>
                <w:highlight w:val="none"/>
              </w:rPr>
              <w:t>。</w:t>
            </w:r>
          </w:p>
          <w:p w14:paraId="5C654424">
            <w:pPr>
              <w:widowControl/>
              <w:spacing w:line="400" w:lineRule="exact"/>
              <w:ind w:firstLine="420" w:firstLineChars="200"/>
              <w:rPr>
                <w:rFonts w:hint="eastAsia"/>
                <w:color w:val="auto"/>
                <w:highlight w:val="none"/>
              </w:rPr>
            </w:pPr>
            <w:r>
              <w:rPr>
                <w:rFonts w:hint="eastAsia"/>
                <w:color w:val="auto"/>
                <w:highlight w:val="none"/>
              </w:rPr>
              <w:t>4、采用经评审最低投标价法的项目，拟中标人或者中标人放弃中标项目，无正当理由不与</w:t>
            </w:r>
            <w:r>
              <w:rPr>
                <w:rFonts w:hint="eastAsia"/>
                <w:color w:val="auto"/>
                <w:highlight w:val="none"/>
                <w:lang w:eastAsia="zh-CN"/>
              </w:rPr>
              <w:t>比选人</w:t>
            </w:r>
            <w:r>
              <w:rPr>
                <w:rFonts w:hint="eastAsia"/>
                <w:color w:val="auto"/>
                <w:highlight w:val="none"/>
              </w:rPr>
              <w:t>签订合同，在签订合同时向</w:t>
            </w:r>
            <w:r>
              <w:rPr>
                <w:rFonts w:hint="eastAsia"/>
                <w:color w:val="auto"/>
                <w:highlight w:val="none"/>
                <w:lang w:eastAsia="zh-CN"/>
              </w:rPr>
              <w:t>比选人</w:t>
            </w:r>
            <w:r>
              <w:rPr>
                <w:rFonts w:hint="eastAsia"/>
                <w:color w:val="auto"/>
                <w:highlight w:val="none"/>
              </w:rPr>
              <w:t>提出附加条件或者更改合同实质性内容，或者拒不按照招标文件规定提交低价风险担保或履约担保的，取消其中标资格，投标保证金不予退还，给</w:t>
            </w:r>
            <w:r>
              <w:rPr>
                <w:rFonts w:hint="eastAsia"/>
                <w:color w:val="auto"/>
                <w:highlight w:val="none"/>
                <w:lang w:eastAsia="zh-CN"/>
              </w:rPr>
              <w:t>比选人</w:t>
            </w:r>
            <w:r>
              <w:rPr>
                <w:rFonts w:hint="eastAsia"/>
                <w:color w:val="auto"/>
                <w:highlight w:val="none"/>
              </w:rPr>
              <w:t>造成的损失超过投标保证金数额的，拟中标人或中标人应对超过部分予以赔偿。</w:t>
            </w:r>
          </w:p>
          <w:p w14:paraId="4DD305AA">
            <w:pPr>
              <w:widowControl/>
              <w:spacing w:line="400" w:lineRule="exact"/>
              <w:ind w:firstLine="420" w:firstLineChars="200"/>
              <w:rPr>
                <w:rFonts w:hint="eastAsia"/>
                <w:color w:val="auto"/>
                <w:highlight w:val="none"/>
              </w:rPr>
            </w:pPr>
            <w:r>
              <w:rPr>
                <w:rFonts w:hint="eastAsia"/>
                <w:color w:val="auto"/>
                <w:highlight w:val="none"/>
              </w:rPr>
              <w:t>备注：当中标人或拟中标人未按时提交低价风险担保，且属于可以延长低价风险担保提交期限的特殊情形时，经</w:t>
            </w:r>
            <w:r>
              <w:rPr>
                <w:rFonts w:hint="eastAsia"/>
                <w:color w:val="auto"/>
                <w:highlight w:val="none"/>
                <w:lang w:eastAsia="zh-CN"/>
              </w:rPr>
              <w:t>比选人</w:t>
            </w:r>
            <w:r>
              <w:rPr>
                <w:rFonts w:hint="eastAsia"/>
                <w:color w:val="auto"/>
                <w:highlight w:val="none"/>
              </w:rPr>
              <w:t>同意，可适当延长低价风险担保的提交期限。</w:t>
            </w:r>
          </w:p>
          <w:p w14:paraId="4847AB1F">
            <w:pPr>
              <w:widowControl/>
              <w:spacing w:line="400" w:lineRule="exact"/>
              <w:ind w:firstLine="420" w:firstLineChars="200"/>
              <w:rPr>
                <w:rFonts w:hint="eastAsia" w:ascii="宋体" w:hAnsi="宋体" w:eastAsia="宋体" w:cs="Times New Roman"/>
                <w:color w:val="auto"/>
                <w:kern w:val="0"/>
                <w:szCs w:val="21"/>
                <w:highlight w:val="none"/>
                <w:lang w:val="en-US" w:eastAsia="zh-CN"/>
              </w:rPr>
            </w:pPr>
            <w:r>
              <w:rPr>
                <w:rFonts w:hint="eastAsia"/>
                <w:color w:val="auto"/>
                <w:highlight w:val="none"/>
              </w:rPr>
              <w:t>5、投标总报价低于最高限价85%的，投标人应在编制投标文件时，在投标函部分中递交低价风险担保</w:t>
            </w:r>
            <w:r>
              <w:rPr>
                <w:rFonts w:hint="eastAsia"/>
                <w:color w:val="auto"/>
                <w:highlight w:val="none"/>
                <w:lang w:val="en-US" w:eastAsia="zh-CN"/>
              </w:rPr>
              <w:t>提交</w:t>
            </w:r>
            <w:r>
              <w:rPr>
                <w:rFonts w:hint="eastAsia"/>
                <w:color w:val="auto"/>
                <w:highlight w:val="none"/>
              </w:rPr>
              <w:t>承诺书。承诺书格式详见第</w:t>
            </w:r>
            <w:r>
              <w:rPr>
                <w:rFonts w:hint="eastAsia"/>
                <w:color w:val="auto"/>
                <w:highlight w:val="none"/>
                <w:lang w:val="en-US" w:eastAsia="zh-CN"/>
              </w:rPr>
              <w:t>九</w:t>
            </w:r>
            <w:r>
              <w:rPr>
                <w:rFonts w:hint="eastAsia"/>
                <w:color w:val="auto"/>
                <w:highlight w:val="none"/>
              </w:rPr>
              <w:t>章投标文件格式。</w:t>
            </w:r>
          </w:p>
        </w:tc>
      </w:tr>
      <w:tr w14:paraId="372C7F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9D866B9">
            <w:pPr>
              <w:snapToGrid w:val="0"/>
              <w:spacing w:line="400" w:lineRule="exact"/>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644" w:type="dxa"/>
            <w:vAlign w:val="center"/>
          </w:tcPr>
          <w:p w14:paraId="16B6CC88">
            <w:pPr>
              <w:snapToGrid w:val="0"/>
              <w:spacing w:line="400" w:lineRule="exact"/>
              <w:jc w:val="center"/>
              <w:rPr>
                <w:rFonts w:ascii="宋体" w:hAnsi="宋体"/>
                <w:color w:val="auto"/>
                <w:kern w:val="0"/>
                <w:szCs w:val="21"/>
                <w:highlight w:val="none"/>
              </w:rPr>
            </w:pPr>
            <w:r>
              <w:rPr>
                <w:rFonts w:hint="eastAsia" w:ascii="宋体" w:hAnsi="宋体"/>
                <w:color w:val="auto"/>
                <w:kern w:val="0"/>
                <w:szCs w:val="21"/>
                <w:highlight w:val="none"/>
              </w:rPr>
              <w:t>其他</w:t>
            </w:r>
          </w:p>
        </w:tc>
        <w:tc>
          <w:tcPr>
            <w:tcW w:w="6490" w:type="dxa"/>
            <w:vAlign w:val="center"/>
          </w:tcPr>
          <w:p w14:paraId="031AE1F0">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招标代理服务费：由中标人在领取中标通知书前向</w:t>
            </w:r>
            <w:r>
              <w:rPr>
                <w:rFonts w:hint="eastAsia" w:ascii="宋体" w:hAnsi="宋体" w:cs="Times New Roman"/>
                <w:color w:val="auto"/>
                <w:kern w:val="0"/>
                <w:szCs w:val="21"/>
                <w:highlight w:val="none"/>
                <w:lang w:eastAsia="zh-CN"/>
              </w:rPr>
              <w:t>比选代理机构</w:t>
            </w:r>
            <w:r>
              <w:rPr>
                <w:rFonts w:hint="eastAsia" w:ascii="宋体" w:hAnsi="宋体" w:eastAsia="宋体" w:cs="Times New Roman"/>
                <w:color w:val="auto"/>
                <w:kern w:val="0"/>
                <w:szCs w:val="21"/>
                <w:highlight w:val="none"/>
              </w:rPr>
              <w:t>缴纳代理服务费，本次项目招标代理服务费</w:t>
            </w:r>
            <w:r>
              <w:rPr>
                <w:rFonts w:hint="eastAsia" w:ascii="宋体" w:hAnsi="宋体" w:cs="Times New Roman"/>
                <w:color w:val="auto"/>
                <w:kern w:val="0"/>
                <w:szCs w:val="21"/>
                <w:highlight w:val="none"/>
                <w:u w:val="none"/>
                <w:lang w:val="en-US" w:eastAsia="zh-CN"/>
              </w:rPr>
              <w:t>根据比选人及比选代理机构签订的代理合同确定</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招标代理服务费</w:t>
            </w:r>
            <w:r>
              <w:rPr>
                <w:rFonts w:hint="eastAsia" w:ascii="宋体" w:hAnsi="宋体" w:eastAsia="宋体" w:cs="Times New Roman"/>
                <w:color w:val="auto"/>
                <w:kern w:val="0"/>
                <w:szCs w:val="21"/>
                <w:highlight w:val="none"/>
                <w:lang w:val="en-US" w:eastAsia="zh-CN"/>
              </w:rPr>
              <w:t>包含在投标报价中，不单列</w:t>
            </w:r>
            <w:r>
              <w:rPr>
                <w:rFonts w:hint="eastAsia" w:ascii="宋体" w:hAnsi="宋体" w:eastAsia="宋体" w:cs="Times New Roman"/>
                <w:color w:val="auto"/>
                <w:kern w:val="0"/>
                <w:szCs w:val="21"/>
                <w:highlight w:val="none"/>
              </w:rPr>
              <w:t>。</w:t>
            </w:r>
          </w:p>
          <w:p w14:paraId="6963FACB">
            <w:pPr>
              <w:autoSpaceDE w:val="0"/>
              <w:autoSpaceDN w:val="0"/>
              <w:adjustRightInd w:val="0"/>
              <w:snapToGrid w:val="0"/>
              <w:spacing w:line="40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开标一览表为投标文件的组成部分，如开标一览表中的内容与投标文件（除开标一览表外）中的内容不一致时，以开标一览表中的内容为准。请投标人制作电子投标文件开标一览表时自行核对投标文件内容。</w:t>
            </w:r>
          </w:p>
          <w:p w14:paraId="23254C5F">
            <w:pPr>
              <w:autoSpaceDE w:val="0"/>
              <w:autoSpaceDN w:val="0"/>
              <w:adjustRightInd w:val="0"/>
              <w:snapToGrid w:val="0"/>
              <w:spacing w:line="400" w:lineRule="exact"/>
              <w:ind w:firstLine="420" w:firstLineChars="200"/>
              <w:rPr>
                <w:rFonts w:ascii="宋体" w:hAnsi="宋体"/>
                <w:i/>
                <w:color w:val="auto"/>
                <w:kern w:val="0"/>
                <w:szCs w:val="21"/>
                <w:highlight w:val="none"/>
              </w:rPr>
            </w:pPr>
            <w:r>
              <w:rPr>
                <w:rFonts w:hint="eastAsia" w:ascii="宋体" w:hAnsi="宋体" w:eastAsia="宋体" w:cs="Times New Roman"/>
                <w:color w:val="auto"/>
                <w:kern w:val="0"/>
                <w:szCs w:val="21"/>
                <w:highlight w:val="none"/>
                <w:lang w:val="en-US" w:eastAsia="zh-CN"/>
              </w:rPr>
              <w:t>3、如本前附表与投标人须知及招标文件有矛盾或不一致的，若有补遗澄清说明的，将以补遗澄清说明为准，如没有澄清说明的，均以本前附表为准。</w:t>
            </w:r>
          </w:p>
        </w:tc>
      </w:tr>
    </w:tbl>
    <w:p w14:paraId="66898160">
      <w:pPr>
        <w:pStyle w:val="3"/>
        <w:spacing w:before="0" w:after="0" w:line="20" w:lineRule="exact"/>
        <w:outlineLvl w:val="9"/>
        <w:rPr>
          <w:rFonts w:ascii="宋体" w:hAnsi="宋体"/>
          <w:b w:val="0"/>
          <w:snapToGrid w:val="0"/>
          <w:color w:val="auto"/>
          <w:highlight w:val="none"/>
        </w:rPr>
      </w:pPr>
      <w:bookmarkStart w:id="104" w:name="_Toc287620685"/>
      <w:bookmarkStart w:id="105" w:name="_Toc277082552"/>
      <w:bookmarkStart w:id="106" w:name="_Toc224103317"/>
      <w:bookmarkStart w:id="107" w:name="_Toc287607746"/>
      <w:bookmarkStart w:id="108" w:name="_Toc430530435"/>
      <w:bookmarkStart w:id="109" w:name="_Toc200513126"/>
    </w:p>
    <w:p w14:paraId="05900EE7">
      <w:pPr>
        <w:pStyle w:val="3"/>
        <w:spacing w:before="0" w:after="0" w:line="200" w:lineRule="exact"/>
        <w:outlineLvl w:val="9"/>
        <w:rPr>
          <w:rFonts w:ascii="宋体" w:hAnsi="宋体"/>
          <w:b w:val="0"/>
          <w:snapToGrid w:val="0"/>
          <w:color w:val="auto"/>
          <w:highlight w:val="none"/>
        </w:rPr>
      </w:pPr>
      <w:r>
        <w:rPr>
          <w:rFonts w:ascii="宋体" w:hAnsi="宋体"/>
          <w:b w:val="0"/>
          <w:snapToGrid w:val="0"/>
          <w:color w:val="auto"/>
          <w:highlight w:val="none"/>
        </w:rPr>
        <w:br w:type="page"/>
      </w:r>
    </w:p>
    <w:p w14:paraId="22133C56">
      <w:pPr>
        <w:pStyle w:val="3"/>
        <w:spacing w:before="0" w:after="0" w:line="360" w:lineRule="auto"/>
        <w:rPr>
          <w:rFonts w:ascii="宋体" w:hAnsi="宋体"/>
          <w:b w:val="0"/>
          <w:snapToGrid w:val="0"/>
          <w:color w:val="auto"/>
          <w:highlight w:val="none"/>
        </w:rPr>
      </w:pPr>
      <w:bookmarkStart w:id="110" w:name="_Toc509218710"/>
      <w:bookmarkStart w:id="111" w:name="_Toc26332"/>
      <w:r>
        <w:rPr>
          <w:rFonts w:ascii="宋体" w:hAnsi="宋体"/>
          <w:b w:val="0"/>
          <w:snapToGrid w:val="0"/>
          <w:color w:val="auto"/>
          <w:highlight w:val="none"/>
        </w:rPr>
        <w:t>1.  总则</w:t>
      </w:r>
      <w:bookmarkEnd w:id="104"/>
      <w:bookmarkEnd w:id="105"/>
      <w:bookmarkEnd w:id="106"/>
      <w:bookmarkEnd w:id="107"/>
      <w:bookmarkEnd w:id="108"/>
      <w:bookmarkEnd w:id="109"/>
      <w:bookmarkEnd w:id="110"/>
      <w:bookmarkEnd w:id="111"/>
    </w:p>
    <w:p w14:paraId="3C7D16BE">
      <w:pPr>
        <w:pStyle w:val="4"/>
        <w:snapToGrid w:val="0"/>
        <w:spacing w:before="0" w:after="0" w:line="360" w:lineRule="auto"/>
        <w:rPr>
          <w:rFonts w:ascii="宋体" w:hAnsi="宋体"/>
          <w:b w:val="0"/>
          <w:snapToGrid w:val="0"/>
          <w:color w:val="auto"/>
          <w:sz w:val="24"/>
          <w:szCs w:val="24"/>
          <w:highlight w:val="none"/>
        </w:rPr>
      </w:pPr>
      <w:bookmarkStart w:id="112" w:name="_Toc287607747"/>
      <w:bookmarkStart w:id="113" w:name="_Toc509218711"/>
      <w:bookmarkStart w:id="114" w:name="_Toc277082553"/>
      <w:bookmarkStart w:id="115" w:name="_Toc3712"/>
      <w:bookmarkStart w:id="116" w:name="_Toc224103318"/>
      <w:bookmarkStart w:id="117" w:name="_Toc430530436"/>
      <w:bookmarkStart w:id="118" w:name="_Toc287620686"/>
      <w:bookmarkStart w:id="119" w:name="_Toc200513127"/>
      <w:r>
        <w:rPr>
          <w:rFonts w:ascii="宋体" w:hAnsi="宋体"/>
          <w:b w:val="0"/>
          <w:snapToGrid w:val="0"/>
          <w:color w:val="auto"/>
          <w:sz w:val="24"/>
          <w:szCs w:val="24"/>
          <w:highlight w:val="none"/>
        </w:rPr>
        <w:t>1.1  项目概况</w:t>
      </w:r>
      <w:bookmarkEnd w:id="112"/>
      <w:bookmarkEnd w:id="113"/>
      <w:bookmarkEnd w:id="114"/>
      <w:bookmarkEnd w:id="115"/>
      <w:bookmarkEnd w:id="116"/>
      <w:bookmarkEnd w:id="117"/>
      <w:bookmarkEnd w:id="118"/>
      <w:bookmarkEnd w:id="119"/>
    </w:p>
    <w:p w14:paraId="6522F5C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根据《中华人民共和国招标投标法》、《中华人民共和国招标投标法实施条例》等有关法律、法规和规章的规定，本招标项目已具备招标条件，现对</w:t>
      </w:r>
      <w:r>
        <w:rPr>
          <w:rFonts w:hint="eastAsia" w:ascii="宋体" w:hAnsi="宋体"/>
          <w:snapToGrid w:val="0"/>
          <w:color w:val="auto"/>
          <w:kern w:val="0"/>
          <w:szCs w:val="21"/>
          <w:highlight w:val="none"/>
          <w:lang w:val="en-US" w:eastAsia="zh-CN"/>
        </w:rPr>
        <w:t>该项目</w:t>
      </w:r>
      <w:r>
        <w:rPr>
          <w:rFonts w:ascii="宋体" w:hAnsi="宋体"/>
          <w:snapToGrid w:val="0"/>
          <w:color w:val="auto"/>
          <w:kern w:val="0"/>
          <w:szCs w:val="21"/>
          <w:highlight w:val="none"/>
        </w:rPr>
        <w:t>进行招标。</w:t>
      </w:r>
    </w:p>
    <w:p w14:paraId="5F12912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1.1.2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：见投标人须知前附表。</w:t>
      </w:r>
    </w:p>
    <w:p w14:paraId="0B7E4DF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1.1.3  </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：见投标人须知前附表。</w:t>
      </w:r>
    </w:p>
    <w:p w14:paraId="739BFB3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r>
        <w:rPr>
          <w:rFonts w:hint="eastAsia" w:ascii="宋体" w:hAnsi="宋体"/>
          <w:snapToGrid w:val="0"/>
          <w:color w:val="auto"/>
          <w:kern w:val="0"/>
          <w:szCs w:val="21"/>
          <w:highlight w:val="none"/>
        </w:rPr>
        <w:t>4</w:t>
      </w:r>
      <w:r>
        <w:rPr>
          <w:rFonts w:ascii="宋体" w:hAnsi="宋体"/>
          <w:snapToGrid w:val="0"/>
          <w:color w:val="auto"/>
          <w:kern w:val="0"/>
          <w:szCs w:val="21"/>
          <w:highlight w:val="none"/>
        </w:rPr>
        <w:t xml:space="preserve">  招标项目名称：见投标人须知前附表。</w:t>
      </w:r>
    </w:p>
    <w:p w14:paraId="6D072B1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1.1.5  项目建设地点：见投标人须知前附表。</w:t>
      </w:r>
    </w:p>
    <w:p w14:paraId="3A4930E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1.1.6  项目建设规模：见投标人须知前附表。</w:t>
      </w:r>
    </w:p>
    <w:p w14:paraId="42E0A5F3">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1.1.7  项目</w:t>
      </w:r>
      <w:r>
        <w:rPr>
          <w:rFonts w:hint="eastAsia" w:ascii="宋体" w:hAnsi="宋体"/>
          <w:snapToGrid w:val="0"/>
          <w:color w:val="auto"/>
          <w:kern w:val="0"/>
          <w:szCs w:val="21"/>
          <w:highlight w:val="none"/>
        </w:rPr>
        <w:t>估算金额</w:t>
      </w:r>
      <w:r>
        <w:rPr>
          <w:rFonts w:ascii="宋体" w:hAnsi="宋体"/>
          <w:snapToGrid w:val="0"/>
          <w:color w:val="auto"/>
          <w:kern w:val="0"/>
          <w:szCs w:val="21"/>
          <w:highlight w:val="none"/>
        </w:rPr>
        <w:t>：见投标人须知前附表。</w:t>
      </w:r>
    </w:p>
    <w:p w14:paraId="50C39F4B">
      <w:pPr>
        <w:pStyle w:val="4"/>
        <w:snapToGrid w:val="0"/>
        <w:spacing w:before="0" w:after="0" w:line="360" w:lineRule="auto"/>
        <w:rPr>
          <w:rFonts w:ascii="宋体" w:hAnsi="宋体"/>
          <w:b w:val="0"/>
          <w:snapToGrid w:val="0"/>
          <w:color w:val="auto"/>
          <w:sz w:val="24"/>
          <w:szCs w:val="24"/>
          <w:highlight w:val="none"/>
        </w:rPr>
      </w:pPr>
      <w:bookmarkStart w:id="120" w:name="_Toc224103319"/>
      <w:bookmarkStart w:id="121" w:name="_Toc509218712"/>
      <w:bookmarkStart w:id="122" w:name="_Toc277082554"/>
      <w:bookmarkStart w:id="123" w:name="_Toc27222"/>
      <w:bookmarkStart w:id="124" w:name="_Toc287607748"/>
      <w:bookmarkStart w:id="125" w:name="_Toc287620687"/>
      <w:bookmarkStart w:id="126" w:name="_Toc200513128"/>
      <w:bookmarkStart w:id="127" w:name="_Toc430530437"/>
      <w:r>
        <w:rPr>
          <w:rFonts w:ascii="宋体" w:hAnsi="宋体"/>
          <w:b w:val="0"/>
          <w:snapToGrid w:val="0"/>
          <w:color w:val="auto"/>
          <w:sz w:val="24"/>
          <w:szCs w:val="24"/>
          <w:highlight w:val="none"/>
        </w:rPr>
        <w:t xml:space="preserve">1.2  </w:t>
      </w:r>
      <w:r>
        <w:rPr>
          <w:rFonts w:hint="eastAsia" w:ascii="宋体" w:hAnsi="宋体"/>
          <w:b w:val="0"/>
          <w:snapToGrid w:val="0"/>
          <w:color w:val="auto"/>
          <w:sz w:val="24"/>
          <w:szCs w:val="24"/>
          <w:highlight w:val="none"/>
        </w:rPr>
        <w:t>招标项目的</w:t>
      </w:r>
      <w:r>
        <w:rPr>
          <w:rFonts w:ascii="宋体" w:hAnsi="宋体"/>
          <w:b w:val="0"/>
          <w:snapToGrid w:val="0"/>
          <w:color w:val="auto"/>
          <w:sz w:val="24"/>
          <w:szCs w:val="24"/>
          <w:highlight w:val="none"/>
        </w:rPr>
        <w:t>资金来源和落实情况</w:t>
      </w:r>
      <w:bookmarkEnd w:id="120"/>
      <w:bookmarkEnd w:id="121"/>
      <w:bookmarkEnd w:id="122"/>
      <w:bookmarkEnd w:id="123"/>
      <w:bookmarkEnd w:id="124"/>
      <w:bookmarkEnd w:id="125"/>
      <w:bookmarkEnd w:id="126"/>
      <w:bookmarkEnd w:id="127"/>
    </w:p>
    <w:p w14:paraId="68ADDA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1.2.1  资金来源</w:t>
      </w:r>
      <w:r>
        <w:rPr>
          <w:rFonts w:hint="eastAsia" w:ascii="宋体" w:hAnsi="宋体"/>
          <w:snapToGrid w:val="0"/>
          <w:color w:val="auto"/>
          <w:kern w:val="0"/>
          <w:szCs w:val="21"/>
          <w:highlight w:val="none"/>
        </w:rPr>
        <w:t>及比例</w:t>
      </w:r>
      <w:r>
        <w:rPr>
          <w:rFonts w:ascii="宋体" w:hAnsi="宋体"/>
          <w:snapToGrid w:val="0"/>
          <w:color w:val="auto"/>
          <w:kern w:val="0"/>
          <w:szCs w:val="21"/>
          <w:highlight w:val="none"/>
        </w:rPr>
        <w:t>：见投标人须知前附表。</w:t>
      </w:r>
    </w:p>
    <w:p w14:paraId="3679DE8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1.2.2  资金落实情况：见投标人须知前附表。</w:t>
      </w:r>
    </w:p>
    <w:p w14:paraId="38F721E4">
      <w:pPr>
        <w:pStyle w:val="4"/>
        <w:snapToGrid w:val="0"/>
        <w:spacing w:before="0" w:after="0" w:line="360" w:lineRule="auto"/>
        <w:rPr>
          <w:rFonts w:ascii="宋体" w:hAnsi="宋体"/>
          <w:b w:val="0"/>
          <w:snapToGrid w:val="0"/>
          <w:color w:val="auto"/>
          <w:sz w:val="24"/>
          <w:szCs w:val="24"/>
          <w:highlight w:val="none"/>
        </w:rPr>
      </w:pPr>
      <w:bookmarkStart w:id="128" w:name="_Toc277082555"/>
      <w:bookmarkStart w:id="129" w:name="_Toc200513129"/>
      <w:bookmarkStart w:id="130" w:name="_Toc430530438"/>
      <w:bookmarkStart w:id="131" w:name="_Toc287620688"/>
      <w:bookmarkStart w:id="132" w:name="_Toc287607749"/>
      <w:bookmarkStart w:id="133" w:name="_Toc509218713"/>
      <w:bookmarkStart w:id="134" w:name="_Toc224103320"/>
      <w:bookmarkStart w:id="135" w:name="_Toc2175"/>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比选范围</w:t>
      </w:r>
      <w:r>
        <w:rPr>
          <w:rFonts w:ascii="宋体" w:hAnsi="宋体"/>
          <w:b w:val="0"/>
          <w:snapToGrid w:val="0"/>
          <w:color w:val="auto"/>
          <w:sz w:val="24"/>
          <w:szCs w:val="24"/>
          <w:highlight w:val="none"/>
        </w:rPr>
        <w:t>、</w:t>
      </w:r>
      <w:r>
        <w:rPr>
          <w:rFonts w:hint="eastAsia" w:ascii="宋体" w:hAnsi="宋体"/>
          <w:b w:val="0"/>
          <w:snapToGrid w:val="0"/>
          <w:color w:val="auto"/>
          <w:sz w:val="24"/>
          <w:szCs w:val="24"/>
          <w:highlight w:val="none"/>
        </w:rPr>
        <w:t>服务期限</w:t>
      </w:r>
      <w:r>
        <w:rPr>
          <w:rFonts w:ascii="宋体" w:hAnsi="宋体"/>
          <w:b w:val="0"/>
          <w:snapToGrid w:val="0"/>
          <w:color w:val="auto"/>
          <w:sz w:val="24"/>
          <w:szCs w:val="24"/>
          <w:highlight w:val="none"/>
        </w:rPr>
        <w:t>和质量</w:t>
      </w:r>
      <w:bookmarkEnd w:id="128"/>
      <w:bookmarkEnd w:id="129"/>
      <w:bookmarkEnd w:id="130"/>
      <w:bookmarkEnd w:id="131"/>
      <w:bookmarkEnd w:id="132"/>
      <w:bookmarkEnd w:id="133"/>
      <w:bookmarkEnd w:id="134"/>
      <w:r>
        <w:rPr>
          <w:rFonts w:hint="eastAsia" w:ascii="宋体" w:hAnsi="宋体"/>
          <w:b w:val="0"/>
          <w:snapToGrid w:val="0"/>
          <w:color w:val="auto"/>
          <w:sz w:val="24"/>
          <w:szCs w:val="24"/>
          <w:highlight w:val="none"/>
        </w:rPr>
        <w:t>标准</w:t>
      </w:r>
      <w:bookmarkEnd w:id="135"/>
    </w:p>
    <w:p w14:paraId="662086B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比选范围</w:t>
      </w:r>
      <w:r>
        <w:rPr>
          <w:rFonts w:ascii="宋体" w:hAnsi="宋体"/>
          <w:snapToGrid w:val="0"/>
          <w:color w:val="auto"/>
          <w:kern w:val="0"/>
          <w:szCs w:val="21"/>
          <w:highlight w:val="none"/>
        </w:rPr>
        <w:t>：见投标人须知前附表。</w:t>
      </w:r>
    </w:p>
    <w:p w14:paraId="29A9A8D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1.3.2  </w:t>
      </w:r>
      <w:r>
        <w:rPr>
          <w:rFonts w:hint="eastAsia" w:ascii="宋体" w:hAnsi="宋体"/>
          <w:snapToGrid w:val="0"/>
          <w:color w:val="auto"/>
          <w:kern w:val="0"/>
          <w:szCs w:val="21"/>
          <w:highlight w:val="none"/>
        </w:rPr>
        <w:t>服务期限</w:t>
      </w:r>
      <w:r>
        <w:rPr>
          <w:rFonts w:ascii="宋体" w:hAnsi="宋体"/>
          <w:snapToGrid w:val="0"/>
          <w:color w:val="auto"/>
          <w:kern w:val="0"/>
          <w:szCs w:val="21"/>
          <w:highlight w:val="none"/>
        </w:rPr>
        <w:t>：见投标人须知前附表。</w:t>
      </w:r>
    </w:p>
    <w:p w14:paraId="3CECEA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1.3.3  质量</w:t>
      </w:r>
      <w:r>
        <w:rPr>
          <w:rFonts w:hint="eastAsia" w:ascii="宋体" w:hAnsi="宋体"/>
          <w:snapToGrid w:val="0"/>
          <w:color w:val="auto"/>
          <w:kern w:val="0"/>
          <w:szCs w:val="21"/>
          <w:highlight w:val="none"/>
        </w:rPr>
        <w:t>标准</w:t>
      </w:r>
      <w:r>
        <w:rPr>
          <w:rFonts w:ascii="宋体" w:hAnsi="宋体"/>
          <w:snapToGrid w:val="0"/>
          <w:color w:val="auto"/>
          <w:kern w:val="0"/>
          <w:szCs w:val="21"/>
          <w:highlight w:val="none"/>
        </w:rPr>
        <w:t>：见投标人须知前附表。</w:t>
      </w:r>
    </w:p>
    <w:p w14:paraId="136F9770">
      <w:pPr>
        <w:pStyle w:val="4"/>
        <w:snapToGrid w:val="0"/>
        <w:spacing w:before="0" w:after="0" w:line="360" w:lineRule="auto"/>
        <w:rPr>
          <w:rFonts w:ascii="宋体" w:hAnsi="宋体"/>
          <w:b w:val="0"/>
          <w:snapToGrid w:val="0"/>
          <w:color w:val="auto"/>
          <w:sz w:val="24"/>
          <w:szCs w:val="24"/>
          <w:highlight w:val="none"/>
        </w:rPr>
      </w:pPr>
      <w:bookmarkStart w:id="136" w:name="_Toc287620690"/>
      <w:bookmarkStart w:id="137" w:name="_Toc200513131"/>
      <w:bookmarkStart w:id="138" w:name="_Toc224103322"/>
      <w:bookmarkStart w:id="139" w:name="_Toc23348"/>
      <w:bookmarkStart w:id="140" w:name="_Toc430530440"/>
      <w:bookmarkStart w:id="141" w:name="_Toc509218715"/>
      <w:bookmarkStart w:id="142" w:name="_Toc277082557"/>
      <w:bookmarkStart w:id="143" w:name="_Toc287607751"/>
      <w:r>
        <w:rPr>
          <w:rFonts w:ascii="宋体" w:hAnsi="宋体"/>
          <w:b w:val="0"/>
          <w:snapToGrid w:val="0"/>
          <w:color w:val="auto"/>
          <w:sz w:val="24"/>
          <w:szCs w:val="24"/>
          <w:highlight w:val="none"/>
        </w:rPr>
        <w:t>1.4  投标人资格要求</w:t>
      </w:r>
      <w:bookmarkEnd w:id="136"/>
      <w:bookmarkEnd w:id="137"/>
      <w:bookmarkEnd w:id="138"/>
      <w:bookmarkEnd w:id="139"/>
      <w:bookmarkEnd w:id="140"/>
      <w:bookmarkEnd w:id="141"/>
      <w:bookmarkEnd w:id="142"/>
      <w:bookmarkEnd w:id="143"/>
    </w:p>
    <w:p w14:paraId="56F9F76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w:t>
      </w:r>
      <w:r>
        <w:rPr>
          <w:rFonts w:hint="eastAsia" w:ascii="宋体" w:hAnsi="宋体"/>
          <w:snapToGrid w:val="0"/>
          <w:color w:val="auto"/>
          <w:kern w:val="0"/>
          <w:szCs w:val="21"/>
          <w:highlight w:val="none"/>
        </w:rPr>
        <w:t>本招标项目</w:t>
      </w:r>
      <w:r>
        <w:rPr>
          <w:rFonts w:ascii="宋体" w:hAnsi="宋体"/>
          <w:snapToGrid w:val="0"/>
          <w:color w:val="auto"/>
          <w:kern w:val="0"/>
          <w:szCs w:val="21"/>
          <w:highlight w:val="none"/>
        </w:rPr>
        <w:t>的资质条件、能力和信誉</w:t>
      </w:r>
      <w:r>
        <w:rPr>
          <w:rFonts w:hint="eastAsia" w:ascii="宋体" w:hAnsi="宋体"/>
          <w:snapToGrid w:val="0"/>
          <w:color w:val="auto"/>
          <w:kern w:val="0"/>
          <w:szCs w:val="21"/>
          <w:highlight w:val="none"/>
        </w:rPr>
        <w:t>：</w:t>
      </w:r>
    </w:p>
    <w:p w14:paraId="3B825CC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w:t>
      </w:r>
      <w:r>
        <w:rPr>
          <w:rFonts w:hint="eastAsia" w:ascii="宋体" w:hAnsi="宋体"/>
          <w:color w:val="auto"/>
          <w:szCs w:val="21"/>
          <w:highlight w:val="none"/>
        </w:rPr>
        <w:t>要求及营业执照</w:t>
      </w:r>
      <w:r>
        <w:rPr>
          <w:rFonts w:ascii="宋体" w:hAnsi="宋体"/>
          <w:snapToGrid w:val="0"/>
          <w:color w:val="auto"/>
          <w:kern w:val="0"/>
          <w:szCs w:val="21"/>
          <w:highlight w:val="none"/>
        </w:rPr>
        <w:t>：见投标人须知前附表；</w:t>
      </w:r>
    </w:p>
    <w:p w14:paraId="3C34CAD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（2）财务要求：见投标人须知前附表；</w:t>
      </w:r>
    </w:p>
    <w:p w14:paraId="56B71AA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（3）业绩要求：见投标人须知前附表；</w:t>
      </w:r>
    </w:p>
    <w:p w14:paraId="702762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14:paraId="205A097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（5）项目</w:t>
      </w:r>
      <w:r>
        <w:rPr>
          <w:rFonts w:hint="eastAsia" w:ascii="宋体" w:hAnsi="宋体"/>
          <w:snapToGrid w:val="0"/>
          <w:color w:val="auto"/>
          <w:kern w:val="0"/>
          <w:szCs w:val="21"/>
          <w:highlight w:val="none"/>
        </w:rPr>
        <w:t>负责人的</w:t>
      </w:r>
      <w:r>
        <w:rPr>
          <w:rFonts w:ascii="宋体" w:hAnsi="宋体"/>
          <w:snapToGrid w:val="0"/>
          <w:color w:val="auto"/>
          <w:kern w:val="0"/>
          <w:szCs w:val="21"/>
          <w:highlight w:val="none"/>
        </w:rPr>
        <w:t>资格</w:t>
      </w:r>
      <w:r>
        <w:rPr>
          <w:rFonts w:hint="eastAsia" w:ascii="宋体" w:hAnsi="宋体"/>
          <w:snapToGrid w:val="0"/>
          <w:color w:val="auto"/>
          <w:kern w:val="0"/>
          <w:szCs w:val="21"/>
          <w:highlight w:val="none"/>
        </w:rPr>
        <w:t>要求</w:t>
      </w:r>
      <w:r>
        <w:rPr>
          <w:rFonts w:ascii="宋体" w:hAnsi="宋体"/>
          <w:snapToGrid w:val="0"/>
          <w:color w:val="auto"/>
          <w:kern w:val="0"/>
          <w:szCs w:val="21"/>
          <w:highlight w:val="none"/>
        </w:rPr>
        <w:t>：见投标人须知前附表；</w:t>
      </w:r>
    </w:p>
    <w:p w14:paraId="2DAB9DA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（6）其他要求：见投标人须知前附表。</w:t>
      </w:r>
    </w:p>
    <w:p w14:paraId="50ACF45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w:t>
      </w:r>
      <w:r>
        <w:rPr>
          <w:rFonts w:hint="eastAsia" w:ascii="宋体" w:hAnsi="宋体"/>
          <w:snapToGrid w:val="0"/>
          <w:color w:val="auto"/>
          <w:kern w:val="0"/>
          <w:szCs w:val="21"/>
          <w:highlight w:val="none"/>
        </w:rPr>
        <w:t>联合体</w:t>
      </w:r>
      <w:r>
        <w:rPr>
          <w:rFonts w:ascii="宋体" w:hAnsi="宋体"/>
          <w:snapToGrid w:val="0"/>
          <w:color w:val="auto"/>
          <w:kern w:val="0"/>
          <w:szCs w:val="21"/>
          <w:highlight w:val="none"/>
        </w:rPr>
        <w:t>除应符合本章第1.4.1项和投标人须知前附表的要求外，还应遵守以下规定：</w:t>
      </w:r>
    </w:p>
    <w:p w14:paraId="0FF3CAC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（1）联合体各方应按招标文件提供的格式签订联合体协议书，明确联合体牵头人和各方权利义务，并承诺就中标项目向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6F5CC2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（2）由同一专业的单位组成的联合体，按照资质等级较低的单位确定资质等级；</w:t>
      </w:r>
    </w:p>
    <w:p w14:paraId="02EC93F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w:t>
      </w:r>
      <w:r>
        <w:rPr>
          <w:rFonts w:hint="eastAsia" w:ascii="宋体" w:hAnsi="宋体"/>
          <w:snapToGrid w:val="0"/>
          <w:color w:val="auto"/>
          <w:kern w:val="0"/>
          <w:szCs w:val="21"/>
          <w:highlight w:val="none"/>
        </w:rPr>
        <w:t>本招标项目中</w:t>
      </w:r>
      <w:r>
        <w:rPr>
          <w:rFonts w:ascii="宋体" w:hAnsi="宋体"/>
          <w:snapToGrid w:val="0"/>
          <w:color w:val="auto"/>
          <w:kern w:val="0"/>
          <w:szCs w:val="21"/>
          <w:highlight w:val="none"/>
        </w:rPr>
        <w:t>投标</w:t>
      </w:r>
      <w:r>
        <w:rPr>
          <w:rFonts w:hint="eastAsia" w:ascii="宋体" w:hAnsi="宋体"/>
          <w:snapToGrid w:val="0"/>
          <w:color w:val="auto"/>
          <w:kern w:val="0"/>
          <w:szCs w:val="21"/>
          <w:highlight w:val="none"/>
        </w:rPr>
        <w:t>，否则各相关投标均无效</w:t>
      </w:r>
      <w:r>
        <w:rPr>
          <w:rFonts w:ascii="宋体" w:hAnsi="宋体"/>
          <w:snapToGrid w:val="0"/>
          <w:color w:val="auto"/>
          <w:kern w:val="0"/>
          <w:szCs w:val="21"/>
          <w:highlight w:val="none"/>
        </w:rPr>
        <w:t>。</w:t>
      </w:r>
    </w:p>
    <w:p w14:paraId="4B5393B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14:paraId="46BAE63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（1）为</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不具有独立法人资格的附属机构（单位）；</w:t>
      </w:r>
    </w:p>
    <w:p w14:paraId="0F63DED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存在利害关系且可能影响招标公正性</w:t>
      </w:r>
      <w:r>
        <w:rPr>
          <w:rFonts w:hint="eastAsia" w:ascii="宋体" w:hAnsi="宋体"/>
          <w:snapToGrid w:val="0"/>
          <w:color w:val="auto"/>
          <w:kern w:val="0"/>
          <w:szCs w:val="21"/>
          <w:highlight w:val="none"/>
        </w:rPr>
        <w:t>的法人、其他组织或者个人</w:t>
      </w:r>
      <w:r>
        <w:rPr>
          <w:rFonts w:ascii="宋体" w:hAnsi="宋体"/>
          <w:snapToGrid w:val="0"/>
          <w:color w:val="auto"/>
          <w:kern w:val="0"/>
          <w:szCs w:val="21"/>
          <w:highlight w:val="none"/>
        </w:rPr>
        <w:t>；</w:t>
      </w:r>
    </w:p>
    <w:p w14:paraId="7E640EEB">
      <w:pPr>
        <w:autoSpaceDE w:val="0"/>
        <w:autoSpaceDN w:val="0"/>
        <w:adjustRightInd w:val="0"/>
        <w:snapToGrid w:val="0"/>
        <w:spacing w:line="360" w:lineRule="auto"/>
        <w:ind w:firstLine="420" w:firstLineChars="200"/>
        <w:rPr>
          <w:color w:val="auto"/>
          <w:highlight w:val="none"/>
        </w:rPr>
      </w:pPr>
      <w:r>
        <w:rPr>
          <w:rFonts w:hint="eastAsia"/>
          <w:color w:val="auto"/>
          <w:highlight w:val="none"/>
        </w:rPr>
        <w:t>（3）</w:t>
      </w:r>
      <w:r>
        <w:rPr>
          <w:color w:val="auto"/>
          <w:highlight w:val="none"/>
        </w:rPr>
        <w:t>与本招标项目的其他投标人为同一个单位负责人；</w:t>
      </w:r>
    </w:p>
    <w:p w14:paraId="19DE934E">
      <w:pPr>
        <w:autoSpaceDE w:val="0"/>
        <w:autoSpaceDN w:val="0"/>
        <w:adjustRightInd w:val="0"/>
        <w:snapToGrid w:val="0"/>
        <w:spacing w:line="360" w:lineRule="auto"/>
        <w:ind w:firstLine="420" w:firstLineChars="200"/>
        <w:rPr>
          <w:color w:val="auto"/>
          <w:highlight w:val="none"/>
        </w:rPr>
      </w:pPr>
      <w:r>
        <w:rPr>
          <w:rFonts w:hint="eastAsia"/>
          <w:color w:val="auto"/>
          <w:highlight w:val="none"/>
        </w:rPr>
        <w:t>（4）</w:t>
      </w:r>
      <w:r>
        <w:rPr>
          <w:color w:val="auto"/>
          <w:highlight w:val="none"/>
        </w:rPr>
        <w:t>与本招标项目的其他投标人存在控股、管理关系；</w:t>
      </w:r>
    </w:p>
    <w:p w14:paraId="1B342D4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（5）为本</w:t>
      </w:r>
      <w:r>
        <w:rPr>
          <w:rFonts w:hint="eastAsia" w:ascii="宋体" w:hAnsi="宋体"/>
          <w:snapToGrid w:val="0"/>
          <w:color w:val="auto"/>
          <w:kern w:val="0"/>
          <w:szCs w:val="21"/>
          <w:highlight w:val="none"/>
        </w:rPr>
        <w:t>招标项目</w:t>
      </w:r>
      <w:r>
        <w:rPr>
          <w:rFonts w:ascii="宋体" w:hAnsi="宋体"/>
          <w:snapToGrid w:val="0"/>
          <w:color w:val="auto"/>
          <w:kern w:val="0"/>
          <w:szCs w:val="21"/>
          <w:highlight w:val="none"/>
        </w:rPr>
        <w:t>的代建人；</w:t>
      </w:r>
    </w:p>
    <w:p w14:paraId="59ECBCC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（6）为</w:t>
      </w:r>
      <w:r>
        <w:rPr>
          <w:rFonts w:hint="eastAsia" w:ascii="宋体" w:hAnsi="宋体"/>
          <w:snapToGrid w:val="0"/>
          <w:color w:val="auto"/>
          <w:kern w:val="0"/>
          <w:szCs w:val="21"/>
          <w:highlight w:val="none"/>
        </w:rPr>
        <w:t>本招标项目的</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w:t>
      </w:r>
    </w:p>
    <w:p w14:paraId="7AB6F7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（7）与</w:t>
      </w:r>
      <w:r>
        <w:rPr>
          <w:rFonts w:hint="eastAsia" w:ascii="宋体" w:hAnsi="宋体"/>
          <w:snapToGrid w:val="0"/>
          <w:color w:val="auto"/>
          <w:kern w:val="0"/>
          <w:szCs w:val="21"/>
          <w:highlight w:val="none"/>
        </w:rPr>
        <w:t>本招标项目的</w:t>
      </w:r>
      <w:r>
        <w:rPr>
          <w:rFonts w:ascii="宋体" w:hAnsi="宋体"/>
          <w:snapToGrid w:val="0"/>
          <w:color w:val="auto"/>
          <w:kern w:val="0"/>
          <w:szCs w:val="21"/>
          <w:highlight w:val="none"/>
        </w:rPr>
        <w:t>代建人或</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同为一个法定代表人；</w:t>
      </w:r>
    </w:p>
    <w:p w14:paraId="44C66A7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（8）与本招标项目的代建人或</w:t>
      </w:r>
      <w:r>
        <w:rPr>
          <w:rFonts w:hint="eastAsia" w:ascii="宋体" w:hAnsi="宋体"/>
          <w:snapToGrid w:val="0"/>
          <w:color w:val="auto"/>
          <w:kern w:val="0"/>
          <w:szCs w:val="21"/>
          <w:highlight w:val="none"/>
          <w:lang w:eastAsia="zh-CN"/>
        </w:rPr>
        <w:t>比选代理机构</w:t>
      </w:r>
      <w:r>
        <w:rPr>
          <w:rFonts w:hint="eastAsia" w:ascii="宋体" w:hAnsi="宋体"/>
          <w:snapToGrid w:val="0"/>
          <w:color w:val="auto"/>
          <w:kern w:val="0"/>
          <w:szCs w:val="21"/>
          <w:highlight w:val="none"/>
        </w:rPr>
        <w:t>存在</w:t>
      </w:r>
      <w:r>
        <w:rPr>
          <w:rFonts w:ascii="宋体" w:hAnsi="宋体"/>
          <w:snapToGrid w:val="0"/>
          <w:color w:val="auto"/>
          <w:kern w:val="0"/>
          <w:szCs w:val="21"/>
          <w:highlight w:val="none"/>
        </w:rPr>
        <w:t>控股或参股</w:t>
      </w:r>
      <w:r>
        <w:rPr>
          <w:rFonts w:hint="eastAsia" w:ascii="宋体" w:hAnsi="宋体"/>
          <w:snapToGrid w:val="0"/>
          <w:color w:val="auto"/>
          <w:kern w:val="0"/>
          <w:szCs w:val="21"/>
          <w:highlight w:val="none"/>
        </w:rPr>
        <w:t>关系</w:t>
      </w:r>
      <w:r>
        <w:rPr>
          <w:rFonts w:ascii="宋体" w:hAnsi="宋体"/>
          <w:snapToGrid w:val="0"/>
          <w:color w:val="auto"/>
          <w:kern w:val="0"/>
          <w:szCs w:val="21"/>
          <w:highlight w:val="none"/>
        </w:rPr>
        <w:t>；</w:t>
      </w:r>
    </w:p>
    <w:p w14:paraId="0B63964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（9）</w:t>
      </w:r>
      <w:r>
        <w:rPr>
          <w:rFonts w:hint="eastAsia" w:ascii="宋体" w:hAnsi="宋体"/>
          <w:snapToGrid w:val="0"/>
          <w:color w:val="auto"/>
          <w:kern w:val="0"/>
          <w:szCs w:val="21"/>
          <w:highlight w:val="none"/>
        </w:rPr>
        <w:t>被国家、重庆市（含市或任意区县）有关行政部门处以暂停投标资格行政处罚，且在处罚期限内的；</w:t>
      </w:r>
    </w:p>
    <w:p w14:paraId="151A34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（10）</w:t>
      </w:r>
      <w:bookmarkStart w:id="144" w:name="_Hlk66280425"/>
      <w:r>
        <w:rPr>
          <w:rFonts w:ascii="宋体" w:hAnsi="宋体"/>
          <w:snapToGrid w:val="0"/>
          <w:color w:val="auto"/>
          <w:kern w:val="0"/>
          <w:szCs w:val="21"/>
          <w:highlight w:val="none"/>
        </w:rPr>
        <w:t>被责令停产停业、暂扣或者吊销许可证、暂扣或者吊销执照；</w:t>
      </w:r>
      <w:bookmarkEnd w:id="144"/>
    </w:p>
    <w:p w14:paraId="544589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w:t>
      </w:r>
      <w:bookmarkStart w:id="145" w:name="_Hlk66280433"/>
      <w:r>
        <w:rPr>
          <w:rFonts w:ascii="宋体" w:hAnsi="宋体"/>
          <w:snapToGrid w:val="0"/>
          <w:color w:val="auto"/>
          <w:kern w:val="0"/>
          <w:szCs w:val="21"/>
          <w:highlight w:val="none"/>
        </w:rPr>
        <w:t>进入清算程序，或被宣告破产，或其他丧失履约能力的情形；</w:t>
      </w:r>
      <w:bookmarkEnd w:id="145"/>
    </w:p>
    <w:p w14:paraId="1E85E8F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（12）法律法规或投标人须知前附表规定的其他情形。</w:t>
      </w:r>
    </w:p>
    <w:p w14:paraId="7AACC683">
      <w:pPr>
        <w:pStyle w:val="4"/>
        <w:snapToGrid w:val="0"/>
        <w:spacing w:before="0" w:after="0" w:line="360" w:lineRule="auto"/>
        <w:rPr>
          <w:rFonts w:ascii="宋体" w:hAnsi="宋体"/>
          <w:b w:val="0"/>
          <w:snapToGrid w:val="0"/>
          <w:color w:val="auto"/>
          <w:sz w:val="24"/>
          <w:szCs w:val="24"/>
          <w:highlight w:val="none"/>
        </w:rPr>
      </w:pPr>
      <w:bookmarkStart w:id="146" w:name="_Toc277082558"/>
      <w:bookmarkStart w:id="147" w:name="_Toc287620691"/>
      <w:bookmarkStart w:id="148" w:name="_Toc287607752"/>
      <w:bookmarkStart w:id="149" w:name="_Toc509218716"/>
      <w:bookmarkStart w:id="150" w:name="_Toc200513132"/>
      <w:bookmarkStart w:id="151" w:name="_Toc430530441"/>
      <w:bookmarkStart w:id="152" w:name="_Toc224103323"/>
      <w:bookmarkStart w:id="153" w:name="_Toc21751"/>
      <w:r>
        <w:rPr>
          <w:rFonts w:ascii="宋体" w:hAnsi="宋体"/>
          <w:b w:val="0"/>
          <w:snapToGrid w:val="0"/>
          <w:color w:val="auto"/>
          <w:sz w:val="24"/>
          <w:szCs w:val="24"/>
          <w:highlight w:val="none"/>
        </w:rPr>
        <w:t>1.5  费用承担</w:t>
      </w:r>
      <w:bookmarkEnd w:id="146"/>
      <w:bookmarkEnd w:id="147"/>
      <w:bookmarkEnd w:id="148"/>
      <w:bookmarkEnd w:id="149"/>
      <w:bookmarkEnd w:id="150"/>
      <w:bookmarkEnd w:id="151"/>
      <w:bookmarkEnd w:id="152"/>
      <w:bookmarkEnd w:id="153"/>
    </w:p>
    <w:p w14:paraId="2BF0993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14:paraId="32DF2374">
      <w:pPr>
        <w:pStyle w:val="4"/>
        <w:snapToGrid w:val="0"/>
        <w:spacing w:before="0" w:after="0" w:line="360" w:lineRule="auto"/>
        <w:rPr>
          <w:rFonts w:ascii="宋体" w:hAnsi="宋体"/>
          <w:b w:val="0"/>
          <w:snapToGrid w:val="0"/>
          <w:color w:val="auto"/>
          <w:sz w:val="24"/>
          <w:szCs w:val="24"/>
          <w:highlight w:val="none"/>
        </w:rPr>
      </w:pPr>
      <w:bookmarkStart w:id="154" w:name="_Toc277082559"/>
      <w:bookmarkStart w:id="155" w:name="_Toc200513133"/>
      <w:bookmarkStart w:id="156" w:name="_Toc224103324"/>
      <w:bookmarkStart w:id="157" w:name="_Toc26043"/>
      <w:bookmarkStart w:id="158" w:name="_Toc509218717"/>
      <w:bookmarkStart w:id="159" w:name="_Toc287607753"/>
      <w:bookmarkStart w:id="160" w:name="_Toc430530442"/>
      <w:bookmarkStart w:id="161" w:name="_Toc287620692"/>
      <w:r>
        <w:rPr>
          <w:rFonts w:ascii="宋体" w:hAnsi="宋体"/>
          <w:b w:val="0"/>
          <w:snapToGrid w:val="0"/>
          <w:color w:val="auto"/>
          <w:sz w:val="24"/>
          <w:szCs w:val="24"/>
          <w:highlight w:val="none"/>
        </w:rPr>
        <w:t>1.6  保密</w:t>
      </w:r>
      <w:bookmarkEnd w:id="154"/>
      <w:bookmarkEnd w:id="155"/>
      <w:bookmarkEnd w:id="156"/>
      <w:bookmarkEnd w:id="157"/>
      <w:bookmarkEnd w:id="158"/>
      <w:bookmarkEnd w:id="159"/>
      <w:bookmarkEnd w:id="160"/>
      <w:bookmarkEnd w:id="161"/>
    </w:p>
    <w:p w14:paraId="2E9719A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参与招标投标活动的各方应对招标文件和投标文件中的商业和技术等秘密保密，否则应承担相应的法律责任。</w:t>
      </w:r>
    </w:p>
    <w:p w14:paraId="25C1E45F">
      <w:pPr>
        <w:pStyle w:val="4"/>
        <w:snapToGrid w:val="0"/>
        <w:spacing w:before="0" w:after="0" w:line="360" w:lineRule="auto"/>
        <w:rPr>
          <w:rFonts w:ascii="宋体" w:hAnsi="宋体"/>
          <w:b w:val="0"/>
          <w:snapToGrid w:val="0"/>
          <w:color w:val="auto"/>
          <w:sz w:val="24"/>
          <w:szCs w:val="24"/>
          <w:highlight w:val="none"/>
        </w:rPr>
      </w:pPr>
      <w:bookmarkStart w:id="162" w:name="_Toc430530443"/>
      <w:bookmarkStart w:id="163" w:name="_Toc200513134"/>
      <w:bookmarkStart w:id="164" w:name="_Toc277082560"/>
      <w:bookmarkStart w:id="165" w:name="_Toc509218718"/>
      <w:bookmarkStart w:id="166" w:name="_Toc287620693"/>
      <w:bookmarkStart w:id="167" w:name="_Toc224103325"/>
      <w:bookmarkStart w:id="168" w:name="_Toc287607754"/>
      <w:bookmarkStart w:id="169" w:name="_Toc32313"/>
      <w:r>
        <w:rPr>
          <w:rFonts w:ascii="宋体" w:hAnsi="宋体"/>
          <w:b w:val="0"/>
          <w:snapToGrid w:val="0"/>
          <w:color w:val="auto"/>
          <w:sz w:val="24"/>
          <w:szCs w:val="24"/>
          <w:highlight w:val="none"/>
        </w:rPr>
        <w:t>1.7  语言文字</w:t>
      </w:r>
      <w:bookmarkEnd w:id="162"/>
      <w:bookmarkEnd w:id="163"/>
      <w:bookmarkEnd w:id="164"/>
      <w:bookmarkEnd w:id="165"/>
      <w:bookmarkEnd w:id="166"/>
      <w:bookmarkEnd w:id="167"/>
      <w:bookmarkEnd w:id="168"/>
      <w:bookmarkEnd w:id="169"/>
    </w:p>
    <w:p w14:paraId="36875C9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招标投标文件使用的语言文字为中文。专用术语使用外文的，应附有中文注释。</w:t>
      </w:r>
    </w:p>
    <w:p w14:paraId="762B0202">
      <w:pPr>
        <w:pStyle w:val="4"/>
        <w:snapToGrid w:val="0"/>
        <w:spacing w:before="0" w:after="0" w:line="360" w:lineRule="auto"/>
        <w:rPr>
          <w:rFonts w:ascii="宋体" w:hAnsi="宋体"/>
          <w:b w:val="0"/>
          <w:snapToGrid w:val="0"/>
          <w:color w:val="auto"/>
          <w:sz w:val="24"/>
          <w:szCs w:val="24"/>
          <w:highlight w:val="none"/>
        </w:rPr>
      </w:pPr>
      <w:bookmarkStart w:id="170" w:name="_Toc509218719"/>
      <w:bookmarkStart w:id="171" w:name="_Toc224103326"/>
      <w:bookmarkStart w:id="172" w:name="_Toc277082561"/>
      <w:bookmarkStart w:id="173" w:name="_Toc287620694"/>
      <w:bookmarkStart w:id="174" w:name="_Toc200513135"/>
      <w:bookmarkStart w:id="175" w:name="_Toc17808"/>
      <w:bookmarkStart w:id="176" w:name="_Toc287607755"/>
      <w:bookmarkStart w:id="177" w:name="_Toc430530444"/>
      <w:r>
        <w:rPr>
          <w:rFonts w:ascii="宋体" w:hAnsi="宋体"/>
          <w:b w:val="0"/>
          <w:snapToGrid w:val="0"/>
          <w:color w:val="auto"/>
          <w:sz w:val="24"/>
          <w:szCs w:val="24"/>
          <w:highlight w:val="none"/>
        </w:rPr>
        <w:t>1.8  计量单位</w:t>
      </w:r>
      <w:bookmarkEnd w:id="170"/>
      <w:bookmarkEnd w:id="171"/>
      <w:bookmarkEnd w:id="172"/>
      <w:bookmarkEnd w:id="173"/>
      <w:bookmarkEnd w:id="174"/>
      <w:bookmarkEnd w:id="175"/>
      <w:bookmarkEnd w:id="176"/>
      <w:bookmarkEnd w:id="177"/>
    </w:p>
    <w:p w14:paraId="0446C22B">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14:paraId="3747835F">
      <w:pPr>
        <w:pStyle w:val="4"/>
        <w:snapToGrid w:val="0"/>
        <w:spacing w:before="0" w:after="0" w:line="360" w:lineRule="auto"/>
        <w:rPr>
          <w:rFonts w:ascii="宋体" w:hAnsi="宋体"/>
          <w:b w:val="0"/>
          <w:snapToGrid w:val="0"/>
          <w:color w:val="auto"/>
          <w:sz w:val="24"/>
          <w:szCs w:val="24"/>
          <w:highlight w:val="none"/>
        </w:rPr>
      </w:pPr>
      <w:bookmarkStart w:id="178" w:name="_Toc277082562"/>
      <w:bookmarkStart w:id="179" w:name="_Toc224103327"/>
      <w:bookmarkStart w:id="180" w:name="_Toc509218720"/>
      <w:bookmarkStart w:id="181" w:name="_Toc430530445"/>
      <w:bookmarkStart w:id="182" w:name="_Toc200513136"/>
      <w:bookmarkStart w:id="183" w:name="_Toc287620695"/>
      <w:bookmarkStart w:id="184" w:name="_Toc287607756"/>
      <w:bookmarkStart w:id="185" w:name="_Toc10634"/>
      <w:r>
        <w:rPr>
          <w:rFonts w:ascii="宋体" w:hAnsi="宋体"/>
          <w:b w:val="0"/>
          <w:snapToGrid w:val="0"/>
          <w:color w:val="auto"/>
          <w:sz w:val="24"/>
          <w:szCs w:val="24"/>
          <w:highlight w:val="none"/>
        </w:rPr>
        <w:t>1.9  踏勘现场</w:t>
      </w:r>
      <w:bookmarkEnd w:id="178"/>
      <w:bookmarkEnd w:id="179"/>
      <w:bookmarkEnd w:id="180"/>
      <w:bookmarkEnd w:id="181"/>
      <w:bookmarkEnd w:id="182"/>
      <w:bookmarkEnd w:id="183"/>
      <w:bookmarkEnd w:id="184"/>
      <w:bookmarkEnd w:id="185"/>
    </w:p>
    <w:p w14:paraId="43EE55A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 地点组织投标人踏勘项目现场。部分投标人未按时参加踏勘现场的，不影响踏勘现场的正常进行。</w:t>
      </w:r>
    </w:p>
    <w:p w14:paraId="09F0BFE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14:paraId="1D683D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14:paraId="1F1D2FD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14:paraId="7E57DEE4">
      <w:pPr>
        <w:pStyle w:val="4"/>
        <w:snapToGrid w:val="0"/>
        <w:spacing w:before="0" w:after="0" w:line="360" w:lineRule="auto"/>
        <w:rPr>
          <w:rFonts w:ascii="宋体" w:hAnsi="宋体"/>
          <w:b w:val="0"/>
          <w:snapToGrid w:val="0"/>
          <w:color w:val="auto"/>
          <w:sz w:val="24"/>
          <w:szCs w:val="24"/>
          <w:highlight w:val="none"/>
        </w:rPr>
      </w:pPr>
      <w:bookmarkStart w:id="186" w:name="_Toc430530446"/>
      <w:bookmarkStart w:id="187" w:name="_Toc224103328"/>
      <w:bookmarkStart w:id="188" w:name="_Toc277082563"/>
      <w:bookmarkStart w:id="189" w:name="_Toc287607757"/>
      <w:bookmarkStart w:id="190" w:name="_Toc509218721"/>
      <w:bookmarkStart w:id="191" w:name="_Toc200513137"/>
      <w:bookmarkStart w:id="192" w:name="_Toc19021"/>
      <w:bookmarkStart w:id="193" w:name="_Toc287620696"/>
      <w:r>
        <w:rPr>
          <w:rFonts w:ascii="宋体" w:hAnsi="宋体"/>
          <w:b w:val="0"/>
          <w:snapToGrid w:val="0"/>
          <w:color w:val="auto"/>
          <w:sz w:val="24"/>
          <w:szCs w:val="24"/>
          <w:highlight w:val="none"/>
        </w:rPr>
        <w:t>1.10  投标预备会</w:t>
      </w:r>
      <w:bookmarkEnd w:id="186"/>
      <w:bookmarkEnd w:id="187"/>
      <w:bookmarkEnd w:id="188"/>
      <w:bookmarkEnd w:id="189"/>
      <w:bookmarkEnd w:id="190"/>
      <w:bookmarkEnd w:id="191"/>
      <w:bookmarkEnd w:id="192"/>
      <w:bookmarkEnd w:id="193"/>
    </w:p>
    <w:p w14:paraId="2B5CED6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14:paraId="05DF070F">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1.10.2  投标人应按投标人须知前附表规定的时间和形式将提出的问题送达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在会议期间澄清</w:t>
      </w:r>
      <w:r>
        <w:rPr>
          <w:rFonts w:hint="eastAsia" w:ascii="宋体" w:hAnsi="宋体"/>
          <w:snapToGrid w:val="0"/>
          <w:color w:val="auto"/>
          <w:kern w:val="0"/>
          <w:szCs w:val="21"/>
          <w:highlight w:val="none"/>
        </w:rPr>
        <w:t>。</w:t>
      </w:r>
    </w:p>
    <w:p w14:paraId="2C6E2799">
      <w:pPr>
        <w:autoSpaceDE w:val="0"/>
        <w:autoSpaceDN w:val="0"/>
        <w:adjustRightInd w:val="0"/>
        <w:snapToGrid w:val="0"/>
        <w:spacing w:line="360" w:lineRule="auto"/>
        <w:ind w:firstLine="424" w:firstLineChars="202"/>
        <w:rPr>
          <w:rFonts w:ascii="宋体" w:hAnsi="宋体"/>
          <w:snapToGrid w:val="0"/>
          <w:color w:val="auto"/>
          <w:kern w:val="0"/>
          <w:szCs w:val="21"/>
          <w:highlight w:val="none"/>
        </w:rPr>
      </w:pPr>
      <w:r>
        <w:rPr>
          <w:rFonts w:ascii="宋体" w:hAnsi="宋体"/>
          <w:snapToGrid w:val="0"/>
          <w:color w:val="auto"/>
          <w:kern w:val="0"/>
          <w:szCs w:val="21"/>
          <w:highlight w:val="none"/>
        </w:rPr>
        <w:t>1.10.3  投标预备会后，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将对投标人所提问题的澄清，以投标人须知前附表规定的形式通知所有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投标人。该澄清内容为招标文件的组成部分。</w:t>
      </w:r>
    </w:p>
    <w:p w14:paraId="23EE2C92">
      <w:pPr>
        <w:pStyle w:val="4"/>
        <w:snapToGrid w:val="0"/>
        <w:spacing w:before="0" w:after="0" w:line="360" w:lineRule="auto"/>
        <w:rPr>
          <w:rFonts w:ascii="宋体" w:hAnsi="宋体"/>
          <w:b w:val="0"/>
          <w:snapToGrid w:val="0"/>
          <w:color w:val="auto"/>
          <w:sz w:val="24"/>
          <w:szCs w:val="24"/>
          <w:highlight w:val="none"/>
        </w:rPr>
      </w:pPr>
      <w:bookmarkStart w:id="194" w:name="_Toc20955"/>
      <w:bookmarkStart w:id="195" w:name="_Toc200513138"/>
      <w:bookmarkStart w:id="196" w:name="_Toc287607758"/>
      <w:bookmarkStart w:id="197" w:name="_Toc509218722"/>
      <w:bookmarkStart w:id="198" w:name="_Toc287620697"/>
      <w:bookmarkStart w:id="199" w:name="_Toc224103329"/>
      <w:bookmarkStart w:id="200" w:name="_Toc277082564"/>
      <w:bookmarkStart w:id="201" w:name="_Toc430530447"/>
      <w:r>
        <w:rPr>
          <w:rFonts w:ascii="宋体" w:hAnsi="宋体"/>
          <w:b w:val="0"/>
          <w:snapToGrid w:val="0"/>
          <w:color w:val="auto"/>
          <w:sz w:val="24"/>
          <w:szCs w:val="24"/>
          <w:highlight w:val="none"/>
        </w:rPr>
        <w:t>1.11  分包</w:t>
      </w:r>
      <w:bookmarkEnd w:id="194"/>
      <w:bookmarkEnd w:id="195"/>
      <w:bookmarkEnd w:id="196"/>
      <w:bookmarkEnd w:id="197"/>
      <w:bookmarkEnd w:id="198"/>
      <w:bookmarkEnd w:id="199"/>
      <w:bookmarkEnd w:id="200"/>
      <w:bookmarkEnd w:id="201"/>
    </w:p>
    <w:p w14:paraId="0C78F6A6">
      <w:pPr>
        <w:autoSpaceDE w:val="0"/>
        <w:autoSpaceDN w:val="0"/>
        <w:adjustRightInd w:val="0"/>
        <w:snapToGrid w:val="0"/>
        <w:spacing w:line="360" w:lineRule="auto"/>
        <w:ind w:firstLine="426"/>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23C049FA">
      <w:pPr>
        <w:autoSpaceDE w:val="0"/>
        <w:autoSpaceDN w:val="0"/>
        <w:adjustRightInd w:val="0"/>
        <w:snapToGrid w:val="0"/>
        <w:spacing w:line="360" w:lineRule="auto"/>
        <w:ind w:firstLine="426"/>
        <w:rPr>
          <w:color w:val="auto"/>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 xml:space="preserve">.11.2  </w:t>
      </w:r>
      <w:r>
        <w:rPr>
          <w:color w:val="auto"/>
          <w:highlight w:val="none"/>
        </w:rPr>
        <w:t>中标人不得向他人转让中标项目，接受分包的人不得再次分包。中标人应当就分包项目向</w:t>
      </w:r>
      <w:r>
        <w:rPr>
          <w:rFonts w:hint="eastAsia"/>
          <w:color w:val="auto"/>
          <w:highlight w:val="none"/>
          <w:lang w:eastAsia="zh-CN"/>
        </w:rPr>
        <w:t>比选人</w:t>
      </w:r>
      <w:r>
        <w:rPr>
          <w:color w:val="auto"/>
          <w:highlight w:val="none"/>
        </w:rPr>
        <w:t>负责，接受分包的人就分包项目承担连带责任。</w:t>
      </w:r>
    </w:p>
    <w:p w14:paraId="7A051AE4">
      <w:pPr>
        <w:pStyle w:val="4"/>
        <w:snapToGrid w:val="0"/>
        <w:spacing w:before="0" w:after="0" w:line="360" w:lineRule="auto"/>
        <w:rPr>
          <w:rFonts w:ascii="宋体" w:hAnsi="宋体"/>
          <w:b w:val="0"/>
          <w:snapToGrid w:val="0"/>
          <w:color w:val="auto"/>
          <w:sz w:val="24"/>
          <w:szCs w:val="24"/>
          <w:highlight w:val="none"/>
        </w:rPr>
      </w:pPr>
      <w:bookmarkStart w:id="202" w:name="_Toc509218723"/>
      <w:bookmarkStart w:id="203" w:name="_Toc287607759"/>
      <w:bookmarkStart w:id="204" w:name="_Toc277082565"/>
      <w:bookmarkStart w:id="205" w:name="_Toc430530448"/>
      <w:bookmarkStart w:id="206" w:name="_Toc224103330"/>
      <w:bookmarkStart w:id="207" w:name="_Toc287620698"/>
      <w:bookmarkStart w:id="208" w:name="_Toc200513139"/>
      <w:bookmarkStart w:id="209" w:name="_Toc19936"/>
      <w:r>
        <w:rPr>
          <w:rFonts w:ascii="宋体" w:hAnsi="宋体"/>
          <w:b w:val="0"/>
          <w:snapToGrid w:val="0"/>
          <w:color w:val="auto"/>
          <w:sz w:val="24"/>
          <w:szCs w:val="24"/>
          <w:highlight w:val="none"/>
        </w:rPr>
        <w:t xml:space="preserve">1.12  </w:t>
      </w:r>
      <w:bookmarkEnd w:id="202"/>
      <w:bookmarkEnd w:id="203"/>
      <w:bookmarkEnd w:id="204"/>
      <w:bookmarkEnd w:id="205"/>
      <w:bookmarkEnd w:id="206"/>
      <w:bookmarkEnd w:id="207"/>
      <w:bookmarkEnd w:id="208"/>
      <w:r>
        <w:rPr>
          <w:rFonts w:hint="eastAsia" w:ascii="宋体" w:hAnsi="宋体"/>
          <w:b w:val="0"/>
          <w:snapToGrid w:val="0"/>
          <w:color w:val="auto"/>
          <w:sz w:val="24"/>
          <w:szCs w:val="24"/>
          <w:highlight w:val="none"/>
        </w:rPr>
        <w:t>响应和偏离</w:t>
      </w:r>
      <w:bookmarkEnd w:id="209"/>
    </w:p>
    <w:p w14:paraId="581B260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.12.1  投标文件应当对招标文件的实质性要求和条件作出满足性或更有利于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的响应，否则，投标人的投标将被否决。</w:t>
      </w:r>
    </w:p>
    <w:p w14:paraId="629D040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1.12.2  投标人应根据招标文件的要求提供投标方案等内容以对招标文件作出响应。</w:t>
      </w:r>
    </w:p>
    <w:p w14:paraId="1F2B689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1</w:t>
      </w:r>
      <w:r>
        <w:rPr>
          <w:rFonts w:ascii="宋体" w:hAnsi="宋体"/>
          <w:snapToGrid w:val="0"/>
          <w:color w:val="auto"/>
          <w:kern w:val="0"/>
          <w:szCs w:val="21"/>
          <w:highlight w:val="none"/>
        </w:rPr>
        <w:t>.12.3  投标人须知前附表允许投标文件偏离招标文件某些要求的，偏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应当符合招标文件规定的偏</w:t>
      </w:r>
      <w:r>
        <w:rPr>
          <w:rFonts w:hint="eastAsia" w:ascii="宋体" w:hAnsi="宋体"/>
          <w:snapToGrid w:val="0"/>
          <w:color w:val="auto"/>
          <w:kern w:val="0"/>
          <w:szCs w:val="21"/>
          <w:highlight w:val="none"/>
        </w:rPr>
        <w:t>差</w:t>
      </w:r>
      <w:r>
        <w:rPr>
          <w:rFonts w:ascii="宋体" w:hAnsi="宋体"/>
          <w:snapToGrid w:val="0"/>
          <w:color w:val="auto"/>
          <w:kern w:val="0"/>
          <w:szCs w:val="21"/>
          <w:highlight w:val="none"/>
        </w:rPr>
        <w:t>范围和幅度。</w:t>
      </w:r>
    </w:p>
    <w:p w14:paraId="78977CA1">
      <w:pPr>
        <w:pStyle w:val="3"/>
        <w:spacing w:before="0" w:after="0" w:line="360" w:lineRule="auto"/>
        <w:rPr>
          <w:rFonts w:ascii="宋体" w:hAnsi="宋体"/>
          <w:b w:val="0"/>
          <w:snapToGrid w:val="0"/>
          <w:color w:val="auto"/>
          <w:highlight w:val="none"/>
        </w:rPr>
      </w:pPr>
      <w:bookmarkStart w:id="210" w:name="_Toc224103331"/>
      <w:bookmarkStart w:id="211" w:name="_Toc287607760"/>
      <w:bookmarkStart w:id="212" w:name="_Toc277082566"/>
      <w:bookmarkStart w:id="213" w:name="_Toc287620699"/>
      <w:bookmarkStart w:id="214" w:name="_Toc430530449"/>
      <w:bookmarkStart w:id="215" w:name="_Toc28984"/>
      <w:bookmarkStart w:id="216" w:name="_Toc509218724"/>
      <w:bookmarkStart w:id="217" w:name="_Toc200513140"/>
      <w:r>
        <w:rPr>
          <w:rFonts w:ascii="宋体" w:hAnsi="宋体"/>
          <w:b w:val="0"/>
          <w:snapToGrid w:val="0"/>
          <w:color w:val="auto"/>
          <w:highlight w:val="none"/>
        </w:rPr>
        <w:t>2.  招标文件</w:t>
      </w:r>
      <w:bookmarkEnd w:id="210"/>
      <w:bookmarkEnd w:id="211"/>
      <w:bookmarkEnd w:id="212"/>
      <w:bookmarkEnd w:id="213"/>
      <w:bookmarkEnd w:id="214"/>
      <w:bookmarkEnd w:id="215"/>
      <w:bookmarkEnd w:id="216"/>
      <w:bookmarkEnd w:id="217"/>
    </w:p>
    <w:p w14:paraId="193E9177">
      <w:pPr>
        <w:pStyle w:val="4"/>
        <w:snapToGrid w:val="0"/>
        <w:spacing w:before="0" w:after="0" w:line="360" w:lineRule="auto"/>
        <w:rPr>
          <w:rFonts w:ascii="宋体" w:hAnsi="宋体"/>
          <w:b w:val="0"/>
          <w:snapToGrid w:val="0"/>
          <w:color w:val="auto"/>
          <w:sz w:val="24"/>
          <w:szCs w:val="24"/>
          <w:highlight w:val="none"/>
        </w:rPr>
      </w:pPr>
      <w:bookmarkStart w:id="218" w:name="_Toc200513141"/>
      <w:bookmarkStart w:id="219" w:name="_Toc287607761"/>
      <w:bookmarkStart w:id="220" w:name="_Toc287620700"/>
      <w:bookmarkStart w:id="221" w:name="_Toc277082567"/>
      <w:bookmarkStart w:id="222" w:name="_Toc509218725"/>
      <w:bookmarkStart w:id="223" w:name="_Toc224103332"/>
      <w:bookmarkStart w:id="224" w:name="_Toc430530450"/>
      <w:bookmarkStart w:id="225" w:name="_Toc4774"/>
      <w:r>
        <w:rPr>
          <w:rFonts w:ascii="宋体" w:hAnsi="宋体"/>
          <w:b w:val="0"/>
          <w:snapToGrid w:val="0"/>
          <w:color w:val="auto"/>
          <w:sz w:val="24"/>
          <w:szCs w:val="24"/>
          <w:highlight w:val="none"/>
        </w:rPr>
        <w:t>2.1  招标文件的组成</w:t>
      </w:r>
      <w:bookmarkEnd w:id="218"/>
      <w:bookmarkEnd w:id="219"/>
      <w:bookmarkEnd w:id="220"/>
      <w:bookmarkEnd w:id="221"/>
      <w:bookmarkEnd w:id="222"/>
      <w:bookmarkEnd w:id="223"/>
      <w:bookmarkEnd w:id="224"/>
      <w:bookmarkEnd w:id="225"/>
    </w:p>
    <w:p w14:paraId="2D428DA7">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本招标文件包括：</w:t>
      </w:r>
    </w:p>
    <w:p w14:paraId="382D6E7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（1）招标公告（或投标邀请书）；</w:t>
      </w:r>
    </w:p>
    <w:p w14:paraId="2545D88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14:paraId="4BB68306">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14:paraId="0356782A">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14:paraId="1C39546B">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p>
    <w:p w14:paraId="23C8ED50">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（6）投标文件格式；</w:t>
      </w:r>
    </w:p>
    <w:p w14:paraId="5F13BCBE">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（7）投标人须知前附表规定的其他材料。</w:t>
      </w:r>
    </w:p>
    <w:p w14:paraId="000DC74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根据本章第1.10款、第2.2款和第2.3款对招标文件所作的澄清、修改，构成招标文件的组成部分。</w:t>
      </w:r>
    </w:p>
    <w:p w14:paraId="5A0422B5">
      <w:pPr>
        <w:pStyle w:val="4"/>
        <w:snapToGrid w:val="0"/>
        <w:spacing w:before="0" w:after="0" w:line="360" w:lineRule="auto"/>
        <w:rPr>
          <w:rFonts w:ascii="宋体" w:hAnsi="宋体"/>
          <w:b w:val="0"/>
          <w:snapToGrid w:val="0"/>
          <w:color w:val="auto"/>
          <w:sz w:val="24"/>
          <w:szCs w:val="24"/>
          <w:highlight w:val="none"/>
        </w:rPr>
      </w:pPr>
      <w:bookmarkStart w:id="226" w:name="_Toc430530451"/>
      <w:bookmarkStart w:id="227" w:name="_Toc22251"/>
      <w:bookmarkStart w:id="228" w:name="_Toc509218726"/>
      <w:r>
        <w:rPr>
          <w:rFonts w:ascii="宋体" w:hAnsi="宋体"/>
          <w:b w:val="0"/>
          <w:snapToGrid w:val="0"/>
          <w:color w:val="auto"/>
          <w:sz w:val="24"/>
          <w:szCs w:val="24"/>
          <w:highlight w:val="none"/>
        </w:rPr>
        <w:t>2.2  招标文件的澄清</w:t>
      </w:r>
      <w:bookmarkEnd w:id="226"/>
      <w:bookmarkEnd w:id="227"/>
      <w:bookmarkEnd w:id="228"/>
    </w:p>
    <w:p w14:paraId="1FB5C2CC">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投标人应仔细阅读和检查招标文件的全部内容。如发现缺页或附件不全，应及时向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投标人须知前附表规定的时间和形式提出问题，要求</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对招标文件予以澄清。</w:t>
      </w:r>
    </w:p>
    <w:p w14:paraId="02D74DE8">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2.2.2  招标文件的澄清</w:t>
      </w:r>
      <w:r>
        <w:rPr>
          <w:rFonts w:hint="eastAsia" w:ascii="宋体" w:hAnsi="宋体"/>
          <w:snapToGrid w:val="0"/>
          <w:color w:val="auto"/>
          <w:kern w:val="0"/>
          <w:szCs w:val="21"/>
          <w:highlight w:val="none"/>
        </w:rPr>
        <w:t>按</w:t>
      </w:r>
      <w:r>
        <w:rPr>
          <w:rFonts w:ascii="宋体" w:hAnsi="宋体"/>
          <w:snapToGrid w:val="0"/>
          <w:color w:val="auto"/>
          <w:kern w:val="0"/>
          <w:szCs w:val="21"/>
          <w:highlight w:val="none"/>
        </w:rPr>
        <w:t>投标人须知前附表规定的</w:t>
      </w:r>
      <w:r>
        <w:rPr>
          <w:rFonts w:hint="eastAsia" w:ascii="宋体" w:hAnsi="宋体"/>
          <w:snapToGrid w:val="0"/>
          <w:color w:val="auto"/>
          <w:kern w:val="0"/>
          <w:szCs w:val="21"/>
          <w:highlight w:val="none"/>
        </w:rPr>
        <w:t>时间和</w:t>
      </w:r>
      <w:r>
        <w:rPr>
          <w:rFonts w:ascii="宋体" w:hAnsi="宋体"/>
          <w:snapToGrid w:val="0"/>
          <w:color w:val="auto"/>
          <w:kern w:val="0"/>
          <w:szCs w:val="21"/>
          <w:highlight w:val="none"/>
        </w:rPr>
        <w:t>形式发给所有</w:t>
      </w:r>
      <w:r>
        <w:rPr>
          <w:rFonts w:hint="eastAsia" w:ascii="宋体" w:hAnsi="宋体"/>
          <w:snapToGrid w:val="0"/>
          <w:color w:val="auto"/>
          <w:kern w:val="0"/>
          <w:szCs w:val="21"/>
          <w:highlight w:val="none"/>
        </w:rPr>
        <w:t>潜在</w:t>
      </w:r>
      <w:r>
        <w:rPr>
          <w:rFonts w:ascii="宋体" w:hAnsi="宋体"/>
          <w:snapToGrid w:val="0"/>
          <w:color w:val="auto"/>
          <w:kern w:val="0"/>
          <w:szCs w:val="21"/>
          <w:highlight w:val="none"/>
        </w:rPr>
        <w:t>投标人，但不指明澄清问题的来源。澄清发出的时间距本章第4.2.1项规定的投标截止时间不足15日的，并且澄清内容可能影响投标文件编制的，将相应延长投标截止时间。</w:t>
      </w:r>
    </w:p>
    <w:p w14:paraId="124FEB4D">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ascii="宋体" w:hAnsi="宋体"/>
          <w:color w:val="auto"/>
          <w:kern w:val="0"/>
          <w:szCs w:val="21"/>
          <w:highlight w:val="none"/>
        </w:rPr>
        <w:t>投标人在收到澄清后，应</w:t>
      </w:r>
      <w:r>
        <w:rPr>
          <w:rFonts w:hint="eastAsia" w:ascii="宋体" w:hAnsi="宋体"/>
          <w:color w:val="auto"/>
          <w:kern w:val="0"/>
          <w:szCs w:val="21"/>
          <w:highlight w:val="none"/>
        </w:rPr>
        <w:t>向</w:t>
      </w:r>
      <w:r>
        <w:rPr>
          <w:rFonts w:hint="eastAsia" w:ascii="宋体" w:hAnsi="宋体"/>
          <w:color w:val="auto"/>
          <w:kern w:val="0"/>
          <w:szCs w:val="21"/>
          <w:highlight w:val="none"/>
          <w:lang w:eastAsia="zh-CN"/>
        </w:rPr>
        <w:t>比选人</w:t>
      </w:r>
      <w:r>
        <w:rPr>
          <w:rFonts w:ascii="宋体" w:hAnsi="宋体"/>
          <w:color w:val="auto"/>
          <w:kern w:val="0"/>
          <w:szCs w:val="21"/>
          <w:highlight w:val="none"/>
        </w:rPr>
        <w:t>确认已收到该澄清。</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采用网络媒介公开发布澄清的，无论投标人是否查看，均视为所有潜在投标人清楚知晓澄清全部内容。投标人应在投标截止时间前密切关注澄清发布媒介发出的相关内容。</w:t>
      </w:r>
    </w:p>
    <w:p w14:paraId="070F8F9D">
      <w:pPr>
        <w:autoSpaceDE w:val="0"/>
        <w:autoSpaceDN w:val="0"/>
        <w:adjustRightInd w:val="0"/>
        <w:snapToGrid w:val="0"/>
        <w:spacing w:line="360" w:lineRule="auto"/>
        <w:ind w:firstLine="420" w:firstLineChars="200"/>
        <w:rPr>
          <w:rFonts w:ascii="宋体" w:hAnsi="宋体"/>
          <w:snapToGrid w:val="0"/>
          <w:color w:val="auto"/>
          <w:kern w:val="0"/>
          <w:position w:val="-2"/>
          <w:szCs w:val="21"/>
          <w:highlight w:val="none"/>
        </w:rPr>
      </w:pPr>
      <w:r>
        <w:rPr>
          <w:rFonts w:ascii="宋体" w:hAnsi="宋体"/>
          <w:snapToGrid w:val="0"/>
          <w:color w:val="auto"/>
          <w:kern w:val="0"/>
          <w:position w:val="-2"/>
          <w:szCs w:val="21"/>
          <w:highlight w:val="none"/>
        </w:rPr>
        <w:t>2.2.4  除非</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认为确有必要答复，否则，</w:t>
      </w:r>
      <w:r>
        <w:rPr>
          <w:rFonts w:hint="eastAsia" w:ascii="宋体" w:hAnsi="宋体"/>
          <w:snapToGrid w:val="0"/>
          <w:color w:val="auto"/>
          <w:kern w:val="0"/>
          <w:position w:val="-2"/>
          <w:szCs w:val="21"/>
          <w:highlight w:val="none"/>
          <w:lang w:eastAsia="zh-CN"/>
        </w:rPr>
        <w:t>比选人</w:t>
      </w:r>
      <w:r>
        <w:rPr>
          <w:rFonts w:ascii="宋体" w:hAnsi="宋体"/>
          <w:snapToGrid w:val="0"/>
          <w:color w:val="auto"/>
          <w:kern w:val="0"/>
          <w:position w:val="-2"/>
          <w:szCs w:val="21"/>
          <w:highlight w:val="none"/>
        </w:rPr>
        <w:t>有权拒绝回复投标人在本章第2.2.1项规定的时间后的任何澄清要求。</w:t>
      </w:r>
    </w:p>
    <w:p w14:paraId="3802FBE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投标人对招标文件和</w:t>
      </w:r>
      <w:r>
        <w:rPr>
          <w:rFonts w:hint="eastAsia" w:ascii="宋体" w:hAnsi="宋体"/>
          <w:snapToGrid w:val="0"/>
          <w:color w:val="auto"/>
          <w:kern w:val="0"/>
          <w:position w:val="-2"/>
          <w:szCs w:val="21"/>
          <w:highlight w:val="none"/>
        </w:rPr>
        <w:t>澄清</w:t>
      </w:r>
      <w:r>
        <w:rPr>
          <w:rFonts w:ascii="宋体" w:hAnsi="宋体"/>
          <w:snapToGrid w:val="0"/>
          <w:color w:val="auto"/>
          <w:kern w:val="0"/>
          <w:position w:val="-2"/>
          <w:szCs w:val="21"/>
          <w:highlight w:val="none"/>
        </w:rPr>
        <w:t>修改仍有</w:t>
      </w:r>
      <w:r>
        <w:rPr>
          <w:rFonts w:hint="eastAsia" w:ascii="宋体" w:hAnsi="宋体"/>
          <w:snapToGrid w:val="0"/>
          <w:color w:val="auto"/>
          <w:kern w:val="0"/>
          <w:position w:val="-2"/>
          <w:szCs w:val="21"/>
          <w:highlight w:val="none"/>
        </w:rPr>
        <w:t>异议</w:t>
      </w:r>
      <w:r>
        <w:rPr>
          <w:rFonts w:ascii="宋体" w:hAnsi="宋体"/>
          <w:snapToGrid w:val="0"/>
          <w:color w:val="auto"/>
          <w:kern w:val="0"/>
          <w:position w:val="-2"/>
          <w:szCs w:val="21"/>
          <w:highlight w:val="none"/>
        </w:rPr>
        <w:t>的，可于投标截止时间10日前，</w:t>
      </w:r>
      <w:r>
        <w:rPr>
          <w:rFonts w:hint="eastAsia" w:ascii="宋体" w:hAnsi="宋体" w:cs="宋体"/>
          <w:snapToGrid w:val="0"/>
          <w:color w:val="auto"/>
          <w:position w:val="-2"/>
          <w:szCs w:val="21"/>
          <w:highlight w:val="none"/>
        </w:rPr>
        <w:t>通过重庆市电子招投标系统提出</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应将答复以</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的形式在</w:t>
      </w:r>
      <w:r>
        <w:rPr>
          <w:rFonts w:hint="eastAsia" w:ascii="宋体" w:hAnsi="宋体"/>
          <w:color w:val="auto"/>
          <w:kern w:val="0"/>
          <w:szCs w:val="21"/>
          <w:highlight w:val="none"/>
        </w:rPr>
        <w:t>相应法定网站</w:t>
      </w:r>
      <w:r>
        <w:rPr>
          <w:rFonts w:ascii="宋体" w:hAnsi="宋体"/>
          <w:color w:val="auto"/>
          <w:kern w:val="0"/>
          <w:szCs w:val="21"/>
          <w:highlight w:val="none"/>
        </w:rPr>
        <w:t>发布</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内容可能影响投标文件编制的，须在投标截止时间15日前发布，发布时间至投标截止时间不足15日的，须相应延后投标截止时间。</w:t>
      </w:r>
    </w:p>
    <w:p w14:paraId="3EDF802B">
      <w:pPr>
        <w:pStyle w:val="4"/>
        <w:snapToGrid w:val="0"/>
        <w:spacing w:before="0" w:after="0" w:line="360" w:lineRule="auto"/>
        <w:rPr>
          <w:rFonts w:ascii="宋体" w:hAnsi="宋体"/>
          <w:b w:val="0"/>
          <w:snapToGrid w:val="0"/>
          <w:color w:val="auto"/>
          <w:sz w:val="24"/>
          <w:szCs w:val="24"/>
          <w:highlight w:val="none"/>
        </w:rPr>
      </w:pPr>
      <w:bookmarkStart w:id="229" w:name="_Toc509218727"/>
      <w:bookmarkStart w:id="230" w:name="_Toc277082569"/>
      <w:bookmarkStart w:id="231" w:name="_Toc287620702"/>
      <w:bookmarkStart w:id="232" w:name="_Toc28579"/>
      <w:bookmarkStart w:id="233" w:name="_Toc200513143"/>
      <w:bookmarkStart w:id="234" w:name="_Toc224103334"/>
      <w:bookmarkStart w:id="235" w:name="_Toc430530452"/>
      <w:bookmarkStart w:id="236" w:name="_Toc287607763"/>
      <w:r>
        <w:rPr>
          <w:rFonts w:ascii="宋体" w:hAnsi="宋体"/>
          <w:b w:val="0"/>
          <w:snapToGrid w:val="0"/>
          <w:color w:val="auto"/>
          <w:sz w:val="24"/>
          <w:szCs w:val="24"/>
          <w:highlight w:val="none"/>
        </w:rPr>
        <w:t>2.3  招标文件的修改</w:t>
      </w:r>
      <w:bookmarkEnd w:id="229"/>
      <w:bookmarkEnd w:id="230"/>
      <w:bookmarkEnd w:id="231"/>
      <w:bookmarkEnd w:id="232"/>
      <w:bookmarkEnd w:id="233"/>
      <w:bookmarkEnd w:id="234"/>
      <w:bookmarkEnd w:id="235"/>
      <w:bookmarkEnd w:id="236"/>
    </w:p>
    <w:p w14:paraId="25071D4D">
      <w:pPr>
        <w:autoSpaceDE w:val="0"/>
        <w:autoSpaceDN w:val="0"/>
        <w:adjustRightInd w:val="0"/>
        <w:snapToGrid w:val="0"/>
        <w:spacing w:line="360" w:lineRule="auto"/>
        <w:ind w:firstLine="420"/>
        <w:rPr>
          <w:rFonts w:ascii="宋体" w:hAnsi="宋体"/>
          <w:snapToGrid w:val="0"/>
          <w:color w:val="auto"/>
          <w:highlight w:val="none"/>
        </w:rPr>
      </w:pPr>
      <w:bookmarkStart w:id="237" w:name="_Toc224103335"/>
      <w:bookmarkStart w:id="238" w:name="_Toc287620703"/>
      <w:bookmarkStart w:id="239" w:name="_Toc287607764"/>
      <w:bookmarkStart w:id="240" w:name="_Toc200513144"/>
      <w:bookmarkStart w:id="241" w:name="_Toc277082570"/>
      <w:r>
        <w:rPr>
          <w:rFonts w:hint="eastAsia" w:ascii="宋体" w:hAnsi="宋体"/>
          <w:snapToGrid w:val="0"/>
          <w:color w:val="auto"/>
          <w:highlight w:val="none"/>
        </w:rPr>
        <w:t>2</w:t>
      </w:r>
      <w:r>
        <w:rPr>
          <w:rFonts w:ascii="宋体" w:hAnsi="宋体"/>
          <w:snapToGrid w:val="0"/>
          <w:color w:val="auto"/>
          <w:highlight w:val="none"/>
        </w:rPr>
        <w:t>.3.1  招标文件的</w:t>
      </w:r>
      <w:r>
        <w:rPr>
          <w:rFonts w:hint="eastAsia" w:ascii="宋体" w:hAnsi="宋体"/>
          <w:snapToGrid w:val="0"/>
          <w:color w:val="auto"/>
          <w:highlight w:val="none"/>
        </w:rPr>
        <w:t>修改</w:t>
      </w:r>
      <w:r>
        <w:rPr>
          <w:rFonts w:ascii="宋体" w:hAnsi="宋体"/>
          <w:snapToGrid w:val="0"/>
          <w:color w:val="auto"/>
          <w:highlight w:val="none"/>
        </w:rPr>
        <w:t>按投标人须知前附表规定的时间和形式发给所有潜在投标人</w:t>
      </w:r>
      <w:r>
        <w:rPr>
          <w:rFonts w:hint="eastAsia" w:ascii="宋体" w:hAnsi="宋体"/>
          <w:snapToGrid w:val="0"/>
          <w:color w:val="auto"/>
          <w:highlight w:val="none"/>
        </w:rPr>
        <w:t>。</w:t>
      </w:r>
      <w:r>
        <w:rPr>
          <w:rFonts w:ascii="宋体" w:hAnsi="宋体"/>
          <w:snapToGrid w:val="0"/>
          <w:color w:val="auto"/>
          <w:highlight w:val="none"/>
        </w:rPr>
        <w:t>修改招标文件的时间距本章第4.2.1项规定的投标截止时间不足15日的，并且修改内容可能影响投标文件编制的，将相应延长投标截止时间。</w:t>
      </w:r>
    </w:p>
    <w:p w14:paraId="091300D5">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w:t>
      </w:r>
      <w:r>
        <w:rPr>
          <w:rFonts w:ascii="宋体" w:hAnsi="宋体"/>
          <w:snapToGrid w:val="0"/>
          <w:color w:val="auto"/>
          <w:highlight w:val="none"/>
        </w:rPr>
        <w:t>.3.2  投标人在收到</w:t>
      </w:r>
      <w:r>
        <w:rPr>
          <w:rFonts w:hint="eastAsia" w:ascii="宋体" w:hAnsi="宋体"/>
          <w:snapToGrid w:val="0"/>
          <w:color w:val="auto"/>
          <w:highlight w:val="none"/>
        </w:rPr>
        <w:t>修改内容</w:t>
      </w:r>
      <w:r>
        <w:rPr>
          <w:rFonts w:ascii="宋体" w:hAnsi="宋体"/>
          <w:snapToGrid w:val="0"/>
          <w:color w:val="auto"/>
          <w:highlight w:val="none"/>
        </w:rPr>
        <w:t>后，应向</w:t>
      </w:r>
      <w:r>
        <w:rPr>
          <w:rFonts w:hint="eastAsia" w:ascii="宋体" w:hAnsi="宋体"/>
          <w:snapToGrid w:val="0"/>
          <w:color w:val="auto"/>
          <w:highlight w:val="none"/>
          <w:lang w:eastAsia="zh-CN"/>
        </w:rPr>
        <w:t>比选人</w:t>
      </w:r>
      <w:r>
        <w:rPr>
          <w:rFonts w:ascii="宋体" w:hAnsi="宋体"/>
          <w:snapToGrid w:val="0"/>
          <w:color w:val="auto"/>
          <w:highlight w:val="none"/>
        </w:rPr>
        <w:t>确认已收到该</w:t>
      </w:r>
      <w:r>
        <w:rPr>
          <w:rFonts w:hint="eastAsia" w:ascii="宋体" w:hAnsi="宋体"/>
          <w:snapToGrid w:val="0"/>
          <w:color w:val="auto"/>
          <w:highlight w:val="none"/>
        </w:rPr>
        <w:t>修改内容</w:t>
      </w:r>
      <w:r>
        <w:rPr>
          <w:rFonts w:ascii="宋体" w:hAnsi="宋体"/>
          <w:snapToGrid w:val="0"/>
          <w:color w:val="auto"/>
          <w:highlight w:val="none"/>
        </w:rPr>
        <w:t>。</w:t>
      </w:r>
      <w:r>
        <w:rPr>
          <w:rFonts w:hint="eastAsia" w:ascii="宋体" w:hAnsi="宋体"/>
          <w:snapToGrid w:val="0"/>
          <w:color w:val="auto"/>
          <w:highlight w:val="none"/>
          <w:lang w:eastAsia="zh-CN"/>
        </w:rPr>
        <w:t>比选人</w:t>
      </w:r>
      <w:r>
        <w:rPr>
          <w:rFonts w:hint="eastAsia" w:ascii="宋体" w:hAnsi="宋体"/>
          <w:snapToGrid w:val="0"/>
          <w:color w:val="auto"/>
          <w:highlight w:val="none"/>
        </w:rPr>
        <w:t>采用网络媒介公开发布修改内容的，无论投标人是否查看，均视为所有潜在投标人清楚知晓修改全部内容。投标人应在投标截止时间前密切关注修改发布媒介发出的相关内容。</w:t>
      </w:r>
    </w:p>
    <w:p w14:paraId="2DBD975F">
      <w:pPr>
        <w:pStyle w:val="4"/>
        <w:snapToGrid w:val="0"/>
        <w:spacing w:before="0" w:after="0" w:line="360" w:lineRule="auto"/>
        <w:rPr>
          <w:rFonts w:ascii="宋体" w:hAnsi="宋体"/>
          <w:b w:val="0"/>
          <w:snapToGrid w:val="0"/>
          <w:color w:val="auto"/>
          <w:sz w:val="24"/>
          <w:szCs w:val="24"/>
          <w:highlight w:val="none"/>
        </w:rPr>
      </w:pPr>
      <w:bookmarkStart w:id="242" w:name="_Toc5977"/>
      <w:r>
        <w:rPr>
          <w:rFonts w:ascii="宋体" w:hAnsi="宋体"/>
          <w:b w:val="0"/>
          <w:snapToGrid w:val="0"/>
          <w:color w:val="auto"/>
          <w:sz w:val="24"/>
          <w:szCs w:val="24"/>
          <w:highlight w:val="none"/>
        </w:rPr>
        <w:t>2.4  招标文件的</w:t>
      </w:r>
      <w:r>
        <w:rPr>
          <w:rFonts w:hint="eastAsia" w:ascii="宋体" w:hAnsi="宋体"/>
          <w:b w:val="0"/>
          <w:snapToGrid w:val="0"/>
          <w:color w:val="auto"/>
          <w:sz w:val="24"/>
          <w:szCs w:val="24"/>
          <w:highlight w:val="none"/>
        </w:rPr>
        <w:t>异议</w:t>
      </w:r>
      <w:bookmarkEnd w:id="242"/>
    </w:p>
    <w:p w14:paraId="5C10818E">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投标人或者其他利害关系人对招标文件</w:t>
      </w:r>
      <w:r>
        <w:rPr>
          <w:rFonts w:hint="eastAsia" w:ascii="宋体" w:hAnsi="宋体"/>
          <w:snapToGrid w:val="0"/>
          <w:color w:val="auto"/>
          <w:highlight w:val="none"/>
        </w:rPr>
        <w:t>及澄清修改</w:t>
      </w:r>
      <w:r>
        <w:rPr>
          <w:rFonts w:ascii="宋体" w:hAnsi="宋体"/>
          <w:snapToGrid w:val="0"/>
          <w:color w:val="auto"/>
          <w:highlight w:val="none"/>
        </w:rPr>
        <w:t>有异议的，应当在投标截止时间10日前</w:t>
      </w:r>
      <w:r>
        <w:rPr>
          <w:rFonts w:hint="eastAsia" w:ascii="宋体" w:hAnsi="宋体"/>
          <w:snapToGrid w:val="0"/>
          <w:color w:val="auto"/>
          <w:highlight w:val="none"/>
        </w:rPr>
        <w:t>按投标人须知前附表规定的形式</w:t>
      </w:r>
      <w:r>
        <w:rPr>
          <w:rFonts w:ascii="宋体" w:hAnsi="宋体"/>
          <w:snapToGrid w:val="0"/>
          <w:color w:val="auto"/>
          <w:highlight w:val="none"/>
        </w:rPr>
        <w:t>提出。</w:t>
      </w:r>
      <w:r>
        <w:rPr>
          <w:rFonts w:hint="eastAsia" w:ascii="宋体" w:hAnsi="宋体"/>
          <w:snapToGrid w:val="0"/>
          <w:color w:val="auto"/>
          <w:highlight w:val="none"/>
          <w:lang w:eastAsia="zh-CN"/>
        </w:rPr>
        <w:t>比选人</w:t>
      </w:r>
      <w:r>
        <w:rPr>
          <w:rFonts w:hint="eastAsia" w:ascii="宋体" w:hAnsi="宋体"/>
          <w:snapToGrid w:val="0"/>
          <w:color w:val="auto"/>
          <w:highlight w:val="none"/>
        </w:rPr>
        <w:t>应当自</w:t>
      </w:r>
      <w:r>
        <w:rPr>
          <w:rFonts w:ascii="宋体" w:hAnsi="宋体"/>
          <w:snapToGrid w:val="0"/>
          <w:color w:val="auto"/>
          <w:highlight w:val="none"/>
        </w:rPr>
        <w:t>收到异议之日起 3 日内作出答复</w:t>
      </w:r>
      <w:r>
        <w:rPr>
          <w:rFonts w:hint="eastAsia" w:ascii="宋体" w:hAnsi="宋体"/>
          <w:snapToGrid w:val="0"/>
          <w:color w:val="auto"/>
          <w:highlight w:val="none"/>
        </w:rPr>
        <w:t>。</w:t>
      </w:r>
      <w:r>
        <w:rPr>
          <w:rFonts w:ascii="宋体" w:hAnsi="宋体"/>
          <w:snapToGrid w:val="0"/>
          <w:color w:val="auto"/>
          <w:highlight w:val="none"/>
        </w:rPr>
        <w:t>作出答复前，将暂停招标投标活动。</w:t>
      </w:r>
    </w:p>
    <w:p w14:paraId="25AF486E">
      <w:pPr>
        <w:pStyle w:val="3"/>
        <w:spacing w:before="0" w:after="0" w:line="360" w:lineRule="auto"/>
        <w:rPr>
          <w:rFonts w:ascii="宋体" w:hAnsi="宋体"/>
          <w:b w:val="0"/>
          <w:snapToGrid w:val="0"/>
          <w:color w:val="auto"/>
          <w:highlight w:val="none"/>
        </w:rPr>
      </w:pPr>
      <w:bookmarkStart w:id="243" w:name="_Toc509218728"/>
      <w:bookmarkStart w:id="244" w:name="_Toc430530453"/>
      <w:bookmarkStart w:id="245" w:name="_Toc9036"/>
      <w:r>
        <w:rPr>
          <w:rFonts w:ascii="宋体" w:hAnsi="宋体"/>
          <w:b w:val="0"/>
          <w:snapToGrid w:val="0"/>
          <w:color w:val="auto"/>
          <w:highlight w:val="none"/>
        </w:rPr>
        <w:t>3.  投标文件</w:t>
      </w:r>
      <w:bookmarkEnd w:id="237"/>
      <w:bookmarkEnd w:id="238"/>
      <w:bookmarkEnd w:id="239"/>
      <w:bookmarkEnd w:id="240"/>
      <w:bookmarkEnd w:id="241"/>
      <w:bookmarkEnd w:id="243"/>
      <w:bookmarkEnd w:id="244"/>
      <w:bookmarkEnd w:id="245"/>
    </w:p>
    <w:p w14:paraId="61F21193">
      <w:pPr>
        <w:pStyle w:val="4"/>
        <w:snapToGrid w:val="0"/>
        <w:spacing w:before="0" w:after="0" w:line="360" w:lineRule="auto"/>
        <w:rPr>
          <w:rFonts w:ascii="宋体" w:hAnsi="宋体"/>
          <w:b w:val="0"/>
          <w:snapToGrid w:val="0"/>
          <w:color w:val="auto"/>
          <w:sz w:val="24"/>
          <w:szCs w:val="24"/>
          <w:highlight w:val="none"/>
        </w:rPr>
      </w:pPr>
      <w:bookmarkStart w:id="246" w:name="_Toc509218729"/>
      <w:bookmarkStart w:id="247" w:name="_Toc224103336"/>
      <w:bookmarkStart w:id="248" w:name="_Toc277082571"/>
      <w:bookmarkStart w:id="249" w:name="_Toc287620704"/>
      <w:bookmarkStart w:id="250" w:name="_Toc430530454"/>
      <w:bookmarkStart w:id="251" w:name="_Toc200513145"/>
      <w:bookmarkStart w:id="252" w:name="_Toc287607765"/>
      <w:bookmarkStart w:id="253" w:name="_Toc11300"/>
      <w:r>
        <w:rPr>
          <w:rFonts w:ascii="宋体" w:hAnsi="宋体"/>
          <w:b w:val="0"/>
          <w:snapToGrid w:val="0"/>
          <w:color w:val="auto"/>
          <w:sz w:val="24"/>
          <w:szCs w:val="24"/>
          <w:highlight w:val="none"/>
        </w:rPr>
        <w:t>3.1  投标文件的组成</w:t>
      </w:r>
      <w:bookmarkEnd w:id="246"/>
      <w:bookmarkEnd w:id="247"/>
      <w:bookmarkEnd w:id="248"/>
      <w:bookmarkEnd w:id="249"/>
      <w:bookmarkEnd w:id="250"/>
      <w:bookmarkEnd w:id="251"/>
      <w:bookmarkEnd w:id="252"/>
      <w:bookmarkEnd w:id="253"/>
    </w:p>
    <w:p w14:paraId="22175801">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3.1.1 投标文件应包括下列内容：</w:t>
      </w:r>
    </w:p>
    <w:p w14:paraId="4E3986A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3.1.1.1投标函部分</w:t>
      </w:r>
    </w:p>
    <w:p w14:paraId="5571199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（1）投标函；</w:t>
      </w:r>
    </w:p>
    <w:p w14:paraId="341B4A0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（2）投标函附录；</w:t>
      </w:r>
    </w:p>
    <w:p w14:paraId="023297E7">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（3）法定代表人身份证明或附有法定代表人身份证明的授权委托书；</w:t>
      </w:r>
    </w:p>
    <w:p w14:paraId="4DF0864C">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（4）</w:t>
      </w:r>
      <w:r>
        <w:rPr>
          <w:rFonts w:ascii="宋体" w:hAnsi="宋体"/>
          <w:snapToGrid w:val="0"/>
          <w:color w:val="auto"/>
          <w:highlight w:val="none"/>
        </w:rPr>
        <w:t>费用清单</w:t>
      </w:r>
      <w:r>
        <w:rPr>
          <w:rFonts w:hint="eastAsia" w:ascii="宋体" w:hAnsi="宋体"/>
          <w:snapToGrid w:val="0"/>
          <w:color w:val="auto"/>
          <w:highlight w:val="none"/>
        </w:rPr>
        <w:t>（如有）</w:t>
      </w:r>
      <w:r>
        <w:rPr>
          <w:rFonts w:ascii="宋体" w:hAnsi="宋体"/>
          <w:snapToGrid w:val="0"/>
          <w:color w:val="auto"/>
          <w:highlight w:val="none"/>
        </w:rPr>
        <w:t>；</w:t>
      </w:r>
    </w:p>
    <w:p w14:paraId="757A276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2</w:t>
      </w:r>
      <w:r>
        <w:rPr>
          <w:rFonts w:hint="eastAsia" w:ascii="宋体" w:hAnsi="宋体"/>
          <w:snapToGrid w:val="0"/>
          <w:color w:val="auto"/>
          <w:highlight w:val="none"/>
        </w:rPr>
        <w:t>商务部分（不设置商务部分评审的不设此部分）</w:t>
      </w:r>
    </w:p>
    <w:p w14:paraId="062C65F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3</w:t>
      </w:r>
      <w:r>
        <w:rPr>
          <w:rFonts w:hint="eastAsia" w:ascii="宋体" w:hAnsi="宋体"/>
          <w:snapToGrid w:val="0"/>
          <w:color w:val="auto"/>
          <w:highlight w:val="none"/>
        </w:rPr>
        <w:t>技术部分（不设置技术方案评审的不设此部分）</w:t>
      </w:r>
    </w:p>
    <w:p w14:paraId="5E657371">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3.1.1.</w:t>
      </w:r>
      <w:r>
        <w:rPr>
          <w:rFonts w:ascii="宋体" w:hAnsi="宋体"/>
          <w:snapToGrid w:val="0"/>
          <w:color w:val="auto"/>
          <w:highlight w:val="none"/>
        </w:rPr>
        <w:t>4</w:t>
      </w:r>
      <w:r>
        <w:rPr>
          <w:rFonts w:hint="eastAsia" w:ascii="宋体" w:hAnsi="宋体"/>
          <w:snapToGrid w:val="0"/>
          <w:color w:val="auto"/>
          <w:highlight w:val="none"/>
        </w:rPr>
        <w:t>资格审查部分</w:t>
      </w:r>
    </w:p>
    <w:p w14:paraId="4C2921AE">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（1）法定代表人身份证明或附有法定代表人身份证明的授权委托书</w:t>
      </w:r>
    </w:p>
    <w:p w14:paraId="11C4A469">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2</w:t>
      </w:r>
      <w:r>
        <w:rPr>
          <w:rFonts w:hint="eastAsia" w:ascii="宋体" w:hAnsi="宋体"/>
          <w:snapToGrid w:val="0"/>
          <w:color w:val="auto"/>
          <w:highlight w:val="none"/>
        </w:rPr>
        <w:t>）投标人基本情况表</w:t>
      </w:r>
    </w:p>
    <w:p w14:paraId="64790DFB">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3</w:t>
      </w:r>
      <w:r>
        <w:rPr>
          <w:rFonts w:hint="eastAsia" w:ascii="宋体" w:hAnsi="宋体"/>
          <w:snapToGrid w:val="0"/>
          <w:color w:val="auto"/>
          <w:highlight w:val="none"/>
        </w:rPr>
        <w:t>）</w:t>
      </w:r>
      <w:r>
        <w:rPr>
          <w:rFonts w:ascii="宋体" w:hAnsi="宋体"/>
          <w:snapToGrid w:val="0"/>
          <w:color w:val="auto"/>
          <w:highlight w:val="none"/>
        </w:rPr>
        <w:t>主要人员汇总表</w:t>
      </w:r>
    </w:p>
    <w:p w14:paraId="79412D06">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4</w:t>
      </w:r>
      <w:r>
        <w:rPr>
          <w:rFonts w:hint="eastAsia" w:ascii="宋体" w:hAnsi="宋体"/>
          <w:snapToGrid w:val="0"/>
          <w:color w:val="auto"/>
          <w:highlight w:val="none"/>
        </w:rPr>
        <w:t>）</w:t>
      </w:r>
      <w:r>
        <w:rPr>
          <w:rFonts w:ascii="宋体" w:hAnsi="宋体"/>
          <w:snapToGrid w:val="0"/>
          <w:color w:val="auto"/>
          <w:highlight w:val="none"/>
        </w:rPr>
        <w:t>主要人员</w:t>
      </w:r>
      <w:r>
        <w:rPr>
          <w:rFonts w:hint="eastAsia" w:ascii="宋体" w:hAnsi="宋体"/>
          <w:snapToGrid w:val="0"/>
          <w:color w:val="auto"/>
          <w:highlight w:val="none"/>
        </w:rPr>
        <w:t>简历</w:t>
      </w:r>
      <w:r>
        <w:rPr>
          <w:rFonts w:ascii="宋体" w:hAnsi="宋体"/>
          <w:snapToGrid w:val="0"/>
          <w:color w:val="auto"/>
          <w:highlight w:val="none"/>
        </w:rPr>
        <w:t>表</w:t>
      </w:r>
    </w:p>
    <w:p w14:paraId="12BD490F">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5</w:t>
      </w:r>
      <w:r>
        <w:rPr>
          <w:rFonts w:hint="eastAsia" w:ascii="宋体" w:hAnsi="宋体"/>
          <w:snapToGrid w:val="0"/>
          <w:color w:val="auto"/>
          <w:highlight w:val="none"/>
        </w:rPr>
        <w:t>）近年财务状况表（如有）</w:t>
      </w:r>
    </w:p>
    <w:p w14:paraId="716FE158">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6</w:t>
      </w:r>
      <w:r>
        <w:rPr>
          <w:rFonts w:hint="eastAsia" w:ascii="宋体" w:hAnsi="宋体"/>
          <w:snapToGrid w:val="0"/>
          <w:color w:val="auto"/>
          <w:highlight w:val="none"/>
        </w:rPr>
        <w:t>）类似项目情况表（如有）</w:t>
      </w:r>
    </w:p>
    <w:p w14:paraId="005908A0">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7</w:t>
      </w:r>
      <w:r>
        <w:rPr>
          <w:rFonts w:hint="eastAsia" w:ascii="宋体" w:hAnsi="宋体"/>
          <w:snapToGrid w:val="0"/>
          <w:color w:val="auto"/>
          <w:highlight w:val="none"/>
        </w:rPr>
        <w:t>）承诺</w:t>
      </w:r>
    </w:p>
    <w:p w14:paraId="4CF319F5">
      <w:pPr>
        <w:autoSpaceDE w:val="0"/>
        <w:autoSpaceDN w:val="0"/>
        <w:adjustRightInd w:val="0"/>
        <w:snapToGrid w:val="0"/>
        <w:spacing w:line="360" w:lineRule="auto"/>
        <w:ind w:firstLine="420"/>
        <w:rPr>
          <w:rFonts w:ascii="宋体" w:hAnsi="宋体"/>
          <w:snapToGrid w:val="0"/>
          <w:color w:val="auto"/>
          <w:highlight w:val="none"/>
        </w:rPr>
      </w:pPr>
      <w:r>
        <w:rPr>
          <w:rFonts w:hint="eastAsia" w:ascii="宋体" w:hAnsi="宋体"/>
          <w:snapToGrid w:val="0"/>
          <w:color w:val="auto"/>
          <w:highlight w:val="none"/>
        </w:rPr>
        <w:t>（</w:t>
      </w:r>
      <w:r>
        <w:rPr>
          <w:rFonts w:hint="eastAsia" w:ascii="宋体" w:hAnsi="宋体"/>
          <w:snapToGrid w:val="0"/>
          <w:color w:val="auto"/>
          <w:highlight w:val="none"/>
          <w:lang w:val="en-US" w:eastAsia="zh-CN"/>
        </w:rPr>
        <w:t>8</w:t>
      </w:r>
      <w:r>
        <w:rPr>
          <w:rFonts w:hint="eastAsia" w:ascii="宋体" w:hAnsi="宋体"/>
          <w:snapToGrid w:val="0"/>
          <w:color w:val="auto"/>
          <w:highlight w:val="none"/>
        </w:rPr>
        <w:t>）其他资料</w:t>
      </w:r>
    </w:p>
    <w:p w14:paraId="793618BF">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投标人在评标过程中作出的符合法律法规和招标文件规定的澄清确认，构成投标文件的组成部分。</w:t>
      </w:r>
    </w:p>
    <w:p w14:paraId="6324FD2C">
      <w:pPr>
        <w:autoSpaceDE w:val="0"/>
        <w:autoSpaceDN w:val="0"/>
        <w:adjustRightInd w:val="0"/>
        <w:snapToGrid w:val="0"/>
        <w:spacing w:line="360" w:lineRule="auto"/>
        <w:ind w:firstLine="420"/>
        <w:rPr>
          <w:rFonts w:ascii="宋体" w:hAnsi="宋体"/>
          <w:snapToGrid w:val="0"/>
          <w:color w:val="auto"/>
          <w:highlight w:val="none"/>
        </w:rPr>
      </w:pPr>
      <w:r>
        <w:rPr>
          <w:rFonts w:ascii="宋体" w:hAnsi="宋体"/>
          <w:snapToGrid w:val="0"/>
          <w:color w:val="auto"/>
          <w:highlight w:val="none"/>
        </w:rPr>
        <w:t>3.1.2  投标人须知前附表规定不接受联合体投标的，或投标人没有组成联合体的，投标文件不包括联合体协议书。</w:t>
      </w:r>
    </w:p>
    <w:p w14:paraId="66F74E44">
      <w:pPr>
        <w:pStyle w:val="4"/>
        <w:snapToGrid w:val="0"/>
        <w:spacing w:before="0" w:after="0" w:line="360" w:lineRule="auto"/>
        <w:rPr>
          <w:rFonts w:ascii="宋体" w:hAnsi="宋体"/>
          <w:b w:val="0"/>
          <w:snapToGrid w:val="0"/>
          <w:color w:val="auto"/>
          <w:sz w:val="24"/>
          <w:szCs w:val="24"/>
          <w:highlight w:val="none"/>
        </w:rPr>
      </w:pPr>
      <w:bookmarkStart w:id="254" w:name="_Toc10677"/>
      <w:bookmarkStart w:id="255" w:name="_Toc287620705"/>
      <w:bookmarkStart w:id="256" w:name="_Toc287607766"/>
      <w:bookmarkStart w:id="257" w:name="_Toc430530455"/>
      <w:bookmarkStart w:id="258" w:name="_Toc224103337"/>
      <w:bookmarkStart w:id="259" w:name="_Toc509218730"/>
      <w:bookmarkStart w:id="260" w:name="_Toc277082572"/>
      <w:bookmarkStart w:id="261" w:name="_Toc200513146"/>
      <w:r>
        <w:rPr>
          <w:rFonts w:ascii="宋体" w:hAnsi="宋体"/>
          <w:b w:val="0"/>
          <w:snapToGrid w:val="0"/>
          <w:color w:val="auto"/>
          <w:sz w:val="24"/>
          <w:szCs w:val="24"/>
          <w:highlight w:val="none"/>
        </w:rPr>
        <w:t>3.2  投标报价</w:t>
      </w:r>
      <w:bookmarkEnd w:id="254"/>
      <w:bookmarkEnd w:id="255"/>
      <w:bookmarkEnd w:id="256"/>
      <w:bookmarkEnd w:id="257"/>
      <w:bookmarkEnd w:id="258"/>
      <w:bookmarkEnd w:id="259"/>
      <w:bookmarkEnd w:id="260"/>
      <w:bookmarkEnd w:id="261"/>
    </w:p>
    <w:p w14:paraId="1B483C8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3.2.1  投标报价应包括国家规定的增值税税金，除投标人须知前附表另有规定外，增值税税金按一般计税方法计算。投标人应按第六章“投标文件格式”的要求在投标函中进行报价。</w:t>
      </w:r>
    </w:p>
    <w:p w14:paraId="2DB91E5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3.2.2  投标人应充分了解该项目的总体情况以及影响投标报价的其他要素。</w:t>
      </w:r>
    </w:p>
    <w:p w14:paraId="2ABCA9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3.2.3  本项目的报价方式见投标人须知前附表。投标人在投标截止时间前修改投标函中的投标报价总额。此修改须符合本章第 4.3 款的有关要求。</w:t>
      </w:r>
    </w:p>
    <w:p w14:paraId="40EB2EB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设有最高投标限价的，投标人的投标报价不得超过最高投标限价，最高投标限价在投标人须知前附表中载明。</w:t>
      </w:r>
    </w:p>
    <w:p w14:paraId="5F093973">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3.2.5  投标报价的其他要求见投标人须知前附表。</w:t>
      </w:r>
    </w:p>
    <w:p w14:paraId="49D79A49">
      <w:pPr>
        <w:pStyle w:val="4"/>
        <w:snapToGrid w:val="0"/>
        <w:spacing w:before="0" w:after="0" w:line="360" w:lineRule="auto"/>
        <w:rPr>
          <w:rFonts w:ascii="宋体" w:hAnsi="宋体"/>
          <w:b w:val="0"/>
          <w:snapToGrid w:val="0"/>
          <w:color w:val="auto"/>
          <w:sz w:val="24"/>
          <w:szCs w:val="24"/>
          <w:highlight w:val="none"/>
        </w:rPr>
      </w:pPr>
      <w:bookmarkStart w:id="262" w:name="_Toc430530456"/>
      <w:bookmarkStart w:id="263" w:name="_Toc200513147"/>
      <w:bookmarkStart w:id="264" w:name="_Toc509218731"/>
      <w:bookmarkStart w:id="265" w:name="_Toc287620706"/>
      <w:bookmarkStart w:id="266" w:name="_Toc20003"/>
      <w:bookmarkStart w:id="267" w:name="_Toc277082573"/>
      <w:bookmarkStart w:id="268" w:name="_Toc287607767"/>
      <w:bookmarkStart w:id="269" w:name="_Toc224103338"/>
      <w:r>
        <w:rPr>
          <w:rFonts w:ascii="宋体" w:hAnsi="宋体"/>
          <w:b w:val="0"/>
          <w:snapToGrid w:val="0"/>
          <w:color w:val="auto"/>
          <w:sz w:val="24"/>
          <w:szCs w:val="24"/>
          <w:highlight w:val="none"/>
        </w:rPr>
        <w:t>3.3  投标有效期</w:t>
      </w:r>
      <w:bookmarkEnd w:id="262"/>
      <w:bookmarkEnd w:id="263"/>
      <w:bookmarkEnd w:id="264"/>
      <w:bookmarkEnd w:id="265"/>
      <w:bookmarkEnd w:id="266"/>
      <w:bookmarkEnd w:id="267"/>
      <w:bookmarkEnd w:id="268"/>
      <w:bookmarkEnd w:id="269"/>
    </w:p>
    <w:p w14:paraId="57F33A1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3.3.1  除投标人须知前附表另有规定外，投标有效期为 90 天。</w:t>
      </w:r>
    </w:p>
    <w:p w14:paraId="622DBDA4">
      <w:pPr>
        <w:autoSpaceDE w:val="0"/>
        <w:autoSpaceDN w:val="0"/>
        <w:adjustRightInd w:val="0"/>
        <w:snapToGrid w:val="0"/>
        <w:spacing w:line="360" w:lineRule="auto"/>
        <w:ind w:firstLine="420" w:firstLineChars="200"/>
        <w:rPr>
          <w:color w:val="auto"/>
          <w:highlight w:val="none"/>
        </w:rPr>
      </w:pPr>
      <w:r>
        <w:rPr>
          <w:rFonts w:ascii="宋体" w:hAnsi="宋体"/>
          <w:snapToGrid w:val="0"/>
          <w:color w:val="auto"/>
          <w:kern w:val="0"/>
          <w:szCs w:val="21"/>
          <w:highlight w:val="none"/>
        </w:rPr>
        <w:t>3.3.2  在投标有效期内，投标人撤销投标文件的，应承担招标文件和法律规定的责任。</w:t>
      </w:r>
    </w:p>
    <w:p w14:paraId="444FDB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3.3.3  出现特殊情况需要延长投标有效期的，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hint="eastAsia" w:ascii="宋体" w:hAnsi="宋体"/>
          <w:snapToGrid w:val="0"/>
          <w:color w:val="auto"/>
          <w:kern w:val="0"/>
          <w:szCs w:val="21"/>
          <w:highlight w:val="none"/>
        </w:rPr>
        <w:t>（适用于投标保证金采用投标保函形式的）</w:t>
      </w:r>
    </w:p>
    <w:p w14:paraId="6208704A">
      <w:pPr>
        <w:autoSpaceDE w:val="0"/>
        <w:autoSpaceDN w:val="0"/>
        <w:adjustRightInd w:val="0"/>
        <w:snapToGrid w:val="0"/>
        <w:spacing w:line="360" w:lineRule="auto"/>
        <w:ind w:firstLine="420" w:firstLineChars="200"/>
        <w:rPr>
          <w:rFonts w:ascii="宋体" w:hAnsi="宋体" w:cs="MingLiU"/>
          <w:snapToGrid w:val="0"/>
          <w:color w:val="auto"/>
          <w:kern w:val="0"/>
          <w:szCs w:val="21"/>
          <w:highlight w:val="none"/>
        </w:rPr>
      </w:pPr>
      <w:r>
        <w:rPr>
          <w:rFonts w:hint="eastAsia" w:ascii="宋体" w:hAnsi="宋体" w:cs="MingLiU"/>
          <w:snapToGrid w:val="0"/>
          <w:color w:val="auto"/>
          <w:kern w:val="0"/>
          <w:szCs w:val="21"/>
          <w:highlight w:val="none"/>
        </w:rPr>
        <w:t>出现特殊情况需要延长投标有效期的，</w:t>
      </w:r>
      <w:r>
        <w:rPr>
          <w:rFonts w:hint="eastAsia" w:ascii="宋体" w:hAnsi="宋体" w:cs="MingLiU"/>
          <w:snapToGrid w:val="0"/>
          <w:color w:val="auto"/>
          <w:kern w:val="0"/>
          <w:szCs w:val="21"/>
          <w:highlight w:val="none"/>
          <w:lang w:eastAsia="zh-CN"/>
        </w:rPr>
        <w:t>比选人</w:t>
      </w:r>
      <w:r>
        <w:rPr>
          <w:rFonts w:hint="eastAsia" w:ascii="宋体" w:hAnsi="宋体" w:cs="MingLiU"/>
          <w:snapToGrid w:val="0"/>
          <w:color w:val="auto"/>
          <w:kern w:val="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189F7CEB">
      <w:pPr>
        <w:pStyle w:val="4"/>
        <w:keepNext w:val="0"/>
        <w:keepLines w:val="0"/>
        <w:snapToGrid w:val="0"/>
        <w:spacing w:before="0" w:after="0" w:line="360" w:lineRule="auto"/>
        <w:rPr>
          <w:rFonts w:ascii="宋体" w:hAnsi="宋体"/>
          <w:b w:val="0"/>
          <w:snapToGrid w:val="0"/>
          <w:color w:val="auto"/>
          <w:sz w:val="24"/>
          <w:szCs w:val="24"/>
          <w:highlight w:val="none"/>
        </w:rPr>
      </w:pPr>
      <w:bookmarkStart w:id="270" w:name="_Toc224103339"/>
      <w:bookmarkStart w:id="271" w:name="_Toc287620707"/>
      <w:bookmarkStart w:id="272" w:name="_Toc430530457"/>
      <w:bookmarkStart w:id="273" w:name="_Toc200513148"/>
      <w:bookmarkStart w:id="274" w:name="_Toc287607768"/>
      <w:bookmarkStart w:id="275" w:name="_Toc277082574"/>
      <w:bookmarkStart w:id="276" w:name="_Toc509218732"/>
      <w:bookmarkStart w:id="277" w:name="_Toc6439"/>
      <w:r>
        <w:rPr>
          <w:rFonts w:ascii="宋体" w:hAnsi="宋体"/>
          <w:b w:val="0"/>
          <w:snapToGrid w:val="0"/>
          <w:color w:val="auto"/>
          <w:sz w:val="24"/>
          <w:szCs w:val="24"/>
          <w:highlight w:val="none"/>
        </w:rPr>
        <w:t>3.4  投标</w:t>
      </w:r>
      <w:bookmarkEnd w:id="270"/>
      <w:bookmarkEnd w:id="271"/>
      <w:bookmarkEnd w:id="272"/>
      <w:bookmarkEnd w:id="273"/>
      <w:bookmarkEnd w:id="274"/>
      <w:bookmarkEnd w:id="275"/>
      <w:bookmarkEnd w:id="276"/>
      <w:r>
        <w:rPr>
          <w:rFonts w:hint="eastAsia" w:ascii="宋体" w:hAnsi="宋体"/>
          <w:b w:val="0"/>
          <w:snapToGrid w:val="0"/>
          <w:color w:val="auto"/>
          <w:sz w:val="24"/>
          <w:szCs w:val="24"/>
          <w:highlight w:val="none"/>
        </w:rPr>
        <w:t>保证金</w:t>
      </w:r>
      <w:bookmarkEnd w:id="277"/>
    </w:p>
    <w:p w14:paraId="439FFF5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3.4.1  投标人在递交投标文件的同时，应按投标人须知前附表的规定递交投标保证金，并作为其投标文件的组成部分。联合体投标的，其投标保证金由牵头人递交，并应符合投标人须知前附表的规定。</w:t>
      </w:r>
    </w:p>
    <w:p w14:paraId="4DCEC84B">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投标人不按本章第3.4.1项要求提交投标保证金的，其投标文件作否决投标处理。</w:t>
      </w:r>
    </w:p>
    <w:p w14:paraId="34E6DD00">
      <w:pPr>
        <w:autoSpaceDE w:val="0"/>
        <w:autoSpaceDN w:val="0"/>
        <w:adjustRightInd w:val="0"/>
        <w:snapToGrid w:val="0"/>
        <w:spacing w:line="360" w:lineRule="auto"/>
        <w:ind w:left="13" w:leftChars="6" w:firstLine="405" w:firstLineChars="193"/>
        <w:rPr>
          <w:rFonts w:ascii="宋体" w:hAnsi="宋体"/>
          <w:snapToGrid w:val="0"/>
          <w:color w:val="auto"/>
          <w:kern w:val="0"/>
          <w:szCs w:val="21"/>
          <w:highlight w:val="none"/>
        </w:rPr>
      </w:pPr>
      <w:r>
        <w:rPr>
          <w:rFonts w:ascii="宋体" w:hAnsi="宋体"/>
          <w:snapToGrid w:val="0"/>
          <w:color w:val="auto"/>
          <w:kern w:val="0"/>
          <w:szCs w:val="21"/>
          <w:highlight w:val="none"/>
        </w:rPr>
        <w:t>3.4.3  投标保证金（投标保函）退还：见投标人须知前附表。</w:t>
      </w:r>
    </w:p>
    <w:p w14:paraId="1D36285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14:paraId="1ECE1BC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14:paraId="1BAE627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w:t>
      </w:r>
      <w:r>
        <w:rPr>
          <w:rFonts w:hint="eastAsia" w:ascii="宋体" w:hAnsi="宋体"/>
          <w:color w:val="auto"/>
          <w:kern w:val="0"/>
          <w:szCs w:val="21"/>
          <w:highlight w:val="none"/>
        </w:rPr>
        <w:t>中标人在收到中标通知书后，无正当理由不与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订立合同，在签订合同时向</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提出附加条件，或者不按照招标文件要求提交履约保证金</w:t>
      </w:r>
      <w:r>
        <w:rPr>
          <w:rFonts w:ascii="宋体" w:hAnsi="宋体"/>
          <w:snapToGrid w:val="0"/>
          <w:color w:val="auto"/>
          <w:kern w:val="0"/>
          <w:szCs w:val="21"/>
          <w:highlight w:val="none"/>
        </w:rPr>
        <w:t>；</w:t>
      </w:r>
    </w:p>
    <w:p w14:paraId="79FC1008">
      <w:pPr>
        <w:autoSpaceDE w:val="0"/>
        <w:autoSpaceDN w:val="0"/>
        <w:adjustRightInd w:val="0"/>
        <w:snapToGrid w:val="0"/>
        <w:spacing w:line="360" w:lineRule="auto"/>
        <w:ind w:firstLine="420" w:firstLineChars="200"/>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lang w:eastAsia="zh-CN"/>
        </w:rPr>
        <w:t>）</w:t>
      </w:r>
      <w:r>
        <w:rPr>
          <w:rFonts w:hint="eastAsia" w:ascii="宋体" w:hAnsi="宋体"/>
          <w:color w:val="auto"/>
          <w:kern w:val="0"/>
          <w:szCs w:val="21"/>
          <w:highlight w:val="none"/>
        </w:rPr>
        <w:t>中标人</w:t>
      </w:r>
      <w:r>
        <w:rPr>
          <w:rFonts w:hint="eastAsia" w:ascii="宋体" w:hAnsi="宋体"/>
          <w:color w:val="auto"/>
          <w:kern w:val="0"/>
          <w:szCs w:val="21"/>
          <w:highlight w:val="none"/>
          <w:lang w:eastAsia="zh-CN"/>
        </w:rPr>
        <w:t>（或拟中标人）</w:t>
      </w:r>
      <w:r>
        <w:rPr>
          <w:rFonts w:hint="eastAsia" w:ascii="宋体" w:hAnsi="宋体"/>
          <w:color w:val="auto"/>
          <w:kern w:val="0"/>
          <w:szCs w:val="21"/>
          <w:highlight w:val="none"/>
        </w:rPr>
        <w:t>拒不提供或者不按时提供低价风险担保（适用于经评审的最低投标价法）</w:t>
      </w:r>
      <w:r>
        <w:rPr>
          <w:rFonts w:hint="eastAsia" w:ascii="宋体" w:hAnsi="宋体"/>
          <w:color w:val="auto"/>
          <w:kern w:val="0"/>
          <w:szCs w:val="21"/>
          <w:highlight w:val="none"/>
          <w:lang w:eastAsia="zh-CN"/>
        </w:rPr>
        <w:t>；</w:t>
      </w:r>
    </w:p>
    <w:p w14:paraId="07A87D8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）违反本章</w:t>
      </w:r>
      <w:r>
        <w:rPr>
          <w:rFonts w:hint="eastAsia" w:ascii="宋体" w:hAnsi="宋体"/>
          <w:snapToGrid w:val="0"/>
          <w:color w:val="auto"/>
          <w:kern w:val="0"/>
          <w:szCs w:val="21"/>
          <w:highlight w:val="none"/>
        </w:rPr>
        <w:t>第</w:t>
      </w:r>
      <w:r>
        <w:rPr>
          <w:rFonts w:ascii="宋体" w:hAnsi="宋体"/>
          <w:snapToGrid w:val="0"/>
          <w:color w:val="auto"/>
          <w:kern w:val="0"/>
          <w:szCs w:val="21"/>
          <w:highlight w:val="none"/>
        </w:rPr>
        <w:t>9.2</w:t>
      </w:r>
      <w:r>
        <w:rPr>
          <w:rFonts w:hint="eastAsia" w:ascii="宋体" w:hAnsi="宋体"/>
          <w:snapToGrid w:val="0"/>
          <w:color w:val="auto"/>
          <w:kern w:val="0"/>
          <w:szCs w:val="21"/>
          <w:highlight w:val="none"/>
        </w:rPr>
        <w:t>款</w:t>
      </w:r>
      <w:r>
        <w:rPr>
          <w:rFonts w:ascii="宋体" w:hAnsi="宋体"/>
          <w:snapToGrid w:val="0"/>
          <w:color w:val="auto"/>
          <w:kern w:val="0"/>
          <w:szCs w:val="21"/>
          <w:highlight w:val="none"/>
        </w:rPr>
        <w:t>对投标人的纪律要求的；</w:t>
      </w:r>
    </w:p>
    <w:p w14:paraId="7F66BC4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）法律法规规定的其他情形。</w:t>
      </w:r>
    </w:p>
    <w:p w14:paraId="3A5DC83A">
      <w:pPr>
        <w:pStyle w:val="4"/>
        <w:keepNext w:val="0"/>
        <w:keepLines w:val="0"/>
        <w:snapToGrid w:val="0"/>
        <w:spacing w:before="0" w:after="0" w:line="360" w:lineRule="auto"/>
        <w:rPr>
          <w:rFonts w:ascii="宋体" w:hAnsi="宋体"/>
          <w:b w:val="0"/>
          <w:snapToGrid w:val="0"/>
          <w:color w:val="auto"/>
          <w:sz w:val="24"/>
          <w:szCs w:val="24"/>
          <w:highlight w:val="none"/>
        </w:rPr>
      </w:pPr>
      <w:bookmarkStart w:id="278" w:name="_Toc430530459"/>
      <w:bookmarkStart w:id="279" w:name="_Toc8221"/>
      <w:bookmarkStart w:id="280" w:name="_Toc287620709"/>
      <w:bookmarkStart w:id="281" w:name="_Toc224103341"/>
      <w:bookmarkStart w:id="282" w:name="_Toc509218734"/>
      <w:bookmarkStart w:id="283" w:name="_Toc200513150"/>
      <w:bookmarkStart w:id="284" w:name="_Toc287607770"/>
      <w:bookmarkStart w:id="285" w:name="_Toc277082576"/>
      <w:r>
        <w:rPr>
          <w:rFonts w:ascii="宋体" w:hAnsi="宋体"/>
          <w:b w:val="0"/>
          <w:snapToGrid w:val="0"/>
          <w:color w:val="auto"/>
          <w:sz w:val="24"/>
          <w:szCs w:val="24"/>
          <w:highlight w:val="none"/>
        </w:rPr>
        <w:t>3.5  资格审查资料</w:t>
      </w:r>
      <w:bookmarkEnd w:id="278"/>
      <w:bookmarkEnd w:id="279"/>
      <w:bookmarkEnd w:id="280"/>
      <w:bookmarkEnd w:id="281"/>
      <w:bookmarkEnd w:id="282"/>
      <w:bookmarkEnd w:id="283"/>
      <w:bookmarkEnd w:id="284"/>
      <w:bookmarkEnd w:id="285"/>
    </w:p>
    <w:p w14:paraId="5C91BF73">
      <w:pPr>
        <w:autoSpaceDE w:val="0"/>
        <w:autoSpaceDN w:val="0"/>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w:t>
      </w:r>
      <w:r>
        <w:rPr>
          <w:rFonts w:hint="eastAsia" w:ascii="宋体" w:hAnsi="宋体"/>
          <w:color w:val="auto"/>
          <w:kern w:val="0"/>
          <w:szCs w:val="21"/>
          <w:highlight w:val="none"/>
        </w:rPr>
        <w:t>投标人须知前附表第1</w:t>
      </w:r>
      <w:r>
        <w:rPr>
          <w:rFonts w:ascii="宋体" w:hAnsi="宋体"/>
          <w:color w:val="auto"/>
          <w:kern w:val="0"/>
          <w:szCs w:val="21"/>
          <w:highlight w:val="none"/>
        </w:rPr>
        <w:t>.4.1项</w:t>
      </w:r>
      <w:r>
        <w:rPr>
          <w:rFonts w:hint="eastAsia" w:ascii="宋体" w:hAnsi="宋体"/>
          <w:color w:val="auto"/>
          <w:kern w:val="0"/>
          <w:szCs w:val="21"/>
          <w:highlight w:val="none"/>
        </w:rPr>
        <w:t>中要求的相关证明材料</w:t>
      </w:r>
      <w:r>
        <w:rPr>
          <w:rFonts w:ascii="宋体" w:hAnsi="宋体"/>
          <w:color w:val="auto"/>
          <w:szCs w:val="21"/>
          <w:highlight w:val="none"/>
        </w:rPr>
        <w:t>。</w:t>
      </w:r>
    </w:p>
    <w:p w14:paraId="574B76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投标人须知前附表规定接受联合体投标的，详见投标人须知前附表联合体投标相关内容。</w:t>
      </w:r>
    </w:p>
    <w:p w14:paraId="6F622921">
      <w:pPr>
        <w:pStyle w:val="4"/>
        <w:snapToGrid w:val="0"/>
        <w:spacing w:before="0" w:after="0" w:line="360" w:lineRule="auto"/>
        <w:rPr>
          <w:rFonts w:ascii="宋体" w:hAnsi="宋体"/>
          <w:b w:val="0"/>
          <w:snapToGrid w:val="0"/>
          <w:color w:val="auto"/>
          <w:sz w:val="24"/>
          <w:szCs w:val="24"/>
          <w:highlight w:val="none"/>
        </w:rPr>
      </w:pPr>
      <w:bookmarkStart w:id="286" w:name="_Toc200513151"/>
      <w:bookmarkStart w:id="287" w:name="_Toc277082577"/>
      <w:bookmarkStart w:id="288" w:name="_Toc287607771"/>
      <w:bookmarkStart w:id="289" w:name="_Toc24680"/>
      <w:bookmarkStart w:id="290" w:name="_Toc430530460"/>
      <w:bookmarkStart w:id="291" w:name="_Toc224103342"/>
      <w:bookmarkStart w:id="292" w:name="_Toc287620710"/>
      <w:bookmarkStart w:id="293" w:name="_Toc509218735"/>
      <w:r>
        <w:rPr>
          <w:rFonts w:ascii="宋体" w:hAnsi="宋体"/>
          <w:b w:val="0"/>
          <w:snapToGrid w:val="0"/>
          <w:color w:val="auto"/>
          <w:sz w:val="24"/>
          <w:szCs w:val="24"/>
          <w:highlight w:val="none"/>
        </w:rPr>
        <w:t>3.6  备选投标方案</w:t>
      </w:r>
      <w:bookmarkEnd w:id="286"/>
      <w:bookmarkEnd w:id="287"/>
      <w:bookmarkEnd w:id="288"/>
      <w:bookmarkEnd w:id="289"/>
      <w:bookmarkEnd w:id="290"/>
      <w:bookmarkEnd w:id="291"/>
      <w:bookmarkEnd w:id="292"/>
      <w:bookmarkEnd w:id="293"/>
    </w:p>
    <w:p w14:paraId="49AA33F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.6.1  除投标人须知前附表规定允许外，投标人不得递交备选投标方案，否则其投标将被否决。</w:t>
      </w:r>
    </w:p>
    <w:p w14:paraId="6E0D8BE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.6.2  允许投标人递交备选投标方案的，只有中标人所递交的备选投标方案方可予以考虑。评标委员会认为中标人的备选投标方案优于其按照招标文件要求编制的投标方案的，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14:paraId="7A4EC79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3</w:t>
      </w:r>
      <w:r>
        <w:rPr>
          <w:rFonts w:ascii="宋体" w:hAnsi="宋体"/>
          <w:snapToGrid w:val="0"/>
          <w:color w:val="auto"/>
          <w:kern w:val="0"/>
          <w:szCs w:val="21"/>
          <w:highlight w:val="none"/>
        </w:rPr>
        <w:t>.6.3  投标人提供两个或两个以上投标报价，或者在投标文件中提供一个报价，但同时提供两个或两个以上方案的，视为提供备选方案。</w:t>
      </w:r>
    </w:p>
    <w:p w14:paraId="62575256">
      <w:pPr>
        <w:pStyle w:val="4"/>
        <w:snapToGrid w:val="0"/>
        <w:spacing w:before="0" w:after="0" w:line="360" w:lineRule="auto"/>
        <w:rPr>
          <w:rFonts w:ascii="宋体" w:hAnsi="宋体"/>
          <w:b w:val="0"/>
          <w:snapToGrid w:val="0"/>
          <w:color w:val="auto"/>
          <w:sz w:val="24"/>
          <w:szCs w:val="24"/>
          <w:highlight w:val="none"/>
        </w:rPr>
      </w:pPr>
      <w:bookmarkStart w:id="294" w:name="_Toc224103343"/>
      <w:bookmarkStart w:id="295" w:name="_Toc287607772"/>
      <w:bookmarkStart w:id="296" w:name="_Toc200513152"/>
      <w:bookmarkStart w:id="297" w:name="_Toc14451"/>
      <w:bookmarkStart w:id="298" w:name="_Toc277082578"/>
      <w:bookmarkStart w:id="299" w:name="_Toc509218736"/>
      <w:bookmarkStart w:id="300" w:name="_Toc430530461"/>
      <w:bookmarkStart w:id="301" w:name="_Toc287620711"/>
      <w:r>
        <w:rPr>
          <w:rFonts w:ascii="宋体" w:hAnsi="宋体"/>
          <w:b w:val="0"/>
          <w:snapToGrid w:val="0"/>
          <w:color w:val="auto"/>
          <w:sz w:val="24"/>
          <w:szCs w:val="24"/>
          <w:highlight w:val="none"/>
        </w:rPr>
        <w:t>3.7  投标文件的编制</w:t>
      </w:r>
      <w:bookmarkEnd w:id="294"/>
      <w:bookmarkEnd w:id="295"/>
      <w:bookmarkEnd w:id="296"/>
      <w:bookmarkEnd w:id="297"/>
      <w:bookmarkEnd w:id="298"/>
      <w:bookmarkEnd w:id="299"/>
      <w:bookmarkEnd w:id="300"/>
      <w:bookmarkEnd w:id="301"/>
    </w:p>
    <w:p w14:paraId="77D4205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3.7.1  投标文件应按第</w:t>
      </w:r>
      <w:r>
        <w:rPr>
          <w:rFonts w:hint="eastAsia" w:ascii="宋体" w:hAnsi="宋体"/>
          <w:snapToGrid w:val="0"/>
          <w:color w:val="auto"/>
          <w:kern w:val="0"/>
          <w:szCs w:val="21"/>
          <w:highlight w:val="none"/>
        </w:rPr>
        <w:t>六</w:t>
      </w:r>
      <w:r>
        <w:rPr>
          <w:rFonts w:ascii="宋体" w:hAnsi="宋体"/>
          <w:snapToGrid w:val="0"/>
          <w:color w:val="auto"/>
          <w:kern w:val="0"/>
          <w:szCs w:val="21"/>
          <w:highlight w:val="none"/>
        </w:rPr>
        <w:t>章“投标文件格式”进行编写，如有必要，可以增加附页，作为投标文件的组成部分。其中，投标函附录在满足招标文件实质性要求的基础上，可以提出比招标文件要求更有利于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14:paraId="4F4BFB4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投标文件应当对招标文件有关</w:t>
      </w:r>
      <w:r>
        <w:rPr>
          <w:rFonts w:hint="eastAsia" w:ascii="宋体" w:hAnsi="宋体"/>
          <w:snapToGrid w:val="0"/>
          <w:color w:val="auto"/>
          <w:kern w:val="0"/>
          <w:szCs w:val="21"/>
          <w:highlight w:val="none"/>
        </w:rPr>
        <w:t>服务期限</w:t>
      </w:r>
      <w:r>
        <w:rPr>
          <w:rFonts w:ascii="宋体" w:hAnsi="宋体"/>
          <w:snapToGrid w:val="0"/>
          <w:color w:val="auto"/>
          <w:kern w:val="0"/>
          <w:szCs w:val="21"/>
          <w:highlight w:val="none"/>
        </w:rPr>
        <w:t>、投标有效期、</w:t>
      </w:r>
      <w:r>
        <w:rPr>
          <w:rFonts w:hint="eastAsia" w:ascii="宋体" w:hAnsi="宋体"/>
          <w:snapToGrid w:val="0"/>
          <w:color w:val="auto"/>
          <w:kern w:val="0"/>
          <w:szCs w:val="21"/>
          <w:highlight w:val="none"/>
        </w:rPr>
        <w:t>发包人要求</w:t>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比选范围</w:t>
      </w:r>
      <w:r>
        <w:rPr>
          <w:rFonts w:ascii="宋体" w:hAnsi="宋体"/>
          <w:snapToGrid w:val="0"/>
          <w:color w:val="auto"/>
          <w:kern w:val="0"/>
          <w:szCs w:val="21"/>
          <w:highlight w:val="none"/>
        </w:rPr>
        <w:t>等实质性内容做出响应。</w:t>
      </w:r>
    </w:p>
    <w:p w14:paraId="5DC0FBB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投标文件的签名盖章要求：按本章投标人须知前附表第3.7.3项执行。</w:t>
      </w:r>
    </w:p>
    <w:p w14:paraId="12A78DB2">
      <w:pPr>
        <w:autoSpaceDE w:val="0"/>
        <w:autoSpaceDN w:val="0"/>
        <w:adjustRightInd w:val="0"/>
        <w:snapToGrid w:val="0"/>
        <w:spacing w:line="360" w:lineRule="auto"/>
        <w:ind w:right="-164"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3.7.4  </w:t>
      </w:r>
      <w:r>
        <w:rPr>
          <w:rFonts w:hint="eastAsia" w:ascii="宋体" w:hAnsi="宋体"/>
          <w:snapToGrid w:val="0"/>
          <w:color w:val="auto"/>
          <w:kern w:val="0"/>
          <w:szCs w:val="21"/>
          <w:highlight w:val="none"/>
        </w:rPr>
        <w:t>投标文件的份数：</w:t>
      </w:r>
      <w:r>
        <w:rPr>
          <w:rFonts w:ascii="宋体" w:hAnsi="宋体"/>
          <w:snapToGrid w:val="0"/>
          <w:color w:val="auto"/>
          <w:kern w:val="0"/>
          <w:szCs w:val="21"/>
          <w:highlight w:val="none"/>
        </w:rPr>
        <w:t>见投标人须知前附表，《</w:t>
      </w:r>
      <w:r>
        <w:rPr>
          <w:rFonts w:hint="eastAsia" w:ascii="宋体" w:hAnsi="宋体"/>
          <w:snapToGrid w:val="0"/>
          <w:color w:val="auto"/>
          <w:kern w:val="0"/>
          <w:szCs w:val="21"/>
          <w:highlight w:val="none"/>
        </w:rPr>
        <w:t>技术方案</w:t>
      </w:r>
      <w:r>
        <w:rPr>
          <w:rFonts w:ascii="宋体" w:hAnsi="宋体"/>
          <w:snapToGrid w:val="0"/>
          <w:color w:val="auto"/>
          <w:kern w:val="0"/>
          <w:szCs w:val="21"/>
          <w:highlight w:val="none"/>
        </w:rPr>
        <w:t>》不分正副本。正本和副本的封面上应清楚地标记“正本”或“副本”的字样，正本和副本封面均须加盖单位法人章。当副本和正本不一致时，以正本为准。</w:t>
      </w:r>
    </w:p>
    <w:p w14:paraId="0E23E863">
      <w:pPr>
        <w:autoSpaceDE w:val="0"/>
        <w:autoSpaceDN w:val="0"/>
        <w:adjustRightInd w:val="0"/>
        <w:snapToGrid w:val="0"/>
        <w:spacing w:line="360" w:lineRule="auto"/>
        <w:ind w:right="-109"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14:paraId="66F75039">
      <w:pPr>
        <w:pStyle w:val="3"/>
        <w:keepNext w:val="0"/>
        <w:keepLines w:val="0"/>
        <w:spacing w:before="0" w:after="0" w:line="360" w:lineRule="auto"/>
        <w:rPr>
          <w:rFonts w:ascii="宋体" w:hAnsi="宋体"/>
          <w:b w:val="0"/>
          <w:snapToGrid w:val="0"/>
          <w:color w:val="auto"/>
          <w:highlight w:val="none"/>
        </w:rPr>
      </w:pPr>
      <w:bookmarkStart w:id="302" w:name="_Toc430530462"/>
      <w:bookmarkStart w:id="303" w:name="_Toc509218737"/>
      <w:bookmarkStart w:id="304" w:name="_Toc23609"/>
      <w:bookmarkStart w:id="305" w:name="_Toc277082579"/>
      <w:bookmarkStart w:id="306" w:name="_Toc287607773"/>
      <w:bookmarkStart w:id="307" w:name="_Toc287620712"/>
      <w:bookmarkStart w:id="308" w:name="_Toc200513153"/>
      <w:bookmarkStart w:id="309" w:name="_Toc224103344"/>
      <w:r>
        <w:rPr>
          <w:rFonts w:ascii="宋体" w:hAnsi="宋体"/>
          <w:b w:val="0"/>
          <w:snapToGrid w:val="0"/>
          <w:color w:val="auto"/>
          <w:highlight w:val="none"/>
        </w:rPr>
        <w:t>4.  投标</w:t>
      </w:r>
      <w:bookmarkEnd w:id="302"/>
      <w:bookmarkEnd w:id="303"/>
      <w:bookmarkEnd w:id="304"/>
      <w:bookmarkEnd w:id="305"/>
      <w:bookmarkEnd w:id="306"/>
      <w:bookmarkEnd w:id="307"/>
      <w:bookmarkEnd w:id="308"/>
      <w:bookmarkEnd w:id="309"/>
    </w:p>
    <w:p w14:paraId="5E5B95F7">
      <w:pPr>
        <w:pStyle w:val="4"/>
        <w:keepNext w:val="0"/>
        <w:keepLines w:val="0"/>
        <w:snapToGrid w:val="0"/>
        <w:spacing w:before="0" w:after="0" w:line="360" w:lineRule="auto"/>
        <w:rPr>
          <w:rFonts w:ascii="宋体" w:hAnsi="宋体"/>
          <w:b w:val="0"/>
          <w:snapToGrid w:val="0"/>
          <w:color w:val="auto"/>
          <w:sz w:val="24"/>
          <w:szCs w:val="24"/>
          <w:highlight w:val="none"/>
        </w:rPr>
      </w:pPr>
      <w:bookmarkStart w:id="310" w:name="_Toc430530463"/>
      <w:bookmarkStart w:id="311" w:name="_Toc18726"/>
      <w:bookmarkStart w:id="312" w:name="_Toc287607774"/>
      <w:bookmarkStart w:id="313" w:name="_Toc277082580"/>
      <w:bookmarkStart w:id="314" w:name="_Toc224103345"/>
      <w:bookmarkStart w:id="315" w:name="_Toc287620713"/>
      <w:bookmarkStart w:id="316" w:name="_Toc509218738"/>
      <w:bookmarkStart w:id="317" w:name="_Toc200513154"/>
      <w:r>
        <w:rPr>
          <w:rFonts w:ascii="宋体" w:hAnsi="宋体"/>
          <w:b w:val="0"/>
          <w:snapToGrid w:val="0"/>
          <w:color w:val="auto"/>
          <w:sz w:val="24"/>
          <w:szCs w:val="24"/>
          <w:highlight w:val="none"/>
        </w:rPr>
        <w:t>4.1  投标文件的密封和标记</w:t>
      </w:r>
      <w:bookmarkEnd w:id="310"/>
      <w:bookmarkEnd w:id="311"/>
      <w:bookmarkEnd w:id="312"/>
      <w:bookmarkEnd w:id="313"/>
      <w:bookmarkEnd w:id="314"/>
      <w:bookmarkEnd w:id="315"/>
      <w:bookmarkEnd w:id="316"/>
      <w:bookmarkEnd w:id="317"/>
    </w:p>
    <w:p w14:paraId="7DD5028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18" w:name="_Toc200513155"/>
      <w:r>
        <w:rPr>
          <w:rFonts w:ascii="宋体" w:hAnsi="宋体"/>
          <w:snapToGrid w:val="0"/>
          <w:color w:val="auto"/>
          <w:kern w:val="0"/>
          <w:szCs w:val="21"/>
          <w:highlight w:val="none"/>
        </w:rPr>
        <w:t>4.1.1  投标文件的</w:t>
      </w:r>
      <w:r>
        <w:rPr>
          <w:rFonts w:hint="eastAsia" w:ascii="宋体" w:hAnsi="宋体"/>
          <w:snapToGrid w:val="0"/>
          <w:color w:val="auto"/>
          <w:kern w:val="0"/>
          <w:szCs w:val="21"/>
          <w:highlight w:val="none"/>
        </w:rPr>
        <w:t>密封：</w:t>
      </w:r>
      <w:r>
        <w:rPr>
          <w:rFonts w:ascii="宋体" w:hAnsi="宋体"/>
          <w:snapToGrid w:val="0"/>
          <w:color w:val="auto"/>
          <w:kern w:val="0"/>
          <w:szCs w:val="21"/>
          <w:highlight w:val="none"/>
        </w:rPr>
        <w:t>见投标人须知前附表。</w:t>
      </w:r>
    </w:p>
    <w:p w14:paraId="091F85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4.1.2  投标文件封套上应</w:t>
      </w:r>
      <w:r>
        <w:rPr>
          <w:rFonts w:hint="eastAsia" w:ascii="宋体" w:hAnsi="宋体"/>
          <w:snapToGrid w:val="0"/>
          <w:color w:val="auto"/>
          <w:kern w:val="0"/>
          <w:szCs w:val="21"/>
          <w:highlight w:val="none"/>
        </w:rPr>
        <w:t>载明</w:t>
      </w:r>
      <w:r>
        <w:rPr>
          <w:rFonts w:ascii="宋体" w:hAnsi="宋体"/>
          <w:snapToGrid w:val="0"/>
          <w:color w:val="auto"/>
          <w:kern w:val="0"/>
          <w:szCs w:val="21"/>
          <w:highlight w:val="none"/>
        </w:rPr>
        <w:t>的</w:t>
      </w:r>
      <w:r>
        <w:rPr>
          <w:rFonts w:hint="eastAsia" w:ascii="宋体" w:hAnsi="宋体"/>
          <w:snapToGrid w:val="0"/>
          <w:color w:val="auto"/>
          <w:kern w:val="0"/>
          <w:szCs w:val="21"/>
          <w:highlight w:val="none"/>
        </w:rPr>
        <w:t>信息：</w:t>
      </w:r>
      <w:r>
        <w:rPr>
          <w:rFonts w:ascii="宋体" w:hAnsi="宋体"/>
          <w:snapToGrid w:val="0"/>
          <w:color w:val="auto"/>
          <w:kern w:val="0"/>
          <w:szCs w:val="21"/>
          <w:highlight w:val="none"/>
        </w:rPr>
        <w:t>见投标人须知前附表。</w:t>
      </w:r>
    </w:p>
    <w:p w14:paraId="5F1F82C3">
      <w:pPr>
        <w:pStyle w:val="4"/>
        <w:keepNext w:val="0"/>
        <w:keepLines w:val="0"/>
        <w:snapToGrid w:val="0"/>
        <w:spacing w:before="0" w:after="0" w:line="360" w:lineRule="auto"/>
        <w:rPr>
          <w:rFonts w:ascii="宋体" w:hAnsi="宋体"/>
          <w:b w:val="0"/>
          <w:snapToGrid w:val="0"/>
          <w:color w:val="auto"/>
          <w:sz w:val="24"/>
          <w:szCs w:val="24"/>
          <w:highlight w:val="none"/>
        </w:rPr>
      </w:pPr>
      <w:bookmarkStart w:id="319" w:name="_Toc224103346"/>
      <w:bookmarkStart w:id="320" w:name="_Toc9687"/>
      <w:bookmarkStart w:id="321" w:name="_Toc287607775"/>
      <w:bookmarkStart w:id="322" w:name="_Toc277082581"/>
      <w:bookmarkStart w:id="323" w:name="_Toc287620714"/>
      <w:bookmarkStart w:id="324" w:name="_Toc509218739"/>
      <w:bookmarkStart w:id="325" w:name="_Toc430530464"/>
      <w:r>
        <w:rPr>
          <w:rFonts w:ascii="宋体" w:hAnsi="宋体"/>
          <w:b w:val="0"/>
          <w:snapToGrid w:val="0"/>
          <w:color w:val="auto"/>
          <w:sz w:val="24"/>
          <w:szCs w:val="24"/>
          <w:highlight w:val="none"/>
        </w:rPr>
        <w:t>4.2  投标文件的递交</w:t>
      </w:r>
      <w:bookmarkEnd w:id="318"/>
      <w:bookmarkEnd w:id="319"/>
      <w:bookmarkEnd w:id="320"/>
      <w:bookmarkEnd w:id="321"/>
      <w:bookmarkEnd w:id="322"/>
      <w:bookmarkEnd w:id="323"/>
      <w:bookmarkEnd w:id="324"/>
      <w:bookmarkEnd w:id="325"/>
    </w:p>
    <w:p w14:paraId="588168A4">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26" w:name="_Toc277082582"/>
      <w:bookmarkStart w:id="327" w:name="_Toc430530465"/>
      <w:bookmarkStart w:id="328" w:name="_Toc200513156"/>
      <w:bookmarkStart w:id="329" w:name="_Toc287620715"/>
      <w:bookmarkStart w:id="330" w:name="_Toc287607776"/>
      <w:bookmarkStart w:id="331" w:name="_Toc224103347"/>
      <w:bookmarkStart w:id="332" w:name="_Toc509218740"/>
      <w:bookmarkStart w:id="333" w:name="_Toc24779"/>
      <w:r>
        <w:rPr>
          <w:rFonts w:ascii="宋体" w:hAnsi="宋体"/>
          <w:snapToGrid w:val="0"/>
          <w:color w:val="auto"/>
          <w:kern w:val="0"/>
          <w:szCs w:val="21"/>
          <w:highlight w:val="none"/>
        </w:rPr>
        <w:t>4.2.1  投标人应在投标人须知前附表第 2.2.2 项规定的投标截止时间前递交投标文件。</w:t>
      </w:r>
    </w:p>
    <w:p w14:paraId="7F4B2CE2">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14:paraId="6E91A5D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14:paraId="2EA9E4A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14:paraId="71EC9D8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14:paraId="2F7125E2">
      <w:pPr>
        <w:pStyle w:val="4"/>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4.3  投标文件的修改与撤回</w:t>
      </w:r>
      <w:bookmarkEnd w:id="326"/>
      <w:bookmarkEnd w:id="327"/>
      <w:bookmarkEnd w:id="328"/>
      <w:bookmarkEnd w:id="329"/>
      <w:bookmarkEnd w:id="330"/>
      <w:bookmarkEnd w:id="331"/>
      <w:bookmarkEnd w:id="332"/>
      <w:bookmarkEnd w:id="333"/>
    </w:p>
    <w:p w14:paraId="116AEB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34" w:name="_Toc287620716"/>
      <w:bookmarkStart w:id="335" w:name="_Toc19081"/>
      <w:bookmarkStart w:id="336" w:name="_Toc509218741"/>
      <w:bookmarkStart w:id="337" w:name="_Toc200513157"/>
      <w:bookmarkStart w:id="338" w:name="_Toc277082583"/>
      <w:bookmarkStart w:id="339" w:name="_Toc430530466"/>
      <w:bookmarkStart w:id="340" w:name="_Toc224103348"/>
      <w:bookmarkStart w:id="341" w:name="_Toc287607777"/>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3C6890C0">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14:paraId="60E3486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14:paraId="49E49E21">
      <w:pPr>
        <w:pStyle w:val="3"/>
        <w:keepNext w:val="0"/>
        <w:keepLines w:val="0"/>
        <w:spacing w:before="0" w:after="0" w:line="360" w:lineRule="auto"/>
        <w:rPr>
          <w:rFonts w:ascii="宋体" w:hAnsi="宋体"/>
          <w:b w:val="0"/>
          <w:snapToGrid w:val="0"/>
          <w:color w:val="auto"/>
          <w:highlight w:val="none"/>
        </w:rPr>
      </w:pPr>
      <w:r>
        <w:rPr>
          <w:rFonts w:ascii="宋体" w:hAnsi="宋体"/>
          <w:b w:val="0"/>
          <w:snapToGrid w:val="0"/>
          <w:color w:val="auto"/>
          <w:highlight w:val="none"/>
        </w:rPr>
        <w:t>5.  开标</w:t>
      </w:r>
      <w:bookmarkEnd w:id="334"/>
      <w:bookmarkEnd w:id="335"/>
      <w:bookmarkEnd w:id="336"/>
      <w:bookmarkEnd w:id="337"/>
      <w:bookmarkEnd w:id="338"/>
      <w:bookmarkEnd w:id="339"/>
      <w:bookmarkEnd w:id="340"/>
      <w:bookmarkEnd w:id="341"/>
    </w:p>
    <w:p w14:paraId="123827C4">
      <w:pPr>
        <w:pStyle w:val="4"/>
        <w:keepNext w:val="0"/>
        <w:keepLines w:val="0"/>
        <w:snapToGrid w:val="0"/>
        <w:spacing w:before="0" w:after="0" w:line="360" w:lineRule="auto"/>
        <w:rPr>
          <w:rFonts w:ascii="宋体" w:hAnsi="宋体"/>
          <w:b w:val="0"/>
          <w:snapToGrid w:val="0"/>
          <w:color w:val="auto"/>
          <w:sz w:val="24"/>
          <w:szCs w:val="24"/>
          <w:highlight w:val="none"/>
        </w:rPr>
      </w:pPr>
      <w:bookmarkStart w:id="342" w:name="_Toc509218742"/>
      <w:bookmarkStart w:id="343" w:name="_Toc287607778"/>
      <w:bookmarkStart w:id="344" w:name="_Toc200513158"/>
      <w:bookmarkStart w:id="345" w:name="_Toc21618"/>
      <w:bookmarkStart w:id="346" w:name="_Toc430530467"/>
      <w:bookmarkStart w:id="347" w:name="_Toc277082584"/>
      <w:bookmarkStart w:id="348" w:name="_Toc287620717"/>
      <w:bookmarkStart w:id="349" w:name="_Toc224103349"/>
      <w:r>
        <w:rPr>
          <w:rFonts w:ascii="宋体" w:hAnsi="宋体"/>
          <w:b w:val="0"/>
          <w:snapToGrid w:val="0"/>
          <w:color w:val="auto"/>
          <w:sz w:val="24"/>
          <w:szCs w:val="24"/>
          <w:highlight w:val="none"/>
        </w:rPr>
        <w:t>5.1  开标时间和地点</w:t>
      </w:r>
      <w:bookmarkEnd w:id="342"/>
      <w:bookmarkEnd w:id="343"/>
      <w:bookmarkEnd w:id="344"/>
      <w:bookmarkEnd w:id="345"/>
      <w:bookmarkEnd w:id="346"/>
      <w:bookmarkEnd w:id="347"/>
      <w:bookmarkEnd w:id="348"/>
      <w:bookmarkEnd w:id="349"/>
    </w:p>
    <w:p w14:paraId="750B3DB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bookmarkStart w:id="350" w:name="_Toc287620718"/>
      <w:bookmarkStart w:id="351" w:name="_Toc287607779"/>
      <w:bookmarkStart w:id="352" w:name="_Toc224103350"/>
      <w:bookmarkStart w:id="353" w:name="_Toc430530468"/>
      <w:bookmarkStart w:id="354" w:name="_Toc23671"/>
      <w:bookmarkStart w:id="355" w:name="_Toc200513159"/>
      <w:bookmarkStart w:id="356" w:name="_Toc277082585"/>
      <w:bookmarkStart w:id="357" w:name="_Toc509218743"/>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14:paraId="3C67903C">
      <w:pPr>
        <w:pStyle w:val="4"/>
        <w:keepNext w:val="0"/>
        <w:keepLines w:val="0"/>
        <w:snapToGrid w:val="0"/>
        <w:spacing w:before="0" w:after="0" w:line="360" w:lineRule="auto"/>
        <w:rPr>
          <w:rFonts w:ascii="宋体" w:hAnsi="宋体"/>
          <w:b w:val="0"/>
          <w:snapToGrid w:val="0"/>
          <w:color w:val="auto"/>
          <w:sz w:val="24"/>
          <w:szCs w:val="24"/>
          <w:highlight w:val="none"/>
        </w:rPr>
      </w:pPr>
      <w:r>
        <w:rPr>
          <w:rFonts w:ascii="宋体" w:hAnsi="宋体"/>
          <w:b w:val="0"/>
          <w:snapToGrid w:val="0"/>
          <w:color w:val="auto"/>
          <w:sz w:val="24"/>
          <w:szCs w:val="24"/>
          <w:highlight w:val="none"/>
        </w:rPr>
        <w:t>5.2  开标程序</w:t>
      </w:r>
      <w:bookmarkEnd w:id="350"/>
      <w:bookmarkEnd w:id="351"/>
      <w:bookmarkEnd w:id="352"/>
      <w:bookmarkEnd w:id="353"/>
      <w:bookmarkEnd w:id="354"/>
      <w:bookmarkEnd w:id="355"/>
      <w:bookmarkEnd w:id="356"/>
      <w:bookmarkEnd w:id="357"/>
    </w:p>
    <w:p w14:paraId="24EB555E">
      <w:pPr>
        <w:autoSpaceDE w:val="0"/>
        <w:autoSpaceDN w:val="0"/>
        <w:adjustRightInd w:val="0"/>
        <w:snapToGrid w:val="0"/>
        <w:spacing w:line="360" w:lineRule="auto"/>
        <w:ind w:firstLine="420" w:firstLineChars="200"/>
        <w:rPr>
          <w:rFonts w:ascii="宋体" w:hAnsi="宋体"/>
          <w:color w:val="auto"/>
          <w:szCs w:val="21"/>
          <w:highlight w:val="none"/>
        </w:rPr>
      </w:pPr>
      <w:bookmarkStart w:id="358" w:name="_Toc224103351"/>
      <w:bookmarkStart w:id="359" w:name="_Toc287607780"/>
      <w:bookmarkStart w:id="360" w:name="_Toc287620719"/>
      <w:bookmarkStart w:id="361" w:name="_Toc277082586"/>
      <w:bookmarkStart w:id="362" w:name="_Toc200513160"/>
      <w:r>
        <w:rPr>
          <w:rFonts w:ascii="宋体" w:hAnsi="宋体"/>
          <w:color w:val="auto"/>
          <w:szCs w:val="21"/>
          <w:highlight w:val="none"/>
        </w:rPr>
        <w:t>详见投标人须知前附表第5.2款开标程序。</w:t>
      </w:r>
    </w:p>
    <w:p w14:paraId="372A0A45">
      <w:pPr>
        <w:pStyle w:val="4"/>
        <w:keepNext w:val="0"/>
        <w:keepLines w:val="0"/>
        <w:snapToGrid w:val="0"/>
        <w:spacing w:before="0" w:after="0" w:line="360" w:lineRule="auto"/>
        <w:rPr>
          <w:rFonts w:ascii="宋体" w:hAnsi="宋体"/>
          <w:b w:val="0"/>
          <w:snapToGrid w:val="0"/>
          <w:color w:val="auto"/>
          <w:sz w:val="24"/>
          <w:szCs w:val="24"/>
          <w:highlight w:val="none"/>
        </w:rPr>
      </w:pPr>
      <w:bookmarkStart w:id="363" w:name="_Toc8598"/>
      <w:r>
        <w:rPr>
          <w:rFonts w:ascii="宋体" w:hAnsi="宋体"/>
          <w:b w:val="0"/>
          <w:snapToGrid w:val="0"/>
          <w:color w:val="auto"/>
          <w:sz w:val="24"/>
          <w:szCs w:val="24"/>
          <w:highlight w:val="none"/>
        </w:rPr>
        <w:t>5.</w:t>
      </w:r>
      <w:r>
        <w:rPr>
          <w:rFonts w:hint="eastAsia" w:ascii="宋体" w:hAnsi="宋体"/>
          <w:b w:val="0"/>
          <w:snapToGrid w:val="0"/>
          <w:color w:val="auto"/>
          <w:sz w:val="24"/>
          <w:szCs w:val="24"/>
          <w:highlight w:val="none"/>
        </w:rPr>
        <w:t>3</w:t>
      </w:r>
      <w:r>
        <w:rPr>
          <w:rFonts w:ascii="宋体" w:hAnsi="宋体"/>
          <w:b w:val="0"/>
          <w:snapToGrid w:val="0"/>
          <w:color w:val="auto"/>
          <w:sz w:val="24"/>
          <w:szCs w:val="24"/>
          <w:highlight w:val="none"/>
        </w:rPr>
        <w:t xml:space="preserve">  </w:t>
      </w:r>
      <w:r>
        <w:rPr>
          <w:rFonts w:hint="eastAsia" w:ascii="宋体" w:hAnsi="宋体"/>
          <w:b w:val="0"/>
          <w:snapToGrid w:val="0"/>
          <w:color w:val="auto"/>
          <w:sz w:val="24"/>
          <w:szCs w:val="24"/>
          <w:highlight w:val="none"/>
        </w:rPr>
        <w:t>开标异议</w:t>
      </w:r>
      <w:bookmarkEnd w:id="363"/>
    </w:p>
    <w:p w14:paraId="1F360263">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投标人对开标有异议的，应在开标现场提出，同时应出示法定代表人身份证明或附有法定代表人身份证明的授权委托书。</w:t>
      </w:r>
      <w:r>
        <w:rPr>
          <w:rFonts w:hint="eastAsia" w:ascii="宋体" w:hAnsi="宋体"/>
          <w:color w:val="auto"/>
          <w:szCs w:val="21"/>
          <w:highlight w:val="none"/>
          <w:lang w:eastAsia="zh-CN"/>
        </w:rPr>
        <w:t>比选人</w:t>
      </w:r>
      <w:r>
        <w:rPr>
          <w:rFonts w:hint="eastAsia" w:ascii="宋体" w:hAnsi="宋体"/>
          <w:color w:val="auto"/>
          <w:szCs w:val="21"/>
          <w:highlight w:val="none"/>
        </w:rPr>
        <w:t>当场作出答复，并制作记录，有异议的投标人代表、</w:t>
      </w:r>
      <w:r>
        <w:rPr>
          <w:rFonts w:hint="eastAsia" w:ascii="宋体" w:hAnsi="宋体"/>
          <w:color w:val="auto"/>
          <w:szCs w:val="21"/>
          <w:highlight w:val="none"/>
          <w:lang w:eastAsia="zh-CN"/>
        </w:rPr>
        <w:t>比选人</w:t>
      </w:r>
      <w:r>
        <w:rPr>
          <w:rFonts w:hint="eastAsia" w:ascii="宋体" w:hAnsi="宋体"/>
          <w:color w:val="auto"/>
          <w:szCs w:val="21"/>
          <w:highlight w:val="none"/>
        </w:rPr>
        <w:t>代表、主持人、记录人等有关人员在记录上签名确认</w:t>
      </w:r>
      <w:r>
        <w:rPr>
          <w:rFonts w:ascii="宋体" w:hAnsi="宋体"/>
          <w:color w:val="auto"/>
          <w:szCs w:val="21"/>
          <w:highlight w:val="none"/>
        </w:rPr>
        <w:t>。</w:t>
      </w:r>
    </w:p>
    <w:p w14:paraId="0FB428D3">
      <w:pPr>
        <w:pStyle w:val="3"/>
        <w:keepNext w:val="0"/>
        <w:keepLines w:val="0"/>
        <w:spacing w:before="0" w:after="0" w:line="360" w:lineRule="auto"/>
        <w:rPr>
          <w:rFonts w:ascii="宋体" w:hAnsi="宋体"/>
          <w:b w:val="0"/>
          <w:snapToGrid w:val="0"/>
          <w:color w:val="auto"/>
          <w:highlight w:val="none"/>
        </w:rPr>
      </w:pPr>
      <w:bookmarkStart w:id="364" w:name="_Toc509218744"/>
      <w:bookmarkStart w:id="365" w:name="_Toc430530469"/>
      <w:bookmarkStart w:id="366" w:name="_Toc3936"/>
      <w:r>
        <w:rPr>
          <w:rFonts w:ascii="宋体" w:hAnsi="宋体"/>
          <w:b w:val="0"/>
          <w:snapToGrid w:val="0"/>
          <w:color w:val="auto"/>
          <w:highlight w:val="none"/>
        </w:rPr>
        <w:t>6.  评标</w:t>
      </w:r>
      <w:bookmarkEnd w:id="358"/>
      <w:bookmarkEnd w:id="359"/>
      <w:bookmarkEnd w:id="360"/>
      <w:bookmarkEnd w:id="361"/>
      <w:bookmarkEnd w:id="362"/>
      <w:bookmarkEnd w:id="364"/>
      <w:bookmarkEnd w:id="365"/>
      <w:bookmarkEnd w:id="366"/>
    </w:p>
    <w:p w14:paraId="1765A891">
      <w:pPr>
        <w:pStyle w:val="4"/>
        <w:keepNext w:val="0"/>
        <w:keepLines w:val="0"/>
        <w:snapToGrid w:val="0"/>
        <w:spacing w:before="0" w:after="0" w:line="360" w:lineRule="auto"/>
        <w:rPr>
          <w:rFonts w:ascii="宋体" w:hAnsi="宋体"/>
          <w:b w:val="0"/>
          <w:snapToGrid w:val="0"/>
          <w:color w:val="auto"/>
          <w:sz w:val="24"/>
          <w:szCs w:val="24"/>
          <w:highlight w:val="none"/>
        </w:rPr>
      </w:pPr>
      <w:bookmarkStart w:id="367" w:name="_Toc509218745"/>
      <w:bookmarkStart w:id="368" w:name="_Toc287620720"/>
      <w:bookmarkStart w:id="369" w:name="_Toc224103352"/>
      <w:bookmarkStart w:id="370" w:name="_Toc20604"/>
      <w:bookmarkStart w:id="371" w:name="_Toc430530470"/>
      <w:bookmarkStart w:id="372" w:name="_Toc200513161"/>
      <w:bookmarkStart w:id="373" w:name="_Toc277082587"/>
      <w:bookmarkStart w:id="374" w:name="_Toc287607781"/>
      <w:r>
        <w:rPr>
          <w:rFonts w:ascii="宋体" w:hAnsi="宋体"/>
          <w:b w:val="0"/>
          <w:snapToGrid w:val="0"/>
          <w:color w:val="auto"/>
          <w:sz w:val="24"/>
          <w:szCs w:val="24"/>
          <w:highlight w:val="none"/>
        </w:rPr>
        <w:t>6.1  评标委员会</w:t>
      </w:r>
      <w:bookmarkEnd w:id="367"/>
      <w:bookmarkEnd w:id="368"/>
      <w:bookmarkEnd w:id="369"/>
      <w:bookmarkEnd w:id="370"/>
      <w:bookmarkEnd w:id="371"/>
      <w:bookmarkEnd w:id="372"/>
      <w:bookmarkEnd w:id="373"/>
      <w:bookmarkEnd w:id="374"/>
    </w:p>
    <w:p w14:paraId="1B5AC8FD">
      <w:pPr>
        <w:autoSpaceDE w:val="0"/>
        <w:autoSpaceDN w:val="0"/>
        <w:adjustRightInd w:val="0"/>
        <w:snapToGrid w:val="0"/>
        <w:spacing w:line="360" w:lineRule="auto"/>
        <w:ind w:firstLine="420" w:firstLineChars="200"/>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14:paraId="171B4A6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14:paraId="1E7DCAD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（1）投标人或投标人主要负责人的近亲属；</w:t>
      </w:r>
    </w:p>
    <w:p w14:paraId="1F44AB21">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w:t>
      </w:r>
      <w:r>
        <w:rPr>
          <w:rFonts w:hint="eastAsia" w:ascii="宋体" w:hAnsi="宋体"/>
          <w:snapToGrid w:val="0"/>
          <w:color w:val="auto"/>
          <w:kern w:val="0"/>
          <w:szCs w:val="21"/>
          <w:highlight w:val="none"/>
        </w:rPr>
        <w:t>项目</w:t>
      </w:r>
      <w:r>
        <w:rPr>
          <w:rFonts w:ascii="宋体" w:hAnsi="宋体"/>
          <w:snapToGrid w:val="0"/>
          <w:color w:val="auto"/>
          <w:kern w:val="0"/>
          <w:szCs w:val="21"/>
          <w:highlight w:val="none"/>
        </w:rPr>
        <w:t>行政监督部门的人员；</w:t>
      </w:r>
    </w:p>
    <w:p w14:paraId="24DF6AFA">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（3）与投标人有</w:t>
      </w:r>
      <w:r>
        <w:rPr>
          <w:rFonts w:hint="eastAsia" w:ascii="宋体" w:hAnsi="宋体"/>
          <w:snapToGrid w:val="0"/>
          <w:color w:val="auto"/>
          <w:kern w:val="0"/>
          <w:szCs w:val="21"/>
          <w:highlight w:val="none"/>
        </w:rPr>
        <w:t>利害</w:t>
      </w:r>
      <w:r>
        <w:rPr>
          <w:rFonts w:ascii="宋体" w:hAnsi="宋体"/>
          <w:snapToGrid w:val="0"/>
          <w:color w:val="auto"/>
          <w:kern w:val="0"/>
          <w:szCs w:val="21"/>
          <w:highlight w:val="none"/>
        </w:rPr>
        <w:t>关系，可能影响对投标公正评审的；</w:t>
      </w:r>
    </w:p>
    <w:p w14:paraId="53F04F2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r>
        <w:rPr>
          <w:rFonts w:hint="eastAsia" w:ascii="宋体" w:hAnsi="宋体"/>
          <w:snapToGrid w:val="0"/>
          <w:color w:val="auto"/>
          <w:kern w:val="0"/>
          <w:szCs w:val="21"/>
          <w:highlight w:val="none"/>
        </w:rPr>
        <w:t>；</w:t>
      </w:r>
    </w:p>
    <w:p w14:paraId="2B0B983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ascii="宋体" w:hAnsi="宋体"/>
          <w:snapToGrid w:val="0"/>
          <w:color w:val="auto"/>
          <w:kern w:val="0"/>
          <w:szCs w:val="21"/>
          <w:highlight w:val="none"/>
        </w:rPr>
        <w:t>5</w:t>
      </w:r>
      <w:r>
        <w:rPr>
          <w:rFonts w:hint="eastAsia" w:ascii="宋体" w:hAnsi="宋体"/>
          <w:snapToGrid w:val="0"/>
          <w:color w:val="auto"/>
          <w:kern w:val="0"/>
          <w:szCs w:val="21"/>
          <w:highlight w:val="none"/>
        </w:rPr>
        <w:t>）法律法规规定的其他情形。</w:t>
      </w:r>
    </w:p>
    <w:p w14:paraId="4D5245CB">
      <w:pPr>
        <w:pStyle w:val="140"/>
        <w:spacing w:before="0" w:after="0" w:line="360" w:lineRule="auto"/>
        <w:ind w:firstLine="420" w:firstLineChars="200"/>
        <w:jc w:val="left"/>
        <w:rPr>
          <w:rFonts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14:paraId="4366CDC8">
      <w:pPr>
        <w:pStyle w:val="4"/>
        <w:snapToGrid w:val="0"/>
        <w:spacing w:before="0" w:after="0" w:line="360" w:lineRule="auto"/>
        <w:rPr>
          <w:rFonts w:ascii="宋体" w:hAnsi="宋体"/>
          <w:b w:val="0"/>
          <w:snapToGrid w:val="0"/>
          <w:color w:val="auto"/>
          <w:sz w:val="24"/>
          <w:szCs w:val="24"/>
          <w:highlight w:val="none"/>
        </w:rPr>
      </w:pPr>
      <w:bookmarkStart w:id="375" w:name="_Toc277082588"/>
      <w:bookmarkStart w:id="376" w:name="_Toc26607"/>
      <w:bookmarkStart w:id="377" w:name="_Toc200513162"/>
      <w:bookmarkStart w:id="378" w:name="_Toc224103353"/>
      <w:bookmarkStart w:id="379" w:name="_Toc287607782"/>
      <w:bookmarkStart w:id="380" w:name="_Toc287620721"/>
      <w:bookmarkStart w:id="381" w:name="_Toc509218746"/>
      <w:bookmarkStart w:id="382" w:name="_Toc430530471"/>
      <w:r>
        <w:rPr>
          <w:rFonts w:ascii="宋体" w:hAnsi="宋体"/>
          <w:b w:val="0"/>
          <w:snapToGrid w:val="0"/>
          <w:color w:val="auto"/>
          <w:sz w:val="24"/>
          <w:szCs w:val="24"/>
          <w:highlight w:val="none"/>
        </w:rPr>
        <w:t>6.2  评标原则</w:t>
      </w:r>
      <w:bookmarkEnd w:id="375"/>
      <w:bookmarkEnd w:id="376"/>
      <w:bookmarkEnd w:id="377"/>
      <w:bookmarkEnd w:id="378"/>
      <w:bookmarkEnd w:id="379"/>
      <w:bookmarkEnd w:id="380"/>
      <w:bookmarkEnd w:id="381"/>
      <w:bookmarkEnd w:id="382"/>
    </w:p>
    <w:p w14:paraId="6AC1A66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14:paraId="79371E0A">
      <w:pPr>
        <w:pStyle w:val="4"/>
        <w:snapToGrid w:val="0"/>
        <w:spacing w:before="0" w:after="0" w:line="360" w:lineRule="auto"/>
        <w:rPr>
          <w:rFonts w:ascii="宋体" w:hAnsi="宋体"/>
          <w:b w:val="0"/>
          <w:snapToGrid w:val="0"/>
          <w:color w:val="auto"/>
          <w:sz w:val="24"/>
          <w:szCs w:val="24"/>
          <w:highlight w:val="none"/>
        </w:rPr>
      </w:pPr>
      <w:bookmarkStart w:id="383" w:name="_Toc25268"/>
      <w:bookmarkStart w:id="384" w:name="_Toc287620722"/>
      <w:bookmarkStart w:id="385" w:name="_Toc509218747"/>
      <w:bookmarkStart w:id="386" w:name="_Toc430530472"/>
      <w:bookmarkStart w:id="387" w:name="_Toc224103354"/>
      <w:bookmarkStart w:id="388" w:name="_Toc200513163"/>
      <w:bookmarkStart w:id="389" w:name="_Toc277082589"/>
      <w:bookmarkStart w:id="390" w:name="_Toc287607783"/>
      <w:r>
        <w:rPr>
          <w:rFonts w:ascii="宋体" w:hAnsi="宋体"/>
          <w:b w:val="0"/>
          <w:snapToGrid w:val="0"/>
          <w:color w:val="auto"/>
          <w:sz w:val="24"/>
          <w:szCs w:val="24"/>
          <w:highlight w:val="none"/>
        </w:rPr>
        <w:t>6.3  评标</w:t>
      </w:r>
      <w:bookmarkEnd w:id="383"/>
      <w:bookmarkEnd w:id="384"/>
      <w:bookmarkEnd w:id="385"/>
      <w:bookmarkEnd w:id="386"/>
      <w:bookmarkEnd w:id="387"/>
      <w:bookmarkEnd w:id="388"/>
      <w:bookmarkEnd w:id="389"/>
      <w:bookmarkEnd w:id="390"/>
    </w:p>
    <w:p w14:paraId="40F3F42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.3.1  评标委员会按照第三章“评标办法”规定的方法、评审因素、标准和程序对投标文件进行评审。第三章“评标办法”没有规定的方法、评审因素和标准，不得作为评标依据。</w:t>
      </w:r>
    </w:p>
    <w:p w14:paraId="7ADB8C97">
      <w:pPr>
        <w:autoSpaceDE w:val="0"/>
        <w:autoSpaceDN w:val="0"/>
        <w:adjustRightInd w:val="0"/>
        <w:snapToGrid w:val="0"/>
        <w:spacing w:line="360" w:lineRule="auto"/>
        <w:ind w:firstLine="420" w:firstLineChars="200"/>
        <w:rPr>
          <w:color w:val="auto"/>
          <w:highlight w:val="none"/>
        </w:rPr>
      </w:pPr>
      <w:r>
        <w:rPr>
          <w:rFonts w:hint="eastAsia" w:ascii="宋体" w:hAnsi="宋体"/>
          <w:snapToGrid w:val="0"/>
          <w:color w:val="auto"/>
          <w:kern w:val="0"/>
          <w:szCs w:val="21"/>
          <w:highlight w:val="none"/>
        </w:rPr>
        <w:t>6</w:t>
      </w:r>
      <w:r>
        <w:rPr>
          <w:rFonts w:ascii="宋体" w:hAnsi="宋体"/>
          <w:snapToGrid w:val="0"/>
          <w:color w:val="auto"/>
          <w:kern w:val="0"/>
          <w:szCs w:val="21"/>
          <w:highlight w:val="none"/>
        </w:rPr>
        <w:t xml:space="preserve">.3.2  </w:t>
      </w:r>
      <w:r>
        <w:rPr>
          <w:color w:val="auto"/>
          <w:highlight w:val="none"/>
        </w:rPr>
        <w:t>评标完成后，评标委员会应当向</w:t>
      </w:r>
      <w:r>
        <w:rPr>
          <w:rFonts w:hint="eastAsia"/>
          <w:color w:val="auto"/>
          <w:highlight w:val="none"/>
          <w:lang w:eastAsia="zh-CN"/>
        </w:rPr>
        <w:t>比选人</w:t>
      </w:r>
      <w:r>
        <w:rPr>
          <w:color w:val="auto"/>
          <w:highlight w:val="none"/>
        </w:rPr>
        <w:t>提交书面评标报告和中标候选人名单。评标委员会推荐中标候选人的</w:t>
      </w:r>
      <w:r>
        <w:rPr>
          <w:rFonts w:hint="eastAsia"/>
          <w:color w:val="auto"/>
          <w:highlight w:val="none"/>
        </w:rPr>
        <w:t>数量</w:t>
      </w:r>
      <w:r>
        <w:rPr>
          <w:color w:val="auto"/>
          <w:highlight w:val="none"/>
        </w:rPr>
        <w:t>见投标人须知前附表。</w:t>
      </w:r>
    </w:p>
    <w:p w14:paraId="21ED5A82">
      <w:pPr>
        <w:pStyle w:val="3"/>
        <w:spacing w:before="0" w:after="0" w:line="360" w:lineRule="auto"/>
        <w:rPr>
          <w:rFonts w:ascii="宋体" w:hAnsi="宋体"/>
          <w:b w:val="0"/>
          <w:snapToGrid w:val="0"/>
          <w:color w:val="auto"/>
          <w:highlight w:val="none"/>
        </w:rPr>
      </w:pPr>
      <w:bookmarkStart w:id="391" w:name="_Toc224103355"/>
      <w:bookmarkStart w:id="392" w:name="_Toc31416"/>
      <w:bookmarkStart w:id="393" w:name="_Toc430530473"/>
      <w:bookmarkStart w:id="394" w:name="_Toc287620723"/>
      <w:bookmarkStart w:id="395" w:name="_Toc277082590"/>
      <w:bookmarkStart w:id="396" w:name="_Toc509218748"/>
      <w:bookmarkStart w:id="397" w:name="_Toc200513164"/>
      <w:bookmarkStart w:id="398" w:name="_Toc287607784"/>
      <w:r>
        <w:rPr>
          <w:rFonts w:ascii="宋体" w:hAnsi="宋体"/>
          <w:b w:val="0"/>
          <w:snapToGrid w:val="0"/>
          <w:color w:val="auto"/>
          <w:highlight w:val="none"/>
        </w:rPr>
        <w:t>7.  合同授予</w:t>
      </w:r>
      <w:bookmarkEnd w:id="391"/>
      <w:bookmarkEnd w:id="392"/>
      <w:bookmarkEnd w:id="393"/>
      <w:bookmarkEnd w:id="394"/>
      <w:bookmarkEnd w:id="395"/>
      <w:bookmarkEnd w:id="396"/>
      <w:bookmarkEnd w:id="397"/>
      <w:bookmarkEnd w:id="398"/>
    </w:p>
    <w:p w14:paraId="25CEA3A3">
      <w:pPr>
        <w:pStyle w:val="4"/>
        <w:snapToGrid w:val="0"/>
        <w:spacing w:before="0" w:after="0" w:line="360" w:lineRule="auto"/>
        <w:rPr>
          <w:rFonts w:ascii="宋体" w:hAnsi="宋体"/>
          <w:b w:val="0"/>
          <w:snapToGrid w:val="0"/>
          <w:color w:val="auto"/>
          <w:sz w:val="24"/>
          <w:szCs w:val="24"/>
          <w:highlight w:val="none"/>
        </w:rPr>
      </w:pPr>
      <w:bookmarkStart w:id="399" w:name="_Toc277082591"/>
      <w:bookmarkStart w:id="400" w:name="_Toc200513165"/>
      <w:bookmarkStart w:id="401" w:name="_Toc509218749"/>
      <w:bookmarkStart w:id="402" w:name="_Toc224103356"/>
      <w:bookmarkStart w:id="403" w:name="_Toc287607785"/>
      <w:bookmarkStart w:id="404" w:name="_Toc430530474"/>
      <w:bookmarkStart w:id="405" w:name="_Toc287620724"/>
      <w:bookmarkStart w:id="406" w:name="_Toc30371"/>
      <w:r>
        <w:rPr>
          <w:rFonts w:ascii="宋体" w:hAnsi="宋体"/>
          <w:b w:val="0"/>
          <w:snapToGrid w:val="0"/>
          <w:color w:val="auto"/>
          <w:sz w:val="24"/>
          <w:szCs w:val="24"/>
          <w:highlight w:val="none"/>
        </w:rPr>
        <w:t xml:space="preserve">7.1  </w:t>
      </w:r>
      <w:bookmarkEnd w:id="399"/>
      <w:bookmarkEnd w:id="400"/>
      <w:bookmarkEnd w:id="401"/>
      <w:bookmarkEnd w:id="402"/>
      <w:bookmarkEnd w:id="403"/>
      <w:bookmarkEnd w:id="404"/>
      <w:bookmarkEnd w:id="405"/>
      <w:r>
        <w:rPr>
          <w:rFonts w:hint="eastAsia" w:ascii="宋体" w:hAnsi="宋体"/>
          <w:b w:val="0"/>
          <w:snapToGrid w:val="0"/>
          <w:color w:val="auto"/>
          <w:sz w:val="24"/>
          <w:szCs w:val="24"/>
          <w:highlight w:val="none"/>
        </w:rPr>
        <w:t>中标候选人公示</w:t>
      </w:r>
      <w:bookmarkEnd w:id="406"/>
    </w:p>
    <w:p w14:paraId="65FF32A2">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比选人</w:t>
      </w:r>
      <w:r>
        <w:rPr>
          <w:rFonts w:ascii="宋体" w:hAnsi="宋体"/>
          <w:color w:val="auto"/>
          <w:szCs w:val="21"/>
          <w:highlight w:val="none"/>
        </w:rPr>
        <w:t>在收到评标报告之日起3日内，按照投标人须知前附表规定的公示媒介和期限公示中标候选人，公示期不得少于3天。</w:t>
      </w:r>
    </w:p>
    <w:p w14:paraId="22263760">
      <w:pPr>
        <w:pStyle w:val="4"/>
        <w:snapToGrid w:val="0"/>
        <w:spacing w:before="0" w:after="0" w:line="360" w:lineRule="auto"/>
        <w:rPr>
          <w:rFonts w:ascii="宋体" w:hAnsi="宋体"/>
          <w:b w:val="0"/>
          <w:snapToGrid w:val="0"/>
          <w:color w:val="auto"/>
          <w:sz w:val="24"/>
          <w:szCs w:val="24"/>
          <w:highlight w:val="none"/>
        </w:rPr>
      </w:pPr>
      <w:bookmarkStart w:id="407" w:name="_Toc24618"/>
      <w:r>
        <w:rPr>
          <w:rFonts w:ascii="宋体" w:hAnsi="宋体"/>
          <w:b w:val="0"/>
          <w:snapToGrid w:val="0"/>
          <w:color w:val="auto"/>
          <w:sz w:val="24"/>
          <w:szCs w:val="24"/>
          <w:highlight w:val="none"/>
        </w:rPr>
        <w:t xml:space="preserve">7.2  </w:t>
      </w:r>
      <w:r>
        <w:rPr>
          <w:rFonts w:hint="eastAsia" w:ascii="宋体" w:hAnsi="宋体"/>
          <w:b w:val="0"/>
          <w:snapToGrid w:val="0"/>
          <w:color w:val="auto"/>
          <w:sz w:val="24"/>
          <w:szCs w:val="24"/>
          <w:highlight w:val="none"/>
        </w:rPr>
        <w:t>评标结果异议</w:t>
      </w:r>
      <w:bookmarkEnd w:id="407"/>
    </w:p>
    <w:p w14:paraId="222ABA15">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投标人或者其他利害关系人对评标结果有异议的，应当在中标候选人公示期间提出。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将在收到异议之日起 3 日内作出答复；作出答复前，将暂停招标投标活动。</w:t>
      </w:r>
    </w:p>
    <w:p w14:paraId="3C7766AF">
      <w:pPr>
        <w:pStyle w:val="4"/>
        <w:snapToGrid w:val="0"/>
        <w:spacing w:before="0" w:after="0" w:line="360" w:lineRule="auto"/>
        <w:rPr>
          <w:rFonts w:ascii="宋体" w:hAnsi="宋体"/>
          <w:b w:val="0"/>
          <w:snapToGrid w:val="0"/>
          <w:color w:val="auto"/>
          <w:sz w:val="24"/>
          <w:szCs w:val="24"/>
          <w:highlight w:val="none"/>
        </w:rPr>
      </w:pPr>
      <w:bookmarkStart w:id="408" w:name="_Toc20530"/>
      <w:r>
        <w:rPr>
          <w:rFonts w:ascii="宋体" w:hAnsi="宋体"/>
          <w:b w:val="0"/>
          <w:snapToGrid w:val="0"/>
          <w:color w:val="auto"/>
          <w:sz w:val="24"/>
          <w:szCs w:val="24"/>
          <w:highlight w:val="none"/>
        </w:rPr>
        <w:t xml:space="preserve">7.3  </w:t>
      </w:r>
      <w:r>
        <w:rPr>
          <w:rFonts w:hint="eastAsia" w:ascii="宋体" w:hAnsi="宋体"/>
          <w:b w:val="0"/>
          <w:snapToGrid w:val="0"/>
          <w:color w:val="auto"/>
          <w:sz w:val="24"/>
          <w:szCs w:val="24"/>
          <w:highlight w:val="none"/>
        </w:rPr>
        <w:t>中标候选人履约能力审查</w:t>
      </w:r>
      <w:bookmarkEnd w:id="408"/>
    </w:p>
    <w:p w14:paraId="73A4C0F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中标候选人的经营、财务状况发生较大变化或存在违法行为，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认为可能影响其履约能力的，将在发出中标通知书前提请原评标委员会按照招标文件规定的标准和方法进行审查确认。</w:t>
      </w:r>
    </w:p>
    <w:p w14:paraId="187BDD07">
      <w:pPr>
        <w:pStyle w:val="4"/>
        <w:snapToGrid w:val="0"/>
        <w:spacing w:before="0" w:after="0" w:line="360" w:lineRule="auto"/>
        <w:rPr>
          <w:rFonts w:ascii="宋体" w:hAnsi="宋体"/>
          <w:b w:val="0"/>
          <w:snapToGrid w:val="0"/>
          <w:color w:val="auto"/>
          <w:sz w:val="24"/>
          <w:szCs w:val="24"/>
          <w:highlight w:val="none"/>
        </w:rPr>
      </w:pPr>
      <w:bookmarkStart w:id="409" w:name="_Toc27890"/>
      <w:r>
        <w:rPr>
          <w:rFonts w:ascii="宋体" w:hAnsi="宋体"/>
          <w:b w:val="0"/>
          <w:snapToGrid w:val="0"/>
          <w:color w:val="auto"/>
          <w:sz w:val="24"/>
          <w:szCs w:val="24"/>
          <w:highlight w:val="none"/>
        </w:rPr>
        <w:t xml:space="preserve">7.4  </w:t>
      </w:r>
      <w:r>
        <w:rPr>
          <w:rFonts w:hint="eastAsia" w:ascii="宋体" w:hAnsi="宋体"/>
          <w:b w:val="0"/>
          <w:snapToGrid w:val="0"/>
          <w:color w:val="auto"/>
          <w:sz w:val="24"/>
          <w:szCs w:val="24"/>
          <w:highlight w:val="none"/>
        </w:rPr>
        <w:t>定标</w:t>
      </w:r>
      <w:bookmarkEnd w:id="409"/>
    </w:p>
    <w:p w14:paraId="07FE515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按照投标人须知前附表的规定，</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授权的评标委员会依法确定中标人。</w:t>
      </w:r>
    </w:p>
    <w:p w14:paraId="7F5F4BC1">
      <w:pPr>
        <w:autoSpaceDE w:val="0"/>
        <w:autoSpaceDN w:val="0"/>
        <w:adjustRightInd w:val="0"/>
        <w:snapToGrid w:val="0"/>
        <w:spacing w:line="360" w:lineRule="auto"/>
        <w:ind w:firstLine="420" w:firstLineChars="200"/>
        <w:rPr>
          <w:color w:val="auto"/>
          <w:highlight w:val="none"/>
        </w:rPr>
      </w:pPr>
      <w:r>
        <w:rPr>
          <w:color w:val="auto"/>
          <w:highlight w:val="none"/>
        </w:rPr>
        <w:t>国有资金占控股或者主导地位的依法必须进行招标的项目，</w:t>
      </w:r>
      <w:r>
        <w:rPr>
          <w:rFonts w:hint="eastAsia"/>
          <w:color w:val="auto"/>
          <w:highlight w:val="none"/>
          <w:lang w:eastAsia="zh-CN"/>
        </w:rPr>
        <w:t>比选人</w:t>
      </w:r>
      <w:r>
        <w:rPr>
          <w:color w:val="auto"/>
          <w:highlight w:val="none"/>
        </w:rPr>
        <w:t>应当确定排名第一的中标候选人为中标人。排名第一的中标候选人放弃中标、因不可抗力不能履行合同、不按照招标文件要求提交履约保证金，或者被查实存在影响中标结果的违法行为等情形，不符合中标条件的，</w:t>
      </w:r>
      <w:r>
        <w:rPr>
          <w:rFonts w:hint="eastAsia"/>
          <w:color w:val="auto"/>
          <w:highlight w:val="none"/>
          <w:lang w:eastAsia="zh-CN"/>
        </w:rPr>
        <w:t>比选人</w:t>
      </w:r>
      <w:r>
        <w:rPr>
          <w:color w:val="auto"/>
          <w:highlight w:val="none"/>
        </w:rPr>
        <w:t>可以按照评标委员会提出的中标候选人名单排序依次确定其他中标候选人为中标人，也可以重新招标。</w:t>
      </w:r>
    </w:p>
    <w:p w14:paraId="6A3DCCFE">
      <w:pPr>
        <w:pStyle w:val="4"/>
        <w:snapToGrid w:val="0"/>
        <w:spacing w:before="0" w:after="0" w:line="360" w:lineRule="auto"/>
        <w:rPr>
          <w:rFonts w:ascii="宋体" w:hAnsi="宋体"/>
          <w:b w:val="0"/>
          <w:snapToGrid w:val="0"/>
          <w:color w:val="auto"/>
          <w:sz w:val="24"/>
          <w:szCs w:val="24"/>
          <w:highlight w:val="none"/>
        </w:rPr>
      </w:pPr>
      <w:bookmarkStart w:id="410" w:name="_Toc509218750"/>
      <w:bookmarkStart w:id="411" w:name="_Toc14359"/>
      <w:bookmarkStart w:id="412" w:name="_Toc430530475"/>
      <w:r>
        <w:rPr>
          <w:rFonts w:ascii="宋体" w:hAnsi="宋体"/>
          <w:b w:val="0"/>
          <w:snapToGrid w:val="0"/>
          <w:color w:val="auto"/>
          <w:sz w:val="24"/>
          <w:szCs w:val="24"/>
          <w:highlight w:val="none"/>
        </w:rPr>
        <w:t>7.5  中标通知</w:t>
      </w:r>
      <w:bookmarkEnd w:id="410"/>
      <w:bookmarkEnd w:id="411"/>
      <w:bookmarkEnd w:id="412"/>
    </w:p>
    <w:p w14:paraId="5073C92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在本章第3.3款规定的投标有效期内，且未有投标人的异议与投诉，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同时将中标结果通知未中标的投标人。</w:t>
      </w:r>
    </w:p>
    <w:p w14:paraId="03B35DB8">
      <w:pPr>
        <w:pStyle w:val="4"/>
        <w:snapToGrid w:val="0"/>
        <w:spacing w:before="0" w:after="0" w:line="360" w:lineRule="auto"/>
        <w:rPr>
          <w:rFonts w:ascii="宋体" w:hAnsi="宋体"/>
          <w:b w:val="0"/>
          <w:snapToGrid w:val="0"/>
          <w:color w:val="auto"/>
          <w:sz w:val="24"/>
          <w:szCs w:val="24"/>
          <w:highlight w:val="none"/>
        </w:rPr>
      </w:pPr>
      <w:bookmarkStart w:id="413" w:name="_Toc31402"/>
      <w:r>
        <w:rPr>
          <w:rFonts w:ascii="宋体" w:hAnsi="宋体"/>
          <w:b w:val="0"/>
          <w:snapToGrid w:val="0"/>
          <w:color w:val="auto"/>
          <w:sz w:val="24"/>
          <w:szCs w:val="24"/>
          <w:highlight w:val="none"/>
        </w:rPr>
        <w:t xml:space="preserve">7.6  </w:t>
      </w:r>
      <w:r>
        <w:rPr>
          <w:rFonts w:hint="eastAsia" w:ascii="宋体" w:hAnsi="宋体"/>
          <w:b w:val="0"/>
          <w:snapToGrid w:val="0"/>
          <w:color w:val="auto"/>
          <w:sz w:val="24"/>
          <w:szCs w:val="24"/>
          <w:highlight w:val="none"/>
        </w:rPr>
        <w:t>技术成果经济补偿</w:t>
      </w:r>
      <w:bookmarkEnd w:id="413"/>
    </w:p>
    <w:p w14:paraId="5CE9243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对符合招标文件规定的未中标人的技术成果进行补偿的，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将按投标人须知前附表规定的标准给予经济补偿，未中标人在投标文件中声明放弃技术成果经济补偿费的除外。</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将于中标通知书发出后 30 日内向未中标人支付技术成果经济补偿费。</w:t>
      </w:r>
    </w:p>
    <w:p w14:paraId="4298DD15">
      <w:pPr>
        <w:pStyle w:val="4"/>
        <w:snapToGrid w:val="0"/>
        <w:spacing w:before="0" w:after="0" w:line="360" w:lineRule="auto"/>
        <w:rPr>
          <w:rFonts w:ascii="宋体" w:hAnsi="宋体"/>
          <w:b w:val="0"/>
          <w:snapToGrid w:val="0"/>
          <w:color w:val="auto"/>
          <w:sz w:val="24"/>
          <w:szCs w:val="24"/>
          <w:highlight w:val="none"/>
        </w:rPr>
      </w:pPr>
      <w:bookmarkStart w:id="414" w:name="_Toc287620726"/>
      <w:bookmarkStart w:id="415" w:name="_Toc28249"/>
      <w:bookmarkStart w:id="416" w:name="_Toc287607787"/>
      <w:bookmarkStart w:id="417" w:name="_Toc430530476"/>
      <w:bookmarkStart w:id="418" w:name="_Toc224103358"/>
      <w:bookmarkStart w:id="419" w:name="_Toc277082593"/>
      <w:bookmarkStart w:id="420" w:name="_Toc509218751"/>
      <w:bookmarkStart w:id="421" w:name="_Toc200513167"/>
      <w:r>
        <w:rPr>
          <w:rFonts w:ascii="宋体" w:hAnsi="宋体"/>
          <w:b w:val="0"/>
          <w:snapToGrid w:val="0"/>
          <w:color w:val="auto"/>
          <w:sz w:val="24"/>
          <w:szCs w:val="24"/>
          <w:highlight w:val="none"/>
        </w:rPr>
        <w:t>7.7  履约担保</w:t>
      </w:r>
      <w:bookmarkEnd w:id="414"/>
      <w:bookmarkEnd w:id="415"/>
      <w:bookmarkEnd w:id="416"/>
      <w:bookmarkEnd w:id="417"/>
      <w:bookmarkEnd w:id="418"/>
      <w:bookmarkEnd w:id="419"/>
      <w:bookmarkEnd w:id="420"/>
      <w:bookmarkEnd w:id="421"/>
    </w:p>
    <w:p w14:paraId="6F68138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7.7.1  在签订合同前，中标人应按投标人须知前附表规定的</w:t>
      </w:r>
      <w:r>
        <w:rPr>
          <w:rFonts w:hint="eastAsia" w:ascii="宋体" w:hAnsi="宋体"/>
          <w:snapToGrid w:val="0"/>
          <w:color w:val="auto"/>
          <w:kern w:val="0"/>
          <w:szCs w:val="21"/>
          <w:highlight w:val="none"/>
        </w:rPr>
        <w:t>形式、金额</w:t>
      </w:r>
      <w:r>
        <w:rPr>
          <w:rFonts w:ascii="宋体" w:hAnsi="宋体"/>
          <w:snapToGrid w:val="0"/>
          <w:color w:val="auto"/>
          <w:kern w:val="0"/>
          <w:szCs w:val="21"/>
          <w:highlight w:val="none"/>
        </w:rPr>
        <w:t>和招标文件第四章“合同条款及格式”规定的或者事先经过</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认可的履约担保格式向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提交履约担保。除投标人须知前附表另有规定外，履约</w:t>
      </w:r>
      <w:r>
        <w:rPr>
          <w:rFonts w:hint="eastAsia" w:ascii="宋体" w:hAnsi="宋体"/>
          <w:snapToGrid w:val="0"/>
          <w:color w:val="auto"/>
          <w:kern w:val="0"/>
          <w:szCs w:val="21"/>
          <w:highlight w:val="none"/>
        </w:rPr>
        <w:t>担保金额</w:t>
      </w:r>
      <w:r>
        <w:rPr>
          <w:rFonts w:ascii="宋体" w:hAnsi="宋体"/>
          <w:snapToGrid w:val="0"/>
          <w:color w:val="auto"/>
          <w:kern w:val="0"/>
          <w:szCs w:val="21"/>
          <w:highlight w:val="none"/>
        </w:rPr>
        <w:t>为中标合同金额的10%。联合体中标的，其履约</w:t>
      </w:r>
      <w:r>
        <w:rPr>
          <w:rFonts w:hint="eastAsia" w:ascii="宋体" w:hAnsi="宋体"/>
          <w:snapToGrid w:val="0"/>
          <w:color w:val="auto"/>
          <w:kern w:val="0"/>
          <w:szCs w:val="21"/>
          <w:highlight w:val="none"/>
        </w:rPr>
        <w:t>担保由联合体牵头人或按照联合体协议的约定</w:t>
      </w:r>
      <w:r>
        <w:rPr>
          <w:rFonts w:ascii="宋体" w:hAnsi="宋体"/>
          <w:snapToGrid w:val="0"/>
          <w:color w:val="auto"/>
          <w:kern w:val="0"/>
          <w:szCs w:val="21"/>
          <w:highlight w:val="none"/>
        </w:rPr>
        <w:t>提交。</w:t>
      </w:r>
    </w:p>
    <w:p w14:paraId="58D8C739">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7.7.2  中标人不能按本章第7.7.1项要求提交履约担保的，视为放弃中标，其投标保证金不予退还，给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1A36BF4F">
      <w:pPr>
        <w:pStyle w:val="4"/>
        <w:snapToGrid w:val="0"/>
        <w:spacing w:before="0" w:after="0" w:line="360" w:lineRule="auto"/>
        <w:rPr>
          <w:rFonts w:ascii="宋体" w:hAnsi="宋体"/>
          <w:b w:val="0"/>
          <w:snapToGrid w:val="0"/>
          <w:color w:val="auto"/>
          <w:sz w:val="24"/>
          <w:szCs w:val="24"/>
          <w:highlight w:val="none"/>
        </w:rPr>
      </w:pPr>
      <w:bookmarkStart w:id="422" w:name="_Toc224103359"/>
      <w:bookmarkStart w:id="423" w:name="_Toc10951"/>
      <w:bookmarkStart w:id="424" w:name="_Toc287607788"/>
      <w:bookmarkStart w:id="425" w:name="_Toc287620727"/>
      <w:bookmarkStart w:id="426" w:name="_Toc200513168"/>
      <w:bookmarkStart w:id="427" w:name="_Toc430530477"/>
      <w:bookmarkStart w:id="428" w:name="_Toc277082594"/>
      <w:bookmarkStart w:id="429" w:name="_Toc509218752"/>
      <w:r>
        <w:rPr>
          <w:rFonts w:ascii="宋体" w:hAnsi="宋体"/>
          <w:b w:val="0"/>
          <w:snapToGrid w:val="0"/>
          <w:color w:val="auto"/>
          <w:sz w:val="24"/>
          <w:szCs w:val="24"/>
          <w:highlight w:val="none"/>
        </w:rPr>
        <w:t>7.8  签订合同</w:t>
      </w:r>
      <w:bookmarkEnd w:id="422"/>
      <w:bookmarkEnd w:id="423"/>
      <w:bookmarkEnd w:id="424"/>
      <w:bookmarkEnd w:id="425"/>
      <w:bookmarkEnd w:id="426"/>
      <w:bookmarkEnd w:id="427"/>
      <w:bookmarkEnd w:id="428"/>
      <w:bookmarkEnd w:id="429"/>
    </w:p>
    <w:p w14:paraId="33222462">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 xml:space="preserve">7.8.1 </w:t>
      </w:r>
      <w:r>
        <w:rPr>
          <w:rFonts w:hint="eastAsia" w:ascii="宋体" w:hAnsi="宋体"/>
          <w:snapToGrid w:val="0"/>
          <w:color w:val="auto"/>
          <w:kern w:val="0"/>
          <w:szCs w:val="21"/>
          <w:highlight w:val="none"/>
        </w:rPr>
        <w:t xml:space="preserve">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和中标人应当自中标通知书发出之日起30</w:t>
      </w:r>
      <w:r>
        <w:rPr>
          <w:rFonts w:hint="eastAsia" w:ascii="宋体" w:hAnsi="宋体"/>
          <w:snapToGrid w:val="0"/>
          <w:color w:val="auto"/>
          <w:kern w:val="0"/>
          <w:szCs w:val="21"/>
          <w:highlight w:val="none"/>
        </w:rPr>
        <w:t>日</w:t>
      </w:r>
      <w:r>
        <w:rPr>
          <w:rFonts w:ascii="宋体" w:hAnsi="宋体"/>
          <w:snapToGrid w:val="0"/>
          <w:color w:val="auto"/>
          <w:kern w:val="0"/>
          <w:szCs w:val="21"/>
          <w:highlight w:val="none"/>
        </w:rPr>
        <w:t>内，根据招标文件和中标人的投标文件订立书面合同。中标人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拒签合同，在签订合同时向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w:t>
      </w:r>
      <w:r>
        <w:rPr>
          <w:rFonts w:ascii="宋体" w:hAnsi="宋体"/>
          <w:snapToGrid w:val="0"/>
          <w:color w:val="auto"/>
          <w:kern w:val="0"/>
          <w:szCs w:val="21"/>
          <w:highlight w:val="none"/>
        </w:rPr>
        <w:t>，</w:t>
      </w:r>
      <w:r>
        <w:rPr>
          <w:rFonts w:hint="eastAsia" w:ascii="宋体" w:hAnsi="宋体" w:cs="宋体"/>
          <w:color w:val="auto"/>
          <w:szCs w:val="21"/>
          <w:highlight w:val="none"/>
        </w:rPr>
        <w:t>或者不按照招标文件要求提交履约担保的，</w:t>
      </w:r>
      <w:r>
        <w:rPr>
          <w:rFonts w:hint="eastAsia" w:ascii="宋体" w:hAnsi="宋体"/>
          <w:snapToGrid w:val="0"/>
          <w:color w:val="auto"/>
          <w:kern w:val="0"/>
          <w:szCs w:val="21"/>
          <w:highlight w:val="none"/>
          <w:lang w:eastAsia="zh-CN"/>
        </w:rPr>
        <w:t>比选人</w:t>
      </w:r>
      <w:r>
        <w:rPr>
          <w:color w:val="auto"/>
          <w:spacing w:val="-3"/>
          <w:highlight w:val="none"/>
        </w:rPr>
        <w:t>有权</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14:paraId="4DA5E4CE">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7.8.2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w:t>
      </w:r>
      <w:r>
        <w:rPr>
          <w:rFonts w:hint="eastAsia" w:ascii="宋体" w:hAnsi="宋体"/>
          <w:snapToGrid w:val="0"/>
          <w:color w:val="auto"/>
          <w:kern w:val="0"/>
          <w:szCs w:val="21"/>
          <w:highlight w:val="none"/>
        </w:rPr>
        <w:t>在签订合同时向中标人提出附加条件或者更改合同实质性内容的，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14:paraId="2BE289DD">
      <w:pPr>
        <w:autoSpaceDE w:val="0"/>
        <w:autoSpaceDN w:val="0"/>
        <w:adjustRightInd w:val="0"/>
        <w:snapToGrid w:val="0"/>
        <w:spacing w:line="360" w:lineRule="auto"/>
        <w:ind w:firstLine="420"/>
        <w:rPr>
          <w:color w:val="auto"/>
          <w:highlight w:val="none"/>
        </w:rPr>
      </w:pPr>
      <w:r>
        <w:rPr>
          <w:rFonts w:ascii="宋体" w:hAnsi="宋体"/>
          <w:snapToGrid w:val="0"/>
          <w:color w:val="auto"/>
          <w:kern w:val="0"/>
          <w:szCs w:val="21"/>
          <w:highlight w:val="none"/>
        </w:rPr>
        <w:t>7.8.3  联合体中标的，联合体各方应当共同与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签订合同，就中标项目向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承担连带责任。</w:t>
      </w:r>
    </w:p>
    <w:p w14:paraId="67858E9F">
      <w:pPr>
        <w:pStyle w:val="3"/>
        <w:spacing w:before="0" w:after="0" w:line="360" w:lineRule="auto"/>
        <w:rPr>
          <w:rFonts w:ascii="宋体" w:hAnsi="宋体"/>
          <w:b w:val="0"/>
          <w:snapToGrid w:val="0"/>
          <w:color w:val="auto"/>
          <w:highlight w:val="none"/>
        </w:rPr>
      </w:pPr>
      <w:bookmarkStart w:id="430" w:name="_Toc224103360"/>
      <w:bookmarkStart w:id="431" w:name="_Toc430530478"/>
      <w:bookmarkStart w:id="432" w:name="_Toc287607789"/>
      <w:bookmarkStart w:id="433" w:name="_Toc277082595"/>
      <w:bookmarkStart w:id="434" w:name="_Toc509218753"/>
      <w:bookmarkStart w:id="435" w:name="_Toc200513169"/>
      <w:bookmarkStart w:id="436" w:name="_Toc4601"/>
      <w:bookmarkStart w:id="437" w:name="_Toc287620728"/>
      <w:r>
        <w:rPr>
          <w:rFonts w:ascii="宋体" w:hAnsi="宋体"/>
          <w:b w:val="0"/>
          <w:snapToGrid w:val="0"/>
          <w:color w:val="auto"/>
          <w:highlight w:val="none"/>
        </w:rPr>
        <w:t>8.  重新招标和不再招标</w:t>
      </w:r>
      <w:bookmarkEnd w:id="430"/>
      <w:bookmarkEnd w:id="431"/>
      <w:bookmarkEnd w:id="432"/>
      <w:bookmarkEnd w:id="433"/>
      <w:bookmarkEnd w:id="434"/>
      <w:bookmarkEnd w:id="435"/>
      <w:bookmarkEnd w:id="436"/>
      <w:bookmarkEnd w:id="437"/>
    </w:p>
    <w:p w14:paraId="59A7381B">
      <w:pPr>
        <w:pStyle w:val="4"/>
        <w:snapToGrid w:val="0"/>
        <w:spacing w:before="0" w:after="0" w:line="360" w:lineRule="auto"/>
        <w:rPr>
          <w:rFonts w:ascii="宋体" w:hAnsi="宋体"/>
          <w:b w:val="0"/>
          <w:snapToGrid w:val="0"/>
          <w:color w:val="auto"/>
          <w:sz w:val="24"/>
          <w:szCs w:val="24"/>
          <w:highlight w:val="none"/>
        </w:rPr>
      </w:pPr>
      <w:bookmarkStart w:id="438" w:name="_Toc287607790"/>
      <w:bookmarkStart w:id="439" w:name="_Toc277082596"/>
      <w:bookmarkStart w:id="440" w:name="_Toc200513170"/>
      <w:bookmarkStart w:id="441" w:name="_Toc224103361"/>
      <w:bookmarkStart w:id="442" w:name="_Toc430530479"/>
      <w:bookmarkStart w:id="443" w:name="_Toc509218754"/>
      <w:bookmarkStart w:id="444" w:name="_Toc287620729"/>
      <w:bookmarkStart w:id="445" w:name="_Toc7711"/>
      <w:r>
        <w:rPr>
          <w:rFonts w:ascii="宋体" w:hAnsi="宋体"/>
          <w:b w:val="0"/>
          <w:snapToGrid w:val="0"/>
          <w:color w:val="auto"/>
          <w:sz w:val="24"/>
          <w:szCs w:val="24"/>
          <w:highlight w:val="none"/>
        </w:rPr>
        <w:t>8.1  重新招标</w:t>
      </w:r>
      <w:bookmarkEnd w:id="438"/>
      <w:bookmarkEnd w:id="439"/>
      <w:bookmarkEnd w:id="440"/>
      <w:bookmarkEnd w:id="441"/>
      <w:bookmarkEnd w:id="442"/>
      <w:bookmarkEnd w:id="443"/>
      <w:bookmarkEnd w:id="444"/>
      <w:r>
        <w:rPr>
          <w:rFonts w:hint="eastAsia" w:ascii="宋体" w:hAnsi="宋体"/>
          <w:b w:val="0"/>
          <w:snapToGrid w:val="0"/>
          <w:color w:val="auto"/>
          <w:sz w:val="24"/>
          <w:szCs w:val="24"/>
          <w:highlight w:val="none"/>
        </w:rPr>
        <w:t>的情形</w:t>
      </w:r>
      <w:bookmarkEnd w:id="445"/>
    </w:p>
    <w:p w14:paraId="1D8606CD">
      <w:pPr>
        <w:autoSpaceDE w:val="0"/>
        <w:autoSpaceDN w:val="0"/>
        <w:adjustRightInd w:val="0"/>
        <w:snapToGrid w:val="0"/>
        <w:spacing w:line="360" w:lineRule="auto"/>
        <w:ind w:left="359" w:leftChars="171"/>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14:paraId="1CA0680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14:paraId="49B0E7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14:paraId="5C2B275D">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color w:val="auto"/>
          <w:kern w:val="0"/>
          <w:szCs w:val="21"/>
          <w:highlight w:val="none"/>
        </w:rPr>
        <w:t>；</w:t>
      </w:r>
    </w:p>
    <w:p w14:paraId="270FD6B3">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14:paraId="51D87944">
      <w:pPr>
        <w:pStyle w:val="4"/>
        <w:snapToGrid w:val="0"/>
        <w:spacing w:before="0" w:after="0" w:line="360" w:lineRule="auto"/>
        <w:rPr>
          <w:rFonts w:ascii="宋体" w:hAnsi="宋体"/>
          <w:b w:val="0"/>
          <w:snapToGrid w:val="0"/>
          <w:color w:val="auto"/>
          <w:sz w:val="24"/>
          <w:szCs w:val="24"/>
          <w:highlight w:val="none"/>
        </w:rPr>
      </w:pPr>
      <w:bookmarkStart w:id="446" w:name="_Toc287620730"/>
      <w:bookmarkStart w:id="447" w:name="_Toc287607791"/>
      <w:bookmarkStart w:id="448" w:name="_Toc12011"/>
      <w:bookmarkStart w:id="449" w:name="_Toc277082597"/>
      <w:bookmarkStart w:id="450" w:name="_Toc200513171"/>
      <w:bookmarkStart w:id="451" w:name="_Toc509218755"/>
      <w:bookmarkStart w:id="452" w:name="_Toc430530480"/>
      <w:bookmarkStart w:id="453" w:name="_Toc224103362"/>
      <w:r>
        <w:rPr>
          <w:rFonts w:ascii="宋体" w:hAnsi="宋体"/>
          <w:b w:val="0"/>
          <w:snapToGrid w:val="0"/>
          <w:color w:val="auto"/>
          <w:sz w:val="24"/>
          <w:szCs w:val="24"/>
          <w:highlight w:val="none"/>
        </w:rPr>
        <w:t xml:space="preserve">8.2  </w:t>
      </w:r>
      <w:r>
        <w:rPr>
          <w:rFonts w:hint="eastAsia" w:ascii="宋体" w:hAnsi="宋体"/>
          <w:b w:val="0"/>
          <w:snapToGrid w:val="0"/>
          <w:color w:val="auto"/>
          <w:sz w:val="24"/>
          <w:szCs w:val="24"/>
          <w:highlight w:val="none"/>
        </w:rPr>
        <w:t>重新</w:t>
      </w:r>
      <w:r>
        <w:rPr>
          <w:rFonts w:ascii="宋体" w:hAnsi="宋体"/>
          <w:b w:val="0"/>
          <w:snapToGrid w:val="0"/>
          <w:color w:val="auto"/>
          <w:sz w:val="24"/>
          <w:szCs w:val="24"/>
          <w:highlight w:val="none"/>
        </w:rPr>
        <w:t>招标和不再招标</w:t>
      </w:r>
      <w:bookmarkEnd w:id="446"/>
      <w:bookmarkEnd w:id="447"/>
      <w:bookmarkEnd w:id="448"/>
      <w:bookmarkEnd w:id="449"/>
      <w:bookmarkEnd w:id="450"/>
      <w:bookmarkEnd w:id="451"/>
      <w:bookmarkEnd w:id="452"/>
      <w:bookmarkEnd w:id="453"/>
    </w:p>
    <w:p w14:paraId="2943700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14:paraId="644B084F">
      <w:pPr>
        <w:pStyle w:val="3"/>
        <w:spacing w:before="0" w:after="0" w:line="360" w:lineRule="auto"/>
        <w:rPr>
          <w:rFonts w:ascii="宋体" w:hAnsi="宋体"/>
          <w:b w:val="0"/>
          <w:snapToGrid w:val="0"/>
          <w:color w:val="auto"/>
          <w:highlight w:val="none"/>
        </w:rPr>
      </w:pPr>
      <w:bookmarkStart w:id="454" w:name="_Toc11649"/>
      <w:bookmarkStart w:id="455" w:name="_Toc200513172"/>
      <w:bookmarkStart w:id="456" w:name="_Toc509218756"/>
      <w:bookmarkStart w:id="457" w:name="_Toc277082598"/>
      <w:bookmarkStart w:id="458" w:name="_Toc287607792"/>
      <w:bookmarkStart w:id="459" w:name="_Toc287620731"/>
      <w:bookmarkStart w:id="460" w:name="_Toc224103363"/>
      <w:bookmarkStart w:id="461" w:name="_Toc430530481"/>
      <w:r>
        <w:rPr>
          <w:rFonts w:ascii="宋体" w:hAnsi="宋体"/>
          <w:b w:val="0"/>
          <w:snapToGrid w:val="0"/>
          <w:color w:val="auto"/>
          <w:highlight w:val="none"/>
        </w:rPr>
        <w:t>9.  纪律和监督</w:t>
      </w:r>
      <w:bookmarkEnd w:id="454"/>
      <w:bookmarkEnd w:id="455"/>
      <w:bookmarkEnd w:id="456"/>
      <w:bookmarkEnd w:id="457"/>
      <w:bookmarkEnd w:id="458"/>
      <w:bookmarkEnd w:id="459"/>
      <w:bookmarkEnd w:id="460"/>
      <w:bookmarkEnd w:id="461"/>
    </w:p>
    <w:p w14:paraId="44BF6A44">
      <w:pPr>
        <w:pStyle w:val="4"/>
        <w:snapToGrid w:val="0"/>
        <w:spacing w:before="0" w:after="0" w:line="360" w:lineRule="auto"/>
        <w:rPr>
          <w:rFonts w:ascii="宋体" w:hAnsi="宋体"/>
          <w:b w:val="0"/>
          <w:snapToGrid w:val="0"/>
          <w:color w:val="auto"/>
          <w:sz w:val="24"/>
          <w:szCs w:val="24"/>
          <w:highlight w:val="none"/>
        </w:rPr>
      </w:pPr>
      <w:bookmarkStart w:id="462" w:name="_Toc287620732"/>
      <w:bookmarkStart w:id="463" w:name="_Toc200513173"/>
      <w:bookmarkStart w:id="464" w:name="_Toc27838"/>
      <w:bookmarkStart w:id="465" w:name="_Toc277082599"/>
      <w:bookmarkStart w:id="466" w:name="_Toc287607793"/>
      <w:bookmarkStart w:id="467" w:name="_Toc509218757"/>
      <w:bookmarkStart w:id="468" w:name="_Toc430530482"/>
      <w:bookmarkStart w:id="469" w:name="_Toc224103364"/>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62"/>
      <w:bookmarkEnd w:id="463"/>
      <w:bookmarkEnd w:id="464"/>
      <w:bookmarkEnd w:id="465"/>
      <w:bookmarkEnd w:id="466"/>
      <w:bookmarkEnd w:id="467"/>
      <w:bookmarkEnd w:id="468"/>
      <w:bookmarkEnd w:id="469"/>
    </w:p>
    <w:p w14:paraId="04B1C33C">
      <w:pPr>
        <w:autoSpaceDE w:val="0"/>
        <w:autoSpaceDN w:val="0"/>
        <w:adjustRightInd w:val="0"/>
        <w:snapToGrid w:val="0"/>
        <w:spacing w:line="360" w:lineRule="auto"/>
        <w:ind w:firstLine="420"/>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不得泄露招标投标活动中应当保密的情况和资料，不得与投标人串通损害国家利益、社会公共利益或者他人合法权益，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14:paraId="7B21801E">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14:paraId="626CCECB">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14:paraId="678ED683">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14:paraId="594320C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14:paraId="726C73C7">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14:paraId="24A77C4A">
      <w:pPr>
        <w:autoSpaceDE w:val="0"/>
        <w:autoSpaceDN w:val="0"/>
        <w:adjustRightInd w:val="0"/>
        <w:snapToGrid w:val="0"/>
        <w:spacing w:line="360" w:lineRule="auto"/>
        <w:ind w:firstLine="420"/>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14:paraId="540E5A19">
      <w:pPr>
        <w:autoSpaceDE w:val="0"/>
        <w:autoSpaceDN w:val="0"/>
        <w:adjustRightInd w:val="0"/>
        <w:snapToGrid w:val="0"/>
        <w:spacing w:line="360" w:lineRule="auto"/>
        <w:ind w:firstLine="420"/>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14:paraId="68F94692">
      <w:pPr>
        <w:pStyle w:val="4"/>
        <w:snapToGrid w:val="0"/>
        <w:spacing w:before="0" w:after="0" w:line="360" w:lineRule="auto"/>
        <w:ind w:firstLine="480" w:firstLineChars="200"/>
        <w:rPr>
          <w:rFonts w:ascii="宋体" w:hAnsi="宋体"/>
          <w:b w:val="0"/>
          <w:snapToGrid w:val="0"/>
          <w:color w:val="auto"/>
          <w:sz w:val="24"/>
          <w:szCs w:val="24"/>
          <w:highlight w:val="none"/>
        </w:rPr>
      </w:pPr>
      <w:bookmarkStart w:id="470" w:name="_Toc200513174"/>
      <w:bookmarkStart w:id="471" w:name="_Toc509218758"/>
      <w:bookmarkStart w:id="472" w:name="_Toc287620733"/>
      <w:bookmarkStart w:id="473" w:name="_Toc21560"/>
      <w:bookmarkStart w:id="474" w:name="_Toc287607794"/>
      <w:bookmarkStart w:id="475" w:name="_Toc224103365"/>
      <w:bookmarkStart w:id="476" w:name="_Toc277082600"/>
      <w:bookmarkStart w:id="477" w:name="_Toc430530483"/>
      <w:r>
        <w:rPr>
          <w:rFonts w:ascii="宋体" w:hAnsi="宋体"/>
          <w:b w:val="0"/>
          <w:snapToGrid w:val="0"/>
          <w:color w:val="auto"/>
          <w:sz w:val="24"/>
          <w:szCs w:val="24"/>
          <w:highlight w:val="none"/>
        </w:rPr>
        <w:t>9.2  对投标人的纪律要求</w:t>
      </w:r>
      <w:bookmarkEnd w:id="470"/>
      <w:bookmarkEnd w:id="471"/>
      <w:bookmarkEnd w:id="472"/>
      <w:bookmarkEnd w:id="473"/>
      <w:bookmarkEnd w:id="474"/>
      <w:bookmarkEnd w:id="475"/>
      <w:bookmarkEnd w:id="476"/>
      <w:bookmarkEnd w:id="477"/>
    </w:p>
    <w:p w14:paraId="5B9FDA6E">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p>
    <w:p w14:paraId="470DDE2C">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9.2.1  </w:t>
      </w:r>
      <w:r>
        <w:rPr>
          <w:rFonts w:ascii="宋体" w:hAnsi="宋体"/>
          <w:color w:val="auto"/>
          <w:highlight w:val="none"/>
        </w:rPr>
        <w:t>有下列情形之一的，属于投标人相互串通投标：</w:t>
      </w:r>
    </w:p>
    <w:p w14:paraId="0DA3F8D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（1）投标人之间协商投标报价等投标文件的实质性内容；</w:t>
      </w:r>
    </w:p>
    <w:p w14:paraId="67CE364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（2）投标人之间约定中标人；</w:t>
      </w:r>
    </w:p>
    <w:p w14:paraId="255AED55">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（3）投标人之间约定部分投标人放弃投标或者中标；</w:t>
      </w:r>
    </w:p>
    <w:p w14:paraId="764BDFE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（4）属于同一集团、协会、商会等组织成员的投标人按照该组织要求协同投标；</w:t>
      </w:r>
    </w:p>
    <w:p w14:paraId="5DA10E0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（5）投标人之间为谋取中标或者排斥特定投标人而采取的其他联合行动。</w:t>
      </w:r>
    </w:p>
    <w:p w14:paraId="6E929BA4">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9.2.2  </w:t>
      </w:r>
      <w:r>
        <w:rPr>
          <w:rFonts w:ascii="宋体" w:hAnsi="宋体"/>
          <w:color w:val="auto"/>
          <w:highlight w:val="none"/>
        </w:rPr>
        <w:t>有下列情形之一的，视为投标人相互串通投标：</w:t>
      </w:r>
    </w:p>
    <w:p w14:paraId="697419A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（1）不同投标人的投标文件由同一单位或者个人编制；</w:t>
      </w:r>
    </w:p>
    <w:p w14:paraId="3133A152">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（2）不同投标人委托同一单位或者个人办理投标事宜；</w:t>
      </w:r>
    </w:p>
    <w:p w14:paraId="79DC514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（3）不同投标人的投标文件载明的项目管理成员为同一人；</w:t>
      </w:r>
    </w:p>
    <w:p w14:paraId="05139837">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（4）不同投标人的投标文件异常一致或者投标报价呈规律性差异；</w:t>
      </w:r>
    </w:p>
    <w:p w14:paraId="7721758D">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（5）不同投标人的投标文件相互混装；</w:t>
      </w:r>
    </w:p>
    <w:p w14:paraId="2968A179">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（6）不同投标人的投标保证金从同一单位或者个人的账户转出。</w:t>
      </w:r>
    </w:p>
    <w:p w14:paraId="33742156">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9.2.3  </w:t>
      </w:r>
      <w:r>
        <w:rPr>
          <w:rFonts w:ascii="宋体" w:hAnsi="宋体"/>
          <w:color w:val="auto"/>
          <w:highlight w:val="none"/>
        </w:rPr>
        <w:t>使用通过受让或者租借等方式获取的资格、资质证书投标的，属于以他人名义投标。</w:t>
      </w:r>
    </w:p>
    <w:p w14:paraId="42E0E879">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9.2.4  </w:t>
      </w:r>
      <w:r>
        <w:rPr>
          <w:rFonts w:ascii="宋体" w:hAnsi="宋体"/>
          <w:color w:val="auto"/>
          <w:highlight w:val="none"/>
        </w:rPr>
        <w:t>投标人有下列情形之一的，属于以其他方式弄虚作假的行为：</w:t>
      </w:r>
    </w:p>
    <w:p w14:paraId="4B26F5B0">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w:t>
      </w:r>
      <w:r>
        <w:rPr>
          <w:rFonts w:ascii="宋体" w:hAnsi="宋体"/>
          <w:color w:val="auto"/>
          <w:highlight w:val="none"/>
        </w:rPr>
        <w:t>使用伪造、变造的许可证件；</w:t>
      </w:r>
    </w:p>
    <w:p w14:paraId="1E73D8E8">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）提供虚假的财务状况或者业绩；</w:t>
      </w:r>
    </w:p>
    <w:p w14:paraId="09FEDDAB">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）提供虚假的项目负责人或者主要技术人员简历、劳动关系证明；</w:t>
      </w:r>
    </w:p>
    <w:p w14:paraId="41C59446">
      <w:pPr>
        <w:autoSpaceDE w:val="0"/>
        <w:autoSpaceDN w:val="0"/>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）提供虚假的信用状况；</w:t>
      </w:r>
    </w:p>
    <w:p w14:paraId="6A39A0E8">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）其他弄虚作假的行为。</w:t>
      </w:r>
    </w:p>
    <w:p w14:paraId="4B08719D">
      <w:pPr>
        <w:pStyle w:val="4"/>
        <w:snapToGrid w:val="0"/>
        <w:spacing w:before="0" w:after="0" w:line="360" w:lineRule="auto"/>
        <w:rPr>
          <w:rFonts w:ascii="宋体" w:hAnsi="宋体"/>
          <w:b w:val="0"/>
          <w:snapToGrid w:val="0"/>
          <w:color w:val="auto"/>
          <w:sz w:val="24"/>
          <w:szCs w:val="24"/>
          <w:highlight w:val="none"/>
        </w:rPr>
      </w:pPr>
      <w:bookmarkStart w:id="478" w:name="_Toc277082601"/>
      <w:bookmarkStart w:id="479" w:name="_Toc287607795"/>
      <w:bookmarkStart w:id="480" w:name="_Toc200513175"/>
      <w:bookmarkStart w:id="481" w:name="_Toc27561"/>
      <w:bookmarkStart w:id="482" w:name="_Toc509218759"/>
      <w:bookmarkStart w:id="483" w:name="_Toc430530484"/>
      <w:bookmarkStart w:id="484" w:name="_Toc224103366"/>
      <w:bookmarkStart w:id="485" w:name="_Toc287620734"/>
      <w:r>
        <w:rPr>
          <w:rFonts w:ascii="宋体" w:hAnsi="宋体"/>
          <w:b w:val="0"/>
          <w:snapToGrid w:val="0"/>
          <w:color w:val="auto"/>
          <w:sz w:val="24"/>
          <w:szCs w:val="24"/>
          <w:highlight w:val="none"/>
        </w:rPr>
        <w:t>9.3  对评标委员会成员的纪律要求</w:t>
      </w:r>
      <w:bookmarkEnd w:id="478"/>
      <w:bookmarkEnd w:id="479"/>
      <w:bookmarkEnd w:id="480"/>
      <w:bookmarkEnd w:id="481"/>
      <w:bookmarkEnd w:id="482"/>
      <w:bookmarkEnd w:id="483"/>
      <w:bookmarkEnd w:id="484"/>
      <w:bookmarkEnd w:id="485"/>
    </w:p>
    <w:p w14:paraId="2C21FC8B">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，不得对招标文件中《否决投标情况一览表》以外的内容予以否决投标，否则对评标委员会成员按《重庆市综合评标专家库和评标专家管理暂行办法》进行处理。</w:t>
      </w:r>
    </w:p>
    <w:p w14:paraId="01D6BC8F">
      <w:pPr>
        <w:pStyle w:val="4"/>
        <w:snapToGrid w:val="0"/>
        <w:spacing w:before="0" w:after="0" w:line="360" w:lineRule="auto"/>
        <w:rPr>
          <w:rFonts w:ascii="宋体" w:hAnsi="宋体"/>
          <w:b w:val="0"/>
          <w:snapToGrid w:val="0"/>
          <w:color w:val="auto"/>
          <w:sz w:val="24"/>
          <w:szCs w:val="24"/>
          <w:highlight w:val="none"/>
        </w:rPr>
      </w:pPr>
      <w:bookmarkStart w:id="486" w:name="_Toc287620735"/>
      <w:bookmarkStart w:id="487" w:name="_Toc200513176"/>
      <w:bookmarkStart w:id="488" w:name="_Toc430530485"/>
      <w:bookmarkStart w:id="489" w:name="_Toc17259"/>
      <w:bookmarkStart w:id="490" w:name="_Toc287607796"/>
      <w:bookmarkStart w:id="491" w:name="_Toc277082602"/>
      <w:bookmarkStart w:id="492" w:name="_Toc224103367"/>
      <w:bookmarkStart w:id="493" w:name="_Toc509218760"/>
      <w:r>
        <w:rPr>
          <w:rFonts w:ascii="宋体" w:hAnsi="宋体"/>
          <w:b w:val="0"/>
          <w:snapToGrid w:val="0"/>
          <w:color w:val="auto"/>
          <w:sz w:val="24"/>
          <w:szCs w:val="24"/>
          <w:highlight w:val="none"/>
        </w:rPr>
        <w:t>9.4  对与评标活动有关的工作人员的纪律要求</w:t>
      </w:r>
      <w:bookmarkEnd w:id="486"/>
      <w:bookmarkEnd w:id="487"/>
      <w:bookmarkEnd w:id="488"/>
      <w:bookmarkEnd w:id="489"/>
      <w:bookmarkEnd w:id="490"/>
      <w:bookmarkEnd w:id="491"/>
      <w:bookmarkEnd w:id="492"/>
      <w:bookmarkEnd w:id="493"/>
    </w:p>
    <w:p w14:paraId="66E6B61F">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w:t>
      </w:r>
      <w:r>
        <w:rPr>
          <w:rFonts w:hint="eastAsia" w:ascii="宋体" w:hAnsi="宋体"/>
          <w:snapToGrid w:val="0"/>
          <w:color w:val="auto"/>
          <w:kern w:val="0"/>
          <w:szCs w:val="21"/>
          <w:highlight w:val="none"/>
        </w:rPr>
        <w:t>透露</w:t>
      </w:r>
      <w:r>
        <w:rPr>
          <w:rFonts w:ascii="宋体" w:hAnsi="宋体"/>
          <w:snapToGrid w:val="0"/>
          <w:color w:val="auto"/>
          <w:kern w:val="0"/>
          <w:szCs w:val="21"/>
          <w:highlight w:val="none"/>
        </w:rPr>
        <w:t>对投标文件的评审和比较、中标候选人的推荐情况以及与评标有关的其他情况。在评标活动中，与评标活动有关的工作人员不得擅离职守，影响评标程序正常进行。</w:t>
      </w:r>
    </w:p>
    <w:p w14:paraId="5402129C">
      <w:pPr>
        <w:pStyle w:val="4"/>
        <w:snapToGrid w:val="0"/>
        <w:spacing w:before="0" w:after="0" w:line="360" w:lineRule="auto"/>
        <w:rPr>
          <w:rFonts w:ascii="宋体" w:hAnsi="宋体"/>
          <w:b w:val="0"/>
          <w:snapToGrid w:val="0"/>
          <w:color w:val="auto"/>
          <w:sz w:val="24"/>
          <w:szCs w:val="24"/>
          <w:highlight w:val="none"/>
        </w:rPr>
      </w:pPr>
      <w:bookmarkStart w:id="494" w:name="_Toc277082603"/>
      <w:bookmarkStart w:id="495" w:name="_Toc287607797"/>
      <w:bookmarkStart w:id="496" w:name="_Toc509218761"/>
      <w:bookmarkStart w:id="497" w:name="_Toc200513177"/>
      <w:bookmarkStart w:id="498" w:name="_Toc224103368"/>
      <w:bookmarkStart w:id="499" w:name="_Toc430530486"/>
      <w:bookmarkStart w:id="500" w:name="_Toc2773"/>
      <w:bookmarkStart w:id="501" w:name="_Toc287620736"/>
      <w:r>
        <w:rPr>
          <w:rFonts w:ascii="宋体" w:hAnsi="宋体"/>
          <w:b w:val="0"/>
          <w:snapToGrid w:val="0"/>
          <w:color w:val="auto"/>
          <w:sz w:val="24"/>
          <w:szCs w:val="24"/>
          <w:highlight w:val="none"/>
        </w:rPr>
        <w:t>9.5  投诉</w:t>
      </w:r>
      <w:bookmarkEnd w:id="494"/>
      <w:bookmarkEnd w:id="495"/>
      <w:bookmarkEnd w:id="496"/>
      <w:bookmarkEnd w:id="497"/>
      <w:bookmarkEnd w:id="498"/>
      <w:bookmarkEnd w:id="499"/>
      <w:bookmarkEnd w:id="500"/>
      <w:bookmarkEnd w:id="501"/>
    </w:p>
    <w:p w14:paraId="3D283F67">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.5.1  投标人或者其他利害关系人认为招标投标活动不符合法律、行政法规规定的，可以自知道或者应当知道之日起 10 日内向有关行政监督部门投诉。投诉应当有明确的请求和必要的证明材料。</w:t>
      </w:r>
    </w:p>
    <w:p w14:paraId="42FBC33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9</w:t>
      </w:r>
      <w:r>
        <w:rPr>
          <w:rFonts w:ascii="宋体" w:hAnsi="宋体"/>
          <w:snapToGrid w:val="0"/>
          <w:color w:val="auto"/>
          <w:kern w:val="0"/>
          <w:szCs w:val="21"/>
          <w:highlight w:val="none"/>
        </w:rPr>
        <w:t>.5.2  投标人或者其他利害关系人对招标文件、开标和评标结果提出投诉的，应当按照投标人须知第 2.4 款、第 5.3 款和第 7.2 款的规定先向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提出异议。异议答复期间不计算在第 8.5.1 项规定的期限内。</w:t>
      </w:r>
    </w:p>
    <w:p w14:paraId="531B6212">
      <w:pPr>
        <w:pStyle w:val="3"/>
        <w:spacing w:before="0" w:after="0" w:line="360" w:lineRule="auto"/>
        <w:rPr>
          <w:rFonts w:ascii="宋体" w:hAnsi="宋体"/>
          <w:b w:val="0"/>
          <w:snapToGrid w:val="0"/>
          <w:color w:val="auto"/>
          <w:highlight w:val="none"/>
        </w:rPr>
      </w:pPr>
      <w:bookmarkStart w:id="502" w:name="_Toc509218762"/>
      <w:bookmarkStart w:id="503" w:name="_Toc287607798"/>
      <w:bookmarkStart w:id="504" w:name="_Toc430530487"/>
      <w:bookmarkStart w:id="505" w:name="_Toc277082604"/>
      <w:bookmarkStart w:id="506" w:name="_Toc3513"/>
      <w:bookmarkStart w:id="507" w:name="_Toc287620737"/>
      <w:bookmarkStart w:id="508" w:name="_Toc200513178"/>
      <w:bookmarkStart w:id="509" w:name="_Toc224103369"/>
      <w:r>
        <w:rPr>
          <w:rFonts w:ascii="宋体" w:hAnsi="宋体"/>
          <w:b w:val="0"/>
          <w:snapToGrid w:val="0"/>
          <w:color w:val="auto"/>
          <w:highlight w:val="none"/>
        </w:rPr>
        <w:t>10. 需要补充的其他内容</w:t>
      </w:r>
      <w:bookmarkEnd w:id="502"/>
      <w:bookmarkEnd w:id="503"/>
      <w:bookmarkEnd w:id="504"/>
      <w:bookmarkEnd w:id="505"/>
      <w:bookmarkEnd w:id="506"/>
      <w:bookmarkEnd w:id="507"/>
      <w:bookmarkEnd w:id="508"/>
      <w:bookmarkEnd w:id="509"/>
    </w:p>
    <w:p w14:paraId="1BBB0698">
      <w:pPr>
        <w:autoSpaceDE w:val="0"/>
        <w:autoSpaceDN w:val="0"/>
        <w:adjustRightInd w:val="0"/>
        <w:snapToGrid w:val="0"/>
        <w:spacing w:line="360" w:lineRule="auto"/>
        <w:ind w:firstLine="420" w:firstLineChars="200"/>
        <w:rPr>
          <w:rFonts w:ascii="宋体" w:hAnsi="宋体"/>
          <w:snapToGrid w:val="0"/>
          <w:color w:val="auto"/>
          <w:kern w:val="0"/>
          <w:szCs w:val="21"/>
          <w:highlight w:val="none"/>
        </w:rPr>
        <w:sectPr>
          <w:footerReference r:id="rId7" w:type="default"/>
          <w:footerReference r:id="rId8" w:type="even"/>
          <w:pgSz w:w="11906" w:h="16838"/>
          <w:pgMar w:top="1304" w:right="1134" w:bottom="1304" w:left="1304" w:header="851" w:footer="992" w:gutter="0"/>
          <w:cols w:space="720" w:num="1"/>
          <w:docGrid w:linePitch="312" w:charSpace="0"/>
        </w:sectPr>
      </w:pPr>
      <w:r>
        <w:rPr>
          <w:rFonts w:ascii="宋体" w:hAnsi="宋体"/>
          <w:snapToGrid w:val="0"/>
          <w:color w:val="auto"/>
          <w:kern w:val="0"/>
          <w:szCs w:val="21"/>
          <w:highlight w:val="none"/>
        </w:rPr>
        <w:t>需要补充的其他内容：见投标人须知前附表。</w:t>
      </w:r>
    </w:p>
    <w:p w14:paraId="1F557476">
      <w:pPr>
        <w:autoSpaceDE w:val="0"/>
        <w:autoSpaceDN w:val="0"/>
        <w:adjustRightInd w:val="0"/>
        <w:snapToGrid w:val="0"/>
        <w:spacing w:line="360" w:lineRule="auto"/>
        <w:ind w:firstLine="420" w:firstLineChars="200"/>
        <w:rPr>
          <w:rFonts w:ascii="宋体" w:hAnsi="宋体"/>
          <w:snapToGrid w:val="0"/>
          <w:color w:val="auto"/>
          <w:kern w:val="0"/>
          <w:szCs w:val="21"/>
          <w:highlight w:val="none"/>
        </w:rPr>
      </w:pPr>
    </w:p>
    <w:p w14:paraId="0A80C7E6">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附表一：开标记录表</w:t>
      </w:r>
    </w:p>
    <w:p w14:paraId="07A10400">
      <w:pPr>
        <w:autoSpaceDE w:val="0"/>
        <w:autoSpaceDN w:val="0"/>
        <w:adjustRightInd w:val="0"/>
        <w:snapToGrid w:val="0"/>
        <w:spacing w:line="360" w:lineRule="auto"/>
        <w:jc w:val="left"/>
        <w:rPr>
          <w:rFonts w:hint="default" w:ascii="宋体" w:hAnsi="宋体" w:eastAsia="宋体"/>
          <w:b/>
          <w:snapToGrid w:val="0"/>
          <w:color w:val="auto"/>
          <w:kern w:val="0"/>
          <w:highlight w:val="none"/>
          <w:lang w:val="en-US" w:eastAsia="zh-CN"/>
        </w:rPr>
      </w:pPr>
      <w:r>
        <w:rPr>
          <w:rFonts w:hint="eastAsia" w:ascii="宋体" w:hAnsi="宋体"/>
          <w:b/>
          <w:snapToGrid w:val="0"/>
          <w:color w:val="auto"/>
          <w:kern w:val="0"/>
          <w:highlight w:val="none"/>
          <w:lang w:val="en-US" w:eastAsia="zh-CN"/>
        </w:rPr>
        <w:t>以开标现场出具的为准。</w:t>
      </w:r>
    </w:p>
    <w:p w14:paraId="12C8057F">
      <w:pPr>
        <w:autoSpaceDE w:val="0"/>
        <w:autoSpaceDN w:val="0"/>
        <w:adjustRightInd w:val="0"/>
        <w:snapToGrid w:val="0"/>
        <w:spacing w:before="62" w:beforeLines="20" w:line="360" w:lineRule="auto"/>
        <w:jc w:val="right"/>
        <w:rPr>
          <w:rFonts w:ascii="宋体" w:hAnsi="宋体"/>
          <w:snapToGrid w:val="0"/>
          <w:color w:val="auto"/>
          <w:kern w:val="0"/>
          <w:sz w:val="24"/>
          <w:highlight w:val="none"/>
        </w:rPr>
      </w:pPr>
    </w:p>
    <w:p w14:paraId="3B7F8988">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二</w:t>
      </w:r>
      <w:r>
        <w:rPr>
          <w:rFonts w:ascii="宋体" w:hAnsi="宋体"/>
          <w:b/>
          <w:snapToGrid w:val="0"/>
          <w:color w:val="auto"/>
          <w:kern w:val="0"/>
          <w:highlight w:val="none"/>
        </w:rPr>
        <w:t>：问题澄清通知</w:t>
      </w:r>
    </w:p>
    <w:p w14:paraId="6C9D79A5">
      <w:pPr>
        <w:autoSpaceDE w:val="0"/>
        <w:autoSpaceDN w:val="0"/>
        <w:adjustRightInd w:val="0"/>
        <w:snapToGrid w:val="0"/>
        <w:spacing w:line="360" w:lineRule="auto"/>
        <w:jc w:val="left"/>
        <w:rPr>
          <w:rFonts w:ascii="宋体" w:hAnsi="宋体"/>
          <w:b/>
          <w:snapToGrid w:val="0"/>
          <w:color w:val="auto"/>
          <w:kern w:val="0"/>
          <w:sz w:val="24"/>
          <w:highlight w:val="none"/>
        </w:rPr>
      </w:pPr>
    </w:p>
    <w:p w14:paraId="350127CE">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14:paraId="0F10E13B">
      <w:pPr>
        <w:autoSpaceDE w:val="0"/>
        <w:autoSpaceDN w:val="0"/>
        <w:adjustRightInd w:val="0"/>
        <w:snapToGrid w:val="0"/>
        <w:spacing w:line="360" w:lineRule="auto"/>
        <w:jc w:val="left"/>
        <w:rPr>
          <w:rFonts w:ascii="宋体" w:hAnsi="宋体"/>
          <w:b/>
          <w:snapToGrid w:val="0"/>
          <w:color w:val="auto"/>
          <w:kern w:val="0"/>
          <w:sz w:val="24"/>
          <w:highlight w:val="none"/>
        </w:rPr>
      </w:pPr>
    </w:p>
    <w:p w14:paraId="28C19A83">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1E2878D1">
      <w:pPr>
        <w:autoSpaceDE w:val="0"/>
        <w:autoSpaceDN w:val="0"/>
        <w:adjustRightInd w:val="0"/>
        <w:snapToGrid w:val="0"/>
        <w:spacing w:line="360" w:lineRule="auto"/>
        <w:jc w:val="left"/>
        <w:rPr>
          <w:rFonts w:ascii="宋体" w:hAnsi="宋体"/>
          <w:b/>
          <w:snapToGrid w:val="0"/>
          <w:color w:val="auto"/>
          <w:kern w:val="0"/>
          <w:sz w:val="24"/>
          <w:highlight w:val="none"/>
        </w:rPr>
      </w:pPr>
    </w:p>
    <w:p w14:paraId="2A05D30C">
      <w:pPr>
        <w:autoSpaceDE w:val="0"/>
        <w:autoSpaceDN w:val="0"/>
        <w:adjustRightInd w:val="0"/>
        <w:snapToGrid w:val="0"/>
        <w:spacing w:line="360" w:lineRule="auto"/>
        <w:rPr>
          <w:rFonts w:ascii="宋体" w:hAnsi="宋体"/>
          <w:snapToGrid w:val="0"/>
          <w:color w:val="auto"/>
          <w:kern w:val="0"/>
          <w:sz w:val="28"/>
          <w:szCs w:val="28"/>
          <w:highlight w:val="none"/>
        </w:rPr>
      </w:pPr>
    </w:p>
    <w:p w14:paraId="79A2FEB2">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（投标人名称）</w:t>
      </w:r>
      <w:r>
        <w:rPr>
          <w:rFonts w:ascii="宋体" w:hAnsi="宋体"/>
          <w:snapToGrid w:val="0"/>
          <w:color w:val="auto"/>
          <w:kern w:val="0"/>
          <w:szCs w:val="21"/>
          <w:highlight w:val="none"/>
        </w:rPr>
        <w:t>：</w:t>
      </w:r>
    </w:p>
    <w:p w14:paraId="7C326405">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的评标委员会，对你方的投标文件进行了仔细的审查，现需你方对下列问题予以澄清：</w:t>
      </w:r>
    </w:p>
    <w:p w14:paraId="0F0281BA">
      <w:pPr>
        <w:autoSpaceDE w:val="0"/>
        <w:autoSpaceDN w:val="0"/>
        <w:adjustRightInd w:val="0"/>
        <w:snapToGrid w:val="0"/>
        <w:spacing w:line="360" w:lineRule="auto"/>
        <w:jc w:val="left"/>
        <w:rPr>
          <w:rFonts w:ascii="宋体" w:hAnsi="宋体"/>
          <w:snapToGrid w:val="0"/>
          <w:color w:val="auto"/>
          <w:kern w:val="0"/>
          <w:sz w:val="24"/>
          <w:highlight w:val="none"/>
        </w:rPr>
      </w:pPr>
    </w:p>
    <w:p w14:paraId="4B90D33F">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7CEEA37B">
      <w:pPr>
        <w:autoSpaceDE w:val="0"/>
        <w:autoSpaceDN w:val="0"/>
        <w:adjustRightInd w:val="0"/>
        <w:snapToGrid w:val="0"/>
        <w:spacing w:line="360" w:lineRule="auto"/>
        <w:jc w:val="left"/>
        <w:rPr>
          <w:rFonts w:ascii="宋体" w:hAnsi="宋体"/>
          <w:snapToGrid w:val="0"/>
          <w:color w:val="auto"/>
          <w:kern w:val="0"/>
          <w:szCs w:val="21"/>
          <w:highlight w:val="none"/>
        </w:rPr>
      </w:pPr>
    </w:p>
    <w:p w14:paraId="5C08D956">
      <w:pPr>
        <w:autoSpaceDE w:val="0"/>
        <w:autoSpaceDN w:val="0"/>
        <w:adjustRightInd w:val="0"/>
        <w:snapToGrid w:val="0"/>
        <w:spacing w:line="360" w:lineRule="auto"/>
        <w:jc w:val="left"/>
        <w:rPr>
          <w:rFonts w:ascii="宋体" w:hAnsi="宋体"/>
          <w:snapToGrid w:val="0"/>
          <w:color w:val="auto"/>
          <w:kern w:val="0"/>
          <w:szCs w:val="21"/>
          <w:highlight w:val="none"/>
        </w:rPr>
      </w:pPr>
    </w:p>
    <w:p w14:paraId="738016C4">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22855FF3">
      <w:pPr>
        <w:autoSpaceDE w:val="0"/>
        <w:autoSpaceDN w:val="0"/>
        <w:adjustRightInd w:val="0"/>
        <w:snapToGrid w:val="0"/>
        <w:spacing w:line="360" w:lineRule="auto"/>
        <w:jc w:val="left"/>
        <w:rPr>
          <w:rFonts w:ascii="宋体" w:hAnsi="宋体"/>
          <w:snapToGrid w:val="0"/>
          <w:color w:val="auto"/>
          <w:kern w:val="0"/>
          <w:szCs w:val="21"/>
          <w:highlight w:val="none"/>
        </w:rPr>
      </w:pPr>
    </w:p>
    <w:p w14:paraId="6EE0948D">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6875A8A7">
      <w:pPr>
        <w:autoSpaceDE w:val="0"/>
        <w:autoSpaceDN w:val="0"/>
        <w:adjustRightInd w:val="0"/>
        <w:snapToGrid w:val="0"/>
        <w:spacing w:line="360" w:lineRule="auto"/>
        <w:jc w:val="left"/>
        <w:rPr>
          <w:rFonts w:ascii="宋体" w:hAnsi="宋体"/>
          <w:snapToGrid w:val="0"/>
          <w:color w:val="auto"/>
          <w:kern w:val="0"/>
          <w:sz w:val="14"/>
          <w:szCs w:val="14"/>
          <w:highlight w:val="none"/>
        </w:rPr>
      </w:pPr>
    </w:p>
    <w:p w14:paraId="20A2E06F">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EBCFE17">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w:t>
      </w:r>
      <w:r>
        <w:rPr>
          <w:rFonts w:hint="eastAsia" w:ascii="宋体" w:hAnsi="宋体"/>
          <w:snapToGrid w:val="0"/>
          <w:color w:val="auto"/>
          <w:kern w:val="0"/>
          <w:szCs w:val="21"/>
          <w:highlight w:val="none"/>
        </w:rPr>
        <w:t>通过重庆市电子招投标系统提交</w:t>
      </w:r>
      <w:r>
        <w:rPr>
          <w:rFonts w:ascii="宋体" w:hAnsi="宋体"/>
          <w:snapToGrid w:val="0"/>
          <w:color w:val="auto"/>
          <w:kern w:val="0"/>
          <w:szCs w:val="21"/>
          <w:highlight w:val="none"/>
        </w:rPr>
        <w:t>。</w:t>
      </w:r>
    </w:p>
    <w:p w14:paraId="20D366D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3A7368A9">
      <w:pPr>
        <w:tabs>
          <w:tab w:val="left" w:pos="640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w:t>
      </w:r>
    </w:p>
    <w:p w14:paraId="249A62B0">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14:paraId="03E98CF8">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47E7141">
      <w:pPr>
        <w:autoSpaceDE w:val="0"/>
        <w:autoSpaceDN w:val="0"/>
        <w:adjustRightInd w:val="0"/>
        <w:snapToGrid w:val="0"/>
        <w:spacing w:line="360" w:lineRule="auto"/>
        <w:jc w:val="left"/>
        <w:rPr>
          <w:rFonts w:ascii="宋体" w:hAnsi="宋体"/>
          <w:b/>
          <w:snapToGrid w:val="0"/>
          <w:color w:val="auto"/>
          <w:kern w:val="0"/>
          <w:highlight w:val="none"/>
        </w:rPr>
      </w:pPr>
    </w:p>
    <w:p w14:paraId="73A0B919">
      <w:pPr>
        <w:autoSpaceDE w:val="0"/>
        <w:autoSpaceDN w:val="0"/>
        <w:adjustRightInd w:val="0"/>
        <w:snapToGrid w:val="0"/>
        <w:spacing w:line="360" w:lineRule="auto"/>
        <w:jc w:val="left"/>
        <w:rPr>
          <w:rFonts w:ascii="宋体" w:hAnsi="宋体"/>
          <w:b/>
          <w:snapToGrid w:val="0"/>
          <w:color w:val="auto"/>
          <w:kern w:val="0"/>
          <w:highlight w:val="none"/>
        </w:rPr>
      </w:pPr>
    </w:p>
    <w:p w14:paraId="55F4AC5C">
      <w:pPr>
        <w:autoSpaceDE w:val="0"/>
        <w:autoSpaceDN w:val="0"/>
        <w:adjustRightInd w:val="0"/>
        <w:snapToGrid w:val="0"/>
        <w:spacing w:line="360" w:lineRule="auto"/>
        <w:jc w:val="left"/>
        <w:rPr>
          <w:rFonts w:ascii="宋体" w:hAnsi="宋体"/>
          <w:b/>
          <w:snapToGrid w:val="0"/>
          <w:color w:val="auto"/>
          <w:kern w:val="0"/>
          <w:highlight w:val="none"/>
        </w:rPr>
      </w:pPr>
    </w:p>
    <w:p w14:paraId="5933EE59">
      <w:pPr>
        <w:autoSpaceDE w:val="0"/>
        <w:autoSpaceDN w:val="0"/>
        <w:adjustRightInd w:val="0"/>
        <w:snapToGrid w:val="0"/>
        <w:spacing w:line="360" w:lineRule="auto"/>
        <w:jc w:val="left"/>
        <w:rPr>
          <w:rFonts w:ascii="宋体" w:hAnsi="宋体"/>
          <w:b/>
          <w:snapToGrid w:val="0"/>
          <w:color w:val="auto"/>
          <w:kern w:val="0"/>
          <w:highlight w:val="none"/>
        </w:rPr>
      </w:pPr>
    </w:p>
    <w:p w14:paraId="0D6048CC">
      <w:pPr>
        <w:autoSpaceDE w:val="0"/>
        <w:autoSpaceDN w:val="0"/>
        <w:adjustRightInd w:val="0"/>
        <w:snapToGrid w:val="0"/>
        <w:spacing w:line="360" w:lineRule="auto"/>
        <w:jc w:val="left"/>
        <w:rPr>
          <w:rFonts w:ascii="宋体" w:hAnsi="宋体"/>
          <w:b/>
          <w:snapToGrid w:val="0"/>
          <w:color w:val="auto"/>
          <w:kern w:val="0"/>
          <w:highlight w:val="none"/>
        </w:rPr>
      </w:pPr>
    </w:p>
    <w:p w14:paraId="7E294D21">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三</w:t>
      </w:r>
      <w:r>
        <w:rPr>
          <w:rFonts w:ascii="宋体" w:hAnsi="宋体"/>
          <w:b/>
          <w:snapToGrid w:val="0"/>
          <w:color w:val="auto"/>
          <w:kern w:val="0"/>
          <w:highlight w:val="none"/>
        </w:rPr>
        <w:t>：问题的澄清</w:t>
      </w:r>
    </w:p>
    <w:p w14:paraId="2E485898">
      <w:pPr>
        <w:autoSpaceDE w:val="0"/>
        <w:autoSpaceDN w:val="0"/>
        <w:adjustRightInd w:val="0"/>
        <w:snapToGrid w:val="0"/>
        <w:spacing w:line="360" w:lineRule="auto"/>
        <w:jc w:val="left"/>
        <w:rPr>
          <w:rFonts w:ascii="宋体" w:hAnsi="宋体"/>
          <w:b/>
          <w:snapToGrid w:val="0"/>
          <w:color w:val="auto"/>
          <w:kern w:val="0"/>
          <w:sz w:val="10"/>
          <w:szCs w:val="10"/>
          <w:highlight w:val="none"/>
        </w:rPr>
      </w:pPr>
    </w:p>
    <w:p w14:paraId="13B90A93">
      <w:pPr>
        <w:autoSpaceDE w:val="0"/>
        <w:autoSpaceDN w:val="0"/>
        <w:adjustRightInd w:val="0"/>
        <w:snapToGrid w:val="0"/>
        <w:spacing w:line="360" w:lineRule="auto"/>
        <w:jc w:val="center"/>
        <w:outlineLvl w:val="0"/>
        <w:rPr>
          <w:rFonts w:ascii="宋体" w:hAnsi="宋体"/>
          <w:b/>
          <w:snapToGrid w:val="0"/>
          <w:color w:val="auto"/>
          <w:kern w:val="0"/>
          <w:sz w:val="32"/>
          <w:szCs w:val="32"/>
          <w:highlight w:val="none"/>
        </w:rPr>
      </w:pPr>
      <w:bookmarkStart w:id="510" w:name="_Toc682"/>
      <w:r>
        <w:rPr>
          <w:rFonts w:ascii="宋体" w:hAnsi="宋体"/>
          <w:b/>
          <w:snapToGrid w:val="0"/>
          <w:color w:val="auto"/>
          <w:w w:val="99"/>
          <w:kern w:val="0"/>
          <w:sz w:val="32"/>
          <w:szCs w:val="32"/>
          <w:highlight w:val="none"/>
        </w:rPr>
        <w:t>问题的澄清</w:t>
      </w:r>
      <w:bookmarkEnd w:id="510"/>
    </w:p>
    <w:p w14:paraId="1067E9DF">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14:paraId="089CE81B">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14:paraId="457B4C7B">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88A23FF">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14:paraId="5EA6204C">
      <w:pPr>
        <w:tabs>
          <w:tab w:val="left" w:pos="735"/>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招标评标委员会：</w:t>
      </w:r>
    </w:p>
    <w:p w14:paraId="055D4671">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14:paraId="0EBE97DA">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6CFC7CE">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14:paraId="2DEE1CC1">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14:paraId="21CEB361">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4F3E853">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49548A4C">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34762E27">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2B70868F">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9614C8">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14:paraId="3B811410">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1AFA3D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43DE6066">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03F5114">
      <w:pPr>
        <w:autoSpaceDE w:val="0"/>
        <w:autoSpaceDN w:val="0"/>
        <w:adjustRightInd w:val="0"/>
        <w:snapToGrid w:val="0"/>
        <w:spacing w:line="360" w:lineRule="auto"/>
        <w:jc w:val="left"/>
        <w:rPr>
          <w:rFonts w:ascii="宋体" w:hAnsi="宋体"/>
          <w:snapToGrid w:val="0"/>
          <w:color w:val="auto"/>
          <w:kern w:val="0"/>
          <w:sz w:val="22"/>
          <w:szCs w:val="22"/>
          <w:highlight w:val="none"/>
        </w:rPr>
      </w:pPr>
    </w:p>
    <w:p w14:paraId="7962048E">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14:paraId="425B2A14">
      <w:pPr>
        <w:autoSpaceDE w:val="0"/>
        <w:autoSpaceDN w:val="0"/>
        <w:adjustRightInd w:val="0"/>
        <w:snapToGrid w:val="0"/>
        <w:spacing w:line="360" w:lineRule="auto"/>
        <w:jc w:val="left"/>
        <w:rPr>
          <w:rFonts w:ascii="宋体" w:hAnsi="宋体"/>
          <w:snapToGrid w:val="0"/>
          <w:color w:val="auto"/>
          <w:kern w:val="0"/>
          <w:sz w:val="18"/>
          <w:szCs w:val="18"/>
          <w:highlight w:val="none"/>
        </w:rPr>
      </w:pPr>
    </w:p>
    <w:p w14:paraId="6582D7D6">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上述问题</w:t>
      </w:r>
      <w:r>
        <w:rPr>
          <w:rFonts w:hint="eastAsia" w:ascii="宋体" w:hAnsi="宋体"/>
          <w:snapToGrid w:val="0"/>
          <w:color w:val="auto"/>
          <w:kern w:val="0"/>
          <w:szCs w:val="21"/>
          <w:highlight w:val="none"/>
        </w:rPr>
        <w:t>的</w:t>
      </w:r>
      <w:r>
        <w:rPr>
          <w:rFonts w:ascii="宋体" w:hAnsi="宋体"/>
          <w:snapToGrid w:val="0"/>
          <w:color w:val="auto"/>
          <w:kern w:val="0"/>
          <w:szCs w:val="21"/>
          <w:highlight w:val="none"/>
        </w:rPr>
        <w:t>澄清，不改变我方投标文件的实质性内容，构成我方投标文件的组成部分。</w:t>
      </w:r>
    </w:p>
    <w:p w14:paraId="60CBA6C4">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22587CE5">
      <w:pPr>
        <w:autoSpaceDE w:val="0"/>
        <w:autoSpaceDN w:val="0"/>
        <w:adjustRightInd w:val="0"/>
        <w:snapToGrid w:val="0"/>
        <w:spacing w:line="360" w:lineRule="auto"/>
        <w:jc w:val="left"/>
        <w:rPr>
          <w:rFonts w:ascii="宋体" w:hAnsi="宋体"/>
          <w:snapToGrid w:val="0"/>
          <w:color w:val="auto"/>
          <w:kern w:val="0"/>
          <w:sz w:val="20"/>
          <w:szCs w:val="20"/>
          <w:highlight w:val="none"/>
        </w:rPr>
      </w:pPr>
    </w:p>
    <w:p w14:paraId="0A4890A2">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14:paraId="56BE2CA6">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C54E2D1">
      <w:pPr>
        <w:autoSpaceDE w:val="0"/>
        <w:autoSpaceDN w:val="0"/>
        <w:adjustRightInd w:val="0"/>
        <w:snapToGrid w:val="0"/>
        <w:spacing w:line="360" w:lineRule="auto"/>
        <w:jc w:val="right"/>
        <w:rPr>
          <w:rFonts w:ascii="宋体" w:hAnsi="宋体"/>
          <w:snapToGrid w:val="0"/>
          <w:color w:val="auto"/>
          <w:kern w:val="0"/>
          <w:sz w:val="20"/>
          <w:szCs w:val="20"/>
          <w:highlight w:val="none"/>
        </w:rPr>
      </w:pPr>
    </w:p>
    <w:p w14:paraId="16FA5814">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14:paraId="4B9497DC">
      <w:pPr>
        <w:autoSpaceDE w:val="0"/>
        <w:autoSpaceDN w:val="0"/>
        <w:adjustRightInd w:val="0"/>
        <w:snapToGrid w:val="0"/>
        <w:spacing w:line="360" w:lineRule="auto"/>
        <w:jc w:val="left"/>
        <w:rPr>
          <w:rFonts w:ascii="宋体" w:hAnsi="宋体"/>
          <w:b/>
          <w:snapToGrid w:val="0"/>
          <w:color w:val="auto"/>
          <w:kern w:val="0"/>
          <w:sz w:val="24"/>
          <w:highlight w:val="none"/>
        </w:rPr>
      </w:pPr>
    </w:p>
    <w:p w14:paraId="14CD09F9">
      <w:pPr>
        <w:pStyle w:val="13"/>
        <w:rPr>
          <w:color w:val="auto"/>
          <w:highlight w:val="none"/>
        </w:rPr>
      </w:pPr>
    </w:p>
    <w:p w14:paraId="7BF184F8">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w:t>
      </w:r>
      <w:r>
        <w:rPr>
          <w:rFonts w:hint="eastAsia" w:ascii="宋体" w:hAnsi="宋体"/>
          <w:b/>
          <w:snapToGrid w:val="0"/>
          <w:color w:val="auto"/>
          <w:kern w:val="0"/>
          <w:highlight w:val="none"/>
        </w:rPr>
        <w:t>四</w:t>
      </w:r>
      <w:r>
        <w:rPr>
          <w:rFonts w:ascii="宋体" w:hAnsi="宋体"/>
          <w:b/>
          <w:snapToGrid w:val="0"/>
          <w:color w:val="auto"/>
          <w:kern w:val="0"/>
          <w:highlight w:val="none"/>
        </w:rPr>
        <w:t>：中标通知书</w:t>
      </w:r>
    </w:p>
    <w:p w14:paraId="28648EA6">
      <w:pPr>
        <w:autoSpaceDE w:val="0"/>
        <w:autoSpaceDN w:val="0"/>
        <w:adjustRightInd w:val="0"/>
        <w:spacing w:line="360" w:lineRule="auto"/>
        <w:jc w:val="left"/>
        <w:rPr>
          <w:rFonts w:ascii="宋体" w:hAnsi="宋体"/>
          <w:snapToGrid w:val="0"/>
          <w:color w:val="auto"/>
          <w:kern w:val="0"/>
          <w:sz w:val="20"/>
          <w:szCs w:val="20"/>
          <w:highlight w:val="none"/>
        </w:rPr>
      </w:pPr>
    </w:p>
    <w:p w14:paraId="4B6C2CBA">
      <w:pPr>
        <w:autoSpaceDE w:val="0"/>
        <w:autoSpaceDN w:val="0"/>
        <w:adjustRightInd w:val="0"/>
        <w:spacing w:line="360" w:lineRule="auto"/>
        <w:jc w:val="left"/>
        <w:rPr>
          <w:rFonts w:ascii="宋体" w:hAnsi="宋体"/>
          <w:snapToGrid w:val="0"/>
          <w:color w:val="auto"/>
          <w:kern w:val="0"/>
          <w:sz w:val="20"/>
          <w:szCs w:val="20"/>
          <w:highlight w:val="none"/>
        </w:rPr>
      </w:pPr>
    </w:p>
    <w:p w14:paraId="75FFE9E2">
      <w:pPr>
        <w:autoSpaceDE w:val="0"/>
        <w:autoSpaceDN w:val="0"/>
        <w:adjustRightInd w:val="0"/>
        <w:spacing w:line="360" w:lineRule="auto"/>
        <w:jc w:val="left"/>
        <w:rPr>
          <w:rFonts w:ascii="宋体" w:hAnsi="宋体"/>
          <w:snapToGrid w:val="0"/>
          <w:color w:val="auto"/>
          <w:kern w:val="0"/>
          <w:sz w:val="20"/>
          <w:szCs w:val="20"/>
          <w:highlight w:val="none"/>
        </w:rPr>
      </w:pPr>
    </w:p>
    <w:p w14:paraId="30BD711B">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中标通知书</w:t>
      </w:r>
    </w:p>
    <w:p w14:paraId="6CC4D26C">
      <w:pPr>
        <w:spacing w:line="360" w:lineRule="auto"/>
        <w:rPr>
          <w:rFonts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w:t>
      </w:r>
      <w:r>
        <w:rPr>
          <w:rFonts w:ascii="宋体" w:hAnsi="宋体"/>
          <w:color w:val="auto"/>
          <w:kern w:val="0"/>
          <w:szCs w:val="21"/>
          <w:highlight w:val="none"/>
          <w:u w:val="single"/>
        </w:rPr>
        <w:t>中标单位</w:t>
      </w:r>
      <w:r>
        <w:rPr>
          <w:rFonts w:hint="eastAsia" w:ascii="宋体" w:hAnsi="宋体"/>
          <w:color w:val="auto"/>
          <w:kern w:val="0"/>
          <w:szCs w:val="21"/>
          <w:highlight w:val="none"/>
          <w:u w:val="single"/>
        </w:rPr>
        <w:t>名称</w:t>
      </w:r>
      <w:r>
        <w:rPr>
          <w:rFonts w:hint="eastAsia" w:ascii="宋体" w:hAnsi="宋体"/>
          <w:bCs/>
          <w:color w:val="auto"/>
          <w:kern w:val="0"/>
          <w:szCs w:val="21"/>
          <w:highlight w:val="none"/>
          <w:u w:val="single"/>
        </w:rPr>
        <w:t>）</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14:paraId="45FE30F2">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你方于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日（投标日期）所递交的</w:t>
      </w:r>
      <w:r>
        <w:rPr>
          <w:rFonts w:ascii="宋体" w:hAnsi="宋体"/>
          <w:color w:val="auto"/>
          <w:kern w:val="0"/>
          <w:szCs w:val="21"/>
          <w:highlight w:val="none"/>
          <w:u w:val="single"/>
        </w:rPr>
        <w:tab/>
      </w:r>
      <w:r>
        <w:rPr>
          <w:rFonts w:ascii="宋体" w:hAnsi="宋体"/>
          <w:color w:val="auto"/>
          <w:kern w:val="0"/>
          <w:szCs w:val="21"/>
          <w:highlight w:val="none"/>
          <w:u w:val="single"/>
        </w:rPr>
        <w:t>（项目名称）</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招标的投标文件已被我方接受，经评标委员会评定，被确定为中标人。</w:t>
      </w:r>
    </w:p>
    <w:p w14:paraId="3C8EDD3C">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中标价：</w:t>
      </w:r>
      <w:r>
        <w:rPr>
          <w:rFonts w:ascii="宋体" w:hAnsi="宋体"/>
          <w:color w:val="auto"/>
          <w:kern w:val="0"/>
          <w:szCs w:val="21"/>
          <w:highlight w:val="none"/>
          <w:u w:val="single"/>
        </w:rPr>
        <w:tab/>
      </w:r>
      <w:r>
        <w:rPr>
          <w:rFonts w:ascii="宋体" w:hAnsi="宋体"/>
          <w:color w:val="auto"/>
          <w:kern w:val="0"/>
          <w:szCs w:val="21"/>
          <w:highlight w:val="none"/>
          <w:u w:val="single"/>
        </w:rPr>
        <w:t xml:space="preserve">      </w:t>
      </w:r>
      <w:r>
        <w:rPr>
          <w:rFonts w:ascii="宋体" w:hAnsi="宋体"/>
          <w:color w:val="auto"/>
          <w:kern w:val="0"/>
          <w:szCs w:val="21"/>
          <w:highlight w:val="none"/>
        </w:rPr>
        <w:t>元</w:t>
      </w:r>
      <w:r>
        <w:rPr>
          <w:rFonts w:hint="eastAsia" w:ascii="宋体" w:hAnsi="宋体"/>
          <w:color w:val="auto"/>
          <w:kern w:val="0"/>
          <w:szCs w:val="21"/>
          <w:highlight w:val="none"/>
        </w:rPr>
        <w:t>；</w:t>
      </w:r>
    </w:p>
    <w:p w14:paraId="49F931A7">
      <w:pPr>
        <w:spacing w:line="360" w:lineRule="auto"/>
        <w:ind w:firstLine="420" w:firstLineChars="200"/>
        <w:rPr>
          <w:color w:val="auto"/>
          <w:highlight w:val="none"/>
        </w:rPr>
      </w:pPr>
      <w:r>
        <w:rPr>
          <w:color w:val="auto"/>
          <w:highlight w:val="none"/>
        </w:rPr>
        <w:t>服务期限：</w:t>
      </w:r>
      <w:r>
        <w:rPr>
          <w:color w:val="auto"/>
          <w:highlight w:val="none"/>
          <w:u w:val="single"/>
        </w:rPr>
        <w:t xml:space="preserve">   </w:t>
      </w:r>
      <w:r>
        <w:rPr>
          <w:color w:val="auto"/>
          <w:highlight w:val="none"/>
          <w:u w:val="single"/>
        </w:rPr>
        <w:tab/>
      </w:r>
      <w:r>
        <w:rPr>
          <w:color w:val="auto"/>
          <w:highlight w:val="none"/>
        </w:rPr>
        <w:t>日历天。</w:t>
      </w:r>
    </w:p>
    <w:p w14:paraId="29B96A5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请你方在接到本通知书后的</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日内到</w:t>
      </w:r>
      <w:r>
        <w:rPr>
          <w:rFonts w:ascii="宋体" w:hAnsi="宋体"/>
          <w:color w:val="auto"/>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（指定地点）</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与我方签订合同。</w:t>
      </w:r>
      <w:r>
        <w:rPr>
          <w:color w:val="auto"/>
          <w:szCs w:val="21"/>
          <w:highlight w:val="none"/>
        </w:rPr>
        <w:t>在此之前按招标文件第二章</w:t>
      </w:r>
      <w:r>
        <w:rPr>
          <w:rFonts w:hint="eastAsia"/>
          <w:color w:val="auto"/>
          <w:szCs w:val="21"/>
          <w:highlight w:val="none"/>
        </w:rPr>
        <w:t>“</w:t>
      </w:r>
      <w:r>
        <w:rPr>
          <w:color w:val="auto"/>
          <w:szCs w:val="21"/>
          <w:highlight w:val="none"/>
        </w:rPr>
        <w:t>投标人须知</w:t>
      </w:r>
      <w:r>
        <w:rPr>
          <w:rFonts w:hint="eastAsia"/>
          <w:color w:val="auto"/>
          <w:szCs w:val="21"/>
          <w:highlight w:val="none"/>
        </w:rPr>
        <w:t>”</w:t>
      </w:r>
      <w:r>
        <w:rPr>
          <w:color w:val="auto"/>
          <w:szCs w:val="21"/>
          <w:highlight w:val="none"/>
        </w:rPr>
        <w:t>第7.7款规定向我方提交履约担保。</w:t>
      </w:r>
    </w:p>
    <w:p w14:paraId="7F702951">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特此通知。</w:t>
      </w:r>
    </w:p>
    <w:p w14:paraId="7CB38D9E">
      <w:pPr>
        <w:spacing w:line="480" w:lineRule="auto"/>
        <w:rPr>
          <w:rFonts w:ascii="宋体" w:hAnsi="宋体"/>
          <w:color w:val="auto"/>
          <w:kern w:val="0"/>
          <w:sz w:val="24"/>
          <w:highlight w:val="none"/>
        </w:rPr>
      </w:pPr>
    </w:p>
    <w:p w14:paraId="3785811B">
      <w:pPr>
        <w:spacing w:line="480" w:lineRule="auto"/>
        <w:rPr>
          <w:rFonts w:ascii="宋体" w:hAnsi="宋体"/>
          <w:color w:val="auto"/>
          <w:kern w:val="0"/>
          <w:sz w:val="24"/>
          <w:highlight w:val="none"/>
        </w:rPr>
      </w:pPr>
    </w:p>
    <w:p w14:paraId="4EA9C294">
      <w:pPr>
        <w:spacing w:line="480" w:lineRule="auto"/>
        <w:rPr>
          <w:rFonts w:ascii="宋体" w:hAnsi="宋体"/>
          <w:color w:val="auto"/>
          <w:kern w:val="0"/>
          <w:sz w:val="24"/>
          <w:highlight w:val="none"/>
        </w:rPr>
      </w:pPr>
    </w:p>
    <w:p w14:paraId="5E44424B">
      <w:pPr>
        <w:spacing w:line="480" w:lineRule="auto"/>
        <w:jc w:val="left"/>
        <w:rPr>
          <w:rFonts w:ascii="宋体" w:hAnsi="宋体"/>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Cs w:val="21"/>
          <w:highlight w:val="none"/>
          <w:lang w:eastAsia="zh-CN"/>
        </w:rPr>
        <w:t>比选人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ascii="宋体" w:hAnsi="宋体"/>
          <w:snapToGrid w:val="0"/>
          <w:color w:val="auto"/>
          <w:kern w:val="0"/>
          <w:szCs w:val="21"/>
          <w:highlight w:val="none"/>
        </w:rPr>
        <w:t>盖单位法人章</w:t>
      </w:r>
      <w:r>
        <w:rPr>
          <w:rFonts w:ascii="宋体" w:hAnsi="宋体"/>
          <w:color w:val="auto"/>
          <w:kern w:val="0"/>
          <w:szCs w:val="21"/>
          <w:highlight w:val="none"/>
        </w:rPr>
        <w:t>）</w:t>
      </w:r>
    </w:p>
    <w:p w14:paraId="15F81059">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法定代表人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A3FEAAD">
      <w:pPr>
        <w:spacing w:line="480" w:lineRule="auto"/>
        <w:jc w:val="left"/>
        <w:rPr>
          <w:rFonts w:ascii="宋体" w:hAnsi="宋体"/>
          <w:color w:val="auto"/>
          <w:kern w:val="0"/>
          <w:szCs w:val="21"/>
          <w:highlight w:val="none"/>
          <w:u w:val="singl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联系人</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6339D6FD">
      <w:pPr>
        <w:spacing w:line="480" w:lineRule="auto"/>
        <w:jc w:val="left"/>
        <w:rPr>
          <w:rFonts w:ascii="宋体" w:hAnsi="宋体"/>
          <w:color w:val="auto"/>
          <w:kern w:val="0"/>
          <w:szCs w:val="21"/>
          <w:highlight w:val="none"/>
        </w:rPr>
      </w:pP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联系电话</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p>
    <w:p w14:paraId="373C61D0">
      <w:pPr>
        <w:spacing w:line="480" w:lineRule="auto"/>
        <w:jc w:val="right"/>
        <w:rPr>
          <w:rFonts w:ascii="宋体" w:hAnsi="宋体"/>
          <w:color w:val="auto"/>
          <w:kern w:val="0"/>
          <w:szCs w:val="21"/>
          <w:highlight w:val="none"/>
        </w:rPr>
      </w:pPr>
    </w:p>
    <w:p w14:paraId="6C8DFA72">
      <w:pPr>
        <w:spacing w:line="480" w:lineRule="auto"/>
        <w:jc w:val="right"/>
        <w:rPr>
          <w:rFonts w:ascii="宋体" w:hAnsi="宋体"/>
          <w:color w:val="auto"/>
          <w:kern w:val="0"/>
          <w:szCs w:val="21"/>
          <w:highlight w:val="none"/>
        </w:rPr>
      </w:pPr>
    </w:p>
    <w:p w14:paraId="73349E72">
      <w:pPr>
        <w:spacing w:line="480" w:lineRule="auto"/>
        <w:jc w:val="right"/>
        <w:rPr>
          <w:rFonts w:ascii="宋体" w:hAnsi="宋体"/>
          <w:color w:val="auto"/>
          <w:kern w:val="0"/>
          <w:sz w:val="24"/>
          <w:highlight w:val="none"/>
        </w:rPr>
      </w:pPr>
      <w:r>
        <w:rPr>
          <w:rFonts w:ascii="宋体" w:hAnsi="宋体"/>
          <w:color w:val="auto"/>
          <w:kern w:val="0"/>
          <w:szCs w:val="21"/>
          <w:highlight w:val="none"/>
        </w:rPr>
        <w:t xml:space="preserve">                   签发日期</w:t>
      </w:r>
      <w:r>
        <w:rPr>
          <w:rFonts w:ascii="宋体" w:hAnsi="宋体"/>
          <w:snapToGrid w:val="0"/>
          <w:color w:val="auto"/>
          <w:kern w:val="0"/>
          <w:szCs w:val="21"/>
          <w:highlight w:val="none"/>
        </w:rPr>
        <w:t>：</w:t>
      </w:r>
      <w:r>
        <w:rPr>
          <w:rFonts w:ascii="宋体" w:hAnsi="宋体"/>
          <w:color w:val="auto"/>
          <w:kern w:val="0"/>
          <w:szCs w:val="21"/>
          <w:highlight w:val="none"/>
          <w:u w:val="single"/>
        </w:rPr>
        <w:t xml:space="preserve">        </w:t>
      </w:r>
      <w:r>
        <w:rPr>
          <w:rFonts w:ascii="宋体" w:hAnsi="宋体"/>
          <w:color w:val="auto"/>
          <w:kern w:val="0"/>
          <w:szCs w:val="21"/>
          <w:highlight w:val="none"/>
        </w:rPr>
        <w:t>年</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0D6CDAF2">
      <w:pPr>
        <w:spacing w:line="200" w:lineRule="exact"/>
        <w:rPr>
          <w:rFonts w:ascii="宋体" w:hAnsi="宋体"/>
          <w:color w:val="auto"/>
          <w:kern w:val="0"/>
          <w:highlight w:val="none"/>
        </w:rPr>
      </w:pPr>
      <w:r>
        <w:rPr>
          <w:rFonts w:ascii="宋体" w:hAnsi="宋体"/>
          <w:snapToGrid w:val="0"/>
          <w:color w:val="auto"/>
          <w:kern w:val="0"/>
          <w:highlight w:val="none"/>
        </w:rPr>
        <w:br w:type="page"/>
      </w:r>
      <w:bookmarkStart w:id="511" w:name="招标文件03章02评标办法综合评估法00"/>
      <w:bookmarkEnd w:id="511"/>
      <w:bookmarkStart w:id="512" w:name="招标文件03章02评标办法综合评估法"/>
      <w:bookmarkEnd w:id="512"/>
      <w:bookmarkStart w:id="513" w:name="_Toc224103384"/>
      <w:bookmarkStart w:id="514" w:name="_Toc287620751"/>
      <w:bookmarkStart w:id="515" w:name="_Toc200513198"/>
      <w:bookmarkStart w:id="516" w:name="_Toc287607812"/>
      <w:bookmarkStart w:id="517" w:name="_Toc277082618"/>
      <w:bookmarkStart w:id="518" w:name="_Toc430530500"/>
    </w:p>
    <w:bookmarkEnd w:id="513"/>
    <w:bookmarkEnd w:id="514"/>
    <w:bookmarkEnd w:id="515"/>
    <w:bookmarkEnd w:id="516"/>
    <w:bookmarkEnd w:id="517"/>
    <w:bookmarkEnd w:id="518"/>
    <w:p w14:paraId="2EB845FB">
      <w:pPr>
        <w:pStyle w:val="2"/>
        <w:spacing w:line="360" w:lineRule="auto"/>
        <w:jc w:val="left"/>
        <w:rPr>
          <w:rFonts w:ascii="宋体" w:hAnsi="宋体"/>
          <w:snapToGrid w:val="0"/>
          <w:color w:val="auto"/>
          <w:kern w:val="0"/>
          <w:highlight w:val="none"/>
        </w:rPr>
      </w:pPr>
      <w:bookmarkStart w:id="519" w:name="_Toc26140"/>
      <w:bookmarkStart w:id="520" w:name="_Toc25203"/>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519"/>
      <w:bookmarkEnd w:id="520"/>
    </w:p>
    <w:p w14:paraId="641ED7BD">
      <w:pPr>
        <w:keepNext/>
        <w:keepLines/>
        <w:spacing w:before="100" w:after="100" w:line="360" w:lineRule="auto"/>
        <w:outlineLvl w:val="1"/>
        <w:rPr>
          <w:rFonts w:ascii="宋体" w:hAnsi="宋体"/>
          <w:b/>
          <w:color w:val="auto"/>
          <w:sz w:val="32"/>
          <w:szCs w:val="32"/>
          <w:highlight w:val="none"/>
        </w:rPr>
      </w:pPr>
      <w:bookmarkStart w:id="521" w:name="_Toc28568"/>
      <w:r>
        <w:rPr>
          <w:rFonts w:hint="eastAsia" w:ascii="宋体" w:hAnsi="宋体"/>
          <w:b/>
          <w:color w:val="auto"/>
          <w:sz w:val="32"/>
          <w:szCs w:val="32"/>
          <w:highlight w:val="none"/>
        </w:rPr>
        <w:t>评标办法前附表</w:t>
      </w:r>
      <w:bookmarkEnd w:id="521"/>
    </w:p>
    <w:p w14:paraId="2067C182">
      <w:pPr>
        <w:spacing w:line="400" w:lineRule="exact"/>
        <w:ind w:firstLine="427" w:firstLineChars="196"/>
        <w:rPr>
          <w:rFonts w:ascii="宋体" w:hAnsi="宋体"/>
          <w:color w:val="auto"/>
          <w:spacing w:val="4"/>
          <w:kern w:val="0"/>
          <w:szCs w:val="21"/>
          <w:highlight w:val="none"/>
        </w:rPr>
      </w:pPr>
      <w:bookmarkStart w:id="522" w:name="_Toc13210726"/>
      <w:r>
        <w:rPr>
          <w:rFonts w:ascii="宋体" w:hAnsi="宋体"/>
          <w:color w:val="auto"/>
          <w:spacing w:val="4"/>
          <w:kern w:val="0"/>
          <w:szCs w:val="21"/>
          <w:highlight w:val="none"/>
        </w:rPr>
        <w:t>评标办法前附表中的评审内容必须和</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须知前附表中的对应内容一致，若</w:t>
      </w:r>
      <w:r>
        <w:rPr>
          <w:rFonts w:hint="eastAsia" w:ascii="宋体" w:hAnsi="宋体"/>
          <w:color w:val="auto"/>
          <w:spacing w:val="4"/>
          <w:kern w:val="0"/>
          <w:szCs w:val="21"/>
          <w:highlight w:val="none"/>
          <w:lang w:val="en-US" w:eastAsia="zh-CN"/>
        </w:rPr>
        <w:t>投标人</w:t>
      </w:r>
      <w:r>
        <w:rPr>
          <w:rFonts w:ascii="宋体" w:hAnsi="宋体"/>
          <w:color w:val="auto"/>
          <w:spacing w:val="4"/>
          <w:kern w:val="0"/>
          <w:szCs w:val="21"/>
          <w:highlight w:val="none"/>
        </w:rPr>
        <w:t>须知前附表中未作要求的内容，不得列入评标办法前附表作为评定依据。</w:t>
      </w:r>
      <w:bookmarkEnd w:id="522"/>
    </w:p>
    <w:tbl>
      <w:tblPr>
        <w:tblStyle w:val="49"/>
        <w:tblW w:w="8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3785"/>
      </w:tblGrid>
      <w:tr w14:paraId="4B1C0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noWrap w:val="0"/>
            <w:vAlign w:val="center"/>
          </w:tcPr>
          <w:p w14:paraId="015B686E">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noWrap w:val="0"/>
            <w:vAlign w:val="center"/>
          </w:tcPr>
          <w:p w14:paraId="7B0ADEEB">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052" w:type="dxa"/>
            <w:gridSpan w:val="2"/>
            <w:noWrap w:val="0"/>
            <w:vAlign w:val="center"/>
          </w:tcPr>
          <w:p w14:paraId="588DA72E">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14:paraId="0B230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noWrap w:val="0"/>
            <w:vAlign w:val="center"/>
          </w:tcPr>
          <w:p w14:paraId="6D16C62D">
            <w:pPr>
              <w:pStyle w:val="147"/>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noWrap w:val="0"/>
            <w:vAlign w:val="center"/>
          </w:tcPr>
          <w:p w14:paraId="176C144A">
            <w:pPr>
              <w:pStyle w:val="147"/>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052" w:type="dxa"/>
            <w:gridSpan w:val="2"/>
            <w:noWrap w:val="0"/>
            <w:vAlign w:val="center"/>
          </w:tcPr>
          <w:p w14:paraId="0E94EB21">
            <w:pPr>
              <w:spacing w:line="400" w:lineRule="exact"/>
              <w:ind w:firstLine="427" w:firstLineChars="196"/>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spacing w:val="4"/>
                <w:kern w:val="0"/>
                <w:szCs w:val="21"/>
                <w:highlight w:val="none"/>
              </w:rPr>
              <w:t>中按报价由低到高推荐</w:t>
            </w:r>
            <w:r>
              <w:rPr>
                <w:rFonts w:hint="eastAsia" w:ascii="宋体" w:hAnsi="宋体"/>
                <w:color w:val="auto"/>
                <w:spacing w:val="4"/>
                <w:kern w:val="0"/>
                <w:szCs w:val="21"/>
                <w:highlight w:val="none"/>
                <w:lang w:eastAsia="zh-CN"/>
              </w:rPr>
              <w:t>中标候选人</w:t>
            </w:r>
            <w:r>
              <w:rPr>
                <w:rFonts w:hint="eastAsia" w:ascii="宋体" w:hAnsi="宋体"/>
                <w:color w:val="auto"/>
                <w:spacing w:val="4"/>
                <w:kern w:val="0"/>
                <w:szCs w:val="21"/>
                <w:highlight w:val="none"/>
              </w:rPr>
              <w:t>，或根据</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rPr>
              <w:t>授权直接确定</w:t>
            </w:r>
            <w:r>
              <w:rPr>
                <w:rFonts w:hint="eastAsia" w:ascii="宋体" w:hAnsi="宋体"/>
                <w:color w:val="auto"/>
                <w:spacing w:val="4"/>
                <w:kern w:val="0"/>
                <w:szCs w:val="21"/>
                <w:highlight w:val="none"/>
                <w:lang w:eastAsia="zh-CN"/>
              </w:rPr>
              <w:t>中标人</w:t>
            </w: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spacing w:val="4"/>
                <w:kern w:val="0"/>
                <w:szCs w:val="21"/>
                <w:highlight w:val="none"/>
              </w:rPr>
              <w:t>相同的，</w:t>
            </w:r>
            <w:r>
              <w:rPr>
                <w:rFonts w:hint="eastAsia" w:ascii="宋体" w:hAnsi="宋体"/>
                <w:color w:val="auto"/>
                <w:spacing w:val="4"/>
                <w:kern w:val="0"/>
                <w:szCs w:val="21"/>
                <w:highlight w:val="none"/>
                <w:u w:val="single"/>
                <w:lang w:val="en-US" w:eastAsia="zh-CN"/>
              </w:rPr>
              <w:t>按照资格审查3个业绩合同金额合计大小排序</w:t>
            </w:r>
            <w:r>
              <w:rPr>
                <w:rFonts w:hint="eastAsia" w:ascii="宋体" w:hAnsi="宋体"/>
                <w:color w:val="auto"/>
                <w:spacing w:val="4"/>
                <w:kern w:val="0"/>
                <w:szCs w:val="21"/>
                <w:highlight w:val="none"/>
                <w:lang w:val="en-US" w:eastAsia="zh-CN"/>
              </w:rPr>
              <w:t>，业绩供货量也相等的，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rPr>
              <w:t>原则排序。</w:t>
            </w:r>
          </w:p>
        </w:tc>
      </w:tr>
      <w:tr w14:paraId="57CF4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0FF03E09">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noWrap w:val="0"/>
            <w:vAlign w:val="center"/>
          </w:tcPr>
          <w:p w14:paraId="703B3679">
            <w:pPr>
              <w:spacing w:line="400" w:lineRule="exact"/>
              <w:jc w:val="center"/>
              <w:rPr>
                <w:rFonts w:ascii="宋体" w:hAnsi="宋体"/>
                <w:color w:val="auto"/>
                <w:kern w:val="0"/>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6052" w:type="dxa"/>
            <w:gridSpan w:val="2"/>
            <w:tcBorders>
              <w:left w:val="single" w:color="auto" w:sz="4" w:space="0"/>
            </w:tcBorders>
            <w:noWrap w:val="0"/>
            <w:vAlign w:val="center"/>
          </w:tcPr>
          <w:p w14:paraId="631D6E7B">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的</w:t>
            </w:r>
            <w:r>
              <w:rPr>
                <w:rFonts w:hint="eastAsia" w:ascii="宋体" w:hAnsi="宋体"/>
                <w:color w:val="auto"/>
                <w:spacing w:val="4"/>
                <w:kern w:val="0"/>
                <w:szCs w:val="21"/>
                <w:highlight w:val="none"/>
                <w:lang w:val="en-US" w:eastAsia="zh-CN"/>
              </w:rPr>
              <w:t>投标文件</w:t>
            </w:r>
            <w:r>
              <w:rPr>
                <w:rFonts w:hint="eastAsia" w:ascii="宋体" w:hAnsi="宋体"/>
                <w:color w:val="auto"/>
                <w:kern w:val="0"/>
                <w:highlight w:val="none"/>
              </w:rPr>
              <w:t>，按照报价由低到高的顺序排序。</w:t>
            </w:r>
          </w:p>
        </w:tc>
      </w:tr>
      <w:tr w14:paraId="463EC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noWrap w:val="0"/>
            <w:vAlign w:val="center"/>
          </w:tcPr>
          <w:p w14:paraId="1596DB26">
            <w:pPr>
              <w:spacing w:line="400" w:lineRule="exact"/>
              <w:jc w:val="center"/>
              <w:rPr>
                <w:rFonts w:hint="eastAsia"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noWrap w:val="0"/>
            <w:vAlign w:val="center"/>
          </w:tcPr>
          <w:p w14:paraId="0D2D8096">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052" w:type="dxa"/>
            <w:gridSpan w:val="2"/>
            <w:tcBorders>
              <w:left w:val="single" w:color="auto" w:sz="4" w:space="0"/>
            </w:tcBorders>
            <w:noWrap w:val="0"/>
            <w:vAlign w:val="center"/>
          </w:tcPr>
          <w:p w14:paraId="69C17C4F">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取报价排序前</w:t>
            </w:r>
            <w:r>
              <w:rPr>
                <w:rFonts w:hint="eastAsia" w:ascii="宋体" w:hAnsi="宋体"/>
                <w:color w:val="auto"/>
                <w:kern w:val="0"/>
                <w:highlight w:val="none"/>
                <w:lang w:eastAsia="zh-CN"/>
              </w:rPr>
              <w:t>☑</w:t>
            </w:r>
            <w:r>
              <w:rPr>
                <w:rFonts w:hint="eastAsia" w:ascii="宋体" w:hAnsi="宋体"/>
                <w:color w:val="auto"/>
                <w:kern w:val="0"/>
                <w:highlight w:val="none"/>
              </w:rPr>
              <w:t>5名（若实际</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数量小于勾选数量，</w:t>
            </w:r>
            <w:r>
              <w:rPr>
                <w:rFonts w:hint="eastAsia" w:ascii="宋体" w:hAnsi="宋体"/>
                <w:color w:val="auto"/>
                <w:spacing w:val="4"/>
                <w:kern w:val="0"/>
                <w:szCs w:val="21"/>
                <w:highlight w:val="none"/>
              </w:rPr>
              <w:t>则全部纳入）进行符合性审查。符合性审查内容：资格评审、形式评审、响应性评审及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highlight w:val="none"/>
              </w:rPr>
              <w:t>中，报价最低的成为第一</w:t>
            </w:r>
            <w:r>
              <w:rPr>
                <w:rFonts w:hint="eastAsia" w:ascii="宋体" w:hAnsi="宋体"/>
                <w:color w:val="auto"/>
                <w:kern w:val="0"/>
                <w:highlight w:val="none"/>
                <w:lang w:eastAsia="zh-CN"/>
              </w:rPr>
              <w:t>中标候选人</w:t>
            </w:r>
            <w:r>
              <w:rPr>
                <w:rFonts w:hint="eastAsia" w:ascii="宋体" w:hAnsi="宋体"/>
                <w:color w:val="auto"/>
                <w:kern w:val="0"/>
                <w:highlight w:val="none"/>
              </w:rPr>
              <w:t>，报价次低的成为第二</w:t>
            </w:r>
            <w:r>
              <w:rPr>
                <w:rFonts w:hint="eastAsia" w:ascii="宋体" w:hAnsi="宋体"/>
                <w:color w:val="auto"/>
                <w:kern w:val="0"/>
                <w:highlight w:val="none"/>
                <w:lang w:eastAsia="zh-CN"/>
              </w:rPr>
              <w:t>中标候选人</w:t>
            </w:r>
            <w:r>
              <w:rPr>
                <w:rFonts w:hint="eastAsia" w:ascii="宋体" w:hAnsi="宋体"/>
                <w:color w:val="auto"/>
                <w:kern w:val="0"/>
                <w:highlight w:val="none"/>
              </w:rPr>
              <w:t>，依次类推。</w:t>
            </w:r>
          </w:p>
          <w:p w14:paraId="1CFEFA04">
            <w:pPr>
              <w:spacing w:line="400" w:lineRule="exact"/>
              <w:ind w:firstLine="420" w:firstLineChars="200"/>
              <w:jc w:val="left"/>
              <w:rPr>
                <w:rFonts w:hint="eastAsia" w:ascii="宋体" w:hAnsi="宋体"/>
                <w:color w:val="auto"/>
                <w:kern w:val="0"/>
                <w:highlight w:val="none"/>
              </w:rPr>
            </w:pPr>
            <w:r>
              <w:rPr>
                <w:rFonts w:hint="eastAsia" w:ascii="宋体" w:hAnsi="宋体"/>
                <w:color w:val="auto"/>
                <w:kern w:val="0"/>
                <w:highlight w:val="none"/>
              </w:rPr>
              <w:t>符合性审查中有任何一项不符合要求，符合性审查不合格，由评标委员会作</w:t>
            </w:r>
            <w:r>
              <w:rPr>
                <w:rFonts w:hint="eastAsia" w:ascii="宋体" w:hAnsi="宋体"/>
                <w:color w:val="auto"/>
                <w:kern w:val="0"/>
                <w:highlight w:val="none"/>
                <w:lang w:eastAsia="zh-CN"/>
              </w:rPr>
              <w:t>否决投标</w:t>
            </w:r>
            <w:r>
              <w:rPr>
                <w:rFonts w:hint="eastAsia" w:ascii="宋体" w:hAnsi="宋体"/>
                <w:color w:val="auto"/>
                <w:kern w:val="0"/>
                <w:highlight w:val="none"/>
              </w:rPr>
              <w:t>处理。</w:t>
            </w:r>
          </w:p>
        </w:tc>
      </w:tr>
      <w:tr w14:paraId="7F48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noWrap w:val="0"/>
            <w:vAlign w:val="center"/>
          </w:tcPr>
          <w:p w14:paraId="33DB6E47">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560" w:type="dxa"/>
            <w:vMerge w:val="restart"/>
            <w:tcBorders>
              <w:left w:val="single" w:color="auto" w:sz="4" w:space="0"/>
              <w:right w:val="single" w:color="auto" w:sz="4" w:space="0"/>
            </w:tcBorders>
            <w:noWrap w:val="0"/>
            <w:vAlign w:val="center"/>
          </w:tcPr>
          <w:p w14:paraId="52C18964">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267" w:type="dxa"/>
            <w:tcBorders>
              <w:top w:val="single" w:color="auto" w:sz="4" w:space="0"/>
              <w:left w:val="single" w:color="auto" w:sz="4" w:space="0"/>
              <w:right w:val="single" w:color="auto" w:sz="4" w:space="0"/>
            </w:tcBorders>
            <w:noWrap w:val="0"/>
            <w:vAlign w:val="center"/>
          </w:tcPr>
          <w:p w14:paraId="6E00EAF2">
            <w:pPr>
              <w:autoSpaceDE w:val="0"/>
              <w:autoSpaceDN w:val="0"/>
              <w:adjustRightInd w:val="0"/>
              <w:snapToGrid w:val="0"/>
              <w:spacing w:line="400" w:lineRule="exact"/>
              <w:rPr>
                <w:rFonts w:ascii="宋体" w:hAnsi="宋体" w:cs="宋体"/>
                <w:b w:val="0"/>
                <w:bCs/>
                <w:color w:val="auto"/>
                <w:kern w:val="0"/>
                <w:highlight w:val="none"/>
              </w:rPr>
            </w:pPr>
            <w:r>
              <w:rPr>
                <w:rFonts w:ascii="宋体" w:hAnsi="宋体"/>
                <w:b w:val="0"/>
                <w:bCs/>
                <w:color w:val="auto"/>
                <w:szCs w:val="21"/>
                <w:highlight w:val="none"/>
              </w:rPr>
              <w:t>资质</w:t>
            </w:r>
            <w:r>
              <w:rPr>
                <w:rFonts w:hint="eastAsia" w:ascii="宋体" w:hAnsi="宋体"/>
                <w:b w:val="0"/>
                <w:bCs/>
                <w:color w:val="auto"/>
                <w:szCs w:val="21"/>
                <w:highlight w:val="none"/>
              </w:rPr>
              <w:t>要求及</w:t>
            </w:r>
            <w:r>
              <w:rPr>
                <w:rFonts w:ascii="宋体" w:hAnsi="宋体"/>
                <w:b w:val="0"/>
                <w:bCs/>
                <w:color w:val="auto"/>
                <w:szCs w:val="21"/>
                <w:highlight w:val="none"/>
              </w:rPr>
              <w:t>营业执照</w:t>
            </w:r>
          </w:p>
        </w:tc>
        <w:tc>
          <w:tcPr>
            <w:tcW w:w="3785" w:type="dxa"/>
            <w:tcBorders>
              <w:top w:val="single" w:color="auto" w:sz="4" w:space="0"/>
              <w:left w:val="single" w:color="auto" w:sz="4" w:space="0"/>
            </w:tcBorders>
            <w:noWrap w:val="0"/>
            <w:vAlign w:val="center"/>
          </w:tcPr>
          <w:p w14:paraId="1A970B03">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18EA1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7EA97670">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2053CFEE">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2DC98E2C">
            <w:pPr>
              <w:snapToGrid w:val="0"/>
              <w:spacing w:line="400" w:lineRule="exact"/>
              <w:jc w:val="left"/>
              <w:rPr>
                <w:rFonts w:ascii="宋体" w:hAnsi="宋体" w:cs="宋体"/>
                <w:b w:val="0"/>
                <w:bCs/>
                <w:color w:val="auto"/>
                <w:kern w:val="0"/>
                <w:highlight w:val="none"/>
              </w:rPr>
            </w:pPr>
            <w:r>
              <w:rPr>
                <w:rFonts w:hint="eastAsia" w:ascii="宋体" w:hAnsi="宋体" w:cs="宋体"/>
                <w:b w:val="0"/>
                <w:bCs/>
                <w:color w:val="auto"/>
                <w:kern w:val="0"/>
                <w:highlight w:val="none"/>
                <w:lang w:val="en-US" w:eastAsia="zh-CN"/>
              </w:rPr>
              <w:t>质量及保供</w:t>
            </w:r>
            <w:r>
              <w:rPr>
                <w:rFonts w:hint="eastAsia" w:ascii="宋体" w:hAnsi="宋体" w:cs="宋体"/>
                <w:b w:val="0"/>
                <w:bCs/>
                <w:color w:val="auto"/>
                <w:kern w:val="0"/>
                <w:highlight w:val="none"/>
              </w:rPr>
              <w:t>要求</w:t>
            </w:r>
          </w:p>
        </w:tc>
        <w:tc>
          <w:tcPr>
            <w:tcW w:w="3785" w:type="dxa"/>
            <w:tcBorders>
              <w:top w:val="single" w:color="auto" w:sz="4" w:space="0"/>
              <w:left w:val="single" w:color="auto" w:sz="4" w:space="0"/>
            </w:tcBorders>
            <w:noWrap w:val="0"/>
            <w:vAlign w:val="center"/>
          </w:tcPr>
          <w:p w14:paraId="75991827">
            <w:pPr>
              <w:snapToGrid w:val="0"/>
              <w:spacing w:after="78" w:afterLines="25" w:line="400" w:lineRule="exact"/>
              <w:ind w:firstLine="420" w:firstLineChars="200"/>
              <w:rPr>
                <w:rFonts w:ascii="宋体" w:hAnsi="宋体" w:cs="宋体"/>
                <w:color w:val="auto"/>
                <w:kern w:val="0"/>
                <w:highlight w:val="none"/>
              </w:rPr>
            </w:pPr>
            <w:r>
              <w:rPr>
                <w:rFonts w:hint="eastAsia" w:ascii="宋体" w:hAnsi="宋体"/>
                <w:color w:val="auto"/>
                <w:kern w:val="0"/>
                <w:highlight w:val="none"/>
                <w:lang w:eastAsia="zh-CN"/>
              </w:rPr>
              <w:t>符合第二章“</w:t>
            </w:r>
            <w:r>
              <w:rPr>
                <w:rFonts w:hint="eastAsia" w:ascii="宋体" w:hAnsi="宋体"/>
                <w:color w:val="auto"/>
                <w:kern w:val="0"/>
                <w:highlight w:val="none"/>
                <w:lang w:val="en-US" w:eastAsia="zh-CN"/>
              </w:rPr>
              <w:t>投标人</w:t>
            </w:r>
            <w:r>
              <w:rPr>
                <w:rFonts w:hint="eastAsia" w:ascii="宋体" w:hAnsi="宋体"/>
                <w:color w:val="auto"/>
                <w:kern w:val="0"/>
                <w:highlight w:val="none"/>
                <w:lang w:eastAsia="zh-CN"/>
              </w:rPr>
              <w:t>须知”第1.4.1项规定。</w:t>
            </w:r>
          </w:p>
        </w:tc>
      </w:tr>
      <w:tr w14:paraId="4E36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49E3AEAF">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542956D6">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245221A9">
            <w:pPr>
              <w:snapToGrid w:val="0"/>
              <w:spacing w:line="400" w:lineRule="exact"/>
              <w:jc w:val="left"/>
              <w:rPr>
                <w:rFonts w:ascii="宋体" w:hAnsi="宋体" w:cs="宋体"/>
                <w:b w:val="0"/>
                <w:bCs/>
                <w:color w:val="auto"/>
                <w:kern w:val="0"/>
                <w:highlight w:val="none"/>
              </w:rPr>
            </w:pPr>
            <w:r>
              <w:rPr>
                <w:rFonts w:hint="eastAsia" w:ascii="宋体" w:hAnsi="宋体"/>
                <w:b w:val="0"/>
                <w:bCs/>
                <w:color w:val="auto"/>
                <w:szCs w:val="21"/>
                <w:highlight w:val="none"/>
                <w:lang w:val="en-US" w:eastAsia="zh-CN"/>
              </w:rPr>
              <w:t>财务能力</w:t>
            </w:r>
            <w:r>
              <w:rPr>
                <w:rFonts w:ascii="宋体" w:hAnsi="宋体"/>
                <w:b w:val="0"/>
                <w:bCs/>
                <w:color w:val="auto"/>
                <w:szCs w:val="21"/>
                <w:highlight w:val="none"/>
              </w:rPr>
              <w:t>要求</w:t>
            </w:r>
          </w:p>
        </w:tc>
        <w:tc>
          <w:tcPr>
            <w:tcW w:w="3785" w:type="dxa"/>
            <w:tcBorders>
              <w:top w:val="single" w:color="auto" w:sz="4" w:space="0"/>
              <w:left w:val="single" w:color="auto" w:sz="4" w:space="0"/>
            </w:tcBorders>
            <w:noWrap w:val="0"/>
            <w:vAlign w:val="center"/>
          </w:tcPr>
          <w:p w14:paraId="3F3354F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45135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6D820173">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76D2C1B6">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36BAF1D4">
            <w:pPr>
              <w:snapToGrid w:val="0"/>
              <w:spacing w:line="400" w:lineRule="exact"/>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供货</w:t>
            </w:r>
            <w:r>
              <w:rPr>
                <w:rFonts w:ascii="宋体" w:hAnsi="宋体"/>
                <w:b w:val="0"/>
                <w:bCs/>
                <w:color w:val="auto"/>
                <w:szCs w:val="21"/>
                <w:highlight w:val="none"/>
              </w:rPr>
              <w:t>业绩要求</w:t>
            </w:r>
          </w:p>
        </w:tc>
        <w:tc>
          <w:tcPr>
            <w:tcW w:w="3785" w:type="dxa"/>
            <w:tcBorders>
              <w:top w:val="single" w:color="auto" w:sz="4" w:space="0"/>
              <w:left w:val="single" w:color="auto" w:sz="4" w:space="0"/>
            </w:tcBorders>
            <w:noWrap w:val="0"/>
            <w:vAlign w:val="center"/>
          </w:tcPr>
          <w:p w14:paraId="60D1D84F">
            <w:pPr>
              <w:snapToGrid w:val="0"/>
              <w:spacing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0DE11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noWrap w:val="0"/>
            <w:vAlign w:val="center"/>
          </w:tcPr>
          <w:p w14:paraId="304249D4">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1554D2AF">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5FBBD887">
            <w:pPr>
              <w:snapToGrid w:val="0"/>
              <w:spacing w:after="78" w:afterLines="25"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投标截止</w:t>
            </w:r>
            <w:r>
              <w:rPr>
                <w:rFonts w:hint="eastAsia" w:ascii="宋体" w:hAnsi="宋体" w:cs="宋体"/>
                <w:color w:val="auto"/>
                <w:szCs w:val="21"/>
                <w:highlight w:val="none"/>
              </w:rPr>
              <w:t>日投标资格情况</w:t>
            </w:r>
          </w:p>
        </w:tc>
        <w:tc>
          <w:tcPr>
            <w:tcW w:w="3785" w:type="dxa"/>
            <w:tcBorders>
              <w:top w:val="single" w:color="auto" w:sz="4" w:space="0"/>
              <w:left w:val="single" w:color="auto" w:sz="4" w:space="0"/>
            </w:tcBorders>
            <w:noWrap w:val="0"/>
            <w:vAlign w:val="center"/>
          </w:tcPr>
          <w:p w14:paraId="061424F2">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089A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1243" w:type="dxa"/>
            <w:vMerge w:val="continue"/>
            <w:tcBorders>
              <w:right w:val="single" w:color="auto" w:sz="4" w:space="0"/>
            </w:tcBorders>
            <w:noWrap w:val="0"/>
            <w:vAlign w:val="center"/>
          </w:tcPr>
          <w:p w14:paraId="3EF0AC4A">
            <w:pPr>
              <w:spacing w:line="400" w:lineRule="exact"/>
              <w:jc w:val="center"/>
              <w:rPr>
                <w:rFonts w:hint="eastAsia" w:ascii="宋体" w:hAnsi="宋体" w:cs="宋体"/>
                <w:color w:val="auto"/>
                <w:szCs w:val="21"/>
                <w:highlight w:val="none"/>
              </w:rPr>
            </w:pPr>
          </w:p>
        </w:tc>
        <w:tc>
          <w:tcPr>
            <w:tcW w:w="1560" w:type="dxa"/>
            <w:vMerge w:val="continue"/>
            <w:tcBorders>
              <w:left w:val="single" w:color="auto" w:sz="4" w:space="0"/>
              <w:right w:val="single" w:color="auto" w:sz="4" w:space="0"/>
            </w:tcBorders>
            <w:noWrap w:val="0"/>
            <w:vAlign w:val="center"/>
          </w:tcPr>
          <w:p w14:paraId="4EF65002">
            <w:pPr>
              <w:spacing w:line="400" w:lineRule="exact"/>
              <w:jc w:val="center"/>
              <w:rPr>
                <w:rFonts w:ascii="宋体" w:hAnsi="宋体"/>
                <w:color w:val="auto"/>
                <w:kern w:val="0"/>
                <w:highlight w:val="none"/>
              </w:rPr>
            </w:pPr>
          </w:p>
        </w:tc>
        <w:tc>
          <w:tcPr>
            <w:tcW w:w="2267" w:type="dxa"/>
            <w:tcBorders>
              <w:top w:val="single" w:color="auto" w:sz="4" w:space="0"/>
              <w:left w:val="single" w:color="auto" w:sz="4" w:space="0"/>
              <w:right w:val="single" w:color="auto" w:sz="4" w:space="0"/>
            </w:tcBorders>
            <w:noWrap w:val="0"/>
            <w:vAlign w:val="center"/>
          </w:tcPr>
          <w:p w14:paraId="7D0C87D8">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3785" w:type="dxa"/>
            <w:tcBorders>
              <w:top w:val="single" w:color="auto" w:sz="4" w:space="0"/>
              <w:left w:val="single" w:color="auto" w:sz="4" w:space="0"/>
            </w:tcBorders>
            <w:noWrap w:val="0"/>
            <w:vAlign w:val="center"/>
          </w:tcPr>
          <w:p w14:paraId="63B4DC09">
            <w:pPr>
              <w:snapToGrid w:val="0"/>
              <w:spacing w:line="400" w:lineRule="exact"/>
              <w:ind w:firstLine="420" w:firstLineChars="200"/>
              <w:rPr>
                <w:rFonts w:ascii="宋体" w:hAnsi="宋体" w:cs="宋体"/>
                <w:color w:val="auto"/>
                <w:kern w:val="0"/>
                <w:highlight w:val="none"/>
                <w:u w:val="singl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须知”第1.4.1项规定</w:t>
            </w:r>
          </w:p>
        </w:tc>
      </w:tr>
      <w:tr w14:paraId="0E98B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noWrap w:val="0"/>
            <w:vAlign w:val="center"/>
          </w:tcPr>
          <w:p w14:paraId="70A958FA">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3</w:t>
            </w:r>
          </w:p>
        </w:tc>
        <w:tc>
          <w:tcPr>
            <w:tcW w:w="1560" w:type="dxa"/>
            <w:vMerge w:val="restart"/>
            <w:tcBorders>
              <w:left w:val="single" w:color="auto" w:sz="4" w:space="0"/>
            </w:tcBorders>
            <w:noWrap w:val="0"/>
            <w:vAlign w:val="center"/>
          </w:tcPr>
          <w:p w14:paraId="26107F8C">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267" w:type="dxa"/>
            <w:tcBorders>
              <w:right w:val="single" w:color="auto" w:sz="4" w:space="0"/>
            </w:tcBorders>
            <w:noWrap w:val="0"/>
            <w:vAlign w:val="center"/>
          </w:tcPr>
          <w:p w14:paraId="73B63B1F">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名称</w:t>
            </w:r>
          </w:p>
        </w:tc>
        <w:tc>
          <w:tcPr>
            <w:tcW w:w="3785" w:type="dxa"/>
            <w:tcBorders>
              <w:left w:val="single" w:color="auto" w:sz="4" w:space="0"/>
            </w:tcBorders>
            <w:noWrap w:val="0"/>
            <w:vAlign w:val="center"/>
          </w:tcPr>
          <w:p w14:paraId="339CDB4B">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w:t>
            </w:r>
          </w:p>
        </w:tc>
      </w:tr>
      <w:tr w14:paraId="1D65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98661B0">
            <w:pPr>
              <w:spacing w:line="400" w:lineRule="exact"/>
              <w:jc w:val="center"/>
              <w:rPr>
                <w:rFonts w:ascii="宋体" w:hAnsi="宋体"/>
                <w:color w:val="auto"/>
                <w:kern w:val="0"/>
                <w:highlight w:val="none"/>
              </w:rPr>
            </w:pPr>
          </w:p>
        </w:tc>
        <w:tc>
          <w:tcPr>
            <w:tcW w:w="1560" w:type="dxa"/>
            <w:vMerge w:val="continue"/>
            <w:tcBorders>
              <w:left w:val="single" w:color="auto" w:sz="4" w:space="0"/>
            </w:tcBorders>
            <w:noWrap w:val="0"/>
            <w:vAlign w:val="center"/>
          </w:tcPr>
          <w:p w14:paraId="3C25B34A">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55CB1EAF">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投标函</w:t>
            </w:r>
            <w:r>
              <w:rPr>
                <w:rFonts w:hint="eastAsia" w:ascii="宋体" w:hAnsi="宋体" w:cs="宋体"/>
                <w:color w:val="auto"/>
                <w:kern w:val="0"/>
                <w:highlight w:val="none"/>
              </w:rPr>
              <w:t>签字盖章</w:t>
            </w:r>
          </w:p>
        </w:tc>
        <w:tc>
          <w:tcPr>
            <w:tcW w:w="3785" w:type="dxa"/>
            <w:tcBorders>
              <w:left w:val="single" w:color="auto" w:sz="4" w:space="0"/>
            </w:tcBorders>
            <w:noWrap w:val="0"/>
            <w:vAlign w:val="center"/>
          </w:tcPr>
          <w:p w14:paraId="27BBC044">
            <w:pPr>
              <w:snapToGrid w:val="0"/>
              <w:spacing w:line="400" w:lineRule="exact"/>
              <w:rPr>
                <w:rFonts w:hint="eastAsia" w:ascii="宋体" w:hAnsi="宋体" w:cs="宋体"/>
                <w:color w:val="auto"/>
                <w:kern w:val="0"/>
                <w:highlight w:val="none"/>
              </w:rPr>
            </w:pPr>
            <w:r>
              <w:rPr>
                <w:rFonts w:hint="eastAsia" w:ascii="宋体" w:hAnsi="宋体" w:cs="宋体"/>
                <w:color w:val="auto"/>
                <w:kern w:val="0"/>
                <w:highlight w:val="none"/>
              </w:rPr>
              <w:t>有法定代表人或其委托代理人签字（或盖章）、加盖单位公章。</w:t>
            </w:r>
          </w:p>
        </w:tc>
      </w:tr>
      <w:tr w14:paraId="553B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02BF3867">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3E781EAF">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07C1FA1C">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格式</w:t>
            </w:r>
          </w:p>
        </w:tc>
        <w:tc>
          <w:tcPr>
            <w:tcW w:w="3785" w:type="dxa"/>
            <w:tcBorders>
              <w:left w:val="single" w:color="auto" w:sz="4" w:space="0"/>
            </w:tcBorders>
            <w:noWrap w:val="0"/>
            <w:vAlign w:val="center"/>
          </w:tcPr>
          <w:p w14:paraId="0707769D">
            <w:pPr>
              <w:snapToGrid w:val="0"/>
              <w:spacing w:line="400" w:lineRule="exact"/>
              <w:ind w:firstLine="380" w:firstLineChars="181"/>
              <w:rPr>
                <w:rFonts w:hint="eastAsia" w:ascii="宋体" w:hAnsi="宋体" w:cs="宋体"/>
                <w:color w:val="auto"/>
                <w:kern w:val="0"/>
                <w:highlight w:val="none"/>
              </w:rPr>
            </w:pPr>
            <w:r>
              <w:rPr>
                <w:rFonts w:hint="eastAsia" w:ascii="宋体" w:hAnsi="宋体" w:cs="宋体"/>
                <w:color w:val="auto"/>
                <w:kern w:val="0"/>
                <w:highlight w:val="none"/>
              </w:rPr>
              <w:t>符合第</w:t>
            </w:r>
            <w:r>
              <w:rPr>
                <w:rFonts w:hint="eastAsia" w:ascii="宋体" w:hAnsi="宋体" w:cs="宋体"/>
                <w:color w:val="auto"/>
                <w:kern w:val="0"/>
                <w:highlight w:val="none"/>
                <w:lang w:val="en-US" w:eastAsia="zh-CN"/>
              </w:rPr>
              <w:t>六</w:t>
            </w:r>
            <w:r>
              <w:rPr>
                <w:rFonts w:hint="eastAsia" w:ascii="宋体" w:hAnsi="宋体" w:cs="宋体"/>
                <w:color w:val="auto"/>
                <w:kern w:val="0"/>
                <w:highlight w:val="none"/>
              </w:rPr>
              <w:t>章“</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格式”的要求。</w:t>
            </w:r>
          </w:p>
          <w:p w14:paraId="5D0A2A50">
            <w:pPr>
              <w:snapToGrid w:val="0"/>
              <w:spacing w:line="400" w:lineRule="exact"/>
              <w:ind w:firstLine="380" w:firstLineChars="181"/>
              <w:rPr>
                <w:rFonts w:hint="eastAsia" w:ascii="宋体" w:hAnsi="宋体" w:cs="宋体"/>
                <w:color w:val="auto"/>
                <w:kern w:val="0"/>
                <w:highlight w:val="none"/>
              </w:rPr>
            </w:pPr>
          </w:p>
        </w:tc>
      </w:tr>
      <w:tr w14:paraId="61747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A717DDA">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46168B77">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435F338E">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3785" w:type="dxa"/>
            <w:tcBorders>
              <w:left w:val="single" w:color="auto" w:sz="4" w:space="0"/>
            </w:tcBorders>
            <w:noWrap w:val="0"/>
            <w:vAlign w:val="center"/>
          </w:tcPr>
          <w:p w14:paraId="1A22840B">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招标</w:t>
            </w:r>
            <w:r>
              <w:rPr>
                <w:rFonts w:hint="eastAsia" w:ascii="宋体" w:hAnsi="宋体" w:cs="宋体"/>
                <w:color w:val="auto"/>
                <w:kern w:val="0"/>
                <w:highlight w:val="none"/>
              </w:rPr>
              <w:t>文件没有规定的情况下，不得提交选择性报价。</w:t>
            </w:r>
          </w:p>
        </w:tc>
      </w:tr>
      <w:tr w14:paraId="26254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FD51A8A">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025386BD">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73E57B41">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的签署</w:t>
            </w:r>
          </w:p>
        </w:tc>
        <w:tc>
          <w:tcPr>
            <w:tcW w:w="3785" w:type="dxa"/>
            <w:tcBorders>
              <w:left w:val="single" w:color="auto" w:sz="4" w:space="0"/>
            </w:tcBorders>
            <w:noWrap w:val="0"/>
            <w:vAlign w:val="center"/>
          </w:tcPr>
          <w:p w14:paraId="7E0E164E">
            <w:pPr>
              <w:autoSpaceDE w:val="0"/>
              <w:autoSpaceDN w:val="0"/>
              <w:adjustRightInd w:val="0"/>
              <w:snapToGrid w:val="0"/>
              <w:spacing w:line="400" w:lineRule="exact"/>
              <w:ind w:firstLine="436" w:firstLineChars="200"/>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上法定代表人或其委托代理人的签字（或盖章）齐全。</w:t>
            </w:r>
          </w:p>
        </w:tc>
      </w:tr>
      <w:tr w14:paraId="385D7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A846D45">
            <w:pPr>
              <w:spacing w:line="400" w:lineRule="exact"/>
              <w:jc w:val="center"/>
              <w:rPr>
                <w:rFonts w:ascii="宋体" w:hAnsi="宋体"/>
                <w:b/>
                <w:color w:val="auto"/>
                <w:kern w:val="0"/>
                <w:highlight w:val="none"/>
              </w:rPr>
            </w:pPr>
          </w:p>
        </w:tc>
        <w:tc>
          <w:tcPr>
            <w:tcW w:w="1560" w:type="dxa"/>
            <w:vMerge w:val="continue"/>
            <w:tcBorders>
              <w:left w:val="single" w:color="auto" w:sz="4" w:space="0"/>
            </w:tcBorders>
            <w:noWrap w:val="0"/>
            <w:vAlign w:val="center"/>
          </w:tcPr>
          <w:p w14:paraId="4F70D689">
            <w:pPr>
              <w:spacing w:line="400" w:lineRule="exact"/>
              <w:jc w:val="center"/>
              <w:rPr>
                <w:rFonts w:ascii="宋体" w:hAnsi="宋体"/>
                <w:b/>
                <w:color w:val="auto"/>
                <w:kern w:val="0"/>
                <w:highlight w:val="none"/>
              </w:rPr>
            </w:pPr>
          </w:p>
        </w:tc>
        <w:tc>
          <w:tcPr>
            <w:tcW w:w="2267" w:type="dxa"/>
            <w:tcBorders>
              <w:right w:val="single" w:color="auto" w:sz="4" w:space="0"/>
            </w:tcBorders>
            <w:noWrap w:val="0"/>
            <w:vAlign w:val="center"/>
          </w:tcPr>
          <w:p w14:paraId="49176DD9">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3785" w:type="dxa"/>
            <w:tcBorders>
              <w:left w:val="single" w:color="auto" w:sz="4" w:space="0"/>
            </w:tcBorders>
            <w:noWrap w:val="0"/>
            <w:vAlign w:val="center"/>
          </w:tcPr>
          <w:p w14:paraId="3CD850C5">
            <w:pPr>
              <w:snapToGrid w:val="0"/>
              <w:spacing w:after="78" w:afterLines="25" w:line="400" w:lineRule="exact"/>
              <w:ind w:firstLine="436" w:firstLineChars="200"/>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法定代表人的委托代理人有法定代表人签署的授权委托书和养老保险。</w:t>
            </w:r>
          </w:p>
        </w:tc>
      </w:tr>
      <w:tr w14:paraId="6ED48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noWrap w:val="0"/>
            <w:vAlign w:val="center"/>
          </w:tcPr>
          <w:p w14:paraId="4DA8D1D3">
            <w:pPr>
              <w:spacing w:line="400" w:lineRule="exact"/>
              <w:jc w:val="center"/>
              <w:rPr>
                <w:rFonts w:ascii="宋体" w:hAnsi="宋体"/>
                <w:color w:val="auto"/>
                <w:kern w:val="0"/>
                <w:highlight w:val="none"/>
              </w:rPr>
            </w:pPr>
            <w:r>
              <w:rPr>
                <w:rFonts w:hint="eastAsia" w:ascii="宋体" w:hAnsi="宋体"/>
                <w:color w:val="auto"/>
                <w:kern w:val="0"/>
                <w:highlight w:val="none"/>
              </w:rPr>
              <w:t>2.2.4</w:t>
            </w:r>
          </w:p>
        </w:tc>
        <w:tc>
          <w:tcPr>
            <w:tcW w:w="1560" w:type="dxa"/>
            <w:vMerge w:val="restart"/>
            <w:tcBorders>
              <w:top w:val="single" w:color="auto" w:sz="4" w:space="0"/>
              <w:left w:val="single" w:color="auto" w:sz="4" w:space="0"/>
            </w:tcBorders>
            <w:noWrap w:val="0"/>
            <w:vAlign w:val="center"/>
          </w:tcPr>
          <w:p w14:paraId="4819514E">
            <w:pPr>
              <w:spacing w:line="400" w:lineRule="exact"/>
              <w:jc w:val="center"/>
              <w:rPr>
                <w:rFonts w:ascii="宋体" w:hAnsi="宋体"/>
                <w:color w:val="auto"/>
                <w:kern w:val="0"/>
                <w:highlight w:val="none"/>
              </w:rPr>
            </w:pPr>
            <w:r>
              <w:rPr>
                <w:rFonts w:ascii="宋体" w:hAnsi="宋体"/>
                <w:color w:val="auto"/>
                <w:kern w:val="0"/>
                <w:highlight w:val="none"/>
              </w:rPr>
              <w:t>响应性评审标准</w:t>
            </w:r>
          </w:p>
        </w:tc>
        <w:tc>
          <w:tcPr>
            <w:tcW w:w="2267" w:type="dxa"/>
            <w:tcBorders>
              <w:right w:val="single" w:color="auto" w:sz="4" w:space="0"/>
            </w:tcBorders>
            <w:noWrap w:val="0"/>
            <w:vAlign w:val="center"/>
          </w:tcPr>
          <w:p w14:paraId="0FED352C">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投标总报价</w:t>
            </w:r>
          </w:p>
        </w:tc>
        <w:tc>
          <w:tcPr>
            <w:tcW w:w="3785" w:type="dxa"/>
            <w:tcBorders>
              <w:left w:val="single" w:color="auto" w:sz="4" w:space="0"/>
            </w:tcBorders>
            <w:noWrap w:val="0"/>
            <w:vAlign w:val="center"/>
          </w:tcPr>
          <w:p w14:paraId="311B74C1">
            <w:pPr>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及综合单价不得高于</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公布的</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最高限价及综合单价限价。</w:t>
            </w:r>
          </w:p>
          <w:p w14:paraId="7BB973FB">
            <w:pPr>
              <w:spacing w:line="400" w:lineRule="exact"/>
              <w:ind w:firstLine="420" w:firstLineChars="200"/>
              <w:jc w:val="left"/>
              <w:rPr>
                <w:rFonts w:hint="eastAsia" w:ascii="宋体" w:hAnsi="宋体" w:cs="宋体"/>
                <w:color w:val="auto"/>
                <w:kern w:val="0"/>
                <w:highlight w:val="none"/>
              </w:rPr>
            </w:pPr>
            <w:r>
              <w:rPr>
                <w:rFonts w:hint="eastAsia" w:ascii="宋体" w:hAnsi="宋体" w:cs="宋体"/>
                <w:color w:val="auto"/>
                <w:szCs w:val="21"/>
                <w:highlight w:val="none"/>
              </w:rPr>
              <w:t>2.</w:t>
            </w:r>
            <w:r>
              <w:rPr>
                <w:rFonts w:hint="eastAsia" w:ascii="宋体" w:hAnsi="宋体"/>
                <w:color w:val="auto"/>
                <w:spacing w:val="4"/>
                <w:kern w:val="0"/>
                <w:szCs w:val="21"/>
                <w:highlight w:val="none"/>
                <w:lang w:val="en-US" w:eastAsia="zh-CN"/>
              </w:rPr>
              <w:t>投标总报价</w:t>
            </w:r>
            <w:r>
              <w:rPr>
                <w:rFonts w:hint="eastAsia" w:ascii="宋体" w:hAnsi="宋体" w:cs="宋体"/>
                <w:color w:val="auto"/>
                <w:szCs w:val="21"/>
                <w:highlight w:val="none"/>
              </w:rPr>
              <w:t>低于最高限价85%的，</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应在编制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时，在</w:t>
            </w:r>
            <w:r>
              <w:rPr>
                <w:rFonts w:hint="eastAsia" w:ascii="宋体" w:hAnsi="宋体"/>
                <w:color w:val="auto"/>
                <w:spacing w:val="4"/>
                <w:kern w:val="0"/>
                <w:szCs w:val="21"/>
                <w:highlight w:val="none"/>
                <w:lang w:val="en-US" w:eastAsia="zh-CN"/>
              </w:rPr>
              <w:t>投标函部分</w:t>
            </w:r>
            <w:r>
              <w:rPr>
                <w:rFonts w:hint="eastAsia" w:ascii="宋体" w:hAnsi="宋体" w:cs="宋体"/>
                <w:color w:val="auto"/>
                <w:szCs w:val="21"/>
                <w:highlight w:val="none"/>
              </w:rPr>
              <w:t>中递交低价风险担保缴纳承诺书。</w:t>
            </w:r>
          </w:p>
        </w:tc>
      </w:tr>
      <w:tr w14:paraId="0FDF1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505F1E5">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B8A2679">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66B5CB16">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投标内容</w:t>
            </w:r>
          </w:p>
        </w:tc>
        <w:tc>
          <w:tcPr>
            <w:tcW w:w="3785" w:type="dxa"/>
            <w:tcBorders>
              <w:left w:val="single" w:color="auto" w:sz="4" w:space="0"/>
            </w:tcBorders>
            <w:noWrap w:val="0"/>
            <w:vAlign w:val="center"/>
          </w:tcPr>
          <w:p w14:paraId="7BC47899">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须知”第1.3.1项规定</w:t>
            </w:r>
          </w:p>
        </w:tc>
      </w:tr>
      <w:tr w14:paraId="4629F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77470DE3">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11E892AD">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550E904">
            <w:pPr>
              <w:snapToGrid w:val="0"/>
              <w:spacing w:line="400" w:lineRule="exact"/>
              <w:jc w:val="left"/>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lang w:val="en-US" w:eastAsia="zh-CN"/>
              </w:rPr>
              <w:t>服务期限</w:t>
            </w:r>
          </w:p>
        </w:tc>
        <w:tc>
          <w:tcPr>
            <w:tcW w:w="3785" w:type="dxa"/>
            <w:tcBorders>
              <w:left w:val="single" w:color="auto" w:sz="4" w:space="0"/>
            </w:tcBorders>
            <w:noWrap w:val="0"/>
            <w:vAlign w:val="center"/>
          </w:tcPr>
          <w:p w14:paraId="7BAD2D6D">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须知”第1.3.2项规定</w:t>
            </w:r>
          </w:p>
        </w:tc>
      </w:tr>
      <w:tr w14:paraId="6E8A9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51A8653">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4933A843">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2170E190">
            <w:pPr>
              <w:snapToGrid w:val="0"/>
              <w:spacing w:line="400" w:lineRule="exact"/>
              <w:jc w:val="left"/>
              <w:rPr>
                <w:rFonts w:hint="eastAsia" w:ascii="宋体" w:hAnsi="宋体" w:eastAsia="宋体" w:cs="宋体"/>
                <w:color w:val="auto"/>
                <w:kern w:val="0"/>
                <w:highlight w:val="none"/>
                <w:lang w:val="en-US" w:eastAsia="zh-CN"/>
              </w:rPr>
            </w:pPr>
            <w:r>
              <w:rPr>
                <w:rFonts w:hint="eastAsia" w:ascii="宋体" w:hAnsi="宋体" w:cs="宋体"/>
                <w:color w:val="auto"/>
                <w:kern w:val="0"/>
                <w:highlight w:val="none"/>
              </w:rPr>
              <w:t>质量</w:t>
            </w:r>
            <w:r>
              <w:rPr>
                <w:rFonts w:hint="eastAsia" w:ascii="宋体" w:hAnsi="宋体" w:cs="宋体"/>
                <w:color w:val="auto"/>
                <w:kern w:val="0"/>
                <w:highlight w:val="none"/>
                <w:lang w:val="en-US" w:eastAsia="zh-CN"/>
              </w:rPr>
              <w:t>要求</w:t>
            </w:r>
          </w:p>
        </w:tc>
        <w:tc>
          <w:tcPr>
            <w:tcW w:w="3785" w:type="dxa"/>
            <w:tcBorders>
              <w:left w:val="single" w:color="auto" w:sz="4" w:space="0"/>
            </w:tcBorders>
            <w:noWrap w:val="0"/>
            <w:vAlign w:val="center"/>
          </w:tcPr>
          <w:p w14:paraId="092D5C39">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须知”第1.3.3项规定</w:t>
            </w:r>
          </w:p>
        </w:tc>
      </w:tr>
      <w:tr w14:paraId="743D7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484C1107">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7517BE75">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7D1917E">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投标有效期</w:t>
            </w:r>
          </w:p>
        </w:tc>
        <w:tc>
          <w:tcPr>
            <w:tcW w:w="3785" w:type="dxa"/>
            <w:tcBorders>
              <w:left w:val="single" w:color="auto" w:sz="4" w:space="0"/>
            </w:tcBorders>
            <w:noWrap w:val="0"/>
            <w:vAlign w:val="center"/>
          </w:tcPr>
          <w:p w14:paraId="153106A4">
            <w:pPr>
              <w:snapToGrid w:val="0"/>
              <w:spacing w:line="46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须知”第3.3.1项规定</w:t>
            </w:r>
          </w:p>
        </w:tc>
      </w:tr>
      <w:tr w14:paraId="09690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59AF31DC">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5EFB910D">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0E1181A9">
            <w:pPr>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投标保证金</w:t>
            </w:r>
          </w:p>
        </w:tc>
        <w:tc>
          <w:tcPr>
            <w:tcW w:w="3785" w:type="dxa"/>
            <w:tcBorders>
              <w:left w:val="single" w:color="auto" w:sz="4" w:space="0"/>
            </w:tcBorders>
            <w:noWrap w:val="0"/>
            <w:vAlign w:val="center"/>
          </w:tcPr>
          <w:p w14:paraId="2F2F0AC1">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须知前附表”第3.4款规定。</w:t>
            </w:r>
          </w:p>
        </w:tc>
      </w:tr>
      <w:tr w14:paraId="6746A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2AAA6740">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6C1636F2">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3699FC3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权利义务</w:t>
            </w:r>
          </w:p>
        </w:tc>
        <w:tc>
          <w:tcPr>
            <w:tcW w:w="3785" w:type="dxa"/>
            <w:tcBorders>
              <w:left w:val="single" w:color="auto" w:sz="4" w:space="0"/>
            </w:tcBorders>
            <w:noWrap w:val="0"/>
            <w:vAlign w:val="center"/>
          </w:tcPr>
          <w:p w14:paraId="6A26742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符合第四章“合同条款及格式”规定，</w:t>
            </w:r>
            <w:r>
              <w:rPr>
                <w:rFonts w:hint="eastAsia" w:ascii="宋体" w:hAnsi="宋体"/>
                <w:color w:val="auto"/>
                <w:spacing w:val="4"/>
                <w:kern w:val="0"/>
                <w:szCs w:val="21"/>
                <w:highlight w:val="none"/>
                <w:lang w:val="en-US" w:eastAsia="zh-CN"/>
              </w:rPr>
              <w:t>投标文件</w:t>
            </w:r>
            <w:r>
              <w:rPr>
                <w:rFonts w:hint="eastAsia" w:ascii="宋体" w:hAnsi="宋体" w:cs="宋体"/>
                <w:color w:val="auto"/>
                <w:kern w:val="0"/>
                <w:highlight w:val="none"/>
              </w:rPr>
              <w:t>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w:t>
            </w:r>
          </w:p>
        </w:tc>
      </w:tr>
      <w:tr w14:paraId="69CC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noWrap w:val="0"/>
            <w:vAlign w:val="center"/>
          </w:tcPr>
          <w:p w14:paraId="308B2774">
            <w:pPr>
              <w:spacing w:line="400" w:lineRule="exact"/>
              <w:jc w:val="center"/>
              <w:rPr>
                <w:rFonts w:hint="eastAsia" w:ascii="宋体" w:hAnsi="宋体"/>
                <w:color w:val="auto"/>
                <w:kern w:val="0"/>
                <w:highlight w:val="none"/>
              </w:rPr>
            </w:pPr>
          </w:p>
        </w:tc>
        <w:tc>
          <w:tcPr>
            <w:tcW w:w="1560" w:type="dxa"/>
            <w:vMerge w:val="continue"/>
            <w:tcBorders>
              <w:left w:val="single" w:color="auto" w:sz="4" w:space="0"/>
            </w:tcBorders>
            <w:noWrap w:val="0"/>
            <w:vAlign w:val="center"/>
          </w:tcPr>
          <w:p w14:paraId="01F1A38B">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41224F19">
            <w:pPr>
              <w:snapToGrid w:val="0"/>
              <w:spacing w:line="400" w:lineRule="exact"/>
              <w:jc w:val="left"/>
              <w:rPr>
                <w:rFonts w:ascii="宋体" w:hAnsi="宋体" w:cs="宋体"/>
                <w:color w:val="auto"/>
                <w:kern w:val="0"/>
                <w:highlight w:val="none"/>
              </w:rPr>
            </w:pPr>
            <w:r>
              <w:rPr>
                <w:rFonts w:hint="eastAsia" w:ascii="宋体" w:hAnsi="宋体"/>
                <w:color w:val="auto"/>
                <w:spacing w:val="4"/>
                <w:kern w:val="0"/>
                <w:szCs w:val="21"/>
                <w:highlight w:val="none"/>
                <w:lang w:val="en-US" w:eastAsia="zh-CN"/>
              </w:rPr>
              <w:t>投标报价</w:t>
            </w:r>
            <w:r>
              <w:rPr>
                <w:rFonts w:hint="eastAsia" w:ascii="宋体" w:hAnsi="宋体" w:cs="宋体"/>
                <w:color w:val="auto"/>
                <w:kern w:val="0"/>
                <w:highlight w:val="none"/>
              </w:rPr>
              <w:t>算术错误修正</w:t>
            </w:r>
          </w:p>
        </w:tc>
        <w:tc>
          <w:tcPr>
            <w:tcW w:w="3785" w:type="dxa"/>
            <w:tcBorders>
              <w:left w:val="single" w:color="auto" w:sz="4" w:space="0"/>
            </w:tcBorders>
            <w:noWrap w:val="0"/>
            <w:vAlign w:val="center"/>
          </w:tcPr>
          <w:p w14:paraId="0B365C7D">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符合第三章3.评标程序第3.1项规定。</w:t>
            </w:r>
          </w:p>
        </w:tc>
      </w:tr>
      <w:tr w14:paraId="7F5C4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noWrap w:val="0"/>
            <w:vAlign w:val="center"/>
          </w:tcPr>
          <w:p w14:paraId="490FE966">
            <w:pPr>
              <w:spacing w:line="400" w:lineRule="exact"/>
              <w:jc w:val="center"/>
              <w:rPr>
                <w:rFonts w:hint="eastAsia" w:ascii="宋体" w:hAnsi="宋体"/>
                <w:color w:val="auto"/>
                <w:kern w:val="0"/>
                <w:highlight w:val="none"/>
              </w:rPr>
            </w:pPr>
          </w:p>
        </w:tc>
        <w:tc>
          <w:tcPr>
            <w:tcW w:w="1560" w:type="dxa"/>
            <w:vMerge w:val="continue"/>
            <w:tcBorders>
              <w:left w:val="single" w:color="auto" w:sz="4" w:space="0"/>
              <w:bottom w:val="single" w:color="auto" w:sz="4" w:space="0"/>
            </w:tcBorders>
            <w:noWrap w:val="0"/>
            <w:vAlign w:val="center"/>
          </w:tcPr>
          <w:p w14:paraId="71823B38">
            <w:pPr>
              <w:spacing w:line="400" w:lineRule="exact"/>
              <w:jc w:val="center"/>
              <w:rPr>
                <w:rFonts w:hint="eastAsia" w:ascii="宋体" w:hAnsi="宋体"/>
                <w:color w:val="auto"/>
                <w:kern w:val="0"/>
                <w:highlight w:val="none"/>
              </w:rPr>
            </w:pPr>
          </w:p>
        </w:tc>
        <w:tc>
          <w:tcPr>
            <w:tcW w:w="2267" w:type="dxa"/>
            <w:tcBorders>
              <w:right w:val="single" w:color="auto" w:sz="4" w:space="0"/>
            </w:tcBorders>
            <w:noWrap w:val="0"/>
            <w:vAlign w:val="center"/>
          </w:tcPr>
          <w:p w14:paraId="113789C5">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3785" w:type="dxa"/>
            <w:tcBorders>
              <w:left w:val="single" w:color="auto" w:sz="4" w:space="0"/>
            </w:tcBorders>
            <w:noWrap w:val="0"/>
            <w:vAlign w:val="center"/>
          </w:tcPr>
          <w:p w14:paraId="0DD4E1DA">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kern w:val="0"/>
                <w:highlight w:val="none"/>
              </w:rPr>
              <w:t>须知”第1.4.</w:t>
            </w:r>
            <w:r>
              <w:rPr>
                <w:rFonts w:hint="eastAsia" w:ascii="宋体" w:hAnsi="宋体" w:cs="宋体"/>
                <w:color w:val="auto"/>
                <w:kern w:val="0"/>
                <w:highlight w:val="none"/>
                <w:lang w:val="en-US" w:eastAsia="zh-CN"/>
              </w:rPr>
              <w:t>2</w:t>
            </w:r>
            <w:r>
              <w:rPr>
                <w:rFonts w:hint="eastAsia" w:ascii="宋体" w:hAnsi="宋体" w:cs="宋体"/>
                <w:color w:val="auto"/>
                <w:kern w:val="0"/>
                <w:highlight w:val="none"/>
              </w:rPr>
              <w:t>项规定。</w:t>
            </w:r>
          </w:p>
          <w:p w14:paraId="06D48484">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不得有涉嫌串通投标、弄虚作假等其他违反招投标相关法律、法规行为。</w:t>
            </w:r>
          </w:p>
        </w:tc>
      </w:tr>
      <w:tr w14:paraId="495B6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noWrap w:val="0"/>
            <w:vAlign w:val="center"/>
          </w:tcPr>
          <w:p w14:paraId="33117A96">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noWrap w:val="0"/>
            <w:vAlign w:val="center"/>
          </w:tcPr>
          <w:p w14:paraId="3897A87D">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052" w:type="dxa"/>
            <w:gridSpan w:val="2"/>
            <w:tcBorders>
              <w:left w:val="single" w:color="auto" w:sz="4" w:space="0"/>
            </w:tcBorders>
            <w:noWrap w:val="0"/>
            <w:vAlign w:val="center"/>
          </w:tcPr>
          <w:p w14:paraId="73B12608">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1.对报价不高于最高限价的所有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，按照报价由低到高的顺序排序</w:t>
            </w:r>
          </w:p>
          <w:p w14:paraId="613CC638">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2.取报价排序前</w:t>
            </w:r>
            <w:r>
              <w:rPr>
                <w:rFonts w:hint="eastAsia" w:ascii="宋体" w:hAnsi="宋体"/>
                <w:color w:val="auto"/>
                <w:kern w:val="0"/>
                <w:szCs w:val="21"/>
                <w:highlight w:val="none"/>
                <w:lang w:eastAsia="zh-CN"/>
              </w:rPr>
              <w:sym w:font="Wingdings 2" w:char="0052"/>
            </w:r>
            <w:r>
              <w:rPr>
                <w:rFonts w:hint="eastAsia" w:ascii="宋体" w:hAnsi="宋体"/>
                <w:color w:val="auto"/>
                <w:kern w:val="0"/>
                <w:szCs w:val="21"/>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则全部纳入）进行符合性审查。符合性审查内容：资格评审、形式评审、响应性及</w:t>
            </w:r>
            <w:r>
              <w:rPr>
                <w:rFonts w:hint="eastAsia" w:ascii="宋体" w:hAnsi="宋体"/>
                <w:color w:val="auto"/>
                <w:spacing w:val="4"/>
                <w:kern w:val="0"/>
                <w:szCs w:val="21"/>
                <w:highlight w:val="none"/>
                <w:lang w:val="en-US" w:eastAsia="zh-CN"/>
              </w:rPr>
              <w:t>投标报价</w:t>
            </w:r>
            <w:r>
              <w:rPr>
                <w:rFonts w:hint="eastAsia" w:ascii="宋体" w:hAnsi="宋体"/>
                <w:color w:val="auto"/>
                <w:spacing w:val="4"/>
                <w:kern w:val="0"/>
                <w:szCs w:val="21"/>
                <w:highlight w:val="none"/>
              </w:rPr>
              <w:t>评审。符合性审查</w:t>
            </w:r>
            <w:r>
              <w:rPr>
                <w:rFonts w:hint="eastAsia" w:ascii="宋体" w:hAnsi="宋体"/>
                <w:color w:val="auto"/>
                <w:kern w:val="0"/>
                <w:szCs w:val="21"/>
                <w:highlight w:val="none"/>
              </w:rPr>
              <w:t>合格的</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中，报价最低的成为第一</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，报价次低的成为第二</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，依次类推。</w:t>
            </w:r>
          </w:p>
          <w:p w14:paraId="069AFFA0">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w:t>
            </w:r>
            <w:r>
              <w:rPr>
                <w:rFonts w:hint="eastAsia" w:ascii="宋体" w:hAnsi="宋体"/>
                <w:color w:val="auto"/>
                <w:spacing w:val="4"/>
                <w:kern w:val="0"/>
                <w:szCs w:val="21"/>
                <w:highlight w:val="none"/>
                <w:lang w:eastAsia="zh-CN"/>
              </w:rPr>
              <w:t>中标候选人</w:t>
            </w:r>
            <w:r>
              <w:rPr>
                <w:rFonts w:hint="eastAsia" w:ascii="宋体" w:hAnsi="宋体"/>
                <w:color w:val="auto"/>
                <w:kern w:val="0"/>
                <w:szCs w:val="21"/>
                <w:highlight w:val="none"/>
              </w:rPr>
              <w:t>，则评标委员会对剩余</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继续按上述第2条进行评审，直至评出三名</w:t>
            </w:r>
            <w:r>
              <w:rPr>
                <w:rFonts w:hint="eastAsia" w:ascii="宋体" w:hAnsi="宋体"/>
                <w:color w:val="auto"/>
                <w:kern w:val="0"/>
                <w:szCs w:val="21"/>
                <w:highlight w:val="none"/>
                <w:lang w:eastAsia="zh-CN"/>
              </w:rPr>
              <w:t>中标候选人</w:t>
            </w:r>
            <w:r>
              <w:rPr>
                <w:rFonts w:hint="eastAsia" w:ascii="宋体" w:hAnsi="宋体"/>
                <w:color w:val="auto"/>
                <w:kern w:val="0"/>
                <w:szCs w:val="21"/>
                <w:highlight w:val="none"/>
              </w:rPr>
              <w:t>，或者评审完所有</w:t>
            </w:r>
            <w:r>
              <w:rPr>
                <w:rFonts w:hint="eastAsia" w:ascii="宋体" w:hAnsi="宋体"/>
                <w:color w:val="auto"/>
                <w:spacing w:val="4"/>
                <w:kern w:val="0"/>
                <w:szCs w:val="21"/>
                <w:highlight w:val="none"/>
                <w:lang w:val="en-US" w:eastAsia="zh-CN"/>
              </w:rPr>
              <w:t>投标文件</w:t>
            </w:r>
            <w:r>
              <w:rPr>
                <w:rFonts w:hint="eastAsia" w:ascii="宋体" w:hAnsi="宋体"/>
                <w:color w:val="auto"/>
                <w:kern w:val="0"/>
                <w:szCs w:val="21"/>
                <w:highlight w:val="none"/>
              </w:rPr>
              <w:t>。</w:t>
            </w:r>
          </w:p>
          <w:p w14:paraId="7E813A17">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w:t>
            </w:r>
            <w:r>
              <w:rPr>
                <w:rFonts w:hint="eastAsia" w:ascii="宋体" w:hAnsi="宋体"/>
                <w:color w:val="auto"/>
                <w:kern w:val="0"/>
                <w:szCs w:val="21"/>
                <w:highlight w:val="none"/>
                <w:lang w:eastAsia="zh-CN"/>
              </w:rPr>
              <w:t>否决投标</w:t>
            </w:r>
            <w:r>
              <w:rPr>
                <w:rFonts w:hint="eastAsia" w:ascii="宋体" w:hAnsi="宋体"/>
                <w:color w:val="auto"/>
                <w:kern w:val="0"/>
                <w:szCs w:val="21"/>
                <w:highlight w:val="none"/>
              </w:rPr>
              <w:t>处理，导致有效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不足三个的，评标委员会应当否决</w:t>
            </w:r>
            <w:r>
              <w:rPr>
                <w:rFonts w:hint="eastAsia" w:ascii="宋体" w:hAnsi="宋体"/>
                <w:color w:val="auto"/>
                <w:kern w:val="0"/>
                <w:szCs w:val="21"/>
                <w:highlight w:val="none"/>
                <w:lang w:eastAsia="zh-CN"/>
              </w:rPr>
              <w:t>所有投标</w:t>
            </w:r>
            <w:r>
              <w:rPr>
                <w:rFonts w:hint="eastAsia" w:ascii="宋体" w:hAnsi="宋体"/>
                <w:color w:val="auto"/>
                <w:kern w:val="0"/>
                <w:szCs w:val="21"/>
                <w:highlight w:val="none"/>
              </w:rPr>
              <w:t>。但是有效</w:t>
            </w:r>
            <w:r>
              <w:rPr>
                <w:rFonts w:hint="eastAsia" w:ascii="宋体" w:hAnsi="宋体"/>
                <w:color w:val="auto"/>
                <w:spacing w:val="4"/>
                <w:kern w:val="0"/>
                <w:szCs w:val="21"/>
                <w:highlight w:val="none"/>
                <w:lang w:val="en-US" w:eastAsia="zh-CN"/>
              </w:rPr>
              <w:t>投标人</w:t>
            </w:r>
            <w:r>
              <w:rPr>
                <w:rFonts w:hint="eastAsia" w:ascii="宋体" w:hAnsi="宋体"/>
                <w:color w:val="auto"/>
                <w:kern w:val="0"/>
                <w:szCs w:val="21"/>
                <w:highlight w:val="none"/>
              </w:rPr>
              <w:t>的经济、技术等指标仍然具有市场竞争力，并满足</w:t>
            </w:r>
            <w:r>
              <w:rPr>
                <w:rFonts w:hint="eastAsia" w:ascii="宋体" w:hAnsi="宋体"/>
                <w:color w:val="auto"/>
                <w:kern w:val="0"/>
                <w:szCs w:val="21"/>
                <w:highlight w:val="none"/>
                <w:lang w:eastAsia="zh-CN"/>
              </w:rPr>
              <w:t>招标</w:t>
            </w:r>
            <w:r>
              <w:rPr>
                <w:rFonts w:hint="eastAsia" w:ascii="宋体" w:hAnsi="宋体"/>
                <w:color w:val="auto"/>
                <w:kern w:val="0"/>
                <w:szCs w:val="21"/>
                <w:highlight w:val="none"/>
              </w:rPr>
              <w:t>文件要求的，评标委员会可以继续评标并确定中标候选人。</w:t>
            </w:r>
          </w:p>
          <w:p w14:paraId="27E06ECC">
            <w:pPr>
              <w:spacing w:after="31"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kern w:val="0"/>
                <w:szCs w:val="21"/>
                <w:highlight w:val="none"/>
              </w:rPr>
              <w:t>相同的，</w:t>
            </w:r>
            <w:r>
              <w:rPr>
                <w:rFonts w:hint="eastAsia" w:ascii="宋体" w:hAnsi="宋体"/>
                <w:color w:val="auto"/>
                <w:spacing w:val="4"/>
                <w:kern w:val="0"/>
                <w:szCs w:val="21"/>
                <w:highlight w:val="none"/>
              </w:rPr>
              <w:t>由评标委员会按照</w:t>
            </w:r>
            <w:r>
              <w:rPr>
                <w:rFonts w:hint="eastAsia" w:ascii="宋体" w:hAnsi="宋体"/>
                <w:color w:val="auto"/>
                <w:spacing w:val="4"/>
                <w:kern w:val="0"/>
                <w:szCs w:val="21"/>
                <w:highlight w:val="none"/>
                <w:u w:val="single"/>
              </w:rPr>
              <w:t xml:space="preserve"> </w:t>
            </w:r>
            <w:r>
              <w:rPr>
                <w:rFonts w:hint="eastAsia" w:ascii="宋体" w:hAnsi="宋体"/>
                <w:color w:val="auto"/>
                <w:spacing w:val="4"/>
                <w:kern w:val="0"/>
                <w:szCs w:val="21"/>
                <w:highlight w:val="none"/>
                <w:u w:val="single"/>
                <w:lang w:val="en-US" w:eastAsia="zh-CN"/>
              </w:rPr>
              <w:t>投票表决</w:t>
            </w:r>
            <w:r>
              <w:rPr>
                <w:rFonts w:hint="eastAsia" w:ascii="宋体" w:hAnsi="宋体"/>
                <w:color w:val="auto"/>
                <w:spacing w:val="4"/>
                <w:kern w:val="0"/>
                <w:szCs w:val="21"/>
                <w:highlight w:val="none"/>
              </w:rPr>
              <w:t>原则排序。</w:t>
            </w:r>
          </w:p>
        </w:tc>
      </w:tr>
      <w:tr w14:paraId="4C8D8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243" w:type="dxa"/>
            <w:tcBorders>
              <w:right w:val="single" w:color="auto" w:sz="4" w:space="0"/>
            </w:tcBorders>
            <w:noWrap w:val="0"/>
            <w:vAlign w:val="center"/>
          </w:tcPr>
          <w:p w14:paraId="00267144">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noWrap w:val="0"/>
            <w:vAlign w:val="center"/>
          </w:tcPr>
          <w:p w14:paraId="4869195D">
            <w:pPr>
              <w:spacing w:line="400" w:lineRule="exact"/>
              <w:jc w:val="center"/>
              <w:rPr>
                <w:rFonts w:ascii="宋体" w:hAnsi="宋体"/>
                <w:color w:val="auto"/>
                <w:highlight w:val="none"/>
              </w:rPr>
            </w:pPr>
            <w:r>
              <w:rPr>
                <w:rFonts w:ascii="宋体" w:hAnsi="宋体"/>
                <w:color w:val="auto"/>
                <w:highlight w:val="none"/>
              </w:rPr>
              <w:t>评标结果</w:t>
            </w:r>
          </w:p>
        </w:tc>
        <w:tc>
          <w:tcPr>
            <w:tcW w:w="6052" w:type="dxa"/>
            <w:gridSpan w:val="2"/>
            <w:tcBorders>
              <w:left w:val="single" w:color="auto" w:sz="4" w:space="0"/>
            </w:tcBorders>
            <w:noWrap w:val="0"/>
            <w:vAlign w:val="center"/>
          </w:tcPr>
          <w:p w14:paraId="0236F4EA">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w:t>
            </w:r>
            <w:r>
              <w:rPr>
                <w:rFonts w:hint="eastAsia" w:ascii="宋体" w:hAnsi="宋体"/>
                <w:color w:val="auto"/>
                <w:kern w:val="0"/>
                <w:szCs w:val="21"/>
                <w:highlight w:val="none"/>
                <w:lang w:eastAsia="zh-CN"/>
              </w:rPr>
              <w:t>中标人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w:t>
            </w:r>
            <w:r>
              <w:rPr>
                <w:rFonts w:hint="eastAsia" w:ascii="宋体" w:hAnsi="宋体"/>
                <w:color w:val="auto"/>
                <w:kern w:val="0"/>
                <w:szCs w:val="21"/>
                <w:highlight w:val="none"/>
                <w:lang w:eastAsia="zh-CN"/>
              </w:rPr>
              <w:t>中标候选人</w:t>
            </w:r>
            <w:r>
              <w:rPr>
                <w:rFonts w:ascii="宋体" w:hAnsi="宋体"/>
                <w:color w:val="auto"/>
                <w:kern w:val="0"/>
                <w:szCs w:val="21"/>
                <w:highlight w:val="none"/>
              </w:rPr>
              <w:t>。</w:t>
            </w:r>
          </w:p>
          <w:p w14:paraId="3CEA51A1">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14:paraId="2DD02A94">
      <w:pPr>
        <w:pStyle w:val="3"/>
        <w:spacing w:before="0" w:after="0" w:line="360" w:lineRule="auto"/>
        <w:outlineLvl w:val="9"/>
        <w:rPr>
          <w:rFonts w:ascii="宋体" w:hAnsi="宋体" w:cs="宋体"/>
          <w:color w:val="auto"/>
          <w:szCs w:val="21"/>
          <w:highlight w:val="none"/>
        </w:rPr>
      </w:pPr>
      <w:r>
        <w:rPr>
          <w:rFonts w:ascii="宋体" w:hAnsi="宋体"/>
          <w:bCs w:val="0"/>
          <w:snapToGrid w:val="0"/>
          <w:color w:val="auto"/>
          <w:highlight w:val="none"/>
        </w:rPr>
        <w:br w:type="page"/>
      </w:r>
    </w:p>
    <w:p w14:paraId="52C1FF5F">
      <w:pPr>
        <w:pStyle w:val="3"/>
        <w:spacing w:before="0" w:after="0" w:line="360" w:lineRule="auto"/>
        <w:rPr>
          <w:rFonts w:ascii="宋体" w:hAnsi="宋体"/>
          <w:bCs w:val="0"/>
          <w:snapToGrid w:val="0"/>
          <w:color w:val="auto"/>
          <w:highlight w:val="none"/>
        </w:rPr>
      </w:pPr>
      <w:bookmarkStart w:id="523" w:name="_Toc27983289"/>
      <w:bookmarkStart w:id="524" w:name="_Toc9223"/>
      <w:bookmarkStart w:id="525" w:name="_Toc30775"/>
      <w:r>
        <w:rPr>
          <w:rFonts w:ascii="宋体" w:hAnsi="宋体"/>
          <w:b w:val="0"/>
          <w:snapToGrid w:val="0"/>
          <w:color w:val="auto"/>
          <w:highlight w:val="none"/>
        </w:rPr>
        <w:t>1.  评标方法</w:t>
      </w:r>
      <w:bookmarkEnd w:id="523"/>
      <w:bookmarkEnd w:id="524"/>
      <w:bookmarkEnd w:id="525"/>
    </w:p>
    <w:p w14:paraId="76CD7F15">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w:t>
      </w:r>
      <w:r>
        <w:rPr>
          <w:rFonts w:hint="eastAsia" w:ascii="宋体" w:hAnsi="宋体"/>
          <w:color w:val="auto"/>
          <w:spacing w:val="4"/>
          <w:kern w:val="0"/>
          <w:szCs w:val="21"/>
          <w:highlight w:val="none"/>
          <w:lang w:val="en-US" w:eastAsia="zh-CN"/>
        </w:rPr>
        <w:t>投标人</w:t>
      </w:r>
      <w:r>
        <w:rPr>
          <w:rFonts w:hint="eastAsia" w:ascii="宋体" w:hAnsi="宋体"/>
          <w:color w:val="auto"/>
          <w:highlight w:val="none"/>
        </w:rPr>
        <w:t>中按报价由低到高推荐</w:t>
      </w:r>
      <w:r>
        <w:rPr>
          <w:rFonts w:hint="eastAsia" w:ascii="宋体" w:hAnsi="宋体"/>
          <w:color w:val="auto"/>
          <w:highlight w:val="none"/>
          <w:lang w:eastAsia="zh-CN"/>
        </w:rPr>
        <w:t>中标候选人</w:t>
      </w:r>
      <w:r>
        <w:rPr>
          <w:rFonts w:hint="eastAsia" w:ascii="宋体" w:hAnsi="宋体"/>
          <w:color w:val="auto"/>
          <w:highlight w:val="none"/>
        </w:rPr>
        <w:t>，或根据</w:t>
      </w:r>
      <w:r>
        <w:rPr>
          <w:rFonts w:hint="eastAsia" w:ascii="宋体" w:hAnsi="宋体"/>
          <w:color w:val="auto"/>
          <w:highlight w:val="none"/>
          <w:lang w:eastAsia="zh-CN"/>
        </w:rPr>
        <w:t>比选人</w:t>
      </w:r>
      <w:r>
        <w:rPr>
          <w:rFonts w:hint="eastAsia" w:ascii="宋体" w:hAnsi="宋体"/>
          <w:color w:val="auto"/>
          <w:highlight w:val="none"/>
        </w:rPr>
        <w:t>授权直接确定</w:t>
      </w:r>
      <w:r>
        <w:rPr>
          <w:rFonts w:hint="eastAsia" w:ascii="宋体" w:hAnsi="宋体"/>
          <w:color w:val="auto"/>
          <w:highlight w:val="none"/>
          <w:lang w:eastAsia="zh-CN"/>
        </w:rPr>
        <w:t>中标人</w:t>
      </w:r>
      <w:r>
        <w:rPr>
          <w:rFonts w:hint="eastAsia" w:ascii="宋体" w:hAnsi="宋体"/>
          <w:color w:val="auto"/>
          <w:highlight w:val="none"/>
        </w:rPr>
        <w:t>。若出现</w:t>
      </w:r>
      <w:r>
        <w:rPr>
          <w:rFonts w:hint="eastAsia" w:ascii="宋体" w:hAnsi="宋体"/>
          <w:color w:val="auto"/>
          <w:spacing w:val="4"/>
          <w:kern w:val="0"/>
          <w:szCs w:val="21"/>
          <w:highlight w:val="none"/>
          <w:lang w:val="en-US" w:eastAsia="zh-CN"/>
        </w:rPr>
        <w:t>投标人投标报价</w:t>
      </w:r>
      <w:r>
        <w:rPr>
          <w:rFonts w:hint="eastAsia" w:ascii="宋体" w:hAnsi="宋体"/>
          <w:color w:val="auto"/>
          <w:highlight w:val="none"/>
        </w:rPr>
        <w:t>相同的，以评标办法前附表约定的原则确定排序。</w:t>
      </w:r>
    </w:p>
    <w:p w14:paraId="287FF02C">
      <w:pPr>
        <w:pStyle w:val="3"/>
        <w:spacing w:before="0" w:after="0" w:line="360" w:lineRule="auto"/>
        <w:rPr>
          <w:rFonts w:ascii="宋体" w:hAnsi="宋体"/>
          <w:b w:val="0"/>
          <w:snapToGrid w:val="0"/>
          <w:color w:val="auto"/>
          <w:highlight w:val="none"/>
        </w:rPr>
      </w:pPr>
      <w:bookmarkStart w:id="526" w:name="_Toc13704"/>
      <w:bookmarkStart w:id="527" w:name="_Toc31441"/>
      <w:bookmarkStart w:id="528" w:name="_Toc27983290"/>
      <w:r>
        <w:rPr>
          <w:rFonts w:ascii="宋体" w:hAnsi="宋体"/>
          <w:b w:val="0"/>
          <w:snapToGrid w:val="0"/>
          <w:color w:val="auto"/>
          <w:highlight w:val="none"/>
        </w:rPr>
        <w:t>2.  评审标准</w:t>
      </w:r>
      <w:bookmarkEnd w:id="526"/>
      <w:bookmarkEnd w:id="527"/>
      <w:bookmarkEnd w:id="528"/>
    </w:p>
    <w:p w14:paraId="4E0E32B9">
      <w:pPr>
        <w:pStyle w:val="4"/>
        <w:spacing w:before="0" w:after="0" w:line="360" w:lineRule="auto"/>
        <w:rPr>
          <w:rFonts w:ascii="宋体" w:hAnsi="宋体" w:cs="宋体"/>
          <w:color w:val="auto"/>
          <w:sz w:val="21"/>
          <w:szCs w:val="21"/>
          <w:highlight w:val="none"/>
        </w:rPr>
      </w:pPr>
      <w:bookmarkStart w:id="529" w:name="_Toc17188"/>
      <w:bookmarkStart w:id="530" w:name="_Toc27983291"/>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529"/>
      <w:bookmarkEnd w:id="530"/>
    </w:p>
    <w:p w14:paraId="20AF72B6">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14:paraId="4BDD5BE4">
      <w:pPr>
        <w:pStyle w:val="4"/>
        <w:spacing w:before="0" w:after="0" w:line="360" w:lineRule="auto"/>
        <w:rPr>
          <w:rFonts w:ascii="宋体" w:hAnsi="宋体" w:cs="宋体"/>
          <w:color w:val="auto"/>
          <w:sz w:val="21"/>
          <w:szCs w:val="21"/>
          <w:highlight w:val="none"/>
        </w:rPr>
      </w:pPr>
      <w:bookmarkStart w:id="531" w:name="_Toc18763"/>
      <w:bookmarkStart w:id="532" w:name="_Toc27983292"/>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531"/>
      <w:bookmarkEnd w:id="532"/>
    </w:p>
    <w:p w14:paraId="74779737">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取报价排序前</w:t>
      </w:r>
      <w:r>
        <w:rPr>
          <w:rFonts w:hint="eastAsia" w:ascii="宋体" w:hAnsi="宋体" w:cs="宋体"/>
          <w:color w:val="auto"/>
          <w:szCs w:val="21"/>
          <w:highlight w:val="none"/>
          <w:lang w:eastAsia="zh-CN"/>
        </w:rPr>
        <w:t>☑</w:t>
      </w:r>
      <w:r>
        <w:rPr>
          <w:rFonts w:hint="eastAsia" w:ascii="宋体" w:hAnsi="宋体" w:cs="宋体"/>
          <w:color w:val="auto"/>
          <w:szCs w:val="21"/>
          <w:highlight w:val="none"/>
        </w:rPr>
        <w:t>5名（若实际投标人数量小于勾选数量，</w:t>
      </w:r>
      <w:r>
        <w:rPr>
          <w:rFonts w:hint="eastAsia" w:ascii="宋体" w:hAnsi="宋体"/>
          <w:color w:val="auto"/>
          <w:spacing w:val="4"/>
          <w:kern w:val="0"/>
          <w:szCs w:val="21"/>
          <w:highlight w:val="none"/>
        </w:rPr>
        <w:t>则全部纳入）进行符合性审查。符合性审查内容：资格评审、形式评审、响应性评审。</w:t>
      </w:r>
    </w:p>
    <w:p w14:paraId="230ED215">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14:paraId="79E1FC62">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14:paraId="4008B6B8">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14:paraId="3580CDC6">
      <w:pPr>
        <w:pStyle w:val="3"/>
        <w:spacing w:before="0" w:after="0" w:line="360" w:lineRule="auto"/>
        <w:rPr>
          <w:rFonts w:ascii="宋体" w:hAnsi="宋体"/>
          <w:b w:val="0"/>
          <w:snapToGrid w:val="0"/>
          <w:color w:val="auto"/>
          <w:highlight w:val="none"/>
        </w:rPr>
      </w:pPr>
      <w:bookmarkStart w:id="533" w:name="_Toc27983293"/>
      <w:bookmarkStart w:id="534" w:name="_Toc2529"/>
      <w:bookmarkStart w:id="535" w:name="_Toc17371"/>
      <w:r>
        <w:rPr>
          <w:rFonts w:ascii="宋体" w:hAnsi="宋体"/>
          <w:b w:val="0"/>
          <w:snapToGrid w:val="0"/>
          <w:color w:val="auto"/>
          <w:highlight w:val="none"/>
        </w:rPr>
        <w:t>3.  评标程序</w:t>
      </w:r>
      <w:bookmarkEnd w:id="533"/>
      <w:bookmarkEnd w:id="534"/>
      <w:bookmarkEnd w:id="535"/>
    </w:p>
    <w:p w14:paraId="74B722D9">
      <w:pPr>
        <w:pStyle w:val="4"/>
        <w:spacing w:before="0" w:after="0" w:line="360" w:lineRule="auto"/>
        <w:rPr>
          <w:rFonts w:ascii="宋体" w:hAnsi="宋体" w:cs="宋体"/>
          <w:color w:val="auto"/>
          <w:sz w:val="21"/>
          <w:szCs w:val="21"/>
          <w:highlight w:val="none"/>
        </w:rPr>
      </w:pPr>
      <w:bookmarkStart w:id="536" w:name="_Toc27983294"/>
      <w:bookmarkStart w:id="537" w:name="_Toc15789"/>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536"/>
      <w:bookmarkEnd w:id="537"/>
    </w:p>
    <w:p w14:paraId="49D8A192">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的投标文件，按照报价由低到高的顺序排序。</w:t>
      </w:r>
    </w:p>
    <w:p w14:paraId="66CD311F">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当投标报价有算术错误时，评标委员会按以下原则对</w:t>
      </w:r>
      <w:r>
        <w:rPr>
          <w:rFonts w:hint="eastAsia" w:ascii="宋体" w:hAnsi="宋体"/>
          <w:color w:val="auto"/>
          <w:spacing w:val="4"/>
          <w:kern w:val="0"/>
          <w:szCs w:val="21"/>
          <w:highlight w:val="none"/>
          <w:lang w:val="en-US" w:eastAsia="zh-CN"/>
        </w:rPr>
        <w:t>投标报价</w:t>
      </w:r>
      <w:r>
        <w:rPr>
          <w:rFonts w:hint="eastAsia" w:ascii="宋体" w:hAnsi="宋体" w:cs="宋体"/>
          <w:color w:val="auto"/>
          <w:szCs w:val="21"/>
          <w:highlight w:val="none"/>
        </w:rPr>
        <w:t>进行修正，修正的价格经</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书面确认后具有约束力，修正原则如下：</w:t>
      </w:r>
    </w:p>
    <w:p w14:paraId="75EE6B5A">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①</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中的大写金额与小写金额不一致的，以大写金额为准；</w:t>
      </w:r>
    </w:p>
    <w:p w14:paraId="3B424760">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②总价金额与依据单价计算出的结果不一致的，以单价金额为准修正总价（但单价金额小数点有明显错误的除外）；单价金额小数点有明显错误的，以总价为准，对单价予以修正；</w:t>
      </w:r>
    </w:p>
    <w:p w14:paraId="209E732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③</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文件规定的其他关于修正的要求。</w:t>
      </w:r>
    </w:p>
    <w:p w14:paraId="42C5F111">
      <w:pPr>
        <w:pStyle w:val="4"/>
        <w:spacing w:before="0" w:after="0" w:line="360" w:lineRule="auto"/>
        <w:rPr>
          <w:rFonts w:ascii="宋体" w:hAnsi="宋体" w:cs="宋体"/>
          <w:color w:val="auto"/>
          <w:sz w:val="21"/>
          <w:szCs w:val="21"/>
          <w:highlight w:val="none"/>
        </w:rPr>
      </w:pPr>
      <w:bookmarkStart w:id="538" w:name="_Toc27983295"/>
      <w:bookmarkStart w:id="539" w:name="_Toc13714"/>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538"/>
      <w:bookmarkEnd w:id="539"/>
    </w:p>
    <w:p w14:paraId="100B7181">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进行符合性审查。符合性审查顺序：资格评审、形式评审、响应性评审。</w:t>
      </w:r>
    </w:p>
    <w:p w14:paraId="409A219C">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勾选技术方案评审的，符合性审查应首先进行技术方案暗标审查，再按照资格、形式、响应性的顺序进行评审。有一项不符合评审标准的，作</w:t>
      </w:r>
      <w:r>
        <w:rPr>
          <w:rFonts w:hint="eastAsia" w:ascii="宋体" w:hAnsi="宋体" w:cs="宋体"/>
          <w:color w:val="auto"/>
          <w:szCs w:val="21"/>
          <w:highlight w:val="none"/>
          <w:lang w:eastAsia="zh-CN"/>
        </w:rPr>
        <w:t>否决投标</w:t>
      </w:r>
      <w:r>
        <w:rPr>
          <w:rFonts w:hint="eastAsia" w:ascii="宋体" w:hAnsi="宋体" w:cs="宋体"/>
          <w:color w:val="auto"/>
          <w:szCs w:val="21"/>
          <w:highlight w:val="none"/>
        </w:rPr>
        <w:t>处理。</w:t>
      </w:r>
    </w:p>
    <w:p w14:paraId="3ACA7108">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 xml:space="preserve">.2 </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有以下情形之一的，</w:t>
      </w:r>
      <w:r>
        <w:rPr>
          <w:rFonts w:hint="eastAsia" w:ascii="宋体" w:hAnsi="宋体" w:cs="宋体"/>
          <w:color w:val="auto"/>
          <w:szCs w:val="21"/>
          <w:highlight w:val="none"/>
        </w:rPr>
        <w:t>其</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将被否决：</w:t>
      </w:r>
    </w:p>
    <w:p w14:paraId="232451AB">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）第二章“</w:t>
      </w:r>
      <w:r>
        <w:rPr>
          <w:rFonts w:hint="eastAsia" w:ascii="宋体" w:hAnsi="宋体"/>
          <w:color w:val="auto"/>
          <w:spacing w:val="4"/>
          <w:kern w:val="0"/>
          <w:szCs w:val="21"/>
          <w:highlight w:val="none"/>
          <w:lang w:val="en-US" w:eastAsia="zh-CN"/>
        </w:rPr>
        <w:t>投标人</w:t>
      </w:r>
      <w:r>
        <w:rPr>
          <w:rFonts w:ascii="宋体" w:hAnsi="宋体" w:cs="宋体"/>
          <w:color w:val="auto"/>
          <w:szCs w:val="21"/>
          <w:highlight w:val="none"/>
        </w:rPr>
        <w:t>须知”第1.4.</w:t>
      </w:r>
      <w:r>
        <w:rPr>
          <w:rFonts w:hint="eastAsia" w:ascii="宋体" w:hAnsi="宋体" w:cs="宋体"/>
          <w:color w:val="auto"/>
          <w:szCs w:val="21"/>
          <w:highlight w:val="none"/>
          <w:lang w:val="en-US" w:eastAsia="zh-CN"/>
        </w:rPr>
        <w:t>2</w:t>
      </w:r>
      <w:r>
        <w:rPr>
          <w:rFonts w:ascii="宋体" w:hAnsi="宋体" w:cs="宋体"/>
          <w:color w:val="auto"/>
          <w:szCs w:val="21"/>
          <w:highlight w:val="none"/>
        </w:rPr>
        <w:t xml:space="preserve">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14:paraId="653AF8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）串通投标或弄虚作假或有其他违法行为的</w:t>
      </w:r>
      <w:r>
        <w:rPr>
          <w:rFonts w:hint="eastAsia" w:ascii="宋体" w:hAnsi="宋体" w:cs="宋体"/>
          <w:color w:val="auto"/>
          <w:szCs w:val="21"/>
          <w:highlight w:val="none"/>
        </w:rPr>
        <w:t>。</w:t>
      </w:r>
    </w:p>
    <w:p w14:paraId="7B7F330E">
      <w:pPr>
        <w:pStyle w:val="4"/>
        <w:spacing w:before="0" w:after="0" w:line="360" w:lineRule="auto"/>
        <w:rPr>
          <w:rFonts w:ascii="宋体" w:hAnsi="宋体" w:cs="宋体"/>
          <w:color w:val="auto"/>
          <w:sz w:val="21"/>
          <w:szCs w:val="21"/>
          <w:highlight w:val="none"/>
        </w:rPr>
      </w:pPr>
      <w:bookmarkStart w:id="540" w:name="_Toc30770"/>
      <w:bookmarkStart w:id="541" w:name="_Toc27983296"/>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lang w:eastAsia="zh-CN"/>
        </w:rPr>
        <w:t>投标文件</w:t>
      </w:r>
      <w:r>
        <w:rPr>
          <w:rFonts w:hint="eastAsia" w:ascii="宋体" w:hAnsi="宋体" w:cs="宋体"/>
          <w:color w:val="auto"/>
          <w:sz w:val="21"/>
          <w:szCs w:val="21"/>
          <w:highlight w:val="none"/>
        </w:rPr>
        <w:t>的澄清和补正</w:t>
      </w:r>
      <w:bookmarkEnd w:id="540"/>
      <w:bookmarkEnd w:id="541"/>
    </w:p>
    <w:p w14:paraId="4C0CBCD2">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对所提交</w:t>
      </w:r>
      <w:r>
        <w:rPr>
          <w:rFonts w:hint="eastAsia" w:ascii="宋体" w:hAnsi="宋体"/>
          <w:color w:val="auto"/>
          <w:spacing w:val="4"/>
          <w:kern w:val="0"/>
          <w:szCs w:val="21"/>
          <w:highlight w:val="none"/>
          <w:lang w:val="en-US" w:eastAsia="zh-CN"/>
        </w:rPr>
        <w:t>投标文件</w:t>
      </w:r>
      <w:r>
        <w:rPr>
          <w:rFonts w:hint="eastAsia" w:ascii="宋体" w:hAnsi="宋体" w:cs="宋体"/>
          <w:color w:val="auto"/>
          <w:szCs w:val="21"/>
          <w:highlight w:val="none"/>
        </w:rPr>
        <w:t>中不明确的内容进行书面澄清或说明，或者对细微偏差进行补正。评标委员会不接受</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主动提出的澄清、说明或补正。</w:t>
      </w:r>
    </w:p>
    <w:p w14:paraId="4C871C6B">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的书面澄清、说明和补正属于投标文件的组成部分。</w:t>
      </w:r>
    </w:p>
    <w:p w14:paraId="5C823A4F">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提交的澄清、说明或补正有疑问的，可以要求</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进一步澄清、说明或补正，直至满足评标委员会的要求。</w:t>
      </w:r>
    </w:p>
    <w:p w14:paraId="2D14EDFC">
      <w:pPr>
        <w:pStyle w:val="4"/>
        <w:spacing w:before="0" w:after="0" w:line="360" w:lineRule="auto"/>
        <w:rPr>
          <w:rFonts w:ascii="宋体" w:hAnsi="宋体" w:cs="宋体"/>
          <w:color w:val="auto"/>
          <w:sz w:val="21"/>
          <w:szCs w:val="21"/>
          <w:highlight w:val="none"/>
        </w:rPr>
      </w:pPr>
      <w:bookmarkStart w:id="542" w:name="_Toc479262406"/>
      <w:bookmarkStart w:id="543" w:name="_Toc27983297"/>
      <w:bookmarkStart w:id="544" w:name="_Toc484465184"/>
      <w:bookmarkStart w:id="545" w:name="_Toc17623"/>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542"/>
      <w:bookmarkEnd w:id="543"/>
      <w:bookmarkEnd w:id="544"/>
      <w:bookmarkEnd w:id="545"/>
    </w:p>
    <w:p w14:paraId="5F905FA2">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w:t>
      </w:r>
      <w:r>
        <w:rPr>
          <w:rFonts w:hint="eastAsia" w:ascii="宋体" w:hAnsi="宋体"/>
          <w:color w:val="auto"/>
          <w:spacing w:val="4"/>
          <w:kern w:val="0"/>
          <w:szCs w:val="21"/>
          <w:highlight w:val="none"/>
          <w:lang w:val="en-US" w:eastAsia="zh-CN"/>
        </w:rPr>
        <w:t>投标人</w:t>
      </w:r>
      <w:r>
        <w:rPr>
          <w:rFonts w:hint="eastAsia" w:ascii="宋体" w:hAnsi="宋体" w:cs="宋体"/>
          <w:color w:val="auto"/>
          <w:szCs w:val="21"/>
          <w:highlight w:val="none"/>
        </w:rPr>
        <w:t>须知”前附表授权直接确定</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外，评标委员会按经评审的最低投标价法推荐</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w:t>
      </w:r>
    </w:p>
    <w:p w14:paraId="7C946E62">
      <w:pPr>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w:t>
      </w:r>
      <w:r>
        <w:rPr>
          <w:rFonts w:hint="eastAsia" w:ascii="宋体" w:hAnsi="宋体" w:cs="宋体"/>
          <w:color w:val="auto"/>
          <w:szCs w:val="21"/>
          <w:highlight w:val="none"/>
          <w:lang w:eastAsia="zh-CN"/>
        </w:rPr>
        <w:t>中标候选人</w:t>
      </w:r>
      <w:r>
        <w:rPr>
          <w:rFonts w:hint="eastAsia" w:ascii="宋体" w:hAnsi="宋体" w:cs="宋体"/>
          <w:color w:val="auto"/>
          <w:szCs w:val="21"/>
          <w:highlight w:val="none"/>
        </w:rPr>
        <w:t>名单。</w:t>
      </w:r>
    </w:p>
    <w:p w14:paraId="6A82CC0F">
      <w:pPr>
        <w:spacing w:before="0" w:after="0" w:line="240" w:lineRule="auto"/>
        <w:jc w:val="left"/>
        <w:outlineLvl w:val="9"/>
        <w:rPr>
          <w:rFonts w:ascii="宋体" w:hAnsi="宋体"/>
          <w:b/>
          <w:bCs/>
          <w:color w:val="auto"/>
          <w:kern w:val="28"/>
          <w:sz w:val="28"/>
          <w:szCs w:val="28"/>
          <w:highlight w:val="none"/>
        </w:rPr>
      </w:pPr>
      <w:r>
        <w:rPr>
          <w:rFonts w:hint="eastAsia" w:ascii="宋体"/>
          <w:color w:val="auto"/>
          <w:kern w:val="0"/>
          <w:highlight w:val="none"/>
        </w:rPr>
        <w:br w:type="page"/>
      </w:r>
      <w:r>
        <w:rPr>
          <w:rFonts w:hint="eastAsia" w:ascii="宋体"/>
          <w:color w:val="auto"/>
          <w:kern w:val="0"/>
          <w:highlight w:val="none"/>
          <w:lang w:val="en-US" w:eastAsia="zh-CN"/>
        </w:rPr>
        <w:t xml:space="preserve">                               </w:t>
      </w:r>
      <w:r>
        <w:rPr>
          <w:rFonts w:hint="eastAsia" w:ascii="宋体" w:hAnsi="宋体"/>
          <w:b/>
          <w:bCs/>
          <w:color w:val="auto"/>
          <w:kern w:val="28"/>
          <w:sz w:val="28"/>
          <w:szCs w:val="28"/>
          <w:highlight w:val="none"/>
        </w:rPr>
        <w:t>否决投标情况一览表</w:t>
      </w:r>
    </w:p>
    <w:p w14:paraId="3681F034">
      <w:pPr>
        <w:spacing w:before="240" w:after="60" w:line="400" w:lineRule="exact"/>
        <w:rPr>
          <w:rFonts w:ascii="宋体" w:hAnsi="宋体"/>
          <w:bCs/>
          <w:color w:val="auto"/>
          <w:kern w:val="28"/>
          <w:sz w:val="24"/>
          <w:szCs w:val="32"/>
          <w:highlight w:val="none"/>
        </w:rPr>
      </w:pPr>
      <w:r>
        <w:rPr>
          <w:rFonts w:hint="eastAsia" w:ascii="宋体" w:hAnsi="宋体"/>
          <w:bCs/>
          <w:color w:val="auto"/>
          <w:kern w:val="28"/>
          <w:sz w:val="24"/>
          <w:szCs w:val="32"/>
          <w:highlight w:val="none"/>
        </w:rPr>
        <w:t>本次招标将所有资格审查标准以及评标标准（或方法）等在此集中，未集中的其他内容均不得作为评标依据或</w:t>
      </w:r>
      <w:r>
        <w:rPr>
          <w:rFonts w:ascii="宋体" w:hAnsi="宋体"/>
          <w:bCs/>
          <w:color w:val="auto"/>
          <w:kern w:val="28"/>
          <w:sz w:val="24"/>
          <w:szCs w:val="32"/>
          <w:highlight w:val="none"/>
        </w:rPr>
        <w:t>否决投标依据</w:t>
      </w:r>
      <w:r>
        <w:rPr>
          <w:rFonts w:hint="eastAsia" w:ascii="宋体" w:hAnsi="宋体"/>
          <w:bCs/>
          <w:color w:val="auto"/>
          <w:kern w:val="28"/>
          <w:sz w:val="24"/>
          <w:szCs w:val="32"/>
          <w:highlight w:val="none"/>
        </w:rPr>
        <w:t>。</w:t>
      </w:r>
    </w:p>
    <w:tbl>
      <w:tblPr>
        <w:tblStyle w:val="49"/>
        <w:tblW w:w="87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7"/>
        <w:gridCol w:w="1979"/>
        <w:gridCol w:w="5473"/>
      </w:tblGrid>
      <w:tr w14:paraId="3599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6" w:hRule="atLeast"/>
        </w:trPr>
        <w:tc>
          <w:tcPr>
            <w:tcW w:w="1307" w:type="dxa"/>
            <w:vAlign w:val="center"/>
          </w:tcPr>
          <w:p w14:paraId="536C6C9D">
            <w:pPr>
              <w:spacing w:line="276" w:lineRule="auto"/>
              <w:jc w:val="center"/>
              <w:rPr>
                <w:rFonts w:ascii="宋体" w:hAnsi="宋体"/>
                <w:b/>
                <w:color w:val="auto"/>
                <w:szCs w:val="21"/>
                <w:highlight w:val="none"/>
              </w:rPr>
            </w:pPr>
            <w:r>
              <w:rPr>
                <w:rFonts w:hint="eastAsia" w:ascii="宋体" w:hAnsi="宋体"/>
                <w:b/>
                <w:color w:val="auto"/>
                <w:szCs w:val="21"/>
                <w:highlight w:val="none"/>
              </w:rPr>
              <w:t>招标文件章节号</w:t>
            </w:r>
          </w:p>
        </w:tc>
        <w:tc>
          <w:tcPr>
            <w:tcW w:w="1979" w:type="dxa"/>
            <w:vAlign w:val="center"/>
          </w:tcPr>
          <w:p w14:paraId="5C4762C3">
            <w:pPr>
              <w:spacing w:line="276" w:lineRule="auto"/>
              <w:jc w:val="center"/>
              <w:rPr>
                <w:rFonts w:ascii="宋体" w:hAnsi="宋体"/>
                <w:b/>
                <w:color w:val="auto"/>
                <w:szCs w:val="21"/>
                <w:highlight w:val="none"/>
              </w:rPr>
            </w:pPr>
            <w:r>
              <w:rPr>
                <w:rFonts w:hint="eastAsia" w:ascii="宋体" w:hAnsi="宋体"/>
                <w:b/>
                <w:color w:val="auto"/>
                <w:szCs w:val="21"/>
                <w:highlight w:val="none"/>
              </w:rPr>
              <w:t>条款名称</w:t>
            </w:r>
          </w:p>
        </w:tc>
        <w:tc>
          <w:tcPr>
            <w:tcW w:w="5473" w:type="dxa"/>
            <w:vAlign w:val="center"/>
          </w:tcPr>
          <w:p w14:paraId="68260984">
            <w:pPr>
              <w:spacing w:line="360" w:lineRule="auto"/>
              <w:jc w:val="center"/>
              <w:rPr>
                <w:rFonts w:ascii="宋体" w:hAnsi="宋体"/>
                <w:b/>
                <w:color w:val="auto"/>
                <w:szCs w:val="21"/>
                <w:highlight w:val="none"/>
              </w:rPr>
            </w:pPr>
            <w:r>
              <w:rPr>
                <w:rFonts w:hint="eastAsia" w:ascii="宋体" w:hAnsi="宋体"/>
                <w:b/>
                <w:color w:val="auto"/>
                <w:szCs w:val="21"/>
                <w:highlight w:val="none"/>
              </w:rPr>
              <w:t>否决投标条件</w:t>
            </w:r>
          </w:p>
        </w:tc>
      </w:tr>
      <w:tr w14:paraId="3A120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3" w:hRule="atLeast"/>
        </w:trPr>
        <w:tc>
          <w:tcPr>
            <w:tcW w:w="1307" w:type="dxa"/>
            <w:vAlign w:val="center"/>
          </w:tcPr>
          <w:p w14:paraId="10A288DA">
            <w:pPr>
              <w:snapToGrid w:val="0"/>
              <w:spacing w:line="27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第二章1.4.1</w:t>
            </w:r>
          </w:p>
        </w:tc>
        <w:tc>
          <w:tcPr>
            <w:tcW w:w="1979" w:type="dxa"/>
            <w:vAlign w:val="center"/>
          </w:tcPr>
          <w:p w14:paraId="58A6E282">
            <w:pPr>
              <w:snapToGrid w:val="0"/>
              <w:spacing w:line="276" w:lineRule="auto"/>
              <w:jc w:val="center"/>
              <w:rPr>
                <w:rFonts w:hint="eastAsia" w:ascii="宋体" w:hAnsi="宋体" w:eastAsia="宋体" w:cs="宋体"/>
                <w:color w:val="auto"/>
                <w:kern w:val="0"/>
                <w:szCs w:val="21"/>
                <w:highlight w:val="none"/>
                <w:lang w:eastAsia="zh-CN"/>
              </w:rPr>
            </w:pPr>
            <w:r>
              <w:rPr>
                <w:rFonts w:ascii="宋体" w:hAnsi="宋体"/>
                <w:b w:val="0"/>
                <w:bCs/>
                <w:color w:val="auto"/>
                <w:szCs w:val="21"/>
                <w:highlight w:val="none"/>
              </w:rPr>
              <w:t>资质</w:t>
            </w:r>
            <w:r>
              <w:rPr>
                <w:rFonts w:hint="eastAsia" w:ascii="宋体" w:hAnsi="宋体"/>
                <w:b w:val="0"/>
                <w:bCs/>
                <w:color w:val="auto"/>
                <w:szCs w:val="21"/>
                <w:highlight w:val="none"/>
              </w:rPr>
              <w:t>要求及</w:t>
            </w:r>
            <w:r>
              <w:rPr>
                <w:rFonts w:ascii="宋体" w:hAnsi="宋体"/>
                <w:b w:val="0"/>
                <w:bCs/>
                <w:color w:val="auto"/>
                <w:szCs w:val="21"/>
                <w:highlight w:val="none"/>
              </w:rPr>
              <w:t>营业执照</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质量及保供</w:t>
            </w:r>
            <w:r>
              <w:rPr>
                <w:rFonts w:hint="eastAsia" w:ascii="宋体" w:hAnsi="宋体"/>
                <w:b w:val="0"/>
                <w:bCs/>
                <w:color w:val="auto"/>
                <w:szCs w:val="21"/>
                <w:highlight w:val="none"/>
                <w:lang w:eastAsia="zh-CN"/>
              </w:rPr>
              <w:t>要求</w:t>
            </w:r>
            <w:r>
              <w:rPr>
                <w:rFonts w:hint="eastAsia" w:ascii="宋体" w:hAnsi="宋体"/>
                <w:snapToGrid w:val="0"/>
                <w:color w:val="auto"/>
                <w:kern w:val="0"/>
                <w:szCs w:val="21"/>
                <w:highlight w:val="none"/>
                <w:lang w:eastAsia="zh-CN"/>
              </w:rPr>
              <w:t>、</w:t>
            </w:r>
            <w:r>
              <w:rPr>
                <w:rFonts w:hint="eastAsia" w:ascii="宋体" w:hAnsi="宋体"/>
                <w:b w:val="0"/>
                <w:bCs/>
                <w:color w:val="auto"/>
                <w:szCs w:val="21"/>
                <w:highlight w:val="none"/>
                <w:lang w:val="en-US" w:eastAsia="zh-CN"/>
              </w:rPr>
              <w:t>财务能力</w:t>
            </w:r>
            <w:r>
              <w:rPr>
                <w:rFonts w:ascii="宋体" w:hAnsi="宋体"/>
                <w:b w:val="0"/>
                <w:bCs/>
                <w:color w:val="auto"/>
                <w:szCs w:val="21"/>
                <w:highlight w:val="none"/>
              </w:rPr>
              <w:t>要求</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供货</w:t>
            </w:r>
            <w:r>
              <w:rPr>
                <w:rFonts w:ascii="宋体" w:hAnsi="宋体"/>
                <w:b w:val="0"/>
                <w:bCs/>
                <w:color w:val="auto"/>
                <w:szCs w:val="21"/>
                <w:highlight w:val="none"/>
              </w:rPr>
              <w:t>业绩要求</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质量能力要求、</w:t>
            </w:r>
            <w:r>
              <w:rPr>
                <w:rFonts w:hint="eastAsia" w:ascii="宋体" w:hAnsi="宋体"/>
                <w:color w:val="auto"/>
                <w:spacing w:val="4"/>
                <w:kern w:val="0"/>
                <w:szCs w:val="21"/>
                <w:highlight w:val="none"/>
                <w:lang w:val="en-US" w:eastAsia="zh-CN"/>
              </w:rPr>
              <w:t>投标截止</w:t>
            </w:r>
            <w:r>
              <w:rPr>
                <w:rFonts w:hint="eastAsia" w:ascii="宋体" w:hAnsi="宋体" w:cs="宋体"/>
                <w:color w:val="auto"/>
                <w:szCs w:val="21"/>
                <w:highlight w:val="none"/>
              </w:rPr>
              <w:t>日投标资格</w:t>
            </w:r>
            <w:r>
              <w:rPr>
                <w:rFonts w:hint="eastAsia" w:ascii="宋体" w:hAnsi="宋体" w:cs="宋体"/>
                <w:color w:val="auto"/>
                <w:szCs w:val="21"/>
                <w:highlight w:val="none"/>
                <w:lang w:eastAsia="zh-CN"/>
              </w:rPr>
              <w:t>、</w:t>
            </w:r>
            <w:r>
              <w:rPr>
                <w:rFonts w:hint="eastAsia" w:ascii="宋体" w:hAnsi="宋体" w:cs="宋体"/>
                <w:color w:val="auto"/>
                <w:kern w:val="0"/>
                <w:highlight w:val="none"/>
              </w:rPr>
              <w:t>其他要求</w:t>
            </w:r>
          </w:p>
        </w:tc>
        <w:tc>
          <w:tcPr>
            <w:tcW w:w="5473" w:type="dxa"/>
            <w:vAlign w:val="center"/>
          </w:tcPr>
          <w:p w14:paraId="5E0854E0">
            <w:pPr>
              <w:autoSpaceDE w:val="0"/>
              <w:autoSpaceDN w:val="0"/>
              <w:adjustRightInd w:val="0"/>
              <w:jc w:val="left"/>
              <w:rPr>
                <w:color w:val="auto"/>
                <w:kern w:val="0"/>
                <w:szCs w:val="21"/>
                <w:highlight w:val="none"/>
              </w:rPr>
            </w:pPr>
            <w:r>
              <w:rPr>
                <w:rFonts w:hint="eastAsia" w:ascii="宋体" w:hAnsi="宋体"/>
                <w:color w:val="auto"/>
                <w:szCs w:val="21"/>
                <w:highlight w:val="none"/>
              </w:rPr>
              <w:t>投标人须满足招标文件第二章投标人须知前附表1.4.1要求，否则投标文件按否决投标处理。</w:t>
            </w:r>
          </w:p>
        </w:tc>
      </w:tr>
      <w:tr w14:paraId="53E92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07" w:type="dxa"/>
            <w:vAlign w:val="center"/>
          </w:tcPr>
          <w:p w14:paraId="454C6FC6">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74EC6B03">
            <w:pPr>
              <w:spacing w:line="276" w:lineRule="auto"/>
              <w:jc w:val="center"/>
              <w:rPr>
                <w:rFonts w:ascii="宋体" w:hAnsi="宋体"/>
                <w:color w:val="auto"/>
                <w:szCs w:val="21"/>
                <w:highlight w:val="none"/>
              </w:rPr>
            </w:pPr>
            <w:r>
              <w:rPr>
                <w:rFonts w:hint="eastAsia" w:ascii="宋体" w:hAnsi="宋体"/>
                <w:color w:val="auto"/>
                <w:szCs w:val="21"/>
                <w:highlight w:val="none"/>
              </w:rPr>
              <w:t>1.4.</w:t>
            </w:r>
            <w:r>
              <w:rPr>
                <w:rFonts w:ascii="宋体" w:hAnsi="宋体"/>
                <w:color w:val="auto"/>
                <w:szCs w:val="21"/>
                <w:highlight w:val="none"/>
              </w:rPr>
              <w:t>3</w:t>
            </w:r>
          </w:p>
        </w:tc>
        <w:tc>
          <w:tcPr>
            <w:tcW w:w="1979" w:type="dxa"/>
            <w:vAlign w:val="center"/>
          </w:tcPr>
          <w:p w14:paraId="4ADC1F92">
            <w:pPr>
              <w:spacing w:line="276" w:lineRule="auto"/>
              <w:jc w:val="center"/>
              <w:rPr>
                <w:rFonts w:ascii="宋体" w:hAnsi="宋体"/>
                <w:color w:val="auto"/>
                <w:szCs w:val="21"/>
                <w:highlight w:val="none"/>
              </w:rPr>
            </w:pPr>
            <w:r>
              <w:rPr>
                <w:rFonts w:hint="eastAsia" w:cs="宋体"/>
                <w:color w:val="auto"/>
                <w:szCs w:val="21"/>
                <w:highlight w:val="none"/>
              </w:rPr>
              <w:t>投标人不得存在的其他关联情形</w:t>
            </w:r>
          </w:p>
        </w:tc>
        <w:tc>
          <w:tcPr>
            <w:tcW w:w="5473" w:type="dxa"/>
            <w:tcBorders>
              <w:top w:val="single" w:color="auto" w:sz="4" w:space="0"/>
            </w:tcBorders>
            <w:vAlign w:val="center"/>
          </w:tcPr>
          <w:p w14:paraId="4BDF2BD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w:t>
            </w:r>
            <w:r>
              <w:rPr>
                <w:rFonts w:ascii="宋体" w:hAnsi="宋体"/>
                <w:color w:val="auto"/>
                <w:szCs w:val="21"/>
                <w:highlight w:val="none"/>
              </w:rPr>
              <w:t>人不得</w:t>
            </w:r>
            <w:r>
              <w:rPr>
                <w:rFonts w:hint="eastAsia" w:ascii="宋体" w:hAnsi="宋体"/>
                <w:color w:val="auto"/>
                <w:szCs w:val="21"/>
                <w:highlight w:val="none"/>
              </w:rPr>
              <w:t>存在</w:t>
            </w:r>
            <w:r>
              <w:rPr>
                <w:rFonts w:ascii="宋体" w:hAnsi="宋体"/>
                <w:color w:val="auto"/>
                <w:szCs w:val="21"/>
                <w:highlight w:val="none"/>
              </w:rPr>
              <w:t>投标人须知前附表第二章</w:t>
            </w:r>
            <w:r>
              <w:rPr>
                <w:rFonts w:hint="eastAsia" w:ascii="宋体" w:hAnsi="宋体"/>
                <w:color w:val="auto"/>
                <w:szCs w:val="21"/>
                <w:highlight w:val="none"/>
              </w:rPr>
              <w:t>1.4.3和第二章</w:t>
            </w:r>
            <w:r>
              <w:rPr>
                <w:rFonts w:ascii="宋体" w:hAnsi="宋体"/>
                <w:color w:val="auto"/>
                <w:szCs w:val="21"/>
                <w:highlight w:val="none"/>
              </w:rPr>
              <w:t>投标人须知正文</w:t>
            </w:r>
            <w:r>
              <w:rPr>
                <w:rFonts w:hint="eastAsia" w:ascii="宋体" w:hAnsi="宋体"/>
                <w:color w:val="auto"/>
                <w:szCs w:val="21"/>
                <w:highlight w:val="none"/>
              </w:rPr>
              <w:t>1.4.3的</w:t>
            </w:r>
            <w:r>
              <w:rPr>
                <w:rFonts w:ascii="宋体" w:hAnsi="宋体"/>
                <w:color w:val="auto"/>
                <w:szCs w:val="21"/>
                <w:highlight w:val="none"/>
              </w:rPr>
              <w:t>情形，</w:t>
            </w:r>
            <w:r>
              <w:rPr>
                <w:rFonts w:hint="eastAsia" w:ascii="宋体" w:hAnsi="宋体" w:cs="宋体"/>
                <w:color w:val="auto"/>
                <w:szCs w:val="21"/>
                <w:highlight w:val="none"/>
              </w:rPr>
              <w:t>否则投标文件按否决投标处理。</w:t>
            </w:r>
          </w:p>
        </w:tc>
      </w:tr>
      <w:tr w14:paraId="39BCB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2" w:hRule="atLeast"/>
        </w:trPr>
        <w:tc>
          <w:tcPr>
            <w:tcW w:w="1307" w:type="dxa"/>
            <w:vAlign w:val="center"/>
          </w:tcPr>
          <w:p w14:paraId="49406A9C">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4A9E57EB">
            <w:pPr>
              <w:spacing w:line="276" w:lineRule="auto"/>
              <w:jc w:val="center"/>
              <w:rPr>
                <w:rFonts w:ascii="宋体" w:hAnsi="宋体"/>
                <w:color w:val="auto"/>
                <w:szCs w:val="21"/>
                <w:highlight w:val="none"/>
              </w:rPr>
            </w:pPr>
            <w:r>
              <w:rPr>
                <w:rFonts w:hint="eastAsia" w:ascii="宋体" w:hAnsi="宋体"/>
                <w:color w:val="auto"/>
                <w:szCs w:val="21"/>
                <w:highlight w:val="none"/>
              </w:rPr>
              <w:t>3.2</w:t>
            </w:r>
          </w:p>
        </w:tc>
        <w:tc>
          <w:tcPr>
            <w:tcW w:w="1979" w:type="dxa"/>
            <w:vAlign w:val="center"/>
          </w:tcPr>
          <w:p w14:paraId="00D4AFB6">
            <w:pPr>
              <w:spacing w:line="276" w:lineRule="auto"/>
              <w:jc w:val="center"/>
              <w:rPr>
                <w:rFonts w:ascii="宋体" w:hAnsi="宋体"/>
                <w:color w:val="auto"/>
                <w:szCs w:val="21"/>
                <w:highlight w:val="none"/>
              </w:rPr>
            </w:pPr>
            <w:r>
              <w:rPr>
                <w:rFonts w:hint="eastAsia" w:ascii="宋体" w:hAnsi="宋体"/>
                <w:color w:val="auto"/>
                <w:szCs w:val="21"/>
                <w:highlight w:val="none"/>
              </w:rPr>
              <w:t>投标报价</w:t>
            </w:r>
          </w:p>
        </w:tc>
        <w:tc>
          <w:tcPr>
            <w:tcW w:w="5473" w:type="dxa"/>
            <w:tcBorders>
              <w:top w:val="single" w:color="auto" w:sz="4" w:space="0"/>
            </w:tcBorders>
            <w:vAlign w:val="center"/>
          </w:tcPr>
          <w:p w14:paraId="28E6D2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投标人的投标报价不得超过本项目相应的招标最高限价，否则投标文件按否决投标处理。</w:t>
            </w:r>
          </w:p>
          <w:p w14:paraId="3125B2F9">
            <w:pPr>
              <w:spacing w:line="360" w:lineRule="auto"/>
              <w:ind w:firstLine="420" w:firstLineChars="200"/>
              <w:rPr>
                <w:rFonts w:hint="eastAsia" w:ascii="宋体" w:hAnsi="宋体" w:cs="宋体"/>
                <w:color w:val="auto"/>
                <w:szCs w:val="21"/>
                <w:highlight w:val="none"/>
                <w:u w:val="none"/>
              </w:rPr>
            </w:pPr>
            <w:r>
              <w:rPr>
                <w:rFonts w:ascii="宋体" w:hAnsi="宋体" w:cs="宋体"/>
                <w:color w:val="auto"/>
                <w:kern w:val="2"/>
                <w:sz w:val="21"/>
                <w:szCs w:val="21"/>
                <w:highlight w:val="none"/>
              </w:rPr>
              <w:t>投标人的投标文件报价表中的投标报价与投标</w:t>
            </w:r>
            <w:r>
              <w:rPr>
                <w:rFonts w:hint="eastAsia" w:ascii="宋体" w:hAnsi="宋体" w:cs="宋体"/>
                <w:color w:val="auto"/>
                <w:kern w:val="2"/>
                <w:sz w:val="21"/>
                <w:szCs w:val="21"/>
                <w:highlight w:val="none"/>
                <w:lang w:val="en-US" w:eastAsia="zh-CN"/>
              </w:rPr>
              <w:t>函投标</w:t>
            </w:r>
            <w:r>
              <w:rPr>
                <w:rFonts w:ascii="宋体" w:hAnsi="宋体" w:cs="宋体"/>
                <w:color w:val="auto"/>
                <w:kern w:val="2"/>
                <w:sz w:val="21"/>
                <w:szCs w:val="21"/>
                <w:highlight w:val="none"/>
              </w:rPr>
              <w:t>报价应保持一致</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p w14:paraId="6876CFAC">
            <w:pPr>
              <w:spacing w:line="360" w:lineRule="auto"/>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为限制不平衡报价，单个项目报价不得高于最高限价</w:t>
            </w:r>
            <w:r>
              <w:rPr>
                <w:rFonts w:hint="eastAsia" w:ascii="宋体" w:hAnsi="宋体" w:cs="宋体"/>
                <w:color w:val="auto"/>
                <w:szCs w:val="21"/>
                <w:highlight w:val="none"/>
                <w:u w:val="none"/>
                <w:lang w:eastAsia="zh-CN"/>
              </w:rPr>
              <w:t>，</w:t>
            </w:r>
            <w:r>
              <w:rPr>
                <w:rFonts w:ascii="宋体" w:hAnsi="宋体" w:cs="宋体"/>
                <w:color w:val="auto"/>
                <w:szCs w:val="21"/>
                <w:highlight w:val="none"/>
                <w:u w:val="none"/>
              </w:rPr>
              <w:t>否则，其投标文件将被否决</w:t>
            </w:r>
            <w:r>
              <w:rPr>
                <w:rFonts w:hint="eastAsia" w:ascii="宋体" w:hAnsi="宋体" w:cs="宋体"/>
                <w:color w:val="auto"/>
                <w:szCs w:val="21"/>
                <w:highlight w:val="none"/>
                <w:u w:val="none"/>
              </w:rPr>
              <w:t>。</w:t>
            </w:r>
          </w:p>
        </w:tc>
      </w:tr>
      <w:tr w14:paraId="28D12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07" w:type="dxa"/>
            <w:vAlign w:val="center"/>
          </w:tcPr>
          <w:p w14:paraId="6C6A6ED6">
            <w:pPr>
              <w:spacing w:line="276" w:lineRule="auto"/>
              <w:jc w:val="center"/>
              <w:rPr>
                <w:rFonts w:ascii="宋体" w:hAnsi="宋体"/>
                <w:color w:val="auto"/>
                <w:szCs w:val="21"/>
                <w:highlight w:val="none"/>
              </w:rPr>
            </w:pPr>
            <w:r>
              <w:rPr>
                <w:rFonts w:hint="eastAsia" w:ascii="宋体" w:hAnsi="宋体"/>
                <w:color w:val="auto"/>
                <w:szCs w:val="21"/>
                <w:highlight w:val="none"/>
              </w:rPr>
              <w:t>第二章3.4.1</w:t>
            </w:r>
          </w:p>
        </w:tc>
        <w:tc>
          <w:tcPr>
            <w:tcW w:w="1979" w:type="dxa"/>
            <w:vAlign w:val="center"/>
          </w:tcPr>
          <w:p w14:paraId="65E35819">
            <w:pPr>
              <w:spacing w:line="276" w:lineRule="auto"/>
              <w:jc w:val="center"/>
              <w:rPr>
                <w:rFonts w:ascii="宋体" w:hAnsi="宋体"/>
                <w:color w:val="auto"/>
                <w:szCs w:val="21"/>
                <w:highlight w:val="none"/>
              </w:rPr>
            </w:pPr>
            <w:r>
              <w:rPr>
                <w:rFonts w:hint="eastAsia" w:ascii="宋体" w:hAnsi="宋体"/>
                <w:color w:val="auto"/>
                <w:szCs w:val="21"/>
                <w:highlight w:val="none"/>
              </w:rPr>
              <w:t>投标保证金</w:t>
            </w:r>
          </w:p>
        </w:tc>
        <w:tc>
          <w:tcPr>
            <w:tcW w:w="5473" w:type="dxa"/>
            <w:vAlign w:val="center"/>
          </w:tcPr>
          <w:p w14:paraId="3608D145">
            <w:pPr>
              <w:tabs>
                <w:tab w:val="left" w:pos="546"/>
                <w:tab w:val="left" w:pos="711"/>
              </w:tabs>
              <w:spacing w:line="360" w:lineRule="auto"/>
              <w:ind w:firstLine="420" w:firstLineChars="200"/>
              <w:rPr>
                <w:rFonts w:ascii="宋体" w:hAnsi="宋体" w:cs="宋体"/>
                <w:bCs/>
                <w:snapToGrid w:val="0"/>
                <w:color w:val="auto"/>
                <w:kern w:val="0"/>
                <w:szCs w:val="21"/>
                <w:highlight w:val="none"/>
              </w:rPr>
            </w:pPr>
            <w:r>
              <w:rPr>
                <w:rFonts w:hint="eastAsia" w:ascii="宋体" w:hAnsi="宋体" w:cs="MingLiU"/>
                <w:snapToGrid w:val="0"/>
                <w:color w:val="auto"/>
                <w:kern w:val="0"/>
                <w:szCs w:val="21"/>
                <w:highlight w:val="none"/>
              </w:rPr>
              <w:t>投标人应按</w:t>
            </w:r>
            <w:r>
              <w:rPr>
                <w:rFonts w:hint="eastAsia" w:ascii="宋体" w:hAnsi="宋体" w:cs="宋体"/>
                <w:color w:val="auto"/>
                <w:szCs w:val="21"/>
                <w:highlight w:val="none"/>
              </w:rPr>
              <w:t>招标文件第二章投标人须知前附表</w:t>
            </w:r>
            <w:r>
              <w:rPr>
                <w:rFonts w:hint="eastAsia" w:ascii="宋体" w:hAnsi="宋体" w:cs="MingLiU"/>
                <w:snapToGrid w:val="0"/>
                <w:color w:val="auto"/>
                <w:kern w:val="0"/>
                <w:szCs w:val="21"/>
                <w:highlight w:val="none"/>
              </w:rPr>
              <w:t>规定缴纳投标保证金</w:t>
            </w:r>
            <w:r>
              <w:rPr>
                <w:rFonts w:hint="eastAsia" w:ascii="宋体" w:hAnsi="宋体" w:cs="宋体"/>
                <w:bCs/>
                <w:snapToGrid w:val="0"/>
                <w:color w:val="auto"/>
                <w:kern w:val="0"/>
                <w:szCs w:val="21"/>
                <w:highlight w:val="none"/>
              </w:rPr>
              <w:t>，否则其投标文件将视为无效。</w:t>
            </w:r>
          </w:p>
        </w:tc>
      </w:tr>
      <w:tr w14:paraId="39293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1307" w:type="dxa"/>
            <w:vAlign w:val="center"/>
          </w:tcPr>
          <w:p w14:paraId="0902E9F1">
            <w:pPr>
              <w:spacing w:line="276" w:lineRule="auto"/>
              <w:jc w:val="center"/>
              <w:rPr>
                <w:rFonts w:ascii="宋体" w:hAnsi="宋体"/>
                <w:color w:val="auto"/>
                <w:szCs w:val="21"/>
                <w:highlight w:val="none"/>
              </w:rPr>
            </w:pPr>
            <w:r>
              <w:rPr>
                <w:rFonts w:hint="eastAsia" w:ascii="宋体" w:hAnsi="宋体"/>
                <w:color w:val="auto"/>
                <w:szCs w:val="21"/>
                <w:highlight w:val="none"/>
              </w:rPr>
              <w:t>第二章</w:t>
            </w:r>
          </w:p>
          <w:p w14:paraId="3B8B5FF2">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3.7.</w:t>
            </w:r>
            <w:r>
              <w:rPr>
                <w:rFonts w:ascii="宋体" w:hAnsi="宋体" w:cs="宋体"/>
                <w:color w:val="auto"/>
                <w:kern w:val="0"/>
                <w:szCs w:val="21"/>
                <w:highlight w:val="none"/>
              </w:rPr>
              <w:t>4</w:t>
            </w:r>
          </w:p>
        </w:tc>
        <w:tc>
          <w:tcPr>
            <w:tcW w:w="1979" w:type="dxa"/>
            <w:vAlign w:val="center"/>
          </w:tcPr>
          <w:p w14:paraId="71A043E0">
            <w:pPr>
              <w:spacing w:line="276" w:lineRule="auto"/>
              <w:jc w:val="center"/>
              <w:rPr>
                <w:rFonts w:ascii="宋体" w:hAnsi="宋体"/>
                <w:color w:val="auto"/>
                <w:szCs w:val="21"/>
                <w:highlight w:val="none"/>
              </w:rPr>
            </w:pPr>
            <w:r>
              <w:rPr>
                <w:rFonts w:hint="eastAsia" w:ascii="宋体" w:hAnsi="宋体" w:cs="宋体"/>
                <w:color w:val="auto"/>
                <w:kern w:val="0"/>
                <w:szCs w:val="21"/>
                <w:highlight w:val="none"/>
              </w:rPr>
              <w:t>投标文件副本份数及其他要求</w:t>
            </w:r>
          </w:p>
        </w:tc>
        <w:tc>
          <w:tcPr>
            <w:tcW w:w="5473" w:type="dxa"/>
            <w:vAlign w:val="center"/>
          </w:tcPr>
          <w:p w14:paraId="79FA0053">
            <w:pPr>
              <w:autoSpaceDE w:val="0"/>
              <w:autoSpaceDN w:val="0"/>
              <w:adjustRightInd w:val="0"/>
              <w:spacing w:line="360" w:lineRule="auto"/>
              <w:ind w:firstLine="415" w:firstLineChars="198"/>
              <w:rPr>
                <w:rFonts w:ascii="宋体" w:hAnsi="宋体"/>
                <w:color w:val="auto"/>
                <w:szCs w:val="21"/>
                <w:highlight w:val="none"/>
              </w:rPr>
            </w:pPr>
            <w:r>
              <w:rPr>
                <w:rFonts w:hint="eastAsia" w:ascii="宋体" w:hAnsi="宋体" w:cs="宋体"/>
                <w:color w:val="auto"/>
                <w:szCs w:val="21"/>
                <w:highlight w:val="none"/>
              </w:rPr>
              <w:t>投标人</w:t>
            </w:r>
            <w:r>
              <w:rPr>
                <w:rFonts w:ascii="宋体" w:hAnsi="宋体" w:cs="宋体"/>
                <w:color w:val="auto"/>
                <w:szCs w:val="21"/>
                <w:highlight w:val="none"/>
              </w:rPr>
              <w:t>应按第二章投标人须知前附表</w:t>
            </w:r>
            <w:r>
              <w:rPr>
                <w:rFonts w:hint="eastAsia" w:ascii="宋体" w:hAnsi="宋体" w:cs="宋体"/>
                <w:color w:val="auto"/>
                <w:szCs w:val="21"/>
                <w:highlight w:val="none"/>
              </w:rPr>
              <w:t>3.7.4的</w:t>
            </w:r>
            <w:r>
              <w:rPr>
                <w:rFonts w:ascii="宋体" w:hAnsi="宋体" w:cs="宋体"/>
                <w:color w:val="auto"/>
                <w:szCs w:val="21"/>
                <w:highlight w:val="none"/>
              </w:rPr>
              <w:t>要求进行提供</w:t>
            </w:r>
            <w:r>
              <w:rPr>
                <w:rFonts w:hint="eastAsia" w:ascii="宋体" w:hAnsi="宋体"/>
                <w:color w:val="auto"/>
                <w:kern w:val="0"/>
                <w:szCs w:val="21"/>
                <w:highlight w:val="none"/>
              </w:rPr>
              <w:t>，否则投标</w:t>
            </w:r>
            <w:r>
              <w:rPr>
                <w:rFonts w:ascii="宋体" w:hAnsi="宋体"/>
                <w:color w:val="auto"/>
                <w:kern w:val="0"/>
                <w:szCs w:val="21"/>
                <w:highlight w:val="none"/>
              </w:rPr>
              <w:t>文件</w:t>
            </w:r>
            <w:r>
              <w:rPr>
                <w:rFonts w:hint="eastAsia" w:ascii="宋体" w:hAnsi="宋体"/>
                <w:color w:val="auto"/>
                <w:kern w:val="0"/>
                <w:szCs w:val="21"/>
                <w:highlight w:val="none"/>
              </w:rPr>
              <w:t>按否决投标处理。</w:t>
            </w:r>
          </w:p>
        </w:tc>
      </w:tr>
      <w:tr w14:paraId="55AEC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307" w:type="dxa"/>
            <w:vMerge w:val="restart"/>
            <w:vAlign w:val="center"/>
          </w:tcPr>
          <w:p w14:paraId="7AD4AAF6">
            <w:pPr>
              <w:spacing w:line="276" w:lineRule="auto"/>
              <w:jc w:val="center"/>
              <w:rPr>
                <w:rFonts w:ascii="宋体" w:hAnsi="宋体"/>
                <w:color w:val="auto"/>
                <w:szCs w:val="21"/>
                <w:highlight w:val="none"/>
              </w:rPr>
            </w:pPr>
            <w:r>
              <w:rPr>
                <w:rFonts w:hint="eastAsia" w:ascii="宋体" w:hAnsi="宋体"/>
                <w:color w:val="auto"/>
                <w:szCs w:val="21"/>
                <w:highlight w:val="none"/>
              </w:rPr>
              <w:t>第三章</w:t>
            </w:r>
          </w:p>
          <w:p w14:paraId="78BDFAC0">
            <w:pPr>
              <w:spacing w:line="276" w:lineRule="auto"/>
              <w:jc w:val="center"/>
              <w:rPr>
                <w:rFonts w:ascii="宋体" w:hAnsi="宋体"/>
                <w:color w:val="auto"/>
                <w:szCs w:val="21"/>
                <w:highlight w:val="none"/>
              </w:rPr>
            </w:pPr>
            <w:r>
              <w:rPr>
                <w:rFonts w:hint="eastAsia" w:ascii="宋体" w:hAnsi="宋体"/>
                <w:color w:val="auto"/>
                <w:szCs w:val="21"/>
                <w:highlight w:val="none"/>
              </w:rPr>
              <w:t>评标方法</w:t>
            </w:r>
          </w:p>
        </w:tc>
        <w:tc>
          <w:tcPr>
            <w:tcW w:w="1979" w:type="dxa"/>
            <w:vAlign w:val="center"/>
          </w:tcPr>
          <w:p w14:paraId="3A6F8FF2">
            <w:pPr>
              <w:spacing w:line="276" w:lineRule="auto"/>
              <w:jc w:val="center"/>
              <w:rPr>
                <w:rFonts w:hint="eastAsia" w:ascii="宋体" w:hAnsi="宋体" w:eastAsia="宋体"/>
                <w:color w:val="auto"/>
                <w:szCs w:val="21"/>
                <w:highlight w:val="none"/>
                <w:lang w:val="en-US" w:eastAsia="zh-CN"/>
              </w:rPr>
            </w:pPr>
            <w:r>
              <w:rPr>
                <w:rFonts w:hint="eastAsia" w:ascii="宋体" w:hAnsi="宋体"/>
                <w:color w:val="auto"/>
                <w:szCs w:val="21"/>
                <w:highlight w:val="none"/>
              </w:rPr>
              <w:t>2.</w:t>
            </w:r>
            <w:r>
              <w:rPr>
                <w:rFonts w:hint="eastAsia" w:ascii="宋体" w:hAnsi="宋体"/>
                <w:color w:val="auto"/>
                <w:szCs w:val="21"/>
                <w:highlight w:val="none"/>
                <w:lang w:val="en-US" w:eastAsia="zh-CN"/>
              </w:rPr>
              <w:t>2</w:t>
            </w:r>
          </w:p>
        </w:tc>
        <w:tc>
          <w:tcPr>
            <w:tcW w:w="5473" w:type="dxa"/>
            <w:vAlign w:val="center"/>
          </w:tcPr>
          <w:p w14:paraId="2F2E2FAD">
            <w:pPr>
              <w:spacing w:line="360" w:lineRule="auto"/>
              <w:ind w:firstLine="420" w:firstLineChars="200"/>
              <w:rPr>
                <w:rFonts w:ascii="宋体" w:hAnsi="宋体" w:cs="MingLiU"/>
                <w:color w:val="auto"/>
                <w:kern w:val="0"/>
                <w:szCs w:val="21"/>
                <w:highlight w:val="none"/>
              </w:rPr>
            </w:pPr>
            <w:r>
              <w:rPr>
                <w:rFonts w:ascii="宋体" w:hAnsi="宋体"/>
                <w:color w:val="auto"/>
                <w:kern w:val="0"/>
                <w:szCs w:val="21"/>
                <w:highlight w:val="none"/>
              </w:rPr>
              <w:t>评标委员会依据本章第</w:t>
            </w:r>
            <w:r>
              <w:rPr>
                <w:rFonts w:hint="eastAsia" w:ascii="宋体" w:hAnsi="宋体"/>
                <w:color w:val="auto"/>
                <w:kern w:val="0"/>
                <w:szCs w:val="21"/>
                <w:highlight w:val="none"/>
              </w:rPr>
              <w:t>2.</w:t>
            </w:r>
            <w:r>
              <w:rPr>
                <w:rFonts w:hint="eastAsia" w:ascii="宋体" w:hAnsi="宋体"/>
                <w:color w:val="auto"/>
                <w:kern w:val="0"/>
                <w:szCs w:val="21"/>
                <w:highlight w:val="none"/>
                <w:lang w:val="en-US" w:eastAsia="zh-CN"/>
              </w:rPr>
              <w:t>2</w:t>
            </w:r>
            <w:r>
              <w:rPr>
                <w:rFonts w:ascii="宋体" w:hAnsi="宋体"/>
                <w:color w:val="auto"/>
                <w:kern w:val="0"/>
                <w:szCs w:val="21"/>
                <w:highlight w:val="none"/>
              </w:rPr>
              <w:t>款规定的标准对投标文件进行初步评审。有一项不符合评审标准的，</w:t>
            </w:r>
            <w:r>
              <w:rPr>
                <w:rFonts w:hint="eastAsia" w:ascii="宋体" w:hAnsi="宋体"/>
                <w:color w:val="auto"/>
                <w:kern w:val="0"/>
                <w:szCs w:val="21"/>
                <w:highlight w:val="none"/>
              </w:rPr>
              <w:t>评标委员会应否决其投标</w:t>
            </w:r>
            <w:r>
              <w:rPr>
                <w:rFonts w:ascii="宋体" w:hAnsi="宋体"/>
                <w:color w:val="auto"/>
                <w:kern w:val="0"/>
                <w:szCs w:val="21"/>
                <w:highlight w:val="none"/>
              </w:rPr>
              <w:t>。</w:t>
            </w:r>
          </w:p>
        </w:tc>
      </w:tr>
      <w:tr w14:paraId="3444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2" w:hRule="atLeast"/>
        </w:trPr>
        <w:tc>
          <w:tcPr>
            <w:tcW w:w="1307" w:type="dxa"/>
            <w:vMerge w:val="continue"/>
            <w:vAlign w:val="center"/>
          </w:tcPr>
          <w:p w14:paraId="66707CD1">
            <w:pPr>
              <w:spacing w:line="360" w:lineRule="auto"/>
              <w:jc w:val="center"/>
              <w:rPr>
                <w:rFonts w:ascii="宋体" w:hAnsi="宋体"/>
                <w:color w:val="auto"/>
                <w:szCs w:val="21"/>
                <w:highlight w:val="none"/>
              </w:rPr>
            </w:pPr>
          </w:p>
        </w:tc>
        <w:tc>
          <w:tcPr>
            <w:tcW w:w="1979" w:type="dxa"/>
            <w:vAlign w:val="center"/>
          </w:tcPr>
          <w:p w14:paraId="2AD0F6CF">
            <w:pPr>
              <w:spacing w:line="360" w:lineRule="auto"/>
              <w:jc w:val="center"/>
              <w:rPr>
                <w:rFonts w:ascii="宋体" w:hAnsi="宋体"/>
                <w:color w:val="auto"/>
                <w:szCs w:val="21"/>
                <w:highlight w:val="none"/>
              </w:rPr>
            </w:pPr>
            <w:r>
              <w:rPr>
                <w:rFonts w:hint="eastAsia" w:ascii="宋体" w:hAnsi="宋体"/>
                <w:color w:val="auto"/>
                <w:szCs w:val="21"/>
                <w:highlight w:val="none"/>
              </w:rPr>
              <w:t>3.1.3</w:t>
            </w:r>
          </w:p>
        </w:tc>
        <w:tc>
          <w:tcPr>
            <w:tcW w:w="5473" w:type="dxa"/>
            <w:vAlign w:val="center"/>
          </w:tcPr>
          <w:p w14:paraId="1DB31F2A">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投标报价有算术错误的，评标委员会按</w:t>
            </w:r>
            <w:r>
              <w:rPr>
                <w:rFonts w:hint="eastAsia" w:ascii="宋体" w:hAnsi="宋体" w:cs="MingLiU"/>
                <w:color w:val="auto"/>
                <w:kern w:val="0"/>
                <w:szCs w:val="21"/>
                <w:highlight w:val="none"/>
              </w:rPr>
              <w:t>招标文件规定的</w:t>
            </w:r>
            <w:r>
              <w:rPr>
                <w:rFonts w:ascii="宋体" w:hAnsi="宋体"/>
                <w:color w:val="auto"/>
                <w:kern w:val="0"/>
                <w:szCs w:val="21"/>
                <w:highlight w:val="none"/>
              </w:rPr>
              <w:t>原则对投标报价进行修正，修正的价格经投标人书面确认后具有约束力。投标人</w:t>
            </w:r>
            <w:r>
              <w:rPr>
                <w:rFonts w:hint="eastAsia" w:ascii="宋体" w:hAnsi="宋体"/>
                <w:color w:val="auto"/>
                <w:kern w:val="0"/>
                <w:szCs w:val="21"/>
                <w:highlight w:val="none"/>
              </w:rPr>
              <w:t>拒绝</w:t>
            </w:r>
            <w:r>
              <w:rPr>
                <w:rFonts w:ascii="宋体" w:hAnsi="宋体"/>
                <w:color w:val="auto"/>
                <w:kern w:val="0"/>
                <w:szCs w:val="21"/>
                <w:highlight w:val="none"/>
              </w:rPr>
              <w:t>确认算术性修正后的报价或</w:t>
            </w:r>
            <w:r>
              <w:rPr>
                <w:rFonts w:hint="eastAsia" w:ascii="宋体" w:hAnsi="宋体"/>
                <w:color w:val="auto"/>
                <w:kern w:val="0"/>
                <w:szCs w:val="21"/>
                <w:highlight w:val="none"/>
              </w:rPr>
              <w:t>修正后的最终投标报价超过相应的项目最高限价和最高总限价</w:t>
            </w:r>
            <w:r>
              <w:rPr>
                <w:rFonts w:ascii="宋体" w:hAnsi="宋体"/>
                <w:color w:val="auto"/>
                <w:kern w:val="0"/>
                <w:szCs w:val="21"/>
                <w:highlight w:val="none"/>
              </w:rPr>
              <w:t>，</w:t>
            </w:r>
            <w:r>
              <w:rPr>
                <w:rFonts w:hint="eastAsia" w:ascii="宋体" w:hAnsi="宋体"/>
                <w:color w:val="auto"/>
                <w:kern w:val="0"/>
                <w:szCs w:val="21"/>
                <w:highlight w:val="none"/>
              </w:rPr>
              <w:t>评标委员会应否决其投标。</w:t>
            </w:r>
          </w:p>
        </w:tc>
      </w:tr>
      <w:tr w14:paraId="7EF5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1307" w:type="dxa"/>
            <w:vAlign w:val="center"/>
          </w:tcPr>
          <w:p w14:paraId="3E37C938">
            <w:pPr>
              <w:spacing w:line="360" w:lineRule="auto"/>
              <w:jc w:val="center"/>
              <w:rPr>
                <w:rFonts w:ascii="宋体" w:hAnsi="宋体"/>
                <w:color w:val="auto"/>
                <w:szCs w:val="21"/>
                <w:highlight w:val="none"/>
              </w:rPr>
            </w:pPr>
            <w:r>
              <w:rPr>
                <w:rFonts w:hint="eastAsia" w:ascii="宋体" w:hAnsi="宋体"/>
                <w:color w:val="auto"/>
                <w:szCs w:val="21"/>
                <w:highlight w:val="none"/>
              </w:rPr>
              <w:t>其他</w:t>
            </w:r>
          </w:p>
        </w:tc>
        <w:tc>
          <w:tcPr>
            <w:tcW w:w="7452" w:type="dxa"/>
            <w:gridSpan w:val="2"/>
            <w:vAlign w:val="center"/>
          </w:tcPr>
          <w:p w14:paraId="35848905">
            <w:pPr>
              <w:spacing w:line="360" w:lineRule="auto"/>
              <w:ind w:firstLine="420" w:firstLineChars="200"/>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无</w:t>
            </w:r>
          </w:p>
        </w:tc>
      </w:tr>
    </w:tbl>
    <w:p w14:paraId="6B5C99DA">
      <w:pPr>
        <w:pStyle w:val="3"/>
        <w:rPr>
          <w:rFonts w:hint="eastAsia"/>
          <w:color w:val="auto"/>
          <w:highlight w:val="none"/>
        </w:rPr>
      </w:pPr>
    </w:p>
    <w:p w14:paraId="534CF120">
      <w:pPr>
        <w:rPr>
          <w:color w:val="auto"/>
          <w:highlight w:val="none"/>
        </w:rPr>
      </w:pPr>
    </w:p>
    <w:p w14:paraId="13BA0254">
      <w:pPr>
        <w:pStyle w:val="2"/>
        <w:spacing w:line="360" w:lineRule="auto"/>
        <w:jc w:val="center"/>
        <w:rPr>
          <w:rFonts w:ascii="宋体" w:hAnsi="宋体"/>
          <w:color w:val="auto"/>
          <w:kern w:val="0"/>
          <w:highlight w:val="none"/>
        </w:rPr>
      </w:pPr>
      <w:bookmarkStart w:id="546" w:name="_Toc20627"/>
      <w:bookmarkStart w:id="547" w:name="_Toc509218785"/>
      <w:bookmarkStart w:id="548" w:name="_Toc6468"/>
      <w:bookmarkStart w:id="549" w:name="_Toc430530509"/>
      <w:r>
        <w:rPr>
          <w:rFonts w:hint="eastAsia" w:ascii="宋体" w:hAnsi="宋体"/>
          <w:color w:val="auto"/>
          <w:kern w:val="0"/>
          <w:highlight w:val="none"/>
        </w:rPr>
        <w:t>第四章  合同条款及格式</w:t>
      </w:r>
      <w:bookmarkEnd w:id="546"/>
      <w:bookmarkEnd w:id="547"/>
      <w:bookmarkEnd w:id="548"/>
      <w:bookmarkEnd w:id="549"/>
    </w:p>
    <w:p w14:paraId="4DD943CD">
      <w:pPr>
        <w:rPr>
          <w:rFonts w:ascii="宋体" w:hAnsi="宋体"/>
          <w:color w:val="auto"/>
          <w:sz w:val="44"/>
          <w:szCs w:val="44"/>
          <w:highlight w:val="none"/>
        </w:rPr>
      </w:pPr>
      <w:r>
        <w:rPr>
          <w:rFonts w:ascii="宋体" w:hAnsi="宋体"/>
          <w:color w:val="auto"/>
          <w:highlight w:val="none"/>
        </w:rPr>
        <w:br w:type="page"/>
      </w:r>
      <w:bookmarkStart w:id="550" w:name="_Toc351203480"/>
      <w:bookmarkStart w:id="551" w:name="_Toc296503025"/>
      <w:bookmarkStart w:id="552" w:name="_Toc296890982"/>
    </w:p>
    <w:p w14:paraId="2964F281">
      <w:pPr>
        <w:wordWrap w:val="0"/>
        <w:spacing w:line="400" w:lineRule="exact"/>
        <w:ind w:right="560"/>
        <w:rPr>
          <w:rFonts w:ascii="Times New Roman" w:hAnsi="Times New Roman" w:cs="Times New Roman"/>
          <w:b/>
          <w:color w:val="auto"/>
          <w:sz w:val="28"/>
          <w:szCs w:val="28"/>
          <w:highlight w:val="none"/>
        </w:rPr>
      </w:pPr>
      <w:bookmarkStart w:id="553" w:name="_Toc4652"/>
      <w:bookmarkStart w:id="554" w:name="_Toc32184"/>
      <w:bookmarkStart w:id="555" w:name="_Toc5384"/>
      <w:bookmarkStart w:id="556" w:name="_Toc7044"/>
      <w:bookmarkStart w:id="557" w:name="_Toc17462"/>
      <w:bookmarkStart w:id="558" w:name="_Toc6126"/>
      <w:bookmarkStart w:id="559" w:name="_Toc5094"/>
      <w:bookmarkStart w:id="560" w:name="_Toc351203632"/>
      <w:r>
        <w:rPr>
          <w:rFonts w:hint="eastAsia" w:ascii="Times New Roman" w:hAnsi="Times New Roman" w:cs="Times New Roman"/>
          <w:b/>
          <w:color w:val="auto"/>
          <w:sz w:val="28"/>
          <w:szCs w:val="28"/>
          <w:highlight w:val="none"/>
        </w:rPr>
        <w:t>合同编号：</w:t>
      </w:r>
    </w:p>
    <w:p w14:paraId="6F72E672">
      <w:pPr>
        <w:wordWrap w:val="0"/>
        <w:spacing w:line="400" w:lineRule="exact"/>
        <w:ind w:right="560"/>
        <w:rPr>
          <w:rFonts w:ascii="Times New Roman" w:hAnsi="Times New Roman" w:cs="Times New Roman"/>
          <w:b/>
          <w:color w:val="auto"/>
          <w:sz w:val="28"/>
          <w:szCs w:val="28"/>
          <w:highlight w:val="none"/>
        </w:rPr>
      </w:pPr>
    </w:p>
    <w:p w14:paraId="635B38C6">
      <w:pPr>
        <w:spacing w:line="400" w:lineRule="exact"/>
        <w:jc w:val="center"/>
        <w:rPr>
          <w:rFonts w:ascii="Times New Roman" w:hAnsi="Times New Roman" w:cs="Times New Roman"/>
          <w:bCs/>
          <w:color w:val="auto"/>
          <w:sz w:val="44"/>
          <w:szCs w:val="48"/>
          <w:highlight w:val="none"/>
          <w:u w:val="single"/>
        </w:rPr>
      </w:pPr>
    </w:p>
    <w:p w14:paraId="395177F9">
      <w:pPr>
        <w:spacing w:line="400" w:lineRule="exact"/>
        <w:jc w:val="center"/>
        <w:rPr>
          <w:rFonts w:ascii="Times New Roman" w:hAnsi="Times New Roman" w:cs="Times New Roman"/>
          <w:bCs/>
          <w:color w:val="auto"/>
          <w:sz w:val="44"/>
          <w:szCs w:val="48"/>
          <w:highlight w:val="none"/>
          <w:u w:val="single"/>
        </w:rPr>
      </w:pPr>
    </w:p>
    <w:p w14:paraId="1184B376">
      <w:pPr>
        <w:spacing w:line="400" w:lineRule="exact"/>
        <w:jc w:val="center"/>
        <w:rPr>
          <w:rFonts w:ascii="Times New Roman" w:hAnsi="Times New Roman" w:cs="Times New Roman"/>
          <w:bCs/>
          <w:color w:val="auto"/>
          <w:sz w:val="44"/>
          <w:szCs w:val="48"/>
          <w:highlight w:val="none"/>
          <w:u w:val="single"/>
        </w:rPr>
      </w:pPr>
    </w:p>
    <w:p w14:paraId="62D2414A">
      <w:pPr>
        <w:spacing w:line="400" w:lineRule="exact"/>
        <w:jc w:val="center"/>
        <w:rPr>
          <w:rFonts w:ascii="Times New Roman" w:hAnsi="Times New Roman" w:cs="Times New Roman"/>
          <w:bCs/>
          <w:color w:val="auto"/>
          <w:sz w:val="44"/>
          <w:szCs w:val="48"/>
          <w:highlight w:val="none"/>
          <w:u w:val="single"/>
        </w:rPr>
      </w:pPr>
    </w:p>
    <w:p w14:paraId="3FD0E764">
      <w:pPr>
        <w:spacing w:line="400" w:lineRule="exact"/>
        <w:jc w:val="center"/>
        <w:rPr>
          <w:rFonts w:ascii="Times New Roman" w:hAnsi="Times New Roman" w:cs="Times New Roman"/>
          <w:bCs/>
          <w:color w:val="auto"/>
          <w:sz w:val="44"/>
          <w:szCs w:val="48"/>
          <w:highlight w:val="none"/>
          <w:u w:val="single"/>
        </w:rPr>
      </w:pPr>
    </w:p>
    <w:p w14:paraId="7D92409E">
      <w:pPr>
        <w:spacing w:line="400" w:lineRule="exact"/>
        <w:jc w:val="center"/>
        <w:rPr>
          <w:rFonts w:ascii="Times New Roman" w:hAnsi="Times New Roman" w:cs="Times New Roman"/>
          <w:b/>
          <w:color w:val="auto"/>
          <w:sz w:val="44"/>
          <w:szCs w:val="48"/>
          <w:highlight w:val="none"/>
        </w:rPr>
      </w:pPr>
      <w:r>
        <w:rPr>
          <w:rFonts w:hint="eastAsia" w:ascii="Times New Roman" w:hAnsi="Times New Roman" w:cs="Times New Roman"/>
          <w:bCs/>
          <w:color w:val="auto"/>
          <w:sz w:val="24"/>
          <w:szCs w:val="24"/>
          <w:highlight w:val="none"/>
          <w:u w:val="single"/>
        </w:rPr>
        <w:t>（填写全称）</w:t>
      </w:r>
      <w:r>
        <w:rPr>
          <w:rFonts w:hint="eastAsia" w:ascii="Times New Roman" w:hAnsi="Times New Roman" w:cs="Times New Roman"/>
          <w:b/>
          <w:color w:val="auto"/>
          <w:sz w:val="44"/>
          <w:szCs w:val="48"/>
          <w:highlight w:val="none"/>
        </w:rPr>
        <w:t>工程</w:t>
      </w:r>
    </w:p>
    <w:p w14:paraId="76FE306D">
      <w:pPr>
        <w:spacing w:line="400" w:lineRule="exact"/>
        <w:jc w:val="center"/>
        <w:rPr>
          <w:rFonts w:ascii="Times New Roman" w:hAnsi="Times New Roman" w:cs="Times New Roman"/>
          <w:b/>
          <w:color w:val="auto"/>
          <w:sz w:val="36"/>
          <w:szCs w:val="24"/>
          <w:highlight w:val="none"/>
        </w:rPr>
      </w:pPr>
    </w:p>
    <w:p w14:paraId="02C869B9">
      <w:pPr>
        <w:spacing w:line="400" w:lineRule="exact"/>
        <w:jc w:val="center"/>
        <w:rPr>
          <w:rFonts w:ascii="Times New Roman" w:hAnsi="Times New Roman" w:cs="Times New Roman"/>
          <w:b/>
          <w:color w:val="auto"/>
          <w:sz w:val="10"/>
          <w:szCs w:val="10"/>
          <w:highlight w:val="none"/>
        </w:rPr>
      </w:pPr>
      <w:r>
        <w:rPr>
          <w:rFonts w:hint="eastAsia" w:ascii="Times New Roman" w:hAnsi="Times New Roman" w:cs="Times New Roman"/>
          <w:b/>
          <w:color w:val="auto"/>
          <w:sz w:val="36"/>
          <w:szCs w:val="24"/>
          <w:highlight w:val="none"/>
        </w:rPr>
        <w:t>钢材买卖合同</w:t>
      </w:r>
    </w:p>
    <w:p w14:paraId="23F1107C">
      <w:pPr>
        <w:spacing w:line="400" w:lineRule="exact"/>
        <w:jc w:val="center"/>
        <w:rPr>
          <w:rFonts w:ascii="Times New Roman" w:hAnsi="Times New Roman" w:cs="Times New Roman"/>
          <w:b/>
          <w:color w:val="auto"/>
          <w:sz w:val="10"/>
          <w:szCs w:val="10"/>
          <w:highlight w:val="none"/>
        </w:rPr>
      </w:pPr>
    </w:p>
    <w:p w14:paraId="165B2491">
      <w:pPr>
        <w:spacing w:line="400" w:lineRule="exact"/>
        <w:ind w:firstLine="2873" w:firstLineChars="795"/>
        <w:rPr>
          <w:rFonts w:ascii="Times New Roman" w:hAnsi="Times New Roman" w:cs="Times New Roman"/>
          <w:b/>
          <w:color w:val="auto"/>
          <w:sz w:val="36"/>
          <w:szCs w:val="24"/>
          <w:highlight w:val="none"/>
        </w:rPr>
      </w:pPr>
    </w:p>
    <w:p w14:paraId="4D76E8BC">
      <w:pPr>
        <w:spacing w:line="400" w:lineRule="exact"/>
        <w:ind w:firstLine="2873" w:firstLineChars="795"/>
        <w:rPr>
          <w:rFonts w:ascii="Times New Roman" w:hAnsi="Times New Roman" w:cs="Times New Roman"/>
          <w:b/>
          <w:color w:val="auto"/>
          <w:sz w:val="36"/>
          <w:szCs w:val="24"/>
          <w:highlight w:val="none"/>
        </w:rPr>
      </w:pPr>
    </w:p>
    <w:p w14:paraId="4C48F523">
      <w:pPr>
        <w:spacing w:line="400" w:lineRule="exact"/>
        <w:ind w:firstLine="2873" w:firstLineChars="795"/>
        <w:rPr>
          <w:rFonts w:ascii="Times New Roman" w:hAnsi="Times New Roman" w:cs="Times New Roman"/>
          <w:b/>
          <w:color w:val="auto"/>
          <w:sz w:val="36"/>
          <w:szCs w:val="24"/>
          <w:highlight w:val="none"/>
        </w:rPr>
      </w:pPr>
    </w:p>
    <w:p w14:paraId="14A7A23B">
      <w:pPr>
        <w:spacing w:line="400" w:lineRule="exact"/>
        <w:ind w:firstLine="2873" w:firstLineChars="795"/>
        <w:rPr>
          <w:rFonts w:ascii="Times New Roman" w:hAnsi="Times New Roman" w:cs="Times New Roman"/>
          <w:b/>
          <w:color w:val="auto"/>
          <w:sz w:val="36"/>
          <w:szCs w:val="24"/>
          <w:highlight w:val="none"/>
        </w:rPr>
      </w:pPr>
    </w:p>
    <w:p w14:paraId="6639EA80">
      <w:pPr>
        <w:spacing w:line="400" w:lineRule="exact"/>
        <w:ind w:firstLine="2873" w:firstLineChars="795"/>
        <w:rPr>
          <w:rFonts w:ascii="Times New Roman" w:hAnsi="Times New Roman" w:cs="Times New Roman"/>
          <w:b/>
          <w:color w:val="auto"/>
          <w:sz w:val="36"/>
          <w:szCs w:val="24"/>
          <w:highlight w:val="none"/>
        </w:rPr>
      </w:pPr>
    </w:p>
    <w:p w14:paraId="1294DE4E">
      <w:pPr>
        <w:spacing w:line="400" w:lineRule="exact"/>
        <w:ind w:firstLine="2873" w:firstLineChars="795"/>
        <w:rPr>
          <w:rFonts w:ascii="Times New Roman" w:hAnsi="Times New Roman" w:cs="Times New Roman"/>
          <w:b/>
          <w:color w:val="auto"/>
          <w:sz w:val="36"/>
          <w:szCs w:val="24"/>
          <w:highlight w:val="none"/>
        </w:rPr>
      </w:pPr>
    </w:p>
    <w:p w14:paraId="557CAEC4">
      <w:pPr>
        <w:spacing w:line="400" w:lineRule="exact"/>
        <w:ind w:firstLine="2873" w:firstLineChars="795"/>
        <w:rPr>
          <w:rFonts w:ascii="Times New Roman" w:hAnsi="Times New Roman" w:cs="Times New Roman"/>
          <w:b/>
          <w:color w:val="auto"/>
          <w:sz w:val="36"/>
          <w:szCs w:val="24"/>
          <w:highlight w:val="none"/>
        </w:rPr>
      </w:pPr>
    </w:p>
    <w:p w14:paraId="59CED150">
      <w:pPr>
        <w:spacing w:line="400" w:lineRule="exact"/>
        <w:ind w:firstLine="2873" w:firstLineChars="795"/>
        <w:rPr>
          <w:rFonts w:ascii="Times New Roman" w:hAnsi="Times New Roman" w:cs="Times New Roman"/>
          <w:b/>
          <w:color w:val="auto"/>
          <w:sz w:val="36"/>
          <w:szCs w:val="24"/>
          <w:highlight w:val="none"/>
        </w:rPr>
      </w:pPr>
    </w:p>
    <w:p w14:paraId="6897BB22">
      <w:pPr>
        <w:spacing w:line="400" w:lineRule="exact"/>
        <w:ind w:firstLine="2873" w:firstLineChars="795"/>
        <w:rPr>
          <w:rFonts w:ascii="Times New Roman" w:hAnsi="Times New Roman" w:cs="Times New Roman"/>
          <w:b/>
          <w:color w:val="auto"/>
          <w:sz w:val="36"/>
          <w:szCs w:val="24"/>
          <w:highlight w:val="none"/>
        </w:rPr>
      </w:pPr>
    </w:p>
    <w:p w14:paraId="5809ACF0">
      <w:pPr>
        <w:spacing w:line="400" w:lineRule="exact"/>
        <w:ind w:firstLine="2873" w:firstLineChars="795"/>
        <w:rPr>
          <w:rFonts w:ascii="Times New Roman" w:hAnsi="Times New Roman" w:cs="Times New Roman"/>
          <w:b/>
          <w:color w:val="auto"/>
          <w:sz w:val="36"/>
          <w:szCs w:val="24"/>
          <w:highlight w:val="none"/>
        </w:rPr>
      </w:pPr>
    </w:p>
    <w:p w14:paraId="4FD2DEE0">
      <w:pPr>
        <w:spacing w:line="400" w:lineRule="exact"/>
        <w:ind w:firstLine="2873" w:firstLineChars="795"/>
        <w:rPr>
          <w:rFonts w:ascii="Times New Roman" w:hAnsi="Times New Roman" w:cs="Times New Roman"/>
          <w:b/>
          <w:color w:val="auto"/>
          <w:sz w:val="36"/>
          <w:szCs w:val="24"/>
          <w:highlight w:val="none"/>
        </w:rPr>
      </w:pPr>
    </w:p>
    <w:p w14:paraId="5C9780AB">
      <w:pPr>
        <w:spacing w:line="400" w:lineRule="exact"/>
        <w:ind w:firstLine="2873" w:firstLineChars="795"/>
        <w:rPr>
          <w:rFonts w:ascii="Times New Roman" w:hAnsi="Times New Roman" w:cs="Times New Roman"/>
          <w:b/>
          <w:color w:val="auto"/>
          <w:sz w:val="36"/>
          <w:szCs w:val="24"/>
          <w:highlight w:val="none"/>
        </w:rPr>
      </w:pPr>
    </w:p>
    <w:p w14:paraId="19552B33">
      <w:pPr>
        <w:spacing w:line="360" w:lineRule="auto"/>
        <w:jc w:val="left"/>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买方：</w:t>
      </w:r>
    </w:p>
    <w:p w14:paraId="5D457538">
      <w:pPr>
        <w:spacing w:line="360" w:lineRule="auto"/>
        <w:jc w:val="left"/>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卖方：</w:t>
      </w:r>
    </w:p>
    <w:p w14:paraId="25F3AD54">
      <w:pPr>
        <w:spacing w:line="360" w:lineRule="auto"/>
        <w:jc w:val="left"/>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签订地点：</w:t>
      </w:r>
    </w:p>
    <w:p w14:paraId="002376B5">
      <w:pPr>
        <w:spacing w:line="360" w:lineRule="auto"/>
        <w:jc w:val="left"/>
        <w:rPr>
          <w:rFonts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签订时间：   年  月  日</w:t>
      </w:r>
    </w:p>
    <w:p w14:paraId="4D49A8C0">
      <w:pPr>
        <w:tabs>
          <w:tab w:val="left" w:pos="709"/>
        </w:tabs>
        <w:spacing w:line="440" w:lineRule="exact"/>
        <w:jc w:val="both"/>
        <w:rPr>
          <w:rFonts w:ascii="方正小标宋简体" w:hAnsi="宋体" w:eastAsia="方正小标宋简体" w:cs="Arial"/>
          <w:bCs/>
          <w:color w:val="auto"/>
          <w:spacing w:val="60"/>
          <w:kern w:val="0"/>
          <w:sz w:val="36"/>
          <w:szCs w:val="36"/>
          <w:highlight w:val="none"/>
        </w:rPr>
      </w:pPr>
      <w:r>
        <w:rPr>
          <w:rFonts w:hint="eastAsia" w:ascii="方正小标宋简体" w:hAnsi="宋体" w:eastAsia="方正小标宋简体" w:cs="Arial"/>
          <w:bCs/>
          <w:color w:val="auto"/>
          <w:spacing w:val="60"/>
          <w:kern w:val="0"/>
          <w:sz w:val="36"/>
          <w:szCs w:val="36"/>
          <w:highlight w:val="none"/>
        </w:rPr>
        <w:t xml:space="preserve">    </w:t>
      </w:r>
    </w:p>
    <w:p w14:paraId="50C853A9">
      <w:pPr>
        <w:tabs>
          <w:tab w:val="left" w:pos="709"/>
        </w:tabs>
        <w:spacing w:line="440" w:lineRule="exact"/>
        <w:jc w:val="center"/>
        <w:rPr>
          <w:rFonts w:ascii="方正小标宋简体" w:hAnsi="宋体" w:eastAsia="方正小标宋简体" w:cs="Arial"/>
          <w:bCs/>
          <w:color w:val="auto"/>
          <w:spacing w:val="60"/>
          <w:kern w:val="0"/>
          <w:sz w:val="36"/>
          <w:szCs w:val="36"/>
          <w:highlight w:val="none"/>
        </w:rPr>
      </w:pPr>
    </w:p>
    <w:p w14:paraId="1DEAFC29">
      <w:pPr>
        <w:tabs>
          <w:tab w:val="left" w:pos="709"/>
        </w:tabs>
        <w:spacing w:line="440" w:lineRule="exact"/>
        <w:jc w:val="center"/>
        <w:rPr>
          <w:rFonts w:hint="eastAsia" w:ascii="方正小标宋简体" w:hAnsi="宋体" w:eastAsia="方正小标宋简体" w:cs="Arial"/>
          <w:bCs/>
          <w:color w:val="auto"/>
          <w:spacing w:val="60"/>
          <w:kern w:val="0"/>
          <w:sz w:val="36"/>
          <w:szCs w:val="36"/>
          <w:highlight w:val="none"/>
        </w:rPr>
      </w:pPr>
    </w:p>
    <w:p w14:paraId="2871C428">
      <w:pPr>
        <w:tabs>
          <w:tab w:val="left" w:pos="709"/>
        </w:tabs>
        <w:spacing w:line="440" w:lineRule="exact"/>
        <w:jc w:val="center"/>
        <w:rPr>
          <w:rFonts w:hint="eastAsia" w:ascii="方正小标宋简体" w:hAnsi="宋体" w:eastAsia="方正小标宋简体" w:cs="Arial"/>
          <w:bCs/>
          <w:color w:val="auto"/>
          <w:spacing w:val="60"/>
          <w:kern w:val="0"/>
          <w:sz w:val="36"/>
          <w:szCs w:val="36"/>
          <w:highlight w:val="none"/>
        </w:rPr>
      </w:pPr>
    </w:p>
    <w:p w14:paraId="7BFD56CC">
      <w:pPr>
        <w:tabs>
          <w:tab w:val="left" w:pos="709"/>
        </w:tabs>
        <w:spacing w:line="440" w:lineRule="exact"/>
        <w:jc w:val="center"/>
        <w:rPr>
          <w:rFonts w:hint="eastAsia" w:ascii="方正小标宋简体" w:hAnsi="宋体" w:eastAsia="方正小标宋简体" w:cs="Arial"/>
          <w:bCs/>
          <w:color w:val="auto"/>
          <w:spacing w:val="60"/>
          <w:kern w:val="0"/>
          <w:sz w:val="36"/>
          <w:szCs w:val="36"/>
          <w:highlight w:val="none"/>
        </w:rPr>
      </w:pPr>
    </w:p>
    <w:p w14:paraId="425EC677">
      <w:pPr>
        <w:tabs>
          <w:tab w:val="left" w:pos="709"/>
        </w:tabs>
        <w:spacing w:line="440" w:lineRule="exact"/>
        <w:jc w:val="center"/>
        <w:rPr>
          <w:rFonts w:ascii="方正小标宋简体" w:hAnsi="宋体" w:eastAsia="方正小标宋简体" w:cs="Arial"/>
          <w:bCs/>
          <w:color w:val="auto"/>
          <w:spacing w:val="60"/>
          <w:kern w:val="0"/>
          <w:sz w:val="36"/>
          <w:szCs w:val="36"/>
          <w:highlight w:val="none"/>
        </w:rPr>
      </w:pPr>
      <w:r>
        <w:rPr>
          <w:rFonts w:hint="eastAsia" w:ascii="方正小标宋简体" w:hAnsi="宋体" w:eastAsia="方正小标宋简体" w:cs="Arial"/>
          <w:bCs/>
          <w:color w:val="auto"/>
          <w:spacing w:val="60"/>
          <w:kern w:val="0"/>
          <w:sz w:val="36"/>
          <w:szCs w:val="36"/>
          <w:highlight w:val="none"/>
        </w:rPr>
        <w:t>钢材买卖合同</w:t>
      </w:r>
    </w:p>
    <w:p w14:paraId="0F091F72">
      <w:pPr>
        <w:spacing w:line="440" w:lineRule="exact"/>
        <w:jc w:val="center"/>
        <w:rPr>
          <w:rFonts w:ascii="宋体" w:hAnsi="宋体" w:cs="宋体"/>
          <w:bCs/>
          <w:color w:val="auto"/>
          <w:kern w:val="0"/>
          <w:sz w:val="24"/>
          <w:szCs w:val="24"/>
          <w:highlight w:val="none"/>
        </w:rPr>
      </w:pPr>
      <w:r>
        <w:rPr>
          <w:rFonts w:hint="eastAsia" w:ascii="宋体" w:hAnsi="宋体" w:cs="宋体"/>
          <w:bCs/>
          <w:color w:val="auto"/>
          <w:kern w:val="0"/>
          <w:szCs w:val="21"/>
          <w:highlight w:val="none"/>
        </w:rPr>
        <w:t xml:space="preserve">                               </w:t>
      </w:r>
      <w:r>
        <w:rPr>
          <w:rFonts w:hint="eastAsia" w:ascii="宋体" w:hAnsi="宋体" w:cs="宋体"/>
          <w:bCs/>
          <w:color w:val="auto"/>
          <w:kern w:val="0"/>
          <w:sz w:val="24"/>
          <w:szCs w:val="24"/>
          <w:highlight w:val="none"/>
        </w:rPr>
        <w:t xml:space="preserve">   </w:t>
      </w:r>
      <w:r>
        <w:rPr>
          <w:rFonts w:hint="eastAsia" w:ascii="宋体" w:hAnsi="宋体" w:cs="宋体"/>
          <w:bCs/>
          <w:color w:val="auto"/>
          <w:kern w:val="0"/>
          <w:sz w:val="24"/>
          <w:szCs w:val="24"/>
          <w:highlight w:val="none"/>
        </w:rPr>
        <w:t>合同编号：</w:t>
      </w:r>
    </w:p>
    <w:p w14:paraId="70AB505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买方</w:t>
      </w:r>
      <w:r>
        <w:rPr>
          <w:rFonts w:hint="eastAsia" w:ascii="宋体" w:hAnsi="宋体" w:eastAsia="宋体" w:cs="宋体"/>
          <w:bCs/>
          <w:color w:val="auto"/>
          <w:kern w:val="0"/>
          <w:sz w:val="24"/>
          <w:szCs w:val="24"/>
          <w:highlight w:val="none"/>
        </w:rPr>
        <w:t>：（以下简称</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甲方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p>
    <w:p w14:paraId="51313DD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color w:val="auto"/>
          <w:kern w:val="0"/>
          <w:sz w:val="24"/>
          <w:szCs w:val="24"/>
          <w:highlight w:val="none"/>
        </w:rPr>
        <w:t>卖方</w:t>
      </w:r>
      <w:r>
        <w:rPr>
          <w:rFonts w:hint="eastAsia" w:ascii="宋体" w:hAnsi="宋体" w:eastAsia="宋体" w:cs="宋体"/>
          <w:bCs/>
          <w:color w:val="auto"/>
          <w:kern w:val="0"/>
          <w:sz w:val="24"/>
          <w:szCs w:val="24"/>
          <w:highlight w:val="none"/>
        </w:rPr>
        <w:t>：（以下简称</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乙方</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w:t>
      </w:r>
    </w:p>
    <w:p w14:paraId="5AAEE7F9">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根据《中华人民共和国</w:t>
      </w:r>
      <w:r>
        <w:rPr>
          <w:rFonts w:hint="eastAsia" w:ascii="宋体"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》及相关法律法规规定，在平等、自愿、公平和诚实信用的基础上，经双方协商一致，订立本合同。</w:t>
      </w:r>
    </w:p>
    <w:p w14:paraId="7F475511">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第一条 产品的名称、规格、数量、价格等</w:t>
      </w:r>
    </w:p>
    <w:tbl>
      <w:tblPr>
        <w:tblStyle w:val="49"/>
        <w:tblW w:w="9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
        <w:gridCol w:w="751"/>
        <w:gridCol w:w="842"/>
        <w:gridCol w:w="409"/>
        <w:gridCol w:w="478"/>
        <w:gridCol w:w="1058"/>
        <w:gridCol w:w="1014"/>
        <w:gridCol w:w="1011"/>
        <w:gridCol w:w="876"/>
        <w:gridCol w:w="1024"/>
        <w:gridCol w:w="1339"/>
      </w:tblGrid>
      <w:tr w14:paraId="460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1"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11528A2F">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751" w:type="dxa"/>
            <w:tcBorders>
              <w:top w:val="single" w:color="auto" w:sz="4" w:space="0"/>
              <w:left w:val="single" w:color="auto" w:sz="4" w:space="0"/>
              <w:bottom w:val="single" w:color="auto" w:sz="4" w:space="0"/>
              <w:right w:val="single" w:color="auto" w:sz="4" w:space="0"/>
            </w:tcBorders>
            <w:vAlign w:val="center"/>
          </w:tcPr>
          <w:p w14:paraId="7A658D27">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物资名称</w:t>
            </w:r>
          </w:p>
        </w:tc>
        <w:tc>
          <w:tcPr>
            <w:tcW w:w="842" w:type="dxa"/>
            <w:tcBorders>
              <w:top w:val="single" w:color="auto" w:sz="4" w:space="0"/>
              <w:left w:val="single" w:color="auto" w:sz="4" w:space="0"/>
              <w:bottom w:val="single" w:color="auto" w:sz="4" w:space="0"/>
              <w:right w:val="single" w:color="auto" w:sz="4" w:space="0"/>
            </w:tcBorders>
            <w:vAlign w:val="center"/>
          </w:tcPr>
          <w:p w14:paraId="4B7DED5A">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规格</w:t>
            </w:r>
          </w:p>
          <w:p w14:paraId="791EF6B8">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型号</w:t>
            </w:r>
          </w:p>
        </w:tc>
        <w:tc>
          <w:tcPr>
            <w:tcW w:w="409" w:type="dxa"/>
            <w:tcBorders>
              <w:top w:val="single" w:color="auto" w:sz="4" w:space="0"/>
              <w:left w:val="single" w:color="auto" w:sz="4" w:space="0"/>
              <w:bottom w:val="single" w:color="auto" w:sz="4" w:space="0"/>
              <w:right w:val="single" w:color="auto" w:sz="4" w:space="0"/>
            </w:tcBorders>
            <w:vAlign w:val="center"/>
          </w:tcPr>
          <w:p w14:paraId="69BD7EF1">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单位</w:t>
            </w:r>
          </w:p>
        </w:tc>
        <w:tc>
          <w:tcPr>
            <w:tcW w:w="478" w:type="dxa"/>
            <w:tcBorders>
              <w:top w:val="single" w:color="auto" w:sz="4" w:space="0"/>
              <w:left w:val="single" w:color="auto" w:sz="4" w:space="0"/>
              <w:bottom w:val="single" w:color="auto" w:sz="4" w:space="0"/>
              <w:right w:val="single" w:color="auto" w:sz="4" w:space="0"/>
            </w:tcBorders>
            <w:vAlign w:val="center"/>
          </w:tcPr>
          <w:p w14:paraId="5A6F0C30">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数量</w:t>
            </w:r>
          </w:p>
        </w:tc>
        <w:tc>
          <w:tcPr>
            <w:tcW w:w="1058" w:type="dxa"/>
            <w:tcBorders>
              <w:top w:val="single" w:color="auto" w:sz="4" w:space="0"/>
              <w:left w:val="single" w:color="auto" w:sz="4" w:space="0"/>
              <w:bottom w:val="single" w:color="auto" w:sz="4" w:space="0"/>
              <w:right w:val="single" w:color="auto" w:sz="4" w:space="0"/>
            </w:tcBorders>
            <w:vAlign w:val="center"/>
          </w:tcPr>
          <w:p w14:paraId="4AF9340A">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不含增值税单价（元</w:t>
            </w:r>
            <w:r>
              <w:rPr>
                <w:rFonts w:hint="eastAsia" w:ascii="宋体" w:hAnsi="宋体" w:eastAsia="宋体" w:cs="宋体"/>
                <w:bCs/>
                <w:color w:val="auto"/>
                <w:sz w:val="24"/>
                <w:szCs w:val="24"/>
                <w:highlight w:val="none"/>
                <w:lang w:val="en-US" w:eastAsia="zh-CN"/>
              </w:rPr>
              <w:t>/吨</w:t>
            </w:r>
            <w:r>
              <w:rPr>
                <w:rFonts w:hint="eastAsia" w:ascii="宋体" w:hAnsi="宋体" w:eastAsia="宋体" w:cs="宋体"/>
                <w:bCs/>
                <w:color w:val="auto"/>
                <w:sz w:val="24"/>
                <w:szCs w:val="24"/>
                <w:highlight w:val="none"/>
              </w:rPr>
              <w:t>）</w:t>
            </w:r>
          </w:p>
        </w:tc>
        <w:tc>
          <w:tcPr>
            <w:tcW w:w="1014" w:type="dxa"/>
            <w:tcBorders>
              <w:top w:val="single" w:color="auto" w:sz="4" w:space="0"/>
              <w:left w:val="single" w:color="auto" w:sz="4" w:space="0"/>
              <w:bottom w:val="single" w:color="auto" w:sz="4" w:space="0"/>
              <w:right w:val="single" w:color="auto" w:sz="4" w:space="0"/>
            </w:tcBorders>
            <w:vAlign w:val="center"/>
          </w:tcPr>
          <w:p w14:paraId="68E0C6C7">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不含增值税总价（元）</w:t>
            </w:r>
          </w:p>
        </w:tc>
        <w:tc>
          <w:tcPr>
            <w:tcW w:w="1011" w:type="dxa"/>
            <w:tcBorders>
              <w:top w:val="single" w:color="auto" w:sz="4" w:space="0"/>
              <w:left w:val="single" w:color="auto" w:sz="4" w:space="0"/>
              <w:bottom w:val="single" w:color="auto" w:sz="4" w:space="0"/>
              <w:right w:val="single" w:color="auto" w:sz="4" w:space="0"/>
            </w:tcBorders>
            <w:vAlign w:val="center"/>
          </w:tcPr>
          <w:p w14:paraId="50F8AD94">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含增值税单价（元</w:t>
            </w:r>
            <w:r>
              <w:rPr>
                <w:rFonts w:hint="eastAsia" w:ascii="宋体" w:hAnsi="宋体" w:eastAsia="宋体" w:cs="宋体"/>
                <w:bCs/>
                <w:color w:val="auto"/>
                <w:sz w:val="24"/>
                <w:szCs w:val="24"/>
                <w:highlight w:val="none"/>
                <w:lang w:val="en-US" w:eastAsia="zh-CN"/>
              </w:rPr>
              <w:t>/吨</w:t>
            </w:r>
            <w:r>
              <w:rPr>
                <w:rFonts w:hint="eastAsia" w:ascii="宋体" w:hAnsi="宋体" w:eastAsia="宋体" w:cs="宋体"/>
                <w:bCs/>
                <w:color w:val="auto"/>
                <w:sz w:val="24"/>
                <w:szCs w:val="24"/>
                <w:highlight w:val="none"/>
              </w:rPr>
              <w:t>）</w:t>
            </w:r>
          </w:p>
        </w:tc>
        <w:tc>
          <w:tcPr>
            <w:tcW w:w="876" w:type="dxa"/>
            <w:tcBorders>
              <w:top w:val="single" w:color="auto" w:sz="4" w:space="0"/>
              <w:left w:val="single" w:color="auto" w:sz="4" w:space="0"/>
              <w:bottom w:val="single" w:color="auto" w:sz="4" w:space="0"/>
              <w:right w:val="single" w:color="auto" w:sz="4" w:space="0"/>
            </w:tcBorders>
          </w:tcPr>
          <w:p w14:paraId="21FA58D6">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含增值税总价（元）</w:t>
            </w:r>
          </w:p>
        </w:tc>
        <w:tc>
          <w:tcPr>
            <w:tcW w:w="1024" w:type="dxa"/>
            <w:tcBorders>
              <w:top w:val="single" w:color="auto" w:sz="4" w:space="0"/>
              <w:left w:val="single" w:color="auto" w:sz="4" w:space="0"/>
              <w:bottom w:val="single" w:color="auto" w:sz="4" w:space="0"/>
              <w:right w:val="single" w:color="auto" w:sz="4" w:space="0"/>
            </w:tcBorders>
            <w:vAlign w:val="center"/>
          </w:tcPr>
          <w:p w14:paraId="165732AA">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生产厂家</w:t>
            </w:r>
          </w:p>
        </w:tc>
        <w:tc>
          <w:tcPr>
            <w:tcW w:w="1339" w:type="dxa"/>
            <w:tcBorders>
              <w:top w:val="single" w:color="auto" w:sz="4" w:space="0"/>
              <w:left w:val="single" w:color="auto" w:sz="4" w:space="0"/>
              <w:bottom w:val="single" w:color="auto" w:sz="4" w:space="0"/>
              <w:right w:val="single" w:color="auto" w:sz="4" w:space="0"/>
            </w:tcBorders>
            <w:vAlign w:val="center"/>
          </w:tcPr>
          <w:p w14:paraId="16DD502E">
            <w:pPr>
              <w:pageBreakBefore w:val="0"/>
              <w:kinsoku/>
              <w:wordWrap/>
              <w:overflowPunct/>
              <w:topLinePunct w:val="0"/>
              <w:bidi w:val="0"/>
              <w:snapToGrid/>
              <w:spacing w:line="400" w:lineRule="exact"/>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r>
      <w:tr w14:paraId="3EC0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0E322BEE">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751" w:type="dxa"/>
            <w:tcBorders>
              <w:top w:val="single" w:color="auto" w:sz="4" w:space="0"/>
              <w:left w:val="single" w:color="auto" w:sz="4" w:space="0"/>
              <w:bottom w:val="single" w:color="auto" w:sz="4" w:space="0"/>
              <w:right w:val="single" w:color="auto" w:sz="4" w:space="0"/>
            </w:tcBorders>
            <w:vAlign w:val="center"/>
          </w:tcPr>
          <w:p w14:paraId="2D660BE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0C639DF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2CC9392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18ECDA9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7903D2B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489C0A2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0F0F168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2706FEF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7E7AB49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339" w:type="dxa"/>
            <w:vMerge w:val="restart"/>
            <w:tcBorders>
              <w:top w:val="single" w:color="auto" w:sz="4" w:space="0"/>
              <w:left w:val="single" w:color="auto" w:sz="4" w:space="0"/>
              <w:right w:val="single" w:color="auto" w:sz="4" w:space="0"/>
            </w:tcBorders>
            <w:vAlign w:val="center"/>
          </w:tcPr>
          <w:p w14:paraId="37267711">
            <w:pPr>
              <w:pageBreakBefore w:val="0"/>
              <w:kinsoku/>
              <w:wordWrap/>
              <w:overflowPunct/>
              <w:topLinePunct w:val="0"/>
              <w:bidi w:val="0"/>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提示：</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虚拟</w:t>
            </w:r>
            <w:r>
              <w:rPr>
                <w:rFonts w:hint="eastAsia" w:ascii="宋体" w:hAnsi="宋体" w:eastAsia="宋体" w:cs="宋体"/>
                <w:color w:val="auto"/>
                <w:sz w:val="24"/>
                <w:szCs w:val="24"/>
                <w:highlight w:val="none"/>
                <w:lang w:eastAsia="zh-CN"/>
              </w:rPr>
              <w:t>单</w:t>
            </w:r>
            <w:r>
              <w:rPr>
                <w:rFonts w:hint="eastAsia" w:ascii="宋体" w:hAnsi="宋体" w:eastAsia="宋体" w:cs="宋体"/>
                <w:color w:val="auto"/>
                <w:sz w:val="24"/>
                <w:szCs w:val="24"/>
                <w:highlight w:val="none"/>
              </w:rPr>
              <w:t>价为合同草拟时</w:t>
            </w:r>
            <w:r>
              <w:rPr>
                <w:rFonts w:hint="eastAsia" w:ascii="宋体" w:hAnsi="宋体" w:eastAsia="宋体" w:cs="宋体"/>
                <w:color w:val="auto"/>
                <w:sz w:val="24"/>
                <w:szCs w:val="24"/>
                <w:highlight w:val="none"/>
                <w:lang w:eastAsia="zh-CN"/>
              </w:rPr>
              <w:t>前一个工作日的网价。</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表中的单价、总价均为现金结算价。</w:t>
            </w:r>
          </w:p>
        </w:tc>
      </w:tr>
      <w:tr w14:paraId="75F3D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7AF39967">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751" w:type="dxa"/>
            <w:tcBorders>
              <w:top w:val="single" w:color="auto" w:sz="4" w:space="0"/>
              <w:left w:val="single" w:color="auto" w:sz="4" w:space="0"/>
              <w:bottom w:val="single" w:color="auto" w:sz="4" w:space="0"/>
              <w:right w:val="single" w:color="auto" w:sz="4" w:space="0"/>
            </w:tcBorders>
            <w:vAlign w:val="center"/>
          </w:tcPr>
          <w:p w14:paraId="644E34B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1047FFF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780C93C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02DD3F2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3E5724C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212E632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703441B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612EDF8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7F64607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339" w:type="dxa"/>
            <w:vMerge w:val="continue"/>
            <w:tcBorders>
              <w:left w:val="single" w:color="auto" w:sz="4" w:space="0"/>
              <w:right w:val="single" w:color="auto" w:sz="4" w:space="0"/>
            </w:tcBorders>
            <w:vAlign w:val="center"/>
          </w:tcPr>
          <w:p w14:paraId="28B0116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r>
      <w:tr w14:paraId="29F0F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28BC8481">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751" w:type="dxa"/>
            <w:tcBorders>
              <w:top w:val="single" w:color="auto" w:sz="4" w:space="0"/>
              <w:left w:val="single" w:color="auto" w:sz="4" w:space="0"/>
              <w:bottom w:val="single" w:color="auto" w:sz="4" w:space="0"/>
              <w:right w:val="single" w:color="auto" w:sz="4" w:space="0"/>
            </w:tcBorders>
            <w:vAlign w:val="center"/>
          </w:tcPr>
          <w:p w14:paraId="67C3145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4423F4C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7F07C89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70CE787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2B3AAA9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396B315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1F444C5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734673D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2FF7930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339" w:type="dxa"/>
            <w:vMerge w:val="continue"/>
            <w:tcBorders>
              <w:left w:val="single" w:color="auto" w:sz="4" w:space="0"/>
              <w:right w:val="single" w:color="auto" w:sz="4" w:space="0"/>
            </w:tcBorders>
            <w:vAlign w:val="center"/>
          </w:tcPr>
          <w:p w14:paraId="46349F8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r>
      <w:tr w14:paraId="660F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73" w:type="dxa"/>
            <w:tcBorders>
              <w:top w:val="single" w:color="auto" w:sz="4" w:space="0"/>
              <w:left w:val="single" w:color="auto" w:sz="4" w:space="0"/>
              <w:bottom w:val="single" w:color="auto" w:sz="4" w:space="0"/>
              <w:right w:val="single" w:color="auto" w:sz="4" w:space="0"/>
            </w:tcBorders>
            <w:vAlign w:val="center"/>
          </w:tcPr>
          <w:p w14:paraId="2B63F9A8">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751" w:type="dxa"/>
            <w:tcBorders>
              <w:top w:val="single" w:color="auto" w:sz="4" w:space="0"/>
              <w:left w:val="single" w:color="auto" w:sz="4" w:space="0"/>
              <w:bottom w:val="single" w:color="auto" w:sz="4" w:space="0"/>
              <w:right w:val="single" w:color="auto" w:sz="4" w:space="0"/>
            </w:tcBorders>
            <w:vAlign w:val="center"/>
          </w:tcPr>
          <w:p w14:paraId="7B6E1A9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42" w:type="dxa"/>
            <w:tcBorders>
              <w:top w:val="single" w:color="auto" w:sz="4" w:space="0"/>
              <w:left w:val="single" w:color="auto" w:sz="4" w:space="0"/>
              <w:bottom w:val="single" w:color="auto" w:sz="4" w:space="0"/>
              <w:right w:val="single" w:color="auto" w:sz="4" w:space="0"/>
            </w:tcBorders>
            <w:vAlign w:val="center"/>
          </w:tcPr>
          <w:p w14:paraId="2391E88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7D33A26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4CCE1B2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62BB58E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796535F2">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12BFE89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2997871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6B0FC0E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339" w:type="dxa"/>
            <w:vMerge w:val="continue"/>
            <w:tcBorders>
              <w:left w:val="single" w:color="auto" w:sz="4" w:space="0"/>
              <w:right w:val="single" w:color="auto" w:sz="4" w:space="0"/>
            </w:tcBorders>
            <w:vAlign w:val="center"/>
          </w:tcPr>
          <w:p w14:paraId="0289217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r>
      <w:tr w14:paraId="1D9E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1124" w:type="dxa"/>
            <w:gridSpan w:val="2"/>
            <w:tcBorders>
              <w:top w:val="single" w:color="auto" w:sz="4" w:space="0"/>
              <w:left w:val="single" w:color="auto" w:sz="4" w:space="0"/>
              <w:bottom w:val="single" w:color="auto" w:sz="4" w:space="0"/>
              <w:right w:val="single" w:color="auto" w:sz="4" w:space="0"/>
            </w:tcBorders>
            <w:vAlign w:val="center"/>
          </w:tcPr>
          <w:p w14:paraId="0DAC4DF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小计</w:t>
            </w:r>
          </w:p>
        </w:tc>
        <w:tc>
          <w:tcPr>
            <w:tcW w:w="842" w:type="dxa"/>
            <w:tcBorders>
              <w:top w:val="single" w:color="auto" w:sz="4" w:space="0"/>
              <w:left w:val="single" w:color="auto" w:sz="4" w:space="0"/>
              <w:bottom w:val="single" w:color="auto" w:sz="4" w:space="0"/>
              <w:right w:val="single" w:color="auto" w:sz="4" w:space="0"/>
            </w:tcBorders>
            <w:vAlign w:val="center"/>
          </w:tcPr>
          <w:p w14:paraId="1DB27E2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09" w:type="dxa"/>
            <w:tcBorders>
              <w:top w:val="single" w:color="auto" w:sz="4" w:space="0"/>
              <w:left w:val="single" w:color="auto" w:sz="4" w:space="0"/>
              <w:bottom w:val="single" w:color="auto" w:sz="4" w:space="0"/>
              <w:right w:val="single" w:color="auto" w:sz="4" w:space="0"/>
            </w:tcBorders>
            <w:vAlign w:val="center"/>
          </w:tcPr>
          <w:p w14:paraId="5E2E803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478" w:type="dxa"/>
            <w:tcBorders>
              <w:top w:val="single" w:color="auto" w:sz="4" w:space="0"/>
              <w:left w:val="single" w:color="auto" w:sz="4" w:space="0"/>
              <w:bottom w:val="single" w:color="auto" w:sz="4" w:space="0"/>
              <w:right w:val="single" w:color="auto" w:sz="4" w:space="0"/>
            </w:tcBorders>
            <w:vAlign w:val="center"/>
          </w:tcPr>
          <w:p w14:paraId="3BF44E5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58" w:type="dxa"/>
            <w:tcBorders>
              <w:top w:val="single" w:color="auto" w:sz="4" w:space="0"/>
              <w:left w:val="single" w:color="auto" w:sz="4" w:space="0"/>
              <w:bottom w:val="single" w:color="auto" w:sz="4" w:space="0"/>
              <w:right w:val="single" w:color="auto" w:sz="4" w:space="0"/>
            </w:tcBorders>
            <w:vAlign w:val="center"/>
          </w:tcPr>
          <w:p w14:paraId="0CD6003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4" w:type="dxa"/>
            <w:tcBorders>
              <w:top w:val="single" w:color="auto" w:sz="4" w:space="0"/>
              <w:left w:val="single" w:color="auto" w:sz="4" w:space="0"/>
              <w:bottom w:val="single" w:color="auto" w:sz="4" w:space="0"/>
              <w:right w:val="single" w:color="auto" w:sz="4" w:space="0"/>
            </w:tcBorders>
            <w:vAlign w:val="center"/>
          </w:tcPr>
          <w:p w14:paraId="7F95B20E">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11" w:type="dxa"/>
            <w:tcBorders>
              <w:top w:val="single" w:color="auto" w:sz="4" w:space="0"/>
              <w:left w:val="single" w:color="auto" w:sz="4" w:space="0"/>
              <w:bottom w:val="single" w:color="auto" w:sz="4" w:space="0"/>
              <w:right w:val="single" w:color="auto" w:sz="4" w:space="0"/>
            </w:tcBorders>
          </w:tcPr>
          <w:p w14:paraId="62964CD1">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876" w:type="dxa"/>
            <w:tcBorders>
              <w:top w:val="single" w:color="auto" w:sz="4" w:space="0"/>
              <w:left w:val="single" w:color="auto" w:sz="4" w:space="0"/>
              <w:bottom w:val="single" w:color="auto" w:sz="4" w:space="0"/>
              <w:right w:val="single" w:color="auto" w:sz="4" w:space="0"/>
            </w:tcBorders>
          </w:tcPr>
          <w:p w14:paraId="7D4D2DEF">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024" w:type="dxa"/>
            <w:tcBorders>
              <w:top w:val="single" w:color="auto" w:sz="4" w:space="0"/>
              <w:left w:val="single" w:color="auto" w:sz="4" w:space="0"/>
              <w:bottom w:val="single" w:color="auto" w:sz="4" w:space="0"/>
              <w:right w:val="single" w:color="auto" w:sz="4" w:space="0"/>
            </w:tcBorders>
          </w:tcPr>
          <w:p w14:paraId="69D08B7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c>
          <w:tcPr>
            <w:tcW w:w="1339" w:type="dxa"/>
            <w:vMerge w:val="continue"/>
            <w:tcBorders>
              <w:left w:val="single" w:color="auto" w:sz="4" w:space="0"/>
              <w:bottom w:val="single" w:color="auto" w:sz="4" w:space="0"/>
              <w:right w:val="single" w:color="auto" w:sz="4" w:space="0"/>
            </w:tcBorders>
            <w:vAlign w:val="center"/>
          </w:tcPr>
          <w:p w14:paraId="038F279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tc>
      </w:tr>
      <w:tr w14:paraId="75505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9175" w:type="dxa"/>
            <w:gridSpan w:val="11"/>
            <w:tcBorders>
              <w:top w:val="single" w:color="auto" w:sz="4" w:space="0"/>
              <w:left w:val="single" w:color="auto" w:sz="4" w:space="0"/>
              <w:bottom w:val="single" w:color="auto" w:sz="4" w:space="0"/>
              <w:right w:val="single" w:color="auto" w:sz="4" w:space="0"/>
            </w:tcBorders>
          </w:tcPr>
          <w:p w14:paraId="47A59F75">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增值税税率为   %，增值税额：    元。</w:t>
            </w:r>
          </w:p>
        </w:tc>
      </w:tr>
      <w:tr w14:paraId="4867B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175" w:type="dxa"/>
            <w:gridSpan w:val="11"/>
            <w:tcBorders>
              <w:top w:val="single" w:color="auto" w:sz="4" w:space="0"/>
              <w:left w:val="single" w:color="auto" w:sz="4" w:space="0"/>
              <w:bottom w:val="single" w:color="auto" w:sz="4" w:space="0"/>
              <w:right w:val="single" w:color="auto" w:sz="4" w:space="0"/>
            </w:tcBorders>
          </w:tcPr>
          <w:p w14:paraId="24770BD9">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含增值税总价（大写）：        （小写）：   元。</w:t>
            </w:r>
          </w:p>
        </w:tc>
      </w:tr>
    </w:tbl>
    <w:p w14:paraId="47584AC6">
      <w:pPr>
        <w:pageBreakBefore w:val="0"/>
        <w:kinsoku/>
        <w:wordWrap/>
        <w:overflowPunct/>
        <w:topLinePunct w:val="0"/>
        <w:bidi w:val="0"/>
        <w:snapToGrid/>
        <w:spacing w:line="400" w:lineRule="exact"/>
        <w:ind w:firstLine="600" w:firstLineChars="250"/>
        <w:textAlignment w:val="auto"/>
        <w:rPr>
          <w:rFonts w:hint="eastAsia" w:ascii="宋体" w:hAnsi="宋体" w:eastAsia="宋体" w:cs="宋体"/>
          <w:color w:val="auto"/>
          <w:sz w:val="24"/>
          <w:szCs w:val="24"/>
          <w:highlight w:val="none"/>
        </w:rPr>
      </w:pPr>
    </w:p>
    <w:p w14:paraId="5C07D2B8">
      <w:pPr>
        <w:pageBreakBefore w:val="0"/>
        <w:kinsoku/>
        <w:wordWrap/>
        <w:overflowPunct/>
        <w:topLinePunct w:val="0"/>
        <w:bidi w:val="0"/>
        <w:snapToGrid/>
        <w:spacing w:line="400" w:lineRule="exact"/>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1.1本合同暂定总价（含增值税）   元（大写：人民币   元）。其中，不含增值税价款为   元（大写：  人民币元），增值税税率为 %，增值税  元（大写：人民币   元）。若因国家税务政策变化导致税率调整，</w:t>
      </w:r>
      <w:r>
        <w:rPr>
          <w:rFonts w:hint="eastAsia" w:ascii="宋体" w:hAnsi="宋体" w:cs="宋体"/>
          <w:color w:val="auto"/>
          <w:sz w:val="24"/>
          <w:szCs w:val="24"/>
          <w:highlight w:val="none"/>
          <w:lang w:val="en-US" w:eastAsia="zh-CN"/>
        </w:rPr>
        <w:t>综合费用</w:t>
      </w:r>
      <w:r>
        <w:rPr>
          <w:rFonts w:hint="eastAsia" w:ascii="宋体" w:hAnsi="宋体" w:eastAsia="宋体" w:cs="宋体"/>
          <w:color w:val="auto"/>
          <w:sz w:val="24"/>
          <w:szCs w:val="24"/>
          <w:highlight w:val="none"/>
        </w:rPr>
        <w:t>不含增值税价格不变，具体税金以变更后的税率计算。</w:t>
      </w:r>
    </w:p>
    <w:p w14:paraId="4A0D081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 表中各项价格为虚拟价，仅为计算合同总额使用。结算单价=基准价+综合费用。结算价为乙方运抵甲方指定交货地点的交货价；基准价按到货当日</w:t>
      </w:r>
      <w:r>
        <w:rPr>
          <w:rFonts w:hint="eastAsia" w:ascii="宋体" w:hAnsi="宋体" w:cs="宋体"/>
          <w:color w:val="auto"/>
          <w:kern w:val="0"/>
          <w:sz w:val="24"/>
          <w:szCs w:val="24"/>
          <w:highlight w:val="none"/>
          <w:lang w:val="en-US" w:eastAsia="zh-CN"/>
        </w:rPr>
        <w:t>成</w:t>
      </w:r>
      <w:r>
        <w:rPr>
          <w:rFonts w:hint="eastAsia" w:ascii="宋体" w:hAnsi="宋体" w:eastAsia="宋体" w:cs="宋体"/>
          <w:color w:val="auto"/>
          <w:kern w:val="0"/>
          <w:sz w:val="24"/>
          <w:szCs w:val="24"/>
          <w:highlight w:val="none"/>
          <w:lang w:val="zh-CN"/>
        </w:rPr>
        <w:t>都地区“我的钢铁网”对应焊接钢筋网片规格型号价格进行确定若到货当日未发布网价信息，以最近一次公布的网价为准，若当日对应品牌规格出现多个网价，以第一次发布的网价为准，若该品牌无对应规格网价信息，以投标时确定的厂家及品牌确定价格。综合费用包含产品装吊、捆扎、运输、中转、仓储等到达交货地点前的所有运杂费、保险费、出库费、利润等一切费用。</w:t>
      </w:r>
    </w:p>
    <w:p w14:paraId="2548978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1.3上述数量为暂定量，甲方可根据实际需要进行数量增减。甲方减少数量的，不属于违约；甲方增加数量的，乙方应按合同其他条款执行。</w:t>
      </w:r>
      <w:r>
        <w:rPr>
          <w:rFonts w:hint="eastAsia" w:ascii="宋体" w:hAnsi="宋体" w:eastAsia="宋体" w:cs="宋体"/>
          <w:color w:val="auto"/>
          <w:sz w:val="24"/>
          <w:szCs w:val="24"/>
          <w:highlight w:val="none"/>
        </w:rPr>
        <w:t>结算</w:t>
      </w:r>
      <w:r>
        <w:rPr>
          <w:rFonts w:hint="eastAsia" w:ascii="宋体" w:hAnsi="宋体" w:eastAsia="宋体" w:cs="宋体"/>
          <w:bCs/>
          <w:color w:val="auto"/>
          <w:kern w:val="0"/>
          <w:sz w:val="24"/>
          <w:szCs w:val="24"/>
          <w:highlight w:val="none"/>
        </w:rPr>
        <w:t>以本合同第七条为准。</w:t>
      </w:r>
    </w:p>
    <w:p w14:paraId="3155311C">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第二条 合同供货期限</w:t>
      </w:r>
    </w:p>
    <w:p w14:paraId="1AA29C5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2.1本合同履行期限自合同生效</w:t>
      </w:r>
      <w:r>
        <w:rPr>
          <w:rFonts w:hint="eastAsia" w:ascii="宋体" w:hAnsi="宋体" w:eastAsia="宋体" w:cs="宋体"/>
          <w:color w:val="auto"/>
          <w:sz w:val="24"/>
          <w:szCs w:val="24"/>
          <w:highlight w:val="none"/>
          <w:lang w:eastAsia="zh-CN"/>
        </w:rPr>
        <w:t>之日</w:t>
      </w:r>
      <w:r>
        <w:rPr>
          <w:rFonts w:hint="eastAsia" w:ascii="宋体" w:hAnsi="宋体" w:eastAsia="宋体" w:cs="宋体"/>
          <w:color w:val="auto"/>
          <w:sz w:val="24"/>
          <w:szCs w:val="24"/>
          <w:highlight w:val="none"/>
        </w:rPr>
        <w:t>起至   年   月   日止；该期限为暂定期限，甲方有权根据施工需要单方调整合同供货期限，但应提前</w:t>
      </w:r>
      <w:r>
        <w:rPr>
          <w:rFonts w:hint="eastAsia" w:ascii="宋体" w:hAnsi="宋体" w:eastAsia="宋体" w:cs="宋体"/>
          <w:color w:val="auto"/>
          <w:sz w:val="24"/>
          <w:szCs w:val="24"/>
          <w:highlight w:val="none"/>
          <w:u w:val="single"/>
        </w:rPr>
        <w:t>7</w:t>
      </w:r>
      <w:r>
        <w:rPr>
          <w:rFonts w:hint="eastAsia" w:ascii="宋体" w:hAnsi="宋体" w:eastAsia="宋体" w:cs="宋体"/>
          <w:color w:val="auto"/>
          <w:sz w:val="24"/>
          <w:szCs w:val="24"/>
          <w:highlight w:val="none"/>
        </w:rPr>
        <w:t>日通知乙方。</w:t>
      </w:r>
    </w:p>
    <w:p w14:paraId="0944676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kern w:val="18"/>
          <w:sz w:val="24"/>
          <w:szCs w:val="24"/>
          <w:highlight w:val="none"/>
        </w:rPr>
      </w:pPr>
      <w:r>
        <w:rPr>
          <w:rFonts w:hint="eastAsia" w:ascii="宋体" w:hAnsi="宋体" w:eastAsia="宋体" w:cs="宋体"/>
          <w:color w:val="auto"/>
          <w:kern w:val="18"/>
          <w:sz w:val="24"/>
          <w:szCs w:val="24"/>
          <w:highlight w:val="none"/>
        </w:rPr>
        <w:t>2.2在合同期限届满或终止后，甲方可根据自己实际情况的需要，单方决定是否续签合同或签订合同封</w:t>
      </w:r>
      <w:r>
        <w:rPr>
          <w:rFonts w:hint="eastAsia" w:ascii="宋体" w:hAnsi="宋体" w:eastAsia="宋体" w:cs="宋体"/>
          <w:color w:val="auto"/>
          <w:kern w:val="18"/>
          <w:sz w:val="24"/>
          <w:szCs w:val="24"/>
          <w:highlight w:val="none"/>
          <w:lang w:eastAsia="zh-CN"/>
        </w:rPr>
        <w:t>账</w:t>
      </w:r>
      <w:r>
        <w:rPr>
          <w:rFonts w:hint="eastAsia" w:ascii="宋体" w:hAnsi="宋体" w:eastAsia="宋体" w:cs="宋体"/>
          <w:color w:val="auto"/>
          <w:kern w:val="18"/>
          <w:sz w:val="24"/>
          <w:szCs w:val="24"/>
          <w:highlight w:val="none"/>
        </w:rPr>
        <w:t>协议。</w:t>
      </w:r>
    </w:p>
    <w:p w14:paraId="0B4C5F7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bCs/>
          <w:color w:val="auto"/>
          <w:kern w:val="44"/>
          <w:sz w:val="24"/>
          <w:szCs w:val="24"/>
          <w:highlight w:val="none"/>
        </w:rPr>
        <w:t>第三条 质量标准：</w:t>
      </w:r>
      <w:r>
        <w:rPr>
          <w:rFonts w:hint="eastAsia" w:ascii="宋体" w:hAnsi="宋体" w:eastAsia="宋体" w:cs="宋体"/>
          <w:b/>
          <w:color w:val="auto"/>
          <w:kern w:val="0"/>
          <w:sz w:val="24"/>
          <w:szCs w:val="24"/>
          <w:highlight w:val="none"/>
        </w:rPr>
        <w:t xml:space="preserve"> </w:t>
      </w:r>
    </w:p>
    <w:p w14:paraId="0D30831E">
      <w:pPr>
        <w:pageBreakBefore w:val="0"/>
        <w:kinsoku/>
        <w:wordWrap/>
        <w:overflowPunct/>
        <w:topLinePunct w:val="0"/>
        <w:bidi w:val="0"/>
        <w:snapToGrid/>
        <w:spacing w:line="400" w:lineRule="exact"/>
        <w:textAlignment w:val="auto"/>
        <w:rPr>
          <w:rFonts w:hint="eastAsia" w:ascii="宋体" w:hAnsi="宋体" w:eastAsia="宋体" w:cs="宋体"/>
          <w:color w:val="auto"/>
          <w:kern w:val="18"/>
          <w:sz w:val="24"/>
          <w:szCs w:val="24"/>
          <w:highlight w:val="none"/>
        </w:rPr>
      </w:pPr>
      <w:r>
        <w:rPr>
          <w:rFonts w:hint="eastAsia" w:ascii="宋体" w:hAnsi="宋体" w:eastAsia="宋体" w:cs="宋体"/>
          <w:color w:val="auto"/>
          <w:kern w:val="18"/>
          <w:sz w:val="24"/>
          <w:szCs w:val="24"/>
          <w:highlight w:val="none"/>
        </w:rPr>
        <w:t xml:space="preserve">  </w:t>
      </w:r>
      <w:r>
        <w:rPr>
          <w:rFonts w:hint="eastAsia" w:ascii="宋体" w:hAnsi="宋体" w:eastAsia="宋体" w:cs="宋体"/>
          <w:color w:val="auto"/>
          <w:kern w:val="18"/>
          <w:sz w:val="24"/>
          <w:szCs w:val="24"/>
          <w:highlight w:val="none"/>
        </w:rPr>
        <w:t xml:space="preserve"> 乙方供应钢筋网片采用焊接钢筋网，焊接网钢筋强度标准为CRB550级，质量必须符合行业标准《钢筋焊接网混凝土结构技术规程》(JGJ114-2014)的规定，若国家、行业标准或规范出现修改或新颁，由需方决定是否采用新标准或新规范，价格不因标准和规范适用的变化而调整</w:t>
      </w:r>
      <w:r>
        <w:rPr>
          <w:rFonts w:hint="eastAsia" w:ascii="宋体" w:hAnsi="宋体" w:cs="宋体"/>
          <w:color w:val="auto"/>
          <w:kern w:val="18"/>
          <w:sz w:val="24"/>
          <w:szCs w:val="24"/>
          <w:highlight w:val="none"/>
          <w:lang w:eastAsia="zh-CN"/>
        </w:rPr>
        <w:t>。</w:t>
      </w:r>
    </w:p>
    <w:p w14:paraId="504E087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 xml:space="preserve">第四条 计量方法                                             </w:t>
      </w:r>
    </w:p>
    <w:p w14:paraId="00AF3F18">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按过磅重量结算；</w:t>
      </w:r>
    </w:p>
    <w:p w14:paraId="36C1F94E">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以上计量方式中材料公差应在国家标准要求范围之内。</w:t>
      </w:r>
    </w:p>
    <w:p w14:paraId="34702130">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color w:val="auto"/>
          <w:kern w:val="18"/>
          <w:sz w:val="24"/>
          <w:szCs w:val="24"/>
          <w:highlight w:val="none"/>
        </w:rPr>
      </w:pPr>
      <w:r>
        <w:rPr>
          <w:rFonts w:hint="eastAsia" w:ascii="宋体" w:hAnsi="宋体" w:eastAsia="宋体" w:cs="宋体"/>
          <w:bCs/>
          <w:color w:val="auto"/>
          <w:kern w:val="0"/>
          <w:sz w:val="24"/>
          <w:szCs w:val="24"/>
          <w:highlight w:val="none"/>
        </w:rPr>
        <w:t>若甲方过磅数量磅差率超过±3‰，由甲方与乙方共同选择第三方进行复磅（复磅应选择技术监督局检验合格且距离施工现场较近的公磅处进行），复磅数量与出厂磅单数量之差若不超过±3‰范围，以乙方出厂磅单为准；若超出±3‰范围，则以复磅数量为准。复磅过程中发生的相关费用由偏差大的一方承担。</w:t>
      </w:r>
    </w:p>
    <w:p w14:paraId="30787A5B">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第五条 交货时间及方式</w:t>
      </w:r>
    </w:p>
    <w:p w14:paraId="308F403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交货时间：乙方收到甲方的供货计划通知后，应根据甲方的要求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日内将货物送到甲方指定交货地点。乙方发货时应将发货清单、车号、司机联系方式等资料告知甲方，以便甲方安排接卸、验收等相关工作。</w:t>
      </w:r>
    </w:p>
    <w:p w14:paraId="449557D7">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5.2 交货地点：甲方指定该项目施工现场或仓库。</w:t>
      </w:r>
    </w:p>
    <w:p w14:paraId="3AAD1577">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color w:val="auto"/>
          <w:kern w:val="18"/>
          <w:sz w:val="24"/>
          <w:szCs w:val="24"/>
          <w:highlight w:val="none"/>
        </w:rPr>
      </w:pPr>
      <w:r>
        <w:rPr>
          <w:rFonts w:hint="eastAsia" w:ascii="宋体" w:hAnsi="宋体" w:eastAsia="宋体" w:cs="宋体"/>
          <w:bCs/>
          <w:color w:val="auto"/>
          <w:kern w:val="0"/>
          <w:sz w:val="24"/>
          <w:szCs w:val="24"/>
          <w:highlight w:val="none"/>
        </w:rPr>
        <w:t>5.3交货方式：</w:t>
      </w:r>
      <w:r>
        <w:rPr>
          <w:rFonts w:hint="eastAsia" w:ascii="宋体" w:hAnsi="宋体" w:eastAsia="宋体" w:cs="宋体"/>
          <w:color w:val="auto"/>
          <w:sz w:val="24"/>
          <w:szCs w:val="24"/>
          <w:highlight w:val="none"/>
        </w:rPr>
        <w:t>车板交货，乙方在货物未交付甲方前，灭失、损毁的一切风险由乙方承担。</w:t>
      </w:r>
    </w:p>
    <w:p w14:paraId="74AD8AD1">
      <w:pPr>
        <w:pageBreakBefore w:val="0"/>
        <w:tabs>
          <w:tab w:val="left" w:pos="3708"/>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5.3</w:t>
      </w:r>
      <w:r>
        <w:rPr>
          <w:rFonts w:hint="eastAsia" w:ascii="宋体" w:hAnsi="宋体" w:eastAsia="宋体" w:cs="宋体"/>
          <w:color w:val="auto"/>
          <w:sz w:val="24"/>
          <w:szCs w:val="24"/>
          <w:highlight w:val="none"/>
        </w:rPr>
        <w:t>运输方式：汽运。</w:t>
      </w:r>
    </w:p>
    <w:p w14:paraId="00CC8F15">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5.4 包装方式：按照国家标准捆扎，包装不散捆，不回收。</w:t>
      </w:r>
    </w:p>
    <w:p w14:paraId="3D5F251C">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第六条 验收：</w:t>
      </w:r>
    </w:p>
    <w:p w14:paraId="56018DC3">
      <w:pPr>
        <w:pageBreakBefore w:val="0"/>
        <w:widowControl/>
        <w:tabs>
          <w:tab w:val="left" w:pos="8364"/>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6.1 验收时间：        ；验收地点：           。 </w:t>
      </w:r>
    </w:p>
    <w:p w14:paraId="1F3BE35B">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每批钢材的有效材质证明书等原件，应随货同行及时交到甲方收货人手里，必须确保质保书与钢材批号的对应。</w:t>
      </w:r>
    </w:p>
    <w:p w14:paraId="5F7C03E0">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每捆包装上必须附有标签，清晰地标明生产厂家、钢材牌号、炉批号、规格、重量等。</w:t>
      </w:r>
    </w:p>
    <w:p w14:paraId="28274D0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 xml:space="preserve">6.4 </w:t>
      </w:r>
      <w:r>
        <w:rPr>
          <w:rFonts w:hint="eastAsia" w:ascii="宋体" w:hAnsi="宋体" w:eastAsia="宋体" w:cs="宋体"/>
          <w:color w:val="auto"/>
          <w:spacing w:val="-2"/>
          <w:sz w:val="24"/>
          <w:szCs w:val="24"/>
          <w:highlight w:val="none"/>
        </w:rPr>
        <w:t>甲方有权随时检查乙方供货数量或重量，乙方应配合甲方的检查。</w:t>
      </w:r>
    </w:p>
    <w:p w14:paraId="5D67674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甲方有权对初步验收合格后的产品交检验部门检验，任何被检验的货物不能满足质量技术和规格要求，甲方有权要求对该批货品按照合同6.6条的约定进行处理，因此产生的费用和给甲方造成的损失均由乙方承担。</w:t>
      </w:r>
    </w:p>
    <w:p w14:paraId="19DE777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kern w:val="18"/>
          <w:sz w:val="24"/>
          <w:szCs w:val="24"/>
          <w:highlight w:val="none"/>
        </w:rPr>
      </w:pPr>
      <w:r>
        <w:rPr>
          <w:rFonts w:hint="eastAsia" w:ascii="宋体" w:hAnsi="宋体" w:eastAsia="宋体" w:cs="宋体"/>
          <w:color w:val="auto"/>
          <w:sz w:val="24"/>
          <w:szCs w:val="24"/>
          <w:highlight w:val="none"/>
        </w:rPr>
        <w:t>6.6 甲方如发现货物的品种、型号、规格和数量等不符合规定和合同约定的，应自收到货物后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日内向乙方提出异议和处理意见，对产品质量的异议不受该时间限制，随时发现可随时提出异议和处理意见。乙方在接到甲方异议后，应在</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日内按照甲方要求负责处理,否则即视为违约，甲方有权自行处理，造成的损失由乙方自行承担。</w:t>
      </w:r>
    </w:p>
    <w:p w14:paraId="01A7002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6.7甲方指定1、姓名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2、姓名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)负责结算对账单的签认。乙方指定姓名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）负责结算对账单的签认。</w:t>
      </w:r>
      <w:r>
        <w:rPr>
          <w:rFonts w:hint="eastAsia" w:ascii="宋体" w:hAnsi="宋体" w:eastAsia="宋体" w:cs="宋体"/>
          <w:color w:val="auto"/>
          <w:sz w:val="24"/>
          <w:szCs w:val="24"/>
          <w:highlight w:val="none"/>
        </w:rPr>
        <w:t>指定的上述人员</w:t>
      </w:r>
      <w:r>
        <w:rPr>
          <w:rFonts w:hint="eastAsia" w:ascii="宋体" w:hAnsi="宋体" w:eastAsia="宋体" w:cs="宋体"/>
          <w:color w:val="auto"/>
          <w:sz w:val="24"/>
          <w:szCs w:val="24"/>
          <w:highlight w:val="none"/>
          <w:lang w:eastAsia="zh-CN"/>
        </w:rPr>
        <w:t>为双方的合同</w:t>
      </w:r>
      <w:r>
        <w:rPr>
          <w:rFonts w:hint="eastAsia" w:ascii="宋体" w:hAnsi="宋体" w:eastAsia="宋体" w:cs="宋体"/>
          <w:color w:val="auto"/>
          <w:sz w:val="24"/>
          <w:szCs w:val="24"/>
          <w:highlight w:val="none"/>
        </w:rPr>
        <w:t>结算确认人员，</w:t>
      </w:r>
      <w:r>
        <w:rPr>
          <w:rFonts w:hint="eastAsia" w:ascii="宋体" w:hAnsi="宋体" w:eastAsia="宋体" w:cs="宋体"/>
          <w:color w:val="auto"/>
          <w:sz w:val="24"/>
          <w:szCs w:val="24"/>
          <w:highlight w:val="none"/>
          <w:lang w:eastAsia="zh-CN"/>
        </w:rPr>
        <w:t>均需</w:t>
      </w:r>
      <w:r>
        <w:rPr>
          <w:rFonts w:hint="eastAsia" w:ascii="宋体" w:hAnsi="宋体" w:eastAsia="宋体" w:cs="宋体"/>
          <w:color w:val="auto"/>
          <w:sz w:val="24"/>
          <w:szCs w:val="24"/>
          <w:highlight w:val="none"/>
        </w:rPr>
        <w:t>在结算对账单</w:t>
      </w:r>
      <w:r>
        <w:rPr>
          <w:rFonts w:hint="eastAsia" w:ascii="宋体" w:hAnsi="宋体" w:eastAsia="宋体" w:cs="宋体"/>
          <w:color w:val="auto"/>
          <w:sz w:val="24"/>
          <w:szCs w:val="24"/>
          <w:highlight w:val="none"/>
          <w:lang w:eastAsia="zh-CN"/>
        </w:rPr>
        <w:t>上</w:t>
      </w:r>
      <w:r>
        <w:rPr>
          <w:rFonts w:hint="eastAsia" w:ascii="宋体" w:hAnsi="宋体" w:eastAsia="宋体" w:cs="宋体"/>
          <w:color w:val="auto"/>
          <w:sz w:val="24"/>
          <w:szCs w:val="24"/>
          <w:highlight w:val="none"/>
        </w:rPr>
        <w:t>签字</w:t>
      </w:r>
      <w:r>
        <w:rPr>
          <w:rFonts w:hint="eastAsia" w:ascii="宋体" w:hAnsi="宋体" w:eastAsia="宋体" w:cs="宋体"/>
          <w:color w:val="auto"/>
          <w:sz w:val="24"/>
          <w:szCs w:val="24"/>
          <w:highlight w:val="none"/>
          <w:lang w:eastAsia="zh-CN"/>
        </w:rPr>
        <w:t>并盖章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作为结算确认依据，指定人员以外其他人员的签认，对另一方不发生效力。一方指定人员发生变化时，应当及时告知对方，并自书面通知到达对方时产生效力。</w:t>
      </w:r>
    </w:p>
    <w:p w14:paraId="40AF187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甲方指定交货地材料有权签收人负责材料的交验和送货清单的签认。</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工程物资</w:t>
      </w:r>
      <w:r>
        <w:rPr>
          <w:rFonts w:hint="eastAsia" w:ascii="宋体" w:hAnsi="宋体" w:eastAsia="宋体" w:cs="宋体"/>
          <w:color w:val="auto"/>
          <w:sz w:val="24"/>
          <w:szCs w:val="24"/>
          <w:highlight w:val="none"/>
        </w:rPr>
        <w:t>有权签收人清单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甲方另行出具，清单与本合同具有同等法律效力。指定人员以外其他人员的验收、签认，对另一方不发生效力。指定人员发生变化时，应当及时告知对方，并自书面通知到达对方时产生效力。送货清单（或相应票据）中事先印刷的相关备注文字（双方验收人员签署的备注内容除外）内容不构成合同文件的组成部分。</w:t>
      </w:r>
      <w:r>
        <w:rPr>
          <w:rFonts w:hint="eastAsia" w:ascii="宋体" w:hAnsi="宋体" w:eastAsia="宋体" w:cs="宋体"/>
          <w:color w:val="auto"/>
          <w:sz w:val="24"/>
          <w:szCs w:val="24"/>
          <w:highlight w:val="none"/>
        </w:rPr>
        <w:t>甲方指定签收人</w:t>
      </w:r>
      <w:r>
        <w:rPr>
          <w:rFonts w:hint="eastAsia" w:ascii="宋体" w:hAnsi="宋体" w:eastAsia="宋体" w:cs="宋体"/>
          <w:color w:val="auto"/>
          <w:sz w:val="24"/>
          <w:szCs w:val="24"/>
          <w:highlight w:val="none"/>
          <w:lang w:eastAsia="zh-CN"/>
        </w:rPr>
        <w:t>员详见附件一：《</w:t>
      </w:r>
      <w:r>
        <w:rPr>
          <w:rFonts w:hint="eastAsia" w:ascii="宋体" w:hAnsi="宋体" w:cs="宋体"/>
          <w:color w:val="auto"/>
          <w:sz w:val="24"/>
          <w:szCs w:val="24"/>
          <w:highlight w:val="none"/>
          <w:lang w:eastAsia="zh-CN"/>
        </w:rPr>
        <w:t>工程物资</w:t>
      </w:r>
      <w:r>
        <w:rPr>
          <w:rFonts w:hint="eastAsia" w:ascii="宋体" w:hAnsi="宋体" w:eastAsia="宋体" w:cs="宋体"/>
          <w:color w:val="auto"/>
          <w:sz w:val="24"/>
          <w:szCs w:val="24"/>
          <w:highlight w:val="none"/>
          <w:lang w:eastAsia="zh-CN"/>
        </w:rPr>
        <w:t>有权签收人清单》，该清单需双方加盖发货方与收货方公章。</w:t>
      </w:r>
    </w:p>
    <w:p w14:paraId="5145F0D6">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甲方对材料的验收，并不视为免除乙方对产品质量和技术应负的责任。</w:t>
      </w:r>
    </w:p>
    <w:p w14:paraId="5F6F529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6.8本合同约定货物的质保期为</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个月，自最后一批供货验收合格之日起计算。如果乙方对货物有另外承诺的质保期且与本合同约定不一致的，双方同意以期限较长的为准。</w:t>
      </w:r>
      <w:r>
        <w:rPr>
          <w:rFonts w:hint="eastAsia" w:ascii="宋体" w:hAnsi="宋体" w:eastAsia="宋体" w:cs="宋体"/>
          <w:color w:val="auto"/>
          <w:sz w:val="24"/>
          <w:szCs w:val="24"/>
          <w:highlight w:val="none"/>
          <w:lang w:eastAsia="zh-CN"/>
        </w:rPr>
        <w:t>（采购合同中约定的质保期不得少于供应合同中的质保期）</w:t>
      </w:r>
    </w:p>
    <w:p w14:paraId="4F543243">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lang w:val="en-US" w:eastAsia="zh-CN"/>
        </w:rPr>
      </w:pPr>
      <w:r>
        <w:rPr>
          <w:rFonts w:hint="eastAsia" w:ascii="宋体" w:hAnsi="宋体" w:eastAsia="宋体" w:cs="宋体"/>
          <w:b/>
          <w:bCs/>
          <w:color w:val="auto"/>
          <w:kern w:val="44"/>
          <w:sz w:val="24"/>
          <w:szCs w:val="24"/>
          <w:highlight w:val="none"/>
        </w:rPr>
        <w:t xml:space="preserve">第七条 货款结算与支付 </w:t>
      </w:r>
    </w:p>
    <w:p w14:paraId="1781CA4D">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7.1</w:t>
      </w:r>
      <w:r>
        <w:rPr>
          <w:rFonts w:hint="eastAsia" w:ascii="宋体" w:hAnsi="宋体" w:cs="宋体"/>
          <w:color w:val="auto"/>
          <w:sz w:val="24"/>
          <w:szCs w:val="24"/>
          <w:highlight w:val="none"/>
          <w:lang w:val="en-US" w:eastAsia="zh-CN"/>
        </w:rPr>
        <w:t>每</w:t>
      </w:r>
      <w:r>
        <w:rPr>
          <w:rFonts w:hint="eastAsia" w:ascii="宋体" w:hAnsi="宋体" w:eastAsia="宋体" w:cs="宋体"/>
          <w:color w:val="auto"/>
          <w:sz w:val="24"/>
          <w:szCs w:val="24"/>
          <w:highlight w:val="none"/>
        </w:rPr>
        <w:t>月</w:t>
      </w:r>
      <w:r>
        <w:rPr>
          <w:rFonts w:hint="eastAsia" w:ascii="宋体" w:hAnsi="宋体" w:eastAsia="宋体" w:cs="宋体"/>
          <w:bCs/>
          <w:color w:val="auto"/>
          <w:kern w:val="0"/>
          <w:sz w:val="24"/>
          <w:szCs w:val="24"/>
          <w:highlight w:val="none"/>
        </w:rPr>
        <w:t>为一个结算周期，当月</w:t>
      </w:r>
      <w:r>
        <w:rPr>
          <w:rFonts w:hint="eastAsia" w:ascii="宋体" w:hAnsi="宋体" w:cs="宋体"/>
          <w:bCs/>
          <w:color w:val="auto"/>
          <w:kern w:val="0"/>
          <w:sz w:val="24"/>
          <w:szCs w:val="24"/>
          <w:highlight w:val="none"/>
          <w:lang w:val="en-US" w:eastAsia="zh-CN"/>
        </w:rPr>
        <w:t>最后一天</w:t>
      </w:r>
      <w:r>
        <w:rPr>
          <w:rFonts w:hint="eastAsia" w:ascii="宋体" w:hAnsi="宋体" w:eastAsia="宋体" w:cs="宋体"/>
          <w:bCs/>
          <w:color w:val="auto"/>
          <w:kern w:val="0"/>
          <w:sz w:val="24"/>
          <w:szCs w:val="24"/>
          <w:highlight w:val="none"/>
        </w:rPr>
        <w:t>为</w:t>
      </w:r>
      <w:r>
        <w:rPr>
          <w:rFonts w:hint="eastAsia" w:ascii="宋体" w:hAnsi="宋体" w:cs="宋体"/>
          <w:bCs/>
          <w:color w:val="auto"/>
          <w:kern w:val="0"/>
          <w:sz w:val="24"/>
          <w:szCs w:val="24"/>
          <w:highlight w:val="none"/>
          <w:lang w:val="en-US" w:eastAsia="zh-CN"/>
        </w:rPr>
        <w:t>每月</w:t>
      </w:r>
      <w:r>
        <w:rPr>
          <w:rFonts w:hint="eastAsia" w:ascii="宋体" w:hAnsi="宋体" w:eastAsia="宋体" w:cs="宋体"/>
          <w:bCs/>
          <w:color w:val="auto"/>
          <w:kern w:val="0"/>
          <w:sz w:val="24"/>
          <w:szCs w:val="24"/>
          <w:highlight w:val="none"/>
        </w:rPr>
        <w:t>结算截止日期</w:t>
      </w:r>
      <w:r>
        <w:rPr>
          <w:rFonts w:hint="eastAsia" w:ascii="宋体" w:hAnsi="宋体" w:eastAsia="宋体" w:cs="宋体"/>
          <w:bCs/>
          <w:color w:val="auto"/>
          <w:kern w:val="0"/>
          <w:sz w:val="24"/>
          <w:szCs w:val="24"/>
          <w:highlight w:val="none"/>
          <w:lang w:eastAsia="zh-CN"/>
        </w:rPr>
        <w:t>，</w:t>
      </w:r>
      <w:r>
        <w:rPr>
          <w:rFonts w:hint="eastAsia" w:ascii="宋体" w:hAnsi="宋体" w:cs="宋体"/>
          <w:bCs/>
          <w:color w:val="auto"/>
          <w:kern w:val="0"/>
          <w:sz w:val="24"/>
          <w:szCs w:val="24"/>
          <w:highlight w:val="none"/>
          <w:lang w:val="en-US" w:eastAsia="zh-CN"/>
        </w:rPr>
        <w:t>次</w:t>
      </w:r>
      <w:r>
        <w:rPr>
          <w:rFonts w:hint="eastAsia" w:ascii="宋体" w:hAnsi="宋体" w:eastAsia="宋体" w:cs="宋体"/>
          <w:bCs/>
          <w:color w:val="auto"/>
          <w:kern w:val="0"/>
          <w:sz w:val="24"/>
          <w:szCs w:val="24"/>
          <w:highlight w:val="none"/>
          <w:lang w:val="en-US" w:eastAsia="zh-CN"/>
        </w:rPr>
        <w:t>月的</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lang w:val="en-US" w:eastAsia="zh-CN"/>
        </w:rPr>
        <w:t>日前开具发票并交于甲方</w:t>
      </w:r>
      <w:r>
        <w:rPr>
          <w:rFonts w:hint="eastAsia" w:ascii="宋体" w:hAnsi="宋体" w:eastAsia="宋体" w:cs="宋体"/>
          <w:bCs/>
          <w:color w:val="auto"/>
          <w:kern w:val="0"/>
          <w:sz w:val="24"/>
          <w:szCs w:val="24"/>
          <w:highlight w:val="none"/>
        </w:rPr>
        <w:t>。结算时根据甲方检验合格</w:t>
      </w:r>
      <w:r>
        <w:rPr>
          <w:rFonts w:hint="eastAsia" w:ascii="宋体" w:hAnsi="宋体" w:eastAsia="宋体" w:cs="宋体"/>
          <w:bCs/>
          <w:color w:val="auto"/>
          <w:kern w:val="0"/>
          <w:sz w:val="24"/>
          <w:szCs w:val="24"/>
          <w:highlight w:val="none"/>
        </w:rPr>
        <w:t>及双方共同签认的凭证计算当月实际收货数量，除此之外任何证明、收条、欠条、信函等文件，都不得作为结算、支付依据。</w:t>
      </w:r>
    </w:p>
    <w:p w14:paraId="27652101">
      <w:pPr>
        <w:keepNext/>
        <w:keepLines/>
        <w:pageBreakBefore w:val="0"/>
        <w:kinsoku/>
        <w:wordWrap/>
        <w:overflowPunct/>
        <w:topLinePunct w:val="0"/>
        <w:bidi w:val="0"/>
        <w:snapToGrid/>
        <w:spacing w:line="400" w:lineRule="exact"/>
        <w:ind w:firstLine="480" w:firstLineChars="200"/>
        <w:textAlignment w:val="auto"/>
        <w:outlineLvl w:val="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lang w:val="en-US" w:eastAsia="zh-CN"/>
        </w:rPr>
        <w:t>7.1.2</w:t>
      </w:r>
      <w:r>
        <w:rPr>
          <w:rFonts w:hint="eastAsia" w:ascii="宋体" w:hAnsi="宋体" w:eastAsia="宋体" w:cs="宋体"/>
          <w:color w:val="auto"/>
          <w:sz w:val="24"/>
          <w:szCs w:val="24"/>
          <w:highlight w:val="none"/>
        </w:rPr>
        <w:t>乙方承担运输及运费，一票制结算（根据实际情况填写）。甲乙双方结算后7日内，乙方应按双方确认的应付金额</w:t>
      </w:r>
      <w:r>
        <w:rPr>
          <w:rFonts w:hint="eastAsia" w:ascii="宋体" w:hAnsi="宋体" w:eastAsia="宋体" w:cs="宋体"/>
          <w:color w:val="auto"/>
          <w:sz w:val="24"/>
          <w:szCs w:val="24"/>
          <w:highlight w:val="none"/>
          <w:lang w:eastAsia="zh-CN"/>
        </w:rPr>
        <w:t>足额开具</w:t>
      </w:r>
      <w:r>
        <w:rPr>
          <w:rFonts w:hint="eastAsia" w:ascii="宋体" w:hAnsi="宋体" w:eastAsia="宋体" w:cs="宋体"/>
          <w:color w:val="auto"/>
          <w:sz w:val="24"/>
          <w:szCs w:val="24"/>
          <w:highlight w:val="none"/>
        </w:rPr>
        <w:t>增值税专用发票，并</w:t>
      </w:r>
      <w:r>
        <w:rPr>
          <w:rFonts w:hint="eastAsia" w:ascii="宋体" w:hAnsi="宋体" w:eastAsia="宋体" w:cs="宋体"/>
          <w:color w:val="auto"/>
          <w:sz w:val="24"/>
          <w:szCs w:val="24"/>
          <w:highlight w:val="none"/>
          <w:lang w:eastAsia="zh-CN"/>
        </w:rPr>
        <w:t>将</w:t>
      </w:r>
      <w:r>
        <w:rPr>
          <w:rFonts w:hint="eastAsia" w:ascii="宋体" w:hAnsi="宋体" w:eastAsia="宋体" w:cs="宋体"/>
          <w:color w:val="auto"/>
          <w:sz w:val="24"/>
          <w:szCs w:val="24"/>
          <w:highlight w:val="none"/>
        </w:rPr>
        <w:t>发票开具提交给甲方。</w:t>
      </w:r>
    </w:p>
    <w:p w14:paraId="12BDE9F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t>2</w:t>
      </w:r>
      <w:r>
        <w:rPr>
          <w:rFonts w:hint="eastAsia" w:ascii="宋体" w:hAnsi="宋体" w:eastAsia="宋体" w:cs="宋体"/>
          <w:bCs/>
          <w:color w:val="auto"/>
          <w:kern w:val="0"/>
          <w:sz w:val="24"/>
          <w:szCs w:val="24"/>
          <w:highlight w:val="none"/>
        </w:rPr>
        <w:t>双方特别约定：甲方支付前，乙方应按双方确认的当期应付金额向甲方提供增值税专用发票，并于发票开具后</w:t>
      </w:r>
      <w:r>
        <w:rPr>
          <w:rFonts w:hint="eastAsia" w:ascii="宋体" w:hAnsi="宋体" w:eastAsia="宋体" w:cs="宋体"/>
          <w:bCs/>
          <w:color w:val="auto"/>
          <w:kern w:val="0"/>
          <w:sz w:val="24"/>
          <w:szCs w:val="24"/>
          <w:highlight w:val="none"/>
          <w:u w:val="single"/>
        </w:rPr>
        <w:t>7</w:t>
      </w:r>
      <w:r>
        <w:rPr>
          <w:rFonts w:hint="eastAsia" w:ascii="宋体" w:hAnsi="宋体" w:eastAsia="宋体" w:cs="宋体"/>
          <w:bCs/>
          <w:color w:val="auto"/>
          <w:kern w:val="0"/>
          <w:sz w:val="24"/>
          <w:szCs w:val="24"/>
          <w:highlight w:val="none"/>
        </w:rPr>
        <w:t>日内提交给甲方。甲方收到乙方发票和完税证明后，按合同约定向乙方付款。如乙方未及时提供发票的，甲方有权延迟付款且无需承担任何违约责任。甲方收到乙方发票后，按合同约定向乙方付款。</w:t>
      </w:r>
    </w:p>
    <w:p w14:paraId="377F279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7.3货款支付采用下列第</w:t>
      </w:r>
      <w:r>
        <w:rPr>
          <w:rFonts w:hint="eastAsia" w:ascii="宋体" w:hAnsi="宋体" w:cs="宋体"/>
          <w:bCs/>
          <w:color w:val="auto"/>
          <w:kern w:val="0"/>
          <w:sz w:val="24"/>
          <w:szCs w:val="24"/>
          <w:highlight w:val="none"/>
          <w:lang w:val="en-US" w:eastAsia="zh-CN"/>
        </w:rPr>
        <w:t xml:space="preserve">  </w:t>
      </w:r>
      <w:r>
        <w:rPr>
          <w:rFonts w:hint="eastAsia" w:ascii="宋体" w:hAnsi="宋体" w:eastAsia="宋体" w:cs="宋体"/>
          <w:bCs/>
          <w:color w:val="auto"/>
          <w:kern w:val="0"/>
          <w:sz w:val="24"/>
          <w:szCs w:val="24"/>
          <w:highlight w:val="none"/>
        </w:rPr>
        <w:t>项：</w:t>
      </w:r>
    </w:p>
    <w:p w14:paraId="3932A4D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7.3</w:t>
      </w:r>
      <w:r>
        <w:rPr>
          <w:rFonts w:hint="eastAsia" w:ascii="宋体" w:hAnsi="宋体" w:eastAsia="宋体" w:cs="宋体"/>
          <w:bCs/>
          <w:color w:val="auto"/>
          <w:kern w:val="0"/>
          <w:sz w:val="24"/>
          <w:szCs w:val="24"/>
          <w:highlight w:val="none"/>
        </w:rPr>
        <w:t>.</w:t>
      </w:r>
      <w:r>
        <w:rPr>
          <w:rFonts w:hint="eastAsia" w:ascii="宋体" w:hAnsi="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先货后款；</w:t>
      </w:r>
      <w:r>
        <w:rPr>
          <w:rFonts w:hint="eastAsia" w:ascii="宋体" w:hAnsi="宋体" w:eastAsia="宋体" w:cs="宋体"/>
          <w:bCs/>
          <w:color w:val="auto"/>
          <w:spacing w:val="4"/>
          <w:kern w:val="0"/>
          <w:sz w:val="24"/>
          <w:szCs w:val="24"/>
          <w:highlight w:val="none"/>
        </w:rPr>
        <w:t>结算完成后，甲方在收到乙方开具正式的增值税专用发票后</w:t>
      </w:r>
      <w:r>
        <w:rPr>
          <w:rFonts w:hint="eastAsia" w:ascii="宋体" w:hAnsi="宋体" w:eastAsia="宋体" w:cs="宋体"/>
          <w:bCs/>
          <w:color w:val="auto"/>
          <w:spacing w:val="4"/>
          <w:kern w:val="0"/>
          <w:sz w:val="24"/>
          <w:szCs w:val="24"/>
          <w:highlight w:val="none"/>
          <w:u w:val="single"/>
        </w:rPr>
        <w:t>30</w:t>
      </w:r>
      <w:r>
        <w:rPr>
          <w:rFonts w:hint="eastAsia" w:ascii="宋体" w:hAnsi="宋体" w:eastAsia="宋体" w:cs="宋体"/>
          <w:bCs/>
          <w:color w:val="auto"/>
          <w:spacing w:val="4"/>
          <w:kern w:val="0"/>
          <w:sz w:val="24"/>
          <w:szCs w:val="24"/>
          <w:highlight w:val="none"/>
        </w:rPr>
        <w:t>日内，向乙方支付当月结算金额的</w:t>
      </w:r>
      <w:r>
        <w:rPr>
          <w:rFonts w:hint="eastAsia" w:ascii="宋体" w:hAnsi="宋体" w:cs="宋体"/>
          <w:bCs/>
          <w:color w:val="auto"/>
          <w:spacing w:val="4"/>
          <w:kern w:val="0"/>
          <w:sz w:val="24"/>
          <w:szCs w:val="24"/>
          <w:highlight w:val="none"/>
          <w:u w:val="single"/>
          <w:lang w:val="en-US" w:eastAsia="zh-CN"/>
        </w:rPr>
        <w:t>90</w:t>
      </w:r>
      <w:r>
        <w:rPr>
          <w:rFonts w:hint="eastAsia" w:ascii="宋体" w:hAnsi="宋体" w:eastAsia="宋体" w:cs="宋体"/>
          <w:bCs/>
          <w:color w:val="auto"/>
          <w:spacing w:val="4"/>
          <w:kern w:val="0"/>
          <w:sz w:val="24"/>
          <w:szCs w:val="24"/>
          <w:highlight w:val="none"/>
          <w:u w:val="single"/>
        </w:rPr>
        <w:t>%</w:t>
      </w:r>
      <w:r>
        <w:rPr>
          <w:rFonts w:hint="eastAsia" w:ascii="宋体" w:hAnsi="宋体" w:eastAsia="宋体" w:cs="宋体"/>
          <w:bCs/>
          <w:color w:val="auto"/>
          <w:spacing w:val="4"/>
          <w:kern w:val="0"/>
          <w:sz w:val="24"/>
          <w:szCs w:val="24"/>
          <w:highlight w:val="none"/>
        </w:rPr>
        <w:t>。</w:t>
      </w:r>
      <w:r>
        <w:rPr>
          <w:rFonts w:hint="eastAsia" w:ascii="宋体" w:hAnsi="宋体" w:eastAsia="宋体" w:cs="宋体"/>
          <w:bCs/>
          <w:color w:val="auto"/>
          <w:kern w:val="0"/>
          <w:sz w:val="24"/>
          <w:szCs w:val="24"/>
          <w:highlight w:val="none"/>
        </w:rPr>
        <w:t>剩余</w:t>
      </w:r>
      <w:r>
        <w:rPr>
          <w:rFonts w:hint="eastAsia" w:ascii="宋体" w:hAnsi="宋体" w:cs="宋体"/>
          <w:bCs/>
          <w:color w:val="auto"/>
          <w:kern w:val="0"/>
          <w:sz w:val="24"/>
          <w:szCs w:val="24"/>
          <w:highlight w:val="none"/>
          <w:u w:val="single"/>
          <w:lang w:val="en-US" w:eastAsia="zh-CN"/>
        </w:rPr>
        <w:t>10</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rPr>
        <w:t>作为质保金，质保金在供应结束后或合同约完成后3个月内无息支付，</w:t>
      </w:r>
      <w:r>
        <w:rPr>
          <w:rFonts w:hint="eastAsia" w:ascii="宋体" w:hAnsi="宋体" w:eastAsia="宋体" w:cs="宋体"/>
          <w:bCs/>
          <w:color w:val="auto"/>
          <w:spacing w:val="4"/>
          <w:kern w:val="0"/>
          <w:sz w:val="24"/>
          <w:szCs w:val="24"/>
          <w:highlight w:val="none"/>
        </w:rPr>
        <w:t>如发生纠纷，则延后至纠纷最终解决后</w:t>
      </w:r>
      <w:r>
        <w:rPr>
          <w:rFonts w:hint="eastAsia" w:ascii="宋体" w:hAnsi="宋体" w:eastAsia="宋体" w:cs="宋体"/>
          <w:bCs/>
          <w:color w:val="auto"/>
          <w:spacing w:val="4"/>
          <w:kern w:val="0"/>
          <w:sz w:val="24"/>
          <w:szCs w:val="24"/>
          <w:highlight w:val="none"/>
          <w:u w:val="single"/>
        </w:rPr>
        <w:t>30</w:t>
      </w:r>
      <w:r>
        <w:rPr>
          <w:rFonts w:hint="eastAsia" w:ascii="宋体" w:hAnsi="宋体" w:eastAsia="宋体" w:cs="宋体"/>
          <w:bCs/>
          <w:color w:val="auto"/>
          <w:spacing w:val="4"/>
          <w:kern w:val="0"/>
          <w:sz w:val="24"/>
          <w:szCs w:val="24"/>
          <w:highlight w:val="none"/>
        </w:rPr>
        <w:t>天内付清。质量保证金的支付并不免除乙方对交付</w:t>
      </w:r>
      <w:r>
        <w:rPr>
          <w:rFonts w:hint="eastAsia" w:ascii="宋体" w:hAnsi="宋体" w:eastAsia="宋体" w:cs="宋体"/>
          <w:bCs/>
          <w:color w:val="auto"/>
          <w:kern w:val="0"/>
          <w:sz w:val="24"/>
          <w:szCs w:val="24"/>
          <w:highlight w:val="none"/>
        </w:rPr>
        <w:t>货物质量的保证责任。</w:t>
      </w:r>
    </w:p>
    <w:p w14:paraId="69611B6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pacing w:val="4"/>
          <w:kern w:val="0"/>
          <w:sz w:val="24"/>
          <w:szCs w:val="24"/>
          <w:highlight w:val="none"/>
        </w:rPr>
      </w:pPr>
      <w:r>
        <w:rPr>
          <w:rFonts w:hint="eastAsia" w:ascii="宋体" w:hAnsi="宋体" w:eastAsia="宋体" w:cs="宋体"/>
          <w:color w:val="auto"/>
          <w:sz w:val="24"/>
          <w:szCs w:val="24"/>
          <w:highlight w:val="none"/>
        </w:rPr>
        <w:t>7.4货款支付方式：</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pacing w:val="4"/>
          <w:kern w:val="0"/>
          <w:sz w:val="24"/>
          <w:szCs w:val="24"/>
          <w:highlight w:val="none"/>
        </w:rPr>
        <w:t>银行转</w:t>
      </w:r>
      <w:r>
        <w:rPr>
          <w:rFonts w:hint="eastAsia" w:ascii="宋体" w:hAnsi="宋体" w:eastAsia="宋体" w:cs="宋体"/>
          <w:bCs/>
          <w:color w:val="auto"/>
          <w:spacing w:val="4"/>
          <w:kern w:val="0"/>
          <w:sz w:val="24"/>
          <w:szCs w:val="24"/>
          <w:highlight w:val="none"/>
          <w:lang w:eastAsia="zh-CN"/>
        </w:rPr>
        <w:t>账</w:t>
      </w:r>
      <w:r>
        <w:rPr>
          <w:rFonts w:hint="eastAsia" w:ascii="宋体" w:hAnsi="宋体" w:eastAsia="宋体" w:cs="宋体"/>
          <w:bCs/>
          <w:color w:val="auto"/>
          <w:spacing w:val="4"/>
          <w:kern w:val="0"/>
          <w:sz w:val="24"/>
          <w:szCs w:val="24"/>
          <w:highlight w:val="none"/>
        </w:rPr>
        <w:t>或银行承兑汇票、中铁E信、建行E信通、</w:t>
      </w:r>
      <w:r>
        <w:rPr>
          <w:rFonts w:hint="eastAsia" w:ascii="宋体" w:hAnsi="宋体" w:eastAsia="宋体" w:cs="宋体"/>
          <w:bCs/>
          <w:color w:val="auto"/>
          <w:spacing w:val="4"/>
          <w:kern w:val="0"/>
          <w:sz w:val="24"/>
          <w:szCs w:val="24"/>
          <w:highlight w:val="none"/>
          <w:lang w:eastAsia="zh-CN"/>
        </w:rPr>
        <w:t>招商云证等其它支付方式。</w:t>
      </w:r>
    </w:p>
    <w:p w14:paraId="7B7551A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7.4.1银行转账:</w:t>
      </w:r>
    </w:p>
    <w:p w14:paraId="3D61B19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结算价=基</w:t>
      </w:r>
      <w:r>
        <w:rPr>
          <w:rFonts w:hint="eastAsia" w:ascii="宋体" w:hAnsi="宋体" w:eastAsia="宋体" w:cs="宋体"/>
          <w:bCs/>
          <w:color w:val="auto"/>
          <w:kern w:val="0"/>
          <w:sz w:val="24"/>
          <w:szCs w:val="24"/>
          <w:highlight w:val="none"/>
        </w:rPr>
        <w:t>准价±</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元/t</w:t>
      </w:r>
    </w:p>
    <w:p w14:paraId="30535B07">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lang w:val="en-US" w:eastAsia="zh-CN" w:bidi="ar-SA"/>
        </w:rPr>
      </w:pPr>
      <w:r>
        <w:rPr>
          <w:rFonts w:hint="eastAsia" w:ascii="宋体" w:hAnsi="宋体" w:eastAsia="宋体" w:cs="宋体"/>
          <w:bCs/>
          <w:color w:val="auto"/>
          <w:kern w:val="0"/>
          <w:sz w:val="24"/>
          <w:szCs w:val="24"/>
          <w:highlight w:val="none"/>
          <w:lang w:val="en-US" w:eastAsia="zh-CN" w:bidi="ar-SA"/>
        </w:rPr>
        <w:t>7.4.3金融票据：</w:t>
      </w:r>
    </w:p>
    <w:p w14:paraId="3056C89A">
      <w:pPr>
        <w:pageBreakBefore w:val="0"/>
        <w:kinsoku/>
        <w:wordWrap/>
        <w:overflowPunct/>
        <w:topLinePunct w:val="0"/>
        <w:bidi w:val="0"/>
        <w:snapToGrid/>
        <w:spacing w:line="400" w:lineRule="exact"/>
        <w:ind w:firstLine="480" w:firstLineChars="200"/>
        <w:textAlignment w:val="auto"/>
        <w:rPr>
          <w:rFonts w:hint="default" w:ascii="宋体" w:hAnsi="宋体" w:eastAsia="宋体" w:cs="宋体"/>
          <w:i/>
          <w:iCs/>
          <w:color w:val="auto"/>
          <w:sz w:val="24"/>
          <w:szCs w:val="24"/>
          <w:highlight w:val="none"/>
          <w:lang w:val="en-US" w:eastAsia="zh-CN"/>
        </w:rPr>
      </w:pP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val="en-US" w:eastAsia="zh-CN"/>
        </w:rPr>
        <w:t>中企云链、</w:t>
      </w:r>
      <w:r>
        <w:rPr>
          <w:rFonts w:hint="eastAsia" w:ascii="宋体" w:hAnsi="宋体" w:eastAsia="宋体" w:cs="宋体"/>
          <w:color w:val="auto"/>
          <w:sz w:val="24"/>
          <w:szCs w:val="24"/>
          <w:highlight w:val="none"/>
        </w:rPr>
        <w:t>中铁E信、E信通</w:t>
      </w:r>
      <w:r>
        <w:rPr>
          <w:rFonts w:hint="eastAsia" w:ascii="宋体" w:hAnsi="宋体" w:cs="宋体"/>
          <w:color w:val="auto"/>
          <w:sz w:val="24"/>
          <w:szCs w:val="24"/>
          <w:highlight w:val="none"/>
          <w:lang w:val="en-US" w:eastAsia="zh-CN"/>
        </w:rPr>
        <w:t>等其他金融票据</w:t>
      </w:r>
      <w:r>
        <w:rPr>
          <w:rFonts w:hint="eastAsia" w:ascii="宋体" w:hAnsi="宋体" w:eastAsia="宋体" w:cs="宋体"/>
          <w:color w:val="auto"/>
          <w:sz w:val="24"/>
          <w:szCs w:val="24"/>
          <w:highlight w:val="none"/>
        </w:rPr>
        <w:t>贴息费用</w:t>
      </w:r>
      <w:r>
        <w:rPr>
          <w:rFonts w:hint="eastAsia" w:ascii="宋体" w:hAnsi="宋体" w:cs="宋体"/>
          <w:color w:val="auto"/>
          <w:sz w:val="24"/>
          <w:szCs w:val="24"/>
          <w:highlight w:val="none"/>
          <w:lang w:val="en-US" w:eastAsia="zh-CN"/>
        </w:rPr>
        <w:t>由甲方据实承担。乙方提供相关票据贴息凭证。</w:t>
      </w:r>
    </w:p>
    <w:p w14:paraId="64FAE5BF">
      <w:pPr>
        <w:pageBreakBefore w:val="0"/>
        <w:kinsoku/>
        <w:wordWrap/>
        <w:overflowPunct/>
        <w:topLinePunct w:val="0"/>
        <w:bidi w:val="0"/>
        <w:snapToGrid/>
        <w:spacing w:line="400" w:lineRule="exact"/>
        <w:ind w:firstLine="364" w:firstLineChars="15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收款单位名称： </w:t>
      </w:r>
    </w:p>
    <w:p w14:paraId="584B4C4D">
      <w:pPr>
        <w:pageBreakBefore w:val="0"/>
        <w:kinsoku/>
        <w:wordWrap/>
        <w:overflowPunct/>
        <w:topLinePunct w:val="0"/>
        <w:bidi w:val="0"/>
        <w:snapToGrid/>
        <w:spacing w:line="400" w:lineRule="exact"/>
        <w:ind w:firstLine="364" w:firstLineChars="15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6BD1FE2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账  号：</w:t>
      </w:r>
    </w:p>
    <w:p w14:paraId="4C6DC68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乙方指定联系人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（身份证号：      ）</w:t>
      </w:r>
      <w:r>
        <w:rPr>
          <w:rFonts w:hint="eastAsia" w:ascii="宋体" w:hAnsi="宋体" w:eastAsia="宋体" w:cs="宋体"/>
          <w:color w:val="auto"/>
          <w:sz w:val="24"/>
          <w:szCs w:val="24"/>
          <w:highlight w:val="none"/>
        </w:rPr>
        <w:t>，联系方式:        。</w:t>
      </w:r>
    </w:p>
    <w:p w14:paraId="4C1FCCE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7.5乙方在收到甲方支付的金融票据后，视为甲方已履行合同中约定的货款支付义务，乙方应在</w:t>
      </w:r>
      <w:r>
        <w:rPr>
          <w:rFonts w:hint="eastAsia" w:ascii="宋体" w:hAnsi="宋体" w:eastAsia="宋体" w:cs="宋体"/>
          <w:color w:val="auto"/>
          <w:kern w:val="2"/>
          <w:sz w:val="24"/>
          <w:szCs w:val="24"/>
          <w:highlight w:val="none"/>
          <w:u w:val="single"/>
          <w:lang w:val="en-US" w:eastAsia="zh-CN" w:bidi="ar-SA"/>
        </w:rPr>
        <w:t xml:space="preserve">  </w:t>
      </w:r>
      <w:r>
        <w:rPr>
          <w:rFonts w:hint="eastAsia" w:ascii="宋体" w:hAnsi="宋体" w:eastAsia="宋体" w:cs="宋体"/>
          <w:color w:val="auto"/>
          <w:kern w:val="2"/>
          <w:sz w:val="24"/>
          <w:szCs w:val="24"/>
          <w:highlight w:val="none"/>
          <w:lang w:val="en-US" w:eastAsia="zh-CN" w:bidi="ar-SA"/>
        </w:rPr>
        <w:t>日内履行供货义务，若乙方未按照合同约定履行供货义务的，则</w:t>
      </w:r>
      <w:r>
        <w:rPr>
          <w:rFonts w:hint="eastAsia" w:ascii="宋体" w:hAnsi="宋体" w:eastAsia="宋体" w:cs="宋体"/>
          <w:i w:val="0"/>
          <w:iCs w:val="0"/>
          <w:color w:val="auto"/>
          <w:kern w:val="2"/>
          <w:sz w:val="24"/>
          <w:szCs w:val="24"/>
          <w:highlight w:val="none"/>
          <w:lang w:val="en-US" w:eastAsia="zh-CN" w:bidi="ar-SA"/>
        </w:rPr>
        <w:t>应承担违约责任。</w:t>
      </w:r>
    </w:p>
    <w:p w14:paraId="4E82661C">
      <w:pPr>
        <w:pageBreakBefore w:val="0"/>
        <w:kinsoku/>
        <w:wordWrap/>
        <w:overflowPunct/>
        <w:topLinePunct w:val="0"/>
        <w:bidi w:val="0"/>
        <w:snapToGrid/>
        <w:spacing w:line="400" w:lineRule="exact"/>
        <w:ind w:firstLine="600" w:firstLineChars="25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kern w:val="0"/>
          <w:sz w:val="24"/>
          <w:szCs w:val="24"/>
          <w:highlight w:val="none"/>
        </w:rPr>
        <w:t>如甲方出现资金困难，乙方同意给予</w:t>
      </w:r>
      <w:r>
        <w:rPr>
          <w:rFonts w:hint="eastAsia" w:ascii="宋体" w:hAnsi="宋体" w:cs="宋体"/>
          <w:bCs/>
          <w:color w:val="auto"/>
          <w:kern w:val="0"/>
          <w:sz w:val="24"/>
          <w:szCs w:val="24"/>
          <w:highlight w:val="none"/>
          <w:u w:val="single"/>
          <w:lang w:val="en-US" w:eastAsia="zh-CN"/>
        </w:rPr>
        <w:t>7天</w:t>
      </w:r>
      <w:r>
        <w:rPr>
          <w:rFonts w:hint="eastAsia" w:ascii="宋体" w:hAnsi="宋体" w:eastAsia="宋体" w:cs="宋体"/>
          <w:bCs/>
          <w:color w:val="auto"/>
          <w:kern w:val="0"/>
          <w:sz w:val="24"/>
          <w:szCs w:val="24"/>
          <w:highlight w:val="none"/>
        </w:rPr>
        <w:t xml:space="preserve">的付款宽限期，在此宽期间内不视为甲方违约且不计息，乙方不得以此为由中断本项目的货物供应。 </w:t>
      </w:r>
    </w:p>
    <w:p w14:paraId="741A601B">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第八条 甲方的义务</w:t>
      </w:r>
    </w:p>
    <w:p w14:paraId="7B6EA5F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8.1 甲方负责提供供货计划和准确的交货地点。</w:t>
      </w:r>
    </w:p>
    <w:p w14:paraId="557775AA">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8.2 按合同约定支付合同价款。</w:t>
      </w:r>
    </w:p>
    <w:p w14:paraId="067FB4A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8.3 甲方不得无故拒绝接收供货计划范围内的物品。</w:t>
      </w:r>
    </w:p>
    <w:p w14:paraId="6492FDD2">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8.4 按合同约定对物品进行检验和验收。</w:t>
      </w:r>
    </w:p>
    <w:p w14:paraId="1036C5B6">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第九条 乙方的义务</w:t>
      </w:r>
    </w:p>
    <w:p w14:paraId="74B23AE7">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9.1 乙方保质保量提供服务，所供钢材产品质量符合国家标准及相关规定。</w:t>
      </w:r>
      <w:r>
        <w:rPr>
          <w:rFonts w:hint="eastAsia" w:ascii="宋体" w:hAnsi="宋体" w:eastAsia="宋体" w:cs="宋体"/>
          <w:color w:val="auto"/>
          <w:sz w:val="24"/>
          <w:szCs w:val="24"/>
          <w:highlight w:val="none"/>
        </w:rPr>
        <w:t>甲方对采购物资原材料进行质量抽检时，乙方需无条件积极配合完成。</w:t>
      </w:r>
    </w:p>
    <w:p w14:paraId="1AD62A01">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9.2 乙方应在规定的时间内，准确无误地将产品送至甲方指定送货地点，并配合甲方验收，共同做好签认记录。</w:t>
      </w:r>
    </w:p>
    <w:p w14:paraId="4A1941EA">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9.3 乙方乙方承担装货、卸货的义务</w:t>
      </w:r>
      <w:r>
        <w:rPr>
          <w:rFonts w:hint="eastAsia" w:ascii="宋体" w:hAnsi="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做好所供钢材进场工作，保证顺利卸货退场，确保供料正常进行。</w:t>
      </w:r>
    </w:p>
    <w:p w14:paraId="48775865">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9.4 乙方有义务协助甲方调剂非乙方原因造成的乙方所供应的多余产品。</w:t>
      </w:r>
    </w:p>
    <w:p w14:paraId="1F935A5B">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9.5 乙方必须做好运输、装卸等过程中的环境保护，遵守国家和行业的有关规定。因违反规定而受到任何处罚的，乙方承担全部责任。在货物交付之前，因乙方原因对道路、周围环境及人身、财产造成损害的，乙方承担赔偿责任。</w:t>
      </w:r>
    </w:p>
    <w:p w14:paraId="374693FA">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9.6</w:t>
      </w:r>
      <w:r>
        <w:rPr>
          <w:rFonts w:hint="eastAsia" w:ascii="宋体" w:hAnsi="宋体" w:eastAsia="宋体" w:cs="宋体"/>
          <w:color w:val="auto"/>
          <w:sz w:val="24"/>
          <w:szCs w:val="24"/>
          <w:highlight w:val="none"/>
        </w:rPr>
        <w:t>乙方积极协助甲方在税法规定期限内办理有关的进项税额的认证申办手续。乙方开具的增值税专用发票在送达甲方后如发生丢失、灭失，乙方应当按照税法规定和甲方的要求及时向甲方提供该发票的存根联复印件，如因乙方拒绝履行配合义务，造成甲方经济损失的，应由乙方承担。</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kern w:val="0"/>
          <w:sz w:val="24"/>
          <w:szCs w:val="24"/>
          <w:highlight w:val="none"/>
        </w:rPr>
        <w:t>9.7 在涉及到钢材质量问题的退货行为时,如果退货行为涉及到开具红字增值税专用发票的行为,乙方应当履行相关协助义务。</w:t>
      </w:r>
    </w:p>
    <w:p w14:paraId="5DD3AABB">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9.8在本合同发生变更涉及增值税专用发票记载项目发生变化时，如果甲方取得增值税专用发票尚未认证抵扣,乙方应于专用发票认证期限内办理红字增值税专用发票开具申请，并重新开具增值税专用发票。如果原增值税专用发票已经抵扣，乙方就合同增加的金额补开增值税专用发票，就减少的金额甲方负责办理红字增值税专用发票开具申请，乙方开具红字增值税专用发票。</w:t>
      </w:r>
    </w:p>
    <w:p w14:paraId="19495768">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9.9乙方其他义务：</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F6954DE">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第十条 违约责任</w:t>
      </w:r>
    </w:p>
    <w:p w14:paraId="002359A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10.1甲方在宽限期后，仍逾期支付货款的（乙方未履行向甲方开具增值税专用发票等合同约定的义务除外），甲方对逾期付款部分从宽限期满的次日起向乙方支付违约金及利息。违约金及利息按</w:t>
      </w:r>
      <w:r>
        <w:rPr>
          <w:rFonts w:hint="eastAsia" w:ascii="宋体" w:hAnsi="宋体" w:cs="宋体"/>
          <w:color w:val="auto"/>
          <w:sz w:val="24"/>
          <w:szCs w:val="24"/>
          <w:highlight w:val="none"/>
          <w:lang w:val="en-US" w:eastAsia="zh-CN"/>
        </w:rPr>
        <w:t>同期LPR利率</w:t>
      </w:r>
      <w:r>
        <w:rPr>
          <w:rFonts w:hint="eastAsia" w:ascii="宋体" w:hAnsi="宋体" w:eastAsia="宋体" w:cs="宋体"/>
          <w:color w:val="auto"/>
          <w:sz w:val="24"/>
          <w:szCs w:val="24"/>
          <w:highlight w:val="none"/>
        </w:rPr>
        <w:t>计算，计算的基数以甲方最后一笔付款时剩余欠款金额为准，不包括前期逾期但现已支付部分的货款，违约金及利息最高不得超过本合同项下双方结算价款（不含增值税）的1%。除此之外，甲方不再承担其他任何违约责任。</w:t>
      </w:r>
    </w:p>
    <w:p w14:paraId="0E41B9C7">
      <w:pPr>
        <w:pageBreakBefore w:val="0"/>
        <w:tabs>
          <w:tab w:val="left" w:pos="900"/>
        </w:tabs>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10.2 乙方不能随车提供质保书和其他单证的，甲方有权拒绝收货，乙方应承担退货等责任和费用，并向甲方支付未提供单证的货款金额的</w:t>
      </w:r>
      <w:r>
        <w:rPr>
          <w:rFonts w:hint="eastAsia" w:ascii="宋体" w:hAnsi="宋体" w:cs="宋体"/>
          <w:bCs/>
          <w:color w:val="auto"/>
          <w:kern w:val="0"/>
          <w:sz w:val="24"/>
          <w:szCs w:val="24"/>
          <w:highlight w:val="none"/>
          <w:u w:val="single"/>
          <w:lang w:eastAsia="zh-CN"/>
        </w:rPr>
        <w:t>1%</w:t>
      </w:r>
      <w:r>
        <w:rPr>
          <w:rFonts w:hint="eastAsia" w:ascii="宋体" w:hAnsi="宋体" w:eastAsia="宋体" w:cs="宋体"/>
          <w:bCs/>
          <w:color w:val="auto"/>
          <w:kern w:val="0"/>
          <w:sz w:val="24"/>
          <w:szCs w:val="24"/>
          <w:highlight w:val="none"/>
        </w:rPr>
        <w:t>的违约金，并由此承担给甲方造成的损失。</w:t>
      </w:r>
    </w:p>
    <w:p w14:paraId="58A8FCE0">
      <w:pPr>
        <w:pageBreakBefore w:val="0"/>
        <w:tabs>
          <w:tab w:val="left" w:pos="900"/>
        </w:tabs>
        <w:kinsoku/>
        <w:wordWrap/>
        <w:overflowPunct/>
        <w:topLinePunct w:val="0"/>
        <w:bidi w:val="0"/>
        <w:snapToGrid/>
        <w:spacing w:line="400" w:lineRule="exact"/>
        <w:ind w:firstLine="360" w:firstLineChars="15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10.3 乙方逾期交货的，每逾期一日，按照逾期交货金额的</w:t>
      </w:r>
      <w:r>
        <w:rPr>
          <w:rFonts w:hint="eastAsia" w:ascii="宋体" w:hAnsi="宋体" w:cs="宋体"/>
          <w:bCs/>
          <w:color w:val="auto"/>
          <w:kern w:val="0"/>
          <w:sz w:val="24"/>
          <w:szCs w:val="24"/>
          <w:highlight w:val="none"/>
          <w:u w:val="single"/>
          <w:lang w:eastAsia="zh-CN"/>
        </w:rPr>
        <w:t>1%</w:t>
      </w:r>
      <w:r>
        <w:rPr>
          <w:rFonts w:hint="eastAsia" w:ascii="宋体" w:hAnsi="宋体" w:eastAsia="宋体" w:cs="宋体"/>
          <w:bCs/>
          <w:color w:val="auto"/>
          <w:kern w:val="0"/>
          <w:sz w:val="24"/>
          <w:szCs w:val="24"/>
          <w:highlight w:val="none"/>
        </w:rPr>
        <w:t>向甲方支付逾期交货的违约金，甲方视工程进度情况有权向第三方采购或部分采购产品，所增加的费用由乙方承担；如逾期超过</w:t>
      </w:r>
      <w:r>
        <w:rPr>
          <w:rFonts w:hint="eastAsia" w:ascii="宋体" w:hAnsi="宋体" w:eastAsia="宋体" w:cs="宋体"/>
          <w:bCs/>
          <w:color w:val="auto"/>
          <w:kern w:val="0"/>
          <w:sz w:val="24"/>
          <w:szCs w:val="24"/>
          <w:highlight w:val="none"/>
          <w:u w:val="single"/>
        </w:rPr>
        <w:t>3</w:t>
      </w:r>
      <w:r>
        <w:rPr>
          <w:rFonts w:hint="eastAsia" w:ascii="宋体" w:hAnsi="宋体" w:eastAsia="宋体" w:cs="宋体"/>
          <w:bCs/>
          <w:color w:val="auto"/>
          <w:kern w:val="0"/>
          <w:sz w:val="24"/>
          <w:szCs w:val="24"/>
          <w:highlight w:val="none"/>
        </w:rPr>
        <w:t>日，则甲方有权解除合同，乙方应承担由此给甲方造成的一切损失。</w:t>
      </w:r>
    </w:p>
    <w:p w14:paraId="6BF86F0F">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10.4 乙方所交产品的品种、型号、规格和质量等不符合合同约定的，乙方应按照甲方异议时提出的要求处理，由此产生的费用由乙方自行承担。如在甲方指定的期限内，乙方产品仍不能达到合同约定条件或甲方要求的，乙方按本批次所交产品金额的</w:t>
      </w:r>
      <w:r>
        <w:rPr>
          <w:rFonts w:hint="eastAsia" w:ascii="宋体" w:hAnsi="宋体" w:cs="宋体"/>
          <w:bCs/>
          <w:color w:val="auto"/>
          <w:kern w:val="0"/>
          <w:sz w:val="24"/>
          <w:szCs w:val="24"/>
          <w:highlight w:val="none"/>
          <w:u w:val="single"/>
          <w:lang w:eastAsia="zh-CN"/>
        </w:rPr>
        <w:t>1%</w:t>
      </w:r>
      <w:r>
        <w:rPr>
          <w:rFonts w:hint="eastAsia" w:ascii="宋体" w:hAnsi="宋体" w:eastAsia="宋体" w:cs="宋体"/>
          <w:bCs/>
          <w:color w:val="auto"/>
          <w:kern w:val="0"/>
          <w:sz w:val="24"/>
          <w:szCs w:val="24"/>
          <w:highlight w:val="none"/>
        </w:rPr>
        <w:t>支付违约金；逾期超过指定期限</w:t>
      </w:r>
      <w:r>
        <w:rPr>
          <w:rFonts w:hint="eastAsia" w:ascii="宋体" w:hAnsi="宋体" w:eastAsia="宋体" w:cs="宋体"/>
          <w:bCs/>
          <w:color w:val="auto"/>
          <w:kern w:val="0"/>
          <w:sz w:val="24"/>
          <w:szCs w:val="24"/>
          <w:highlight w:val="none"/>
          <w:u w:val="single"/>
        </w:rPr>
        <w:t>7</w:t>
      </w:r>
      <w:r>
        <w:rPr>
          <w:rFonts w:hint="eastAsia" w:ascii="宋体" w:hAnsi="宋体" w:eastAsia="宋体" w:cs="宋体"/>
          <w:bCs/>
          <w:color w:val="auto"/>
          <w:kern w:val="0"/>
          <w:sz w:val="24"/>
          <w:szCs w:val="24"/>
          <w:highlight w:val="none"/>
        </w:rPr>
        <w:t>日的，甲方有权解除本合同，由此给甲方造成的损失由乙方承担。</w:t>
      </w:r>
    </w:p>
    <w:p w14:paraId="28463069">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10.5 乙方多送产品到达甲方指定地点的，甲方有权拒绝接收多交部分产品，退场责任和费用由乙方自行负责；如乙方拒绝收回多交部分产品的，甲方有权自行处理上述货物，造成的损失由乙方承担。</w:t>
      </w:r>
    </w:p>
    <w:p w14:paraId="7E7AA19D">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 xml:space="preserve">10.6 </w:t>
      </w:r>
      <w:r>
        <w:rPr>
          <w:rFonts w:hint="eastAsia" w:ascii="宋体" w:hAnsi="宋体" w:cs="宋体"/>
          <w:bCs/>
          <w:color w:val="auto"/>
          <w:kern w:val="0"/>
          <w:sz w:val="24"/>
          <w:szCs w:val="24"/>
          <w:highlight w:val="none"/>
          <w:lang w:val="en-US" w:eastAsia="zh-CN"/>
        </w:rPr>
        <w:t>甲方未逾期支付货款情况下，</w:t>
      </w:r>
      <w:r>
        <w:rPr>
          <w:rFonts w:hint="eastAsia" w:ascii="宋体" w:hAnsi="宋体" w:eastAsia="宋体" w:cs="宋体"/>
          <w:bCs/>
          <w:color w:val="auto"/>
          <w:kern w:val="0"/>
          <w:sz w:val="24"/>
          <w:szCs w:val="24"/>
          <w:highlight w:val="none"/>
        </w:rPr>
        <w:t>乙方不得擅自停止供货，否则甲方有权重新选择其它供应商，同时乙方承担本合同第一条中含增值税总价</w:t>
      </w:r>
      <w:r>
        <w:rPr>
          <w:rFonts w:hint="eastAsia" w:ascii="宋体" w:hAnsi="宋体" w:eastAsia="宋体" w:cs="宋体"/>
          <w:bCs/>
          <w:color w:val="auto"/>
          <w:kern w:val="0"/>
          <w:sz w:val="24"/>
          <w:szCs w:val="24"/>
          <w:highlight w:val="none"/>
          <w:u w:val="single"/>
          <w:lang w:val="en-US" w:eastAsia="zh-CN"/>
        </w:rPr>
        <w:t>1</w:t>
      </w:r>
      <w:r>
        <w:rPr>
          <w:rFonts w:hint="eastAsia" w:ascii="宋体" w:hAnsi="宋体" w:eastAsia="宋体" w:cs="宋体"/>
          <w:bCs/>
          <w:color w:val="auto"/>
          <w:kern w:val="0"/>
          <w:sz w:val="24"/>
          <w:szCs w:val="24"/>
          <w:highlight w:val="none"/>
          <w:u w:val="single"/>
        </w:rPr>
        <w:t>%</w:t>
      </w:r>
      <w:r>
        <w:rPr>
          <w:rFonts w:hint="eastAsia" w:ascii="宋体" w:hAnsi="宋体" w:eastAsia="宋体" w:cs="宋体"/>
          <w:bCs/>
          <w:color w:val="auto"/>
          <w:kern w:val="0"/>
          <w:sz w:val="24"/>
          <w:szCs w:val="24"/>
          <w:highlight w:val="none"/>
        </w:rPr>
        <w:t>的违约金并赔偿断货给甲方造成的一切损失。</w:t>
      </w:r>
    </w:p>
    <w:p w14:paraId="54E80DE1">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kern w:val="0"/>
          <w:sz w:val="24"/>
          <w:szCs w:val="24"/>
          <w:highlight w:val="none"/>
        </w:rPr>
        <w:t>0.7乙方未能按甲方要求提供增值税专用发票（含税务机关代开），甲方有权拒付相应货款。</w:t>
      </w:r>
    </w:p>
    <w:p w14:paraId="2B47007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10.8若因逾期送达发票造成甲方无法抵扣发票相应税款的，乙方还应赔偿甲方由此遭受的损失，金额相当于逾期送达发票可抵扣金额，并加收按逾期送达发票金额</w:t>
      </w:r>
      <w:r>
        <w:rPr>
          <w:rFonts w:hint="eastAsia" w:ascii="宋体" w:hAnsi="宋体" w:eastAsia="宋体" w:cs="宋体"/>
          <w:color w:val="auto"/>
          <w:sz w:val="24"/>
          <w:szCs w:val="24"/>
          <w:highlight w:val="none"/>
          <w:u w:val="single"/>
        </w:rPr>
        <w:t>_</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%的违约金。</w:t>
      </w:r>
    </w:p>
    <w:p w14:paraId="0D5D6499">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10.9乙方应提供真实、有效、合格的发票，如发现乙方提供虚假发票或虚开增值税专用发票的情况，乙方须按发票金额的</w:t>
      </w:r>
      <w:r>
        <w:rPr>
          <w:rFonts w:hint="eastAsia" w:ascii="宋体" w:hAnsi="宋体" w:eastAsia="宋体" w:cs="宋体"/>
          <w:color w:val="auto"/>
          <w:sz w:val="24"/>
          <w:szCs w:val="24"/>
          <w:highlight w:val="none"/>
          <w:u w:val="single"/>
        </w:rPr>
        <w:t>_</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_</w:t>
      </w:r>
      <w:r>
        <w:rPr>
          <w:rFonts w:hint="eastAsia" w:ascii="宋体" w:hAnsi="宋体" w:eastAsia="宋体" w:cs="宋体"/>
          <w:color w:val="auto"/>
          <w:sz w:val="24"/>
          <w:szCs w:val="24"/>
          <w:highlight w:val="none"/>
        </w:rPr>
        <w:t>%向甲方支付违约金，并承担对甲方造成的全部损失。由于乙方原因造成甲方无法抵扣相应税款，发现问题后退回，乙方应无条件更换为有效发票，拒绝或逾期不更换发票的，造成甲方损失及相关风险，由乙方予以承担。发生上述情况时，甲方有权选择解除合同。</w:t>
      </w:r>
    </w:p>
    <w:p w14:paraId="1C303713">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10.10乙方有义务配合甲方接受税务机关、审计部门、纪检部门的检查工作，如果乙方拒不配合，由乙方支付</w:t>
      </w:r>
      <w:r>
        <w:rPr>
          <w:rFonts w:hint="eastAsia" w:ascii="宋体" w:hAnsi="宋体" w:eastAsia="宋体" w:cs="宋体"/>
          <w:color w:val="auto"/>
          <w:sz w:val="24"/>
          <w:szCs w:val="24"/>
          <w:highlight w:val="none"/>
          <w:u w:val="single"/>
        </w:rPr>
        <w:t>_五万_</w:t>
      </w:r>
      <w:r>
        <w:rPr>
          <w:rFonts w:hint="eastAsia" w:ascii="宋体" w:hAnsi="宋体" w:eastAsia="宋体" w:cs="宋体"/>
          <w:color w:val="auto"/>
          <w:sz w:val="24"/>
          <w:szCs w:val="24"/>
          <w:highlight w:val="none"/>
        </w:rPr>
        <w:t>元的违约金，并承担对甲方造成的损失。</w:t>
      </w:r>
    </w:p>
    <w:p w14:paraId="6C276828">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10.11乙方保证提供的产品、服务不侵犯任何第三方知识产权和其他任何权利。任何第三方提出侵权指控时，乙方负责与第三方交涉并承担一切可能发生的经济上、法律上的责任，由此给甲方带来损失的，乙方无条件予以赔偿。</w:t>
      </w:r>
    </w:p>
    <w:p w14:paraId="16A52A38">
      <w:pPr>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10.12如乙方被发包人、甲方上级单位或甲方列入“限制交易供应商名单”、“不合格供应商名单”、“供应商黑名单”或“关注类供方清单”等限制交易名单，甲方可以单方解除合同，解除合同的一切后果由乙方承担。</w:t>
      </w:r>
    </w:p>
    <w:p w14:paraId="573CA75B">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10.13 严禁乙方使用甲方的名称、字号、商标、LOGO及其他显著标识开展经营活动，否则甲方有权单方解除合同，乙方应赔偿甲方的一切损失。</w:t>
      </w:r>
    </w:p>
    <w:p w14:paraId="261EBD31">
      <w:pPr>
        <w:pageBreakBefore w:val="0"/>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10.1</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 xml:space="preserve"> 乙方其他违约责任：。</w:t>
      </w:r>
    </w:p>
    <w:p w14:paraId="5CF8B39C">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第十一条 争议解决</w:t>
      </w:r>
    </w:p>
    <w:p w14:paraId="3910535B">
      <w:pPr>
        <w:pageBreakBefore w:val="0"/>
        <w:widowControl/>
        <w:tabs>
          <w:tab w:val="left" w:pos="8364"/>
        </w:tabs>
        <w:kinsoku/>
        <w:wordWrap/>
        <w:overflowPunct/>
        <w:topLinePunct w:val="0"/>
        <w:bidi w:val="0"/>
        <w:snapToGrid/>
        <w:spacing w:line="400" w:lineRule="exact"/>
        <w:ind w:firstLine="48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bidi="ar-SA"/>
        </w:rPr>
        <w:t>11.1</w:t>
      </w:r>
      <w:r>
        <w:rPr>
          <w:rFonts w:hint="eastAsia"/>
          <w:color w:val="auto"/>
          <w:sz w:val="24"/>
          <w:szCs w:val="24"/>
          <w:highlight w:val="none"/>
          <w:lang w:val="zh-CN" w:eastAsia="zh-CN"/>
        </w:rPr>
        <w:t>甲、乙双方一致同意本协议项下的所有争议均提交甲方（即采购方）住所地人民法院管辖进行裁决。</w:t>
      </w:r>
    </w:p>
    <w:p w14:paraId="19FC94B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kern w:val="44"/>
          <w:sz w:val="24"/>
          <w:szCs w:val="24"/>
          <w:highlight w:val="none"/>
        </w:rPr>
        <w:t xml:space="preserve">第十二条　廉政条款 </w:t>
      </w:r>
    </w:p>
    <w:p w14:paraId="53E3772B">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12.1甲方（含甲方人员）义务</w:t>
      </w:r>
    </w:p>
    <w:p w14:paraId="205F51A3">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12.1.1不得接受乙方或向乙方索取或以借用为名占用乙方的</w:t>
      </w:r>
      <w:r>
        <w:rPr>
          <w:rFonts w:hint="eastAsia" w:ascii="宋体" w:hAnsi="宋体" w:eastAsia="宋体" w:cs="宋体"/>
          <w:color w:val="auto"/>
          <w:kern w:val="0"/>
          <w:sz w:val="24"/>
          <w:szCs w:val="24"/>
          <w:highlight w:val="none"/>
        </w:rPr>
        <w:t>任何财物；不得接受乙方的礼金、礼品和各种有价证券、支付凭证；不得接受乙方的任何奖金或其他经济利益。</w:t>
      </w:r>
    </w:p>
    <w:p w14:paraId="45CBB0B2">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12.1.2不从乙方报销或支付应由本单位或个人承担的费用；不得接受乙方提供的宴请、旅游、健身、娱乐等活动安排；在婚丧喜庆等活动中不邀请乙方人员参加、不接受乙方的财物。</w:t>
      </w:r>
    </w:p>
    <w:p w14:paraId="18401633">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12.1.3不得利用职务便利向乙方介绍或指定工程分包单位（或个人）、物资供应商；不得利用职务便利向乙方推销或指定使用物资设备等；不得借用、占用乙方车辆。</w:t>
      </w:r>
    </w:p>
    <w:p w14:paraId="75CF7641">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12.1.4对无法拒绝的乙方及其个人所送的钱物，应在一个月内报告上级纪检监察组织，并及时退还乙方或上缴纪检监察组织。</w:t>
      </w:r>
    </w:p>
    <w:p w14:paraId="483FFA99">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12.1.5对乙方提供的有关信息，应及时调查处理并反馈结果。</w:t>
      </w:r>
    </w:p>
    <w:p w14:paraId="5B2A89C1">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12.2乙方（含乙方人员）义务</w:t>
      </w:r>
    </w:p>
    <w:p w14:paraId="0211C9AA">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12.2.1不得以任何形式向甲方行贿；不得向甲方送礼金、礼品和各种有价证券、支付凭证；不得向甲方赠送任何奖金或其他经济利益。</w:t>
      </w:r>
    </w:p>
    <w:p w14:paraId="10023B0B">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12.2.2不得为甲方报销或支付应由其单位或个人承担的费用；不向甲方提供宴请、旅游、健身、娱乐等活动；不参加甲方人员的婚丧喜庆等活动，不向甲方家庭成员及亲属赠送任何礼金、礼品。</w:t>
      </w:r>
    </w:p>
    <w:p w14:paraId="14B992D8">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12.2.3不接受甲方介绍或指定的工程分包单位和物资供应商；不接受甲方推销或指定使用的物资设备，不向甲方无偿提供车辆等。</w:t>
      </w:r>
    </w:p>
    <w:p w14:paraId="7D99EA03">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12.2.4对甲方及其个人索要钱物、介绍或指定工程分包单位和物资供应商、推销或指定使用物资设备、借用占用车辆等行为予以拒绝，并及时主动向本单位（本系统）上级纪检监察组织报告。</w:t>
      </w:r>
    </w:p>
    <w:p w14:paraId="2FFBA59C">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12.2.5对甲方提供的有关信息，应及时调查处理并反馈结果。</w:t>
      </w:r>
    </w:p>
    <w:p w14:paraId="7B540E88">
      <w:pPr>
        <w:pageBreakBefore w:val="0"/>
        <w:widowControl/>
        <w:tabs>
          <w:tab w:val="left" w:pos="8364"/>
        </w:tabs>
        <w:kinsoku/>
        <w:wordWrap/>
        <w:overflowPunct/>
        <w:topLinePunct w:val="0"/>
        <w:bidi w:val="0"/>
        <w:snapToGrid/>
        <w:spacing w:line="400" w:lineRule="exact"/>
        <w:ind w:left="488" w:leftChars="228" w:hanging="9" w:hangingChars="4"/>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12.3.双方违约责任追究</w:t>
      </w:r>
      <w:r>
        <w:rPr>
          <w:rFonts w:hint="eastAsia" w:ascii="宋体" w:hAnsi="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12.3.1甲乙双方不履行各自义务，构成犯罪和违纪的，由司法机关和有关</w:t>
      </w:r>
    </w:p>
    <w:p w14:paraId="49EFE0E2">
      <w:pPr>
        <w:pageBreakBefore w:val="0"/>
        <w:widowControl/>
        <w:tabs>
          <w:tab w:val="left" w:pos="8364"/>
        </w:tabs>
        <w:kinsoku/>
        <w:wordWrap/>
        <w:overflowPunct/>
        <w:topLinePunct w:val="0"/>
        <w:bidi w:val="0"/>
        <w:snapToGrid/>
        <w:spacing w:line="400" w:lineRule="exact"/>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纪检监察部门按管辖依法依纪处理，所认定的事实和处理结果作为承担下列约定违约责任的依据。</w:t>
      </w:r>
    </w:p>
    <w:p w14:paraId="096476F0">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12.3.2甲方向乙方索贿，甲方向乙方支付违约金五万元，乙方主动向甲方行贿，乙方向甲方支付违约金五万元。造成的直接经济损失，由采取主动行为先行违反义务一方承担。</w:t>
      </w:r>
    </w:p>
    <w:p w14:paraId="23C15616">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第十</w:t>
      </w:r>
      <w:r>
        <w:rPr>
          <w:rFonts w:hint="eastAsia" w:ascii="宋体" w:hAnsi="宋体" w:cs="宋体"/>
          <w:b/>
          <w:bCs/>
          <w:color w:val="auto"/>
          <w:kern w:val="44"/>
          <w:sz w:val="24"/>
          <w:szCs w:val="24"/>
          <w:highlight w:val="none"/>
          <w:lang w:eastAsia="zh-CN"/>
        </w:rPr>
        <w:t>三</w:t>
      </w:r>
      <w:r>
        <w:rPr>
          <w:rFonts w:hint="eastAsia" w:ascii="宋体" w:hAnsi="宋体" w:eastAsia="宋体" w:cs="宋体"/>
          <w:b/>
          <w:bCs/>
          <w:color w:val="auto"/>
          <w:kern w:val="44"/>
          <w:sz w:val="24"/>
          <w:szCs w:val="24"/>
          <w:highlight w:val="none"/>
        </w:rPr>
        <w:t>条　不可抗力：</w:t>
      </w:r>
    </w:p>
    <w:p w14:paraId="03EFE535">
      <w:pPr>
        <w:pageBreakBefore w:val="0"/>
        <w:kinsoku/>
        <w:wordWrap/>
        <w:overflowPunct/>
        <w:topLinePunct w:val="0"/>
        <w:bidi w:val="0"/>
        <w:snapToGrid/>
        <w:spacing w:line="400" w:lineRule="exact"/>
        <w:ind w:firstLine="480" w:firstLineChars="200"/>
        <w:textAlignment w:val="auto"/>
        <w:rPr>
          <w:rFonts w:hint="eastAsia" w:ascii="Times New Roman" w:hAnsi="Times New Roman" w:cs="Times New Roman"/>
          <w:color w:val="auto"/>
          <w:szCs w:val="20"/>
          <w:highlight w:val="none"/>
        </w:rPr>
      </w:pPr>
      <w:r>
        <w:rPr>
          <w:rFonts w:hint="eastAsia" w:ascii="宋体" w:hAnsi="宋体" w:eastAsia="宋体" w:cs="宋体"/>
          <w:color w:val="auto"/>
          <w:sz w:val="24"/>
          <w:szCs w:val="24"/>
          <w:highlight w:val="none"/>
        </w:rPr>
        <w:t>任何一方由于不可抗力原因不能履行合同时，应在不可抗力事件发生后小时内通知对方，并在不可抗力事件结束后</w:t>
      </w:r>
      <w:r>
        <w:rPr>
          <w:rFonts w:hint="eastAsia" w:ascii="宋体" w:hAnsi="宋体" w:eastAsia="宋体" w:cs="宋体"/>
          <w:color w:val="auto"/>
          <w:sz w:val="24"/>
          <w:szCs w:val="24"/>
          <w:highlight w:val="none"/>
          <w:u w:val="single"/>
        </w:rPr>
        <w:t>_7_</w:t>
      </w:r>
      <w:r>
        <w:rPr>
          <w:rFonts w:hint="eastAsia" w:ascii="宋体" w:hAnsi="宋体" w:eastAsia="宋体" w:cs="宋体"/>
          <w:color w:val="auto"/>
          <w:sz w:val="24"/>
          <w:szCs w:val="24"/>
          <w:highlight w:val="none"/>
        </w:rPr>
        <w:t>日内将有权机构出具的不可抗力证明提交对方后，允许延期履行、部分履行或者不履行合同，并根据情况可部分或全部免予承担违约责任。</w:t>
      </w:r>
    </w:p>
    <w:p w14:paraId="74CC95AF">
      <w:pPr>
        <w:keepNext/>
        <w:keepLines/>
        <w:pageBreakBefore w:val="0"/>
        <w:kinsoku/>
        <w:wordWrap/>
        <w:overflowPunct/>
        <w:topLinePunct w:val="0"/>
        <w:bidi w:val="0"/>
        <w:snapToGrid/>
        <w:spacing w:line="400" w:lineRule="exact"/>
        <w:textAlignment w:val="auto"/>
        <w:outlineLvl w:val="0"/>
        <w:rPr>
          <w:rFonts w:hint="eastAsia" w:ascii="宋体" w:hAnsi="宋体" w:eastAsia="宋体" w:cs="宋体"/>
          <w:b/>
          <w:bCs/>
          <w:color w:val="auto"/>
          <w:kern w:val="44"/>
          <w:sz w:val="24"/>
          <w:szCs w:val="24"/>
          <w:highlight w:val="none"/>
        </w:rPr>
      </w:pPr>
      <w:r>
        <w:rPr>
          <w:rFonts w:hint="eastAsia" w:ascii="宋体" w:hAnsi="宋体" w:eastAsia="宋体" w:cs="宋体"/>
          <w:b/>
          <w:bCs/>
          <w:color w:val="auto"/>
          <w:kern w:val="44"/>
          <w:sz w:val="24"/>
          <w:szCs w:val="24"/>
          <w:highlight w:val="none"/>
        </w:rPr>
        <w:t>第十</w:t>
      </w:r>
      <w:r>
        <w:rPr>
          <w:rFonts w:hint="eastAsia" w:ascii="宋体" w:hAnsi="宋体" w:cs="宋体"/>
          <w:b/>
          <w:bCs/>
          <w:color w:val="auto"/>
          <w:kern w:val="44"/>
          <w:sz w:val="24"/>
          <w:szCs w:val="24"/>
          <w:highlight w:val="none"/>
          <w:lang w:eastAsia="zh-CN"/>
        </w:rPr>
        <w:t>四</w:t>
      </w:r>
      <w:r>
        <w:rPr>
          <w:rFonts w:hint="eastAsia" w:ascii="宋体" w:hAnsi="宋体" w:eastAsia="宋体" w:cs="宋体"/>
          <w:b/>
          <w:bCs/>
          <w:color w:val="auto"/>
          <w:kern w:val="44"/>
          <w:sz w:val="24"/>
          <w:szCs w:val="24"/>
          <w:highlight w:val="none"/>
        </w:rPr>
        <w:t>条 其他事项</w:t>
      </w:r>
    </w:p>
    <w:p w14:paraId="175AED57">
      <w:pPr>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14.1</w:t>
      </w:r>
      <w:r>
        <w:rPr>
          <w:rFonts w:hint="eastAsia" w:ascii="宋体" w:hAnsi="宋体" w:eastAsia="宋体" w:cs="宋体"/>
          <w:color w:val="auto"/>
          <w:kern w:val="2"/>
          <w:sz w:val="24"/>
          <w:szCs w:val="24"/>
          <w:highlight w:val="none"/>
          <w:lang w:val="en-US" w:eastAsia="zh-CN" w:bidi="ar-SA"/>
        </w:rPr>
        <w:t xml:space="preserve"> 本合同如有未尽事宜，双方协商签订书面补充协议。补充协议作为本合同的组成部分，与本合同具有同等法律效力。</w:t>
      </w:r>
    </w:p>
    <w:p w14:paraId="48C34F46">
      <w:pPr>
        <w:spacing w:line="44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14.1.1未经甲乙双方当事人一致同意，未签订书面补充协议，乙方单方供货形成的订（送）货单、凭证等交易手续文件中载明的内容，均与甲方无关；若存在甲方区域中心或甲方任何人员向乙方出具的未加盖甲方公章（或合同章）的说明或承诺的情况，乙方应在收到说明、承诺之日起3日内及时与甲方进行确认，若未经确认进行结算的，造成的责任由乙方承担；若经甲方核实，与本合同约定内容不符的，则以本合同约定为准。</w:t>
      </w:r>
    </w:p>
    <w:p w14:paraId="48FD3D78">
      <w:pPr>
        <w:pageBreakBefore w:val="0"/>
        <w:tabs>
          <w:tab w:val="left" w:pos="360"/>
        </w:tabs>
        <w:kinsoku/>
        <w:wordWrap/>
        <w:overflowPunct/>
        <w:topLinePunct w:val="0"/>
        <w:bidi w:val="0"/>
        <w:snapToGrid/>
        <w:spacing w:line="400" w:lineRule="exact"/>
        <w:ind w:firstLine="400" w:firstLineChars="167"/>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14.1.2</w:t>
      </w:r>
      <w:r>
        <w:rPr>
          <w:rFonts w:hint="eastAsia" w:ascii="宋体" w:hAnsi="宋体" w:eastAsia="宋体" w:cs="宋体"/>
          <w:color w:val="auto"/>
          <w:sz w:val="24"/>
          <w:szCs w:val="24"/>
          <w:highlight w:val="none"/>
        </w:rPr>
        <w:t>本合同项下的债权不得转让，不得用于保理等融资业务</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也不得用于任何形式的担保。若乙方擅自转让或用于保理、担保的，导致任何第三方向甲方主张权利，导致甲方承担法律责任（包括但不限于：民事、经济、行政、刑事等）或被采取相关强制措施（包括但不限于：诉讼强制措施、行政强制措施、刑事强制措施）的，即为</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严重违约，</w:t>
      </w:r>
      <w:r>
        <w:rPr>
          <w:rFonts w:hint="eastAsia" w:ascii="宋体" w:hAnsi="宋体" w:cs="宋体"/>
          <w:color w:val="auto"/>
          <w:sz w:val="24"/>
          <w:szCs w:val="24"/>
          <w:highlight w:val="none"/>
          <w:lang w:eastAsia="zh-CN"/>
        </w:rPr>
        <w:t>甲</w:t>
      </w:r>
      <w:r>
        <w:rPr>
          <w:rFonts w:hint="eastAsia" w:ascii="宋体" w:hAnsi="宋体" w:eastAsia="宋体" w:cs="宋体"/>
          <w:color w:val="auto"/>
          <w:sz w:val="24"/>
          <w:szCs w:val="24"/>
          <w:highlight w:val="none"/>
        </w:rPr>
        <w:t>方</w:t>
      </w:r>
      <w:r>
        <w:rPr>
          <w:rFonts w:hint="eastAsia" w:ascii="宋体" w:hAnsi="宋体" w:cs="宋体"/>
          <w:color w:val="auto"/>
          <w:sz w:val="24"/>
          <w:szCs w:val="24"/>
          <w:highlight w:val="none"/>
          <w:lang w:eastAsia="zh-CN"/>
        </w:rPr>
        <w:t>可单方</w:t>
      </w:r>
      <w:r>
        <w:rPr>
          <w:rFonts w:hint="eastAsia" w:ascii="宋体" w:hAnsi="宋体" w:eastAsia="宋体" w:cs="宋体"/>
          <w:color w:val="auto"/>
          <w:sz w:val="24"/>
          <w:szCs w:val="24"/>
          <w:highlight w:val="none"/>
        </w:rPr>
        <w:t>解除合同，乙方除向甲方赔偿损失外，还应按合同总额每日1 %的标准向甲方支付违约金。</w:t>
      </w:r>
    </w:p>
    <w:p w14:paraId="77E20B17">
      <w:pPr>
        <w:pageBreakBefore w:val="0"/>
        <w:widowControl/>
        <w:tabs>
          <w:tab w:val="left" w:pos="8364"/>
        </w:tabs>
        <w:kinsoku/>
        <w:wordWrap/>
        <w:overflowPunct/>
        <w:topLinePunct w:val="0"/>
        <w:bidi w:val="0"/>
        <w:snapToGrid/>
        <w:spacing w:line="400" w:lineRule="exact"/>
        <w:ind w:firstLine="470" w:firstLineChars="196"/>
        <w:textAlignment w:val="auto"/>
        <w:rPr>
          <w:rFonts w:hint="eastAsia" w:ascii="宋体" w:hAnsi="宋体" w:eastAsia="宋体" w:cs="宋体"/>
          <w:b/>
          <w:bCs/>
          <w:color w:val="auto"/>
          <w:kern w:val="44"/>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2双方约定:任何情况下(包含但不限于诉讼或仲裁),甲方支付本合同及其补充协议项下所涉款项的顺序为:除甲方特别注明外,甲方先行支付已到期的主债务本金,再支付该主债务所涉违约金/利息(如有),最后支付其他费用(如有)。乙方对此予以确认。</w:t>
      </w:r>
    </w:p>
    <w:p w14:paraId="21D67026">
      <w:pPr>
        <w:pageBreakBefore w:val="0"/>
        <w:tabs>
          <w:tab w:val="left" w:pos="360"/>
        </w:tabs>
        <w:kinsoku/>
        <w:wordWrap/>
        <w:overflowPunct/>
        <w:topLinePunct w:val="0"/>
        <w:bidi w:val="0"/>
        <w:snapToGrid/>
        <w:spacing w:line="400" w:lineRule="exact"/>
        <w:ind w:firstLine="400" w:firstLineChars="1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在本合同履行过程中，如任何一方发生税务登记、公司名称等重大信息的变更事项，应在重大信息变更后的</w:t>
      </w:r>
      <w:r>
        <w:rPr>
          <w:rFonts w:hint="eastAsia" w:ascii="宋体" w:hAnsi="宋体" w:eastAsia="宋体" w:cs="宋体"/>
          <w:color w:val="auto"/>
          <w:sz w:val="24"/>
          <w:szCs w:val="24"/>
          <w:highlight w:val="none"/>
          <w:u w:val="single"/>
        </w:rPr>
        <w:t>_7</w:t>
      </w:r>
      <w:r>
        <w:rPr>
          <w:rFonts w:hint="eastAsia" w:ascii="宋体" w:hAnsi="宋体" w:eastAsia="宋体" w:cs="宋体"/>
          <w:color w:val="auto"/>
          <w:sz w:val="24"/>
          <w:szCs w:val="24"/>
          <w:highlight w:val="none"/>
        </w:rPr>
        <w:t>日内书面通知对方及有关机构变更情况，并提供相关信息资料。</w:t>
      </w:r>
    </w:p>
    <w:p w14:paraId="1D5C0048">
      <w:pPr>
        <w:pageBreakBefore w:val="0"/>
        <w:tabs>
          <w:tab w:val="left" w:pos="360"/>
        </w:tabs>
        <w:kinsoku/>
        <w:wordWrap/>
        <w:overflowPunct/>
        <w:topLinePunct w:val="0"/>
        <w:bidi w:val="0"/>
        <w:snapToGrid/>
        <w:spacing w:line="400" w:lineRule="exact"/>
        <w:ind w:firstLine="496" w:firstLineChars="207"/>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双方确定所预留的以下地址为往来函件、法院（仲裁、公证等机构）法律文书的送达地址，任一方变更送达地址必须在变更之日起</w:t>
      </w:r>
      <w:r>
        <w:rPr>
          <w:rFonts w:hint="eastAsia" w:ascii="宋体" w:hAnsi="宋体" w:eastAsia="宋体" w:cs="宋体"/>
          <w:color w:val="auto"/>
          <w:kern w:val="0"/>
          <w:sz w:val="24"/>
          <w:szCs w:val="24"/>
          <w:highlight w:val="none"/>
          <w:u w:val="single"/>
        </w:rPr>
        <w:t xml:space="preserve"> 7</w:t>
      </w:r>
      <w:r>
        <w:rPr>
          <w:rFonts w:hint="eastAsia" w:ascii="宋体" w:hAnsi="宋体" w:eastAsia="宋体" w:cs="宋体"/>
          <w:color w:val="auto"/>
          <w:kern w:val="0"/>
          <w:sz w:val="24"/>
          <w:szCs w:val="24"/>
          <w:highlight w:val="none"/>
        </w:rPr>
        <w:t>日内书面通知对方，否则不发生送达地址变更的法律效力，对方按原地址送达仍然为有效送达。</w:t>
      </w:r>
    </w:p>
    <w:p w14:paraId="3CCF32CE">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甲方送达地址： 。</w:t>
      </w:r>
    </w:p>
    <w:p w14:paraId="2382C6C4">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w:t>
      </w:r>
    </w:p>
    <w:p w14:paraId="74831E57">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w:t>
      </w:r>
    </w:p>
    <w:p w14:paraId="187B2FC5">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 。</w:t>
      </w:r>
    </w:p>
    <w:p w14:paraId="1D667375">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乙方送达地址： 。</w:t>
      </w:r>
    </w:p>
    <w:p w14:paraId="4C84559F">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 。</w:t>
      </w:r>
    </w:p>
    <w:p w14:paraId="47F9511E">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w:t>
      </w:r>
    </w:p>
    <w:p w14:paraId="706EF6C2">
      <w:pPr>
        <w:pageBreakBefore w:val="0"/>
        <w:tabs>
          <w:tab w:val="left" w:pos="360"/>
        </w:tabs>
        <w:kinsoku/>
        <w:wordWrap/>
        <w:overflowPunct/>
        <w:topLinePunct w:val="0"/>
        <w:bidi w:val="0"/>
        <w:snapToGri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 。</w:t>
      </w:r>
    </w:p>
    <w:p w14:paraId="7C07E987">
      <w:pPr>
        <w:pageBreakBefore w:val="0"/>
        <w:kinsoku/>
        <w:wordWrap/>
        <w:overflowPunct/>
        <w:topLinePunct w:val="0"/>
        <w:bidi w:val="0"/>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合同自双方签字并盖章之日起生效。本合同</w:t>
      </w:r>
      <w:r>
        <w:rPr>
          <w:rFonts w:hint="eastAsia" w:ascii="宋体" w:hAnsi="宋体" w:eastAsia="宋体" w:cs="宋体"/>
          <w:color w:val="auto"/>
          <w:kern w:val="0"/>
          <w:sz w:val="24"/>
          <w:szCs w:val="24"/>
          <w:highlight w:val="none"/>
        </w:rPr>
        <w:t>一式</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份，双方各执</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份。   </w:t>
      </w:r>
    </w:p>
    <w:p w14:paraId="2854A2B4">
      <w:pPr>
        <w:pageBreakBefore w:val="0"/>
        <w:kinsoku/>
        <w:wordWrap/>
        <w:overflowPunct/>
        <w:topLinePunct w:val="0"/>
        <w:bidi w:val="0"/>
        <w:snapToGri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（以下无合同正文）</w:t>
      </w:r>
    </w:p>
    <w:tbl>
      <w:tblPr>
        <w:tblStyle w:val="49"/>
        <w:tblpPr w:leftFromText="180" w:rightFromText="180" w:vertAnchor="text" w:horzAnchor="page" w:tblpX="1764" w:tblpY="306"/>
        <w:tblOverlap w:val="never"/>
        <w:tblW w:w="8814" w:type="dxa"/>
        <w:tblInd w:w="0" w:type="dxa"/>
        <w:tblLayout w:type="fixed"/>
        <w:tblCellMar>
          <w:top w:w="0" w:type="dxa"/>
          <w:left w:w="108" w:type="dxa"/>
          <w:bottom w:w="0" w:type="dxa"/>
          <w:right w:w="108" w:type="dxa"/>
        </w:tblCellMar>
      </w:tblPr>
      <w:tblGrid>
        <w:gridCol w:w="4407"/>
        <w:gridCol w:w="4407"/>
      </w:tblGrid>
      <w:tr w14:paraId="37AC799B">
        <w:tblPrEx>
          <w:tblCellMar>
            <w:top w:w="0" w:type="dxa"/>
            <w:left w:w="108" w:type="dxa"/>
            <w:bottom w:w="0" w:type="dxa"/>
            <w:right w:w="108" w:type="dxa"/>
          </w:tblCellMar>
        </w:tblPrEx>
        <w:trPr>
          <w:trHeight w:val="639" w:hRule="atLeast"/>
        </w:trPr>
        <w:tc>
          <w:tcPr>
            <w:tcW w:w="4407" w:type="dxa"/>
          </w:tcPr>
          <w:p w14:paraId="67735CB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买方：（盖章）</w:t>
            </w:r>
          </w:p>
        </w:tc>
        <w:tc>
          <w:tcPr>
            <w:tcW w:w="4407" w:type="dxa"/>
          </w:tcPr>
          <w:p w14:paraId="2BA0A1C8">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卖方：（盖章）</w:t>
            </w:r>
          </w:p>
        </w:tc>
      </w:tr>
      <w:tr w14:paraId="0460346C">
        <w:tblPrEx>
          <w:tblCellMar>
            <w:top w:w="0" w:type="dxa"/>
            <w:left w:w="108" w:type="dxa"/>
            <w:bottom w:w="0" w:type="dxa"/>
            <w:right w:w="108" w:type="dxa"/>
          </w:tblCellMar>
        </w:tblPrEx>
        <w:trPr>
          <w:trHeight w:val="639" w:hRule="atLeast"/>
        </w:trPr>
        <w:tc>
          <w:tcPr>
            <w:tcW w:w="4407" w:type="dxa"/>
          </w:tcPr>
          <w:p w14:paraId="0D46C624">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住所地址：</w:t>
            </w:r>
          </w:p>
        </w:tc>
        <w:tc>
          <w:tcPr>
            <w:tcW w:w="4407" w:type="dxa"/>
          </w:tcPr>
          <w:p w14:paraId="26A144B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住所地址：</w:t>
            </w:r>
          </w:p>
        </w:tc>
      </w:tr>
      <w:tr w14:paraId="764535D3">
        <w:tblPrEx>
          <w:tblCellMar>
            <w:top w:w="0" w:type="dxa"/>
            <w:left w:w="108" w:type="dxa"/>
            <w:bottom w:w="0" w:type="dxa"/>
            <w:right w:w="108" w:type="dxa"/>
          </w:tblCellMar>
        </w:tblPrEx>
        <w:trPr>
          <w:trHeight w:val="639" w:hRule="atLeast"/>
        </w:trPr>
        <w:tc>
          <w:tcPr>
            <w:tcW w:w="4407" w:type="dxa"/>
          </w:tcPr>
          <w:p w14:paraId="5E3248A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c>
          <w:tcPr>
            <w:tcW w:w="4407" w:type="dxa"/>
          </w:tcPr>
          <w:p w14:paraId="718D3B90">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tc>
      </w:tr>
      <w:tr w14:paraId="02809A67">
        <w:tblPrEx>
          <w:tblCellMar>
            <w:top w:w="0" w:type="dxa"/>
            <w:left w:w="108" w:type="dxa"/>
            <w:bottom w:w="0" w:type="dxa"/>
            <w:right w:w="108" w:type="dxa"/>
          </w:tblCellMar>
        </w:tblPrEx>
        <w:trPr>
          <w:trHeight w:val="639" w:hRule="atLeast"/>
        </w:trPr>
        <w:tc>
          <w:tcPr>
            <w:tcW w:w="4407" w:type="dxa"/>
          </w:tcPr>
          <w:p w14:paraId="7795D40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c>
          <w:tcPr>
            <w:tcW w:w="4407" w:type="dxa"/>
          </w:tcPr>
          <w:p w14:paraId="261C1E4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tc>
      </w:tr>
      <w:tr w14:paraId="026CE531">
        <w:tblPrEx>
          <w:tblCellMar>
            <w:top w:w="0" w:type="dxa"/>
            <w:left w:w="108" w:type="dxa"/>
            <w:bottom w:w="0" w:type="dxa"/>
            <w:right w:w="108" w:type="dxa"/>
          </w:tblCellMar>
        </w:tblPrEx>
        <w:trPr>
          <w:trHeight w:val="639" w:hRule="atLeast"/>
        </w:trPr>
        <w:tc>
          <w:tcPr>
            <w:tcW w:w="4407" w:type="dxa"/>
          </w:tcPr>
          <w:p w14:paraId="124E3D5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407" w:type="dxa"/>
          </w:tcPr>
          <w:p w14:paraId="13432747">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0C13F6ED">
        <w:tblPrEx>
          <w:tblCellMar>
            <w:top w:w="0" w:type="dxa"/>
            <w:left w:w="108" w:type="dxa"/>
            <w:bottom w:w="0" w:type="dxa"/>
            <w:right w:w="108" w:type="dxa"/>
          </w:tblCellMar>
        </w:tblPrEx>
        <w:trPr>
          <w:trHeight w:val="639" w:hRule="atLeast"/>
        </w:trPr>
        <w:tc>
          <w:tcPr>
            <w:tcW w:w="4407" w:type="dxa"/>
          </w:tcPr>
          <w:p w14:paraId="11DFCCC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统一社会信用代码</w:t>
            </w:r>
            <w:r>
              <w:rPr>
                <w:rFonts w:hint="eastAsia" w:ascii="宋体" w:hAnsi="宋体" w:eastAsia="宋体" w:cs="宋体"/>
                <w:color w:val="auto"/>
                <w:sz w:val="24"/>
                <w:szCs w:val="24"/>
                <w:highlight w:val="none"/>
              </w:rPr>
              <w:t>：</w:t>
            </w:r>
          </w:p>
        </w:tc>
        <w:tc>
          <w:tcPr>
            <w:tcW w:w="4407" w:type="dxa"/>
          </w:tcPr>
          <w:p w14:paraId="71F6A7DB">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统一社会信用代码</w:t>
            </w:r>
            <w:r>
              <w:rPr>
                <w:rFonts w:hint="eastAsia" w:ascii="宋体" w:hAnsi="宋体" w:eastAsia="宋体" w:cs="宋体"/>
                <w:color w:val="auto"/>
                <w:sz w:val="24"/>
                <w:szCs w:val="24"/>
                <w:highlight w:val="none"/>
              </w:rPr>
              <w:t>：</w:t>
            </w:r>
          </w:p>
        </w:tc>
      </w:tr>
      <w:tr w14:paraId="6A8840F0">
        <w:tblPrEx>
          <w:tblCellMar>
            <w:top w:w="0" w:type="dxa"/>
            <w:left w:w="108" w:type="dxa"/>
            <w:bottom w:w="0" w:type="dxa"/>
            <w:right w:w="108" w:type="dxa"/>
          </w:tblCellMar>
        </w:tblPrEx>
        <w:trPr>
          <w:trHeight w:val="639" w:hRule="atLeast"/>
        </w:trPr>
        <w:tc>
          <w:tcPr>
            <w:tcW w:w="4407" w:type="dxa"/>
          </w:tcPr>
          <w:p w14:paraId="5DDC9F2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407" w:type="dxa"/>
          </w:tcPr>
          <w:p w14:paraId="09165AEC">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06A5C30E">
        <w:tblPrEx>
          <w:tblCellMar>
            <w:top w:w="0" w:type="dxa"/>
            <w:left w:w="108" w:type="dxa"/>
            <w:bottom w:w="0" w:type="dxa"/>
            <w:right w:w="108" w:type="dxa"/>
          </w:tblCellMar>
        </w:tblPrEx>
        <w:trPr>
          <w:trHeight w:val="639" w:hRule="atLeast"/>
        </w:trPr>
        <w:tc>
          <w:tcPr>
            <w:tcW w:w="4407" w:type="dxa"/>
          </w:tcPr>
          <w:p w14:paraId="5908FAD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0E9815A3">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p w14:paraId="6E786386">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c>
          <w:tcPr>
            <w:tcW w:w="4407" w:type="dxa"/>
          </w:tcPr>
          <w:p w14:paraId="78307FBD">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p w14:paraId="2ADBE7B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p>
          <w:p w14:paraId="15BBBECA">
            <w:pPr>
              <w:pageBreakBefore w:val="0"/>
              <w:kinsoku/>
              <w:wordWrap/>
              <w:overflowPunct/>
              <w:topLinePunct w:val="0"/>
              <w:bidi w:val="0"/>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r>
    </w:tbl>
    <w:p w14:paraId="0A1F6D6F">
      <w:pPr>
        <w:rPr>
          <w:rFonts w:hint="eastAsia" w:ascii="Times New Roman" w:hAnsi="Times New Roman" w:cs="Times New Roman"/>
          <w:color w:val="auto"/>
          <w:sz w:val="28"/>
          <w:szCs w:val="22"/>
          <w:highlight w:val="none"/>
          <w:lang w:eastAsia="zh-CN"/>
        </w:rPr>
      </w:pPr>
      <w:r>
        <w:rPr>
          <w:rFonts w:hint="eastAsia" w:ascii="Times New Roman" w:hAnsi="Times New Roman" w:cs="Times New Roman"/>
          <w:color w:val="auto"/>
          <w:sz w:val="28"/>
          <w:szCs w:val="22"/>
          <w:highlight w:val="none"/>
          <w:lang w:eastAsia="zh-CN"/>
        </w:rPr>
        <w:br w:type="page"/>
      </w:r>
    </w:p>
    <w:p w14:paraId="15BEC879">
      <w:pPr>
        <w:spacing w:line="390" w:lineRule="exact"/>
        <w:rPr>
          <w:rFonts w:hint="eastAsia" w:ascii="Times New Roman" w:hAnsi="Times New Roman" w:cs="Times New Roman"/>
          <w:color w:val="auto"/>
          <w:sz w:val="28"/>
          <w:szCs w:val="22"/>
          <w:highlight w:val="none"/>
          <w:lang w:eastAsia="zh-CN"/>
        </w:rPr>
      </w:pPr>
      <w:r>
        <w:rPr>
          <w:rFonts w:hint="eastAsia" w:ascii="Times New Roman" w:hAnsi="Times New Roman" w:cs="Times New Roman"/>
          <w:color w:val="auto"/>
          <w:sz w:val="28"/>
          <w:szCs w:val="22"/>
          <w:highlight w:val="none"/>
          <w:lang w:eastAsia="zh-CN"/>
        </w:rPr>
        <w:t>附件一：</w:t>
      </w:r>
    </w:p>
    <w:p w14:paraId="01D21A85">
      <w:pPr>
        <w:jc w:val="center"/>
        <w:rPr>
          <w:rFonts w:hint="eastAsia" w:ascii="Times New Roman" w:hAnsi="Times New Roman" w:cs="Times New Roman"/>
          <w:b/>
          <w:bCs/>
          <w:color w:val="auto"/>
          <w:sz w:val="36"/>
          <w:szCs w:val="32"/>
          <w:highlight w:val="none"/>
          <w:lang w:eastAsia="zh-CN"/>
        </w:rPr>
      </w:pPr>
      <w:r>
        <w:rPr>
          <w:rFonts w:hint="eastAsia" w:ascii="Times New Roman" w:hAnsi="Times New Roman" w:cs="Times New Roman"/>
          <w:b/>
          <w:bCs/>
          <w:color w:val="auto"/>
          <w:sz w:val="36"/>
          <w:szCs w:val="32"/>
          <w:highlight w:val="none"/>
          <w:lang w:eastAsia="zh-CN"/>
        </w:rPr>
        <w:t>工程物资有权签收人清单</w:t>
      </w:r>
    </w:p>
    <w:tbl>
      <w:tblPr>
        <w:tblStyle w:val="5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97"/>
        <w:gridCol w:w="868"/>
        <w:gridCol w:w="935"/>
        <w:gridCol w:w="1533"/>
        <w:gridCol w:w="1385"/>
        <w:gridCol w:w="1194"/>
        <w:gridCol w:w="749"/>
      </w:tblGrid>
      <w:tr w14:paraId="7D9A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tcPr>
          <w:p w14:paraId="1F020260">
            <w:pPr>
              <w:widowControl w:val="0"/>
              <w:spacing w:line="440" w:lineRule="exact"/>
              <w:ind w:left="0" w:leftChars="0" w:firstLine="0" w:firstLineChars="0"/>
              <w:jc w:val="center"/>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序号</w:t>
            </w:r>
          </w:p>
        </w:tc>
        <w:tc>
          <w:tcPr>
            <w:tcW w:w="821" w:type="pct"/>
          </w:tcPr>
          <w:p w14:paraId="130407DF">
            <w:pPr>
              <w:widowControl w:val="0"/>
              <w:spacing w:line="440" w:lineRule="exact"/>
              <w:ind w:left="0" w:leftChars="0" w:firstLine="240" w:firstLineChars="100"/>
              <w:jc w:val="both"/>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项目及分部名称</w:t>
            </w:r>
          </w:p>
        </w:tc>
        <w:tc>
          <w:tcPr>
            <w:tcW w:w="510" w:type="pct"/>
          </w:tcPr>
          <w:p w14:paraId="0AB4B449">
            <w:pPr>
              <w:widowControl w:val="0"/>
              <w:spacing w:line="440" w:lineRule="exact"/>
              <w:ind w:left="0" w:leftChars="0" w:firstLine="0" w:firstLineChars="0"/>
              <w:jc w:val="center"/>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物资名称</w:t>
            </w:r>
          </w:p>
        </w:tc>
        <w:tc>
          <w:tcPr>
            <w:tcW w:w="549" w:type="pct"/>
          </w:tcPr>
          <w:p w14:paraId="47677A96">
            <w:pPr>
              <w:widowControl w:val="0"/>
              <w:spacing w:line="440" w:lineRule="exact"/>
              <w:ind w:left="0" w:leftChars="0" w:firstLine="0" w:firstLineChars="0"/>
              <w:jc w:val="center"/>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签收人姓名</w:t>
            </w:r>
          </w:p>
        </w:tc>
        <w:tc>
          <w:tcPr>
            <w:tcW w:w="900" w:type="pct"/>
          </w:tcPr>
          <w:p w14:paraId="4E8A0783">
            <w:pPr>
              <w:widowControl w:val="0"/>
              <w:spacing w:line="440" w:lineRule="exact"/>
              <w:ind w:left="0" w:leftChars="0" w:firstLine="0" w:firstLineChars="0"/>
              <w:jc w:val="center"/>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身份证号码</w:t>
            </w:r>
          </w:p>
        </w:tc>
        <w:tc>
          <w:tcPr>
            <w:tcW w:w="813" w:type="pct"/>
          </w:tcPr>
          <w:p w14:paraId="2323D2AA">
            <w:pPr>
              <w:widowControl w:val="0"/>
              <w:spacing w:line="440" w:lineRule="exact"/>
              <w:ind w:left="0" w:leftChars="0" w:firstLine="0" w:firstLineChars="0"/>
              <w:jc w:val="center"/>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联系电话</w:t>
            </w:r>
          </w:p>
        </w:tc>
        <w:tc>
          <w:tcPr>
            <w:tcW w:w="701" w:type="pct"/>
          </w:tcPr>
          <w:p w14:paraId="5B40A07F">
            <w:pPr>
              <w:widowControl w:val="0"/>
              <w:spacing w:line="440" w:lineRule="exact"/>
              <w:ind w:left="0" w:leftChars="0" w:firstLine="0" w:firstLineChars="0"/>
              <w:jc w:val="center"/>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签收人姓名字样</w:t>
            </w:r>
          </w:p>
        </w:tc>
        <w:tc>
          <w:tcPr>
            <w:tcW w:w="440" w:type="pct"/>
          </w:tcPr>
          <w:p w14:paraId="552DD980">
            <w:pPr>
              <w:widowControl w:val="0"/>
              <w:spacing w:line="440" w:lineRule="exact"/>
              <w:ind w:left="0" w:leftChars="0" w:firstLine="240" w:firstLineChars="100"/>
              <w:jc w:val="both"/>
              <w:rPr>
                <w:rFonts w:hint="eastAsia"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备注</w:t>
            </w:r>
          </w:p>
        </w:tc>
      </w:tr>
      <w:tr w14:paraId="6A89A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75A7CFA8">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1</w:t>
            </w:r>
          </w:p>
        </w:tc>
        <w:tc>
          <w:tcPr>
            <w:tcW w:w="821" w:type="pct"/>
          </w:tcPr>
          <w:p w14:paraId="623E1870">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6D12C669">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034941EA">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6DBC5EE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6EC354BD">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3655B6AE">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5101AF92">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74F0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5F94EA27">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2</w:t>
            </w:r>
          </w:p>
        </w:tc>
        <w:tc>
          <w:tcPr>
            <w:tcW w:w="821" w:type="pct"/>
          </w:tcPr>
          <w:p w14:paraId="6E216DA1">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4A9F7EB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011B264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57DE8326">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35B9025D">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7D0F3DD8">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30EAA193">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7057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332C5E2C">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3</w:t>
            </w:r>
          </w:p>
        </w:tc>
        <w:tc>
          <w:tcPr>
            <w:tcW w:w="821" w:type="pct"/>
          </w:tcPr>
          <w:p w14:paraId="3EFDE1DF">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6E45CEB5">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3FC42EF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25240D54">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3E6F928C">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01E0DAE1">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6DB87BB9">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3045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6CF8C2A7">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4</w:t>
            </w:r>
          </w:p>
        </w:tc>
        <w:tc>
          <w:tcPr>
            <w:tcW w:w="821" w:type="pct"/>
          </w:tcPr>
          <w:p w14:paraId="25EAE5F5">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3A17B9AC">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5292D95B">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6236CB58">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2E4799A4">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141B44DB">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0FB8E8FB">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4D99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35040B11">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5</w:t>
            </w:r>
          </w:p>
        </w:tc>
        <w:tc>
          <w:tcPr>
            <w:tcW w:w="821" w:type="pct"/>
          </w:tcPr>
          <w:p w14:paraId="1C270D0A">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58956B43">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476AFF55">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12E27BF5">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5464DF00">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0A3A335A">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4E2C4B22">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55C7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0712FD26">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6</w:t>
            </w:r>
          </w:p>
        </w:tc>
        <w:tc>
          <w:tcPr>
            <w:tcW w:w="821" w:type="pct"/>
          </w:tcPr>
          <w:p w14:paraId="64B66581">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1D9235F9">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744E778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27342752">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74AC328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6B2FA226">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4492A24B">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1D49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03037C07">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7</w:t>
            </w:r>
          </w:p>
        </w:tc>
        <w:tc>
          <w:tcPr>
            <w:tcW w:w="821" w:type="pct"/>
          </w:tcPr>
          <w:p w14:paraId="089C4DDF">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5FE3CF53">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6B6BC9F3">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21FE49EB">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5A0128A9">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1077063C">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51E55ED9">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6930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03BE5FBD">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8</w:t>
            </w:r>
          </w:p>
        </w:tc>
        <w:tc>
          <w:tcPr>
            <w:tcW w:w="821" w:type="pct"/>
          </w:tcPr>
          <w:p w14:paraId="29D90157">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3471B313">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332B9C1B">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3CD88F5D">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5E1BC161">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1F597E85">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3F66F774">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r w14:paraId="1306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vAlign w:val="center"/>
          </w:tcPr>
          <w:p w14:paraId="59CCB066">
            <w:pPr>
              <w:widowControl w:val="0"/>
              <w:spacing w:line="440" w:lineRule="exact"/>
              <w:ind w:left="0" w:leftChars="0" w:firstLine="0" w:firstLineChars="0"/>
              <w:jc w:val="center"/>
              <w:rPr>
                <w:rFonts w:hint="default" w:ascii="仿宋_GB2312" w:hAnsi="仿宋_GB2312" w:eastAsia="仿宋_GB2312" w:cs="Times New Roman"/>
                <w:color w:val="auto"/>
                <w:kern w:val="2"/>
                <w:sz w:val="24"/>
                <w:szCs w:val="21"/>
                <w:highlight w:val="none"/>
                <w:vertAlign w:val="baseline"/>
                <w:lang w:val="en-US" w:eastAsia="zh-CN" w:bidi="ar-SA"/>
              </w:rPr>
            </w:pPr>
            <w:r>
              <w:rPr>
                <w:rFonts w:hint="eastAsia" w:ascii="仿宋_GB2312" w:hAnsi="仿宋_GB2312" w:eastAsia="仿宋_GB2312" w:cs="Times New Roman"/>
                <w:color w:val="auto"/>
                <w:kern w:val="2"/>
                <w:sz w:val="24"/>
                <w:szCs w:val="21"/>
                <w:highlight w:val="none"/>
                <w:vertAlign w:val="baseline"/>
                <w:lang w:val="en-US" w:eastAsia="zh-CN" w:bidi="ar-SA"/>
              </w:rPr>
              <w:t>9</w:t>
            </w:r>
          </w:p>
        </w:tc>
        <w:tc>
          <w:tcPr>
            <w:tcW w:w="821" w:type="pct"/>
          </w:tcPr>
          <w:p w14:paraId="540C4EC8">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10" w:type="pct"/>
          </w:tcPr>
          <w:p w14:paraId="69CFC5A9">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549" w:type="pct"/>
          </w:tcPr>
          <w:p w14:paraId="23F8CE2D">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900" w:type="pct"/>
          </w:tcPr>
          <w:p w14:paraId="1C2E3E26">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813" w:type="pct"/>
          </w:tcPr>
          <w:p w14:paraId="3BBC5B62">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701" w:type="pct"/>
          </w:tcPr>
          <w:p w14:paraId="66E06D02">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c>
          <w:tcPr>
            <w:tcW w:w="440" w:type="pct"/>
          </w:tcPr>
          <w:p w14:paraId="214C10C2">
            <w:pPr>
              <w:widowControl w:val="0"/>
              <w:spacing w:line="440" w:lineRule="exact"/>
              <w:ind w:firstLine="480" w:firstLineChars="200"/>
              <w:jc w:val="center"/>
              <w:rPr>
                <w:rFonts w:hint="eastAsia" w:ascii="仿宋_GB2312" w:hAnsi="仿宋_GB2312" w:eastAsia="仿宋_GB2312" w:cs="Times New Roman"/>
                <w:color w:val="auto"/>
                <w:kern w:val="2"/>
                <w:sz w:val="24"/>
                <w:szCs w:val="21"/>
                <w:highlight w:val="none"/>
                <w:vertAlign w:val="baseline"/>
                <w:lang w:val="en-US" w:eastAsia="zh-CN" w:bidi="ar-SA"/>
              </w:rPr>
            </w:pPr>
          </w:p>
        </w:tc>
      </w:tr>
    </w:tbl>
    <w:p w14:paraId="768B2C71">
      <w:pPr>
        <w:spacing w:line="440" w:lineRule="exact"/>
        <w:ind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注：附签收人身份证复印件。</w:t>
      </w:r>
    </w:p>
    <w:p w14:paraId="4AC921D4">
      <w:pPr>
        <w:rPr>
          <w:rFonts w:hint="eastAsia" w:ascii="仿宋_GB2312" w:hAnsi="仿宋_GB2312" w:eastAsia="仿宋_GB2312" w:cs="仿宋_GB2312"/>
          <w:color w:val="auto"/>
          <w:sz w:val="24"/>
          <w:szCs w:val="24"/>
          <w:highlight w:val="none"/>
          <w:lang w:eastAsia="zh-CN"/>
        </w:rPr>
      </w:pPr>
    </w:p>
    <w:p w14:paraId="4FA2EC56">
      <w:pPr>
        <w:spacing w:line="440" w:lineRule="exact"/>
        <w:ind w:firstLine="480" w:firstLineChars="200"/>
        <w:rPr>
          <w:rFonts w:hint="eastAsia" w:ascii="仿宋_GB2312" w:hAnsi="仿宋_GB2312" w:eastAsia="仿宋_GB2312" w:cs="仿宋_GB2312"/>
          <w:color w:val="auto"/>
          <w:kern w:val="2"/>
          <w:sz w:val="24"/>
          <w:szCs w:val="24"/>
          <w:highlight w:val="none"/>
          <w:lang w:val="en-US" w:eastAsia="zh-CN" w:bidi="ar-SA"/>
        </w:rPr>
      </w:pPr>
    </w:p>
    <w:p w14:paraId="4095A951">
      <w:pP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发货单位：（盖章）</w:t>
      </w:r>
      <w:r>
        <w:rPr>
          <w:rFonts w:hint="eastAsia" w:ascii="仿宋_GB2312" w:hAnsi="仿宋_GB2312" w:eastAsia="仿宋_GB2312" w:cs="仿宋_GB2312"/>
          <w:color w:val="auto"/>
          <w:sz w:val="24"/>
          <w:szCs w:val="24"/>
          <w:highlight w:val="none"/>
          <w:lang w:val="en-US" w:eastAsia="zh-CN"/>
        </w:rPr>
        <w:t xml:space="preserve">                                                  </w:t>
      </w:r>
    </w:p>
    <w:p w14:paraId="2D77D0BE">
      <w:pP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收货单位：（盖章）</w:t>
      </w:r>
    </w:p>
    <w:p w14:paraId="3508331B">
      <w:pPr>
        <w:ind w:left="0" w:leftChars="0" w:firstLine="1440" w:firstLineChars="600"/>
        <w:rPr>
          <w:rFonts w:hint="eastAsia" w:ascii="仿宋_GB2312" w:hAnsi="仿宋_GB2312" w:eastAsia="仿宋_GB2312" w:cs="仿宋_GB2312"/>
          <w:color w:val="auto"/>
          <w:sz w:val="24"/>
          <w:szCs w:val="24"/>
          <w:highlight w:val="none"/>
          <w:lang w:val="en-US" w:eastAsia="zh-CN"/>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color w:val="auto"/>
          <w:kern w:val="2"/>
          <w:sz w:val="24"/>
          <w:szCs w:val="24"/>
          <w:highlight w:val="none"/>
          <w:lang w:val="en-US" w:eastAsia="zh-CN" w:bidi="ar-SA"/>
        </w:rPr>
        <w:t xml:space="preserve">年 月  日                                                             年  月  </w:t>
      </w:r>
    </w:p>
    <w:p w14:paraId="3EAFFD39">
      <w:pPr>
        <w:rPr>
          <w:rFonts w:ascii="Times New Roman" w:hAnsi="Times New Roman" w:cs="Times New Roman"/>
          <w:color w:val="auto"/>
          <w:szCs w:val="20"/>
          <w:highlight w:val="none"/>
        </w:rPr>
      </w:pPr>
    </w:p>
    <w:p w14:paraId="6979B060">
      <w:pPr>
        <w:rPr>
          <w:rFonts w:hint="eastAsia"/>
          <w:color w:val="auto"/>
          <w:highlight w:val="none"/>
          <w:lang w:val="en-US" w:eastAsia="zh-CN"/>
        </w:rPr>
      </w:pPr>
    </w:p>
    <w:p w14:paraId="36C268C6">
      <w:pPr>
        <w:outlineLvl w:val="3"/>
        <w:rPr>
          <w:rFonts w:ascii="宋体" w:hAnsi="宋体" w:cs="Times New Roman"/>
          <w:b/>
          <w:color w:val="auto"/>
          <w:sz w:val="32"/>
          <w:szCs w:val="32"/>
          <w:highlight w:val="none"/>
        </w:rPr>
      </w:pPr>
      <w:bookmarkStart w:id="561" w:name="_Toc510015789"/>
      <w:bookmarkStart w:id="562" w:name="_Toc30932"/>
      <w:bookmarkStart w:id="563" w:name="_Toc30644"/>
      <w:bookmarkStart w:id="564" w:name="_Toc23267"/>
      <w:r>
        <w:rPr>
          <w:rFonts w:hint="eastAsia" w:ascii="宋体" w:hAnsi="宋体" w:cs="Times New Roman"/>
          <w:b/>
          <w:color w:val="auto"/>
          <w:sz w:val="32"/>
          <w:szCs w:val="32"/>
          <w:highlight w:val="none"/>
        </w:rPr>
        <w:t>附件</w:t>
      </w:r>
      <w:r>
        <w:rPr>
          <w:rFonts w:hint="eastAsia" w:ascii="宋体" w:hAnsi="宋体" w:cs="Times New Roman"/>
          <w:b/>
          <w:color w:val="auto"/>
          <w:sz w:val="32"/>
          <w:szCs w:val="32"/>
          <w:highlight w:val="none"/>
          <w:lang w:val="en-US" w:eastAsia="zh-CN"/>
        </w:rPr>
        <w:t>二</w:t>
      </w:r>
      <w:r>
        <w:rPr>
          <w:rFonts w:hint="eastAsia" w:ascii="宋体" w:hAnsi="宋体" w:cs="Times New Roman"/>
          <w:b/>
          <w:color w:val="auto"/>
          <w:sz w:val="32"/>
          <w:szCs w:val="32"/>
          <w:highlight w:val="none"/>
        </w:rPr>
        <w:t xml:space="preserve"> 廉政合同</w:t>
      </w:r>
      <w:bookmarkEnd w:id="561"/>
      <w:bookmarkEnd w:id="562"/>
      <w:bookmarkEnd w:id="563"/>
      <w:bookmarkEnd w:id="564"/>
    </w:p>
    <w:p w14:paraId="3AD226F7">
      <w:pPr>
        <w:widowControl/>
        <w:spacing w:line="460" w:lineRule="exact"/>
        <w:jc w:val="center"/>
        <w:rPr>
          <w:rFonts w:hint="eastAsia" w:ascii="宋体" w:hAnsi="宋体" w:eastAsia="宋体" w:cs="等线"/>
          <w:b/>
          <w:bCs/>
          <w:color w:val="auto"/>
          <w:sz w:val="32"/>
          <w:szCs w:val="32"/>
          <w:highlight w:val="none"/>
        </w:rPr>
      </w:pPr>
      <w:r>
        <w:rPr>
          <w:rFonts w:hint="eastAsia" w:ascii="宋体" w:hAnsi="宋体" w:eastAsia="宋体" w:cs="等线"/>
          <w:b/>
          <w:bCs/>
          <w:color w:val="auto"/>
          <w:sz w:val="32"/>
          <w:szCs w:val="32"/>
          <w:highlight w:val="none"/>
        </w:rPr>
        <w:t>廉 政 合 同</w:t>
      </w:r>
    </w:p>
    <w:p w14:paraId="529C86F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甲方”）与该项目的施工监理人（施工监理人名称，以下简称“乙方”），特订立如下合同。</w:t>
      </w:r>
    </w:p>
    <w:p w14:paraId="495CE029">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 甲乙双方的权利和义务</w:t>
      </w:r>
    </w:p>
    <w:p w14:paraId="1C7E6A88">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（1）严格遵守党的政策规定和国家有关法律法规及交通运输部的有关规定。</w:t>
      </w:r>
    </w:p>
    <w:p w14:paraId="0DAF3C36">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（2）严格执行（项目名称）施工监理合同文件，自觉按合同办事。</w:t>
      </w:r>
    </w:p>
    <w:p w14:paraId="4A1BEDBC">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（3）双方的业务活动坚持公开、公正、诚信、透明的原则（法律认定的商业秘密和合同文件另有规定除外），不得损害国家和集体利益，不得违反工程建设管理规章制度。</w:t>
      </w:r>
    </w:p>
    <w:p w14:paraId="09A5FA71">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（4）建立健全廉政制度，开展廉政教育，设立廉政告示牌，公布举报电话，监督并认真查处违法违纪行为。</w:t>
      </w:r>
    </w:p>
    <w:p w14:paraId="4A317DB9">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（5）发现对方在业务活动中有违反廉政规定的行为，有及时提醒对方纠正的权利和义务。</w:t>
      </w:r>
    </w:p>
    <w:p w14:paraId="634E34BA">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（6）发现对方严重违反本合同义务条款的行为，有向其上级有关部门举报、建议给予处理并要求告知处理结果的权利。</w:t>
      </w:r>
    </w:p>
    <w:p w14:paraId="069929CF">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 甲方的义务</w:t>
      </w:r>
    </w:p>
    <w:p w14:paraId="2EF0E610">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（1）甲方及其工作人员不得索要或接受乙方的礼金、有价证券和贵重物品，不得让乙方报销任何应由甲方或甲方工作人员个人支付的费用等。</w:t>
      </w:r>
    </w:p>
    <w:p w14:paraId="3045CCD2">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（2）甲方工作人员不得参加乙方安排的超标准宴请和娱乐活动；不得接受乙方提供的通信工具、交通工具和高档办公用品等。</w:t>
      </w:r>
    </w:p>
    <w:p w14:paraId="4B44C7C1">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（3）甲方及其工作人员不得要求或者接受乙方为其住房装修、婚丧嫁娶活动、配偶子女的工作安排以及出国出境、旅游等提供方便等。</w:t>
      </w:r>
    </w:p>
    <w:p w14:paraId="73E09470">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（4）甲方工作人员及其配偶、子女不得从事与甲方工程有关的材料设备供应、工程分包、劳务等经济活动等。</w:t>
      </w:r>
    </w:p>
    <w:p w14:paraId="5C83EBF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（5）甲方及其工作人员不得以任何理由向乙方推荐分包单位或推销材料，不得要求乙方购买合同规定外的材料和设备。</w:t>
      </w:r>
    </w:p>
    <w:p w14:paraId="709C6A9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（6）甲方工作人员要秉公办事，不准营私舞弊，不准利用职权从事各种个人有偿中介活动和安排个人施工监理队伍。</w:t>
      </w:r>
    </w:p>
    <w:p w14:paraId="106CE482">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 乙方的义务</w:t>
      </w:r>
    </w:p>
    <w:p w14:paraId="02FE7443">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（1）乙方不得以任何理由向甲方及其工作人员行贿或馈赠礼金、有价证券、贵重礼品。</w:t>
      </w:r>
    </w:p>
    <w:p w14:paraId="5CC42BC5">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（2）乙方不得以任何名义为甲方及其工作人员报销应由甲方单位或个人支付的任何费用。</w:t>
      </w:r>
    </w:p>
    <w:p w14:paraId="37C15A0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（3）乙方不得以任何理由安排甲方工作人员参加超标准宴请及娱乐活动。</w:t>
      </w:r>
    </w:p>
    <w:p w14:paraId="78C9602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（4）乙方不得为甲方单位和个人购置或提供通信工具、交通工具和高档办公用品等。</w:t>
      </w:r>
    </w:p>
    <w:p w14:paraId="7AF885E0">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4. 违约责任</w:t>
      </w:r>
    </w:p>
    <w:p w14:paraId="17057408">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（1）甲方及其工作人员违反本合同第1、2条，按管理权限，依据有关规定给予党纪、政纪或组织处理；涉嫌犯罪的，移交司法机关追究刑事责任；给乙方单位造成经济损失的，应予以赔偿。</w:t>
      </w:r>
    </w:p>
    <w:p w14:paraId="2047C89D">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2）乙方及其工作人员违反本合同第1、3条，按管理权限，依据有关规定给予党纪、政纪或组织处理；给甲方单位造成经济损失的，应予以赔偿；情节严重的，甲方建议交通运输主管部门给予乙方一至三年内不得进入其主管的公路建设市场的处罚。</w:t>
      </w:r>
    </w:p>
    <w:p w14:paraId="6B9A31C5">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5.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481C2464">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6. 本合同有效期为甲方和乙方签署之日起至该工程项目竣工验收后止。</w:t>
      </w:r>
    </w:p>
    <w:p w14:paraId="4B26C649">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7. 本合同作为（项目名称）施工监理合同的附件，与工程施工监理合同具有同等的法律效力，经合同双方签署后立即生效。</w:t>
      </w:r>
    </w:p>
    <w:p w14:paraId="5A26AA7E">
      <w:pPr>
        <w:snapToGrid w:val="0"/>
        <w:spacing w:line="360" w:lineRule="auto"/>
        <w:ind w:right="34" w:rightChars="16" w:firstLine="539" w:firstLineChars="257"/>
        <w:rPr>
          <w:rFonts w:ascii="宋体" w:hAnsi="宋体" w:cs="Times New Roman"/>
          <w:color w:val="auto"/>
          <w:szCs w:val="21"/>
          <w:highlight w:val="none"/>
        </w:rPr>
      </w:pPr>
      <w:r>
        <w:rPr>
          <w:rFonts w:hint="eastAsia" w:ascii="宋体" w:hAnsi="宋体" w:cs="Times New Roman"/>
          <w:color w:val="auto"/>
          <w:szCs w:val="21"/>
          <w:highlight w:val="none"/>
        </w:rPr>
        <w:t>8. 本合同一式四份，由甲方和乙方各执一份，送交委托人和监理人的监督单位各一份。</w:t>
      </w:r>
    </w:p>
    <w:p w14:paraId="43E427AF">
      <w:pPr>
        <w:spacing w:line="360" w:lineRule="auto"/>
        <w:ind w:right="34" w:rightChars="16" w:firstLine="539" w:firstLineChars="257"/>
        <w:rPr>
          <w:rFonts w:ascii="宋体" w:hAnsi="宋体" w:cs="Times New Roman"/>
          <w:color w:val="auto"/>
          <w:szCs w:val="21"/>
          <w:highlight w:val="none"/>
        </w:rPr>
      </w:pPr>
    </w:p>
    <w:p w14:paraId="04E7CD28">
      <w:pPr>
        <w:snapToGrid w:val="0"/>
        <w:spacing w:line="360" w:lineRule="auto"/>
        <w:ind w:right="34" w:rightChars="16"/>
        <w:rPr>
          <w:rFonts w:ascii="宋体" w:hAnsi="宋体" w:cs="Times New Roman"/>
          <w:color w:val="auto"/>
          <w:szCs w:val="21"/>
          <w:highlight w:val="none"/>
        </w:rPr>
      </w:pPr>
      <w:r>
        <w:rPr>
          <w:rFonts w:hint="eastAsia" w:ascii="宋体" w:hAnsi="宋体" w:cs="Times New Roman"/>
          <w:color w:val="auto"/>
          <w:szCs w:val="21"/>
          <w:highlight w:val="none"/>
        </w:rPr>
        <w:t>甲方：（盖单位章）                          乙方：（盖单位章）</w:t>
      </w:r>
    </w:p>
    <w:p w14:paraId="6833F487">
      <w:pPr>
        <w:snapToGrid w:val="0"/>
        <w:spacing w:line="360" w:lineRule="auto"/>
        <w:ind w:right="34" w:rightChars="16"/>
        <w:rPr>
          <w:rFonts w:ascii="宋体" w:hAnsi="宋体" w:cs="Times New Roman"/>
          <w:color w:val="auto"/>
          <w:szCs w:val="21"/>
          <w:highlight w:val="none"/>
        </w:rPr>
      </w:pPr>
    </w:p>
    <w:p w14:paraId="5D73EB6A">
      <w:pPr>
        <w:snapToGrid w:val="0"/>
        <w:spacing w:line="360" w:lineRule="auto"/>
        <w:ind w:right="34" w:rightChars="16"/>
        <w:rPr>
          <w:rFonts w:ascii="宋体" w:hAnsi="宋体" w:cs="Times New Roman"/>
          <w:color w:val="auto"/>
          <w:szCs w:val="21"/>
          <w:highlight w:val="none"/>
        </w:rPr>
      </w:pPr>
      <w:r>
        <w:rPr>
          <w:rFonts w:hint="eastAsia" w:ascii="宋体" w:hAnsi="宋体" w:cs="Times New Roman"/>
          <w:color w:val="auto"/>
          <w:szCs w:val="21"/>
          <w:highlight w:val="none"/>
        </w:rPr>
        <w:t>法定代表人                                  法定代表人</w:t>
      </w:r>
    </w:p>
    <w:p w14:paraId="2B50585F">
      <w:pPr>
        <w:snapToGrid w:val="0"/>
        <w:spacing w:line="360" w:lineRule="auto"/>
        <w:ind w:right="34" w:rightChars="16"/>
        <w:rPr>
          <w:rFonts w:ascii="宋体" w:hAnsi="宋体" w:cs="Times New Roman"/>
          <w:color w:val="auto"/>
          <w:szCs w:val="21"/>
          <w:highlight w:val="none"/>
        </w:rPr>
      </w:pPr>
      <w:r>
        <w:rPr>
          <w:rFonts w:hint="eastAsia" w:ascii="宋体" w:hAnsi="宋体" w:cs="Times New Roman"/>
          <w:color w:val="auto"/>
          <w:szCs w:val="21"/>
          <w:highlight w:val="none"/>
        </w:rPr>
        <w:t>或其委托代理人：（签字）                    或其委托代理人：（签字）</w:t>
      </w:r>
    </w:p>
    <w:p w14:paraId="32740A27">
      <w:pPr>
        <w:snapToGrid w:val="0"/>
        <w:spacing w:line="360" w:lineRule="auto"/>
        <w:rPr>
          <w:rFonts w:ascii="宋体" w:hAnsi="宋体" w:cs="Times New Roman"/>
          <w:color w:val="auto"/>
          <w:szCs w:val="21"/>
          <w:highlight w:val="none"/>
        </w:rPr>
      </w:pPr>
    </w:p>
    <w:p w14:paraId="6C69B895">
      <w:pPr>
        <w:spacing w:line="440" w:lineRule="exact"/>
        <w:jc w:val="left"/>
        <w:rPr>
          <w:rFonts w:hint="eastAsia" w:ascii="宋体" w:hAnsi="宋体" w:cs="宋体"/>
          <w:color w:val="auto"/>
          <w:sz w:val="24"/>
          <w:szCs w:val="24"/>
          <w:highlight w:val="none"/>
        </w:rPr>
      </w:pPr>
      <w:r>
        <w:rPr>
          <w:rFonts w:hint="eastAsia" w:ascii="宋体" w:hAnsi="宋体" w:cs="Times New Roman"/>
          <w:color w:val="auto"/>
          <w:szCs w:val="21"/>
          <w:highlight w:val="none"/>
        </w:rPr>
        <w:t>年  月  日                                   年  月  日</w:t>
      </w:r>
    </w:p>
    <w:bookmarkEnd w:id="553"/>
    <w:bookmarkEnd w:id="554"/>
    <w:bookmarkEnd w:id="555"/>
    <w:bookmarkEnd w:id="556"/>
    <w:bookmarkEnd w:id="557"/>
    <w:bookmarkEnd w:id="558"/>
    <w:bookmarkEnd w:id="559"/>
    <w:bookmarkEnd w:id="560"/>
    <w:p w14:paraId="5519CCF5">
      <w:pPr>
        <w:rPr>
          <w:rFonts w:ascii="宋体" w:hAnsi="宋体"/>
          <w:color w:val="auto"/>
          <w:sz w:val="52"/>
          <w:szCs w:val="52"/>
          <w:highlight w:val="none"/>
        </w:rPr>
      </w:pPr>
      <w:bookmarkStart w:id="565" w:name="_Toc509218844"/>
      <w:bookmarkStart w:id="566" w:name="_Toc534185823"/>
      <w:bookmarkStart w:id="567" w:name="_Toc9852"/>
      <w:bookmarkStart w:id="568" w:name="_Toc23025"/>
      <w:r>
        <w:rPr>
          <w:rFonts w:ascii="宋体" w:hAnsi="宋体"/>
          <w:color w:val="auto"/>
          <w:sz w:val="52"/>
          <w:szCs w:val="52"/>
          <w:highlight w:val="none"/>
        </w:rPr>
        <w:br w:type="page"/>
      </w:r>
    </w:p>
    <w:p w14:paraId="11B7A3F0">
      <w:pPr>
        <w:pStyle w:val="2"/>
        <w:spacing w:before="0" w:after="0" w:line="360" w:lineRule="auto"/>
        <w:jc w:val="center"/>
        <w:rPr>
          <w:rFonts w:ascii="宋体" w:hAnsi="宋体"/>
          <w:color w:val="auto"/>
          <w:sz w:val="52"/>
          <w:szCs w:val="52"/>
          <w:highlight w:val="none"/>
        </w:rPr>
      </w:pPr>
      <w:r>
        <w:rPr>
          <w:rFonts w:ascii="宋体" w:hAnsi="宋体"/>
          <w:color w:val="auto"/>
          <w:sz w:val="52"/>
          <w:szCs w:val="52"/>
          <w:highlight w:val="none"/>
        </w:rPr>
        <w:t>第 二 卷</w:t>
      </w:r>
      <w:bookmarkEnd w:id="565"/>
      <w:bookmarkEnd w:id="566"/>
      <w:bookmarkEnd w:id="567"/>
      <w:bookmarkEnd w:id="568"/>
    </w:p>
    <w:p w14:paraId="0E863781">
      <w:pPr>
        <w:spacing w:line="360" w:lineRule="auto"/>
        <w:rPr>
          <w:rFonts w:ascii="宋体" w:hAnsi="宋体"/>
          <w:color w:val="auto"/>
          <w:szCs w:val="20"/>
          <w:highlight w:val="none"/>
        </w:rPr>
      </w:pPr>
      <w:r>
        <w:rPr>
          <w:rFonts w:ascii="宋体" w:hAnsi="宋体"/>
          <w:color w:val="auto"/>
          <w:szCs w:val="20"/>
          <w:highlight w:val="none"/>
        </w:rPr>
        <w:br w:type="page"/>
      </w:r>
    </w:p>
    <w:p w14:paraId="61301483">
      <w:pPr>
        <w:pStyle w:val="2"/>
        <w:spacing w:line="360" w:lineRule="auto"/>
        <w:jc w:val="center"/>
        <w:rPr>
          <w:rFonts w:ascii="宋体" w:hAnsi="宋体"/>
          <w:color w:val="auto"/>
          <w:highlight w:val="none"/>
        </w:rPr>
      </w:pPr>
      <w:bookmarkStart w:id="569" w:name="招标文件06章图纸"/>
      <w:bookmarkEnd w:id="569"/>
      <w:bookmarkStart w:id="570" w:name="_Toc509218846"/>
      <w:bookmarkStart w:id="571" w:name="_Toc534185825"/>
      <w:bookmarkStart w:id="572" w:name="_Toc430530519"/>
      <w:bookmarkStart w:id="573" w:name="_Toc287607861"/>
      <w:bookmarkStart w:id="574" w:name="_Toc287620803"/>
      <w:bookmarkStart w:id="575" w:name="_Toc14759"/>
      <w:bookmarkStart w:id="576" w:name="_Toc30459"/>
      <w:r>
        <w:rPr>
          <w:rFonts w:hint="eastAsia" w:ascii="宋体" w:hAnsi="宋体"/>
          <w:color w:val="auto"/>
          <w:highlight w:val="none"/>
        </w:rPr>
        <w:t xml:space="preserve">第五章  </w:t>
      </w:r>
      <w:bookmarkEnd w:id="570"/>
      <w:bookmarkEnd w:id="571"/>
      <w:bookmarkEnd w:id="572"/>
      <w:bookmarkEnd w:id="573"/>
      <w:bookmarkEnd w:id="574"/>
      <w:r>
        <w:rPr>
          <w:rFonts w:hint="eastAsia" w:ascii="宋体" w:hAnsi="宋体"/>
          <w:color w:val="auto"/>
          <w:highlight w:val="none"/>
        </w:rPr>
        <w:t>发包人要求</w:t>
      </w:r>
      <w:bookmarkEnd w:id="575"/>
      <w:bookmarkEnd w:id="576"/>
    </w:p>
    <w:p w14:paraId="4CA2B5DC">
      <w:pPr>
        <w:spacing w:line="360" w:lineRule="auto"/>
        <w:rPr>
          <w:rFonts w:ascii="宋体" w:hAnsi="宋体"/>
          <w:color w:val="auto"/>
          <w:szCs w:val="20"/>
          <w:highlight w:val="none"/>
        </w:rPr>
      </w:pPr>
    </w:p>
    <w:p w14:paraId="5C20D221">
      <w:pPr>
        <w:widowControl/>
        <w:jc w:val="left"/>
        <w:rPr>
          <w:rFonts w:ascii="宋体" w:hAnsi="宋体"/>
          <w:color w:val="auto"/>
          <w:szCs w:val="20"/>
          <w:highlight w:val="none"/>
        </w:rPr>
      </w:pPr>
      <w:bookmarkStart w:id="577" w:name="招标文件06章图纸01"/>
      <w:bookmarkEnd w:id="577"/>
      <w:bookmarkStart w:id="578" w:name="_Toc287620804"/>
      <w:bookmarkStart w:id="579" w:name="_Toc430530520"/>
      <w:r>
        <w:rPr>
          <w:rFonts w:ascii="宋体" w:hAnsi="宋体"/>
          <w:color w:val="auto"/>
          <w:szCs w:val="20"/>
          <w:highlight w:val="none"/>
        </w:rPr>
        <w:br w:type="page"/>
      </w:r>
    </w:p>
    <w:p w14:paraId="6ABECEC1">
      <w:pPr>
        <w:autoSpaceDE w:val="0"/>
        <w:autoSpaceDN w:val="0"/>
        <w:spacing w:line="441" w:lineRule="exact"/>
        <w:ind w:left="3617"/>
        <w:jc w:val="left"/>
        <w:outlineLvl w:val="2"/>
        <w:rPr>
          <w:rFonts w:ascii="宋体" w:hAnsi="宋体" w:cs="宋体"/>
          <w:color w:val="auto"/>
          <w:kern w:val="0"/>
          <w:szCs w:val="21"/>
          <w:highlight w:val="none"/>
        </w:rPr>
      </w:pPr>
      <w:bookmarkStart w:id="580" w:name="_Toc32314"/>
      <w:bookmarkStart w:id="581" w:name="_Toc66711357"/>
      <w:r>
        <w:rPr>
          <w:rFonts w:ascii="Microsoft JhengHei" w:hAnsi="Microsoft JhengHei" w:eastAsia="Microsoft JhengHei" w:cs="Microsoft JhengHei"/>
          <w:b/>
          <w:bCs/>
          <w:color w:val="auto"/>
          <w:kern w:val="0"/>
          <w:sz w:val="32"/>
          <w:szCs w:val="32"/>
          <w:highlight w:val="none"/>
        </w:rPr>
        <w:t>发包人要求</w:t>
      </w:r>
      <w:bookmarkEnd w:id="580"/>
      <w:bookmarkEnd w:id="581"/>
    </w:p>
    <w:bookmarkEnd w:id="578"/>
    <w:bookmarkEnd w:id="579"/>
    <w:p w14:paraId="2998827E">
      <w:pPr>
        <w:spacing w:line="480" w:lineRule="exact"/>
        <w:rPr>
          <w:rFonts w:ascii="Times New Roman" w:hAnsi="Times New Roman" w:eastAsia="宋体"/>
          <w:b/>
          <w:color w:val="auto"/>
          <w:szCs w:val="21"/>
          <w:highlight w:val="none"/>
        </w:rPr>
      </w:pPr>
      <w:bookmarkStart w:id="582" w:name="_Toc6839"/>
      <w:r>
        <w:rPr>
          <w:rFonts w:hint="eastAsia" w:eastAsia="宋体"/>
          <w:b/>
          <w:color w:val="auto"/>
          <w:szCs w:val="21"/>
          <w:highlight w:val="none"/>
          <w:lang w:val="en-US" w:eastAsia="zh-CN"/>
        </w:rPr>
        <w:t>1</w:t>
      </w:r>
      <w:r>
        <w:rPr>
          <w:rFonts w:hint="eastAsia" w:ascii="Times New Roman" w:hAnsi="Times New Roman" w:eastAsia="宋体"/>
          <w:b/>
          <w:color w:val="auto"/>
          <w:szCs w:val="21"/>
          <w:highlight w:val="none"/>
        </w:rPr>
        <w:t>、技术参数</w:t>
      </w:r>
    </w:p>
    <w:p w14:paraId="5AC8FDEB">
      <w:pPr>
        <w:spacing w:line="400" w:lineRule="exact"/>
        <w:ind w:firstLine="110" w:firstLineChars="50"/>
        <w:rPr>
          <w:rFonts w:ascii="Calibri" w:hAnsi="Calibri" w:eastAsia="宋体"/>
          <w:color w:val="auto"/>
          <w:szCs w:val="22"/>
          <w:highlight w:val="none"/>
        </w:rPr>
      </w:pPr>
      <w:r>
        <w:rPr>
          <w:rFonts w:hint="default" w:ascii="宋体" w:hAnsi="宋体" w:eastAsia="宋体"/>
          <w:color w:val="auto"/>
          <w:sz w:val="22"/>
          <w:szCs w:val="22"/>
          <w:highlight w:val="none"/>
        </w:rPr>
        <w:t>执行国家标准及行业标准，满足材料使用的技术性能要求。</w:t>
      </w:r>
    </w:p>
    <w:p w14:paraId="1770FCF8">
      <w:pPr>
        <w:pStyle w:val="343"/>
        <w:keepNext w:val="0"/>
        <w:keepLines w:val="0"/>
        <w:pageBreakBefore w:val="0"/>
        <w:widowControl w:val="0"/>
        <w:numPr>
          <w:ilvl w:val="0"/>
          <w:numId w:val="0"/>
        </w:numPr>
        <w:tabs>
          <w:tab w:val="left" w:pos="1620"/>
        </w:tabs>
        <w:kinsoku/>
        <w:wordWrap/>
        <w:overflowPunct/>
        <w:topLinePunct w:val="0"/>
        <w:bidi w:val="0"/>
        <w:snapToGrid w:val="0"/>
        <w:spacing w:after="0" w:line="440" w:lineRule="exact"/>
        <w:ind w:firstLine="480" w:firstLineChars="200"/>
        <w:textAlignment w:val="auto"/>
        <w:rPr>
          <w:rFonts w:hint="default" w:ascii="新宋体" w:hAnsi="新宋体" w:eastAsia="新宋体" w:cs="新宋体"/>
          <w:bCs/>
          <w:color w:val="auto"/>
          <w:kern w:val="0"/>
          <w:sz w:val="24"/>
          <w:szCs w:val="24"/>
          <w:highlight w:val="none"/>
          <w:lang w:val="en-US" w:eastAsia="zh-CN" w:bidi="ar-SA"/>
        </w:rPr>
      </w:pPr>
      <w:r>
        <w:rPr>
          <w:rFonts w:hint="default" w:ascii="新宋体" w:hAnsi="新宋体" w:eastAsia="新宋体" w:cs="新宋体"/>
          <w:bCs/>
          <w:color w:val="auto"/>
          <w:kern w:val="0"/>
          <w:sz w:val="24"/>
          <w:szCs w:val="24"/>
          <w:highlight w:val="none"/>
          <w:lang w:val="en-US" w:eastAsia="zh-CN" w:bidi="ar-SA"/>
        </w:rPr>
        <w:t>供应钢筋网片采用焊接钢筋网，焊接网钢筋强度标准为CRB550级，质量必须符合行业标准《钢焊接网混凝土结构技术规程》(JGJ114-2014)的规定，若国家、行业标准或规范出现修改或新颁，由需方决定是否采用新标准或新规范，价格不因标准和规范适用的变化而调整;</w:t>
      </w:r>
    </w:p>
    <w:p w14:paraId="13111D59">
      <w:pPr>
        <w:pStyle w:val="343"/>
        <w:keepNext w:val="0"/>
        <w:keepLines w:val="0"/>
        <w:pageBreakBefore w:val="0"/>
        <w:widowControl w:val="0"/>
        <w:numPr>
          <w:ilvl w:val="0"/>
          <w:numId w:val="0"/>
        </w:numPr>
        <w:tabs>
          <w:tab w:val="left" w:pos="1620"/>
        </w:tabs>
        <w:kinsoku/>
        <w:wordWrap/>
        <w:overflowPunct/>
        <w:topLinePunct w:val="0"/>
        <w:bidi w:val="0"/>
        <w:snapToGrid w:val="0"/>
        <w:spacing w:after="0" w:line="440" w:lineRule="exact"/>
        <w:ind w:firstLine="480" w:firstLineChars="200"/>
        <w:textAlignment w:val="auto"/>
        <w:rPr>
          <w:rFonts w:hint="default" w:ascii="新宋体" w:hAnsi="新宋体" w:eastAsia="新宋体" w:cs="新宋体"/>
          <w:bCs/>
          <w:color w:val="auto"/>
          <w:kern w:val="0"/>
          <w:sz w:val="24"/>
          <w:szCs w:val="24"/>
          <w:highlight w:val="none"/>
          <w:lang w:val="en-US" w:eastAsia="zh-CN" w:bidi="ar-SA"/>
        </w:rPr>
      </w:pPr>
      <w:r>
        <w:rPr>
          <w:rFonts w:hint="default" w:ascii="新宋体" w:hAnsi="新宋体" w:eastAsia="新宋体" w:cs="新宋体"/>
          <w:bCs/>
          <w:color w:val="auto"/>
          <w:kern w:val="0"/>
          <w:sz w:val="24"/>
          <w:szCs w:val="24"/>
          <w:highlight w:val="none"/>
          <w:lang w:val="en-US" w:eastAsia="zh-CN" w:bidi="ar-SA"/>
        </w:rPr>
        <w:t>网片的网孔尺寸、钢筋间距</w:t>
      </w:r>
      <w:r>
        <w:rPr>
          <w:rFonts w:hint="eastAsia" w:ascii="新宋体" w:hAnsi="新宋体" w:eastAsia="新宋体" w:cs="新宋体"/>
          <w:bCs/>
          <w:color w:val="auto"/>
          <w:kern w:val="0"/>
          <w:sz w:val="24"/>
          <w:szCs w:val="24"/>
          <w:highlight w:val="none"/>
          <w:lang w:val="en-US" w:eastAsia="zh-CN" w:bidi="ar-SA"/>
        </w:rPr>
        <w:t>（150*150mm）</w:t>
      </w:r>
      <w:r>
        <w:rPr>
          <w:rFonts w:hint="default" w:ascii="新宋体" w:hAnsi="新宋体" w:eastAsia="新宋体" w:cs="新宋体"/>
          <w:bCs/>
          <w:color w:val="auto"/>
          <w:kern w:val="0"/>
          <w:sz w:val="24"/>
          <w:szCs w:val="24"/>
          <w:highlight w:val="none"/>
          <w:lang w:val="en-US" w:eastAsia="zh-CN" w:bidi="ar-SA"/>
        </w:rPr>
        <w:t>、钢筋直径</w:t>
      </w:r>
      <w:r>
        <w:rPr>
          <w:rFonts w:hint="eastAsia" w:ascii="新宋体" w:hAnsi="新宋体" w:eastAsia="新宋体" w:cs="新宋体"/>
          <w:bCs/>
          <w:color w:val="auto"/>
          <w:kern w:val="0"/>
          <w:sz w:val="24"/>
          <w:szCs w:val="24"/>
          <w:highlight w:val="none"/>
          <w:lang w:val="en-US" w:eastAsia="zh-CN" w:bidi="ar-SA"/>
        </w:rPr>
        <w:t>（φ4）</w:t>
      </w:r>
      <w:r>
        <w:rPr>
          <w:rFonts w:hint="default" w:ascii="新宋体" w:hAnsi="新宋体" w:eastAsia="新宋体" w:cs="新宋体"/>
          <w:bCs/>
          <w:color w:val="auto"/>
          <w:kern w:val="0"/>
          <w:sz w:val="24"/>
          <w:szCs w:val="24"/>
          <w:highlight w:val="none"/>
          <w:lang w:val="en-US" w:eastAsia="zh-CN" w:bidi="ar-SA"/>
        </w:rPr>
        <w:t>及边缘平整度应符合设计图纸要求，误差应在允许范围内；钢筋直径应均匀一致，无明显的粗细不均现象；边缘应平整，无扭曲、变形或毛刺。表面</w:t>
      </w:r>
      <w:r>
        <w:rPr>
          <w:rFonts w:hint="eastAsia" w:ascii="新宋体" w:hAnsi="新宋体" w:eastAsia="新宋体" w:cs="新宋体"/>
          <w:bCs/>
          <w:color w:val="auto"/>
          <w:kern w:val="0"/>
          <w:sz w:val="24"/>
          <w:szCs w:val="24"/>
          <w:highlight w:val="none"/>
          <w:lang w:val="en-US" w:eastAsia="zh-CN" w:bidi="ar-SA"/>
        </w:rPr>
        <w:t>应</w:t>
      </w:r>
      <w:r>
        <w:rPr>
          <w:rFonts w:hint="default" w:ascii="新宋体" w:hAnsi="新宋体" w:eastAsia="新宋体" w:cs="新宋体"/>
          <w:bCs/>
          <w:color w:val="auto"/>
          <w:kern w:val="0"/>
          <w:sz w:val="24"/>
          <w:szCs w:val="24"/>
          <w:highlight w:val="none"/>
          <w:lang w:val="en-US" w:eastAsia="zh-CN" w:bidi="ar-SA"/>
        </w:rPr>
        <w:t>清洁，无油污、锈蚀等缺陷‌。</w:t>
      </w:r>
    </w:p>
    <w:p w14:paraId="6BFDE0C9">
      <w:pPr>
        <w:snapToGrid w:val="0"/>
        <w:spacing w:line="400" w:lineRule="exact"/>
        <w:rPr>
          <w:rFonts w:ascii="宋体" w:hAnsi="Calibri" w:eastAsia="宋体"/>
          <w:color w:val="auto"/>
          <w:szCs w:val="21"/>
          <w:highlight w:val="none"/>
        </w:rPr>
      </w:pPr>
      <w:r>
        <w:rPr>
          <w:rFonts w:hint="eastAsia" w:ascii="新宋体" w:hAnsi="新宋体" w:eastAsia="新宋体" w:cs="新宋体"/>
          <w:bCs/>
          <w:color w:val="auto"/>
          <w:kern w:val="0"/>
          <w:sz w:val="24"/>
          <w:szCs w:val="24"/>
          <w:highlight w:val="none"/>
          <w:lang w:val="en-US" w:eastAsia="zh-CN" w:bidi="ar-SA"/>
        </w:rPr>
        <w:t>网片钢筋</w:t>
      </w:r>
      <w:r>
        <w:rPr>
          <w:rFonts w:hint="default" w:ascii="新宋体" w:hAnsi="新宋体" w:eastAsia="新宋体" w:cs="新宋体"/>
          <w:bCs/>
          <w:color w:val="auto"/>
          <w:kern w:val="0"/>
          <w:sz w:val="24"/>
          <w:szCs w:val="24"/>
          <w:highlight w:val="none"/>
          <w:lang w:val="en-US" w:eastAsia="zh-CN" w:bidi="ar-SA"/>
        </w:rPr>
        <w:t>抗拉强度、屈服强度、延伸率及焊接接头</w:t>
      </w:r>
      <w:r>
        <w:rPr>
          <w:rFonts w:hint="default" w:ascii="新宋体" w:hAnsi="新宋体" w:eastAsia="新宋体" w:cs="新宋体"/>
          <w:color w:val="auto"/>
          <w:sz w:val="24"/>
          <w:szCs w:val="24"/>
          <w:highlight w:val="none"/>
          <w:lang w:val="en-US" w:eastAsia="zh-CN"/>
        </w:rPr>
        <w:t>的外观（无裂纹、夹渣、气孔等缺陷）、尺寸（焊缝宽度、高度）、强度（通过拉伸试验或剪切试验测定）</w:t>
      </w:r>
      <w:r>
        <w:rPr>
          <w:rFonts w:hint="eastAsia" w:ascii="新宋体" w:hAnsi="新宋体" w:eastAsia="新宋体" w:cs="新宋体"/>
          <w:bCs/>
          <w:color w:val="auto"/>
          <w:kern w:val="0"/>
          <w:sz w:val="24"/>
          <w:szCs w:val="24"/>
          <w:highlight w:val="none"/>
          <w:lang w:val="en-US" w:eastAsia="zh-CN" w:bidi="ar-SA"/>
        </w:rPr>
        <w:t>满足设计图纸</w:t>
      </w:r>
      <w:r>
        <w:rPr>
          <w:rFonts w:hint="default" w:ascii="新宋体" w:hAnsi="新宋体" w:eastAsia="新宋体" w:cs="新宋体"/>
          <w:bCs/>
          <w:color w:val="auto"/>
          <w:kern w:val="0"/>
          <w:sz w:val="24"/>
          <w:szCs w:val="24"/>
          <w:highlight w:val="none"/>
          <w:lang w:val="en-US" w:eastAsia="zh-CN" w:bidi="ar-SA"/>
        </w:rPr>
        <w:t>。</w:t>
      </w:r>
    </w:p>
    <w:p w14:paraId="6D2554FD">
      <w:pPr>
        <w:spacing w:line="400" w:lineRule="exact"/>
        <w:rPr>
          <w:rFonts w:ascii="Times New Roman" w:hAnsi="Times New Roman" w:eastAsia="宋体"/>
          <w:b/>
          <w:color w:val="auto"/>
          <w:szCs w:val="21"/>
          <w:highlight w:val="none"/>
        </w:rPr>
      </w:pPr>
      <w:r>
        <w:rPr>
          <w:rFonts w:hint="eastAsia" w:eastAsia="宋体"/>
          <w:b/>
          <w:color w:val="auto"/>
          <w:szCs w:val="21"/>
          <w:highlight w:val="none"/>
          <w:lang w:val="en-US" w:eastAsia="zh-CN"/>
        </w:rPr>
        <w:t>2</w:t>
      </w:r>
      <w:r>
        <w:rPr>
          <w:rFonts w:hint="eastAsia" w:ascii="Times New Roman" w:hAnsi="Times New Roman" w:eastAsia="宋体"/>
          <w:b/>
          <w:color w:val="auto"/>
          <w:szCs w:val="21"/>
          <w:highlight w:val="none"/>
        </w:rPr>
        <w:t>、投标人应提供的技术资料</w:t>
      </w:r>
    </w:p>
    <w:p w14:paraId="6FCCA637">
      <w:pPr>
        <w:widowControl w:val="0"/>
        <w:adjustRightInd w:val="0"/>
        <w:snapToGrid w:val="0"/>
        <w:spacing w:line="400" w:lineRule="exact"/>
        <w:ind w:firstLine="420"/>
        <w:jc w:val="both"/>
        <w:rPr>
          <w:rFonts w:ascii="宋体" w:hAnsi="宋体" w:eastAsia="宋体" w:cs="Times New Roman"/>
          <w:color w:val="auto"/>
          <w:kern w:val="0"/>
          <w:sz w:val="20"/>
          <w:szCs w:val="21"/>
          <w:highlight w:val="none"/>
          <w:lang w:val="en-US" w:eastAsia="zh-CN" w:bidi="ar-SA"/>
        </w:rPr>
      </w:pPr>
      <w:r>
        <w:rPr>
          <w:rFonts w:hint="eastAsia" w:ascii="宋体" w:hAnsi="宋体" w:eastAsia="宋体" w:cs="Times New Roman"/>
          <w:color w:val="auto"/>
          <w:kern w:val="0"/>
          <w:sz w:val="20"/>
          <w:szCs w:val="21"/>
          <w:highlight w:val="none"/>
          <w:lang w:val="en-US" w:eastAsia="zh-CN" w:bidi="ar-SA"/>
        </w:rPr>
        <w:t>生产和检验招标物资所执行的技术标准。</w:t>
      </w:r>
    </w:p>
    <w:p w14:paraId="5C9C5B54">
      <w:pPr>
        <w:spacing w:line="400" w:lineRule="exact"/>
        <w:rPr>
          <w:rFonts w:ascii="Calibri" w:hAnsi="Calibri" w:eastAsia="宋体"/>
          <w:color w:val="auto"/>
          <w:szCs w:val="22"/>
          <w:highlight w:val="none"/>
        </w:rPr>
      </w:pPr>
      <w:r>
        <w:rPr>
          <w:rFonts w:hint="default" w:ascii="宋体" w:hAnsi="宋体" w:eastAsia="宋体"/>
          <w:color w:val="auto"/>
          <w:sz w:val="22"/>
          <w:szCs w:val="22"/>
          <w:highlight w:val="none"/>
        </w:rPr>
        <w:t xml:space="preserve">（1）所供钢筋要求符合国家及行业标准，交货长度和尺寸完全符合供货清单中的要求，并提供试验及探伤报告，产品质量保证期限从投入运行日期算起不低于 </w:t>
      </w:r>
      <w:r>
        <w:rPr>
          <w:rFonts w:hint="default" w:eastAsia="宋体"/>
          <w:color w:val="auto"/>
          <w:sz w:val="22"/>
          <w:szCs w:val="22"/>
          <w:highlight w:val="none"/>
        </w:rPr>
        <w:t xml:space="preserve">12 </w:t>
      </w:r>
      <w:r>
        <w:rPr>
          <w:rFonts w:hint="default" w:ascii="宋体" w:hAnsi="宋体" w:eastAsia="宋体"/>
          <w:color w:val="auto"/>
          <w:sz w:val="22"/>
          <w:szCs w:val="22"/>
          <w:highlight w:val="none"/>
        </w:rPr>
        <w:t>个月。</w:t>
      </w:r>
      <w:r>
        <w:rPr>
          <w:rFonts w:hint="eastAsia" w:ascii="Calibri" w:hAnsi="Calibri" w:eastAsia="宋体"/>
          <w:color w:val="auto"/>
          <w:sz w:val="22"/>
          <w:szCs w:val="22"/>
          <w:highlight w:val="none"/>
        </w:rPr>
        <w:br w:type="textWrapping"/>
      </w:r>
      <w:r>
        <w:rPr>
          <w:rFonts w:hint="default" w:ascii="宋体" w:hAnsi="宋体" w:eastAsia="宋体"/>
          <w:color w:val="auto"/>
          <w:sz w:val="22"/>
          <w:szCs w:val="22"/>
          <w:highlight w:val="none"/>
        </w:rPr>
        <w:t>（</w:t>
      </w:r>
      <w:r>
        <w:rPr>
          <w:rFonts w:hint="default" w:eastAsia="宋体"/>
          <w:color w:val="auto"/>
          <w:sz w:val="22"/>
          <w:szCs w:val="22"/>
          <w:highlight w:val="none"/>
        </w:rPr>
        <w:t>2</w:t>
      </w:r>
      <w:r>
        <w:rPr>
          <w:rFonts w:hint="default" w:ascii="宋体" w:hAnsi="宋体" w:eastAsia="宋体"/>
          <w:color w:val="auto"/>
          <w:sz w:val="22"/>
          <w:szCs w:val="22"/>
          <w:highlight w:val="none"/>
        </w:rPr>
        <w:t>）供应商负责运输到指定地点、提供有效发票以及售后服务</w:t>
      </w:r>
      <w:r>
        <w:rPr>
          <w:rFonts w:ascii="Calibri" w:hAnsi="Calibri" w:eastAsia="宋体"/>
          <w:color w:val="auto"/>
          <w:szCs w:val="22"/>
          <w:highlight w:val="none"/>
        </w:rPr>
        <w:t xml:space="preserve"> </w:t>
      </w:r>
    </w:p>
    <w:p w14:paraId="594218E7">
      <w:pPr>
        <w:spacing w:line="400" w:lineRule="exact"/>
        <w:rPr>
          <w:rFonts w:ascii="宋体" w:hAnsi="宋体" w:eastAsia="宋体"/>
          <w:b/>
          <w:color w:val="auto"/>
          <w:szCs w:val="21"/>
          <w:highlight w:val="none"/>
          <w:shd w:val="clear" w:color="auto" w:fill="FFFFFF"/>
        </w:rPr>
      </w:pPr>
      <w:r>
        <w:rPr>
          <w:rFonts w:hint="eastAsia" w:ascii="宋体" w:hAnsi="宋体" w:eastAsia="宋体"/>
          <w:b/>
          <w:color w:val="auto"/>
          <w:szCs w:val="21"/>
          <w:highlight w:val="none"/>
          <w:shd w:val="clear" w:color="auto" w:fill="FFFFFF"/>
          <w:lang w:val="en-US" w:eastAsia="zh-CN"/>
        </w:rPr>
        <w:t>3</w:t>
      </w:r>
      <w:r>
        <w:rPr>
          <w:rFonts w:hint="eastAsia" w:ascii="宋体" w:hAnsi="宋体" w:eastAsia="宋体"/>
          <w:b/>
          <w:color w:val="auto"/>
          <w:szCs w:val="21"/>
          <w:highlight w:val="none"/>
          <w:shd w:val="clear" w:color="auto" w:fill="FFFFFF"/>
        </w:rPr>
        <w:t>、供货范围</w:t>
      </w:r>
    </w:p>
    <w:p w14:paraId="393EDF05">
      <w:pPr>
        <w:spacing w:line="400" w:lineRule="exact"/>
        <w:rPr>
          <w:rFonts w:ascii="Calibri" w:hAnsi="Calibri" w:eastAsia="宋体"/>
          <w:color w:val="auto"/>
          <w:sz w:val="22"/>
          <w:szCs w:val="22"/>
          <w:highlight w:val="none"/>
        </w:rPr>
      </w:pPr>
      <w:r>
        <w:rPr>
          <w:rFonts w:hint="default" w:ascii="宋体" w:hAnsi="宋体" w:eastAsia="宋体"/>
          <w:color w:val="auto"/>
          <w:sz w:val="22"/>
          <w:szCs w:val="22"/>
          <w:highlight w:val="none"/>
        </w:rPr>
        <w:t>（</w:t>
      </w:r>
      <w:r>
        <w:rPr>
          <w:rFonts w:hint="default" w:eastAsia="宋体"/>
          <w:color w:val="auto"/>
          <w:sz w:val="22"/>
          <w:szCs w:val="22"/>
          <w:highlight w:val="none"/>
        </w:rPr>
        <w:t>1</w:t>
      </w:r>
      <w:r>
        <w:rPr>
          <w:rFonts w:hint="default" w:ascii="宋体" w:hAnsi="宋体" w:eastAsia="宋体"/>
          <w:color w:val="auto"/>
          <w:sz w:val="22"/>
          <w:szCs w:val="22"/>
          <w:highlight w:val="none"/>
        </w:rPr>
        <w:t>）提供完整的、全新的、符合标准的、满足招标文件要求，符合技术性能要求的所列规格型号的钢筋。</w:t>
      </w:r>
    </w:p>
    <w:p w14:paraId="297C0B5F">
      <w:pPr>
        <w:spacing w:line="400" w:lineRule="exact"/>
        <w:rPr>
          <w:rFonts w:hint="default" w:ascii="Calibri" w:hAnsi="Calibri" w:eastAsia="宋体"/>
          <w:color w:val="auto"/>
          <w:szCs w:val="22"/>
          <w:highlight w:val="none"/>
        </w:rPr>
      </w:pPr>
      <w:r>
        <w:rPr>
          <w:rFonts w:hint="default" w:ascii="宋体" w:hAnsi="宋体" w:eastAsia="宋体"/>
          <w:color w:val="auto"/>
          <w:sz w:val="22"/>
          <w:szCs w:val="22"/>
          <w:highlight w:val="none"/>
        </w:rPr>
        <w:t>（</w:t>
      </w:r>
      <w:r>
        <w:rPr>
          <w:rFonts w:hint="default" w:eastAsia="宋体"/>
          <w:color w:val="auto"/>
          <w:sz w:val="22"/>
          <w:szCs w:val="22"/>
          <w:highlight w:val="none"/>
        </w:rPr>
        <w:t>2</w:t>
      </w:r>
      <w:r>
        <w:rPr>
          <w:rFonts w:hint="default" w:ascii="宋体" w:hAnsi="宋体" w:eastAsia="宋体"/>
          <w:color w:val="auto"/>
          <w:sz w:val="22"/>
          <w:szCs w:val="22"/>
          <w:highlight w:val="none"/>
        </w:rPr>
        <w:t>） 提供有关产品质量证明书等技术资料。</w:t>
      </w:r>
    </w:p>
    <w:p w14:paraId="09BAE1EC">
      <w:pPr>
        <w:spacing w:line="400" w:lineRule="exact"/>
        <w:rPr>
          <w:rFonts w:ascii="Calibri" w:hAnsi="Calibri" w:eastAsia="宋体"/>
          <w:color w:val="auto"/>
          <w:sz w:val="22"/>
          <w:szCs w:val="22"/>
          <w:highlight w:val="none"/>
        </w:rPr>
      </w:pPr>
      <w:r>
        <w:rPr>
          <w:rFonts w:ascii="Calibri" w:hAnsi="Calibri" w:eastAsia="宋体"/>
          <w:b/>
          <w:color w:val="auto"/>
          <w:szCs w:val="22"/>
          <w:highlight w:val="none"/>
        </w:rPr>
        <w:t xml:space="preserve"> </w:t>
      </w:r>
      <w:r>
        <w:rPr>
          <w:rFonts w:hint="eastAsia" w:eastAsia="宋体"/>
          <w:b/>
          <w:bCs/>
          <w:color w:val="auto"/>
          <w:sz w:val="22"/>
          <w:szCs w:val="22"/>
          <w:highlight w:val="none"/>
          <w:lang w:val="en-US" w:eastAsia="zh-CN"/>
        </w:rPr>
        <w:t>4</w:t>
      </w:r>
      <w:r>
        <w:rPr>
          <w:rFonts w:ascii="宋体" w:hAnsi="宋体" w:eastAsia="宋体"/>
          <w:b/>
          <w:color w:val="auto"/>
          <w:sz w:val="22"/>
          <w:szCs w:val="22"/>
          <w:highlight w:val="none"/>
        </w:rPr>
        <w:t>、包装运输、存放</w:t>
      </w:r>
      <w:r>
        <w:rPr>
          <w:rFonts w:hint="eastAsia" w:ascii="Calibri" w:hAnsi="Calibri" w:eastAsia="宋体"/>
          <w:b/>
          <w:color w:val="auto"/>
          <w:sz w:val="22"/>
          <w:szCs w:val="22"/>
          <w:highlight w:val="none"/>
        </w:rPr>
        <w:br w:type="textWrapping"/>
      </w:r>
      <w:r>
        <w:rPr>
          <w:rFonts w:ascii="宋体" w:hAnsi="宋体" w:eastAsia="宋体"/>
          <w:color w:val="auto"/>
          <w:sz w:val="22"/>
          <w:szCs w:val="22"/>
          <w:highlight w:val="none"/>
        </w:rPr>
        <w:t>要求供应商按照</w:t>
      </w:r>
      <w:r>
        <w:rPr>
          <w:rFonts w:hint="eastAsia" w:ascii="宋体" w:hAnsi="宋体"/>
          <w:color w:val="auto"/>
          <w:sz w:val="22"/>
          <w:szCs w:val="22"/>
          <w:highlight w:val="none"/>
          <w:lang w:eastAsia="zh-CN"/>
        </w:rPr>
        <w:t>比选人</w:t>
      </w:r>
      <w:r>
        <w:rPr>
          <w:rFonts w:ascii="宋体" w:hAnsi="宋体" w:eastAsia="宋体"/>
          <w:color w:val="auto"/>
          <w:sz w:val="22"/>
          <w:szCs w:val="22"/>
          <w:highlight w:val="none"/>
        </w:rPr>
        <w:t>的要求进行包装，一般装车和运输费用包括在合同总价中。</w:t>
      </w:r>
    </w:p>
    <w:p w14:paraId="0D16F7E4">
      <w:pPr>
        <w:spacing w:line="400" w:lineRule="exact"/>
        <w:rPr>
          <w:rFonts w:ascii="Calibri" w:hAnsi="Calibri" w:eastAsia="宋体"/>
          <w:color w:val="auto"/>
          <w:sz w:val="22"/>
          <w:szCs w:val="22"/>
          <w:highlight w:val="none"/>
        </w:rPr>
      </w:pPr>
      <w:r>
        <w:rPr>
          <w:rFonts w:hint="eastAsia" w:eastAsia="宋体"/>
          <w:b/>
          <w:bCs/>
          <w:color w:val="auto"/>
          <w:sz w:val="22"/>
          <w:szCs w:val="22"/>
          <w:highlight w:val="none"/>
          <w:lang w:val="en-US" w:eastAsia="zh-CN"/>
        </w:rPr>
        <w:t>5</w:t>
      </w:r>
      <w:r>
        <w:rPr>
          <w:rFonts w:ascii="宋体" w:hAnsi="宋体" w:eastAsia="宋体"/>
          <w:b/>
          <w:color w:val="auto"/>
          <w:sz w:val="22"/>
          <w:szCs w:val="22"/>
          <w:highlight w:val="none"/>
        </w:rPr>
        <w:t>、质量保证</w:t>
      </w:r>
      <w:r>
        <w:rPr>
          <w:rFonts w:hint="eastAsia" w:ascii="Calibri" w:hAnsi="Calibri" w:eastAsia="宋体"/>
          <w:b/>
          <w:color w:val="auto"/>
          <w:sz w:val="22"/>
          <w:szCs w:val="22"/>
          <w:highlight w:val="none"/>
        </w:rPr>
        <w:br w:type="textWrapping"/>
      </w:r>
      <w:r>
        <w:rPr>
          <w:rFonts w:ascii="宋体" w:hAnsi="宋体" w:eastAsia="宋体"/>
          <w:color w:val="auto"/>
          <w:sz w:val="22"/>
          <w:szCs w:val="22"/>
          <w:highlight w:val="none"/>
        </w:rPr>
        <w:t xml:space="preserve">供应商提供的钢筋都必须符合国家及行业标准，质量保证期为从投入运行日期算起 </w:t>
      </w:r>
      <w:r>
        <w:rPr>
          <w:rFonts w:ascii="Times New Roman" w:hAnsi="Times New Roman" w:eastAsia="宋体"/>
          <w:color w:val="auto"/>
          <w:sz w:val="22"/>
          <w:szCs w:val="22"/>
          <w:highlight w:val="none"/>
        </w:rPr>
        <w:t xml:space="preserve">12 </w:t>
      </w:r>
      <w:r>
        <w:rPr>
          <w:rFonts w:ascii="宋体" w:hAnsi="宋体" w:eastAsia="宋体"/>
          <w:color w:val="auto"/>
          <w:sz w:val="22"/>
          <w:szCs w:val="22"/>
          <w:highlight w:val="none"/>
        </w:rPr>
        <w:t>个月。</w:t>
      </w:r>
    </w:p>
    <w:p w14:paraId="139B07BF">
      <w:pPr>
        <w:spacing w:line="400" w:lineRule="exact"/>
        <w:rPr>
          <w:rFonts w:ascii="Calibri" w:hAnsi="Calibri" w:eastAsia="宋体"/>
          <w:b/>
          <w:color w:val="auto"/>
          <w:sz w:val="22"/>
          <w:szCs w:val="22"/>
          <w:highlight w:val="none"/>
        </w:rPr>
      </w:pPr>
      <w:r>
        <w:rPr>
          <w:rFonts w:hint="eastAsia" w:eastAsia="宋体"/>
          <w:b/>
          <w:bCs/>
          <w:color w:val="auto"/>
          <w:sz w:val="22"/>
          <w:szCs w:val="22"/>
          <w:highlight w:val="none"/>
          <w:lang w:val="en-US" w:eastAsia="zh-CN"/>
        </w:rPr>
        <w:t>6</w:t>
      </w:r>
      <w:r>
        <w:rPr>
          <w:rFonts w:ascii="宋体" w:hAnsi="宋体" w:eastAsia="宋体"/>
          <w:b/>
          <w:color w:val="auto"/>
          <w:sz w:val="22"/>
          <w:szCs w:val="22"/>
          <w:highlight w:val="none"/>
        </w:rPr>
        <w:t>、其它</w:t>
      </w:r>
    </w:p>
    <w:p w14:paraId="27C6A3E5">
      <w:pPr>
        <w:spacing w:line="40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.1 除合同另有规定外，工程量清单中的单价和合价包括由承包人承担的直接费、间接费、其它费用、税金等全部费用和要求获得的利润以及应由承包人承担的义务、责任和风险所发生的一切费用。</w:t>
      </w:r>
      <w:r>
        <w:rPr>
          <w:rFonts w:hint="eastAsia" w:ascii="宋体" w:hAnsi="宋体" w:eastAsia="宋体" w:cs="Times New Roman"/>
          <w:color w:val="auto"/>
          <w:sz w:val="22"/>
          <w:szCs w:val="22"/>
          <w:highlight w:val="none"/>
        </w:rPr>
        <w:br w:type="textWrapping"/>
      </w: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.2 符合合同规定的全部费用和利润都应包括在工程量清单所列的各项目中，合同规定应由承包人承担而在工程量清单中未详细列出的项目，其费用和利润应认为已包括在其它有关项目的单价和合价中。投标人不应在工程量清单中自行增加新的项目或修改项目名称。</w:t>
      </w:r>
      <w:r>
        <w:rPr>
          <w:rFonts w:hint="eastAsia" w:ascii="宋体" w:hAnsi="宋体" w:eastAsia="宋体" w:cs="Times New Roman"/>
          <w:color w:val="auto"/>
          <w:sz w:val="22"/>
          <w:szCs w:val="22"/>
          <w:highlight w:val="none"/>
        </w:rPr>
        <w:br w:type="textWrapping"/>
      </w: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.3 工程量清单中的“单价”和“合价”栏均应由投标人填报。投标人应填报投标报价汇总表，并在其结尾处填写投标总报价。报价货币为人民币。若投标人对某些项目未填报单价和合价，则应认为已包括在其它项目的单价和合价以及投标总报价内。</w:t>
      </w:r>
      <w:r>
        <w:rPr>
          <w:rFonts w:hint="eastAsia" w:ascii="宋体" w:hAnsi="宋体" w:eastAsia="宋体" w:cs="Times New Roman"/>
          <w:color w:val="auto"/>
          <w:sz w:val="22"/>
          <w:szCs w:val="22"/>
          <w:highlight w:val="none"/>
        </w:rPr>
        <w:br w:type="textWrapping"/>
      </w:r>
      <w:r>
        <w:rPr>
          <w:rFonts w:hint="eastAsia" w:ascii="宋体" w:hAnsi="宋体" w:eastAsia="宋体" w:cs="Times New Roman"/>
          <w:color w:val="auto"/>
          <w:sz w:val="22"/>
          <w:szCs w:val="22"/>
          <w:highlight w:val="none"/>
          <w:lang w:val="en-US" w:eastAsia="zh-CN"/>
        </w:rPr>
        <w:t>6</w:t>
      </w:r>
      <w:r>
        <w:rPr>
          <w:rFonts w:hint="default"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4</w:t>
      </w:r>
      <w:r>
        <w:rPr>
          <w:rFonts w:hint="default" w:ascii="宋体" w:hAnsi="宋体" w:eastAsia="宋体" w:cs="Times New Roman"/>
          <w:color w:val="auto"/>
          <w:sz w:val="22"/>
          <w:szCs w:val="22"/>
          <w:highlight w:val="none"/>
        </w:rPr>
        <w:t xml:space="preserve"> 其他说明</w:t>
      </w:r>
      <w:r>
        <w:rPr>
          <w:rFonts w:hint="eastAsia" w:ascii="宋体" w:hAnsi="宋体" w:eastAsia="宋体" w:cs="Times New Roman"/>
          <w:color w:val="auto"/>
          <w:sz w:val="22"/>
          <w:szCs w:val="22"/>
          <w:highlight w:val="none"/>
        </w:rPr>
        <w:br w:type="textWrapping"/>
      </w:r>
      <w:r>
        <w:rPr>
          <w:rFonts w:hint="default"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1</w:t>
      </w:r>
      <w:r>
        <w:rPr>
          <w:rFonts w:hint="default" w:ascii="宋体" w:hAnsi="宋体" w:eastAsia="宋体" w:cs="Times New Roman"/>
          <w:color w:val="auto"/>
          <w:sz w:val="22"/>
          <w:szCs w:val="22"/>
          <w:highlight w:val="none"/>
        </w:rPr>
        <w:t>）伴随服务</w:t>
      </w:r>
      <w:r>
        <w:rPr>
          <w:rFonts w:hint="eastAsia" w:ascii="宋体" w:hAnsi="宋体" w:eastAsia="宋体" w:cs="Times New Roman"/>
          <w:color w:val="auto"/>
          <w:sz w:val="22"/>
          <w:szCs w:val="22"/>
          <w:highlight w:val="none"/>
        </w:rPr>
        <w:t>及供货期间运营管理</w:t>
      </w:r>
      <w:r>
        <w:rPr>
          <w:rFonts w:hint="default" w:ascii="宋体" w:hAnsi="宋体" w:eastAsia="宋体" w:cs="Times New Roman"/>
          <w:color w:val="auto"/>
          <w:sz w:val="22"/>
          <w:szCs w:val="22"/>
          <w:highlight w:val="none"/>
        </w:rPr>
        <w:t>费用包括</w:t>
      </w:r>
      <w:r>
        <w:rPr>
          <w:rFonts w:hint="eastAsia" w:ascii="宋体" w:hAnsi="宋体" w:eastAsia="宋体" w:cs="Times New Roman"/>
          <w:color w:val="auto"/>
          <w:sz w:val="22"/>
          <w:szCs w:val="22"/>
          <w:highlight w:val="none"/>
        </w:rPr>
        <w:t>在综合固定</w:t>
      </w:r>
      <w:r>
        <w:rPr>
          <w:rFonts w:hint="default" w:ascii="宋体" w:hAnsi="宋体" w:eastAsia="宋体" w:cs="Times New Roman"/>
          <w:color w:val="auto"/>
          <w:sz w:val="22"/>
          <w:szCs w:val="22"/>
          <w:highlight w:val="none"/>
        </w:rPr>
        <w:t>费</w:t>
      </w:r>
      <w:r>
        <w:rPr>
          <w:rFonts w:hint="eastAsia" w:ascii="宋体" w:hAnsi="宋体" w:eastAsia="宋体" w:cs="Times New Roman"/>
          <w:color w:val="auto"/>
          <w:sz w:val="22"/>
          <w:szCs w:val="22"/>
          <w:highlight w:val="none"/>
        </w:rPr>
        <w:t>用中</w:t>
      </w:r>
      <w:r>
        <w:rPr>
          <w:rFonts w:hint="default" w:ascii="宋体" w:hAnsi="宋体" w:eastAsia="宋体" w:cs="Times New Roman"/>
          <w:color w:val="auto"/>
          <w:sz w:val="22"/>
          <w:szCs w:val="22"/>
          <w:highlight w:val="none"/>
        </w:rPr>
        <w:t>由投标人自行测算，</w:t>
      </w:r>
      <w:r>
        <w:rPr>
          <w:rFonts w:hint="eastAsia" w:ascii="宋体" w:hAnsi="宋体" w:eastAsia="宋体" w:cs="Times New Roman"/>
          <w:color w:val="auto"/>
          <w:sz w:val="22"/>
          <w:szCs w:val="22"/>
          <w:highlight w:val="none"/>
        </w:rPr>
        <w:t>综合固定费用在</w:t>
      </w:r>
      <w:r>
        <w:rPr>
          <w:rFonts w:hint="default" w:ascii="宋体" w:hAnsi="宋体" w:eastAsia="宋体" w:cs="Times New Roman"/>
          <w:color w:val="auto"/>
          <w:sz w:val="22"/>
          <w:szCs w:val="22"/>
          <w:highlight w:val="none"/>
        </w:rPr>
        <w:t>合同履行期间不做任何调整。</w:t>
      </w:r>
      <w:r>
        <w:rPr>
          <w:rFonts w:hint="eastAsia" w:ascii="宋体" w:hAnsi="宋体" w:eastAsia="宋体" w:cs="Times New Roman"/>
          <w:color w:val="auto"/>
          <w:sz w:val="22"/>
          <w:szCs w:val="22"/>
          <w:highlight w:val="none"/>
        </w:rPr>
        <w:br w:type="textWrapping"/>
      </w:r>
      <w:r>
        <w:rPr>
          <w:rFonts w:hint="default" w:ascii="宋体" w:hAnsi="宋体" w:eastAsia="宋体" w:cs="Times New Roman"/>
          <w:color w:val="auto"/>
          <w:sz w:val="22"/>
          <w:szCs w:val="22"/>
          <w:highlight w:val="none"/>
        </w:rPr>
        <w:t>（</w:t>
      </w:r>
      <w:r>
        <w:rPr>
          <w:rFonts w:hint="eastAsia" w:ascii="宋体" w:hAnsi="宋体" w:eastAsia="宋体" w:cs="Times New Roman"/>
          <w:color w:val="auto"/>
          <w:sz w:val="22"/>
          <w:szCs w:val="22"/>
          <w:highlight w:val="none"/>
        </w:rPr>
        <w:t>2</w:t>
      </w:r>
      <w:r>
        <w:rPr>
          <w:rFonts w:hint="default" w:ascii="宋体" w:hAnsi="宋体" w:eastAsia="宋体" w:cs="Times New Roman"/>
          <w:color w:val="auto"/>
          <w:sz w:val="22"/>
          <w:szCs w:val="22"/>
          <w:highlight w:val="none"/>
        </w:rPr>
        <w:t>）由于</w:t>
      </w:r>
      <w:r>
        <w:rPr>
          <w:rFonts w:hint="eastAsia" w:ascii="宋体" w:hAnsi="宋体" w:eastAsia="宋体" w:cs="Times New Roman"/>
          <w:color w:val="auto"/>
          <w:sz w:val="22"/>
          <w:szCs w:val="22"/>
          <w:highlight w:val="none"/>
        </w:rPr>
        <w:t>本</w:t>
      </w:r>
      <w:r>
        <w:rPr>
          <w:rFonts w:hint="default" w:ascii="宋体" w:hAnsi="宋体" w:eastAsia="宋体" w:cs="Times New Roman"/>
          <w:color w:val="auto"/>
          <w:sz w:val="22"/>
          <w:szCs w:val="22"/>
          <w:highlight w:val="none"/>
        </w:rPr>
        <w:t>工程包件较多且分散，交通运输条件有较大差异，各投标人务必详细踏勘现场，</w:t>
      </w:r>
      <w:r>
        <w:rPr>
          <w:rFonts w:hint="eastAsia" w:ascii="宋体" w:hAnsi="宋体" w:eastAsia="宋体" w:cs="Times New Roman"/>
          <w:color w:val="auto"/>
          <w:sz w:val="22"/>
          <w:szCs w:val="22"/>
          <w:highlight w:val="none"/>
        </w:rPr>
        <w:t>综合固定费用</w:t>
      </w:r>
      <w:r>
        <w:rPr>
          <w:rFonts w:hint="default" w:ascii="宋体" w:hAnsi="宋体" w:eastAsia="宋体" w:cs="Times New Roman"/>
          <w:color w:val="auto"/>
          <w:sz w:val="22"/>
          <w:szCs w:val="22"/>
          <w:highlight w:val="none"/>
        </w:rPr>
        <w:t>为投标人自行测算，视为投标人已详尽了解各供货地点的具体情况。</w:t>
      </w:r>
    </w:p>
    <w:p w14:paraId="221F7153">
      <w:pPr>
        <w:rPr>
          <w:rFonts w:hint="eastAsia" w:ascii="宋体" w:hAnsi="宋体"/>
          <w:color w:val="auto"/>
          <w:sz w:val="52"/>
          <w:szCs w:val="52"/>
          <w:highlight w:val="none"/>
        </w:rPr>
      </w:pPr>
    </w:p>
    <w:p w14:paraId="5B3A1787">
      <w:pPr>
        <w:rPr>
          <w:rFonts w:hint="eastAsia" w:ascii="宋体" w:hAnsi="宋体"/>
          <w:color w:val="auto"/>
          <w:sz w:val="52"/>
          <w:szCs w:val="52"/>
          <w:highlight w:val="none"/>
        </w:rPr>
      </w:pPr>
      <w:bookmarkStart w:id="583" w:name="_Toc20873"/>
      <w:r>
        <w:rPr>
          <w:rFonts w:hint="eastAsia" w:ascii="宋体" w:hAnsi="宋体"/>
          <w:color w:val="auto"/>
          <w:sz w:val="52"/>
          <w:szCs w:val="52"/>
          <w:highlight w:val="none"/>
        </w:rPr>
        <w:br w:type="page"/>
      </w:r>
    </w:p>
    <w:p w14:paraId="22CB6D0F">
      <w:pPr>
        <w:pStyle w:val="2"/>
        <w:spacing w:before="0" w:after="0" w:line="360" w:lineRule="auto"/>
        <w:jc w:val="center"/>
        <w:rPr>
          <w:rFonts w:ascii="宋体" w:hAnsi="宋体"/>
          <w:color w:val="auto"/>
          <w:sz w:val="52"/>
          <w:szCs w:val="52"/>
          <w:highlight w:val="none"/>
        </w:rPr>
      </w:pPr>
      <w:r>
        <w:rPr>
          <w:rFonts w:hint="eastAsia" w:ascii="宋体" w:hAnsi="宋体"/>
          <w:color w:val="auto"/>
          <w:sz w:val="52"/>
          <w:szCs w:val="52"/>
          <w:highlight w:val="none"/>
        </w:rPr>
        <w:t>第 三 卷</w:t>
      </w:r>
      <w:bookmarkEnd w:id="582"/>
      <w:bookmarkEnd w:id="583"/>
      <w:bookmarkStart w:id="584" w:name="_Toc509218847"/>
      <w:bookmarkStart w:id="585" w:name="_Toc534185826"/>
      <w:bookmarkStart w:id="586" w:name="_Toc536796850"/>
      <w:bookmarkStart w:id="587" w:name="_Toc13210772"/>
      <w:bookmarkStart w:id="588" w:name="_Toc536620100"/>
      <w:bookmarkStart w:id="589" w:name="_Toc536797390"/>
      <w:bookmarkStart w:id="590" w:name="_Toc536796986"/>
      <w:bookmarkStart w:id="591" w:name="_Toc13211206"/>
      <w:bookmarkStart w:id="592" w:name="_Toc536797255"/>
      <w:bookmarkStart w:id="593" w:name="_Toc13211764"/>
      <w:bookmarkStart w:id="594" w:name="_Toc536628344"/>
      <w:bookmarkStart w:id="595" w:name="_Toc536621880"/>
      <w:bookmarkStart w:id="596" w:name="_Toc536619968"/>
      <w:bookmarkStart w:id="597" w:name="_Toc536797121"/>
    </w:p>
    <w:bookmarkEnd w:id="584"/>
    <w:p w14:paraId="1E50C959">
      <w:pPr>
        <w:rPr>
          <w:color w:val="auto"/>
          <w:highlight w:val="none"/>
        </w:rPr>
      </w:pPr>
      <w:r>
        <w:rPr>
          <w:color w:val="auto"/>
          <w:highlight w:val="none"/>
        </w:rPr>
        <w:br w:type="page"/>
      </w:r>
      <w:bookmarkEnd w:id="585"/>
      <w:bookmarkEnd w:id="586"/>
      <w:bookmarkEnd w:id="587"/>
      <w:bookmarkEnd w:id="588"/>
      <w:bookmarkEnd w:id="589"/>
      <w:bookmarkEnd w:id="590"/>
      <w:bookmarkEnd w:id="591"/>
      <w:bookmarkEnd w:id="592"/>
      <w:bookmarkEnd w:id="593"/>
      <w:bookmarkEnd w:id="594"/>
      <w:bookmarkEnd w:id="595"/>
      <w:bookmarkEnd w:id="596"/>
      <w:bookmarkEnd w:id="597"/>
    </w:p>
    <w:p w14:paraId="0EC15B47">
      <w:pPr>
        <w:pStyle w:val="2"/>
        <w:spacing w:line="360" w:lineRule="auto"/>
        <w:jc w:val="center"/>
        <w:rPr>
          <w:rFonts w:ascii="宋体" w:hAnsi="宋体"/>
          <w:color w:val="auto"/>
          <w:highlight w:val="none"/>
        </w:rPr>
      </w:pPr>
      <w:bookmarkStart w:id="598" w:name="招标文件07章技术标准和要求"/>
      <w:bookmarkEnd w:id="598"/>
      <w:bookmarkStart w:id="599" w:name="_Toc30596"/>
      <w:bookmarkStart w:id="600" w:name="_Toc534185829"/>
      <w:bookmarkStart w:id="601" w:name="_Toc6465"/>
      <w:bookmarkStart w:id="602" w:name="_Toc430530528"/>
      <w:bookmarkStart w:id="603" w:name="_Toc287607865"/>
      <w:bookmarkStart w:id="604" w:name="_Toc509218852"/>
      <w:bookmarkStart w:id="605" w:name="_Toc287620812"/>
      <w:r>
        <w:rPr>
          <w:rFonts w:hint="eastAsia" w:ascii="宋体" w:hAnsi="宋体"/>
          <w:color w:val="auto"/>
          <w:highlight w:val="none"/>
        </w:rPr>
        <w:t>第六章  投标文件格式</w:t>
      </w:r>
      <w:bookmarkEnd w:id="599"/>
      <w:bookmarkEnd w:id="600"/>
      <w:bookmarkEnd w:id="601"/>
      <w:bookmarkEnd w:id="602"/>
      <w:bookmarkEnd w:id="603"/>
      <w:bookmarkEnd w:id="604"/>
      <w:bookmarkEnd w:id="605"/>
    </w:p>
    <w:p w14:paraId="4432A635">
      <w:pPr>
        <w:spacing w:line="360" w:lineRule="auto"/>
        <w:rPr>
          <w:rFonts w:ascii="宋体" w:hAnsi="宋体"/>
          <w:color w:val="auto"/>
          <w:sz w:val="32"/>
          <w:szCs w:val="32"/>
          <w:highlight w:val="none"/>
        </w:rPr>
      </w:pPr>
    </w:p>
    <w:p w14:paraId="2742989E">
      <w:pPr>
        <w:spacing w:line="360" w:lineRule="auto"/>
        <w:jc w:val="center"/>
        <w:rPr>
          <w:rFonts w:ascii="宋体" w:hAnsi="宋体"/>
          <w:color w:val="auto"/>
          <w:sz w:val="36"/>
          <w:szCs w:val="36"/>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14:paraId="71450D72"/>
                        </w:txbxContent>
                      </wps:txbx>
                      <wps:bodyPr wrap="square" upright="1"/>
                    </wps:wsp>
                  </a:graphicData>
                </a:graphic>
              </wp:anchor>
            </w:drawing>
          </mc:Choice>
          <mc:Fallback>
            <w:pict>
              <v:rect id="矩形 118" o:spid="_x0000_s1026" o:spt="1" style="position:absolute;left:0pt;margin-left:186.25pt;margin-top:666.6pt;height:54.6pt;width:63.6pt;z-index:251659264;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vl6p9oAAAANAQAADwAAAAAAAAABACAAAAAiAAAAZHJzL2Rvd25yZXYu&#10;eG1sUEsBAhQAFAAAAAgAh07iQL0qBPLAAQAAeQMAAA4AAAAAAAAAAQAgAAAAKQEAAGRycy9lMm9E&#10;b2MueG1sUEsFBgAAAAAGAAYAWQEAAFsFAAAAAA==&#10;">
                <v:fill on="t" focussize="0,0"/>
                <v:stroke on="f"/>
                <v:imagedata o:title=""/>
                <o:lock v:ext="edit" aspectratio="f"/>
                <v:textbox>
                  <w:txbxContent>
                    <w:p w14:paraId="71450D72"/>
                  </w:txbxContent>
                </v:textbox>
              </v:rect>
            </w:pict>
          </mc:Fallback>
        </mc:AlternateContent>
      </w:r>
      <w:r>
        <w:rPr>
          <w:rFonts w:ascii="宋体" w:hAnsi="宋体"/>
          <w:color w:val="auto"/>
          <w:szCs w:val="20"/>
          <w:highlight w:val="none"/>
        </w:rPr>
        <w:br w:type="page"/>
      </w:r>
      <w:bookmarkStart w:id="606" w:name="_Toc224103493"/>
      <w:r>
        <w:rPr>
          <w:rFonts w:hint="eastAsia" w:ascii="宋体" w:hAnsi="宋体"/>
          <w:color w:val="auto"/>
          <w:sz w:val="36"/>
          <w:szCs w:val="36"/>
          <w:highlight w:val="none"/>
        </w:rPr>
        <w:t>目  录</w:t>
      </w:r>
      <w:bookmarkEnd w:id="606"/>
    </w:p>
    <w:p w14:paraId="7FAE2C11">
      <w:pPr>
        <w:spacing w:line="360" w:lineRule="auto"/>
        <w:jc w:val="center"/>
        <w:rPr>
          <w:rFonts w:ascii="宋体" w:hAnsi="宋体"/>
          <w:color w:val="auto"/>
          <w:szCs w:val="20"/>
          <w:highlight w:val="none"/>
        </w:rPr>
      </w:pPr>
    </w:p>
    <w:p w14:paraId="6E5EE9FD">
      <w:pPr>
        <w:spacing w:line="360" w:lineRule="auto"/>
        <w:rPr>
          <w:rFonts w:ascii="宋体" w:hAnsi="宋体"/>
          <w:b/>
          <w:color w:val="auto"/>
          <w:highlight w:val="none"/>
        </w:rPr>
      </w:pPr>
      <w:r>
        <w:rPr>
          <w:rFonts w:hint="eastAsia" w:ascii="宋体" w:hAnsi="宋体"/>
          <w:b/>
          <w:color w:val="auto"/>
          <w:highlight w:val="none"/>
        </w:rPr>
        <w:t>一</w:t>
      </w:r>
      <w:r>
        <w:rPr>
          <w:rFonts w:ascii="宋体" w:hAnsi="宋体"/>
          <w:b/>
          <w:color w:val="auto"/>
          <w:highlight w:val="none"/>
        </w:rPr>
        <w:t>、投标函部分</w:t>
      </w:r>
    </w:p>
    <w:p w14:paraId="653AE404">
      <w:pPr>
        <w:spacing w:line="360" w:lineRule="auto"/>
        <w:ind w:firstLine="420" w:firstLineChars="200"/>
        <w:rPr>
          <w:rFonts w:ascii="宋体" w:hAnsi="宋体"/>
          <w:color w:val="auto"/>
          <w:highlight w:val="none"/>
        </w:rPr>
      </w:pPr>
      <w:r>
        <w:rPr>
          <w:rFonts w:ascii="宋体" w:hAnsi="宋体"/>
          <w:color w:val="auto"/>
          <w:highlight w:val="none"/>
        </w:rPr>
        <w:t>（一）投标函</w:t>
      </w:r>
    </w:p>
    <w:p w14:paraId="61201A25">
      <w:pPr>
        <w:spacing w:line="360" w:lineRule="auto"/>
        <w:ind w:firstLine="420" w:firstLineChars="200"/>
        <w:rPr>
          <w:rFonts w:hint="eastAsia" w:ascii="宋体" w:hAnsi="宋体"/>
          <w:color w:val="auto"/>
          <w:highlight w:val="none"/>
        </w:rPr>
      </w:pPr>
      <w:r>
        <w:rPr>
          <w:rFonts w:ascii="宋体" w:hAnsi="宋体"/>
          <w:color w:val="auto"/>
          <w:highlight w:val="none"/>
        </w:rPr>
        <w:t>（</w:t>
      </w:r>
      <w:r>
        <w:rPr>
          <w:rFonts w:hint="eastAsia" w:ascii="宋体" w:hAnsi="宋体"/>
          <w:color w:val="auto"/>
          <w:highlight w:val="none"/>
          <w:lang w:val="en-US" w:eastAsia="zh-CN"/>
        </w:rPr>
        <w:t>二</w:t>
      </w:r>
      <w:r>
        <w:rPr>
          <w:rFonts w:ascii="宋体" w:hAnsi="宋体"/>
          <w:color w:val="auto"/>
          <w:highlight w:val="none"/>
        </w:rPr>
        <w:t>）</w:t>
      </w:r>
      <w:r>
        <w:rPr>
          <w:rFonts w:hint="eastAsia" w:ascii="宋体" w:hAnsi="宋体"/>
          <w:color w:val="auto"/>
          <w:highlight w:val="none"/>
        </w:rPr>
        <w:t>法定代表人身份证明或附有法定代表人身份证明的授权委托书</w:t>
      </w:r>
    </w:p>
    <w:p w14:paraId="7EFB1BFA">
      <w:pPr>
        <w:spacing w:line="360" w:lineRule="auto"/>
        <w:ind w:firstLine="420" w:firstLineChars="200"/>
        <w:rPr>
          <w:rFonts w:hint="eastAsia" w:ascii="宋体" w:hAnsi="宋体" w:eastAsia="宋体" w:cs="Times New Roman"/>
          <w:color w:val="auto"/>
          <w:highlight w:val="none"/>
          <w:lang w:val="en-US" w:eastAsia="zh-CN"/>
        </w:rPr>
      </w:pPr>
      <w:r>
        <w:rPr>
          <w:rFonts w:hint="eastAsia" w:ascii="宋体" w:hAnsi="宋体"/>
          <w:color w:val="auto"/>
          <w:highlight w:val="none"/>
          <w:lang w:val="en-US" w:eastAsia="zh-CN"/>
        </w:rPr>
        <w:t xml:space="preserve"> </w:t>
      </w:r>
      <w:r>
        <w:rPr>
          <w:rFonts w:hint="eastAsia" w:ascii="宋体" w:hAnsi="宋体" w:eastAsia="宋体" w:cs="Times New Roman"/>
          <w:color w:val="auto"/>
          <w:highlight w:val="none"/>
          <w:lang w:val="en-US" w:eastAsia="zh-CN"/>
        </w:rPr>
        <w:t>（三）报价清单</w:t>
      </w:r>
    </w:p>
    <w:p w14:paraId="65045E59">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 xml:space="preserve"> （四）低价风险担保承诺函（如有）</w:t>
      </w:r>
    </w:p>
    <w:p w14:paraId="068AF92F">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w:t>
      </w:r>
      <w:r>
        <w:rPr>
          <w:rFonts w:hint="eastAsia" w:ascii="宋体" w:hAnsi="宋体"/>
          <w:b/>
          <w:color w:val="auto"/>
          <w:highlight w:val="none"/>
        </w:rPr>
        <w:t>资格审查部分</w:t>
      </w:r>
    </w:p>
    <w:p w14:paraId="406ED5AE">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0A830854">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资质要求及营业执照</w:t>
      </w:r>
    </w:p>
    <w:p w14:paraId="72D70B02">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eastAsia="宋体" w:cs="Times New Roman"/>
          <w:color w:val="auto"/>
          <w:highlight w:val="none"/>
          <w:lang w:val="en-US" w:eastAsia="zh-CN"/>
        </w:rPr>
        <w:t>质量及保供</w:t>
      </w:r>
      <w:r>
        <w:rPr>
          <w:rFonts w:hint="eastAsia" w:ascii="宋体" w:hAnsi="宋体" w:eastAsia="宋体" w:cs="Times New Roman"/>
          <w:color w:val="auto"/>
          <w:highlight w:val="none"/>
        </w:rPr>
        <w:t>要求</w:t>
      </w:r>
    </w:p>
    <w:p w14:paraId="7E21A408">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77BC1ADD">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（五）财务能力要求</w:t>
      </w:r>
    </w:p>
    <w:p w14:paraId="10DE69CC">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六</w:t>
      </w:r>
      <w:r>
        <w:rPr>
          <w:rFonts w:hint="eastAsia" w:ascii="宋体" w:hAnsi="宋体" w:eastAsia="宋体" w:cs="Times New Roman"/>
          <w:color w:val="auto"/>
          <w:highlight w:val="none"/>
        </w:rPr>
        <w:t>）承诺</w:t>
      </w:r>
    </w:p>
    <w:p w14:paraId="7DC5872F">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）其他资料</w:t>
      </w:r>
    </w:p>
    <w:p w14:paraId="2F7D818A">
      <w:pPr>
        <w:spacing w:line="360" w:lineRule="auto"/>
        <w:ind w:firstLine="420" w:firstLineChars="200"/>
        <w:rPr>
          <w:color w:val="auto"/>
          <w:highlight w:val="none"/>
        </w:rPr>
      </w:pPr>
    </w:p>
    <w:p w14:paraId="0319E76F">
      <w:pPr>
        <w:autoSpaceDE w:val="0"/>
        <w:autoSpaceDN w:val="0"/>
        <w:adjustRightInd w:val="0"/>
        <w:spacing w:line="276" w:lineRule="auto"/>
        <w:ind w:right="-23"/>
        <w:jc w:val="left"/>
        <w:rPr>
          <w:rFonts w:ascii="宋体" w:hAnsi="宋体"/>
          <w:color w:val="auto"/>
          <w:kern w:val="0"/>
          <w:szCs w:val="21"/>
          <w:highlight w:val="none"/>
          <w:u w:val="single"/>
        </w:rPr>
      </w:pPr>
      <w:r>
        <w:rPr>
          <w:rFonts w:ascii="宋体" w:hAnsi="宋体"/>
          <w:b/>
          <w:color w:val="auto"/>
          <w:kern w:val="0"/>
          <w:sz w:val="24"/>
          <w:highlight w:val="none"/>
        </w:rPr>
        <w:br w:type="page"/>
      </w:r>
      <w:bookmarkStart w:id="607" w:name="_Toc224103494"/>
      <w:bookmarkStart w:id="608" w:name="_Toc287607866"/>
      <w:bookmarkStart w:id="609" w:name="_Toc287620813"/>
      <w:bookmarkStart w:id="610" w:name="_Toc430530529"/>
      <w:bookmarkStart w:id="611" w:name="_Toc277082642"/>
    </w:p>
    <w:p w14:paraId="38C2903E">
      <w:pPr>
        <w:pStyle w:val="3"/>
        <w:spacing w:line="360" w:lineRule="auto"/>
        <w:jc w:val="center"/>
        <w:rPr>
          <w:rFonts w:ascii="宋体" w:hAnsi="宋体"/>
          <w:b w:val="0"/>
          <w:bCs w:val="0"/>
          <w:color w:val="auto"/>
          <w:sz w:val="44"/>
          <w:szCs w:val="44"/>
          <w:highlight w:val="none"/>
        </w:rPr>
      </w:pPr>
      <w:bookmarkStart w:id="612" w:name="_Toc8595"/>
      <w:r>
        <w:rPr>
          <w:rFonts w:hint="eastAsia" w:ascii="宋体" w:hAnsi="宋体"/>
          <w:b w:val="0"/>
          <w:bCs w:val="0"/>
          <w:color w:val="auto"/>
          <w:sz w:val="44"/>
          <w:szCs w:val="44"/>
          <w:highlight w:val="none"/>
        </w:rPr>
        <w:t>一、投标函部分</w:t>
      </w:r>
      <w:bookmarkEnd w:id="607"/>
      <w:bookmarkEnd w:id="608"/>
      <w:bookmarkEnd w:id="609"/>
      <w:bookmarkEnd w:id="610"/>
      <w:bookmarkEnd w:id="611"/>
      <w:bookmarkEnd w:id="612"/>
    </w:p>
    <w:p w14:paraId="750701F3">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rPr>
      </w:pPr>
      <w:r>
        <w:rPr>
          <w:rFonts w:ascii="宋体" w:hAnsi="宋体"/>
          <w:color w:val="auto"/>
          <w:kern w:val="0"/>
          <w:sz w:val="28"/>
          <w:szCs w:val="28"/>
          <w:highlight w:val="none"/>
        </w:rPr>
        <w:br w:type="page"/>
      </w:r>
    </w:p>
    <w:p w14:paraId="6AF79DC3">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（项目名称）</w:t>
      </w:r>
    </w:p>
    <w:p w14:paraId="7FA9995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2F57E190">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6238D96B">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5A622901">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090267B9">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14:paraId="43F45CA9">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10E9E610">
      <w:pPr>
        <w:autoSpaceDE w:val="0"/>
        <w:autoSpaceDN w:val="0"/>
        <w:adjustRightInd w:val="0"/>
        <w:snapToGrid w:val="0"/>
        <w:spacing w:line="360" w:lineRule="auto"/>
        <w:jc w:val="left"/>
        <w:rPr>
          <w:rFonts w:ascii="宋体" w:hAnsi="宋体"/>
          <w:color w:val="auto"/>
          <w:kern w:val="0"/>
          <w:sz w:val="16"/>
          <w:szCs w:val="16"/>
          <w:highlight w:val="none"/>
        </w:rPr>
      </w:pPr>
    </w:p>
    <w:p w14:paraId="3514FBF4">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14:paraId="4E54DF6F">
      <w:pPr>
        <w:autoSpaceDE w:val="0"/>
        <w:autoSpaceDN w:val="0"/>
        <w:adjustRightInd w:val="0"/>
        <w:snapToGrid w:val="0"/>
        <w:spacing w:line="360" w:lineRule="auto"/>
        <w:jc w:val="left"/>
        <w:rPr>
          <w:rFonts w:ascii="宋体" w:hAnsi="宋体"/>
          <w:b/>
          <w:color w:val="auto"/>
          <w:kern w:val="0"/>
          <w:sz w:val="20"/>
          <w:szCs w:val="20"/>
          <w:highlight w:val="none"/>
        </w:rPr>
      </w:pPr>
    </w:p>
    <w:p w14:paraId="64C03DD5">
      <w:pPr>
        <w:autoSpaceDE w:val="0"/>
        <w:autoSpaceDN w:val="0"/>
        <w:adjustRightInd w:val="0"/>
        <w:snapToGrid w:val="0"/>
        <w:spacing w:line="360" w:lineRule="auto"/>
        <w:jc w:val="left"/>
        <w:rPr>
          <w:rFonts w:ascii="宋体" w:hAnsi="宋体"/>
          <w:b/>
          <w:color w:val="auto"/>
          <w:kern w:val="0"/>
          <w:sz w:val="20"/>
          <w:szCs w:val="20"/>
          <w:highlight w:val="none"/>
        </w:rPr>
      </w:pPr>
    </w:p>
    <w:p w14:paraId="59F1AECE">
      <w:pPr>
        <w:autoSpaceDE w:val="0"/>
        <w:autoSpaceDN w:val="0"/>
        <w:adjustRightInd w:val="0"/>
        <w:snapToGrid w:val="0"/>
        <w:spacing w:line="360" w:lineRule="auto"/>
        <w:jc w:val="left"/>
        <w:rPr>
          <w:rFonts w:ascii="宋体" w:hAnsi="宋体"/>
          <w:b/>
          <w:color w:val="auto"/>
          <w:kern w:val="0"/>
          <w:sz w:val="20"/>
          <w:szCs w:val="20"/>
          <w:highlight w:val="none"/>
        </w:rPr>
      </w:pPr>
    </w:p>
    <w:p w14:paraId="164211D5">
      <w:pPr>
        <w:autoSpaceDE w:val="0"/>
        <w:autoSpaceDN w:val="0"/>
        <w:adjustRightInd w:val="0"/>
        <w:snapToGrid w:val="0"/>
        <w:spacing w:line="360" w:lineRule="auto"/>
        <w:jc w:val="left"/>
        <w:rPr>
          <w:rFonts w:ascii="宋体" w:hAnsi="宋体"/>
          <w:b/>
          <w:color w:val="auto"/>
          <w:kern w:val="0"/>
          <w:sz w:val="20"/>
          <w:szCs w:val="20"/>
          <w:highlight w:val="none"/>
        </w:rPr>
      </w:pPr>
    </w:p>
    <w:p w14:paraId="7DCDC33E">
      <w:pPr>
        <w:autoSpaceDE w:val="0"/>
        <w:autoSpaceDN w:val="0"/>
        <w:adjustRightInd w:val="0"/>
        <w:snapToGrid w:val="0"/>
        <w:spacing w:line="360" w:lineRule="auto"/>
        <w:jc w:val="left"/>
        <w:rPr>
          <w:rFonts w:ascii="宋体" w:hAnsi="宋体"/>
          <w:b/>
          <w:color w:val="auto"/>
          <w:kern w:val="0"/>
          <w:sz w:val="20"/>
          <w:szCs w:val="20"/>
          <w:highlight w:val="none"/>
        </w:rPr>
      </w:pPr>
    </w:p>
    <w:p w14:paraId="608AEB92">
      <w:pPr>
        <w:autoSpaceDE w:val="0"/>
        <w:autoSpaceDN w:val="0"/>
        <w:adjustRightInd w:val="0"/>
        <w:snapToGrid w:val="0"/>
        <w:spacing w:line="360" w:lineRule="auto"/>
        <w:jc w:val="left"/>
        <w:rPr>
          <w:rFonts w:ascii="宋体" w:hAnsi="宋体"/>
          <w:b/>
          <w:color w:val="auto"/>
          <w:kern w:val="0"/>
          <w:sz w:val="20"/>
          <w:szCs w:val="20"/>
          <w:highlight w:val="none"/>
        </w:rPr>
      </w:pPr>
    </w:p>
    <w:p w14:paraId="61F9D027">
      <w:pPr>
        <w:autoSpaceDE w:val="0"/>
        <w:autoSpaceDN w:val="0"/>
        <w:adjustRightInd w:val="0"/>
        <w:snapToGrid w:val="0"/>
        <w:spacing w:line="360" w:lineRule="auto"/>
        <w:jc w:val="left"/>
        <w:rPr>
          <w:rFonts w:ascii="宋体" w:hAnsi="宋体"/>
          <w:b/>
          <w:color w:val="auto"/>
          <w:kern w:val="0"/>
          <w:sz w:val="20"/>
          <w:szCs w:val="20"/>
          <w:highlight w:val="none"/>
        </w:rPr>
      </w:pPr>
    </w:p>
    <w:p w14:paraId="0E98D5C0">
      <w:pPr>
        <w:autoSpaceDE w:val="0"/>
        <w:autoSpaceDN w:val="0"/>
        <w:adjustRightInd w:val="0"/>
        <w:snapToGrid w:val="0"/>
        <w:spacing w:line="360" w:lineRule="auto"/>
        <w:jc w:val="left"/>
        <w:rPr>
          <w:rFonts w:ascii="宋体" w:hAnsi="宋体"/>
          <w:b/>
          <w:color w:val="auto"/>
          <w:kern w:val="0"/>
          <w:sz w:val="20"/>
          <w:szCs w:val="20"/>
          <w:highlight w:val="none"/>
        </w:rPr>
      </w:pPr>
    </w:p>
    <w:p w14:paraId="55198436">
      <w:pPr>
        <w:autoSpaceDE w:val="0"/>
        <w:autoSpaceDN w:val="0"/>
        <w:adjustRightInd w:val="0"/>
        <w:snapToGrid w:val="0"/>
        <w:spacing w:line="360" w:lineRule="auto"/>
        <w:jc w:val="left"/>
        <w:rPr>
          <w:rFonts w:ascii="宋体" w:hAnsi="宋体"/>
          <w:b/>
          <w:color w:val="auto"/>
          <w:kern w:val="0"/>
          <w:sz w:val="20"/>
          <w:szCs w:val="20"/>
          <w:highlight w:val="none"/>
        </w:rPr>
      </w:pPr>
    </w:p>
    <w:p w14:paraId="53BA6071">
      <w:pPr>
        <w:autoSpaceDE w:val="0"/>
        <w:autoSpaceDN w:val="0"/>
        <w:adjustRightInd w:val="0"/>
        <w:snapToGrid w:val="0"/>
        <w:spacing w:line="360" w:lineRule="auto"/>
        <w:jc w:val="left"/>
        <w:rPr>
          <w:rFonts w:ascii="宋体" w:hAnsi="宋体"/>
          <w:b/>
          <w:color w:val="auto"/>
          <w:kern w:val="0"/>
          <w:sz w:val="20"/>
          <w:szCs w:val="20"/>
          <w:highlight w:val="none"/>
        </w:rPr>
      </w:pPr>
    </w:p>
    <w:p w14:paraId="6ABDCEB4">
      <w:pPr>
        <w:autoSpaceDE w:val="0"/>
        <w:autoSpaceDN w:val="0"/>
        <w:adjustRightInd w:val="0"/>
        <w:snapToGrid w:val="0"/>
        <w:spacing w:line="360" w:lineRule="auto"/>
        <w:jc w:val="left"/>
        <w:rPr>
          <w:rFonts w:ascii="宋体" w:hAnsi="宋体"/>
          <w:b/>
          <w:color w:val="auto"/>
          <w:kern w:val="0"/>
          <w:sz w:val="20"/>
          <w:szCs w:val="20"/>
          <w:highlight w:val="none"/>
        </w:rPr>
      </w:pPr>
    </w:p>
    <w:p w14:paraId="68C7F321">
      <w:pPr>
        <w:tabs>
          <w:tab w:val="left" w:pos="6080"/>
          <w:tab w:val="left" w:pos="6640"/>
        </w:tabs>
        <w:autoSpaceDE w:val="0"/>
        <w:autoSpaceDN w:val="0"/>
        <w:adjustRightInd w:val="0"/>
        <w:snapToGrid w:val="0"/>
        <w:spacing w:after="120"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161BEB87">
      <w:pPr>
        <w:tabs>
          <w:tab w:val="left" w:pos="6080"/>
          <w:tab w:val="left" w:pos="6640"/>
        </w:tabs>
        <w:autoSpaceDE w:val="0"/>
        <w:autoSpaceDN w:val="0"/>
        <w:adjustRightInd w:val="0"/>
        <w:snapToGrid w:val="0"/>
        <w:spacing w:after="120"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2969DE34">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14:paraId="5F0D62BD">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18CE934B">
      <w:pPr>
        <w:autoSpaceDE w:val="0"/>
        <w:autoSpaceDN w:val="0"/>
        <w:adjustRightInd w:val="0"/>
        <w:snapToGrid w:val="0"/>
        <w:spacing w:line="360" w:lineRule="auto"/>
        <w:jc w:val="left"/>
        <w:rPr>
          <w:rFonts w:ascii="宋体" w:hAnsi="宋体"/>
          <w:color w:val="auto"/>
          <w:kern w:val="0"/>
          <w:sz w:val="24"/>
          <w:szCs w:val="21"/>
          <w:highlight w:val="none"/>
        </w:rPr>
      </w:pPr>
    </w:p>
    <w:p w14:paraId="2AB57D49">
      <w:pPr>
        <w:autoSpaceDE w:val="0"/>
        <w:autoSpaceDN w:val="0"/>
        <w:adjustRightInd w:val="0"/>
        <w:spacing w:line="360" w:lineRule="auto"/>
        <w:ind w:firstLine="480" w:firstLineChars="200"/>
        <w:jc w:val="left"/>
        <w:rPr>
          <w:rFonts w:ascii="宋体" w:hAnsi="宋体"/>
          <w:color w:val="auto"/>
          <w:kern w:val="0"/>
          <w:sz w:val="24"/>
          <w:highlight w:val="none"/>
        </w:rPr>
      </w:pPr>
      <w:r>
        <w:rPr>
          <w:rFonts w:ascii="宋体" w:hAnsi="宋体"/>
          <w:color w:val="auto"/>
          <w:kern w:val="0"/>
          <w:sz w:val="24"/>
          <w:highlight w:val="none"/>
        </w:rPr>
        <w:t>（一）投标函</w:t>
      </w:r>
    </w:p>
    <w:p w14:paraId="5053ACE0">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rPr>
      </w:pP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lang w:val="en-US" w:eastAsia="zh-CN"/>
        </w:rPr>
        <w:t>二</w:t>
      </w:r>
      <w:r>
        <w:rPr>
          <w:rFonts w:ascii="宋体" w:hAnsi="宋体" w:eastAsia="宋体" w:cs="Times New Roman"/>
          <w:color w:val="auto"/>
          <w:kern w:val="0"/>
          <w:sz w:val="24"/>
          <w:highlight w:val="none"/>
        </w:rPr>
        <w:t>）</w:t>
      </w:r>
      <w:r>
        <w:rPr>
          <w:rFonts w:hint="eastAsia" w:ascii="宋体" w:hAnsi="宋体" w:eastAsia="宋体" w:cs="Times New Roman"/>
          <w:color w:val="auto"/>
          <w:kern w:val="0"/>
          <w:sz w:val="24"/>
          <w:highlight w:val="none"/>
        </w:rPr>
        <w:t>法定代表人身份证明或附有法定代表人身份证明的授权委托书</w:t>
      </w:r>
    </w:p>
    <w:p w14:paraId="37264A76">
      <w:pPr>
        <w:autoSpaceDE w:val="0"/>
        <w:autoSpaceDN w:val="0"/>
        <w:adjustRightInd w:val="0"/>
        <w:spacing w:line="360" w:lineRule="auto"/>
        <w:ind w:firstLine="480" w:firstLineChars="200"/>
        <w:jc w:val="left"/>
        <w:rPr>
          <w:rFonts w:hint="eastAsia"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三</w:t>
      </w:r>
      <w:r>
        <w:rPr>
          <w:rFonts w:hint="eastAsia" w:ascii="宋体" w:hAnsi="宋体" w:eastAsia="宋体" w:cs="Times New Roman"/>
          <w:color w:val="auto"/>
          <w:kern w:val="0"/>
          <w:sz w:val="24"/>
          <w:highlight w:val="none"/>
          <w:lang w:eastAsia="zh-CN"/>
        </w:rPr>
        <w:t>）</w:t>
      </w:r>
      <w:r>
        <w:rPr>
          <w:rFonts w:hint="eastAsia" w:ascii="宋体" w:hAnsi="宋体" w:eastAsia="宋体" w:cs="Times New Roman"/>
          <w:color w:val="auto"/>
          <w:kern w:val="0"/>
          <w:sz w:val="24"/>
          <w:highlight w:val="none"/>
          <w:lang w:val="en-US" w:eastAsia="zh-CN"/>
        </w:rPr>
        <w:t>报价清单</w:t>
      </w:r>
    </w:p>
    <w:p w14:paraId="4A385176">
      <w:pPr>
        <w:autoSpaceDE w:val="0"/>
        <w:autoSpaceDN w:val="0"/>
        <w:adjustRightInd w:val="0"/>
        <w:spacing w:line="360" w:lineRule="auto"/>
        <w:ind w:firstLine="480" w:firstLineChars="200"/>
        <w:jc w:val="left"/>
        <w:rPr>
          <w:rFonts w:hint="default" w:ascii="宋体" w:hAnsi="宋体" w:eastAsia="宋体" w:cs="Times New Roman"/>
          <w:color w:val="auto"/>
          <w:kern w:val="0"/>
          <w:sz w:val="24"/>
          <w:highlight w:val="none"/>
          <w:lang w:val="en-US" w:eastAsia="zh-CN"/>
        </w:rPr>
      </w:pPr>
      <w:r>
        <w:rPr>
          <w:rFonts w:hint="eastAsia" w:ascii="宋体" w:hAnsi="宋体" w:eastAsia="宋体" w:cs="Times New Roman"/>
          <w:color w:val="auto"/>
          <w:kern w:val="0"/>
          <w:sz w:val="24"/>
          <w:highlight w:val="none"/>
          <w:lang w:val="en-US" w:eastAsia="zh-CN"/>
        </w:rPr>
        <w:t>（四）低价风险担保承诺函（如有）</w:t>
      </w:r>
    </w:p>
    <w:p w14:paraId="21028843">
      <w:pPr>
        <w:pStyle w:val="71"/>
        <w:ind w:firstLine="480" w:firstLineChars="200"/>
        <w:rPr>
          <w:rFonts w:hint="default" w:ascii="宋体" w:hAnsi="宋体"/>
          <w:color w:val="auto"/>
          <w:kern w:val="0"/>
          <w:sz w:val="24"/>
          <w:highlight w:val="none"/>
          <w:lang w:val="en-US" w:eastAsia="zh-CN"/>
        </w:rPr>
      </w:pPr>
    </w:p>
    <w:p w14:paraId="151CAB5E">
      <w:pPr>
        <w:autoSpaceDE w:val="0"/>
        <w:autoSpaceDN w:val="0"/>
        <w:adjustRightInd w:val="0"/>
        <w:spacing w:line="360" w:lineRule="auto"/>
        <w:ind w:firstLine="480" w:firstLineChars="200"/>
        <w:jc w:val="left"/>
        <w:rPr>
          <w:rFonts w:ascii="宋体" w:hAnsi="宋体"/>
          <w:color w:val="auto"/>
          <w:kern w:val="0"/>
          <w:sz w:val="24"/>
          <w:highlight w:val="none"/>
        </w:rPr>
      </w:pPr>
    </w:p>
    <w:p w14:paraId="70FDBB98">
      <w:pPr>
        <w:pStyle w:val="4"/>
        <w:spacing w:before="0" w:after="0" w:line="240" w:lineRule="auto"/>
        <w:jc w:val="center"/>
        <w:rPr>
          <w:rFonts w:ascii="宋体" w:hAnsi="宋体"/>
          <w:b w:val="0"/>
          <w:color w:val="auto"/>
          <w:highlight w:val="none"/>
        </w:rPr>
      </w:pPr>
      <w:bookmarkStart w:id="613" w:name="_Toc430530530"/>
      <w:bookmarkStart w:id="614" w:name="_Toc224103495"/>
      <w:bookmarkStart w:id="615" w:name="_Toc509218854"/>
      <w:bookmarkStart w:id="616" w:name="_Toc287607867"/>
      <w:bookmarkStart w:id="617" w:name="_Toc287620814"/>
      <w:bookmarkStart w:id="618" w:name="_Toc534185831"/>
      <w:bookmarkStart w:id="619" w:name="_Toc277082643"/>
      <w:r>
        <w:rPr>
          <w:rFonts w:ascii="宋体" w:hAnsi="宋体"/>
          <w:color w:val="auto"/>
          <w:highlight w:val="none"/>
        </w:rPr>
        <w:br w:type="page"/>
      </w:r>
      <w:bookmarkStart w:id="620" w:name="_Toc15607"/>
      <w:r>
        <w:rPr>
          <w:rFonts w:hint="eastAsia" w:ascii="宋体" w:hAnsi="宋体"/>
          <w:b w:val="0"/>
          <w:bCs w:val="0"/>
          <w:color w:val="auto"/>
          <w:highlight w:val="none"/>
        </w:rPr>
        <w:t>（一）投标函</w:t>
      </w:r>
      <w:bookmarkEnd w:id="613"/>
      <w:bookmarkEnd w:id="614"/>
      <w:bookmarkEnd w:id="615"/>
      <w:bookmarkEnd w:id="616"/>
      <w:bookmarkEnd w:id="617"/>
      <w:bookmarkEnd w:id="618"/>
      <w:bookmarkEnd w:id="619"/>
      <w:bookmarkEnd w:id="620"/>
    </w:p>
    <w:p w14:paraId="10CDB96E">
      <w:pPr>
        <w:tabs>
          <w:tab w:val="left" w:pos="2640"/>
        </w:tabs>
        <w:autoSpaceDE w:val="0"/>
        <w:autoSpaceDN w:val="0"/>
        <w:adjustRightInd w:val="0"/>
        <w:spacing w:line="400" w:lineRule="exact"/>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w:t>
      </w:r>
      <w:r>
        <w:rPr>
          <w:rFonts w:hint="eastAsia" w:ascii="宋体" w:hAnsi="宋体"/>
          <w:snapToGrid w:val="0"/>
          <w:color w:val="auto"/>
          <w:kern w:val="0"/>
          <w:szCs w:val="21"/>
          <w:highlight w:val="none"/>
          <w:u w:val="single"/>
          <w:lang w:eastAsia="zh-CN"/>
        </w:rPr>
        <w:t>比选人</w:t>
      </w:r>
      <w:r>
        <w:rPr>
          <w:rFonts w:ascii="宋体" w:hAnsi="宋体"/>
          <w:snapToGrid w:val="0"/>
          <w:color w:val="auto"/>
          <w:kern w:val="0"/>
          <w:szCs w:val="21"/>
          <w:highlight w:val="none"/>
          <w:u w:val="single"/>
        </w:rPr>
        <w:t>名称）</w:t>
      </w:r>
      <w:r>
        <w:rPr>
          <w:rFonts w:ascii="宋体" w:hAnsi="宋体"/>
          <w:snapToGrid w:val="0"/>
          <w:color w:val="auto"/>
          <w:kern w:val="0"/>
          <w:szCs w:val="21"/>
          <w:highlight w:val="none"/>
        </w:rPr>
        <w:t>：</w:t>
      </w:r>
    </w:p>
    <w:p w14:paraId="15A8C639">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（项目名称）招标项目招标文件的全部内容，愿意以下列方式对</w:t>
      </w:r>
      <w:r>
        <w:rPr>
          <w:rFonts w:hint="eastAsia" w:ascii="宋体" w:hAnsi="宋体"/>
          <w:snapToGrid w:val="0"/>
          <w:color w:val="auto"/>
          <w:kern w:val="0"/>
          <w:szCs w:val="21"/>
          <w:highlight w:val="none"/>
          <w:lang w:val="en-US" w:eastAsia="zh-CN"/>
        </w:rPr>
        <w:t>咨询</w:t>
      </w:r>
      <w:r>
        <w:rPr>
          <w:rFonts w:hint="eastAsia" w:ascii="宋体" w:hAnsi="宋体"/>
          <w:snapToGrid w:val="0"/>
          <w:color w:val="auto"/>
          <w:kern w:val="0"/>
          <w:szCs w:val="21"/>
          <w:highlight w:val="none"/>
        </w:rPr>
        <w:t>费</w:t>
      </w:r>
      <w:r>
        <w:rPr>
          <w:rFonts w:ascii="宋体" w:hAnsi="宋体"/>
          <w:snapToGrid w:val="0"/>
          <w:color w:val="auto"/>
          <w:kern w:val="0"/>
          <w:szCs w:val="21"/>
          <w:highlight w:val="none"/>
        </w:rPr>
        <w:t>进行报价</w:t>
      </w:r>
      <w:r>
        <w:rPr>
          <w:rFonts w:hint="eastAsia" w:ascii="宋体" w:hAnsi="宋体"/>
          <w:snapToGrid w:val="0"/>
          <w:color w:val="auto"/>
          <w:kern w:val="0"/>
          <w:szCs w:val="21"/>
          <w:highlight w:val="none"/>
        </w:rPr>
        <w:t>：</w:t>
      </w:r>
    </w:p>
    <w:p w14:paraId="79337E07">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投标总报价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含税</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人民币（大写）        </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F76ABAC">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服务期限</w:t>
      </w:r>
      <w:r>
        <w:rPr>
          <w:rFonts w:hint="eastAsia" w:ascii="宋体" w:hAnsi="宋体"/>
          <w:snapToGrid w:val="0"/>
          <w:color w:val="auto"/>
          <w:kern w:val="0"/>
          <w:szCs w:val="21"/>
          <w:highlight w:val="none"/>
          <w:u w:val="single"/>
        </w:rPr>
        <w:t>符合招标文件的要求</w:t>
      </w:r>
      <w:r>
        <w:rPr>
          <w:rFonts w:ascii="宋体" w:hAnsi="宋体"/>
          <w:snapToGrid w:val="0"/>
          <w:color w:val="auto"/>
          <w:kern w:val="0"/>
          <w:szCs w:val="21"/>
          <w:highlight w:val="none"/>
        </w:rPr>
        <w:t>，</w:t>
      </w:r>
      <w:r>
        <w:rPr>
          <w:rFonts w:hint="eastAsia" w:ascii="宋体" w:hAnsi="宋体" w:cs="宋体"/>
          <w:color w:val="auto"/>
          <w:szCs w:val="21"/>
          <w:highlight w:val="none"/>
          <w:lang w:val="en-US" w:eastAsia="zh-CN"/>
        </w:rPr>
        <w:t>质量标准</w:t>
      </w:r>
      <w:r>
        <w:rPr>
          <w:rFonts w:hint="eastAsia" w:ascii="宋体" w:hAnsi="宋体" w:cs="宋体"/>
          <w:color w:val="auto"/>
          <w:szCs w:val="21"/>
          <w:highlight w:val="none"/>
          <w:u w:val="single"/>
        </w:rPr>
        <w:t>达到招标文件的要求</w:t>
      </w:r>
      <w:r>
        <w:rPr>
          <w:rFonts w:hint="eastAsia" w:ascii="宋体" w:hAnsi="宋体" w:cs="宋体"/>
          <w:color w:val="auto"/>
          <w:szCs w:val="21"/>
          <w:highlight w:val="none"/>
        </w:rPr>
        <w:t>，</w:t>
      </w:r>
      <w:r>
        <w:rPr>
          <w:rFonts w:ascii="宋体" w:hAnsi="宋体"/>
          <w:snapToGrid w:val="0"/>
          <w:color w:val="auto"/>
          <w:kern w:val="0"/>
          <w:szCs w:val="21"/>
          <w:highlight w:val="none"/>
        </w:rPr>
        <w:t>按合同约定完成工作。</w:t>
      </w:r>
    </w:p>
    <w:p w14:paraId="0457B479">
      <w:pPr>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w:t>
      </w:r>
      <w:r>
        <w:rPr>
          <w:rFonts w:hint="eastAsia" w:ascii="宋体" w:hAnsi="宋体"/>
          <w:snapToGrid w:val="0"/>
          <w:color w:val="auto"/>
          <w:kern w:val="0"/>
          <w:szCs w:val="21"/>
          <w:highlight w:val="none"/>
        </w:rPr>
        <w:t>响应招标文件规定的投标有效期，</w:t>
      </w:r>
      <w:r>
        <w:rPr>
          <w:rFonts w:ascii="宋体" w:hAnsi="宋体"/>
          <w:snapToGrid w:val="0"/>
          <w:color w:val="auto"/>
          <w:kern w:val="0"/>
          <w:szCs w:val="21"/>
          <w:highlight w:val="none"/>
        </w:rPr>
        <w:t>在投标有效期内不修改、撤销投标文件。</w:t>
      </w:r>
    </w:p>
    <w:p w14:paraId="32CA330C">
      <w:pPr>
        <w:tabs>
          <w:tab w:val="left" w:pos="2730"/>
          <w:tab w:val="left" w:pos="7980"/>
        </w:tabs>
        <w:autoSpaceDE w:val="0"/>
        <w:autoSpaceDN w:val="0"/>
        <w:adjustRightInd w:val="0"/>
        <w:spacing w:line="400" w:lineRule="exact"/>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投标保证金有效期</w:t>
      </w:r>
      <w:r>
        <w:rPr>
          <w:rFonts w:ascii="宋体" w:hAnsi="宋体"/>
          <w:snapToGrid w:val="0"/>
          <w:color w:val="auto"/>
          <w:kern w:val="0"/>
          <w:szCs w:val="21"/>
          <w:highlight w:val="none"/>
        </w:rPr>
        <w:t>与</w:t>
      </w:r>
      <w:r>
        <w:rPr>
          <w:rFonts w:hint="eastAsia" w:ascii="宋体" w:hAnsi="宋体"/>
          <w:snapToGrid w:val="0"/>
          <w:color w:val="auto"/>
          <w:kern w:val="0"/>
          <w:szCs w:val="21"/>
          <w:highlight w:val="none"/>
        </w:rPr>
        <w:t>投标有效期</w:t>
      </w:r>
      <w:r>
        <w:rPr>
          <w:rFonts w:ascii="宋体" w:hAnsi="宋体"/>
          <w:snapToGrid w:val="0"/>
          <w:color w:val="auto"/>
          <w:kern w:val="0"/>
          <w:szCs w:val="21"/>
          <w:highlight w:val="none"/>
        </w:rPr>
        <w:t>一致，在此期间，若我方违反招投标有关法律、法规及本招标文件的相关规定，投标保证金的受益人为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14:paraId="34176901">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我方承诺：</w:t>
      </w:r>
    </w:p>
    <w:p w14:paraId="4685B369">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（1）在收到中标通知书后，在中标通知书规定的期限内与你方签订合同；</w:t>
      </w:r>
    </w:p>
    <w:p w14:paraId="5FE8D02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（2）在签订合同时不向你方提出附加条件；</w:t>
      </w:r>
    </w:p>
    <w:p w14:paraId="71654C8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（3）按照招标文件要求提交履约保证金；</w:t>
      </w:r>
    </w:p>
    <w:p w14:paraId="21FC6890">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（4）在合同约定的期限内完成合同规定的全部义务。</w:t>
      </w:r>
    </w:p>
    <w:p w14:paraId="19CCF19E">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（5）我方承诺以不低于招标文件第</w:t>
      </w:r>
      <w:r>
        <w:rPr>
          <w:rFonts w:hint="eastAsia" w:ascii="宋体" w:hAnsi="宋体"/>
          <w:snapToGrid w:val="0"/>
          <w:color w:val="auto"/>
          <w:kern w:val="0"/>
          <w:szCs w:val="21"/>
          <w:highlight w:val="none"/>
        </w:rPr>
        <w:t>五</w:t>
      </w:r>
      <w:r>
        <w:rPr>
          <w:rFonts w:ascii="宋体" w:hAnsi="宋体"/>
          <w:snapToGrid w:val="0"/>
          <w:color w:val="auto"/>
          <w:kern w:val="0"/>
          <w:szCs w:val="21"/>
          <w:highlight w:val="none"/>
        </w:rPr>
        <w:t>章“发包人要求”中所列的技术指标和参数要求完成全部合同</w:t>
      </w:r>
      <w:r>
        <w:rPr>
          <w:rFonts w:hint="eastAsia" w:ascii="宋体" w:hAnsi="宋体"/>
          <w:snapToGrid w:val="0"/>
          <w:color w:val="auto"/>
          <w:kern w:val="0"/>
          <w:szCs w:val="21"/>
          <w:highlight w:val="none"/>
        </w:rPr>
        <w:t>工作</w:t>
      </w:r>
      <w:r>
        <w:rPr>
          <w:rFonts w:ascii="宋体" w:hAnsi="宋体"/>
          <w:snapToGrid w:val="0"/>
          <w:color w:val="auto"/>
          <w:kern w:val="0"/>
          <w:szCs w:val="21"/>
          <w:highlight w:val="none"/>
        </w:rPr>
        <w:t>。</w:t>
      </w:r>
    </w:p>
    <w:p w14:paraId="68156A22">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color w:val="auto"/>
          <w:szCs w:val="21"/>
          <w:highlight w:val="none"/>
        </w:rPr>
        <w:t>（6）成果符合相关行业标准，满足相关部门验收要求。</w:t>
      </w:r>
    </w:p>
    <w:p w14:paraId="2F1471EC">
      <w:pPr>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项规定的任何一种情形。同时我方承诺接受招标文件及附件、</w:t>
      </w:r>
      <w:r>
        <w:rPr>
          <w:rFonts w:hint="eastAsia" w:ascii="宋体" w:hAnsi="宋体"/>
          <w:snapToGrid w:val="0"/>
          <w:color w:val="auto"/>
          <w:kern w:val="0"/>
          <w:szCs w:val="21"/>
          <w:highlight w:val="none"/>
        </w:rPr>
        <w:t>澄清</w:t>
      </w:r>
      <w:r>
        <w:rPr>
          <w:rFonts w:ascii="宋体" w:hAnsi="宋体"/>
          <w:snapToGrid w:val="0"/>
          <w:color w:val="auto"/>
          <w:kern w:val="0"/>
          <w:szCs w:val="21"/>
          <w:highlight w:val="none"/>
        </w:rPr>
        <w:t>及</w:t>
      </w:r>
      <w:r>
        <w:rPr>
          <w:rFonts w:hint="eastAsia" w:ascii="宋体" w:hAnsi="宋体"/>
          <w:snapToGrid w:val="0"/>
          <w:color w:val="auto"/>
          <w:kern w:val="0"/>
          <w:szCs w:val="21"/>
          <w:highlight w:val="none"/>
        </w:rPr>
        <w:t>修改</w:t>
      </w:r>
      <w:r>
        <w:rPr>
          <w:rFonts w:ascii="宋体" w:hAnsi="宋体"/>
          <w:snapToGrid w:val="0"/>
          <w:color w:val="auto"/>
          <w:kern w:val="0"/>
          <w:szCs w:val="21"/>
          <w:highlight w:val="none"/>
        </w:rPr>
        <w:t>通知中所有的内容。</w:t>
      </w:r>
    </w:p>
    <w:p w14:paraId="2BF560AC">
      <w:pPr>
        <w:tabs>
          <w:tab w:val="left" w:pos="5985"/>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（其他补充说明）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p>
    <w:p w14:paraId="20F42F57">
      <w:pPr>
        <w:pStyle w:val="18"/>
        <w:rPr>
          <w:color w:val="auto"/>
          <w:highlight w:val="none"/>
        </w:rPr>
      </w:pPr>
    </w:p>
    <w:p w14:paraId="6E571F2E">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14:paraId="2011EA69">
      <w:pPr>
        <w:tabs>
          <w:tab w:val="left" w:pos="7140"/>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签名</w:t>
      </w:r>
      <w:r>
        <w:rPr>
          <w:rFonts w:ascii="宋体" w:hAnsi="宋体"/>
          <w:snapToGrid w:val="0"/>
          <w:color w:val="auto"/>
          <w:kern w:val="0"/>
          <w:szCs w:val="21"/>
          <w:highlight w:val="none"/>
        </w:rPr>
        <w:t>或盖章）</w:t>
      </w:r>
    </w:p>
    <w:p w14:paraId="2D998C05">
      <w:pPr>
        <w:tabs>
          <w:tab w:val="left" w:pos="7035"/>
          <w:tab w:val="left" w:pos="7560"/>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A818928">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2D172FFD">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单位电话（座机）：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委托代理人电话（手机）：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5619786">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D39A6F0">
      <w:pPr>
        <w:tabs>
          <w:tab w:val="left" w:pos="8300"/>
        </w:tabs>
        <w:autoSpaceDE w:val="0"/>
        <w:autoSpaceDN w:val="0"/>
        <w:adjustRightInd w:val="0"/>
        <w:spacing w:line="400" w:lineRule="exact"/>
        <w:ind w:firstLine="420" w:firstLineChars="200"/>
        <w:rPr>
          <w:rFonts w:ascii="宋体" w:hAnsi="宋体"/>
          <w:snapToGrid w:val="0"/>
          <w:color w:val="auto"/>
          <w:kern w:val="0"/>
          <w:szCs w:val="21"/>
          <w:highlight w:val="none"/>
          <w:u w:val="singl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14:paraId="6C8A19C4">
      <w:pPr>
        <w:tabs>
          <w:tab w:val="left" w:pos="8300"/>
        </w:tabs>
        <w:autoSpaceDE w:val="0"/>
        <w:autoSpaceDN w:val="0"/>
        <w:adjustRightInd w:val="0"/>
        <w:spacing w:line="400" w:lineRule="exact"/>
        <w:ind w:firstLine="400" w:firstLineChars="200"/>
        <w:rPr>
          <w:rFonts w:ascii="宋体" w:hAnsi="宋体"/>
          <w:snapToGrid w:val="0"/>
          <w:color w:val="auto"/>
          <w:kern w:val="0"/>
          <w:sz w:val="20"/>
          <w:szCs w:val="20"/>
          <w:highlight w:val="none"/>
        </w:rPr>
      </w:pPr>
    </w:p>
    <w:p w14:paraId="4F68D6DC">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364987D">
      <w:pPr>
        <w:tabs>
          <w:tab w:val="left" w:pos="8300"/>
        </w:tabs>
        <w:autoSpaceDE w:val="0"/>
        <w:autoSpaceDN w:val="0"/>
        <w:adjustRightInd w:val="0"/>
        <w:spacing w:line="400" w:lineRule="exact"/>
        <w:ind w:firstLine="420" w:firstLineChars="200"/>
        <w:jc w:val="right"/>
        <w:rPr>
          <w:rFonts w:ascii="宋体" w:hAnsi="宋体"/>
          <w:color w:val="auto"/>
          <w:kern w:val="0"/>
          <w:szCs w:val="21"/>
          <w:highlight w:val="none"/>
        </w:rPr>
      </w:pPr>
    </w:p>
    <w:p w14:paraId="040FD1BE">
      <w:pPr>
        <w:tabs>
          <w:tab w:val="left" w:pos="631"/>
          <w:tab w:val="left" w:pos="1471"/>
          <w:tab w:val="left" w:pos="2311"/>
        </w:tabs>
        <w:autoSpaceDE w:val="0"/>
        <w:autoSpaceDN w:val="0"/>
        <w:spacing w:before="37"/>
        <w:ind w:right="597"/>
        <w:jc w:val="right"/>
        <w:rPr>
          <w:rFonts w:ascii="宋体" w:hAnsi="宋体"/>
          <w:b w:val="0"/>
          <w:snapToGrid w:val="0"/>
          <w:color w:val="auto"/>
          <w:kern w:val="0"/>
          <w:sz w:val="30"/>
          <w:szCs w:val="30"/>
          <w:highlight w:val="none"/>
        </w:rPr>
      </w:pPr>
      <w:bookmarkStart w:id="621" w:name="_Toc287607868"/>
      <w:bookmarkStart w:id="622" w:name="_Toc224103496"/>
      <w:bookmarkStart w:id="623" w:name="_Toc287620815"/>
      <w:bookmarkStart w:id="624" w:name="_Toc430530531"/>
      <w:bookmarkStart w:id="625" w:name="_Toc277082644"/>
      <w:r>
        <w:rPr>
          <w:rFonts w:ascii="宋体" w:hAnsi="宋体"/>
          <w:color w:val="auto"/>
          <w:sz w:val="28"/>
          <w:highlight w:val="none"/>
        </w:rPr>
        <w:br w:type="page"/>
      </w:r>
      <w:bookmarkEnd w:id="621"/>
      <w:bookmarkEnd w:id="622"/>
      <w:bookmarkEnd w:id="623"/>
      <w:bookmarkEnd w:id="624"/>
      <w:bookmarkEnd w:id="625"/>
      <w:bookmarkStart w:id="626" w:name="_Toc287620816"/>
      <w:bookmarkStart w:id="627" w:name="_Toc430530532"/>
      <w:bookmarkStart w:id="628" w:name="_Toc287607869"/>
      <w:bookmarkStart w:id="629" w:name="_Toc57905921"/>
      <w:bookmarkStart w:id="630" w:name="_Toc277082645"/>
      <w:bookmarkStart w:id="631" w:name="_Toc8650"/>
      <w:bookmarkStart w:id="632" w:name="_Toc224103497"/>
      <w:r>
        <w:rPr>
          <w:color w:val="auto"/>
          <w:sz w:val="30"/>
          <w:szCs w:val="30"/>
          <w:highlight w:val="none"/>
        </w:rPr>
        <w:t>（</w:t>
      </w:r>
      <w:r>
        <w:rPr>
          <w:rFonts w:hint="eastAsia"/>
          <w:color w:val="auto"/>
          <w:sz w:val="30"/>
          <w:szCs w:val="30"/>
          <w:highlight w:val="none"/>
          <w:lang w:val="en-US" w:eastAsia="zh-CN"/>
        </w:rPr>
        <w:t>二</w:t>
      </w:r>
      <w:r>
        <w:rPr>
          <w:color w:val="auto"/>
          <w:sz w:val="30"/>
          <w:szCs w:val="30"/>
          <w:highlight w:val="none"/>
        </w:rPr>
        <w:t>）</w:t>
      </w:r>
      <w:r>
        <w:rPr>
          <w:rFonts w:hint="eastAsia"/>
          <w:color w:val="auto"/>
          <w:sz w:val="30"/>
          <w:szCs w:val="30"/>
          <w:highlight w:val="none"/>
        </w:rPr>
        <w:t>法定代表人身份证明或附有法定代表人身份证明的授权委托书</w:t>
      </w:r>
      <w:bookmarkEnd w:id="626"/>
      <w:bookmarkEnd w:id="627"/>
      <w:bookmarkEnd w:id="628"/>
      <w:bookmarkEnd w:id="629"/>
      <w:bookmarkEnd w:id="630"/>
      <w:bookmarkEnd w:id="631"/>
      <w:bookmarkEnd w:id="632"/>
    </w:p>
    <w:p w14:paraId="2830F008">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362C930F">
      <w:pPr>
        <w:spacing w:line="480" w:lineRule="auto"/>
        <w:jc w:val="center"/>
        <w:rPr>
          <w:rFonts w:ascii="宋体" w:hAnsi="宋体"/>
          <w:color w:val="auto"/>
          <w:highlight w:val="none"/>
        </w:rPr>
      </w:pPr>
    </w:p>
    <w:p w14:paraId="5BA4AE74">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B100A18">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714E1E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26FBE043">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670A1B0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03D8D8B6">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019B9D04">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65BD1D2D">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1814972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7C8443E9">
      <w:pPr>
        <w:pStyle w:val="18"/>
        <w:spacing w:after="0" w:line="360" w:lineRule="auto"/>
        <w:rPr>
          <w:rFonts w:ascii="宋体" w:hAnsi="宋体"/>
          <w:color w:val="auto"/>
          <w:szCs w:val="21"/>
          <w:highlight w:val="none"/>
        </w:rPr>
      </w:pPr>
    </w:p>
    <w:p w14:paraId="33EA9F34">
      <w:pPr>
        <w:pStyle w:val="18"/>
        <w:spacing w:after="0" w:line="360" w:lineRule="auto"/>
        <w:rPr>
          <w:rFonts w:ascii="宋体" w:hAnsi="宋体"/>
          <w:color w:val="auto"/>
          <w:szCs w:val="21"/>
          <w:highlight w:val="none"/>
        </w:rPr>
      </w:pPr>
    </w:p>
    <w:p w14:paraId="792C80CA">
      <w:pPr>
        <w:pStyle w:val="18"/>
        <w:spacing w:after="0" w:line="360" w:lineRule="auto"/>
        <w:rPr>
          <w:rFonts w:ascii="宋体" w:hAnsi="宋体"/>
          <w:color w:val="auto"/>
          <w:szCs w:val="21"/>
          <w:highlight w:val="none"/>
        </w:rPr>
      </w:pPr>
    </w:p>
    <w:p w14:paraId="6F2FA956">
      <w:pPr>
        <w:pStyle w:val="18"/>
        <w:spacing w:after="0" w:line="360" w:lineRule="auto"/>
        <w:rPr>
          <w:rFonts w:ascii="宋体" w:hAnsi="宋体"/>
          <w:color w:val="auto"/>
          <w:szCs w:val="21"/>
          <w:highlight w:val="none"/>
        </w:rPr>
      </w:pPr>
    </w:p>
    <w:p w14:paraId="041B11B4">
      <w:pPr>
        <w:pStyle w:val="18"/>
        <w:spacing w:after="0" w:line="360" w:lineRule="auto"/>
        <w:rPr>
          <w:rFonts w:ascii="宋体" w:hAnsi="宋体"/>
          <w:color w:val="auto"/>
          <w:szCs w:val="21"/>
          <w:highlight w:val="none"/>
        </w:rPr>
      </w:pPr>
    </w:p>
    <w:p w14:paraId="5A27EE17">
      <w:pPr>
        <w:pStyle w:val="18"/>
        <w:spacing w:after="0" w:line="360" w:lineRule="auto"/>
        <w:rPr>
          <w:rFonts w:ascii="宋体" w:hAnsi="宋体"/>
          <w:color w:val="auto"/>
          <w:szCs w:val="21"/>
          <w:highlight w:val="none"/>
        </w:rPr>
      </w:pPr>
    </w:p>
    <w:p w14:paraId="4D328EF0">
      <w:pPr>
        <w:autoSpaceDE w:val="0"/>
        <w:autoSpaceDN w:val="0"/>
        <w:adjustRightInd w:val="0"/>
        <w:snapToGrid w:val="0"/>
        <w:spacing w:line="480" w:lineRule="auto"/>
        <w:ind w:firstLine="420" w:firstLineChars="2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3ED372E6">
      <w:pPr>
        <w:autoSpaceDE w:val="0"/>
        <w:autoSpaceDN w:val="0"/>
        <w:adjustRightInd w:val="0"/>
        <w:snapToGrid w:val="0"/>
        <w:spacing w:line="480" w:lineRule="auto"/>
        <w:jc w:val="left"/>
        <w:rPr>
          <w:rFonts w:ascii="宋体" w:hAnsi="宋体"/>
          <w:color w:val="auto"/>
          <w:kern w:val="0"/>
          <w:sz w:val="20"/>
          <w:szCs w:val="20"/>
          <w:highlight w:val="none"/>
        </w:rPr>
      </w:pPr>
    </w:p>
    <w:p w14:paraId="07061279">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02A5D2FA">
      <w:pPr>
        <w:autoSpaceDE w:val="0"/>
        <w:autoSpaceDN w:val="0"/>
        <w:adjustRightInd w:val="0"/>
        <w:snapToGrid w:val="0"/>
        <w:spacing w:line="360" w:lineRule="auto"/>
        <w:jc w:val="left"/>
        <w:rPr>
          <w:rFonts w:ascii="宋体" w:hAnsi="宋体"/>
          <w:color w:val="auto"/>
          <w:kern w:val="0"/>
          <w:highlight w:val="none"/>
        </w:rPr>
      </w:pPr>
    </w:p>
    <w:p w14:paraId="7C492493">
      <w:pPr>
        <w:autoSpaceDE w:val="0"/>
        <w:autoSpaceDN w:val="0"/>
        <w:adjustRightInd w:val="0"/>
        <w:snapToGrid w:val="0"/>
        <w:spacing w:line="360" w:lineRule="auto"/>
        <w:jc w:val="left"/>
        <w:rPr>
          <w:rFonts w:ascii="宋体" w:hAnsi="宋体"/>
          <w:color w:val="auto"/>
          <w:kern w:val="0"/>
          <w:highlight w:val="none"/>
        </w:rPr>
      </w:pPr>
    </w:p>
    <w:p w14:paraId="1821128E">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14:paraId="54C6E6F4">
      <w:pPr>
        <w:autoSpaceDE w:val="0"/>
        <w:autoSpaceDN w:val="0"/>
        <w:adjustRightInd w:val="0"/>
        <w:snapToGrid w:val="0"/>
        <w:spacing w:line="360" w:lineRule="auto"/>
        <w:jc w:val="left"/>
        <w:rPr>
          <w:rFonts w:ascii="宋体" w:hAnsi="宋体"/>
          <w:color w:val="auto"/>
          <w:kern w:val="0"/>
          <w:highlight w:val="none"/>
        </w:rPr>
      </w:pPr>
    </w:p>
    <w:p w14:paraId="7CEC7858">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2EBD888E">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75229C7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7E6DF8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2B4F79F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5DE0E0B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14320CD">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3BE805A1">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4E3C775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49D53A49">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61E2E6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02227E40">
      <w:pPr>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3EB127AC">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20D0A57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7534E4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D26D45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F5DF783">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4BACDC5">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0E8F6082">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15C00E67">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F79D87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p>
    <w:p w14:paraId="60334809">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31B46FEF">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217EA320">
      <w:pPr>
        <w:tabs>
          <w:tab w:val="left" w:pos="5760"/>
        </w:tabs>
        <w:autoSpaceDE w:val="0"/>
        <w:autoSpaceDN w:val="0"/>
        <w:adjustRightIn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624A6F96">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6C73EE27">
      <w:pPr>
        <w:rPr>
          <w:rFonts w:ascii="宋体" w:hAnsi="宋体"/>
          <w:color w:val="auto"/>
          <w:highlight w:val="none"/>
        </w:rPr>
      </w:pPr>
      <w:bookmarkStart w:id="633" w:name="_Toc287607871"/>
      <w:bookmarkStart w:id="634" w:name="_Toc277082647"/>
      <w:bookmarkStart w:id="635" w:name="_Toc287620818"/>
      <w:bookmarkStart w:id="636" w:name="_Toc430530533"/>
      <w:bookmarkStart w:id="637" w:name="_Toc224103499"/>
      <w:r>
        <w:rPr>
          <w:rFonts w:ascii="宋体" w:hAnsi="宋体"/>
          <w:snapToGrid w:val="0"/>
          <w:color w:val="auto"/>
          <w:kern w:val="0"/>
          <w:sz w:val="32"/>
          <w:szCs w:val="32"/>
          <w:highlight w:val="none"/>
        </w:rPr>
        <w:br w:type="page"/>
      </w:r>
      <w:bookmarkEnd w:id="633"/>
      <w:bookmarkEnd w:id="634"/>
      <w:bookmarkEnd w:id="635"/>
      <w:bookmarkEnd w:id="636"/>
      <w:bookmarkEnd w:id="637"/>
      <w:bookmarkStart w:id="638" w:name="_Toc430530534"/>
      <w:bookmarkStart w:id="639" w:name="_Toc287607872"/>
      <w:bookmarkStart w:id="640" w:name="_Toc224103500"/>
      <w:bookmarkStart w:id="641" w:name="_Toc287620819"/>
    </w:p>
    <w:p w14:paraId="37A49E5D">
      <w:pPr>
        <w:jc w:val="center"/>
        <w:rPr>
          <w:rFonts w:hint="default" w:ascii="宋体" w:hAnsi="宋体" w:eastAsia="宋体"/>
          <w:b w:val="0"/>
          <w:bCs w:val="0"/>
          <w:color w:val="auto"/>
          <w:sz w:val="44"/>
          <w:szCs w:val="44"/>
          <w:highlight w:val="none"/>
          <w:lang w:val="en-US" w:eastAsia="zh-CN"/>
        </w:rPr>
      </w:pPr>
      <w:bookmarkStart w:id="642" w:name="_Toc9448"/>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三</w:t>
      </w:r>
      <w:r>
        <w:rPr>
          <w:rFonts w:hint="eastAsia" w:ascii="宋体" w:hAnsi="宋体"/>
          <w:b w:val="0"/>
          <w:bCs w:val="0"/>
          <w:color w:val="auto"/>
          <w:sz w:val="44"/>
          <w:szCs w:val="44"/>
          <w:highlight w:val="none"/>
          <w:lang w:eastAsia="zh-CN"/>
        </w:rPr>
        <w:t>）</w:t>
      </w:r>
      <w:r>
        <w:rPr>
          <w:rFonts w:hint="eastAsia" w:ascii="宋体" w:hAnsi="宋体"/>
          <w:b w:val="0"/>
          <w:bCs w:val="0"/>
          <w:color w:val="auto"/>
          <w:sz w:val="44"/>
          <w:szCs w:val="44"/>
          <w:highlight w:val="none"/>
          <w:lang w:val="en-US" w:eastAsia="zh-CN"/>
        </w:rPr>
        <w:t>报价清单</w:t>
      </w:r>
    </w:p>
    <w:p w14:paraId="4264B8A0">
      <w:pPr>
        <w:rPr>
          <w:rFonts w:hint="eastAsia" w:ascii="宋体" w:hAnsi="宋体"/>
          <w:b w:val="0"/>
          <w:bCs w:val="0"/>
          <w:color w:val="auto"/>
          <w:sz w:val="44"/>
          <w:szCs w:val="44"/>
          <w:highlight w:val="none"/>
        </w:rPr>
      </w:pPr>
    </w:p>
    <w:p w14:paraId="1EBC1D87">
      <w:pPr>
        <w:spacing w:line="360" w:lineRule="auto"/>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 报价表说明</w:t>
      </w:r>
    </w:p>
    <w:p w14:paraId="749436F0">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1）投标人在报价表中填报的综合单价应是将满足招标文件要求的产品运至施工现场</w:t>
      </w:r>
      <w:r>
        <w:rPr>
          <w:rFonts w:hint="eastAsia" w:ascii="宋体" w:hAnsi="宋体" w:cs="宋体"/>
          <w:color w:val="auto"/>
          <w:kern w:val="0"/>
          <w:sz w:val="24"/>
          <w:szCs w:val="24"/>
          <w:highlight w:val="none"/>
          <w:lang w:eastAsia="zh-CN"/>
        </w:rPr>
        <w:t>比选人</w:t>
      </w:r>
      <w:r>
        <w:rPr>
          <w:rFonts w:hint="eastAsia" w:ascii="宋体" w:hAnsi="宋体" w:eastAsia="宋体" w:cs="宋体"/>
          <w:color w:val="auto"/>
          <w:kern w:val="0"/>
          <w:sz w:val="24"/>
          <w:szCs w:val="24"/>
          <w:highlight w:val="none"/>
        </w:rPr>
        <w:t>指定交货地点的综合单价，应包含但不限于产品的出厂价（含所有规费等）、仓储费、加工费、运杂费（含包装、装卸和运输至施工现场指定地点）、风险费、物价上涨、安全措施费、保险（交货验收前）、各种检测及检验、成品和半成品保护、各种税费、所有检测、验收、办理中标产品所需要的各种许可证、提供中标产品所需的各种检测报告（自检及第三方检测）、各种规费、配合费（中标供应商提供的现场技术指导服务等的费用。满足现场施工要求，及时解答材料使用中的问题和注意事项等）、经验收合格且交付给</w:t>
      </w:r>
      <w:r>
        <w:rPr>
          <w:rFonts w:hint="eastAsia" w:ascii="宋体" w:hAnsi="宋体" w:cs="宋体"/>
          <w:color w:val="auto"/>
          <w:kern w:val="0"/>
          <w:sz w:val="24"/>
          <w:szCs w:val="24"/>
          <w:highlight w:val="none"/>
          <w:lang w:eastAsia="zh-CN"/>
        </w:rPr>
        <w:t>比选人</w:t>
      </w:r>
      <w:r>
        <w:rPr>
          <w:rFonts w:hint="eastAsia" w:ascii="宋体" w:hAnsi="宋体" w:eastAsia="宋体" w:cs="宋体"/>
          <w:color w:val="auto"/>
          <w:kern w:val="0"/>
          <w:sz w:val="24"/>
          <w:szCs w:val="24"/>
          <w:highlight w:val="none"/>
        </w:rPr>
        <w:t>正常使用的所有费用，以及合同明示或暗示的所有责任、义务和一般风险。</w:t>
      </w:r>
    </w:p>
    <w:p w14:paraId="1BEFF587">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2）如果未按照报价表要求进行报价，将被视为没有实质性响应招标文件。</w:t>
      </w:r>
    </w:p>
    <w:p w14:paraId="06DE85C1">
      <w:pPr>
        <w:widowControl/>
        <w:spacing w:line="360" w:lineRule="auto"/>
        <w:ind w:firstLine="480" w:firstLineChars="200"/>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3）采购数量以最终实际发生并结算的数量为准。</w:t>
      </w:r>
    </w:p>
    <w:p w14:paraId="0482445D">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4）为方便统一报价，本报价中建材钢投标基准价按“</w:t>
      </w:r>
      <w:r>
        <w:rPr>
          <w:rFonts w:hint="eastAsia" w:ascii="宋体" w:hAnsi="宋体" w:cs="宋体"/>
          <w:color w:val="auto"/>
          <w:kern w:val="0"/>
          <w:sz w:val="24"/>
          <w:szCs w:val="24"/>
          <w:highlight w:val="none"/>
          <w:lang w:val="en-US" w:eastAsia="zh-CN"/>
        </w:rPr>
        <w:t>投标人须知</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3.2.4中最高限价内暂定基准价</w:t>
      </w:r>
      <w:r>
        <w:rPr>
          <w:rFonts w:hint="eastAsia" w:ascii="宋体" w:hAnsi="宋体" w:eastAsia="宋体" w:cs="宋体"/>
          <w:color w:val="auto"/>
          <w:kern w:val="0"/>
          <w:sz w:val="24"/>
          <w:szCs w:val="24"/>
          <w:highlight w:val="none"/>
        </w:rPr>
        <w:t>计算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此价格为投标基准价，仅作为评标使用，不作为结算依据。</w:t>
      </w:r>
    </w:p>
    <w:tbl>
      <w:tblPr>
        <w:tblStyle w:val="49"/>
        <w:tblW w:w="7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2352"/>
        <w:gridCol w:w="811"/>
        <w:gridCol w:w="1685"/>
        <w:gridCol w:w="1685"/>
      </w:tblGrid>
      <w:tr w14:paraId="17E7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jc w:val="center"/>
        </w:trPr>
        <w:tc>
          <w:tcPr>
            <w:tcW w:w="690" w:type="dxa"/>
            <w:shd w:val="clear" w:color="auto" w:fill="auto"/>
            <w:vAlign w:val="center"/>
          </w:tcPr>
          <w:p w14:paraId="6E04E8D8">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序号</w:t>
            </w:r>
          </w:p>
        </w:tc>
        <w:tc>
          <w:tcPr>
            <w:tcW w:w="2352" w:type="dxa"/>
            <w:shd w:val="clear" w:color="auto" w:fill="auto"/>
            <w:vAlign w:val="center"/>
          </w:tcPr>
          <w:p w14:paraId="7F4379D9">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规格名称</w:t>
            </w:r>
          </w:p>
        </w:tc>
        <w:tc>
          <w:tcPr>
            <w:tcW w:w="811" w:type="dxa"/>
            <w:shd w:val="clear" w:color="auto" w:fill="auto"/>
            <w:vAlign w:val="center"/>
          </w:tcPr>
          <w:p w14:paraId="4069D664">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单位</w:t>
            </w:r>
          </w:p>
        </w:tc>
        <w:tc>
          <w:tcPr>
            <w:tcW w:w="1685" w:type="dxa"/>
            <w:shd w:val="clear" w:color="auto" w:fill="auto"/>
            <w:vAlign w:val="center"/>
          </w:tcPr>
          <w:p w14:paraId="7F2E264F">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投标基准价</w:t>
            </w:r>
          </w:p>
        </w:tc>
        <w:tc>
          <w:tcPr>
            <w:tcW w:w="1685" w:type="dxa"/>
            <w:shd w:val="clear" w:color="auto" w:fill="auto"/>
            <w:vAlign w:val="center"/>
          </w:tcPr>
          <w:p w14:paraId="666174A1">
            <w:pPr>
              <w:widowControl/>
              <w:spacing w:line="360" w:lineRule="auto"/>
              <w:ind w:left="0" w:leftChars="0" w:right="0" w:rightChars="0" w:firstLine="0" w:firstLineChars="0"/>
              <w:jc w:val="center"/>
              <w:rPr>
                <w:rFonts w:hint="default" w:ascii="Calibri" w:hAnsi="Calibri" w:eastAsia="宋体"/>
                <w:color w:val="auto"/>
                <w:szCs w:val="22"/>
                <w:highlight w:val="none"/>
                <w:lang w:val="en-US" w:eastAsia="zh-CN"/>
              </w:rPr>
            </w:pPr>
            <w:r>
              <w:rPr>
                <w:rFonts w:hint="eastAsia" w:ascii="Calibri" w:hAnsi="Calibri"/>
                <w:color w:val="auto"/>
                <w:szCs w:val="22"/>
                <w:highlight w:val="none"/>
                <w:lang w:val="en-US" w:eastAsia="zh-CN"/>
              </w:rPr>
              <w:t>综合费用</w:t>
            </w:r>
          </w:p>
        </w:tc>
      </w:tr>
      <w:tr w14:paraId="77F4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atLeast"/>
          <w:jc w:val="center"/>
        </w:trPr>
        <w:tc>
          <w:tcPr>
            <w:tcW w:w="690" w:type="dxa"/>
            <w:shd w:val="clear" w:color="auto" w:fill="auto"/>
            <w:vAlign w:val="center"/>
          </w:tcPr>
          <w:p w14:paraId="21431097">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1</w:t>
            </w:r>
          </w:p>
        </w:tc>
        <w:tc>
          <w:tcPr>
            <w:tcW w:w="2352" w:type="dxa"/>
            <w:shd w:val="clear" w:color="auto" w:fill="auto"/>
            <w:vAlign w:val="top"/>
          </w:tcPr>
          <w:p w14:paraId="44E444B7">
            <w:pPr>
              <w:snapToGrid w:val="0"/>
              <w:spacing w:line="400" w:lineRule="exact"/>
              <w:jc w:val="left"/>
              <w:rPr>
                <w:rFonts w:hint="default" w:ascii="Calibri" w:hAnsi="Calibri" w:eastAsia="宋体"/>
                <w:color w:val="auto"/>
                <w:szCs w:val="22"/>
                <w:highlight w:val="none"/>
                <w:lang w:val="en-US"/>
              </w:rPr>
            </w:pPr>
            <w:r>
              <w:rPr>
                <w:rFonts w:hint="eastAsia" w:ascii="新宋体" w:hAnsi="新宋体" w:eastAsia="新宋体" w:cs="新宋体"/>
                <w:bCs/>
                <w:color w:val="auto"/>
                <w:kern w:val="0"/>
                <w:sz w:val="24"/>
                <w:szCs w:val="24"/>
                <w:highlight w:val="none"/>
                <w:lang w:val="en-US" w:eastAsia="zh-CN" w:bidi="ar-SA"/>
              </w:rPr>
              <w:t>φ</w:t>
            </w:r>
            <w:r>
              <w:rPr>
                <w:rFonts w:hint="eastAsia" w:ascii="等线" w:hAnsi="等线" w:eastAsia="等线" w:cs="等线"/>
                <w:i w:val="0"/>
                <w:iCs w:val="0"/>
                <w:color w:val="auto"/>
                <w:kern w:val="0"/>
                <w:sz w:val="22"/>
                <w:szCs w:val="22"/>
                <w:highlight w:val="none"/>
                <w:u w:val="none"/>
                <w:lang w:val="en-US" w:eastAsia="zh-CN" w:bidi="ar"/>
              </w:rPr>
              <w:t>4@150*150防裂钢筋网片</w:t>
            </w:r>
          </w:p>
        </w:tc>
        <w:tc>
          <w:tcPr>
            <w:tcW w:w="811" w:type="dxa"/>
            <w:shd w:val="clear" w:color="auto" w:fill="auto"/>
            <w:vAlign w:val="center"/>
          </w:tcPr>
          <w:p w14:paraId="66E51C36">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56761A8D">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4650</w:t>
            </w:r>
          </w:p>
        </w:tc>
        <w:tc>
          <w:tcPr>
            <w:tcW w:w="1685" w:type="dxa"/>
            <w:shd w:val="clear" w:color="auto" w:fill="auto"/>
            <w:vAlign w:val="top"/>
          </w:tcPr>
          <w:p w14:paraId="3587AAA9">
            <w:pPr>
              <w:snapToGrid w:val="0"/>
              <w:spacing w:line="400" w:lineRule="exact"/>
              <w:jc w:val="left"/>
              <w:rPr>
                <w:rFonts w:hint="eastAsia" w:ascii="宋体" w:hAnsi="宋体" w:cs="宋体"/>
                <w:color w:val="auto"/>
                <w:sz w:val="21"/>
                <w:szCs w:val="21"/>
                <w:highlight w:val="none"/>
                <w:vertAlign w:val="baseline"/>
                <w:lang w:val="en-US" w:eastAsia="zh-CN"/>
              </w:rPr>
            </w:pPr>
          </w:p>
        </w:tc>
      </w:tr>
      <w:tr w14:paraId="5D9C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5" w:hRule="atLeast"/>
          <w:jc w:val="center"/>
        </w:trPr>
        <w:tc>
          <w:tcPr>
            <w:tcW w:w="690" w:type="dxa"/>
            <w:shd w:val="clear" w:color="auto" w:fill="auto"/>
            <w:vAlign w:val="center"/>
          </w:tcPr>
          <w:p w14:paraId="187A049B">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2</w:t>
            </w:r>
          </w:p>
        </w:tc>
        <w:tc>
          <w:tcPr>
            <w:tcW w:w="2352" w:type="dxa"/>
            <w:shd w:val="clear" w:color="auto" w:fill="auto"/>
            <w:vAlign w:val="top"/>
          </w:tcPr>
          <w:p w14:paraId="5568713F">
            <w:pPr>
              <w:snapToGrid w:val="0"/>
              <w:spacing w:line="400" w:lineRule="exact"/>
              <w:jc w:val="left"/>
              <w:rPr>
                <w:rFonts w:hint="default" w:ascii="Calibri" w:hAnsi="Calibri" w:eastAsia="宋体"/>
                <w:color w:val="auto"/>
                <w:szCs w:val="22"/>
                <w:highlight w:val="none"/>
                <w:lang w:val="en-US"/>
              </w:rPr>
            </w:pPr>
            <w:r>
              <w:rPr>
                <w:rFonts w:hint="eastAsia" w:ascii="宋体" w:hAnsi="宋体" w:cs="宋体"/>
                <w:color w:val="auto"/>
                <w:sz w:val="21"/>
                <w:szCs w:val="21"/>
                <w:highlight w:val="none"/>
                <w:vertAlign w:val="baseline"/>
                <w:lang w:val="en-US" w:eastAsia="zh-CN"/>
              </w:rPr>
              <w:t>D6钢筋网片</w:t>
            </w:r>
          </w:p>
        </w:tc>
        <w:tc>
          <w:tcPr>
            <w:tcW w:w="811" w:type="dxa"/>
            <w:shd w:val="clear" w:color="auto" w:fill="auto"/>
            <w:vAlign w:val="center"/>
          </w:tcPr>
          <w:p w14:paraId="1B5CC1A2">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3B343FFC">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4650</w:t>
            </w:r>
          </w:p>
        </w:tc>
        <w:tc>
          <w:tcPr>
            <w:tcW w:w="1685" w:type="dxa"/>
            <w:shd w:val="clear" w:color="auto" w:fill="auto"/>
            <w:vAlign w:val="top"/>
          </w:tcPr>
          <w:p w14:paraId="64452889">
            <w:pPr>
              <w:snapToGrid w:val="0"/>
              <w:spacing w:line="400" w:lineRule="exact"/>
              <w:jc w:val="left"/>
              <w:rPr>
                <w:rFonts w:hint="eastAsia" w:ascii="宋体" w:hAnsi="宋体" w:cs="宋体"/>
                <w:color w:val="auto"/>
                <w:sz w:val="21"/>
                <w:szCs w:val="21"/>
                <w:highlight w:val="none"/>
                <w:vertAlign w:val="baseline"/>
                <w:lang w:val="en-US" w:eastAsia="zh-CN"/>
              </w:rPr>
            </w:pPr>
          </w:p>
        </w:tc>
      </w:tr>
      <w:tr w14:paraId="3405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690" w:type="dxa"/>
            <w:shd w:val="clear" w:color="auto" w:fill="auto"/>
            <w:vAlign w:val="center"/>
          </w:tcPr>
          <w:p w14:paraId="62CC3A20">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3</w:t>
            </w:r>
          </w:p>
        </w:tc>
        <w:tc>
          <w:tcPr>
            <w:tcW w:w="2352" w:type="dxa"/>
            <w:shd w:val="clear" w:color="auto" w:fill="auto"/>
            <w:vAlign w:val="top"/>
          </w:tcPr>
          <w:p w14:paraId="780529A6">
            <w:pPr>
              <w:snapToGrid w:val="0"/>
              <w:spacing w:line="400" w:lineRule="exact"/>
              <w:jc w:val="left"/>
              <w:rPr>
                <w:rFonts w:ascii="Calibri" w:hAnsi="Calibri" w:eastAsia="宋体"/>
                <w:color w:val="auto"/>
                <w:szCs w:val="22"/>
                <w:highlight w:val="none"/>
              </w:rPr>
            </w:pPr>
            <w:r>
              <w:rPr>
                <w:rFonts w:hint="eastAsia" w:ascii="宋体" w:hAnsi="宋体" w:cs="宋体"/>
                <w:color w:val="auto"/>
                <w:sz w:val="21"/>
                <w:szCs w:val="21"/>
                <w:highlight w:val="none"/>
                <w:vertAlign w:val="baseline"/>
                <w:lang w:val="en-US" w:eastAsia="zh-CN"/>
              </w:rPr>
              <w:t>D8钢筋网片</w:t>
            </w:r>
          </w:p>
        </w:tc>
        <w:tc>
          <w:tcPr>
            <w:tcW w:w="811" w:type="dxa"/>
            <w:shd w:val="clear" w:color="auto" w:fill="auto"/>
            <w:vAlign w:val="center"/>
          </w:tcPr>
          <w:p w14:paraId="4C8F6956">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5B0E3396">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4470</w:t>
            </w:r>
          </w:p>
        </w:tc>
        <w:tc>
          <w:tcPr>
            <w:tcW w:w="1685" w:type="dxa"/>
            <w:shd w:val="clear" w:color="auto" w:fill="auto"/>
            <w:vAlign w:val="top"/>
          </w:tcPr>
          <w:p w14:paraId="4BB621CF">
            <w:pPr>
              <w:snapToGrid w:val="0"/>
              <w:spacing w:line="400" w:lineRule="exact"/>
              <w:jc w:val="left"/>
              <w:rPr>
                <w:rFonts w:hint="eastAsia" w:ascii="宋体" w:hAnsi="宋体" w:cs="宋体"/>
                <w:color w:val="auto"/>
                <w:sz w:val="21"/>
                <w:szCs w:val="21"/>
                <w:highlight w:val="none"/>
                <w:vertAlign w:val="baseline"/>
                <w:lang w:val="en-US" w:eastAsia="zh-CN"/>
              </w:rPr>
            </w:pPr>
          </w:p>
        </w:tc>
      </w:tr>
      <w:tr w14:paraId="72A0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690" w:type="dxa"/>
            <w:shd w:val="clear" w:color="auto" w:fill="auto"/>
            <w:vAlign w:val="center"/>
          </w:tcPr>
          <w:p w14:paraId="60C287F9">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4</w:t>
            </w:r>
          </w:p>
        </w:tc>
        <w:tc>
          <w:tcPr>
            <w:tcW w:w="2352" w:type="dxa"/>
            <w:shd w:val="clear" w:color="auto" w:fill="auto"/>
            <w:vAlign w:val="top"/>
          </w:tcPr>
          <w:p w14:paraId="5F1965BC">
            <w:pPr>
              <w:snapToGrid w:val="0"/>
              <w:spacing w:line="400" w:lineRule="exact"/>
              <w:jc w:val="left"/>
              <w:rPr>
                <w:rFonts w:ascii="Calibri" w:hAnsi="Calibri" w:eastAsia="宋体"/>
                <w:color w:val="auto"/>
                <w:szCs w:val="22"/>
                <w:highlight w:val="none"/>
              </w:rPr>
            </w:pPr>
            <w:r>
              <w:rPr>
                <w:rFonts w:hint="eastAsia" w:ascii="宋体" w:hAnsi="宋体" w:cs="宋体"/>
                <w:color w:val="auto"/>
                <w:sz w:val="21"/>
                <w:szCs w:val="21"/>
                <w:highlight w:val="none"/>
                <w:vertAlign w:val="baseline"/>
                <w:lang w:val="en-US" w:eastAsia="zh-CN"/>
              </w:rPr>
              <w:t>D10钢筋网片</w:t>
            </w:r>
          </w:p>
        </w:tc>
        <w:tc>
          <w:tcPr>
            <w:tcW w:w="811" w:type="dxa"/>
            <w:shd w:val="clear" w:color="auto" w:fill="auto"/>
            <w:vAlign w:val="center"/>
          </w:tcPr>
          <w:p w14:paraId="6358513F">
            <w:pPr>
              <w:widowControl/>
              <w:spacing w:line="360" w:lineRule="auto"/>
              <w:ind w:left="0" w:leftChars="0" w:right="0" w:rightChars="0" w:firstLine="0" w:firstLineChars="0"/>
              <w:jc w:val="center"/>
              <w:rPr>
                <w:rFonts w:ascii="Calibri" w:hAnsi="Calibri" w:eastAsia="宋体"/>
                <w:color w:val="auto"/>
                <w:szCs w:val="22"/>
                <w:highlight w:val="none"/>
              </w:rPr>
            </w:pPr>
            <w:r>
              <w:rPr>
                <w:rFonts w:hint="eastAsia" w:ascii="Calibri" w:hAnsi="Calibri" w:eastAsia="宋体"/>
                <w:color w:val="auto"/>
                <w:szCs w:val="22"/>
                <w:highlight w:val="none"/>
              </w:rPr>
              <w:t>元/吨</w:t>
            </w:r>
          </w:p>
        </w:tc>
        <w:tc>
          <w:tcPr>
            <w:tcW w:w="1685" w:type="dxa"/>
            <w:shd w:val="clear" w:color="auto" w:fill="auto"/>
            <w:vAlign w:val="top"/>
          </w:tcPr>
          <w:p w14:paraId="2B64EDFB">
            <w:pPr>
              <w:snapToGrid w:val="0"/>
              <w:spacing w:line="400" w:lineRule="exact"/>
              <w:jc w:val="left"/>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4470</w:t>
            </w:r>
          </w:p>
        </w:tc>
        <w:tc>
          <w:tcPr>
            <w:tcW w:w="1685" w:type="dxa"/>
            <w:shd w:val="clear" w:color="auto" w:fill="auto"/>
            <w:vAlign w:val="top"/>
          </w:tcPr>
          <w:p w14:paraId="7CB75959">
            <w:pPr>
              <w:snapToGrid w:val="0"/>
              <w:spacing w:line="400" w:lineRule="exact"/>
              <w:jc w:val="left"/>
              <w:rPr>
                <w:rFonts w:hint="eastAsia" w:ascii="宋体" w:hAnsi="宋体" w:cs="宋体"/>
                <w:color w:val="auto"/>
                <w:sz w:val="21"/>
                <w:szCs w:val="21"/>
                <w:highlight w:val="none"/>
                <w:vertAlign w:val="baseline"/>
                <w:lang w:val="en-US" w:eastAsia="zh-CN"/>
              </w:rPr>
            </w:pPr>
          </w:p>
        </w:tc>
      </w:tr>
    </w:tbl>
    <w:p w14:paraId="1F5C84E7">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）结算基准价以</w:t>
      </w:r>
      <w:r>
        <w:rPr>
          <w:rFonts w:hint="eastAsia" w:ascii="宋体" w:hAnsi="宋体" w:eastAsia="宋体" w:cs="宋体"/>
          <w:color w:val="auto"/>
          <w:kern w:val="0"/>
          <w:sz w:val="24"/>
          <w:szCs w:val="24"/>
          <w:highlight w:val="none"/>
          <w:lang w:val="zh-CN"/>
        </w:rPr>
        <w:t>基准价按到货当日基准价:基准价(网价)与综合费用，结算基准价(网价)</w:t>
      </w:r>
      <w:r>
        <w:rPr>
          <w:rFonts w:hint="eastAsia" w:ascii="宋体" w:hAnsi="宋体" w:cs="宋体"/>
          <w:color w:val="auto"/>
          <w:kern w:val="0"/>
          <w:sz w:val="24"/>
          <w:szCs w:val="24"/>
          <w:highlight w:val="none"/>
          <w:lang w:val="en-US" w:eastAsia="zh-CN"/>
        </w:rPr>
        <w:t>成</w:t>
      </w:r>
      <w:r>
        <w:rPr>
          <w:rFonts w:hint="eastAsia" w:ascii="宋体" w:hAnsi="宋体" w:eastAsia="宋体" w:cs="宋体"/>
          <w:color w:val="auto"/>
          <w:kern w:val="0"/>
          <w:sz w:val="24"/>
          <w:szCs w:val="24"/>
          <w:highlight w:val="none"/>
          <w:lang w:val="zh-CN"/>
        </w:rPr>
        <w:t>都地区“我的钢铁网”对应焊接钢筋网片规格型号价格进行确定若到货当日未发布网价信息，以最近一次公布的网价为准，若当日对应品牌规格出现多个网价，以第一次发布的网价为准，若该品牌无对应规格网价信息，以投标时确定的厂家及品牌确定价格。综合费用包含产品装吊、捆扎、运输、中转、仓储等到达交货地点前的所有运杂费、保险费、出库费、利润等一切费用。</w:t>
      </w:r>
      <w:r>
        <w:rPr>
          <w:rFonts w:ascii="宋体" w:hAnsi="宋体" w:eastAsia="宋体" w:cs="宋体"/>
          <w:color w:val="auto"/>
          <w:kern w:val="0"/>
          <w:sz w:val="24"/>
          <w:szCs w:val="24"/>
          <w:highlight w:val="none"/>
        </w:rPr>
        <w:t>；如遇特殊规格无参考报价的，采取结合市场协商定价</w:t>
      </w:r>
      <w:r>
        <w:rPr>
          <w:rFonts w:hint="eastAsia" w:ascii="宋体" w:hAnsi="宋体" w:eastAsia="宋体" w:cs="宋体"/>
          <w:color w:val="auto"/>
          <w:kern w:val="0"/>
          <w:sz w:val="24"/>
          <w:szCs w:val="24"/>
          <w:highlight w:val="none"/>
        </w:rPr>
        <w:t>。</w:t>
      </w:r>
    </w:p>
    <w:p w14:paraId="78C33EF6">
      <w:pPr>
        <w:rPr>
          <w:rFonts w:ascii="Calibri" w:hAnsi="Calibri" w:eastAsia="宋体"/>
          <w:color w:val="auto"/>
          <w:szCs w:val="22"/>
          <w:highlight w:val="none"/>
        </w:rPr>
      </w:pPr>
    </w:p>
    <w:p w14:paraId="6FB22B0C">
      <w:pPr>
        <w:widowControl w:val="0"/>
        <w:spacing w:after="120"/>
        <w:jc w:val="both"/>
        <w:rPr>
          <w:rFonts w:ascii="Calibri" w:hAnsi="Calibri" w:eastAsia="宋体" w:cs="Times New Roman"/>
          <w:color w:val="auto"/>
          <w:kern w:val="2"/>
          <w:sz w:val="21"/>
          <w:szCs w:val="22"/>
          <w:highlight w:val="none"/>
          <w:lang w:val="en-US" w:eastAsia="zh-CN" w:bidi="ar-SA"/>
        </w:rPr>
      </w:pPr>
    </w:p>
    <w:p w14:paraId="082E47CD">
      <w:pPr>
        <w:rPr>
          <w:rFonts w:ascii="Calibri" w:hAnsi="Calibri" w:eastAsia="宋体"/>
          <w:color w:val="auto"/>
          <w:szCs w:val="22"/>
          <w:highlight w:val="none"/>
        </w:rPr>
      </w:pPr>
    </w:p>
    <w:p w14:paraId="2DB3C077">
      <w:pPr>
        <w:widowControl w:val="0"/>
        <w:spacing w:after="120"/>
        <w:jc w:val="both"/>
        <w:rPr>
          <w:rFonts w:ascii="Calibri" w:hAnsi="Calibri" w:eastAsia="宋体" w:cs="Times New Roman"/>
          <w:color w:val="auto"/>
          <w:kern w:val="2"/>
          <w:sz w:val="21"/>
          <w:szCs w:val="22"/>
          <w:highlight w:val="none"/>
          <w:lang w:val="en-US" w:eastAsia="zh-CN" w:bidi="ar-SA"/>
        </w:rPr>
      </w:pPr>
    </w:p>
    <w:p w14:paraId="78D5AA4A">
      <w:pPr>
        <w:rPr>
          <w:rFonts w:ascii="Calibri" w:hAnsi="Calibri" w:eastAsia="宋体"/>
          <w:color w:val="auto"/>
          <w:szCs w:val="22"/>
          <w:highlight w:val="none"/>
        </w:rPr>
      </w:pPr>
    </w:p>
    <w:p w14:paraId="57526E1A">
      <w:pPr>
        <w:widowControl w:val="0"/>
        <w:spacing w:after="120"/>
        <w:jc w:val="both"/>
        <w:rPr>
          <w:rFonts w:ascii="Calibri" w:hAnsi="Calibri" w:eastAsia="宋体" w:cs="Times New Roman"/>
          <w:color w:val="auto"/>
          <w:kern w:val="2"/>
          <w:sz w:val="21"/>
          <w:szCs w:val="22"/>
          <w:highlight w:val="none"/>
          <w:lang w:val="en-US" w:eastAsia="zh-CN" w:bidi="ar-SA"/>
        </w:rPr>
      </w:pPr>
    </w:p>
    <w:p w14:paraId="0A050F36">
      <w:pPr>
        <w:widowControl w:val="0"/>
        <w:numPr>
          <w:ilvl w:val="0"/>
          <w:numId w:val="3"/>
        </w:numPr>
        <w:autoSpaceDE w:val="0"/>
        <w:autoSpaceDN w:val="0"/>
        <w:adjustRightInd w:val="0"/>
        <w:rPr>
          <w:rFonts w:ascii="Times New Roman" w:hAnsi="Times New Roman" w:eastAsia="宋体" w:cs="Times New Roman"/>
          <w:b/>
          <w:color w:val="auto"/>
          <w:sz w:val="24"/>
          <w:szCs w:val="24"/>
          <w:highlight w:val="none"/>
          <w:lang w:val="en-US" w:eastAsia="zh-CN" w:bidi="ar-SA"/>
        </w:rPr>
      </w:pPr>
      <w:r>
        <w:rPr>
          <w:rFonts w:hint="eastAsia" w:ascii="Times New Roman" w:hAnsi="Times New Roman" w:eastAsia="宋体" w:cs="Times New Roman"/>
          <w:b/>
          <w:color w:val="auto"/>
          <w:sz w:val="24"/>
          <w:szCs w:val="24"/>
          <w:highlight w:val="none"/>
          <w:lang w:val="en-US" w:eastAsia="zh-CN" w:bidi="ar-SA"/>
        </w:rPr>
        <w:t>供货</w:t>
      </w:r>
      <w:r>
        <w:rPr>
          <w:rFonts w:ascii="Times New Roman" w:hAnsi="Times New Roman" w:eastAsia="宋体" w:cs="Times New Roman"/>
          <w:b/>
          <w:color w:val="auto"/>
          <w:sz w:val="24"/>
          <w:szCs w:val="24"/>
          <w:highlight w:val="none"/>
          <w:lang w:val="en-US" w:eastAsia="zh-CN" w:bidi="ar-SA"/>
        </w:rPr>
        <w:t>报价表</w:t>
      </w:r>
    </w:p>
    <w:p w14:paraId="4D49E4D6">
      <w:pPr>
        <w:tabs>
          <w:tab w:val="left" w:pos="5636"/>
          <w:tab w:val="left" w:pos="10095"/>
        </w:tabs>
        <w:spacing w:before="109" w:after="3"/>
        <w:jc w:val="left"/>
        <w:rPr>
          <w:rFonts w:ascii="Calibri" w:hAnsi="Calibri" w:eastAsia="宋体"/>
          <w:b/>
          <w:color w:val="auto"/>
          <w:sz w:val="24"/>
          <w:szCs w:val="24"/>
          <w:highlight w:val="none"/>
        </w:rPr>
      </w:pPr>
      <w:r>
        <w:rPr>
          <w:rFonts w:hint="eastAsia" w:ascii="宋体" w:hAnsi="宋体" w:eastAsia="宋体" w:cs="宋体"/>
          <w:color w:val="auto"/>
          <w:kern w:val="0"/>
          <w:sz w:val="24"/>
          <w:szCs w:val="24"/>
          <w:highlight w:val="none"/>
        </w:rPr>
        <w:t xml:space="preserve">投标人名称：                     招标编号：             </w:t>
      </w:r>
    </w:p>
    <w:tbl>
      <w:tblPr>
        <w:tblStyle w:val="49"/>
        <w:tblW w:w="87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
        <w:gridCol w:w="1104"/>
        <w:gridCol w:w="563"/>
        <w:gridCol w:w="551"/>
        <w:gridCol w:w="651"/>
        <w:gridCol w:w="922"/>
        <w:gridCol w:w="876"/>
        <w:gridCol w:w="1015"/>
        <w:gridCol w:w="1156"/>
        <w:gridCol w:w="950"/>
      </w:tblGrid>
      <w:tr w14:paraId="150A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965" w:type="dxa"/>
            <w:vMerge w:val="restart"/>
            <w:vAlign w:val="center"/>
          </w:tcPr>
          <w:p w14:paraId="2A8A9F67">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物资名称</w:t>
            </w:r>
          </w:p>
        </w:tc>
        <w:tc>
          <w:tcPr>
            <w:tcW w:w="1104" w:type="dxa"/>
            <w:vMerge w:val="restart"/>
            <w:vAlign w:val="center"/>
          </w:tcPr>
          <w:p w14:paraId="543C7BE3">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规格型号</w:t>
            </w:r>
          </w:p>
        </w:tc>
        <w:tc>
          <w:tcPr>
            <w:tcW w:w="563" w:type="dxa"/>
            <w:vMerge w:val="restart"/>
            <w:vAlign w:val="center"/>
          </w:tcPr>
          <w:p w14:paraId="5FB40A5F">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计量单位</w:t>
            </w:r>
          </w:p>
        </w:tc>
        <w:tc>
          <w:tcPr>
            <w:tcW w:w="551" w:type="dxa"/>
            <w:vAlign w:val="center"/>
          </w:tcPr>
          <w:p w14:paraId="3FBF244B">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暂定</w:t>
            </w:r>
          </w:p>
          <w:p w14:paraId="42AD20E6">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数量</w:t>
            </w:r>
          </w:p>
        </w:tc>
        <w:tc>
          <w:tcPr>
            <w:tcW w:w="651" w:type="dxa"/>
            <w:vAlign w:val="center"/>
          </w:tcPr>
          <w:p w14:paraId="2EF4631A">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投标基准价（元）</w:t>
            </w:r>
          </w:p>
        </w:tc>
        <w:tc>
          <w:tcPr>
            <w:tcW w:w="922" w:type="dxa"/>
            <w:vAlign w:val="center"/>
          </w:tcPr>
          <w:p w14:paraId="4B61D21F">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综合固定费</w:t>
            </w:r>
          </w:p>
          <w:p w14:paraId="1F6BAD32">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用（元）</w:t>
            </w:r>
          </w:p>
        </w:tc>
        <w:tc>
          <w:tcPr>
            <w:tcW w:w="876" w:type="dxa"/>
            <w:vAlign w:val="center"/>
          </w:tcPr>
          <w:p w14:paraId="781F2D72">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含税到站单价（元）</w:t>
            </w:r>
          </w:p>
        </w:tc>
        <w:tc>
          <w:tcPr>
            <w:tcW w:w="1015" w:type="dxa"/>
            <w:vAlign w:val="center"/>
          </w:tcPr>
          <w:p w14:paraId="02C97716">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含税总价（元）</w:t>
            </w:r>
          </w:p>
        </w:tc>
        <w:tc>
          <w:tcPr>
            <w:tcW w:w="1156" w:type="dxa"/>
            <w:vMerge w:val="restart"/>
            <w:vAlign w:val="center"/>
          </w:tcPr>
          <w:p w14:paraId="20BA500B">
            <w:pPr>
              <w:tabs>
                <w:tab w:val="left" w:pos="5636"/>
                <w:tab w:val="left" w:pos="10095"/>
              </w:tabs>
              <w:spacing w:before="109" w:after="3"/>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交货地点</w:t>
            </w:r>
          </w:p>
        </w:tc>
        <w:tc>
          <w:tcPr>
            <w:tcW w:w="950" w:type="dxa"/>
            <w:vMerge w:val="restart"/>
            <w:vAlign w:val="center"/>
          </w:tcPr>
          <w:p w14:paraId="61953A2F">
            <w:pPr>
              <w:tabs>
                <w:tab w:val="left" w:pos="5636"/>
                <w:tab w:val="left" w:pos="10095"/>
              </w:tabs>
              <w:spacing w:before="109" w:after="3"/>
              <w:jc w:val="center"/>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品牌</w:t>
            </w:r>
          </w:p>
        </w:tc>
      </w:tr>
      <w:tr w14:paraId="6A62E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Merge w:val="continue"/>
          </w:tcPr>
          <w:p w14:paraId="2C9D71B0">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04" w:type="dxa"/>
            <w:vMerge w:val="continue"/>
          </w:tcPr>
          <w:p w14:paraId="62713FC2">
            <w:pPr>
              <w:tabs>
                <w:tab w:val="left" w:pos="5636"/>
                <w:tab w:val="left" w:pos="10095"/>
              </w:tabs>
              <w:spacing w:before="109" w:after="3"/>
              <w:jc w:val="center"/>
              <w:rPr>
                <w:rFonts w:ascii="宋体" w:hAnsi="宋体" w:eastAsia="宋体" w:cs="宋体"/>
                <w:color w:val="auto"/>
                <w:kern w:val="0"/>
                <w:sz w:val="24"/>
                <w:szCs w:val="24"/>
                <w:highlight w:val="none"/>
              </w:rPr>
            </w:pPr>
          </w:p>
        </w:tc>
        <w:tc>
          <w:tcPr>
            <w:tcW w:w="563" w:type="dxa"/>
            <w:vMerge w:val="continue"/>
          </w:tcPr>
          <w:p w14:paraId="422AA22A">
            <w:pPr>
              <w:tabs>
                <w:tab w:val="left" w:pos="5636"/>
                <w:tab w:val="left" w:pos="10095"/>
              </w:tabs>
              <w:spacing w:before="109" w:after="3"/>
              <w:jc w:val="center"/>
              <w:rPr>
                <w:rFonts w:ascii="宋体" w:hAnsi="宋体" w:eastAsia="宋体" w:cs="宋体"/>
                <w:color w:val="auto"/>
                <w:kern w:val="0"/>
                <w:sz w:val="24"/>
                <w:szCs w:val="24"/>
                <w:highlight w:val="none"/>
              </w:rPr>
            </w:pPr>
          </w:p>
        </w:tc>
        <w:tc>
          <w:tcPr>
            <w:tcW w:w="551" w:type="dxa"/>
          </w:tcPr>
          <w:p w14:paraId="152EAB7B">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w:t>
            </w:r>
          </w:p>
        </w:tc>
        <w:tc>
          <w:tcPr>
            <w:tcW w:w="651" w:type="dxa"/>
          </w:tcPr>
          <w:p w14:paraId="20B22B26">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w:t>
            </w:r>
          </w:p>
        </w:tc>
        <w:tc>
          <w:tcPr>
            <w:tcW w:w="922" w:type="dxa"/>
          </w:tcPr>
          <w:p w14:paraId="0E18C65E">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w:t>
            </w:r>
          </w:p>
        </w:tc>
        <w:tc>
          <w:tcPr>
            <w:tcW w:w="876" w:type="dxa"/>
          </w:tcPr>
          <w:p w14:paraId="1F87156A">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D=B+C</w:t>
            </w:r>
          </w:p>
        </w:tc>
        <w:tc>
          <w:tcPr>
            <w:tcW w:w="1015" w:type="dxa"/>
          </w:tcPr>
          <w:p w14:paraId="3B4106A0">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E=A×D</w:t>
            </w:r>
          </w:p>
        </w:tc>
        <w:tc>
          <w:tcPr>
            <w:tcW w:w="1156" w:type="dxa"/>
            <w:vMerge w:val="continue"/>
          </w:tcPr>
          <w:p w14:paraId="6778C7AC">
            <w:pPr>
              <w:ind w:firstLine="40"/>
              <w:rPr>
                <w:rFonts w:ascii="Calibri" w:hAnsi="Calibri" w:eastAsia="宋体"/>
                <w:bCs/>
                <w:color w:val="auto"/>
                <w:sz w:val="24"/>
                <w:szCs w:val="24"/>
                <w:highlight w:val="none"/>
              </w:rPr>
            </w:pPr>
          </w:p>
        </w:tc>
        <w:tc>
          <w:tcPr>
            <w:tcW w:w="950" w:type="dxa"/>
            <w:vMerge w:val="continue"/>
          </w:tcPr>
          <w:p w14:paraId="01D5DD13">
            <w:pPr>
              <w:ind w:firstLine="40"/>
              <w:rPr>
                <w:rFonts w:ascii="Calibri" w:hAnsi="Calibri" w:eastAsia="宋体"/>
                <w:bCs/>
                <w:color w:val="auto"/>
                <w:sz w:val="24"/>
                <w:szCs w:val="24"/>
                <w:highlight w:val="none"/>
              </w:rPr>
            </w:pPr>
          </w:p>
        </w:tc>
      </w:tr>
      <w:tr w14:paraId="678D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965" w:type="dxa"/>
            <w:vAlign w:val="center"/>
          </w:tcPr>
          <w:p w14:paraId="65AF6AC9">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04" w:type="dxa"/>
            <w:vAlign w:val="center"/>
          </w:tcPr>
          <w:p w14:paraId="17D9C2C1">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0EA654AE">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58BE8B75">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77086F0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06D549C9">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68AF6A01">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353472D0">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restart"/>
            <w:vAlign w:val="center"/>
          </w:tcPr>
          <w:p w14:paraId="32822B57">
            <w:pPr>
              <w:widowControl w:val="0"/>
              <w:autoSpaceDE w:val="0"/>
              <w:autoSpaceDN w:val="0"/>
              <w:jc w:val="center"/>
              <w:rPr>
                <w:rFonts w:ascii="Times New Roman" w:hAnsi="仿宋" w:eastAsia="仿宋" w:cs="仿宋"/>
                <w:bCs/>
                <w:color w:val="auto"/>
                <w:kern w:val="0"/>
                <w:sz w:val="24"/>
                <w:szCs w:val="24"/>
                <w:highlight w:val="none"/>
                <w:lang w:val="en-US" w:eastAsia="zh-CN" w:bidi="zh-CN"/>
              </w:rPr>
            </w:pPr>
          </w:p>
        </w:tc>
        <w:tc>
          <w:tcPr>
            <w:tcW w:w="950" w:type="dxa"/>
            <w:vAlign w:val="center"/>
          </w:tcPr>
          <w:p w14:paraId="6D785E58">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75AA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14:paraId="35F77EA4">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36E47CD9">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349FDBAB">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591EEE2C">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4F3BC9D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1056D82D">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523EE93E">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6A4BDD21">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060D25AF">
            <w:pPr>
              <w:ind w:firstLine="40"/>
              <w:jc w:val="center"/>
              <w:rPr>
                <w:rFonts w:ascii="Calibri" w:hAnsi="Calibri" w:eastAsia="宋体"/>
                <w:bCs/>
                <w:color w:val="auto"/>
                <w:sz w:val="24"/>
                <w:szCs w:val="24"/>
                <w:highlight w:val="none"/>
              </w:rPr>
            </w:pPr>
          </w:p>
        </w:tc>
        <w:tc>
          <w:tcPr>
            <w:tcW w:w="950" w:type="dxa"/>
            <w:vAlign w:val="center"/>
          </w:tcPr>
          <w:p w14:paraId="580DBCAD">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19BE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Align w:val="center"/>
          </w:tcPr>
          <w:p w14:paraId="6CE1E644">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5D0B8740">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3E74AEF7">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2D06A42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15D89EF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0DE36B12">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6628E180">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55E1E2E8">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13C04A6D">
            <w:pPr>
              <w:ind w:firstLine="40"/>
              <w:jc w:val="center"/>
              <w:rPr>
                <w:rFonts w:ascii="Calibri" w:hAnsi="Calibri" w:eastAsia="宋体"/>
                <w:bCs/>
                <w:color w:val="auto"/>
                <w:sz w:val="24"/>
                <w:szCs w:val="24"/>
                <w:highlight w:val="none"/>
              </w:rPr>
            </w:pPr>
          </w:p>
        </w:tc>
        <w:tc>
          <w:tcPr>
            <w:tcW w:w="950" w:type="dxa"/>
            <w:vAlign w:val="center"/>
          </w:tcPr>
          <w:p w14:paraId="4619821B">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2C29C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14:paraId="4A1B20EF">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598D6A3F">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6992CD3E">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5FE2A21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44932653">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1D4DDDD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140ABA5D">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674815B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419A8FE7">
            <w:pPr>
              <w:ind w:firstLine="40"/>
              <w:jc w:val="center"/>
              <w:rPr>
                <w:rFonts w:ascii="Calibri" w:hAnsi="Calibri" w:eastAsia="宋体"/>
                <w:bCs/>
                <w:color w:val="auto"/>
                <w:sz w:val="24"/>
                <w:szCs w:val="24"/>
                <w:highlight w:val="none"/>
              </w:rPr>
            </w:pPr>
          </w:p>
        </w:tc>
        <w:tc>
          <w:tcPr>
            <w:tcW w:w="950" w:type="dxa"/>
            <w:vAlign w:val="center"/>
          </w:tcPr>
          <w:p w14:paraId="2984293E">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44E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965" w:type="dxa"/>
            <w:vAlign w:val="center"/>
          </w:tcPr>
          <w:p w14:paraId="72A1088E">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1104" w:type="dxa"/>
            <w:vAlign w:val="center"/>
          </w:tcPr>
          <w:p w14:paraId="7D1EC50B">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2F1F829A">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吨</w:t>
            </w:r>
          </w:p>
        </w:tc>
        <w:tc>
          <w:tcPr>
            <w:tcW w:w="551" w:type="dxa"/>
            <w:vAlign w:val="center"/>
          </w:tcPr>
          <w:p w14:paraId="4620285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7764F8BA">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1BA436DB">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047E497C">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14646B3F">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78E543F4">
            <w:pPr>
              <w:ind w:firstLine="40"/>
              <w:jc w:val="center"/>
              <w:rPr>
                <w:rFonts w:ascii="Calibri" w:hAnsi="Calibri" w:eastAsia="宋体"/>
                <w:bCs/>
                <w:color w:val="auto"/>
                <w:sz w:val="24"/>
                <w:szCs w:val="24"/>
                <w:highlight w:val="none"/>
              </w:rPr>
            </w:pPr>
          </w:p>
        </w:tc>
        <w:tc>
          <w:tcPr>
            <w:tcW w:w="950" w:type="dxa"/>
            <w:vAlign w:val="center"/>
          </w:tcPr>
          <w:p w14:paraId="398C9EB6">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r w14:paraId="09DB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65" w:type="dxa"/>
            <w:vAlign w:val="center"/>
          </w:tcPr>
          <w:p w14:paraId="103BDF35">
            <w:pPr>
              <w:tabs>
                <w:tab w:val="left" w:pos="5636"/>
                <w:tab w:val="left" w:pos="10095"/>
              </w:tabs>
              <w:spacing w:before="109" w:after="3"/>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104" w:type="dxa"/>
            <w:vAlign w:val="center"/>
          </w:tcPr>
          <w:p w14:paraId="53DEBF52">
            <w:pPr>
              <w:tabs>
                <w:tab w:val="left" w:pos="5636"/>
                <w:tab w:val="left" w:pos="10095"/>
              </w:tabs>
              <w:spacing w:before="109" w:after="3"/>
              <w:jc w:val="center"/>
              <w:rPr>
                <w:rFonts w:ascii="宋体" w:hAnsi="宋体" w:eastAsia="宋体" w:cs="宋体"/>
                <w:color w:val="auto"/>
                <w:kern w:val="0"/>
                <w:sz w:val="24"/>
                <w:szCs w:val="24"/>
                <w:highlight w:val="none"/>
                <w:lang w:val="zh-CN"/>
              </w:rPr>
            </w:pPr>
          </w:p>
        </w:tc>
        <w:tc>
          <w:tcPr>
            <w:tcW w:w="563" w:type="dxa"/>
            <w:vAlign w:val="center"/>
          </w:tcPr>
          <w:p w14:paraId="667361CB">
            <w:pPr>
              <w:tabs>
                <w:tab w:val="left" w:pos="5636"/>
                <w:tab w:val="left" w:pos="10095"/>
              </w:tabs>
              <w:spacing w:before="109" w:after="3"/>
              <w:jc w:val="center"/>
              <w:rPr>
                <w:rFonts w:ascii="宋体" w:hAnsi="宋体" w:eastAsia="宋体" w:cs="宋体"/>
                <w:color w:val="auto"/>
                <w:kern w:val="0"/>
                <w:sz w:val="24"/>
                <w:szCs w:val="24"/>
                <w:highlight w:val="none"/>
              </w:rPr>
            </w:pPr>
          </w:p>
        </w:tc>
        <w:tc>
          <w:tcPr>
            <w:tcW w:w="551" w:type="dxa"/>
            <w:vAlign w:val="center"/>
          </w:tcPr>
          <w:p w14:paraId="01EA89CB">
            <w:pPr>
              <w:tabs>
                <w:tab w:val="left" w:pos="5636"/>
                <w:tab w:val="left" w:pos="10095"/>
              </w:tabs>
              <w:spacing w:before="109" w:after="3"/>
              <w:jc w:val="center"/>
              <w:rPr>
                <w:rFonts w:ascii="宋体" w:hAnsi="宋体" w:eastAsia="宋体" w:cs="宋体"/>
                <w:color w:val="auto"/>
                <w:kern w:val="0"/>
                <w:sz w:val="24"/>
                <w:szCs w:val="24"/>
                <w:highlight w:val="none"/>
              </w:rPr>
            </w:pPr>
          </w:p>
        </w:tc>
        <w:tc>
          <w:tcPr>
            <w:tcW w:w="651" w:type="dxa"/>
            <w:vAlign w:val="center"/>
          </w:tcPr>
          <w:p w14:paraId="4BEE225C">
            <w:pPr>
              <w:tabs>
                <w:tab w:val="left" w:pos="5636"/>
                <w:tab w:val="left" w:pos="10095"/>
              </w:tabs>
              <w:spacing w:before="109" w:after="3"/>
              <w:jc w:val="center"/>
              <w:rPr>
                <w:rFonts w:ascii="宋体" w:hAnsi="宋体" w:eastAsia="宋体" w:cs="宋体"/>
                <w:color w:val="auto"/>
                <w:kern w:val="0"/>
                <w:sz w:val="24"/>
                <w:szCs w:val="24"/>
                <w:highlight w:val="none"/>
              </w:rPr>
            </w:pPr>
          </w:p>
        </w:tc>
        <w:tc>
          <w:tcPr>
            <w:tcW w:w="922" w:type="dxa"/>
            <w:vAlign w:val="center"/>
          </w:tcPr>
          <w:p w14:paraId="0C527F77">
            <w:pPr>
              <w:tabs>
                <w:tab w:val="left" w:pos="5636"/>
                <w:tab w:val="left" w:pos="10095"/>
              </w:tabs>
              <w:spacing w:before="109" w:after="3"/>
              <w:jc w:val="center"/>
              <w:rPr>
                <w:rFonts w:ascii="宋体" w:hAnsi="宋体" w:eastAsia="宋体" w:cs="宋体"/>
                <w:color w:val="auto"/>
                <w:kern w:val="0"/>
                <w:sz w:val="24"/>
                <w:szCs w:val="24"/>
                <w:highlight w:val="none"/>
              </w:rPr>
            </w:pPr>
          </w:p>
        </w:tc>
        <w:tc>
          <w:tcPr>
            <w:tcW w:w="876" w:type="dxa"/>
            <w:vAlign w:val="center"/>
          </w:tcPr>
          <w:p w14:paraId="061B5D25">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015" w:type="dxa"/>
            <w:vAlign w:val="center"/>
          </w:tcPr>
          <w:p w14:paraId="40275CE3">
            <w:pPr>
              <w:tabs>
                <w:tab w:val="left" w:pos="5636"/>
                <w:tab w:val="left" w:pos="10095"/>
              </w:tabs>
              <w:spacing w:before="109" w:after="3"/>
              <w:jc w:val="center"/>
              <w:rPr>
                <w:rFonts w:ascii="宋体" w:hAnsi="宋体" w:eastAsia="宋体" w:cs="宋体"/>
                <w:color w:val="auto"/>
                <w:kern w:val="0"/>
                <w:sz w:val="24"/>
                <w:szCs w:val="24"/>
                <w:highlight w:val="none"/>
              </w:rPr>
            </w:pPr>
          </w:p>
        </w:tc>
        <w:tc>
          <w:tcPr>
            <w:tcW w:w="1156" w:type="dxa"/>
            <w:vMerge w:val="continue"/>
            <w:vAlign w:val="center"/>
          </w:tcPr>
          <w:p w14:paraId="7083972E">
            <w:pPr>
              <w:ind w:firstLine="40"/>
              <w:jc w:val="center"/>
              <w:rPr>
                <w:rFonts w:ascii="Calibri" w:hAnsi="Calibri" w:eastAsia="宋体"/>
                <w:bCs/>
                <w:color w:val="auto"/>
                <w:sz w:val="24"/>
                <w:szCs w:val="24"/>
                <w:highlight w:val="none"/>
              </w:rPr>
            </w:pPr>
          </w:p>
        </w:tc>
        <w:tc>
          <w:tcPr>
            <w:tcW w:w="950" w:type="dxa"/>
            <w:vAlign w:val="center"/>
          </w:tcPr>
          <w:p w14:paraId="05A576B1">
            <w:pPr>
              <w:widowControl w:val="0"/>
              <w:autoSpaceDE w:val="0"/>
              <w:autoSpaceDN w:val="0"/>
              <w:jc w:val="center"/>
              <w:rPr>
                <w:rFonts w:ascii="Times New Roman" w:hAnsi="仿宋" w:eastAsia="仿宋" w:cs="仿宋"/>
                <w:bCs/>
                <w:color w:val="auto"/>
                <w:kern w:val="0"/>
                <w:sz w:val="24"/>
                <w:szCs w:val="24"/>
                <w:highlight w:val="none"/>
                <w:lang w:val="zh-CN" w:eastAsia="zh-CN" w:bidi="zh-CN"/>
              </w:rPr>
            </w:pPr>
          </w:p>
        </w:tc>
      </w:tr>
    </w:tbl>
    <w:p w14:paraId="3CBCFAFF">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1.投标人必须提供一票制增值税专用发票（税率13%），合同供应方、发票开具方、材料款收款方三流一致，中标人不得委托第三方单位或个人收款；</w:t>
      </w:r>
    </w:p>
    <w:p w14:paraId="4B0F1288">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2.招标数量为暂定数量，实际供货量以工地现场实际需求量为准；</w:t>
      </w:r>
    </w:p>
    <w:p w14:paraId="400BBBAB">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中物资规格型号、单位、数量等必须与招标文件中给出的一致，投标人自行按照招标文件中物资需求一览表包件划分情况进行填写；投标人没有按照约定的报价基准价正确填写报价表的，评标时评委将直接把基准价调整为约定的基准价，综合费用不变，调整总价，将影响评标结果，后果自负。</w:t>
      </w:r>
    </w:p>
    <w:p w14:paraId="1D0AAC02">
      <w:pPr>
        <w:tabs>
          <w:tab w:val="left" w:pos="5636"/>
          <w:tab w:val="left" w:pos="10095"/>
        </w:tabs>
        <w:spacing w:before="109" w:after="3"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4.品牌范围参考“供货要求”，投标人报价时将用于本项目的品牌尽量填写完整，表中的品牌要求满足招标文件中对制造商的资质要求，实际执行过程中因增加或更换品牌带来的负面影响由投标人自行承担。</w:t>
      </w:r>
    </w:p>
    <w:p w14:paraId="61AE53CD">
      <w:pPr>
        <w:widowControl w:val="0"/>
        <w:spacing w:after="120" w:line="400" w:lineRule="exact"/>
        <w:ind w:left="420" w:leftChars="200" w:firstLine="480" w:firstLineChars="200"/>
        <w:jc w:val="both"/>
        <w:rPr>
          <w:rFonts w:ascii="Calibri" w:hAnsi="Calibri" w:eastAsia="宋体" w:cs="Times New Roman"/>
          <w:color w:val="auto"/>
          <w:kern w:val="2"/>
          <w:sz w:val="24"/>
          <w:szCs w:val="24"/>
          <w:highlight w:val="none"/>
          <w:lang w:val="en-US" w:eastAsia="zh-CN" w:bidi="ar-SA"/>
        </w:rPr>
      </w:pPr>
    </w:p>
    <w:p w14:paraId="1F90147A">
      <w:pPr>
        <w:tabs>
          <w:tab w:val="left" w:pos="5636"/>
          <w:tab w:val="left" w:pos="10095"/>
        </w:tabs>
        <w:spacing w:before="109" w:after="3"/>
        <w:ind w:left="1898" w:leftChars="904"/>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投标人名称（加盖公章）：</w:t>
      </w:r>
    </w:p>
    <w:p w14:paraId="00C17E9B">
      <w:pPr>
        <w:tabs>
          <w:tab w:val="left" w:pos="5636"/>
          <w:tab w:val="left" w:pos="10095"/>
        </w:tabs>
        <w:spacing w:before="109" w:after="3"/>
        <w:ind w:left="1898" w:leftChars="904"/>
        <w:jc w:val="left"/>
        <w:rPr>
          <w:rFonts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法定代表人或被授权代理人（签字）：</w:t>
      </w:r>
    </w:p>
    <w:p w14:paraId="602E571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1920" w:firstLineChars="800"/>
        <w:jc w:val="left"/>
        <w:textAlignment w:val="auto"/>
        <w:rPr>
          <w:rFonts w:hint="eastAsia" w:ascii="方正仿宋_GBK" w:hAnsi="方正仿宋_GBK" w:eastAsia="方正仿宋_GBK" w:cs="方正仿宋_GBK"/>
          <w:color w:val="auto"/>
          <w:sz w:val="28"/>
          <w:szCs w:val="28"/>
          <w:highlight w:val="none"/>
          <w:lang w:val="en-US" w:eastAsia="zh-CN"/>
        </w:rPr>
      </w:pPr>
      <w:r>
        <w:rPr>
          <w:rFonts w:hint="eastAsia" w:ascii="宋体" w:hAnsi="宋体" w:eastAsia="宋体" w:cs="宋体"/>
          <w:color w:val="auto"/>
          <w:kern w:val="0"/>
          <w:sz w:val="24"/>
          <w:szCs w:val="24"/>
          <w:highlight w:val="none"/>
          <w:lang w:val="zh-CN"/>
        </w:rPr>
        <w:t>日 期：</w:t>
      </w:r>
      <w:r>
        <w:rPr>
          <w:rFonts w:hint="eastAsia" w:ascii="宋体" w:hAnsi="宋体" w:eastAsia="宋体" w:cs="宋体"/>
          <w:color w:val="auto"/>
          <w:kern w:val="0"/>
          <w:sz w:val="24"/>
          <w:szCs w:val="24"/>
          <w:highlight w:val="none"/>
        </w:rPr>
        <w:t>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3081C3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00" w:firstLineChars="200"/>
        <w:jc w:val="left"/>
        <w:textAlignment w:val="auto"/>
        <w:rPr>
          <w:rFonts w:hint="eastAsia" w:ascii="宋体" w:hAnsi="宋体" w:eastAsia="宋体" w:cs="宋体"/>
          <w:color w:val="auto"/>
          <w:sz w:val="20"/>
          <w:szCs w:val="20"/>
          <w:highlight w:val="none"/>
          <w:lang w:val="en-US" w:eastAsia="zh-CN"/>
        </w:rPr>
      </w:pPr>
    </w:p>
    <w:p w14:paraId="4920A432">
      <w:pPr>
        <w:rPr>
          <w:rFonts w:hint="eastAsia" w:ascii="宋体" w:hAnsi="宋体" w:eastAsia="宋体" w:cs="宋体"/>
          <w:b w:val="0"/>
          <w:bCs w:val="0"/>
          <w:color w:val="auto"/>
          <w:sz w:val="20"/>
          <w:szCs w:val="20"/>
          <w:highlight w:val="none"/>
        </w:rPr>
      </w:pPr>
    </w:p>
    <w:p w14:paraId="29270D21">
      <w:pPr>
        <w:rPr>
          <w:rFonts w:hint="eastAsia" w:ascii="宋体" w:hAnsi="宋体"/>
          <w:b w:val="0"/>
          <w:bCs w:val="0"/>
          <w:color w:val="auto"/>
          <w:sz w:val="44"/>
          <w:szCs w:val="44"/>
          <w:highlight w:val="none"/>
        </w:rPr>
      </w:pPr>
      <w:r>
        <w:rPr>
          <w:rFonts w:hint="eastAsia" w:ascii="宋体" w:hAnsi="宋体"/>
          <w:b w:val="0"/>
          <w:bCs w:val="0"/>
          <w:color w:val="auto"/>
          <w:sz w:val="44"/>
          <w:szCs w:val="44"/>
          <w:highlight w:val="none"/>
        </w:rPr>
        <w:br w:type="page"/>
      </w:r>
    </w:p>
    <w:bookmarkEnd w:id="638"/>
    <w:bookmarkEnd w:id="639"/>
    <w:bookmarkEnd w:id="640"/>
    <w:bookmarkEnd w:id="641"/>
    <w:bookmarkEnd w:id="642"/>
    <w:p w14:paraId="67F31E7A">
      <w:pPr>
        <w:pStyle w:val="4"/>
        <w:spacing w:before="0" w:line="360" w:lineRule="auto"/>
        <w:jc w:val="center"/>
        <w:outlineLvl w:val="1"/>
        <w:rPr>
          <w:rFonts w:ascii="宋体" w:hAnsi="宋体" w:cs="宋体"/>
          <w:b w:val="0"/>
          <w:bCs w:val="0"/>
          <w:color w:val="auto"/>
          <w:highlight w:val="none"/>
        </w:rPr>
      </w:pPr>
      <w:bookmarkStart w:id="643" w:name="_Toc57796011"/>
      <w:bookmarkStart w:id="644" w:name="_Toc224103510"/>
      <w:bookmarkStart w:id="645" w:name="_Toc430530545"/>
      <w:bookmarkStart w:id="646" w:name="_Toc287620829"/>
      <w:bookmarkStart w:id="647" w:name="_Toc277082656"/>
      <w:bookmarkStart w:id="648" w:name="_Toc287607882"/>
      <w:bookmarkStart w:id="649" w:name="_Toc7209"/>
      <w:r>
        <w:rPr>
          <w:rFonts w:ascii="宋体" w:hAnsi="宋体" w:cs="宋体"/>
          <w:b w:val="0"/>
          <w:bCs w:val="0"/>
          <w:color w:val="auto"/>
          <w:highlight w:val="none"/>
        </w:rPr>
        <w:t>（</w:t>
      </w:r>
      <w:r>
        <w:rPr>
          <w:rFonts w:hint="eastAsia" w:ascii="宋体" w:hAnsi="宋体" w:cs="宋体"/>
          <w:b w:val="0"/>
          <w:bCs w:val="0"/>
          <w:color w:val="auto"/>
          <w:highlight w:val="none"/>
        </w:rPr>
        <w:t>四</w:t>
      </w:r>
      <w:r>
        <w:rPr>
          <w:rFonts w:ascii="宋体" w:hAnsi="宋体" w:cs="宋体"/>
          <w:b w:val="0"/>
          <w:bCs w:val="0"/>
          <w:color w:val="auto"/>
          <w:highlight w:val="none"/>
        </w:rPr>
        <w:t>）</w:t>
      </w:r>
      <w:r>
        <w:rPr>
          <w:rFonts w:hint="eastAsia" w:ascii="宋体" w:hAnsi="宋体" w:cs="宋体"/>
          <w:b w:val="0"/>
          <w:bCs w:val="0"/>
          <w:color w:val="auto"/>
          <w:highlight w:val="none"/>
        </w:rPr>
        <w:t>低价风险担保</w:t>
      </w:r>
      <w:r>
        <w:rPr>
          <w:rFonts w:hint="eastAsia" w:ascii="宋体" w:hAnsi="宋体" w:cs="宋体"/>
          <w:b w:val="0"/>
          <w:bCs w:val="0"/>
          <w:color w:val="auto"/>
          <w:highlight w:val="none"/>
          <w:lang w:val="en-US" w:eastAsia="zh-CN"/>
        </w:rPr>
        <w:t>提交</w:t>
      </w:r>
      <w:r>
        <w:rPr>
          <w:rFonts w:hint="eastAsia" w:ascii="宋体" w:hAnsi="宋体" w:cs="宋体"/>
          <w:b w:val="0"/>
          <w:bCs w:val="0"/>
          <w:color w:val="auto"/>
          <w:highlight w:val="none"/>
        </w:rPr>
        <w:t>承诺书</w:t>
      </w:r>
      <w:bookmarkEnd w:id="643"/>
    </w:p>
    <w:p w14:paraId="53595E65">
      <w:pPr>
        <w:autoSpaceDE w:val="0"/>
        <w:autoSpaceDN w:val="0"/>
        <w:adjustRightInd w:val="0"/>
        <w:snapToGrid w:val="0"/>
        <w:spacing w:line="360" w:lineRule="auto"/>
        <w:jc w:val="center"/>
        <w:outlineLvl w:val="1"/>
        <w:rPr>
          <w:rFonts w:hint="eastAsia" w:ascii="宋体" w:hAnsi="宋体"/>
          <w:snapToGrid w:val="0"/>
          <w:color w:val="auto"/>
          <w:kern w:val="0"/>
          <w:sz w:val="28"/>
          <w:szCs w:val="28"/>
          <w:highlight w:val="none"/>
        </w:rPr>
      </w:pPr>
      <w:r>
        <w:rPr>
          <w:rFonts w:hint="eastAsia" w:ascii="宋体" w:hAnsi="宋体"/>
          <w:snapToGrid w:val="0"/>
          <w:color w:val="auto"/>
          <w:kern w:val="0"/>
          <w:sz w:val="28"/>
          <w:szCs w:val="28"/>
          <w:highlight w:val="none"/>
        </w:rPr>
        <w:t>（投标报价低于招标项目最高限价的85%时采用）</w:t>
      </w:r>
    </w:p>
    <w:p w14:paraId="56C8E623">
      <w:pPr>
        <w:autoSpaceDE w:val="0"/>
        <w:autoSpaceDN w:val="0"/>
        <w:adjustRightInd w:val="0"/>
        <w:snapToGrid w:val="0"/>
        <w:spacing w:line="360" w:lineRule="auto"/>
        <w:jc w:val="center"/>
        <w:rPr>
          <w:rFonts w:ascii="宋体" w:hAnsi="宋体"/>
          <w:snapToGrid w:val="0"/>
          <w:color w:val="auto"/>
          <w:kern w:val="0"/>
          <w:sz w:val="32"/>
          <w:szCs w:val="32"/>
          <w:highlight w:val="none"/>
        </w:rPr>
      </w:pPr>
    </w:p>
    <w:p w14:paraId="32C67E9E">
      <w:pPr>
        <w:autoSpaceDE w:val="0"/>
        <w:autoSpaceDN w:val="0"/>
        <w:adjustRightInd w:val="0"/>
        <w:snapToGrid w:val="0"/>
        <w:spacing w:line="360" w:lineRule="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u w:val="single"/>
          <w:lang w:eastAsia="zh-CN"/>
        </w:rPr>
        <w:t>比选人</w:t>
      </w:r>
      <w:r>
        <w:rPr>
          <w:rFonts w:hint="eastAsia" w:ascii="宋体" w:hAnsi="宋体" w:cs="宋体"/>
          <w:snapToGrid w:val="0"/>
          <w:color w:val="auto"/>
          <w:kern w:val="0"/>
          <w:szCs w:val="21"/>
          <w:highlight w:val="none"/>
          <w:u w:val="single"/>
        </w:rPr>
        <w:t>名称）</w:t>
      </w:r>
      <w:r>
        <w:rPr>
          <w:rFonts w:hint="eastAsia" w:ascii="宋体" w:hAnsi="宋体" w:cs="宋体"/>
          <w:snapToGrid w:val="0"/>
          <w:color w:val="auto"/>
          <w:kern w:val="0"/>
          <w:szCs w:val="21"/>
          <w:highlight w:val="none"/>
        </w:rPr>
        <w:t>：</w:t>
      </w:r>
    </w:p>
    <w:p w14:paraId="6DB7B71D">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我公司</w:t>
      </w:r>
      <w:r>
        <w:rPr>
          <w:rFonts w:hint="eastAsia" w:ascii="宋体" w:hAnsi="宋体" w:cs="宋体"/>
          <w:snapToGrid w:val="0"/>
          <w:color w:val="auto"/>
          <w:kern w:val="0"/>
          <w:szCs w:val="21"/>
          <w:highlight w:val="none"/>
          <w:u w:val="single"/>
        </w:rPr>
        <w:t xml:space="preserve">        （投标人名称）</w:t>
      </w:r>
      <w:r>
        <w:rPr>
          <w:rFonts w:hint="eastAsia" w:ascii="宋体" w:hAnsi="宋体" w:cs="宋体"/>
          <w:snapToGrid w:val="0"/>
          <w:color w:val="auto"/>
          <w:kern w:val="0"/>
          <w:szCs w:val="21"/>
          <w:highlight w:val="none"/>
        </w:rPr>
        <w:t>参加了你</w:t>
      </w:r>
      <w:r>
        <w:rPr>
          <w:rFonts w:hint="eastAsia" w:ascii="宋体" w:hAnsi="宋体" w:cs="宋体"/>
          <w:snapToGrid w:val="0"/>
          <w:color w:val="auto"/>
          <w:kern w:val="0"/>
          <w:szCs w:val="21"/>
          <w:highlight w:val="none"/>
          <w:lang w:eastAsia="zh-CN"/>
        </w:rPr>
        <w:t>单位</w:t>
      </w:r>
      <w:r>
        <w:rPr>
          <w:rFonts w:hint="eastAsia" w:ascii="宋体" w:hAnsi="宋体" w:cs="宋体"/>
          <w:snapToGrid w:val="0"/>
          <w:color w:val="auto"/>
          <w:kern w:val="0"/>
          <w:szCs w:val="21"/>
          <w:highlight w:val="none"/>
          <w:u w:val="single"/>
        </w:rPr>
        <w:t xml:space="preserve">        （项目名称）</w:t>
      </w:r>
      <w:r>
        <w:rPr>
          <w:rFonts w:hint="eastAsia" w:ascii="宋体" w:hAnsi="宋体" w:cs="宋体"/>
          <w:snapToGrid w:val="0"/>
          <w:color w:val="auto"/>
          <w:kern w:val="0"/>
          <w:szCs w:val="21"/>
          <w:highlight w:val="none"/>
        </w:rPr>
        <w:t>的投标。我公司投标报价低于最高限价85</w:t>
      </w:r>
      <w:r>
        <w:rPr>
          <w:rFonts w:ascii="宋体" w:hAnsi="宋体" w:cs="宋体"/>
          <w:snapToGrid w:val="0"/>
          <w:color w:val="auto"/>
          <w:kern w:val="0"/>
          <w:szCs w:val="21"/>
          <w:highlight w:val="none"/>
        </w:rPr>
        <w:t>%</w:t>
      </w:r>
      <w:r>
        <w:rPr>
          <w:rFonts w:hint="eastAsia" w:ascii="宋体" w:hAnsi="宋体" w:cs="宋体"/>
          <w:snapToGrid w:val="0"/>
          <w:color w:val="auto"/>
          <w:kern w:val="0"/>
          <w:szCs w:val="21"/>
          <w:highlight w:val="none"/>
        </w:rPr>
        <w:t>，若获得中标资格，我公司承诺按照招标文件的规定递交低价风险担保。</w:t>
      </w:r>
      <w:r>
        <w:rPr>
          <w:rFonts w:hint="eastAsia" w:ascii="宋体" w:hAnsi="宋体" w:cs="宋体"/>
          <w:snapToGrid w:val="0"/>
          <w:color w:val="auto"/>
          <w:kern w:val="0"/>
          <w:szCs w:val="21"/>
          <w:highlight w:val="none"/>
          <w:lang w:val="en-US" w:eastAsia="zh-CN"/>
        </w:rPr>
        <w:t>同时，我公司</w:t>
      </w:r>
      <w:r>
        <w:rPr>
          <w:rFonts w:hint="eastAsia" w:ascii="宋体" w:hAnsi="宋体" w:cs="宋体"/>
          <w:snapToGrid w:val="0"/>
          <w:color w:val="auto"/>
          <w:kern w:val="0"/>
          <w:szCs w:val="21"/>
          <w:highlight w:val="none"/>
        </w:rPr>
        <w:t>已落实低价风险担保</w:t>
      </w:r>
      <w:r>
        <w:rPr>
          <w:rFonts w:hint="eastAsia" w:ascii="宋体" w:hAnsi="宋体" w:cs="宋体"/>
          <w:snapToGrid w:val="0"/>
          <w:color w:val="auto"/>
          <w:kern w:val="0"/>
          <w:szCs w:val="21"/>
          <w:highlight w:val="none"/>
          <w:lang w:val="en-US" w:eastAsia="zh-CN"/>
        </w:rPr>
        <w:t>的提交</w:t>
      </w:r>
      <w:r>
        <w:rPr>
          <w:rFonts w:hint="eastAsia" w:ascii="宋体" w:hAnsi="宋体" w:cs="宋体"/>
          <w:snapToGrid w:val="0"/>
          <w:color w:val="auto"/>
          <w:kern w:val="0"/>
          <w:szCs w:val="21"/>
          <w:highlight w:val="none"/>
        </w:rPr>
        <w:t>方案，承诺</w:t>
      </w:r>
      <w:r>
        <w:rPr>
          <w:rFonts w:hint="eastAsia" w:ascii="宋体" w:hAnsi="宋体" w:cs="宋体"/>
          <w:snapToGrid w:val="0"/>
          <w:color w:val="auto"/>
          <w:kern w:val="0"/>
          <w:szCs w:val="21"/>
          <w:highlight w:val="none"/>
          <w:lang w:val="en-US" w:eastAsia="zh-CN"/>
        </w:rPr>
        <w:t>如</w:t>
      </w:r>
      <w:r>
        <w:rPr>
          <w:rFonts w:hint="eastAsia" w:ascii="宋体" w:hAnsi="宋体" w:cs="宋体"/>
          <w:snapToGrid w:val="0"/>
          <w:color w:val="auto"/>
          <w:kern w:val="0"/>
          <w:szCs w:val="21"/>
          <w:highlight w:val="none"/>
        </w:rPr>
        <w:t>采用保函</w:t>
      </w:r>
      <w:r>
        <w:rPr>
          <w:rFonts w:hint="eastAsia" w:ascii="宋体" w:hAnsi="宋体" w:cs="宋体"/>
          <w:snapToGrid w:val="0"/>
          <w:color w:val="auto"/>
          <w:kern w:val="0"/>
          <w:szCs w:val="21"/>
          <w:highlight w:val="none"/>
          <w:lang w:val="en-US" w:eastAsia="zh-CN"/>
        </w:rPr>
        <w:t>形式提交低价风险担保</w:t>
      </w:r>
      <w:r>
        <w:rPr>
          <w:rFonts w:hint="eastAsia" w:ascii="宋体" w:hAnsi="宋体" w:cs="宋体"/>
          <w:snapToGrid w:val="0"/>
          <w:color w:val="auto"/>
          <w:kern w:val="0"/>
          <w:szCs w:val="21"/>
          <w:highlight w:val="none"/>
        </w:rPr>
        <w:t>，保函</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格式和内容符合招标文件</w:t>
      </w:r>
      <w:r>
        <w:rPr>
          <w:rFonts w:hint="eastAsia" w:ascii="宋体" w:hAnsi="宋体" w:cs="宋体"/>
          <w:snapToGrid w:val="0"/>
          <w:color w:val="auto"/>
          <w:kern w:val="0"/>
          <w:szCs w:val="21"/>
          <w:highlight w:val="none"/>
          <w:lang w:val="en-US" w:eastAsia="zh-CN"/>
        </w:rPr>
        <w:t>的</w:t>
      </w:r>
      <w:r>
        <w:rPr>
          <w:rFonts w:hint="eastAsia" w:ascii="宋体" w:hAnsi="宋体" w:cs="宋体"/>
          <w:snapToGrid w:val="0"/>
          <w:color w:val="auto"/>
          <w:kern w:val="0"/>
          <w:szCs w:val="21"/>
          <w:highlight w:val="none"/>
        </w:rPr>
        <w:t>要求</w:t>
      </w:r>
      <w:r>
        <w:rPr>
          <w:rFonts w:hint="eastAsia" w:ascii="宋体" w:hAnsi="宋体" w:cs="宋体"/>
          <w:snapToGrid w:val="0"/>
          <w:color w:val="auto"/>
          <w:kern w:val="0"/>
          <w:szCs w:val="21"/>
          <w:highlight w:val="none"/>
          <w:lang w:eastAsia="zh-CN"/>
        </w:rPr>
        <w:t>。</w:t>
      </w:r>
      <w:r>
        <w:rPr>
          <w:rFonts w:hint="eastAsia" w:ascii="宋体" w:hAnsi="宋体" w:cs="宋体"/>
          <w:snapToGrid w:val="0"/>
          <w:color w:val="auto"/>
          <w:kern w:val="0"/>
          <w:szCs w:val="21"/>
          <w:highlight w:val="none"/>
        </w:rPr>
        <w:t>否则，我公司愿承担招标文件中约定的，因未按规定递交低价风险担保的相应责任。</w:t>
      </w:r>
    </w:p>
    <w:p w14:paraId="0C171603">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p>
    <w:p w14:paraId="7F594F9C">
      <w:pPr>
        <w:autoSpaceDE w:val="0"/>
        <w:autoSpaceDN w:val="0"/>
        <w:adjustRightInd w:val="0"/>
        <w:snapToGrid w:val="0"/>
        <w:spacing w:line="360" w:lineRule="auto"/>
        <w:ind w:firstLine="420" w:firstLineChars="200"/>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特此承诺。</w:t>
      </w:r>
    </w:p>
    <w:p w14:paraId="3E82C061">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42B247BC">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2157FCC3">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2B0AE68E">
      <w:pPr>
        <w:autoSpaceDE w:val="0"/>
        <w:autoSpaceDN w:val="0"/>
        <w:adjustRightInd w:val="0"/>
        <w:snapToGrid w:val="0"/>
        <w:spacing w:line="360" w:lineRule="auto"/>
        <w:rPr>
          <w:rFonts w:hint="eastAsia" w:ascii="宋体" w:hAnsi="宋体" w:cs="宋体"/>
          <w:snapToGrid w:val="0"/>
          <w:color w:val="auto"/>
          <w:kern w:val="0"/>
          <w:sz w:val="32"/>
          <w:szCs w:val="32"/>
          <w:highlight w:val="none"/>
        </w:rPr>
      </w:pPr>
    </w:p>
    <w:p w14:paraId="354C6A71">
      <w:pPr>
        <w:autoSpaceDE w:val="0"/>
        <w:autoSpaceDN w:val="0"/>
        <w:adjustRightInd w:val="0"/>
        <w:snapToGrid w:val="0"/>
        <w:spacing w:line="360" w:lineRule="auto"/>
        <w:rPr>
          <w:rFonts w:ascii="宋体" w:hAnsi="宋体" w:cs="宋体"/>
          <w:snapToGrid w:val="0"/>
          <w:color w:val="auto"/>
          <w:kern w:val="0"/>
          <w:sz w:val="32"/>
          <w:szCs w:val="32"/>
          <w:highlight w:val="none"/>
        </w:rPr>
      </w:pPr>
    </w:p>
    <w:p w14:paraId="06F288D3">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28ADA54A">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lang w:eastAsia="zh-CN"/>
        </w:rPr>
        <w:t>签名</w:t>
      </w:r>
      <w:r>
        <w:rPr>
          <w:rFonts w:ascii="宋体" w:hAnsi="宋体"/>
          <w:color w:val="auto"/>
          <w:kern w:val="0"/>
          <w:szCs w:val="21"/>
          <w:highlight w:val="none"/>
        </w:rPr>
        <w:t>或盖章）</w:t>
      </w:r>
    </w:p>
    <w:p w14:paraId="142A3D47">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p>
    <w:p w14:paraId="7846B2ED">
      <w:pPr>
        <w:tabs>
          <w:tab w:val="left" w:pos="3840"/>
          <w:tab w:val="left" w:pos="4780"/>
          <w:tab w:val="left" w:pos="5720"/>
        </w:tabs>
        <w:autoSpaceDE w:val="0"/>
        <w:autoSpaceDN w:val="0"/>
        <w:adjustRightInd w:val="0"/>
        <w:snapToGrid w:val="0"/>
        <w:spacing w:before="156" w:beforeLines="50" w:line="360" w:lineRule="auto"/>
        <w:ind w:right="420" w:firstLine="5565" w:firstLineChars="2650"/>
        <w:jc w:val="right"/>
        <w:rPr>
          <w:rFonts w:ascii="宋体" w:hAnsi="宋体"/>
          <w:snapToGrid w:val="0"/>
          <w:color w:val="auto"/>
          <w:kern w:val="0"/>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517AAEAE">
      <w:pPr>
        <w:rPr>
          <w:rFonts w:hint="eastAsia" w:ascii="宋体" w:hAnsi="宋体"/>
          <w:b w:val="0"/>
          <w:bCs w:val="0"/>
          <w:color w:val="auto"/>
          <w:sz w:val="44"/>
          <w:szCs w:val="44"/>
          <w:highlight w:val="none"/>
          <w:lang w:val="en-US" w:eastAsia="zh-CN"/>
        </w:rPr>
      </w:pPr>
      <w:r>
        <w:rPr>
          <w:rFonts w:hint="eastAsia" w:ascii="宋体" w:hAnsi="宋体"/>
          <w:b w:val="0"/>
          <w:bCs w:val="0"/>
          <w:color w:val="auto"/>
          <w:sz w:val="44"/>
          <w:szCs w:val="44"/>
          <w:highlight w:val="none"/>
          <w:lang w:val="en-US" w:eastAsia="zh-CN"/>
        </w:rPr>
        <w:br w:type="page"/>
      </w:r>
    </w:p>
    <w:p w14:paraId="3A484D24">
      <w:pPr>
        <w:pStyle w:val="3"/>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w:t>
      </w:r>
      <w:bookmarkEnd w:id="644"/>
      <w:bookmarkEnd w:id="645"/>
      <w:bookmarkEnd w:id="646"/>
      <w:bookmarkEnd w:id="647"/>
      <w:bookmarkEnd w:id="648"/>
      <w:r>
        <w:rPr>
          <w:rFonts w:hint="eastAsia" w:ascii="宋体" w:hAnsi="宋体"/>
          <w:b w:val="0"/>
          <w:bCs w:val="0"/>
          <w:color w:val="auto"/>
          <w:sz w:val="44"/>
          <w:szCs w:val="44"/>
          <w:highlight w:val="none"/>
        </w:rPr>
        <w:t>资格审查部分</w:t>
      </w:r>
      <w:bookmarkEnd w:id="649"/>
    </w:p>
    <w:p w14:paraId="362D2A76">
      <w:pPr>
        <w:spacing w:line="360" w:lineRule="auto"/>
        <w:jc w:val="center"/>
        <w:rPr>
          <w:rFonts w:ascii="宋体" w:hAnsi="宋体"/>
          <w:color w:val="auto"/>
          <w:kern w:val="0"/>
          <w:sz w:val="32"/>
          <w:szCs w:val="32"/>
          <w:highlight w:val="none"/>
        </w:rPr>
      </w:pPr>
      <w:r>
        <w:rPr>
          <w:rFonts w:ascii="宋体" w:hAnsi="宋体"/>
          <w:color w:val="auto"/>
          <w:sz w:val="32"/>
          <w:szCs w:val="32"/>
          <w:highlight w:val="none"/>
        </w:rPr>
        <w:br w:type="page"/>
      </w:r>
      <w:r>
        <w:rPr>
          <w:rFonts w:hint="eastAsia" w:ascii="宋体" w:hAnsi="宋体"/>
          <w:color w:val="auto"/>
          <w:kern w:val="0"/>
          <w:sz w:val="32"/>
          <w:szCs w:val="32"/>
          <w:highlight w:val="none"/>
          <w:u w:val="single"/>
        </w:rPr>
        <w:t xml:space="preserve">                   （项目名称）</w:t>
      </w:r>
    </w:p>
    <w:p w14:paraId="27304011">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200B973C">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E0A4B34">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14:paraId="1F394140">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14:paraId="5CAF922B">
      <w:pPr>
        <w:autoSpaceDE w:val="0"/>
        <w:autoSpaceDN w:val="0"/>
        <w:adjustRightInd w:val="0"/>
        <w:snapToGrid w:val="0"/>
        <w:spacing w:line="360" w:lineRule="auto"/>
        <w:jc w:val="left"/>
        <w:rPr>
          <w:rFonts w:ascii="宋体" w:hAnsi="宋体"/>
          <w:color w:val="auto"/>
          <w:kern w:val="0"/>
          <w:sz w:val="16"/>
          <w:szCs w:val="16"/>
          <w:highlight w:val="none"/>
        </w:rPr>
      </w:pPr>
    </w:p>
    <w:p w14:paraId="6EF91189">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14:paraId="3594FCD5">
      <w:pPr>
        <w:autoSpaceDE w:val="0"/>
        <w:autoSpaceDN w:val="0"/>
        <w:adjustRightInd w:val="0"/>
        <w:snapToGrid w:val="0"/>
        <w:spacing w:line="360" w:lineRule="auto"/>
        <w:jc w:val="left"/>
        <w:rPr>
          <w:rFonts w:ascii="宋体" w:hAnsi="宋体" w:cs="MingLiU"/>
          <w:color w:val="auto"/>
          <w:kern w:val="0"/>
          <w:sz w:val="20"/>
          <w:szCs w:val="20"/>
          <w:highlight w:val="none"/>
        </w:rPr>
      </w:pPr>
    </w:p>
    <w:p w14:paraId="70AEF795">
      <w:pPr>
        <w:adjustRightInd w:val="0"/>
        <w:snapToGrid w:val="0"/>
        <w:spacing w:line="264" w:lineRule="auto"/>
        <w:rPr>
          <w:rFonts w:ascii="宋体" w:hAnsi="宋体"/>
          <w:color w:val="auto"/>
          <w:szCs w:val="21"/>
          <w:highlight w:val="none"/>
        </w:rPr>
      </w:pPr>
    </w:p>
    <w:p w14:paraId="52F804E4">
      <w:pPr>
        <w:autoSpaceDE w:val="0"/>
        <w:autoSpaceDN w:val="0"/>
        <w:adjustRightInd w:val="0"/>
        <w:snapToGrid w:val="0"/>
        <w:spacing w:line="360" w:lineRule="auto"/>
        <w:jc w:val="left"/>
        <w:rPr>
          <w:rFonts w:ascii="宋体" w:hAnsi="宋体" w:cs="MingLiU"/>
          <w:color w:val="auto"/>
          <w:kern w:val="0"/>
          <w:sz w:val="20"/>
          <w:szCs w:val="20"/>
          <w:highlight w:val="none"/>
        </w:rPr>
      </w:pPr>
    </w:p>
    <w:p w14:paraId="5A33EFA6">
      <w:pPr>
        <w:autoSpaceDE w:val="0"/>
        <w:autoSpaceDN w:val="0"/>
        <w:adjustRightInd w:val="0"/>
        <w:snapToGrid w:val="0"/>
        <w:spacing w:line="360" w:lineRule="auto"/>
        <w:jc w:val="left"/>
        <w:rPr>
          <w:rFonts w:ascii="宋体" w:hAnsi="宋体" w:cs="MingLiU"/>
          <w:color w:val="auto"/>
          <w:kern w:val="0"/>
          <w:sz w:val="20"/>
          <w:szCs w:val="20"/>
          <w:highlight w:val="none"/>
        </w:rPr>
      </w:pPr>
    </w:p>
    <w:p w14:paraId="45DD21FD">
      <w:pPr>
        <w:autoSpaceDE w:val="0"/>
        <w:autoSpaceDN w:val="0"/>
        <w:adjustRightInd w:val="0"/>
        <w:snapToGrid w:val="0"/>
        <w:spacing w:line="360" w:lineRule="auto"/>
        <w:jc w:val="left"/>
        <w:rPr>
          <w:rFonts w:ascii="宋体" w:hAnsi="宋体" w:cs="MingLiU"/>
          <w:color w:val="auto"/>
          <w:kern w:val="0"/>
          <w:sz w:val="20"/>
          <w:szCs w:val="20"/>
          <w:highlight w:val="none"/>
        </w:rPr>
      </w:pPr>
    </w:p>
    <w:p w14:paraId="3A181EDD">
      <w:pPr>
        <w:autoSpaceDE w:val="0"/>
        <w:autoSpaceDN w:val="0"/>
        <w:adjustRightInd w:val="0"/>
        <w:snapToGrid w:val="0"/>
        <w:spacing w:line="360" w:lineRule="auto"/>
        <w:jc w:val="left"/>
        <w:rPr>
          <w:rFonts w:ascii="宋体" w:hAnsi="宋体" w:cs="MingLiU"/>
          <w:color w:val="auto"/>
          <w:kern w:val="0"/>
          <w:sz w:val="20"/>
          <w:szCs w:val="20"/>
          <w:highlight w:val="none"/>
        </w:rPr>
      </w:pPr>
    </w:p>
    <w:p w14:paraId="171063F1">
      <w:pPr>
        <w:autoSpaceDE w:val="0"/>
        <w:autoSpaceDN w:val="0"/>
        <w:adjustRightInd w:val="0"/>
        <w:snapToGrid w:val="0"/>
        <w:spacing w:line="360" w:lineRule="auto"/>
        <w:jc w:val="left"/>
        <w:rPr>
          <w:rFonts w:ascii="宋体" w:hAnsi="宋体" w:cs="MingLiU"/>
          <w:color w:val="auto"/>
          <w:kern w:val="0"/>
          <w:sz w:val="20"/>
          <w:szCs w:val="20"/>
          <w:highlight w:val="none"/>
        </w:rPr>
      </w:pPr>
    </w:p>
    <w:p w14:paraId="2FBDECC6">
      <w:pPr>
        <w:autoSpaceDE w:val="0"/>
        <w:autoSpaceDN w:val="0"/>
        <w:adjustRightInd w:val="0"/>
        <w:snapToGrid w:val="0"/>
        <w:spacing w:line="360" w:lineRule="auto"/>
        <w:jc w:val="left"/>
        <w:rPr>
          <w:rFonts w:ascii="宋体" w:hAnsi="宋体" w:cs="MingLiU"/>
          <w:color w:val="auto"/>
          <w:kern w:val="0"/>
          <w:sz w:val="20"/>
          <w:szCs w:val="20"/>
          <w:highlight w:val="none"/>
        </w:rPr>
      </w:pPr>
    </w:p>
    <w:p w14:paraId="573002FE">
      <w:pPr>
        <w:autoSpaceDE w:val="0"/>
        <w:autoSpaceDN w:val="0"/>
        <w:adjustRightInd w:val="0"/>
        <w:snapToGrid w:val="0"/>
        <w:spacing w:line="360" w:lineRule="auto"/>
        <w:jc w:val="left"/>
        <w:rPr>
          <w:rFonts w:ascii="宋体" w:hAnsi="宋体" w:cs="MingLiU"/>
          <w:color w:val="auto"/>
          <w:kern w:val="0"/>
          <w:sz w:val="20"/>
          <w:szCs w:val="20"/>
          <w:highlight w:val="none"/>
        </w:rPr>
      </w:pPr>
    </w:p>
    <w:p w14:paraId="68DAB40A">
      <w:pPr>
        <w:autoSpaceDE w:val="0"/>
        <w:autoSpaceDN w:val="0"/>
        <w:adjustRightInd w:val="0"/>
        <w:snapToGrid w:val="0"/>
        <w:spacing w:line="360" w:lineRule="auto"/>
        <w:jc w:val="left"/>
        <w:rPr>
          <w:rFonts w:ascii="宋体" w:hAnsi="宋体" w:cs="MingLiU"/>
          <w:color w:val="auto"/>
          <w:kern w:val="0"/>
          <w:sz w:val="20"/>
          <w:szCs w:val="20"/>
          <w:highlight w:val="none"/>
        </w:rPr>
      </w:pPr>
    </w:p>
    <w:p w14:paraId="7E7E9E4C">
      <w:pPr>
        <w:autoSpaceDE w:val="0"/>
        <w:autoSpaceDN w:val="0"/>
        <w:adjustRightInd w:val="0"/>
        <w:snapToGrid w:val="0"/>
        <w:spacing w:line="360" w:lineRule="auto"/>
        <w:jc w:val="left"/>
        <w:rPr>
          <w:rFonts w:ascii="宋体" w:hAnsi="宋体" w:cs="MingLiU"/>
          <w:color w:val="auto"/>
          <w:kern w:val="0"/>
          <w:sz w:val="20"/>
          <w:szCs w:val="20"/>
          <w:highlight w:val="none"/>
        </w:rPr>
      </w:pPr>
    </w:p>
    <w:p w14:paraId="486BC139">
      <w:pPr>
        <w:autoSpaceDE w:val="0"/>
        <w:autoSpaceDN w:val="0"/>
        <w:adjustRightInd w:val="0"/>
        <w:snapToGrid w:val="0"/>
        <w:spacing w:line="360" w:lineRule="auto"/>
        <w:jc w:val="left"/>
        <w:rPr>
          <w:rFonts w:ascii="宋体" w:hAnsi="宋体" w:cs="MingLiU"/>
          <w:color w:val="auto"/>
          <w:kern w:val="0"/>
          <w:sz w:val="20"/>
          <w:szCs w:val="20"/>
          <w:highlight w:val="none"/>
        </w:rPr>
      </w:pPr>
    </w:p>
    <w:p w14:paraId="375C994B">
      <w:pPr>
        <w:autoSpaceDE w:val="0"/>
        <w:autoSpaceDN w:val="0"/>
        <w:adjustRightInd w:val="0"/>
        <w:snapToGrid w:val="0"/>
        <w:spacing w:line="360" w:lineRule="auto"/>
        <w:jc w:val="left"/>
        <w:rPr>
          <w:rFonts w:ascii="宋体" w:hAnsi="宋体" w:cs="MingLiU"/>
          <w:color w:val="auto"/>
          <w:kern w:val="0"/>
          <w:sz w:val="20"/>
          <w:szCs w:val="20"/>
          <w:highlight w:val="none"/>
        </w:rPr>
      </w:pPr>
    </w:p>
    <w:p w14:paraId="3574714D">
      <w:pPr>
        <w:autoSpaceDE w:val="0"/>
        <w:autoSpaceDN w:val="0"/>
        <w:adjustRightInd w:val="0"/>
        <w:snapToGrid w:val="0"/>
        <w:spacing w:line="360" w:lineRule="auto"/>
        <w:jc w:val="left"/>
        <w:rPr>
          <w:rFonts w:ascii="宋体" w:hAnsi="宋体" w:cs="MingLiU"/>
          <w:color w:val="auto"/>
          <w:kern w:val="0"/>
          <w:sz w:val="20"/>
          <w:szCs w:val="20"/>
          <w:highlight w:val="none"/>
        </w:rPr>
      </w:pPr>
    </w:p>
    <w:p w14:paraId="487719A5">
      <w:pPr>
        <w:autoSpaceDE w:val="0"/>
        <w:autoSpaceDN w:val="0"/>
        <w:adjustRightInd w:val="0"/>
        <w:snapToGrid w:val="0"/>
        <w:spacing w:line="360" w:lineRule="auto"/>
        <w:jc w:val="left"/>
        <w:rPr>
          <w:rFonts w:ascii="宋体" w:hAnsi="宋体" w:cs="MingLiU"/>
          <w:color w:val="auto"/>
          <w:kern w:val="0"/>
          <w:sz w:val="20"/>
          <w:szCs w:val="20"/>
          <w:highlight w:val="none"/>
        </w:rPr>
      </w:pPr>
    </w:p>
    <w:p w14:paraId="6886E662">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14:paraId="691243CF">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w:t>
      </w:r>
      <w:r>
        <w:rPr>
          <w:rFonts w:hint="eastAsia" w:ascii="宋体" w:hAnsi="宋体"/>
          <w:color w:val="auto"/>
          <w:w w:val="99"/>
          <w:kern w:val="0"/>
          <w:sz w:val="28"/>
          <w:szCs w:val="28"/>
          <w:highlight w:val="none"/>
        </w:rPr>
        <w:t>签名</w:t>
      </w:r>
      <w:r>
        <w:rPr>
          <w:rFonts w:ascii="宋体" w:hAnsi="宋体"/>
          <w:color w:val="auto"/>
          <w:w w:val="99"/>
          <w:kern w:val="0"/>
          <w:sz w:val="28"/>
          <w:szCs w:val="28"/>
          <w:highlight w:val="none"/>
        </w:rPr>
        <w:t>或盖章）</w:t>
      </w:r>
    </w:p>
    <w:p w14:paraId="488A05FC">
      <w:pPr>
        <w:tabs>
          <w:tab w:val="left" w:pos="3280"/>
          <w:tab w:val="left" w:pos="4680"/>
          <w:tab w:val="left" w:pos="608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14:paraId="72D80236">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br w:type="page"/>
      </w:r>
    </w:p>
    <w:p w14:paraId="1B9422CB">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14:paraId="0EBC47EC">
      <w:pPr>
        <w:spacing w:line="360" w:lineRule="auto"/>
        <w:jc w:val="center"/>
        <w:rPr>
          <w:rFonts w:ascii="宋体" w:hAnsi="宋体"/>
          <w:b/>
          <w:color w:val="auto"/>
          <w:kern w:val="0"/>
          <w:sz w:val="32"/>
          <w:szCs w:val="32"/>
          <w:highlight w:val="none"/>
        </w:rPr>
      </w:pPr>
    </w:p>
    <w:p w14:paraId="6722DBD9">
      <w:pPr>
        <w:spacing w:line="360" w:lineRule="auto"/>
        <w:ind w:firstLine="420" w:firstLineChars="200"/>
        <w:rPr>
          <w:rFonts w:ascii="宋体" w:hAnsi="宋体"/>
          <w:color w:val="auto"/>
          <w:highlight w:val="none"/>
        </w:rPr>
      </w:pPr>
      <w:r>
        <w:rPr>
          <w:rFonts w:ascii="宋体" w:hAnsi="宋体"/>
          <w:color w:val="auto"/>
          <w:highlight w:val="none"/>
        </w:rPr>
        <w:t>（一）</w:t>
      </w:r>
      <w:r>
        <w:rPr>
          <w:rFonts w:hint="eastAsia" w:ascii="宋体" w:hAnsi="宋体"/>
          <w:color w:val="auto"/>
          <w:highlight w:val="none"/>
        </w:rPr>
        <w:t>法定代表人身份证明或附有法定代表人身份证明的授权委托书</w:t>
      </w:r>
    </w:p>
    <w:p w14:paraId="430D925A">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二</w:t>
      </w:r>
      <w:r>
        <w:rPr>
          <w:rFonts w:ascii="宋体" w:hAnsi="宋体"/>
          <w:color w:val="auto"/>
          <w:highlight w:val="none"/>
        </w:rPr>
        <w:t>）</w:t>
      </w:r>
      <w:r>
        <w:rPr>
          <w:rFonts w:hint="eastAsia" w:ascii="宋体" w:hAnsi="宋体"/>
          <w:b w:val="0"/>
          <w:bCs w:val="0"/>
          <w:color w:val="auto"/>
          <w:highlight w:val="none"/>
          <w:lang w:val="en-US" w:eastAsia="zh-CN"/>
        </w:rPr>
        <w:t>资质要求及营业执照</w:t>
      </w:r>
    </w:p>
    <w:p w14:paraId="55735CBE">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（三）</w:t>
      </w:r>
      <w:r>
        <w:rPr>
          <w:rFonts w:hint="eastAsia" w:ascii="宋体" w:hAnsi="宋体" w:eastAsia="宋体" w:cs="Times New Roman"/>
          <w:color w:val="auto"/>
          <w:highlight w:val="none"/>
          <w:lang w:val="en-US" w:eastAsia="zh-CN"/>
        </w:rPr>
        <w:t>质量及保供</w:t>
      </w:r>
      <w:r>
        <w:rPr>
          <w:rFonts w:hint="eastAsia" w:ascii="宋体" w:hAnsi="宋体" w:eastAsia="宋体" w:cs="Times New Roman"/>
          <w:color w:val="auto"/>
          <w:highlight w:val="none"/>
        </w:rPr>
        <w:t>要求</w:t>
      </w:r>
    </w:p>
    <w:p w14:paraId="49C38B42">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（四）</w:t>
      </w:r>
      <w:r>
        <w:rPr>
          <w:rFonts w:hint="eastAsia" w:ascii="宋体" w:hAnsi="宋体" w:eastAsia="宋体" w:cs="Times New Roman"/>
          <w:color w:val="auto"/>
          <w:highlight w:val="none"/>
          <w:lang w:val="en-US" w:eastAsia="zh-CN"/>
        </w:rPr>
        <w:t>供货业绩要求</w:t>
      </w:r>
    </w:p>
    <w:p w14:paraId="465F2EDE">
      <w:pPr>
        <w:spacing w:line="360" w:lineRule="auto"/>
        <w:ind w:firstLine="420" w:firstLineChars="200"/>
        <w:rPr>
          <w:rFonts w:hint="default" w:ascii="宋体" w:hAnsi="宋体" w:eastAsia="宋体" w:cs="Times New Roman"/>
          <w:color w:val="auto"/>
          <w:highlight w:val="none"/>
          <w:lang w:val="en-US" w:eastAsia="zh-CN"/>
        </w:rPr>
      </w:pPr>
      <w:r>
        <w:rPr>
          <w:rFonts w:hint="eastAsia" w:ascii="宋体" w:hAnsi="宋体" w:cs="Times New Roman"/>
          <w:color w:val="auto"/>
          <w:highlight w:val="none"/>
          <w:lang w:val="en-US" w:eastAsia="zh-CN"/>
        </w:rPr>
        <w:t>（五）财务能力要求</w:t>
      </w:r>
    </w:p>
    <w:p w14:paraId="598BF2D5">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六</w:t>
      </w:r>
      <w:r>
        <w:rPr>
          <w:rFonts w:hint="eastAsia" w:ascii="宋体" w:hAnsi="宋体" w:eastAsia="宋体" w:cs="Times New Roman"/>
          <w:color w:val="auto"/>
          <w:highlight w:val="none"/>
        </w:rPr>
        <w:t>）承诺</w:t>
      </w:r>
    </w:p>
    <w:p w14:paraId="3DD896B0">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w:t>
      </w:r>
      <w:r>
        <w:rPr>
          <w:rFonts w:hint="eastAsia" w:ascii="宋体" w:hAnsi="宋体" w:cs="Times New Roman"/>
          <w:color w:val="auto"/>
          <w:highlight w:val="none"/>
          <w:lang w:val="en-US" w:eastAsia="zh-CN"/>
        </w:rPr>
        <w:t>七</w:t>
      </w:r>
      <w:r>
        <w:rPr>
          <w:rFonts w:hint="eastAsia" w:ascii="宋体" w:hAnsi="宋体" w:eastAsia="宋体" w:cs="Times New Roman"/>
          <w:color w:val="auto"/>
          <w:highlight w:val="none"/>
        </w:rPr>
        <w:t>）其他资料</w:t>
      </w:r>
    </w:p>
    <w:p w14:paraId="6793C7AA">
      <w:pPr>
        <w:spacing w:line="360" w:lineRule="auto"/>
        <w:ind w:firstLine="420" w:firstLineChars="200"/>
        <w:rPr>
          <w:color w:val="auto"/>
          <w:highlight w:val="none"/>
        </w:rPr>
      </w:pPr>
    </w:p>
    <w:p w14:paraId="64994FF3">
      <w:pPr>
        <w:spacing w:line="360" w:lineRule="auto"/>
        <w:jc w:val="center"/>
        <w:rPr>
          <w:rFonts w:ascii="宋体" w:hAnsi="宋体"/>
          <w:b/>
          <w:color w:val="auto"/>
          <w:kern w:val="0"/>
          <w:sz w:val="32"/>
          <w:szCs w:val="32"/>
          <w:highlight w:val="none"/>
        </w:rPr>
      </w:pPr>
    </w:p>
    <w:p w14:paraId="5192647B">
      <w:pPr>
        <w:spacing w:line="360" w:lineRule="auto"/>
        <w:jc w:val="center"/>
        <w:rPr>
          <w:rFonts w:ascii="宋体" w:hAnsi="宋体"/>
          <w:b/>
          <w:color w:val="auto"/>
          <w:kern w:val="0"/>
          <w:sz w:val="32"/>
          <w:szCs w:val="32"/>
          <w:highlight w:val="none"/>
        </w:rPr>
      </w:pPr>
    </w:p>
    <w:p w14:paraId="48C8F8E6">
      <w:pPr>
        <w:pStyle w:val="4"/>
        <w:jc w:val="center"/>
        <w:rPr>
          <w:rFonts w:ascii="宋体" w:hAnsi="宋体"/>
          <w:snapToGrid w:val="0"/>
          <w:color w:val="auto"/>
          <w:kern w:val="0"/>
          <w:sz w:val="30"/>
          <w:szCs w:val="30"/>
          <w:highlight w:val="none"/>
        </w:rPr>
      </w:pPr>
      <w:r>
        <w:rPr>
          <w:rFonts w:ascii="宋体" w:hAnsi="宋体"/>
          <w:color w:val="auto"/>
          <w:highlight w:val="none"/>
        </w:rPr>
        <w:br w:type="page"/>
      </w:r>
      <w:bookmarkStart w:id="650" w:name="_Toc5633"/>
      <w:bookmarkStart w:id="651" w:name="_Toc57905929"/>
      <w:bookmarkStart w:id="652" w:name="_Toc430530546"/>
      <w:bookmarkStart w:id="653" w:name="_Toc277082657"/>
      <w:bookmarkStart w:id="654" w:name="_Toc224103511"/>
      <w:bookmarkStart w:id="655" w:name="_Toc287620830"/>
      <w:bookmarkStart w:id="656" w:name="_Toc287607883"/>
      <w:r>
        <w:rPr>
          <w:color w:val="auto"/>
          <w:sz w:val="30"/>
          <w:szCs w:val="30"/>
          <w:highlight w:val="none"/>
        </w:rPr>
        <w:t>（一）</w:t>
      </w:r>
      <w:r>
        <w:rPr>
          <w:rFonts w:hint="eastAsia"/>
          <w:color w:val="auto"/>
          <w:sz w:val="30"/>
          <w:szCs w:val="30"/>
          <w:highlight w:val="none"/>
        </w:rPr>
        <w:t>法定代表人身份证明或附有法定代表人身份证明的授权委托书</w:t>
      </w:r>
      <w:bookmarkEnd w:id="650"/>
      <w:bookmarkEnd w:id="651"/>
    </w:p>
    <w:p w14:paraId="044953BA">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14:paraId="078BD346">
      <w:pPr>
        <w:spacing w:line="480" w:lineRule="auto"/>
        <w:jc w:val="center"/>
        <w:rPr>
          <w:rFonts w:ascii="宋体" w:hAnsi="宋体"/>
          <w:color w:val="auto"/>
          <w:highlight w:val="none"/>
        </w:rPr>
      </w:pPr>
    </w:p>
    <w:p w14:paraId="60B2D2B8">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6AB521BB">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34068CB5">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0D80617">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14:paraId="2CC9DD8D">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14:paraId="7B3B05DF">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14:paraId="59881D2C">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（投标人名称）</w:t>
      </w:r>
      <w:r>
        <w:rPr>
          <w:rFonts w:ascii="宋体" w:hAnsi="宋体"/>
          <w:color w:val="auto"/>
          <w:kern w:val="0"/>
          <w:szCs w:val="21"/>
          <w:highlight w:val="none"/>
        </w:rPr>
        <w:t>的法定代表人。</w:t>
      </w:r>
    </w:p>
    <w:p w14:paraId="3E92C8AE">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特此证明。</w:t>
      </w:r>
    </w:p>
    <w:p w14:paraId="6F853463">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附：法定代表人身份证复印件（双面）</w:t>
      </w:r>
    </w:p>
    <w:p w14:paraId="0FFA0552">
      <w:pPr>
        <w:autoSpaceDE w:val="0"/>
        <w:autoSpaceDN w:val="0"/>
        <w:adjustRightInd w:val="0"/>
        <w:snapToGrid w:val="0"/>
        <w:spacing w:line="360" w:lineRule="auto"/>
        <w:jc w:val="left"/>
        <w:rPr>
          <w:rFonts w:ascii="宋体" w:hAnsi="宋体"/>
          <w:color w:val="auto"/>
          <w:szCs w:val="21"/>
          <w:highlight w:val="none"/>
        </w:rPr>
      </w:pPr>
    </w:p>
    <w:p w14:paraId="27FCBF5F">
      <w:pPr>
        <w:pStyle w:val="18"/>
        <w:spacing w:after="0" w:line="360" w:lineRule="auto"/>
        <w:rPr>
          <w:rFonts w:ascii="宋体" w:hAnsi="宋体"/>
          <w:color w:val="auto"/>
          <w:szCs w:val="21"/>
          <w:highlight w:val="none"/>
        </w:rPr>
      </w:pPr>
    </w:p>
    <w:p w14:paraId="03FEF738">
      <w:pPr>
        <w:pStyle w:val="18"/>
        <w:spacing w:after="0" w:line="360" w:lineRule="auto"/>
        <w:rPr>
          <w:rFonts w:ascii="宋体" w:hAnsi="宋体"/>
          <w:color w:val="auto"/>
          <w:szCs w:val="21"/>
          <w:highlight w:val="none"/>
        </w:rPr>
      </w:pPr>
    </w:p>
    <w:p w14:paraId="400F00BE">
      <w:pPr>
        <w:pStyle w:val="18"/>
        <w:spacing w:after="0" w:line="360" w:lineRule="auto"/>
        <w:rPr>
          <w:rFonts w:ascii="宋体" w:hAnsi="宋体"/>
          <w:color w:val="auto"/>
          <w:szCs w:val="21"/>
          <w:highlight w:val="none"/>
        </w:rPr>
      </w:pPr>
    </w:p>
    <w:p w14:paraId="1D51B27B">
      <w:pPr>
        <w:pStyle w:val="18"/>
        <w:spacing w:after="0" w:line="360" w:lineRule="auto"/>
        <w:rPr>
          <w:rFonts w:ascii="宋体" w:hAnsi="宋体"/>
          <w:color w:val="auto"/>
          <w:szCs w:val="21"/>
          <w:highlight w:val="none"/>
        </w:rPr>
      </w:pPr>
    </w:p>
    <w:p w14:paraId="6766E2D7">
      <w:pPr>
        <w:pStyle w:val="18"/>
        <w:spacing w:after="0" w:line="360" w:lineRule="auto"/>
        <w:rPr>
          <w:rFonts w:ascii="宋体" w:hAnsi="宋体"/>
          <w:color w:val="auto"/>
          <w:szCs w:val="21"/>
          <w:highlight w:val="none"/>
        </w:rPr>
      </w:pPr>
    </w:p>
    <w:p w14:paraId="0E9226B6">
      <w:pPr>
        <w:autoSpaceDE w:val="0"/>
        <w:autoSpaceDN w:val="0"/>
        <w:adjustRightInd w:val="0"/>
        <w:snapToGrid w:val="0"/>
        <w:spacing w:line="480" w:lineRule="auto"/>
        <w:ind w:firstLine="810" w:firstLineChars="386"/>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14:paraId="7327F64E">
      <w:pPr>
        <w:autoSpaceDE w:val="0"/>
        <w:autoSpaceDN w:val="0"/>
        <w:adjustRightInd w:val="0"/>
        <w:snapToGrid w:val="0"/>
        <w:spacing w:line="480" w:lineRule="auto"/>
        <w:jc w:val="left"/>
        <w:rPr>
          <w:rFonts w:ascii="宋体" w:hAnsi="宋体"/>
          <w:color w:val="auto"/>
          <w:kern w:val="0"/>
          <w:sz w:val="20"/>
          <w:szCs w:val="20"/>
          <w:highlight w:val="none"/>
        </w:rPr>
      </w:pPr>
    </w:p>
    <w:p w14:paraId="515F5E37">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4A9D692E">
      <w:pPr>
        <w:autoSpaceDE w:val="0"/>
        <w:autoSpaceDN w:val="0"/>
        <w:adjustRightInd w:val="0"/>
        <w:snapToGrid w:val="0"/>
        <w:spacing w:line="360" w:lineRule="auto"/>
        <w:jc w:val="left"/>
        <w:rPr>
          <w:rFonts w:ascii="宋体" w:hAnsi="宋体"/>
          <w:color w:val="auto"/>
          <w:kern w:val="0"/>
          <w:highlight w:val="none"/>
        </w:rPr>
      </w:pPr>
    </w:p>
    <w:p w14:paraId="3A9AF0B1">
      <w:pPr>
        <w:autoSpaceDE w:val="0"/>
        <w:autoSpaceDN w:val="0"/>
        <w:adjustRightInd w:val="0"/>
        <w:snapToGrid w:val="0"/>
        <w:spacing w:line="360" w:lineRule="auto"/>
        <w:jc w:val="left"/>
        <w:rPr>
          <w:rFonts w:ascii="宋体" w:hAnsi="宋体"/>
          <w:color w:val="auto"/>
          <w:kern w:val="0"/>
          <w:highlight w:val="none"/>
        </w:rPr>
      </w:pPr>
    </w:p>
    <w:p w14:paraId="2EDEE8CA">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color w:val="auto"/>
          <w:highlight w:val="none"/>
        </w:rPr>
        <w:t>注：法定代表人身份证明需按上述格式填写完整，不可缺少内容。在此基础上增加内容的不影响其有效性</w:t>
      </w:r>
      <w:bookmarkEnd w:id="652"/>
      <w:bookmarkEnd w:id="653"/>
      <w:bookmarkEnd w:id="654"/>
      <w:bookmarkEnd w:id="655"/>
      <w:bookmarkEnd w:id="656"/>
      <w:r>
        <w:rPr>
          <w:rFonts w:hint="eastAsia" w:ascii="宋体" w:hAnsi="宋体"/>
          <w:color w:val="auto"/>
          <w:kern w:val="0"/>
          <w:szCs w:val="21"/>
          <w:highlight w:val="none"/>
        </w:rPr>
        <w:t>。</w:t>
      </w:r>
    </w:p>
    <w:p w14:paraId="0D8746DF">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14:paraId="5D6D982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ascii="宋体" w:hAnsi="宋体"/>
          <w:color w:val="auto"/>
          <w:spacing w:val="-1"/>
          <w:kern w:val="0"/>
          <w:szCs w:val="21"/>
          <w:highlight w:val="none"/>
          <w:u w:val="single"/>
        </w:rPr>
        <w:t>投</w:t>
      </w:r>
      <w:r>
        <w:rPr>
          <w:rFonts w:ascii="宋体" w:hAnsi="宋体"/>
          <w:color w:val="auto"/>
          <w:kern w:val="0"/>
          <w:szCs w:val="21"/>
          <w:highlight w:val="none"/>
          <w:u w:val="single"/>
        </w:rPr>
        <w:t>标人名称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 修改</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ascii="宋体" w:hAnsi="宋体"/>
          <w:color w:val="auto"/>
          <w:kern w:val="0"/>
          <w:szCs w:val="21"/>
          <w:highlight w:val="none"/>
        </w:rPr>
        <w:t>投标文件、签订合同和处理有关事宜， 其法律后果由我方承担。</w:t>
      </w:r>
    </w:p>
    <w:p w14:paraId="494463B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14:paraId="3D515EC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代理人无转委托权。</w:t>
      </w:r>
    </w:p>
    <w:p w14:paraId="06D71B5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p>
    <w:p w14:paraId="4D80D256">
      <w:pPr>
        <w:tabs>
          <w:tab w:val="left" w:pos="1680"/>
          <w:tab w:val="left" w:pos="4200"/>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3EBA2CBB">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4B726CBA">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015E5870">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w:t>
      </w:r>
    </w:p>
    <w:p w14:paraId="211AE6EE">
      <w:pPr>
        <w:tabs>
          <w:tab w:val="left" w:pos="6825"/>
        </w:tabs>
        <w:autoSpaceDE w:val="0"/>
        <w:autoSpaceDN w:val="0"/>
        <w:adjustRightInd w:val="0"/>
        <w:snapToGrid w:val="0"/>
        <w:spacing w:line="480" w:lineRule="auto"/>
        <w:ind w:firstLine="420" w:firstLineChars="200"/>
        <w:jc w:val="left"/>
        <w:rPr>
          <w:rFonts w:ascii="宋体" w:hAnsi="宋体"/>
          <w:color w:val="auto"/>
          <w:w w:val="200"/>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14:paraId="18C8D993">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14:paraId="6E9D32D6">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委托代理人电话（手机）：                                          </w:t>
      </w:r>
    </w:p>
    <w:p w14:paraId="14415B55">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附：法定代表人和委托代理人身份证复印件（双面）</w:t>
      </w:r>
    </w:p>
    <w:p w14:paraId="3A7B50F8">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E7F3098">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3153A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522D9E0F">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2201A96B">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w w:val="200"/>
          <w:kern w:val="0"/>
          <w:szCs w:val="21"/>
          <w:highlight w:val="none"/>
          <w:u w:val="single"/>
        </w:rPr>
      </w:pPr>
    </w:p>
    <w:p w14:paraId="3651D7A5">
      <w:pPr>
        <w:tabs>
          <w:tab w:val="left" w:pos="682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p>
    <w:p w14:paraId="3BA05C57">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14:paraId="1BF56F80">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p>
    <w:p w14:paraId="4122600F">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14:paraId="06090F31">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14:paraId="610558BA">
      <w:pPr>
        <w:autoSpaceDE w:val="0"/>
        <w:autoSpaceDN w:val="0"/>
        <w:adjustRightInd w:val="0"/>
        <w:snapToGrid w:val="0"/>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14:paraId="3A2D7BC0">
      <w:pPr>
        <w:autoSpaceDE w:val="0"/>
        <w:autoSpaceDN w:val="0"/>
        <w:adjustRightInd w:val="0"/>
        <w:snapToGrid w:val="0"/>
        <w:jc w:val="center"/>
        <w:rPr>
          <w:rFonts w:ascii="宋体" w:hAnsi="宋体"/>
          <w:color w:val="auto"/>
          <w:highlight w:val="none"/>
        </w:rPr>
      </w:pPr>
      <w:r>
        <w:rPr>
          <w:rFonts w:ascii="宋体" w:hAnsi="宋体"/>
          <w:color w:val="auto"/>
          <w:highlight w:val="none"/>
        </w:rPr>
        <w:br w:type="page"/>
      </w:r>
    </w:p>
    <w:p w14:paraId="43DDC23E">
      <w:pPr>
        <w:pStyle w:val="4"/>
        <w:spacing w:before="0" w:after="0" w:line="240" w:lineRule="auto"/>
        <w:jc w:val="center"/>
        <w:rPr>
          <w:rFonts w:hint="default" w:ascii="宋体" w:hAnsi="宋体" w:eastAsia="宋体"/>
          <w:color w:val="auto"/>
          <w:highlight w:val="none"/>
          <w:lang w:val="en-US" w:eastAsia="zh-CN"/>
        </w:rPr>
      </w:pPr>
      <w:bookmarkStart w:id="657" w:name="_Toc774"/>
      <w:bookmarkStart w:id="658" w:name="_Toc287607887"/>
      <w:bookmarkStart w:id="659" w:name="_Toc277082659"/>
      <w:r>
        <w:rPr>
          <w:rFonts w:hint="eastAsia" w:ascii="宋体" w:hAnsi="宋体"/>
          <w:b w:val="0"/>
          <w:bCs w:val="0"/>
          <w:color w:val="auto"/>
          <w:highlight w:val="none"/>
        </w:rPr>
        <w:t>（二）</w:t>
      </w:r>
      <w:bookmarkEnd w:id="657"/>
      <w:r>
        <w:rPr>
          <w:rFonts w:hint="eastAsia" w:ascii="宋体" w:hAnsi="宋体"/>
          <w:b w:val="0"/>
          <w:bCs w:val="0"/>
          <w:color w:val="auto"/>
          <w:highlight w:val="none"/>
          <w:lang w:val="en-US" w:eastAsia="zh-CN"/>
        </w:rPr>
        <w:t>资质要求及营业执照</w:t>
      </w:r>
    </w:p>
    <w:p w14:paraId="64F5354A">
      <w:pPr>
        <w:spacing w:line="360" w:lineRule="auto"/>
        <w:jc w:val="center"/>
        <w:rPr>
          <w:rFonts w:ascii="宋体" w:hAnsi="宋体"/>
          <w:color w:val="auto"/>
          <w:szCs w:val="21"/>
          <w:highlight w:val="none"/>
        </w:rPr>
      </w:pPr>
    </w:p>
    <w:p w14:paraId="6B0F313A">
      <w:pPr>
        <w:pStyle w:val="4"/>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60" w:name="_Toc509218863"/>
      <w:bookmarkStart w:id="661" w:name="_Toc8552"/>
      <w:bookmarkStart w:id="662" w:name="_Toc534185840"/>
      <w:r>
        <w:rPr>
          <w:rFonts w:hint="eastAsia" w:ascii="宋体" w:hAnsi="宋体"/>
          <w:b w:val="0"/>
          <w:bCs w:val="0"/>
          <w:color w:val="auto"/>
          <w:highlight w:val="none"/>
        </w:rPr>
        <w:t>（三）</w:t>
      </w:r>
      <w:bookmarkEnd w:id="660"/>
      <w:bookmarkEnd w:id="661"/>
      <w:bookmarkEnd w:id="662"/>
      <w:r>
        <w:rPr>
          <w:rFonts w:hint="eastAsia" w:ascii="宋体" w:hAnsi="宋体"/>
          <w:b w:val="0"/>
          <w:color w:val="auto"/>
          <w:highlight w:val="none"/>
          <w:lang w:val="en-US" w:eastAsia="zh-CN"/>
        </w:rPr>
        <w:t>质量及保供</w:t>
      </w:r>
      <w:r>
        <w:rPr>
          <w:rFonts w:hint="eastAsia" w:ascii="宋体" w:hAnsi="宋体"/>
          <w:b w:val="0"/>
          <w:color w:val="auto"/>
          <w:highlight w:val="none"/>
        </w:rPr>
        <w:t>要求</w:t>
      </w:r>
    </w:p>
    <w:p w14:paraId="76D8AA7B">
      <w:pPr>
        <w:spacing w:line="20" w:lineRule="exact"/>
        <w:jc w:val="center"/>
        <w:rPr>
          <w:rFonts w:ascii="宋体" w:hAnsi="宋体"/>
          <w:color w:val="auto"/>
          <w:szCs w:val="21"/>
          <w:highlight w:val="none"/>
        </w:rPr>
      </w:pPr>
    </w:p>
    <w:p w14:paraId="56B6B45F">
      <w:pPr>
        <w:keepNext/>
        <w:keepLines/>
        <w:widowControl w:val="0"/>
        <w:spacing w:before="20" w:after="0" w:line="412" w:lineRule="auto"/>
        <w:ind w:firstLine="118" w:firstLineChars="49"/>
        <w:jc w:val="center"/>
        <w:outlineLvl w:val="2"/>
        <w:rPr>
          <w:rFonts w:ascii="宋体" w:hAnsi="宋体" w:eastAsia="宋体" w:cs="宋体"/>
          <w:b/>
          <w:bCs/>
          <w:color w:val="auto"/>
          <w:kern w:val="0"/>
          <w:sz w:val="24"/>
          <w:szCs w:val="18"/>
          <w:highlight w:val="none"/>
          <w:lang w:val="en-US" w:eastAsia="zh-CN" w:bidi="ar-SA"/>
        </w:rPr>
      </w:pPr>
      <w:r>
        <w:rPr>
          <w:rFonts w:hint="eastAsia" w:ascii="宋体" w:hAnsi="宋体" w:eastAsia="宋体" w:cs="宋体"/>
          <w:b/>
          <w:bCs/>
          <w:color w:val="auto"/>
          <w:kern w:val="0"/>
          <w:sz w:val="24"/>
          <w:szCs w:val="18"/>
          <w:highlight w:val="none"/>
          <w:lang w:val="en-US" w:eastAsia="zh-CN" w:bidi="ar-SA"/>
        </w:rPr>
        <w:t>质量及保供承诺书</w:t>
      </w:r>
    </w:p>
    <w:p w14:paraId="3679CC67">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比选人</w:t>
      </w:r>
      <w:r>
        <w:rPr>
          <w:rFonts w:hint="eastAsia" w:ascii="宋体" w:hAnsi="宋体" w:eastAsia="宋体" w:cs="宋体"/>
          <w:color w:val="auto"/>
          <w:sz w:val="24"/>
          <w:szCs w:val="24"/>
          <w:highlight w:val="none"/>
          <w:u w:val="single"/>
        </w:rPr>
        <w:t xml:space="preserve">）        </w:t>
      </w:r>
    </w:p>
    <w:p w14:paraId="6BDCED0B">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我公司地址在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，库房（或厂家）设在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，常年备有充足的库存物资，保证在</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 xml:space="preserve">发出需求通知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内到达指定的施工地点。本次参加</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color w:val="auto"/>
          <w:sz w:val="24"/>
          <w:szCs w:val="24"/>
          <w:highlight w:val="none"/>
        </w:rPr>
        <w:t>的投标，现对所供应材料的质量标准均满足招标文件要求，对此质量标准作出真实性承诺。</w:t>
      </w:r>
    </w:p>
    <w:p w14:paraId="005C0FA5">
      <w:pPr>
        <w:spacing w:line="400" w:lineRule="exact"/>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1、我公司如提供虚假材料及作出虚假承诺，</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有权取消其投标资格或中标资格，扣除投标保证金；已签订合同的，</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有权解除合同、扣除履约保证金并追究违约责任的后果。</w:t>
      </w:r>
    </w:p>
    <w:p w14:paraId="282187B2">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2、若中标，我公司将严格按照招标文件要求，按照招标确定的统一单价和指定的供货地点按时按质量进行供货，满足贵方技术标准及材料使用要求。</w:t>
      </w:r>
    </w:p>
    <w:p w14:paraId="20364136">
      <w:pPr>
        <w:spacing w:line="40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3、我公司保证本项目所供材料均为原厂生产，绝不贴牌销售，否则</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有权解除合同、扣除履约保证金，并承诺赔偿由此给</w:t>
      </w:r>
      <w:r>
        <w:rPr>
          <w:rFonts w:hint="eastAsia" w:ascii="宋体" w:hAnsi="宋体" w:cs="宋体"/>
          <w:color w:val="auto"/>
          <w:sz w:val="24"/>
          <w:szCs w:val="24"/>
          <w:highlight w:val="none"/>
          <w:lang w:eastAsia="zh-CN"/>
        </w:rPr>
        <w:t>比选人</w:t>
      </w:r>
      <w:r>
        <w:rPr>
          <w:rFonts w:hint="eastAsia" w:ascii="宋体" w:hAnsi="宋体" w:eastAsia="宋体" w:cs="宋体"/>
          <w:color w:val="auto"/>
          <w:sz w:val="24"/>
          <w:szCs w:val="24"/>
          <w:highlight w:val="none"/>
        </w:rPr>
        <w:t>及施工单位带来的其他经济损失。</w:t>
      </w:r>
    </w:p>
    <w:p w14:paraId="68C47CB8">
      <w:pPr>
        <w:widowControl w:val="0"/>
        <w:spacing w:after="120" w:line="400" w:lineRule="exact"/>
        <w:ind w:left="0" w:leftChars="0" w:firstLine="42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4、若中标，我公司接受</w:t>
      </w:r>
      <w:r>
        <w:rPr>
          <w:rFonts w:hint="eastAsia" w:ascii="宋体" w:hAnsi="宋体" w:cs="宋体"/>
          <w:color w:val="auto"/>
          <w:kern w:val="2"/>
          <w:sz w:val="24"/>
          <w:szCs w:val="24"/>
          <w:highlight w:val="none"/>
          <w:lang w:val="en-US" w:eastAsia="zh-CN" w:bidi="ar-SA"/>
        </w:rPr>
        <w:t>比选人</w:t>
      </w:r>
      <w:r>
        <w:rPr>
          <w:rFonts w:hint="eastAsia" w:ascii="宋体" w:hAnsi="宋体" w:eastAsia="宋体" w:cs="宋体"/>
          <w:color w:val="auto"/>
          <w:kern w:val="2"/>
          <w:sz w:val="24"/>
          <w:szCs w:val="24"/>
          <w:highlight w:val="none"/>
          <w:lang w:val="en-US" w:eastAsia="zh-CN" w:bidi="ar-SA"/>
        </w:rPr>
        <w:t>对本项目合同履约情况的真实客观评价，若出现所供材料质量不合格、或逾期供货超过2次的，</w:t>
      </w:r>
      <w:r>
        <w:rPr>
          <w:rFonts w:hint="eastAsia" w:ascii="宋体" w:hAnsi="宋体" w:cs="宋体"/>
          <w:color w:val="auto"/>
          <w:kern w:val="2"/>
          <w:sz w:val="24"/>
          <w:szCs w:val="24"/>
          <w:highlight w:val="none"/>
          <w:lang w:val="en-US" w:eastAsia="zh-CN" w:bidi="ar-SA"/>
        </w:rPr>
        <w:t>比选人</w:t>
      </w:r>
      <w:r>
        <w:rPr>
          <w:rFonts w:hint="eastAsia" w:ascii="宋体" w:hAnsi="宋体" w:eastAsia="宋体" w:cs="宋体"/>
          <w:color w:val="auto"/>
          <w:kern w:val="2"/>
          <w:sz w:val="24"/>
          <w:szCs w:val="24"/>
          <w:highlight w:val="none"/>
          <w:lang w:val="en-US" w:eastAsia="zh-CN" w:bidi="ar-SA"/>
        </w:rPr>
        <w:t>有权解除合同并按合同条款赔偿由此造成的相关责任和损失。</w:t>
      </w:r>
    </w:p>
    <w:p w14:paraId="340CF5C8">
      <w:pPr>
        <w:widowControl w:val="0"/>
        <w:spacing w:after="120" w:line="400" w:lineRule="exact"/>
        <w:ind w:left="0" w:leftChars="0" w:firstLine="420" w:firstLineChars="0"/>
        <w:jc w:val="left"/>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5、我公司承诺提供的产品每批次抽检均满足《GB/T 1499.3-2022 钢筋混凝土用钢第3部分：钢筋焊接网》相关指标要求。</w:t>
      </w:r>
    </w:p>
    <w:p w14:paraId="4960A871">
      <w:pPr>
        <w:widowControl w:val="0"/>
        <w:spacing w:after="120" w:line="400" w:lineRule="exact"/>
        <w:ind w:left="0" w:leftChars="0" w:firstLine="420" w:firstLineChars="0"/>
        <w:jc w:val="left"/>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特此承诺</w:t>
      </w:r>
    </w:p>
    <w:p w14:paraId="11FA7455">
      <w:pPr>
        <w:widowControl w:val="0"/>
        <w:spacing w:after="120"/>
        <w:ind w:left="420" w:leftChars="200" w:firstLine="420" w:firstLineChars="200"/>
        <w:jc w:val="both"/>
        <w:rPr>
          <w:rFonts w:ascii="Calibri" w:hAnsi="Calibri" w:eastAsia="宋体" w:cs="Times New Roman"/>
          <w:color w:val="auto"/>
          <w:kern w:val="2"/>
          <w:sz w:val="21"/>
          <w:szCs w:val="22"/>
          <w:highlight w:val="none"/>
          <w:lang w:val="en-US" w:eastAsia="zh-CN" w:bidi="ar-SA"/>
        </w:rPr>
      </w:pPr>
    </w:p>
    <w:p w14:paraId="634CCFA2">
      <w:pPr>
        <w:spacing w:line="360" w:lineRule="auto"/>
        <w:ind w:firstLine="420" w:firstLineChars="200"/>
        <w:rPr>
          <w:rFonts w:ascii="宋体" w:hAnsi="宋体" w:eastAsia="宋体" w:cs="宋体"/>
          <w:color w:val="auto"/>
          <w:szCs w:val="21"/>
          <w:highlight w:val="none"/>
        </w:rPr>
      </w:pPr>
    </w:p>
    <w:p w14:paraId="0A5DA626">
      <w:pPr>
        <w:widowControl w:val="0"/>
        <w:autoSpaceDE w:val="0"/>
        <w:autoSpaceDN w:val="0"/>
        <w:adjustRightInd w:val="0"/>
        <w:rPr>
          <w:rFonts w:ascii="Times New Roman" w:hAnsi="Times New Roman" w:eastAsia="宋体" w:cs="Times New Roman"/>
          <w:color w:val="auto"/>
          <w:sz w:val="24"/>
          <w:szCs w:val="24"/>
          <w:highlight w:val="none"/>
          <w:lang w:val="en-US" w:eastAsia="zh-CN" w:bidi="ar-SA"/>
        </w:rPr>
      </w:pPr>
    </w:p>
    <w:p w14:paraId="5A81045F">
      <w:pPr>
        <w:spacing w:line="360" w:lineRule="auto"/>
        <w:ind w:firstLine="42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w:t>
      </w:r>
      <w:r>
        <w:rPr>
          <w:rFonts w:hint="eastAsia" w:ascii="宋体" w:hAnsi="宋体" w:eastAsia="宋体" w:cs="宋体"/>
          <w:color w:val="auto"/>
          <w:sz w:val="24"/>
          <w:szCs w:val="24"/>
          <w:highlight w:val="none"/>
          <w:u w:val="single"/>
        </w:rPr>
        <w:t xml:space="preserve">                  （全称）（盖章）</w:t>
      </w:r>
      <w:r>
        <w:rPr>
          <w:rFonts w:hint="eastAsia" w:ascii="宋体" w:hAnsi="宋体" w:eastAsia="宋体" w:cs="宋体"/>
          <w:color w:val="auto"/>
          <w:sz w:val="24"/>
          <w:szCs w:val="24"/>
          <w:highlight w:val="none"/>
        </w:rPr>
        <w:t xml:space="preserve"> </w:t>
      </w:r>
    </w:p>
    <w:p w14:paraId="4990CC66">
      <w:pPr>
        <w:spacing w:line="360" w:lineRule="auto"/>
        <w:ind w:firstLine="420"/>
        <w:jc w:val="righ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法定代表人或其授权的代理人:</w:t>
      </w:r>
      <w:r>
        <w:rPr>
          <w:rFonts w:hint="eastAsia" w:ascii="宋体" w:hAnsi="宋体" w:eastAsia="宋体" w:cs="宋体"/>
          <w:color w:val="auto"/>
          <w:sz w:val="24"/>
          <w:szCs w:val="24"/>
          <w:highlight w:val="none"/>
          <w:u w:val="single"/>
        </w:rPr>
        <w:t xml:space="preserve">       （签字）</w:t>
      </w:r>
    </w:p>
    <w:p w14:paraId="7AFF5B06">
      <w:pPr>
        <w:autoSpaceDE w:val="0"/>
        <w:autoSpaceDN w:val="0"/>
        <w:adjustRightInd w:val="0"/>
        <w:snapToGrid w:val="0"/>
        <w:spacing w:line="400" w:lineRule="exact"/>
        <w:ind w:firstLine="480" w:firstLineChars="200"/>
        <w:jc w:val="center"/>
        <w:rPr>
          <w:rFonts w:ascii="宋体" w:hAnsi="宋体"/>
          <w:b/>
          <w:color w:val="auto"/>
          <w:szCs w:val="21"/>
          <w:highlight w:val="none"/>
        </w:rPr>
      </w:pPr>
      <w:r>
        <w:rPr>
          <w:rFonts w:hint="eastAsia" w:ascii="宋体" w:hAnsi="宋体" w:eastAsia="宋体" w:cs="宋体"/>
          <w:color w:val="auto"/>
          <w:sz w:val="24"/>
          <w:szCs w:val="24"/>
          <w:highlight w:val="none"/>
        </w:rPr>
        <w:t xml:space="preserve">     年   月   日</w:t>
      </w:r>
      <w:r>
        <w:rPr>
          <w:rFonts w:ascii="宋体" w:hAnsi="宋体"/>
          <w:color w:val="auto"/>
          <w:highlight w:val="none"/>
        </w:rPr>
        <w:br w:type="page"/>
      </w:r>
      <w:bookmarkEnd w:id="658"/>
      <w:bookmarkEnd w:id="659"/>
      <w:bookmarkStart w:id="663" w:name="_Toc30367"/>
      <w:r>
        <w:rPr>
          <w:rFonts w:hint="eastAsia" w:ascii="宋体" w:hAnsi="宋体" w:eastAsia="宋体" w:cs="Times New Roman"/>
          <w:b w:val="0"/>
          <w:bCs w:val="0"/>
          <w:color w:val="auto"/>
          <w:kern w:val="2"/>
          <w:sz w:val="32"/>
          <w:szCs w:val="32"/>
          <w:highlight w:val="none"/>
          <w:lang w:val="en-US" w:eastAsia="zh-CN" w:bidi="ar-SA"/>
        </w:rPr>
        <w:t>（四）</w:t>
      </w:r>
      <w:bookmarkEnd w:id="663"/>
      <w:r>
        <w:rPr>
          <w:rFonts w:hint="eastAsia" w:ascii="宋体" w:hAnsi="宋体" w:eastAsia="宋体" w:cs="Times New Roman"/>
          <w:b w:val="0"/>
          <w:bCs w:val="0"/>
          <w:color w:val="auto"/>
          <w:kern w:val="2"/>
          <w:sz w:val="32"/>
          <w:szCs w:val="32"/>
          <w:highlight w:val="none"/>
          <w:lang w:val="en-US" w:eastAsia="zh-CN" w:bidi="ar-SA"/>
        </w:rPr>
        <w:t>供货业绩要求</w:t>
      </w:r>
    </w:p>
    <w:p w14:paraId="0FE06B77">
      <w:pPr>
        <w:pStyle w:val="4"/>
        <w:spacing w:before="0" w:after="0" w:line="240" w:lineRule="auto"/>
        <w:jc w:val="center"/>
        <w:outlineLvl w:val="9"/>
        <w:rPr>
          <w:rFonts w:ascii="宋体" w:hAnsi="宋体"/>
          <w:color w:val="auto"/>
          <w:highlight w:val="none"/>
        </w:rPr>
      </w:pPr>
    </w:p>
    <w:p w14:paraId="4E098A9B">
      <w:pPr>
        <w:spacing w:line="360" w:lineRule="auto"/>
        <w:rPr>
          <w:rFonts w:ascii="宋体" w:hAnsi="宋体"/>
          <w:color w:val="auto"/>
          <w:highlight w:val="none"/>
        </w:rPr>
      </w:pPr>
      <w:bookmarkStart w:id="664" w:name="_Toc224103515"/>
    </w:p>
    <w:p w14:paraId="71B754FD">
      <w:pPr>
        <w:rPr>
          <w:rFonts w:ascii="宋体" w:hAnsi="宋体"/>
          <w:color w:val="auto"/>
          <w:highlight w:val="none"/>
        </w:rPr>
      </w:pPr>
      <w:bookmarkStart w:id="665" w:name="_Toc534185841"/>
      <w:bookmarkStart w:id="666" w:name="_Toc509218864"/>
      <w:bookmarkStart w:id="667" w:name="_Toc277082660"/>
      <w:bookmarkStart w:id="668" w:name="_Toc287607888"/>
      <w:bookmarkStart w:id="669" w:name="_Toc430530550"/>
      <w:bookmarkStart w:id="670" w:name="_Toc287620834"/>
      <w:r>
        <w:rPr>
          <w:rFonts w:hint="eastAsia" w:ascii="宋体" w:hAnsi="宋体"/>
          <w:color w:val="auto"/>
          <w:highlight w:val="none"/>
        </w:rPr>
        <w:br w:type="page"/>
      </w:r>
    </w:p>
    <w:bookmarkEnd w:id="664"/>
    <w:bookmarkEnd w:id="665"/>
    <w:bookmarkEnd w:id="666"/>
    <w:bookmarkEnd w:id="667"/>
    <w:bookmarkEnd w:id="668"/>
    <w:bookmarkEnd w:id="669"/>
    <w:bookmarkEnd w:id="670"/>
    <w:p w14:paraId="72B3406A">
      <w:pPr>
        <w:spacing w:line="360" w:lineRule="auto"/>
        <w:ind w:firstLine="640" w:firstLineChars="200"/>
        <w:jc w:val="center"/>
        <w:rPr>
          <w:rFonts w:hint="eastAsia" w:ascii="宋体" w:hAnsi="宋体" w:eastAsia="宋体" w:cs="Times New Roman"/>
          <w:bCs/>
          <w:color w:val="auto"/>
          <w:sz w:val="32"/>
          <w:szCs w:val="32"/>
          <w:highlight w:val="none"/>
          <w:lang w:val="en-US" w:eastAsia="zh-CN"/>
        </w:rPr>
      </w:pPr>
      <w:bookmarkStart w:id="671" w:name="_Toc224103520"/>
      <w:bookmarkStart w:id="672" w:name="_Toc287607893"/>
      <w:bookmarkStart w:id="673" w:name="_Toc509218866"/>
      <w:bookmarkStart w:id="674" w:name="_Toc430530552"/>
      <w:bookmarkStart w:id="675" w:name="_Toc287620839"/>
      <w:bookmarkStart w:id="676" w:name="_Toc277082663"/>
      <w:bookmarkStart w:id="677" w:name="_Toc534185843"/>
      <w:bookmarkStart w:id="678" w:name="_Toc16306"/>
      <w:r>
        <w:rPr>
          <w:rFonts w:hint="eastAsia" w:ascii="宋体" w:hAnsi="宋体" w:eastAsia="宋体" w:cs="Times New Roman"/>
          <w:bCs/>
          <w:color w:val="auto"/>
          <w:sz w:val="32"/>
          <w:szCs w:val="32"/>
          <w:highlight w:val="none"/>
          <w:lang w:val="en-US" w:eastAsia="zh-CN"/>
        </w:rPr>
        <w:t>（</w:t>
      </w:r>
      <w:r>
        <w:rPr>
          <w:rFonts w:hint="eastAsia" w:ascii="宋体" w:hAnsi="宋体" w:cs="Times New Roman"/>
          <w:bCs/>
          <w:color w:val="auto"/>
          <w:sz w:val="32"/>
          <w:szCs w:val="32"/>
          <w:highlight w:val="none"/>
          <w:lang w:val="en-US" w:eastAsia="zh-CN"/>
        </w:rPr>
        <w:t>五</w:t>
      </w:r>
      <w:r>
        <w:rPr>
          <w:rFonts w:hint="eastAsia" w:ascii="宋体" w:hAnsi="宋体" w:eastAsia="宋体" w:cs="Times New Roman"/>
          <w:bCs/>
          <w:color w:val="auto"/>
          <w:sz w:val="32"/>
          <w:szCs w:val="32"/>
          <w:highlight w:val="none"/>
          <w:lang w:val="en-US" w:eastAsia="zh-CN"/>
        </w:rPr>
        <w:t>）财务能力要求</w:t>
      </w:r>
    </w:p>
    <w:p w14:paraId="50D1A6B1">
      <w:pPr>
        <w:rPr>
          <w:rFonts w:ascii="宋体" w:hAnsi="宋体"/>
          <w:b w:val="0"/>
          <w:color w:val="auto"/>
          <w:highlight w:val="none"/>
        </w:rPr>
      </w:pPr>
      <w:r>
        <w:rPr>
          <w:rFonts w:ascii="宋体" w:hAnsi="宋体"/>
          <w:b w:val="0"/>
          <w:color w:val="auto"/>
          <w:highlight w:val="none"/>
        </w:rPr>
        <w:br w:type="page"/>
      </w:r>
    </w:p>
    <w:p w14:paraId="319CF81F">
      <w:pPr>
        <w:pStyle w:val="4"/>
        <w:spacing w:before="0" w:line="360" w:lineRule="auto"/>
        <w:jc w:val="center"/>
        <w:rPr>
          <w:rFonts w:ascii="宋体" w:hAnsi="宋体"/>
          <w:b w:val="0"/>
          <w:color w:val="auto"/>
          <w:highlight w:val="none"/>
        </w:rPr>
      </w:pPr>
      <w:r>
        <w:rPr>
          <w:rFonts w:ascii="宋体" w:hAnsi="宋体"/>
          <w:b w:val="0"/>
          <w:color w:val="auto"/>
          <w:highlight w:val="none"/>
        </w:rPr>
        <w:t>（</w:t>
      </w:r>
      <w:r>
        <w:rPr>
          <w:rFonts w:hint="eastAsia" w:ascii="宋体" w:hAnsi="宋体"/>
          <w:b w:val="0"/>
          <w:color w:val="auto"/>
          <w:highlight w:val="none"/>
          <w:lang w:val="en-US" w:eastAsia="zh-CN"/>
        </w:rPr>
        <w:t>六</w:t>
      </w:r>
      <w:r>
        <w:rPr>
          <w:rFonts w:ascii="宋体" w:hAnsi="宋体"/>
          <w:b w:val="0"/>
          <w:color w:val="auto"/>
          <w:highlight w:val="none"/>
        </w:rPr>
        <w:t>）</w:t>
      </w:r>
      <w:bookmarkEnd w:id="671"/>
      <w:bookmarkEnd w:id="672"/>
      <w:bookmarkEnd w:id="673"/>
      <w:bookmarkEnd w:id="674"/>
      <w:bookmarkEnd w:id="675"/>
      <w:bookmarkEnd w:id="676"/>
      <w:bookmarkEnd w:id="677"/>
      <w:r>
        <w:rPr>
          <w:rFonts w:hint="eastAsia" w:ascii="宋体" w:hAnsi="宋体"/>
          <w:b w:val="0"/>
          <w:color w:val="auto"/>
          <w:highlight w:val="none"/>
        </w:rPr>
        <w:t>承诺</w:t>
      </w:r>
      <w:bookmarkEnd w:id="678"/>
    </w:p>
    <w:p w14:paraId="36D2972B">
      <w:pPr>
        <w:snapToGrid w:val="0"/>
        <w:spacing w:line="400" w:lineRule="exact"/>
        <w:rPr>
          <w:rFonts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比选人</w:t>
      </w:r>
      <w:r>
        <w:rPr>
          <w:rFonts w:hint="eastAsia" w:ascii="宋体" w:hAnsi="宋体"/>
          <w:color w:val="auto"/>
          <w:szCs w:val="21"/>
          <w:highlight w:val="none"/>
          <w:u w:val="single"/>
        </w:rPr>
        <w:t>名称）</w:t>
      </w:r>
      <w:r>
        <w:rPr>
          <w:rFonts w:hint="eastAsia" w:ascii="宋体" w:hAnsi="宋体"/>
          <w:color w:val="auto"/>
          <w:szCs w:val="21"/>
          <w:highlight w:val="none"/>
        </w:rPr>
        <w:t>：</w:t>
      </w:r>
    </w:p>
    <w:p w14:paraId="7A53DB2F">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14:paraId="47E14664">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14:paraId="38D0EA94">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（1）被人民法院列入失信被执行人名单且在被执行期内；</w:t>
      </w:r>
    </w:p>
    <w:p w14:paraId="494F0B02">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14:paraId="5B632C4C">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（3）被列入《重庆市工程建设领域招标投标信用管理暂行办法》规定的重庆市工程建设领域招标投标失信惩戒对象名单且在记分有效期内；</w:t>
      </w:r>
    </w:p>
    <w:p w14:paraId="59C4D4CE">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14:paraId="591EB3BA">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14:paraId="1FB60498">
      <w:pPr>
        <w:snapToGrid w:val="0"/>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w:t>
      </w:r>
      <w:r>
        <w:rPr>
          <w:rFonts w:hint="eastAsia" w:ascii="宋体" w:hAnsi="宋体" w:eastAsia="宋体" w:cs="Times New Roman"/>
          <w:snapToGrid/>
          <w:color w:val="auto"/>
          <w:kern w:val="2"/>
          <w:szCs w:val="21"/>
          <w:highlight w:val="none"/>
        </w:rPr>
        <w:t>近三年无因自身履约问题而引起的法律诉讼、没有与骗取合同有关的犯罪或严重违法行为，不在其他项目中有未履约行为的</w:t>
      </w:r>
      <w:r>
        <w:rPr>
          <w:rFonts w:hint="eastAsia" w:ascii="宋体" w:hAnsi="宋体" w:eastAsia="宋体" w:cs="Times New Roman"/>
          <w:snapToGrid/>
          <w:color w:val="auto"/>
          <w:kern w:val="2"/>
          <w:szCs w:val="21"/>
          <w:highlight w:val="none"/>
          <w:lang w:eastAsia="zh-CN"/>
        </w:rPr>
        <w:t>。</w:t>
      </w:r>
    </w:p>
    <w:p w14:paraId="075B328A">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我公司在资格审查部分中提供的相关证明材料真实有效，不存在弄虚作假情形。贵单位在合同签订前均有权对我公司提供的资料进行核实，若发现弄虚作假，取消我公司中标资格，并按相关法律法规报招标投标监督部门，投标保证金不予退还，我公司自愿承担因此造成的相关责任并赔偿相应损失。</w:t>
      </w:r>
    </w:p>
    <w:p w14:paraId="783D2C0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、我公司不存在第二章“投标人须知”第 1.4.3 项规定的任何一种情形。</w:t>
      </w:r>
    </w:p>
    <w:p w14:paraId="372A4B0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、我公司的投标文件符合第二章“投标人须知”第 1.12.1 项的规定。</w:t>
      </w:r>
    </w:p>
    <w:p w14:paraId="630D4EC6">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5</w:t>
      </w:r>
      <w:r>
        <w:rPr>
          <w:rFonts w:hint="eastAsia" w:ascii="宋体" w:hAnsi="宋体" w:eastAsia="宋体" w:cs="Times New Roman"/>
          <w:snapToGrid/>
          <w:color w:val="auto"/>
          <w:kern w:val="2"/>
          <w:szCs w:val="21"/>
          <w:highlight w:val="none"/>
          <w:lang w:eastAsia="zh-CN"/>
        </w:rPr>
        <w:t>、我公司的投标文件符合招标文件第四章“合同条款及格式”规定，投标文件中没有贵单位不能接受的条件。</w:t>
      </w:r>
    </w:p>
    <w:p w14:paraId="2A7D6EF9">
      <w:pPr>
        <w:snapToGrid w:val="0"/>
        <w:spacing w:line="400" w:lineRule="exact"/>
        <w:ind w:firstLine="420" w:firstLineChars="200"/>
        <w:rPr>
          <w:rFonts w:hint="eastAsia" w:ascii="宋体" w:hAnsi="宋体" w:eastAsia="宋体" w:cs="Times New Roman"/>
          <w:snapToGrid/>
          <w:color w:val="auto"/>
          <w:kern w:val="2"/>
          <w:szCs w:val="21"/>
          <w:highlight w:val="none"/>
          <w:lang w:eastAsia="zh-CN"/>
        </w:rPr>
      </w:pPr>
      <w:r>
        <w:rPr>
          <w:rFonts w:hint="eastAsia" w:ascii="宋体" w:hAnsi="宋体" w:eastAsia="宋体" w:cs="Times New Roman"/>
          <w:snapToGrid/>
          <w:color w:val="auto"/>
          <w:kern w:val="2"/>
          <w:szCs w:val="21"/>
          <w:highlight w:val="none"/>
          <w:lang w:val="en-US" w:eastAsia="zh-CN"/>
        </w:rPr>
        <w:t>6</w:t>
      </w:r>
      <w:r>
        <w:rPr>
          <w:rFonts w:hint="eastAsia" w:ascii="宋体" w:hAnsi="宋体" w:eastAsia="宋体" w:cs="Times New Roman"/>
          <w:snapToGrid/>
          <w:color w:val="auto"/>
          <w:kern w:val="2"/>
          <w:szCs w:val="21"/>
          <w:highlight w:val="none"/>
          <w:lang w:eastAsia="zh-CN"/>
        </w:rPr>
        <w:t>、我公司的投标文件符合招标文件第五章“发包人要求”中的实质性要求和条件。</w:t>
      </w:r>
    </w:p>
    <w:p w14:paraId="63BEEE37">
      <w:pPr>
        <w:snapToGrid w:val="0"/>
        <w:spacing w:line="400" w:lineRule="exact"/>
        <w:ind w:firstLineChars="200"/>
        <w:rPr>
          <w:rFonts w:hint="eastAsia" w:ascii="宋体" w:hAnsi="宋体" w:eastAsia="宋体" w:cs="Times New Roman"/>
          <w:snapToGrid/>
          <w:color w:val="auto"/>
          <w:kern w:val="2"/>
          <w:szCs w:val="21"/>
          <w:highlight w:val="none"/>
          <w:lang w:val="en-US" w:eastAsia="zh-CN"/>
        </w:rPr>
      </w:pPr>
      <w:r>
        <w:rPr>
          <w:rFonts w:hint="eastAsia" w:ascii="宋体" w:hAnsi="宋体" w:eastAsia="宋体" w:cs="Times New Roman"/>
          <w:snapToGrid/>
          <w:color w:val="auto"/>
          <w:kern w:val="2"/>
          <w:szCs w:val="21"/>
          <w:highlight w:val="none"/>
          <w:lang w:val="en-US" w:eastAsia="zh-CN"/>
        </w:rPr>
        <w:t>7若为经销商，我司承诺合同签订前提供厂家授权委托书。</w:t>
      </w:r>
    </w:p>
    <w:p w14:paraId="3E906DB6">
      <w:pPr>
        <w:pStyle w:val="71"/>
        <w:rPr>
          <w:color w:val="auto"/>
          <w:highlight w:val="none"/>
        </w:rPr>
      </w:pPr>
    </w:p>
    <w:p w14:paraId="18124B16">
      <w:pPr>
        <w:snapToGrid w:val="0"/>
        <w:spacing w:line="400" w:lineRule="exact"/>
        <w:ind w:firstLine="420" w:firstLineChars="200"/>
        <w:rPr>
          <w:rFonts w:ascii="宋体" w:hAnsi="宋体"/>
          <w:color w:val="auto"/>
          <w:szCs w:val="21"/>
          <w:highlight w:val="none"/>
        </w:rPr>
      </w:pPr>
    </w:p>
    <w:p w14:paraId="43E8CE9A">
      <w:pPr>
        <w:tabs>
          <w:tab w:val="left" w:pos="4200"/>
          <w:tab w:val="left" w:pos="462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14:paraId="72D05F32">
      <w:pPr>
        <w:tabs>
          <w:tab w:val="left" w:pos="6300"/>
        </w:tabs>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w:t>
      </w:r>
      <w:r>
        <w:rPr>
          <w:rFonts w:hint="eastAsia" w:ascii="宋体" w:hAnsi="宋体"/>
          <w:color w:val="auto"/>
          <w:kern w:val="0"/>
          <w:szCs w:val="21"/>
          <w:highlight w:val="none"/>
        </w:rPr>
        <w:t>签名</w:t>
      </w:r>
      <w:r>
        <w:rPr>
          <w:rFonts w:ascii="宋体" w:hAnsi="宋体"/>
          <w:color w:val="auto"/>
          <w:kern w:val="0"/>
          <w:szCs w:val="21"/>
          <w:highlight w:val="none"/>
        </w:rPr>
        <w:t>或盖章）</w:t>
      </w:r>
    </w:p>
    <w:p w14:paraId="514B952B">
      <w:pPr>
        <w:snapToGrid w:val="0"/>
        <w:spacing w:line="400" w:lineRule="exact"/>
        <w:ind w:firstLine="420" w:firstLineChars="200"/>
        <w:jc w:val="right"/>
        <w:rPr>
          <w:rFonts w:ascii="宋体" w:hAnsi="宋体"/>
          <w:color w:val="auto"/>
          <w:szCs w:val="21"/>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14:paraId="068A72A8">
      <w:pPr>
        <w:widowControl/>
        <w:jc w:val="left"/>
        <w:rPr>
          <w:color w:val="auto"/>
          <w:highlight w:val="none"/>
        </w:rPr>
      </w:pPr>
      <w:r>
        <w:rPr>
          <w:color w:val="auto"/>
          <w:highlight w:val="none"/>
        </w:rPr>
        <w:br w:type="page"/>
      </w:r>
    </w:p>
    <w:p w14:paraId="5A1F81CD">
      <w:pPr>
        <w:rPr>
          <w:color w:val="auto"/>
          <w:highlight w:val="none"/>
        </w:rPr>
      </w:pPr>
    </w:p>
    <w:p w14:paraId="526DD6FB">
      <w:pPr>
        <w:pStyle w:val="4"/>
        <w:spacing w:before="0" w:line="360" w:lineRule="auto"/>
        <w:jc w:val="center"/>
        <w:rPr>
          <w:rFonts w:ascii="宋体" w:hAnsi="宋体"/>
          <w:color w:val="auto"/>
          <w:highlight w:val="none"/>
        </w:rPr>
      </w:pPr>
      <w:bookmarkStart w:id="679" w:name="_Toc25487"/>
      <w:r>
        <w:rPr>
          <w:rFonts w:hint="eastAsia" w:ascii="宋体" w:hAnsi="宋体"/>
          <w:b w:val="0"/>
          <w:color w:val="auto"/>
          <w:highlight w:val="none"/>
        </w:rPr>
        <w:t>（</w:t>
      </w:r>
      <w:r>
        <w:rPr>
          <w:rFonts w:hint="eastAsia" w:ascii="宋体" w:hAnsi="宋体"/>
          <w:b w:val="0"/>
          <w:color w:val="auto"/>
          <w:highlight w:val="none"/>
          <w:lang w:val="en-US" w:eastAsia="zh-CN"/>
        </w:rPr>
        <w:t>七</w:t>
      </w:r>
      <w:r>
        <w:rPr>
          <w:rFonts w:hint="eastAsia" w:ascii="宋体" w:hAnsi="宋体"/>
          <w:b w:val="0"/>
          <w:color w:val="auto"/>
          <w:highlight w:val="none"/>
          <w:lang w:eastAsia="zh-CN"/>
        </w:rPr>
        <w:t>）</w:t>
      </w:r>
      <w:r>
        <w:rPr>
          <w:rFonts w:hint="eastAsia" w:ascii="宋体" w:hAnsi="宋体"/>
          <w:b w:val="0"/>
          <w:color w:val="auto"/>
          <w:highlight w:val="none"/>
        </w:rPr>
        <w:t>其他资料</w:t>
      </w:r>
      <w:bookmarkEnd w:id="679"/>
    </w:p>
    <w:bookmarkEnd w:id="550"/>
    <w:bookmarkEnd w:id="551"/>
    <w:bookmarkEnd w:id="552"/>
    <w:p w14:paraId="66CCAC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投标保证金</w:t>
      </w:r>
    </w:p>
    <w:p w14:paraId="4EAF563B">
      <w:pPr>
        <w:spacing w:line="360" w:lineRule="auto"/>
        <w:ind w:firstLine="420" w:firstLineChars="200"/>
        <w:rPr>
          <w:rFonts w:ascii="宋体" w:hAnsi="宋体"/>
          <w:i/>
          <w:color w:val="auto"/>
          <w:szCs w:val="21"/>
          <w:highlight w:val="none"/>
        </w:rPr>
      </w:pPr>
      <w:r>
        <w:rPr>
          <w:rFonts w:hint="eastAsia" w:ascii="宋体" w:hAnsi="宋体"/>
          <w:i/>
          <w:color w:val="auto"/>
          <w:szCs w:val="21"/>
          <w:highlight w:val="none"/>
        </w:rPr>
        <w:t>[提示：以转账支票或电汇形式交纳投标保证金的提供以下资料]</w:t>
      </w:r>
    </w:p>
    <w:p w14:paraId="023D998C">
      <w:pPr>
        <w:numPr>
          <w:ilvl w:val="0"/>
          <w:numId w:val="4"/>
        </w:num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企业基本账户开户证明文件。</w:t>
      </w:r>
    </w:p>
    <w:p w14:paraId="1009C83A">
      <w:pPr>
        <w:pStyle w:val="48"/>
        <w:numPr>
          <w:ilvl w:val="0"/>
          <w:numId w:val="4"/>
        </w:numP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保证金转账凭证</w:t>
      </w:r>
    </w:p>
    <w:p w14:paraId="1C95E5B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 </w:t>
      </w:r>
    </w:p>
    <w:p w14:paraId="765840DC">
      <w:pPr>
        <w:spacing w:line="360" w:lineRule="auto"/>
        <w:ind w:firstLine="420" w:firstLineChars="200"/>
        <w:rPr>
          <w:rFonts w:ascii="宋体" w:hAnsi="宋体"/>
          <w:color w:val="auto"/>
          <w:szCs w:val="21"/>
          <w:highlight w:val="none"/>
        </w:rPr>
      </w:pPr>
      <w:r>
        <w:rPr>
          <w:rFonts w:ascii="宋体" w:hAnsi="宋体"/>
          <w:color w:val="auto"/>
          <w:szCs w:val="21"/>
          <w:highlight w:val="none"/>
        </w:rPr>
        <w:t>……</w:t>
      </w:r>
    </w:p>
    <w:p w14:paraId="1550A105">
      <w:pPr>
        <w:pStyle w:val="18"/>
        <w:rPr>
          <w:rFonts w:ascii="宋体" w:hAnsi="宋体"/>
          <w:color w:val="auto"/>
          <w:szCs w:val="21"/>
          <w:highlight w:val="none"/>
        </w:rPr>
      </w:pPr>
    </w:p>
    <w:p w14:paraId="31FF3425">
      <w:pPr>
        <w:rPr>
          <w:rFonts w:ascii="宋体" w:hAnsi="宋体"/>
          <w:color w:val="auto"/>
          <w:szCs w:val="21"/>
          <w:highlight w:val="none"/>
        </w:rPr>
      </w:pPr>
    </w:p>
    <w:p w14:paraId="7C6A23E4">
      <w:pPr>
        <w:rPr>
          <w:rFonts w:hint="eastAsia" w:ascii="宋体" w:hAnsi="宋体"/>
          <w:b w:val="0"/>
          <w:bCs w:val="0"/>
          <w:color w:val="auto"/>
          <w:sz w:val="44"/>
          <w:szCs w:val="44"/>
          <w:highlight w:val="none"/>
          <w:lang w:val="en-US" w:eastAsia="zh-CN"/>
        </w:rPr>
      </w:pPr>
      <w:bookmarkStart w:id="680" w:name="_Toc57905917"/>
      <w:bookmarkStart w:id="681" w:name="_Toc534185830"/>
      <w:bookmarkStart w:id="682" w:name="_Toc509218853"/>
      <w:bookmarkStart w:id="683" w:name="_Toc27983320"/>
      <w:r>
        <w:rPr>
          <w:rFonts w:hint="eastAsia" w:ascii="宋体" w:hAnsi="宋体"/>
          <w:b w:val="0"/>
          <w:bCs w:val="0"/>
          <w:color w:val="auto"/>
          <w:sz w:val="44"/>
          <w:szCs w:val="44"/>
          <w:highlight w:val="none"/>
          <w:lang w:val="en-US" w:eastAsia="zh-CN"/>
        </w:rPr>
        <w:br w:type="page"/>
      </w:r>
    </w:p>
    <w:bookmarkEnd w:id="680"/>
    <w:bookmarkEnd w:id="681"/>
    <w:bookmarkEnd w:id="682"/>
    <w:bookmarkEnd w:id="683"/>
    <w:p w14:paraId="7949F139">
      <w:pPr>
        <w:rPr>
          <w:color w:val="auto"/>
          <w:highlight w:val="none"/>
        </w:rPr>
      </w:pPr>
    </w:p>
    <w:p w14:paraId="00902A52">
      <w:pPr>
        <w:rPr>
          <w:color w:val="auto"/>
          <w:highlight w:val="none"/>
        </w:rPr>
      </w:pPr>
    </w:p>
    <w:sectPr>
      <w:headerReference r:id="rId11" w:type="default"/>
      <w:footerReference r:id="rId12" w:type="default"/>
      <w:pgSz w:w="11906" w:h="16838"/>
      <w:pgMar w:top="1304" w:right="1134" w:bottom="1304" w:left="130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338FF18-0083-4036-906B-C3213D36A26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84819B5D-850B-4713-AF6B-24A6F3EC876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D1A0E42-2A0D-48AE-90A5-F5092E0DF48A}"/>
  </w:font>
  <w:font w:name="monospac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4" w:fontKey="{F9C0DEE9-9010-4887-B7A4-062AD51CD43A}"/>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5" w:fontKey="{BD4CFB65-FF4A-41DC-9D79-8F9DFEE4D4B8}"/>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2000000000000000000"/>
    <w:charset w:val="86"/>
    <w:family w:val="auto"/>
    <w:pitch w:val="default"/>
    <w:sig w:usb0="00000000" w:usb1="00000000" w:usb2="00000012"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embedRegular r:id="rId6" w:fontKey="{CCDA70C5-94CE-474F-B292-86CB2EFC0F45}"/>
  </w:font>
  <w:font w:name="等线">
    <w:panose1 w:val="02010600030101010101"/>
    <w:charset w:val="86"/>
    <w:family w:val="auto"/>
    <w:pitch w:val="default"/>
    <w:sig w:usb0="A00002BF" w:usb1="38CF7CFA" w:usb2="00000016" w:usb3="00000000" w:csb0="0004000F" w:csb1="00000000"/>
    <w:embedRegular r:id="rId7" w:fontKey="{9C31F49F-0122-4933-AF44-A3E1AD2A2E86}"/>
  </w:font>
  <w:font w:name="新宋体">
    <w:panose1 w:val="02010609030101010101"/>
    <w:charset w:val="86"/>
    <w:family w:val="auto"/>
    <w:pitch w:val="default"/>
    <w:sig w:usb0="00000283" w:usb1="288F0000" w:usb2="00000006" w:usb3="00000000" w:csb0="00040001" w:csb1="00000000"/>
    <w:embedRegular r:id="rId8" w:fontKey="{D6331DE4-2E88-4349-B834-87481FE3EEC5}"/>
  </w:font>
  <w:font w:name="方正仿宋_GBK">
    <w:panose1 w:val="02000000000000000000"/>
    <w:charset w:val="86"/>
    <w:family w:val="auto"/>
    <w:pitch w:val="default"/>
    <w:sig w:usb0="A00002BF" w:usb1="38CF7CFA" w:usb2="00082016" w:usb3="00000000" w:csb0="00040001" w:csb1="00000000"/>
    <w:embedRegular r:id="rId9" w:fontKey="{3E7A6957-DC6C-4E11-9E62-1C72F4F9619D}"/>
  </w:font>
  <w:font w:name="Wingdings 2">
    <w:panose1 w:val="05020102010507070707"/>
    <w:charset w:val="00"/>
    <w:family w:val="auto"/>
    <w:pitch w:val="default"/>
    <w:sig w:usb0="00000000" w:usb1="00000000" w:usb2="00000000" w:usb3="00000000" w:csb0="80000000" w:csb1="00000000"/>
    <w:embedRegular r:id="rId10" w:fontKey="{11D1A1EE-E202-4BD9-AB73-EF3B4370B991}"/>
  </w:font>
  <w:font w:name="Microsoft JhengHei">
    <w:panose1 w:val="020B0604030504040204"/>
    <w:charset w:val="88"/>
    <w:family w:val="swiss"/>
    <w:pitch w:val="default"/>
    <w:sig w:usb0="000002A7" w:usb1="28CF4400" w:usb2="00000016" w:usb3="00000000" w:csb0="00100009" w:csb1="00000000"/>
    <w:embedRegular r:id="rId11" w:fontKey="{556E5F96-9BD7-438D-8FCA-E5715469CDF5}"/>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BAEE">
    <w:pPr>
      <w:pStyle w:val="31"/>
      <w:jc w:val="center"/>
    </w:pPr>
    <w:r>
      <w:t xml:space="preserve">- </w:t>
    </w:r>
    <w:r>
      <w:fldChar w:fldCharType="begin"/>
    </w:r>
    <w:r>
      <w:instrText xml:space="preserve"> PAGE </w:instrText>
    </w:r>
    <w:r>
      <w:fldChar w:fldCharType="separate"/>
    </w:r>
    <w:r>
      <w:t>39</w:t>
    </w:r>
    <w:r>
      <w:fldChar w:fldCharType="end"/>
    </w:r>
    <w:r>
      <w:t xml:space="preserve"> -</w:t>
    </w:r>
  </w:p>
  <w:p w14:paraId="7E459237">
    <w:pPr>
      <w:pStyle w:val="3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8F4D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- 4 -</w:t>
    </w:r>
    <w:r>
      <w:fldChar w:fldCharType="end"/>
    </w:r>
  </w:p>
  <w:p w14:paraId="3CE5B38F">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07E50">
    <w:pPr>
      <w:pStyle w:val="31"/>
      <w:jc w:val="center"/>
    </w:pPr>
    <w:r>
      <w:t xml:space="preserve">- </w:t>
    </w:r>
    <w:r>
      <w:fldChar w:fldCharType="begin"/>
    </w:r>
    <w:r>
      <w:instrText xml:space="preserve"> PAGE </w:instrText>
    </w:r>
    <w:r>
      <w:fldChar w:fldCharType="separate"/>
    </w:r>
    <w:r>
      <w:t>24</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2E86B">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264</w:t>
    </w:r>
    <w:r>
      <w:fldChar w:fldCharType="end"/>
    </w:r>
  </w:p>
  <w:p w14:paraId="1ACA8685">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5E4A9">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51FBF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 共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NUMPAGES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17</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3851FBFD">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t xml:space="preserve">第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PAGE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 共 </w:t>
                    </w: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 NUMPAGES  \* MERGEFORMAT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17</w:t>
                    </w:r>
                    <w:r>
                      <w:rPr>
                        <w:rFonts w:ascii="Calibri" w:hAnsi="Calibri" w:eastAsia="宋体" w:cs="Times New Roman"/>
                        <w:kern w:val="2"/>
                        <w:sz w:val="18"/>
                        <w:szCs w:val="18"/>
                        <w:lang w:val="en-US" w:eastAsia="zh-CN" w:bidi="ar-SA"/>
                      </w:rPr>
                      <w:fldChar w:fldCharType="end"/>
                    </w:r>
                    <w:r>
                      <w:rPr>
                        <w:rFonts w:ascii="Calibri" w:hAnsi="Calibri" w:eastAsia="宋体" w:cs="Times New Roman"/>
                        <w:kern w:val="2"/>
                        <w:sz w:val="18"/>
                        <w:szCs w:val="18"/>
                        <w:lang w:val="en-US" w:eastAsia="zh-CN" w:bidi="ar-S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D24E">
    <w:pPr>
      <w:pStyle w:val="31"/>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2</w:t>
    </w:r>
    <w:r>
      <w:rPr>
        <w:rFonts w:eastAsia="仿宋_GB2312"/>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F1CE">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A4637">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5E9D">
    <w:pPr>
      <w:widowControl w:val="0"/>
      <w:pBdr>
        <w:bottom w:val="single" w:color="auto" w:sz="6" w:space="1"/>
      </w:pBdr>
      <w:tabs>
        <w:tab w:val="center" w:pos="4153"/>
        <w:tab w:val="right" w:pos="8306"/>
      </w:tabs>
      <w:snapToGrid w:val="0"/>
      <w:jc w:val="left"/>
      <w:rPr>
        <w:rFonts w:hint="default" w:ascii="Calibri" w:hAnsi="Calibri" w:eastAsia="宋体" w:cs="Times New Roman"/>
        <w:kern w:val="2"/>
        <w:sz w:val="18"/>
        <w:szCs w:val="18"/>
        <w:lang w:val="en-US" w:eastAsia="zh-CN" w:bidi="ar-SA"/>
      </w:rPr>
    </w:pPr>
    <w:r>
      <w:rPr>
        <w:rFonts w:hint="eastAsia" w:ascii="Calibri" w:hAnsi="Calibri" w:eastAsia="宋体" w:cs="Times New Roman"/>
        <w:kern w:val="2"/>
        <w:sz w:val="18"/>
        <w:szCs w:val="18"/>
        <w:lang w:val="en-US" w:eastAsia="zh-CN" w:bidi="ar-SA"/>
      </w:rPr>
      <w:t>合同编号：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07B7E">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FFF7C"/>
    <w:multiLevelType w:val="singleLevel"/>
    <w:tmpl w:val="0FFFFF7C"/>
    <w:lvl w:ilvl="0" w:tentative="0">
      <w:start w:val="1"/>
      <w:numFmt w:val="decimal"/>
      <w:pStyle w:val="344"/>
      <w:lvlText w:val="%1."/>
      <w:lvlJc w:val="left"/>
      <w:pPr>
        <w:tabs>
          <w:tab w:val="left" w:pos="2040"/>
        </w:tabs>
        <w:ind w:left="2040" w:hanging="360"/>
      </w:pPr>
    </w:lvl>
  </w:abstractNum>
  <w:abstractNum w:abstractNumId="1">
    <w:nsid w:val="0FFFFF7D"/>
    <w:multiLevelType w:val="singleLevel"/>
    <w:tmpl w:val="0FFFFF7D"/>
    <w:lvl w:ilvl="0" w:tentative="0">
      <w:start w:val="1"/>
      <w:numFmt w:val="decimal"/>
      <w:pStyle w:val="343"/>
      <w:lvlText w:val="%1."/>
      <w:lvlJc w:val="left"/>
      <w:pPr>
        <w:tabs>
          <w:tab w:val="left" w:pos="1620"/>
        </w:tabs>
        <w:ind w:left="1620" w:hanging="360"/>
      </w:pPr>
    </w:lvl>
  </w:abstractNum>
  <w:abstractNum w:abstractNumId="2">
    <w:nsid w:val="3469B21D"/>
    <w:multiLevelType w:val="singleLevel"/>
    <w:tmpl w:val="3469B21D"/>
    <w:lvl w:ilvl="0" w:tentative="0">
      <w:start w:val="1"/>
      <w:numFmt w:val="decimal"/>
      <w:suff w:val="nothing"/>
      <w:lvlText w:val="（%1）"/>
      <w:lvlJc w:val="left"/>
    </w:lvl>
  </w:abstractNum>
  <w:abstractNum w:abstractNumId="3">
    <w:nsid w:val="60A487A4"/>
    <w:multiLevelType w:val="singleLevel"/>
    <w:tmpl w:val="60A487A4"/>
    <w:lvl w:ilvl="0" w:tentative="0">
      <w:start w:val="2"/>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zZmOTFkNGNmNzkzMThlMmZlOGQ1ZGE2MzQ5NDUifQ=="/>
    <w:docVar w:name="KSO_WPS_MARK_KEY" w:val="292e1ab1-a785-4d6d-86f1-68e6a502dba9"/>
  </w:docVars>
  <w:rsids>
    <w:rsidRoot w:val="00172A27"/>
    <w:rsid w:val="00010CB8"/>
    <w:rsid w:val="000111E6"/>
    <w:rsid w:val="0001716C"/>
    <w:rsid w:val="000172B2"/>
    <w:rsid w:val="0003117E"/>
    <w:rsid w:val="00035D55"/>
    <w:rsid w:val="00050B5A"/>
    <w:rsid w:val="000517F1"/>
    <w:rsid w:val="00073A73"/>
    <w:rsid w:val="00077176"/>
    <w:rsid w:val="00085C38"/>
    <w:rsid w:val="00091B45"/>
    <w:rsid w:val="00096C0D"/>
    <w:rsid w:val="000977FA"/>
    <w:rsid w:val="000A45C9"/>
    <w:rsid w:val="000A729C"/>
    <w:rsid w:val="000B1A49"/>
    <w:rsid w:val="000C0DAA"/>
    <w:rsid w:val="000C48CA"/>
    <w:rsid w:val="000E7B1F"/>
    <w:rsid w:val="0010228B"/>
    <w:rsid w:val="00107B10"/>
    <w:rsid w:val="0011324F"/>
    <w:rsid w:val="00113606"/>
    <w:rsid w:val="00114822"/>
    <w:rsid w:val="00116908"/>
    <w:rsid w:val="00132DC2"/>
    <w:rsid w:val="00136F92"/>
    <w:rsid w:val="0014518F"/>
    <w:rsid w:val="001501A0"/>
    <w:rsid w:val="00163AD2"/>
    <w:rsid w:val="001661FC"/>
    <w:rsid w:val="00172A27"/>
    <w:rsid w:val="001800A0"/>
    <w:rsid w:val="00187BE5"/>
    <w:rsid w:val="00190F60"/>
    <w:rsid w:val="00193A04"/>
    <w:rsid w:val="00195289"/>
    <w:rsid w:val="00195708"/>
    <w:rsid w:val="001C448A"/>
    <w:rsid w:val="001C5AC8"/>
    <w:rsid w:val="001D2578"/>
    <w:rsid w:val="001D5B6E"/>
    <w:rsid w:val="001F7FC7"/>
    <w:rsid w:val="00203544"/>
    <w:rsid w:val="00210482"/>
    <w:rsid w:val="00214982"/>
    <w:rsid w:val="002169D1"/>
    <w:rsid w:val="00234EC0"/>
    <w:rsid w:val="00240126"/>
    <w:rsid w:val="002515CB"/>
    <w:rsid w:val="00276A4F"/>
    <w:rsid w:val="0027778B"/>
    <w:rsid w:val="00290543"/>
    <w:rsid w:val="002C5C38"/>
    <w:rsid w:val="002F0760"/>
    <w:rsid w:val="002F3314"/>
    <w:rsid w:val="002F599A"/>
    <w:rsid w:val="00303224"/>
    <w:rsid w:val="00304E46"/>
    <w:rsid w:val="003153C7"/>
    <w:rsid w:val="00326BDA"/>
    <w:rsid w:val="003347D8"/>
    <w:rsid w:val="00344821"/>
    <w:rsid w:val="00347F6A"/>
    <w:rsid w:val="00351AAE"/>
    <w:rsid w:val="00360932"/>
    <w:rsid w:val="003765C0"/>
    <w:rsid w:val="0038024F"/>
    <w:rsid w:val="0038701F"/>
    <w:rsid w:val="00391E87"/>
    <w:rsid w:val="00394016"/>
    <w:rsid w:val="0039785E"/>
    <w:rsid w:val="003D0CDC"/>
    <w:rsid w:val="003D4352"/>
    <w:rsid w:val="00400A1A"/>
    <w:rsid w:val="00406723"/>
    <w:rsid w:val="00411B6D"/>
    <w:rsid w:val="00415982"/>
    <w:rsid w:val="00420800"/>
    <w:rsid w:val="0042139F"/>
    <w:rsid w:val="00433569"/>
    <w:rsid w:val="00443541"/>
    <w:rsid w:val="00455E5B"/>
    <w:rsid w:val="00463DA8"/>
    <w:rsid w:val="00466F88"/>
    <w:rsid w:val="00467951"/>
    <w:rsid w:val="00472E48"/>
    <w:rsid w:val="004738D7"/>
    <w:rsid w:val="00486AB1"/>
    <w:rsid w:val="004902E2"/>
    <w:rsid w:val="004940B7"/>
    <w:rsid w:val="00496D7A"/>
    <w:rsid w:val="004A16A4"/>
    <w:rsid w:val="004A51E5"/>
    <w:rsid w:val="004A76DC"/>
    <w:rsid w:val="004C0D67"/>
    <w:rsid w:val="004C7159"/>
    <w:rsid w:val="004C75DA"/>
    <w:rsid w:val="004D3358"/>
    <w:rsid w:val="004D5457"/>
    <w:rsid w:val="004E27CF"/>
    <w:rsid w:val="004F4338"/>
    <w:rsid w:val="004F5975"/>
    <w:rsid w:val="00512EF7"/>
    <w:rsid w:val="00514349"/>
    <w:rsid w:val="00520674"/>
    <w:rsid w:val="00525133"/>
    <w:rsid w:val="00531455"/>
    <w:rsid w:val="0053743A"/>
    <w:rsid w:val="00545BFB"/>
    <w:rsid w:val="0055101A"/>
    <w:rsid w:val="005514A2"/>
    <w:rsid w:val="005543FE"/>
    <w:rsid w:val="00566C61"/>
    <w:rsid w:val="00571D72"/>
    <w:rsid w:val="00575F4A"/>
    <w:rsid w:val="00590FE4"/>
    <w:rsid w:val="00593DC0"/>
    <w:rsid w:val="00595353"/>
    <w:rsid w:val="005A6AE2"/>
    <w:rsid w:val="005B2E03"/>
    <w:rsid w:val="005B2E91"/>
    <w:rsid w:val="005B6CC9"/>
    <w:rsid w:val="005C4941"/>
    <w:rsid w:val="005D7F4B"/>
    <w:rsid w:val="005E1698"/>
    <w:rsid w:val="005F5759"/>
    <w:rsid w:val="005F6E7E"/>
    <w:rsid w:val="005F74B8"/>
    <w:rsid w:val="00601773"/>
    <w:rsid w:val="0060505A"/>
    <w:rsid w:val="006072F6"/>
    <w:rsid w:val="006136E6"/>
    <w:rsid w:val="00620428"/>
    <w:rsid w:val="00621A66"/>
    <w:rsid w:val="006232AB"/>
    <w:rsid w:val="00624515"/>
    <w:rsid w:val="00625BFF"/>
    <w:rsid w:val="00627A71"/>
    <w:rsid w:val="006326D6"/>
    <w:rsid w:val="00651630"/>
    <w:rsid w:val="006744F3"/>
    <w:rsid w:val="00695438"/>
    <w:rsid w:val="006A4F0D"/>
    <w:rsid w:val="006B101D"/>
    <w:rsid w:val="006D1737"/>
    <w:rsid w:val="006D2C60"/>
    <w:rsid w:val="006E0BD0"/>
    <w:rsid w:val="006F18B9"/>
    <w:rsid w:val="006F3F5E"/>
    <w:rsid w:val="00704DB2"/>
    <w:rsid w:val="007101E2"/>
    <w:rsid w:val="00720154"/>
    <w:rsid w:val="007347BD"/>
    <w:rsid w:val="00736A8F"/>
    <w:rsid w:val="007438E5"/>
    <w:rsid w:val="00747D81"/>
    <w:rsid w:val="00757B98"/>
    <w:rsid w:val="007672A6"/>
    <w:rsid w:val="00767A4A"/>
    <w:rsid w:val="0077714A"/>
    <w:rsid w:val="00782EE9"/>
    <w:rsid w:val="00797E4E"/>
    <w:rsid w:val="007A2A08"/>
    <w:rsid w:val="007A3C53"/>
    <w:rsid w:val="007B06F0"/>
    <w:rsid w:val="007B1726"/>
    <w:rsid w:val="007B691A"/>
    <w:rsid w:val="007E25A9"/>
    <w:rsid w:val="0081619F"/>
    <w:rsid w:val="0082524D"/>
    <w:rsid w:val="008317BD"/>
    <w:rsid w:val="0083357C"/>
    <w:rsid w:val="00834A1E"/>
    <w:rsid w:val="008361E8"/>
    <w:rsid w:val="00842C80"/>
    <w:rsid w:val="00851346"/>
    <w:rsid w:val="00854254"/>
    <w:rsid w:val="00862884"/>
    <w:rsid w:val="00862AB9"/>
    <w:rsid w:val="00863569"/>
    <w:rsid w:val="008708D3"/>
    <w:rsid w:val="00872DDC"/>
    <w:rsid w:val="00875E0D"/>
    <w:rsid w:val="0088121D"/>
    <w:rsid w:val="00883DE3"/>
    <w:rsid w:val="008855A1"/>
    <w:rsid w:val="00891AC2"/>
    <w:rsid w:val="00895CA5"/>
    <w:rsid w:val="008A49E9"/>
    <w:rsid w:val="008B2A9B"/>
    <w:rsid w:val="008B7F14"/>
    <w:rsid w:val="008C2E51"/>
    <w:rsid w:val="008D56B3"/>
    <w:rsid w:val="008E0DF2"/>
    <w:rsid w:val="008E12B8"/>
    <w:rsid w:val="008E1D84"/>
    <w:rsid w:val="009229F7"/>
    <w:rsid w:val="00936E3A"/>
    <w:rsid w:val="00943E72"/>
    <w:rsid w:val="00947CBB"/>
    <w:rsid w:val="00947E29"/>
    <w:rsid w:val="009501FF"/>
    <w:rsid w:val="00971A27"/>
    <w:rsid w:val="00980B01"/>
    <w:rsid w:val="00985BFD"/>
    <w:rsid w:val="0099244F"/>
    <w:rsid w:val="009957A5"/>
    <w:rsid w:val="00995C70"/>
    <w:rsid w:val="0099761C"/>
    <w:rsid w:val="00997A94"/>
    <w:rsid w:val="009D3348"/>
    <w:rsid w:val="009D5CBC"/>
    <w:rsid w:val="009E7317"/>
    <w:rsid w:val="00A004AD"/>
    <w:rsid w:val="00A13EB9"/>
    <w:rsid w:val="00A1465F"/>
    <w:rsid w:val="00A27990"/>
    <w:rsid w:val="00A319EE"/>
    <w:rsid w:val="00A377A8"/>
    <w:rsid w:val="00A405C6"/>
    <w:rsid w:val="00A42D25"/>
    <w:rsid w:val="00A53F00"/>
    <w:rsid w:val="00A5711F"/>
    <w:rsid w:val="00A667F4"/>
    <w:rsid w:val="00A70D81"/>
    <w:rsid w:val="00A763DA"/>
    <w:rsid w:val="00A817AB"/>
    <w:rsid w:val="00A818A8"/>
    <w:rsid w:val="00A82F99"/>
    <w:rsid w:val="00A84F79"/>
    <w:rsid w:val="00A90D27"/>
    <w:rsid w:val="00A91ECA"/>
    <w:rsid w:val="00AA1308"/>
    <w:rsid w:val="00AB1BE3"/>
    <w:rsid w:val="00AC25D4"/>
    <w:rsid w:val="00AC6A5B"/>
    <w:rsid w:val="00AC714D"/>
    <w:rsid w:val="00AD0313"/>
    <w:rsid w:val="00AD4D5B"/>
    <w:rsid w:val="00AD7A1A"/>
    <w:rsid w:val="00AE7597"/>
    <w:rsid w:val="00AF2F24"/>
    <w:rsid w:val="00B10BC0"/>
    <w:rsid w:val="00B32480"/>
    <w:rsid w:val="00B333A2"/>
    <w:rsid w:val="00B34E89"/>
    <w:rsid w:val="00B46103"/>
    <w:rsid w:val="00B60076"/>
    <w:rsid w:val="00B60E63"/>
    <w:rsid w:val="00B61698"/>
    <w:rsid w:val="00B622F5"/>
    <w:rsid w:val="00B654AD"/>
    <w:rsid w:val="00B80A97"/>
    <w:rsid w:val="00B8194D"/>
    <w:rsid w:val="00B85D05"/>
    <w:rsid w:val="00B8745C"/>
    <w:rsid w:val="00BA233B"/>
    <w:rsid w:val="00BB5EFE"/>
    <w:rsid w:val="00BC5946"/>
    <w:rsid w:val="00BC60A1"/>
    <w:rsid w:val="00BD34D1"/>
    <w:rsid w:val="00BD35EC"/>
    <w:rsid w:val="00BE0A02"/>
    <w:rsid w:val="00BE395A"/>
    <w:rsid w:val="00BE558E"/>
    <w:rsid w:val="00BF2238"/>
    <w:rsid w:val="00BF31A0"/>
    <w:rsid w:val="00BF6942"/>
    <w:rsid w:val="00BF7AF0"/>
    <w:rsid w:val="00BF7DBB"/>
    <w:rsid w:val="00C17F50"/>
    <w:rsid w:val="00C2648E"/>
    <w:rsid w:val="00C30AAA"/>
    <w:rsid w:val="00C327CF"/>
    <w:rsid w:val="00C36DF8"/>
    <w:rsid w:val="00C40503"/>
    <w:rsid w:val="00C5600A"/>
    <w:rsid w:val="00C62291"/>
    <w:rsid w:val="00C63CD2"/>
    <w:rsid w:val="00C64760"/>
    <w:rsid w:val="00C65B74"/>
    <w:rsid w:val="00C77930"/>
    <w:rsid w:val="00C81479"/>
    <w:rsid w:val="00C8393F"/>
    <w:rsid w:val="00C90517"/>
    <w:rsid w:val="00C95CEF"/>
    <w:rsid w:val="00CB025B"/>
    <w:rsid w:val="00CC0216"/>
    <w:rsid w:val="00CC3630"/>
    <w:rsid w:val="00CD7BCA"/>
    <w:rsid w:val="00CF5257"/>
    <w:rsid w:val="00D023AB"/>
    <w:rsid w:val="00D03FF2"/>
    <w:rsid w:val="00D076D4"/>
    <w:rsid w:val="00D10336"/>
    <w:rsid w:val="00D32A09"/>
    <w:rsid w:val="00D33FB0"/>
    <w:rsid w:val="00D34594"/>
    <w:rsid w:val="00D46520"/>
    <w:rsid w:val="00D5091A"/>
    <w:rsid w:val="00D51446"/>
    <w:rsid w:val="00D647F9"/>
    <w:rsid w:val="00D65229"/>
    <w:rsid w:val="00D6730C"/>
    <w:rsid w:val="00D737C1"/>
    <w:rsid w:val="00D85D9C"/>
    <w:rsid w:val="00D97D9B"/>
    <w:rsid w:val="00DB3AA5"/>
    <w:rsid w:val="00DD6B9D"/>
    <w:rsid w:val="00DE4FFB"/>
    <w:rsid w:val="00DF3A39"/>
    <w:rsid w:val="00DF4946"/>
    <w:rsid w:val="00DF4FE5"/>
    <w:rsid w:val="00DF6631"/>
    <w:rsid w:val="00E031CE"/>
    <w:rsid w:val="00E11E56"/>
    <w:rsid w:val="00E120EE"/>
    <w:rsid w:val="00E40C30"/>
    <w:rsid w:val="00E47BD5"/>
    <w:rsid w:val="00E543D6"/>
    <w:rsid w:val="00E61612"/>
    <w:rsid w:val="00E67C87"/>
    <w:rsid w:val="00E75A1A"/>
    <w:rsid w:val="00E87D55"/>
    <w:rsid w:val="00E906A4"/>
    <w:rsid w:val="00EB7B6A"/>
    <w:rsid w:val="00EF2041"/>
    <w:rsid w:val="00EF3EC0"/>
    <w:rsid w:val="00EF7950"/>
    <w:rsid w:val="00F00C7E"/>
    <w:rsid w:val="00F07C71"/>
    <w:rsid w:val="00F07C8B"/>
    <w:rsid w:val="00F17733"/>
    <w:rsid w:val="00F20367"/>
    <w:rsid w:val="00F2172E"/>
    <w:rsid w:val="00F24A01"/>
    <w:rsid w:val="00F3018F"/>
    <w:rsid w:val="00F3279A"/>
    <w:rsid w:val="00F34DE8"/>
    <w:rsid w:val="00F36939"/>
    <w:rsid w:val="00F55A69"/>
    <w:rsid w:val="00F676F0"/>
    <w:rsid w:val="00F753F0"/>
    <w:rsid w:val="00F8265E"/>
    <w:rsid w:val="00F9257E"/>
    <w:rsid w:val="00FA261D"/>
    <w:rsid w:val="00FB621B"/>
    <w:rsid w:val="00FD4EC0"/>
    <w:rsid w:val="00FF4D4B"/>
    <w:rsid w:val="01033AB9"/>
    <w:rsid w:val="012B1219"/>
    <w:rsid w:val="012D7681"/>
    <w:rsid w:val="01414A0F"/>
    <w:rsid w:val="01436A74"/>
    <w:rsid w:val="015C48BA"/>
    <w:rsid w:val="01875DDB"/>
    <w:rsid w:val="018E79D1"/>
    <w:rsid w:val="01C42B8B"/>
    <w:rsid w:val="01D84888"/>
    <w:rsid w:val="01D85D54"/>
    <w:rsid w:val="01EE1DC3"/>
    <w:rsid w:val="01F24567"/>
    <w:rsid w:val="020110AA"/>
    <w:rsid w:val="021D5372"/>
    <w:rsid w:val="023B31B5"/>
    <w:rsid w:val="024737BC"/>
    <w:rsid w:val="02704AC1"/>
    <w:rsid w:val="027B37D5"/>
    <w:rsid w:val="029702A0"/>
    <w:rsid w:val="02C73591"/>
    <w:rsid w:val="02D45050"/>
    <w:rsid w:val="02DD6E97"/>
    <w:rsid w:val="02ED4FDE"/>
    <w:rsid w:val="03356DF3"/>
    <w:rsid w:val="034A3347"/>
    <w:rsid w:val="03500416"/>
    <w:rsid w:val="0359522B"/>
    <w:rsid w:val="036B1328"/>
    <w:rsid w:val="036C648D"/>
    <w:rsid w:val="0431202E"/>
    <w:rsid w:val="043B10FF"/>
    <w:rsid w:val="046049E6"/>
    <w:rsid w:val="04A44EF6"/>
    <w:rsid w:val="04AC7907"/>
    <w:rsid w:val="04B36EE7"/>
    <w:rsid w:val="04DE3380"/>
    <w:rsid w:val="04E565D4"/>
    <w:rsid w:val="04ED72F1"/>
    <w:rsid w:val="04F03C97"/>
    <w:rsid w:val="04FF37A1"/>
    <w:rsid w:val="050802FE"/>
    <w:rsid w:val="053C6EDC"/>
    <w:rsid w:val="05476203"/>
    <w:rsid w:val="055B3806"/>
    <w:rsid w:val="05674D05"/>
    <w:rsid w:val="059706A5"/>
    <w:rsid w:val="05D25741"/>
    <w:rsid w:val="06055517"/>
    <w:rsid w:val="06205B52"/>
    <w:rsid w:val="06652463"/>
    <w:rsid w:val="069845E6"/>
    <w:rsid w:val="069E4D70"/>
    <w:rsid w:val="06DF5963"/>
    <w:rsid w:val="06F537E7"/>
    <w:rsid w:val="06FA5D1F"/>
    <w:rsid w:val="06FC2DC7"/>
    <w:rsid w:val="0753050D"/>
    <w:rsid w:val="076D1CAF"/>
    <w:rsid w:val="07797F74"/>
    <w:rsid w:val="07A6619A"/>
    <w:rsid w:val="080041F1"/>
    <w:rsid w:val="080055AF"/>
    <w:rsid w:val="080A4EFA"/>
    <w:rsid w:val="087B5F6E"/>
    <w:rsid w:val="087B7D1C"/>
    <w:rsid w:val="08BD0334"/>
    <w:rsid w:val="08C76272"/>
    <w:rsid w:val="08FA7112"/>
    <w:rsid w:val="08FB52EA"/>
    <w:rsid w:val="091F573C"/>
    <w:rsid w:val="092E4D8E"/>
    <w:rsid w:val="09326AC0"/>
    <w:rsid w:val="09A908B8"/>
    <w:rsid w:val="09B438AC"/>
    <w:rsid w:val="09C97ECC"/>
    <w:rsid w:val="09D848E1"/>
    <w:rsid w:val="09DE4A07"/>
    <w:rsid w:val="09E53275"/>
    <w:rsid w:val="09ED20D4"/>
    <w:rsid w:val="09FF1FA9"/>
    <w:rsid w:val="0A0302D4"/>
    <w:rsid w:val="0A3347DF"/>
    <w:rsid w:val="0A3A3E6C"/>
    <w:rsid w:val="0A924382"/>
    <w:rsid w:val="0AC42474"/>
    <w:rsid w:val="0AC57974"/>
    <w:rsid w:val="0AE71698"/>
    <w:rsid w:val="0AF1029B"/>
    <w:rsid w:val="0B073AE9"/>
    <w:rsid w:val="0B0D79F0"/>
    <w:rsid w:val="0B12559A"/>
    <w:rsid w:val="0B2C1046"/>
    <w:rsid w:val="0B7C0033"/>
    <w:rsid w:val="0B7E4269"/>
    <w:rsid w:val="0BB41AAC"/>
    <w:rsid w:val="0BBD25F8"/>
    <w:rsid w:val="0C3E7B88"/>
    <w:rsid w:val="0C601702"/>
    <w:rsid w:val="0C986A1D"/>
    <w:rsid w:val="0CB71B13"/>
    <w:rsid w:val="0CEB41D3"/>
    <w:rsid w:val="0CF672AA"/>
    <w:rsid w:val="0CFC2FB8"/>
    <w:rsid w:val="0D101037"/>
    <w:rsid w:val="0D755621"/>
    <w:rsid w:val="0D7D6DF4"/>
    <w:rsid w:val="0DC12675"/>
    <w:rsid w:val="0DD94183"/>
    <w:rsid w:val="0DFF58E3"/>
    <w:rsid w:val="0E26697C"/>
    <w:rsid w:val="0E5C1004"/>
    <w:rsid w:val="0E772D33"/>
    <w:rsid w:val="0E96024B"/>
    <w:rsid w:val="0E9B0CB8"/>
    <w:rsid w:val="0EA224A6"/>
    <w:rsid w:val="0EB84C8D"/>
    <w:rsid w:val="0EC93980"/>
    <w:rsid w:val="0ED140CD"/>
    <w:rsid w:val="0EEE56EB"/>
    <w:rsid w:val="0F0E3698"/>
    <w:rsid w:val="0F182768"/>
    <w:rsid w:val="0F433308"/>
    <w:rsid w:val="0F5B2655"/>
    <w:rsid w:val="0F781459"/>
    <w:rsid w:val="0FC65D20"/>
    <w:rsid w:val="0FF25A15"/>
    <w:rsid w:val="0FFA71A6"/>
    <w:rsid w:val="0FFF7484"/>
    <w:rsid w:val="100D7DF3"/>
    <w:rsid w:val="10221450"/>
    <w:rsid w:val="102A2753"/>
    <w:rsid w:val="1095419E"/>
    <w:rsid w:val="110B2037"/>
    <w:rsid w:val="11220530"/>
    <w:rsid w:val="11252143"/>
    <w:rsid w:val="11494E5B"/>
    <w:rsid w:val="11515ED0"/>
    <w:rsid w:val="11641C95"/>
    <w:rsid w:val="117E378C"/>
    <w:rsid w:val="118063A3"/>
    <w:rsid w:val="119D6F55"/>
    <w:rsid w:val="119F0F1F"/>
    <w:rsid w:val="11D21898"/>
    <w:rsid w:val="11DA3A8D"/>
    <w:rsid w:val="11EE155E"/>
    <w:rsid w:val="12372263"/>
    <w:rsid w:val="12483364"/>
    <w:rsid w:val="125E66E4"/>
    <w:rsid w:val="126F7541"/>
    <w:rsid w:val="12B40A3B"/>
    <w:rsid w:val="12E64975"/>
    <w:rsid w:val="13194C36"/>
    <w:rsid w:val="13250FB0"/>
    <w:rsid w:val="13421B62"/>
    <w:rsid w:val="13453400"/>
    <w:rsid w:val="13A41672"/>
    <w:rsid w:val="13C06F2A"/>
    <w:rsid w:val="13EE5846"/>
    <w:rsid w:val="13F667B4"/>
    <w:rsid w:val="142851FC"/>
    <w:rsid w:val="14496F20"/>
    <w:rsid w:val="14575AE1"/>
    <w:rsid w:val="146E4BD8"/>
    <w:rsid w:val="14A30D26"/>
    <w:rsid w:val="14B724B2"/>
    <w:rsid w:val="14C61C6E"/>
    <w:rsid w:val="15076514"/>
    <w:rsid w:val="151F7675"/>
    <w:rsid w:val="15406575"/>
    <w:rsid w:val="15451DDD"/>
    <w:rsid w:val="155A4791"/>
    <w:rsid w:val="156E6AFD"/>
    <w:rsid w:val="157B3666"/>
    <w:rsid w:val="158B0129"/>
    <w:rsid w:val="15A026A2"/>
    <w:rsid w:val="15A46B04"/>
    <w:rsid w:val="15AA616B"/>
    <w:rsid w:val="15FD06AA"/>
    <w:rsid w:val="16160E03"/>
    <w:rsid w:val="161B1156"/>
    <w:rsid w:val="161D478B"/>
    <w:rsid w:val="16277A4D"/>
    <w:rsid w:val="162B2D81"/>
    <w:rsid w:val="16456CC8"/>
    <w:rsid w:val="167364D6"/>
    <w:rsid w:val="167F4E7B"/>
    <w:rsid w:val="169C4016"/>
    <w:rsid w:val="16B03286"/>
    <w:rsid w:val="16B27EDD"/>
    <w:rsid w:val="16B6640F"/>
    <w:rsid w:val="17143815"/>
    <w:rsid w:val="172C5003"/>
    <w:rsid w:val="176302F9"/>
    <w:rsid w:val="176B039E"/>
    <w:rsid w:val="176C3651"/>
    <w:rsid w:val="176E7480"/>
    <w:rsid w:val="17B772AD"/>
    <w:rsid w:val="17EE22B8"/>
    <w:rsid w:val="18194E5B"/>
    <w:rsid w:val="183D3240"/>
    <w:rsid w:val="18406847"/>
    <w:rsid w:val="18496BF1"/>
    <w:rsid w:val="1856054F"/>
    <w:rsid w:val="186D58D3"/>
    <w:rsid w:val="18757829"/>
    <w:rsid w:val="18AE5162"/>
    <w:rsid w:val="18B232E6"/>
    <w:rsid w:val="18D92F68"/>
    <w:rsid w:val="18E836D4"/>
    <w:rsid w:val="18F02DCF"/>
    <w:rsid w:val="18FC27B3"/>
    <w:rsid w:val="19314B52"/>
    <w:rsid w:val="19450578"/>
    <w:rsid w:val="1975219A"/>
    <w:rsid w:val="198F308C"/>
    <w:rsid w:val="199450E1"/>
    <w:rsid w:val="19A060EF"/>
    <w:rsid w:val="19CC03D7"/>
    <w:rsid w:val="19D0740C"/>
    <w:rsid w:val="19DC4E7C"/>
    <w:rsid w:val="19FD2C86"/>
    <w:rsid w:val="1A027DA2"/>
    <w:rsid w:val="1A0D279E"/>
    <w:rsid w:val="1A163D48"/>
    <w:rsid w:val="1A231FC1"/>
    <w:rsid w:val="1A72223F"/>
    <w:rsid w:val="1A7B1DFD"/>
    <w:rsid w:val="1A7E3710"/>
    <w:rsid w:val="1A8E1B30"/>
    <w:rsid w:val="1A8E4287"/>
    <w:rsid w:val="1A930EF5"/>
    <w:rsid w:val="1AAC53DF"/>
    <w:rsid w:val="1ABB6BA6"/>
    <w:rsid w:val="1AD57687"/>
    <w:rsid w:val="1AE5233E"/>
    <w:rsid w:val="1AF11A94"/>
    <w:rsid w:val="1AFB69F3"/>
    <w:rsid w:val="1AFF47DC"/>
    <w:rsid w:val="1B202A98"/>
    <w:rsid w:val="1B414DF5"/>
    <w:rsid w:val="1B5872B4"/>
    <w:rsid w:val="1B830F69"/>
    <w:rsid w:val="1B99253B"/>
    <w:rsid w:val="1BA24E6E"/>
    <w:rsid w:val="1BAF4AA0"/>
    <w:rsid w:val="1BB630ED"/>
    <w:rsid w:val="1BE37C5A"/>
    <w:rsid w:val="1BEC4D61"/>
    <w:rsid w:val="1C142509"/>
    <w:rsid w:val="1C3D5A6B"/>
    <w:rsid w:val="1C533032"/>
    <w:rsid w:val="1C746B04"/>
    <w:rsid w:val="1C8256C5"/>
    <w:rsid w:val="1C93342E"/>
    <w:rsid w:val="1CE617B0"/>
    <w:rsid w:val="1CE9582B"/>
    <w:rsid w:val="1CEB7EA9"/>
    <w:rsid w:val="1CF218F5"/>
    <w:rsid w:val="1D152095"/>
    <w:rsid w:val="1D1E6FFA"/>
    <w:rsid w:val="1D2D2822"/>
    <w:rsid w:val="1D61352C"/>
    <w:rsid w:val="1D6372A4"/>
    <w:rsid w:val="1D725739"/>
    <w:rsid w:val="1D886CD2"/>
    <w:rsid w:val="1DAD5CC1"/>
    <w:rsid w:val="1DBB0E8E"/>
    <w:rsid w:val="1DCD0BC2"/>
    <w:rsid w:val="1DF223D6"/>
    <w:rsid w:val="1E16738A"/>
    <w:rsid w:val="1E3561A7"/>
    <w:rsid w:val="1E380731"/>
    <w:rsid w:val="1E3F65B7"/>
    <w:rsid w:val="1E63119C"/>
    <w:rsid w:val="1E7B6870"/>
    <w:rsid w:val="1E875215"/>
    <w:rsid w:val="1E8E0351"/>
    <w:rsid w:val="1E9E60BA"/>
    <w:rsid w:val="1EB338F7"/>
    <w:rsid w:val="1EDA0E63"/>
    <w:rsid w:val="1F2E2E47"/>
    <w:rsid w:val="1F4A6F63"/>
    <w:rsid w:val="1F505606"/>
    <w:rsid w:val="1F5144D6"/>
    <w:rsid w:val="1F525822"/>
    <w:rsid w:val="1F8D23B7"/>
    <w:rsid w:val="1FB43DE7"/>
    <w:rsid w:val="1FD043FA"/>
    <w:rsid w:val="1FDD28E5"/>
    <w:rsid w:val="1FFE32B4"/>
    <w:rsid w:val="20062169"/>
    <w:rsid w:val="20796DDF"/>
    <w:rsid w:val="207970FB"/>
    <w:rsid w:val="20831A0C"/>
    <w:rsid w:val="208458FE"/>
    <w:rsid w:val="20905657"/>
    <w:rsid w:val="209B0B03"/>
    <w:rsid w:val="20C441CE"/>
    <w:rsid w:val="20CE5014"/>
    <w:rsid w:val="20D21FD1"/>
    <w:rsid w:val="20EF26A6"/>
    <w:rsid w:val="21175A69"/>
    <w:rsid w:val="213F520D"/>
    <w:rsid w:val="215C4736"/>
    <w:rsid w:val="219F0AC7"/>
    <w:rsid w:val="21B005DE"/>
    <w:rsid w:val="224F429B"/>
    <w:rsid w:val="226A0903"/>
    <w:rsid w:val="228F28EA"/>
    <w:rsid w:val="22A7378F"/>
    <w:rsid w:val="22AB307D"/>
    <w:rsid w:val="22D327D6"/>
    <w:rsid w:val="22D33E08"/>
    <w:rsid w:val="22FF7BB1"/>
    <w:rsid w:val="23156AA1"/>
    <w:rsid w:val="2319695C"/>
    <w:rsid w:val="232E7BA6"/>
    <w:rsid w:val="23310794"/>
    <w:rsid w:val="235558E1"/>
    <w:rsid w:val="2366364A"/>
    <w:rsid w:val="23983A20"/>
    <w:rsid w:val="23DA6AE5"/>
    <w:rsid w:val="23DC390D"/>
    <w:rsid w:val="23DD6772"/>
    <w:rsid w:val="23F246D5"/>
    <w:rsid w:val="23FC0C66"/>
    <w:rsid w:val="240A1FE7"/>
    <w:rsid w:val="240E4EF4"/>
    <w:rsid w:val="244B0A92"/>
    <w:rsid w:val="244F2331"/>
    <w:rsid w:val="24613E12"/>
    <w:rsid w:val="246F4781"/>
    <w:rsid w:val="24B77ED6"/>
    <w:rsid w:val="24D528C8"/>
    <w:rsid w:val="250A44A9"/>
    <w:rsid w:val="253357AE"/>
    <w:rsid w:val="25440C67"/>
    <w:rsid w:val="254E7B1D"/>
    <w:rsid w:val="25587450"/>
    <w:rsid w:val="257C53A7"/>
    <w:rsid w:val="25845748"/>
    <w:rsid w:val="25873F58"/>
    <w:rsid w:val="25B20DC9"/>
    <w:rsid w:val="25BC57A4"/>
    <w:rsid w:val="25CB2FB1"/>
    <w:rsid w:val="25E62821"/>
    <w:rsid w:val="25FC3DF2"/>
    <w:rsid w:val="260F1500"/>
    <w:rsid w:val="2614570C"/>
    <w:rsid w:val="266176D6"/>
    <w:rsid w:val="2670344A"/>
    <w:rsid w:val="26B20955"/>
    <w:rsid w:val="26ED7BDF"/>
    <w:rsid w:val="26F97F05"/>
    <w:rsid w:val="26FE3B9A"/>
    <w:rsid w:val="27012A0B"/>
    <w:rsid w:val="271678F5"/>
    <w:rsid w:val="27840543"/>
    <w:rsid w:val="27914D3A"/>
    <w:rsid w:val="27A110F5"/>
    <w:rsid w:val="27A6429D"/>
    <w:rsid w:val="28520641"/>
    <w:rsid w:val="28553C8E"/>
    <w:rsid w:val="285A233E"/>
    <w:rsid w:val="287405B8"/>
    <w:rsid w:val="28895B8E"/>
    <w:rsid w:val="288A1B89"/>
    <w:rsid w:val="289F315B"/>
    <w:rsid w:val="28AE0255"/>
    <w:rsid w:val="28C80903"/>
    <w:rsid w:val="28CA642A"/>
    <w:rsid w:val="28CD0E0B"/>
    <w:rsid w:val="28F416F8"/>
    <w:rsid w:val="28F60FCD"/>
    <w:rsid w:val="29257B04"/>
    <w:rsid w:val="29326457"/>
    <w:rsid w:val="293B7327"/>
    <w:rsid w:val="29630A8C"/>
    <w:rsid w:val="297350C5"/>
    <w:rsid w:val="29791BFE"/>
    <w:rsid w:val="298B77C1"/>
    <w:rsid w:val="29AA0E8A"/>
    <w:rsid w:val="29B61260"/>
    <w:rsid w:val="29C235A5"/>
    <w:rsid w:val="2AA850FE"/>
    <w:rsid w:val="2AB721F8"/>
    <w:rsid w:val="2ABE3D6C"/>
    <w:rsid w:val="2AE96937"/>
    <w:rsid w:val="2B0674C1"/>
    <w:rsid w:val="2B28694F"/>
    <w:rsid w:val="2B442E87"/>
    <w:rsid w:val="2B5926E0"/>
    <w:rsid w:val="2B6C165D"/>
    <w:rsid w:val="2B7C58B9"/>
    <w:rsid w:val="2BA2019D"/>
    <w:rsid w:val="2BB92785"/>
    <w:rsid w:val="2BC26B64"/>
    <w:rsid w:val="2C1A1CAD"/>
    <w:rsid w:val="2C9F3729"/>
    <w:rsid w:val="2CB17636"/>
    <w:rsid w:val="2D102879"/>
    <w:rsid w:val="2D1063D5"/>
    <w:rsid w:val="2D2337CE"/>
    <w:rsid w:val="2D27472A"/>
    <w:rsid w:val="2D8D3ECA"/>
    <w:rsid w:val="2DA336ED"/>
    <w:rsid w:val="2DAA3A50"/>
    <w:rsid w:val="2DFF6F55"/>
    <w:rsid w:val="2E3031D3"/>
    <w:rsid w:val="2E5F7614"/>
    <w:rsid w:val="2E954DE4"/>
    <w:rsid w:val="2EA6225A"/>
    <w:rsid w:val="2ED83151"/>
    <w:rsid w:val="2EE44DA7"/>
    <w:rsid w:val="2F063F34"/>
    <w:rsid w:val="2F7F4AA4"/>
    <w:rsid w:val="2F9D28F7"/>
    <w:rsid w:val="2FB27C17"/>
    <w:rsid w:val="2FC33BD3"/>
    <w:rsid w:val="2FF27434"/>
    <w:rsid w:val="30112802"/>
    <w:rsid w:val="30234671"/>
    <w:rsid w:val="30347DA4"/>
    <w:rsid w:val="303D5733"/>
    <w:rsid w:val="3059692A"/>
    <w:rsid w:val="3079709D"/>
    <w:rsid w:val="308E7BCC"/>
    <w:rsid w:val="30D53BBD"/>
    <w:rsid w:val="30EC0F07"/>
    <w:rsid w:val="30F5563F"/>
    <w:rsid w:val="30FF126C"/>
    <w:rsid w:val="312F6D42"/>
    <w:rsid w:val="314F3970"/>
    <w:rsid w:val="31927806"/>
    <w:rsid w:val="31975317"/>
    <w:rsid w:val="31BD1DE4"/>
    <w:rsid w:val="31CA1248"/>
    <w:rsid w:val="31ED4DB8"/>
    <w:rsid w:val="31ED4F37"/>
    <w:rsid w:val="321C3675"/>
    <w:rsid w:val="32624BA7"/>
    <w:rsid w:val="32696CB3"/>
    <w:rsid w:val="327921DC"/>
    <w:rsid w:val="32877139"/>
    <w:rsid w:val="32DE7134"/>
    <w:rsid w:val="32F32A21"/>
    <w:rsid w:val="331F3816"/>
    <w:rsid w:val="333F6333"/>
    <w:rsid w:val="33615BDC"/>
    <w:rsid w:val="339F245D"/>
    <w:rsid w:val="33CF1C6D"/>
    <w:rsid w:val="33DC5263"/>
    <w:rsid w:val="33FD3B57"/>
    <w:rsid w:val="340E0074"/>
    <w:rsid w:val="340F0DC0"/>
    <w:rsid w:val="343155AF"/>
    <w:rsid w:val="346516EC"/>
    <w:rsid w:val="3493014C"/>
    <w:rsid w:val="349B0722"/>
    <w:rsid w:val="349D0E96"/>
    <w:rsid w:val="34A56435"/>
    <w:rsid w:val="34AC78AD"/>
    <w:rsid w:val="34AF1EA4"/>
    <w:rsid w:val="34CE04B2"/>
    <w:rsid w:val="34DC2E19"/>
    <w:rsid w:val="34F915D9"/>
    <w:rsid w:val="353B0B1D"/>
    <w:rsid w:val="353C245D"/>
    <w:rsid w:val="354B26A0"/>
    <w:rsid w:val="356E34B4"/>
    <w:rsid w:val="35780FBB"/>
    <w:rsid w:val="35814314"/>
    <w:rsid w:val="3587034C"/>
    <w:rsid w:val="35AD335B"/>
    <w:rsid w:val="35D2691D"/>
    <w:rsid w:val="35D4302E"/>
    <w:rsid w:val="36207E7D"/>
    <w:rsid w:val="364B4675"/>
    <w:rsid w:val="364E1F79"/>
    <w:rsid w:val="365227E1"/>
    <w:rsid w:val="367C1490"/>
    <w:rsid w:val="368D7B3B"/>
    <w:rsid w:val="36946B89"/>
    <w:rsid w:val="36985DB9"/>
    <w:rsid w:val="369B7657"/>
    <w:rsid w:val="36AB24C2"/>
    <w:rsid w:val="36C06910"/>
    <w:rsid w:val="36D82ED9"/>
    <w:rsid w:val="36ED551F"/>
    <w:rsid w:val="37256F21"/>
    <w:rsid w:val="37330213"/>
    <w:rsid w:val="37411FAD"/>
    <w:rsid w:val="378D7754"/>
    <w:rsid w:val="37A463F2"/>
    <w:rsid w:val="37A7337A"/>
    <w:rsid w:val="37B02769"/>
    <w:rsid w:val="37C130EE"/>
    <w:rsid w:val="37D8637E"/>
    <w:rsid w:val="37E22F52"/>
    <w:rsid w:val="37F04329"/>
    <w:rsid w:val="38100FD4"/>
    <w:rsid w:val="38123949"/>
    <w:rsid w:val="384B7486"/>
    <w:rsid w:val="385D19D4"/>
    <w:rsid w:val="387168C2"/>
    <w:rsid w:val="38A31F2B"/>
    <w:rsid w:val="39037EDB"/>
    <w:rsid w:val="39132EC3"/>
    <w:rsid w:val="393B2A2C"/>
    <w:rsid w:val="39460A0E"/>
    <w:rsid w:val="39677CC5"/>
    <w:rsid w:val="399F6627"/>
    <w:rsid w:val="3A6A394A"/>
    <w:rsid w:val="3A6B10EF"/>
    <w:rsid w:val="3A891C5C"/>
    <w:rsid w:val="3A974937"/>
    <w:rsid w:val="3AB331C1"/>
    <w:rsid w:val="3AB51D54"/>
    <w:rsid w:val="3AC802EF"/>
    <w:rsid w:val="3ADE5D64"/>
    <w:rsid w:val="3AF32DA0"/>
    <w:rsid w:val="3B196D9D"/>
    <w:rsid w:val="3B414BC4"/>
    <w:rsid w:val="3B9542E4"/>
    <w:rsid w:val="3BA52994"/>
    <w:rsid w:val="3BAA5C47"/>
    <w:rsid w:val="3BB91614"/>
    <w:rsid w:val="3BBC418D"/>
    <w:rsid w:val="3BD7095E"/>
    <w:rsid w:val="3BE61375"/>
    <w:rsid w:val="3BFB7870"/>
    <w:rsid w:val="3C014DF3"/>
    <w:rsid w:val="3C027E20"/>
    <w:rsid w:val="3C0E4427"/>
    <w:rsid w:val="3C277297"/>
    <w:rsid w:val="3C8D0D8F"/>
    <w:rsid w:val="3CDD09B4"/>
    <w:rsid w:val="3D2F0AF9"/>
    <w:rsid w:val="3D45031D"/>
    <w:rsid w:val="3D6469F5"/>
    <w:rsid w:val="3D65276D"/>
    <w:rsid w:val="3D9B618F"/>
    <w:rsid w:val="3DA2472E"/>
    <w:rsid w:val="3DA70690"/>
    <w:rsid w:val="3DD4074F"/>
    <w:rsid w:val="3DD86A9B"/>
    <w:rsid w:val="3E2148E6"/>
    <w:rsid w:val="3E296E12"/>
    <w:rsid w:val="3E3F16E6"/>
    <w:rsid w:val="3E646581"/>
    <w:rsid w:val="3E742234"/>
    <w:rsid w:val="3E7D661C"/>
    <w:rsid w:val="3E980CCF"/>
    <w:rsid w:val="3EA4796C"/>
    <w:rsid w:val="3EC11C25"/>
    <w:rsid w:val="3EC51715"/>
    <w:rsid w:val="3ED27251"/>
    <w:rsid w:val="3EDB13A4"/>
    <w:rsid w:val="3EE17BD1"/>
    <w:rsid w:val="3F073ADC"/>
    <w:rsid w:val="3F1203C4"/>
    <w:rsid w:val="3F2B55C2"/>
    <w:rsid w:val="3F4D5267"/>
    <w:rsid w:val="3F6820A1"/>
    <w:rsid w:val="3F7D3D9E"/>
    <w:rsid w:val="3FA330D9"/>
    <w:rsid w:val="3FA36C10"/>
    <w:rsid w:val="3FEB6F5A"/>
    <w:rsid w:val="3FF51B86"/>
    <w:rsid w:val="40391F6D"/>
    <w:rsid w:val="40583EC3"/>
    <w:rsid w:val="40907423"/>
    <w:rsid w:val="40A1586A"/>
    <w:rsid w:val="40A9471F"/>
    <w:rsid w:val="40B21825"/>
    <w:rsid w:val="40B57980"/>
    <w:rsid w:val="40B72A48"/>
    <w:rsid w:val="40B732E0"/>
    <w:rsid w:val="40E61C44"/>
    <w:rsid w:val="40E67721"/>
    <w:rsid w:val="413D4467"/>
    <w:rsid w:val="414803DC"/>
    <w:rsid w:val="41483F38"/>
    <w:rsid w:val="415122C4"/>
    <w:rsid w:val="41811B95"/>
    <w:rsid w:val="418331C2"/>
    <w:rsid w:val="41C23CEA"/>
    <w:rsid w:val="41D238B1"/>
    <w:rsid w:val="4222518C"/>
    <w:rsid w:val="42424E2B"/>
    <w:rsid w:val="424B6DD5"/>
    <w:rsid w:val="42772D26"/>
    <w:rsid w:val="428E5B40"/>
    <w:rsid w:val="429B5C06"/>
    <w:rsid w:val="42B10760"/>
    <w:rsid w:val="42B1476A"/>
    <w:rsid w:val="42E12896"/>
    <w:rsid w:val="42E45961"/>
    <w:rsid w:val="432D1637"/>
    <w:rsid w:val="43616E3D"/>
    <w:rsid w:val="436C03B1"/>
    <w:rsid w:val="437152C3"/>
    <w:rsid w:val="438D20D6"/>
    <w:rsid w:val="43A247AA"/>
    <w:rsid w:val="43AD1D66"/>
    <w:rsid w:val="43CF6B92"/>
    <w:rsid w:val="43D63A7D"/>
    <w:rsid w:val="43F34172"/>
    <w:rsid w:val="43FF73DB"/>
    <w:rsid w:val="4403064B"/>
    <w:rsid w:val="441462F3"/>
    <w:rsid w:val="442A7902"/>
    <w:rsid w:val="44323428"/>
    <w:rsid w:val="445F1E45"/>
    <w:rsid w:val="44783E9F"/>
    <w:rsid w:val="44827B22"/>
    <w:rsid w:val="44873928"/>
    <w:rsid w:val="44986DD2"/>
    <w:rsid w:val="44A616A1"/>
    <w:rsid w:val="44B00772"/>
    <w:rsid w:val="44E46C23"/>
    <w:rsid w:val="44E81CBA"/>
    <w:rsid w:val="451707F1"/>
    <w:rsid w:val="4550785F"/>
    <w:rsid w:val="45730A88"/>
    <w:rsid w:val="45CB571D"/>
    <w:rsid w:val="45CC1560"/>
    <w:rsid w:val="45E36925"/>
    <w:rsid w:val="460C5E7C"/>
    <w:rsid w:val="46167423"/>
    <w:rsid w:val="4622553B"/>
    <w:rsid w:val="467F44A7"/>
    <w:rsid w:val="468D39EA"/>
    <w:rsid w:val="46BB51AC"/>
    <w:rsid w:val="46DE3DA2"/>
    <w:rsid w:val="46DF0E9A"/>
    <w:rsid w:val="46F34946"/>
    <w:rsid w:val="47046143"/>
    <w:rsid w:val="472732CA"/>
    <w:rsid w:val="47282017"/>
    <w:rsid w:val="47422BE1"/>
    <w:rsid w:val="477C3AE3"/>
    <w:rsid w:val="479559FD"/>
    <w:rsid w:val="47D46525"/>
    <w:rsid w:val="48373F0E"/>
    <w:rsid w:val="483F42E6"/>
    <w:rsid w:val="48514393"/>
    <w:rsid w:val="488066AD"/>
    <w:rsid w:val="48897310"/>
    <w:rsid w:val="48967C7F"/>
    <w:rsid w:val="48976630"/>
    <w:rsid w:val="489D01C2"/>
    <w:rsid w:val="48A1490F"/>
    <w:rsid w:val="48AC1740"/>
    <w:rsid w:val="48AF2D06"/>
    <w:rsid w:val="48BA396D"/>
    <w:rsid w:val="48E46C3C"/>
    <w:rsid w:val="48F149CF"/>
    <w:rsid w:val="48F232BB"/>
    <w:rsid w:val="49150762"/>
    <w:rsid w:val="492C413F"/>
    <w:rsid w:val="49B320C7"/>
    <w:rsid w:val="49BA7872"/>
    <w:rsid w:val="49D51330"/>
    <w:rsid w:val="4A0330F2"/>
    <w:rsid w:val="4A283849"/>
    <w:rsid w:val="4A7D4C52"/>
    <w:rsid w:val="4AB47748"/>
    <w:rsid w:val="4AB47DCB"/>
    <w:rsid w:val="4ADB1EDB"/>
    <w:rsid w:val="4AE271AB"/>
    <w:rsid w:val="4AEC5E6C"/>
    <w:rsid w:val="4AF13892"/>
    <w:rsid w:val="4B102BAE"/>
    <w:rsid w:val="4B5F25AA"/>
    <w:rsid w:val="4B7047B7"/>
    <w:rsid w:val="4B8F50E2"/>
    <w:rsid w:val="4BA95F1B"/>
    <w:rsid w:val="4BC03C90"/>
    <w:rsid w:val="4BC0573E"/>
    <w:rsid w:val="4BDB529B"/>
    <w:rsid w:val="4BF7490B"/>
    <w:rsid w:val="4C3C7499"/>
    <w:rsid w:val="4C8D3147"/>
    <w:rsid w:val="4C940979"/>
    <w:rsid w:val="4C9D5A7F"/>
    <w:rsid w:val="4C9D782D"/>
    <w:rsid w:val="4CC4300C"/>
    <w:rsid w:val="4CF47989"/>
    <w:rsid w:val="4CF907DC"/>
    <w:rsid w:val="4CFF3B72"/>
    <w:rsid w:val="4D242140"/>
    <w:rsid w:val="4D5A3656"/>
    <w:rsid w:val="4D6B3488"/>
    <w:rsid w:val="4DED0341"/>
    <w:rsid w:val="4DF44835"/>
    <w:rsid w:val="4E1458CD"/>
    <w:rsid w:val="4E1F4272"/>
    <w:rsid w:val="4E2C3F20"/>
    <w:rsid w:val="4E467A51"/>
    <w:rsid w:val="4E5C4F50"/>
    <w:rsid w:val="4E8E5624"/>
    <w:rsid w:val="4E9133C2"/>
    <w:rsid w:val="4E9D4FF6"/>
    <w:rsid w:val="4EA4578E"/>
    <w:rsid w:val="4ED660C1"/>
    <w:rsid w:val="4EF34375"/>
    <w:rsid w:val="4F275AD4"/>
    <w:rsid w:val="4F3F2E1E"/>
    <w:rsid w:val="4F4D1EFF"/>
    <w:rsid w:val="4F563CC4"/>
    <w:rsid w:val="4F5F72FE"/>
    <w:rsid w:val="4F6C1739"/>
    <w:rsid w:val="4F9F2A47"/>
    <w:rsid w:val="4FAA1984"/>
    <w:rsid w:val="4FB23760"/>
    <w:rsid w:val="4FBD16C8"/>
    <w:rsid w:val="4FC13833"/>
    <w:rsid w:val="4FEA2C8E"/>
    <w:rsid w:val="50003008"/>
    <w:rsid w:val="50036DF3"/>
    <w:rsid w:val="503C7352"/>
    <w:rsid w:val="505E5526"/>
    <w:rsid w:val="507A7408"/>
    <w:rsid w:val="50821593"/>
    <w:rsid w:val="50C30C4C"/>
    <w:rsid w:val="50E64646"/>
    <w:rsid w:val="510D2AA8"/>
    <w:rsid w:val="51387B25"/>
    <w:rsid w:val="51937451"/>
    <w:rsid w:val="51BB2504"/>
    <w:rsid w:val="51DF494F"/>
    <w:rsid w:val="51E754ED"/>
    <w:rsid w:val="51F83758"/>
    <w:rsid w:val="51F85506"/>
    <w:rsid w:val="51FD48CA"/>
    <w:rsid w:val="520F0DB6"/>
    <w:rsid w:val="521535AD"/>
    <w:rsid w:val="521D586D"/>
    <w:rsid w:val="52544F36"/>
    <w:rsid w:val="525A423E"/>
    <w:rsid w:val="52610E93"/>
    <w:rsid w:val="5283562E"/>
    <w:rsid w:val="52BC5F5E"/>
    <w:rsid w:val="52D715BF"/>
    <w:rsid w:val="52E76D06"/>
    <w:rsid w:val="52F50359"/>
    <w:rsid w:val="5309115A"/>
    <w:rsid w:val="533B1B4E"/>
    <w:rsid w:val="534538DE"/>
    <w:rsid w:val="534654B2"/>
    <w:rsid w:val="534A7FE3"/>
    <w:rsid w:val="53670B95"/>
    <w:rsid w:val="53BA3F02"/>
    <w:rsid w:val="53CB0190"/>
    <w:rsid w:val="5438771C"/>
    <w:rsid w:val="54534C76"/>
    <w:rsid w:val="545D5AF4"/>
    <w:rsid w:val="547D1CF3"/>
    <w:rsid w:val="549A0AF6"/>
    <w:rsid w:val="54D8352B"/>
    <w:rsid w:val="54DD5342"/>
    <w:rsid w:val="54DF6509"/>
    <w:rsid w:val="55067F3A"/>
    <w:rsid w:val="557518DD"/>
    <w:rsid w:val="557D2A48"/>
    <w:rsid w:val="558C48E3"/>
    <w:rsid w:val="55B160F8"/>
    <w:rsid w:val="55BD37D3"/>
    <w:rsid w:val="55E22755"/>
    <w:rsid w:val="55FE42DF"/>
    <w:rsid w:val="55FF79F4"/>
    <w:rsid w:val="56017D76"/>
    <w:rsid w:val="56097CE2"/>
    <w:rsid w:val="561F77A0"/>
    <w:rsid w:val="56462CE4"/>
    <w:rsid w:val="566F4866"/>
    <w:rsid w:val="56CB0A2B"/>
    <w:rsid w:val="56D5229D"/>
    <w:rsid w:val="56FE5351"/>
    <w:rsid w:val="57204F99"/>
    <w:rsid w:val="572648C3"/>
    <w:rsid w:val="57366BC0"/>
    <w:rsid w:val="57476D14"/>
    <w:rsid w:val="574D1E50"/>
    <w:rsid w:val="57631674"/>
    <w:rsid w:val="57672F12"/>
    <w:rsid w:val="5806440C"/>
    <w:rsid w:val="580D3C8F"/>
    <w:rsid w:val="582157B7"/>
    <w:rsid w:val="58226C63"/>
    <w:rsid w:val="582E3170"/>
    <w:rsid w:val="583F5C3D"/>
    <w:rsid w:val="584C6889"/>
    <w:rsid w:val="588274C0"/>
    <w:rsid w:val="58A41F44"/>
    <w:rsid w:val="58A91394"/>
    <w:rsid w:val="58AA4B33"/>
    <w:rsid w:val="58C223CA"/>
    <w:rsid w:val="58C70C0A"/>
    <w:rsid w:val="58D152E0"/>
    <w:rsid w:val="58D16018"/>
    <w:rsid w:val="58EF5E22"/>
    <w:rsid w:val="58F869B7"/>
    <w:rsid w:val="59311C62"/>
    <w:rsid w:val="59383241"/>
    <w:rsid w:val="593C03FF"/>
    <w:rsid w:val="594A6647"/>
    <w:rsid w:val="59653481"/>
    <w:rsid w:val="59664C29"/>
    <w:rsid w:val="597F650C"/>
    <w:rsid w:val="5A0A2FAF"/>
    <w:rsid w:val="5A1E1882"/>
    <w:rsid w:val="5A514310"/>
    <w:rsid w:val="5A690A56"/>
    <w:rsid w:val="5A6A7096"/>
    <w:rsid w:val="5A7616BE"/>
    <w:rsid w:val="5A7871E4"/>
    <w:rsid w:val="5A8E07B6"/>
    <w:rsid w:val="5AAB5372"/>
    <w:rsid w:val="5AB07EC4"/>
    <w:rsid w:val="5ABC1339"/>
    <w:rsid w:val="5B1E7D8B"/>
    <w:rsid w:val="5BA069F2"/>
    <w:rsid w:val="5BEC7116"/>
    <w:rsid w:val="5BF07B73"/>
    <w:rsid w:val="5BF22FC6"/>
    <w:rsid w:val="5BF240B3"/>
    <w:rsid w:val="5BFE2A26"/>
    <w:rsid w:val="5C4E46A0"/>
    <w:rsid w:val="5C72639D"/>
    <w:rsid w:val="5C82434A"/>
    <w:rsid w:val="5C827239"/>
    <w:rsid w:val="5C853E3A"/>
    <w:rsid w:val="5C8956D8"/>
    <w:rsid w:val="5CD8555F"/>
    <w:rsid w:val="5CF240F8"/>
    <w:rsid w:val="5CFD6DDC"/>
    <w:rsid w:val="5D480AC5"/>
    <w:rsid w:val="5D610403"/>
    <w:rsid w:val="5D9E5209"/>
    <w:rsid w:val="5DC65CED"/>
    <w:rsid w:val="5E0314BA"/>
    <w:rsid w:val="5E0837DD"/>
    <w:rsid w:val="5E0A2849"/>
    <w:rsid w:val="5E3735CA"/>
    <w:rsid w:val="5E457D25"/>
    <w:rsid w:val="5E4749DA"/>
    <w:rsid w:val="5E5D237F"/>
    <w:rsid w:val="5E5D506F"/>
    <w:rsid w:val="5E6A480D"/>
    <w:rsid w:val="5E79352B"/>
    <w:rsid w:val="5E937F8B"/>
    <w:rsid w:val="5E9B5B97"/>
    <w:rsid w:val="5EA23B64"/>
    <w:rsid w:val="5ECA6A83"/>
    <w:rsid w:val="5ECB022A"/>
    <w:rsid w:val="5EE66679"/>
    <w:rsid w:val="5EF4396B"/>
    <w:rsid w:val="5EFD23AE"/>
    <w:rsid w:val="5F010070"/>
    <w:rsid w:val="5F2416E8"/>
    <w:rsid w:val="5F2913F5"/>
    <w:rsid w:val="5F2B7CAD"/>
    <w:rsid w:val="5F5A311A"/>
    <w:rsid w:val="5F831334"/>
    <w:rsid w:val="5F93686E"/>
    <w:rsid w:val="5F97010C"/>
    <w:rsid w:val="5FB32C8F"/>
    <w:rsid w:val="5FB707AE"/>
    <w:rsid w:val="600F05EB"/>
    <w:rsid w:val="60341DFF"/>
    <w:rsid w:val="60704678"/>
    <w:rsid w:val="60762418"/>
    <w:rsid w:val="608E7761"/>
    <w:rsid w:val="60964868"/>
    <w:rsid w:val="609E54CA"/>
    <w:rsid w:val="60C3313B"/>
    <w:rsid w:val="60EE3213"/>
    <w:rsid w:val="610F5326"/>
    <w:rsid w:val="613F1F81"/>
    <w:rsid w:val="614800A8"/>
    <w:rsid w:val="61523E37"/>
    <w:rsid w:val="61587D6F"/>
    <w:rsid w:val="615C3162"/>
    <w:rsid w:val="6162163A"/>
    <w:rsid w:val="61A11716"/>
    <w:rsid w:val="61A1624B"/>
    <w:rsid w:val="61B220EC"/>
    <w:rsid w:val="61D513C0"/>
    <w:rsid w:val="62383A10"/>
    <w:rsid w:val="623F0AFD"/>
    <w:rsid w:val="624A76B8"/>
    <w:rsid w:val="62533A5E"/>
    <w:rsid w:val="626B41F2"/>
    <w:rsid w:val="629B43B7"/>
    <w:rsid w:val="62C84A81"/>
    <w:rsid w:val="62D1212E"/>
    <w:rsid w:val="62ED43A3"/>
    <w:rsid w:val="6300421A"/>
    <w:rsid w:val="63163A3E"/>
    <w:rsid w:val="63514A76"/>
    <w:rsid w:val="635A1B7D"/>
    <w:rsid w:val="636B5B38"/>
    <w:rsid w:val="637013A0"/>
    <w:rsid w:val="6371657A"/>
    <w:rsid w:val="638135AD"/>
    <w:rsid w:val="63864720"/>
    <w:rsid w:val="63C74D38"/>
    <w:rsid w:val="63D5549E"/>
    <w:rsid w:val="63FA7E67"/>
    <w:rsid w:val="641238A9"/>
    <w:rsid w:val="642910AB"/>
    <w:rsid w:val="64295842"/>
    <w:rsid w:val="642E4744"/>
    <w:rsid w:val="64693149"/>
    <w:rsid w:val="64733A58"/>
    <w:rsid w:val="64771235"/>
    <w:rsid w:val="64A455A8"/>
    <w:rsid w:val="64A75E62"/>
    <w:rsid w:val="64CE7F52"/>
    <w:rsid w:val="64E536C8"/>
    <w:rsid w:val="6501482F"/>
    <w:rsid w:val="652735EC"/>
    <w:rsid w:val="65695A9D"/>
    <w:rsid w:val="65755475"/>
    <w:rsid w:val="657B15F3"/>
    <w:rsid w:val="659770B8"/>
    <w:rsid w:val="65AD3D42"/>
    <w:rsid w:val="65B47448"/>
    <w:rsid w:val="65B62AAF"/>
    <w:rsid w:val="65B80DDC"/>
    <w:rsid w:val="65CC4888"/>
    <w:rsid w:val="65CD6AB2"/>
    <w:rsid w:val="65DC4ACB"/>
    <w:rsid w:val="65E10333"/>
    <w:rsid w:val="65FC516D"/>
    <w:rsid w:val="66302AB4"/>
    <w:rsid w:val="6635242D"/>
    <w:rsid w:val="666D7E19"/>
    <w:rsid w:val="66730AB2"/>
    <w:rsid w:val="66741E8A"/>
    <w:rsid w:val="66972C7C"/>
    <w:rsid w:val="669D17DE"/>
    <w:rsid w:val="67023C27"/>
    <w:rsid w:val="67057615"/>
    <w:rsid w:val="67191D4F"/>
    <w:rsid w:val="672E75A8"/>
    <w:rsid w:val="673222E0"/>
    <w:rsid w:val="67600C28"/>
    <w:rsid w:val="6784366C"/>
    <w:rsid w:val="67B07C16"/>
    <w:rsid w:val="67B1228C"/>
    <w:rsid w:val="67CA6313"/>
    <w:rsid w:val="67CE0D8B"/>
    <w:rsid w:val="67CE654E"/>
    <w:rsid w:val="67D509EC"/>
    <w:rsid w:val="67D75C7D"/>
    <w:rsid w:val="67E15701"/>
    <w:rsid w:val="67EB36EB"/>
    <w:rsid w:val="67FF2CF3"/>
    <w:rsid w:val="68324836"/>
    <w:rsid w:val="6841155D"/>
    <w:rsid w:val="685B09D3"/>
    <w:rsid w:val="685C47AD"/>
    <w:rsid w:val="686314D3"/>
    <w:rsid w:val="68632D16"/>
    <w:rsid w:val="687436E1"/>
    <w:rsid w:val="688B4586"/>
    <w:rsid w:val="68A30E99"/>
    <w:rsid w:val="690D3EC7"/>
    <w:rsid w:val="692B7D65"/>
    <w:rsid w:val="692E3608"/>
    <w:rsid w:val="695452C0"/>
    <w:rsid w:val="69665C88"/>
    <w:rsid w:val="696C085C"/>
    <w:rsid w:val="699252C4"/>
    <w:rsid w:val="69D837FB"/>
    <w:rsid w:val="69DA6A67"/>
    <w:rsid w:val="69E06B54"/>
    <w:rsid w:val="69F900CD"/>
    <w:rsid w:val="6A250150"/>
    <w:rsid w:val="6A3053E5"/>
    <w:rsid w:val="6A3F7D1E"/>
    <w:rsid w:val="6A4C5F97"/>
    <w:rsid w:val="6A613EE9"/>
    <w:rsid w:val="6A9C3978"/>
    <w:rsid w:val="6AFE1987"/>
    <w:rsid w:val="6AFF300A"/>
    <w:rsid w:val="6B0C7DAB"/>
    <w:rsid w:val="6B4F5D3F"/>
    <w:rsid w:val="6B653650"/>
    <w:rsid w:val="6B713F07"/>
    <w:rsid w:val="6B9B0F84"/>
    <w:rsid w:val="6BB04E38"/>
    <w:rsid w:val="6BD83F86"/>
    <w:rsid w:val="6BF07522"/>
    <w:rsid w:val="6BFA214F"/>
    <w:rsid w:val="6C021003"/>
    <w:rsid w:val="6C2471CC"/>
    <w:rsid w:val="6C3640A1"/>
    <w:rsid w:val="6C6F1216"/>
    <w:rsid w:val="6C735A5D"/>
    <w:rsid w:val="6C862716"/>
    <w:rsid w:val="6CA337E1"/>
    <w:rsid w:val="6CA9218A"/>
    <w:rsid w:val="6CB247D7"/>
    <w:rsid w:val="6CD209D6"/>
    <w:rsid w:val="6CD7423E"/>
    <w:rsid w:val="6CF272CA"/>
    <w:rsid w:val="6D0D1A0E"/>
    <w:rsid w:val="6D1F7E14"/>
    <w:rsid w:val="6D2B71ED"/>
    <w:rsid w:val="6D4228CF"/>
    <w:rsid w:val="6D4713C4"/>
    <w:rsid w:val="6D4C3D11"/>
    <w:rsid w:val="6DA73C10"/>
    <w:rsid w:val="6DDC061E"/>
    <w:rsid w:val="6E0C4A6A"/>
    <w:rsid w:val="6E2A055C"/>
    <w:rsid w:val="6E5042A8"/>
    <w:rsid w:val="6E731D44"/>
    <w:rsid w:val="6E7F693B"/>
    <w:rsid w:val="6F027A08"/>
    <w:rsid w:val="6F165703"/>
    <w:rsid w:val="6FA05DD8"/>
    <w:rsid w:val="6FBA35F7"/>
    <w:rsid w:val="6FBC31E7"/>
    <w:rsid w:val="6FED5F89"/>
    <w:rsid w:val="702B57EE"/>
    <w:rsid w:val="70384FF4"/>
    <w:rsid w:val="7053007F"/>
    <w:rsid w:val="705D3AD4"/>
    <w:rsid w:val="7060454A"/>
    <w:rsid w:val="706A7177"/>
    <w:rsid w:val="70763D6E"/>
    <w:rsid w:val="708B68E7"/>
    <w:rsid w:val="708E2E66"/>
    <w:rsid w:val="709C4221"/>
    <w:rsid w:val="70DD1A5F"/>
    <w:rsid w:val="70E8478D"/>
    <w:rsid w:val="70FF1FB5"/>
    <w:rsid w:val="71116929"/>
    <w:rsid w:val="711E5D51"/>
    <w:rsid w:val="715D222B"/>
    <w:rsid w:val="71663DE2"/>
    <w:rsid w:val="71890614"/>
    <w:rsid w:val="7195514E"/>
    <w:rsid w:val="71C51A71"/>
    <w:rsid w:val="71CF7BDA"/>
    <w:rsid w:val="71F8105B"/>
    <w:rsid w:val="71F904B7"/>
    <w:rsid w:val="722872EA"/>
    <w:rsid w:val="722F0678"/>
    <w:rsid w:val="72B7795A"/>
    <w:rsid w:val="72BA2638"/>
    <w:rsid w:val="72CC26C6"/>
    <w:rsid w:val="72F01BB6"/>
    <w:rsid w:val="730C2142"/>
    <w:rsid w:val="73155AC0"/>
    <w:rsid w:val="732950C8"/>
    <w:rsid w:val="737A3B75"/>
    <w:rsid w:val="73814F04"/>
    <w:rsid w:val="73A62BBC"/>
    <w:rsid w:val="73DD006E"/>
    <w:rsid w:val="741728FA"/>
    <w:rsid w:val="742B1A04"/>
    <w:rsid w:val="74385C71"/>
    <w:rsid w:val="7438794A"/>
    <w:rsid w:val="74455F31"/>
    <w:rsid w:val="74604B16"/>
    <w:rsid w:val="747405C4"/>
    <w:rsid w:val="74907F2E"/>
    <w:rsid w:val="74956EB9"/>
    <w:rsid w:val="751A71B9"/>
    <w:rsid w:val="7544443B"/>
    <w:rsid w:val="75736ACE"/>
    <w:rsid w:val="75781A85"/>
    <w:rsid w:val="757840E4"/>
    <w:rsid w:val="75786DBE"/>
    <w:rsid w:val="75867A54"/>
    <w:rsid w:val="75932CCC"/>
    <w:rsid w:val="76004806"/>
    <w:rsid w:val="761C449D"/>
    <w:rsid w:val="76326989"/>
    <w:rsid w:val="76402E54"/>
    <w:rsid w:val="76865022"/>
    <w:rsid w:val="76D23B71"/>
    <w:rsid w:val="76F37914"/>
    <w:rsid w:val="7708642D"/>
    <w:rsid w:val="771D3195"/>
    <w:rsid w:val="77356731"/>
    <w:rsid w:val="773B1E28"/>
    <w:rsid w:val="774B5945"/>
    <w:rsid w:val="77717A93"/>
    <w:rsid w:val="779E48B3"/>
    <w:rsid w:val="77AF370B"/>
    <w:rsid w:val="77B11E7C"/>
    <w:rsid w:val="781E5417"/>
    <w:rsid w:val="78236589"/>
    <w:rsid w:val="782642CC"/>
    <w:rsid w:val="784723F4"/>
    <w:rsid w:val="784A7FBA"/>
    <w:rsid w:val="786607C9"/>
    <w:rsid w:val="787C42EA"/>
    <w:rsid w:val="78803B86"/>
    <w:rsid w:val="78CA7A0D"/>
    <w:rsid w:val="78E0447A"/>
    <w:rsid w:val="78EB40C0"/>
    <w:rsid w:val="79155BE7"/>
    <w:rsid w:val="79621333"/>
    <w:rsid w:val="79637CEE"/>
    <w:rsid w:val="79674733"/>
    <w:rsid w:val="79711576"/>
    <w:rsid w:val="7A0D29B9"/>
    <w:rsid w:val="7A3031E0"/>
    <w:rsid w:val="7A333A8D"/>
    <w:rsid w:val="7AAC661B"/>
    <w:rsid w:val="7AC322A6"/>
    <w:rsid w:val="7AF04D73"/>
    <w:rsid w:val="7B1E05B8"/>
    <w:rsid w:val="7B276391"/>
    <w:rsid w:val="7B3F2EF0"/>
    <w:rsid w:val="7B6150A8"/>
    <w:rsid w:val="7B7610C6"/>
    <w:rsid w:val="7BB7692F"/>
    <w:rsid w:val="7BBE469C"/>
    <w:rsid w:val="7BE02769"/>
    <w:rsid w:val="7C0004DA"/>
    <w:rsid w:val="7C32323F"/>
    <w:rsid w:val="7CB974BC"/>
    <w:rsid w:val="7CED53B8"/>
    <w:rsid w:val="7CFE1373"/>
    <w:rsid w:val="7D731FEC"/>
    <w:rsid w:val="7DF9570E"/>
    <w:rsid w:val="7E3E236F"/>
    <w:rsid w:val="7E521976"/>
    <w:rsid w:val="7E5C0A47"/>
    <w:rsid w:val="7E6873EC"/>
    <w:rsid w:val="7E7523DA"/>
    <w:rsid w:val="7E7A0ECD"/>
    <w:rsid w:val="7E7A4B80"/>
    <w:rsid w:val="7E9C7095"/>
    <w:rsid w:val="7EA71A11"/>
    <w:rsid w:val="7EB3390B"/>
    <w:rsid w:val="7EB63B18"/>
    <w:rsid w:val="7EB65E72"/>
    <w:rsid w:val="7EBA751C"/>
    <w:rsid w:val="7EBF4B32"/>
    <w:rsid w:val="7EE546B2"/>
    <w:rsid w:val="7EE66563"/>
    <w:rsid w:val="7EFB30E3"/>
    <w:rsid w:val="7F08505B"/>
    <w:rsid w:val="7F4272AB"/>
    <w:rsid w:val="7F803D4C"/>
    <w:rsid w:val="7FAB2019"/>
    <w:rsid w:val="7FDB599C"/>
    <w:rsid w:val="7FF9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name="HTML Keyboard"/>
    <w:lsdException w:qFormat="1" w:uiPriority="0" w:semiHidden="0" w:name="HTML Preformatted"/>
    <w:lsdException w:qFormat="1" w:uiPriority="99" w:name="HTML Sample"/>
    <w:lsdException w:qFormat="1"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73"/>
    <w:qFormat/>
    <w:uiPriority w:val="0"/>
    <w:pPr>
      <w:keepNext/>
      <w:keepLines/>
      <w:spacing w:before="260" w:after="260" w:line="416" w:lineRule="auto"/>
      <w:outlineLvl w:val="2"/>
    </w:pPr>
    <w:rPr>
      <w:b/>
      <w:bCs/>
      <w:sz w:val="32"/>
      <w:szCs w:val="32"/>
    </w:rPr>
  </w:style>
  <w:style w:type="paragraph" w:styleId="5">
    <w:name w:val="heading 4"/>
    <w:basedOn w:val="1"/>
    <w:next w:val="1"/>
    <w:link w:val="74"/>
    <w:qFormat/>
    <w:uiPriority w:val="0"/>
    <w:pPr>
      <w:widowControl/>
      <w:spacing w:before="100" w:beforeAutospacing="1" w:after="100" w:afterAutospacing="1"/>
      <w:jc w:val="left"/>
      <w:outlineLvl w:val="3"/>
    </w:pPr>
    <w:rPr>
      <w:rFonts w:ascii="宋体" w:hAnsi="宋体" w:cs="宋体"/>
      <w:b/>
      <w:bCs/>
      <w:kern w:val="0"/>
      <w:sz w:val="24"/>
    </w:rPr>
  </w:style>
  <w:style w:type="paragraph" w:styleId="6">
    <w:name w:val="heading 5"/>
    <w:basedOn w:val="1"/>
    <w:next w:val="1"/>
    <w:link w:val="75"/>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76"/>
    <w:qFormat/>
    <w:uiPriority w:val="0"/>
    <w:pPr>
      <w:keepNext/>
      <w:keepLines/>
      <w:ind w:firstLine="200" w:firstLineChars="200"/>
      <w:outlineLvl w:val="5"/>
    </w:pPr>
    <w:rPr>
      <w:rFonts w:hAnsi="Arial"/>
    </w:rPr>
  </w:style>
  <w:style w:type="paragraph" w:styleId="9">
    <w:name w:val="heading 7"/>
    <w:basedOn w:val="1"/>
    <w:next w:val="1"/>
    <w:link w:val="77"/>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0">
    <w:name w:val="heading 8"/>
    <w:basedOn w:val="1"/>
    <w:next w:val="1"/>
    <w:link w:val="78"/>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1">
    <w:name w:val="heading 9"/>
    <w:basedOn w:val="1"/>
    <w:next w:val="1"/>
    <w:link w:val="79"/>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table of authorities"/>
    <w:basedOn w:val="1"/>
    <w:next w:val="1"/>
    <w:qFormat/>
    <w:uiPriority w:val="0"/>
    <w:pPr>
      <w:ind w:left="420" w:left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81"/>
    <w:qFormat/>
    <w:uiPriority w:val="0"/>
    <w:pPr>
      <w:shd w:val="clear" w:color="auto" w:fill="000080"/>
    </w:pPr>
  </w:style>
  <w:style w:type="paragraph" w:styleId="16">
    <w:name w:val="annotation text"/>
    <w:basedOn w:val="1"/>
    <w:link w:val="82"/>
    <w:qFormat/>
    <w:uiPriority w:val="0"/>
    <w:pPr>
      <w:jc w:val="left"/>
    </w:pPr>
  </w:style>
  <w:style w:type="paragraph" w:styleId="17">
    <w:name w:val="Body Text 3"/>
    <w:basedOn w:val="1"/>
    <w:link w:val="83"/>
    <w:qFormat/>
    <w:uiPriority w:val="0"/>
    <w:pPr>
      <w:spacing w:after="120"/>
    </w:pPr>
    <w:rPr>
      <w:sz w:val="16"/>
      <w:szCs w:val="16"/>
    </w:rPr>
  </w:style>
  <w:style w:type="paragraph" w:styleId="18">
    <w:name w:val="Body Text"/>
    <w:basedOn w:val="1"/>
    <w:next w:val="1"/>
    <w:link w:val="80"/>
    <w:qFormat/>
    <w:uiPriority w:val="0"/>
    <w:pPr>
      <w:spacing w:after="120"/>
    </w:pPr>
  </w:style>
  <w:style w:type="paragraph" w:styleId="19">
    <w:name w:val="Body Text Indent"/>
    <w:basedOn w:val="1"/>
    <w:link w:val="84"/>
    <w:qFormat/>
    <w:uiPriority w:val="0"/>
    <w:pPr>
      <w:ind w:firstLine="407" w:firstLineChars="200"/>
    </w:pPr>
  </w:style>
  <w:style w:type="paragraph" w:styleId="2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qFormat/>
    <w:uiPriority w:val="0"/>
    <w:pPr>
      <w:ind w:left="600" w:leftChars="600"/>
    </w:pPr>
  </w:style>
  <w:style w:type="paragraph" w:styleId="22">
    <w:name w:val="toc 5"/>
    <w:basedOn w:val="1"/>
    <w:next w:val="1"/>
    <w:qFormat/>
    <w:uiPriority w:val="0"/>
    <w:pPr>
      <w:ind w:left="840"/>
      <w:jc w:val="left"/>
    </w:pPr>
    <w:rPr>
      <w:sz w:val="18"/>
      <w:szCs w:val="18"/>
    </w:rPr>
  </w:style>
  <w:style w:type="paragraph" w:styleId="23">
    <w:name w:val="toc 3"/>
    <w:basedOn w:val="4"/>
    <w:next w:val="1"/>
    <w:qFormat/>
    <w:uiPriority w:val="0"/>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85"/>
    <w:qFormat/>
    <w:uiPriority w:val="0"/>
    <w:rPr>
      <w:rFonts w:ascii="宋体" w:hAnsi="Courier New" w:cs="Courier New"/>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86"/>
    <w:qFormat/>
    <w:uiPriority w:val="0"/>
    <w:pPr>
      <w:ind w:left="100" w:leftChars="2500"/>
    </w:pPr>
  </w:style>
  <w:style w:type="paragraph" w:styleId="27">
    <w:name w:val="Body Text Indent 2"/>
    <w:basedOn w:val="1"/>
    <w:next w:val="28"/>
    <w:link w:val="87"/>
    <w:qFormat/>
    <w:uiPriority w:val="0"/>
    <w:pPr>
      <w:widowControl/>
      <w:spacing w:line="480" w:lineRule="auto"/>
      <w:ind w:firstLine="560"/>
      <w:jc w:val="left"/>
    </w:pPr>
    <w:rPr>
      <w:kern w:val="0"/>
      <w:sz w:val="28"/>
    </w:rPr>
  </w:style>
  <w:style w:type="paragraph" w:customStyle="1" w:styleId="28">
    <w:name w:val="z正文"/>
    <w:basedOn w:val="24"/>
    <w:qFormat/>
    <w:uiPriority w:val="0"/>
    <w:pPr>
      <w:tabs>
        <w:tab w:val="left" w:pos="525"/>
      </w:tabs>
      <w:snapToGrid w:val="0"/>
    </w:pPr>
    <w:rPr>
      <w:rFonts w:hAnsi="宋体" w:eastAsia="宋体"/>
      <w:sz w:val="24"/>
      <w:szCs w:val="20"/>
    </w:rPr>
  </w:style>
  <w:style w:type="paragraph" w:styleId="29">
    <w:name w:val="endnote text"/>
    <w:basedOn w:val="1"/>
    <w:link w:val="88"/>
    <w:qFormat/>
    <w:uiPriority w:val="0"/>
    <w:pPr>
      <w:widowControl/>
      <w:snapToGrid w:val="0"/>
      <w:jc w:val="left"/>
    </w:pPr>
    <w:rPr>
      <w:rFonts w:ascii="Arial" w:hAnsi="Arial" w:cs="Arial"/>
      <w:kern w:val="0"/>
      <w:sz w:val="20"/>
      <w:lang w:eastAsia="en-US"/>
    </w:rPr>
  </w:style>
  <w:style w:type="paragraph" w:styleId="30">
    <w:name w:val="Balloon Text"/>
    <w:basedOn w:val="1"/>
    <w:link w:val="89"/>
    <w:qFormat/>
    <w:uiPriority w:val="0"/>
    <w:rPr>
      <w:sz w:val="18"/>
      <w:szCs w:val="18"/>
    </w:rPr>
  </w:style>
  <w:style w:type="paragraph" w:styleId="31">
    <w:name w:val="footer"/>
    <w:basedOn w:val="1"/>
    <w:link w:val="90"/>
    <w:qFormat/>
    <w:uiPriority w:val="0"/>
    <w:pPr>
      <w:tabs>
        <w:tab w:val="center" w:pos="4153"/>
        <w:tab w:val="right" w:pos="8306"/>
      </w:tabs>
      <w:snapToGrid w:val="0"/>
      <w:jc w:val="left"/>
    </w:pPr>
    <w:rPr>
      <w:sz w:val="18"/>
      <w:szCs w:val="18"/>
    </w:rPr>
  </w:style>
  <w:style w:type="paragraph" w:styleId="32">
    <w:name w:val="header"/>
    <w:basedOn w:val="1"/>
    <w:link w:val="9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keepNext w:val="0"/>
      <w:keepLines w:val="0"/>
      <w:spacing w:before="120" w:after="120" w:line="240" w:lineRule="auto"/>
      <w:jc w:val="left"/>
      <w:outlineLvl w:val="9"/>
    </w:pPr>
    <w:rPr>
      <w:caps/>
      <w:kern w:val="2"/>
      <w:sz w:val="20"/>
      <w:szCs w:val="20"/>
    </w:rPr>
  </w:style>
  <w:style w:type="paragraph" w:styleId="34">
    <w:name w:val="toc 4"/>
    <w:basedOn w:val="5"/>
    <w:next w:val="1"/>
    <w:qFormat/>
    <w:uiPriority w:val="0"/>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5">
    <w:name w:val="Subtitle"/>
    <w:basedOn w:val="1"/>
    <w:link w:val="92"/>
    <w:qFormat/>
    <w:uiPriority w:val="0"/>
    <w:pPr>
      <w:widowControl/>
      <w:jc w:val="center"/>
    </w:pPr>
    <w:rPr>
      <w:kern w:val="0"/>
      <w:sz w:val="20"/>
      <w:u w:val="single"/>
      <w:lang w:eastAsia="en-US"/>
    </w:rPr>
  </w:style>
  <w:style w:type="paragraph" w:styleId="36">
    <w:name w:val="footnote text"/>
    <w:basedOn w:val="1"/>
    <w:link w:val="93"/>
    <w:qFormat/>
    <w:uiPriority w:val="0"/>
    <w:pPr>
      <w:widowControl/>
      <w:snapToGrid w:val="0"/>
      <w:jc w:val="left"/>
    </w:pPr>
    <w:rPr>
      <w:rFonts w:ascii="Arial" w:hAnsi="Arial" w:cs="Arial"/>
      <w:kern w:val="0"/>
      <w:sz w:val="18"/>
      <w:szCs w:val="18"/>
      <w:lang w:eastAsia="en-US"/>
    </w:rPr>
  </w:style>
  <w:style w:type="paragraph" w:styleId="37">
    <w:name w:val="toc 6"/>
    <w:basedOn w:val="1"/>
    <w:next w:val="1"/>
    <w:qFormat/>
    <w:uiPriority w:val="0"/>
    <w:pPr>
      <w:ind w:left="1050"/>
      <w:jc w:val="left"/>
    </w:pPr>
    <w:rPr>
      <w:sz w:val="18"/>
      <w:szCs w:val="18"/>
    </w:rPr>
  </w:style>
  <w:style w:type="paragraph" w:styleId="38">
    <w:name w:val="Body Text Indent 3"/>
    <w:basedOn w:val="1"/>
    <w:link w:val="94"/>
    <w:qFormat/>
    <w:uiPriority w:val="0"/>
    <w:pPr>
      <w:spacing w:line="360" w:lineRule="auto"/>
      <w:ind w:firstLine="280" w:firstLineChars="100"/>
    </w:pPr>
    <w:rPr>
      <w:rFonts w:ascii="宋体" w:hAnsi="宋体"/>
      <w:sz w:val="28"/>
      <w:szCs w:val="28"/>
    </w:rPr>
  </w:style>
  <w:style w:type="paragraph" w:styleId="39">
    <w:name w:val="toc 2"/>
    <w:basedOn w:val="3"/>
    <w:next w:val="1"/>
    <w:qFormat/>
    <w:uiPriority w:val="0"/>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40">
    <w:name w:val="toc 9"/>
    <w:basedOn w:val="1"/>
    <w:next w:val="1"/>
    <w:qFormat/>
    <w:uiPriority w:val="0"/>
    <w:pPr>
      <w:ind w:left="1680"/>
      <w:jc w:val="left"/>
    </w:pPr>
    <w:rPr>
      <w:sz w:val="18"/>
      <w:szCs w:val="18"/>
    </w:rPr>
  </w:style>
  <w:style w:type="paragraph" w:styleId="41">
    <w:name w:val="Body Text 2"/>
    <w:basedOn w:val="1"/>
    <w:link w:val="95"/>
    <w:qFormat/>
    <w:uiPriority w:val="0"/>
    <w:rPr>
      <w:i/>
      <w:iCs/>
      <w:sz w:val="26"/>
    </w:rPr>
  </w:style>
  <w:style w:type="paragraph" w:styleId="42">
    <w:name w:val="HTML Preformatted"/>
    <w:basedOn w:val="1"/>
    <w:link w:val="9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Title"/>
    <w:basedOn w:val="1"/>
    <w:link w:val="97"/>
    <w:qFormat/>
    <w:uiPriority w:val="0"/>
    <w:pPr>
      <w:widowControl/>
      <w:jc w:val="center"/>
    </w:pPr>
    <w:rPr>
      <w:kern w:val="0"/>
      <w:sz w:val="20"/>
      <w:u w:val="single"/>
      <w:lang w:eastAsia="en-US"/>
    </w:rPr>
  </w:style>
  <w:style w:type="paragraph" w:styleId="46">
    <w:name w:val="annotation subject"/>
    <w:basedOn w:val="16"/>
    <w:next w:val="16"/>
    <w:link w:val="98"/>
    <w:qFormat/>
    <w:uiPriority w:val="0"/>
    <w:rPr>
      <w:b/>
      <w:bCs/>
    </w:rPr>
  </w:style>
  <w:style w:type="paragraph" w:styleId="47">
    <w:name w:val="Body Text First Indent"/>
    <w:basedOn w:val="1"/>
    <w:next w:val="27"/>
    <w:link w:val="350"/>
    <w:qFormat/>
    <w:uiPriority w:val="0"/>
    <w:pPr>
      <w:widowControl w:val="0"/>
      <w:spacing w:after="120"/>
      <w:ind w:firstLine="100" w:firstLineChars="100"/>
      <w:jc w:val="both"/>
    </w:pPr>
    <w:rPr>
      <w:rFonts w:ascii="Times New Roman" w:hAnsi="Times New Roman" w:eastAsia="宋体" w:cs="Times New Roman"/>
      <w:kern w:val="2"/>
      <w:sz w:val="21"/>
      <w:szCs w:val="24"/>
      <w:lang w:val="en-US" w:eastAsia="zh-CN" w:bidi="ar-SA"/>
    </w:rPr>
  </w:style>
  <w:style w:type="paragraph" w:styleId="48">
    <w:name w:val="Body Text First Indent 2"/>
    <w:basedOn w:val="19"/>
    <w:qFormat/>
    <w:uiPriority w:val="0"/>
    <w:pPr>
      <w:ind w:left="420" w:firstLine="420" w:firstLineChars="200"/>
    </w:pPr>
    <w:rPr>
      <w:rFonts w:ascii="Times New Roman" w:hAnsi="Times New Roman"/>
    </w:rPr>
  </w:style>
  <w:style w:type="table" w:styleId="50">
    <w:name w:val="Table Grid"/>
    <w:basedOn w:val="4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2">
    <w:name w:val="Strong"/>
    <w:qFormat/>
    <w:uiPriority w:val="0"/>
    <w:rPr>
      <w:b/>
      <w:bCs/>
    </w:rPr>
  </w:style>
  <w:style w:type="character" w:styleId="53">
    <w:name w:val="endnote reference"/>
    <w:qFormat/>
    <w:uiPriority w:val="0"/>
    <w:rPr>
      <w:vertAlign w:val="superscript"/>
    </w:rPr>
  </w:style>
  <w:style w:type="character" w:styleId="54">
    <w:name w:val="page number"/>
    <w:basedOn w:val="51"/>
    <w:qFormat/>
    <w:uiPriority w:val="0"/>
  </w:style>
  <w:style w:type="character" w:styleId="55">
    <w:name w:val="FollowedHyperlink"/>
    <w:qFormat/>
    <w:uiPriority w:val="99"/>
    <w:rPr>
      <w:color w:val="800080"/>
      <w:u w:val="single"/>
    </w:rPr>
  </w:style>
  <w:style w:type="character" w:styleId="56">
    <w:name w:val="Emphasis"/>
    <w:qFormat/>
    <w:uiPriority w:val="0"/>
    <w:rPr>
      <w:i/>
      <w:iCs/>
    </w:rPr>
  </w:style>
  <w:style w:type="character" w:styleId="57">
    <w:name w:val="HTML Definition"/>
    <w:basedOn w:val="51"/>
    <w:unhideWhenUsed/>
    <w:qFormat/>
    <w:uiPriority w:val="99"/>
  </w:style>
  <w:style w:type="character" w:styleId="58">
    <w:name w:val="HTML Typewriter"/>
    <w:basedOn w:val="51"/>
    <w:semiHidden/>
    <w:unhideWhenUsed/>
    <w:qFormat/>
    <w:uiPriority w:val="99"/>
    <w:rPr>
      <w:rFonts w:hint="default" w:ascii="monospace" w:hAnsi="monospace" w:eastAsia="monospace" w:cs="monospace"/>
      <w:sz w:val="20"/>
    </w:rPr>
  </w:style>
  <w:style w:type="character" w:styleId="59">
    <w:name w:val="HTML Acronym"/>
    <w:basedOn w:val="51"/>
    <w:semiHidden/>
    <w:unhideWhenUsed/>
    <w:qFormat/>
    <w:uiPriority w:val="99"/>
  </w:style>
  <w:style w:type="character" w:styleId="60">
    <w:name w:val="HTML Variable"/>
    <w:basedOn w:val="51"/>
    <w:unhideWhenUsed/>
    <w:qFormat/>
    <w:uiPriority w:val="99"/>
  </w:style>
  <w:style w:type="character" w:styleId="61">
    <w:name w:val="Hyperlink"/>
    <w:qFormat/>
    <w:uiPriority w:val="0"/>
    <w:rPr>
      <w:color w:val="0000FF"/>
      <w:u w:val="single"/>
    </w:rPr>
  </w:style>
  <w:style w:type="character" w:styleId="62">
    <w:name w:val="HTML Code"/>
    <w:basedOn w:val="51"/>
    <w:unhideWhenUsed/>
    <w:qFormat/>
    <w:uiPriority w:val="99"/>
    <w:rPr>
      <w:rFonts w:hint="default" w:ascii="monospace" w:hAnsi="monospace" w:eastAsia="monospace" w:cs="monospace"/>
      <w:sz w:val="20"/>
    </w:rPr>
  </w:style>
  <w:style w:type="character" w:styleId="63">
    <w:name w:val="annotation reference"/>
    <w:qFormat/>
    <w:uiPriority w:val="0"/>
    <w:rPr>
      <w:sz w:val="21"/>
      <w:szCs w:val="21"/>
    </w:rPr>
  </w:style>
  <w:style w:type="character" w:styleId="64">
    <w:name w:val="HTML Cite"/>
    <w:basedOn w:val="51"/>
    <w:unhideWhenUsed/>
    <w:qFormat/>
    <w:uiPriority w:val="99"/>
  </w:style>
  <w:style w:type="character" w:styleId="65">
    <w:name w:val="footnote reference"/>
    <w:qFormat/>
    <w:uiPriority w:val="0"/>
    <w:rPr>
      <w:vertAlign w:val="superscript"/>
    </w:rPr>
  </w:style>
  <w:style w:type="character" w:styleId="66">
    <w:name w:val="HTML Keyboard"/>
    <w:basedOn w:val="51"/>
    <w:semiHidden/>
    <w:unhideWhenUsed/>
    <w:qFormat/>
    <w:uiPriority w:val="99"/>
    <w:rPr>
      <w:rFonts w:hint="default" w:ascii="monospace" w:hAnsi="monospace" w:eastAsia="monospace" w:cs="monospace"/>
      <w:sz w:val="20"/>
    </w:rPr>
  </w:style>
  <w:style w:type="character" w:styleId="67">
    <w:name w:val="HTML Sample"/>
    <w:basedOn w:val="51"/>
    <w:semiHidden/>
    <w:unhideWhenUsed/>
    <w:qFormat/>
    <w:uiPriority w:val="99"/>
    <w:rPr>
      <w:rFonts w:ascii="monospace" w:hAnsi="monospace" w:eastAsia="monospace" w:cs="monospace"/>
    </w:rPr>
  </w:style>
  <w:style w:type="paragraph" w:customStyle="1" w:styleId="68">
    <w:name w:val="正文+宋体"/>
    <w:qFormat/>
    <w:uiPriority w:val="0"/>
    <w:pPr>
      <w:keepNext/>
      <w:keepLines/>
      <w:widowControl w:val="0"/>
      <w:adjustRightInd w:val="0"/>
      <w:snapToGrid w:val="0"/>
      <w:spacing w:before="60" w:after="60" w:line="360" w:lineRule="auto"/>
      <w:jc w:val="both"/>
      <w:textAlignment w:val="baseline"/>
      <w:outlineLvl w:val="2"/>
    </w:pPr>
    <w:rPr>
      <w:rFonts w:ascii="宋体" w:hAnsi="宋体" w:eastAsia="宋体" w:cs="Times New Roman"/>
      <w:b/>
      <w:color w:val="000000"/>
      <w:sz w:val="24"/>
      <w:lang w:val="en-US" w:eastAsia="zh-CN" w:bidi="ar-SA"/>
    </w:rPr>
  </w:style>
  <w:style w:type="paragraph" w:customStyle="1" w:styleId="69">
    <w:name w:val="目录 42"/>
    <w:next w:val="1"/>
    <w:qFormat/>
    <w:uiPriority w:val="0"/>
    <w:pPr>
      <w:wordWrap w:val="0"/>
      <w:ind w:left="850"/>
      <w:jc w:val="both"/>
    </w:pPr>
    <w:rPr>
      <w:rFonts w:ascii="Times New Roman" w:hAnsi="Times New Roman" w:eastAsia="宋体" w:cs="Times New Roman"/>
      <w:sz w:val="21"/>
      <w:lang w:val="en-US" w:eastAsia="zh-CN" w:bidi="ar-SA"/>
    </w:rPr>
  </w:style>
  <w:style w:type="character" w:customStyle="1" w:styleId="70">
    <w:name w:val="标题 1 字符"/>
    <w:basedOn w:val="51"/>
    <w:link w:val="2"/>
    <w:qFormat/>
    <w:uiPriority w:val="9"/>
    <w:rPr>
      <w:rFonts w:ascii="Times New Roman" w:hAnsi="Times New Roman" w:eastAsia="宋体" w:cs="Times New Roman"/>
      <w:b/>
      <w:bCs/>
      <w:kern w:val="44"/>
      <w:sz w:val="44"/>
      <w:szCs w:val="44"/>
    </w:rPr>
  </w:style>
  <w:style w:type="paragraph" w:customStyle="1" w:styleId="71">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72">
    <w:name w:val="标题 2 字符"/>
    <w:basedOn w:val="51"/>
    <w:link w:val="3"/>
    <w:qFormat/>
    <w:uiPriority w:val="9"/>
    <w:rPr>
      <w:rFonts w:ascii="Cambria" w:hAnsi="Cambria" w:eastAsia="宋体" w:cs="Times New Roman"/>
      <w:b/>
      <w:bCs/>
      <w:sz w:val="32"/>
      <w:szCs w:val="32"/>
    </w:rPr>
  </w:style>
  <w:style w:type="character" w:customStyle="1" w:styleId="73">
    <w:name w:val="标题 3 字符"/>
    <w:basedOn w:val="51"/>
    <w:link w:val="4"/>
    <w:qFormat/>
    <w:uiPriority w:val="0"/>
    <w:rPr>
      <w:rFonts w:ascii="Times New Roman" w:hAnsi="Times New Roman" w:eastAsia="宋体" w:cs="Times New Roman"/>
      <w:b/>
      <w:bCs/>
      <w:sz w:val="32"/>
      <w:szCs w:val="32"/>
    </w:rPr>
  </w:style>
  <w:style w:type="character" w:customStyle="1" w:styleId="74">
    <w:name w:val="标题 4 字符"/>
    <w:basedOn w:val="51"/>
    <w:link w:val="5"/>
    <w:qFormat/>
    <w:uiPriority w:val="0"/>
    <w:rPr>
      <w:rFonts w:ascii="宋体" w:hAnsi="宋体" w:eastAsia="宋体" w:cs="宋体"/>
      <w:b/>
      <w:bCs/>
      <w:kern w:val="0"/>
      <w:sz w:val="24"/>
      <w:szCs w:val="24"/>
    </w:rPr>
  </w:style>
  <w:style w:type="character" w:customStyle="1" w:styleId="75">
    <w:name w:val="标题 5 字符"/>
    <w:basedOn w:val="51"/>
    <w:link w:val="6"/>
    <w:qFormat/>
    <w:uiPriority w:val="0"/>
    <w:rPr>
      <w:rFonts w:ascii="宋体" w:hAnsi="宋体" w:eastAsia="宋体" w:cs="宋体"/>
      <w:b/>
      <w:bCs/>
      <w:kern w:val="0"/>
      <w:sz w:val="20"/>
      <w:szCs w:val="20"/>
    </w:rPr>
  </w:style>
  <w:style w:type="character" w:customStyle="1" w:styleId="76">
    <w:name w:val="标题 6 字符"/>
    <w:basedOn w:val="51"/>
    <w:link w:val="7"/>
    <w:qFormat/>
    <w:uiPriority w:val="0"/>
    <w:rPr>
      <w:rFonts w:ascii="Times New Roman" w:hAnsi="Arial" w:eastAsia="仿宋_GB2312" w:cs="Times New Roman"/>
      <w:kern w:val="0"/>
      <w:sz w:val="30"/>
      <w:szCs w:val="20"/>
    </w:rPr>
  </w:style>
  <w:style w:type="character" w:customStyle="1" w:styleId="77">
    <w:name w:val="标题 7 字符"/>
    <w:basedOn w:val="51"/>
    <w:link w:val="9"/>
    <w:qFormat/>
    <w:uiPriority w:val="0"/>
    <w:rPr>
      <w:rFonts w:ascii="Times New Roman" w:hAnsi="Times New Roman" w:eastAsia="仿宋_GB2312" w:cs="Times New Roman"/>
      <w:kern w:val="0"/>
      <w:sz w:val="30"/>
      <w:szCs w:val="20"/>
    </w:rPr>
  </w:style>
  <w:style w:type="character" w:customStyle="1" w:styleId="78">
    <w:name w:val="标题 8 字符"/>
    <w:basedOn w:val="51"/>
    <w:link w:val="10"/>
    <w:qFormat/>
    <w:uiPriority w:val="0"/>
    <w:rPr>
      <w:rFonts w:ascii="Times New Roman" w:hAnsi="Arial" w:eastAsia="仿宋_GB2312" w:cs="Times New Roman"/>
      <w:kern w:val="0"/>
      <w:sz w:val="30"/>
      <w:szCs w:val="20"/>
    </w:rPr>
  </w:style>
  <w:style w:type="character" w:customStyle="1" w:styleId="79">
    <w:name w:val="标题 9 字符"/>
    <w:basedOn w:val="51"/>
    <w:link w:val="11"/>
    <w:qFormat/>
    <w:uiPriority w:val="0"/>
    <w:rPr>
      <w:rFonts w:ascii="Times New Roman" w:hAnsi="Times New Roman" w:eastAsia="仿宋_GB2312" w:cs="Times New Roman"/>
      <w:kern w:val="0"/>
      <w:sz w:val="30"/>
      <w:szCs w:val="20"/>
    </w:rPr>
  </w:style>
  <w:style w:type="character" w:customStyle="1" w:styleId="80">
    <w:name w:val="正文文本 字符"/>
    <w:basedOn w:val="51"/>
    <w:link w:val="18"/>
    <w:qFormat/>
    <w:uiPriority w:val="0"/>
    <w:rPr>
      <w:rFonts w:ascii="Times New Roman" w:hAnsi="Times New Roman" w:eastAsia="宋体" w:cs="Times New Roman"/>
      <w:szCs w:val="24"/>
    </w:rPr>
  </w:style>
  <w:style w:type="character" w:customStyle="1" w:styleId="81">
    <w:name w:val="文档结构图 字符"/>
    <w:basedOn w:val="51"/>
    <w:link w:val="15"/>
    <w:qFormat/>
    <w:uiPriority w:val="0"/>
    <w:rPr>
      <w:rFonts w:ascii="Times New Roman" w:hAnsi="Times New Roman" w:eastAsia="宋体" w:cs="Times New Roman"/>
      <w:szCs w:val="24"/>
      <w:shd w:val="clear" w:color="auto" w:fill="000080"/>
    </w:rPr>
  </w:style>
  <w:style w:type="character" w:customStyle="1" w:styleId="82">
    <w:name w:val="批注文字 字符"/>
    <w:basedOn w:val="51"/>
    <w:link w:val="16"/>
    <w:qFormat/>
    <w:uiPriority w:val="0"/>
    <w:rPr>
      <w:rFonts w:ascii="Times New Roman" w:hAnsi="Times New Roman" w:eastAsia="宋体" w:cs="Times New Roman"/>
      <w:szCs w:val="24"/>
    </w:rPr>
  </w:style>
  <w:style w:type="character" w:customStyle="1" w:styleId="83">
    <w:name w:val="正文文本 3 字符"/>
    <w:basedOn w:val="51"/>
    <w:link w:val="17"/>
    <w:qFormat/>
    <w:uiPriority w:val="0"/>
    <w:rPr>
      <w:rFonts w:ascii="Times New Roman" w:hAnsi="Times New Roman" w:eastAsia="宋体" w:cs="Times New Roman"/>
      <w:sz w:val="16"/>
      <w:szCs w:val="16"/>
    </w:rPr>
  </w:style>
  <w:style w:type="character" w:customStyle="1" w:styleId="84">
    <w:name w:val="正文文本缩进 字符"/>
    <w:basedOn w:val="51"/>
    <w:link w:val="19"/>
    <w:qFormat/>
    <w:uiPriority w:val="0"/>
    <w:rPr>
      <w:rFonts w:ascii="Times New Roman" w:hAnsi="Times New Roman" w:eastAsia="宋体" w:cs="Times New Roman"/>
      <w:szCs w:val="24"/>
    </w:rPr>
  </w:style>
  <w:style w:type="character" w:customStyle="1" w:styleId="85">
    <w:name w:val="纯文本 字符"/>
    <w:basedOn w:val="51"/>
    <w:link w:val="24"/>
    <w:qFormat/>
    <w:uiPriority w:val="0"/>
    <w:rPr>
      <w:rFonts w:ascii="宋体" w:hAnsi="Courier New" w:eastAsia="宋体" w:cs="Courier New"/>
      <w:szCs w:val="21"/>
    </w:rPr>
  </w:style>
  <w:style w:type="character" w:customStyle="1" w:styleId="86">
    <w:name w:val="日期 字符"/>
    <w:basedOn w:val="51"/>
    <w:link w:val="26"/>
    <w:qFormat/>
    <w:uiPriority w:val="99"/>
    <w:rPr>
      <w:rFonts w:ascii="Times New Roman" w:hAnsi="Times New Roman" w:eastAsia="宋体" w:cs="Times New Roman"/>
      <w:szCs w:val="24"/>
    </w:rPr>
  </w:style>
  <w:style w:type="character" w:customStyle="1" w:styleId="87">
    <w:name w:val="正文文本缩进 2 字符"/>
    <w:basedOn w:val="51"/>
    <w:link w:val="27"/>
    <w:qFormat/>
    <w:uiPriority w:val="0"/>
    <w:rPr>
      <w:rFonts w:ascii="Times New Roman" w:hAnsi="Times New Roman" w:eastAsia="宋体" w:cs="Times New Roman"/>
      <w:kern w:val="0"/>
      <w:sz w:val="28"/>
      <w:szCs w:val="24"/>
    </w:rPr>
  </w:style>
  <w:style w:type="character" w:customStyle="1" w:styleId="88">
    <w:name w:val="尾注文本 字符"/>
    <w:basedOn w:val="51"/>
    <w:link w:val="29"/>
    <w:qFormat/>
    <w:uiPriority w:val="0"/>
    <w:rPr>
      <w:rFonts w:ascii="Arial" w:hAnsi="Arial" w:eastAsia="宋体" w:cs="Arial"/>
      <w:kern w:val="0"/>
      <w:sz w:val="20"/>
      <w:szCs w:val="24"/>
      <w:lang w:eastAsia="en-US"/>
    </w:rPr>
  </w:style>
  <w:style w:type="character" w:customStyle="1" w:styleId="89">
    <w:name w:val="批注框文本 字符"/>
    <w:basedOn w:val="51"/>
    <w:link w:val="30"/>
    <w:qFormat/>
    <w:uiPriority w:val="99"/>
    <w:rPr>
      <w:rFonts w:ascii="Times New Roman" w:hAnsi="Times New Roman" w:eastAsia="宋体" w:cs="Times New Roman"/>
      <w:sz w:val="18"/>
      <w:szCs w:val="18"/>
    </w:rPr>
  </w:style>
  <w:style w:type="character" w:customStyle="1" w:styleId="90">
    <w:name w:val="页脚 字符"/>
    <w:basedOn w:val="51"/>
    <w:link w:val="31"/>
    <w:qFormat/>
    <w:uiPriority w:val="99"/>
    <w:rPr>
      <w:rFonts w:ascii="Times New Roman" w:hAnsi="Times New Roman" w:eastAsia="宋体" w:cs="Times New Roman"/>
      <w:sz w:val="18"/>
      <w:szCs w:val="18"/>
    </w:rPr>
  </w:style>
  <w:style w:type="character" w:customStyle="1" w:styleId="91">
    <w:name w:val="页眉 字符"/>
    <w:basedOn w:val="51"/>
    <w:link w:val="32"/>
    <w:qFormat/>
    <w:uiPriority w:val="99"/>
    <w:rPr>
      <w:rFonts w:ascii="Times New Roman" w:hAnsi="Times New Roman" w:eastAsia="宋体" w:cs="Times New Roman"/>
      <w:sz w:val="18"/>
      <w:szCs w:val="18"/>
    </w:rPr>
  </w:style>
  <w:style w:type="character" w:customStyle="1" w:styleId="92">
    <w:name w:val="副标题 字符"/>
    <w:basedOn w:val="51"/>
    <w:link w:val="35"/>
    <w:qFormat/>
    <w:uiPriority w:val="0"/>
    <w:rPr>
      <w:rFonts w:ascii="Times New Roman" w:hAnsi="Times New Roman" w:eastAsia="宋体" w:cs="Times New Roman"/>
      <w:kern w:val="0"/>
      <w:sz w:val="20"/>
      <w:szCs w:val="24"/>
      <w:u w:val="single"/>
      <w:lang w:eastAsia="en-US"/>
    </w:rPr>
  </w:style>
  <w:style w:type="character" w:customStyle="1" w:styleId="93">
    <w:name w:val="脚注文本 字符"/>
    <w:basedOn w:val="51"/>
    <w:link w:val="36"/>
    <w:qFormat/>
    <w:uiPriority w:val="0"/>
    <w:rPr>
      <w:rFonts w:ascii="Arial" w:hAnsi="Arial" w:eastAsia="宋体" w:cs="Arial"/>
      <w:kern w:val="0"/>
      <w:sz w:val="18"/>
      <w:szCs w:val="18"/>
      <w:lang w:eastAsia="en-US"/>
    </w:rPr>
  </w:style>
  <w:style w:type="character" w:customStyle="1" w:styleId="94">
    <w:name w:val="正文文本缩进 3 字符"/>
    <w:basedOn w:val="51"/>
    <w:link w:val="38"/>
    <w:qFormat/>
    <w:uiPriority w:val="0"/>
    <w:rPr>
      <w:rFonts w:ascii="宋体" w:hAnsi="宋体" w:eastAsia="宋体" w:cs="Times New Roman"/>
      <w:sz w:val="28"/>
      <w:szCs w:val="28"/>
    </w:rPr>
  </w:style>
  <w:style w:type="character" w:customStyle="1" w:styleId="95">
    <w:name w:val="正文文本 2 字符"/>
    <w:basedOn w:val="51"/>
    <w:link w:val="41"/>
    <w:qFormat/>
    <w:uiPriority w:val="0"/>
    <w:rPr>
      <w:rFonts w:ascii="Times New Roman" w:hAnsi="Times New Roman" w:eastAsia="宋体" w:cs="Times New Roman"/>
      <w:i/>
      <w:iCs/>
      <w:sz w:val="26"/>
      <w:szCs w:val="24"/>
    </w:rPr>
  </w:style>
  <w:style w:type="character" w:customStyle="1" w:styleId="96">
    <w:name w:val="HTML 预设格式 字符"/>
    <w:basedOn w:val="51"/>
    <w:link w:val="42"/>
    <w:qFormat/>
    <w:uiPriority w:val="0"/>
    <w:rPr>
      <w:rFonts w:ascii="宋体" w:hAnsi="宋体" w:eastAsia="宋体" w:cs="宋体"/>
      <w:color w:val="000000"/>
      <w:kern w:val="0"/>
      <w:sz w:val="24"/>
      <w:szCs w:val="24"/>
    </w:rPr>
  </w:style>
  <w:style w:type="character" w:customStyle="1" w:styleId="97">
    <w:name w:val="标题 字符"/>
    <w:basedOn w:val="51"/>
    <w:link w:val="45"/>
    <w:qFormat/>
    <w:uiPriority w:val="0"/>
    <w:rPr>
      <w:rFonts w:ascii="Times New Roman" w:hAnsi="Times New Roman" w:eastAsia="宋体" w:cs="Times New Roman"/>
      <w:kern w:val="0"/>
      <w:sz w:val="20"/>
      <w:szCs w:val="24"/>
      <w:u w:val="single"/>
      <w:lang w:eastAsia="en-US"/>
    </w:rPr>
  </w:style>
  <w:style w:type="character" w:customStyle="1" w:styleId="98">
    <w:name w:val="批注主题 字符"/>
    <w:basedOn w:val="82"/>
    <w:link w:val="46"/>
    <w:qFormat/>
    <w:uiPriority w:val="99"/>
    <w:rPr>
      <w:rFonts w:ascii="Times New Roman" w:hAnsi="Times New Roman" w:eastAsia="宋体" w:cs="Times New Roman"/>
      <w:b/>
      <w:bCs/>
      <w:szCs w:val="24"/>
    </w:rPr>
  </w:style>
  <w:style w:type="paragraph" w:customStyle="1" w:styleId="99">
    <w:name w:val="列出段落1"/>
    <w:basedOn w:val="1"/>
    <w:qFormat/>
    <w:uiPriority w:val="99"/>
    <w:pPr>
      <w:ind w:firstLine="420" w:firstLineChars="200"/>
    </w:pPr>
    <w:rPr>
      <w:sz w:val="28"/>
      <w:szCs w:val="28"/>
    </w:rPr>
  </w:style>
  <w:style w:type="paragraph" w:customStyle="1" w:styleId="10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1 Char"/>
    <w:basedOn w:val="1"/>
    <w:qFormat/>
    <w:uiPriority w:val="0"/>
    <w:pPr>
      <w:widowControl/>
      <w:spacing w:after="160" w:line="240" w:lineRule="exact"/>
      <w:jc w:val="left"/>
    </w:pPr>
    <w:rPr>
      <w:rFonts w:ascii="Calibri" w:hAnsi="Calibri"/>
      <w:szCs w:val="20"/>
    </w:rPr>
  </w:style>
  <w:style w:type="paragraph" w:customStyle="1" w:styleId="105">
    <w:name w:val="列表段落1"/>
    <w:basedOn w:val="1"/>
    <w:qFormat/>
    <w:uiPriority w:val="34"/>
    <w:pPr>
      <w:ind w:firstLine="420" w:firstLineChars="200"/>
    </w:pPr>
    <w:rPr>
      <w:rFonts w:ascii="Calibri" w:hAnsi="Calibri"/>
    </w:rPr>
  </w:style>
  <w:style w:type="paragraph" w:customStyle="1" w:styleId="106">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7">
    <w:name w:val="样式 标题 3 + (中文) 黑体 小四 非加粗 段前: 7.8 磅 段后: 0 磅 行距: 固定值 20 磅"/>
    <w:basedOn w:val="4"/>
    <w:next w:val="1"/>
    <w:qFormat/>
    <w:uiPriority w:val="0"/>
    <w:pPr>
      <w:spacing w:before="0" w:after="0" w:line="400" w:lineRule="exact"/>
    </w:pPr>
    <w:rPr>
      <w:rFonts w:eastAsia="黑体" w:cs="宋体"/>
      <w:b w:val="0"/>
      <w:bCs w:val="0"/>
      <w:sz w:val="24"/>
      <w:szCs w:val="20"/>
    </w:rPr>
  </w:style>
  <w:style w:type="paragraph" w:customStyle="1" w:styleId="108">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09">
    <w:name w:val="TOC 标题2"/>
    <w:basedOn w:val="2"/>
    <w:next w:val="1"/>
    <w:unhideWhenUsed/>
    <w:qFormat/>
    <w:uiPriority w:val="0"/>
    <w:pPr>
      <w:outlineLvl w:val="9"/>
    </w:pPr>
    <w:rPr>
      <w:rFonts w:ascii="Calibri" w:hAnsi="Calibri"/>
    </w:rPr>
  </w:style>
  <w:style w:type="paragraph" w:customStyle="1" w:styleId="110">
    <w:name w:val="样式1"/>
    <w:basedOn w:val="1"/>
    <w:next w:val="5"/>
    <w:qFormat/>
    <w:uiPriority w:val="0"/>
    <w:pPr>
      <w:spacing w:line="360" w:lineRule="auto"/>
      <w:ind w:firstLine="420" w:firstLineChars="200"/>
    </w:pPr>
    <w:rPr>
      <w:rFonts w:ascii="宋体" w:hAnsi="宋体"/>
      <w:szCs w:val="21"/>
    </w:rPr>
  </w:style>
  <w:style w:type="paragraph" w:customStyle="1" w:styleId="111">
    <w:name w:val="列出段落111"/>
    <w:basedOn w:val="1"/>
    <w:qFormat/>
    <w:uiPriority w:val="0"/>
    <w:pPr>
      <w:ind w:firstLine="420" w:firstLineChars="200"/>
    </w:pPr>
    <w:rPr>
      <w:sz w:val="28"/>
      <w:szCs w:val="28"/>
    </w:rPr>
  </w:style>
  <w:style w:type="paragraph" w:customStyle="1" w:styleId="112">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13">
    <w:name w:val="pa-27"/>
    <w:basedOn w:val="1"/>
    <w:qFormat/>
    <w:uiPriority w:val="0"/>
    <w:pPr>
      <w:widowControl/>
      <w:spacing w:line="360" w:lineRule="atLeast"/>
      <w:ind w:firstLine="420"/>
    </w:pPr>
    <w:rPr>
      <w:rFonts w:ascii="宋体" w:hAnsi="宋体" w:cs="宋体"/>
      <w:kern w:val="0"/>
      <w:sz w:val="24"/>
    </w:rPr>
  </w:style>
  <w:style w:type="paragraph" w:customStyle="1" w:styleId="114">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16">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17">
    <w:name w:val="Char Char Char Char"/>
    <w:basedOn w:val="15"/>
    <w:qFormat/>
    <w:uiPriority w:val="0"/>
    <w:pPr>
      <w:spacing w:line="360" w:lineRule="auto"/>
      <w:ind w:firstLine="200" w:firstLineChars="200"/>
    </w:pPr>
    <w:rPr>
      <w:rFonts w:ascii="Tahoma" w:hAnsi="Tahoma"/>
      <w:sz w:val="24"/>
    </w:rPr>
  </w:style>
  <w:style w:type="paragraph" w:customStyle="1" w:styleId="118">
    <w:name w:val="表格内容"/>
    <w:basedOn w:val="1"/>
    <w:qFormat/>
    <w:uiPriority w:val="0"/>
    <w:pPr>
      <w:suppressLineNumbers/>
      <w:suppressAutoHyphens/>
    </w:pPr>
  </w:style>
  <w:style w:type="paragraph" w:customStyle="1" w:styleId="119">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21">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2">
    <w:name w:val="明显引用1"/>
    <w:basedOn w:val="1"/>
    <w:next w:val="1"/>
    <w:link w:val="123"/>
    <w:qFormat/>
    <w:uiPriority w:val="0"/>
    <w:pPr>
      <w:pBdr>
        <w:bottom w:val="single" w:color="4F81BD" w:sz="4" w:space="4"/>
      </w:pBdr>
      <w:spacing w:before="200" w:after="280"/>
      <w:ind w:left="936" w:right="936"/>
    </w:pPr>
    <w:rPr>
      <w:b/>
      <w:bCs/>
      <w:i/>
      <w:iCs/>
      <w:color w:val="4F81BD"/>
      <w:szCs w:val="22"/>
    </w:rPr>
  </w:style>
  <w:style w:type="character" w:customStyle="1" w:styleId="123">
    <w:name w:val="明显引用 Char4"/>
    <w:basedOn w:val="51"/>
    <w:link w:val="122"/>
    <w:qFormat/>
    <w:uiPriority w:val="0"/>
    <w:rPr>
      <w:rFonts w:ascii="Times New Roman" w:hAnsi="Times New Roman" w:eastAsia="宋体" w:cs="Times New Roman"/>
      <w:b/>
      <w:bCs/>
      <w:i/>
      <w:iCs/>
      <w:color w:val="4F81BD"/>
    </w:rPr>
  </w:style>
  <w:style w:type="paragraph" w:customStyle="1" w:styleId="124">
    <w:name w:val="表体"/>
    <w:basedOn w:val="1"/>
    <w:next w:val="1"/>
    <w:qFormat/>
    <w:uiPriority w:val="0"/>
    <w:pPr>
      <w:spacing w:line="0" w:lineRule="atLeast"/>
    </w:pPr>
    <w:rPr>
      <w:rFonts w:ascii="Calibri" w:hAnsi="Calibri"/>
      <w:b/>
      <w:snapToGrid w:val="0"/>
      <w:szCs w:val="20"/>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26">
    <w:name w:val="pa-34"/>
    <w:basedOn w:val="1"/>
    <w:qFormat/>
    <w:uiPriority w:val="0"/>
    <w:pPr>
      <w:widowControl/>
      <w:spacing w:line="360" w:lineRule="atLeast"/>
      <w:ind w:firstLine="420"/>
      <w:jc w:val="left"/>
    </w:pPr>
    <w:rPr>
      <w:rFonts w:ascii="宋体" w:hAnsi="宋体" w:cs="宋体"/>
      <w:kern w:val="0"/>
      <w:sz w:val="24"/>
    </w:rPr>
  </w:style>
  <w:style w:type="paragraph" w:customStyle="1" w:styleId="127">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129">
    <w:name w:val="p16"/>
    <w:basedOn w:val="1"/>
    <w:qFormat/>
    <w:uiPriority w:val="0"/>
    <w:pPr>
      <w:widowControl/>
    </w:pPr>
    <w:rPr>
      <w:rFonts w:ascii="Calibri" w:hAnsi="Calibri" w:cs="宋体"/>
      <w:kern w:val="0"/>
      <w:szCs w:val="21"/>
    </w:rPr>
  </w:style>
  <w:style w:type="paragraph" w:customStyle="1" w:styleId="1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3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33">
    <w:name w:val="标题4"/>
    <w:basedOn w:val="3"/>
    <w:next w:val="21"/>
    <w:link w:val="297"/>
    <w:qFormat/>
    <w:uiPriority w:val="0"/>
    <w:pPr>
      <w:spacing w:line="413" w:lineRule="auto"/>
    </w:pPr>
    <w:rPr>
      <w:rFonts w:ascii="Arial" w:hAnsi="Arial"/>
      <w:kern w:val="0"/>
      <w:sz w:val="24"/>
    </w:rPr>
  </w:style>
  <w:style w:type="paragraph" w:customStyle="1" w:styleId="134">
    <w:name w:val="Char Char"/>
    <w:basedOn w:val="1"/>
    <w:qFormat/>
    <w:uiPriority w:val="0"/>
    <w:pPr>
      <w:widowControl/>
      <w:jc w:val="left"/>
    </w:pPr>
    <w:rPr>
      <w:rFonts w:ascii="Verdana" w:hAnsi="Verdana" w:eastAsia="Times New Roman"/>
      <w:kern w:val="0"/>
      <w:sz w:val="16"/>
      <w:szCs w:val="20"/>
      <w:lang w:eastAsia="en-US"/>
    </w:rPr>
  </w:style>
  <w:style w:type="paragraph" w:customStyle="1" w:styleId="135">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37">
    <w:name w:val="WW-表格内容"/>
    <w:basedOn w:val="1"/>
    <w:qFormat/>
    <w:uiPriority w:val="0"/>
    <w:pPr>
      <w:suppressLineNumbers/>
      <w:suppressAutoHyphens/>
    </w:pPr>
  </w:style>
  <w:style w:type="paragraph" w:customStyle="1" w:styleId="138">
    <w:name w:val="Char"/>
    <w:basedOn w:val="1"/>
    <w:qFormat/>
    <w:uiPriority w:val="0"/>
  </w:style>
  <w:style w:type="paragraph" w:customStyle="1" w:styleId="139">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40">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41">
    <w:name w:val="样式15"/>
    <w:basedOn w:val="4"/>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42">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43">
    <w:name w:val="Char9 Char Char Char Char Char Char"/>
    <w:basedOn w:val="15"/>
    <w:qFormat/>
    <w:uiPriority w:val="0"/>
    <w:pPr>
      <w:spacing w:line="360" w:lineRule="auto"/>
      <w:ind w:firstLine="200" w:firstLineChars="200"/>
    </w:pPr>
    <w:rPr>
      <w:rFonts w:ascii="Tahoma" w:hAnsi="Tahoma"/>
      <w:sz w:val="24"/>
    </w:rPr>
  </w:style>
  <w:style w:type="paragraph" w:customStyle="1" w:styleId="14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45">
    <w:name w:val="p15"/>
    <w:basedOn w:val="1"/>
    <w:qFormat/>
    <w:uiPriority w:val="0"/>
    <w:pPr>
      <w:widowControl/>
      <w:spacing w:after="120"/>
    </w:pPr>
    <w:rPr>
      <w:kern w:val="0"/>
      <w:szCs w:val="21"/>
    </w:rPr>
  </w:style>
  <w:style w:type="paragraph" w:customStyle="1" w:styleId="146">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47">
    <w:name w:val="正  文"/>
    <w:basedOn w:val="1"/>
    <w:qFormat/>
    <w:uiPriority w:val="0"/>
    <w:pPr>
      <w:spacing w:line="360" w:lineRule="auto"/>
      <w:ind w:firstLine="200" w:firstLineChars="200"/>
    </w:pPr>
    <w:rPr>
      <w:rFonts w:ascii="宋体" w:hAnsi="Calibri"/>
      <w:sz w:val="24"/>
    </w:rPr>
  </w:style>
  <w:style w:type="paragraph" w:customStyle="1" w:styleId="148">
    <w:name w:val="列出段落11"/>
    <w:basedOn w:val="1"/>
    <w:qFormat/>
    <w:uiPriority w:val="0"/>
    <w:pPr>
      <w:ind w:firstLine="420" w:firstLineChars="200"/>
    </w:pPr>
    <w:rPr>
      <w:sz w:val="28"/>
      <w:szCs w:val="28"/>
    </w:rPr>
  </w:style>
  <w:style w:type="paragraph" w:customStyle="1" w:styleId="14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51">
    <w:name w:val="_Style 96"/>
    <w:semiHidden/>
    <w:qFormat/>
    <w:uiPriority w:val="99"/>
    <w:rPr>
      <w:rFonts w:ascii="Calibri" w:hAnsi="Calibri" w:eastAsia="宋体" w:cs="Times New Roman"/>
      <w:kern w:val="2"/>
      <w:sz w:val="21"/>
      <w:szCs w:val="24"/>
      <w:lang w:val="en-US" w:eastAsia="zh-CN" w:bidi="ar-SA"/>
    </w:rPr>
  </w:style>
  <w:style w:type="paragraph" w:customStyle="1" w:styleId="152">
    <w:name w:val="表格文字"/>
    <w:basedOn w:val="1"/>
    <w:qFormat/>
    <w:uiPriority w:val="0"/>
    <w:pPr>
      <w:adjustRightInd w:val="0"/>
      <w:spacing w:line="420" w:lineRule="atLeast"/>
      <w:jc w:val="left"/>
      <w:textAlignment w:val="baseline"/>
    </w:pPr>
    <w:rPr>
      <w:kern w:val="0"/>
      <w:szCs w:val="20"/>
    </w:rPr>
  </w:style>
  <w:style w:type="paragraph" w:customStyle="1" w:styleId="153">
    <w:name w:val="表格"/>
    <w:basedOn w:val="1"/>
    <w:qFormat/>
    <w:uiPriority w:val="0"/>
    <w:pPr>
      <w:jc w:val="center"/>
      <w:textAlignment w:val="center"/>
    </w:pPr>
    <w:rPr>
      <w:rFonts w:ascii="华文细黑" w:hAnsi="华文细黑"/>
      <w:kern w:val="0"/>
      <w:szCs w:val="20"/>
    </w:rPr>
  </w:style>
  <w:style w:type="paragraph" w:customStyle="1" w:styleId="154">
    <w:name w:val="Char1"/>
    <w:basedOn w:val="1"/>
    <w:qFormat/>
    <w:uiPriority w:val="0"/>
  </w:style>
  <w:style w:type="paragraph" w:customStyle="1" w:styleId="155">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引用2"/>
    <w:basedOn w:val="1"/>
    <w:next w:val="1"/>
    <w:link w:val="259"/>
    <w:qFormat/>
    <w:uiPriority w:val="0"/>
    <w:rPr>
      <w:i/>
      <w:iCs/>
      <w:color w:val="000000"/>
    </w:rPr>
  </w:style>
  <w:style w:type="paragraph" w:customStyle="1" w:styleId="157">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58">
    <w:name w:val="引用1"/>
    <w:basedOn w:val="1"/>
    <w:next w:val="1"/>
    <w:link w:val="159"/>
    <w:qFormat/>
    <w:uiPriority w:val="0"/>
    <w:rPr>
      <w:i/>
      <w:iCs/>
      <w:color w:val="000000"/>
      <w:szCs w:val="22"/>
    </w:rPr>
  </w:style>
  <w:style w:type="character" w:customStyle="1" w:styleId="159">
    <w:name w:val="引用 Char4"/>
    <w:basedOn w:val="51"/>
    <w:link w:val="158"/>
    <w:qFormat/>
    <w:uiPriority w:val="0"/>
    <w:rPr>
      <w:rFonts w:ascii="Times New Roman" w:hAnsi="Times New Roman" w:eastAsia="宋体" w:cs="Times New Roman"/>
      <w:i/>
      <w:iCs/>
      <w:color w:val="000000"/>
    </w:rPr>
  </w:style>
  <w:style w:type="paragraph" w:customStyle="1" w:styleId="160">
    <w:name w:val="修订1"/>
    <w:qFormat/>
    <w:uiPriority w:val="99"/>
    <w:rPr>
      <w:rFonts w:ascii="Times New Roman" w:hAnsi="Times New Roman" w:eastAsia="宋体" w:cs="Times New Roman"/>
      <w:kern w:val="2"/>
      <w:sz w:val="21"/>
      <w:szCs w:val="24"/>
      <w:lang w:val="en-US" w:eastAsia="zh-CN" w:bidi="ar-SA"/>
    </w:rPr>
  </w:style>
  <w:style w:type="paragraph" w:customStyle="1" w:styleId="161">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62">
    <w:name w:val="Char2"/>
    <w:basedOn w:val="1"/>
    <w:qFormat/>
    <w:uiPriority w:val="0"/>
    <w:rPr>
      <w:rFonts w:ascii="Calibri" w:hAnsi="Calibri"/>
    </w:rPr>
  </w:style>
  <w:style w:type="paragraph" w:customStyle="1" w:styleId="163">
    <w:name w:val="标题5"/>
    <w:basedOn w:val="4"/>
    <w:link w:val="296"/>
    <w:qFormat/>
    <w:uiPriority w:val="0"/>
    <w:pPr>
      <w:spacing w:line="413" w:lineRule="auto"/>
    </w:pPr>
    <w:rPr>
      <w:rFonts w:ascii="Arial" w:hAnsi="Arial"/>
      <w:kern w:val="0"/>
      <w:sz w:val="24"/>
    </w:rPr>
  </w:style>
  <w:style w:type="paragraph" w:customStyle="1" w:styleId="164">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6">
    <w:name w:val="表格标题"/>
    <w:basedOn w:val="118"/>
    <w:qFormat/>
    <w:uiPriority w:val="0"/>
  </w:style>
  <w:style w:type="paragraph" w:customStyle="1" w:styleId="16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6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9">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2">
    <w:name w:val="WW-表格标题"/>
    <w:basedOn w:val="137"/>
    <w:qFormat/>
    <w:uiPriority w:val="0"/>
  </w:style>
  <w:style w:type="paragraph" w:customStyle="1" w:styleId="17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74">
    <w:name w:val="明显引用12"/>
    <w:basedOn w:val="1"/>
    <w:next w:val="1"/>
    <w:link w:val="265"/>
    <w:qFormat/>
    <w:uiPriority w:val="30"/>
    <w:pPr>
      <w:pBdr>
        <w:bottom w:val="single" w:color="4F81BD" w:sz="4" w:space="4"/>
      </w:pBdr>
      <w:spacing w:before="200" w:after="280"/>
      <w:ind w:left="936" w:right="936"/>
    </w:pPr>
    <w:rPr>
      <w:b/>
      <w:bCs/>
      <w:i/>
      <w:iCs/>
      <w:color w:val="4F81BD"/>
      <w:szCs w:val="20"/>
    </w:rPr>
  </w:style>
  <w:style w:type="paragraph" w:customStyle="1" w:styleId="175">
    <w:name w:val="标准样式1"/>
    <w:basedOn w:val="1"/>
    <w:qFormat/>
    <w:uiPriority w:val="0"/>
    <w:pPr>
      <w:spacing w:line="600" w:lineRule="exact"/>
      <w:ind w:firstLine="567"/>
    </w:pPr>
    <w:rPr>
      <w:rFonts w:ascii="Calibri" w:hAnsi="Calibri"/>
      <w:sz w:val="28"/>
    </w:rPr>
  </w:style>
  <w:style w:type="paragraph" w:customStyle="1" w:styleId="17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77">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78">
    <w:name w:val="引用11"/>
    <w:basedOn w:val="1"/>
    <w:next w:val="1"/>
    <w:link w:val="278"/>
    <w:qFormat/>
    <w:uiPriority w:val="29"/>
    <w:rPr>
      <w:i/>
      <w:iCs/>
      <w:color w:val="000000"/>
      <w:szCs w:val="20"/>
    </w:rPr>
  </w:style>
  <w:style w:type="paragraph" w:customStyle="1" w:styleId="179">
    <w:name w:val="_Style 87"/>
    <w:basedOn w:val="1"/>
    <w:qFormat/>
    <w:uiPriority w:val="99"/>
    <w:pPr>
      <w:ind w:firstLine="420" w:firstLineChars="200"/>
    </w:pPr>
    <w:rPr>
      <w:rFonts w:ascii="Calibri" w:hAnsi="Calibri"/>
      <w:sz w:val="28"/>
      <w:szCs w:val="28"/>
    </w:rPr>
  </w:style>
  <w:style w:type="paragraph" w:customStyle="1" w:styleId="180">
    <w:name w:val="自定样式1"/>
    <w:basedOn w:val="1"/>
    <w:qFormat/>
    <w:uiPriority w:val="0"/>
    <w:pPr>
      <w:suppressAutoHyphens/>
      <w:jc w:val="center"/>
    </w:pPr>
    <w:rPr>
      <w:rFonts w:ascii="宋体" w:hAnsi="宋体"/>
      <w:color w:val="000000"/>
      <w:sz w:val="18"/>
    </w:rPr>
  </w:style>
  <w:style w:type="paragraph" w:customStyle="1" w:styleId="18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character" w:customStyle="1" w:styleId="183">
    <w:name w:val="未处理的提及1"/>
    <w:unhideWhenUsed/>
    <w:qFormat/>
    <w:uiPriority w:val="99"/>
    <w:rPr>
      <w:color w:val="808080"/>
      <w:shd w:val="clear" w:color="auto" w:fill="E6E6E6"/>
    </w:rPr>
  </w:style>
  <w:style w:type="character" w:customStyle="1" w:styleId="184">
    <w:name w:val="正文文本 3 Char"/>
    <w:qFormat/>
    <w:uiPriority w:val="0"/>
    <w:rPr>
      <w:kern w:val="2"/>
      <w:sz w:val="16"/>
      <w:szCs w:val="16"/>
    </w:rPr>
  </w:style>
  <w:style w:type="character" w:customStyle="1" w:styleId="185">
    <w:name w:val="正文文本缩进 Char2"/>
    <w:semiHidden/>
    <w:qFormat/>
    <w:uiPriority w:val="99"/>
    <w:rPr>
      <w:rFonts w:ascii="Calibri" w:hAnsi="Calibri" w:eastAsia="宋体" w:cs="Times New Roman"/>
      <w:szCs w:val="24"/>
    </w:rPr>
  </w:style>
  <w:style w:type="character" w:customStyle="1" w:styleId="186">
    <w:name w:val="标题 3 Char"/>
    <w:qFormat/>
    <w:uiPriority w:val="0"/>
    <w:rPr>
      <w:rFonts w:ascii="仿宋_GB2312" w:hAnsi="Calibri" w:eastAsia="仿宋_GB2312" w:cs="Times New Roman"/>
      <w:b/>
      <w:kern w:val="0"/>
      <w:sz w:val="24"/>
      <w:szCs w:val="28"/>
    </w:rPr>
  </w:style>
  <w:style w:type="character" w:customStyle="1" w:styleId="187">
    <w:name w:val="批注框文本 Char2"/>
    <w:qFormat/>
    <w:uiPriority w:val="99"/>
    <w:rPr>
      <w:kern w:val="2"/>
      <w:sz w:val="18"/>
      <w:szCs w:val="18"/>
    </w:rPr>
  </w:style>
  <w:style w:type="character" w:customStyle="1" w:styleId="188">
    <w:name w:val="textcontents"/>
    <w:qFormat/>
    <w:uiPriority w:val="0"/>
    <w:rPr>
      <w:rFonts w:cs="Times New Roman"/>
    </w:rPr>
  </w:style>
  <w:style w:type="character" w:customStyle="1" w:styleId="189">
    <w:name w:val="ht1"/>
    <w:qFormat/>
    <w:uiPriority w:val="0"/>
    <w:rPr>
      <w:rFonts w:ascii="黑体" w:eastAsia="黑体"/>
      <w:b/>
      <w:bCs/>
    </w:rPr>
  </w:style>
  <w:style w:type="character" w:customStyle="1" w:styleId="190">
    <w:name w:val="标题 Char"/>
    <w:qFormat/>
    <w:uiPriority w:val="0"/>
    <w:rPr>
      <w:rFonts w:ascii="Cambria" w:hAnsi="Cambria" w:eastAsia="宋体" w:cs="Times New Roman"/>
      <w:b/>
      <w:bCs/>
      <w:kern w:val="2"/>
      <w:sz w:val="32"/>
      <w:szCs w:val="32"/>
    </w:rPr>
  </w:style>
  <w:style w:type="character" w:customStyle="1" w:styleId="191">
    <w:name w:val="14t1"/>
    <w:qFormat/>
    <w:uiPriority w:val="0"/>
    <w:rPr>
      <w:rFonts w:hint="eastAsia" w:ascii="宋体" w:hAnsi="宋体" w:eastAsia="宋体"/>
      <w:sz w:val="11"/>
      <w:szCs w:val="11"/>
    </w:rPr>
  </w:style>
  <w:style w:type="character" w:customStyle="1" w:styleId="192">
    <w:name w:val="Char Char36"/>
    <w:qFormat/>
    <w:uiPriority w:val="0"/>
    <w:rPr>
      <w:rFonts w:ascii="仿宋_GB2312" w:eastAsia="仿宋_GB2312" w:cs="MingLiU"/>
      <w:b/>
      <w:sz w:val="24"/>
      <w:szCs w:val="28"/>
    </w:rPr>
  </w:style>
  <w:style w:type="character" w:customStyle="1" w:styleId="193">
    <w:name w:val="文档结构图 Char"/>
    <w:qFormat/>
    <w:uiPriority w:val="0"/>
    <w:rPr>
      <w:rFonts w:ascii="宋体"/>
      <w:kern w:val="2"/>
      <w:sz w:val="18"/>
      <w:szCs w:val="18"/>
    </w:rPr>
  </w:style>
  <w:style w:type="character" w:customStyle="1" w:styleId="194">
    <w:name w:val="普通文字 Char Char2"/>
    <w:qFormat/>
    <w:uiPriority w:val="0"/>
    <w:rPr>
      <w:rFonts w:ascii="宋体" w:hAnsi="Courier New"/>
      <w:kern w:val="2"/>
      <w:sz w:val="28"/>
      <w:szCs w:val="28"/>
    </w:rPr>
  </w:style>
  <w:style w:type="character" w:customStyle="1" w:styleId="195">
    <w:name w:val="HTML 预设格式 Char"/>
    <w:qFormat/>
    <w:uiPriority w:val="0"/>
    <w:rPr>
      <w:rFonts w:ascii="宋体" w:hAnsi="宋体" w:eastAsia="宋体" w:cs="宋体"/>
      <w:color w:val="000000"/>
      <w:sz w:val="24"/>
      <w:szCs w:val="24"/>
    </w:rPr>
  </w:style>
  <w:style w:type="character" w:customStyle="1" w:styleId="196">
    <w:name w:val="纯文本 Char"/>
    <w:qFormat/>
    <w:uiPriority w:val="0"/>
    <w:rPr>
      <w:rFonts w:ascii="宋体" w:hAnsi="Courier New"/>
      <w:sz w:val="28"/>
      <w:szCs w:val="28"/>
    </w:rPr>
  </w:style>
  <w:style w:type="character" w:customStyle="1" w:styleId="197">
    <w:name w:val="批注框文本 Char"/>
    <w:qFormat/>
    <w:uiPriority w:val="0"/>
    <w:rPr>
      <w:sz w:val="18"/>
      <w:szCs w:val="18"/>
    </w:rPr>
  </w:style>
  <w:style w:type="character" w:customStyle="1" w:styleId="198">
    <w:name w:val="页脚 Char"/>
    <w:qFormat/>
    <w:uiPriority w:val="0"/>
    <w:rPr>
      <w:sz w:val="18"/>
      <w:szCs w:val="18"/>
    </w:rPr>
  </w:style>
  <w:style w:type="character" w:customStyle="1" w:styleId="199">
    <w:name w:val="正文文本缩进 3 Char"/>
    <w:qFormat/>
    <w:uiPriority w:val="0"/>
    <w:rPr>
      <w:kern w:val="2"/>
      <w:sz w:val="16"/>
      <w:szCs w:val="16"/>
    </w:rPr>
  </w:style>
  <w:style w:type="character" w:customStyle="1" w:styleId="200">
    <w:name w:val="标题 8 Char"/>
    <w:qFormat/>
    <w:uiPriority w:val="0"/>
    <w:rPr>
      <w:rFonts w:ascii="Arial" w:hAnsi="Arial" w:eastAsia="黑体" w:cs="Times New Roman"/>
      <w:sz w:val="24"/>
      <w:szCs w:val="24"/>
    </w:rPr>
  </w:style>
  <w:style w:type="character" w:customStyle="1" w:styleId="201">
    <w:name w:val="正文文本缩进 2 Char1"/>
    <w:qFormat/>
    <w:uiPriority w:val="0"/>
    <w:rPr>
      <w:sz w:val="28"/>
      <w:szCs w:val="24"/>
    </w:rPr>
  </w:style>
  <w:style w:type="character" w:customStyle="1" w:styleId="202">
    <w:name w:val="标题 5 Char1"/>
    <w:qFormat/>
    <w:uiPriority w:val="0"/>
    <w:rPr>
      <w:rFonts w:ascii="宋体" w:hAnsi="宋体" w:eastAsia="宋体" w:cs="宋体"/>
      <w:b/>
      <w:bCs/>
      <w:sz w:val="20"/>
      <w:szCs w:val="20"/>
    </w:rPr>
  </w:style>
  <w:style w:type="character" w:customStyle="1" w:styleId="203">
    <w:name w:val="批注文字 Char"/>
    <w:qFormat/>
    <w:uiPriority w:val="0"/>
    <w:rPr>
      <w:rFonts w:ascii="Times New Roman" w:hAnsi="Times New Roman" w:eastAsia="宋体" w:cs="Times New Roman"/>
      <w:kern w:val="2"/>
      <w:sz w:val="21"/>
      <w:szCs w:val="24"/>
    </w:rPr>
  </w:style>
  <w:style w:type="character" w:customStyle="1" w:styleId="204">
    <w:name w:val="style121"/>
    <w:qFormat/>
    <w:uiPriority w:val="0"/>
    <w:rPr>
      <w:rFonts w:hint="eastAsia" w:ascii="宋体" w:hAnsi="宋体" w:eastAsia="宋体"/>
      <w:sz w:val="18"/>
      <w:szCs w:val="18"/>
    </w:rPr>
  </w:style>
  <w:style w:type="character" w:customStyle="1" w:styleId="205">
    <w:name w:val="Section Char"/>
    <w:qFormat/>
    <w:uiPriority w:val="0"/>
    <w:rPr>
      <w:rFonts w:ascii="仿宋_GB2312" w:eastAsia="仿宋_GB2312" w:cs="MingLiU"/>
      <w:b/>
      <w:sz w:val="24"/>
      <w:szCs w:val="28"/>
      <w:lang w:val="en-US" w:eastAsia="zh-CN" w:bidi="ar-SA"/>
    </w:rPr>
  </w:style>
  <w:style w:type="character" w:customStyle="1" w:styleId="206">
    <w:name w:val="正文文本 3 Char1"/>
    <w:qFormat/>
    <w:uiPriority w:val="0"/>
    <w:rPr>
      <w:kern w:val="2"/>
      <w:sz w:val="16"/>
      <w:szCs w:val="16"/>
    </w:rPr>
  </w:style>
  <w:style w:type="character" w:customStyle="1" w:styleId="207">
    <w:name w:val="文档结构图 Char1"/>
    <w:qFormat/>
    <w:uiPriority w:val="0"/>
    <w:rPr>
      <w:rFonts w:ascii="宋体"/>
      <w:kern w:val="2"/>
      <w:sz w:val="18"/>
      <w:szCs w:val="18"/>
    </w:rPr>
  </w:style>
  <w:style w:type="character" w:customStyle="1" w:styleId="208">
    <w:name w:val="标题 9 Char"/>
    <w:qFormat/>
    <w:uiPriority w:val="0"/>
    <w:rPr>
      <w:rFonts w:ascii="Arial" w:hAnsi="Arial" w:eastAsia="黑体" w:cs="Times New Roman"/>
      <w:szCs w:val="21"/>
    </w:rPr>
  </w:style>
  <w:style w:type="character" w:customStyle="1" w:styleId="209">
    <w:name w:val="页眉 Char1"/>
    <w:semiHidden/>
    <w:qFormat/>
    <w:uiPriority w:val="99"/>
    <w:rPr>
      <w:kern w:val="2"/>
      <w:sz w:val="18"/>
      <w:szCs w:val="18"/>
    </w:rPr>
  </w:style>
  <w:style w:type="character" w:customStyle="1" w:styleId="210">
    <w:name w:val="Char Char35"/>
    <w:qFormat/>
    <w:uiPriority w:val="0"/>
    <w:rPr>
      <w:rFonts w:ascii="仿宋_GB2312" w:eastAsia="仿宋_GB2312" w:cs="MingLiU"/>
      <w:b/>
      <w:sz w:val="24"/>
      <w:szCs w:val="28"/>
    </w:rPr>
  </w:style>
  <w:style w:type="character" w:customStyle="1" w:styleId="211">
    <w:name w:val="日期 Char2"/>
    <w:qFormat/>
    <w:uiPriority w:val="99"/>
    <w:rPr>
      <w:kern w:val="2"/>
      <w:sz w:val="21"/>
      <w:szCs w:val="24"/>
    </w:rPr>
  </w:style>
  <w:style w:type="character" w:customStyle="1" w:styleId="212">
    <w:name w:val="Char Char22"/>
    <w:qFormat/>
    <w:uiPriority w:val="0"/>
    <w:rPr>
      <w:b/>
      <w:bCs/>
      <w:kern w:val="2"/>
      <w:sz w:val="32"/>
      <w:szCs w:val="32"/>
    </w:rPr>
  </w:style>
  <w:style w:type="character" w:customStyle="1" w:styleId="213">
    <w:name w:val="正文文本缩进 2 Char2"/>
    <w:semiHidden/>
    <w:qFormat/>
    <w:uiPriority w:val="99"/>
    <w:rPr>
      <w:rFonts w:ascii="Calibri" w:hAnsi="Calibri" w:eastAsia="宋体" w:cs="Times New Roman"/>
      <w:szCs w:val="24"/>
    </w:rPr>
  </w:style>
  <w:style w:type="character" w:customStyle="1" w:styleId="214">
    <w:name w:val="明显强调1"/>
    <w:qFormat/>
    <w:uiPriority w:val="0"/>
    <w:rPr>
      <w:b/>
      <w:bCs/>
      <w:i/>
      <w:iCs/>
      <w:color w:val="4F81BD"/>
    </w:rPr>
  </w:style>
  <w:style w:type="character" w:customStyle="1" w:styleId="215">
    <w:name w:val="Char Char14"/>
    <w:qFormat/>
    <w:uiPriority w:val="0"/>
    <w:rPr>
      <w:kern w:val="2"/>
      <w:sz w:val="18"/>
      <w:szCs w:val="18"/>
    </w:rPr>
  </w:style>
  <w:style w:type="character" w:customStyle="1" w:styleId="216">
    <w:name w:val="s3"/>
    <w:qFormat/>
    <w:uiPriority w:val="0"/>
  </w:style>
  <w:style w:type="character" w:customStyle="1" w:styleId="217">
    <w:name w:val="标题 1 Char"/>
    <w:qFormat/>
    <w:uiPriority w:val="0"/>
    <w:rPr>
      <w:rFonts w:ascii="Times New Roman" w:hAnsi="Times New Roman" w:eastAsia="宋体" w:cs="Times New Roman"/>
      <w:b/>
      <w:bCs/>
      <w:kern w:val="44"/>
      <w:sz w:val="44"/>
      <w:szCs w:val="44"/>
    </w:rPr>
  </w:style>
  <w:style w:type="character" w:customStyle="1" w:styleId="218">
    <w:name w:val="日期 Char3"/>
    <w:semiHidden/>
    <w:qFormat/>
    <w:uiPriority w:val="99"/>
    <w:rPr>
      <w:rFonts w:ascii="Calibri" w:hAnsi="Calibri" w:eastAsia="宋体" w:cs="Times New Roman"/>
      <w:szCs w:val="24"/>
    </w:rPr>
  </w:style>
  <w:style w:type="character" w:customStyle="1" w:styleId="219">
    <w:name w:val="title11"/>
    <w:qFormat/>
    <w:uiPriority w:val="0"/>
    <w:rPr>
      <w:b/>
      <w:bCs/>
      <w:color w:val="FFFFFF"/>
      <w:sz w:val="11"/>
      <w:szCs w:val="11"/>
    </w:rPr>
  </w:style>
  <w:style w:type="character" w:customStyle="1" w:styleId="220">
    <w:name w:val="明显引用 Char2"/>
    <w:qFormat/>
    <w:uiPriority w:val="99"/>
    <w:rPr>
      <w:b/>
      <w:bCs/>
      <w:i/>
      <w:iCs/>
      <w:color w:val="4F81BD"/>
      <w:kern w:val="2"/>
      <w:sz w:val="21"/>
      <w:szCs w:val="24"/>
    </w:rPr>
  </w:style>
  <w:style w:type="character" w:customStyle="1" w:styleId="221">
    <w:name w:val="批注框文本 Char3"/>
    <w:semiHidden/>
    <w:qFormat/>
    <w:uiPriority w:val="99"/>
    <w:rPr>
      <w:rFonts w:ascii="Calibri" w:hAnsi="Calibri" w:eastAsia="宋体" w:cs="Times New Roman"/>
      <w:sz w:val="18"/>
      <w:szCs w:val="18"/>
    </w:rPr>
  </w:style>
  <w:style w:type="character" w:customStyle="1" w:styleId="222">
    <w:name w:val="Char Char33"/>
    <w:qFormat/>
    <w:uiPriority w:val="0"/>
    <w:rPr>
      <w:rFonts w:ascii="仿宋_GB2312" w:eastAsia="仿宋_GB2312" w:cs="MingLiU"/>
      <w:b/>
      <w:sz w:val="24"/>
      <w:szCs w:val="28"/>
    </w:rPr>
  </w:style>
  <w:style w:type="character" w:customStyle="1" w:styleId="223">
    <w:name w:val="标题 2 Char"/>
    <w:qFormat/>
    <w:uiPriority w:val="0"/>
    <w:rPr>
      <w:rFonts w:ascii="仿宋_GB2312" w:hAnsi="Calibri" w:eastAsia="仿宋_GB2312" w:cs="Times New Roman"/>
      <w:b/>
      <w:spacing w:val="1"/>
      <w:w w:val="99"/>
      <w:kern w:val="0"/>
      <w:sz w:val="28"/>
      <w:szCs w:val="32"/>
    </w:rPr>
  </w:style>
  <w:style w:type="character" w:customStyle="1" w:styleId="224">
    <w:name w:val="l1"/>
    <w:basedOn w:val="51"/>
    <w:qFormat/>
    <w:uiPriority w:val="0"/>
  </w:style>
  <w:style w:type="character" w:customStyle="1" w:styleId="225">
    <w:name w:val="手改 Char Char"/>
    <w:qFormat/>
    <w:uiPriority w:val="0"/>
    <w:rPr>
      <w:kern w:val="2"/>
      <w:sz w:val="21"/>
      <w:szCs w:val="24"/>
    </w:rPr>
  </w:style>
  <w:style w:type="character" w:customStyle="1" w:styleId="226">
    <w:name w:val="style21"/>
    <w:qFormat/>
    <w:uiPriority w:val="0"/>
    <w:rPr>
      <w:b/>
      <w:bCs/>
      <w:sz w:val="28"/>
      <w:szCs w:val="28"/>
    </w:rPr>
  </w:style>
  <w:style w:type="character" w:customStyle="1" w:styleId="227">
    <w:name w:val="Char Char24"/>
    <w:qFormat/>
    <w:uiPriority w:val="0"/>
    <w:rPr>
      <w:b/>
      <w:bCs/>
      <w:kern w:val="44"/>
      <w:sz w:val="44"/>
      <w:szCs w:val="44"/>
    </w:rPr>
  </w:style>
  <w:style w:type="character" w:customStyle="1" w:styleId="228">
    <w:name w:val="纯文本 Char1"/>
    <w:qFormat/>
    <w:uiPriority w:val="0"/>
    <w:rPr>
      <w:rFonts w:ascii="宋体" w:hAnsi="Courier New" w:cs="Courier New"/>
      <w:kern w:val="2"/>
      <w:sz w:val="21"/>
      <w:szCs w:val="21"/>
    </w:rPr>
  </w:style>
  <w:style w:type="character" w:customStyle="1" w:styleId="229">
    <w:name w:val="尾注文本 Char"/>
    <w:qFormat/>
    <w:uiPriority w:val="0"/>
    <w:rPr>
      <w:kern w:val="2"/>
      <w:sz w:val="21"/>
      <w:szCs w:val="24"/>
    </w:rPr>
  </w:style>
  <w:style w:type="character" w:customStyle="1" w:styleId="230">
    <w:name w:val="日期 Char1"/>
    <w:qFormat/>
    <w:uiPriority w:val="0"/>
    <w:rPr>
      <w:kern w:val="2"/>
      <w:sz w:val="21"/>
      <w:szCs w:val="22"/>
    </w:rPr>
  </w:style>
  <w:style w:type="character" w:customStyle="1" w:styleId="231">
    <w:name w:val="正文文本 Char1"/>
    <w:qFormat/>
    <w:uiPriority w:val="0"/>
    <w:rPr>
      <w:kern w:val="2"/>
      <w:sz w:val="21"/>
      <w:szCs w:val="22"/>
    </w:rPr>
  </w:style>
  <w:style w:type="character" w:customStyle="1" w:styleId="232">
    <w:name w:val="标题 9 Char1"/>
    <w:qFormat/>
    <w:uiPriority w:val="0"/>
    <w:rPr>
      <w:rFonts w:ascii="Times New Roman" w:hAnsi="Times New Roman" w:eastAsia="仿宋_GB2312" w:cs="Times New Roman"/>
      <w:sz w:val="30"/>
      <w:szCs w:val="20"/>
    </w:rPr>
  </w:style>
  <w:style w:type="character" w:customStyle="1" w:styleId="233">
    <w:name w:val="脚注文本 Char1"/>
    <w:qFormat/>
    <w:uiPriority w:val="0"/>
    <w:rPr>
      <w:rFonts w:ascii="Arial" w:hAnsi="Arial" w:cs="Arial"/>
      <w:sz w:val="18"/>
      <w:szCs w:val="18"/>
      <w:lang w:eastAsia="en-US"/>
    </w:rPr>
  </w:style>
  <w:style w:type="character" w:customStyle="1" w:styleId="234">
    <w:name w:val="正文文本缩进 Char"/>
    <w:qFormat/>
    <w:uiPriority w:val="0"/>
    <w:rPr>
      <w:rFonts w:ascii="黑体" w:hAnsi="宋体" w:eastAsia="黑体"/>
      <w:color w:val="000000"/>
      <w:sz w:val="28"/>
      <w:szCs w:val="32"/>
    </w:rPr>
  </w:style>
  <w:style w:type="character" w:customStyle="1" w:styleId="235">
    <w:name w:val="HTML 预设格式 Char1"/>
    <w:qFormat/>
    <w:uiPriority w:val="0"/>
    <w:rPr>
      <w:rFonts w:ascii="宋体" w:hAnsi="宋体" w:cs="宋体"/>
      <w:color w:val="000000"/>
      <w:sz w:val="24"/>
      <w:szCs w:val="24"/>
    </w:rPr>
  </w:style>
  <w:style w:type="character" w:customStyle="1" w:styleId="236">
    <w:name w:val="引用 Char3"/>
    <w:qFormat/>
    <w:uiPriority w:val="29"/>
    <w:rPr>
      <w:rFonts w:ascii="Calibri" w:hAnsi="Calibri" w:eastAsia="宋体" w:cs="Times New Roman"/>
      <w:i/>
      <w:iCs/>
      <w:color w:val="000000"/>
      <w:szCs w:val="24"/>
    </w:rPr>
  </w:style>
  <w:style w:type="character" w:customStyle="1" w:styleId="237">
    <w:name w:val="标题 7 Char1"/>
    <w:qFormat/>
    <w:uiPriority w:val="0"/>
    <w:rPr>
      <w:rFonts w:ascii="Times New Roman" w:hAnsi="Times New Roman" w:eastAsia="仿宋_GB2312" w:cs="Times New Roman"/>
      <w:sz w:val="30"/>
      <w:szCs w:val="20"/>
    </w:rPr>
  </w:style>
  <w:style w:type="character" w:customStyle="1" w:styleId="238">
    <w:name w:val="普通文字 Char Char1"/>
    <w:qFormat/>
    <w:uiPriority w:val="0"/>
    <w:rPr>
      <w:rFonts w:ascii="宋体" w:hAnsi="Courier New"/>
      <w:kern w:val="2"/>
      <w:sz w:val="28"/>
      <w:szCs w:val="28"/>
    </w:rPr>
  </w:style>
  <w:style w:type="character" w:customStyle="1" w:styleId="239">
    <w:name w:val="明显参考1"/>
    <w:qFormat/>
    <w:uiPriority w:val="0"/>
    <w:rPr>
      <w:b/>
      <w:bCs/>
      <w:smallCaps/>
      <w:color w:val="C0504D"/>
      <w:spacing w:val="5"/>
      <w:u w:val="single"/>
    </w:rPr>
  </w:style>
  <w:style w:type="character" w:customStyle="1" w:styleId="240">
    <w:name w:val="正文文本缩进 Char1"/>
    <w:qFormat/>
    <w:uiPriority w:val="0"/>
    <w:rPr>
      <w:kern w:val="2"/>
      <w:sz w:val="21"/>
      <w:szCs w:val="24"/>
    </w:rPr>
  </w:style>
  <w:style w:type="character" w:customStyle="1" w:styleId="241">
    <w:name w:val="页眉 Char"/>
    <w:qFormat/>
    <w:uiPriority w:val="0"/>
    <w:rPr>
      <w:sz w:val="18"/>
      <w:szCs w:val="18"/>
    </w:rPr>
  </w:style>
  <w:style w:type="character" w:customStyle="1" w:styleId="242">
    <w:name w:val="style31"/>
    <w:qFormat/>
    <w:uiPriority w:val="0"/>
    <w:rPr>
      <w:sz w:val="10"/>
      <w:szCs w:val="10"/>
    </w:rPr>
  </w:style>
  <w:style w:type="character" w:customStyle="1" w:styleId="243">
    <w:name w:val="日期 Char"/>
    <w:qFormat/>
    <w:uiPriority w:val="0"/>
    <w:rPr>
      <w:rFonts w:eastAsia="宋体"/>
      <w:szCs w:val="24"/>
    </w:rPr>
  </w:style>
  <w:style w:type="character" w:customStyle="1" w:styleId="244">
    <w:name w:val="标题 1 Char1"/>
    <w:qFormat/>
    <w:uiPriority w:val="0"/>
    <w:rPr>
      <w:rFonts w:ascii="Times New Roman" w:hAnsi="Times New Roman" w:eastAsia="宋体" w:cs="Times New Roman"/>
      <w:b/>
      <w:bCs/>
      <w:kern w:val="44"/>
      <w:sz w:val="44"/>
      <w:szCs w:val="44"/>
    </w:rPr>
  </w:style>
  <w:style w:type="character" w:customStyle="1" w:styleId="245">
    <w:name w:val="main_tdbg_7601"/>
    <w:qFormat/>
    <w:uiPriority w:val="0"/>
    <w:rPr>
      <w:sz w:val="14"/>
      <w:szCs w:val="14"/>
    </w:rPr>
  </w:style>
  <w:style w:type="character" w:customStyle="1" w:styleId="246">
    <w:name w:val="尾注文本 Char1"/>
    <w:qFormat/>
    <w:uiPriority w:val="0"/>
    <w:rPr>
      <w:rFonts w:ascii="Arial" w:hAnsi="Arial" w:cs="Arial"/>
      <w:szCs w:val="24"/>
      <w:lang w:eastAsia="en-US"/>
    </w:rPr>
  </w:style>
  <w:style w:type="character" w:customStyle="1" w:styleId="247">
    <w:name w:val="副标题 Char2"/>
    <w:qFormat/>
    <w:uiPriority w:val="11"/>
    <w:rPr>
      <w:rFonts w:ascii="Cambria" w:hAnsi="Cambria" w:eastAsia="宋体" w:cs="Times New Roman"/>
      <w:b/>
      <w:bCs/>
      <w:kern w:val="28"/>
      <w:sz w:val="32"/>
      <w:szCs w:val="32"/>
    </w:rPr>
  </w:style>
  <w:style w:type="character" w:customStyle="1" w:styleId="248">
    <w:name w:val="正文文本缩进 3 Char2"/>
    <w:semiHidden/>
    <w:qFormat/>
    <w:uiPriority w:val="99"/>
    <w:rPr>
      <w:rFonts w:ascii="Calibri" w:hAnsi="Calibri" w:eastAsia="宋体" w:cs="Times New Roman"/>
      <w:sz w:val="16"/>
      <w:szCs w:val="16"/>
    </w:rPr>
  </w:style>
  <w:style w:type="character" w:customStyle="1" w:styleId="249">
    <w:name w:val="Char Char34"/>
    <w:qFormat/>
    <w:uiPriority w:val="0"/>
    <w:rPr>
      <w:rFonts w:ascii="仿宋_GB2312" w:eastAsia="仿宋_GB2312" w:cs="MingLiU"/>
      <w:b/>
      <w:spacing w:val="1"/>
      <w:w w:val="99"/>
      <w:sz w:val="28"/>
      <w:szCs w:val="32"/>
    </w:rPr>
  </w:style>
  <w:style w:type="character" w:customStyle="1" w:styleId="250">
    <w:name w:val="docpro"/>
    <w:basedOn w:val="51"/>
    <w:qFormat/>
    <w:uiPriority w:val="0"/>
  </w:style>
  <w:style w:type="character" w:customStyle="1" w:styleId="251">
    <w:name w:val="ITTHEADER1 Char"/>
    <w:qFormat/>
    <w:uiPriority w:val="0"/>
    <w:rPr>
      <w:rFonts w:eastAsia="黑体"/>
      <w:kern w:val="2"/>
      <w:sz w:val="44"/>
      <w:szCs w:val="44"/>
      <w:lang w:val="en-US" w:eastAsia="zh-CN" w:bidi="ar-SA"/>
    </w:rPr>
  </w:style>
  <w:style w:type="character" w:customStyle="1" w:styleId="252">
    <w:name w:val="副标题 Char"/>
    <w:qFormat/>
    <w:uiPriority w:val="0"/>
    <w:rPr>
      <w:rFonts w:ascii="Cambria" w:hAnsi="Cambria" w:eastAsia="宋体" w:cs="Times New Roman"/>
      <w:b/>
      <w:bCs/>
      <w:kern w:val="28"/>
      <w:sz w:val="32"/>
      <w:szCs w:val="32"/>
    </w:rPr>
  </w:style>
  <w:style w:type="character" w:customStyle="1" w:styleId="253">
    <w:name w:val="标题 Char2"/>
    <w:qFormat/>
    <w:uiPriority w:val="10"/>
    <w:rPr>
      <w:rFonts w:ascii="Cambria" w:hAnsi="Cambria" w:eastAsia="宋体" w:cs="Times New Roman"/>
      <w:b/>
      <w:bCs/>
      <w:sz w:val="32"/>
      <w:szCs w:val="32"/>
    </w:rPr>
  </w:style>
  <w:style w:type="character" w:customStyle="1" w:styleId="254">
    <w:name w:val="正文文本 Char2"/>
    <w:qFormat/>
    <w:uiPriority w:val="99"/>
    <w:rPr>
      <w:kern w:val="2"/>
      <w:sz w:val="21"/>
      <w:szCs w:val="24"/>
    </w:rPr>
  </w:style>
  <w:style w:type="character" w:customStyle="1" w:styleId="255">
    <w:name w:val="0d1471"/>
    <w:qFormat/>
    <w:uiPriority w:val="0"/>
    <w:rPr>
      <w:color w:val="000000"/>
      <w:sz w:val="11"/>
      <w:szCs w:val="11"/>
      <w:u w:val="none"/>
    </w:rPr>
  </w:style>
  <w:style w:type="character" w:customStyle="1" w:styleId="256">
    <w:name w:val="批注主题 Char"/>
    <w:qFormat/>
    <w:uiPriority w:val="0"/>
    <w:rPr>
      <w:rFonts w:ascii="宋体" w:hAnsi="宋体" w:eastAsia="宋体"/>
      <w:kern w:val="2"/>
      <w:sz w:val="24"/>
      <w:szCs w:val="28"/>
      <w:lang w:val="en-US" w:eastAsia="zh-CN" w:bidi="ar-SA"/>
    </w:rPr>
  </w:style>
  <w:style w:type="character" w:customStyle="1" w:styleId="257">
    <w:name w:val="正文文本 2 Char1"/>
    <w:semiHidden/>
    <w:qFormat/>
    <w:uiPriority w:val="99"/>
    <w:rPr>
      <w:rFonts w:ascii="Calibri" w:hAnsi="Calibri" w:eastAsia="宋体" w:cs="Times New Roman"/>
      <w:szCs w:val="24"/>
    </w:rPr>
  </w:style>
  <w:style w:type="character" w:customStyle="1" w:styleId="258">
    <w:name w:val="批注框文本 Char1"/>
    <w:qFormat/>
    <w:uiPriority w:val="0"/>
    <w:rPr>
      <w:kern w:val="2"/>
      <w:sz w:val="18"/>
      <w:szCs w:val="18"/>
    </w:rPr>
  </w:style>
  <w:style w:type="character" w:customStyle="1" w:styleId="259">
    <w:name w:val="引用 Char"/>
    <w:link w:val="156"/>
    <w:qFormat/>
    <w:uiPriority w:val="0"/>
    <w:rPr>
      <w:rFonts w:ascii="Times New Roman" w:hAnsi="Times New Roman" w:eastAsia="宋体" w:cs="Times New Roman"/>
      <w:i/>
      <w:iCs/>
      <w:color w:val="000000"/>
      <w:szCs w:val="24"/>
    </w:rPr>
  </w:style>
  <w:style w:type="character" w:customStyle="1" w:styleId="260">
    <w:name w:val="font161"/>
    <w:qFormat/>
    <w:uiPriority w:val="0"/>
    <w:rPr>
      <w:b/>
      <w:bCs/>
      <w:sz w:val="32"/>
      <w:szCs w:val="32"/>
    </w:rPr>
  </w:style>
  <w:style w:type="character" w:customStyle="1" w:styleId="261">
    <w:name w:val="Char Char32"/>
    <w:qFormat/>
    <w:uiPriority w:val="0"/>
    <w:rPr>
      <w:rFonts w:ascii="仿宋_GB2312" w:eastAsia="仿宋_GB2312" w:cs="MingLiU"/>
      <w:b/>
      <w:spacing w:val="1"/>
      <w:w w:val="99"/>
      <w:sz w:val="28"/>
      <w:szCs w:val="32"/>
    </w:rPr>
  </w:style>
  <w:style w:type="character" w:customStyle="1" w:styleId="262">
    <w:name w:val="标题 2 Char1"/>
    <w:qFormat/>
    <w:uiPriority w:val="0"/>
    <w:rPr>
      <w:rFonts w:ascii="Cambria" w:hAnsi="Cambria" w:eastAsia="宋体" w:cs="Times New Roman"/>
      <w:b/>
      <w:bCs/>
      <w:kern w:val="2"/>
      <w:sz w:val="32"/>
      <w:szCs w:val="32"/>
    </w:rPr>
  </w:style>
  <w:style w:type="character" w:customStyle="1" w:styleId="263">
    <w:name w:val="ss16"/>
    <w:qFormat/>
    <w:uiPriority w:val="0"/>
    <w:rPr>
      <w:rFonts w:hint="eastAsia" w:ascii="宋体" w:hAnsi="宋体" w:eastAsia="宋体"/>
      <w:color w:val="000000"/>
      <w:sz w:val="9"/>
      <w:szCs w:val="9"/>
    </w:rPr>
  </w:style>
  <w:style w:type="character" w:customStyle="1" w:styleId="264">
    <w:name w:val="批注主题 Char3"/>
    <w:semiHidden/>
    <w:qFormat/>
    <w:uiPriority w:val="99"/>
    <w:rPr>
      <w:rFonts w:ascii="Calibri" w:hAnsi="Calibri" w:eastAsia="宋体" w:cs="Times New Roman"/>
      <w:b/>
      <w:bCs/>
      <w:szCs w:val="24"/>
    </w:rPr>
  </w:style>
  <w:style w:type="character" w:customStyle="1" w:styleId="265">
    <w:name w:val="明显引用 Char1"/>
    <w:link w:val="174"/>
    <w:qFormat/>
    <w:uiPriority w:val="30"/>
    <w:rPr>
      <w:rFonts w:ascii="Times New Roman" w:hAnsi="Times New Roman" w:eastAsia="宋体" w:cs="Times New Roman"/>
      <w:b/>
      <w:bCs/>
      <w:i/>
      <w:iCs/>
      <w:color w:val="4F81BD"/>
      <w:szCs w:val="20"/>
    </w:rPr>
  </w:style>
  <w:style w:type="character" w:customStyle="1" w:styleId="266">
    <w:name w:val="HTML 预设格式 Char2"/>
    <w:semiHidden/>
    <w:qFormat/>
    <w:uiPriority w:val="99"/>
    <w:rPr>
      <w:rFonts w:ascii="Courier New" w:hAnsi="Courier New" w:eastAsia="宋体" w:cs="Courier New"/>
      <w:sz w:val="20"/>
      <w:szCs w:val="20"/>
    </w:rPr>
  </w:style>
  <w:style w:type="character" w:customStyle="1" w:styleId="267">
    <w:name w:val="Char Char17"/>
    <w:qFormat/>
    <w:uiPriority w:val="0"/>
    <w:rPr>
      <w:kern w:val="2"/>
      <w:sz w:val="26"/>
      <w:szCs w:val="24"/>
    </w:rPr>
  </w:style>
  <w:style w:type="character" w:customStyle="1" w:styleId="268">
    <w:name w:val="标题 3 Char1"/>
    <w:qFormat/>
    <w:uiPriority w:val="0"/>
    <w:rPr>
      <w:rFonts w:ascii="Times New Roman" w:hAnsi="Times New Roman" w:eastAsia="宋体" w:cs="Times New Roman"/>
      <w:b/>
      <w:bCs/>
      <w:kern w:val="2"/>
      <w:sz w:val="32"/>
      <w:szCs w:val="32"/>
    </w:rPr>
  </w:style>
  <w:style w:type="character" w:customStyle="1" w:styleId="269">
    <w:name w:val="标题 5 Char"/>
    <w:qFormat/>
    <w:uiPriority w:val="0"/>
    <w:rPr>
      <w:rFonts w:ascii="Calibri" w:hAnsi="Calibri" w:eastAsia="宋体" w:cs="Times New Roman"/>
      <w:b/>
      <w:bCs/>
      <w:sz w:val="28"/>
      <w:szCs w:val="28"/>
    </w:rPr>
  </w:style>
  <w:style w:type="character" w:customStyle="1" w:styleId="270">
    <w:name w:val="页脚 Char1"/>
    <w:semiHidden/>
    <w:qFormat/>
    <w:uiPriority w:val="99"/>
    <w:rPr>
      <w:kern w:val="2"/>
      <w:sz w:val="18"/>
      <w:szCs w:val="18"/>
    </w:rPr>
  </w:style>
  <w:style w:type="character" w:customStyle="1" w:styleId="271">
    <w:name w:val="unnamed1"/>
    <w:basedOn w:val="51"/>
    <w:qFormat/>
    <w:uiPriority w:val="0"/>
  </w:style>
  <w:style w:type="character" w:customStyle="1" w:styleId="272">
    <w:name w:val="Char Char9"/>
    <w:qFormat/>
    <w:locked/>
    <w:uiPriority w:val="0"/>
    <w:rPr>
      <w:rFonts w:ascii="仿宋_GB2312" w:eastAsia="仿宋_GB2312" w:cs="MingLiU"/>
      <w:b/>
      <w:sz w:val="24"/>
      <w:szCs w:val="28"/>
      <w:lang w:val="en-US" w:eastAsia="zh-CN" w:bidi="ar-SA"/>
    </w:rPr>
  </w:style>
  <w:style w:type="character" w:customStyle="1" w:styleId="273">
    <w:name w:val="批注主题 Char1"/>
    <w:qFormat/>
    <w:uiPriority w:val="0"/>
    <w:rPr>
      <w:b/>
      <w:bCs/>
      <w:kern w:val="2"/>
      <w:sz w:val="21"/>
      <w:szCs w:val="22"/>
    </w:rPr>
  </w:style>
  <w:style w:type="character" w:customStyle="1" w:styleId="274">
    <w:name w:val="纯文本 Char2"/>
    <w:semiHidden/>
    <w:qFormat/>
    <w:uiPriority w:val="99"/>
    <w:rPr>
      <w:rFonts w:ascii="宋体" w:hAnsi="Courier New" w:eastAsia="宋体" w:cs="Courier New"/>
      <w:szCs w:val="21"/>
    </w:rPr>
  </w:style>
  <w:style w:type="character" w:customStyle="1" w:styleId="275">
    <w:name w:val="intel3"/>
    <w:basedOn w:val="51"/>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脚注文本 Char"/>
    <w:qFormat/>
    <w:uiPriority w:val="0"/>
    <w:rPr>
      <w:rFonts w:ascii="Arial" w:hAnsi="Arial" w:eastAsia="宋体" w:cs="Arial"/>
      <w:sz w:val="18"/>
      <w:szCs w:val="18"/>
      <w:lang w:eastAsia="en-US"/>
    </w:rPr>
  </w:style>
  <w:style w:type="character" w:customStyle="1" w:styleId="278">
    <w:name w:val="引用 Char1"/>
    <w:link w:val="178"/>
    <w:qFormat/>
    <w:uiPriority w:val="29"/>
    <w:rPr>
      <w:rFonts w:ascii="Times New Roman" w:hAnsi="Times New Roman" w:eastAsia="宋体" w:cs="Times New Roman"/>
      <w:i/>
      <w:iCs/>
      <w:color w:val="000000"/>
      <w:szCs w:val="20"/>
    </w:rPr>
  </w:style>
  <w:style w:type="character" w:customStyle="1" w:styleId="279">
    <w:name w:val="正文文本缩进 2 Char"/>
    <w:qFormat/>
    <w:uiPriority w:val="0"/>
    <w:rPr>
      <w:kern w:val="2"/>
      <w:sz w:val="21"/>
      <w:szCs w:val="24"/>
    </w:rPr>
  </w:style>
  <w:style w:type="character" w:customStyle="1" w:styleId="280">
    <w:name w:val="脚注文本 Char2"/>
    <w:semiHidden/>
    <w:qFormat/>
    <w:uiPriority w:val="99"/>
    <w:rPr>
      <w:rFonts w:ascii="Calibri" w:hAnsi="Calibri" w:eastAsia="宋体" w:cs="Times New Roman"/>
      <w:sz w:val="18"/>
      <w:szCs w:val="18"/>
    </w:rPr>
  </w:style>
  <w:style w:type="character" w:customStyle="1" w:styleId="281">
    <w:name w:val="ca-141"/>
    <w:qFormat/>
    <w:uiPriority w:val="0"/>
    <w:rPr>
      <w:rFonts w:hint="eastAsia" w:ascii="仿宋_GB2312" w:eastAsia="仿宋_GB2312"/>
      <w:sz w:val="21"/>
      <w:szCs w:val="21"/>
    </w:rPr>
  </w:style>
  <w:style w:type="character" w:customStyle="1" w:styleId="282">
    <w:name w:val="标题 Char1"/>
    <w:qFormat/>
    <w:uiPriority w:val="10"/>
    <w:rPr>
      <w:szCs w:val="24"/>
      <w:u w:val="single"/>
      <w:lang w:eastAsia="en-US"/>
    </w:rPr>
  </w:style>
  <w:style w:type="character" w:customStyle="1" w:styleId="283">
    <w:name w:val="style161"/>
    <w:qFormat/>
    <w:uiPriority w:val="0"/>
    <w:rPr>
      <w:b/>
      <w:bCs/>
      <w:color w:val="333333"/>
    </w:rPr>
  </w:style>
  <w:style w:type="character" w:customStyle="1" w:styleId="284">
    <w:name w:val="Char Char11"/>
    <w:qFormat/>
    <w:locked/>
    <w:uiPriority w:val="0"/>
    <w:rPr>
      <w:rFonts w:eastAsia="黑体"/>
      <w:kern w:val="2"/>
      <w:sz w:val="44"/>
      <w:szCs w:val="44"/>
      <w:lang w:val="en-US" w:eastAsia="zh-CN" w:bidi="ar-SA"/>
    </w:rPr>
  </w:style>
  <w:style w:type="character" w:customStyle="1" w:styleId="285">
    <w:name w:val="标题 7 Char"/>
    <w:qFormat/>
    <w:uiPriority w:val="0"/>
    <w:rPr>
      <w:rFonts w:ascii="Calibri" w:hAnsi="Calibri" w:eastAsia="宋体" w:cs="Times New Roman"/>
      <w:b/>
      <w:bCs/>
      <w:sz w:val="24"/>
      <w:szCs w:val="24"/>
    </w:rPr>
  </w:style>
  <w:style w:type="character" w:customStyle="1" w:styleId="286">
    <w:name w:val="批注文字 Char1"/>
    <w:qFormat/>
    <w:uiPriority w:val="99"/>
    <w:rPr>
      <w:rFonts w:ascii="Times New Roman" w:hAnsi="Times New Roman" w:eastAsia="宋体" w:cs="Times New Roman"/>
      <w:szCs w:val="24"/>
    </w:rPr>
  </w:style>
  <w:style w:type="character" w:customStyle="1" w:styleId="287">
    <w:name w:val="明显引用 Char"/>
    <w:qFormat/>
    <w:uiPriority w:val="0"/>
    <w:rPr>
      <w:rFonts w:ascii="Times New Roman" w:hAnsi="Times New Roman" w:eastAsia="宋体" w:cs="Times New Roman"/>
      <w:b/>
      <w:bCs/>
      <w:i/>
      <w:iCs/>
      <w:color w:val="4F81BD"/>
      <w:kern w:val="2"/>
      <w:sz w:val="21"/>
      <w:szCs w:val="24"/>
    </w:rPr>
  </w:style>
  <w:style w:type="character" w:customStyle="1" w:styleId="288">
    <w:name w:val="正文文本缩进 3 Char1"/>
    <w:qFormat/>
    <w:uiPriority w:val="0"/>
    <w:rPr>
      <w:rFonts w:ascii="宋体" w:hAnsi="宋体"/>
      <w:kern w:val="2"/>
      <w:sz w:val="28"/>
      <w:szCs w:val="28"/>
    </w:rPr>
  </w:style>
  <w:style w:type="character" w:customStyle="1" w:styleId="289">
    <w:name w:val="正文文本 Char"/>
    <w:qFormat/>
    <w:uiPriority w:val="0"/>
    <w:rPr>
      <w:sz w:val="26"/>
      <w:szCs w:val="24"/>
    </w:rPr>
  </w:style>
  <w:style w:type="character" w:customStyle="1" w:styleId="290">
    <w:name w:val="Char Char12"/>
    <w:qFormat/>
    <w:uiPriority w:val="0"/>
    <w:rPr>
      <w:rFonts w:eastAsia="黑体"/>
      <w:kern w:val="2"/>
      <w:sz w:val="44"/>
      <w:szCs w:val="44"/>
      <w:lang w:val="en-US" w:eastAsia="zh-CN" w:bidi="ar-SA"/>
    </w:rPr>
  </w:style>
  <w:style w:type="character" w:customStyle="1" w:styleId="291">
    <w:name w:val="标题 4 Char"/>
    <w:qFormat/>
    <w:uiPriority w:val="0"/>
    <w:rPr>
      <w:rFonts w:ascii="仿宋_GB2312" w:hAnsi="Calibri" w:eastAsia="仿宋_GB2312" w:cs="Times New Roman"/>
      <w:b/>
      <w:kern w:val="0"/>
      <w:sz w:val="24"/>
      <w:szCs w:val="28"/>
    </w:rPr>
  </w:style>
  <w:style w:type="character" w:customStyle="1" w:styleId="292">
    <w:name w:val="明显引用 Char3"/>
    <w:qFormat/>
    <w:uiPriority w:val="30"/>
    <w:rPr>
      <w:rFonts w:ascii="Calibri" w:hAnsi="Calibri" w:eastAsia="宋体" w:cs="Times New Roman"/>
      <w:b/>
      <w:bCs/>
      <w:i/>
      <w:iCs/>
      <w:color w:val="4F81BD"/>
      <w:szCs w:val="24"/>
    </w:rPr>
  </w:style>
  <w:style w:type="character" w:customStyle="1" w:styleId="293">
    <w:name w:val="引用 Char2"/>
    <w:qFormat/>
    <w:uiPriority w:val="99"/>
    <w:rPr>
      <w:i/>
      <w:iCs/>
      <w:color w:val="000000"/>
      <w:kern w:val="2"/>
      <w:sz w:val="21"/>
      <w:szCs w:val="24"/>
    </w:rPr>
  </w:style>
  <w:style w:type="character" w:customStyle="1" w:styleId="294">
    <w:name w:val="不明显强调1"/>
    <w:qFormat/>
    <w:uiPriority w:val="0"/>
    <w:rPr>
      <w:i/>
      <w:iCs/>
      <w:color w:val="808080"/>
    </w:rPr>
  </w:style>
  <w:style w:type="character" w:customStyle="1" w:styleId="295">
    <w:name w:val="color_red1"/>
    <w:qFormat/>
    <w:uiPriority w:val="0"/>
    <w:rPr>
      <w:color w:val="FA0004"/>
    </w:rPr>
  </w:style>
  <w:style w:type="character" w:customStyle="1" w:styleId="296">
    <w:name w:val="标题5 Char Char"/>
    <w:link w:val="163"/>
    <w:qFormat/>
    <w:uiPriority w:val="0"/>
    <w:rPr>
      <w:rFonts w:ascii="Arial" w:hAnsi="Arial" w:eastAsia="宋体" w:cs="Times New Roman"/>
      <w:b/>
      <w:bCs/>
      <w:kern w:val="0"/>
      <w:sz w:val="24"/>
      <w:szCs w:val="32"/>
    </w:rPr>
  </w:style>
  <w:style w:type="character" w:customStyle="1" w:styleId="297">
    <w:name w:val="标题4 Char Char"/>
    <w:link w:val="133"/>
    <w:qFormat/>
    <w:uiPriority w:val="0"/>
    <w:rPr>
      <w:rFonts w:ascii="Arial" w:hAnsi="Arial" w:eastAsia="宋体" w:cs="Times New Roman"/>
      <w:b/>
      <w:bCs/>
      <w:kern w:val="0"/>
      <w:sz w:val="24"/>
      <w:szCs w:val="32"/>
    </w:rPr>
  </w:style>
  <w:style w:type="character" w:customStyle="1" w:styleId="298">
    <w:name w:val="Char Char13"/>
    <w:qFormat/>
    <w:uiPriority w:val="0"/>
    <w:rPr>
      <w:kern w:val="2"/>
      <w:sz w:val="18"/>
      <w:szCs w:val="18"/>
    </w:rPr>
  </w:style>
  <w:style w:type="character" w:customStyle="1" w:styleId="299">
    <w:name w:val="文档结构图 Char2"/>
    <w:qFormat/>
    <w:uiPriority w:val="99"/>
    <w:rPr>
      <w:kern w:val="2"/>
      <w:sz w:val="21"/>
      <w:szCs w:val="24"/>
      <w:shd w:val="clear" w:color="auto" w:fill="000080"/>
    </w:rPr>
  </w:style>
  <w:style w:type="character" w:customStyle="1" w:styleId="300">
    <w:name w:val="批注文字 Char2"/>
    <w:qFormat/>
    <w:uiPriority w:val="0"/>
    <w:rPr>
      <w:rFonts w:ascii="Calibri" w:hAnsi="Calibri" w:eastAsia="宋体" w:cs="Times New Roman"/>
      <w:szCs w:val="24"/>
    </w:rPr>
  </w:style>
  <w:style w:type="character" w:customStyle="1" w:styleId="301">
    <w:name w:val="标题 8 Char1"/>
    <w:qFormat/>
    <w:uiPriority w:val="0"/>
    <w:rPr>
      <w:rFonts w:ascii="Times New Roman" w:hAnsi="Arial" w:eastAsia="仿宋_GB2312" w:cs="Times New Roman"/>
      <w:sz w:val="30"/>
      <w:szCs w:val="20"/>
    </w:rPr>
  </w:style>
  <w:style w:type="character" w:customStyle="1" w:styleId="302">
    <w:name w:val="Char Char21"/>
    <w:qFormat/>
    <w:uiPriority w:val="0"/>
    <w:rPr>
      <w:rFonts w:ascii="宋体" w:hAnsi="宋体" w:cs="宋体"/>
      <w:b/>
      <w:bCs/>
      <w:sz w:val="24"/>
      <w:szCs w:val="24"/>
    </w:rPr>
  </w:style>
  <w:style w:type="character" w:customStyle="1" w:styleId="303">
    <w:name w:val="标题 6 Char1"/>
    <w:qFormat/>
    <w:uiPriority w:val="0"/>
    <w:rPr>
      <w:rFonts w:ascii="Times New Roman" w:hAnsi="Arial" w:eastAsia="仿宋_GB2312" w:cs="Times New Roman"/>
      <w:sz w:val="30"/>
      <w:szCs w:val="20"/>
    </w:rPr>
  </w:style>
  <w:style w:type="character" w:customStyle="1" w:styleId="304">
    <w:name w:val="副标题 Char1"/>
    <w:qFormat/>
    <w:uiPriority w:val="0"/>
    <w:rPr>
      <w:szCs w:val="24"/>
      <w:u w:val="single"/>
      <w:lang w:eastAsia="en-US"/>
    </w:rPr>
  </w:style>
  <w:style w:type="character" w:customStyle="1" w:styleId="305">
    <w:name w:val="正文文本 Char3"/>
    <w:semiHidden/>
    <w:qFormat/>
    <w:uiPriority w:val="99"/>
    <w:rPr>
      <w:rFonts w:ascii="Calibri" w:hAnsi="Calibri" w:eastAsia="宋体" w:cs="Times New Roman"/>
      <w:szCs w:val="24"/>
    </w:rPr>
  </w:style>
  <w:style w:type="character" w:customStyle="1" w:styleId="306">
    <w:name w:val="标题 4 Char1"/>
    <w:qFormat/>
    <w:uiPriority w:val="0"/>
    <w:rPr>
      <w:rFonts w:ascii="宋体" w:hAnsi="宋体" w:eastAsia="宋体" w:cs="宋体"/>
      <w:b/>
      <w:bCs/>
      <w:sz w:val="24"/>
      <w:szCs w:val="24"/>
    </w:rPr>
  </w:style>
  <w:style w:type="character" w:customStyle="1" w:styleId="307">
    <w:name w:val="文档结构图 Char3"/>
    <w:semiHidden/>
    <w:qFormat/>
    <w:uiPriority w:val="99"/>
    <w:rPr>
      <w:rFonts w:ascii="宋体" w:hAnsi="Calibri" w:eastAsia="宋体" w:cs="Times New Roman"/>
      <w:sz w:val="18"/>
      <w:szCs w:val="18"/>
    </w:rPr>
  </w:style>
  <w:style w:type="character" w:customStyle="1" w:styleId="308">
    <w:name w:val="正文文本 3 Char2"/>
    <w:semiHidden/>
    <w:qFormat/>
    <w:uiPriority w:val="99"/>
    <w:rPr>
      <w:rFonts w:ascii="Calibri" w:hAnsi="Calibri" w:eastAsia="宋体" w:cs="Times New Roman"/>
      <w:sz w:val="16"/>
      <w:szCs w:val="16"/>
    </w:rPr>
  </w:style>
  <w:style w:type="character" w:customStyle="1" w:styleId="309">
    <w:name w:val="Char Char23"/>
    <w:qFormat/>
    <w:uiPriority w:val="0"/>
    <w:rPr>
      <w:rFonts w:ascii="Cambria" w:hAnsi="Cambria" w:eastAsia="宋体" w:cs="Times New Roman"/>
      <w:b/>
      <w:bCs/>
      <w:kern w:val="2"/>
      <w:sz w:val="32"/>
      <w:szCs w:val="32"/>
    </w:rPr>
  </w:style>
  <w:style w:type="character" w:customStyle="1" w:styleId="310">
    <w:name w:val="尾注文本 Char2"/>
    <w:semiHidden/>
    <w:qFormat/>
    <w:uiPriority w:val="99"/>
    <w:rPr>
      <w:rFonts w:ascii="Calibri" w:hAnsi="Calibri" w:eastAsia="宋体" w:cs="Times New Roman"/>
      <w:szCs w:val="24"/>
    </w:rPr>
  </w:style>
  <w:style w:type="character" w:customStyle="1" w:styleId="311">
    <w:name w:val="书籍标题1"/>
    <w:qFormat/>
    <w:uiPriority w:val="0"/>
    <w:rPr>
      <w:b/>
      <w:bCs/>
      <w:smallCaps/>
      <w:spacing w:val="5"/>
    </w:rPr>
  </w:style>
  <w:style w:type="character" w:customStyle="1" w:styleId="312">
    <w:name w:val="ITTHEADER2 Char"/>
    <w:qFormat/>
    <w:uiPriority w:val="0"/>
    <w:rPr>
      <w:rFonts w:ascii="仿宋_GB2312" w:eastAsia="仿宋_GB2312" w:cs="MingLiU"/>
      <w:b/>
      <w:spacing w:val="1"/>
      <w:w w:val="99"/>
      <w:sz w:val="28"/>
      <w:szCs w:val="32"/>
      <w:lang w:val="en-US" w:eastAsia="zh-CN" w:bidi="ar-SA"/>
    </w:rPr>
  </w:style>
  <w:style w:type="character" w:customStyle="1" w:styleId="313">
    <w:name w:val="批注文字 Char Char"/>
    <w:qFormat/>
    <w:uiPriority w:val="0"/>
    <w:rPr>
      <w:rFonts w:ascii="宋体" w:hAnsi="Times New Roman" w:eastAsia="宋体" w:cs="Times New Roman"/>
      <w:sz w:val="28"/>
      <w:szCs w:val="20"/>
    </w:rPr>
  </w:style>
  <w:style w:type="character" w:customStyle="1" w:styleId="314">
    <w:name w:val="批注主题 Char2"/>
    <w:qFormat/>
    <w:uiPriority w:val="99"/>
    <w:rPr>
      <w:b/>
      <w:bCs/>
      <w:kern w:val="2"/>
      <w:sz w:val="21"/>
      <w:szCs w:val="24"/>
    </w:rPr>
  </w:style>
  <w:style w:type="character" w:customStyle="1" w:styleId="315">
    <w:name w:val="normaltext1"/>
    <w:qFormat/>
    <w:uiPriority w:val="0"/>
    <w:rPr>
      <w:rFonts w:hint="default" w:ascii="ˎ̥" w:hAnsi="ˎ̥"/>
      <w:sz w:val="9"/>
      <w:szCs w:val="9"/>
    </w:rPr>
  </w:style>
  <w:style w:type="character" w:customStyle="1" w:styleId="316">
    <w:name w:val="不明显参考1"/>
    <w:qFormat/>
    <w:uiPriority w:val="0"/>
    <w:rPr>
      <w:smallCaps/>
      <w:color w:val="C0504D"/>
      <w:u w:val="single"/>
    </w:rPr>
  </w:style>
  <w:style w:type="character" w:customStyle="1" w:styleId="317">
    <w:name w:val="标题 6 Char"/>
    <w:qFormat/>
    <w:uiPriority w:val="0"/>
    <w:rPr>
      <w:rFonts w:ascii="Arial" w:hAnsi="Arial" w:eastAsia="黑体" w:cs="Times New Roman"/>
      <w:b/>
      <w:bCs/>
      <w:sz w:val="24"/>
      <w:szCs w:val="24"/>
    </w:rPr>
  </w:style>
  <w:style w:type="character" w:customStyle="1" w:styleId="318">
    <w:name w:val="未处理的提及2"/>
    <w:basedOn w:val="51"/>
    <w:unhideWhenUsed/>
    <w:qFormat/>
    <w:uiPriority w:val="99"/>
    <w:rPr>
      <w:color w:val="605E5C"/>
      <w:shd w:val="clear" w:color="auto" w:fill="E1DFDD"/>
    </w:rPr>
  </w:style>
  <w:style w:type="paragraph" w:customStyle="1" w:styleId="319">
    <w:name w:val="Table Paragraph"/>
    <w:basedOn w:val="1"/>
    <w:qFormat/>
    <w:uiPriority w:val="1"/>
    <w:rPr>
      <w:rFonts w:ascii="宋体" w:hAnsi="宋体" w:cs="宋体"/>
    </w:rPr>
  </w:style>
  <w:style w:type="table" w:customStyle="1" w:styleId="320">
    <w:name w:val="网格型1"/>
    <w:basedOn w:val="4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1">
    <w:name w:val="占位符文本1"/>
    <w:basedOn w:val="51"/>
    <w:semiHidden/>
    <w:qFormat/>
    <w:uiPriority w:val="99"/>
    <w:rPr>
      <w:color w:val="808080"/>
    </w:rPr>
  </w:style>
  <w:style w:type="character" w:customStyle="1" w:styleId="322">
    <w:name w:val="datetime"/>
    <w:basedOn w:val="51"/>
    <w:qFormat/>
    <w:uiPriority w:val="0"/>
    <w:rPr>
      <w:color w:val="808080"/>
      <w:sz w:val="21"/>
      <w:szCs w:val="21"/>
    </w:rPr>
  </w:style>
  <w:style w:type="character" w:customStyle="1" w:styleId="323">
    <w:name w:val="datetime1"/>
    <w:basedOn w:val="51"/>
    <w:qFormat/>
    <w:uiPriority w:val="0"/>
  </w:style>
  <w:style w:type="character" w:customStyle="1" w:styleId="324">
    <w:name w:val="datetime2"/>
    <w:basedOn w:val="51"/>
    <w:qFormat/>
    <w:uiPriority w:val="0"/>
  </w:style>
  <w:style w:type="character" w:customStyle="1" w:styleId="325">
    <w:name w:val="datetime3"/>
    <w:basedOn w:val="51"/>
    <w:qFormat/>
    <w:uiPriority w:val="0"/>
  </w:style>
  <w:style w:type="character" w:customStyle="1" w:styleId="326">
    <w:name w:val="datetime4"/>
    <w:basedOn w:val="51"/>
    <w:qFormat/>
    <w:uiPriority w:val="0"/>
    <w:rPr>
      <w:color w:val="808080"/>
      <w:sz w:val="21"/>
      <w:szCs w:val="21"/>
    </w:rPr>
  </w:style>
  <w:style w:type="character" w:customStyle="1" w:styleId="327">
    <w:name w:val="cldh_img"/>
    <w:basedOn w:val="51"/>
    <w:qFormat/>
    <w:uiPriority w:val="0"/>
  </w:style>
  <w:style w:type="character" w:customStyle="1" w:styleId="328">
    <w:name w:val="cldh_img1"/>
    <w:basedOn w:val="51"/>
    <w:qFormat/>
    <w:uiPriority w:val="0"/>
  </w:style>
  <w:style w:type="character" w:customStyle="1" w:styleId="329">
    <w:name w:val="cldh_img2"/>
    <w:basedOn w:val="51"/>
    <w:qFormat/>
    <w:uiPriority w:val="0"/>
  </w:style>
  <w:style w:type="table" w:customStyle="1" w:styleId="33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3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333">
    <w:name w:val="未处理的提及3"/>
    <w:basedOn w:val="51"/>
    <w:unhideWhenUsed/>
    <w:qFormat/>
    <w:uiPriority w:val="99"/>
    <w:rPr>
      <w:color w:val="605E5C"/>
      <w:shd w:val="clear" w:color="auto" w:fill="E1DFDD"/>
    </w:rPr>
  </w:style>
  <w:style w:type="paragraph" w:customStyle="1" w:styleId="334">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5">
    <w:name w:val="未处理的提及4"/>
    <w:basedOn w:val="51"/>
    <w:unhideWhenUsed/>
    <w:qFormat/>
    <w:uiPriority w:val="99"/>
    <w:rPr>
      <w:color w:val="605E5C"/>
      <w:shd w:val="clear" w:color="auto" w:fill="E1DFDD"/>
    </w:rPr>
  </w:style>
  <w:style w:type="paragraph" w:customStyle="1" w:styleId="336">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37">
    <w:name w:val="TOC 标题3"/>
    <w:basedOn w:val="2"/>
    <w:next w:val="1"/>
    <w:unhideWhenUsed/>
    <w:qFormat/>
    <w:uiPriority w:val="0"/>
    <w:pPr>
      <w:outlineLvl w:val="9"/>
    </w:pPr>
  </w:style>
  <w:style w:type="character" w:customStyle="1" w:styleId="338">
    <w:name w:val="书籍标题2"/>
    <w:qFormat/>
    <w:uiPriority w:val="0"/>
    <w:rPr>
      <w:b/>
      <w:bCs/>
      <w:smallCaps/>
      <w:spacing w:val="5"/>
    </w:rPr>
  </w:style>
  <w:style w:type="character" w:customStyle="1" w:styleId="339">
    <w:name w:val="明显强调2"/>
    <w:qFormat/>
    <w:uiPriority w:val="0"/>
    <w:rPr>
      <w:b/>
      <w:bCs/>
      <w:i/>
      <w:iCs/>
      <w:color w:val="4F81BD"/>
    </w:rPr>
  </w:style>
  <w:style w:type="character" w:customStyle="1" w:styleId="340">
    <w:name w:val="不明显强调2"/>
    <w:qFormat/>
    <w:uiPriority w:val="0"/>
    <w:rPr>
      <w:i/>
      <w:iCs/>
      <w:color w:val="808080"/>
    </w:rPr>
  </w:style>
  <w:style w:type="character" w:customStyle="1" w:styleId="341">
    <w:name w:val="不明显参考2"/>
    <w:qFormat/>
    <w:uiPriority w:val="0"/>
    <w:rPr>
      <w:smallCaps/>
      <w:color w:val="C0504D"/>
      <w:u w:val="single"/>
    </w:rPr>
  </w:style>
  <w:style w:type="character" w:customStyle="1" w:styleId="342">
    <w:name w:val="明显参考2"/>
    <w:qFormat/>
    <w:uiPriority w:val="0"/>
    <w:rPr>
      <w:b/>
      <w:bCs/>
      <w:smallCaps/>
      <w:color w:val="C0504D"/>
      <w:spacing w:val="5"/>
      <w:u w:val="single"/>
    </w:rPr>
  </w:style>
  <w:style w:type="paragraph" w:styleId="343">
    <w:name w:val="List Paragraph"/>
    <w:basedOn w:val="1"/>
    <w:qFormat/>
    <w:uiPriority w:val="0"/>
    <w:pPr>
      <w:numPr>
        <w:ilvl w:val="0"/>
        <w:numId w:val="1"/>
      </w:numPr>
      <w:tabs>
        <w:tab w:val="clear" w:pos="1620"/>
      </w:tabs>
      <w:ind w:left="0" w:firstLine="200" w:firstLineChars="200"/>
    </w:pPr>
    <w:rPr>
      <w:rFonts w:ascii="Calibri" w:hAnsi="Calibri"/>
      <w:szCs w:val="22"/>
    </w:rPr>
  </w:style>
  <w:style w:type="paragraph" w:styleId="344">
    <w:name w:val="Quote"/>
    <w:basedOn w:val="1"/>
    <w:next w:val="1"/>
    <w:link w:val="345"/>
    <w:qFormat/>
    <w:uiPriority w:val="0"/>
    <w:pPr>
      <w:numPr>
        <w:ilvl w:val="0"/>
        <w:numId w:val="2"/>
      </w:numPr>
      <w:tabs>
        <w:tab w:val="clear" w:pos="2040"/>
      </w:tabs>
      <w:ind w:left="0" w:firstLine="0"/>
    </w:pPr>
    <w:rPr>
      <w:rFonts w:ascii="Calibri" w:hAnsi="Calibri"/>
      <w:i/>
      <w:iCs/>
      <w:color w:val="000000"/>
      <w:szCs w:val="22"/>
    </w:rPr>
  </w:style>
  <w:style w:type="character" w:customStyle="1" w:styleId="345">
    <w:name w:val="引用 字符"/>
    <w:basedOn w:val="51"/>
    <w:link w:val="344"/>
    <w:qFormat/>
    <w:uiPriority w:val="0"/>
    <w:rPr>
      <w:rFonts w:ascii="Calibri" w:hAnsi="Calibri"/>
      <w:i/>
      <w:iCs/>
      <w:color w:val="000000"/>
      <w:kern w:val="2"/>
      <w:sz w:val="21"/>
      <w:szCs w:val="22"/>
    </w:rPr>
  </w:style>
  <w:style w:type="paragraph" w:customStyle="1" w:styleId="346">
    <w:name w:val="修订4"/>
    <w:qFormat/>
    <w:uiPriority w:val="0"/>
    <w:rPr>
      <w:rFonts w:ascii="Times New Roman" w:hAnsi="Times New Roman" w:eastAsia="宋体" w:cs="Times New Roman"/>
      <w:kern w:val="2"/>
      <w:sz w:val="21"/>
      <w:szCs w:val="24"/>
      <w:lang w:val="en-US" w:eastAsia="zh-CN" w:bidi="ar-SA"/>
    </w:rPr>
  </w:style>
  <w:style w:type="paragraph" w:styleId="3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styleId="348">
    <w:name w:val="Intense Quote"/>
    <w:basedOn w:val="1"/>
    <w:next w:val="1"/>
    <w:link w:val="349"/>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349">
    <w:name w:val="明显引用 字符"/>
    <w:basedOn w:val="51"/>
    <w:link w:val="348"/>
    <w:qFormat/>
    <w:uiPriority w:val="0"/>
    <w:rPr>
      <w:rFonts w:ascii="Calibri" w:hAnsi="Calibri"/>
      <w:b/>
      <w:bCs/>
      <w:i/>
      <w:iCs/>
      <w:color w:val="4F81BD"/>
      <w:kern w:val="2"/>
      <w:sz w:val="21"/>
      <w:szCs w:val="22"/>
    </w:rPr>
  </w:style>
  <w:style w:type="character" w:customStyle="1" w:styleId="350">
    <w:name w:val="正文文本首行缩进 字符"/>
    <w:basedOn w:val="80"/>
    <w:link w:val="47"/>
    <w:qFormat/>
    <w:uiPriority w:val="0"/>
    <w:rPr>
      <w:rFonts w:ascii="Times New Roman" w:hAnsi="Times New Roman" w:eastAsia="宋体" w:cs="Times New Roman"/>
      <w:kern w:val="2"/>
      <w:sz w:val="21"/>
      <w:szCs w:val="24"/>
    </w:rPr>
  </w:style>
  <w:style w:type="paragraph" w:customStyle="1" w:styleId="35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52">
    <w:name w:val="WPSOffice手动目录 1"/>
    <w:qFormat/>
    <w:uiPriority w:val="0"/>
    <w:pPr>
      <w:ind w:leftChars="0"/>
    </w:pPr>
    <w:rPr>
      <w:rFonts w:ascii="Times New Roman" w:hAnsi="Times New Roman" w:eastAsia="宋体" w:cs="Times New Roman"/>
      <w:sz w:val="20"/>
      <w:szCs w:val="20"/>
    </w:rPr>
  </w:style>
  <w:style w:type="character" w:customStyle="1" w:styleId="353">
    <w:name w:val="font31"/>
    <w:basedOn w:val="51"/>
    <w:qFormat/>
    <w:uiPriority w:val="0"/>
    <w:rPr>
      <w:rFonts w:hint="default" w:ascii="Times New Roman" w:hAnsi="Times New Roman" w:cs="Times New Roman"/>
      <w:color w:val="000000"/>
      <w:sz w:val="20"/>
      <w:szCs w:val="20"/>
      <w:u w:val="none"/>
    </w:rPr>
  </w:style>
  <w:style w:type="character" w:customStyle="1" w:styleId="354">
    <w:name w:val="font21"/>
    <w:basedOn w:val="51"/>
    <w:qFormat/>
    <w:uiPriority w:val="0"/>
    <w:rPr>
      <w:rFonts w:hint="eastAsia" w:ascii="宋体" w:hAnsi="宋体" w:eastAsia="宋体" w:cs="宋体"/>
      <w:color w:val="000000"/>
      <w:sz w:val="20"/>
      <w:szCs w:val="20"/>
      <w:u w:val="none"/>
    </w:rPr>
  </w:style>
  <w:style w:type="character" w:customStyle="1" w:styleId="355">
    <w:name w:val="fontstyle01"/>
    <w:basedOn w:val="51"/>
    <w:qFormat/>
    <w:uiPriority w:val="0"/>
    <w:rPr>
      <w:rFonts w:hint="eastAsia" w:ascii="宋体" w:hAnsi="宋体" w:eastAsia="宋体"/>
      <w:color w:val="000000"/>
      <w:sz w:val="22"/>
      <w:szCs w:val="22"/>
    </w:rPr>
  </w:style>
  <w:style w:type="character" w:customStyle="1" w:styleId="356">
    <w:name w:val="fontstyle21"/>
    <w:qFormat/>
    <w:uiPriority w:val="0"/>
    <w:rPr>
      <w:rFonts w:hint="default" w:ascii="Times New Roman" w:hAnsi="Times New Roman" w:cs="Times New Roman"/>
      <w:color w:val="000000"/>
      <w:sz w:val="22"/>
      <w:szCs w:val="22"/>
    </w:rPr>
  </w:style>
  <w:style w:type="character" w:customStyle="1" w:styleId="357">
    <w:name w:val="fontstyle11"/>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E95EC8-6765-4790-A8E4-3F2F09368DD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28817</Words>
  <Characters>30731</Characters>
  <Lines>760</Lines>
  <Paragraphs>214</Paragraphs>
  <TotalTime>3</TotalTime>
  <ScaleCrop>false</ScaleCrop>
  <LinksUpToDate>false</LinksUpToDate>
  <CharactersWithSpaces>32324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2021-06-29T09:05:00Z</dcterms:created>
  <dc:creator>he hang</dc:creator>
  <cp:lastModifiedBy>刘道红</cp:lastModifiedBy>
  <cp:lastPrinted>2024-02-08T02:46:00Z</cp:lastPrinted>
  <dcterms:modified xsi:type="dcterms:W3CDTF">2024-10-28T06:16:15Z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D190C115B943452D8B930C8F3EF1FD8B_13</vt:lpwstr>
  </property>
</Properties>
</file>