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B59A4">
      <w:pPr>
        <w:autoSpaceDE w:val="0"/>
        <w:autoSpaceDN w:val="0"/>
        <w:adjustRightInd w:val="0"/>
        <w:snapToGrid w:val="0"/>
        <w:spacing w:line="360" w:lineRule="auto"/>
        <w:jc w:val="both"/>
        <w:rPr>
          <w:rFonts w:hint="eastAsia" w:ascii="宋体" w:hAnsi="宋体" w:eastAsia="宋体"/>
          <w:snapToGrid w:val="0"/>
          <w:color w:val="000000" w:themeColor="text1"/>
          <w:w w:val="99"/>
          <w:kern w:val="0"/>
          <w:sz w:val="28"/>
          <w:szCs w:val="28"/>
          <w:highlight w:val="none"/>
          <w:lang w:eastAsia="zh-CN"/>
          <w14:textFill>
            <w14:solidFill>
              <w14:schemeClr w14:val="tx1"/>
            </w14:solidFill>
          </w14:textFill>
        </w:rPr>
      </w:pPr>
      <w:r>
        <w:rPr>
          <w:rFonts w:hint="eastAsia" w:ascii="宋体" w:hAnsi="宋体"/>
          <w:snapToGrid w:val="0"/>
          <w:color w:val="000000" w:themeColor="text1"/>
          <w:w w:val="99"/>
          <w:kern w:val="0"/>
          <w:sz w:val="28"/>
          <w:szCs w:val="28"/>
          <w:highlight w:val="none"/>
          <w:lang w:eastAsia="zh-CN"/>
          <w14:textFill>
            <w14:solidFill>
              <w14:schemeClr w14:val="tx1"/>
            </w14:solidFill>
          </w14:textFill>
        </w:rPr>
        <w:t>2024年重庆高速公路服务区充电站广告深化设计、制作安装（第二次）</w:t>
      </w:r>
    </w:p>
    <w:p w14:paraId="21FBE664">
      <w:pPr>
        <w:autoSpaceDE w:val="0"/>
        <w:autoSpaceDN w:val="0"/>
        <w:adjustRightInd w:val="0"/>
        <w:snapToGrid w:val="0"/>
        <w:spacing w:line="360" w:lineRule="auto"/>
        <w:ind w:firstLine="554" w:firstLineChars="200"/>
        <w:jc w:val="center"/>
        <w:rPr>
          <w:rFonts w:ascii="宋体" w:hAnsi="宋体"/>
          <w:snapToGrid w:val="0"/>
          <w:color w:val="000000" w:themeColor="text1"/>
          <w:w w:val="99"/>
          <w:kern w:val="0"/>
          <w:sz w:val="28"/>
          <w:szCs w:val="28"/>
          <w:highlight w:val="none"/>
          <w14:textFill>
            <w14:solidFill>
              <w14:schemeClr w14:val="tx1"/>
            </w14:solidFill>
          </w14:textFill>
        </w:rPr>
      </w:pPr>
      <w:r>
        <w:rPr>
          <w:rFonts w:hint="eastAsia" w:ascii="宋体" w:hAnsi="宋体"/>
          <w:snapToGrid w:val="0"/>
          <w:color w:val="000000" w:themeColor="text1"/>
          <w:w w:val="99"/>
          <w:kern w:val="0"/>
          <w:sz w:val="28"/>
          <w:szCs w:val="28"/>
          <w:highlight w:val="none"/>
          <w14:textFill>
            <w14:solidFill>
              <w14:schemeClr w14:val="tx1"/>
            </w14:solidFill>
          </w14:textFill>
        </w:rPr>
        <w:t>比选公告</w:t>
      </w:r>
    </w:p>
    <w:p w14:paraId="7A963BDD">
      <w:pPr>
        <w:pStyle w:val="6"/>
        <w:jc w:val="center"/>
        <w:rPr>
          <w:color w:val="000000" w:themeColor="text1"/>
          <w:highlight w:val="none"/>
          <w14:textFill>
            <w14:solidFill>
              <w14:schemeClr w14:val="tx1"/>
            </w14:solidFill>
          </w14:textFill>
        </w:rPr>
      </w:pPr>
      <w:r>
        <w:rPr>
          <w:rFonts w:hint="eastAsia" w:ascii="宋体" w:hAnsi="宋体"/>
          <w:snapToGrid w:val="0"/>
          <w:color w:val="000000" w:themeColor="text1"/>
          <w:w w:val="99"/>
          <w:kern w:val="0"/>
          <w:sz w:val="28"/>
          <w:szCs w:val="28"/>
          <w:highlight w:val="none"/>
          <w14:textFill>
            <w14:solidFill>
              <w14:schemeClr w14:val="tx1"/>
            </w14:solidFill>
          </w14:textFill>
        </w:rPr>
        <w:t>（比选编号：G2400031083A）</w:t>
      </w:r>
    </w:p>
    <w:p w14:paraId="4ACC0E09">
      <w:pPr>
        <w:pStyle w:val="3"/>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0" w:name="_Toc287607728"/>
      <w:bookmarkStart w:id="1" w:name="_Toc277082536"/>
      <w:bookmarkStart w:id="2" w:name="_Toc224103299"/>
      <w:bookmarkStart w:id="3" w:name="_Toc27491"/>
      <w:bookmarkStart w:id="4" w:name="_Toc287620667"/>
      <w:bookmarkStart w:id="5" w:name="_Toc200359427"/>
      <w:bookmarkStart w:id="6" w:name="_Toc57905812"/>
      <w:bookmarkStart w:id="7" w:name="_Toc430530416"/>
      <w:bookmarkStart w:id="8" w:name="_Toc509218692"/>
      <w:bookmarkStart w:id="9" w:name="_Toc200359238"/>
      <w:r>
        <w:rPr>
          <w:rFonts w:ascii="宋体" w:hAnsi="宋体"/>
          <w:snapToGrid w:val="0"/>
          <w:color w:val="000000" w:themeColor="text1"/>
          <w:sz w:val="28"/>
          <w:szCs w:val="28"/>
          <w:highlight w:val="none"/>
          <w14:textFill>
            <w14:solidFill>
              <w14:schemeClr w14:val="tx1"/>
            </w14:solidFill>
          </w14:textFill>
        </w:rPr>
        <w:t xml:space="preserve">1. </w:t>
      </w:r>
      <w:r>
        <w:rPr>
          <w:rFonts w:hint="eastAsia" w:ascii="宋体" w:hAnsi="宋体"/>
          <w:snapToGrid w:val="0"/>
          <w:color w:val="000000" w:themeColor="text1"/>
          <w:sz w:val="28"/>
          <w:szCs w:val="28"/>
          <w:highlight w:val="none"/>
          <w14:textFill>
            <w14:solidFill>
              <w14:schemeClr w14:val="tx1"/>
            </w14:solidFill>
          </w14:textFill>
        </w:rPr>
        <w:t xml:space="preserve"> 比选</w:t>
      </w:r>
      <w:r>
        <w:rPr>
          <w:rFonts w:ascii="宋体" w:hAnsi="宋体"/>
          <w:snapToGrid w:val="0"/>
          <w:color w:val="000000" w:themeColor="text1"/>
          <w:sz w:val="28"/>
          <w:szCs w:val="28"/>
          <w:highlight w:val="none"/>
          <w14:textFill>
            <w14:solidFill>
              <w14:schemeClr w14:val="tx1"/>
            </w14:solidFill>
          </w14:textFill>
        </w:rPr>
        <w:t>条件</w:t>
      </w:r>
      <w:bookmarkEnd w:id="0"/>
      <w:bookmarkEnd w:id="1"/>
      <w:bookmarkEnd w:id="2"/>
      <w:bookmarkEnd w:id="3"/>
      <w:bookmarkEnd w:id="4"/>
      <w:bookmarkEnd w:id="5"/>
      <w:bookmarkEnd w:id="6"/>
      <w:bookmarkEnd w:id="7"/>
      <w:bookmarkEnd w:id="8"/>
      <w:bookmarkEnd w:id="9"/>
    </w:p>
    <w:p w14:paraId="4F060458">
      <w:pPr>
        <w:wordWrap w:val="0"/>
        <w:autoSpaceDE w:val="0"/>
        <w:autoSpaceDN w:val="0"/>
        <w:adjustRightInd w:val="0"/>
        <w:snapToGrid w:val="0"/>
        <w:spacing w:line="360" w:lineRule="auto"/>
        <w:ind w:firstLine="630" w:firstLineChars="300"/>
        <w:rPr>
          <w:rFonts w:ascii="宋体" w:hAnsi="宋体"/>
          <w:snapToGrid w:val="0"/>
          <w:color w:val="000000" w:themeColor="text1"/>
          <w:kern w:val="0"/>
          <w:szCs w:val="21"/>
          <w:highlight w:val="none"/>
          <w14:textFill>
            <w14:solidFill>
              <w14:schemeClr w14:val="tx1"/>
            </w14:solidFill>
          </w14:textFill>
        </w:rPr>
      </w:pPr>
      <w:bookmarkStart w:id="10" w:name="_Toc57905813"/>
      <w:bookmarkStart w:id="11" w:name="_Toc287607729"/>
      <w:bookmarkStart w:id="12" w:name="_Toc430530417"/>
      <w:bookmarkStart w:id="13" w:name="_Toc509218693"/>
      <w:bookmarkStart w:id="14" w:name="_Toc16344"/>
      <w:bookmarkStart w:id="15" w:name="_Toc277082537"/>
      <w:bookmarkStart w:id="16" w:name="_Toc287620668"/>
      <w:bookmarkStart w:id="17" w:name="_Toc200359428"/>
      <w:bookmarkStart w:id="18" w:name="_Toc224103300"/>
      <w:bookmarkStart w:id="19" w:name="_Toc200359239"/>
      <w:r>
        <w:rPr>
          <w:rFonts w:hint="eastAsia" w:ascii="宋体" w:hAnsi="宋体"/>
          <w:snapToGrid w:val="0"/>
          <w:color w:val="000000" w:themeColor="text1"/>
          <w:kern w:val="0"/>
          <w:szCs w:val="21"/>
          <w:highlight w:val="none"/>
          <w14:textFill>
            <w14:solidFill>
              <w14:schemeClr w14:val="tx1"/>
            </w14:solidFill>
          </w14:textFill>
        </w:rPr>
        <w:t>本比选项目</w:t>
      </w:r>
      <w:r>
        <w:rPr>
          <w:rFonts w:hint="eastAsia" w:ascii="宋体" w:hAnsi="宋体"/>
          <w:snapToGrid w:val="0"/>
          <w:color w:val="000000" w:themeColor="text1"/>
          <w:kern w:val="0"/>
          <w:szCs w:val="21"/>
          <w:highlight w:val="none"/>
          <w:lang w:eastAsia="zh-CN"/>
          <w14:textFill>
            <w14:solidFill>
              <w14:schemeClr w14:val="tx1"/>
            </w14:solidFill>
          </w14:textFill>
        </w:rPr>
        <w:t>2024年重庆高速公路服务区充电站广告深化设计、制作安装（第二次）</w:t>
      </w:r>
      <w:r>
        <w:rPr>
          <w:rFonts w:hint="eastAsia" w:ascii="宋体" w:hAnsi="宋体"/>
          <w:snapToGrid w:val="0"/>
          <w:color w:val="000000" w:themeColor="text1"/>
          <w:kern w:val="0"/>
          <w:szCs w:val="21"/>
          <w:highlight w:val="none"/>
          <w14:textFill>
            <w14:solidFill>
              <w14:schemeClr w14:val="tx1"/>
            </w14:solidFill>
          </w14:textFill>
        </w:rPr>
        <w:t>，项目业主为重庆高速绿能科技有限公司，建设资金来自业主自筹，项目出资比例为100%，比选人为重庆高速绿能科技有限公司。项目已具备比选条件，现对</w:t>
      </w:r>
      <w:r>
        <w:rPr>
          <w:rFonts w:hint="eastAsia" w:ascii="宋体" w:hAnsi="宋体"/>
          <w:snapToGrid w:val="0"/>
          <w:color w:val="000000" w:themeColor="text1"/>
          <w:kern w:val="0"/>
          <w:szCs w:val="21"/>
          <w:highlight w:val="none"/>
          <w:lang w:eastAsia="zh-CN"/>
          <w14:textFill>
            <w14:solidFill>
              <w14:schemeClr w14:val="tx1"/>
            </w14:solidFill>
          </w14:textFill>
        </w:rPr>
        <w:t>2024年重庆高速公路服务区充电站广告深化设计、制作安装（第二次）</w:t>
      </w:r>
      <w:r>
        <w:rPr>
          <w:rFonts w:hint="eastAsia" w:ascii="宋体" w:hAnsi="宋体"/>
          <w:snapToGrid w:val="0"/>
          <w:color w:val="000000" w:themeColor="text1"/>
          <w:kern w:val="0"/>
          <w:szCs w:val="21"/>
          <w:highlight w:val="none"/>
          <w14:textFill>
            <w14:solidFill>
              <w14:schemeClr w14:val="tx1"/>
            </w14:solidFill>
          </w14:textFill>
        </w:rPr>
        <w:t>进行竞争性比选。</w:t>
      </w:r>
    </w:p>
    <w:p w14:paraId="76513099">
      <w:pPr>
        <w:pStyle w:val="3"/>
        <w:spacing w:before="100" w:after="100" w:line="460" w:lineRule="exact"/>
        <w:rPr>
          <w:rFonts w:ascii="宋体" w:hAnsi="宋体"/>
          <w:snapToGrid w:val="0"/>
          <w:color w:val="000000" w:themeColor="text1"/>
          <w:sz w:val="28"/>
          <w:szCs w:val="28"/>
          <w:highlight w:val="none"/>
          <w14:textFill>
            <w14:solidFill>
              <w14:schemeClr w14:val="tx1"/>
            </w14:solidFill>
          </w14:textFill>
        </w:rPr>
      </w:pPr>
      <w:r>
        <w:rPr>
          <w:rFonts w:ascii="宋体" w:hAnsi="宋体"/>
          <w:snapToGrid w:val="0"/>
          <w:color w:val="000000" w:themeColor="text1"/>
          <w:sz w:val="28"/>
          <w:szCs w:val="28"/>
          <w:highlight w:val="none"/>
          <w14:textFill>
            <w14:solidFill>
              <w14:schemeClr w14:val="tx1"/>
            </w14:solidFill>
          </w14:textFill>
        </w:rPr>
        <w:t>2. 项目概况与</w:t>
      </w:r>
      <w:r>
        <w:rPr>
          <w:rFonts w:hint="eastAsia" w:ascii="宋体" w:hAnsi="宋体"/>
          <w:snapToGrid w:val="0"/>
          <w:color w:val="000000" w:themeColor="text1"/>
          <w:sz w:val="28"/>
          <w:szCs w:val="28"/>
          <w:highlight w:val="none"/>
          <w14:textFill>
            <w14:solidFill>
              <w14:schemeClr w14:val="tx1"/>
            </w14:solidFill>
          </w14:textFill>
        </w:rPr>
        <w:t>比选</w:t>
      </w:r>
      <w:r>
        <w:rPr>
          <w:rFonts w:ascii="宋体" w:hAnsi="宋体"/>
          <w:snapToGrid w:val="0"/>
          <w:color w:val="000000" w:themeColor="text1"/>
          <w:sz w:val="28"/>
          <w:szCs w:val="28"/>
          <w:highlight w:val="none"/>
          <w14:textFill>
            <w14:solidFill>
              <w14:schemeClr w14:val="tx1"/>
            </w14:solidFill>
          </w14:textFill>
        </w:rPr>
        <w:t>范围</w:t>
      </w:r>
      <w:bookmarkEnd w:id="10"/>
      <w:bookmarkEnd w:id="11"/>
      <w:bookmarkEnd w:id="12"/>
      <w:bookmarkEnd w:id="13"/>
      <w:bookmarkEnd w:id="14"/>
      <w:bookmarkEnd w:id="15"/>
      <w:bookmarkEnd w:id="16"/>
      <w:bookmarkEnd w:id="17"/>
      <w:bookmarkEnd w:id="18"/>
      <w:bookmarkEnd w:id="19"/>
    </w:p>
    <w:p w14:paraId="7770B709">
      <w:pPr>
        <w:widowControl/>
        <w:shd w:val="clear" w:color="auto" w:fill="FFFFFF"/>
        <w:adjustRightInd w:val="0"/>
        <w:snapToGrid w:val="0"/>
        <w:spacing w:line="324" w:lineRule="auto"/>
        <w:ind w:firstLine="420" w:firstLineChars="200"/>
        <w:jc w:val="left"/>
        <w:rPr>
          <w:rFonts w:ascii="宋体" w:hAnsi="宋体" w:cs="微软雅黑"/>
          <w:color w:val="000000" w:themeColor="text1"/>
          <w:kern w:val="0"/>
          <w:szCs w:val="21"/>
          <w:highlight w:val="none"/>
          <w:shd w:val="clear" w:color="auto" w:fill="FFFFFF"/>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2.1 建设地点：重庆高速集团全资控股路段（含已通车和在建路段）服务区，其中一二级站点为：东北公司（云阳服务区进出城、万州服务区进出城、奉节服务区进出城）、东南公司（酉阳服务区进出城、黔江服务区出城、清平服务区进出城、彭水服务区出城）、南方公司（大观服务区进出城、水江服务区进出城、巴南服务区出城、界石服务区进出城、武隆服务区进出城、涪陵服务区进出城）、通粤公司（金佛山东服务区出城）、万利万达公司（万州服务区进出城）、渝东公司（龙溪河服务区进出城、冷水服务区出城）、渝广梁忠（双槐服务区进出城、静观服务区进出城）、渝蓉公司（围龙服务区进出城、大足石刻服务区出城）、中渝公司（龙兴服务区内外圈、迎龙服务区内外圈、北碚服务区内外圈、珞璜服务区内外圈、曾家服务区内外圈、钱塘服务区进出城、江津服务区进出城）、渝邻公司（古路服务区进出城）等；在建路段站点为：城开公司（开州北服务区进出城、雪宝山服务区进出城、北屏服务区进出城）、梁开公司（竹海服务区进出城）、巫云开公司（红池坝服务区、江口服务区进出城、双龙服务区进出城）、渝湘复线公司（黎香湖服务区进出城、桥塘服务区进出城、芙蓉洞服务区进出城、阿依河服务区进出城、龚滩服务区进出城、天馆服务区进出城、石桥服务区进出城、二圣停车区进出城）等，共计81座站点</w:t>
      </w:r>
      <w:r>
        <w:rPr>
          <w:rFonts w:hint="eastAsia"/>
          <w:color w:val="000000" w:themeColor="text1"/>
          <w:highlight w:val="none"/>
          <w14:textFill>
            <w14:solidFill>
              <w14:schemeClr w14:val="tx1"/>
            </w14:solidFill>
          </w14:textFill>
        </w:rPr>
        <w:t>。</w:t>
      </w:r>
      <w:r>
        <w:rPr>
          <w:rFonts w:hint="eastAsia" w:ascii="宋体" w:hAnsi="宋体" w:cs="微软雅黑"/>
          <w:color w:val="000000" w:themeColor="text1"/>
          <w:kern w:val="0"/>
          <w:szCs w:val="21"/>
          <w:highlight w:val="none"/>
          <w:shd w:val="clear" w:color="auto" w:fill="FFFFFF"/>
          <w14:textFill>
            <w14:solidFill>
              <w14:schemeClr w14:val="tx1"/>
            </w14:solidFill>
          </w14:textFill>
        </w:rPr>
        <w:t>比选人根据</w:t>
      </w:r>
      <w:r>
        <w:rPr>
          <w:rFonts w:hint="eastAsia" w:ascii="宋体" w:hAnsi="宋体" w:cs="微软雅黑"/>
          <w:bCs/>
          <w:color w:val="000000" w:themeColor="text1"/>
          <w:szCs w:val="21"/>
          <w:highlight w:val="none"/>
          <w14:textFill>
            <w14:solidFill>
              <w14:schemeClr w14:val="tx1"/>
            </w14:solidFill>
          </w14:textFill>
        </w:rPr>
        <w:t>位置统计表地点</w:t>
      </w:r>
      <w:r>
        <w:rPr>
          <w:rFonts w:hint="eastAsia" w:ascii="宋体" w:hAnsi="宋体" w:cs="微软雅黑"/>
          <w:color w:val="000000" w:themeColor="text1"/>
          <w:kern w:val="0"/>
          <w:szCs w:val="21"/>
          <w:highlight w:val="none"/>
          <w:shd w:val="clear" w:color="auto" w:fill="FFFFFF"/>
          <w14:textFill>
            <w14:solidFill>
              <w14:schemeClr w14:val="tx1"/>
            </w14:solidFill>
          </w14:textFill>
        </w:rPr>
        <w:t>说明自行</w:t>
      </w:r>
      <w:r>
        <w:rPr>
          <w:rFonts w:hint="eastAsia" w:ascii="宋体" w:hAnsi="宋体" w:cs="宋体"/>
          <w:color w:val="000000" w:themeColor="text1"/>
          <w:kern w:val="0"/>
          <w:szCs w:val="21"/>
          <w:highlight w:val="none"/>
          <w14:textFill>
            <w14:solidFill>
              <w14:schemeClr w14:val="tx1"/>
            </w14:solidFill>
          </w14:textFill>
        </w:rPr>
        <w:t>踏勘</w:t>
      </w:r>
      <w:r>
        <w:rPr>
          <w:rFonts w:hint="eastAsia" w:ascii="宋体" w:hAnsi="宋体" w:cs="微软雅黑"/>
          <w:color w:val="000000" w:themeColor="text1"/>
          <w:kern w:val="0"/>
          <w:szCs w:val="21"/>
          <w:highlight w:val="none"/>
          <w:shd w:val="clear" w:color="auto" w:fill="FFFFFF"/>
          <w14:textFill>
            <w14:solidFill>
              <w14:schemeClr w14:val="tx1"/>
            </w14:solidFill>
          </w14:textFill>
        </w:rPr>
        <w:t>现场，评估现场施工具体情况，比选人不另行组织。</w:t>
      </w:r>
    </w:p>
    <w:p w14:paraId="5C224497">
      <w:pPr>
        <w:spacing w:line="360" w:lineRule="auto"/>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2.2 项目概况及建设规模：</w:t>
      </w:r>
    </w:p>
    <w:p w14:paraId="6245ADE4">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充电站</w:t>
      </w:r>
      <w:r>
        <w:rPr>
          <w:color w:val="000000" w:themeColor="text1"/>
          <w:szCs w:val="21"/>
          <w:highlight w:val="none"/>
          <w14:textFill>
            <w14:solidFill>
              <w14:schemeClr w14:val="tx1"/>
            </w14:solidFill>
          </w14:textFill>
        </w:rPr>
        <w:t>广告深化设计、制作安装工作内容：</w:t>
      </w:r>
    </w:p>
    <w:p w14:paraId="0F87B6DE">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根据已有</w:t>
      </w:r>
      <w:r>
        <w:rPr>
          <w:color w:val="000000" w:themeColor="text1"/>
          <w:szCs w:val="21"/>
          <w:highlight w:val="none"/>
          <w14:textFill>
            <w14:solidFill>
              <w14:schemeClr w14:val="tx1"/>
            </w14:solidFill>
          </w14:textFill>
        </w:rPr>
        <w:t>相关设计图纸、</w:t>
      </w:r>
      <w:r>
        <w:rPr>
          <w:rFonts w:hint="eastAsia"/>
          <w:color w:val="000000" w:themeColor="text1"/>
          <w:szCs w:val="21"/>
          <w:highlight w:val="none"/>
          <w14:textFill>
            <w14:solidFill>
              <w14:schemeClr w14:val="tx1"/>
            </w14:solidFill>
          </w14:textFill>
        </w:rPr>
        <w:t>结合各站点踏勘实际现场情况，进行</w:t>
      </w:r>
      <w:r>
        <w:rPr>
          <w:color w:val="000000" w:themeColor="text1"/>
          <w:szCs w:val="21"/>
          <w:highlight w:val="none"/>
          <w14:textFill>
            <w14:solidFill>
              <w14:schemeClr w14:val="tx1"/>
            </w14:solidFill>
          </w14:textFill>
        </w:rPr>
        <w:t>深化设计，</w:t>
      </w:r>
      <w:r>
        <w:rPr>
          <w:rFonts w:hint="eastAsia"/>
          <w:color w:val="000000" w:themeColor="text1"/>
          <w:szCs w:val="21"/>
          <w:highlight w:val="none"/>
          <w14:textFill>
            <w14:solidFill>
              <w14:schemeClr w14:val="tx1"/>
            </w14:solidFill>
          </w14:textFill>
        </w:rPr>
        <w:t>符合设计标准，根据充电站广告安装数量点位汇总表，提供每个场站实勘后的广告物料点位选址设置方案报比选人审核确认后，才能实施。</w:t>
      </w:r>
    </w:p>
    <w:p w14:paraId="4AE1A25E">
      <w:pPr>
        <w:spacing w:line="360" w:lineRule="auto"/>
        <w:ind w:firstLine="420" w:firstLineChars="200"/>
        <w:rPr>
          <w:rFonts w:hint="eastAsia"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（2）精神堡垒、指示牌、二维码、功率指示贴等相关广告的制作</w:t>
      </w:r>
      <w:r>
        <w:rPr>
          <w:rFonts w:hint="eastAsia"/>
          <w:color w:val="000000" w:themeColor="text1"/>
          <w:szCs w:val="21"/>
          <w:highlight w:val="none"/>
          <w14:textFill>
            <w14:solidFill>
              <w14:schemeClr w14:val="tx1"/>
            </w14:solidFill>
          </w14:textFill>
        </w:rPr>
        <w:t>并根据深化设计图安装至各场站合理的位置</w:t>
      </w:r>
      <w:r>
        <w:rPr>
          <w:rFonts w:hint="eastAsia"/>
          <w:color w:val="000000" w:themeColor="text1"/>
          <w:szCs w:val="21"/>
          <w:highlight w:val="none"/>
          <w:lang w:val="en-US" w:eastAsia="zh-CN"/>
          <w14:textFill>
            <w14:solidFill>
              <w14:schemeClr w14:val="tx1"/>
            </w14:solidFill>
          </w14:textFill>
        </w:rPr>
        <w:t>,详见设计施工图及工程量清单。</w:t>
      </w:r>
    </w:p>
    <w:p w14:paraId="2ED439D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w:t>
      </w:r>
    </w:p>
    <w:p w14:paraId="705D0B69">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2.3 本次</w:t>
      </w:r>
      <w:r>
        <w:rPr>
          <w:rFonts w:hint="eastAsia" w:ascii="宋体" w:hAnsi="宋体"/>
          <w:snapToGrid w:val="0"/>
          <w:color w:val="000000" w:themeColor="text1"/>
          <w:kern w:val="0"/>
          <w:szCs w:val="21"/>
          <w:highlight w:val="none"/>
          <w14:textFill>
            <w14:solidFill>
              <w14:schemeClr w14:val="tx1"/>
            </w14:solidFill>
          </w14:textFill>
        </w:rPr>
        <w:t>比选</w:t>
      </w:r>
      <w:r>
        <w:rPr>
          <w:rFonts w:ascii="宋体" w:hAnsi="宋体"/>
          <w:snapToGrid w:val="0"/>
          <w:color w:val="000000" w:themeColor="text1"/>
          <w:kern w:val="0"/>
          <w:szCs w:val="21"/>
          <w:highlight w:val="none"/>
          <w14:textFill>
            <w14:solidFill>
              <w14:schemeClr w14:val="tx1"/>
            </w14:solidFill>
          </w14:textFill>
        </w:rPr>
        <w:t>项目合同估算金额：</w:t>
      </w:r>
      <w:r>
        <w:rPr>
          <w:rFonts w:hint="eastAsia" w:ascii="宋体" w:hAnsi="宋体" w:cs="宋体"/>
          <w:color w:val="000000" w:themeColor="text1"/>
          <w:szCs w:val="21"/>
          <w:highlight w:val="none"/>
          <w:lang w:val="en-US" w:eastAsia="zh-CN"/>
          <w14:textFill>
            <w14:solidFill>
              <w14:schemeClr w14:val="tx1"/>
            </w14:solidFill>
          </w14:textFill>
        </w:rPr>
        <w:t>390万</w:t>
      </w:r>
      <w:r>
        <w:rPr>
          <w:rFonts w:hint="eastAsia" w:ascii="宋体" w:hAnsi="宋体" w:cs="宋体"/>
          <w:color w:val="000000" w:themeColor="text1"/>
          <w:szCs w:val="21"/>
          <w:highlight w:val="none"/>
          <w14:textFill>
            <w14:solidFill>
              <w14:schemeClr w14:val="tx1"/>
            </w14:solidFill>
          </w14:textFill>
        </w:rPr>
        <w:t>元。</w:t>
      </w:r>
    </w:p>
    <w:p w14:paraId="2B32399C">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2.4 比选范围：形象打造设计文件及工程量清单所包含内容，包括但不限于81座服务区充电站（古路服务区进出城、奉节服务区进出城、清平服务区出城、武隆服务区出城、水江服务区出城因场地限制暂不设置精神堡垒）的精神堡垒、指示牌等所有广告的深化设计、制作、安装等工作。各站点的精神堡垒、指示牌、二维码、功率指示贴的数量参照物料方案清单表，并严格按照工程量清单说明要求进行施工，最终数量及地点以比选方提供的数量和地点为准。</w:t>
      </w:r>
    </w:p>
    <w:p w14:paraId="08B66233">
      <w:pPr>
        <w:tabs>
          <w:tab w:val="left" w:pos="3840"/>
          <w:tab w:val="left" w:pos="5300"/>
        </w:tabs>
        <w:autoSpaceDE w:val="0"/>
        <w:autoSpaceDN w:val="0"/>
        <w:adjustRightInd w:val="0"/>
        <w:snapToGrid w:val="0"/>
        <w:spacing w:line="360" w:lineRule="auto"/>
        <w:ind w:firstLine="420" w:firstLineChars="200"/>
        <w:jc w:val="left"/>
        <w:rPr>
          <w:rFonts w:hint="eastAsia"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工期要求：已通车路段一、二级充电站共50座的广告深化设计、制作安装在2024年12月22日前完成（其中，排名前35座充电站需在11月29日前完成，余下在12月22日前完成），</w:t>
      </w:r>
      <w:bookmarkStart w:id="80" w:name="_GoBack"/>
      <w:bookmarkEnd w:id="80"/>
      <w:r>
        <w:rPr>
          <w:rFonts w:hint="eastAsia" w:ascii="宋体" w:hAnsi="宋体"/>
          <w:snapToGrid w:val="0"/>
          <w:color w:val="000000" w:themeColor="text1"/>
          <w:kern w:val="0"/>
          <w:szCs w:val="21"/>
          <w:highlight w:val="none"/>
          <w14:textFill>
            <w14:solidFill>
              <w14:schemeClr w14:val="tx1"/>
            </w14:solidFill>
          </w14:textFill>
        </w:rPr>
        <w:t>在建路段及因客观原因未进场或未通电站点需按充电站投运时间同步完成。</w:t>
      </w:r>
    </w:p>
    <w:p w14:paraId="3C00B97E">
      <w:pPr>
        <w:tabs>
          <w:tab w:val="left" w:pos="3840"/>
          <w:tab w:val="left" w:pos="5300"/>
        </w:tabs>
        <w:autoSpaceDE w:val="0"/>
        <w:autoSpaceDN w:val="0"/>
        <w:adjustRightInd w:val="0"/>
        <w:snapToGrid w:val="0"/>
        <w:spacing w:line="360" w:lineRule="auto"/>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缺陷责任期要求：24个月。</w:t>
      </w:r>
    </w:p>
    <w:p w14:paraId="6D12A3BA">
      <w:pPr>
        <w:pStyle w:val="3"/>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20" w:name="_Toc509218694"/>
      <w:bookmarkStart w:id="21" w:name="_Toc430530418"/>
      <w:bookmarkStart w:id="22" w:name="_Toc287620669"/>
      <w:bookmarkStart w:id="23" w:name="_Toc277082538"/>
      <w:bookmarkStart w:id="24" w:name="_Toc57905814"/>
      <w:bookmarkStart w:id="25" w:name="_Toc19513"/>
      <w:bookmarkStart w:id="26" w:name="_Toc287607730"/>
      <w:bookmarkStart w:id="27" w:name="_Toc224103301"/>
      <w:bookmarkStart w:id="28" w:name="_Toc200359429"/>
      <w:bookmarkStart w:id="29" w:name="_Toc200359240"/>
      <w:r>
        <w:rPr>
          <w:rFonts w:ascii="宋体" w:hAnsi="宋体"/>
          <w:snapToGrid w:val="0"/>
          <w:color w:val="000000" w:themeColor="text1"/>
          <w:sz w:val="28"/>
          <w:szCs w:val="28"/>
          <w:highlight w:val="none"/>
          <w14:textFill>
            <w14:solidFill>
              <w14:schemeClr w14:val="tx1"/>
            </w14:solidFill>
          </w14:textFill>
        </w:rPr>
        <w:t xml:space="preserve">3. </w:t>
      </w:r>
      <w:r>
        <w:rPr>
          <w:rFonts w:hint="eastAsia" w:ascii="宋体" w:hAnsi="宋体"/>
          <w:snapToGrid w:val="0"/>
          <w:color w:val="000000" w:themeColor="text1"/>
          <w:sz w:val="28"/>
          <w:szCs w:val="28"/>
          <w:highlight w:val="none"/>
          <w14:textFill>
            <w14:solidFill>
              <w14:schemeClr w14:val="tx1"/>
            </w14:solidFill>
          </w14:textFill>
        </w:rPr>
        <w:t>竞选</w:t>
      </w:r>
      <w:r>
        <w:rPr>
          <w:rFonts w:ascii="宋体" w:hAnsi="宋体"/>
          <w:snapToGrid w:val="0"/>
          <w:color w:val="000000" w:themeColor="text1"/>
          <w:sz w:val="28"/>
          <w:szCs w:val="28"/>
          <w:highlight w:val="none"/>
          <w14:textFill>
            <w14:solidFill>
              <w14:schemeClr w14:val="tx1"/>
            </w14:solidFill>
          </w14:textFill>
        </w:rPr>
        <w:t>人资格要求</w:t>
      </w:r>
      <w:bookmarkEnd w:id="20"/>
      <w:bookmarkEnd w:id="21"/>
      <w:bookmarkEnd w:id="22"/>
      <w:bookmarkEnd w:id="23"/>
      <w:bookmarkEnd w:id="24"/>
      <w:bookmarkEnd w:id="25"/>
      <w:bookmarkEnd w:id="26"/>
      <w:bookmarkEnd w:id="27"/>
      <w:bookmarkEnd w:id="28"/>
      <w:bookmarkEnd w:id="29"/>
    </w:p>
    <w:p w14:paraId="3BCB5C8D">
      <w:pPr>
        <w:tabs>
          <w:tab w:val="left" w:pos="3840"/>
          <w:tab w:val="left" w:pos="5300"/>
        </w:tabs>
        <w:wordWrap w:val="0"/>
        <w:autoSpaceDE w:val="0"/>
        <w:autoSpaceDN w:val="0"/>
        <w:adjustRightInd w:val="0"/>
        <w:snapToGrid w:val="0"/>
        <w:spacing w:line="360" w:lineRule="auto"/>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3.1 本次比选要求竞选人须具备以下条件：</w:t>
      </w:r>
    </w:p>
    <w:p w14:paraId="0F1C91CC">
      <w:pPr>
        <w:tabs>
          <w:tab w:val="left" w:pos="3840"/>
          <w:tab w:val="left" w:pos="5300"/>
        </w:tabs>
        <w:wordWrap w:val="0"/>
        <w:autoSpaceDE w:val="0"/>
        <w:autoSpaceDN w:val="0"/>
        <w:adjustRightInd w:val="0"/>
        <w:snapToGrid w:val="0"/>
        <w:spacing w:line="360" w:lineRule="auto"/>
        <w:ind w:firstLine="420" w:firstLineChars="200"/>
        <w:jc w:val="left"/>
        <w:rPr>
          <w:rFonts w:ascii="宋体" w:hAnsi="宋体" w:cs="Times New Roman"/>
          <w:snapToGrid w:val="0"/>
          <w:color w:val="000000" w:themeColor="text1"/>
          <w:kern w:val="0"/>
          <w:szCs w:val="21"/>
          <w:highlight w:val="none"/>
          <w:shd w:val="clear"/>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3.1.1</w:t>
      </w:r>
      <w:r>
        <w:rPr>
          <w:rFonts w:hint="default" w:ascii="宋体" w:hAnsi="宋体" w:cs="Times New Roman"/>
          <w:snapToGrid w:val="0"/>
          <w:color w:val="000000" w:themeColor="text1"/>
          <w:kern w:val="0"/>
          <w:szCs w:val="21"/>
          <w:highlight w:val="none"/>
          <w:shd w:val="clear"/>
          <w14:textFill>
            <w14:solidFill>
              <w14:schemeClr w14:val="tx1"/>
            </w14:solidFill>
          </w14:textFill>
        </w:rPr>
        <w:t>竞选人具备以下资质条件</w:t>
      </w:r>
      <w:r>
        <w:rPr>
          <w:rFonts w:hint="default" w:ascii="宋体" w:hAnsi="宋体" w:cs="Times New Roman"/>
          <w:snapToGrid w:val="0"/>
          <w:color w:val="000000" w:themeColor="text1"/>
          <w:kern w:val="0"/>
          <w:szCs w:val="21"/>
          <w:highlight w:val="none"/>
          <w:shd w:val="clear"/>
          <w:lang w:val="en-US" w:eastAsia="zh-CN"/>
          <w14:textFill>
            <w14:solidFill>
              <w14:schemeClr w14:val="tx1"/>
            </w14:solidFill>
          </w14:textFill>
        </w:rPr>
        <w:t>之一</w:t>
      </w:r>
      <w:r>
        <w:rPr>
          <w:rFonts w:hint="default" w:ascii="宋体" w:hAnsi="宋体" w:cs="Times New Roman"/>
          <w:snapToGrid w:val="0"/>
          <w:color w:val="000000" w:themeColor="text1"/>
          <w:kern w:val="0"/>
          <w:szCs w:val="21"/>
          <w:highlight w:val="none"/>
          <w:shd w:val="clear"/>
          <w14:textFill>
            <w14:solidFill>
              <w14:schemeClr w14:val="tx1"/>
            </w14:solidFill>
          </w14:textFill>
        </w:rPr>
        <w:t>：</w:t>
      </w:r>
    </w:p>
    <w:p w14:paraId="14FCCDBE">
      <w:pPr>
        <w:tabs>
          <w:tab w:val="left" w:pos="3840"/>
          <w:tab w:val="left" w:pos="5300"/>
        </w:tabs>
        <w:wordWrap w:val="0"/>
        <w:autoSpaceDE w:val="0"/>
        <w:autoSpaceDN w:val="0"/>
        <w:adjustRightInd w:val="0"/>
        <w:snapToGrid w:val="0"/>
        <w:spacing w:line="360" w:lineRule="auto"/>
        <w:ind w:firstLine="420" w:firstLineChars="200"/>
        <w:jc w:val="left"/>
        <w:rPr>
          <w:rFonts w:hint="eastAsia" w:ascii="宋体" w:hAnsi="宋体" w:eastAsia="宋体" w:cs="宋体"/>
          <w:i w:val="0"/>
          <w:iCs w:val="0"/>
          <w:caps w:val="0"/>
          <w:color w:val="000000" w:themeColor="text1"/>
          <w:spacing w:val="0"/>
          <w:sz w:val="21"/>
          <w:szCs w:val="21"/>
          <w:highlight w:val="none"/>
          <w:u w:val="single"/>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u w:val="single"/>
          <w:shd w:val="clear" w:color="auto" w:fill="FFFFFF"/>
          <w:lang w:val="en-US" w:eastAsia="zh-CN"/>
          <w14:textFill>
            <w14:solidFill>
              <w14:schemeClr w14:val="tx1"/>
            </w14:solidFill>
          </w14:textFill>
        </w:rPr>
        <w:t>①具备建设行政主管部门颁发的有效的建筑工程施工总承包三级及以上资质；</w:t>
      </w:r>
    </w:p>
    <w:p w14:paraId="43EE49C1">
      <w:pPr>
        <w:pStyle w:val="6"/>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u w:val="single"/>
          <w:shd w:val="clear" w:color="auto" w:fill="FFFFFF"/>
          <w:lang w:val="en-US" w:eastAsia="zh-CN"/>
          <w14:textFill>
            <w14:solidFill>
              <w14:schemeClr w14:val="tx1"/>
            </w14:solidFill>
          </w14:textFill>
        </w:rPr>
        <w:t>②具备建设行政主管部门颁发的有效的建筑装修装饰工程</w:t>
      </w:r>
      <w:r>
        <w:rPr>
          <w:rFonts w:hint="eastAsia" w:ascii="宋体" w:hAnsi="宋体" w:cs="宋体"/>
          <w:i w:val="0"/>
          <w:iCs w:val="0"/>
          <w:caps w:val="0"/>
          <w:color w:val="000000" w:themeColor="text1"/>
          <w:spacing w:val="0"/>
          <w:sz w:val="21"/>
          <w:szCs w:val="21"/>
          <w:highlight w:val="none"/>
          <w:u w:val="single"/>
          <w:shd w:val="clear" w:color="auto" w:fill="FFFFFF"/>
          <w:lang w:val="en-US" w:eastAsia="zh-CN"/>
          <w14:textFill>
            <w14:solidFill>
              <w14:schemeClr w14:val="tx1"/>
            </w14:solidFill>
          </w14:textFill>
        </w:rPr>
        <w:t>专业承包</w:t>
      </w:r>
      <w:r>
        <w:rPr>
          <w:rFonts w:hint="eastAsia" w:ascii="宋体" w:hAnsi="宋体" w:eastAsia="宋体" w:cs="宋体"/>
          <w:i w:val="0"/>
          <w:iCs w:val="0"/>
          <w:caps w:val="0"/>
          <w:color w:val="000000" w:themeColor="text1"/>
          <w:spacing w:val="0"/>
          <w:sz w:val="21"/>
          <w:szCs w:val="21"/>
          <w:highlight w:val="none"/>
          <w:u w:val="single"/>
          <w:shd w:val="clear" w:color="auto" w:fill="FFFFFF"/>
          <w:lang w:val="en-US" w:eastAsia="zh-CN"/>
          <w14:textFill>
            <w14:solidFill>
              <w14:schemeClr w14:val="tx1"/>
            </w14:solidFill>
          </w14:textFill>
        </w:rPr>
        <w:t>二级及以上资质。</w:t>
      </w:r>
    </w:p>
    <w:p w14:paraId="6687A534">
      <w:pPr>
        <w:tabs>
          <w:tab w:val="left" w:pos="3840"/>
          <w:tab w:val="left" w:pos="5300"/>
        </w:tabs>
        <w:wordWrap w:val="0"/>
        <w:autoSpaceDE w:val="0"/>
        <w:autoSpaceDN w:val="0"/>
        <w:adjustRightInd w:val="0"/>
        <w:snapToGrid w:val="0"/>
        <w:spacing w:line="360" w:lineRule="auto"/>
        <w:ind w:firstLine="420" w:firstLineChars="200"/>
        <w:jc w:val="left"/>
        <w:rPr>
          <w:rFonts w:ascii="宋体" w:hAnsi="宋体" w:cs="宋体"/>
          <w:color w:val="000000" w:themeColor="text1"/>
          <w:szCs w:val="21"/>
          <w:highlight w:val="none"/>
          <w:shd w:val="clear" w:color="auto" w:fill="FFFFFF"/>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3.1.2本次比选要求竞选人具备的业绩条件：</w:t>
      </w:r>
      <w:r>
        <w:rPr>
          <w:rFonts w:hint="eastAsia" w:ascii="宋体" w:hAnsi="宋体" w:cs="宋体"/>
          <w:color w:val="000000" w:themeColor="text1"/>
          <w:szCs w:val="21"/>
          <w:highlight w:val="none"/>
          <w:shd w:val="clear" w:color="auto" w:fill="FFFFFF"/>
          <w14:textFill>
            <w14:solidFill>
              <w14:schemeClr w14:val="tx1"/>
            </w14:solidFill>
          </w14:textFill>
        </w:rPr>
        <w:t>详见比选文件第二章竞选人须知前附表第</w:t>
      </w:r>
      <w:r>
        <w:rPr>
          <w:rFonts w:ascii="宋体" w:hAnsi="宋体" w:cs="宋体"/>
          <w:color w:val="000000" w:themeColor="text1"/>
          <w:szCs w:val="21"/>
          <w:highlight w:val="none"/>
          <w:shd w:val="clear" w:color="auto" w:fill="FFFFFF"/>
          <w14:textFill>
            <w14:solidFill>
              <w14:schemeClr w14:val="tx1"/>
            </w14:solidFill>
          </w14:textFill>
        </w:rPr>
        <w:t>1.4.1项内容；</w:t>
      </w:r>
    </w:p>
    <w:p w14:paraId="6C5BA7F8">
      <w:pPr>
        <w:tabs>
          <w:tab w:val="left" w:pos="3840"/>
          <w:tab w:val="left" w:pos="5300"/>
        </w:tabs>
        <w:wordWrap w:val="0"/>
        <w:autoSpaceDE w:val="0"/>
        <w:autoSpaceDN w:val="0"/>
        <w:adjustRightInd w:val="0"/>
        <w:snapToGrid w:val="0"/>
        <w:spacing w:line="360" w:lineRule="auto"/>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 xml:space="preserve">3.1.3 </w:t>
      </w:r>
      <w:r>
        <w:rPr>
          <w:rFonts w:hint="eastAsia" w:ascii="宋体" w:hAnsi="宋体"/>
          <w:snapToGrid w:val="0"/>
          <w:color w:val="000000" w:themeColor="text1"/>
          <w:kern w:val="0"/>
          <w:szCs w:val="21"/>
          <w:highlight w:val="none"/>
          <w14:textFill>
            <w14:solidFill>
              <w14:schemeClr w14:val="tx1"/>
            </w14:solidFill>
          </w14:textFill>
        </w:rPr>
        <w:t>竞选人还应满足信誉要求，详见比选文件第二章竞选人须知前附表第</w:t>
      </w:r>
      <w:r>
        <w:rPr>
          <w:rFonts w:ascii="宋体" w:hAnsi="宋体"/>
          <w:snapToGrid w:val="0"/>
          <w:color w:val="000000" w:themeColor="text1"/>
          <w:kern w:val="0"/>
          <w:szCs w:val="21"/>
          <w:highlight w:val="none"/>
          <w14:textFill>
            <w14:solidFill>
              <w14:schemeClr w14:val="tx1"/>
            </w14:solidFill>
          </w14:textFill>
        </w:rPr>
        <w:t>1.4.1项内容。</w:t>
      </w:r>
    </w:p>
    <w:p w14:paraId="66DC41FA">
      <w:pPr>
        <w:pStyle w:val="2"/>
        <w:ind w:firstLine="422" w:firstLineChars="200"/>
        <w:rPr>
          <w:rFonts w:ascii="宋体" w:hAnsi="宋体" w:cs="宋体"/>
          <w:b/>
          <w:bCs/>
          <w:snapToGrid w:val="0"/>
          <w:color w:val="000000" w:themeColor="text1"/>
          <w:szCs w:val="21"/>
          <w:highlight w:val="none"/>
          <w14:textFill>
            <w14:solidFill>
              <w14:schemeClr w14:val="tx1"/>
            </w14:solidFill>
          </w14:textFill>
        </w:rPr>
      </w:pPr>
      <w:r>
        <w:rPr>
          <w:rFonts w:hint="eastAsia" w:ascii="宋体" w:hAnsi="宋体" w:cs="宋体"/>
          <w:b/>
          <w:bCs/>
          <w:snapToGrid w:val="0"/>
          <w:color w:val="000000" w:themeColor="text1"/>
          <w:szCs w:val="21"/>
          <w:highlight w:val="none"/>
          <w14:textFill>
            <w14:solidFill>
              <w14:schemeClr w14:val="tx1"/>
            </w14:solidFill>
          </w14:textFill>
        </w:rPr>
        <w:t>具体要求详见比选文件第二章竞选人须知前附表</w:t>
      </w:r>
      <w:r>
        <w:rPr>
          <w:rFonts w:ascii="宋体" w:hAnsi="宋体" w:cs="宋体"/>
          <w:b/>
          <w:bCs/>
          <w:snapToGrid w:val="0"/>
          <w:color w:val="000000" w:themeColor="text1"/>
          <w:szCs w:val="21"/>
          <w:highlight w:val="none"/>
          <w14:textFill>
            <w14:solidFill>
              <w14:schemeClr w14:val="tx1"/>
            </w14:solidFill>
          </w14:textFill>
        </w:rPr>
        <w:t>1.4.1款。</w:t>
      </w:r>
    </w:p>
    <w:p w14:paraId="7027A0D5">
      <w:pPr>
        <w:tabs>
          <w:tab w:val="left" w:pos="3840"/>
          <w:tab w:val="left" w:pos="5300"/>
        </w:tabs>
        <w:wordWrap w:val="0"/>
        <w:autoSpaceDE w:val="0"/>
        <w:autoSpaceDN w:val="0"/>
        <w:adjustRightInd w:val="0"/>
        <w:snapToGrid w:val="0"/>
        <w:spacing w:line="360" w:lineRule="auto"/>
        <w:ind w:firstLine="420" w:firstLineChars="200"/>
        <w:jc w:val="left"/>
        <w:rPr>
          <w:rFonts w:ascii="宋体" w:hAnsi="宋体" w:cs="宋体"/>
          <w:color w:val="000000" w:themeColor="text1"/>
          <w:szCs w:val="21"/>
          <w:highlight w:val="none"/>
          <w:shd w:val="clear" w:color="auto" w:fill="FFFFFF"/>
          <w14:textFill>
            <w14:solidFill>
              <w14:schemeClr w14:val="tx1"/>
            </w14:solidFill>
          </w14:textFill>
        </w:rPr>
      </w:pPr>
      <w:r>
        <w:rPr>
          <w:rFonts w:ascii="宋体" w:hAnsi="宋体"/>
          <w:snapToGrid w:val="0"/>
          <w:color w:val="000000" w:themeColor="text1"/>
          <w:kern w:val="0"/>
          <w:szCs w:val="21"/>
          <w:highlight w:val="none"/>
          <w14:textFill>
            <w14:solidFill>
              <w14:schemeClr w14:val="tx1"/>
            </w14:solidFill>
          </w14:textFill>
        </w:rPr>
        <w:t>3.2</w:t>
      </w:r>
      <w:r>
        <w:rPr>
          <w:rFonts w:hint="eastAsia" w:ascii="宋体" w:hAnsi="宋体" w:cs="宋体"/>
          <w:color w:val="000000" w:themeColor="text1"/>
          <w:szCs w:val="21"/>
          <w:highlight w:val="none"/>
          <w:shd w:val="clear" w:color="auto" w:fill="FFFFFF"/>
          <w14:textFill>
            <w14:solidFill>
              <w14:schemeClr w14:val="tx1"/>
            </w14:solidFill>
          </w14:textFill>
        </w:rPr>
        <w:t>本次比选接受联合体竞选。</w:t>
      </w:r>
    </w:p>
    <w:p w14:paraId="1FAA4FEA">
      <w:pPr>
        <w:pStyle w:val="3"/>
        <w:spacing w:before="100" w:after="100" w:line="460" w:lineRule="exact"/>
        <w:rPr>
          <w:rFonts w:ascii="宋体" w:hAnsi="宋体"/>
          <w:snapToGrid w:val="0"/>
          <w:color w:val="000000" w:themeColor="text1"/>
          <w:sz w:val="28"/>
          <w:szCs w:val="28"/>
          <w:highlight w:val="none"/>
          <w14:textFill>
            <w14:solidFill>
              <w14:schemeClr w14:val="tx1"/>
            </w14:solidFill>
          </w14:textFill>
        </w:rPr>
      </w:pPr>
      <w:bookmarkStart w:id="30" w:name="_Toc287620670"/>
      <w:bookmarkStart w:id="31" w:name="_Toc200359241"/>
      <w:bookmarkStart w:id="32" w:name="_Toc10508"/>
      <w:bookmarkStart w:id="33" w:name="_Toc200359430"/>
      <w:bookmarkStart w:id="34" w:name="_Toc57905815"/>
      <w:bookmarkStart w:id="35" w:name="_Toc430530419"/>
      <w:bookmarkStart w:id="36" w:name="_Toc277082539"/>
      <w:bookmarkStart w:id="37" w:name="_Toc509218695"/>
      <w:bookmarkStart w:id="38" w:name="_Toc287607731"/>
      <w:bookmarkStart w:id="39" w:name="_Toc224103302"/>
      <w:r>
        <w:rPr>
          <w:rFonts w:ascii="宋体" w:hAnsi="宋体"/>
          <w:snapToGrid w:val="0"/>
          <w:color w:val="000000" w:themeColor="text1"/>
          <w:sz w:val="28"/>
          <w:szCs w:val="28"/>
          <w:highlight w:val="none"/>
          <w14:textFill>
            <w14:solidFill>
              <w14:schemeClr w14:val="tx1"/>
            </w14:solidFill>
          </w14:textFill>
        </w:rPr>
        <w:t xml:space="preserve">4. </w:t>
      </w:r>
      <w:r>
        <w:rPr>
          <w:rFonts w:hint="eastAsia" w:ascii="宋体" w:hAnsi="宋体"/>
          <w:snapToGrid w:val="0"/>
          <w:color w:val="000000" w:themeColor="text1"/>
          <w:sz w:val="28"/>
          <w:szCs w:val="28"/>
          <w:highlight w:val="none"/>
          <w14:textFill>
            <w14:solidFill>
              <w14:schemeClr w14:val="tx1"/>
            </w14:solidFill>
          </w14:textFill>
        </w:rPr>
        <w:t xml:space="preserve"> 比选</w:t>
      </w:r>
      <w:r>
        <w:rPr>
          <w:rFonts w:ascii="宋体" w:hAnsi="宋体"/>
          <w:snapToGrid w:val="0"/>
          <w:color w:val="000000" w:themeColor="text1"/>
          <w:sz w:val="28"/>
          <w:szCs w:val="28"/>
          <w:highlight w:val="none"/>
          <w14:textFill>
            <w14:solidFill>
              <w14:schemeClr w14:val="tx1"/>
            </w14:solidFill>
          </w14:textFill>
        </w:rPr>
        <w:t>文件的获取</w:t>
      </w:r>
      <w:bookmarkEnd w:id="30"/>
      <w:bookmarkEnd w:id="31"/>
      <w:bookmarkEnd w:id="32"/>
      <w:bookmarkEnd w:id="33"/>
      <w:bookmarkEnd w:id="34"/>
      <w:bookmarkEnd w:id="35"/>
      <w:bookmarkEnd w:id="36"/>
      <w:bookmarkEnd w:id="37"/>
      <w:bookmarkEnd w:id="38"/>
      <w:bookmarkEnd w:id="39"/>
    </w:p>
    <w:p w14:paraId="290589B2">
      <w:pPr>
        <w:tabs>
          <w:tab w:val="left" w:pos="3850"/>
          <w:tab w:val="left" w:pos="3980"/>
          <w:tab w:val="left" w:pos="4100"/>
          <w:tab w:val="left" w:pos="4600"/>
          <w:tab w:val="left" w:pos="5360"/>
          <w:tab w:val="left" w:pos="5460"/>
          <w:tab w:val="left" w:pos="6200"/>
          <w:tab w:val="left" w:pos="6327"/>
          <w:tab w:val="left" w:pos="6901"/>
        </w:tabs>
        <w:autoSpaceDE w:val="0"/>
        <w:autoSpaceDN w:val="0"/>
        <w:snapToGrid w:val="0"/>
        <w:spacing w:line="440" w:lineRule="exact"/>
        <w:ind w:firstLine="420" w:firstLineChars="200"/>
        <w:rPr>
          <w:rFonts w:ascii="宋体" w:hAnsi="宋体" w:cs="宋体"/>
          <w:snapToGrid w:val="0"/>
          <w:color w:val="000000" w:themeColor="text1"/>
          <w:szCs w:val="21"/>
          <w:highlight w:val="none"/>
          <w14:textFill>
            <w14:solidFill>
              <w14:schemeClr w14:val="tx1"/>
            </w14:solidFill>
          </w14:textFill>
        </w:rPr>
      </w:pPr>
      <w:bookmarkStart w:id="40" w:name="_Toc245008816"/>
      <w:bookmarkStart w:id="41" w:name="_Toc245698068"/>
      <w:bookmarkStart w:id="42" w:name="_Toc245697604"/>
      <w:bookmarkStart w:id="43" w:name="_Toc246124864"/>
      <w:bookmarkStart w:id="44" w:name="_Toc232826901"/>
      <w:bookmarkStart w:id="45" w:name="_Toc246655205"/>
      <w:bookmarkStart w:id="46" w:name="_Toc246125207"/>
      <w:bookmarkStart w:id="47" w:name="_Toc245694422"/>
      <w:bookmarkStart w:id="48" w:name="_Toc245055341"/>
      <w:bookmarkStart w:id="49" w:name="_Toc245003733"/>
      <w:bookmarkStart w:id="50" w:name="_Toc246388508"/>
      <w:bookmarkStart w:id="51" w:name="_Toc246388366"/>
      <w:bookmarkStart w:id="52" w:name="_Toc245001049"/>
      <w:bookmarkStart w:id="53" w:name="_Toc250018459"/>
      <w:bookmarkStart w:id="54" w:name="_Toc245694523"/>
      <w:bookmarkStart w:id="55" w:name="_Toc246393305"/>
      <w:bookmarkStart w:id="56" w:name="_Toc245003877"/>
      <w:bookmarkStart w:id="57" w:name="_Toc245055463"/>
      <w:bookmarkStart w:id="58" w:name="_Toc245092074"/>
      <w:bookmarkStart w:id="59" w:name="_Toc245004281"/>
      <w:bookmarkStart w:id="60" w:name="_Toc28449"/>
      <w:bookmarkStart w:id="61" w:name="_Toc277082540"/>
      <w:bookmarkStart w:id="62" w:name="_Toc430530420"/>
      <w:bookmarkStart w:id="63" w:name="_Toc287607732"/>
      <w:bookmarkStart w:id="64" w:name="_Toc200359431"/>
      <w:bookmarkStart w:id="65" w:name="_Toc509218696"/>
      <w:bookmarkStart w:id="66" w:name="_Toc287620671"/>
      <w:bookmarkStart w:id="67" w:name="_Toc57905816"/>
      <w:bookmarkStart w:id="68" w:name="_Toc200359242"/>
      <w:bookmarkStart w:id="69" w:name="_Toc224103303"/>
      <w:r>
        <w:rPr>
          <w:rFonts w:hint="eastAsia" w:ascii="宋体" w:hAnsi="宋体" w:cs="宋体"/>
          <w:snapToGrid w:val="0"/>
          <w:color w:val="000000" w:themeColor="text1"/>
          <w:szCs w:val="21"/>
          <w:highlight w:val="none"/>
          <w14:textFill>
            <w14:solidFill>
              <w14:schemeClr w14:val="tx1"/>
            </w14:solidFill>
          </w14:textFill>
        </w:rPr>
        <w:t>4.1 获取时间：2024年11月</w:t>
      </w:r>
      <w:r>
        <w:rPr>
          <w:rFonts w:hint="eastAsia" w:ascii="宋体" w:hAnsi="宋体" w:cs="宋体"/>
          <w:snapToGrid w:val="0"/>
          <w:color w:val="000000" w:themeColor="text1"/>
          <w:szCs w:val="21"/>
          <w:highlight w:val="none"/>
          <w:lang w:val="en-US" w:eastAsia="zh-CN"/>
          <w14:textFill>
            <w14:solidFill>
              <w14:schemeClr w14:val="tx1"/>
            </w14:solidFill>
          </w14:textFill>
        </w:rPr>
        <w:t>11</w:t>
      </w:r>
      <w:r>
        <w:rPr>
          <w:rFonts w:hint="eastAsia" w:ascii="宋体" w:hAnsi="宋体" w:cs="宋体"/>
          <w:snapToGrid w:val="0"/>
          <w:color w:val="000000" w:themeColor="text1"/>
          <w:szCs w:val="21"/>
          <w:highlight w:val="none"/>
          <w14:textFill>
            <w14:solidFill>
              <w14:schemeClr w14:val="tx1"/>
            </w14:solidFill>
          </w14:textFill>
        </w:rPr>
        <w:t>日至</w:t>
      </w:r>
      <w:r>
        <w:rPr>
          <w:rFonts w:ascii="宋体" w:hAnsi="宋体" w:cs="宋体"/>
          <w:snapToGrid w:val="0"/>
          <w:color w:val="000000" w:themeColor="text1"/>
          <w:szCs w:val="21"/>
          <w:highlight w:val="none"/>
          <w14:textFill>
            <w14:solidFill>
              <w14:schemeClr w14:val="tx1"/>
            </w14:solidFill>
          </w14:textFill>
        </w:rPr>
        <w:t>2024年</w:t>
      </w:r>
      <w:r>
        <w:rPr>
          <w:rFonts w:hint="eastAsia" w:ascii="宋体" w:hAnsi="宋体" w:cs="宋体"/>
          <w:snapToGrid w:val="0"/>
          <w:color w:val="000000" w:themeColor="text1"/>
          <w:szCs w:val="21"/>
          <w:highlight w:val="none"/>
          <w14:textFill>
            <w14:solidFill>
              <w14:schemeClr w14:val="tx1"/>
            </w14:solidFill>
          </w14:textFill>
        </w:rPr>
        <w:t>11月</w:t>
      </w:r>
      <w:r>
        <w:rPr>
          <w:rFonts w:hint="eastAsia" w:ascii="宋体" w:hAnsi="宋体" w:cs="宋体"/>
          <w:snapToGrid w:val="0"/>
          <w:color w:val="000000" w:themeColor="text1"/>
          <w:szCs w:val="21"/>
          <w:highlight w:val="none"/>
          <w:lang w:val="en-US" w:eastAsia="zh-CN"/>
          <w14:textFill>
            <w14:solidFill>
              <w14:schemeClr w14:val="tx1"/>
            </w14:solidFill>
          </w14:textFill>
        </w:rPr>
        <w:t>13</w:t>
      </w:r>
      <w:r>
        <w:rPr>
          <w:rFonts w:ascii="宋体" w:hAnsi="宋体" w:cs="宋体"/>
          <w:snapToGrid w:val="0"/>
          <w:color w:val="000000" w:themeColor="text1"/>
          <w:szCs w:val="21"/>
          <w:highlight w:val="none"/>
          <w14:textFill>
            <w14:solidFill>
              <w14:schemeClr w14:val="tx1"/>
            </w14:solidFill>
          </w14:textFill>
        </w:rPr>
        <w:t>日</w:t>
      </w:r>
      <w:r>
        <w:rPr>
          <w:rFonts w:hint="eastAsia" w:ascii="宋体" w:hAnsi="宋体" w:cs="宋体"/>
          <w:snapToGrid w:val="0"/>
          <w:color w:val="000000" w:themeColor="text1"/>
          <w:szCs w:val="21"/>
          <w:highlight w:val="none"/>
          <w14:textFill>
            <w14:solidFill>
              <w14:schemeClr w14:val="tx1"/>
            </w14:solidFill>
          </w14:textFill>
        </w:rPr>
        <w:t>（法定节假日除外），每日9：00至11：30，14：00分至17：00（北京时间）。</w:t>
      </w:r>
    </w:p>
    <w:p w14:paraId="52FD9EFE">
      <w:pPr>
        <w:tabs>
          <w:tab w:val="left" w:pos="3850"/>
          <w:tab w:val="left" w:pos="3980"/>
          <w:tab w:val="left" w:pos="4100"/>
          <w:tab w:val="left" w:pos="4600"/>
          <w:tab w:val="left" w:pos="5360"/>
          <w:tab w:val="left" w:pos="5460"/>
          <w:tab w:val="left" w:pos="6200"/>
          <w:tab w:val="left" w:pos="6327"/>
          <w:tab w:val="left" w:pos="6901"/>
        </w:tabs>
        <w:autoSpaceDE w:val="0"/>
        <w:autoSpaceDN w:val="0"/>
        <w:snapToGrid w:val="0"/>
        <w:spacing w:line="44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4.2 获取方式：竞选人须将单位介绍信或法人授权委托书、竞选人单位营业执照复印件、本人身份证复印件加盖竞选人单位法人章后扫描件发至代理机构联系邮箱1054543379@qq.com，并在邮件中写明：项目名称、比选编号、竞选人名称、联系人、手机号以及联系人邮箱地址。</w:t>
      </w:r>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14:paraId="39966DE0">
      <w:pPr>
        <w:pStyle w:val="3"/>
        <w:spacing w:before="100" w:after="100" w:line="460" w:lineRule="exact"/>
        <w:rPr>
          <w:rFonts w:ascii="宋体" w:hAnsi="宋体"/>
          <w:snapToGrid w:val="0"/>
          <w:color w:val="000000" w:themeColor="text1"/>
          <w:sz w:val="28"/>
          <w:szCs w:val="28"/>
          <w:highlight w:val="none"/>
          <w14:textFill>
            <w14:solidFill>
              <w14:schemeClr w14:val="tx1"/>
            </w14:solidFill>
          </w14:textFill>
        </w:rPr>
      </w:pPr>
      <w:r>
        <w:rPr>
          <w:rFonts w:ascii="宋体" w:hAnsi="宋体"/>
          <w:snapToGrid w:val="0"/>
          <w:color w:val="000000" w:themeColor="text1"/>
          <w:sz w:val="28"/>
          <w:szCs w:val="28"/>
          <w:highlight w:val="none"/>
          <w14:textFill>
            <w14:solidFill>
              <w14:schemeClr w14:val="tx1"/>
            </w14:solidFill>
          </w14:textFill>
        </w:rPr>
        <w:t xml:space="preserve">5. </w:t>
      </w:r>
      <w:r>
        <w:rPr>
          <w:rFonts w:hint="eastAsia" w:ascii="宋体" w:hAnsi="宋体"/>
          <w:snapToGrid w:val="0"/>
          <w:color w:val="000000" w:themeColor="text1"/>
          <w:sz w:val="28"/>
          <w:szCs w:val="28"/>
          <w:highlight w:val="none"/>
          <w14:textFill>
            <w14:solidFill>
              <w14:schemeClr w14:val="tx1"/>
            </w14:solidFill>
          </w14:textFill>
        </w:rPr>
        <w:t xml:space="preserve"> 竞选</w:t>
      </w:r>
      <w:r>
        <w:rPr>
          <w:rFonts w:ascii="宋体" w:hAnsi="宋体"/>
          <w:snapToGrid w:val="0"/>
          <w:color w:val="000000" w:themeColor="text1"/>
          <w:sz w:val="28"/>
          <w:szCs w:val="28"/>
          <w:highlight w:val="none"/>
          <w14:textFill>
            <w14:solidFill>
              <w14:schemeClr w14:val="tx1"/>
            </w14:solidFill>
          </w14:textFill>
        </w:rPr>
        <w:t>文件的递交</w:t>
      </w:r>
      <w:bookmarkEnd w:id="60"/>
      <w:bookmarkEnd w:id="61"/>
      <w:bookmarkEnd w:id="62"/>
      <w:bookmarkEnd w:id="63"/>
      <w:bookmarkEnd w:id="64"/>
      <w:bookmarkEnd w:id="65"/>
      <w:bookmarkEnd w:id="66"/>
      <w:bookmarkEnd w:id="67"/>
      <w:bookmarkEnd w:id="68"/>
      <w:bookmarkEnd w:id="69"/>
    </w:p>
    <w:p w14:paraId="56467BA4">
      <w:pPr>
        <w:tabs>
          <w:tab w:val="left" w:pos="3850"/>
          <w:tab w:val="left" w:pos="3980"/>
          <w:tab w:val="left" w:pos="4100"/>
          <w:tab w:val="left" w:pos="4600"/>
          <w:tab w:val="left" w:pos="5360"/>
          <w:tab w:val="left" w:pos="5460"/>
          <w:tab w:val="left" w:pos="6200"/>
          <w:tab w:val="left" w:pos="6327"/>
          <w:tab w:val="left" w:pos="6901"/>
        </w:tabs>
        <w:autoSpaceDE w:val="0"/>
        <w:autoSpaceDN w:val="0"/>
        <w:snapToGrid w:val="0"/>
        <w:spacing w:line="440" w:lineRule="exact"/>
        <w:ind w:firstLine="420" w:firstLineChars="200"/>
        <w:rPr>
          <w:rFonts w:ascii="宋体" w:hAnsi="宋体" w:cs="宋体"/>
          <w:snapToGrid w:val="0"/>
          <w:color w:val="000000" w:themeColor="text1"/>
          <w:szCs w:val="21"/>
          <w:highlight w:val="none"/>
          <w14:textFill>
            <w14:solidFill>
              <w14:schemeClr w14:val="tx1"/>
            </w14:solidFill>
          </w14:textFill>
        </w:rPr>
      </w:pPr>
      <w:bookmarkStart w:id="70" w:name="_Toc14240"/>
      <w:bookmarkStart w:id="71" w:name="_Toc31352"/>
      <w:bookmarkStart w:id="72" w:name="_Toc224103305"/>
      <w:bookmarkStart w:id="73" w:name="_Toc509218698"/>
      <w:bookmarkStart w:id="74" w:name="_Toc287620673"/>
      <w:bookmarkStart w:id="75" w:name="_Toc277082542"/>
      <w:bookmarkStart w:id="76" w:name="_Toc287607734"/>
      <w:bookmarkStart w:id="77" w:name="_Toc430530422"/>
      <w:bookmarkStart w:id="78" w:name="_Toc57905818"/>
      <w:r>
        <w:rPr>
          <w:rFonts w:hint="eastAsia" w:ascii="宋体" w:hAnsi="宋体" w:cs="宋体"/>
          <w:snapToGrid w:val="0"/>
          <w:color w:val="000000" w:themeColor="text1"/>
          <w:szCs w:val="21"/>
          <w:highlight w:val="none"/>
          <w14:textFill>
            <w14:solidFill>
              <w14:schemeClr w14:val="tx1"/>
            </w14:solidFill>
          </w14:textFill>
        </w:rPr>
        <w:t>5.1 竞选文件递交的截止时间（竞选截止时间，下同）为</w:t>
      </w:r>
      <w:r>
        <w:rPr>
          <w:rFonts w:ascii="宋体" w:hAnsi="宋体" w:cs="宋体"/>
          <w:snapToGrid w:val="0"/>
          <w:color w:val="000000" w:themeColor="text1"/>
          <w:szCs w:val="21"/>
          <w:highlight w:val="none"/>
          <w14:textFill>
            <w14:solidFill>
              <w14:schemeClr w14:val="tx1"/>
            </w14:solidFill>
          </w14:textFill>
        </w:rPr>
        <w:t>2024年</w:t>
      </w:r>
      <w:r>
        <w:rPr>
          <w:rFonts w:hint="eastAsia" w:ascii="宋体" w:hAnsi="宋体" w:cs="宋体"/>
          <w:snapToGrid w:val="0"/>
          <w:color w:val="000000" w:themeColor="text1"/>
          <w:szCs w:val="21"/>
          <w:highlight w:val="none"/>
          <w14:textFill>
            <w14:solidFill>
              <w14:schemeClr w14:val="tx1"/>
            </w14:solidFill>
          </w14:textFill>
        </w:rPr>
        <w:t>11月</w:t>
      </w:r>
      <w:r>
        <w:rPr>
          <w:rFonts w:hint="eastAsia" w:ascii="宋体" w:hAnsi="宋体" w:cs="宋体"/>
          <w:snapToGrid w:val="0"/>
          <w:color w:val="000000" w:themeColor="text1"/>
          <w:szCs w:val="21"/>
          <w:highlight w:val="none"/>
          <w:lang w:val="en-US" w:eastAsia="zh-CN"/>
          <w14:textFill>
            <w14:solidFill>
              <w14:schemeClr w14:val="tx1"/>
            </w14:solidFill>
          </w14:textFill>
        </w:rPr>
        <w:t>14</w:t>
      </w:r>
      <w:r>
        <w:rPr>
          <w:rFonts w:hint="eastAsia" w:ascii="宋体" w:hAnsi="宋体" w:cs="宋体"/>
          <w:snapToGrid w:val="0"/>
          <w:color w:val="000000" w:themeColor="text1"/>
          <w:szCs w:val="21"/>
          <w:highlight w:val="none"/>
          <w14:textFill>
            <w14:solidFill>
              <w14:schemeClr w14:val="tx1"/>
            </w14:solidFill>
          </w14:textFill>
        </w:rPr>
        <w:t>日</w:t>
      </w:r>
      <w:r>
        <w:rPr>
          <w:rFonts w:hint="eastAsia" w:ascii="宋体" w:hAnsi="宋体" w:cs="宋体"/>
          <w:snapToGrid w:val="0"/>
          <w:color w:val="000000" w:themeColor="text1"/>
          <w:szCs w:val="21"/>
          <w:highlight w:val="none"/>
          <w:lang w:val="en-US" w:eastAsia="zh-CN"/>
          <w14:textFill>
            <w14:solidFill>
              <w14:schemeClr w14:val="tx1"/>
            </w14:solidFill>
          </w14:textFill>
        </w:rPr>
        <w:t>14</w:t>
      </w:r>
      <w:r>
        <w:rPr>
          <w:rFonts w:hint="eastAsia" w:ascii="宋体" w:hAnsi="宋体" w:cs="宋体"/>
          <w:snapToGrid w:val="0"/>
          <w:color w:val="000000" w:themeColor="text1"/>
          <w:szCs w:val="21"/>
          <w:highlight w:val="none"/>
          <w14:textFill>
            <w14:solidFill>
              <w14:schemeClr w14:val="tx1"/>
            </w14:solidFill>
          </w14:textFill>
        </w:rPr>
        <w:t>时00分，地点为：重庆国际投资咨询集团有限公司开标厅（地址：重庆市江北区五里店五简路2号重庆咨询大厦A栋），具体接收处详见评选当天负1楼大厅电子显示屏安排。</w:t>
      </w:r>
    </w:p>
    <w:p w14:paraId="3DE5A900">
      <w:pPr>
        <w:tabs>
          <w:tab w:val="left" w:pos="3850"/>
          <w:tab w:val="left" w:pos="3980"/>
          <w:tab w:val="left" w:pos="4100"/>
          <w:tab w:val="left" w:pos="4600"/>
          <w:tab w:val="left" w:pos="5360"/>
          <w:tab w:val="left" w:pos="5460"/>
          <w:tab w:val="left" w:pos="6200"/>
          <w:tab w:val="left" w:pos="6327"/>
          <w:tab w:val="left" w:pos="6901"/>
        </w:tabs>
        <w:autoSpaceDE w:val="0"/>
        <w:autoSpaceDN w:val="0"/>
        <w:snapToGrid w:val="0"/>
        <w:spacing w:line="440" w:lineRule="exact"/>
        <w:ind w:firstLine="420" w:firstLineChars="200"/>
        <w:rPr>
          <w:rFonts w:ascii="宋体" w:hAnsi="宋体" w:cs="宋体"/>
          <w:snapToGrid w:val="0"/>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5.2邮寄竞选文件递交的截止时间为</w:t>
      </w:r>
      <w:r>
        <w:rPr>
          <w:rFonts w:ascii="宋体" w:hAnsi="宋体" w:cs="宋体"/>
          <w:snapToGrid w:val="0"/>
          <w:color w:val="000000" w:themeColor="text1"/>
          <w:szCs w:val="21"/>
          <w:highlight w:val="none"/>
          <w14:textFill>
            <w14:solidFill>
              <w14:schemeClr w14:val="tx1"/>
            </w14:solidFill>
          </w14:textFill>
        </w:rPr>
        <w:t>2024年</w:t>
      </w:r>
      <w:r>
        <w:rPr>
          <w:rFonts w:hint="eastAsia" w:ascii="宋体" w:hAnsi="宋体" w:cs="宋体"/>
          <w:snapToGrid w:val="0"/>
          <w:color w:val="000000" w:themeColor="text1"/>
          <w:szCs w:val="21"/>
          <w:highlight w:val="none"/>
          <w14:textFill>
            <w14:solidFill>
              <w14:schemeClr w14:val="tx1"/>
            </w14:solidFill>
          </w14:textFill>
        </w:rPr>
        <w:t>11月</w:t>
      </w:r>
      <w:r>
        <w:rPr>
          <w:rFonts w:hint="eastAsia" w:ascii="宋体" w:hAnsi="宋体" w:cs="宋体"/>
          <w:snapToGrid w:val="0"/>
          <w:color w:val="000000" w:themeColor="text1"/>
          <w:szCs w:val="21"/>
          <w:highlight w:val="none"/>
          <w:lang w:val="en-US" w:eastAsia="zh-CN"/>
          <w14:textFill>
            <w14:solidFill>
              <w14:schemeClr w14:val="tx1"/>
            </w14:solidFill>
          </w14:textFill>
        </w:rPr>
        <w:t>14</w:t>
      </w:r>
      <w:r>
        <w:rPr>
          <w:rFonts w:hint="eastAsia" w:ascii="宋体" w:hAnsi="宋体" w:cs="宋体"/>
          <w:snapToGrid w:val="0"/>
          <w:color w:val="000000" w:themeColor="text1"/>
          <w:szCs w:val="21"/>
          <w:highlight w:val="none"/>
          <w14:textFill>
            <w14:solidFill>
              <w14:schemeClr w14:val="tx1"/>
            </w14:solidFill>
          </w14:textFill>
        </w:rPr>
        <w:t>日</w:t>
      </w:r>
      <w:r>
        <w:rPr>
          <w:rFonts w:hint="eastAsia" w:ascii="宋体" w:hAnsi="宋体" w:cs="宋体"/>
          <w:snapToGrid w:val="0"/>
          <w:color w:val="000000" w:themeColor="text1"/>
          <w:szCs w:val="21"/>
          <w:highlight w:val="none"/>
          <w:lang w:val="en-US" w:eastAsia="zh-CN"/>
          <w14:textFill>
            <w14:solidFill>
              <w14:schemeClr w14:val="tx1"/>
            </w14:solidFill>
          </w14:textFill>
        </w:rPr>
        <w:t>14</w:t>
      </w:r>
      <w:r>
        <w:rPr>
          <w:rFonts w:hint="eastAsia" w:ascii="宋体" w:hAnsi="宋体" w:cs="宋体"/>
          <w:snapToGrid w:val="0"/>
          <w:color w:val="000000" w:themeColor="text1"/>
          <w:szCs w:val="21"/>
          <w:highlight w:val="none"/>
          <w14:textFill>
            <w14:solidFill>
              <w14:schemeClr w14:val="tx1"/>
            </w14:solidFill>
          </w14:textFill>
        </w:rPr>
        <w:t xml:space="preserve">时00分，地点为：重庆市江北区五里店五简路 2 号重咨大厦 A 栋 1805室。 </w:t>
      </w:r>
    </w:p>
    <w:p w14:paraId="3171335A">
      <w:pPr>
        <w:tabs>
          <w:tab w:val="left" w:pos="3850"/>
          <w:tab w:val="left" w:pos="3980"/>
          <w:tab w:val="left" w:pos="4100"/>
          <w:tab w:val="left" w:pos="4600"/>
          <w:tab w:val="left" w:pos="5360"/>
          <w:tab w:val="left" w:pos="5460"/>
          <w:tab w:val="left" w:pos="6200"/>
          <w:tab w:val="left" w:pos="6327"/>
          <w:tab w:val="left" w:pos="6901"/>
        </w:tabs>
        <w:autoSpaceDE w:val="0"/>
        <w:autoSpaceDN w:val="0"/>
        <w:snapToGrid w:val="0"/>
        <w:spacing w:line="440" w:lineRule="exact"/>
        <w:ind w:firstLine="420" w:firstLineChars="200"/>
        <w:rPr>
          <w:rFonts w:ascii="宋体" w:hAnsi="宋体" w:cs="宋体"/>
          <w:snapToGrid w:val="0"/>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5.3 逾期送达的或者未送达指定地点的竞选文件，比选人不予受理。</w:t>
      </w:r>
    </w:p>
    <w:p w14:paraId="16C82AD0">
      <w:pPr>
        <w:pStyle w:val="3"/>
        <w:spacing w:before="100" w:after="100" w:line="460" w:lineRule="exact"/>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6</w:t>
      </w:r>
      <w:r>
        <w:rPr>
          <w:rFonts w:ascii="宋体" w:hAnsi="宋体"/>
          <w:snapToGrid w:val="0"/>
          <w:color w:val="000000" w:themeColor="text1"/>
          <w:sz w:val="28"/>
          <w:szCs w:val="28"/>
          <w:highlight w:val="none"/>
          <w14:textFill>
            <w14:solidFill>
              <w14:schemeClr w14:val="tx1"/>
            </w14:solidFill>
          </w14:textFill>
        </w:rPr>
        <w:t xml:space="preserve">. </w:t>
      </w:r>
      <w:bookmarkEnd w:id="70"/>
      <w:bookmarkEnd w:id="71"/>
      <w:bookmarkStart w:id="79" w:name="_Toc589"/>
      <w:r>
        <w:rPr>
          <w:rFonts w:hint="eastAsia" w:ascii="宋体" w:hAnsi="宋体"/>
          <w:snapToGrid w:val="0"/>
          <w:color w:val="000000" w:themeColor="text1"/>
          <w:sz w:val="28"/>
          <w:szCs w:val="28"/>
          <w:highlight w:val="none"/>
          <w14:textFill>
            <w14:solidFill>
              <w14:schemeClr w14:val="tx1"/>
            </w14:solidFill>
          </w14:textFill>
        </w:rPr>
        <w:t>发布公告的媒介</w:t>
      </w:r>
    </w:p>
    <w:p w14:paraId="11786CBF">
      <w:pPr>
        <w:tabs>
          <w:tab w:val="left" w:pos="3850"/>
          <w:tab w:val="left" w:pos="3980"/>
          <w:tab w:val="left" w:pos="4100"/>
          <w:tab w:val="left" w:pos="4600"/>
          <w:tab w:val="left" w:pos="5360"/>
          <w:tab w:val="left" w:pos="5460"/>
          <w:tab w:val="left" w:pos="6200"/>
          <w:tab w:val="left" w:pos="6327"/>
          <w:tab w:val="left" w:pos="6901"/>
        </w:tabs>
        <w:autoSpaceDE w:val="0"/>
        <w:autoSpaceDN w:val="0"/>
        <w:snapToGrid w:val="0"/>
        <w:spacing w:line="440" w:lineRule="exact"/>
        <w:ind w:firstLine="420" w:firstLineChars="200"/>
        <w:rPr>
          <w:rFonts w:ascii="宋体" w:hAnsi="宋体" w:cs="宋体"/>
          <w:snapToGrid w:val="0"/>
          <w:color w:val="000000" w:themeColor="text1"/>
          <w:szCs w:val="21"/>
          <w:highlight w:val="none"/>
          <w14:textFill>
            <w14:solidFill>
              <w14:schemeClr w14:val="tx1"/>
            </w14:solidFill>
          </w14:textFill>
        </w:rPr>
      </w:pPr>
      <w:r>
        <w:rPr>
          <w:rFonts w:hint="eastAsia" w:ascii="宋体" w:hAnsi="宋体" w:cs="宋体"/>
          <w:snapToGrid w:val="0"/>
          <w:color w:val="000000" w:themeColor="text1"/>
          <w:szCs w:val="21"/>
          <w:highlight w:val="none"/>
          <w14:textFill>
            <w14:solidFill>
              <w14:schemeClr w14:val="tx1"/>
            </w14:solidFill>
          </w14:textFill>
        </w:rPr>
        <w:t>本次比选公告同时在中国招标投标公共服务平台（www.cebpubservice.com）、重庆高速集团官网（http://www.cegc.com.cn/）、重庆高速公路集团有限公司招投标管理平台（http://cqgsbid.cegc.com.cn:7900）上发布。</w:t>
      </w:r>
    </w:p>
    <w:p w14:paraId="58B9C179">
      <w:pPr>
        <w:pStyle w:val="3"/>
        <w:spacing w:before="100" w:after="100" w:line="460" w:lineRule="exact"/>
        <w:rPr>
          <w:rFonts w:ascii="宋体" w:hAnsi="宋体"/>
          <w:snapToGrid w:val="0"/>
          <w:color w:val="000000" w:themeColor="text1"/>
          <w:sz w:val="28"/>
          <w:szCs w:val="28"/>
          <w:highlight w:val="none"/>
          <w14:textFill>
            <w14:solidFill>
              <w14:schemeClr w14:val="tx1"/>
            </w14:solidFill>
          </w14:textFill>
        </w:rPr>
      </w:pPr>
      <w:r>
        <w:rPr>
          <w:rFonts w:hint="eastAsia" w:ascii="宋体" w:hAnsi="宋体"/>
          <w:snapToGrid w:val="0"/>
          <w:color w:val="000000" w:themeColor="text1"/>
          <w:sz w:val="28"/>
          <w:szCs w:val="28"/>
          <w:highlight w:val="none"/>
          <w14:textFill>
            <w14:solidFill>
              <w14:schemeClr w14:val="tx1"/>
            </w14:solidFill>
          </w14:textFill>
        </w:rPr>
        <w:t>7.</w:t>
      </w:r>
      <w:r>
        <w:rPr>
          <w:rFonts w:ascii="宋体" w:hAnsi="宋体"/>
          <w:snapToGrid w:val="0"/>
          <w:color w:val="000000" w:themeColor="text1"/>
          <w:sz w:val="28"/>
          <w:szCs w:val="28"/>
          <w:highlight w:val="none"/>
          <w14:textFill>
            <w14:solidFill>
              <w14:schemeClr w14:val="tx1"/>
            </w14:solidFill>
          </w14:textFill>
        </w:rPr>
        <w:t>联系方式</w:t>
      </w:r>
      <w:bookmarkEnd w:id="72"/>
      <w:bookmarkEnd w:id="73"/>
      <w:bookmarkEnd w:id="74"/>
      <w:bookmarkEnd w:id="75"/>
      <w:bookmarkEnd w:id="76"/>
      <w:bookmarkEnd w:id="77"/>
      <w:bookmarkEnd w:id="78"/>
      <w:bookmarkEnd w:id="79"/>
    </w:p>
    <w:p w14:paraId="0A924E4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比 选 人：</w:t>
      </w:r>
      <w:r>
        <w:rPr>
          <w:rFonts w:hint="eastAsia"/>
          <w:color w:val="000000" w:themeColor="text1"/>
          <w:highlight w:val="none"/>
          <w14:textFill>
            <w14:solidFill>
              <w14:schemeClr w14:val="tx1"/>
            </w14:solidFill>
          </w14:textFill>
        </w:rPr>
        <w:t>重庆高速绿能科技有限公司</w:t>
      </w:r>
    </w:p>
    <w:p w14:paraId="0817ACA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地    址：</w:t>
      </w:r>
      <w:r>
        <w:rPr>
          <w:color w:val="000000" w:themeColor="text1"/>
          <w:szCs w:val="21"/>
          <w:highlight w:val="none"/>
          <w14:textFill>
            <w14:solidFill>
              <w14:schemeClr w14:val="tx1"/>
            </w14:solidFill>
          </w14:textFill>
        </w:rPr>
        <w:t>重庆市高新区科翔路2号三楼数字交通集团</w:t>
      </w:r>
    </w:p>
    <w:p w14:paraId="30CFFDD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联 系 人：吴老师</w:t>
      </w:r>
    </w:p>
    <w:p w14:paraId="53CAF3A6">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电    话：18996343070</w:t>
      </w:r>
    </w:p>
    <w:p w14:paraId="50FF8856">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电子邮箱：</w:t>
      </w:r>
      <w:r>
        <w:rPr>
          <w:rFonts w:hint="eastAsia"/>
          <w:color w:val="000000" w:themeColor="text1"/>
          <w:highlight w:val="none"/>
          <w14:textFill>
            <w14:solidFill>
              <w14:schemeClr w14:val="tx1"/>
            </w14:solidFill>
          </w14:textFill>
        </w:rPr>
        <w:t>/</w:t>
      </w:r>
    </w:p>
    <w:p w14:paraId="3B223F56">
      <w:pPr>
        <w:pStyle w:val="2"/>
        <w:rPr>
          <w:color w:val="000000" w:themeColor="text1"/>
          <w:highlight w:val="none"/>
          <w14:textFill>
            <w14:solidFill>
              <w14:schemeClr w14:val="tx1"/>
            </w14:solidFill>
          </w14:textFill>
        </w:rPr>
      </w:pPr>
    </w:p>
    <w:p w14:paraId="213C919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比选代理机构：重庆国际投资咨询集团有限公司</w:t>
      </w:r>
    </w:p>
    <w:p w14:paraId="7DA08161">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地    址：重庆市江北区五简路2号重咨大厦A栋1805室</w:t>
      </w:r>
    </w:p>
    <w:p w14:paraId="3AF549B3">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联 系 人：粟秋玉、汪渝涛、陈莹莹</w:t>
      </w:r>
    </w:p>
    <w:p w14:paraId="203379AC">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电    话：023-67707973</w:t>
      </w:r>
    </w:p>
    <w:p w14:paraId="25D1E7EF">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color w:val="000000" w:themeColor="text1"/>
          <w:kern w:val="0"/>
          <w:sz w:val="20"/>
          <w:szCs w:val="20"/>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电子邮箱：1054543379@qq.com</w:t>
      </w:r>
    </w:p>
    <w:p w14:paraId="320AF7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96C1B"/>
    <w:rsid w:val="29124CF6"/>
    <w:rsid w:val="4AC67AD8"/>
    <w:rsid w:val="69996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customStyle="1" w:styleId="6">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2113</Words>
  <Characters>2369</Characters>
  <Lines>0</Lines>
  <Paragraphs>0</Paragraphs>
  <TotalTime>1</TotalTime>
  <ScaleCrop>false</ScaleCrop>
  <LinksUpToDate>false</LinksUpToDate>
  <CharactersWithSpaces>2421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2024-11-11T07:17:00Z</dcterms:created>
  <dc:creator>粟秋玉</dc:creator>
  <cp:lastModifiedBy>吴骏</cp:lastModifiedBy>
  <dcterms:modified xsi:type="dcterms:W3CDTF">2024-11-11T07:43:06Z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7C8A371A585A42BB9B00100F71D95D53_12</vt:lpwstr>
  </property>
</Properties>
</file>