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2908">
      <w:pPr>
        <w:spacing w:line="400" w:lineRule="exact"/>
        <w:jc w:val="center"/>
        <w:rPr>
          <w:rFonts w:ascii="宋体" w:hAnsi="宋体" w:cs="宋体"/>
          <w:b/>
          <w:color w:val="auto"/>
          <w:sz w:val="32"/>
          <w:szCs w:val="32"/>
          <w:highlight w:val="none"/>
        </w:rPr>
      </w:pPr>
    </w:p>
    <w:p w14:paraId="37D6902B">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0"/>
          <w:szCs w:val="40"/>
          <w:highlight w:val="none"/>
        </w:rPr>
      </w:pPr>
      <w:r>
        <w:rPr>
          <w:rFonts w:hint="eastAsia" w:ascii="宋体" w:hAnsi="宋体" w:cs="宋体"/>
          <w:b/>
          <w:color w:val="auto"/>
          <w:sz w:val="40"/>
          <w:szCs w:val="40"/>
          <w:highlight w:val="none"/>
        </w:rPr>
        <w:t>项目名称：</w:t>
      </w:r>
      <w:r>
        <w:rPr>
          <w:rFonts w:hint="eastAsia" w:ascii="宋体" w:hAnsi="宋体" w:cs="宋体"/>
          <w:b/>
          <w:color w:val="auto"/>
          <w:sz w:val="40"/>
          <w:szCs w:val="40"/>
          <w:highlight w:val="none"/>
          <w:lang w:val="en-US" w:eastAsia="zh-CN"/>
        </w:rPr>
        <w:t>首讯公司2025年至2027年车辆保险服务采购</w:t>
      </w:r>
    </w:p>
    <w:p w14:paraId="0EE5D320">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2B0F7EF3">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竞</w:t>
      </w:r>
    </w:p>
    <w:p w14:paraId="756E8E5D">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6701611E">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争</w:t>
      </w:r>
    </w:p>
    <w:p w14:paraId="4F557AC1">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247B0CD8">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性</w:t>
      </w:r>
    </w:p>
    <w:p w14:paraId="6DBD0BF1">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375D6910">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比</w:t>
      </w:r>
    </w:p>
    <w:p w14:paraId="0A3788FD">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5E31FBD8">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选</w:t>
      </w:r>
    </w:p>
    <w:p w14:paraId="77DDA63E">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15BE9916">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r>
        <w:rPr>
          <w:rFonts w:hint="eastAsia" w:ascii="宋体" w:hAnsi="宋体" w:cs="宋体"/>
          <w:b/>
          <w:color w:val="auto"/>
          <w:sz w:val="48"/>
          <w:szCs w:val="48"/>
          <w:highlight w:val="none"/>
        </w:rPr>
        <w:t>文</w:t>
      </w:r>
    </w:p>
    <w:p w14:paraId="1B6AB01C">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48"/>
          <w:szCs w:val="48"/>
          <w:highlight w:val="none"/>
        </w:rPr>
      </w:pPr>
    </w:p>
    <w:p w14:paraId="27850889">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96"/>
          <w:szCs w:val="72"/>
          <w:highlight w:val="none"/>
        </w:rPr>
      </w:pPr>
      <w:r>
        <w:rPr>
          <w:rFonts w:hint="eastAsia" w:ascii="宋体" w:hAnsi="宋体" w:cs="宋体"/>
          <w:b/>
          <w:color w:val="auto"/>
          <w:sz w:val="48"/>
          <w:szCs w:val="48"/>
          <w:highlight w:val="none"/>
        </w:rPr>
        <w:t>件</w:t>
      </w:r>
    </w:p>
    <w:p w14:paraId="51F48A18">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p>
    <w:p w14:paraId="44460814">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p>
    <w:p w14:paraId="09744C81">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p>
    <w:p w14:paraId="483EC277">
      <w:pPr>
        <w:keepNext w:val="0"/>
        <w:keepLines w:val="0"/>
        <w:pageBreakBefore w:val="0"/>
        <w:widowControl w:val="0"/>
        <w:kinsoku/>
        <w:wordWrap/>
        <w:overflowPunct/>
        <w:topLinePunct w:val="0"/>
        <w:autoSpaceDE/>
        <w:autoSpaceDN/>
        <w:bidi w:val="0"/>
        <w:adjustRightInd/>
        <w:snapToGrid/>
        <w:textAlignment w:val="auto"/>
        <w:outlineLvl w:val="9"/>
        <w:rPr>
          <w:color w:val="auto"/>
          <w:highlight w:val="none"/>
        </w:rPr>
      </w:pPr>
    </w:p>
    <w:p w14:paraId="49C1B0FC">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14:paraId="53A6F7CC">
      <w:pPr>
        <w:keepNext w:val="0"/>
        <w:keepLines w:val="0"/>
        <w:pageBreakBefore w:val="0"/>
        <w:widowControl w:val="0"/>
        <w:kinsoku/>
        <w:wordWrap/>
        <w:overflowPunct/>
        <w:topLinePunct w:val="0"/>
        <w:autoSpaceDE/>
        <w:autoSpaceDN/>
        <w:bidi w:val="0"/>
        <w:adjustRightInd/>
        <w:snapToGrid/>
        <w:jc w:val="center"/>
        <w:textAlignment w:val="auto"/>
        <w:outlineLvl w:val="9"/>
        <w:rPr>
          <w:rFonts w:ascii="宋体" w:hAnsi="宋体" w:cs="宋体"/>
          <w:b/>
          <w:color w:val="auto"/>
          <w:sz w:val="28"/>
          <w:szCs w:val="28"/>
          <w:highlight w:val="none"/>
        </w:rPr>
      </w:pPr>
      <w:r>
        <w:rPr>
          <w:rFonts w:hint="eastAsia" w:ascii="宋体" w:hAnsi="宋体" w:cs="宋体"/>
          <w:b/>
          <w:color w:val="auto"/>
          <w:sz w:val="28"/>
          <w:szCs w:val="28"/>
          <w:highlight w:val="none"/>
          <w:u w:val="single"/>
        </w:rPr>
        <w:t>2024</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lang w:val="en-US" w:eastAsia="zh-CN"/>
        </w:rPr>
        <w:t xml:space="preserve"> 11 </w:t>
      </w:r>
      <w:r>
        <w:rPr>
          <w:rFonts w:hint="eastAsia" w:ascii="宋体" w:hAnsi="宋体" w:cs="宋体"/>
          <w:b/>
          <w:color w:val="auto"/>
          <w:sz w:val="28"/>
          <w:szCs w:val="28"/>
          <w:highlight w:val="none"/>
        </w:rPr>
        <w:t>月</w:t>
      </w:r>
    </w:p>
    <w:p w14:paraId="4439C3FD">
      <w:pPr>
        <w:pStyle w:val="2"/>
        <w:jc w:val="center"/>
        <w:rPr>
          <w:rFonts w:ascii="宋体" w:hAnsi="宋体" w:cs="宋体"/>
          <w:color w:val="auto"/>
          <w:szCs w:val="21"/>
          <w:highlight w:val="none"/>
        </w:rPr>
      </w:pPr>
      <w:r>
        <w:rPr>
          <w:color w:val="auto"/>
          <w:highlight w:val="none"/>
        </w:rPr>
        <w:br w:type="page"/>
      </w:r>
      <w:bookmarkStart w:id="0" w:name="_Toc246996898"/>
      <w:bookmarkStart w:id="1" w:name="_Toc247085669"/>
      <w:bookmarkStart w:id="2" w:name="_Toc296602400"/>
      <w:bookmarkStart w:id="3" w:name="_Toc507319889"/>
      <w:bookmarkStart w:id="4" w:name="_Toc507428442"/>
      <w:r>
        <w:rPr>
          <w:rFonts w:hint="eastAsia" w:ascii="宋体" w:hAnsi="宋体" w:cs="宋体"/>
          <w:b/>
          <w:bCs w:val="0"/>
          <w:color w:val="auto"/>
          <w:sz w:val="32"/>
          <w:highlight w:val="none"/>
        </w:rPr>
        <w:t>目   录</w:t>
      </w:r>
      <w:bookmarkEnd w:id="0"/>
      <w:bookmarkEnd w:id="1"/>
      <w:bookmarkEnd w:id="2"/>
      <w:bookmarkEnd w:id="3"/>
      <w:bookmarkEnd w:id="4"/>
    </w:p>
    <w:p w14:paraId="3EA54C07">
      <w:pPr>
        <w:pStyle w:val="2"/>
        <w:tabs>
          <w:tab w:val="right" w:leader="dot" w:pos="9638"/>
        </w:tabs>
        <w:rPr>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val="0"/>
          <w:caps w:val="0"/>
          <w:color w:val="auto"/>
          <w:highlight w:val="none"/>
        </w:rPr>
        <w:fldChar w:fldCharType="begin"/>
      </w:r>
      <w:r>
        <w:rPr>
          <w:rFonts w:hint="eastAsia" w:ascii="宋体" w:hAnsi="宋体" w:cs="宋体"/>
          <w:bCs w:val="0"/>
          <w:caps w:val="0"/>
          <w:highlight w:val="none"/>
        </w:rPr>
        <w:instrText xml:space="preserve"> HYPERLINK \l _Toc14135 </w:instrText>
      </w:r>
      <w:r>
        <w:rPr>
          <w:rFonts w:hint="eastAsia" w:ascii="宋体" w:hAnsi="宋体" w:cs="宋体"/>
          <w:bCs w:val="0"/>
          <w:caps w:val="0"/>
          <w:highlight w:val="none"/>
        </w:rPr>
        <w:fldChar w:fldCharType="separate"/>
      </w:r>
      <w:r>
        <w:rPr>
          <w:rFonts w:hint="eastAsia" w:ascii="宋体" w:hAnsi="宋体" w:eastAsia="宋体" w:cs="宋体"/>
          <w:bCs/>
          <w:smallCaps w:val="0"/>
          <w:kern w:val="44"/>
          <w:szCs w:val="44"/>
          <w:highlight w:val="none"/>
          <w:lang w:val="en-US" w:eastAsia="zh-CN" w:bidi="ar-SA"/>
        </w:rPr>
        <w:t>第一章 比选公告</w:t>
      </w:r>
      <w:r>
        <w:rPr>
          <w:highlight w:val="none"/>
        </w:rPr>
        <w:tab/>
      </w:r>
      <w:r>
        <w:rPr>
          <w:highlight w:val="none"/>
        </w:rPr>
        <w:fldChar w:fldCharType="begin"/>
      </w:r>
      <w:r>
        <w:rPr>
          <w:highlight w:val="none"/>
        </w:rPr>
        <w:instrText xml:space="preserve"> PAGEREF _Toc14135 \h </w:instrText>
      </w:r>
      <w:r>
        <w:rPr>
          <w:highlight w:val="none"/>
        </w:rPr>
        <w:fldChar w:fldCharType="separate"/>
      </w:r>
      <w:r>
        <w:rPr>
          <w:highlight w:val="none"/>
        </w:rPr>
        <w:t>3</w:t>
      </w:r>
      <w:r>
        <w:rPr>
          <w:highlight w:val="none"/>
        </w:rPr>
        <w:fldChar w:fldCharType="end"/>
      </w:r>
      <w:r>
        <w:rPr>
          <w:rFonts w:hint="eastAsia" w:ascii="宋体" w:hAnsi="宋体" w:cs="宋体"/>
          <w:bCs w:val="0"/>
          <w:caps w:val="0"/>
          <w:color w:val="auto"/>
          <w:highlight w:val="none"/>
        </w:rPr>
        <w:fldChar w:fldCharType="end"/>
      </w:r>
    </w:p>
    <w:p w14:paraId="7729BF36">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_Toc8770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rPr>
          <w:highlight w:val="none"/>
        </w:rPr>
        <w:tab/>
      </w:r>
      <w:r>
        <w:rPr>
          <w:highlight w:val="none"/>
        </w:rPr>
        <w:fldChar w:fldCharType="begin"/>
      </w:r>
      <w:r>
        <w:rPr>
          <w:highlight w:val="none"/>
        </w:rPr>
        <w:instrText xml:space="preserve"> PAGEREF _Toc8770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14:paraId="264D9AA0">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_Toc29424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rPr>
          <w:highlight w:val="none"/>
        </w:rPr>
        <w:tab/>
      </w:r>
      <w:r>
        <w:rPr>
          <w:highlight w:val="none"/>
        </w:rPr>
        <w:fldChar w:fldCharType="begin"/>
      </w:r>
      <w:r>
        <w:rPr>
          <w:highlight w:val="none"/>
        </w:rPr>
        <w:instrText xml:space="preserve"> PAGEREF _Toc29424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14:paraId="27D2C9B6">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_Toc27685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rPr>
          <w:highlight w:val="none"/>
        </w:rPr>
        <w:tab/>
      </w:r>
      <w:r>
        <w:rPr>
          <w:highlight w:val="none"/>
        </w:rPr>
        <w:fldChar w:fldCharType="begin"/>
      </w:r>
      <w:r>
        <w:rPr>
          <w:highlight w:val="none"/>
        </w:rPr>
        <w:instrText xml:space="preserve"> PAGEREF _Toc27685 \h </w:instrText>
      </w:r>
      <w:r>
        <w:rPr>
          <w:highlight w:val="none"/>
        </w:rPr>
        <w:fldChar w:fldCharType="separate"/>
      </w:r>
      <w:r>
        <w:rPr>
          <w:highlight w:val="none"/>
        </w:rPr>
        <w:t>3</w:t>
      </w:r>
      <w:r>
        <w:rPr>
          <w:highlight w:val="none"/>
        </w:rPr>
        <w:fldChar w:fldCharType="end"/>
      </w:r>
      <w:r>
        <w:rPr>
          <w:rFonts w:hint="eastAsia" w:ascii="宋体" w:hAnsi="宋体" w:cs="宋体"/>
          <w:bCs/>
          <w:caps/>
          <w:color w:val="auto"/>
          <w:highlight w:val="none"/>
        </w:rPr>
        <w:fldChar w:fldCharType="end"/>
      </w:r>
    </w:p>
    <w:p w14:paraId="17E08C13">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_Toc7354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4</w:t>
      </w:r>
      <w:r>
        <w:rPr>
          <w:rFonts w:hint="eastAsia" w:ascii="宋体" w:hAnsi="宋体" w:eastAsia="宋体" w:cs="宋体"/>
          <w:highlight w:val="none"/>
        </w:rPr>
        <w:t xml:space="preserve">. </w:t>
      </w:r>
      <w:r>
        <w:rPr>
          <w:rFonts w:hint="eastAsia" w:ascii="宋体" w:hAnsi="宋体" w:eastAsia="宋体" w:cs="宋体"/>
          <w:highlight w:val="none"/>
          <w:lang w:val="en-US" w:eastAsia="zh-CN"/>
        </w:rPr>
        <w:t>评标办法</w:t>
      </w:r>
      <w:r>
        <w:rPr>
          <w:highlight w:val="none"/>
        </w:rPr>
        <w:tab/>
      </w:r>
      <w:r>
        <w:rPr>
          <w:highlight w:val="none"/>
        </w:rPr>
        <w:fldChar w:fldCharType="begin"/>
      </w:r>
      <w:r>
        <w:rPr>
          <w:highlight w:val="none"/>
        </w:rPr>
        <w:instrText xml:space="preserve"> PAGEREF _Toc7354 \h </w:instrText>
      </w:r>
      <w:r>
        <w:rPr>
          <w:highlight w:val="none"/>
        </w:rPr>
        <w:fldChar w:fldCharType="separate"/>
      </w:r>
      <w:r>
        <w:rPr>
          <w:highlight w:val="none"/>
        </w:rPr>
        <w:t>4</w:t>
      </w:r>
      <w:r>
        <w:rPr>
          <w:highlight w:val="none"/>
        </w:rPr>
        <w:fldChar w:fldCharType="end"/>
      </w:r>
      <w:r>
        <w:rPr>
          <w:rFonts w:hint="eastAsia" w:ascii="宋体" w:hAnsi="宋体" w:cs="宋体"/>
          <w:bCs/>
          <w:caps/>
          <w:color w:val="auto"/>
          <w:highlight w:val="none"/>
        </w:rPr>
        <w:fldChar w:fldCharType="end"/>
      </w:r>
    </w:p>
    <w:p w14:paraId="29336603">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_Toc23696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 比选文件的获取</w:t>
      </w:r>
      <w:r>
        <w:rPr>
          <w:highlight w:val="none"/>
        </w:rPr>
        <w:tab/>
      </w:r>
      <w:r>
        <w:rPr>
          <w:highlight w:val="none"/>
        </w:rPr>
        <w:fldChar w:fldCharType="begin"/>
      </w:r>
      <w:r>
        <w:rPr>
          <w:highlight w:val="none"/>
        </w:rPr>
        <w:instrText xml:space="preserve"> PAGEREF _Toc23696 \h </w:instrText>
      </w:r>
      <w:r>
        <w:rPr>
          <w:highlight w:val="none"/>
        </w:rPr>
        <w:fldChar w:fldCharType="separate"/>
      </w:r>
      <w:r>
        <w:rPr>
          <w:highlight w:val="none"/>
        </w:rPr>
        <w:t>4</w:t>
      </w:r>
      <w:r>
        <w:rPr>
          <w:highlight w:val="none"/>
        </w:rPr>
        <w:fldChar w:fldCharType="end"/>
      </w:r>
      <w:r>
        <w:rPr>
          <w:rFonts w:hint="eastAsia" w:ascii="宋体" w:hAnsi="宋体" w:cs="宋体"/>
          <w:bCs/>
          <w:caps/>
          <w:color w:val="auto"/>
          <w:highlight w:val="none"/>
        </w:rPr>
        <w:fldChar w:fldCharType="end"/>
      </w:r>
    </w:p>
    <w:p w14:paraId="7319F672">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_Toc30143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竞争性比选响应文件的递交及相关事宜</w:t>
      </w:r>
      <w:r>
        <w:rPr>
          <w:highlight w:val="none"/>
        </w:rPr>
        <w:tab/>
      </w:r>
      <w:r>
        <w:rPr>
          <w:highlight w:val="none"/>
        </w:rPr>
        <w:fldChar w:fldCharType="begin"/>
      </w:r>
      <w:r>
        <w:rPr>
          <w:highlight w:val="none"/>
        </w:rPr>
        <w:instrText xml:space="preserve"> PAGEREF _Toc30143 \h </w:instrText>
      </w:r>
      <w:r>
        <w:rPr>
          <w:highlight w:val="none"/>
        </w:rPr>
        <w:fldChar w:fldCharType="separate"/>
      </w:r>
      <w:r>
        <w:rPr>
          <w:highlight w:val="none"/>
        </w:rPr>
        <w:t>4</w:t>
      </w:r>
      <w:r>
        <w:rPr>
          <w:highlight w:val="none"/>
        </w:rPr>
        <w:fldChar w:fldCharType="end"/>
      </w:r>
      <w:r>
        <w:rPr>
          <w:rFonts w:hint="eastAsia" w:ascii="宋体" w:hAnsi="宋体" w:cs="宋体"/>
          <w:bCs/>
          <w:caps/>
          <w:color w:val="auto"/>
          <w:highlight w:val="none"/>
        </w:rPr>
        <w:fldChar w:fldCharType="end"/>
      </w:r>
    </w:p>
    <w:p w14:paraId="71BA3B07">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_Toc30667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7</w:t>
      </w:r>
      <w:r>
        <w:rPr>
          <w:rFonts w:hint="eastAsia" w:ascii="宋体" w:hAnsi="宋体" w:eastAsia="宋体" w:cs="宋体"/>
          <w:highlight w:val="none"/>
        </w:rPr>
        <w:t>. 联系方式</w:t>
      </w:r>
      <w:r>
        <w:rPr>
          <w:highlight w:val="none"/>
        </w:rPr>
        <w:tab/>
      </w:r>
      <w:r>
        <w:rPr>
          <w:highlight w:val="none"/>
        </w:rPr>
        <w:fldChar w:fldCharType="begin"/>
      </w:r>
      <w:r>
        <w:rPr>
          <w:highlight w:val="none"/>
        </w:rPr>
        <w:instrText xml:space="preserve"> PAGEREF _Toc30667 \h </w:instrText>
      </w:r>
      <w:r>
        <w:rPr>
          <w:highlight w:val="none"/>
        </w:rPr>
        <w:fldChar w:fldCharType="separate"/>
      </w:r>
      <w:r>
        <w:rPr>
          <w:highlight w:val="none"/>
        </w:rPr>
        <w:t>4</w:t>
      </w:r>
      <w:r>
        <w:rPr>
          <w:highlight w:val="none"/>
        </w:rPr>
        <w:fldChar w:fldCharType="end"/>
      </w:r>
      <w:r>
        <w:rPr>
          <w:rFonts w:hint="eastAsia" w:ascii="宋体" w:hAnsi="宋体" w:cs="宋体"/>
          <w:bCs/>
          <w:caps/>
          <w:color w:val="auto"/>
          <w:highlight w:val="none"/>
        </w:rPr>
        <w:fldChar w:fldCharType="end"/>
      </w:r>
    </w:p>
    <w:p w14:paraId="56DFF8BF">
      <w:pPr>
        <w:pStyle w:val="2"/>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_Toc16843 </w:instrText>
      </w:r>
      <w:r>
        <w:rPr>
          <w:rFonts w:hint="eastAsia" w:ascii="宋体" w:hAnsi="宋体" w:cs="宋体"/>
          <w:bCs/>
          <w:caps/>
          <w:highlight w:val="none"/>
        </w:rPr>
        <w:fldChar w:fldCharType="separate"/>
      </w:r>
      <w:r>
        <w:rPr>
          <w:rFonts w:hint="eastAsia" w:ascii="宋体" w:hAnsi="宋体" w:cs="宋体"/>
          <w:highlight w:val="none"/>
        </w:rPr>
        <w:t xml:space="preserve">第二章 </w:t>
      </w:r>
      <w:r>
        <w:rPr>
          <w:rFonts w:hint="eastAsia" w:ascii="宋体" w:hAnsi="宋体" w:cs="宋体"/>
          <w:highlight w:val="none"/>
          <w:lang w:val="en-US" w:eastAsia="zh-CN"/>
        </w:rPr>
        <w:t>报价人须知</w:t>
      </w:r>
      <w:r>
        <w:rPr>
          <w:highlight w:val="none"/>
        </w:rPr>
        <w:tab/>
      </w:r>
      <w:r>
        <w:rPr>
          <w:highlight w:val="none"/>
        </w:rPr>
        <w:fldChar w:fldCharType="begin"/>
      </w:r>
      <w:r>
        <w:rPr>
          <w:highlight w:val="none"/>
        </w:rPr>
        <w:instrText xml:space="preserve"> PAGEREF _Toc16843 \h </w:instrText>
      </w:r>
      <w:r>
        <w:rPr>
          <w:highlight w:val="none"/>
        </w:rPr>
        <w:fldChar w:fldCharType="separate"/>
      </w:r>
      <w:r>
        <w:rPr>
          <w:highlight w:val="none"/>
        </w:rPr>
        <w:t>5</w:t>
      </w:r>
      <w:r>
        <w:rPr>
          <w:highlight w:val="none"/>
        </w:rPr>
        <w:fldChar w:fldCharType="end"/>
      </w:r>
      <w:r>
        <w:rPr>
          <w:rFonts w:hint="eastAsia" w:ascii="宋体" w:hAnsi="宋体" w:cs="宋体"/>
          <w:bCs/>
          <w:caps/>
          <w:color w:val="auto"/>
          <w:highlight w:val="none"/>
        </w:rPr>
        <w:fldChar w:fldCharType="end"/>
      </w:r>
    </w:p>
    <w:p w14:paraId="7B462CDB">
      <w:pPr>
        <w:pStyle w:val="2"/>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_Toc2192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rPr>
          <w:highlight w:val="none"/>
        </w:rPr>
        <w:tab/>
      </w:r>
      <w:r>
        <w:rPr>
          <w:highlight w:val="none"/>
        </w:rPr>
        <w:fldChar w:fldCharType="begin"/>
      </w:r>
      <w:r>
        <w:rPr>
          <w:highlight w:val="none"/>
        </w:rPr>
        <w:instrText xml:space="preserve"> PAGEREF _Toc2192 \h </w:instrText>
      </w:r>
      <w:r>
        <w:rPr>
          <w:highlight w:val="none"/>
        </w:rPr>
        <w:fldChar w:fldCharType="separate"/>
      </w:r>
      <w:r>
        <w:rPr>
          <w:highlight w:val="none"/>
        </w:rPr>
        <w:t>10</w:t>
      </w:r>
      <w:r>
        <w:rPr>
          <w:highlight w:val="none"/>
        </w:rPr>
        <w:fldChar w:fldCharType="end"/>
      </w:r>
      <w:r>
        <w:rPr>
          <w:rFonts w:hint="eastAsia" w:ascii="宋体" w:hAnsi="宋体" w:cs="宋体"/>
          <w:bCs/>
          <w:caps/>
          <w:color w:val="auto"/>
          <w:highlight w:val="none"/>
        </w:rPr>
        <w:fldChar w:fldCharType="end"/>
      </w:r>
    </w:p>
    <w:p w14:paraId="304DB13D">
      <w:pPr>
        <w:pStyle w:val="2"/>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_Toc18019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_Toc18019 \h </w:instrText>
      </w:r>
      <w:r>
        <w:rPr>
          <w:highlight w:val="none"/>
        </w:rPr>
        <w:fldChar w:fldCharType="separate"/>
      </w:r>
      <w:r>
        <w:rPr>
          <w:highlight w:val="none"/>
        </w:rPr>
        <w:t>11</w:t>
      </w:r>
      <w:r>
        <w:rPr>
          <w:highlight w:val="none"/>
        </w:rPr>
        <w:fldChar w:fldCharType="end"/>
      </w:r>
      <w:r>
        <w:rPr>
          <w:rFonts w:hint="eastAsia" w:ascii="宋体" w:hAnsi="宋体" w:cs="宋体"/>
          <w:bCs/>
          <w:caps/>
          <w:color w:val="auto"/>
          <w:highlight w:val="none"/>
        </w:rPr>
        <w:fldChar w:fldCharType="end"/>
      </w:r>
    </w:p>
    <w:p w14:paraId="7594EA53">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_Toc5434 </w:instrText>
      </w:r>
      <w:r>
        <w:rPr>
          <w:rFonts w:hint="eastAsia" w:ascii="宋体" w:hAnsi="宋体" w:cs="宋体"/>
          <w:bCs/>
          <w:caps/>
          <w:highlight w:val="none"/>
        </w:rPr>
        <w:fldChar w:fldCharType="separate"/>
      </w:r>
      <w:r>
        <w:rPr>
          <w:rFonts w:hint="eastAsia" w:ascii="宋体" w:hAnsi="宋体" w:cs="宋体"/>
          <w:szCs w:val="21"/>
          <w:highlight w:val="none"/>
        </w:rPr>
        <w:t>1.  评标方法</w:t>
      </w:r>
      <w:r>
        <w:rPr>
          <w:highlight w:val="none"/>
        </w:rPr>
        <w:tab/>
      </w:r>
      <w:r>
        <w:rPr>
          <w:highlight w:val="none"/>
        </w:rPr>
        <w:fldChar w:fldCharType="begin"/>
      </w:r>
      <w:r>
        <w:rPr>
          <w:highlight w:val="none"/>
        </w:rPr>
        <w:instrText xml:space="preserve"> PAGEREF _Toc5434 \h </w:instrText>
      </w:r>
      <w:r>
        <w:rPr>
          <w:highlight w:val="none"/>
        </w:rPr>
        <w:fldChar w:fldCharType="separate"/>
      </w:r>
      <w:r>
        <w:rPr>
          <w:highlight w:val="none"/>
        </w:rPr>
        <w:t>14</w:t>
      </w:r>
      <w:r>
        <w:rPr>
          <w:highlight w:val="none"/>
        </w:rPr>
        <w:fldChar w:fldCharType="end"/>
      </w:r>
      <w:r>
        <w:rPr>
          <w:rFonts w:hint="eastAsia" w:ascii="宋体" w:hAnsi="宋体" w:cs="宋体"/>
          <w:bCs/>
          <w:caps/>
          <w:color w:val="auto"/>
          <w:highlight w:val="none"/>
        </w:rPr>
        <w:fldChar w:fldCharType="end"/>
      </w:r>
    </w:p>
    <w:p w14:paraId="6F82E533">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_Toc5043 </w:instrText>
      </w:r>
      <w:r>
        <w:rPr>
          <w:rFonts w:hint="eastAsia" w:ascii="宋体" w:hAnsi="宋体" w:cs="宋体"/>
          <w:bCs/>
          <w:caps/>
          <w:highlight w:val="none"/>
        </w:rPr>
        <w:fldChar w:fldCharType="separate"/>
      </w:r>
      <w:r>
        <w:rPr>
          <w:rFonts w:hint="eastAsia" w:ascii="宋体" w:hAnsi="宋体" w:cs="宋体"/>
          <w:szCs w:val="21"/>
          <w:highlight w:val="none"/>
        </w:rPr>
        <w:t>2.  评审标准</w:t>
      </w:r>
      <w:r>
        <w:rPr>
          <w:highlight w:val="none"/>
        </w:rPr>
        <w:tab/>
      </w:r>
      <w:r>
        <w:rPr>
          <w:highlight w:val="none"/>
        </w:rPr>
        <w:fldChar w:fldCharType="begin"/>
      </w:r>
      <w:r>
        <w:rPr>
          <w:highlight w:val="none"/>
        </w:rPr>
        <w:instrText xml:space="preserve"> PAGEREF _Toc5043 \h </w:instrText>
      </w:r>
      <w:r>
        <w:rPr>
          <w:highlight w:val="none"/>
        </w:rPr>
        <w:fldChar w:fldCharType="separate"/>
      </w:r>
      <w:r>
        <w:rPr>
          <w:highlight w:val="none"/>
        </w:rPr>
        <w:t>14</w:t>
      </w:r>
      <w:r>
        <w:rPr>
          <w:highlight w:val="none"/>
        </w:rPr>
        <w:fldChar w:fldCharType="end"/>
      </w:r>
      <w:r>
        <w:rPr>
          <w:rFonts w:hint="eastAsia" w:ascii="宋体" w:hAnsi="宋体" w:cs="宋体"/>
          <w:bCs/>
          <w:caps/>
          <w:color w:val="auto"/>
          <w:highlight w:val="none"/>
        </w:rPr>
        <w:fldChar w:fldCharType="end"/>
      </w:r>
    </w:p>
    <w:p w14:paraId="3BA091C8">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_Toc2937 </w:instrText>
      </w:r>
      <w:r>
        <w:rPr>
          <w:rFonts w:hint="eastAsia" w:ascii="宋体" w:hAnsi="宋体" w:cs="宋体"/>
          <w:bCs/>
          <w:caps/>
          <w:highlight w:val="none"/>
        </w:rPr>
        <w:fldChar w:fldCharType="separate"/>
      </w:r>
      <w:r>
        <w:rPr>
          <w:rFonts w:hint="eastAsia" w:ascii="宋体" w:hAnsi="宋体" w:cs="宋体"/>
          <w:szCs w:val="21"/>
          <w:highlight w:val="none"/>
        </w:rPr>
        <w:t>3.  评标程序</w:t>
      </w:r>
      <w:r>
        <w:rPr>
          <w:highlight w:val="none"/>
        </w:rPr>
        <w:tab/>
      </w:r>
      <w:r>
        <w:rPr>
          <w:highlight w:val="none"/>
        </w:rPr>
        <w:fldChar w:fldCharType="begin"/>
      </w:r>
      <w:r>
        <w:rPr>
          <w:highlight w:val="none"/>
        </w:rPr>
        <w:instrText xml:space="preserve"> PAGEREF _Toc2937 \h </w:instrText>
      </w:r>
      <w:r>
        <w:rPr>
          <w:highlight w:val="none"/>
        </w:rPr>
        <w:fldChar w:fldCharType="separate"/>
      </w:r>
      <w:r>
        <w:rPr>
          <w:highlight w:val="none"/>
        </w:rPr>
        <w:t>14</w:t>
      </w:r>
      <w:r>
        <w:rPr>
          <w:highlight w:val="none"/>
        </w:rPr>
        <w:fldChar w:fldCharType="end"/>
      </w:r>
      <w:r>
        <w:rPr>
          <w:rFonts w:hint="eastAsia" w:ascii="宋体" w:hAnsi="宋体" w:cs="宋体"/>
          <w:bCs/>
          <w:caps/>
          <w:color w:val="auto"/>
          <w:highlight w:val="none"/>
        </w:rPr>
        <w:fldChar w:fldCharType="end"/>
      </w:r>
    </w:p>
    <w:p w14:paraId="320B4E84">
      <w:pPr>
        <w:pStyle w:val="2"/>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_Toc28162 </w:instrText>
      </w:r>
      <w:r>
        <w:rPr>
          <w:rFonts w:hint="eastAsia" w:ascii="宋体" w:hAnsi="宋体" w:cs="宋体"/>
          <w:bCs/>
          <w:caps/>
          <w:highlight w:val="none"/>
        </w:rPr>
        <w:fldChar w:fldCharType="separate"/>
      </w:r>
      <w:r>
        <w:rPr>
          <w:rFonts w:hint="eastAsia" w:ascii="宋体" w:hAnsi="宋体" w:cs="宋体"/>
          <w:highlight w:val="none"/>
        </w:rPr>
        <w:t xml:space="preserve">第四章 </w:t>
      </w:r>
      <w:r>
        <w:rPr>
          <w:rFonts w:hint="eastAsia" w:ascii="宋体" w:hAnsi="宋体" w:cs="宋体"/>
          <w:highlight w:val="none"/>
          <w:lang w:val="en-US" w:eastAsia="zh-CN"/>
        </w:rPr>
        <w:t>报价说明</w:t>
      </w:r>
      <w:r>
        <w:rPr>
          <w:highlight w:val="none"/>
        </w:rPr>
        <w:tab/>
      </w:r>
      <w:r>
        <w:rPr>
          <w:highlight w:val="none"/>
        </w:rPr>
        <w:fldChar w:fldCharType="begin"/>
      </w:r>
      <w:r>
        <w:rPr>
          <w:highlight w:val="none"/>
        </w:rPr>
        <w:instrText xml:space="preserve"> PAGEREF _Toc28162 \h </w:instrText>
      </w:r>
      <w:r>
        <w:rPr>
          <w:highlight w:val="none"/>
        </w:rPr>
        <w:fldChar w:fldCharType="separate"/>
      </w:r>
      <w:r>
        <w:rPr>
          <w:highlight w:val="none"/>
        </w:rPr>
        <w:t>16</w:t>
      </w:r>
      <w:r>
        <w:rPr>
          <w:highlight w:val="none"/>
        </w:rPr>
        <w:fldChar w:fldCharType="end"/>
      </w:r>
      <w:r>
        <w:rPr>
          <w:rFonts w:hint="eastAsia" w:ascii="宋体" w:hAnsi="宋体" w:cs="宋体"/>
          <w:bCs/>
          <w:caps/>
          <w:color w:val="auto"/>
          <w:highlight w:val="none"/>
        </w:rPr>
        <w:fldChar w:fldCharType="end"/>
      </w:r>
    </w:p>
    <w:p w14:paraId="12C71D78">
      <w:pPr>
        <w:pStyle w:val="2"/>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_Toc16009 </w:instrText>
      </w:r>
      <w:r>
        <w:rPr>
          <w:rFonts w:hint="eastAsia" w:ascii="宋体" w:hAnsi="宋体" w:cs="宋体"/>
          <w:bCs/>
          <w:caps/>
          <w:highlight w:val="none"/>
        </w:rPr>
        <w:fldChar w:fldCharType="separate"/>
      </w:r>
      <w:r>
        <w:rPr>
          <w:rFonts w:hint="eastAsia" w:ascii="宋体" w:hAnsi="宋体" w:cs="宋体"/>
          <w:highlight w:val="none"/>
        </w:rPr>
        <w:t>第五章 采购清单</w:t>
      </w:r>
      <w:r>
        <w:rPr>
          <w:highlight w:val="none"/>
        </w:rPr>
        <w:tab/>
      </w:r>
      <w:r>
        <w:rPr>
          <w:highlight w:val="none"/>
        </w:rPr>
        <w:fldChar w:fldCharType="begin"/>
      </w:r>
      <w:r>
        <w:rPr>
          <w:highlight w:val="none"/>
        </w:rPr>
        <w:instrText xml:space="preserve"> PAGEREF _Toc16009 \h </w:instrText>
      </w:r>
      <w:r>
        <w:rPr>
          <w:highlight w:val="none"/>
        </w:rPr>
        <w:fldChar w:fldCharType="separate"/>
      </w:r>
      <w:r>
        <w:rPr>
          <w:highlight w:val="none"/>
        </w:rPr>
        <w:t>19</w:t>
      </w:r>
      <w:r>
        <w:rPr>
          <w:highlight w:val="none"/>
        </w:rPr>
        <w:fldChar w:fldCharType="end"/>
      </w:r>
      <w:r>
        <w:rPr>
          <w:rFonts w:hint="eastAsia" w:ascii="宋体" w:hAnsi="宋体" w:cs="宋体"/>
          <w:bCs/>
          <w:caps/>
          <w:color w:val="auto"/>
          <w:highlight w:val="none"/>
        </w:rPr>
        <w:fldChar w:fldCharType="end"/>
      </w:r>
    </w:p>
    <w:p w14:paraId="14065C3D">
      <w:pPr>
        <w:pStyle w:val="2"/>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_Toc9083 </w:instrText>
      </w:r>
      <w:r>
        <w:rPr>
          <w:rFonts w:hint="eastAsia" w:ascii="宋体" w:hAnsi="宋体" w:cs="宋体"/>
          <w:bCs/>
          <w:caps/>
          <w:highlight w:val="none"/>
        </w:rPr>
        <w:fldChar w:fldCharType="separate"/>
      </w:r>
      <w:r>
        <w:rPr>
          <w:rFonts w:hint="eastAsia" w:ascii="宋体" w:hAnsi="宋体" w:cs="宋体"/>
          <w:highlight w:val="none"/>
        </w:rPr>
        <w:t xml:space="preserve">第六章 </w:t>
      </w:r>
      <w:r>
        <w:rPr>
          <w:rFonts w:hint="eastAsia" w:ascii="宋体" w:hAnsi="宋体" w:cs="宋体"/>
          <w:highlight w:val="none"/>
          <w:lang w:val="en-US" w:eastAsia="zh-CN"/>
        </w:rPr>
        <w:t>服务</w:t>
      </w:r>
      <w:r>
        <w:rPr>
          <w:rFonts w:hint="eastAsia" w:ascii="宋体" w:hAnsi="宋体" w:cs="宋体"/>
          <w:highlight w:val="none"/>
        </w:rPr>
        <w:t>要求</w:t>
      </w:r>
      <w:r>
        <w:rPr>
          <w:highlight w:val="none"/>
        </w:rPr>
        <w:tab/>
      </w:r>
      <w:r>
        <w:rPr>
          <w:highlight w:val="none"/>
        </w:rPr>
        <w:fldChar w:fldCharType="begin"/>
      </w:r>
      <w:r>
        <w:rPr>
          <w:highlight w:val="none"/>
        </w:rPr>
        <w:instrText xml:space="preserve"> PAGEREF _Toc9083 \h </w:instrText>
      </w:r>
      <w:r>
        <w:rPr>
          <w:highlight w:val="none"/>
        </w:rPr>
        <w:fldChar w:fldCharType="separate"/>
      </w:r>
      <w:r>
        <w:rPr>
          <w:highlight w:val="none"/>
        </w:rPr>
        <w:t>20</w:t>
      </w:r>
      <w:r>
        <w:rPr>
          <w:highlight w:val="none"/>
        </w:rPr>
        <w:fldChar w:fldCharType="end"/>
      </w:r>
      <w:r>
        <w:rPr>
          <w:rFonts w:hint="eastAsia" w:ascii="宋体" w:hAnsi="宋体" w:cs="宋体"/>
          <w:bCs/>
          <w:caps/>
          <w:color w:val="auto"/>
          <w:highlight w:val="none"/>
        </w:rPr>
        <w:fldChar w:fldCharType="end"/>
      </w:r>
    </w:p>
    <w:p w14:paraId="1E485BB6">
      <w:pPr>
        <w:pStyle w:val="2"/>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_Toc29760 </w:instrText>
      </w:r>
      <w:r>
        <w:rPr>
          <w:rFonts w:hint="eastAsia" w:ascii="宋体" w:hAnsi="宋体" w:cs="宋体"/>
          <w:bCs/>
          <w:caps/>
          <w:highlight w:val="none"/>
        </w:rPr>
        <w:fldChar w:fldCharType="separate"/>
      </w:r>
      <w:r>
        <w:rPr>
          <w:rFonts w:hint="eastAsia" w:ascii="宋体" w:hAnsi="宋体" w:cs="宋体"/>
          <w:highlight w:val="none"/>
        </w:rPr>
        <w:t xml:space="preserve">第七章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_Toc29760 \h </w:instrText>
      </w:r>
      <w:r>
        <w:rPr>
          <w:highlight w:val="none"/>
        </w:rPr>
        <w:fldChar w:fldCharType="separate"/>
      </w:r>
      <w:r>
        <w:rPr>
          <w:highlight w:val="none"/>
        </w:rPr>
        <w:t>21</w:t>
      </w:r>
      <w:r>
        <w:rPr>
          <w:highlight w:val="none"/>
        </w:rPr>
        <w:fldChar w:fldCharType="end"/>
      </w:r>
      <w:r>
        <w:rPr>
          <w:rFonts w:hint="eastAsia" w:ascii="宋体" w:hAnsi="宋体" w:cs="宋体"/>
          <w:bCs/>
          <w:caps/>
          <w:color w:val="auto"/>
          <w:highlight w:val="none"/>
        </w:rPr>
        <w:fldChar w:fldCharType="end"/>
      </w:r>
    </w:p>
    <w:p w14:paraId="741496D0">
      <w:pPr>
        <w:pStyle w:val="2"/>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_Toc14737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default" w:ascii="宋体" w:hAnsi="宋体" w:cs="宋体"/>
          <w:highlight w:val="none"/>
        </w:rPr>
        <w:t>竞争性比选响应文件格式</w:t>
      </w:r>
      <w:r>
        <w:rPr>
          <w:highlight w:val="none"/>
        </w:rPr>
        <w:tab/>
      </w:r>
      <w:r>
        <w:rPr>
          <w:highlight w:val="none"/>
        </w:rPr>
        <w:fldChar w:fldCharType="begin"/>
      </w:r>
      <w:r>
        <w:rPr>
          <w:highlight w:val="none"/>
        </w:rPr>
        <w:instrText xml:space="preserve"> PAGEREF _Toc14737 \h </w:instrText>
      </w:r>
      <w:r>
        <w:rPr>
          <w:highlight w:val="none"/>
        </w:rPr>
        <w:fldChar w:fldCharType="separate"/>
      </w:r>
      <w:r>
        <w:rPr>
          <w:highlight w:val="none"/>
        </w:rPr>
        <w:t>26</w:t>
      </w:r>
      <w:r>
        <w:rPr>
          <w:highlight w:val="none"/>
        </w:rPr>
        <w:fldChar w:fldCharType="end"/>
      </w:r>
      <w:r>
        <w:rPr>
          <w:rFonts w:hint="eastAsia" w:ascii="宋体" w:hAnsi="宋体" w:cs="宋体"/>
          <w:bCs/>
          <w:caps/>
          <w:color w:val="auto"/>
          <w:highlight w:val="none"/>
        </w:rPr>
        <w:fldChar w:fldCharType="end"/>
      </w:r>
    </w:p>
    <w:p w14:paraId="5A34F030">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_Toc24431 </w:instrText>
      </w:r>
      <w:r>
        <w:rPr>
          <w:rFonts w:hint="eastAsia" w:ascii="宋体" w:hAnsi="宋体" w:cs="宋体"/>
          <w:bCs/>
          <w:caps/>
          <w:highlight w:val="none"/>
        </w:rPr>
        <w:fldChar w:fldCharType="separate"/>
      </w:r>
      <w:r>
        <w:rPr>
          <w:rFonts w:hint="eastAsia" w:ascii="宋体" w:hAnsi="宋体" w:eastAsia="宋体" w:cs="宋体"/>
          <w:highlight w:val="none"/>
        </w:rPr>
        <w:t>一、 竞争比选响应声明书</w:t>
      </w:r>
      <w:r>
        <w:rPr>
          <w:highlight w:val="none"/>
        </w:rPr>
        <w:tab/>
      </w:r>
      <w:r>
        <w:rPr>
          <w:highlight w:val="none"/>
        </w:rPr>
        <w:fldChar w:fldCharType="begin"/>
      </w:r>
      <w:r>
        <w:rPr>
          <w:highlight w:val="none"/>
        </w:rPr>
        <w:instrText xml:space="preserve"> PAGEREF _Toc24431 \h </w:instrText>
      </w:r>
      <w:r>
        <w:rPr>
          <w:highlight w:val="none"/>
        </w:rPr>
        <w:fldChar w:fldCharType="separate"/>
      </w:r>
      <w:r>
        <w:rPr>
          <w:highlight w:val="none"/>
        </w:rPr>
        <w:t>29</w:t>
      </w:r>
      <w:r>
        <w:rPr>
          <w:highlight w:val="none"/>
        </w:rPr>
        <w:fldChar w:fldCharType="end"/>
      </w:r>
      <w:r>
        <w:rPr>
          <w:rFonts w:hint="eastAsia" w:ascii="宋体" w:hAnsi="宋体" w:cs="宋体"/>
          <w:bCs/>
          <w:caps/>
          <w:color w:val="auto"/>
          <w:highlight w:val="none"/>
        </w:rPr>
        <w:fldChar w:fldCharType="end"/>
      </w:r>
    </w:p>
    <w:p w14:paraId="42147CB9">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_Toc30289 </w:instrText>
      </w:r>
      <w:r>
        <w:rPr>
          <w:rFonts w:hint="eastAsia" w:ascii="宋体" w:hAnsi="宋体" w:cs="宋体"/>
          <w:bCs/>
          <w:caps/>
          <w:highlight w:val="none"/>
        </w:rPr>
        <w:fldChar w:fldCharType="separate"/>
      </w:r>
      <w:r>
        <w:rPr>
          <w:rFonts w:hint="eastAsia" w:ascii="宋体" w:hAnsi="宋体" w:eastAsia="宋体" w:cs="宋体"/>
          <w:highlight w:val="none"/>
        </w:rPr>
        <w:t>二、 法定代表人身份证明或法定代表人授权委托书</w:t>
      </w:r>
      <w:r>
        <w:rPr>
          <w:highlight w:val="none"/>
        </w:rPr>
        <w:tab/>
      </w:r>
      <w:r>
        <w:rPr>
          <w:highlight w:val="none"/>
        </w:rPr>
        <w:fldChar w:fldCharType="begin"/>
      </w:r>
      <w:r>
        <w:rPr>
          <w:highlight w:val="none"/>
        </w:rPr>
        <w:instrText xml:space="preserve"> PAGEREF _Toc30289 \h </w:instrText>
      </w:r>
      <w:r>
        <w:rPr>
          <w:highlight w:val="none"/>
        </w:rPr>
        <w:fldChar w:fldCharType="separate"/>
      </w:r>
      <w:r>
        <w:rPr>
          <w:highlight w:val="none"/>
        </w:rPr>
        <w:t>30</w:t>
      </w:r>
      <w:r>
        <w:rPr>
          <w:highlight w:val="none"/>
        </w:rPr>
        <w:fldChar w:fldCharType="end"/>
      </w:r>
      <w:r>
        <w:rPr>
          <w:rFonts w:hint="eastAsia" w:ascii="宋体" w:hAnsi="宋体" w:cs="宋体"/>
          <w:bCs/>
          <w:caps/>
          <w:color w:val="auto"/>
          <w:highlight w:val="none"/>
        </w:rPr>
        <w:fldChar w:fldCharType="end"/>
      </w:r>
    </w:p>
    <w:p w14:paraId="5715E9C9">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_Toc6761 </w:instrText>
      </w:r>
      <w:r>
        <w:rPr>
          <w:rFonts w:hint="eastAsia" w:ascii="宋体" w:hAnsi="宋体" w:cs="宋体"/>
          <w:bCs/>
          <w:caps/>
          <w:highlight w:val="none"/>
        </w:rPr>
        <w:fldChar w:fldCharType="separate"/>
      </w:r>
      <w:r>
        <w:rPr>
          <w:rFonts w:hint="eastAsia" w:ascii="宋体" w:hAnsi="宋体" w:eastAsia="宋体" w:cs="宋体"/>
          <w:highlight w:val="none"/>
        </w:rPr>
        <w:t>三、 报价一览表</w:t>
      </w:r>
      <w:r>
        <w:rPr>
          <w:highlight w:val="none"/>
        </w:rPr>
        <w:tab/>
      </w:r>
      <w:r>
        <w:rPr>
          <w:highlight w:val="none"/>
        </w:rPr>
        <w:fldChar w:fldCharType="begin"/>
      </w:r>
      <w:r>
        <w:rPr>
          <w:highlight w:val="none"/>
        </w:rPr>
        <w:instrText xml:space="preserve"> PAGEREF _Toc6761 \h </w:instrText>
      </w:r>
      <w:r>
        <w:rPr>
          <w:highlight w:val="none"/>
        </w:rPr>
        <w:fldChar w:fldCharType="separate"/>
      </w:r>
      <w:r>
        <w:rPr>
          <w:highlight w:val="none"/>
        </w:rPr>
        <w:t>32</w:t>
      </w:r>
      <w:r>
        <w:rPr>
          <w:highlight w:val="none"/>
        </w:rPr>
        <w:fldChar w:fldCharType="end"/>
      </w:r>
      <w:r>
        <w:rPr>
          <w:rFonts w:hint="eastAsia" w:ascii="宋体" w:hAnsi="宋体" w:cs="宋体"/>
          <w:bCs/>
          <w:caps/>
          <w:color w:val="auto"/>
          <w:highlight w:val="none"/>
        </w:rPr>
        <w:fldChar w:fldCharType="end"/>
      </w:r>
    </w:p>
    <w:p w14:paraId="5240C70B">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_Toc11603 </w:instrText>
      </w:r>
      <w:r>
        <w:rPr>
          <w:rFonts w:hint="eastAsia" w:ascii="宋体" w:hAnsi="宋体" w:cs="宋体"/>
          <w:bCs/>
          <w:caps/>
          <w:highlight w:val="none"/>
        </w:rPr>
        <w:fldChar w:fldCharType="separate"/>
      </w:r>
      <w:r>
        <w:rPr>
          <w:rFonts w:hint="eastAsia" w:ascii="宋体" w:hAnsi="宋体" w:eastAsia="宋体" w:cs="宋体"/>
          <w:highlight w:val="none"/>
        </w:rPr>
        <w:t>四、 审查资料</w:t>
      </w:r>
      <w:r>
        <w:rPr>
          <w:highlight w:val="none"/>
        </w:rPr>
        <w:tab/>
      </w:r>
      <w:r>
        <w:rPr>
          <w:highlight w:val="none"/>
        </w:rPr>
        <w:fldChar w:fldCharType="begin"/>
      </w:r>
      <w:r>
        <w:rPr>
          <w:highlight w:val="none"/>
        </w:rPr>
        <w:instrText xml:space="preserve"> PAGEREF _Toc11603 \h </w:instrText>
      </w:r>
      <w:r>
        <w:rPr>
          <w:highlight w:val="none"/>
        </w:rPr>
        <w:fldChar w:fldCharType="separate"/>
      </w:r>
      <w:r>
        <w:rPr>
          <w:highlight w:val="none"/>
        </w:rPr>
        <w:t>33</w:t>
      </w:r>
      <w:r>
        <w:rPr>
          <w:highlight w:val="none"/>
        </w:rPr>
        <w:fldChar w:fldCharType="end"/>
      </w:r>
      <w:r>
        <w:rPr>
          <w:rFonts w:hint="eastAsia" w:ascii="宋体" w:hAnsi="宋体" w:cs="宋体"/>
          <w:bCs/>
          <w:caps/>
          <w:color w:val="auto"/>
          <w:highlight w:val="none"/>
        </w:rPr>
        <w:fldChar w:fldCharType="end"/>
      </w:r>
    </w:p>
    <w:p w14:paraId="146DE24C">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_Toc2739 </w:instrText>
      </w:r>
      <w:r>
        <w:rPr>
          <w:rFonts w:hint="eastAsia" w:ascii="宋体" w:hAnsi="宋体" w:cs="宋体"/>
          <w:bCs/>
          <w:caps/>
          <w:highlight w:val="none"/>
        </w:rPr>
        <w:fldChar w:fldCharType="separate"/>
      </w:r>
      <w:r>
        <w:rPr>
          <w:rFonts w:hint="eastAsia" w:ascii="宋体" w:hAnsi="宋体" w:eastAsia="宋体" w:cs="宋体"/>
          <w:highlight w:val="none"/>
        </w:rPr>
        <w:t>五、 报价人承诺</w:t>
      </w:r>
      <w:r>
        <w:rPr>
          <w:highlight w:val="none"/>
        </w:rPr>
        <w:tab/>
      </w:r>
      <w:r>
        <w:rPr>
          <w:highlight w:val="none"/>
        </w:rPr>
        <w:fldChar w:fldCharType="begin"/>
      </w:r>
      <w:r>
        <w:rPr>
          <w:highlight w:val="none"/>
        </w:rPr>
        <w:instrText xml:space="preserve"> PAGEREF _Toc2739 \h </w:instrText>
      </w:r>
      <w:r>
        <w:rPr>
          <w:highlight w:val="none"/>
        </w:rPr>
        <w:fldChar w:fldCharType="separate"/>
      </w:r>
      <w:r>
        <w:rPr>
          <w:highlight w:val="none"/>
        </w:rPr>
        <w:t>38</w:t>
      </w:r>
      <w:r>
        <w:rPr>
          <w:highlight w:val="none"/>
        </w:rPr>
        <w:fldChar w:fldCharType="end"/>
      </w:r>
      <w:r>
        <w:rPr>
          <w:rFonts w:hint="eastAsia" w:ascii="宋体" w:hAnsi="宋体" w:cs="宋体"/>
          <w:bCs/>
          <w:caps/>
          <w:color w:val="auto"/>
          <w:highlight w:val="none"/>
        </w:rPr>
        <w:fldChar w:fldCharType="end"/>
      </w:r>
    </w:p>
    <w:p w14:paraId="61BE50D1">
      <w:pPr>
        <w:pStyle w:val="35"/>
        <w:tabs>
          <w:tab w:val="right" w:leader="dot" w:pos="9638"/>
        </w:tabs>
        <w:rPr>
          <w:highlight w:val="none"/>
        </w:rPr>
      </w:pPr>
      <w:r>
        <w:rPr>
          <w:rFonts w:hint="eastAsia" w:ascii="宋体" w:hAnsi="宋体" w:cs="宋体"/>
          <w:bCs/>
          <w:caps/>
          <w:color w:val="auto"/>
          <w:highlight w:val="none"/>
        </w:rPr>
        <w:fldChar w:fldCharType="begin"/>
      </w:r>
      <w:r>
        <w:rPr>
          <w:rFonts w:hint="eastAsia" w:ascii="宋体" w:hAnsi="宋体" w:cs="宋体"/>
          <w:bCs/>
          <w:caps/>
          <w:highlight w:val="none"/>
        </w:rPr>
        <w:instrText xml:space="preserve"> HYPERLINK \l _Toc13614 </w:instrText>
      </w:r>
      <w:r>
        <w:rPr>
          <w:rFonts w:hint="eastAsia" w:ascii="宋体" w:hAnsi="宋体" w:cs="宋体"/>
          <w:bCs/>
          <w:caps/>
          <w:highlight w:val="none"/>
        </w:rPr>
        <w:fldChar w:fldCharType="separate"/>
      </w:r>
      <w:r>
        <w:rPr>
          <w:rFonts w:hint="eastAsia" w:ascii="宋体" w:hAnsi="宋体" w:eastAsia="宋体" w:cs="宋体"/>
          <w:highlight w:val="none"/>
        </w:rPr>
        <w:t>六、 报价人提供的其他资料</w:t>
      </w:r>
      <w:r>
        <w:rPr>
          <w:highlight w:val="none"/>
        </w:rPr>
        <w:tab/>
      </w:r>
      <w:r>
        <w:rPr>
          <w:highlight w:val="none"/>
        </w:rPr>
        <w:fldChar w:fldCharType="begin"/>
      </w:r>
      <w:r>
        <w:rPr>
          <w:highlight w:val="none"/>
        </w:rPr>
        <w:instrText xml:space="preserve"> PAGEREF _Toc13614 \h </w:instrText>
      </w:r>
      <w:r>
        <w:rPr>
          <w:highlight w:val="none"/>
        </w:rPr>
        <w:fldChar w:fldCharType="separate"/>
      </w:r>
      <w:r>
        <w:rPr>
          <w:highlight w:val="none"/>
        </w:rPr>
        <w:t>39</w:t>
      </w:r>
      <w:r>
        <w:rPr>
          <w:highlight w:val="none"/>
        </w:rPr>
        <w:fldChar w:fldCharType="end"/>
      </w:r>
      <w:r>
        <w:rPr>
          <w:rFonts w:hint="eastAsia" w:ascii="宋体" w:hAnsi="宋体" w:cs="宋体"/>
          <w:bCs/>
          <w:caps/>
          <w:color w:val="auto"/>
          <w:highlight w:val="none"/>
        </w:rPr>
        <w:fldChar w:fldCharType="end"/>
      </w:r>
    </w:p>
    <w:p w14:paraId="5FDFF76D">
      <w:pPr>
        <w:pStyle w:val="35"/>
        <w:tabs>
          <w:tab w:val="right" w:leader="dot" w:pos="9628"/>
        </w:tabs>
        <w:ind w:left="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bookmarkStart w:id="5" w:name="_Toc246996157"/>
      <w:bookmarkStart w:id="6" w:name="_Toc2000404"/>
      <w:bookmarkStart w:id="7" w:name="_Toc246996900"/>
      <w:bookmarkStart w:id="8" w:name="_Toc179632527"/>
      <w:bookmarkStart w:id="9" w:name="_Toc247085671"/>
      <w:bookmarkStart w:id="10" w:name="_Toc144974479"/>
      <w:bookmarkStart w:id="11" w:name="_Toc247096243"/>
      <w:bookmarkStart w:id="12" w:name="_Toc152045511"/>
      <w:bookmarkStart w:id="13" w:name="_Toc507319890"/>
      <w:bookmarkStart w:id="14" w:name="_Toc152042287"/>
    </w:p>
    <w:p w14:paraId="50EC60F4">
      <w:pPr>
        <w:pStyle w:val="35"/>
        <w:keepNext w:val="0"/>
        <w:keepLines w:val="0"/>
        <w:pageBreakBefore w:val="0"/>
        <w:widowControl w:val="0"/>
        <w:tabs>
          <w:tab w:val="right" w:leader="dot" w:pos="9628"/>
        </w:tabs>
        <w:kinsoku/>
        <w:wordWrap/>
        <w:overflowPunct/>
        <w:topLinePunct w:val="0"/>
        <w:autoSpaceDE/>
        <w:autoSpaceDN/>
        <w:bidi w:val="0"/>
        <w:adjustRightInd/>
        <w:snapToGrid/>
        <w:ind w:left="0"/>
        <w:jc w:val="center"/>
        <w:textAlignment w:val="auto"/>
        <w:outlineLvl w:val="0"/>
        <w:rPr>
          <w:rFonts w:hint="eastAsia" w:ascii="宋体" w:hAnsi="宋体" w:eastAsia="宋体" w:cs="宋体"/>
          <w:b/>
          <w:bCs/>
          <w:smallCaps w:val="0"/>
          <w:color w:val="auto"/>
          <w:kern w:val="44"/>
          <w:sz w:val="44"/>
          <w:szCs w:val="44"/>
          <w:highlight w:val="none"/>
          <w:lang w:val="en-US" w:eastAsia="zh-CN" w:bidi="ar-SA"/>
        </w:rPr>
      </w:pPr>
      <w:bookmarkStart w:id="15" w:name="_Toc14135"/>
      <w:r>
        <w:rPr>
          <w:rFonts w:hint="eastAsia" w:ascii="宋体" w:hAnsi="宋体" w:eastAsia="宋体" w:cs="宋体"/>
          <w:b/>
          <w:bCs/>
          <w:smallCaps w:val="0"/>
          <w:color w:val="auto"/>
          <w:kern w:val="44"/>
          <w:sz w:val="44"/>
          <w:szCs w:val="44"/>
          <w:highlight w:val="none"/>
          <w:lang w:val="en-US" w:eastAsia="zh-CN" w:bidi="ar-SA"/>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eastAsia="宋体" w:cs="宋体"/>
          <w:b/>
          <w:bCs/>
          <w:smallCaps w:val="0"/>
          <w:color w:val="auto"/>
          <w:kern w:val="44"/>
          <w:sz w:val="44"/>
          <w:szCs w:val="44"/>
          <w:highlight w:val="none"/>
          <w:lang w:val="en-US" w:eastAsia="zh-CN" w:bidi="ar-SA"/>
        </w:rPr>
        <w:t>比选公告</w:t>
      </w:r>
      <w:bookmarkEnd w:id="15"/>
    </w:p>
    <w:p w14:paraId="26FA4E7F">
      <w:pPr>
        <w:spacing w:line="440" w:lineRule="exact"/>
        <w:jc w:val="center"/>
        <w:rPr>
          <w:rFonts w:ascii="宋体" w:hAnsi="宋体" w:cs="宋体"/>
          <w:b/>
          <w:color w:val="auto"/>
          <w:sz w:val="28"/>
          <w:szCs w:val="28"/>
          <w:highlight w:val="none"/>
        </w:rPr>
      </w:pPr>
      <w:bookmarkStart w:id="16" w:name="OLE_LINK3"/>
      <w:bookmarkStart w:id="17" w:name="OLE_LINK2"/>
    </w:p>
    <w:p w14:paraId="27B6D7E1">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643" w:firstLineChars="200"/>
        <w:textAlignment w:val="auto"/>
        <w:rPr>
          <w:rFonts w:ascii="宋体" w:hAnsi="宋体" w:eastAsia="宋体" w:cs="宋体"/>
          <w:color w:val="auto"/>
          <w:highlight w:val="none"/>
        </w:rPr>
      </w:pPr>
      <w:bookmarkStart w:id="18" w:name="_Toc24874"/>
      <w:bookmarkStart w:id="19" w:name="_Toc30430"/>
      <w:bookmarkStart w:id="20" w:name="_Toc152042288"/>
      <w:bookmarkStart w:id="21" w:name="_Toc247085672"/>
      <w:bookmarkStart w:id="22" w:name="_Toc179632528"/>
      <w:bookmarkStart w:id="23" w:name="_Toc246996901"/>
      <w:bookmarkStart w:id="24" w:name="_Toc8770"/>
      <w:bookmarkStart w:id="25" w:name="_Toc6549"/>
      <w:bookmarkStart w:id="26" w:name="_Toc152045512"/>
      <w:bookmarkStart w:id="27" w:name="_Toc246996158"/>
      <w:bookmarkStart w:id="28" w:name="_Toc11329213"/>
      <w:bookmarkStart w:id="29" w:name="_Toc10076"/>
      <w:bookmarkStart w:id="30" w:name="_Toc507319891"/>
      <w:bookmarkStart w:id="31" w:name="_Toc144974480"/>
      <w:bookmarkStart w:id="32" w:name="_Toc22916"/>
      <w:r>
        <w:rPr>
          <w:rFonts w:hint="eastAsia" w:ascii="宋体" w:hAnsi="宋体" w:eastAsia="宋体" w:cs="宋体"/>
          <w:color w:val="auto"/>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3F8236F">
      <w:pPr>
        <w:pageBreakBefore w:val="0"/>
        <w:widowControl w:val="0"/>
        <w:kinsoku/>
        <w:wordWrap/>
        <w:overflowPunct/>
        <w:topLinePunct w:val="0"/>
        <w:autoSpaceDE/>
        <w:autoSpaceDN/>
        <w:bidi w:val="0"/>
        <w:snapToGrid/>
        <w:spacing w:line="400" w:lineRule="exact"/>
        <w:ind w:left="0" w:leftChars="0"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本竞争性比选项目</w:t>
      </w:r>
      <w:r>
        <w:rPr>
          <w:rFonts w:hint="eastAsia" w:ascii="宋体" w:hAnsi="宋体" w:cs="宋体"/>
          <w:color w:val="auto"/>
          <w:szCs w:val="21"/>
          <w:highlight w:val="none"/>
          <w:u w:val="single"/>
          <w:lang w:val="en-US" w:eastAsia="zh-CN"/>
        </w:rPr>
        <w:t xml:space="preserve">  首讯公司2025年至2027年车辆保险服务采购 </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14:paraId="38007CD0">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643" w:firstLineChars="200"/>
        <w:textAlignment w:val="auto"/>
        <w:rPr>
          <w:rFonts w:ascii="宋体" w:hAnsi="宋体" w:eastAsia="宋体" w:cs="宋体"/>
          <w:color w:val="auto"/>
          <w:highlight w:val="none"/>
        </w:rPr>
      </w:pPr>
      <w:bookmarkStart w:id="33" w:name="_Toc247085673"/>
      <w:bookmarkStart w:id="34" w:name="_Toc11329214"/>
      <w:bookmarkStart w:id="35" w:name="_Toc21343"/>
      <w:bookmarkStart w:id="36" w:name="_Toc152045513"/>
      <w:bookmarkStart w:id="37" w:name="_Toc246996159"/>
      <w:bookmarkStart w:id="38" w:name="_Toc30995"/>
      <w:bookmarkStart w:id="39" w:name="_Toc10952"/>
      <w:bookmarkStart w:id="40" w:name="_Toc18109"/>
      <w:bookmarkStart w:id="41" w:name="_Toc507319892"/>
      <w:bookmarkStart w:id="42" w:name="_Toc152042289"/>
      <w:bookmarkStart w:id="43" w:name="_Toc246996902"/>
      <w:bookmarkStart w:id="44" w:name="_Toc179632529"/>
      <w:bookmarkStart w:id="45" w:name="_Toc144974481"/>
      <w:bookmarkStart w:id="46" w:name="_Toc13546"/>
      <w:bookmarkStart w:id="47" w:name="_Toc29424"/>
      <w:r>
        <w:rPr>
          <w:rFonts w:hint="eastAsia" w:ascii="宋体" w:hAnsi="宋体" w:eastAsia="宋体" w:cs="宋体"/>
          <w:color w:val="auto"/>
          <w:highlight w:val="none"/>
        </w:rPr>
        <w:t>2. 项目概况与比选范围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0772310">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cs="宋体"/>
          <w:color w:val="auto"/>
          <w:szCs w:val="21"/>
          <w:highlight w:val="none"/>
          <w:u w:val="single"/>
          <w:lang w:val="en-US" w:eastAsia="zh-CN"/>
        </w:rPr>
      </w:pPr>
      <w:bookmarkStart w:id="48" w:name="_Toc152045514"/>
      <w:bookmarkStart w:id="49" w:name="_Toc30356"/>
      <w:bookmarkStart w:id="50" w:name="_Toc10171"/>
      <w:bookmarkStart w:id="51" w:name="_Toc23539"/>
      <w:bookmarkStart w:id="52" w:name="_Toc247085674"/>
      <w:bookmarkStart w:id="53" w:name="_Toc144974482"/>
      <w:bookmarkStart w:id="54" w:name="_Toc7065"/>
      <w:bookmarkStart w:id="55" w:name="_Toc179632530"/>
      <w:bookmarkStart w:id="56" w:name="_Toc152042290"/>
      <w:bookmarkStart w:id="57" w:name="_Toc11329215"/>
      <w:bookmarkStart w:id="58" w:name="_Toc246996160"/>
      <w:bookmarkStart w:id="59" w:name="_Toc507319893"/>
      <w:bookmarkStart w:id="60" w:name="_Toc246996903"/>
      <w:bookmarkStart w:id="61" w:name="_Toc11874"/>
      <w:r>
        <w:rPr>
          <w:rFonts w:hint="eastAsia" w:ascii="宋体" w:hAnsi="宋体" w:eastAsia="宋体" w:cs="宋体"/>
          <w:color w:val="auto"/>
          <w:szCs w:val="21"/>
          <w:highlight w:val="none"/>
        </w:rPr>
        <w:t>2.1</w:t>
      </w:r>
      <w:bookmarkStart w:id="62" w:name="_Toc265234827"/>
      <w:bookmarkStart w:id="63" w:name="_Toc382816230"/>
      <w:r>
        <w:rPr>
          <w:rFonts w:hint="eastAsia" w:ascii="宋体" w:hAnsi="宋体" w:eastAsia="宋体" w:cs="宋体"/>
          <w:color w:val="auto"/>
          <w:szCs w:val="21"/>
          <w:highlight w:val="none"/>
        </w:rPr>
        <w:t>项目</w:t>
      </w:r>
      <w:r>
        <w:rPr>
          <w:rFonts w:hint="eastAsia" w:ascii="宋体" w:hAnsi="宋体" w:cs="宋体"/>
          <w:color w:val="auto"/>
          <w:szCs w:val="21"/>
          <w:highlight w:val="none"/>
          <w:lang w:val="en-US" w:eastAsia="zh-CN"/>
        </w:rPr>
        <w:t>概况</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val="en-US" w:eastAsia="zh-CN"/>
        </w:rPr>
        <w:t xml:space="preserve"> 重庆首讯科技股份有限公司现有</w:t>
      </w:r>
      <w:r>
        <w:rPr>
          <w:rFonts w:hint="eastAsia" w:ascii="宋体" w:hAnsi="宋体" w:cs="宋体"/>
          <w:color w:val="auto"/>
          <w:szCs w:val="21"/>
          <w:highlight w:val="none"/>
          <w:u w:val="single"/>
        </w:rPr>
        <w:t>19台小客车、53台货车、13台（含新能源）特种车、2台新能源越野车，共计87台</w:t>
      </w:r>
      <w:r>
        <w:rPr>
          <w:rFonts w:hint="eastAsia" w:ascii="宋体" w:hAnsi="宋体" w:cs="宋体"/>
          <w:color w:val="auto"/>
          <w:szCs w:val="21"/>
          <w:highlight w:val="none"/>
          <w:u w:val="single"/>
          <w:lang w:val="en-US" w:eastAsia="zh-CN"/>
        </w:rPr>
        <w:t>（详见附件：车辆信息清单）。现需要采购以上车辆保险。</w:t>
      </w:r>
    </w:p>
    <w:p w14:paraId="2B1ABFDF">
      <w:pPr>
        <w:keepNext w:val="0"/>
        <w:keepLines w:val="0"/>
        <w:pageBreakBefore w:val="0"/>
        <w:kinsoku/>
        <w:wordWrap w:val="0"/>
        <w:overflowPunct/>
        <w:topLinePunct w:val="0"/>
        <w:bidi w:val="0"/>
        <w:snapToGrid w:val="0"/>
        <w:spacing w:line="420" w:lineRule="exact"/>
        <w:ind w:firstLine="424" w:firstLineChars="202"/>
        <w:textAlignment w:val="auto"/>
        <w:rPr>
          <w:rFonts w:hint="default" w:ascii="宋体" w:hAnsi="宋体" w:eastAsia="宋体" w:cs="宋体"/>
          <w:b/>
          <w:bCs/>
          <w:color w:val="auto"/>
          <w:highlight w:val="none"/>
          <w:u w:val="single"/>
          <w:lang w:val="en-US" w:eastAsia="zh-CN"/>
        </w:rPr>
      </w:pPr>
      <w:r>
        <w:rPr>
          <w:rFonts w:hint="eastAsia" w:ascii="宋体" w:hAnsi="宋体" w:eastAsia="宋体" w:cs="宋体"/>
          <w:color w:val="auto"/>
          <w:szCs w:val="21"/>
          <w:highlight w:val="none"/>
        </w:rPr>
        <w:t>2.2</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内容：</w:t>
      </w:r>
      <w:r>
        <w:rPr>
          <w:rFonts w:hint="eastAsia" w:ascii="宋体" w:hAnsi="宋体" w:cs="宋体"/>
          <w:color w:val="auto"/>
          <w:szCs w:val="21"/>
          <w:highlight w:val="none"/>
          <w:u w:val="single"/>
          <w:lang w:val="en-US" w:eastAsia="zh-CN"/>
        </w:rPr>
        <w:t>公司现有车辆保险，含商业险、交强险、车船税，以及对所有事故（含超出保险额度或未投保险种的案件）进行出险、定损、谈判、诉讼、仲裁、保险法律条款提供咨询服务，预计保险服务期限两年（2025年1月30至2027年1月29日），合同1年1签，1年到期后，经采购人考核合格的，可续约1年。</w:t>
      </w:r>
    </w:p>
    <w:p w14:paraId="42342D02">
      <w:pPr>
        <w:pStyle w:val="14"/>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1）</w:t>
      </w:r>
      <w:r>
        <w:rPr>
          <w:rFonts w:hint="eastAsia" w:ascii="宋体" w:hAnsi="宋体" w:cs="宋体"/>
          <w:szCs w:val="21"/>
          <w:highlight w:val="none"/>
          <w:u w:val="none"/>
        </w:rPr>
        <w:t>商业险：</w:t>
      </w:r>
    </w:p>
    <w:p w14:paraId="73AF8B31">
      <w:pPr>
        <w:pStyle w:val="14"/>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rPr>
        <w:t>1.车辆损失险（按车辆折旧后车辆实际价值）；</w:t>
      </w:r>
    </w:p>
    <w:p w14:paraId="6C149157">
      <w:pPr>
        <w:pStyle w:val="14"/>
        <w:adjustRightInd w:val="0"/>
        <w:spacing w:line="400" w:lineRule="exact"/>
        <w:jc w:val="both"/>
        <w:rPr>
          <w:rFonts w:hint="eastAsia" w:ascii="宋体" w:hAnsi="宋体" w:eastAsia="宋体" w:cs="宋体"/>
          <w:szCs w:val="21"/>
          <w:highlight w:val="none"/>
          <w:u w:val="none"/>
          <w:lang w:eastAsia="zh-CN"/>
        </w:rPr>
      </w:pPr>
      <w:r>
        <w:rPr>
          <w:rFonts w:hint="eastAsia" w:ascii="宋体" w:hAnsi="宋体" w:cs="宋体"/>
          <w:szCs w:val="21"/>
          <w:highlight w:val="none"/>
          <w:u w:val="none"/>
        </w:rPr>
        <w:t>2.第三者责任险（每次赔偿限额300万元人民币）</w:t>
      </w:r>
      <w:r>
        <w:rPr>
          <w:rFonts w:hint="eastAsia" w:ascii="宋体" w:hAnsi="宋体" w:cs="宋体"/>
          <w:szCs w:val="21"/>
          <w:highlight w:val="none"/>
          <w:u w:val="none"/>
          <w:lang w:eastAsia="zh-CN"/>
        </w:rPr>
        <w:t>；</w:t>
      </w:r>
    </w:p>
    <w:p w14:paraId="26149FA4">
      <w:pPr>
        <w:pStyle w:val="14"/>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rPr>
        <w:t>3.车上人员责任险（按车辆行驶核载人数为准）、赔偿限额50万元/座；</w:t>
      </w:r>
    </w:p>
    <w:p w14:paraId="0316120B">
      <w:pPr>
        <w:pStyle w:val="14"/>
        <w:adjustRightInd w:val="0"/>
        <w:spacing w:line="400" w:lineRule="exact"/>
        <w:jc w:val="both"/>
        <w:rPr>
          <w:rFonts w:hint="eastAsia" w:ascii="宋体" w:hAnsi="宋体" w:eastAsia="宋体" w:cs="宋体"/>
          <w:szCs w:val="21"/>
          <w:highlight w:val="none"/>
          <w:u w:val="none"/>
          <w:lang w:eastAsia="zh-CN"/>
        </w:rPr>
      </w:pPr>
      <w:r>
        <w:rPr>
          <w:rFonts w:hint="eastAsia" w:ascii="宋体" w:hAnsi="宋体" w:cs="宋体"/>
          <w:szCs w:val="21"/>
          <w:highlight w:val="none"/>
          <w:u w:val="none"/>
        </w:rPr>
        <w:t>4.医保外医疗费用责任险（不超过主险的赔偿限额）</w:t>
      </w:r>
      <w:r>
        <w:rPr>
          <w:rFonts w:hint="eastAsia" w:ascii="宋体" w:hAnsi="宋体" w:cs="宋体"/>
          <w:szCs w:val="21"/>
          <w:highlight w:val="none"/>
          <w:u w:val="none"/>
          <w:lang w:eastAsia="zh-CN"/>
        </w:rPr>
        <w:t>。</w:t>
      </w:r>
    </w:p>
    <w:p w14:paraId="7D2F6C3C">
      <w:pPr>
        <w:pStyle w:val="14"/>
        <w:adjustRightInd w:val="0"/>
        <w:spacing w:line="400" w:lineRule="exact"/>
        <w:jc w:val="both"/>
        <w:rPr>
          <w:rFonts w:hint="eastAsia" w:ascii="宋体" w:hAnsi="宋体" w:cs="宋体"/>
          <w:szCs w:val="21"/>
          <w:highlight w:val="none"/>
          <w:u w:val="none"/>
        </w:rPr>
      </w:pP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2）</w:t>
      </w:r>
      <w:r>
        <w:rPr>
          <w:rFonts w:hint="eastAsia" w:ascii="宋体" w:hAnsi="宋体" w:cs="宋体"/>
          <w:szCs w:val="21"/>
          <w:highlight w:val="none"/>
          <w:u w:val="none"/>
        </w:rPr>
        <w:t>交强险、车船税：</w:t>
      </w:r>
    </w:p>
    <w:p w14:paraId="5B604B8B">
      <w:pPr>
        <w:keepNext w:val="0"/>
        <w:keepLines w:val="0"/>
        <w:pageBreakBefore w:val="0"/>
        <w:kinsoku/>
        <w:wordWrap w:val="0"/>
        <w:overflowPunct/>
        <w:topLinePunct w:val="0"/>
        <w:bidi w:val="0"/>
        <w:snapToGrid w:val="0"/>
        <w:spacing w:line="420" w:lineRule="exact"/>
        <w:ind w:firstLine="413" w:firstLineChars="197"/>
        <w:textAlignment w:val="auto"/>
        <w:rPr>
          <w:rFonts w:hint="eastAsia" w:ascii="宋体" w:hAnsi="宋体" w:eastAsia="宋体" w:cs="宋体"/>
          <w:color w:val="auto"/>
          <w:szCs w:val="21"/>
          <w:highlight w:val="none"/>
        </w:rPr>
      </w:pPr>
      <w:r>
        <w:rPr>
          <w:rFonts w:hint="eastAsia" w:ascii="宋体" w:hAnsi="宋体" w:cs="宋体"/>
          <w:szCs w:val="21"/>
          <w:highlight w:val="none"/>
          <w:u w:val="none"/>
        </w:rPr>
        <w:t>按《机动车交通事故责任强制保险条例》、中国保险行业协会机动车交通事故责任强制保险的有关规定执行。</w:t>
      </w:r>
    </w:p>
    <w:p w14:paraId="7579B96F">
      <w:pPr>
        <w:keepNext w:val="0"/>
        <w:keepLines w:val="0"/>
        <w:pageBreakBefore w:val="0"/>
        <w:kinsoku/>
        <w:wordWrap w:val="0"/>
        <w:overflowPunct/>
        <w:topLinePunct w:val="0"/>
        <w:bidi w:val="0"/>
        <w:snapToGrid w:val="0"/>
        <w:spacing w:line="420" w:lineRule="exact"/>
        <w:ind w:firstLine="413" w:firstLineChars="197"/>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t>2.3</w:t>
      </w:r>
      <w:r>
        <w:rPr>
          <w:rFonts w:hint="eastAsia" w:ascii="宋体" w:hAnsi="宋体" w:cs="宋体"/>
          <w:color w:val="auto"/>
          <w:highlight w:val="none"/>
          <w:lang w:val="en-US" w:eastAsia="zh-CN"/>
        </w:rPr>
        <w:t>采购规模</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低于</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100</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万</w:t>
      </w:r>
      <w:r>
        <w:rPr>
          <w:rFonts w:hint="eastAsia" w:ascii="宋体" w:hAnsi="宋体" w:eastAsia="宋体" w:cs="宋体"/>
          <w:color w:val="auto"/>
          <w:szCs w:val="21"/>
          <w:highlight w:val="none"/>
        </w:rPr>
        <w:t>元。</w:t>
      </w:r>
    </w:p>
    <w:p w14:paraId="07F03F29">
      <w:pPr>
        <w:keepNext w:val="0"/>
        <w:keepLines w:val="0"/>
        <w:pageBreakBefore w:val="0"/>
        <w:kinsoku/>
        <w:wordWrap w:val="0"/>
        <w:overflowPunct/>
        <w:topLinePunct w:val="0"/>
        <w:bidi w:val="0"/>
        <w:snapToGrid w:val="0"/>
        <w:spacing w:line="420" w:lineRule="exact"/>
        <w:ind w:firstLine="413" w:firstLineChars="197"/>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2.</w:t>
      </w:r>
      <w:bookmarkEnd w:id="62"/>
      <w:bookmarkEnd w:id="63"/>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lang w:val="en-US" w:eastAsia="zh-CN"/>
        </w:rPr>
        <w:t>地点：</w:t>
      </w:r>
      <w:r>
        <w:rPr>
          <w:rFonts w:hint="eastAsia" w:ascii="宋体" w:hAnsi="宋体" w:eastAsia="宋体" w:cs="宋体"/>
          <w:color w:val="auto"/>
          <w:szCs w:val="21"/>
          <w:highlight w:val="none"/>
          <w:u w:val="single"/>
          <w:lang w:val="en-US" w:eastAsia="zh-CN"/>
        </w:rPr>
        <w:t xml:space="preserve"> 重庆市渝北区龙溪街道新南路52号东界龙湖、南岸区四公里内环入口200米处</w:t>
      </w:r>
      <w:r>
        <w:rPr>
          <w:rFonts w:hint="eastAsia" w:ascii="宋体" w:hAnsi="宋体" w:cs="宋体"/>
          <w:color w:val="auto"/>
          <w:szCs w:val="21"/>
          <w:highlight w:val="none"/>
          <w:u w:val="single"/>
          <w:lang w:val="en-US" w:eastAsia="zh-CN"/>
        </w:rPr>
        <w:t>等</w:t>
      </w:r>
      <w:r>
        <w:rPr>
          <w:rFonts w:hint="eastAsia" w:ascii="宋体" w:hAnsi="宋体" w:eastAsia="宋体" w:cs="宋体"/>
          <w:color w:val="auto"/>
          <w:szCs w:val="21"/>
          <w:highlight w:val="none"/>
          <w:u w:val="single"/>
          <w:lang w:val="en-US" w:eastAsia="zh-CN"/>
        </w:rPr>
        <w:t xml:space="preserve"> </w:t>
      </w:r>
      <w:r>
        <w:rPr>
          <w:rFonts w:hint="eastAsia"/>
          <w:color w:val="auto"/>
          <w:highlight w:val="none"/>
          <w:lang w:eastAsia="zh-CN"/>
        </w:rPr>
        <w:t>。</w:t>
      </w:r>
    </w:p>
    <w:p w14:paraId="1138FEE3">
      <w:pPr>
        <w:keepNext w:val="0"/>
        <w:keepLines w:val="0"/>
        <w:pageBreakBefore w:val="0"/>
        <w:kinsoku/>
        <w:wordWrap w:val="0"/>
        <w:overflowPunct/>
        <w:topLinePunct w:val="0"/>
        <w:bidi w:val="0"/>
        <w:snapToGrid w:val="0"/>
        <w:spacing w:line="420" w:lineRule="exact"/>
        <w:ind w:firstLine="413" w:firstLineChars="197"/>
        <w:textAlignment w:val="auto"/>
        <w:rPr>
          <w:rFonts w:hint="eastAsia" w:ascii="宋体" w:hAnsi="宋体" w:eastAsia="宋体" w:cs="宋体"/>
          <w:b/>
          <w:bCs/>
          <w:i/>
          <w:iCs/>
          <w:color w:val="auto"/>
          <w:szCs w:val="21"/>
          <w:highlight w:val="none"/>
          <w:lang w:eastAsia="zh-CN"/>
        </w:rPr>
      </w:pPr>
      <w:r>
        <w:rPr>
          <w:rFonts w:hint="eastAsia" w:ascii="宋体" w:hAnsi="宋体" w:eastAsia="宋体" w:cs="宋体"/>
          <w:color w:val="auto"/>
          <w:szCs w:val="21"/>
          <w:highlight w:val="none"/>
          <w:lang w:val="en-US" w:eastAsia="zh-CN"/>
        </w:rPr>
        <w:t>2.5</w:t>
      </w:r>
      <w:r>
        <w:rPr>
          <w:rFonts w:hint="eastAsia" w:ascii="宋体" w:hAnsi="宋体" w:cs="宋体"/>
          <w:color w:val="auto"/>
          <w:szCs w:val="21"/>
          <w:highlight w:val="none"/>
          <w:lang w:val="en-US" w:eastAsia="zh-CN"/>
        </w:rPr>
        <w:t>服务期限</w:t>
      </w:r>
      <w:r>
        <w:rPr>
          <w:rFonts w:hint="eastAsia" w:ascii="宋体" w:hAnsi="宋体" w:eastAsia="宋体" w:cs="宋体"/>
          <w:color w:val="auto"/>
          <w:szCs w:val="21"/>
          <w:highlight w:val="none"/>
        </w:rPr>
        <w:t>：</w:t>
      </w:r>
      <w:r>
        <w:rPr>
          <w:rFonts w:hint="eastAsia" w:ascii="宋体" w:hAnsi="宋体" w:eastAsia="宋体" w:cs="宋体"/>
          <w:b w:val="0"/>
          <w:bCs w:val="0"/>
          <w:color w:val="auto"/>
          <w:sz w:val="21"/>
          <w:szCs w:val="21"/>
          <w:highlight w:val="none"/>
          <w:lang w:val="en-US" w:eastAsia="zh-CN"/>
        </w:rPr>
        <w:t>预计保险服务期限两年（2025年1月30至2027年1月29日），合同1年1签，1年到期后，经采购人考核</w:t>
      </w:r>
      <w:r>
        <w:rPr>
          <w:rFonts w:hint="eastAsia" w:ascii="宋体" w:hAnsi="宋体" w:cs="宋体"/>
          <w:b w:val="0"/>
          <w:bCs w:val="0"/>
          <w:color w:val="auto"/>
          <w:sz w:val="21"/>
          <w:szCs w:val="21"/>
          <w:highlight w:val="none"/>
          <w:lang w:val="en-US" w:eastAsia="zh-CN"/>
        </w:rPr>
        <w:t>合格</w:t>
      </w:r>
      <w:r>
        <w:rPr>
          <w:rFonts w:hint="eastAsia" w:ascii="宋体" w:hAnsi="宋体" w:eastAsia="宋体" w:cs="宋体"/>
          <w:b w:val="0"/>
          <w:bCs w:val="0"/>
          <w:color w:val="auto"/>
          <w:sz w:val="21"/>
          <w:szCs w:val="21"/>
          <w:highlight w:val="none"/>
          <w:lang w:val="en-US" w:eastAsia="zh-CN"/>
        </w:rPr>
        <w:t>的，可续约1年。</w:t>
      </w:r>
    </w:p>
    <w:p w14:paraId="2C492576">
      <w:pPr>
        <w:keepNext w:val="0"/>
        <w:keepLines w:val="0"/>
        <w:pageBreakBefore w:val="0"/>
        <w:kinsoku/>
        <w:wordWrap w:val="0"/>
        <w:overflowPunct/>
        <w:topLinePunct w:val="0"/>
        <w:bidi w:val="0"/>
        <w:snapToGrid w:val="0"/>
        <w:spacing w:line="420" w:lineRule="exact"/>
        <w:ind w:firstLine="413" w:firstLineChars="197"/>
        <w:textAlignment w:val="auto"/>
        <w:rPr>
          <w:rFonts w:hint="default" w:ascii="宋体" w:hAnsi="宋体" w:eastAsia="宋体" w:cs="宋体"/>
          <w:b w:val="0"/>
          <w:bCs w:val="0"/>
          <w:i w:val="0"/>
          <w:iCs w:val="0"/>
          <w:color w:val="auto"/>
          <w:szCs w:val="21"/>
          <w:highlight w:val="none"/>
          <w:lang w:val="en-US" w:eastAsia="zh-CN"/>
        </w:rPr>
      </w:pPr>
      <w:r>
        <w:rPr>
          <w:rFonts w:hint="eastAsia" w:ascii="宋体" w:hAnsi="宋体" w:cs="宋体"/>
          <w:b w:val="0"/>
          <w:bCs w:val="0"/>
          <w:i w:val="0"/>
          <w:iCs w:val="0"/>
          <w:color w:val="auto"/>
          <w:szCs w:val="21"/>
          <w:highlight w:val="none"/>
          <w:lang w:val="en-US" w:eastAsia="zh-CN"/>
        </w:rPr>
        <w:t>2.6标段划分：</w:t>
      </w:r>
      <w:r>
        <w:rPr>
          <w:rFonts w:hint="eastAsia" w:ascii="宋体" w:hAnsi="宋体" w:cs="宋体"/>
          <w:b w:val="0"/>
          <w:bCs w:val="0"/>
          <w:color w:val="auto"/>
          <w:kern w:val="2"/>
          <w:sz w:val="21"/>
          <w:szCs w:val="24"/>
          <w:highlight w:val="none"/>
          <w:lang w:val="en-US" w:eastAsia="zh-CN" w:bidi="ar-SA"/>
        </w:rPr>
        <w:t>本项目划分为</w:t>
      </w:r>
      <w:r>
        <w:rPr>
          <w:rFonts w:hint="eastAsia" w:ascii="宋体" w:hAnsi="宋体" w:cs="宋体"/>
          <w:b w:val="0"/>
          <w:bCs w:val="0"/>
          <w:color w:val="auto"/>
          <w:kern w:val="2"/>
          <w:sz w:val="21"/>
          <w:szCs w:val="24"/>
          <w:highlight w:val="none"/>
          <w:u w:val="single"/>
          <w:lang w:val="en-US" w:eastAsia="zh-CN" w:bidi="ar-SA"/>
        </w:rPr>
        <w:t xml:space="preserve"> 1 </w:t>
      </w:r>
      <w:r>
        <w:rPr>
          <w:rFonts w:hint="eastAsia" w:ascii="宋体" w:hAnsi="宋体" w:cs="宋体"/>
          <w:b w:val="0"/>
          <w:bCs w:val="0"/>
          <w:color w:val="auto"/>
          <w:kern w:val="2"/>
          <w:sz w:val="21"/>
          <w:szCs w:val="24"/>
          <w:highlight w:val="none"/>
          <w:lang w:val="en-US" w:eastAsia="zh-CN" w:bidi="ar-SA"/>
        </w:rPr>
        <w:t>个标段。</w:t>
      </w:r>
    </w:p>
    <w:p w14:paraId="49150418">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643" w:firstLineChars="200"/>
        <w:textAlignment w:val="auto"/>
        <w:rPr>
          <w:rFonts w:ascii="宋体" w:hAnsi="宋体" w:eastAsia="宋体" w:cs="宋体"/>
          <w:color w:val="auto"/>
          <w:highlight w:val="none"/>
        </w:rPr>
      </w:pPr>
      <w:bookmarkStart w:id="64" w:name="_Toc27685"/>
      <w:r>
        <w:rPr>
          <w:rFonts w:hint="eastAsia" w:ascii="宋体" w:hAnsi="宋体" w:eastAsia="宋体" w:cs="宋体"/>
          <w:color w:val="auto"/>
          <w:highlight w:val="none"/>
        </w:rPr>
        <w:t>3. 报价人资格要求</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4"/>
    </w:p>
    <w:p w14:paraId="30E85BCF">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bookmarkStart w:id="65" w:name="_Toc152045515"/>
      <w:bookmarkStart w:id="66" w:name="_Toc247085675"/>
      <w:bookmarkStart w:id="67" w:name="_Toc179632531"/>
      <w:bookmarkStart w:id="68" w:name="_Toc152042291"/>
      <w:bookmarkStart w:id="69" w:name="_Toc246996161"/>
      <w:bookmarkStart w:id="70" w:name="_Toc246996904"/>
      <w:bookmarkStart w:id="71" w:name="_Toc144974483"/>
      <w:r>
        <w:rPr>
          <w:rFonts w:hint="eastAsia" w:ascii="宋体" w:hAnsi="宋体" w:cs="宋体"/>
          <w:color w:val="auto"/>
          <w:sz w:val="21"/>
          <w:szCs w:val="21"/>
          <w:highlight w:val="none"/>
          <w:lang w:val="en-US" w:eastAsia="zh-CN"/>
        </w:rPr>
        <w:t>3.1 资质要求：</w:t>
      </w:r>
    </w:p>
    <w:p w14:paraId="05B8DC6E">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报价人是在中华人民共和国境内注册，并在重庆市范围内设有分支机构的省级保险分公司或保险总公司，且有经相关登记管理机关核发的有效营业执照，属于分公司的，还须提供总公司营业执照复印件及授权委托书并加盖总公司公章（每家保险总公司只能授权一家分公司参与本项目）。</w:t>
      </w:r>
    </w:p>
    <w:p w14:paraId="4681FF3C">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 保险业务范围:报价人或其总公司须是由中国保险监督管理委员会批准设立的拥有经营财产保险业务范围的保险企业法人。</w:t>
      </w:r>
    </w:p>
    <w:p w14:paraId="0D240906">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3.3其他：报价人或报价人总公司具备以下①、②其一即可：</w:t>
      </w:r>
    </w:p>
    <w:p w14:paraId="7EB60B09">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①具有中国保险监督管理委员会(或中国银行保险监督管理委员会)关于机动车综合商业保险等条款和费率的批复。</w:t>
      </w:r>
    </w:p>
    <w:p w14:paraId="1847349F">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②机动车综合商业保险条款和保险费率已向中国保险监督管理委员会（或中国银行保险监督管理委员会）备案。</w:t>
      </w:r>
    </w:p>
    <w:p w14:paraId="060D4F61">
      <w:pPr>
        <w:pStyle w:val="14"/>
        <w:keepNext w:val="0"/>
        <w:keepLines w:val="0"/>
        <w:pageBreakBefore w:val="0"/>
        <w:widowControl w:val="0"/>
        <w:kinsoku/>
        <w:wordWrap w:val="0"/>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信誉要求：</w:t>
      </w: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eastAsia="宋体" w:cs="宋体"/>
          <w:color w:val="auto"/>
          <w:sz w:val="21"/>
          <w:szCs w:val="21"/>
          <w:highlight w:val="none"/>
          <w:lang w:val="en-US" w:eastAsia="zh-CN"/>
        </w:rPr>
        <w:t>。</w:t>
      </w:r>
    </w:p>
    <w:p w14:paraId="32A1074C">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本次比选不接受联合体报价。</w:t>
      </w:r>
    </w:p>
    <w:p w14:paraId="0232DE79">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4"/>
          <w:highlight w:val="none"/>
          <w:shd w:val="clear" w:color="auto" w:fill="FFFFFF"/>
        </w:rPr>
        <w:t>单位负责人为同一人或者存在控股、管理关系的不同单位，不得同时参加本项目报价，否则均按无效报价处理。</w:t>
      </w:r>
    </w:p>
    <w:p w14:paraId="72A768CA">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643" w:firstLineChars="200"/>
        <w:textAlignment w:val="auto"/>
        <w:rPr>
          <w:rFonts w:hint="default" w:ascii="宋体" w:hAnsi="宋体" w:eastAsia="宋体" w:cs="宋体"/>
          <w:color w:val="auto"/>
          <w:highlight w:val="none"/>
          <w:lang w:val="en-US" w:eastAsia="zh-CN"/>
        </w:rPr>
      </w:pPr>
      <w:bookmarkStart w:id="72" w:name="_Toc29918"/>
      <w:bookmarkStart w:id="73" w:name="_Toc9941"/>
      <w:bookmarkStart w:id="74" w:name="_Toc7354"/>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评标办法</w:t>
      </w:r>
      <w:bookmarkEnd w:id="72"/>
      <w:bookmarkEnd w:id="73"/>
      <w:bookmarkEnd w:id="74"/>
    </w:p>
    <w:p w14:paraId="6C85668E">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1"/>
          <w:szCs w:val="21"/>
          <w:highlight w:val="none"/>
          <w:lang w:val="en-US" w:eastAsia="zh-CN"/>
        </w:rPr>
        <w:t>本项目采用</w:t>
      </w:r>
      <w:r>
        <w:rPr>
          <w:rFonts w:hint="eastAsia" w:ascii="宋体" w:hAnsi="宋体" w:cs="宋体"/>
          <w:color w:val="auto"/>
          <w:sz w:val="21"/>
          <w:szCs w:val="21"/>
          <w:highlight w:val="none"/>
          <w:lang w:val="en-US" w:eastAsia="zh-CN"/>
        </w:rPr>
        <w:t>综合评估法</w:t>
      </w:r>
      <w:r>
        <w:rPr>
          <w:rFonts w:hint="eastAsia" w:ascii="宋体" w:hAnsi="宋体" w:eastAsia="宋体" w:cs="宋体"/>
          <w:color w:val="auto"/>
          <w:sz w:val="21"/>
          <w:szCs w:val="21"/>
          <w:highlight w:val="none"/>
          <w:lang w:val="en-US" w:eastAsia="zh-CN"/>
        </w:rPr>
        <w:t>。</w:t>
      </w:r>
    </w:p>
    <w:p w14:paraId="19865809">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643" w:firstLineChars="200"/>
        <w:textAlignment w:val="auto"/>
        <w:rPr>
          <w:rFonts w:ascii="宋体" w:hAnsi="宋体" w:eastAsia="宋体" w:cs="宋体"/>
          <w:color w:val="auto"/>
          <w:highlight w:val="none"/>
        </w:rPr>
      </w:pPr>
      <w:bookmarkStart w:id="75" w:name="_Toc507319894"/>
      <w:bookmarkStart w:id="76" w:name="_Toc25619"/>
      <w:bookmarkStart w:id="77" w:name="_Toc23696"/>
      <w:bookmarkStart w:id="78" w:name="_Toc12460"/>
      <w:bookmarkStart w:id="79" w:name="_Toc20441"/>
      <w:bookmarkStart w:id="80" w:name="_Toc11329216"/>
      <w:bookmarkStart w:id="81" w:name="_Toc14361"/>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比选文件的获取</w:t>
      </w:r>
      <w:bookmarkEnd w:id="65"/>
      <w:bookmarkEnd w:id="66"/>
      <w:bookmarkEnd w:id="67"/>
      <w:bookmarkEnd w:id="68"/>
      <w:bookmarkEnd w:id="69"/>
      <w:bookmarkEnd w:id="70"/>
      <w:bookmarkEnd w:id="71"/>
      <w:bookmarkEnd w:id="75"/>
      <w:bookmarkEnd w:id="76"/>
      <w:bookmarkEnd w:id="77"/>
      <w:bookmarkEnd w:id="78"/>
      <w:bookmarkEnd w:id="79"/>
      <w:bookmarkEnd w:id="80"/>
      <w:bookmarkEnd w:id="81"/>
    </w:p>
    <w:p w14:paraId="2C51D3C3">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bookmarkStart w:id="82" w:name="_Toc144974484"/>
      <w:bookmarkStart w:id="83" w:name="_Toc507319895"/>
      <w:bookmarkStart w:id="84" w:name="_Toc246996162"/>
      <w:bookmarkStart w:id="85" w:name="_Toc246996905"/>
      <w:bookmarkStart w:id="86" w:name="_Toc11329217"/>
      <w:bookmarkStart w:id="87" w:name="_Toc152042292"/>
      <w:bookmarkStart w:id="88" w:name="_Toc179632532"/>
      <w:bookmarkStart w:id="89" w:name="_Toc247085676"/>
      <w:bookmarkStart w:id="90" w:name="_Toc152045516"/>
      <w:bookmarkStart w:id="91" w:name="_Toc16686"/>
      <w:bookmarkStart w:id="92" w:name="_Toc31493"/>
      <w:bookmarkStart w:id="93" w:name="_Toc9131"/>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22</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14:paraId="28CECED7">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643" w:firstLineChars="200"/>
        <w:textAlignment w:val="auto"/>
        <w:rPr>
          <w:rFonts w:ascii="宋体" w:hAnsi="宋体" w:eastAsia="宋体" w:cs="宋体"/>
          <w:color w:val="auto"/>
          <w:highlight w:val="none"/>
        </w:rPr>
      </w:pPr>
      <w:bookmarkStart w:id="94" w:name="_Toc13856"/>
      <w:bookmarkStart w:id="95" w:name="_Toc30143"/>
      <w:bookmarkStart w:id="96" w:name="_Toc6883"/>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竞争性比选响应文件的递交</w:t>
      </w:r>
      <w:bookmarkEnd w:id="82"/>
      <w:bookmarkEnd w:id="83"/>
      <w:bookmarkEnd w:id="84"/>
      <w:bookmarkEnd w:id="85"/>
      <w:bookmarkEnd w:id="86"/>
      <w:bookmarkEnd w:id="87"/>
      <w:bookmarkEnd w:id="88"/>
      <w:bookmarkEnd w:id="89"/>
      <w:bookmarkEnd w:id="90"/>
      <w:r>
        <w:rPr>
          <w:rFonts w:hint="eastAsia" w:ascii="宋体" w:hAnsi="宋体" w:eastAsia="宋体" w:cs="宋体"/>
          <w:color w:val="auto"/>
          <w:highlight w:val="none"/>
        </w:rPr>
        <w:t>及相关事宜</w:t>
      </w:r>
      <w:bookmarkEnd w:id="91"/>
      <w:bookmarkEnd w:id="92"/>
      <w:bookmarkEnd w:id="93"/>
      <w:bookmarkEnd w:id="94"/>
      <w:bookmarkEnd w:id="95"/>
      <w:bookmarkEnd w:id="96"/>
    </w:p>
    <w:p w14:paraId="66664FE3">
      <w:pPr>
        <w:pageBreakBefore w:val="0"/>
        <w:widowControl w:val="0"/>
        <w:kinsoku/>
        <w:wordWrap w:val="0"/>
        <w:overflowPunct/>
        <w:topLinePunct w:val="0"/>
        <w:autoSpaceDE/>
        <w:autoSpaceDN/>
        <w:bidi w:val="0"/>
        <w:snapToGrid/>
        <w:spacing w:line="400" w:lineRule="exact"/>
        <w:ind w:firstLine="420" w:firstLineChars="200"/>
        <w:textAlignment w:val="auto"/>
        <w:rPr>
          <w:rFonts w:ascii="宋体" w:hAnsi="宋体" w:cs="宋体"/>
          <w:color w:val="auto"/>
          <w:szCs w:val="21"/>
          <w:highlight w:val="none"/>
          <w:shd w:val="clear" w:color="auto" w:fill="FFFFFF"/>
        </w:rPr>
      </w:pPr>
      <w:bookmarkStart w:id="97" w:name="_Toc179632534"/>
      <w:bookmarkStart w:id="98" w:name="_Toc21615"/>
      <w:bookmarkStart w:id="99" w:name="_Toc247085678"/>
      <w:bookmarkStart w:id="100" w:name="_Toc144974485"/>
      <w:bookmarkStart w:id="101" w:name="_Toc246996164"/>
      <w:bookmarkStart w:id="102" w:name="_Toc507319897"/>
      <w:bookmarkStart w:id="103" w:name="_Toc393"/>
      <w:bookmarkStart w:id="104" w:name="_Toc152042293"/>
      <w:bookmarkStart w:id="105" w:name="_Toc152045517"/>
      <w:bookmarkStart w:id="106" w:name="_Toc11329219"/>
      <w:bookmarkStart w:id="107" w:name="_Toc246996907"/>
      <w:bookmarkStart w:id="108" w:name="_Toc18402"/>
      <w:r>
        <w:rPr>
          <w:rFonts w:hint="eastAsia" w:ascii="宋体" w:hAnsi="宋体" w:cs="宋体"/>
          <w:color w:val="auto"/>
          <w:szCs w:val="21"/>
          <w:highlight w:val="none"/>
          <w:shd w:val="clear" w:color="auto" w:fill="FFFFFF"/>
        </w:rPr>
        <w:t>6.1 报价截止时间和开标时间：</w:t>
      </w:r>
      <w:r>
        <w:rPr>
          <w:rFonts w:hint="eastAsia" w:ascii="宋体" w:hAnsi="宋体" w:cs="宋体"/>
          <w:color w:val="auto"/>
          <w:szCs w:val="21"/>
          <w:highlight w:val="none"/>
          <w:u w:val="single"/>
          <w:shd w:val="clear" w:color="auto" w:fill="FFFFFF"/>
        </w:rPr>
        <w:t>2024</w:t>
      </w:r>
      <w:r>
        <w:rPr>
          <w:rFonts w:hint="eastAsia" w:ascii="宋体" w:hAnsi="宋体" w:cs="宋体"/>
          <w:color w:val="auto"/>
          <w:szCs w:val="21"/>
          <w:highlight w:val="none"/>
          <w:shd w:val="clear" w:color="auto" w:fill="FFFFFF"/>
        </w:rPr>
        <w:t>年</w:t>
      </w:r>
      <w:r>
        <w:rPr>
          <w:rFonts w:hint="eastAsia" w:ascii="宋体" w:hAnsi="宋体" w:cs="宋体"/>
          <w:color w:val="auto"/>
          <w:szCs w:val="21"/>
          <w:highlight w:val="none"/>
          <w:u w:val="single"/>
          <w:shd w:val="clear" w:color="auto" w:fill="FFFFFF"/>
          <w:lang w:val="en-US" w:eastAsia="zh-CN"/>
        </w:rPr>
        <w:t xml:space="preserve"> 11 </w:t>
      </w:r>
      <w:r>
        <w:rPr>
          <w:rFonts w:hint="eastAsia" w:ascii="宋体" w:hAnsi="宋体" w:cs="宋体"/>
          <w:color w:val="auto"/>
          <w:szCs w:val="21"/>
          <w:highlight w:val="none"/>
          <w:shd w:val="clear" w:color="auto" w:fill="FFFFFF"/>
        </w:rPr>
        <w:t>月</w:t>
      </w:r>
      <w:r>
        <w:rPr>
          <w:rFonts w:hint="eastAsia" w:ascii="宋体" w:hAnsi="宋体" w:cs="宋体"/>
          <w:color w:val="auto"/>
          <w:szCs w:val="21"/>
          <w:highlight w:val="none"/>
          <w:u w:val="single"/>
          <w:shd w:val="clear" w:color="auto" w:fill="FFFFFF"/>
          <w:lang w:val="en-US" w:eastAsia="zh-CN"/>
        </w:rPr>
        <w:t xml:space="preserve"> 22 </w:t>
      </w:r>
      <w:r>
        <w:rPr>
          <w:rFonts w:hint="eastAsia" w:ascii="宋体" w:hAnsi="宋体" w:cs="宋体"/>
          <w:color w:val="auto"/>
          <w:szCs w:val="21"/>
          <w:highlight w:val="none"/>
          <w:shd w:val="clear" w:color="auto" w:fill="FFFFFF"/>
        </w:rPr>
        <w:t>日上午1</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时</w:t>
      </w:r>
      <w:r>
        <w:rPr>
          <w:rFonts w:hint="eastAsia" w:ascii="宋体" w:hAnsi="宋体" w:cs="宋体"/>
          <w:color w:val="auto"/>
          <w:szCs w:val="21"/>
          <w:highlight w:val="none"/>
          <w:shd w:val="clear" w:color="auto" w:fill="FFFFFF"/>
          <w:lang w:val="en-US" w:eastAsia="zh-CN"/>
        </w:rPr>
        <w:t>0</w:t>
      </w:r>
      <w:r>
        <w:rPr>
          <w:rFonts w:hint="eastAsia" w:ascii="宋体" w:hAnsi="宋体" w:cs="宋体"/>
          <w:color w:val="auto"/>
          <w:szCs w:val="21"/>
          <w:highlight w:val="none"/>
          <w:shd w:val="clear" w:color="auto" w:fill="FFFFFF"/>
        </w:rPr>
        <w:t>0分（北京时间）。</w:t>
      </w:r>
    </w:p>
    <w:p w14:paraId="5F173338">
      <w:pPr>
        <w:keepNext w:val="0"/>
        <w:keepLines w:val="0"/>
        <w:widowControl w:val="0"/>
        <w:suppressLineNumbers w:val="0"/>
        <w:tabs>
          <w:tab w:val="left" w:pos="360"/>
        </w:tabs>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shd w:val="clear" w:color="auto" w:fill="FFFFFF"/>
        </w:rPr>
        <w:t xml:space="preserve">6.2 </w:t>
      </w:r>
      <w:r>
        <w:rPr>
          <w:rFonts w:hint="eastAsia" w:ascii="宋体" w:hAnsi="宋体" w:eastAsia="宋体" w:cs="宋体"/>
          <w:color w:val="auto"/>
          <w:szCs w:val="21"/>
          <w:highlight w:val="none"/>
        </w:rPr>
        <w:t>报价的递交方式：</w:t>
      </w:r>
      <w:r>
        <w:rPr>
          <w:rFonts w:hint="eastAsia" w:ascii="宋体" w:hAnsi="宋体" w:eastAsia="宋体" w:cs="宋体"/>
          <w:color w:val="auto"/>
          <w:kern w:val="2"/>
          <w:sz w:val="21"/>
          <w:szCs w:val="21"/>
          <w:highlight w:val="none"/>
          <w:lang w:val="en-US" w:eastAsia="zh-CN" w:bidi="ar"/>
        </w:rPr>
        <w:t>现场递交或邮寄，若采用现场递交方式</w:t>
      </w:r>
      <w:r>
        <w:rPr>
          <w:rFonts w:hint="default" w:ascii="宋体" w:hAnsi="宋体" w:cs="宋体"/>
          <w:color w:val="auto"/>
          <w:kern w:val="2"/>
          <w:sz w:val="21"/>
          <w:szCs w:val="21"/>
          <w:highlight w:val="none"/>
          <w:lang w:eastAsia="zh-CN" w:bidi="ar"/>
        </w:rPr>
        <w:t>须</w:t>
      </w:r>
      <w:r>
        <w:rPr>
          <w:rFonts w:hint="eastAsia" w:ascii="宋体" w:hAnsi="宋体" w:eastAsia="宋体" w:cs="宋体"/>
          <w:color w:val="auto"/>
          <w:kern w:val="2"/>
          <w:sz w:val="21"/>
          <w:szCs w:val="21"/>
          <w:highlight w:val="none"/>
          <w:lang w:val="en-US" w:eastAsia="zh-CN" w:bidi="ar"/>
        </w:rPr>
        <w:t>在</w:t>
      </w:r>
      <w:r>
        <w:rPr>
          <w:rFonts w:hint="default" w:ascii="宋体" w:hAnsi="宋体" w:cs="宋体"/>
          <w:color w:val="auto"/>
          <w:kern w:val="2"/>
          <w:sz w:val="21"/>
          <w:szCs w:val="21"/>
          <w:highlight w:val="none"/>
          <w:lang w:eastAsia="zh-CN" w:bidi="ar"/>
        </w:rPr>
        <w:t>报价截止</w:t>
      </w:r>
      <w:r>
        <w:rPr>
          <w:rFonts w:hint="eastAsia" w:ascii="宋体" w:hAnsi="宋体" w:eastAsia="宋体" w:cs="宋体"/>
          <w:color w:val="auto"/>
          <w:kern w:val="2"/>
          <w:sz w:val="21"/>
          <w:szCs w:val="21"/>
          <w:highlight w:val="none"/>
          <w:lang w:val="en-US" w:eastAsia="zh-CN" w:bidi="ar"/>
        </w:rPr>
        <w:t>当天将文件送达并参与现场开标；若采用邮寄方式需</w:t>
      </w:r>
      <w:r>
        <w:rPr>
          <w:rFonts w:hint="default" w:ascii="宋体" w:hAnsi="宋体" w:eastAsia="宋体" w:cs="宋体"/>
          <w:color w:val="auto"/>
          <w:kern w:val="2"/>
          <w:sz w:val="21"/>
          <w:szCs w:val="21"/>
          <w:highlight w:val="none"/>
          <w:lang w:eastAsia="zh-CN" w:bidi="ar"/>
        </w:rPr>
        <w:t>在报价截止时间之前将响应文件邮寄</w:t>
      </w:r>
      <w:r>
        <w:rPr>
          <w:rFonts w:hint="default" w:ascii="宋体" w:hAnsi="宋体" w:cs="宋体"/>
          <w:color w:val="auto"/>
          <w:kern w:val="2"/>
          <w:sz w:val="21"/>
          <w:szCs w:val="21"/>
          <w:highlight w:val="none"/>
          <w:lang w:eastAsia="zh-CN" w:bidi="ar"/>
        </w:rPr>
        <w:t>到达</w:t>
      </w:r>
      <w:r>
        <w:rPr>
          <w:rFonts w:hint="default" w:ascii="宋体" w:hAnsi="宋体" w:eastAsia="宋体" w:cs="宋体"/>
          <w:color w:val="auto"/>
          <w:kern w:val="2"/>
          <w:sz w:val="21"/>
          <w:szCs w:val="21"/>
          <w:highlight w:val="none"/>
          <w:lang w:eastAsia="zh-CN" w:bidi="ar"/>
        </w:rPr>
        <w:t>递交地址，并</w:t>
      </w:r>
      <w:r>
        <w:rPr>
          <w:rFonts w:hint="default" w:ascii="宋体" w:hAnsi="宋体" w:cs="宋体"/>
          <w:color w:val="auto"/>
          <w:kern w:val="2"/>
          <w:sz w:val="21"/>
          <w:szCs w:val="21"/>
          <w:highlight w:val="none"/>
          <w:lang w:eastAsia="zh-CN" w:bidi="ar"/>
        </w:rPr>
        <w:t>按要求进行密封，</w:t>
      </w:r>
      <w:r>
        <w:rPr>
          <w:rFonts w:hint="eastAsia" w:ascii="宋体" w:hAnsi="宋体" w:eastAsia="宋体" w:cs="宋体"/>
          <w:color w:val="auto"/>
          <w:kern w:val="2"/>
          <w:sz w:val="21"/>
          <w:szCs w:val="21"/>
          <w:highlight w:val="none"/>
          <w:lang w:val="en-US" w:eastAsia="zh-CN" w:bidi="ar"/>
        </w:rPr>
        <w:t>否则采购人有权拒收，采用邮寄方式的报价人默认认可采购人的开标结果，不得由此提出任何质疑。</w:t>
      </w:r>
    </w:p>
    <w:p w14:paraId="6B93497C">
      <w:pPr>
        <w:tabs>
          <w:tab w:val="left" w:pos="36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 递交地址：重庆市渝北区新南路52号东界龙湖</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楼重庆首讯科技股份有限公司。</w:t>
      </w:r>
    </w:p>
    <w:p w14:paraId="4931932E">
      <w:pPr>
        <w:tabs>
          <w:tab w:val="left" w:pos="360"/>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.4 逾期送达，或未送达指定地点，或未密封的竞争性比选响应文件，采购人不予受理。</w:t>
      </w:r>
    </w:p>
    <w:p w14:paraId="6F370FA7">
      <w:pPr>
        <w:pageBreakBefore w:val="0"/>
        <w:widowControl w:val="0"/>
        <w:kinsoku/>
        <w:wordWrap w:val="0"/>
        <w:overflowPunct/>
        <w:topLinePunct w:val="0"/>
        <w:autoSpaceDE/>
        <w:autoSpaceDN/>
        <w:bidi w:val="0"/>
        <w:adjustRightInd/>
        <w:snapToGrid/>
        <w:spacing w:line="400" w:lineRule="exact"/>
        <w:ind w:firstLine="420" w:firstLineChars="200"/>
        <w:textAlignment w:val="auto"/>
        <w:outlineLvl w:val="2"/>
        <w:rPr>
          <w:rFonts w:hint="eastAsia" w:ascii="宋体" w:hAnsi="宋体" w:cs="宋体"/>
          <w:color w:val="auto"/>
          <w:szCs w:val="21"/>
          <w:highlight w:val="none"/>
          <w:shd w:val="clear" w:color="auto" w:fill="FFFFFF"/>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采购人不组织现场踏勘，不召开报价预备会。</w:t>
      </w:r>
    </w:p>
    <w:p w14:paraId="08FE8745">
      <w:pPr>
        <w:pStyle w:val="4"/>
        <w:keepNext/>
        <w:keepLines/>
        <w:pageBreakBefore w:val="0"/>
        <w:widowControl w:val="0"/>
        <w:kinsoku/>
        <w:wordWrap/>
        <w:overflowPunct/>
        <w:topLinePunct w:val="0"/>
        <w:autoSpaceDE/>
        <w:autoSpaceDN/>
        <w:bidi w:val="0"/>
        <w:adjustRightInd/>
        <w:snapToGrid/>
        <w:spacing w:before="0" w:after="0" w:line="400" w:lineRule="exact"/>
        <w:ind w:left="0" w:leftChars="0" w:firstLine="643" w:firstLineChars="200"/>
        <w:textAlignment w:val="auto"/>
        <w:rPr>
          <w:rFonts w:ascii="宋体" w:hAnsi="宋体" w:eastAsia="宋体" w:cs="宋体"/>
          <w:color w:val="auto"/>
          <w:highlight w:val="none"/>
        </w:rPr>
      </w:pPr>
      <w:bookmarkStart w:id="109" w:name="_Toc12272"/>
      <w:bookmarkStart w:id="110" w:name="_Toc28014"/>
      <w:bookmarkStart w:id="111" w:name="_Toc30667"/>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 联系方式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bl>
      <w:tblPr>
        <w:tblStyle w:val="44"/>
        <w:tblW w:w="9388" w:type="dxa"/>
        <w:tblInd w:w="0" w:type="dxa"/>
        <w:tblLayout w:type="fixed"/>
        <w:tblCellMar>
          <w:top w:w="0" w:type="dxa"/>
          <w:left w:w="108" w:type="dxa"/>
          <w:bottom w:w="0" w:type="dxa"/>
          <w:right w:w="108" w:type="dxa"/>
        </w:tblCellMar>
      </w:tblPr>
      <w:tblGrid>
        <w:gridCol w:w="9388"/>
      </w:tblGrid>
      <w:tr w14:paraId="4FA221FC">
        <w:tblPrEx>
          <w:tblCellMar>
            <w:top w:w="0" w:type="dxa"/>
            <w:left w:w="108" w:type="dxa"/>
            <w:bottom w:w="0" w:type="dxa"/>
            <w:right w:w="108" w:type="dxa"/>
          </w:tblCellMar>
        </w:tblPrEx>
        <w:trPr>
          <w:trHeight w:val="470" w:hRule="atLeast"/>
        </w:trPr>
        <w:tc>
          <w:tcPr>
            <w:tcW w:w="9388" w:type="dxa"/>
            <w:vAlign w:val="center"/>
          </w:tcPr>
          <w:p w14:paraId="7F2FF5DC">
            <w:pPr>
              <w:pStyle w:val="104"/>
              <w:pageBreakBefore w:val="0"/>
              <w:kinsoku/>
              <w:wordWrap/>
              <w:overflowPunct/>
              <w:autoSpaceDE/>
              <w:autoSpaceDN/>
              <w:bidi w:val="0"/>
              <w:snapToGrid/>
              <w:spacing w:before="0" w:beforeAutospacing="0" w:after="0" w:afterAutospacing="0" w:line="400" w:lineRule="exact"/>
              <w:ind w:left="0" w:leftChars="0" w:firstLine="420" w:firstLineChars="200"/>
              <w:jc w:val="both"/>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r>
      <w:tr w14:paraId="4F3EA926">
        <w:tblPrEx>
          <w:tblCellMar>
            <w:top w:w="0" w:type="dxa"/>
            <w:left w:w="108" w:type="dxa"/>
            <w:bottom w:w="0" w:type="dxa"/>
            <w:right w:w="108" w:type="dxa"/>
          </w:tblCellMar>
        </w:tblPrEx>
        <w:trPr>
          <w:trHeight w:val="461" w:hRule="atLeast"/>
        </w:trPr>
        <w:tc>
          <w:tcPr>
            <w:tcW w:w="9388" w:type="dxa"/>
            <w:vAlign w:val="center"/>
          </w:tcPr>
          <w:p w14:paraId="6D4CDC6D">
            <w:pPr>
              <w:keepNext w:val="0"/>
              <w:keepLines w:val="0"/>
              <w:pageBreakBefore w:val="0"/>
              <w:widowControl w:val="0"/>
              <w:suppressLineNumbers w:val="0"/>
              <w:kinsoku/>
              <w:wordWrap/>
              <w:overflowPunct/>
              <w:topLinePunct/>
              <w:autoSpaceDE/>
              <w:autoSpaceDN/>
              <w:bidi w:val="0"/>
              <w:snapToGrid/>
              <w:spacing w:beforeAutospacing="0" w:after="0" w:afterAutospacing="0" w:line="400" w:lineRule="exact"/>
              <w:ind w:left="0" w:leftChars="0" w:right="0" w:firstLine="420" w:firstLineChars="200"/>
              <w:jc w:val="both"/>
              <w:textAlignment w:val="auto"/>
              <w:rPr>
                <w:rFonts w:hint="default" w:ascii="宋体" w:hAnsi="宋体" w:cs="宋体"/>
                <w:color w:val="auto"/>
                <w:szCs w:val="21"/>
                <w:highlight w:val="none"/>
                <w:lang w:val="en-US"/>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重庆市渝北区新南路52号东界龙湖三楼</w:t>
            </w:r>
          </w:p>
        </w:tc>
      </w:tr>
      <w:tr w14:paraId="2BFCDAFB">
        <w:tblPrEx>
          <w:tblCellMar>
            <w:top w:w="0" w:type="dxa"/>
            <w:left w:w="108" w:type="dxa"/>
            <w:bottom w:w="0" w:type="dxa"/>
            <w:right w:w="108" w:type="dxa"/>
          </w:tblCellMar>
        </w:tblPrEx>
        <w:trPr>
          <w:trHeight w:val="405" w:hRule="atLeast"/>
        </w:trPr>
        <w:tc>
          <w:tcPr>
            <w:tcW w:w="9388" w:type="dxa"/>
            <w:vAlign w:val="center"/>
          </w:tcPr>
          <w:p w14:paraId="139B41D0">
            <w:pPr>
              <w:topLinePunct/>
              <w:spacing w:line="42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王</w:t>
            </w:r>
            <w:r>
              <w:rPr>
                <w:rFonts w:hint="eastAsia" w:ascii="宋体" w:hAnsi="宋体" w:cs="宋体"/>
                <w:color w:val="auto"/>
                <w:szCs w:val="21"/>
                <w:highlight w:val="none"/>
              </w:rPr>
              <w:t>老师  电 话：13372620152</w:t>
            </w:r>
          </w:p>
        </w:tc>
      </w:tr>
      <w:tr w14:paraId="495307B0">
        <w:tblPrEx>
          <w:tblCellMar>
            <w:top w:w="0" w:type="dxa"/>
            <w:left w:w="108" w:type="dxa"/>
            <w:bottom w:w="0" w:type="dxa"/>
            <w:right w:w="108" w:type="dxa"/>
          </w:tblCellMar>
        </w:tblPrEx>
        <w:trPr>
          <w:trHeight w:val="405" w:hRule="atLeast"/>
        </w:trPr>
        <w:tc>
          <w:tcPr>
            <w:tcW w:w="9388" w:type="dxa"/>
            <w:vAlign w:val="center"/>
          </w:tcPr>
          <w:p w14:paraId="2D99A711">
            <w:pPr>
              <w:topLinePunct/>
              <w:spacing w:line="420" w:lineRule="exact"/>
              <w:ind w:firstLine="420" w:firstLineChars="200"/>
              <w:rPr>
                <w:rFonts w:hint="default" w:eastAsia="宋体"/>
                <w:color w:val="auto"/>
                <w:highlight w:val="none"/>
                <w:lang w:val="en-US" w:eastAsia="zh-CN"/>
              </w:rPr>
            </w:pPr>
            <w:r>
              <w:rPr>
                <w:rFonts w:hint="eastAsia" w:ascii="宋体" w:hAnsi="宋体" w:cs="宋体"/>
                <w:color w:val="auto"/>
                <w:szCs w:val="21"/>
                <w:highlight w:val="none"/>
              </w:rPr>
              <w:t>商务联系人：蒋老师  电 话：18523055172</w:t>
            </w:r>
          </w:p>
        </w:tc>
      </w:tr>
      <w:bookmarkEnd w:id="16"/>
      <w:bookmarkEnd w:id="17"/>
    </w:tbl>
    <w:p w14:paraId="365692BA">
      <w:pPr>
        <w:pStyle w:val="3"/>
        <w:spacing w:before="0" w:after="0" w:line="360" w:lineRule="auto"/>
        <w:jc w:val="center"/>
        <w:rPr>
          <w:rFonts w:ascii="宋体" w:hAnsi="宋体" w:cs="宋体"/>
          <w:color w:val="auto"/>
          <w:highlight w:val="none"/>
        </w:rPr>
      </w:pPr>
      <w:bookmarkStart w:id="112" w:name="_Toc2000405"/>
      <w:bookmarkStart w:id="113" w:name="_Toc247085687"/>
      <w:bookmarkStart w:id="114" w:name="_Toc507319898"/>
      <w:bookmarkStart w:id="115" w:name="_Toc152045527"/>
      <w:bookmarkStart w:id="116" w:name="_Toc246996173"/>
      <w:bookmarkStart w:id="117" w:name="_Toc144974495"/>
      <w:bookmarkStart w:id="118" w:name="_Toc179632544"/>
      <w:bookmarkStart w:id="119" w:name="_Toc246996916"/>
      <w:bookmarkStart w:id="120" w:name="_Toc152042303"/>
      <w:r>
        <w:rPr>
          <w:rFonts w:hint="eastAsia" w:ascii="宋体" w:hAnsi="宋体" w:cs="宋体"/>
          <w:color w:val="auto"/>
          <w:highlight w:val="none"/>
        </w:rPr>
        <w:br w:type="page"/>
      </w:r>
      <w:bookmarkStart w:id="121" w:name="_Toc16843"/>
      <w:r>
        <w:rPr>
          <w:rFonts w:hint="eastAsia" w:ascii="宋体" w:hAnsi="宋体" w:cs="宋体"/>
          <w:color w:val="auto"/>
          <w:highlight w:val="none"/>
        </w:rPr>
        <w:t xml:space="preserve">第二章 </w:t>
      </w:r>
      <w:bookmarkEnd w:id="112"/>
      <w:bookmarkEnd w:id="113"/>
      <w:bookmarkEnd w:id="114"/>
      <w:bookmarkEnd w:id="115"/>
      <w:bookmarkEnd w:id="116"/>
      <w:bookmarkEnd w:id="117"/>
      <w:bookmarkEnd w:id="118"/>
      <w:bookmarkEnd w:id="119"/>
      <w:bookmarkEnd w:id="120"/>
      <w:r>
        <w:rPr>
          <w:rFonts w:hint="eastAsia" w:ascii="宋体" w:hAnsi="宋体" w:cs="宋体"/>
          <w:color w:val="auto"/>
          <w:highlight w:val="none"/>
          <w:lang w:val="en-US" w:eastAsia="zh-CN"/>
        </w:rPr>
        <w:t>报价人须知</w:t>
      </w:r>
      <w:bookmarkEnd w:id="121"/>
    </w:p>
    <w:tbl>
      <w:tblPr>
        <w:tblStyle w:val="44"/>
        <w:tblpPr w:leftFromText="180" w:rightFromText="180" w:vertAnchor="text" w:horzAnchor="page" w:tblpX="1111" w:tblpY="302"/>
        <w:tblOverlap w:val="never"/>
        <w:tblW w:w="99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14:paraId="1229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7" w:type="dxa"/>
            <w:vAlign w:val="center"/>
          </w:tcPr>
          <w:p w14:paraId="6829D9B8">
            <w:pPr>
              <w:keepNext w:val="0"/>
              <w:keepLines w:val="0"/>
              <w:pageBreakBefore w:val="0"/>
              <w:kinsoku/>
              <w:wordWrap/>
              <w:overflowPunct/>
              <w:bidi w:val="0"/>
              <w:spacing w:line="360" w:lineRule="exact"/>
              <w:jc w:val="center"/>
              <w:textAlignment w:val="auto"/>
              <w:rPr>
                <w:rFonts w:hint="eastAsia" w:ascii="宋体" w:hAnsi="宋体" w:eastAsia="宋体" w:cs="宋体"/>
                <w:b/>
                <w:color w:val="auto"/>
                <w:kern w:val="0"/>
                <w:sz w:val="21"/>
                <w:szCs w:val="21"/>
                <w:highlight w:val="none"/>
              </w:rPr>
            </w:pPr>
            <w:bookmarkStart w:id="122" w:name="_Toc326760840"/>
            <w:bookmarkStart w:id="123" w:name="_Toc224103317"/>
            <w:r>
              <w:rPr>
                <w:rFonts w:hint="eastAsia" w:ascii="宋体" w:hAnsi="宋体" w:eastAsia="宋体" w:cs="宋体"/>
                <w:b/>
                <w:color w:val="auto"/>
                <w:kern w:val="0"/>
                <w:sz w:val="21"/>
                <w:szCs w:val="21"/>
                <w:highlight w:val="none"/>
              </w:rPr>
              <w:t>序号</w:t>
            </w:r>
          </w:p>
        </w:tc>
        <w:tc>
          <w:tcPr>
            <w:tcW w:w="2106" w:type="dxa"/>
            <w:vAlign w:val="center"/>
          </w:tcPr>
          <w:p w14:paraId="73019F4B">
            <w:pPr>
              <w:keepNext w:val="0"/>
              <w:keepLines w:val="0"/>
              <w:pageBreakBefore w:val="0"/>
              <w:kinsoku/>
              <w:wordWrap/>
              <w:overflowPunct/>
              <w:bidi w:val="0"/>
              <w:spacing w:line="360" w:lineRule="exact"/>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条款名称</w:t>
            </w:r>
          </w:p>
        </w:tc>
        <w:tc>
          <w:tcPr>
            <w:tcW w:w="7104" w:type="dxa"/>
            <w:vAlign w:val="center"/>
          </w:tcPr>
          <w:p w14:paraId="7DDCCBC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编  列  内  容</w:t>
            </w:r>
          </w:p>
        </w:tc>
      </w:tr>
      <w:tr w14:paraId="16F8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6433C253">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106" w:type="dxa"/>
            <w:vAlign w:val="center"/>
          </w:tcPr>
          <w:p w14:paraId="142F62FC">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w:t>
            </w:r>
          </w:p>
        </w:tc>
        <w:tc>
          <w:tcPr>
            <w:tcW w:w="7104" w:type="dxa"/>
            <w:vAlign w:val="center"/>
          </w:tcPr>
          <w:p w14:paraId="50D40C6A">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采购人：重庆首讯科技股份有限公司</w:t>
            </w:r>
          </w:p>
          <w:p w14:paraId="564738C9">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址：重庆市渝北区新南路52号东界龙湖三楼</w:t>
            </w:r>
          </w:p>
          <w:p w14:paraId="11242BA5">
            <w:pPr>
              <w:keepNext w:val="0"/>
              <w:keepLines w:val="0"/>
              <w:pageBreakBefore w:val="0"/>
              <w:kinsoku/>
              <w:wordWrap/>
              <w:overflow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Cs w:val="21"/>
                <w:highlight w:val="none"/>
              </w:rPr>
              <w:t xml:space="preserve">蒋老师  </w:t>
            </w:r>
          </w:p>
          <w:p w14:paraId="5A94FF89">
            <w:pPr>
              <w:keepNext w:val="0"/>
              <w:keepLines w:val="0"/>
              <w:pageBreakBefore w:val="0"/>
              <w:kinsoku/>
              <w:wordWrap/>
              <w:overflowPunct/>
              <w:topLinePunct/>
              <w:bidi w:val="0"/>
              <w:spacing w:line="360" w:lineRule="exact"/>
              <w:ind w:firstLine="420" w:firstLineChars="200"/>
              <w:jc w:val="both"/>
              <w:textAlignment w:val="auto"/>
              <w:rPr>
                <w:rFonts w:hint="default" w:ascii="宋体" w:hAnsi="宋体" w:eastAsia="宋体" w:cs="宋体"/>
                <w:color w:val="auto"/>
                <w:sz w:val="21"/>
                <w:szCs w:val="21"/>
                <w:highlight w:val="none"/>
                <w:lang w:val="en-US"/>
              </w:rPr>
            </w:pPr>
            <w:r>
              <w:rPr>
                <w:rFonts w:hint="eastAsia" w:ascii="宋体" w:hAnsi="宋体" w:cs="宋体"/>
                <w:color w:val="auto"/>
                <w:szCs w:val="21"/>
                <w:highlight w:val="none"/>
              </w:rPr>
              <w:t xml:space="preserve">电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话：18523055172</w:t>
            </w:r>
          </w:p>
        </w:tc>
      </w:tr>
      <w:tr w14:paraId="75E3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5D0DE4FC">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2106" w:type="dxa"/>
            <w:vAlign w:val="center"/>
          </w:tcPr>
          <w:p w14:paraId="2312E1B6">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104" w:type="dxa"/>
            <w:vAlign w:val="center"/>
          </w:tcPr>
          <w:p w14:paraId="1F988477">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u w:val="single"/>
                <w:lang w:val="en-US" w:eastAsia="zh-CN"/>
              </w:rPr>
              <w:t xml:space="preserve"> 首讯公司2025年至2027年车辆保险服务采购</w:t>
            </w:r>
          </w:p>
        </w:tc>
      </w:tr>
      <w:tr w14:paraId="3B84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7B6FA31F">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2106" w:type="dxa"/>
            <w:vAlign w:val="center"/>
          </w:tcPr>
          <w:p w14:paraId="24F0B8C5">
            <w:pPr>
              <w:keepNext w:val="0"/>
              <w:keepLines w:val="0"/>
              <w:pageBreakBefore w:val="0"/>
              <w:kinsoku/>
              <w:wordWrap/>
              <w:overflowPunct/>
              <w:bidi w:val="0"/>
              <w:spacing w:line="360" w:lineRule="exact"/>
              <w:jc w:val="center"/>
              <w:textAlignment w:val="auto"/>
              <w:rPr>
                <w:rFonts w:hint="default" w:ascii="宋体" w:hAnsi="宋体" w:eastAsia="宋体" w:cs="宋体"/>
                <w:color w:val="auto"/>
                <w:kern w:val="0"/>
                <w:sz w:val="21"/>
                <w:szCs w:val="21"/>
                <w:highlight w:val="none"/>
                <w:lang w:val="en-US"/>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内容</w:t>
            </w:r>
          </w:p>
        </w:tc>
        <w:tc>
          <w:tcPr>
            <w:tcW w:w="7104" w:type="dxa"/>
            <w:vAlign w:val="center"/>
          </w:tcPr>
          <w:p w14:paraId="10B18093">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见比选公告</w:t>
            </w:r>
          </w:p>
        </w:tc>
      </w:tr>
      <w:tr w14:paraId="491A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0BEBB8B7">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2106" w:type="dxa"/>
            <w:vAlign w:val="center"/>
          </w:tcPr>
          <w:p w14:paraId="0A349262">
            <w:pPr>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采购规模</w:t>
            </w:r>
          </w:p>
        </w:tc>
        <w:tc>
          <w:tcPr>
            <w:tcW w:w="7104" w:type="dxa"/>
            <w:vAlign w:val="center"/>
          </w:tcPr>
          <w:p w14:paraId="21D2EE4F">
            <w:pPr>
              <w:keepNext w:val="0"/>
              <w:keepLines w:val="0"/>
              <w:pageBreakBefore w:val="0"/>
              <w:tabs>
                <w:tab w:val="left" w:pos="3000"/>
                <w:tab w:val="left" w:pos="3280"/>
                <w:tab w:val="left" w:pos="6120"/>
                <w:tab w:val="left" w:pos="7540"/>
                <w:tab w:val="left" w:pos="8320"/>
              </w:tabs>
              <w:kinsoku/>
              <w:wordWrap/>
              <w:overflowPunct/>
              <w:autoSpaceDE w:val="0"/>
              <w:autoSpaceDN w:val="0"/>
              <w:bidi w:val="0"/>
              <w:adjustRightInd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见比选公告</w:t>
            </w:r>
          </w:p>
        </w:tc>
      </w:tr>
      <w:tr w14:paraId="1933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A8043E7">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5</w:t>
            </w:r>
          </w:p>
        </w:tc>
        <w:tc>
          <w:tcPr>
            <w:tcW w:w="2106" w:type="dxa"/>
            <w:shd w:val="clear" w:color="auto" w:fill="auto"/>
            <w:vAlign w:val="center"/>
          </w:tcPr>
          <w:p w14:paraId="0B435D19">
            <w:pPr>
              <w:keepNext w:val="0"/>
              <w:keepLines w:val="0"/>
              <w:pageBreakBefore w:val="0"/>
              <w:kinsoku/>
              <w:wordWrap/>
              <w:overflowPunct/>
              <w:bidi w:val="0"/>
              <w:spacing w:line="360" w:lineRule="exact"/>
              <w:jc w:val="center"/>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服务地点</w:t>
            </w:r>
          </w:p>
        </w:tc>
        <w:tc>
          <w:tcPr>
            <w:tcW w:w="7104" w:type="dxa"/>
            <w:shd w:val="clear" w:color="auto" w:fill="auto"/>
            <w:vAlign w:val="center"/>
          </w:tcPr>
          <w:p w14:paraId="75F8DB7A">
            <w:pPr>
              <w:keepNext w:val="0"/>
              <w:keepLines w:val="0"/>
              <w:pageBreakBefore w:val="0"/>
              <w:tabs>
                <w:tab w:val="left" w:pos="3000"/>
                <w:tab w:val="left" w:pos="3280"/>
                <w:tab w:val="left" w:pos="6120"/>
                <w:tab w:val="left" w:pos="7540"/>
                <w:tab w:val="left" w:pos="8320"/>
              </w:tabs>
              <w:kinsoku/>
              <w:wordWrap/>
              <w:overflowPunct/>
              <w:autoSpaceDE w:val="0"/>
              <w:autoSpaceDN w:val="0"/>
              <w:bidi w:val="0"/>
              <w:adjustRightInd w:val="0"/>
              <w:spacing w:line="36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见比选公告</w:t>
            </w:r>
          </w:p>
        </w:tc>
      </w:tr>
      <w:tr w14:paraId="1A4C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35FD51F">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6</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26AFD07C">
            <w:pPr>
              <w:keepNext w:val="0"/>
              <w:keepLines w:val="0"/>
              <w:pageBreakBefore w:val="0"/>
              <w:kinsoku/>
              <w:wordWrap/>
              <w:overflowPunct/>
              <w:bidi w:val="0"/>
              <w:spacing w:line="360" w:lineRule="exact"/>
              <w:jc w:val="center"/>
              <w:textAlignment w:val="auto"/>
              <w:rPr>
                <w:rFonts w:hint="default" w:ascii="宋体" w:hAnsi="宋体" w:eastAsia="宋体" w:cs="宋体"/>
                <w:color w:val="auto"/>
                <w:kern w:val="2"/>
                <w:sz w:val="21"/>
                <w:szCs w:val="24"/>
                <w:highlight w:val="none"/>
                <w:lang w:val="en-US" w:eastAsia="zh-CN" w:bidi="ar-SA"/>
              </w:rPr>
            </w:pPr>
            <w:r>
              <w:rPr>
                <w:rFonts w:hint="eastAsia" w:ascii="宋体" w:hAnsi="宋体" w:cs="宋体"/>
                <w:color w:val="auto"/>
                <w:szCs w:val="21"/>
                <w:highlight w:val="none"/>
                <w:lang w:val="en-US" w:eastAsia="zh-CN"/>
              </w:rPr>
              <w:t>服务期限</w:t>
            </w:r>
          </w:p>
        </w:tc>
        <w:tc>
          <w:tcPr>
            <w:tcW w:w="7104" w:type="dxa"/>
            <w:tcBorders>
              <w:top w:val="single" w:color="auto" w:sz="4" w:space="0"/>
              <w:left w:val="single" w:color="auto" w:sz="4" w:space="0"/>
              <w:bottom w:val="single" w:color="auto" w:sz="4" w:space="0"/>
              <w:right w:val="single" w:color="auto" w:sz="4" w:space="0"/>
            </w:tcBorders>
            <w:shd w:val="clear" w:color="auto" w:fill="auto"/>
            <w:vAlign w:val="center"/>
          </w:tcPr>
          <w:p w14:paraId="50E75D20">
            <w:pPr>
              <w:keepNext w:val="0"/>
              <w:keepLines w:val="0"/>
              <w:pageBreakBefore w:val="0"/>
              <w:tabs>
                <w:tab w:val="left" w:pos="3000"/>
                <w:tab w:val="left" w:pos="3280"/>
                <w:tab w:val="left" w:pos="6120"/>
                <w:tab w:val="left" w:pos="7540"/>
                <w:tab w:val="left" w:pos="8320"/>
              </w:tabs>
              <w:kinsoku/>
              <w:wordWrap/>
              <w:overflowPunct/>
              <w:autoSpaceDE w:val="0"/>
              <w:autoSpaceDN w:val="0"/>
              <w:bidi w:val="0"/>
              <w:adjustRightInd w:val="0"/>
              <w:spacing w:line="360" w:lineRule="exact"/>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见比选公告</w:t>
            </w:r>
          </w:p>
        </w:tc>
      </w:tr>
      <w:tr w14:paraId="2C6B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4A1EAC90">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7</w:t>
            </w:r>
          </w:p>
        </w:tc>
        <w:tc>
          <w:tcPr>
            <w:tcW w:w="2106" w:type="dxa"/>
            <w:tcBorders>
              <w:top w:val="single" w:color="auto" w:sz="4" w:space="0"/>
              <w:left w:val="single" w:color="auto" w:sz="4" w:space="0"/>
              <w:bottom w:val="single" w:color="auto" w:sz="4" w:space="0"/>
              <w:right w:val="single" w:color="auto" w:sz="4" w:space="0"/>
            </w:tcBorders>
            <w:vAlign w:val="center"/>
          </w:tcPr>
          <w:p w14:paraId="2936EB0E">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0"/>
                <w:highlight w:val="none"/>
              </w:rPr>
              <w:t>质量保修期</w:t>
            </w:r>
          </w:p>
        </w:tc>
        <w:tc>
          <w:tcPr>
            <w:tcW w:w="7104" w:type="dxa"/>
            <w:tcBorders>
              <w:top w:val="single" w:color="auto" w:sz="4" w:space="0"/>
              <w:left w:val="single" w:color="auto" w:sz="4" w:space="0"/>
              <w:bottom w:val="single" w:color="auto" w:sz="4" w:space="0"/>
              <w:right w:val="single" w:color="auto" w:sz="4" w:space="0"/>
            </w:tcBorders>
            <w:vAlign w:val="center"/>
          </w:tcPr>
          <w:p w14:paraId="1D5A2895">
            <w:pPr>
              <w:keepNext w:val="0"/>
              <w:keepLines w:val="0"/>
              <w:pageBreakBefore w:val="0"/>
              <w:tabs>
                <w:tab w:val="left" w:pos="3000"/>
                <w:tab w:val="left" w:pos="3280"/>
                <w:tab w:val="left" w:pos="6120"/>
                <w:tab w:val="left" w:pos="7540"/>
                <w:tab w:val="left" w:pos="8320"/>
              </w:tabs>
              <w:kinsoku/>
              <w:wordWrap/>
              <w:overflowPunct/>
              <w:autoSpaceDE w:val="0"/>
              <w:autoSpaceDN w:val="0"/>
              <w:bidi w:val="0"/>
              <w:adjustRightInd w:val="0"/>
              <w:spacing w:line="360" w:lineRule="exact"/>
              <w:ind w:firstLine="420" w:firstLineChars="20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u w:val="single"/>
                <w:lang w:val="en-US" w:eastAsia="zh-CN" w:bidi="ar-SA"/>
              </w:rPr>
              <w:t xml:space="preserve">  /  </w:t>
            </w:r>
            <w:r>
              <w:rPr>
                <w:rFonts w:hint="eastAsia" w:ascii="宋体" w:hAnsi="宋体" w:cs="宋体"/>
                <w:color w:val="auto"/>
                <w:kern w:val="0"/>
                <w:sz w:val="21"/>
                <w:szCs w:val="21"/>
                <w:highlight w:val="none"/>
                <w:lang w:val="en-US" w:eastAsia="zh-CN" w:bidi="ar-SA"/>
              </w:rPr>
              <w:t>个月，自项目验收合格之日起计算</w:t>
            </w:r>
          </w:p>
        </w:tc>
      </w:tr>
      <w:tr w14:paraId="646E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C938DE0">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8</w:t>
            </w:r>
          </w:p>
        </w:tc>
        <w:tc>
          <w:tcPr>
            <w:tcW w:w="2106" w:type="dxa"/>
            <w:tcBorders>
              <w:top w:val="single" w:color="auto" w:sz="4" w:space="0"/>
              <w:left w:val="single" w:color="auto" w:sz="4" w:space="0"/>
              <w:bottom w:val="single" w:color="auto" w:sz="4" w:space="0"/>
              <w:right w:val="single" w:color="auto" w:sz="4" w:space="0"/>
            </w:tcBorders>
            <w:vAlign w:val="center"/>
          </w:tcPr>
          <w:p w14:paraId="658162EC">
            <w:pPr>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标准</w:t>
            </w:r>
          </w:p>
        </w:tc>
        <w:tc>
          <w:tcPr>
            <w:tcW w:w="7104" w:type="dxa"/>
            <w:tcBorders>
              <w:top w:val="single" w:color="auto" w:sz="4" w:space="0"/>
              <w:left w:val="single" w:color="auto" w:sz="4" w:space="0"/>
              <w:bottom w:val="single" w:color="auto" w:sz="4" w:space="0"/>
              <w:right w:val="single" w:color="auto" w:sz="4" w:space="0"/>
            </w:tcBorders>
            <w:vAlign w:val="center"/>
          </w:tcPr>
          <w:p w14:paraId="02CD2353">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10"/>
                <w:sz w:val="21"/>
                <w:szCs w:val="21"/>
                <w:highlight w:val="none"/>
                <w:lang w:val="en-US" w:eastAsia="zh-CN"/>
              </w:rPr>
            </w:pPr>
            <w:r>
              <w:rPr>
                <w:rFonts w:hint="eastAsia" w:ascii="宋体" w:hAnsi="宋体" w:eastAsia="宋体" w:cs="宋体"/>
                <w:color w:val="auto"/>
                <w:sz w:val="21"/>
                <w:szCs w:val="21"/>
                <w:highlight w:val="none"/>
              </w:rPr>
              <w:t>详见</w:t>
            </w:r>
            <w:r>
              <w:rPr>
                <w:rFonts w:hint="default"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第</w:t>
            </w:r>
            <w:r>
              <w:rPr>
                <w:rFonts w:hint="eastAsia" w:ascii="宋体" w:hAnsi="宋体" w:cs="宋体"/>
                <w:color w:val="auto"/>
                <w:sz w:val="21"/>
                <w:szCs w:val="21"/>
                <w:highlight w:val="none"/>
                <w:lang w:val="en-US" w:eastAsia="zh-CN"/>
              </w:rPr>
              <w:t>六</w:t>
            </w:r>
            <w:r>
              <w:rPr>
                <w:rFonts w:hint="eastAsia" w:ascii="宋体" w:hAnsi="宋体" w:eastAsia="宋体" w:cs="宋体"/>
                <w:color w:val="auto"/>
                <w:sz w:val="21"/>
                <w:szCs w:val="21"/>
                <w:highlight w:val="none"/>
              </w:rPr>
              <w:t>章</w:t>
            </w:r>
            <w:r>
              <w:rPr>
                <w:rFonts w:hint="eastAsia" w:ascii="宋体" w:hAnsi="宋体" w:cs="宋体"/>
                <w:color w:val="auto"/>
                <w:sz w:val="21"/>
                <w:szCs w:val="21"/>
                <w:highlight w:val="none"/>
                <w:lang w:val="en-US" w:eastAsia="zh-CN"/>
              </w:rPr>
              <w:t xml:space="preserve"> 服务</w:t>
            </w:r>
            <w:r>
              <w:rPr>
                <w:rFonts w:hint="eastAsia" w:ascii="宋体" w:hAnsi="宋体" w:cs="宋体"/>
                <w:color w:val="auto"/>
                <w:highlight w:val="none"/>
              </w:rPr>
              <w:t>要求</w:t>
            </w:r>
            <w:r>
              <w:rPr>
                <w:rFonts w:hint="default" w:ascii="宋体" w:hAnsi="宋体" w:cs="宋体"/>
                <w:color w:val="auto"/>
                <w:highlight w:val="none"/>
                <w:lang w:val="en-US" w:eastAsia="zh-CN"/>
              </w:rPr>
              <w:t>”</w:t>
            </w:r>
          </w:p>
        </w:tc>
      </w:tr>
      <w:tr w14:paraId="6319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C13875C">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9</w:t>
            </w:r>
          </w:p>
        </w:tc>
        <w:tc>
          <w:tcPr>
            <w:tcW w:w="2106" w:type="dxa"/>
            <w:tcBorders>
              <w:top w:val="single" w:color="auto" w:sz="4" w:space="0"/>
              <w:left w:val="single" w:color="auto" w:sz="4" w:space="0"/>
              <w:bottom w:val="single" w:color="auto" w:sz="4" w:space="0"/>
              <w:right w:val="single" w:color="auto" w:sz="4" w:space="0"/>
            </w:tcBorders>
            <w:vAlign w:val="center"/>
          </w:tcPr>
          <w:p w14:paraId="7880FCE3">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报价人资格要求</w:t>
            </w:r>
          </w:p>
        </w:tc>
        <w:tc>
          <w:tcPr>
            <w:tcW w:w="7104" w:type="dxa"/>
            <w:tcBorders>
              <w:top w:val="single" w:color="auto" w:sz="4" w:space="0"/>
              <w:left w:val="single" w:color="auto" w:sz="4" w:space="0"/>
              <w:bottom w:val="single" w:color="auto" w:sz="4" w:space="0"/>
              <w:right w:val="single" w:color="auto" w:sz="4" w:space="0"/>
            </w:tcBorders>
            <w:vAlign w:val="center"/>
          </w:tcPr>
          <w:p w14:paraId="4FCBDCFF">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见比选公告及附录1</w:t>
            </w:r>
          </w:p>
        </w:tc>
      </w:tr>
      <w:tr w14:paraId="6D36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5D66E3A4">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267E26E">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是否接受</w:t>
            </w:r>
          </w:p>
          <w:p w14:paraId="4ED9099A">
            <w:pPr>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联合体报价</w:t>
            </w:r>
          </w:p>
        </w:tc>
        <w:tc>
          <w:tcPr>
            <w:tcW w:w="7104" w:type="dxa"/>
            <w:tcBorders>
              <w:top w:val="single" w:color="auto" w:sz="4" w:space="0"/>
              <w:left w:val="single" w:color="auto" w:sz="4" w:space="0"/>
              <w:bottom w:val="single" w:color="auto" w:sz="4" w:space="0"/>
              <w:right w:val="single" w:color="auto" w:sz="4" w:space="0"/>
            </w:tcBorders>
            <w:vAlign w:val="center"/>
          </w:tcPr>
          <w:p w14:paraId="4A24A4AB">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不接受</w:t>
            </w:r>
          </w:p>
        </w:tc>
      </w:tr>
      <w:tr w14:paraId="08F0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44241776">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11</w:t>
            </w:r>
          </w:p>
        </w:tc>
        <w:tc>
          <w:tcPr>
            <w:tcW w:w="2106" w:type="dxa"/>
            <w:tcBorders>
              <w:top w:val="single" w:color="auto" w:sz="4" w:space="0"/>
              <w:left w:val="single" w:color="auto" w:sz="4" w:space="0"/>
              <w:bottom w:val="single" w:color="auto" w:sz="4" w:space="0"/>
              <w:right w:val="single" w:color="auto" w:sz="4" w:space="0"/>
            </w:tcBorders>
            <w:vAlign w:val="center"/>
          </w:tcPr>
          <w:p w14:paraId="5D3B7000">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踏勘现场</w:t>
            </w:r>
          </w:p>
        </w:tc>
        <w:tc>
          <w:tcPr>
            <w:tcW w:w="7104" w:type="dxa"/>
            <w:tcBorders>
              <w:top w:val="single" w:color="auto" w:sz="4" w:space="0"/>
              <w:left w:val="single" w:color="auto" w:sz="4" w:space="0"/>
              <w:bottom w:val="single" w:color="auto" w:sz="4" w:space="0"/>
              <w:right w:val="single" w:color="auto" w:sz="4" w:space="0"/>
            </w:tcBorders>
            <w:vAlign w:val="center"/>
          </w:tcPr>
          <w:p w14:paraId="27CED85B">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不组织，由各报价人根据需要自行完成现场踏勘</w:t>
            </w:r>
          </w:p>
        </w:tc>
      </w:tr>
      <w:tr w14:paraId="0B4F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7DC97CE0">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12</w:t>
            </w:r>
          </w:p>
        </w:tc>
        <w:tc>
          <w:tcPr>
            <w:tcW w:w="2106" w:type="dxa"/>
            <w:tcBorders>
              <w:top w:val="single" w:color="auto" w:sz="4" w:space="0"/>
              <w:left w:val="single" w:color="auto" w:sz="4" w:space="0"/>
              <w:bottom w:val="single" w:color="auto" w:sz="4" w:space="0"/>
              <w:right w:val="single" w:color="auto" w:sz="4" w:space="0"/>
            </w:tcBorders>
            <w:vAlign w:val="center"/>
          </w:tcPr>
          <w:p w14:paraId="084483F3">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分包</w:t>
            </w:r>
          </w:p>
        </w:tc>
        <w:tc>
          <w:tcPr>
            <w:tcW w:w="7104" w:type="dxa"/>
            <w:tcBorders>
              <w:top w:val="single" w:color="auto" w:sz="4" w:space="0"/>
              <w:left w:val="single" w:color="auto" w:sz="4" w:space="0"/>
              <w:bottom w:val="single" w:color="auto" w:sz="4" w:space="0"/>
              <w:right w:val="single" w:color="auto" w:sz="4" w:space="0"/>
            </w:tcBorders>
            <w:vAlign w:val="center"/>
          </w:tcPr>
          <w:p w14:paraId="59A12333">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不允许</w:t>
            </w:r>
          </w:p>
        </w:tc>
      </w:tr>
      <w:tr w14:paraId="082F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01FF9F86">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13</w:t>
            </w:r>
          </w:p>
        </w:tc>
        <w:tc>
          <w:tcPr>
            <w:tcW w:w="2106" w:type="dxa"/>
            <w:tcBorders>
              <w:top w:val="single" w:color="auto" w:sz="4" w:space="0"/>
              <w:left w:val="single" w:color="auto" w:sz="4" w:space="0"/>
              <w:bottom w:val="single" w:color="auto" w:sz="4" w:space="0"/>
              <w:right w:val="single" w:color="auto" w:sz="4" w:space="0"/>
            </w:tcBorders>
            <w:vAlign w:val="center"/>
          </w:tcPr>
          <w:p w14:paraId="475AE40D">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偏差</w:t>
            </w:r>
          </w:p>
        </w:tc>
        <w:tc>
          <w:tcPr>
            <w:tcW w:w="7104" w:type="dxa"/>
            <w:tcBorders>
              <w:top w:val="single" w:color="auto" w:sz="4" w:space="0"/>
              <w:left w:val="single" w:color="auto" w:sz="4" w:space="0"/>
              <w:bottom w:val="single" w:color="auto" w:sz="4" w:space="0"/>
              <w:right w:val="single" w:color="auto" w:sz="4" w:space="0"/>
            </w:tcBorders>
            <w:vAlign w:val="center"/>
          </w:tcPr>
          <w:p w14:paraId="7F3CD64C">
            <w:pPr>
              <w:keepNext w:val="0"/>
              <w:keepLines w:val="0"/>
              <w:pageBreakBefore w:val="0"/>
              <w:kinsoku/>
              <w:wordWrap/>
              <w:overflowPunct/>
              <w:bidi w:val="0"/>
              <w:spacing w:line="360" w:lineRule="exact"/>
              <w:ind w:firstLine="422" w:firstLineChars="200"/>
              <w:jc w:val="both"/>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Cs w:val="21"/>
                <w:highlight w:val="none"/>
              </w:rPr>
              <w:t>不允许任何负偏差</w:t>
            </w:r>
            <w:r>
              <w:rPr>
                <w:rFonts w:ascii="宋体" w:hAnsi="宋体" w:cs="宋体"/>
                <w:b/>
                <w:bCs/>
                <w:color w:val="auto"/>
                <w:szCs w:val="21"/>
                <w:highlight w:val="none"/>
              </w:rPr>
              <w:t>。</w:t>
            </w:r>
          </w:p>
        </w:tc>
      </w:tr>
      <w:tr w14:paraId="5DC3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62FCFBFB">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14</w:t>
            </w:r>
          </w:p>
        </w:tc>
        <w:tc>
          <w:tcPr>
            <w:tcW w:w="2106" w:type="dxa"/>
            <w:tcBorders>
              <w:top w:val="single" w:color="auto" w:sz="4" w:space="0"/>
              <w:left w:val="single" w:color="auto" w:sz="4" w:space="0"/>
              <w:bottom w:val="single" w:color="auto" w:sz="4" w:space="0"/>
              <w:right w:val="single" w:color="auto" w:sz="4" w:space="0"/>
            </w:tcBorders>
            <w:vAlign w:val="center"/>
          </w:tcPr>
          <w:p w14:paraId="217F4BE1">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构成比选文件的其他材料</w:t>
            </w:r>
          </w:p>
        </w:tc>
        <w:tc>
          <w:tcPr>
            <w:tcW w:w="7104" w:type="dxa"/>
            <w:tcBorders>
              <w:top w:val="single" w:color="auto" w:sz="4" w:space="0"/>
              <w:left w:val="single" w:color="auto" w:sz="4" w:space="0"/>
              <w:bottom w:val="single" w:color="auto" w:sz="4" w:space="0"/>
              <w:right w:val="single" w:color="auto" w:sz="4" w:space="0"/>
            </w:tcBorders>
            <w:vAlign w:val="center"/>
          </w:tcPr>
          <w:p w14:paraId="64528E33">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采购人发布的图纸、补遗书、答疑、澄清、最高限价通知等附件。</w:t>
            </w:r>
          </w:p>
        </w:tc>
      </w:tr>
      <w:tr w14:paraId="07B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33B1E1D2">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15</w:t>
            </w:r>
          </w:p>
        </w:tc>
        <w:tc>
          <w:tcPr>
            <w:tcW w:w="2106" w:type="dxa"/>
            <w:tcBorders>
              <w:top w:val="single" w:color="auto" w:sz="4" w:space="0"/>
              <w:left w:val="single" w:color="auto" w:sz="4" w:space="0"/>
              <w:bottom w:val="single" w:color="auto" w:sz="4" w:space="0"/>
              <w:right w:val="single" w:color="auto" w:sz="4" w:space="0"/>
            </w:tcBorders>
            <w:vAlign w:val="center"/>
          </w:tcPr>
          <w:p w14:paraId="2B57D0A0">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构成竞争性比选响应文件的其他材料</w:t>
            </w:r>
          </w:p>
        </w:tc>
        <w:tc>
          <w:tcPr>
            <w:tcW w:w="7104" w:type="dxa"/>
            <w:tcBorders>
              <w:top w:val="single" w:color="auto" w:sz="4" w:space="0"/>
              <w:left w:val="single" w:color="auto" w:sz="4" w:space="0"/>
              <w:bottom w:val="single" w:color="auto" w:sz="4" w:space="0"/>
              <w:right w:val="single" w:color="auto" w:sz="4" w:space="0"/>
            </w:tcBorders>
            <w:vAlign w:val="center"/>
          </w:tcPr>
          <w:p w14:paraId="48DAA881">
            <w:pPr>
              <w:pStyle w:val="151"/>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报价人书面澄清或补正，但不得改变竞争性比选响应文件实质。</w:t>
            </w:r>
          </w:p>
        </w:tc>
      </w:tr>
      <w:tr w14:paraId="0808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bottom w:val="single" w:color="auto" w:sz="4" w:space="0"/>
            </w:tcBorders>
            <w:shd w:val="clear" w:color="auto" w:fill="auto"/>
            <w:vAlign w:val="center"/>
          </w:tcPr>
          <w:p w14:paraId="34F9A45A">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16</w:t>
            </w:r>
          </w:p>
        </w:tc>
        <w:tc>
          <w:tcPr>
            <w:tcW w:w="2106" w:type="dxa"/>
            <w:tcBorders>
              <w:top w:val="single" w:color="auto" w:sz="4" w:space="0"/>
              <w:left w:val="single" w:color="auto" w:sz="4" w:space="0"/>
              <w:bottom w:val="single" w:color="auto" w:sz="4" w:space="0"/>
              <w:right w:val="single" w:color="auto" w:sz="4" w:space="0"/>
            </w:tcBorders>
            <w:vAlign w:val="center"/>
          </w:tcPr>
          <w:p w14:paraId="104444BB">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报价清单的填写方式</w:t>
            </w:r>
          </w:p>
        </w:tc>
        <w:tc>
          <w:tcPr>
            <w:tcW w:w="7104" w:type="dxa"/>
            <w:tcBorders>
              <w:top w:val="single" w:color="auto" w:sz="4" w:space="0"/>
              <w:left w:val="single" w:color="auto" w:sz="4" w:space="0"/>
              <w:bottom w:val="single" w:color="auto" w:sz="4" w:space="0"/>
              <w:right w:val="single" w:color="auto" w:sz="4" w:space="0"/>
            </w:tcBorders>
            <w:vAlign w:val="top"/>
          </w:tcPr>
          <w:p w14:paraId="54409635">
            <w:pPr>
              <w:spacing w:line="400" w:lineRule="exact"/>
              <w:ind w:firstLine="420" w:firstLineChars="200"/>
              <w:jc w:val="left"/>
              <w:rPr>
                <w:color w:val="auto"/>
                <w:highlight w:val="none"/>
              </w:rPr>
            </w:pPr>
            <w:r>
              <w:rPr>
                <w:rFonts w:hint="eastAsia"/>
                <w:color w:val="auto"/>
                <w:highlight w:val="none"/>
              </w:rPr>
              <w:t>报价人按采购人提供的清单进行填报。</w:t>
            </w:r>
          </w:p>
          <w:p w14:paraId="4A54332D">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lang w:val="en-US" w:eastAsia="zh-CN"/>
              </w:rPr>
              <w:t>自主定价系数</w:t>
            </w:r>
            <w:r>
              <w:rPr>
                <w:rFonts w:hint="eastAsia" w:ascii="宋体" w:hAnsi="宋体" w:cs="宋体"/>
                <w:b/>
                <w:color w:val="auto"/>
                <w:szCs w:val="21"/>
                <w:highlight w:val="none"/>
              </w:rPr>
              <w:t>取小数点后两位，小数点后第三位四舍五入。</w:t>
            </w:r>
          </w:p>
          <w:p w14:paraId="42937978">
            <w:pPr>
              <w:spacing w:line="400" w:lineRule="exact"/>
              <w:ind w:firstLine="422" w:firstLineChars="200"/>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本项目清单及说明随比选文件一并发布，详见附件。</w:t>
            </w:r>
          </w:p>
        </w:tc>
      </w:tr>
      <w:tr w14:paraId="5D88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tcBorders>
              <w:bottom w:val="single" w:color="auto" w:sz="4" w:space="0"/>
            </w:tcBorders>
            <w:shd w:val="clear" w:color="auto" w:fill="auto"/>
            <w:vAlign w:val="center"/>
          </w:tcPr>
          <w:p w14:paraId="2B6779DF">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17</w:t>
            </w:r>
          </w:p>
        </w:tc>
        <w:tc>
          <w:tcPr>
            <w:tcW w:w="2106" w:type="dxa"/>
            <w:tcBorders>
              <w:top w:val="single" w:color="auto" w:sz="4" w:space="0"/>
              <w:left w:val="single" w:color="auto" w:sz="4" w:space="0"/>
              <w:bottom w:val="single" w:color="auto" w:sz="4" w:space="0"/>
              <w:right w:val="single" w:color="auto" w:sz="4" w:space="0"/>
            </w:tcBorders>
            <w:vAlign w:val="center"/>
          </w:tcPr>
          <w:p w14:paraId="4C73FFEF">
            <w:pPr>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最高投标限价</w:t>
            </w:r>
          </w:p>
        </w:tc>
        <w:tc>
          <w:tcPr>
            <w:tcW w:w="7104" w:type="dxa"/>
            <w:tcBorders>
              <w:top w:val="single" w:color="auto" w:sz="4" w:space="0"/>
              <w:left w:val="single" w:color="auto" w:sz="4" w:space="0"/>
              <w:bottom w:val="single" w:color="auto" w:sz="4" w:space="0"/>
              <w:right w:val="single" w:color="auto" w:sz="4" w:space="0"/>
            </w:tcBorders>
            <w:vAlign w:val="top"/>
          </w:tcPr>
          <w:p w14:paraId="3F324453">
            <w:pPr>
              <w:spacing w:line="400" w:lineRule="exact"/>
              <w:ind w:firstLine="422" w:firstLineChars="200"/>
              <w:rPr>
                <w:rFonts w:hint="eastAsia" w:ascii="宋体" w:hAnsi="宋体" w:eastAsia="宋体"/>
                <w:b/>
                <w:bCs/>
                <w:color w:val="auto"/>
                <w:szCs w:val="21"/>
                <w:highlight w:val="none"/>
                <w:lang w:eastAsia="zh-CN"/>
              </w:rPr>
            </w:pPr>
            <w:r>
              <w:rPr>
                <w:rFonts w:hint="eastAsia" w:ascii="宋体" w:hAnsi="宋体"/>
                <w:b/>
                <w:bCs/>
                <w:color w:val="auto"/>
                <w:szCs w:val="21"/>
                <w:highlight w:val="none"/>
              </w:rPr>
              <w:t>最高</w:t>
            </w:r>
            <w:r>
              <w:rPr>
                <w:rFonts w:hint="eastAsia" w:ascii="宋体" w:hAnsi="宋体"/>
                <w:b/>
                <w:bCs/>
                <w:color w:val="auto"/>
                <w:szCs w:val="21"/>
                <w:highlight w:val="none"/>
                <w:lang w:val="en-US" w:eastAsia="zh-CN"/>
              </w:rPr>
              <w:t>限价：</w:t>
            </w:r>
            <w:r>
              <w:rPr>
                <w:rFonts w:hint="eastAsia" w:ascii="宋体" w:hAnsi="宋体"/>
                <w:b/>
                <w:bCs/>
                <w:color w:val="auto"/>
                <w:szCs w:val="21"/>
                <w:highlight w:val="none"/>
                <w:u w:val="single"/>
              </w:rPr>
              <w:t>燃油车</w:t>
            </w:r>
            <w:r>
              <w:rPr>
                <w:rFonts w:hint="eastAsia" w:ascii="宋体" w:hAnsi="宋体"/>
                <w:b/>
                <w:bCs/>
                <w:szCs w:val="21"/>
                <w:highlight w:val="none"/>
                <w:u w:val="single"/>
                <w:lang w:val="en-US" w:eastAsia="zh-CN"/>
              </w:rPr>
              <w:t xml:space="preserve">商业险自主定价系数 </w:t>
            </w:r>
            <w:r>
              <w:rPr>
                <w:rFonts w:hint="eastAsia" w:ascii="宋体" w:hAnsi="宋体"/>
                <w:b/>
                <w:bCs/>
                <w:color w:val="auto"/>
                <w:szCs w:val="21"/>
                <w:highlight w:val="none"/>
                <w:u w:val="single"/>
              </w:rPr>
              <w:t>0.55</w:t>
            </w:r>
            <w:r>
              <w:rPr>
                <w:rFonts w:hint="eastAsia" w:ascii="宋体" w:hAnsi="宋体"/>
                <w:b/>
                <w:bCs/>
                <w:color w:val="auto"/>
                <w:szCs w:val="21"/>
                <w:highlight w:val="none"/>
              </w:rPr>
              <w:t>；</w:t>
            </w:r>
            <w:r>
              <w:rPr>
                <w:rFonts w:hint="eastAsia" w:ascii="宋体" w:hAnsi="宋体"/>
                <w:b/>
                <w:bCs/>
                <w:color w:val="auto"/>
                <w:szCs w:val="21"/>
                <w:highlight w:val="none"/>
                <w:u w:val="single"/>
                <w:lang w:val="en-US" w:eastAsia="zh-CN"/>
              </w:rPr>
              <w:t>新能源</w:t>
            </w:r>
            <w:r>
              <w:rPr>
                <w:rFonts w:hint="eastAsia" w:ascii="宋体" w:hAnsi="宋体"/>
                <w:b/>
                <w:bCs/>
                <w:color w:val="auto"/>
                <w:szCs w:val="21"/>
                <w:highlight w:val="none"/>
                <w:u w:val="single"/>
              </w:rPr>
              <w:t>车</w:t>
            </w:r>
            <w:r>
              <w:rPr>
                <w:rFonts w:hint="eastAsia" w:ascii="宋体" w:hAnsi="宋体"/>
                <w:b/>
                <w:bCs/>
                <w:szCs w:val="21"/>
                <w:highlight w:val="none"/>
                <w:u w:val="single"/>
                <w:lang w:val="en-US" w:eastAsia="zh-CN"/>
              </w:rPr>
              <w:t xml:space="preserve">商业险自主定价系数 </w:t>
            </w:r>
            <w:r>
              <w:rPr>
                <w:rFonts w:hint="eastAsia" w:ascii="宋体" w:hAnsi="宋体"/>
                <w:b/>
                <w:bCs/>
                <w:color w:val="auto"/>
                <w:szCs w:val="21"/>
                <w:highlight w:val="none"/>
                <w:u w:val="single"/>
              </w:rPr>
              <w:t>0.</w:t>
            </w:r>
            <w:r>
              <w:rPr>
                <w:rFonts w:hint="eastAsia" w:ascii="宋体" w:hAnsi="宋体"/>
                <w:b/>
                <w:bCs/>
                <w:color w:val="auto"/>
                <w:szCs w:val="21"/>
                <w:highlight w:val="none"/>
                <w:u w:val="single"/>
                <w:lang w:val="en-US" w:eastAsia="zh-CN"/>
              </w:rPr>
              <w:t>6</w:t>
            </w:r>
            <w:r>
              <w:rPr>
                <w:rFonts w:hint="eastAsia" w:ascii="宋体" w:hAnsi="宋体"/>
                <w:b/>
                <w:bCs/>
                <w:color w:val="auto"/>
                <w:szCs w:val="21"/>
                <w:highlight w:val="none"/>
                <w:u w:val="single"/>
              </w:rPr>
              <w:t>5</w:t>
            </w:r>
            <w:r>
              <w:rPr>
                <w:rFonts w:hint="eastAsia" w:ascii="宋体" w:hAnsi="宋体"/>
                <w:b/>
                <w:bCs/>
                <w:color w:val="auto"/>
                <w:szCs w:val="21"/>
                <w:highlight w:val="none"/>
                <w:u w:val="single"/>
                <w:lang w:eastAsia="zh-CN"/>
              </w:rPr>
              <w:t>。</w:t>
            </w:r>
          </w:p>
          <w:p w14:paraId="2171F89A">
            <w:pPr>
              <w:spacing w:line="400" w:lineRule="exact"/>
              <w:ind w:firstLine="422" w:firstLineChars="200"/>
              <w:rPr>
                <w:rFonts w:hint="eastAsia" w:ascii="宋体" w:hAnsi="宋体" w:eastAsia="宋体" w:cs="宋体"/>
                <w:color w:val="auto"/>
                <w:sz w:val="21"/>
                <w:szCs w:val="21"/>
                <w:highlight w:val="none"/>
              </w:rPr>
            </w:pPr>
            <w:r>
              <w:rPr>
                <w:rFonts w:hint="eastAsia" w:ascii="宋体" w:hAnsi="宋体" w:cs="宋体"/>
                <w:b/>
                <w:color w:val="auto"/>
                <w:szCs w:val="21"/>
                <w:highlight w:val="none"/>
              </w:rPr>
              <w:t>报价人报价不得高于采购人发布的最高</w:t>
            </w:r>
            <w:r>
              <w:rPr>
                <w:rFonts w:hint="eastAsia" w:ascii="宋体" w:hAnsi="宋体" w:cs="宋体"/>
                <w:b/>
                <w:color w:val="auto"/>
                <w:szCs w:val="21"/>
                <w:highlight w:val="none"/>
                <w:lang w:val="en-US" w:eastAsia="zh-CN"/>
              </w:rPr>
              <w:t>限价</w:t>
            </w:r>
            <w:r>
              <w:rPr>
                <w:rFonts w:hint="eastAsia" w:ascii="宋体" w:hAnsi="宋体" w:cs="宋体"/>
                <w:b/>
                <w:color w:val="auto"/>
                <w:szCs w:val="21"/>
                <w:highlight w:val="none"/>
              </w:rPr>
              <w:t>，否则其竞争性比选响应文件视为重大偏差，竞争性比选响应文件将按否决报价处理</w:t>
            </w:r>
            <w:r>
              <w:rPr>
                <w:rFonts w:hint="eastAsia" w:ascii="宋体" w:hAnsi="宋体" w:cs="宋体"/>
                <w:b/>
                <w:bCs/>
                <w:color w:val="auto"/>
                <w:kern w:val="0"/>
                <w:szCs w:val="21"/>
                <w:highlight w:val="none"/>
              </w:rPr>
              <w:t>。</w:t>
            </w:r>
          </w:p>
        </w:tc>
      </w:tr>
      <w:tr w14:paraId="0346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58AE7C6">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18</w:t>
            </w:r>
          </w:p>
        </w:tc>
        <w:tc>
          <w:tcPr>
            <w:tcW w:w="2106" w:type="dxa"/>
            <w:tcBorders>
              <w:top w:val="single" w:color="auto" w:sz="4" w:space="0"/>
              <w:left w:val="single" w:color="auto" w:sz="4" w:space="0"/>
              <w:bottom w:val="single" w:color="auto" w:sz="4" w:space="0"/>
              <w:right w:val="single" w:color="auto" w:sz="4" w:space="0"/>
            </w:tcBorders>
            <w:vAlign w:val="center"/>
          </w:tcPr>
          <w:p w14:paraId="36090E90">
            <w:pPr>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合同支付办法</w:t>
            </w:r>
          </w:p>
        </w:tc>
        <w:tc>
          <w:tcPr>
            <w:tcW w:w="7104" w:type="dxa"/>
            <w:tcBorders>
              <w:top w:val="single" w:color="auto" w:sz="4" w:space="0"/>
              <w:left w:val="single" w:color="auto" w:sz="4" w:space="0"/>
              <w:bottom w:val="single" w:color="auto" w:sz="4" w:space="0"/>
              <w:right w:val="single" w:color="auto" w:sz="4" w:space="0"/>
            </w:tcBorders>
            <w:vAlign w:val="center"/>
          </w:tcPr>
          <w:p w14:paraId="23D08256">
            <w:pPr>
              <w:pStyle w:val="2"/>
              <w:keepNext w:val="0"/>
              <w:keepLines w:val="0"/>
              <w:pageBreakBefore w:val="0"/>
              <w:widowControl/>
              <w:kinsoku/>
              <w:wordWrap/>
              <w:overflowPunct/>
              <w:autoSpaceDE w:val="0"/>
              <w:autoSpaceDN w:val="0"/>
              <w:bidi w:val="0"/>
              <w:adjustRightInd w:val="0"/>
              <w:snapToGrid w:val="0"/>
              <w:spacing w:before="0" w:beforeLines="0" w:after="0" w:afterLines="0" w:line="360" w:lineRule="exact"/>
              <w:ind w:firstLine="420" w:firstLineChars="200"/>
              <w:jc w:val="both"/>
              <w:textAlignment w:val="auto"/>
              <w:rPr>
                <w:rFonts w:hint="default" w:ascii="宋体" w:hAnsi="宋体" w:eastAsia="宋体" w:cs="宋体"/>
                <w:color w:val="auto"/>
                <w:sz w:val="21"/>
                <w:szCs w:val="21"/>
                <w:highlight w:val="none"/>
                <w:lang w:val="en-US"/>
              </w:rPr>
            </w:pPr>
            <w:r>
              <w:rPr>
                <w:rFonts w:hint="eastAsia" w:ascii="宋体" w:hAnsi="宋体" w:cs="宋体"/>
                <w:b w:val="0"/>
                <w:bCs w:val="0"/>
                <w:color w:val="auto"/>
                <w:sz w:val="21"/>
                <w:szCs w:val="21"/>
                <w:highlight w:val="none"/>
              </w:rPr>
              <w:t>报价人每月15日前核算下月投保车辆保费并通知采购人，采购人在当月统一支付；报价人在收到保费后，当日出具保单，并提供满足税法规定的完备的增值税专用发票。</w:t>
            </w:r>
          </w:p>
        </w:tc>
      </w:tr>
      <w:tr w14:paraId="5A5B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163FA053">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19</w:t>
            </w:r>
          </w:p>
        </w:tc>
        <w:tc>
          <w:tcPr>
            <w:tcW w:w="2106" w:type="dxa"/>
            <w:tcBorders>
              <w:top w:val="single" w:color="auto" w:sz="4" w:space="0"/>
              <w:left w:val="single" w:color="auto" w:sz="4" w:space="0"/>
              <w:bottom w:val="single" w:color="auto" w:sz="4" w:space="0"/>
              <w:right w:val="single" w:color="auto" w:sz="4" w:space="0"/>
            </w:tcBorders>
            <w:vAlign w:val="center"/>
          </w:tcPr>
          <w:p w14:paraId="226C5ECE">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中标候选人的人数</w:t>
            </w:r>
          </w:p>
        </w:tc>
        <w:tc>
          <w:tcPr>
            <w:tcW w:w="7104" w:type="dxa"/>
            <w:tcBorders>
              <w:top w:val="single" w:color="auto" w:sz="4" w:space="0"/>
              <w:left w:val="single" w:color="auto" w:sz="4" w:space="0"/>
              <w:bottom w:val="single" w:color="auto" w:sz="4" w:space="0"/>
              <w:right w:val="single" w:color="auto" w:sz="4" w:space="0"/>
            </w:tcBorders>
            <w:vAlign w:val="center"/>
          </w:tcPr>
          <w:p w14:paraId="121BE428">
            <w:pPr>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推荐的中标候选人数：2名。</w:t>
            </w:r>
          </w:p>
        </w:tc>
      </w:tr>
      <w:tr w14:paraId="33828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shd w:val="clear" w:color="auto" w:fill="auto"/>
            <w:vAlign w:val="center"/>
          </w:tcPr>
          <w:p w14:paraId="027470A7">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20</w:t>
            </w:r>
          </w:p>
        </w:tc>
        <w:tc>
          <w:tcPr>
            <w:tcW w:w="2106" w:type="dxa"/>
            <w:tcBorders>
              <w:top w:val="single" w:color="auto" w:sz="4" w:space="0"/>
              <w:left w:val="single" w:color="auto" w:sz="4" w:space="0"/>
              <w:bottom w:val="single" w:color="auto" w:sz="4" w:space="0"/>
              <w:right w:val="single" w:color="auto" w:sz="4" w:space="0"/>
            </w:tcBorders>
            <w:vAlign w:val="center"/>
          </w:tcPr>
          <w:p w14:paraId="0E0ED3CD">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保证金</w:t>
            </w:r>
          </w:p>
        </w:tc>
        <w:tc>
          <w:tcPr>
            <w:tcW w:w="7104" w:type="dxa"/>
            <w:tcBorders>
              <w:top w:val="single" w:color="auto" w:sz="4" w:space="0"/>
              <w:left w:val="single" w:color="auto" w:sz="4" w:space="0"/>
              <w:bottom w:val="single" w:color="auto" w:sz="4" w:space="0"/>
              <w:right w:val="single" w:color="auto" w:sz="4" w:space="0"/>
            </w:tcBorders>
            <w:vAlign w:val="center"/>
          </w:tcPr>
          <w:p w14:paraId="64488AAC">
            <w:pPr>
              <w:keepNext w:val="0"/>
              <w:keepLines w:val="0"/>
              <w:pageBreakBefore w:val="0"/>
              <w:widowControl w:val="0"/>
              <w:kinsoku/>
              <w:wordWrap/>
              <w:overflowPunct/>
              <w:topLinePunct w:val="0"/>
              <w:bidi w:val="0"/>
              <w:snapToGrid w:val="0"/>
              <w:spacing w:line="40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一、投标保证金</w:t>
            </w:r>
          </w:p>
          <w:p w14:paraId="5E827059">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w:t>
            </w:r>
            <w:r>
              <w:rPr>
                <w:rFonts w:hint="eastAsia" w:ascii="宋体" w:hAnsi="宋体" w:cs="宋体"/>
                <w:b w:val="0"/>
                <w:bCs w:val="0"/>
                <w:color w:val="auto"/>
                <w:kern w:val="0"/>
                <w:sz w:val="21"/>
                <w:szCs w:val="18"/>
                <w:highlight w:val="none"/>
                <w:lang w:bidi="ar"/>
              </w:rPr>
              <w:t>投标保证金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4EB2290A">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1、报价人须缴纳投标保证金</w:t>
            </w:r>
            <w:r>
              <w:rPr>
                <w:rFonts w:hint="eastAsia" w:hAnsi="宋体" w:cs="宋体"/>
                <w:color w:val="auto"/>
                <w:sz w:val="21"/>
                <w:szCs w:val="21"/>
                <w:highlight w:val="none"/>
                <w:u w:val="single"/>
                <w:lang w:val="en-US" w:eastAsia="zh-CN"/>
              </w:rPr>
              <w:t xml:space="preserve"> 10000.00 </w:t>
            </w:r>
            <w:r>
              <w:rPr>
                <w:rFonts w:hint="eastAsia" w:ascii="宋体" w:hAnsi="宋体" w:eastAsia="宋体" w:cs="宋体"/>
                <w:color w:val="auto"/>
                <w:sz w:val="21"/>
                <w:szCs w:val="21"/>
                <w:highlight w:val="none"/>
              </w:rPr>
              <w:t>元，由报价人从公司基本账户将投标保证金汇至以下指定账户：</w:t>
            </w:r>
          </w:p>
          <w:p w14:paraId="7C3444D6">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保证金到账截止</w:t>
            </w:r>
            <w:r>
              <w:rPr>
                <w:rFonts w:hint="eastAsia" w:ascii="宋体" w:hAnsi="宋体" w:eastAsia="宋体" w:cs="宋体"/>
                <w:caps/>
                <w:color w:val="auto"/>
                <w:kern w:val="2"/>
                <w:sz w:val="21"/>
                <w:szCs w:val="21"/>
                <w:highlight w:val="none"/>
                <w:shd w:val="clear" w:color="auto" w:fill="FFFFFF"/>
              </w:rPr>
              <w:t>时间：</w:t>
            </w:r>
            <w:r>
              <w:rPr>
                <w:rFonts w:hint="eastAsia" w:hAnsi="宋体" w:cs="宋体"/>
                <w:color w:val="auto"/>
                <w:sz w:val="21"/>
                <w:szCs w:val="21"/>
                <w:highlight w:val="none"/>
                <w:lang w:val="en-US" w:eastAsia="zh-CN"/>
              </w:rPr>
              <w:t>开标截止时间</w:t>
            </w:r>
            <w:r>
              <w:rPr>
                <w:rFonts w:hint="eastAsia" w:ascii="宋体" w:hAnsi="宋体" w:eastAsia="宋体" w:cs="宋体"/>
                <w:color w:val="auto"/>
                <w:sz w:val="21"/>
                <w:szCs w:val="21"/>
                <w:highlight w:val="none"/>
              </w:rPr>
              <w:t>前</w:t>
            </w:r>
            <w:r>
              <w:rPr>
                <w:rFonts w:hint="eastAsia" w:ascii="宋体" w:hAnsi="宋体" w:eastAsia="宋体" w:cs="宋体"/>
                <w:caps/>
                <w:color w:val="auto"/>
                <w:kern w:val="2"/>
                <w:sz w:val="21"/>
                <w:szCs w:val="21"/>
                <w:highlight w:val="none"/>
                <w:shd w:val="clear" w:color="auto" w:fill="FFFFFF"/>
              </w:rPr>
              <w:t>；</w:t>
            </w:r>
          </w:p>
          <w:p w14:paraId="6020C4BF">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若竞争性比选响应文件内无投标保证金缴纳凭证，采购人有权作废标处理，若投标保证金存在虚假不实情况，采购人有权作废标处理。</w:t>
            </w:r>
          </w:p>
          <w:p w14:paraId="46B0E885">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转款备注：</w:t>
            </w:r>
            <w:r>
              <w:rPr>
                <w:rFonts w:hint="eastAsia" w:ascii="宋体" w:hAnsi="宋体" w:eastAsia="宋体" w:cs="宋体"/>
                <w:i/>
                <w:iCs/>
                <w:color w:val="auto"/>
                <w:sz w:val="21"/>
                <w:szCs w:val="21"/>
                <w:highlight w:val="none"/>
                <w:u w:val="single"/>
              </w:rPr>
              <w:t xml:space="preserve"> </w:t>
            </w:r>
            <w:r>
              <w:rPr>
                <w:rFonts w:hint="eastAsia" w:hAnsi="宋体" w:cs="宋体"/>
                <w:i/>
                <w:iCs/>
                <w:color w:val="auto"/>
                <w:sz w:val="21"/>
                <w:szCs w:val="21"/>
                <w:highlight w:val="none"/>
                <w:u w:val="single"/>
                <w:lang w:eastAsia="zh-CN"/>
              </w:rPr>
              <w:t>首讯公司2025年至2027年车辆保险服务采购</w:t>
            </w:r>
            <w:r>
              <w:rPr>
                <w:rFonts w:hint="eastAsia" w:hAnsi="宋体" w:cs="宋体"/>
                <w:i/>
                <w:iCs/>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投标保证金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r>
              <w:rPr>
                <w:rFonts w:hint="eastAsia" w:ascii="宋体" w:hAnsi="宋体" w:eastAsia="宋体" w:cs="宋体"/>
                <w:b/>
                <w:bCs/>
                <w:color w:val="auto"/>
                <w:sz w:val="21"/>
                <w:szCs w:val="21"/>
                <w:highlight w:val="none"/>
              </w:rPr>
              <w:t>。</w:t>
            </w:r>
          </w:p>
          <w:p w14:paraId="5E58C936">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2、投标保证金退还方式</w:t>
            </w:r>
          </w:p>
          <w:p w14:paraId="612F930D">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为便于及时退还，报价人在递交响应文件的同时，递交本项目保证金银行回单和公司的开户许可证复印件。</w:t>
            </w:r>
          </w:p>
          <w:p w14:paraId="32B2C645">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未中标报价人的投标保证金，于该项目结果公示期结束</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未中标报价人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后15个工作日内无息退还至报价人基本账户。</w:t>
            </w:r>
          </w:p>
          <w:p w14:paraId="74AC1146">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中标人的投标保证金，自合同签订后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中标报价人</w:t>
            </w:r>
            <w:r>
              <w:rPr>
                <w:rFonts w:hint="eastAsia" w:ascii="宋体" w:hAnsi="宋体" w:eastAsia="宋体" w:cs="宋体"/>
                <w:color w:val="auto"/>
                <w:sz w:val="21"/>
                <w:szCs w:val="21"/>
                <w:highlight w:val="none"/>
                <w:lang w:val="en-US" w:eastAsia="zh-CN"/>
              </w:rPr>
              <w:t>按要求提供资料</w:t>
            </w:r>
            <w:r>
              <w:rPr>
                <w:rFonts w:hint="eastAsia" w:ascii="宋体" w:hAnsi="宋体" w:eastAsia="宋体" w:cs="宋体"/>
                <w:color w:val="auto"/>
                <w:sz w:val="21"/>
                <w:szCs w:val="21"/>
                <w:highlight w:val="none"/>
              </w:rPr>
              <w:t>15个工作日内无息退还至中标人基本账户。</w:t>
            </w:r>
          </w:p>
          <w:p w14:paraId="38AC2B97">
            <w:pPr>
              <w:pStyle w:val="151"/>
              <w:keepNext w:val="0"/>
              <w:keepLines w:val="0"/>
              <w:pageBreakBefore w:val="0"/>
              <w:widowControl w:val="0"/>
              <w:kinsoku/>
              <w:wordWrap/>
              <w:overflowPunct/>
              <w:topLinePunct w:val="0"/>
              <w:bidi w:val="0"/>
              <w:spacing w:line="400" w:lineRule="exact"/>
              <w:ind w:firstLine="422"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二、履约保证金</w:t>
            </w:r>
          </w:p>
          <w:p w14:paraId="01709310">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18"/>
                <w:highlight w:val="none"/>
                <w:lang w:val="en-US" w:eastAsia="zh-CN" w:bidi="ar"/>
              </w:rPr>
              <w:t>报价人是否提供履约</w:t>
            </w:r>
            <w:r>
              <w:rPr>
                <w:rFonts w:hint="eastAsia" w:ascii="宋体" w:hAnsi="宋体" w:cs="宋体"/>
                <w:b w:val="0"/>
                <w:bCs w:val="0"/>
                <w:color w:val="auto"/>
                <w:kern w:val="0"/>
                <w:sz w:val="21"/>
                <w:szCs w:val="18"/>
                <w:highlight w:val="none"/>
                <w:lang w:bidi="ar"/>
              </w:rPr>
              <w:t>保证金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064C4DE2">
            <w:pPr>
              <w:pStyle w:val="151"/>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w:t>
            </w:r>
            <w:r>
              <w:rPr>
                <w:rFonts w:hint="eastAsia" w:hAnsi="宋体"/>
                <w:color w:val="auto"/>
                <w:kern w:val="2"/>
                <w:sz w:val="21"/>
                <w:szCs w:val="21"/>
                <w:highlight w:val="none"/>
                <w:lang w:val="en-US" w:eastAsia="zh-CN"/>
              </w:rPr>
              <w:t>保证金</w:t>
            </w:r>
            <w:r>
              <w:rPr>
                <w:rFonts w:hint="default" w:hAnsi="宋体"/>
                <w:color w:val="auto"/>
                <w:kern w:val="2"/>
                <w:sz w:val="21"/>
                <w:szCs w:val="21"/>
                <w:highlight w:val="none"/>
                <w:lang w:val="en-US" w:eastAsia="zh-CN"/>
              </w:rPr>
              <w:t>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14:paraId="208AE55C">
            <w:pPr>
              <w:pStyle w:val="151"/>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w:t>
            </w:r>
            <w:r>
              <w:rPr>
                <w:rFonts w:hint="eastAsia" w:hAnsi="宋体"/>
                <w:color w:val="auto"/>
                <w:kern w:val="2"/>
                <w:sz w:val="21"/>
                <w:szCs w:val="21"/>
                <w:highlight w:val="none"/>
                <w:u w:val="single"/>
                <w:lang w:val="en-US" w:eastAsia="zh-CN"/>
              </w:rPr>
              <w:t>/元</w:t>
            </w:r>
            <w:r>
              <w:rPr>
                <w:rFonts w:hint="eastAsia" w:hAnsi="宋体"/>
                <w:color w:val="auto"/>
                <w:kern w:val="2"/>
                <w:sz w:val="21"/>
                <w:szCs w:val="21"/>
                <w:highlight w:val="none"/>
                <w:lang w:val="en-US" w:eastAsia="zh-CN"/>
              </w:rPr>
              <w:t>。</w:t>
            </w:r>
          </w:p>
          <w:p w14:paraId="56E805A4">
            <w:pPr>
              <w:pStyle w:val="151"/>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3、履约保证金有效期：自双方签订的合同文件生效之日起，至合同约定的工作验收完成止。</w:t>
            </w:r>
          </w:p>
          <w:p w14:paraId="7433D673">
            <w:pPr>
              <w:pStyle w:val="151"/>
              <w:keepNext w:val="0"/>
              <w:keepLines w:val="0"/>
              <w:pageBreakBefore w:val="0"/>
              <w:suppressLineNumbers w:val="0"/>
              <w:kinsoku/>
              <w:wordWrap/>
              <w:overflowPunct/>
              <w:topLinePunct w:val="0"/>
              <w:bidi w:val="0"/>
              <w:snapToGrid/>
              <w:spacing w:before="0" w:beforeAutospacing="0" w:after="0" w:afterAutospacing="0" w:line="400" w:lineRule="exact"/>
              <w:ind w:left="0" w:right="0"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4、履约保证金缴纳方式：现金或保函</w:t>
            </w:r>
          </w:p>
          <w:p w14:paraId="290CEBA8">
            <w:pPr>
              <w:pStyle w:val="3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5、履约保证金的提交：在甲方发出中标通知书后5个工作日内，中标人向采购人提供履约保证金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highlight w:val="none"/>
                <w:lang w:val="en-US" w:eastAsia="zh-CN"/>
              </w:rPr>
              <w:t>则需</w:t>
            </w:r>
            <w:r>
              <w:rPr>
                <w:rFonts w:hint="eastAsia" w:ascii="宋体" w:hAnsi="宋体" w:eastAsia="宋体" w:cs="宋体"/>
                <w:i w:val="0"/>
                <w:caps w:val="0"/>
                <w:color w:val="auto"/>
                <w:spacing w:val="0"/>
                <w:sz w:val="21"/>
                <w:szCs w:val="21"/>
                <w:highlight w:val="none"/>
              </w:rPr>
              <w:t>备注</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i w:val="0"/>
                <w:caps w:val="0"/>
                <w:color w:val="auto"/>
                <w:spacing w:val="0"/>
                <w:sz w:val="21"/>
                <w:szCs w:val="21"/>
                <w:highlight w:val="none"/>
              </w:rPr>
              <w:t>转款备注：</w:t>
            </w:r>
            <w:r>
              <w:rPr>
                <w:rFonts w:hint="eastAsia" w:ascii="宋体" w:hAnsi="宋体" w:eastAsia="宋体" w:cs="宋体"/>
                <w:i/>
                <w:iCs/>
                <w:color w:val="auto"/>
                <w:sz w:val="21"/>
                <w:szCs w:val="21"/>
                <w:highlight w:val="none"/>
                <w:u w:val="single"/>
              </w:rPr>
              <w:t xml:space="preserve"> </w:t>
            </w:r>
            <w:r>
              <w:rPr>
                <w:rFonts w:hint="eastAsia" w:cs="宋体"/>
                <w:i/>
                <w:iCs/>
                <w:color w:val="auto"/>
                <w:sz w:val="21"/>
                <w:szCs w:val="21"/>
                <w:highlight w:val="none"/>
                <w:u w:val="single"/>
                <w:lang w:eastAsia="zh-CN"/>
              </w:rPr>
              <w:t>首讯公司2025年至2027年车辆保险服务采购</w:t>
            </w:r>
            <w:r>
              <w:rPr>
                <w:rFonts w:hint="eastAsia" w:hAnsi="宋体" w:cs="宋体"/>
                <w:i/>
                <w:iCs/>
                <w:color w:val="auto"/>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lang w:val="en-US" w:eastAsia="zh-CN"/>
              </w:rPr>
              <w:t>履约</w:t>
            </w:r>
            <w:r>
              <w:rPr>
                <w:rFonts w:hint="eastAsia" w:ascii="宋体" w:hAnsi="宋体" w:eastAsia="宋体" w:cs="宋体"/>
                <w:i w:val="0"/>
                <w:caps w:val="0"/>
                <w:color w:val="auto"/>
                <w:spacing w:val="0"/>
                <w:sz w:val="21"/>
                <w:szCs w:val="21"/>
                <w:highlight w:val="none"/>
              </w:rPr>
              <w:t>保证金</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项目名称可简写</w:t>
            </w:r>
            <w:r>
              <w:rPr>
                <w:rFonts w:hint="eastAsia" w:hAnsi="宋体" w:cs="宋体"/>
                <w:color w:val="auto"/>
                <w:sz w:val="21"/>
                <w:szCs w:val="21"/>
                <w:highlight w:val="none"/>
                <w:lang w:eastAsia="zh-CN"/>
              </w:rPr>
              <w:t>）</w:t>
            </w:r>
          </w:p>
          <w:p w14:paraId="1BEA10DF">
            <w:pPr>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6、若提供保函的：</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纸质</w:t>
            </w:r>
            <w:r>
              <w:rPr>
                <w:rFonts w:hint="eastAsia" w:ascii="宋体" w:hAnsi="宋体" w:eastAsia="宋体" w:cs="宋体"/>
                <w:color w:val="auto"/>
                <w:kern w:val="0"/>
                <w:szCs w:val="21"/>
                <w:highlight w:val="none"/>
                <w:lang w:eastAsia="zh-CN"/>
              </w:rPr>
              <w:t>保函应合法合规，符合招投标行政监督部门、行业主管部门和金融监管部门的相关规定，满足</w:t>
            </w:r>
            <w:r>
              <w:rPr>
                <w:rFonts w:hint="eastAsia" w:ascii="宋体" w:hAnsi="宋体" w:cs="宋体"/>
                <w:color w:val="auto"/>
                <w:kern w:val="0"/>
                <w:szCs w:val="21"/>
                <w:highlight w:val="none"/>
                <w:lang w:val="en-US" w:eastAsia="zh-CN"/>
              </w:rPr>
              <w:t>竞争性比选文件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报价人对所提交的纸质投标保函的真实性、合法性、有效性负责。</w:t>
            </w:r>
          </w:p>
          <w:p w14:paraId="17A44AFA">
            <w:pPr>
              <w:pStyle w:val="151"/>
              <w:keepNext w:val="0"/>
              <w:keepLines w:val="0"/>
              <w:pageBreakBefore w:val="0"/>
              <w:widowControl w:val="0"/>
              <w:kinsoku/>
              <w:wordWrap/>
              <w:overflowPunct/>
              <w:topLinePunct w:val="0"/>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hAnsi="宋体"/>
                <w:color w:val="auto"/>
                <w:kern w:val="2"/>
                <w:sz w:val="21"/>
                <w:szCs w:val="21"/>
                <w:highlight w:val="none"/>
                <w:lang w:val="en-US" w:eastAsia="zh-CN"/>
              </w:rPr>
              <w:t>7、</w:t>
            </w:r>
            <w:r>
              <w:rPr>
                <w:rFonts w:hint="default" w:ascii="宋体" w:hAnsi="宋体" w:cs="宋体"/>
                <w:color w:val="auto"/>
                <w:kern w:val="2"/>
                <w:sz w:val="21"/>
                <w:szCs w:val="21"/>
                <w:highlight w:val="none"/>
                <w:lang w:val="en-US" w:eastAsia="zh-CN"/>
              </w:rPr>
              <w:t>履约保证金退还：缴纳现金保函的，在完成合同约定的全部工作内容后28天后无息退还剩余部分。</w:t>
            </w:r>
          </w:p>
          <w:p w14:paraId="263B6B9F">
            <w:pPr>
              <w:pStyle w:val="151"/>
              <w:keepNext w:val="0"/>
              <w:keepLines w:val="0"/>
              <w:pageBreakBefore w:val="0"/>
              <w:widowControl w:val="0"/>
              <w:kinsoku/>
              <w:wordWrap/>
              <w:overflowPunct/>
              <w:topLinePunct w:val="0"/>
              <w:bidi w:val="0"/>
              <w:spacing w:line="360" w:lineRule="exact"/>
              <w:ind w:firstLine="422" w:firstLineChars="200"/>
              <w:textAlignment w:val="auto"/>
              <w:rPr>
                <w:rFonts w:hint="default" w:ascii="宋体" w:hAnsi="宋体" w:cs="宋体"/>
                <w:b/>
                <w:bCs/>
                <w:color w:val="auto"/>
                <w:kern w:val="0"/>
                <w:szCs w:val="21"/>
                <w:highlight w:val="none"/>
                <w:lang w:val="en-US" w:bidi="ar"/>
              </w:rPr>
            </w:pPr>
            <w:r>
              <w:rPr>
                <w:rFonts w:hint="eastAsia" w:hAnsi="宋体"/>
                <w:b/>
                <w:bCs/>
                <w:color w:val="auto"/>
                <w:kern w:val="2"/>
                <w:sz w:val="21"/>
                <w:szCs w:val="21"/>
                <w:highlight w:val="none"/>
                <w:lang w:val="en-US" w:eastAsia="zh-CN"/>
              </w:rPr>
              <w:t>三、低价风险担保金</w:t>
            </w:r>
          </w:p>
          <w:p w14:paraId="1513ADD7">
            <w:pPr>
              <w:pStyle w:val="151"/>
              <w:keepNext w:val="0"/>
              <w:keepLines w:val="0"/>
              <w:pageBreakBefore w:val="0"/>
              <w:widowControl w:val="0"/>
              <w:kinsoku/>
              <w:wordWrap/>
              <w:overflowPunct/>
              <w:topLinePunct w:val="0"/>
              <w:bidi w:val="0"/>
              <w:spacing w:line="400" w:lineRule="exact"/>
              <w:ind w:firstLine="420" w:firstLineChars="200"/>
              <w:jc w:val="both"/>
              <w:textAlignment w:val="auto"/>
              <w:rPr>
                <w:rFonts w:hint="default" w:ascii="宋体" w:hAnsi="宋体" w:eastAsia="宋体" w:cs="宋体"/>
                <w:b w:val="0"/>
                <w:bCs w:val="0"/>
                <w:color w:val="auto"/>
                <w:sz w:val="21"/>
                <w:szCs w:val="21"/>
                <w:highlight w:val="none"/>
                <w:lang w:val="en-US"/>
              </w:rPr>
            </w:pPr>
            <w:r>
              <w:rPr>
                <w:rFonts w:hint="eastAsia" w:ascii="宋体" w:hAnsi="宋体" w:cs="宋体"/>
                <w:b w:val="0"/>
                <w:bCs w:val="0"/>
                <w:color w:val="auto"/>
                <w:kern w:val="0"/>
                <w:sz w:val="21"/>
                <w:szCs w:val="18"/>
                <w:highlight w:val="none"/>
                <w:lang w:val="en-US" w:eastAsia="zh-CN" w:bidi="ar"/>
              </w:rPr>
              <w:t>报价人是否提供低价风险担保金</w:t>
            </w:r>
            <w:r>
              <w:rPr>
                <w:rFonts w:hint="eastAsia" w:ascii="宋体"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eastAsia="zh-CN" w:bidi="ar"/>
              </w:rPr>
              <w:t>□</w:t>
            </w:r>
            <w:r>
              <w:rPr>
                <w:rFonts w:hint="eastAsia" w:ascii="宋体" w:hAnsi="宋体" w:cs="宋体"/>
                <w:b w:val="0"/>
                <w:bCs w:val="0"/>
                <w:color w:val="auto"/>
                <w:kern w:val="0"/>
                <w:sz w:val="21"/>
                <w:szCs w:val="18"/>
                <w:highlight w:val="none"/>
                <w:u w:val="none"/>
                <w:lang w:val="en-US" w:eastAsia="zh-CN" w:bidi="ar"/>
              </w:rPr>
              <w:t>是</w:t>
            </w:r>
            <w:r>
              <w:rPr>
                <w:rFonts w:hint="eastAsia" w:hAnsi="宋体" w:cs="宋体"/>
                <w:b w:val="0"/>
                <w:bCs w:val="0"/>
                <w:color w:val="auto"/>
                <w:kern w:val="0"/>
                <w:sz w:val="21"/>
                <w:szCs w:val="18"/>
                <w:highlight w:val="none"/>
                <w:u w:val="none"/>
                <w:lang w:val="en-US" w:eastAsia="zh-CN" w:bidi="ar"/>
              </w:rPr>
              <w:t xml:space="preserve">   </w:t>
            </w:r>
            <w:r>
              <w:rPr>
                <w:rFonts w:hint="eastAsia" w:hAnsi="宋体" w:cs="宋体"/>
                <w:b w:val="0"/>
                <w:bCs w:val="0"/>
                <w:color w:val="auto"/>
                <w:kern w:val="0"/>
                <w:sz w:val="21"/>
                <w:szCs w:val="18"/>
                <w:highlight w:val="none"/>
                <w:lang w:eastAsia="zh-CN" w:bidi="ar"/>
              </w:rPr>
              <w:t>☑</w:t>
            </w:r>
            <w:r>
              <w:rPr>
                <w:rFonts w:hint="eastAsia" w:hAnsi="宋体" w:cs="宋体"/>
                <w:b w:val="0"/>
                <w:bCs w:val="0"/>
                <w:color w:val="auto"/>
                <w:kern w:val="0"/>
                <w:sz w:val="21"/>
                <w:szCs w:val="18"/>
                <w:highlight w:val="none"/>
                <w:lang w:val="en-US" w:eastAsia="zh-CN" w:bidi="ar"/>
              </w:rPr>
              <w:t>否</w:t>
            </w:r>
          </w:p>
          <w:p w14:paraId="694B55A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低价风险担保：中标价低于最高限价的85%时提供，如不按时足额提供，视为中标人放弃中标，</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有权不退还其投标保证金。</w:t>
            </w:r>
          </w:p>
          <w:p w14:paraId="30C1645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中标人提供低价风险担保的形式、金额及期限：</w:t>
            </w:r>
          </w:p>
          <w:p w14:paraId="4B468F9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（1）低价风险担保的形式：现金或保函；采用保函形式的，保函必须为不可撤销、不可转让且见索即付的独立保函，保函格式详见</w:t>
            </w:r>
            <w:r>
              <w:rPr>
                <w:rFonts w:hint="eastAsia" w:ascii="宋体" w:hAnsi="宋体" w:cs="宋体"/>
                <w:color w:val="auto"/>
                <w:kern w:val="0"/>
                <w:szCs w:val="21"/>
                <w:highlight w:val="none"/>
                <w:lang w:val="en-US" w:eastAsia="zh-CN" w:bidi="ar"/>
              </w:rPr>
              <w:t>附件</w:t>
            </w:r>
            <w:r>
              <w:rPr>
                <w:rFonts w:hint="eastAsia" w:ascii="宋体" w:hAnsi="宋体" w:cs="宋体"/>
                <w:color w:val="auto"/>
                <w:kern w:val="0"/>
                <w:szCs w:val="21"/>
                <w:highlight w:val="none"/>
                <w:lang w:bidi="ar"/>
              </w:rPr>
              <w:t>合同条款及格式附件，中标人出具保函时，不得修改“低价风险担保保函”名称，也不得对低价风险担保保函示范文本中付款条件等实质性内容进行修改，否则视为不符合</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w:t>
            </w:r>
          </w:p>
          <w:p w14:paraId="4FD0947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（2）低价风险担保的金额：（最高限价×85%-中标价）×3，且最高不超过最高限价的85%。</w:t>
            </w:r>
          </w:p>
          <w:p w14:paraId="25880E1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（3）低价风险担保送达</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的时间：从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 xml:space="preserve">中标通知书送达拟中标人之日起 20 </w:t>
            </w:r>
            <w:r>
              <w:rPr>
                <w:rFonts w:hint="eastAsia" w:ascii="宋体" w:hAnsi="宋体" w:cs="宋体"/>
                <w:color w:val="auto"/>
                <w:kern w:val="0"/>
                <w:szCs w:val="21"/>
                <w:highlight w:val="none"/>
                <w:lang w:val="en-US" w:eastAsia="zh-CN" w:bidi="ar"/>
              </w:rPr>
              <w:t>个</w:t>
            </w:r>
            <w:r>
              <w:rPr>
                <w:rFonts w:hint="eastAsia" w:ascii="宋体" w:hAnsi="宋体" w:cs="宋体"/>
                <w:color w:val="auto"/>
                <w:kern w:val="0"/>
                <w:szCs w:val="21"/>
                <w:highlight w:val="none"/>
                <w:lang w:bidi="ar"/>
              </w:rPr>
              <w:t>工作日内。</w:t>
            </w:r>
          </w:p>
          <w:p w14:paraId="3FE2E6D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签订合同的，其以现金形式提交低价风险担保的，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有权扣除其低价风险担保金并取消其中标资格；以保函形式提交低价风险担保的，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有权要求保函开立人支付保函担保的与低价风险担保金额等额的款项并取消中标人中标资格；中标人因自身原因未按中标通知书规定的时限与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签订合同，且未提交低价风险担保金或低价风险保函的，</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有权要求中标人承担低价风险担保金等额的损失并取消中标人资格。</w:t>
            </w:r>
          </w:p>
          <w:p w14:paraId="4E5A2BA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（5）低价风险担保的期限：自低价风险担保生效之日起至合同设备验收证书或验收款支付函签署之日止。</w:t>
            </w:r>
          </w:p>
          <w:p w14:paraId="7DE00D0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3</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低价风险担保的退还时间：采用现金担保的，在现场工程师确认供货完成后28天内全额退还，合同履行期间允许</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14:paraId="6BB6597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（5）低价风险担保的扣减：</w:t>
            </w:r>
          </w:p>
          <w:p w14:paraId="07A37E1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在合同履行期间，以其投标时填报的价格过低为由拒绝</w:t>
            </w:r>
            <w:r>
              <w:rPr>
                <w:rFonts w:hint="eastAsia" w:ascii="宋体" w:hAnsi="宋体" w:cs="宋体"/>
                <w:color w:val="auto"/>
                <w:kern w:val="0"/>
                <w:szCs w:val="21"/>
                <w:highlight w:val="none"/>
                <w:lang w:val="en-US" w:eastAsia="zh-CN" w:bidi="ar"/>
              </w:rPr>
              <w:t>履行合同义务</w:t>
            </w:r>
            <w:r>
              <w:rPr>
                <w:rFonts w:hint="eastAsia" w:ascii="宋体" w:hAnsi="宋体" w:cs="宋体"/>
                <w:color w:val="auto"/>
                <w:kern w:val="0"/>
                <w:szCs w:val="21"/>
                <w:highlight w:val="none"/>
                <w:lang w:bidi="ar"/>
              </w:rPr>
              <w:t>；或因其自身其他原因导致项目暂停等，给</w:t>
            </w:r>
            <w:r>
              <w:rPr>
                <w:rFonts w:hint="eastAsia" w:ascii="宋体" w:hAnsi="宋体" w:cs="宋体"/>
                <w:color w:val="auto"/>
                <w:kern w:val="0"/>
                <w:szCs w:val="21"/>
                <w:highlight w:val="none"/>
                <w:lang w:eastAsia="zh-CN" w:bidi="ar"/>
              </w:rPr>
              <w:t>甲方</w:t>
            </w:r>
            <w:r>
              <w:rPr>
                <w:rFonts w:hint="eastAsia" w:ascii="宋体" w:hAnsi="宋体" w:cs="宋体"/>
                <w:color w:val="auto"/>
                <w:kern w:val="0"/>
                <w:szCs w:val="21"/>
                <w:highlight w:val="none"/>
                <w:lang w:bidi="ar"/>
              </w:rPr>
              <w:t>造成直接经济损失且拒绝承担的，按低价风险担保金额的50～100%扣减，直至解除合同；</w:t>
            </w:r>
          </w:p>
          <w:p w14:paraId="4F77742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②因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违约被解除合同的，低价风险担保将全额扣除；</w:t>
            </w:r>
          </w:p>
          <w:p w14:paraId="143F940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③因</w:t>
            </w:r>
            <w:r>
              <w:rPr>
                <w:rFonts w:hint="eastAsia" w:ascii="宋体" w:hAnsi="宋体" w:cs="宋体"/>
                <w:color w:val="auto"/>
                <w:kern w:val="0"/>
                <w:szCs w:val="21"/>
                <w:highlight w:val="none"/>
                <w:lang w:eastAsia="zh-CN" w:bidi="ar"/>
              </w:rPr>
              <w:t>乙方</w:t>
            </w:r>
            <w:r>
              <w:rPr>
                <w:rFonts w:hint="eastAsia" w:ascii="宋体" w:hAnsi="宋体" w:cs="宋体"/>
                <w:color w:val="auto"/>
                <w:kern w:val="0"/>
                <w:szCs w:val="21"/>
                <w:highlight w:val="none"/>
                <w:lang w:bidi="ar"/>
              </w:rPr>
              <w:t>原因导致的其他情形。</w:t>
            </w:r>
          </w:p>
          <w:p w14:paraId="7C83474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4</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bidi="ar"/>
              </w:rPr>
              <w:t>拟中标人或者中标人放弃中标项目，无正当理由不与</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签订合同，在签订合同时向</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提出附加条件或者更改合同实质性内容，或者拒不按照</w:t>
            </w:r>
            <w:r>
              <w:rPr>
                <w:rFonts w:hint="eastAsia" w:ascii="宋体" w:hAnsi="宋体" w:cs="宋体"/>
                <w:color w:val="auto"/>
                <w:kern w:val="0"/>
                <w:szCs w:val="21"/>
                <w:highlight w:val="none"/>
                <w:lang w:val="en-US" w:eastAsia="zh-CN" w:bidi="ar"/>
              </w:rPr>
              <w:t>竞争性比选文件</w:t>
            </w:r>
            <w:r>
              <w:rPr>
                <w:rFonts w:hint="eastAsia" w:ascii="宋体" w:hAnsi="宋体" w:cs="宋体"/>
                <w:color w:val="auto"/>
                <w:kern w:val="0"/>
                <w:szCs w:val="21"/>
                <w:highlight w:val="none"/>
                <w:lang w:bidi="ar"/>
              </w:rPr>
              <w:t>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造成的损失超过投标保证金数额的，拟中标人或中标人应对超过部分予以赔偿。</w:t>
            </w:r>
          </w:p>
          <w:p w14:paraId="252C486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备注：当中标人或拟中标人未按时提交低价风险担保，且属于可以延长低价风险担保提交期限的特殊情形时，经</w:t>
            </w:r>
            <w:r>
              <w:rPr>
                <w:rFonts w:hint="eastAsia" w:ascii="宋体" w:hAnsi="宋体" w:cs="宋体"/>
                <w:color w:val="auto"/>
                <w:kern w:val="0"/>
                <w:szCs w:val="21"/>
                <w:highlight w:val="none"/>
                <w:lang w:eastAsia="zh-CN" w:bidi="ar"/>
              </w:rPr>
              <w:t>采购人</w:t>
            </w:r>
            <w:r>
              <w:rPr>
                <w:rFonts w:hint="eastAsia" w:ascii="宋体" w:hAnsi="宋体" w:cs="宋体"/>
                <w:color w:val="auto"/>
                <w:kern w:val="0"/>
                <w:szCs w:val="21"/>
                <w:highlight w:val="none"/>
                <w:lang w:bidi="ar"/>
              </w:rPr>
              <w:t>同意，可适当延长低价风险担保的提交期限。</w:t>
            </w:r>
          </w:p>
          <w:p w14:paraId="28B11C0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投标总报价低于最高限价85%的，</w:t>
            </w:r>
            <w:r>
              <w:rPr>
                <w:rFonts w:hint="eastAsia" w:ascii="宋体" w:hAnsi="宋体" w:cs="宋体"/>
                <w:color w:val="auto"/>
                <w:kern w:val="0"/>
                <w:szCs w:val="21"/>
                <w:highlight w:val="none"/>
                <w:lang w:eastAsia="zh-CN" w:bidi="ar"/>
              </w:rPr>
              <w:t>报价人</w:t>
            </w:r>
            <w:r>
              <w:rPr>
                <w:rFonts w:hint="eastAsia" w:ascii="宋体" w:hAnsi="宋体" w:cs="宋体"/>
                <w:color w:val="auto"/>
                <w:kern w:val="0"/>
                <w:szCs w:val="21"/>
                <w:highlight w:val="none"/>
                <w:lang w:bidi="ar"/>
              </w:rPr>
              <w:t>应在编制</w:t>
            </w:r>
            <w:r>
              <w:rPr>
                <w:rFonts w:hint="eastAsia" w:ascii="宋体" w:hAnsi="宋体" w:cs="宋体"/>
                <w:color w:val="auto"/>
                <w:kern w:val="0"/>
                <w:szCs w:val="21"/>
                <w:highlight w:val="none"/>
                <w:lang w:eastAsia="zh-CN" w:bidi="ar"/>
              </w:rPr>
              <w:t>竞争性比选响应文件</w:t>
            </w:r>
            <w:r>
              <w:rPr>
                <w:rFonts w:hint="eastAsia" w:ascii="宋体" w:hAnsi="宋体" w:cs="宋体"/>
                <w:color w:val="auto"/>
                <w:kern w:val="0"/>
                <w:szCs w:val="21"/>
                <w:highlight w:val="none"/>
                <w:lang w:bidi="ar"/>
              </w:rPr>
              <w:t>时，在</w:t>
            </w:r>
            <w:r>
              <w:rPr>
                <w:rFonts w:hint="default" w:ascii="宋体" w:hAnsi="宋体" w:cs="宋体"/>
                <w:color w:val="auto"/>
                <w:highlight w:val="none"/>
              </w:rPr>
              <w:t>竞争性比选响应文件格式</w:t>
            </w:r>
            <w:r>
              <w:rPr>
                <w:rFonts w:hint="eastAsia" w:ascii="宋体" w:hAnsi="宋体" w:cs="宋体"/>
                <w:color w:val="auto"/>
                <w:kern w:val="0"/>
                <w:szCs w:val="21"/>
                <w:highlight w:val="none"/>
                <w:lang w:bidi="ar"/>
              </w:rPr>
              <w:t>中递交低价风险担保提交承诺书</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格式自拟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w:t>
            </w:r>
          </w:p>
          <w:p w14:paraId="273374F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Cs w:val="21"/>
                <w:highlight w:val="none"/>
                <w:lang w:bidi="ar"/>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14:paraId="6BF5FD99">
            <w:pPr>
              <w:pStyle w:val="151"/>
              <w:keepNext w:val="0"/>
              <w:keepLines w:val="0"/>
              <w:pageBreakBefore w:val="0"/>
              <w:widowControl w:val="0"/>
              <w:kinsoku/>
              <w:wordWrap/>
              <w:overflowPunct/>
              <w:topLinePunct w:val="0"/>
              <w:bidi w:val="0"/>
              <w:spacing w:line="400" w:lineRule="exact"/>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14:paraId="16CCC8F5">
            <w:pPr>
              <w:pStyle w:val="151"/>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14:paraId="6F92AAD0">
            <w:pPr>
              <w:pStyle w:val="151"/>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14:paraId="7D51C0A2">
            <w:pPr>
              <w:pStyle w:val="151"/>
              <w:keepNext w:val="0"/>
              <w:keepLines w:val="0"/>
              <w:pageBreakBefore w:val="0"/>
              <w:widowControl w:val="0"/>
              <w:kinsoku/>
              <w:wordWrap/>
              <w:overflowPunct/>
              <w:topLinePunct w:val="0"/>
              <w:bidi w:val="0"/>
              <w:spacing w:line="400" w:lineRule="exact"/>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14:paraId="4AEDAEA2">
            <w:pPr>
              <w:pStyle w:val="151"/>
              <w:keepNext w:val="0"/>
              <w:keepLines w:val="0"/>
              <w:pageBreakBefore w:val="0"/>
              <w:widowControl w:val="0"/>
              <w:kinsoku/>
              <w:wordWrap/>
              <w:overflowPunct/>
              <w:topLinePunct w:val="0"/>
              <w:bidi w:val="0"/>
              <w:snapToGrid/>
              <w:spacing w:line="400" w:lineRule="exact"/>
              <w:ind w:firstLine="422" w:firstLineChars="200"/>
              <w:jc w:val="both"/>
              <w:textAlignment w:val="auto"/>
              <w:rPr>
                <w:rFonts w:hint="eastAsia" w:ascii="宋体" w:hAnsi="宋体" w:eastAsia="宋体" w:cs="宋体"/>
                <w:color w:val="auto"/>
                <w:sz w:val="21"/>
                <w:szCs w:val="21"/>
                <w:highlight w:val="none"/>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14:paraId="2DFE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shd w:val="clear" w:color="auto" w:fill="auto"/>
            <w:vAlign w:val="center"/>
          </w:tcPr>
          <w:p w14:paraId="0F6F5A89">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21</w:t>
            </w:r>
          </w:p>
        </w:tc>
        <w:tc>
          <w:tcPr>
            <w:tcW w:w="2106" w:type="dxa"/>
            <w:tcBorders>
              <w:top w:val="single" w:color="auto" w:sz="4" w:space="0"/>
              <w:left w:val="single" w:color="auto" w:sz="4" w:space="0"/>
              <w:bottom w:val="single" w:color="auto" w:sz="4" w:space="0"/>
              <w:right w:val="single" w:color="auto" w:sz="4" w:space="0"/>
            </w:tcBorders>
            <w:vAlign w:val="center"/>
          </w:tcPr>
          <w:p w14:paraId="72378774">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监督部门</w:t>
            </w:r>
          </w:p>
        </w:tc>
        <w:tc>
          <w:tcPr>
            <w:tcW w:w="7104" w:type="dxa"/>
            <w:tcBorders>
              <w:top w:val="single" w:color="auto" w:sz="4" w:space="0"/>
              <w:left w:val="single" w:color="auto" w:sz="4" w:space="0"/>
              <w:bottom w:val="single" w:color="auto" w:sz="4" w:space="0"/>
              <w:right w:val="single" w:color="auto" w:sz="4" w:space="0"/>
            </w:tcBorders>
            <w:vAlign w:val="center"/>
          </w:tcPr>
          <w:p w14:paraId="71A537C7">
            <w:pPr>
              <w:pStyle w:val="151"/>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监督部门：重庆首讯科技股份有限公司合规监管部</w:t>
            </w:r>
          </w:p>
          <w:p w14:paraId="5A597246">
            <w:pPr>
              <w:pStyle w:val="151"/>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址：重庆市渝北区新南路52号东界龙湖三楼</w:t>
            </w:r>
          </w:p>
          <w:p w14:paraId="3239B7BA">
            <w:pPr>
              <w:pStyle w:val="151"/>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话：023-63132246</w:t>
            </w:r>
          </w:p>
        </w:tc>
      </w:tr>
      <w:tr w14:paraId="6B0D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AE1F9A5">
            <w:pPr>
              <w:pStyle w:val="151"/>
              <w:keepNext w:val="0"/>
              <w:keepLines w:val="0"/>
              <w:pageBreakBefore w:val="0"/>
              <w:kinsoku/>
              <w:wordWrap/>
              <w:overflowPunct/>
              <w:bidi w:val="0"/>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22</w:t>
            </w:r>
          </w:p>
        </w:tc>
        <w:tc>
          <w:tcPr>
            <w:tcW w:w="2106" w:type="dxa"/>
            <w:tcBorders>
              <w:top w:val="single" w:color="auto" w:sz="4" w:space="0"/>
              <w:left w:val="single" w:color="auto" w:sz="4" w:space="0"/>
              <w:bottom w:val="single" w:color="auto" w:sz="4" w:space="0"/>
              <w:right w:val="single" w:color="auto" w:sz="4" w:space="0"/>
            </w:tcBorders>
            <w:vAlign w:val="center"/>
          </w:tcPr>
          <w:p w14:paraId="5C43023F">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竞争性比选响应文件的组成</w:t>
            </w:r>
          </w:p>
        </w:tc>
        <w:tc>
          <w:tcPr>
            <w:tcW w:w="7104" w:type="dxa"/>
            <w:tcBorders>
              <w:top w:val="single" w:color="auto" w:sz="4" w:space="0"/>
              <w:left w:val="single" w:color="auto" w:sz="4" w:space="0"/>
              <w:bottom w:val="single" w:color="auto" w:sz="4" w:space="0"/>
              <w:right w:val="single" w:color="auto" w:sz="4" w:space="0"/>
            </w:tcBorders>
            <w:vAlign w:val="center"/>
          </w:tcPr>
          <w:p w14:paraId="6D96CCE8">
            <w:pPr>
              <w:pStyle w:val="15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14:paraId="4736D92F">
            <w:pPr>
              <w:pStyle w:val="151"/>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14:paraId="58F9930B">
            <w:pPr>
              <w:pStyle w:val="151"/>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14:paraId="7369C7BC">
            <w:pPr>
              <w:pStyle w:val="151"/>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14:paraId="020F8623">
            <w:pPr>
              <w:pStyle w:val="151"/>
              <w:keepNext w:val="0"/>
              <w:keepLines w:val="0"/>
              <w:pageBreakBefore w:val="0"/>
              <w:widowControl w:val="0"/>
              <w:kinsoku/>
              <w:wordWrap w:val="0"/>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color w:val="auto"/>
                <w:kern w:val="2"/>
                <w:sz w:val="21"/>
                <w:szCs w:val="21"/>
                <w:highlight w:val="none"/>
                <w:shd w:val="clear" w:color="auto" w:fill="FFFFFF"/>
              </w:rPr>
            </w:pPr>
            <w:r>
              <w:rPr>
                <w:rFonts w:hint="eastAsia" w:hAnsi="宋体"/>
                <w:color w:val="auto"/>
                <w:kern w:val="2"/>
                <w:sz w:val="21"/>
                <w:szCs w:val="21"/>
                <w:highlight w:val="none"/>
                <w:lang w:val="en-US" w:eastAsia="zh-CN"/>
              </w:rPr>
              <w:t>首讯公司2025年至2027年车辆保险服务采购项目竞争性比选响应文件（加盖报价人的公章）</w:t>
            </w:r>
            <w:r>
              <w:rPr>
                <w:rFonts w:hint="eastAsia" w:ascii="宋体" w:hAnsi="宋体" w:eastAsia="宋体" w:cs="宋体"/>
                <w:color w:val="auto"/>
                <w:kern w:val="2"/>
                <w:sz w:val="21"/>
                <w:szCs w:val="21"/>
                <w:highlight w:val="none"/>
                <w:shd w:val="clear" w:color="auto" w:fill="FFFFFF"/>
              </w:rPr>
              <w:t>。</w:t>
            </w:r>
          </w:p>
          <w:p w14:paraId="066F5A4C">
            <w:pPr>
              <w:pStyle w:val="151"/>
              <w:keepNext w:val="0"/>
              <w:keepLines w:val="0"/>
              <w:pageBreakBefore w:val="0"/>
              <w:widowControl w:val="0"/>
              <w:kinsoku/>
              <w:wordWrap w:val="0"/>
              <w:overflowPunct/>
              <w:topLinePunct w:val="0"/>
              <w:autoSpaceDE w:val="0"/>
              <w:autoSpaceDN w:val="0"/>
              <w:bidi w:val="0"/>
              <w:adjustRightInd w:val="0"/>
              <w:snapToGrid/>
              <w:spacing w:line="360" w:lineRule="exact"/>
              <w:ind w:firstLine="420" w:firstLineChars="200"/>
              <w:jc w:val="both"/>
              <w:textAlignment w:val="auto"/>
              <w:rPr>
                <w:rFonts w:hint="default" w:ascii="宋体" w:hAnsi="宋体" w:eastAsia="宋体" w:cs="宋体"/>
                <w:color w:val="auto"/>
                <w:kern w:val="2"/>
                <w:sz w:val="21"/>
                <w:szCs w:val="21"/>
                <w:highlight w:val="none"/>
                <w:shd w:val="clear" w:color="auto" w:fill="FFFFFF"/>
                <w:lang w:val="en-US" w:eastAsia="zh-CN"/>
              </w:rPr>
            </w:pPr>
            <w:r>
              <w:rPr>
                <w:rFonts w:hint="eastAsia" w:hAnsi="宋体" w:cs="宋体"/>
                <w:color w:val="auto"/>
                <w:kern w:val="2"/>
                <w:sz w:val="21"/>
                <w:szCs w:val="21"/>
                <w:highlight w:val="none"/>
                <w:shd w:val="clear" w:color="auto" w:fill="FFFFFF"/>
                <w:lang w:val="en-US" w:eastAsia="zh-CN"/>
              </w:rPr>
              <w:t>4.</w:t>
            </w:r>
            <w:r>
              <w:rPr>
                <w:rFonts w:hint="eastAsia" w:ascii="宋体" w:hAnsi="宋体" w:eastAsia="宋体" w:cs="宋体"/>
                <w:color w:val="auto"/>
                <w:kern w:val="2"/>
                <w:sz w:val="21"/>
                <w:szCs w:val="21"/>
                <w:highlight w:val="none"/>
                <w:shd w:val="clear" w:color="auto" w:fill="FFFFFF"/>
              </w:rPr>
              <w:t>竞争性比选响应文件</w:t>
            </w:r>
            <w:r>
              <w:rPr>
                <w:rFonts w:hint="eastAsia" w:hAnsi="宋体" w:cs="宋体"/>
                <w:color w:val="auto"/>
                <w:kern w:val="2"/>
                <w:sz w:val="21"/>
                <w:szCs w:val="21"/>
                <w:highlight w:val="none"/>
                <w:shd w:val="clear" w:color="auto" w:fill="FFFFFF"/>
                <w:lang w:val="en-US" w:eastAsia="zh-CN"/>
              </w:rPr>
              <w:t>提交的相关证明材料扫描件应清晰可辨，否则采购人有权视同未提供相关资料。</w:t>
            </w:r>
          </w:p>
        </w:tc>
      </w:tr>
      <w:tr w14:paraId="3CA4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4DAF7239">
            <w:pPr>
              <w:pStyle w:val="151"/>
              <w:keepNext w:val="0"/>
              <w:keepLines w:val="0"/>
              <w:pageBreakBefore w:val="0"/>
              <w:kinsoku/>
              <w:wordWrap/>
              <w:overflowPunct/>
              <w:bidi w:val="0"/>
              <w:spacing w:line="360" w:lineRule="exact"/>
              <w:jc w:val="center"/>
              <w:textAlignment w:val="auto"/>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23</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14:paraId="6C81282E">
            <w:pPr>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中标候选人公示</w:t>
            </w:r>
          </w:p>
        </w:tc>
        <w:tc>
          <w:tcPr>
            <w:tcW w:w="7104" w:type="dxa"/>
            <w:tcBorders>
              <w:top w:val="single" w:color="auto" w:sz="4" w:space="0"/>
              <w:left w:val="single" w:color="auto" w:sz="4" w:space="0"/>
              <w:bottom w:val="single" w:color="auto" w:sz="4" w:space="0"/>
              <w:right w:val="single" w:color="auto" w:sz="4" w:space="0"/>
            </w:tcBorders>
            <w:shd w:val="clear" w:color="auto" w:fill="auto"/>
            <w:vAlign w:val="center"/>
          </w:tcPr>
          <w:p w14:paraId="7ED77C98">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highlight w:val="none"/>
              </w:rPr>
              <w:t>评标结果将在重庆高速集团官网（http://www.cegc.com.cn）上进行公示，公示期为 3 日。公示内容包括中标候选人名称、排序、投标报价；提出异议、投诉的渠道和方式。</w:t>
            </w:r>
          </w:p>
        </w:tc>
      </w:tr>
      <w:tr w14:paraId="2EF1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7" w:type="dxa"/>
            <w:vAlign w:val="center"/>
          </w:tcPr>
          <w:p w14:paraId="02720052">
            <w:pPr>
              <w:pStyle w:val="151"/>
              <w:keepNext w:val="0"/>
              <w:keepLines w:val="0"/>
              <w:pageBreakBefore w:val="0"/>
              <w:kinsoku/>
              <w:wordWrap/>
              <w:overflowPunct/>
              <w:bidi w:val="0"/>
              <w:spacing w:line="360" w:lineRule="exact"/>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24</w:t>
            </w:r>
          </w:p>
        </w:tc>
        <w:tc>
          <w:tcPr>
            <w:tcW w:w="9210" w:type="dxa"/>
            <w:gridSpan w:val="2"/>
            <w:tcBorders>
              <w:top w:val="single" w:color="auto" w:sz="4" w:space="0"/>
              <w:left w:val="single" w:color="auto" w:sz="4" w:space="0"/>
              <w:bottom w:val="single" w:color="auto" w:sz="4" w:space="0"/>
              <w:right w:val="single" w:color="auto" w:sz="4" w:space="0"/>
            </w:tcBorders>
            <w:vAlign w:val="center"/>
          </w:tcPr>
          <w:p w14:paraId="3F628B29">
            <w:pPr>
              <w:pStyle w:val="151"/>
              <w:keepNext w:val="0"/>
              <w:keepLines w:val="0"/>
              <w:pageBreakBefore w:val="0"/>
              <w:kinsoku/>
              <w:wordWrap/>
              <w:overflowPunct/>
              <w:bidi w:val="0"/>
              <w:spacing w:line="360" w:lineRule="exact"/>
              <w:ind w:firstLine="422" w:firstLineChars="20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
                <w:bCs/>
                <w:color w:val="auto"/>
                <w:sz w:val="21"/>
                <w:szCs w:val="21"/>
                <w:highlight w:val="none"/>
              </w:rPr>
              <w:t>需要补充的其他内容</w:t>
            </w:r>
          </w:p>
        </w:tc>
      </w:tr>
      <w:tr w14:paraId="3706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7" w:type="dxa"/>
            <w:tcBorders>
              <w:top w:val="single" w:color="auto" w:sz="4" w:space="0"/>
              <w:left w:val="single" w:color="auto" w:sz="4" w:space="0"/>
              <w:bottom w:val="single" w:color="auto" w:sz="4" w:space="0"/>
              <w:right w:val="single" w:color="auto" w:sz="4" w:space="0"/>
            </w:tcBorders>
            <w:vAlign w:val="center"/>
          </w:tcPr>
          <w:p w14:paraId="2556CC6D">
            <w:pPr>
              <w:keepNext w:val="0"/>
              <w:keepLines w:val="0"/>
              <w:pageBreakBefore w:val="0"/>
              <w:widowControl w:val="0"/>
              <w:kinsoku/>
              <w:wordWrap w:val="0"/>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color w:val="auto"/>
                <w:sz w:val="21"/>
                <w:szCs w:val="21"/>
                <w:highlight w:val="none"/>
              </w:rPr>
            </w:pPr>
          </w:p>
          <w:p w14:paraId="5F1759D3">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.1</w:t>
            </w:r>
          </w:p>
        </w:tc>
        <w:tc>
          <w:tcPr>
            <w:tcW w:w="9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7218EC">
            <w:pPr>
              <w:pStyle w:val="151"/>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截止竞争性比选响应文件递交时间，递交竞争性比选响应文件不足3家的不得开启竞争性比选文件。重新</w:t>
            </w:r>
            <w:r>
              <w:rPr>
                <w:rFonts w:hint="eastAsia"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后报价人仍少于3个，按法定程序开标和评标，确定中标人。</w:t>
            </w:r>
          </w:p>
        </w:tc>
      </w:tr>
      <w:tr w14:paraId="5BC1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tcBorders>
              <w:top w:val="single" w:color="auto" w:sz="4" w:space="0"/>
              <w:left w:val="single" w:color="auto" w:sz="4" w:space="0"/>
              <w:bottom w:val="single" w:color="auto" w:sz="4" w:space="0"/>
              <w:right w:val="single" w:color="auto" w:sz="4" w:space="0"/>
            </w:tcBorders>
            <w:vAlign w:val="center"/>
          </w:tcPr>
          <w:p w14:paraId="4F7BEF57">
            <w:pPr>
              <w:pStyle w:val="151"/>
              <w:keepNext w:val="0"/>
              <w:keepLines w:val="0"/>
              <w:pageBreakBefore w:val="0"/>
              <w:kinsoku/>
              <w:wordWrap/>
              <w:overflowPunct/>
              <w:bidi w:val="0"/>
              <w:spacing w:line="360" w:lineRule="exact"/>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.2</w:t>
            </w:r>
          </w:p>
        </w:tc>
        <w:tc>
          <w:tcPr>
            <w:tcW w:w="9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06A976">
            <w:pPr>
              <w:pStyle w:val="151"/>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rPr>
              <w:t>如中标人无法</w:t>
            </w:r>
            <w:r>
              <w:rPr>
                <w:rFonts w:hint="eastAsia" w:hAnsi="宋体" w:cs="宋体"/>
                <w:color w:val="auto"/>
                <w:sz w:val="21"/>
                <w:szCs w:val="21"/>
                <w:highlight w:val="none"/>
                <w:lang w:val="en-US" w:eastAsia="zh-CN"/>
              </w:rPr>
              <w:t>满足本项目需求</w:t>
            </w:r>
            <w:r>
              <w:rPr>
                <w:rFonts w:hint="eastAsia" w:ascii="宋体" w:hAnsi="宋体" w:eastAsia="宋体" w:cs="宋体"/>
                <w:color w:val="auto"/>
                <w:sz w:val="21"/>
                <w:szCs w:val="21"/>
                <w:highlight w:val="none"/>
              </w:rPr>
              <w:t>，采购人终止合同。</w:t>
            </w:r>
          </w:p>
        </w:tc>
      </w:tr>
      <w:tr w14:paraId="7E00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7" w:type="dxa"/>
            <w:vAlign w:val="center"/>
          </w:tcPr>
          <w:p w14:paraId="319F0EEC">
            <w:pPr>
              <w:pStyle w:val="151"/>
              <w:keepNext w:val="0"/>
              <w:keepLines w:val="0"/>
              <w:pageBreakBefore w:val="0"/>
              <w:kinsoku/>
              <w:wordWrap/>
              <w:overflowPunct/>
              <w:bidi w:val="0"/>
              <w:spacing w:line="360" w:lineRule="exact"/>
              <w:jc w:val="center"/>
              <w:textAlignment w:val="auto"/>
              <w:rPr>
                <w:rFonts w:hint="default"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24.3</w:t>
            </w:r>
          </w:p>
        </w:tc>
        <w:tc>
          <w:tcPr>
            <w:tcW w:w="9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1CD9E4">
            <w:pPr>
              <w:pStyle w:val="151"/>
              <w:spacing w:line="360" w:lineRule="exact"/>
              <w:ind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保费计费方式</w:t>
            </w:r>
            <w:r>
              <w:rPr>
                <w:rFonts w:hint="eastAsia" w:ascii="宋体" w:hAnsi="宋体" w:eastAsia="宋体" w:cs="宋体"/>
                <w:b/>
                <w:bCs/>
                <w:color w:val="auto"/>
                <w:sz w:val="21"/>
                <w:szCs w:val="21"/>
                <w:highlight w:val="none"/>
                <w:lang w:val="en-US" w:eastAsia="zh-CN"/>
              </w:rPr>
              <w:t>:</w:t>
            </w:r>
          </w:p>
          <w:p w14:paraId="698D3E9A">
            <w:pPr>
              <w:pStyle w:val="151"/>
              <w:spacing w:line="360" w:lineRule="exact"/>
              <w:ind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1、商业险：商业车险保费=中国保险行业协会下发的基准保费*自主折扣系数*对应无赔款优惠系数基准保费及无赔款优惠系数按中国保险行业协会要求执行。</w:t>
            </w:r>
          </w:p>
          <w:p w14:paraId="14AC620D">
            <w:pPr>
              <w:pStyle w:val="151"/>
              <w:keepNext w:val="0"/>
              <w:keepLines w:val="0"/>
              <w:pageBreakBefore w:val="0"/>
              <w:kinsoku/>
              <w:wordWrap/>
              <w:overflowPunct/>
              <w:bidi w:val="0"/>
              <w:spacing w:line="360" w:lineRule="exact"/>
              <w:ind w:firstLine="420" w:firstLineChars="200"/>
              <w:jc w:val="both"/>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color w:val="auto"/>
                <w:sz w:val="21"/>
                <w:szCs w:val="21"/>
                <w:highlight w:val="none"/>
              </w:rPr>
              <w:drawing>
                <wp:anchor distT="0" distB="0" distL="114300" distR="114300" simplePos="0" relativeHeight="251665408" behindDoc="0" locked="0" layoutInCell="1" allowOverlap="1">
                  <wp:simplePos x="0" y="0"/>
                  <wp:positionH relativeFrom="column">
                    <wp:posOffset>266700</wp:posOffset>
                  </wp:positionH>
                  <wp:positionV relativeFrom="paragraph">
                    <wp:posOffset>623570</wp:posOffset>
                  </wp:positionV>
                  <wp:extent cx="4093210" cy="3047365"/>
                  <wp:effectExtent l="0" t="0" r="2540" b="635"/>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rcRect r="10682"/>
                          <a:stretch>
                            <a:fillRect/>
                          </a:stretch>
                        </pic:blipFill>
                        <pic:spPr>
                          <a:xfrm>
                            <a:off x="0" y="0"/>
                            <a:ext cx="4093210" cy="3047365"/>
                          </a:xfrm>
                          <a:prstGeom prst="rect">
                            <a:avLst/>
                          </a:prstGeom>
                          <a:noFill/>
                          <a:ln>
                            <a:noFill/>
                          </a:ln>
                        </pic:spPr>
                      </pic:pic>
                    </a:graphicData>
                  </a:graphic>
                </wp:anchor>
              </w:drawing>
            </w:r>
            <w:r>
              <w:rPr>
                <w:rFonts w:hint="eastAsia" w:ascii="宋体" w:hAnsi="宋体" w:eastAsia="宋体" w:cs="宋体"/>
                <w:color w:val="auto"/>
                <w:sz w:val="21"/>
                <w:szCs w:val="21"/>
                <w:highlight w:val="none"/>
                <w:lang w:val="en-US" w:eastAsia="zh-CN"/>
              </w:rPr>
              <w:t>2、交强险、车船税：按《机动车交通事故责任强制保险条例》、中国保险行业协会机动车交通事故责任强制保险的有关规定以及国家法律法规关于车船税相关规定执行。</w:t>
            </w:r>
          </w:p>
        </w:tc>
      </w:tr>
      <w:bookmarkEnd w:id="122"/>
    </w:tbl>
    <w:p w14:paraId="23AB607B">
      <w:pPr>
        <w:rPr>
          <w:rFonts w:hint="eastAsia" w:ascii="黑体" w:hAnsi="宋体" w:cs="黑体"/>
          <w:color w:val="auto"/>
          <w:szCs w:val="21"/>
          <w:highlight w:val="none"/>
        </w:rPr>
      </w:pPr>
      <w:r>
        <w:rPr>
          <w:rFonts w:hint="eastAsia" w:ascii="黑体" w:hAnsi="宋体" w:cs="黑体"/>
          <w:color w:val="auto"/>
          <w:szCs w:val="21"/>
          <w:highlight w:val="none"/>
        </w:rPr>
        <w:br w:type="page"/>
      </w:r>
    </w:p>
    <w:bookmarkEnd w:id="123"/>
    <w:p w14:paraId="4DB7EF19">
      <w:pPr>
        <w:pStyle w:val="4"/>
        <w:jc w:val="center"/>
        <w:outlineLvl w:val="0"/>
        <w:rPr>
          <w:rFonts w:ascii="宋体" w:hAnsi="宋体" w:eastAsia="宋体" w:cs="宋体"/>
          <w:bCs w:val="0"/>
          <w:color w:val="auto"/>
          <w:sz w:val="28"/>
          <w:szCs w:val="28"/>
          <w:highlight w:val="none"/>
        </w:rPr>
      </w:pPr>
      <w:bookmarkStart w:id="124" w:name="_Toc30198"/>
      <w:bookmarkStart w:id="125" w:name="_Toc17532"/>
      <w:bookmarkStart w:id="126" w:name="_Toc11284"/>
      <w:bookmarkStart w:id="127" w:name="_Toc11329222"/>
      <w:bookmarkStart w:id="128" w:name="_Toc2192"/>
      <w:bookmarkStart w:id="129" w:name="_Toc32070"/>
      <w:r>
        <w:rPr>
          <w:rFonts w:hint="eastAsia" w:ascii="宋体" w:hAnsi="宋体" w:eastAsia="宋体" w:cs="宋体"/>
          <w:color w:val="auto"/>
          <w:sz w:val="28"/>
          <w:szCs w:val="28"/>
          <w:highlight w:val="none"/>
        </w:rPr>
        <w:t xml:space="preserve">附录1  </w:t>
      </w:r>
      <w:bookmarkEnd w:id="124"/>
      <w:bookmarkEnd w:id="125"/>
      <w:bookmarkEnd w:id="126"/>
      <w:bookmarkEnd w:id="127"/>
      <w:bookmarkStart w:id="130" w:name="_Toc12773"/>
      <w:bookmarkStart w:id="131" w:name="_Toc11329226"/>
      <w:bookmarkStart w:id="132" w:name="_Toc27096"/>
      <w:bookmarkStart w:id="133" w:name="_Toc25591"/>
      <w:r>
        <w:rPr>
          <w:rFonts w:hint="eastAsia" w:ascii="宋体" w:hAnsi="宋体" w:eastAsia="宋体" w:cs="宋体"/>
          <w:bCs w:val="0"/>
          <w:color w:val="auto"/>
          <w:sz w:val="28"/>
          <w:szCs w:val="28"/>
          <w:highlight w:val="none"/>
        </w:rPr>
        <w:t>报价人资格要求</w:t>
      </w:r>
      <w:bookmarkEnd w:id="128"/>
      <w:bookmarkEnd w:id="129"/>
      <w:bookmarkEnd w:id="130"/>
      <w:bookmarkEnd w:id="131"/>
      <w:bookmarkEnd w:id="132"/>
      <w:bookmarkEnd w:id="133"/>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2D9E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04B19E62">
            <w:pPr>
              <w:spacing w:line="400" w:lineRule="exact"/>
              <w:jc w:val="center"/>
              <w:rPr>
                <w:rFonts w:ascii="宋体" w:hAnsi="宋体" w:cs="宋体"/>
                <w:b/>
                <w:bCs/>
                <w:color w:val="auto"/>
                <w:szCs w:val="21"/>
                <w:highlight w:val="none"/>
              </w:rPr>
            </w:pPr>
            <w:bookmarkStart w:id="134" w:name="_Toc388534043"/>
            <w:bookmarkStart w:id="135" w:name="_Toc387234996"/>
            <w:r>
              <w:rPr>
                <w:rFonts w:hint="eastAsia" w:ascii="宋体" w:hAnsi="宋体" w:cs="宋体"/>
                <w:b/>
                <w:bCs/>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002666D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7D0D6E71">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资格要求</w:t>
            </w:r>
          </w:p>
        </w:tc>
      </w:tr>
      <w:tr w14:paraId="75FA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14:paraId="0799E43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431B9E1A">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资格要求</w:t>
            </w:r>
          </w:p>
        </w:tc>
        <w:tc>
          <w:tcPr>
            <w:tcW w:w="6784" w:type="dxa"/>
            <w:tcBorders>
              <w:top w:val="single" w:color="auto" w:sz="4" w:space="0"/>
              <w:left w:val="single" w:color="auto" w:sz="4" w:space="0"/>
              <w:bottom w:val="single" w:color="auto" w:sz="4" w:space="0"/>
              <w:right w:val="single" w:color="auto" w:sz="4" w:space="0"/>
            </w:tcBorders>
            <w:vAlign w:val="center"/>
          </w:tcPr>
          <w:p w14:paraId="5EBC5CD7">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报价人是在中华人民共和国境内注册，并在重庆市范围内设有分支机构的省级保险分公司或保险总公司，且有经相关登记管理机关核发的有效营业执照，属于分公司的，还须提供总公司营业执照复印件及授权委托书并加盖总公司公章（每家保险总公司只能授权一家分公司参与本项目）。</w:t>
            </w:r>
          </w:p>
          <w:p w14:paraId="5D808FD5">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 保险业务范围:报价人或其总公司须是由中国保险监督管理委员会批准设立的拥有经营财产保险业务范围的保险企业法人。</w:t>
            </w:r>
          </w:p>
          <w:p w14:paraId="44369307">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3.3其他：报价人或报价人总公司具备以下①、②其一即可：</w:t>
            </w:r>
          </w:p>
          <w:p w14:paraId="680BF928">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①具有中国保险监督管理委员会(或中国银行保险监督管理委员会)关于机动车综合商业保险等条款和费率的批复。</w:t>
            </w:r>
          </w:p>
          <w:p w14:paraId="1049CA72">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color w:val="auto"/>
                <w:highlight w:val="none"/>
              </w:rPr>
            </w:pPr>
            <w:r>
              <w:rPr>
                <w:rFonts w:hint="eastAsia" w:ascii="宋体" w:hAnsi="宋体" w:cs="宋体"/>
                <w:color w:val="auto"/>
                <w:sz w:val="21"/>
                <w:szCs w:val="21"/>
                <w:highlight w:val="none"/>
                <w:lang w:val="en-US" w:eastAsia="zh-CN"/>
              </w:rPr>
              <w:t>②机动车综合商业保险条款和保险费率已向中国保险监督管理委员会（或中国银行保险监督管理委员会）备案。</w:t>
            </w:r>
          </w:p>
        </w:tc>
      </w:tr>
      <w:tr w14:paraId="2339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14:paraId="1A9B5181">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2DF9D50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F94C170">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4EE7FD90">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hAnsi="宋体"/>
          <w:b/>
          <w:bCs/>
          <w:color w:val="auto"/>
          <w:kern w:val="0"/>
          <w:szCs w:val="21"/>
          <w:highlight w:val="none"/>
        </w:rPr>
      </w:pPr>
    </w:p>
    <w:p w14:paraId="4512F830">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hAnsi="宋体"/>
          <w:b/>
          <w:bCs/>
          <w:color w:val="auto"/>
          <w:kern w:val="0"/>
          <w:szCs w:val="21"/>
          <w:highlight w:val="none"/>
        </w:rPr>
      </w:pPr>
      <w:r>
        <w:rPr>
          <w:rFonts w:hint="eastAsia" w:hAnsi="宋体"/>
          <w:b/>
          <w:bCs/>
          <w:color w:val="auto"/>
          <w:kern w:val="0"/>
          <w:szCs w:val="21"/>
          <w:highlight w:val="none"/>
        </w:rPr>
        <w:t>注：1.提供总公司及分公司（若为分公司参与）营业执照复印件及授权文件（若为分公司参与），并加盖报价人鲜章。</w:t>
      </w:r>
    </w:p>
    <w:p w14:paraId="22EEFF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left"/>
        <w:textAlignment w:val="auto"/>
        <w:outlineLvl w:val="9"/>
        <w:rPr>
          <w:rFonts w:hint="eastAsia" w:hAnsi="宋体"/>
          <w:b/>
          <w:bCs/>
          <w:color w:val="auto"/>
          <w:kern w:val="0"/>
          <w:szCs w:val="21"/>
          <w:highlight w:val="none"/>
        </w:rPr>
      </w:pPr>
      <w:r>
        <w:rPr>
          <w:rFonts w:hint="eastAsia" w:hAnsi="宋体"/>
          <w:b/>
          <w:bCs/>
          <w:color w:val="auto"/>
          <w:kern w:val="0"/>
          <w:szCs w:val="21"/>
          <w:highlight w:val="none"/>
        </w:rPr>
        <w:t>2.提供有效的许可证复印件并加盖报价人公章。</w:t>
      </w:r>
    </w:p>
    <w:p w14:paraId="3ED7301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b/>
          <w:bCs/>
          <w:color w:val="auto"/>
          <w:highlight w:val="none"/>
        </w:rPr>
      </w:pPr>
      <w:r>
        <w:rPr>
          <w:rFonts w:hint="eastAsia" w:hAnsi="宋体"/>
          <w:b/>
          <w:bCs/>
          <w:color w:val="auto"/>
          <w:kern w:val="0"/>
          <w:szCs w:val="21"/>
          <w:highlight w:val="none"/>
        </w:rPr>
        <w:t>3.投标人须提供批复证明材料复印件或者提供备案回执复印件或备案情况网页截图加盖报价人公章。</w:t>
      </w:r>
    </w:p>
    <w:p w14:paraId="4CAB3D3E">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b/>
          <w:bCs/>
          <w:color w:val="auto"/>
          <w:sz w:val="21"/>
          <w:szCs w:val="21"/>
          <w:highlight w:val="none"/>
        </w:rPr>
      </w:pPr>
      <w:r>
        <w:rPr>
          <w:rFonts w:hint="eastAsia"/>
          <w:b/>
          <w:bCs/>
          <w:color w:val="auto"/>
          <w:sz w:val="21"/>
          <w:szCs w:val="21"/>
          <w:highlight w:val="none"/>
          <w:lang w:val="en-US" w:eastAsia="zh-CN"/>
        </w:rPr>
        <w:t>4.信誉要求报价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2C69FB11">
      <w:pPr>
        <w:pStyle w:val="2"/>
        <w:rPr>
          <w:color w:val="auto"/>
          <w:highlight w:val="none"/>
        </w:rPr>
      </w:pPr>
    </w:p>
    <w:bookmarkEnd w:id="134"/>
    <w:bookmarkEnd w:id="135"/>
    <w:p w14:paraId="0647D48D">
      <w:pPr>
        <w:spacing w:line="440" w:lineRule="exact"/>
        <w:ind w:firstLine="210" w:firstLineChars="100"/>
        <w:rPr>
          <w:rFonts w:ascii="宋体" w:hAnsi="宋体" w:cs="宋体"/>
          <w:color w:val="auto"/>
          <w:highlight w:val="none"/>
        </w:rPr>
      </w:pPr>
    </w:p>
    <w:p w14:paraId="17149850">
      <w:pPr>
        <w:pStyle w:val="18"/>
        <w:rPr>
          <w:rFonts w:ascii="宋体" w:hAnsi="宋体" w:cs="宋体"/>
          <w:color w:val="auto"/>
          <w:highlight w:val="none"/>
        </w:rPr>
      </w:pPr>
    </w:p>
    <w:p w14:paraId="474998AC">
      <w:pPr>
        <w:rPr>
          <w:color w:val="auto"/>
          <w:highlight w:val="none"/>
        </w:rPr>
      </w:pPr>
    </w:p>
    <w:p w14:paraId="2997E956">
      <w:pPr>
        <w:rPr>
          <w:rFonts w:ascii="宋体" w:hAnsi="宋体" w:cs="宋体"/>
          <w:color w:val="auto"/>
          <w:highlight w:val="none"/>
        </w:rPr>
      </w:pPr>
    </w:p>
    <w:p w14:paraId="57FC7BA5">
      <w:pPr>
        <w:rPr>
          <w:rFonts w:ascii="宋体" w:hAnsi="宋体" w:cs="宋体"/>
          <w:color w:val="auto"/>
          <w:highlight w:val="none"/>
        </w:rPr>
      </w:pPr>
      <w:r>
        <w:rPr>
          <w:rFonts w:ascii="宋体" w:hAnsi="宋体" w:cs="宋体"/>
          <w:color w:val="auto"/>
          <w:highlight w:val="none"/>
        </w:rPr>
        <w:br w:type="page"/>
      </w:r>
    </w:p>
    <w:p w14:paraId="4235EA4D">
      <w:pPr>
        <w:pStyle w:val="3"/>
        <w:keepNext/>
        <w:keepLines/>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rPr>
          <w:color w:val="auto"/>
          <w:highlight w:val="none"/>
        </w:rPr>
      </w:pPr>
      <w:bookmarkStart w:id="136" w:name="_Toc247085745"/>
      <w:bookmarkStart w:id="137" w:name="_Toc246996230"/>
      <w:bookmarkStart w:id="138" w:name="_Toc144974554"/>
      <w:bookmarkStart w:id="139" w:name="_Toc246996973"/>
      <w:bookmarkStart w:id="140" w:name="_Toc507319957"/>
      <w:bookmarkStart w:id="141" w:name="_Toc179632605"/>
      <w:bookmarkStart w:id="142" w:name="_Toc152042364"/>
      <w:bookmarkStart w:id="143" w:name="_Toc2000406"/>
      <w:bookmarkStart w:id="144" w:name="_Toc152045587"/>
      <w:r>
        <w:rPr>
          <w:rFonts w:hint="eastAsia" w:ascii="宋体" w:hAnsi="宋体" w:cs="宋体"/>
          <w:color w:val="auto"/>
          <w:highlight w:val="none"/>
        </w:rPr>
        <w:t xml:space="preserve"> </w:t>
      </w:r>
      <w:bookmarkEnd w:id="136"/>
      <w:bookmarkEnd w:id="137"/>
      <w:bookmarkEnd w:id="138"/>
      <w:bookmarkEnd w:id="139"/>
      <w:bookmarkEnd w:id="140"/>
      <w:bookmarkEnd w:id="141"/>
      <w:bookmarkEnd w:id="142"/>
      <w:bookmarkEnd w:id="143"/>
      <w:bookmarkEnd w:id="144"/>
      <w:bookmarkStart w:id="145" w:name="_Toc18019"/>
      <w:bookmarkStart w:id="146" w:name="_Toc12712"/>
      <w:r>
        <w:rPr>
          <w:rFonts w:hint="eastAsia" w:ascii="宋体" w:hAnsi="宋体" w:cs="宋体"/>
          <w:color w:val="auto"/>
          <w:highlight w:val="none"/>
        </w:rPr>
        <w:t>评标办法（综合评估法）</w:t>
      </w:r>
      <w:bookmarkEnd w:id="145"/>
      <w:bookmarkEnd w:id="146"/>
    </w:p>
    <w:p w14:paraId="17D0832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color w:val="auto"/>
          <w:sz w:val="28"/>
          <w:szCs w:val="28"/>
          <w:highlight w:val="none"/>
        </w:rPr>
      </w:pPr>
      <w:bookmarkStart w:id="147" w:name="_Toc18631"/>
      <w:r>
        <w:rPr>
          <w:rFonts w:hint="eastAsia" w:ascii="宋体" w:hAnsi="宋体" w:cs="宋体"/>
          <w:b/>
          <w:bCs/>
          <w:color w:val="auto"/>
          <w:sz w:val="28"/>
          <w:szCs w:val="28"/>
          <w:highlight w:val="none"/>
        </w:rPr>
        <w:t>评标方法前附表</w:t>
      </w:r>
      <w:bookmarkEnd w:id="147"/>
    </w:p>
    <w:tbl>
      <w:tblPr>
        <w:tblStyle w:val="44"/>
        <w:tblpPr w:leftFromText="180" w:rightFromText="180" w:vertAnchor="text" w:horzAnchor="page" w:tblpX="1139" w:tblpY="296"/>
        <w:tblOverlap w:val="never"/>
        <w:tblW w:w="98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4"/>
        <w:gridCol w:w="897"/>
        <w:gridCol w:w="1129"/>
        <w:gridCol w:w="1653"/>
        <w:gridCol w:w="4627"/>
        <w:gridCol w:w="555"/>
      </w:tblGrid>
      <w:tr w14:paraId="367B2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970" w:type="dxa"/>
            <w:gridSpan w:val="3"/>
            <w:tcBorders>
              <w:top w:val="single" w:color="auto" w:sz="4" w:space="0"/>
              <w:bottom w:val="single" w:color="auto" w:sz="4" w:space="0"/>
              <w:right w:val="single" w:color="auto" w:sz="4" w:space="0"/>
            </w:tcBorders>
            <w:vAlign w:val="center"/>
          </w:tcPr>
          <w:p w14:paraId="5C21F00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条款号</w:t>
            </w:r>
          </w:p>
        </w:tc>
        <w:tc>
          <w:tcPr>
            <w:tcW w:w="1653" w:type="dxa"/>
            <w:tcBorders>
              <w:top w:val="single" w:color="auto" w:sz="4" w:space="0"/>
              <w:left w:val="single" w:color="auto" w:sz="4" w:space="0"/>
              <w:bottom w:val="single" w:color="auto" w:sz="4" w:space="0"/>
              <w:right w:val="single" w:color="auto" w:sz="4" w:space="0"/>
            </w:tcBorders>
            <w:vAlign w:val="center"/>
          </w:tcPr>
          <w:p w14:paraId="2A48130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评审因素</w:t>
            </w:r>
          </w:p>
        </w:tc>
        <w:tc>
          <w:tcPr>
            <w:tcW w:w="5182" w:type="dxa"/>
            <w:gridSpan w:val="2"/>
            <w:tcBorders>
              <w:top w:val="single" w:color="auto" w:sz="4" w:space="0"/>
              <w:left w:val="single" w:color="auto" w:sz="4" w:space="0"/>
              <w:bottom w:val="single" w:color="auto" w:sz="4" w:space="0"/>
            </w:tcBorders>
            <w:vAlign w:val="center"/>
          </w:tcPr>
          <w:p w14:paraId="340A13C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评审标准</w:t>
            </w:r>
          </w:p>
        </w:tc>
      </w:tr>
      <w:tr w14:paraId="15D2FD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tcBorders>
              <w:top w:val="single" w:color="auto" w:sz="4" w:space="0"/>
              <w:right w:val="single" w:color="auto" w:sz="4" w:space="0"/>
            </w:tcBorders>
            <w:vAlign w:val="center"/>
          </w:tcPr>
          <w:p w14:paraId="48A13F6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2026" w:type="dxa"/>
            <w:gridSpan w:val="2"/>
            <w:tcBorders>
              <w:top w:val="single" w:color="auto" w:sz="4" w:space="0"/>
              <w:left w:val="single" w:color="auto" w:sz="4" w:space="0"/>
              <w:right w:val="single" w:color="auto" w:sz="4" w:space="0"/>
            </w:tcBorders>
            <w:vAlign w:val="center"/>
          </w:tcPr>
          <w:p w14:paraId="6E6C1D8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评标方法</w:t>
            </w:r>
          </w:p>
        </w:tc>
        <w:tc>
          <w:tcPr>
            <w:tcW w:w="1653" w:type="dxa"/>
            <w:tcBorders>
              <w:top w:val="single" w:color="auto" w:sz="4" w:space="0"/>
              <w:left w:val="single" w:color="auto" w:sz="4" w:space="0"/>
              <w:bottom w:val="single" w:color="auto" w:sz="4" w:space="0"/>
              <w:right w:val="single" w:color="auto" w:sz="4" w:space="0"/>
            </w:tcBorders>
            <w:vAlign w:val="center"/>
          </w:tcPr>
          <w:p w14:paraId="45215F6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中标候选人排序方法</w:t>
            </w:r>
          </w:p>
        </w:tc>
        <w:tc>
          <w:tcPr>
            <w:tcW w:w="5182" w:type="dxa"/>
            <w:gridSpan w:val="2"/>
            <w:tcBorders>
              <w:top w:val="single" w:color="auto" w:sz="4" w:space="0"/>
              <w:left w:val="single" w:color="auto" w:sz="4" w:space="0"/>
              <w:bottom w:val="single" w:color="auto" w:sz="4" w:space="0"/>
            </w:tcBorders>
          </w:tcPr>
          <w:p w14:paraId="5171C40C">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报价人得分=A+B+C，对通过初步评审的报价人按照总得分（商务+技术+报价）由从高到低的先后顺序。如出现得分(精确到小数点后两位)相等时，按以下原则确定第一中标候选人：</w:t>
            </w:r>
          </w:p>
          <w:p w14:paraId="13B148F2">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（1）以评标价低的报价人优先；</w:t>
            </w:r>
          </w:p>
          <w:p w14:paraId="33700C60">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（2）如评标价也相同时，以技术得分较高的报价人优先；</w:t>
            </w:r>
          </w:p>
          <w:p w14:paraId="6D56632B">
            <w:pPr>
              <w:keepNext w:val="0"/>
              <w:pageBreakBefore w:val="0"/>
              <w:kinsoku/>
              <w:wordWrap/>
              <w:overflowPunct/>
              <w:topLinePunct w:val="0"/>
              <w:bidi w:val="0"/>
              <w:spacing w:beforeAutospacing="0" w:line="36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（3）如技术得分也相同时，由评标委员会投票决定。</w:t>
            </w:r>
          </w:p>
        </w:tc>
      </w:tr>
      <w:tr w14:paraId="244BE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right w:val="single" w:color="auto" w:sz="4" w:space="0"/>
            </w:tcBorders>
            <w:vAlign w:val="center"/>
          </w:tcPr>
          <w:p w14:paraId="31EDE28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2.1.1</w:t>
            </w:r>
          </w:p>
        </w:tc>
        <w:tc>
          <w:tcPr>
            <w:tcW w:w="2026" w:type="dxa"/>
            <w:gridSpan w:val="2"/>
            <w:vMerge w:val="restart"/>
            <w:tcBorders>
              <w:top w:val="single" w:color="auto" w:sz="4" w:space="0"/>
              <w:left w:val="single" w:color="auto" w:sz="4" w:space="0"/>
              <w:right w:val="single" w:color="auto" w:sz="4" w:space="0"/>
            </w:tcBorders>
            <w:vAlign w:val="center"/>
          </w:tcPr>
          <w:p w14:paraId="2BDE6E1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形式评审标准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577B4F9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报价人名称</w:t>
            </w:r>
          </w:p>
        </w:tc>
        <w:tc>
          <w:tcPr>
            <w:tcW w:w="5182" w:type="dxa"/>
            <w:gridSpan w:val="2"/>
            <w:tcBorders>
              <w:top w:val="single" w:color="auto" w:sz="4" w:space="0"/>
              <w:left w:val="single" w:color="auto" w:sz="4" w:space="0"/>
              <w:bottom w:val="single" w:color="auto" w:sz="4" w:space="0"/>
            </w:tcBorders>
            <w:vAlign w:val="center"/>
          </w:tcPr>
          <w:p w14:paraId="235ABDFC">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与营业执照、资质证书一致。</w:t>
            </w:r>
          </w:p>
        </w:tc>
      </w:tr>
      <w:tr w14:paraId="4770B3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7748DD1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78AAF50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93B16F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报价函</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盖章</w:t>
            </w:r>
          </w:p>
        </w:tc>
        <w:tc>
          <w:tcPr>
            <w:tcW w:w="5182" w:type="dxa"/>
            <w:gridSpan w:val="2"/>
            <w:tcBorders>
              <w:top w:val="single" w:color="auto" w:sz="4" w:space="0"/>
              <w:left w:val="single" w:color="auto" w:sz="4" w:space="0"/>
              <w:bottom w:val="single" w:color="auto" w:sz="4" w:space="0"/>
            </w:tcBorders>
            <w:vAlign w:val="center"/>
          </w:tcPr>
          <w:p w14:paraId="28508BED">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有法定代表人或委托代理人</w:t>
            </w:r>
            <w:r>
              <w:rPr>
                <w:rFonts w:hint="eastAsia" w:asciiTheme="minorEastAsia" w:hAnsiTheme="minorEastAsia" w:eastAsiaTheme="minorEastAsia" w:cstheme="minorEastAsia"/>
                <w:color w:val="auto"/>
                <w:szCs w:val="21"/>
                <w:highlight w:val="none"/>
                <w:lang w:eastAsia="zh-CN"/>
              </w:rPr>
              <w:t>签名</w:t>
            </w:r>
            <w:r>
              <w:rPr>
                <w:rFonts w:hint="eastAsia" w:asciiTheme="minorEastAsia" w:hAnsiTheme="minorEastAsia" w:eastAsiaTheme="minorEastAsia" w:cstheme="minorEastAsia"/>
                <w:color w:val="auto"/>
                <w:szCs w:val="21"/>
                <w:highlight w:val="none"/>
              </w:rPr>
              <w:t>或加盖单位公章。</w:t>
            </w:r>
          </w:p>
        </w:tc>
      </w:tr>
      <w:tr w14:paraId="4D580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DD0A8C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2AEEA9D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5D69ADC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竞争性比选响应文件格式</w:t>
            </w:r>
          </w:p>
        </w:tc>
        <w:tc>
          <w:tcPr>
            <w:tcW w:w="5182" w:type="dxa"/>
            <w:gridSpan w:val="2"/>
            <w:tcBorders>
              <w:top w:val="single" w:color="auto" w:sz="4" w:space="0"/>
              <w:left w:val="single" w:color="auto" w:sz="4" w:space="0"/>
              <w:bottom w:val="single" w:color="auto" w:sz="4" w:space="0"/>
            </w:tcBorders>
            <w:vAlign w:val="center"/>
          </w:tcPr>
          <w:p w14:paraId="57F89607">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w:t>
            </w:r>
            <w:r>
              <w:rPr>
                <w:rFonts w:hint="eastAsia"/>
                <w:color w:val="auto"/>
                <w:highlight w:val="none"/>
                <w:lang w:val="en-US" w:eastAsia="zh-CN"/>
              </w:rPr>
              <w:t>八</w:t>
            </w:r>
            <w:r>
              <w:rPr>
                <w:rFonts w:hint="eastAsia" w:asciiTheme="minorEastAsia" w:hAnsiTheme="minorEastAsia" w:eastAsiaTheme="minorEastAsia" w:cstheme="minorEastAsia"/>
                <w:color w:val="auto"/>
                <w:szCs w:val="21"/>
                <w:highlight w:val="none"/>
              </w:rPr>
              <w:t>章“竞争性比选响应文件格式”的要求，字迹清晰可辨。</w:t>
            </w:r>
          </w:p>
          <w:p w14:paraId="0EB75A44">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1.报价函的所有数据均符合比选文件的规定；</w:t>
            </w:r>
          </w:p>
          <w:p w14:paraId="0DC6EEDB">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2.竞争性比选响应文件附表齐全完整，内容均按规定填写；</w:t>
            </w:r>
          </w:p>
        </w:tc>
      </w:tr>
      <w:tr w14:paraId="713951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6FB283B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0AAAEB4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1C94BD4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color w:val="auto"/>
                <w:highlight w:val="none"/>
                <w:lang w:val="en-US" w:eastAsia="zh-CN"/>
              </w:rPr>
              <w:t>采购清单</w:t>
            </w:r>
          </w:p>
        </w:tc>
        <w:tc>
          <w:tcPr>
            <w:tcW w:w="5182" w:type="dxa"/>
            <w:gridSpan w:val="2"/>
            <w:tcBorders>
              <w:top w:val="single" w:color="auto" w:sz="4" w:space="0"/>
              <w:left w:val="single" w:color="auto" w:sz="4" w:space="0"/>
              <w:bottom w:val="single" w:color="auto" w:sz="4" w:space="0"/>
            </w:tcBorders>
            <w:vAlign w:val="center"/>
          </w:tcPr>
          <w:p w14:paraId="5EDD8FB1">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color w:val="auto"/>
                <w:highlight w:val="none"/>
              </w:rPr>
              <w:t>符合第</w:t>
            </w:r>
            <w:r>
              <w:rPr>
                <w:rFonts w:hint="eastAsia"/>
                <w:color w:val="auto"/>
                <w:highlight w:val="none"/>
                <w:lang w:val="en-US" w:eastAsia="zh-CN"/>
              </w:rPr>
              <w:t>五</w:t>
            </w:r>
            <w:r>
              <w:rPr>
                <w:color w:val="auto"/>
                <w:highlight w:val="none"/>
              </w:rPr>
              <w:t>章</w:t>
            </w:r>
            <w:r>
              <w:rPr>
                <w:rFonts w:hint="eastAsia"/>
                <w:color w:val="auto"/>
                <w:highlight w:val="none"/>
                <w:lang w:eastAsia="zh-CN"/>
              </w:rPr>
              <w:t>“</w:t>
            </w:r>
            <w:r>
              <w:rPr>
                <w:rFonts w:hint="eastAsia"/>
                <w:color w:val="auto"/>
                <w:highlight w:val="none"/>
                <w:lang w:val="en-US" w:eastAsia="zh-CN"/>
              </w:rPr>
              <w:t>采购清单</w:t>
            </w:r>
            <w:r>
              <w:rPr>
                <w:rFonts w:hint="eastAsia"/>
                <w:color w:val="auto"/>
                <w:highlight w:val="none"/>
                <w:lang w:eastAsia="zh-CN"/>
              </w:rPr>
              <w:t>”</w:t>
            </w:r>
            <w:r>
              <w:rPr>
                <w:color w:val="auto"/>
                <w:highlight w:val="none"/>
              </w:rPr>
              <w:t>给出的范围及数量</w:t>
            </w:r>
            <w:r>
              <w:rPr>
                <w:rFonts w:hint="eastAsia"/>
                <w:color w:val="auto"/>
                <w:highlight w:val="none"/>
              </w:rPr>
              <w:t>。</w:t>
            </w:r>
          </w:p>
        </w:tc>
      </w:tr>
      <w:tr w14:paraId="62CD6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right w:val="single" w:color="auto" w:sz="4" w:space="0"/>
            </w:tcBorders>
            <w:vAlign w:val="center"/>
          </w:tcPr>
          <w:p w14:paraId="4DEF809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right w:val="single" w:color="auto" w:sz="4" w:space="0"/>
            </w:tcBorders>
            <w:vAlign w:val="center"/>
          </w:tcPr>
          <w:p w14:paraId="6D55282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3687829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报价其它要求</w:t>
            </w:r>
          </w:p>
        </w:tc>
        <w:tc>
          <w:tcPr>
            <w:tcW w:w="5182" w:type="dxa"/>
            <w:gridSpan w:val="2"/>
            <w:tcBorders>
              <w:top w:val="single" w:color="auto" w:sz="4" w:space="0"/>
              <w:left w:val="single" w:color="auto" w:sz="4" w:space="0"/>
              <w:bottom w:val="single" w:color="auto" w:sz="4" w:space="0"/>
            </w:tcBorders>
            <w:vAlign w:val="center"/>
          </w:tcPr>
          <w:p w14:paraId="1632A9BE">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竞争性比选响应文件报价表中的报价与报价书文字报价应保持一致。</w:t>
            </w:r>
          </w:p>
        </w:tc>
      </w:tr>
      <w:tr w14:paraId="6213E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09A9A53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5B8E860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72021D1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竞争性比选响应文件正本中法定代表人或其授权代理人签署</w:t>
            </w:r>
          </w:p>
        </w:tc>
        <w:tc>
          <w:tcPr>
            <w:tcW w:w="5182" w:type="dxa"/>
            <w:gridSpan w:val="2"/>
            <w:tcBorders>
              <w:top w:val="single" w:color="auto" w:sz="4" w:space="0"/>
              <w:left w:val="single" w:color="auto" w:sz="4" w:space="0"/>
              <w:bottom w:val="single" w:color="auto" w:sz="4" w:space="0"/>
            </w:tcBorders>
            <w:vAlign w:val="center"/>
          </w:tcPr>
          <w:p w14:paraId="5D8976E9">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竞争性比选响应文件正本中法定代表人或授权代理人签署姓名齐全，符合比选文件规定；</w:t>
            </w:r>
          </w:p>
        </w:tc>
      </w:tr>
      <w:tr w14:paraId="3FEDA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379A739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3A6D6F9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right w:val="single" w:color="auto" w:sz="4" w:space="0"/>
            </w:tcBorders>
            <w:vAlign w:val="center"/>
          </w:tcPr>
          <w:p w14:paraId="04254D7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其它</w:t>
            </w:r>
          </w:p>
        </w:tc>
        <w:tc>
          <w:tcPr>
            <w:tcW w:w="5182" w:type="dxa"/>
            <w:gridSpan w:val="2"/>
            <w:tcBorders>
              <w:top w:val="single" w:color="auto" w:sz="4" w:space="0"/>
              <w:left w:val="single" w:color="auto" w:sz="4" w:space="0"/>
            </w:tcBorders>
            <w:vAlign w:val="center"/>
          </w:tcPr>
          <w:p w14:paraId="5E21E328">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单位负责人为同一人或者存在控股、管理关系的不同单位，不得同时参加报价，否则相关报价均无效。</w:t>
            </w:r>
          </w:p>
        </w:tc>
      </w:tr>
      <w:tr w14:paraId="53725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777481A7">
            <w:pPr>
              <w:keepNext w:val="0"/>
              <w:pageBreakBefore w:val="0"/>
              <w:kinsoku/>
              <w:wordWrap/>
              <w:overflowPunct/>
              <w:topLinePunct w:val="0"/>
              <w:bidi w:val="0"/>
              <w:spacing w:beforeAutospacing="0" w:line="36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2</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506506D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38D1786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lang w:val="en-US" w:eastAsia="zh-CN"/>
              </w:rPr>
              <w:t>资格要求</w:t>
            </w:r>
          </w:p>
        </w:tc>
        <w:tc>
          <w:tcPr>
            <w:tcW w:w="5182" w:type="dxa"/>
            <w:gridSpan w:val="2"/>
            <w:tcBorders>
              <w:top w:val="single" w:color="auto" w:sz="4" w:space="0"/>
              <w:left w:val="single" w:color="auto" w:sz="4" w:space="0"/>
              <w:bottom w:val="single" w:color="auto" w:sz="4" w:space="0"/>
            </w:tcBorders>
            <w:vAlign w:val="center"/>
          </w:tcPr>
          <w:p w14:paraId="17B82122">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7485F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20C1708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7510FBC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6DAD230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业绩要求</w:t>
            </w:r>
          </w:p>
        </w:tc>
        <w:tc>
          <w:tcPr>
            <w:tcW w:w="5182" w:type="dxa"/>
            <w:gridSpan w:val="2"/>
            <w:tcBorders>
              <w:top w:val="single" w:color="auto" w:sz="4" w:space="0"/>
              <w:left w:val="single" w:color="auto" w:sz="4" w:space="0"/>
              <w:bottom w:val="single" w:color="auto" w:sz="4" w:space="0"/>
            </w:tcBorders>
            <w:vAlign w:val="center"/>
          </w:tcPr>
          <w:p w14:paraId="47FE159E">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6B10F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1B123C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4FFA15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082E8DB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信誉要求</w:t>
            </w:r>
          </w:p>
        </w:tc>
        <w:tc>
          <w:tcPr>
            <w:tcW w:w="5182" w:type="dxa"/>
            <w:gridSpan w:val="2"/>
            <w:tcBorders>
              <w:top w:val="single" w:color="auto" w:sz="4" w:space="0"/>
              <w:left w:val="single" w:color="auto" w:sz="4" w:space="0"/>
              <w:bottom w:val="single" w:color="auto" w:sz="4" w:space="0"/>
            </w:tcBorders>
          </w:tcPr>
          <w:p w14:paraId="0EDFEA09">
            <w:pPr>
              <w:keepNext w:val="0"/>
              <w:keepLines w:val="0"/>
              <w:pageBreakBefore w:val="0"/>
              <w:widowControl w:val="0"/>
              <w:kinsoku/>
              <w:wordWrap/>
              <w:overflowPunct/>
              <w:topLinePunct w:val="0"/>
              <w:autoSpaceDE/>
              <w:autoSpaceDN/>
              <w:bidi w:val="0"/>
              <w:adjustRightInd/>
              <w:snapToGrid/>
              <w:spacing w:beforeAutospacing="0" w:line="360" w:lineRule="exact"/>
              <w:ind w:firstLine="0" w:firstLineChars="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符合第二章“</w:t>
            </w:r>
            <w:r>
              <w:rPr>
                <w:rFonts w:hint="eastAsia" w:asciiTheme="minorEastAsia" w:hAnsiTheme="minorEastAsia" w:eastAsiaTheme="minorEastAsia" w:cstheme="minorEastAsia"/>
                <w:color w:val="auto"/>
                <w:szCs w:val="21"/>
                <w:highlight w:val="none"/>
                <w:lang w:eastAsia="zh-CN"/>
              </w:rPr>
              <w:t>报价人须知</w:t>
            </w:r>
            <w:r>
              <w:rPr>
                <w:rFonts w:hint="eastAsia" w:asciiTheme="minorEastAsia" w:hAnsiTheme="minorEastAsia" w:eastAsiaTheme="minorEastAsia" w:cstheme="minorEastAsia"/>
                <w:color w:val="auto"/>
                <w:szCs w:val="21"/>
                <w:highlight w:val="none"/>
              </w:rPr>
              <w:t>”第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项规定</w:t>
            </w:r>
          </w:p>
        </w:tc>
      </w:tr>
      <w:tr w14:paraId="74127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3D6E6802">
            <w:pPr>
              <w:keepNext w:val="0"/>
              <w:pageBreakBefore w:val="0"/>
              <w:kinsoku/>
              <w:wordWrap/>
              <w:overflowPunct/>
              <w:topLinePunct w:val="0"/>
              <w:bidi w:val="0"/>
              <w:spacing w:beforeAutospacing="0" w:line="360" w:lineRule="exact"/>
              <w:jc w:val="center"/>
              <w:rPr>
                <w:rFonts w:hint="eastAsia" w:eastAsia="宋体" w:asciiTheme="minorEastAsia" w:hAnsiTheme="minorEastAsia" w:cstheme="minorEastAsia"/>
                <w:color w:val="auto"/>
                <w:szCs w:val="21"/>
                <w:highlight w:val="none"/>
                <w:lang w:eastAsia="zh-CN"/>
              </w:rPr>
            </w:pPr>
            <w:r>
              <w:rPr>
                <w:rFonts w:hint="eastAsia" w:ascii="宋体" w:hAnsi="宋体" w:cs="宋体"/>
                <w:color w:val="auto"/>
                <w:szCs w:val="21"/>
                <w:highlight w:val="none"/>
              </w:rPr>
              <w:t>2.1.</w:t>
            </w:r>
            <w:r>
              <w:rPr>
                <w:rFonts w:hint="eastAsia" w:ascii="宋体" w:hAnsi="宋体" w:cs="宋体"/>
                <w:color w:val="auto"/>
                <w:szCs w:val="21"/>
                <w:highlight w:val="none"/>
                <w:lang w:val="en-US" w:eastAsia="zh-CN"/>
              </w:rPr>
              <w:t>3</w:t>
            </w:r>
          </w:p>
        </w:tc>
        <w:tc>
          <w:tcPr>
            <w:tcW w:w="2026" w:type="dxa"/>
            <w:gridSpan w:val="2"/>
            <w:vMerge w:val="restart"/>
            <w:tcBorders>
              <w:top w:val="single" w:color="auto" w:sz="4" w:space="0"/>
              <w:left w:val="single" w:color="auto" w:sz="4" w:space="0"/>
              <w:bottom w:val="single" w:color="auto" w:sz="4" w:space="0"/>
              <w:right w:val="single" w:color="auto" w:sz="4" w:space="0"/>
            </w:tcBorders>
            <w:vAlign w:val="center"/>
          </w:tcPr>
          <w:p w14:paraId="5E6F1C9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响应性评审标准</w:t>
            </w:r>
          </w:p>
        </w:tc>
        <w:tc>
          <w:tcPr>
            <w:tcW w:w="1653" w:type="dxa"/>
            <w:tcBorders>
              <w:top w:val="single" w:color="auto" w:sz="4" w:space="0"/>
              <w:left w:val="single" w:color="auto" w:sz="4" w:space="0"/>
              <w:bottom w:val="single" w:color="auto" w:sz="4" w:space="0"/>
              <w:right w:val="single" w:color="auto" w:sz="4" w:space="0"/>
            </w:tcBorders>
            <w:vAlign w:val="center"/>
          </w:tcPr>
          <w:p w14:paraId="1C56C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color w:val="auto"/>
                <w:szCs w:val="21"/>
                <w:highlight w:val="none"/>
              </w:rPr>
            </w:pPr>
            <w:r>
              <w:rPr>
                <w:color w:val="auto"/>
                <w:highlight w:val="none"/>
              </w:rPr>
              <w:t>投标内容</w:t>
            </w:r>
          </w:p>
        </w:tc>
        <w:tc>
          <w:tcPr>
            <w:tcW w:w="5182" w:type="dxa"/>
            <w:gridSpan w:val="2"/>
            <w:tcBorders>
              <w:top w:val="single" w:color="auto" w:sz="4" w:space="0"/>
              <w:left w:val="single" w:color="auto" w:sz="4" w:space="0"/>
              <w:bottom w:val="single" w:color="auto" w:sz="4" w:space="0"/>
            </w:tcBorders>
            <w:vAlign w:val="center"/>
          </w:tcPr>
          <w:p w14:paraId="6C1A6A49">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14:paraId="18F1EA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right w:val="single" w:color="auto" w:sz="4" w:space="0"/>
            </w:tcBorders>
            <w:vAlign w:val="center"/>
          </w:tcPr>
          <w:p w14:paraId="4166B62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left w:val="single" w:color="auto" w:sz="4" w:space="0"/>
              <w:right w:val="single" w:color="auto" w:sz="4" w:space="0"/>
            </w:tcBorders>
            <w:vAlign w:val="center"/>
          </w:tcPr>
          <w:p w14:paraId="164A9CF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2F9246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stheme="minorEastAsia"/>
                <w:color w:val="auto"/>
                <w:szCs w:val="21"/>
                <w:highlight w:val="none"/>
              </w:rPr>
            </w:pPr>
            <w:r>
              <w:rPr>
                <w:rFonts w:hint="eastAsia"/>
                <w:color w:val="auto"/>
                <w:highlight w:val="none"/>
                <w:lang w:val="en-US" w:eastAsia="zh-CN"/>
              </w:rPr>
              <w:t>交货地点</w:t>
            </w:r>
          </w:p>
        </w:tc>
        <w:tc>
          <w:tcPr>
            <w:tcW w:w="5182" w:type="dxa"/>
            <w:gridSpan w:val="2"/>
            <w:tcBorders>
              <w:top w:val="single" w:color="auto" w:sz="4" w:space="0"/>
              <w:left w:val="single" w:color="auto" w:sz="4" w:space="0"/>
              <w:bottom w:val="single" w:color="auto" w:sz="4" w:space="0"/>
            </w:tcBorders>
            <w:vAlign w:val="center"/>
          </w:tcPr>
          <w:p w14:paraId="1E4998AE">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14:paraId="21B0B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11303B9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5DF4F9C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vAlign w:val="center"/>
          </w:tcPr>
          <w:p w14:paraId="3AE83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宋体" w:hAnsi="宋体" w:eastAsia="宋体" w:cs="宋体"/>
                <w:color w:val="auto"/>
                <w:szCs w:val="21"/>
                <w:highlight w:val="none"/>
              </w:rPr>
              <w:t>交货时间</w:t>
            </w:r>
          </w:p>
        </w:tc>
        <w:tc>
          <w:tcPr>
            <w:tcW w:w="5182" w:type="dxa"/>
            <w:gridSpan w:val="2"/>
            <w:tcBorders>
              <w:top w:val="single" w:color="auto" w:sz="4" w:space="0"/>
              <w:left w:val="single" w:color="auto" w:sz="4" w:space="0"/>
              <w:bottom w:val="single" w:color="auto" w:sz="4" w:space="0"/>
            </w:tcBorders>
            <w:vAlign w:val="center"/>
          </w:tcPr>
          <w:p w14:paraId="52250AD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14:paraId="0D796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7266848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4879B69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8C860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cs="宋体"/>
                <w:color w:val="auto"/>
                <w:kern w:val="0"/>
                <w:highlight w:val="none"/>
              </w:rPr>
              <w:t>质量保修期</w:t>
            </w:r>
          </w:p>
        </w:tc>
        <w:tc>
          <w:tcPr>
            <w:tcW w:w="5182" w:type="dxa"/>
            <w:gridSpan w:val="2"/>
            <w:tcBorders>
              <w:top w:val="single" w:color="auto" w:sz="4" w:space="0"/>
              <w:left w:val="single" w:color="auto" w:sz="4" w:space="0"/>
              <w:bottom w:val="single" w:color="auto" w:sz="4" w:space="0"/>
            </w:tcBorders>
            <w:shd w:val="clear" w:color="auto" w:fill="auto"/>
            <w:vAlign w:val="center"/>
          </w:tcPr>
          <w:p w14:paraId="472CBC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14:paraId="6FCF4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D9A49C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6A646B6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025CB7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技术标准</w:t>
            </w:r>
          </w:p>
        </w:tc>
        <w:tc>
          <w:tcPr>
            <w:tcW w:w="5182" w:type="dxa"/>
            <w:gridSpan w:val="2"/>
            <w:tcBorders>
              <w:top w:val="single" w:color="auto" w:sz="4" w:space="0"/>
              <w:left w:val="single" w:color="auto" w:sz="4" w:space="0"/>
              <w:bottom w:val="single" w:color="auto" w:sz="4" w:space="0"/>
            </w:tcBorders>
            <w:shd w:val="clear" w:color="auto" w:fill="auto"/>
            <w:vAlign w:val="center"/>
          </w:tcPr>
          <w:p w14:paraId="7C3615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14:paraId="60919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70DE9F8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7AEED86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06E0B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lang w:val="en-US" w:eastAsia="zh-CN"/>
              </w:rPr>
            </w:pPr>
            <w:r>
              <w:rPr>
                <w:color w:val="auto"/>
                <w:highlight w:val="none"/>
              </w:rPr>
              <w:t>报价</w:t>
            </w:r>
          </w:p>
        </w:tc>
        <w:tc>
          <w:tcPr>
            <w:tcW w:w="5182" w:type="dxa"/>
            <w:gridSpan w:val="2"/>
            <w:tcBorders>
              <w:top w:val="single" w:color="auto" w:sz="4" w:space="0"/>
              <w:left w:val="single" w:color="auto" w:sz="4" w:space="0"/>
              <w:bottom w:val="single" w:color="auto" w:sz="4" w:space="0"/>
            </w:tcBorders>
            <w:shd w:val="clear" w:color="auto" w:fill="auto"/>
            <w:vAlign w:val="center"/>
          </w:tcPr>
          <w:p w14:paraId="6DE10C48">
            <w:pPr>
              <w:keepNext w:val="0"/>
              <w:keepLines w:val="0"/>
              <w:pageBreakBefore w:val="0"/>
              <w:widowControl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公布的最高限价，但也不得低于</w:t>
            </w:r>
            <w:r>
              <w:rPr>
                <w:rFonts w:hint="eastAsia"/>
                <w:color w:val="auto"/>
                <w:highlight w:val="none"/>
              </w:rPr>
              <w:t>报价</w:t>
            </w:r>
            <w:r>
              <w:rPr>
                <w:color w:val="auto"/>
                <w:highlight w:val="none"/>
              </w:rPr>
              <w:t>人的企业成本。</w:t>
            </w:r>
          </w:p>
        </w:tc>
      </w:tr>
      <w:tr w14:paraId="1BB7EF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3DD84E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7807B4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759940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color w:val="auto"/>
                <w:highlight w:val="none"/>
                <w:lang w:val="en-US" w:eastAsia="zh-CN"/>
              </w:rPr>
              <w:t>偏差</w:t>
            </w:r>
          </w:p>
        </w:tc>
        <w:tc>
          <w:tcPr>
            <w:tcW w:w="5182" w:type="dxa"/>
            <w:gridSpan w:val="2"/>
            <w:tcBorders>
              <w:top w:val="single" w:color="auto" w:sz="4" w:space="0"/>
              <w:left w:val="single" w:color="auto" w:sz="4" w:space="0"/>
              <w:bottom w:val="single" w:color="auto" w:sz="4" w:space="0"/>
            </w:tcBorders>
            <w:shd w:val="clear" w:color="auto" w:fill="auto"/>
            <w:vAlign w:val="center"/>
          </w:tcPr>
          <w:p w14:paraId="5BDB9B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Cs w:val="21"/>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12</w:t>
            </w:r>
            <w:r>
              <w:rPr>
                <w:color w:val="auto"/>
                <w:highlight w:val="none"/>
              </w:rPr>
              <w:t>项规定</w:t>
            </w:r>
          </w:p>
        </w:tc>
      </w:tr>
      <w:tr w14:paraId="6B33A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04F2D37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2026" w:type="dxa"/>
            <w:gridSpan w:val="2"/>
            <w:vMerge w:val="continue"/>
            <w:tcBorders>
              <w:top w:val="single" w:color="auto" w:sz="4" w:space="0"/>
              <w:left w:val="single" w:color="auto" w:sz="4" w:space="0"/>
              <w:bottom w:val="single" w:color="auto" w:sz="4" w:space="0"/>
              <w:right w:val="single" w:color="auto" w:sz="4" w:space="0"/>
            </w:tcBorders>
            <w:vAlign w:val="center"/>
          </w:tcPr>
          <w:p w14:paraId="2C71E98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14:paraId="465041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color w:val="auto"/>
                <w:highlight w:val="none"/>
                <w:lang w:val="en-US" w:eastAsia="zh-CN"/>
              </w:rPr>
              <w:t>保证金</w:t>
            </w:r>
          </w:p>
        </w:tc>
        <w:tc>
          <w:tcPr>
            <w:tcW w:w="5182" w:type="dxa"/>
            <w:gridSpan w:val="2"/>
            <w:tcBorders>
              <w:top w:val="single" w:color="auto" w:sz="4" w:space="0"/>
              <w:left w:val="single" w:color="auto" w:sz="4" w:space="0"/>
              <w:bottom w:val="single" w:color="auto" w:sz="4" w:space="0"/>
            </w:tcBorders>
            <w:shd w:val="clear" w:color="auto" w:fill="auto"/>
            <w:vAlign w:val="center"/>
          </w:tcPr>
          <w:p w14:paraId="560A701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19</w:t>
            </w:r>
            <w:r>
              <w:rPr>
                <w:color w:val="auto"/>
                <w:highlight w:val="none"/>
              </w:rPr>
              <w:t>项规定</w:t>
            </w:r>
          </w:p>
        </w:tc>
      </w:tr>
      <w:tr w14:paraId="4B0EC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547259E7">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2.2.1</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2A431E3C">
            <w:pPr>
              <w:keepNext w:val="0"/>
              <w:pageBreakBefore w:val="0"/>
              <w:tabs>
                <w:tab w:val="left" w:pos="1875"/>
              </w:tabs>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分值构成</w:t>
            </w:r>
          </w:p>
          <w:p w14:paraId="17CFBE8E">
            <w:pPr>
              <w:keepNext w:val="0"/>
              <w:pageBreakBefore w:val="0"/>
              <w:tabs>
                <w:tab w:val="left" w:pos="1875"/>
              </w:tabs>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(总分100分)</w:t>
            </w:r>
          </w:p>
        </w:tc>
        <w:tc>
          <w:tcPr>
            <w:tcW w:w="6835" w:type="dxa"/>
            <w:gridSpan w:val="3"/>
            <w:tcBorders>
              <w:top w:val="single" w:color="auto" w:sz="4" w:space="0"/>
              <w:left w:val="single" w:color="auto" w:sz="4" w:space="0"/>
              <w:bottom w:val="single" w:color="auto" w:sz="4" w:space="0"/>
            </w:tcBorders>
          </w:tcPr>
          <w:p w14:paraId="5A84977A">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A：投标报价</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0分；</w:t>
            </w:r>
          </w:p>
          <w:p w14:paraId="34B3CC65">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B：商务部分</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0分；</w:t>
            </w:r>
          </w:p>
          <w:p w14:paraId="32894CA4">
            <w:pPr>
              <w:keepNext w:val="0"/>
              <w:pageBreakBefore w:val="0"/>
              <w:kinsoku/>
              <w:wordWrap/>
              <w:overflowPunct/>
              <w:topLinePunct w:val="0"/>
              <w:bidi w:val="0"/>
              <w:spacing w:beforeAutospacing="0" w:line="360" w:lineRule="exact"/>
              <w:ind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C：技术部分20分。</w:t>
            </w:r>
          </w:p>
        </w:tc>
      </w:tr>
      <w:tr w14:paraId="511B96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66" w:hRule="atLeast"/>
        </w:trPr>
        <w:tc>
          <w:tcPr>
            <w:tcW w:w="944" w:type="dxa"/>
            <w:tcBorders>
              <w:top w:val="single" w:color="auto" w:sz="4" w:space="0"/>
              <w:bottom w:val="single" w:color="auto" w:sz="4" w:space="0"/>
              <w:right w:val="single" w:color="auto" w:sz="4" w:space="0"/>
            </w:tcBorders>
            <w:vAlign w:val="center"/>
          </w:tcPr>
          <w:p w14:paraId="0B4CAC6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宋体" w:hAnsi="宋体" w:cs="宋体"/>
                <w:color w:val="auto"/>
                <w:szCs w:val="21"/>
                <w:highlight w:val="none"/>
              </w:rPr>
              <w:t>2.2.2</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4B53AB9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评标基准价</w:t>
            </w:r>
          </w:p>
        </w:tc>
        <w:tc>
          <w:tcPr>
            <w:tcW w:w="6835" w:type="dxa"/>
            <w:gridSpan w:val="3"/>
            <w:tcBorders>
              <w:top w:val="single" w:color="auto" w:sz="4" w:space="0"/>
              <w:left w:val="single" w:color="auto" w:sz="4" w:space="0"/>
              <w:bottom w:val="single" w:color="auto" w:sz="4" w:space="0"/>
            </w:tcBorders>
          </w:tcPr>
          <w:p w14:paraId="2F5B43D8">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本项目投标最高限价为：</w:t>
            </w:r>
            <w:r>
              <w:rPr>
                <w:rFonts w:hint="eastAsia" w:ascii="宋体" w:hAnsi="宋体"/>
                <w:b w:val="0"/>
                <w:bCs w:val="0"/>
                <w:color w:val="auto"/>
                <w:szCs w:val="21"/>
                <w:highlight w:val="none"/>
                <w:u w:val="none"/>
              </w:rPr>
              <w:t>燃油车</w:t>
            </w:r>
            <w:r>
              <w:rPr>
                <w:rFonts w:hint="eastAsia" w:ascii="宋体" w:hAnsi="宋体"/>
                <w:b w:val="0"/>
                <w:bCs w:val="0"/>
                <w:color w:val="auto"/>
                <w:szCs w:val="21"/>
                <w:highlight w:val="none"/>
                <w:u w:val="none"/>
                <w:lang w:val="en-US" w:eastAsia="zh-CN"/>
              </w:rPr>
              <w:t xml:space="preserve">商业险自主定价系数 </w:t>
            </w:r>
            <w:r>
              <w:rPr>
                <w:rFonts w:hint="eastAsia" w:ascii="宋体" w:hAnsi="宋体"/>
                <w:b w:val="0"/>
                <w:bCs w:val="0"/>
                <w:color w:val="auto"/>
                <w:szCs w:val="21"/>
                <w:highlight w:val="none"/>
                <w:u w:val="none"/>
              </w:rPr>
              <w:t>0.55</w:t>
            </w:r>
            <w:r>
              <w:rPr>
                <w:rFonts w:hint="eastAsia" w:ascii="宋体" w:hAnsi="宋体"/>
                <w:b w:val="0"/>
                <w:bCs w:val="0"/>
                <w:color w:val="auto"/>
                <w:szCs w:val="21"/>
                <w:highlight w:val="none"/>
                <w:lang w:eastAsia="zh-CN"/>
              </w:rPr>
              <w:t>，</w:t>
            </w:r>
            <w:r>
              <w:rPr>
                <w:rFonts w:hint="eastAsia" w:ascii="宋体" w:hAnsi="宋体"/>
                <w:b w:val="0"/>
                <w:bCs w:val="0"/>
                <w:color w:val="auto"/>
                <w:szCs w:val="21"/>
                <w:highlight w:val="none"/>
                <w:u w:val="none"/>
                <w:lang w:val="en-US" w:eastAsia="zh-CN"/>
              </w:rPr>
              <w:t>新能源</w:t>
            </w:r>
            <w:r>
              <w:rPr>
                <w:rFonts w:hint="eastAsia" w:ascii="宋体" w:hAnsi="宋体"/>
                <w:b w:val="0"/>
                <w:bCs w:val="0"/>
                <w:color w:val="auto"/>
                <w:szCs w:val="21"/>
                <w:highlight w:val="none"/>
                <w:u w:val="none"/>
              </w:rPr>
              <w:t>车</w:t>
            </w:r>
            <w:r>
              <w:rPr>
                <w:rFonts w:hint="eastAsia" w:ascii="宋体" w:hAnsi="宋体"/>
                <w:b w:val="0"/>
                <w:bCs w:val="0"/>
                <w:color w:val="auto"/>
                <w:szCs w:val="21"/>
                <w:highlight w:val="none"/>
                <w:u w:val="none"/>
                <w:lang w:val="en-US" w:eastAsia="zh-CN"/>
              </w:rPr>
              <w:t xml:space="preserve">商业险自主定价系数 </w:t>
            </w:r>
            <w:r>
              <w:rPr>
                <w:rFonts w:hint="eastAsia" w:ascii="宋体" w:hAnsi="宋体"/>
                <w:b w:val="0"/>
                <w:bCs w:val="0"/>
                <w:color w:val="auto"/>
                <w:szCs w:val="21"/>
                <w:highlight w:val="none"/>
                <w:u w:val="none"/>
              </w:rPr>
              <w:t>0.</w:t>
            </w:r>
            <w:r>
              <w:rPr>
                <w:rFonts w:hint="eastAsia" w:ascii="宋体" w:hAnsi="宋体"/>
                <w:b w:val="0"/>
                <w:bCs w:val="0"/>
                <w:color w:val="auto"/>
                <w:szCs w:val="21"/>
                <w:highlight w:val="none"/>
                <w:u w:val="none"/>
                <w:lang w:eastAsia="zh-CN"/>
              </w:rPr>
              <w:t>6</w:t>
            </w:r>
            <w:r>
              <w:rPr>
                <w:rFonts w:hint="eastAsia" w:ascii="宋体" w:hAnsi="宋体"/>
                <w:b w:val="0"/>
                <w:bCs w:val="0"/>
                <w:color w:val="auto"/>
                <w:szCs w:val="21"/>
                <w:highlight w:val="none"/>
                <w:u w:val="none"/>
              </w:rPr>
              <w:t>5</w:t>
            </w:r>
            <w:r>
              <w:rPr>
                <w:rFonts w:hint="eastAsia" w:asciiTheme="minorEastAsia" w:hAnsiTheme="minorEastAsia" w:eastAsiaTheme="minorEastAsia" w:cstheme="minorEastAsia"/>
                <w:color w:val="auto"/>
                <w:kern w:val="2"/>
                <w:sz w:val="21"/>
                <w:szCs w:val="21"/>
                <w:highlight w:val="none"/>
                <w:lang w:val="en-US" w:eastAsia="zh-CN" w:bidi="ar"/>
              </w:rPr>
              <w:t>；报价人的投标折扣系数不能高于最高限价，否则作否决投标处理。</w:t>
            </w:r>
          </w:p>
          <w:p w14:paraId="59B07A13">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1</w:t>
            </w: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rPr>
              <w:t>燃油车</w:t>
            </w:r>
            <w:r>
              <w:rPr>
                <w:rFonts w:hint="eastAsia" w:ascii="宋体" w:hAnsi="宋体"/>
                <w:b w:val="0"/>
                <w:bCs w:val="0"/>
                <w:color w:val="auto"/>
                <w:szCs w:val="21"/>
                <w:highlight w:val="none"/>
                <w:u w:val="none"/>
                <w:lang w:val="en-US" w:eastAsia="zh-CN"/>
              </w:rPr>
              <w:t>投标商业险自主定价系数</w:t>
            </w:r>
            <w:r>
              <w:rPr>
                <w:rFonts w:hint="eastAsia" w:asciiTheme="minorEastAsia" w:hAnsiTheme="minorEastAsia" w:eastAsiaTheme="minorEastAsia" w:cstheme="minorEastAsia"/>
                <w:color w:val="auto"/>
                <w:kern w:val="2"/>
                <w:sz w:val="21"/>
                <w:szCs w:val="21"/>
                <w:highlight w:val="none"/>
                <w:lang w:val="en-US" w:eastAsia="zh-CN" w:bidi="ar"/>
              </w:rPr>
              <w:t>等于0.55的，得20分。</w:t>
            </w:r>
          </w:p>
          <w:p w14:paraId="165C17F1">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折扣系数每低于限价0.01的加0.5分，以此类推，此项满分25分。</w:t>
            </w:r>
          </w:p>
          <w:p w14:paraId="5337B431">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示例：投标折扣系数为0.54得20.5分、为0.53得21分。</w:t>
            </w:r>
          </w:p>
          <w:p w14:paraId="2CC270A5">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2</w:t>
            </w: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新能源</w:t>
            </w:r>
            <w:r>
              <w:rPr>
                <w:rFonts w:hint="eastAsia" w:ascii="宋体" w:hAnsi="宋体"/>
                <w:b w:val="0"/>
                <w:bCs w:val="0"/>
                <w:color w:val="auto"/>
                <w:szCs w:val="21"/>
                <w:highlight w:val="none"/>
                <w:u w:val="none"/>
              </w:rPr>
              <w:t>车</w:t>
            </w:r>
            <w:r>
              <w:rPr>
                <w:rFonts w:hint="eastAsia" w:ascii="宋体" w:hAnsi="宋体"/>
                <w:b w:val="0"/>
                <w:bCs w:val="0"/>
                <w:color w:val="auto"/>
                <w:szCs w:val="21"/>
                <w:highlight w:val="none"/>
                <w:u w:val="none"/>
                <w:lang w:val="en-US" w:eastAsia="zh-CN"/>
              </w:rPr>
              <w:t>投标商业险自主定价系数</w:t>
            </w:r>
            <w:r>
              <w:rPr>
                <w:rFonts w:hint="eastAsia" w:asciiTheme="minorEastAsia" w:hAnsiTheme="minorEastAsia" w:eastAsiaTheme="minorEastAsia" w:cstheme="minorEastAsia"/>
                <w:color w:val="auto"/>
                <w:kern w:val="2"/>
                <w:sz w:val="21"/>
                <w:szCs w:val="21"/>
                <w:highlight w:val="none"/>
                <w:lang w:val="en-US" w:eastAsia="zh-CN" w:bidi="ar"/>
              </w:rPr>
              <w:t>等于0.65的，得20分。</w:t>
            </w:r>
          </w:p>
          <w:p w14:paraId="29F3D448">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折扣系数每低于限价0.01的加0.5分，以此类推，此项满分25分。</w:t>
            </w:r>
          </w:p>
          <w:p w14:paraId="3618267F">
            <w:pPr>
              <w:keepNext w:val="0"/>
              <w:pageBreakBefore w:val="0"/>
              <w:kinsoku/>
              <w:wordWrap/>
              <w:overflowPunct/>
              <w:topLinePunct w:val="0"/>
              <w:bidi w:val="0"/>
              <w:spacing w:beforeAutospacing="0" w:line="360" w:lineRule="exact"/>
              <w:ind w:firstLine="42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示例：投标折扣系数为0.64得20.5分、为0.63得21分。</w:t>
            </w:r>
          </w:p>
          <w:p w14:paraId="20B224F9">
            <w:pPr>
              <w:keepNext w:val="0"/>
              <w:pageBreakBefore w:val="0"/>
              <w:kinsoku/>
              <w:wordWrap/>
              <w:overflowPunct/>
              <w:topLinePunct w:val="0"/>
              <w:bidi w:val="0"/>
              <w:spacing w:beforeAutospacing="0" w:line="36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注：报价人需对报价负责，如出现报价无法执行而给采购人带来的损失将由报价人承担。</w:t>
            </w:r>
          </w:p>
        </w:tc>
      </w:tr>
      <w:tr w14:paraId="65700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14D2D14E">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bidi="ar"/>
              </w:rPr>
              <w:t>条款号</w:t>
            </w:r>
          </w:p>
        </w:tc>
        <w:tc>
          <w:tcPr>
            <w:tcW w:w="2026" w:type="dxa"/>
            <w:gridSpan w:val="2"/>
            <w:tcBorders>
              <w:top w:val="single" w:color="auto" w:sz="4" w:space="0"/>
              <w:left w:val="single" w:color="auto" w:sz="4" w:space="0"/>
              <w:bottom w:val="single" w:color="auto" w:sz="4" w:space="0"/>
              <w:right w:val="single" w:color="auto" w:sz="4" w:space="0"/>
            </w:tcBorders>
            <w:vAlign w:val="center"/>
          </w:tcPr>
          <w:p w14:paraId="703B99E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b/>
                <w:color w:val="auto"/>
                <w:szCs w:val="21"/>
                <w:highlight w:val="none"/>
                <w:lang w:bidi="ar"/>
              </w:rPr>
              <w:t>评分因素权重分值</w:t>
            </w:r>
          </w:p>
        </w:tc>
        <w:tc>
          <w:tcPr>
            <w:tcW w:w="6280" w:type="dxa"/>
            <w:gridSpan w:val="2"/>
            <w:tcBorders>
              <w:top w:val="single" w:color="auto" w:sz="4" w:space="0"/>
              <w:left w:val="single" w:color="auto" w:sz="4" w:space="0"/>
              <w:bottom w:val="single" w:color="auto" w:sz="4" w:space="0"/>
            </w:tcBorders>
            <w:vAlign w:val="center"/>
          </w:tcPr>
          <w:p w14:paraId="7F94F9B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各评分因素细分项</w:t>
            </w:r>
          </w:p>
        </w:tc>
        <w:tc>
          <w:tcPr>
            <w:tcW w:w="555" w:type="dxa"/>
            <w:tcBorders>
              <w:top w:val="single" w:color="auto" w:sz="4" w:space="0"/>
              <w:left w:val="single" w:color="auto" w:sz="4" w:space="0"/>
              <w:bottom w:val="single" w:color="auto" w:sz="4" w:space="0"/>
            </w:tcBorders>
            <w:vAlign w:val="center"/>
          </w:tcPr>
          <w:p w14:paraId="5FE8A78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b/>
                <w:color w:val="auto"/>
                <w:szCs w:val="21"/>
                <w:highlight w:val="none"/>
                <w:lang w:bidi="ar"/>
              </w:rPr>
              <w:t>备注</w:t>
            </w:r>
          </w:p>
        </w:tc>
      </w:tr>
      <w:tr w14:paraId="1A0FE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restart"/>
            <w:tcBorders>
              <w:top w:val="single" w:color="auto" w:sz="4" w:space="0"/>
              <w:bottom w:val="single" w:color="auto" w:sz="4" w:space="0"/>
              <w:right w:val="single" w:color="auto" w:sz="4" w:space="0"/>
            </w:tcBorders>
            <w:vAlign w:val="center"/>
          </w:tcPr>
          <w:p w14:paraId="3D932DD3">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6A65A1CC">
            <w:pPr>
              <w:keepNext w:val="0"/>
              <w:pageBreakBefore w:val="0"/>
              <w:kinsoku/>
              <w:wordWrap/>
              <w:overflowPunct/>
              <w:topLinePunct w:val="0"/>
              <w:bidi w:val="0"/>
              <w:spacing w:beforeAutospacing="0" w:line="360" w:lineRule="exact"/>
              <w:jc w:val="center"/>
              <w:rPr>
                <w:rFonts w:hint="default" w:eastAsia="宋体" w:asciiTheme="minorEastAsia" w:hAnsiTheme="minorEastAsia" w:cstheme="minorEastAsia"/>
                <w:bCs/>
                <w:color w:val="auto"/>
                <w:szCs w:val="21"/>
                <w:highlight w:val="none"/>
                <w:lang w:val="en-US" w:eastAsia="zh-CN" w:bidi="ar"/>
              </w:rPr>
            </w:pPr>
            <w:r>
              <w:rPr>
                <w:rFonts w:hint="eastAsia" w:ascii="宋体" w:hAnsi="宋体" w:cs="宋体"/>
                <w:color w:val="auto"/>
                <w:szCs w:val="21"/>
                <w:highlight w:val="none"/>
                <w:lang w:val="en-US" w:eastAsia="zh-CN"/>
              </w:rPr>
              <w:t>（1）</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4BFE65B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技术评分标准（20分）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14:paraId="59B9E126">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技术部分评分分为客观评分和主观评分。</w:t>
            </w:r>
          </w:p>
          <w:p w14:paraId="6D92B455">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客观评分：评标委员会按以下各评审因素设定的分值进行评分且保证分值统一；主观评分：评标委员会成员为5人及以上时，所有评委评分算术平均值为该报价人技术部分得分。</w:t>
            </w:r>
          </w:p>
          <w:p w14:paraId="049AE300">
            <w:pPr>
              <w:keepNext w:val="0"/>
              <w:pageBreakBefore w:val="0"/>
              <w:kinsoku/>
              <w:wordWrap/>
              <w:overflowPunct/>
              <w:topLinePunct w:val="0"/>
              <w:autoSpaceDE w:val="0"/>
              <w:autoSpaceDN w:val="0"/>
              <w:bidi w:val="0"/>
              <w:spacing w:beforeAutospacing="0" w:line="360" w:lineRule="exact"/>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技术部分得分的最终结果保留两位小数，小数点后第三位四舍五入。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14:paraId="12E8D8C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3CCF8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5C5FD98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0F22CDA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90FF7C3">
            <w:pPr>
              <w:keepNext w:val="0"/>
              <w:keepLines w:val="0"/>
              <w:widowControl/>
              <w:suppressLineNumbers w:val="0"/>
              <w:jc w:val="center"/>
              <w:textAlignment w:val="center"/>
              <w:rPr>
                <w:rFonts w:hint="eastAsia" w:asciiTheme="minorEastAsia" w:hAnsiTheme="minorEastAsia" w:eastAsiaTheme="minorEastAsia" w:cstheme="minorEastAsia"/>
                <w:bCs/>
                <w:color w:val="auto"/>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SA"/>
              </w:rPr>
              <w:t>增值服务</w:t>
            </w:r>
            <w:r>
              <w:rPr>
                <w:rFonts w:hint="eastAsia" w:asciiTheme="minorEastAsia" w:hAnsiTheme="minorEastAsia" w:eastAsiaTheme="minorEastAsia" w:cstheme="minorEastAsia"/>
                <w:color w:val="auto"/>
                <w:kern w:val="2"/>
                <w:sz w:val="21"/>
                <w:szCs w:val="21"/>
                <w:highlight w:val="none"/>
                <w:lang w:val="en-US" w:eastAsia="zh-CN" w:bidi="ar-SA"/>
              </w:rPr>
              <w:br w:type="textWrapping"/>
            </w:r>
            <w:r>
              <w:rPr>
                <w:rFonts w:hint="eastAsia" w:asciiTheme="minorEastAsia" w:hAnsiTheme="minorEastAsia" w:eastAsiaTheme="minorEastAsia" w:cstheme="minorEastAsia"/>
                <w:color w:val="auto"/>
                <w:kern w:val="2"/>
                <w:sz w:val="21"/>
                <w:szCs w:val="21"/>
                <w:highlight w:val="none"/>
                <w:lang w:val="en-US" w:eastAsia="zh-CN" w:bidi="ar-SA"/>
              </w:rPr>
              <w:t>（10分）</w:t>
            </w:r>
          </w:p>
        </w:tc>
        <w:tc>
          <w:tcPr>
            <w:tcW w:w="6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FD2467">
            <w:pPr>
              <w:pStyle w:val="181"/>
              <w:widowControl/>
              <w:spacing w:line="400" w:lineRule="exact"/>
              <w:ind w:left="100" w:leftChars="0" w:firstLine="420" w:firstLineChars="200"/>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1、承诺专职人员代办年审，满足条件得4分，否则不得分；</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 xml:space="preserve">    2、承诺提供其他增值服务，每增加一项增值加2分，最多加6分。</w:t>
            </w:r>
          </w:p>
        </w:tc>
        <w:tc>
          <w:tcPr>
            <w:tcW w:w="555" w:type="dxa"/>
            <w:tcBorders>
              <w:top w:val="single" w:color="auto" w:sz="4" w:space="0"/>
              <w:left w:val="single" w:color="auto" w:sz="4" w:space="0"/>
              <w:bottom w:val="single" w:color="auto" w:sz="4" w:space="0"/>
            </w:tcBorders>
            <w:vAlign w:val="center"/>
          </w:tcPr>
          <w:p w14:paraId="1F88670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53774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2CD2BFC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52E2A6C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2AE4C205">
            <w:pPr>
              <w:keepNext w:val="0"/>
              <w:keepLines w:val="0"/>
              <w:widowControl/>
              <w:suppressLineNumbers w:val="0"/>
              <w:jc w:val="center"/>
              <w:textAlignment w:val="center"/>
              <w:rPr>
                <w:rFonts w:hint="eastAsia" w:asciiTheme="minorEastAsia" w:hAnsiTheme="minorEastAsia" w:eastAsiaTheme="minorEastAsia" w:cstheme="minorEastAsia"/>
                <w:bCs/>
                <w:color w:val="auto"/>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SA"/>
              </w:rPr>
              <w:t>勘察、定损服务方案（4分）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14:paraId="23123BAC">
            <w:pPr>
              <w:keepNext w:val="0"/>
              <w:keepLines w:val="0"/>
              <w:widowControl/>
              <w:suppressLineNumbers w:val="0"/>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设有针对本项目的勘察、定损、理赔的优化程序，勘察、定损时效做出相应承诺，根据程序的合理性、可行性、时效性打分，程序合理、简洁、高效、时效高的方案得4~3.2分，程序较合理、简洁、高效、时效较高的方案得3.2~2.4分，程序不合理、不简洁、不高效、时效性低的方案得2.4~0分，缺项得0分。</w:t>
            </w:r>
          </w:p>
        </w:tc>
        <w:tc>
          <w:tcPr>
            <w:tcW w:w="555" w:type="dxa"/>
            <w:tcBorders>
              <w:top w:val="single" w:color="auto" w:sz="4" w:space="0"/>
              <w:left w:val="single" w:color="auto" w:sz="4" w:space="0"/>
              <w:bottom w:val="single" w:color="auto" w:sz="4" w:space="0"/>
            </w:tcBorders>
            <w:vAlign w:val="center"/>
          </w:tcPr>
          <w:p w14:paraId="61676C1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4EB12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vMerge w:val="continue"/>
            <w:tcBorders>
              <w:top w:val="single" w:color="auto" w:sz="4" w:space="0"/>
              <w:bottom w:val="single" w:color="auto" w:sz="4" w:space="0"/>
              <w:right w:val="single" w:color="auto" w:sz="4" w:space="0"/>
            </w:tcBorders>
            <w:vAlign w:val="center"/>
          </w:tcPr>
          <w:p w14:paraId="63B7C2D2">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14:paraId="702734D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38F39944">
            <w:pPr>
              <w:keepNext w:val="0"/>
              <w:keepLines w:val="0"/>
              <w:widowControl/>
              <w:suppressLineNumbers w:val="0"/>
              <w:jc w:val="center"/>
              <w:textAlignment w:val="center"/>
              <w:rPr>
                <w:rFonts w:hint="eastAsia"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color w:val="auto"/>
                <w:kern w:val="2"/>
                <w:sz w:val="21"/>
                <w:szCs w:val="21"/>
                <w:highlight w:val="none"/>
                <w:lang w:val="en-US" w:eastAsia="zh-CN" w:bidi="ar-SA"/>
              </w:rPr>
              <w:t>理赔服务及预付赔款（6分）</w:t>
            </w:r>
          </w:p>
        </w:tc>
        <w:tc>
          <w:tcPr>
            <w:tcW w:w="6280" w:type="dxa"/>
            <w:gridSpan w:val="2"/>
            <w:tcBorders>
              <w:top w:val="single" w:color="auto" w:sz="4" w:space="0"/>
              <w:left w:val="single" w:color="auto" w:sz="4" w:space="0"/>
              <w:bottom w:val="single" w:color="auto" w:sz="4" w:space="0"/>
              <w:right w:val="single" w:color="auto" w:sz="4" w:space="0"/>
            </w:tcBorders>
            <w:vAlign w:val="center"/>
          </w:tcPr>
          <w:p w14:paraId="548BBB64">
            <w:pPr>
              <w:keepNext w:val="0"/>
              <w:keepLines w:val="0"/>
              <w:widowControl/>
              <w:suppressLineNumbers w:val="0"/>
              <w:ind w:firstLine="420" w:firstLineChars="200"/>
              <w:jc w:val="left"/>
              <w:textAlignment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针对本项目建立完善、有效的理赔服务体系并建立绿色报案通道。对专项建立的理赔体系完善程度、索赔资料要求的合理程度，以及查勘和理赔时效性进行评价，优秀得3~2.4分，良好得2.4~1.8分，较差得1.8~0分，缺项得0分。</w:t>
            </w:r>
            <w:r>
              <w:rPr>
                <w:rFonts w:hint="eastAsia" w:asciiTheme="minorEastAsia" w:hAnsiTheme="minorEastAsia" w:eastAsiaTheme="minorEastAsia" w:cstheme="minorEastAsia"/>
                <w:color w:val="auto"/>
                <w:kern w:val="2"/>
                <w:sz w:val="21"/>
                <w:szCs w:val="21"/>
                <w:highlight w:val="none"/>
                <w:lang w:val="en-US" w:eastAsia="zh-CN" w:bidi="ar-SA"/>
              </w:rPr>
              <w:br w:type="textWrapping"/>
            </w:r>
            <w:r>
              <w:rPr>
                <w:rFonts w:hint="eastAsia" w:asciiTheme="minorEastAsia" w:hAnsiTheme="minorEastAsia" w:eastAsiaTheme="minorEastAsia" w:cstheme="minorEastAsia"/>
                <w:color w:val="auto"/>
                <w:kern w:val="2"/>
                <w:sz w:val="21"/>
                <w:szCs w:val="21"/>
                <w:highlight w:val="none"/>
                <w:lang w:val="en-US" w:eastAsia="zh-CN" w:bidi="ar-SA"/>
              </w:rPr>
              <w:t xml:space="preserve">   针对特殊案件理赔时，承诺预赔款支付比例和时效高低水平进行评分，优秀得3~2.4分，良好得2.4~1.8分，较差得1.8~0分，缺项得0分。</w:t>
            </w:r>
          </w:p>
        </w:tc>
        <w:tc>
          <w:tcPr>
            <w:tcW w:w="555" w:type="dxa"/>
            <w:tcBorders>
              <w:top w:val="single" w:color="auto" w:sz="4" w:space="0"/>
              <w:left w:val="single" w:color="auto" w:sz="4" w:space="0"/>
              <w:bottom w:val="single" w:color="auto" w:sz="4" w:space="0"/>
            </w:tcBorders>
            <w:vAlign w:val="center"/>
          </w:tcPr>
          <w:p w14:paraId="77DD8708">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60C56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44" w:type="dxa"/>
            <w:vMerge w:val="restart"/>
            <w:tcBorders>
              <w:top w:val="single" w:color="auto" w:sz="4" w:space="0"/>
              <w:bottom w:val="single" w:color="auto" w:sz="4" w:space="0"/>
              <w:right w:val="single" w:color="auto" w:sz="4" w:space="0"/>
            </w:tcBorders>
            <w:vAlign w:val="center"/>
          </w:tcPr>
          <w:p w14:paraId="12B09A4C">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7337649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（2）</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14:paraId="668C4EB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Theme="minorEastAsia" w:hAnsiTheme="minorEastAsia" w:eastAsiaTheme="minorEastAsia" w:cstheme="minorEastAsia"/>
                <w:bCs/>
                <w:color w:val="auto"/>
                <w:szCs w:val="21"/>
                <w:highlight w:val="none"/>
                <w:lang w:bidi="ar"/>
              </w:rPr>
              <w:t>商务评分标准（</w:t>
            </w:r>
            <w:r>
              <w:rPr>
                <w:rFonts w:hint="eastAsia" w:asciiTheme="minorEastAsia" w:hAnsiTheme="minorEastAsia" w:eastAsiaTheme="minorEastAsia" w:cstheme="minorEastAsia"/>
                <w:bCs/>
                <w:color w:val="auto"/>
                <w:szCs w:val="21"/>
                <w:highlight w:val="none"/>
                <w:lang w:val="en-US" w:eastAsia="zh-CN" w:bidi="ar"/>
              </w:rPr>
              <w:t>3</w:t>
            </w:r>
            <w:r>
              <w:rPr>
                <w:rFonts w:hint="eastAsia" w:asciiTheme="minorEastAsia" w:hAnsiTheme="minorEastAsia" w:eastAsiaTheme="minorEastAsia" w:cstheme="minorEastAsia"/>
                <w:bCs/>
                <w:color w:val="auto"/>
                <w:szCs w:val="21"/>
                <w:highlight w:val="none"/>
                <w:lang w:bidi="ar"/>
              </w:rPr>
              <w:t>0分）</w:t>
            </w:r>
          </w:p>
        </w:tc>
        <w:tc>
          <w:tcPr>
            <w:tcW w:w="7409" w:type="dxa"/>
            <w:gridSpan w:val="3"/>
            <w:tcBorders>
              <w:top w:val="single" w:color="auto" w:sz="4" w:space="0"/>
              <w:left w:val="single" w:color="auto" w:sz="4" w:space="0"/>
              <w:bottom w:val="single" w:color="auto" w:sz="4" w:space="0"/>
              <w:right w:val="single" w:color="auto" w:sz="4" w:space="0"/>
            </w:tcBorders>
            <w:vAlign w:val="center"/>
          </w:tcPr>
          <w:p w14:paraId="0DA22EB1">
            <w:pPr>
              <w:keepNext w:val="0"/>
              <w:pageBreakBefore w:val="0"/>
              <w:kinsoku/>
              <w:wordWrap/>
              <w:overflowPunct/>
              <w:topLinePunct w:val="0"/>
              <w:bidi w:val="0"/>
              <w:spacing w:beforeAutospacing="0" w:line="360" w:lineRule="exact"/>
              <w:ind w:firstLine="42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14:paraId="7B1E5EBF">
            <w:pPr>
              <w:keepNext w:val="0"/>
              <w:pageBreakBefore w:val="0"/>
              <w:kinsoku/>
              <w:wordWrap/>
              <w:overflowPunct/>
              <w:topLinePunct w:val="0"/>
              <w:bidi w:val="0"/>
              <w:spacing w:beforeAutospacing="0" w:line="360" w:lineRule="exact"/>
              <w:ind w:firstLine="420" w:firstLineChars="0"/>
              <w:rPr>
                <w:rFonts w:hint="eastAsia" w:ascii="宋体" w:hAnsi="宋体" w:eastAsia="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商务部分得分的最终结果保留两位小数，小数点后第三位四舍五入。</w:t>
            </w:r>
          </w:p>
        </w:tc>
        <w:tc>
          <w:tcPr>
            <w:tcW w:w="555" w:type="dxa"/>
            <w:tcBorders>
              <w:top w:val="single" w:color="auto" w:sz="4" w:space="0"/>
              <w:left w:val="single" w:color="auto" w:sz="4" w:space="0"/>
              <w:bottom w:val="single" w:color="auto" w:sz="4" w:space="0"/>
            </w:tcBorders>
            <w:vAlign w:val="center"/>
          </w:tcPr>
          <w:p w14:paraId="5C7D07C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5461C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09FF721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59C3410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245D2C1E">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综合偿付能力充足率（8分）</w:t>
            </w:r>
          </w:p>
        </w:tc>
        <w:tc>
          <w:tcPr>
            <w:tcW w:w="6280" w:type="dxa"/>
            <w:gridSpan w:val="2"/>
            <w:tcBorders>
              <w:top w:val="single" w:color="auto" w:sz="4" w:space="0"/>
              <w:left w:val="single" w:color="auto" w:sz="4" w:space="0"/>
              <w:bottom w:val="single" w:color="auto" w:sz="4" w:space="0"/>
            </w:tcBorders>
            <w:shd w:val="clear" w:color="auto" w:fill="auto"/>
            <w:vAlign w:val="center"/>
          </w:tcPr>
          <w:p w14:paraId="3D4E6B0E">
            <w:pPr>
              <w:keepNext w:val="0"/>
              <w:keepLines w:val="0"/>
              <w:widowControl/>
              <w:suppressLineNumbers w:val="0"/>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按报价人总公司2023年度综合偿付能力充足率进行打分。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200%（不含）及以上得8分；150%（含）以上-200%(含)得6分；100%（含）--150%得4分；100%以下不得分。</w:t>
            </w:r>
          </w:p>
          <w:p w14:paraId="48E8B553">
            <w:pPr>
              <w:keepNext w:val="0"/>
              <w:keepLines w:val="0"/>
              <w:widowControl/>
              <w:suppressLineNumbers w:val="0"/>
              <w:ind w:firstLine="420" w:firstLineChars="200"/>
              <w:jc w:val="left"/>
              <w:textAlignment w:val="center"/>
              <w:rPr>
                <w:rFonts w:hint="eastAsia" w:ascii="宋体" w:hAnsi="宋体" w:eastAsia="宋体" w:cs="宋体"/>
                <w:bCs w:val="0"/>
                <w:color w:val="auto"/>
                <w:kern w:val="0"/>
                <w:sz w:val="21"/>
                <w:szCs w:val="21"/>
                <w:highlight w:val="none"/>
                <w:u w:val="none"/>
                <w:lang w:val="en-US" w:eastAsia="zh-CN" w:bidi="ar"/>
              </w:rPr>
            </w:pPr>
            <w:r>
              <w:rPr>
                <w:rFonts w:hint="eastAsia" w:asciiTheme="minorEastAsia" w:hAnsiTheme="minorEastAsia" w:eastAsiaTheme="minorEastAsia" w:cstheme="minorEastAsia"/>
                <w:color w:val="auto"/>
                <w:szCs w:val="21"/>
                <w:highlight w:val="none"/>
              </w:rPr>
              <w:t xml:space="preserve"> 注：报价人提供经中介机构审计的202</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年度财务报告（含有偿付能力充足率指标项）报告复印件，并加盖报价人公章。</w:t>
            </w:r>
          </w:p>
        </w:tc>
        <w:tc>
          <w:tcPr>
            <w:tcW w:w="555" w:type="dxa"/>
            <w:tcBorders>
              <w:top w:val="single" w:color="auto" w:sz="4" w:space="0"/>
              <w:left w:val="single" w:color="auto" w:sz="4" w:space="0"/>
              <w:bottom w:val="single" w:color="auto" w:sz="4" w:space="0"/>
            </w:tcBorders>
            <w:vAlign w:val="center"/>
          </w:tcPr>
          <w:p w14:paraId="4261FBB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644F8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430E5D4F">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1DD4510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21C09AF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监管处罚情况（6分）</w:t>
            </w:r>
          </w:p>
        </w:tc>
        <w:tc>
          <w:tcPr>
            <w:tcW w:w="6280" w:type="dxa"/>
            <w:gridSpan w:val="2"/>
            <w:tcBorders>
              <w:top w:val="single" w:color="auto" w:sz="4" w:space="0"/>
              <w:left w:val="single" w:color="auto" w:sz="4" w:space="0"/>
              <w:bottom w:val="single" w:color="auto" w:sz="4" w:space="0"/>
            </w:tcBorders>
            <w:vAlign w:val="center"/>
          </w:tcPr>
          <w:p w14:paraId="2F618811">
            <w:pPr>
              <w:keepNext w:val="0"/>
              <w:keepLines w:val="0"/>
              <w:widowControl/>
              <w:suppressLineNumbers w:val="0"/>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报价人及在渝所属分支机构在202</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年度</w:t>
            </w:r>
            <w:r>
              <w:rPr>
                <w:rFonts w:hint="eastAsia" w:ascii="宋体" w:hAnsi="宋体" w:cs="宋体"/>
                <w:i w:val="0"/>
                <w:iCs w:val="0"/>
                <w:color w:val="auto"/>
                <w:kern w:val="0"/>
                <w:sz w:val="21"/>
                <w:szCs w:val="21"/>
                <w:highlight w:val="none"/>
                <w:u w:val="none"/>
                <w:lang w:val="en-US" w:eastAsia="zh-CN" w:bidi="ar"/>
              </w:rPr>
              <w:t>（以作出处罚决定的日期为准）</w:t>
            </w:r>
            <w:r>
              <w:rPr>
                <w:rFonts w:hint="eastAsia" w:ascii="宋体" w:hAnsi="宋体" w:eastAsia="宋体" w:cs="宋体"/>
                <w:i w:val="0"/>
                <w:iCs w:val="0"/>
                <w:color w:val="auto"/>
                <w:kern w:val="0"/>
                <w:sz w:val="21"/>
                <w:szCs w:val="21"/>
                <w:highlight w:val="none"/>
                <w:u w:val="none"/>
                <w:lang w:val="en-US" w:eastAsia="zh-CN" w:bidi="ar"/>
              </w:rPr>
              <w:t>未被中国保险监督管理委员会重庆监管局处罚，得满分6分，受到1次监管处罚的，扣1分，扣完为止。</w:t>
            </w:r>
          </w:p>
          <w:p w14:paraId="23514DDE">
            <w:pPr>
              <w:keepNext w:val="0"/>
              <w:keepLines w:val="0"/>
              <w:widowControl/>
              <w:suppressLineNumbers w:val="0"/>
              <w:ind w:firstLine="420" w:firstLineChars="200"/>
              <w:jc w:val="left"/>
              <w:textAlignment w:val="center"/>
              <w:rPr>
                <w:rFonts w:hint="eastAsia" w:ascii="宋体" w:hAnsi="宋体" w:cs="宋体"/>
                <w:b w:val="0"/>
                <w:bCs w:val="0"/>
                <w:color w:val="auto"/>
                <w:kern w:val="0"/>
                <w:szCs w:val="21"/>
                <w:highlight w:val="none"/>
                <w:u w:val="none"/>
                <w:lang w:val="en-US" w:eastAsia="zh-CN" w:bidi="ar"/>
              </w:rPr>
            </w:pPr>
            <w:r>
              <w:rPr>
                <w:rFonts w:hint="eastAsia" w:asciiTheme="minorEastAsia" w:hAnsiTheme="minorEastAsia" w:eastAsiaTheme="minorEastAsia" w:cstheme="minorEastAsia"/>
                <w:color w:val="auto"/>
                <w:szCs w:val="21"/>
                <w:highlight w:val="none"/>
              </w:rPr>
              <w:t>注：报价人提供在中国保险监督管理委员会重庆监管局官网上查询（报价人及在渝所属分支机构）的网页截图，并加盖报价人公章。</w:t>
            </w:r>
          </w:p>
        </w:tc>
        <w:tc>
          <w:tcPr>
            <w:tcW w:w="555" w:type="dxa"/>
            <w:tcBorders>
              <w:top w:val="single" w:color="auto" w:sz="4" w:space="0"/>
              <w:left w:val="single" w:color="auto" w:sz="4" w:space="0"/>
              <w:bottom w:val="single" w:color="auto" w:sz="4" w:space="0"/>
            </w:tcBorders>
            <w:vAlign w:val="center"/>
          </w:tcPr>
          <w:p w14:paraId="098D267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61AFA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468390E1">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40C3D8C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17C2A289">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承保经验（4分）</w:t>
            </w:r>
          </w:p>
        </w:tc>
        <w:tc>
          <w:tcPr>
            <w:tcW w:w="6280" w:type="dxa"/>
            <w:gridSpan w:val="2"/>
            <w:tcBorders>
              <w:top w:val="single" w:color="auto" w:sz="4" w:space="0"/>
              <w:left w:val="single" w:color="auto" w:sz="4" w:space="0"/>
              <w:bottom w:val="single" w:color="auto" w:sz="4" w:space="0"/>
            </w:tcBorders>
            <w:vAlign w:val="center"/>
          </w:tcPr>
          <w:p w14:paraId="0978E232">
            <w:pPr>
              <w:keepNext w:val="0"/>
              <w:keepLines w:val="0"/>
              <w:widowControl/>
              <w:suppressLineNumbers w:val="0"/>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报价人提供与重庆市国有企业或重庆市政府有关部门承保业绩：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报价人每与1家单位合作一次得1分，满分4分；没有合作的，不得分。</w:t>
            </w:r>
          </w:p>
          <w:p w14:paraId="7AD42FBA">
            <w:pPr>
              <w:keepNext w:val="0"/>
              <w:keepLines w:val="0"/>
              <w:widowControl/>
              <w:suppressLineNumbers w:val="0"/>
              <w:ind w:firstLine="420" w:firstLineChars="200"/>
              <w:jc w:val="left"/>
              <w:textAlignment w:val="center"/>
              <w:rPr>
                <w:rFonts w:hint="eastAsia" w:ascii="宋体" w:hAnsi="宋体" w:eastAsia="宋体" w:cs="宋体"/>
                <w:color w:val="auto"/>
                <w:kern w:val="0"/>
                <w:sz w:val="21"/>
                <w:szCs w:val="21"/>
                <w:highlight w:val="none"/>
                <w:u w:val="none"/>
                <w:lang w:bidi="ar"/>
              </w:rPr>
            </w:pPr>
            <w:r>
              <w:rPr>
                <w:rFonts w:hint="eastAsia" w:asciiTheme="minorEastAsia" w:hAnsiTheme="minorEastAsia" w:eastAsiaTheme="minorEastAsia" w:cstheme="minorEastAsia"/>
                <w:color w:val="auto"/>
                <w:szCs w:val="21"/>
                <w:highlight w:val="none"/>
              </w:rPr>
              <w:t>注：报价人提供自有或总公司的保险合同（或合作协议或保单抄件或其他承保证明文件）的复印件，并加盖报价人公章。</w:t>
            </w:r>
          </w:p>
        </w:tc>
        <w:tc>
          <w:tcPr>
            <w:tcW w:w="555" w:type="dxa"/>
            <w:tcBorders>
              <w:top w:val="single" w:color="auto" w:sz="4" w:space="0"/>
              <w:left w:val="single" w:color="auto" w:sz="4" w:space="0"/>
              <w:bottom w:val="single" w:color="auto" w:sz="4" w:space="0"/>
            </w:tcBorders>
            <w:vAlign w:val="center"/>
          </w:tcPr>
          <w:p w14:paraId="51751B6C">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3E4A2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3AE315E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51039BDB">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77C0EA7B">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风险综合评级（2分）</w:t>
            </w:r>
          </w:p>
        </w:tc>
        <w:tc>
          <w:tcPr>
            <w:tcW w:w="6280" w:type="dxa"/>
            <w:gridSpan w:val="2"/>
            <w:tcBorders>
              <w:top w:val="single" w:color="auto" w:sz="4" w:space="0"/>
              <w:left w:val="single" w:color="auto" w:sz="4" w:space="0"/>
              <w:bottom w:val="single" w:color="auto" w:sz="4" w:space="0"/>
            </w:tcBorders>
            <w:vAlign w:val="center"/>
          </w:tcPr>
          <w:p w14:paraId="0F170E58">
            <w:pPr>
              <w:keepNext w:val="0"/>
              <w:keepLines w:val="0"/>
              <w:widowControl/>
              <w:suppressLineNumbers w:val="0"/>
              <w:ind w:firstLine="420" w:firstLineChars="20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报价人总公司2023年度风险综合评级：每具有1个单个季度A级的加0.5分、每具有1个单个季度B级得0.3分，其余不得分，满分2分。</w:t>
            </w:r>
          </w:p>
          <w:p w14:paraId="703FF996">
            <w:pPr>
              <w:keepNext w:val="0"/>
              <w:keepLines w:val="0"/>
              <w:widowControl/>
              <w:suppressLineNumbers w:val="0"/>
              <w:ind w:firstLine="420" w:firstLineChars="200"/>
              <w:jc w:val="left"/>
              <w:textAlignment w:val="center"/>
              <w:rPr>
                <w:rFonts w:hint="eastAsia"/>
                <w:b/>
                <w:bCs/>
                <w:color w:val="auto"/>
                <w:szCs w:val="21"/>
                <w:highlight w:val="none"/>
                <w:lang w:val="en-US" w:eastAsia="zh-CN"/>
              </w:rPr>
            </w:pPr>
            <w:r>
              <w:rPr>
                <w:rFonts w:hint="eastAsia" w:asciiTheme="minorEastAsia" w:hAnsiTheme="minorEastAsia" w:eastAsiaTheme="minorEastAsia" w:cstheme="minorEastAsia"/>
                <w:color w:val="auto"/>
                <w:szCs w:val="21"/>
                <w:highlight w:val="none"/>
              </w:rPr>
              <w:t>注：报价人提供报价人总公司的202</w:t>
            </w:r>
            <w:r>
              <w:rPr>
                <w:rFonts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rPr>
              <w:t>年各季度的风险综合评级情况证明材料的复印件或扫描件，并加盖报价人公章。</w:t>
            </w:r>
          </w:p>
        </w:tc>
        <w:tc>
          <w:tcPr>
            <w:tcW w:w="555" w:type="dxa"/>
            <w:tcBorders>
              <w:top w:val="single" w:color="auto" w:sz="4" w:space="0"/>
              <w:left w:val="single" w:color="auto" w:sz="4" w:space="0"/>
              <w:bottom w:val="single" w:color="auto" w:sz="4" w:space="0"/>
            </w:tcBorders>
            <w:vAlign w:val="center"/>
          </w:tcPr>
          <w:p w14:paraId="1FA48274">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661DE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1350E819">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2D72831D">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72CCF00C">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分支机构设立（4分）</w:t>
            </w:r>
          </w:p>
        </w:tc>
        <w:tc>
          <w:tcPr>
            <w:tcW w:w="6280" w:type="dxa"/>
            <w:gridSpan w:val="2"/>
            <w:tcBorders>
              <w:top w:val="single" w:color="auto" w:sz="4" w:space="0"/>
              <w:left w:val="single" w:color="auto" w:sz="4" w:space="0"/>
              <w:bottom w:val="single" w:color="auto" w:sz="4" w:space="0"/>
            </w:tcBorders>
            <w:vAlign w:val="center"/>
          </w:tcPr>
          <w:p w14:paraId="4D627F76">
            <w:pPr>
              <w:keepNext w:val="0"/>
              <w:keepLines w:val="0"/>
              <w:widowControl/>
              <w:suppressLineNumbers w:val="0"/>
              <w:ind w:firstLine="420" w:firstLineChars="200"/>
              <w:jc w:val="left"/>
              <w:textAlignment w:val="center"/>
              <w:rPr>
                <w:rFonts w:hint="eastAsia"/>
                <w:b/>
                <w:bCs/>
                <w:color w:val="auto"/>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报价人或其法人公司在重庆辖区设有机构数量（4分）：机构数量&gt;30个得4分，20&lt;机构数量≤30个得2分，10&lt;机构数量≤20个得1分，机构数量≤10个得0分。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注：提供分支机构统计表及对应分支机构的营业执照和经营保险业务许可证复印件。</w:t>
            </w:r>
          </w:p>
        </w:tc>
        <w:tc>
          <w:tcPr>
            <w:tcW w:w="555" w:type="dxa"/>
            <w:tcBorders>
              <w:top w:val="single" w:color="auto" w:sz="4" w:space="0"/>
              <w:left w:val="single" w:color="auto" w:sz="4" w:space="0"/>
              <w:bottom w:val="single" w:color="auto" w:sz="4" w:space="0"/>
            </w:tcBorders>
            <w:vAlign w:val="center"/>
          </w:tcPr>
          <w:p w14:paraId="53933B76">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53B63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944" w:type="dxa"/>
            <w:vMerge w:val="continue"/>
            <w:tcBorders>
              <w:top w:val="single" w:color="auto" w:sz="4" w:space="0"/>
              <w:right w:val="single" w:color="auto" w:sz="4" w:space="0"/>
            </w:tcBorders>
            <w:vAlign w:val="center"/>
          </w:tcPr>
          <w:p w14:paraId="3EC81F5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897" w:type="dxa"/>
            <w:vMerge w:val="continue"/>
            <w:tcBorders>
              <w:top w:val="single" w:color="auto" w:sz="4" w:space="0"/>
              <w:left w:val="single" w:color="auto" w:sz="4" w:space="0"/>
              <w:right w:val="single" w:color="auto" w:sz="4" w:space="0"/>
            </w:tcBorders>
            <w:vAlign w:val="center"/>
          </w:tcPr>
          <w:p w14:paraId="17224850">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p>
        </w:tc>
        <w:tc>
          <w:tcPr>
            <w:tcW w:w="1129" w:type="dxa"/>
            <w:tcBorders>
              <w:top w:val="single" w:color="auto" w:sz="4" w:space="0"/>
              <w:left w:val="single" w:color="auto" w:sz="4" w:space="0"/>
              <w:bottom w:val="single" w:color="auto" w:sz="4" w:space="0"/>
              <w:right w:val="single" w:color="auto" w:sz="4" w:space="0"/>
            </w:tcBorders>
            <w:vAlign w:val="center"/>
          </w:tcPr>
          <w:p w14:paraId="3FCB8D5B">
            <w:pPr>
              <w:pStyle w:val="181"/>
              <w:widowControl/>
              <w:spacing w:line="400" w:lineRule="exact"/>
              <w:ind w:left="0" w:leftChars="0" w:firstLine="0" w:firstLineChars="0"/>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rPr>
              <w:t>服务团队及服务方案（6分）</w:t>
            </w:r>
          </w:p>
        </w:tc>
        <w:tc>
          <w:tcPr>
            <w:tcW w:w="6280" w:type="dxa"/>
            <w:gridSpan w:val="2"/>
            <w:tcBorders>
              <w:top w:val="single" w:color="auto" w:sz="4" w:space="0"/>
              <w:left w:val="single" w:color="auto" w:sz="4" w:space="0"/>
              <w:bottom w:val="single" w:color="auto" w:sz="4" w:space="0"/>
            </w:tcBorders>
            <w:vAlign w:val="center"/>
          </w:tcPr>
          <w:p w14:paraId="33A0FA43">
            <w:pPr>
              <w:pStyle w:val="181"/>
              <w:widowControl/>
              <w:spacing w:line="400" w:lineRule="exact"/>
              <w:ind w:left="100" w:leftChars="0"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1、设有全国统一的服务专线和专业电话服务系统，保证全年24小时专人接听，同时提供报案、救援和咨询等专业服务方案,方案优得3分，良得2分，差得1分，缺项得0分。</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 xml:space="preserve">    2、服务团队设置，含项目所在地服务人员，组织体系、职责分工、工作绩效考核评价指标进行说明的系统性、逻辑性、清晰性，根据服务小组人员级别、专业背景、岗位齐全性进行综合评估，服务团队方案优得3分，良得2分，差得1分，缺项得0分。</w:t>
            </w:r>
          </w:p>
        </w:tc>
        <w:tc>
          <w:tcPr>
            <w:tcW w:w="555" w:type="dxa"/>
            <w:tcBorders>
              <w:top w:val="single" w:color="auto" w:sz="4" w:space="0"/>
              <w:left w:val="single" w:color="auto" w:sz="4" w:space="0"/>
              <w:bottom w:val="single" w:color="auto" w:sz="4" w:space="0"/>
            </w:tcBorders>
            <w:vAlign w:val="center"/>
          </w:tcPr>
          <w:p w14:paraId="4CC94373">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 w:val="18"/>
                <w:szCs w:val="18"/>
                <w:highlight w:val="none"/>
                <w:lang w:bidi="ar"/>
              </w:rPr>
            </w:pPr>
          </w:p>
        </w:tc>
      </w:tr>
      <w:tr w14:paraId="2C995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0" w:hRule="atLeast"/>
        </w:trPr>
        <w:tc>
          <w:tcPr>
            <w:tcW w:w="944" w:type="dxa"/>
            <w:tcBorders>
              <w:top w:val="single" w:color="auto" w:sz="4" w:space="0"/>
              <w:right w:val="single" w:color="auto" w:sz="4" w:space="0"/>
            </w:tcBorders>
            <w:vAlign w:val="center"/>
          </w:tcPr>
          <w:p w14:paraId="7BD394F2">
            <w:pPr>
              <w:keepNext w:val="0"/>
              <w:pageBreakBefore w:val="0"/>
              <w:kinsoku/>
              <w:wordWrap/>
              <w:overflowPunct/>
              <w:topLinePunct w:val="0"/>
              <w:bidi w:val="0"/>
              <w:spacing w:beforeAutospacing="0"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2.2.4</w:t>
            </w:r>
          </w:p>
          <w:p w14:paraId="3BD36305">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Cs/>
                <w:color w:val="auto"/>
                <w:szCs w:val="21"/>
                <w:highlight w:val="none"/>
                <w:lang w:bidi="ar"/>
              </w:rPr>
            </w:pPr>
            <w:r>
              <w:rPr>
                <w:rFonts w:hint="eastAsia" w:ascii="宋体" w:hAnsi="宋体" w:cs="宋体"/>
                <w:color w:val="auto"/>
                <w:szCs w:val="21"/>
                <w:highlight w:val="none"/>
                <w:lang w:val="en-US" w:eastAsia="zh-CN"/>
              </w:rPr>
              <w:t>（3）</w:t>
            </w:r>
          </w:p>
        </w:tc>
        <w:tc>
          <w:tcPr>
            <w:tcW w:w="897" w:type="dxa"/>
            <w:tcBorders>
              <w:top w:val="single" w:color="auto" w:sz="4" w:space="0"/>
              <w:left w:val="single" w:color="auto" w:sz="4" w:space="0"/>
              <w:right w:val="single" w:color="auto" w:sz="4" w:space="0"/>
            </w:tcBorders>
            <w:vAlign w:val="center"/>
          </w:tcPr>
          <w:p w14:paraId="2358801E">
            <w:pPr>
              <w:pStyle w:val="38"/>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bCs/>
                <w:color w:val="auto"/>
                <w:kern w:val="2"/>
                <w:sz w:val="21"/>
                <w:szCs w:val="21"/>
                <w:highlight w:val="none"/>
                <w:lang w:bidi="ar"/>
              </w:rPr>
            </w:pPr>
            <w:r>
              <w:rPr>
                <w:rFonts w:hint="eastAsia" w:asciiTheme="minorEastAsia" w:hAnsiTheme="minorEastAsia" w:eastAsiaTheme="minorEastAsia" w:cstheme="minorEastAsia"/>
                <w:bCs/>
                <w:color w:val="auto"/>
                <w:kern w:val="2"/>
                <w:sz w:val="21"/>
                <w:szCs w:val="21"/>
                <w:highlight w:val="none"/>
                <w:lang w:bidi="ar"/>
              </w:rPr>
              <w:t>评标价（</w:t>
            </w:r>
            <w:r>
              <w:rPr>
                <w:rFonts w:hint="eastAsia" w:asciiTheme="minorEastAsia" w:hAnsiTheme="minorEastAsia" w:eastAsiaTheme="minorEastAsia" w:cstheme="minorEastAsia"/>
                <w:bCs/>
                <w:color w:val="auto"/>
                <w:kern w:val="2"/>
                <w:sz w:val="21"/>
                <w:szCs w:val="21"/>
                <w:highlight w:val="none"/>
                <w:lang w:val="en-US" w:eastAsia="zh-CN" w:bidi="ar"/>
              </w:rPr>
              <w:t>5</w:t>
            </w:r>
            <w:r>
              <w:rPr>
                <w:rFonts w:hint="eastAsia" w:asciiTheme="minorEastAsia" w:hAnsiTheme="minorEastAsia" w:eastAsiaTheme="minorEastAsia" w:cstheme="minorEastAsia"/>
                <w:bCs/>
                <w:color w:val="auto"/>
                <w:kern w:val="2"/>
                <w:sz w:val="21"/>
                <w:szCs w:val="21"/>
                <w:highlight w:val="none"/>
                <w:lang w:bidi="ar"/>
              </w:rPr>
              <w:t>0分）</w:t>
            </w:r>
          </w:p>
        </w:tc>
        <w:tc>
          <w:tcPr>
            <w:tcW w:w="1129" w:type="dxa"/>
            <w:tcBorders>
              <w:top w:val="single" w:color="auto" w:sz="4" w:space="0"/>
              <w:left w:val="single" w:color="auto" w:sz="4" w:space="0"/>
              <w:right w:val="single" w:color="auto" w:sz="4" w:space="0"/>
            </w:tcBorders>
            <w:vAlign w:val="center"/>
          </w:tcPr>
          <w:p w14:paraId="5B43AEEE">
            <w:pPr>
              <w:pStyle w:val="38"/>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投标报价</w:t>
            </w:r>
          </w:p>
        </w:tc>
        <w:tc>
          <w:tcPr>
            <w:tcW w:w="6280" w:type="dxa"/>
            <w:gridSpan w:val="2"/>
            <w:tcBorders>
              <w:top w:val="single" w:color="auto" w:sz="4" w:space="0"/>
              <w:left w:val="single" w:color="auto" w:sz="4" w:space="0"/>
              <w:right w:val="single" w:color="auto" w:sz="4" w:space="0"/>
            </w:tcBorders>
            <w:vAlign w:val="center"/>
          </w:tcPr>
          <w:p w14:paraId="774D8A32">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u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本项目投标最高限价为：</w:t>
            </w:r>
            <w:r>
              <w:rPr>
                <w:rFonts w:hint="eastAsia" w:ascii="宋体" w:hAnsi="宋体"/>
                <w:b w:val="0"/>
                <w:bCs w:val="0"/>
                <w:color w:val="auto"/>
                <w:szCs w:val="21"/>
                <w:highlight w:val="none"/>
                <w:u w:val="none"/>
              </w:rPr>
              <w:t>燃油车</w:t>
            </w:r>
            <w:r>
              <w:rPr>
                <w:rFonts w:hint="eastAsia" w:ascii="宋体" w:hAnsi="宋体"/>
                <w:b w:val="0"/>
                <w:bCs w:val="0"/>
                <w:color w:val="auto"/>
                <w:szCs w:val="21"/>
                <w:highlight w:val="none"/>
                <w:u w:val="none"/>
                <w:lang w:val="en-US" w:eastAsia="zh-CN"/>
              </w:rPr>
              <w:t xml:space="preserve">商业险自主定价系数 </w:t>
            </w:r>
            <w:r>
              <w:rPr>
                <w:rFonts w:hint="eastAsia" w:ascii="宋体" w:hAnsi="宋体"/>
                <w:b w:val="0"/>
                <w:bCs w:val="0"/>
                <w:color w:val="auto"/>
                <w:szCs w:val="21"/>
                <w:highlight w:val="none"/>
                <w:u w:val="none"/>
              </w:rPr>
              <w:t>0.55</w:t>
            </w: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新能源</w:t>
            </w:r>
            <w:r>
              <w:rPr>
                <w:rFonts w:hint="eastAsia" w:ascii="宋体" w:hAnsi="宋体"/>
                <w:b w:val="0"/>
                <w:bCs w:val="0"/>
                <w:color w:val="auto"/>
                <w:szCs w:val="21"/>
                <w:highlight w:val="none"/>
                <w:u w:val="none"/>
              </w:rPr>
              <w:t>车</w:t>
            </w:r>
            <w:r>
              <w:rPr>
                <w:rFonts w:hint="eastAsia" w:ascii="宋体" w:hAnsi="宋体"/>
                <w:b w:val="0"/>
                <w:bCs w:val="0"/>
                <w:color w:val="auto"/>
                <w:szCs w:val="21"/>
                <w:highlight w:val="none"/>
                <w:u w:val="none"/>
                <w:lang w:val="en-US" w:eastAsia="zh-CN"/>
              </w:rPr>
              <w:t xml:space="preserve">商业险自主定价系数 </w:t>
            </w:r>
            <w:r>
              <w:rPr>
                <w:rFonts w:hint="eastAsia" w:ascii="宋体" w:hAnsi="宋体"/>
                <w:b w:val="0"/>
                <w:bCs w:val="0"/>
                <w:color w:val="auto"/>
                <w:szCs w:val="21"/>
                <w:highlight w:val="none"/>
                <w:u w:val="none"/>
              </w:rPr>
              <w:t>0.</w:t>
            </w:r>
            <w:r>
              <w:rPr>
                <w:rFonts w:hint="eastAsia" w:ascii="宋体" w:hAnsi="宋体"/>
                <w:b w:val="0"/>
                <w:bCs w:val="0"/>
                <w:color w:val="auto"/>
                <w:szCs w:val="21"/>
                <w:highlight w:val="none"/>
                <w:u w:val="none"/>
                <w:lang w:eastAsia="zh-CN"/>
              </w:rPr>
              <w:t>6</w:t>
            </w:r>
            <w:r>
              <w:rPr>
                <w:rFonts w:hint="eastAsia" w:ascii="宋体" w:hAnsi="宋体"/>
                <w:b w:val="0"/>
                <w:bCs w:val="0"/>
                <w:color w:val="auto"/>
                <w:szCs w:val="21"/>
                <w:highlight w:val="none"/>
                <w:u w:val="none"/>
              </w:rPr>
              <w:t>5</w:t>
            </w:r>
            <w:r>
              <w:rPr>
                <w:rFonts w:hint="eastAsia" w:asciiTheme="minorEastAsia" w:hAnsiTheme="minorEastAsia" w:eastAsiaTheme="minorEastAsia" w:cstheme="minorEastAsia"/>
                <w:color w:val="auto"/>
                <w:kern w:val="2"/>
                <w:sz w:val="21"/>
                <w:szCs w:val="21"/>
                <w:highlight w:val="none"/>
                <w:u w:val="none"/>
                <w:lang w:val="en-US" w:eastAsia="zh-CN" w:bidi="ar"/>
              </w:rPr>
              <w:t>；报价人的投标折扣系数不能高于最高限价，否则作否决投标处理。</w:t>
            </w:r>
          </w:p>
          <w:p w14:paraId="48216827">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u w:val="none"/>
                <w:lang w:val="en-US" w:eastAsia="zh-CN" w:bidi="ar"/>
              </w:rPr>
            </w:pP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1</w:t>
            </w: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rPr>
              <w:t>燃油车</w:t>
            </w:r>
            <w:r>
              <w:rPr>
                <w:rFonts w:hint="eastAsia" w:ascii="宋体" w:hAnsi="宋体"/>
                <w:b w:val="0"/>
                <w:bCs w:val="0"/>
                <w:color w:val="auto"/>
                <w:szCs w:val="21"/>
                <w:highlight w:val="none"/>
                <w:u w:val="none"/>
                <w:lang w:val="en-US" w:eastAsia="zh-CN"/>
              </w:rPr>
              <w:t>投标商业险自主定价系数</w:t>
            </w:r>
            <w:r>
              <w:rPr>
                <w:rFonts w:hint="eastAsia" w:asciiTheme="minorEastAsia" w:hAnsiTheme="minorEastAsia" w:eastAsiaTheme="minorEastAsia" w:cstheme="minorEastAsia"/>
                <w:color w:val="auto"/>
                <w:kern w:val="2"/>
                <w:sz w:val="21"/>
                <w:szCs w:val="21"/>
                <w:highlight w:val="none"/>
                <w:u w:val="none"/>
                <w:lang w:val="en-US" w:eastAsia="zh-CN" w:bidi="ar"/>
              </w:rPr>
              <w:t>等于0.55的，得20分。</w:t>
            </w:r>
          </w:p>
          <w:p w14:paraId="4243AED8">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u w:val="none"/>
                <w:lang w:val="en-US" w:eastAsia="zh-CN" w:bidi="ar"/>
              </w:rPr>
            </w:pPr>
            <w:r>
              <w:rPr>
                <w:rFonts w:hint="eastAsia" w:asciiTheme="minorEastAsia" w:hAnsiTheme="minorEastAsia" w:eastAsiaTheme="minorEastAsia" w:cstheme="minorEastAsia"/>
                <w:color w:val="auto"/>
                <w:kern w:val="2"/>
                <w:sz w:val="21"/>
                <w:szCs w:val="21"/>
                <w:highlight w:val="none"/>
                <w:u w:val="none"/>
                <w:lang w:val="en-US" w:eastAsia="zh-CN" w:bidi="ar"/>
              </w:rPr>
              <w:t>折扣系数每低于限价0.01的加0.5分，以此类推，此项满分25分。</w:t>
            </w:r>
          </w:p>
          <w:p w14:paraId="2043400F">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u w:val="none"/>
                <w:lang w:val="en-US" w:eastAsia="zh-CN" w:bidi="ar"/>
              </w:rPr>
            </w:pPr>
            <w:r>
              <w:rPr>
                <w:rFonts w:hint="eastAsia" w:asciiTheme="minorEastAsia" w:hAnsiTheme="minorEastAsia" w:eastAsiaTheme="minorEastAsia" w:cstheme="minorEastAsia"/>
                <w:color w:val="auto"/>
                <w:kern w:val="2"/>
                <w:sz w:val="21"/>
                <w:szCs w:val="21"/>
                <w:highlight w:val="none"/>
                <w:u w:val="none"/>
                <w:lang w:val="en-US" w:eastAsia="zh-CN" w:bidi="ar"/>
              </w:rPr>
              <w:t>示例：投标折扣系数为0.54得20.5分、为0.53得21分。</w:t>
            </w:r>
          </w:p>
          <w:p w14:paraId="0C659570">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2</w:t>
            </w:r>
            <w:r>
              <w:rPr>
                <w:rFonts w:hint="eastAsia" w:ascii="宋体" w:hAnsi="宋体"/>
                <w:b w:val="0"/>
                <w:bCs w:val="0"/>
                <w:color w:val="auto"/>
                <w:szCs w:val="21"/>
                <w:highlight w:val="none"/>
                <w:u w:val="none"/>
                <w:lang w:eastAsia="zh-CN"/>
              </w:rPr>
              <w:t>）</w:t>
            </w:r>
            <w:r>
              <w:rPr>
                <w:rFonts w:hint="eastAsia" w:ascii="宋体" w:hAnsi="宋体"/>
                <w:b w:val="0"/>
                <w:bCs w:val="0"/>
                <w:color w:val="auto"/>
                <w:szCs w:val="21"/>
                <w:highlight w:val="none"/>
                <w:u w:val="none"/>
                <w:lang w:val="en-US" w:eastAsia="zh-CN"/>
              </w:rPr>
              <w:t>新能源</w:t>
            </w:r>
            <w:r>
              <w:rPr>
                <w:rFonts w:hint="eastAsia" w:ascii="宋体" w:hAnsi="宋体"/>
                <w:b w:val="0"/>
                <w:bCs w:val="0"/>
                <w:color w:val="auto"/>
                <w:szCs w:val="21"/>
                <w:highlight w:val="none"/>
                <w:u w:val="none"/>
              </w:rPr>
              <w:t>车</w:t>
            </w:r>
            <w:r>
              <w:rPr>
                <w:rFonts w:hint="eastAsia" w:ascii="宋体" w:hAnsi="宋体"/>
                <w:b w:val="0"/>
                <w:bCs w:val="0"/>
                <w:color w:val="auto"/>
                <w:szCs w:val="21"/>
                <w:highlight w:val="none"/>
                <w:u w:val="none"/>
                <w:lang w:val="en-US" w:eastAsia="zh-CN"/>
              </w:rPr>
              <w:t>投标商业险自主定价系数</w:t>
            </w:r>
            <w:r>
              <w:rPr>
                <w:rFonts w:hint="eastAsia" w:asciiTheme="minorEastAsia" w:hAnsiTheme="minorEastAsia" w:eastAsiaTheme="minorEastAsia" w:cstheme="minorEastAsia"/>
                <w:color w:val="auto"/>
                <w:kern w:val="2"/>
                <w:sz w:val="21"/>
                <w:szCs w:val="21"/>
                <w:highlight w:val="none"/>
                <w:lang w:val="en-US" w:eastAsia="zh-CN" w:bidi="ar"/>
              </w:rPr>
              <w:t>等于0.65的，得20分。</w:t>
            </w:r>
          </w:p>
          <w:p w14:paraId="1D9611E4">
            <w:pPr>
              <w:snapToGrid w:val="0"/>
              <w:spacing w:line="400" w:lineRule="exact"/>
              <w:ind w:firstLine="420" w:firstLineChars="20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折扣系数每低于限价0.01的加0.5分，以此类推，此项满分25分。</w:t>
            </w:r>
          </w:p>
          <w:p w14:paraId="5EC910DA">
            <w:pPr>
              <w:keepNext w:val="0"/>
              <w:pageBreakBefore w:val="0"/>
              <w:kinsoku/>
              <w:wordWrap/>
              <w:overflowPunct/>
              <w:topLinePunct w:val="0"/>
              <w:bidi w:val="0"/>
              <w:spacing w:beforeAutospacing="0" w:line="360" w:lineRule="exact"/>
              <w:ind w:firstLine="420"/>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kern w:val="2"/>
                <w:sz w:val="21"/>
                <w:szCs w:val="21"/>
                <w:highlight w:val="none"/>
                <w:lang w:val="en-US" w:eastAsia="zh-CN" w:bidi="ar"/>
              </w:rPr>
              <w:t>示例：投标折扣系数为0.64得20.5分、为0.63得21分。</w:t>
            </w:r>
          </w:p>
          <w:p w14:paraId="5A505206">
            <w:pPr>
              <w:pStyle w:val="38"/>
              <w:keepNext w:val="0"/>
              <w:pageBreakBefore w:val="0"/>
              <w:widowControl w:val="0"/>
              <w:kinsoku/>
              <w:wordWrap/>
              <w:overflowPunct/>
              <w:topLinePunct w:val="0"/>
              <w:bidi w:val="0"/>
              <w:adjustRightInd w:val="0"/>
              <w:spacing w:before="0" w:beforeAutospacing="0" w:after="0" w:afterAutospacing="0" w:line="360" w:lineRule="exact"/>
              <w:ind w:firstLine="420" w:firstLineChars="200"/>
              <w:jc w:val="both"/>
              <w:textAlignment w:val="baseline"/>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
              </w:rPr>
              <w:t>注：报价人需对报价负责，如出现报价无法执行而给采购人带来的损失将由报价人承担。</w:t>
            </w:r>
          </w:p>
        </w:tc>
        <w:tc>
          <w:tcPr>
            <w:tcW w:w="555" w:type="dxa"/>
            <w:tcBorders>
              <w:top w:val="single" w:color="auto" w:sz="4" w:space="0"/>
              <w:left w:val="single" w:color="auto" w:sz="4" w:space="0"/>
              <w:bottom w:val="single" w:color="auto" w:sz="4" w:space="0"/>
            </w:tcBorders>
            <w:vAlign w:val="center"/>
          </w:tcPr>
          <w:p w14:paraId="6DFF506A">
            <w:pPr>
              <w:keepNext w:val="0"/>
              <w:pageBreakBefore w:val="0"/>
              <w:kinsoku/>
              <w:wordWrap/>
              <w:overflowPunct/>
              <w:topLinePunct w:val="0"/>
              <w:bidi w:val="0"/>
              <w:spacing w:beforeAutospacing="0" w:line="360" w:lineRule="exact"/>
              <w:jc w:val="center"/>
              <w:rPr>
                <w:rFonts w:asciiTheme="minorEastAsia" w:hAnsiTheme="minorEastAsia" w:eastAsiaTheme="minorEastAsia" w:cstheme="minorEastAsia"/>
                <w:b/>
                <w:color w:val="auto"/>
                <w:szCs w:val="21"/>
                <w:highlight w:val="none"/>
                <w:lang w:bidi="ar"/>
              </w:rPr>
            </w:pPr>
          </w:p>
        </w:tc>
      </w:tr>
      <w:tr w14:paraId="6C22C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944" w:type="dxa"/>
            <w:tcBorders>
              <w:top w:val="single" w:color="auto" w:sz="4" w:space="0"/>
              <w:bottom w:val="single" w:color="auto" w:sz="4" w:space="0"/>
              <w:right w:val="single" w:color="auto" w:sz="4" w:space="0"/>
            </w:tcBorders>
            <w:vAlign w:val="center"/>
          </w:tcPr>
          <w:p w14:paraId="3812547E">
            <w:pPr>
              <w:pStyle w:val="38"/>
              <w:keepNext w:val="0"/>
              <w:pageBreakBefore w:val="0"/>
              <w:widowControl w:val="0"/>
              <w:kinsoku/>
              <w:wordWrap/>
              <w:overflowPunct/>
              <w:topLinePunct w:val="0"/>
              <w:bidi w:val="0"/>
              <w:adjustRightInd w:val="0"/>
              <w:spacing w:before="0" w:beforeAutospacing="0" w:after="0" w:afterAutospacing="0" w:line="360" w:lineRule="exact"/>
              <w:jc w:val="center"/>
              <w:textAlignment w:val="baseline"/>
              <w:rPr>
                <w:rFonts w:asciiTheme="minorEastAsia" w:hAnsiTheme="minorEastAsia" w:eastAsiaTheme="minorEastAsia" w:cstheme="minorEastAsia"/>
                <w:b/>
                <w:color w:val="auto"/>
                <w:kern w:val="2"/>
                <w:sz w:val="21"/>
                <w:szCs w:val="21"/>
                <w:highlight w:val="none"/>
                <w:lang w:bidi="ar"/>
              </w:rPr>
            </w:pPr>
            <w:r>
              <w:rPr>
                <w:rFonts w:hint="eastAsia" w:ascii="宋体" w:hAnsi="宋体" w:cs="宋体"/>
                <w:color w:val="auto"/>
                <w:szCs w:val="21"/>
                <w:highlight w:val="none"/>
              </w:rPr>
              <w:t>3.2</w:t>
            </w:r>
          </w:p>
        </w:tc>
        <w:tc>
          <w:tcPr>
            <w:tcW w:w="8861" w:type="dxa"/>
            <w:gridSpan w:val="5"/>
            <w:tcBorders>
              <w:top w:val="single" w:color="auto" w:sz="4" w:space="0"/>
              <w:left w:val="single" w:color="auto" w:sz="4" w:space="0"/>
              <w:bottom w:val="single" w:color="auto" w:sz="4" w:space="0"/>
            </w:tcBorders>
            <w:vAlign w:val="bottom"/>
          </w:tcPr>
          <w:p w14:paraId="6351AF96">
            <w:pPr>
              <w:pStyle w:val="38"/>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lang w:bidi="ar"/>
              </w:rPr>
            </w:pPr>
            <w:r>
              <w:rPr>
                <w:rFonts w:hint="eastAsia" w:asciiTheme="minorEastAsia" w:hAnsiTheme="minorEastAsia" w:eastAsiaTheme="minorEastAsia" w:cstheme="minorEastAsia"/>
                <w:color w:val="auto"/>
                <w:kern w:val="2"/>
                <w:sz w:val="21"/>
                <w:szCs w:val="21"/>
                <w:highlight w:val="none"/>
                <w:lang w:bidi="ar"/>
              </w:rPr>
              <w:t>补充正文：</w:t>
            </w:r>
          </w:p>
          <w:p w14:paraId="6B7796D3">
            <w:pPr>
              <w:pStyle w:val="38"/>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中标候选人推荐办法：</w:t>
            </w:r>
          </w:p>
          <w:p w14:paraId="3ED27C0D">
            <w:pPr>
              <w:pStyle w:val="38"/>
              <w:keepNext w:val="0"/>
              <w:pageBreakBefore w:val="0"/>
              <w:widowControl w:val="0"/>
              <w:kinsoku/>
              <w:wordWrap/>
              <w:overflowPunct/>
              <w:topLinePunct w:val="0"/>
              <w:bidi w:val="0"/>
              <w:adjustRightInd w:val="0"/>
              <w:spacing w:before="0" w:beforeAutospacing="0" w:after="0" w:afterAutospacing="0" w:line="360" w:lineRule="exact"/>
              <w:jc w:val="both"/>
              <w:textAlignment w:val="baseline"/>
              <w:rPr>
                <w:rFonts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bidi="ar"/>
              </w:rPr>
              <w:t>1.对通过评审的报价人按照综合得分（商务得分+技术得分+报价得分）由高到低排序。</w:t>
            </w:r>
          </w:p>
          <w:p w14:paraId="670B8C56">
            <w:pPr>
              <w:keepNext w:val="0"/>
              <w:pageBreakBefore w:val="0"/>
              <w:kinsoku/>
              <w:wordWrap/>
              <w:overflowPunct/>
              <w:topLinePunct w:val="0"/>
              <w:bidi w:val="0"/>
              <w:spacing w:beforeAutospacing="0" w:line="360" w:lineRule="exact"/>
              <w:rPr>
                <w:rFonts w:asciiTheme="minorEastAsia" w:hAnsiTheme="minorEastAsia" w:eastAsiaTheme="minorEastAsia" w:cstheme="minorEastAsia"/>
                <w:b/>
                <w:color w:val="auto"/>
                <w:szCs w:val="21"/>
                <w:highlight w:val="none"/>
                <w:lang w:bidi="ar"/>
              </w:rPr>
            </w:pPr>
            <w:r>
              <w:rPr>
                <w:rFonts w:hint="eastAsia" w:asciiTheme="minorEastAsia" w:hAnsiTheme="minorEastAsia" w:eastAsiaTheme="minorEastAsia" w:cstheme="minorEastAsia"/>
                <w:color w:val="auto"/>
                <w:szCs w:val="21"/>
                <w:highlight w:val="none"/>
                <w:lang w:bidi="ar"/>
              </w:rPr>
              <w:t>2.按评标综合得分由高到低排序推荐2名中标候选人。</w:t>
            </w:r>
          </w:p>
        </w:tc>
      </w:tr>
    </w:tbl>
    <w:p w14:paraId="7EE46CD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color w:val="auto"/>
          <w:sz w:val="28"/>
          <w:szCs w:val="28"/>
          <w:highlight w:val="none"/>
        </w:rPr>
      </w:pPr>
    </w:p>
    <w:p w14:paraId="73653E41">
      <w:pPr>
        <w:rPr>
          <w:rFonts w:ascii="宋体" w:hAnsi="宋体" w:cs="宋体"/>
          <w:color w:val="auto"/>
          <w:szCs w:val="21"/>
          <w:highlight w:val="none"/>
        </w:rPr>
      </w:pPr>
      <w:r>
        <w:rPr>
          <w:rFonts w:ascii="宋体" w:hAnsi="宋体" w:cs="宋体"/>
          <w:color w:val="auto"/>
          <w:szCs w:val="21"/>
          <w:highlight w:val="none"/>
        </w:rPr>
        <w:br w:type="page"/>
      </w:r>
    </w:p>
    <w:p w14:paraId="12534F3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48" w:name="_Toc20564"/>
      <w:bookmarkStart w:id="149" w:name="_Toc5434"/>
      <w:bookmarkStart w:id="150" w:name="_Toc19268"/>
      <w:bookmarkStart w:id="151" w:name="_Toc10306"/>
      <w:bookmarkStart w:id="152" w:name="_Toc26037"/>
      <w:bookmarkStart w:id="153" w:name="_Toc9238"/>
      <w:r>
        <w:rPr>
          <w:rFonts w:hint="eastAsia" w:ascii="宋体" w:hAnsi="宋体" w:cs="宋体"/>
          <w:color w:val="auto"/>
          <w:szCs w:val="21"/>
          <w:highlight w:val="none"/>
        </w:rPr>
        <w:t>1.  评标方法</w:t>
      </w:r>
      <w:bookmarkEnd w:id="148"/>
      <w:bookmarkEnd w:id="149"/>
      <w:bookmarkEnd w:id="150"/>
      <w:bookmarkEnd w:id="151"/>
      <w:bookmarkEnd w:id="152"/>
      <w:bookmarkEnd w:id="153"/>
    </w:p>
    <w:p w14:paraId="49C5D46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本次评标采用综合评估法。评标委员会对满足</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实质性要求的</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，按照本章规定的评分标准进行评分，并按得分由高到低顺序推荐中标候选人，或根据</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授权直接确定中标人。综合评分相等时，以评标办法前附表约定的原则确定中标候选人顺序。</w:t>
      </w:r>
    </w:p>
    <w:p w14:paraId="4DDE46E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54" w:name="_Toc21409"/>
      <w:bookmarkStart w:id="155" w:name="_Toc5043"/>
      <w:bookmarkStart w:id="156" w:name="_Toc9498"/>
      <w:bookmarkStart w:id="157" w:name="_Toc8753"/>
      <w:bookmarkStart w:id="158" w:name="_Toc22200"/>
      <w:bookmarkStart w:id="159" w:name="_Toc31759"/>
      <w:r>
        <w:rPr>
          <w:rFonts w:hint="eastAsia" w:ascii="宋体" w:hAnsi="宋体" w:cs="宋体"/>
          <w:color w:val="auto"/>
          <w:szCs w:val="21"/>
          <w:highlight w:val="none"/>
        </w:rPr>
        <w:t>2.  评审标准</w:t>
      </w:r>
      <w:bookmarkEnd w:id="154"/>
      <w:bookmarkEnd w:id="155"/>
      <w:bookmarkEnd w:id="156"/>
      <w:bookmarkEnd w:id="157"/>
      <w:bookmarkEnd w:id="158"/>
      <w:bookmarkEnd w:id="159"/>
    </w:p>
    <w:p w14:paraId="5C70709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2.1  初步评审标准</w:t>
      </w:r>
    </w:p>
    <w:p w14:paraId="7A01424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形式评审标准：见评标办法前附表。</w:t>
      </w:r>
    </w:p>
    <w:p w14:paraId="7355D9D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2.1.2  资格评审标准：见评标办法前附表。</w:t>
      </w:r>
    </w:p>
    <w:p w14:paraId="3D2F776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2.1.3  响应性评审标准：见评标办法前附表。</w:t>
      </w:r>
    </w:p>
    <w:p w14:paraId="3418198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2.2  分值构成与评审标准</w:t>
      </w:r>
    </w:p>
    <w:p w14:paraId="2FA58B4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2.2.1  分值构成</w:t>
      </w:r>
    </w:p>
    <w:p w14:paraId="1B66948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（1）技术部分：见评标办法前附表；</w:t>
      </w:r>
    </w:p>
    <w:p w14:paraId="621F4E2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（2）商务部分：见评标办法前附表；</w:t>
      </w:r>
    </w:p>
    <w:p w14:paraId="4E8E946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（3）投标报价：见评标办法前附表。</w:t>
      </w:r>
    </w:p>
    <w:p w14:paraId="0794E3C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2.2.2  评标基准价计算</w:t>
      </w:r>
    </w:p>
    <w:p w14:paraId="5779C13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5A0521D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2.2.3  投标报价的偏差率计算</w:t>
      </w:r>
    </w:p>
    <w:p w14:paraId="0CC999C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投标报价的偏差率计算公式：见评标办法前附表；</w:t>
      </w:r>
    </w:p>
    <w:p w14:paraId="27C269F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2.2.4  评审标准</w:t>
      </w:r>
    </w:p>
    <w:p w14:paraId="640230B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（1）技术部分评分标准：见评标办法前附表；</w:t>
      </w:r>
    </w:p>
    <w:p w14:paraId="095669B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（2）商务部分评分标准：见评标办法前附表；</w:t>
      </w:r>
    </w:p>
    <w:p w14:paraId="58995D2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）投标报价评分标准：见评标办法前附表。</w:t>
      </w:r>
    </w:p>
    <w:p w14:paraId="32A3E94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1"/>
        <w:rPr>
          <w:rFonts w:ascii="宋体" w:hAnsi="宋体" w:cs="宋体"/>
          <w:color w:val="auto"/>
          <w:szCs w:val="21"/>
          <w:highlight w:val="none"/>
        </w:rPr>
      </w:pPr>
      <w:bookmarkStart w:id="160" w:name="_Toc6326"/>
      <w:bookmarkStart w:id="161" w:name="_Toc11564"/>
      <w:bookmarkStart w:id="162" w:name="_Toc2937"/>
      <w:bookmarkStart w:id="163" w:name="_Toc8345"/>
      <w:bookmarkStart w:id="164" w:name="_Toc14831"/>
      <w:bookmarkStart w:id="165" w:name="_Toc5245"/>
      <w:r>
        <w:rPr>
          <w:rFonts w:hint="eastAsia" w:ascii="宋体" w:hAnsi="宋体" w:cs="宋体"/>
          <w:color w:val="auto"/>
          <w:szCs w:val="21"/>
          <w:highlight w:val="none"/>
        </w:rPr>
        <w:t>3.  评标程序</w:t>
      </w:r>
      <w:bookmarkEnd w:id="160"/>
      <w:bookmarkEnd w:id="161"/>
      <w:bookmarkEnd w:id="162"/>
      <w:bookmarkEnd w:id="163"/>
      <w:bookmarkEnd w:id="164"/>
      <w:bookmarkEnd w:id="165"/>
    </w:p>
    <w:p w14:paraId="569D53E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3.1  初步评审</w:t>
      </w:r>
    </w:p>
    <w:p w14:paraId="50F31BA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 2.1 款规定的标准对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进行初步评审。有一项不符合评审标准的，作否决投标处理。（适用于未进行资格预审的）</w:t>
      </w:r>
    </w:p>
    <w:p w14:paraId="6DB8B5B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3.1.1  评标委员会依据本章第2.1.2项、第2.1.3项规定的评审标准对</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进行初步评审。有一项不符合评审标准的，作否决投标处理。当</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资格预审申请文件的内容发生重大变化时，评标委员会依据本章第2.1.1项规定的标准对其更新资料进行评审。（适用于已进行资格预审的）</w:t>
      </w:r>
    </w:p>
    <w:p w14:paraId="24FB045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3.1.2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有以下情形之一的，其投标作否决投标处理：</w:t>
      </w:r>
    </w:p>
    <w:p w14:paraId="391F34F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竞争性比选响应文件</w:t>
      </w:r>
      <w:r>
        <w:rPr>
          <w:rFonts w:hint="eastAsia" w:ascii="宋体" w:hAnsi="宋体" w:cs="宋体"/>
          <w:color w:val="auto"/>
          <w:szCs w:val="21"/>
          <w:highlight w:val="none"/>
        </w:rPr>
        <w:t>没有对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的实质性要求和条件作出响应，或者对</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的偏差超出</w:t>
      </w:r>
      <w:r>
        <w:rPr>
          <w:rFonts w:hint="eastAsia" w:ascii="宋体" w:hAnsi="宋体" w:cs="宋体"/>
          <w:color w:val="auto"/>
          <w:szCs w:val="21"/>
          <w:highlight w:val="none"/>
          <w:lang w:val="en-US" w:eastAsia="zh-CN"/>
        </w:rPr>
        <w:t>竞争性比选文件</w:t>
      </w:r>
      <w:r>
        <w:rPr>
          <w:rFonts w:hint="eastAsia" w:ascii="宋体" w:hAnsi="宋体" w:cs="宋体"/>
          <w:color w:val="auto"/>
          <w:szCs w:val="21"/>
          <w:highlight w:val="none"/>
        </w:rPr>
        <w:t>规定的偏差范围或最高项数；</w:t>
      </w:r>
    </w:p>
    <w:p w14:paraId="5050CDF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174F79C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14:paraId="4932224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对投标报价进行修正，并要求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书面澄清确认。</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拒不澄清确认的，评标委员会应当否决其投标：</w:t>
      </w:r>
    </w:p>
    <w:p w14:paraId="6C2DFA0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中的大写金额与小写金额不一致的，以大写金额为准；</w:t>
      </w:r>
    </w:p>
    <w:p w14:paraId="7C1AD90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（2）分项报价表中各分项总价金额与依据固定单价计算出的结果不一致的，由评标委员会作否决投标处理；</w:t>
      </w:r>
    </w:p>
    <w:p w14:paraId="2474F2C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（3）投标报价为各分项总价金额之和，投标报价与各分项总价的合价不一致的，由评标委员会作否决投标处理；</w:t>
      </w:r>
    </w:p>
    <w:p w14:paraId="19FE52F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（4）如果分项报价中存在缺漏项，则视为缺漏项价格已包含在其他分项报价之中。</w:t>
      </w:r>
    </w:p>
    <w:p w14:paraId="53EC936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3.2  详细评审</w:t>
      </w:r>
    </w:p>
    <w:p w14:paraId="600E92F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3.2.1  评标委员会按本章第2.2款规定的量化因素和分值进行评分，并计算出综合评估得分。</w:t>
      </w:r>
    </w:p>
    <w:p w14:paraId="46DE2E1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（1）按本章第 2.2.4（1）目规定的评审因素和分值对技术部分计算出得分 A；</w:t>
      </w:r>
    </w:p>
    <w:p w14:paraId="2E38C8C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（2）按本章第 2.2.4（2）目规定的评审因素和分值对商务部分计算出得分 B；</w:t>
      </w:r>
    </w:p>
    <w:p w14:paraId="0EC2F8F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（3）按本章第 2.2.4（</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）目规定的评审因素和分值对投标报价计算出得分 C；</w:t>
      </w:r>
    </w:p>
    <w:p w14:paraId="4761440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3.2.2  各类评分分值的最终计算结果保留两位小数，小数点后第三位“四舍五入”。</w:t>
      </w:r>
    </w:p>
    <w:p w14:paraId="0BAFC4C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 xml:space="preserve">3.2.3  </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得分=A+B+C。</w:t>
      </w:r>
    </w:p>
    <w:p w14:paraId="41BA02C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 xml:space="preserve">3.3  </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的澄清</w:t>
      </w:r>
    </w:p>
    <w:p w14:paraId="569AC2C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在评标过程中，评标委员会可以书面形式要求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对所提交</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中含义不明确、对同类问题表述不一致或者有明显文字和计算错误的内容作必要的澄清、说明或补正。澄清、说明或补正应以书面方式进行。评标委员会不接受</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主动提出的澄清、说明或补正。</w:t>
      </w:r>
    </w:p>
    <w:p w14:paraId="78DBB65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  澄清、说明或补正不得超出</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的范围且不得改变</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的实质性内容，并构成</w:t>
      </w:r>
      <w:r>
        <w:rPr>
          <w:rFonts w:hint="eastAsia" w:ascii="宋体" w:hAnsi="宋体" w:cs="宋体"/>
          <w:color w:val="auto"/>
          <w:szCs w:val="21"/>
          <w:highlight w:val="none"/>
          <w:lang w:eastAsia="zh-CN"/>
        </w:rPr>
        <w:t>竞争性比选响应文件</w:t>
      </w:r>
      <w:r>
        <w:rPr>
          <w:rFonts w:hint="eastAsia" w:ascii="宋体" w:hAnsi="宋体" w:cs="宋体"/>
          <w:color w:val="auto"/>
          <w:szCs w:val="21"/>
          <w:highlight w:val="none"/>
        </w:rPr>
        <w:t>的组成部分。</w:t>
      </w:r>
    </w:p>
    <w:p w14:paraId="516B478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  评标委员会对</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进一步澄清、说明或补正，直至满足评标委员会的要求。</w:t>
      </w:r>
    </w:p>
    <w:p w14:paraId="5E9D3A3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2"/>
        <w:rPr>
          <w:rFonts w:ascii="宋体" w:hAnsi="宋体" w:cs="宋体"/>
          <w:color w:val="auto"/>
          <w:szCs w:val="21"/>
          <w:highlight w:val="none"/>
        </w:rPr>
      </w:pPr>
      <w:r>
        <w:rPr>
          <w:rFonts w:hint="eastAsia" w:ascii="宋体" w:hAnsi="宋体" w:cs="宋体"/>
          <w:color w:val="auto"/>
          <w:szCs w:val="21"/>
          <w:highlight w:val="none"/>
        </w:rPr>
        <w:t>3.4  评标结果</w:t>
      </w:r>
    </w:p>
    <w:p w14:paraId="27A2023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3.4.1  除第二章“</w:t>
      </w:r>
      <w:r>
        <w:rPr>
          <w:rFonts w:hint="eastAsia" w:ascii="宋体" w:hAnsi="宋体" w:cs="宋体"/>
          <w:color w:val="auto"/>
          <w:szCs w:val="21"/>
          <w:highlight w:val="none"/>
          <w:lang w:eastAsia="zh-CN"/>
        </w:rPr>
        <w:t>报价人须知</w:t>
      </w:r>
      <w:r>
        <w:rPr>
          <w:rFonts w:hint="eastAsia" w:ascii="宋体" w:hAnsi="宋体" w:cs="宋体"/>
          <w:color w:val="auto"/>
          <w:szCs w:val="21"/>
          <w:highlight w:val="none"/>
        </w:rPr>
        <w:t>”前附表授权直接确定中标人外，评标委员会按照得分由高到低的顺序推荐</w:t>
      </w:r>
      <w:r>
        <w:rPr>
          <w:rFonts w:hint="eastAsia" w:ascii="宋体" w:hAnsi="宋体" w:cs="宋体"/>
          <w:color w:val="auto"/>
          <w:szCs w:val="21"/>
          <w:highlight w:val="none"/>
          <w:lang w:val="en-US" w:eastAsia="zh-CN"/>
        </w:rPr>
        <w:t>2名</w:t>
      </w:r>
      <w:r>
        <w:rPr>
          <w:rFonts w:hint="eastAsia" w:ascii="宋体" w:hAnsi="宋体" w:cs="宋体"/>
          <w:color w:val="auto"/>
          <w:szCs w:val="21"/>
          <w:highlight w:val="none"/>
        </w:rPr>
        <w:t>中标候选人，并标明排序。</w:t>
      </w:r>
    </w:p>
    <w:p w14:paraId="30B5CC14">
      <w:pPr>
        <w:pageBreakBefore w:val="0"/>
        <w:widowControl w:val="0"/>
        <w:kinsoku/>
        <w:wordWrap/>
        <w:overflowPunct/>
        <w:topLinePunct w:val="0"/>
        <w:bidi w:val="0"/>
        <w:snapToGrid/>
        <w:spacing w:line="400" w:lineRule="exact"/>
        <w:ind w:firstLine="420" w:firstLineChars="200"/>
        <w:jc w:val="left"/>
        <w:textAlignment w:val="auto"/>
        <w:outlineLvl w:val="9"/>
        <w:rPr>
          <w:rFonts w:ascii="宋体" w:hAnsi="宋体" w:cs="宋体"/>
          <w:color w:val="auto"/>
          <w:szCs w:val="21"/>
          <w:highlight w:val="none"/>
        </w:rPr>
      </w:pPr>
      <w:r>
        <w:rPr>
          <w:rFonts w:hint="eastAsia" w:ascii="宋体" w:hAnsi="宋体" w:cs="宋体"/>
          <w:color w:val="auto"/>
          <w:szCs w:val="21"/>
          <w:highlight w:val="none"/>
        </w:rPr>
        <w:t>3.4.2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14:paraId="25A854BD">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1AEB88D">
      <w:pPr>
        <w:pStyle w:val="3"/>
        <w:keepNext/>
        <w:keepLines/>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color w:val="auto"/>
          <w:highlight w:val="none"/>
        </w:rPr>
      </w:pPr>
      <w:bookmarkStart w:id="166" w:name="_Toc28162"/>
      <w:r>
        <w:rPr>
          <w:rFonts w:hint="eastAsia" w:ascii="宋体" w:hAnsi="宋体" w:cs="宋体"/>
          <w:color w:val="auto"/>
          <w:highlight w:val="none"/>
          <w:lang w:val="en-US" w:eastAsia="zh-CN"/>
        </w:rPr>
        <w:t>报价说明</w:t>
      </w:r>
      <w:bookmarkEnd w:id="166"/>
    </w:p>
    <w:p w14:paraId="055724F9">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cs="宋体"/>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报价说明</w:t>
      </w:r>
    </w:p>
    <w:p w14:paraId="52AF0241">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采购人发布的采购清单（以下简称“清单”）</w:t>
      </w:r>
      <w:r>
        <w:rPr>
          <w:rFonts w:hint="eastAsia" w:ascii="宋体" w:hAnsi="宋体" w:eastAsia="宋体" w:cs="宋体"/>
          <w:b w:val="0"/>
          <w:bCs w:val="0"/>
          <w:color w:val="auto"/>
          <w:sz w:val="21"/>
          <w:szCs w:val="21"/>
          <w:highlight w:val="none"/>
          <w:lang w:val="en-US" w:eastAsia="zh-CN"/>
        </w:rPr>
        <w:t>应与本</w:t>
      </w:r>
      <w:r>
        <w:rPr>
          <w:rFonts w:hint="eastAsia" w:ascii="宋体"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lang w:val="en-US" w:eastAsia="zh-CN"/>
        </w:rPr>
        <w:t>竞争性比选文件、技术标准和要求等文件结合起来查阅与理解。</w:t>
      </w:r>
    </w:p>
    <w:p w14:paraId="15278D51">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、报价人应结合现场实际和现在的市场情况、自身技术及管理水平、经营状况、机械设备及制定的方案的要求自行报价，该报价不低于报价人完成该项目的成本。</w:t>
      </w:r>
    </w:p>
    <w:p w14:paraId="5FF69034">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、清单中所列数量是</w:t>
      </w:r>
      <w:r>
        <w:rPr>
          <w:rFonts w:hint="eastAsia" w:ascii="宋体" w:hAnsi="宋体" w:cs="宋体"/>
          <w:b w:val="0"/>
          <w:bCs w:val="0"/>
          <w:color w:val="auto"/>
          <w:sz w:val="21"/>
          <w:szCs w:val="21"/>
          <w:highlight w:val="none"/>
          <w:lang w:val="en-US" w:eastAsia="zh-CN"/>
        </w:rPr>
        <w:t>暂估</w:t>
      </w:r>
      <w:r>
        <w:rPr>
          <w:rFonts w:hint="eastAsia" w:ascii="宋体" w:hAnsi="宋体" w:eastAsia="宋体" w:cs="宋体"/>
          <w:b w:val="0"/>
          <w:bCs w:val="0"/>
          <w:color w:val="auto"/>
          <w:sz w:val="21"/>
          <w:szCs w:val="21"/>
          <w:highlight w:val="none"/>
          <w:lang w:val="en-US" w:eastAsia="zh-CN"/>
        </w:rPr>
        <w:t>数量，仅作为报价的共同基础，不能作为最终结算与支付的依据。实际支付应按实际完成的</w:t>
      </w:r>
      <w:r>
        <w:rPr>
          <w:rFonts w:hint="eastAsia" w:ascii="宋体" w:hAnsi="宋体" w:cs="宋体"/>
          <w:b w:val="0"/>
          <w:bCs w:val="0"/>
          <w:color w:val="auto"/>
          <w:sz w:val="21"/>
          <w:szCs w:val="21"/>
          <w:highlight w:val="none"/>
          <w:lang w:val="en-US" w:eastAsia="zh-CN"/>
        </w:rPr>
        <w:t>数</w:t>
      </w:r>
      <w:r>
        <w:rPr>
          <w:rFonts w:hint="eastAsia" w:ascii="宋体" w:hAnsi="宋体" w:eastAsia="宋体" w:cs="宋体"/>
          <w:b w:val="0"/>
          <w:bCs w:val="0"/>
          <w:color w:val="auto"/>
          <w:sz w:val="21"/>
          <w:szCs w:val="21"/>
          <w:highlight w:val="none"/>
          <w:lang w:val="en-US" w:eastAsia="zh-CN"/>
        </w:rPr>
        <w:t>量</w:t>
      </w:r>
      <w:r>
        <w:rPr>
          <w:rFonts w:hint="eastAsia" w:ascii="宋体" w:hAnsi="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清单的单价来计算支付金额。</w:t>
      </w:r>
    </w:p>
    <w:p w14:paraId="499E36AD">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、清单中所列</w:t>
      </w:r>
      <w:r>
        <w:rPr>
          <w:rFonts w:hint="eastAsia" w:ascii="宋体" w:hAnsi="宋体" w:cs="宋体"/>
          <w:b w:val="0"/>
          <w:bCs w:val="0"/>
          <w:color w:val="auto"/>
          <w:sz w:val="21"/>
          <w:szCs w:val="21"/>
          <w:highlight w:val="none"/>
          <w:lang w:val="en-US" w:eastAsia="zh-CN"/>
        </w:rPr>
        <w:t>数量</w:t>
      </w:r>
      <w:r>
        <w:rPr>
          <w:rFonts w:hint="eastAsia" w:ascii="宋体" w:hAnsi="宋体" w:eastAsia="宋体" w:cs="宋体"/>
          <w:b w:val="0"/>
          <w:bCs w:val="0"/>
          <w:color w:val="auto"/>
          <w:sz w:val="21"/>
          <w:szCs w:val="21"/>
          <w:highlight w:val="none"/>
          <w:lang w:val="en-US" w:eastAsia="zh-CN"/>
        </w:rPr>
        <w:t>的变动，丝毫不会降低或影响合同条款的效力，也不免除报价人按规定的标准进行</w:t>
      </w:r>
      <w:r>
        <w:rPr>
          <w:rFonts w:hint="eastAsia" w:ascii="宋体" w:hAnsi="宋体" w:cs="宋体"/>
          <w:b w:val="0"/>
          <w:bCs w:val="0"/>
          <w:color w:val="auto"/>
          <w:sz w:val="21"/>
          <w:szCs w:val="21"/>
          <w:highlight w:val="none"/>
          <w:lang w:val="en-US" w:eastAsia="zh-CN"/>
        </w:rPr>
        <w:t>作业</w:t>
      </w:r>
      <w:r>
        <w:rPr>
          <w:rFonts w:hint="eastAsia" w:ascii="宋体" w:hAnsi="宋体" w:eastAsia="宋体" w:cs="宋体"/>
          <w:b w:val="0"/>
          <w:bCs w:val="0"/>
          <w:color w:val="auto"/>
          <w:sz w:val="21"/>
          <w:szCs w:val="21"/>
          <w:highlight w:val="none"/>
          <w:lang w:val="en-US" w:eastAsia="zh-CN"/>
        </w:rPr>
        <w:t>和修复缺陷的责任。</w:t>
      </w:r>
    </w:p>
    <w:p w14:paraId="77A0745A">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对清单中的每一个细目，报价人均填单价和合价，对于未填入单价和合价的细目，其费用应视为已包括在清单中的其他细目的单价和合价中，报价人必须按采购人指令完成清单中未填入单价和合价的细目，但不能得到结算与支付，报价人的总报价应是所有</w:t>
      </w:r>
      <w:r>
        <w:rPr>
          <w:rFonts w:hint="eastAsia" w:ascii="宋体" w:hAnsi="宋体" w:cs="宋体"/>
          <w:b w:val="0"/>
          <w:bCs w:val="0"/>
          <w:color w:val="auto"/>
          <w:sz w:val="21"/>
          <w:szCs w:val="21"/>
          <w:highlight w:val="none"/>
          <w:lang w:val="en-US" w:eastAsia="zh-CN"/>
        </w:rPr>
        <w:t>项目</w:t>
      </w:r>
      <w:r>
        <w:rPr>
          <w:rFonts w:hint="eastAsia" w:ascii="宋体" w:hAnsi="宋体" w:eastAsia="宋体" w:cs="宋体"/>
          <w:b w:val="0"/>
          <w:bCs w:val="0"/>
          <w:color w:val="auto"/>
          <w:sz w:val="21"/>
          <w:szCs w:val="21"/>
          <w:highlight w:val="none"/>
          <w:lang w:val="en-US" w:eastAsia="zh-CN"/>
        </w:rPr>
        <w:t>费用的汇总。</w:t>
      </w:r>
    </w:p>
    <w:p w14:paraId="40ABA617">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、清单中的任何内容不得随意删除或涂改，若有误，在有效时间内书面向采购人提出，以“补遗”资料为准。</w:t>
      </w:r>
    </w:p>
    <w:p w14:paraId="5FE8DA60">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、不同单项中相同项目（项目特征及工作内容相同）应报价统一，如有差异，按最低的一个报价进行结算；材料设备单价处理办法相同。</w:t>
      </w:r>
    </w:p>
    <w:p w14:paraId="12CF40AA">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对作业和材料设备的技术标准和要求及一般说明或规定，未重复写入清单内，在给清单各细目报价前，应参阅并满足设计文件及竞争性比选文件中技术标准和要求的有关部分，如不满足相关技术标准和要求，由此对采购人造成的一切损失由报价人承担。</w:t>
      </w:r>
    </w:p>
    <w:p w14:paraId="119DEAD2">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、合同为</w:t>
      </w:r>
      <w:r>
        <w:rPr>
          <w:rFonts w:hint="eastAsia" w:ascii="宋体" w:hAnsi="宋体" w:cs="宋体"/>
          <w:b w:val="0"/>
          <w:bCs w:val="0"/>
          <w:color w:val="auto"/>
          <w:sz w:val="21"/>
          <w:szCs w:val="21"/>
          <w:highlight w:val="none"/>
          <w:lang w:val="en-US" w:eastAsia="zh-CN"/>
        </w:rPr>
        <w:t>固定比例折扣</w:t>
      </w:r>
      <w:r>
        <w:rPr>
          <w:rFonts w:hint="eastAsia" w:ascii="宋体" w:hAnsi="宋体" w:eastAsia="宋体" w:cs="宋体"/>
          <w:b w:val="0"/>
          <w:bCs w:val="0"/>
          <w:color w:val="auto"/>
          <w:sz w:val="21"/>
          <w:szCs w:val="21"/>
          <w:highlight w:val="none"/>
          <w:lang w:val="en-US" w:eastAsia="zh-CN"/>
        </w:rPr>
        <w:t>合同，合同期间不予调价。</w:t>
      </w:r>
    </w:p>
    <w:p w14:paraId="01BC42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、报价人应严格按照清单进行报价，不得随意修改采购人发布的工程量清单数量、公式及相关内容。</w:t>
      </w:r>
    </w:p>
    <w:p w14:paraId="1A1737F8">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14:paraId="5740F0DA">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p>
    <w:p w14:paraId="5987FB42">
      <w:pPr>
        <w:pageBreakBefore w:val="0"/>
        <w:widowControl w:val="0"/>
        <w:numPr>
          <w:ilvl w:val="-1"/>
          <w:numId w:val="0"/>
        </w:numPr>
        <w:kinsoku/>
        <w:wordWrap/>
        <w:overflowPunct/>
        <w:topLinePunct w:val="0"/>
        <w:autoSpaceDE/>
        <w:autoSpaceDN/>
        <w:bidi w:val="0"/>
        <w:adjustRightInd/>
        <w:snapToGrid/>
        <w:spacing w:before="0" w:after="0" w:line="360" w:lineRule="auto"/>
        <w:ind w:firstLine="420" w:firstLineChars="200"/>
        <w:jc w:val="both"/>
        <w:textAlignment w:val="auto"/>
        <w:outlineLvl w:val="9"/>
        <w:rPr>
          <w:rFonts w:hint="eastAsia" w:ascii="宋体" w:hAnsi="宋体" w:eastAsia="宋体" w:cs="宋体"/>
          <w:b w:val="0"/>
          <w:bCs w:val="0"/>
          <w:color w:val="auto"/>
          <w:sz w:val="21"/>
          <w:szCs w:val="21"/>
          <w:highlight w:val="none"/>
          <w:lang w:val="en-US" w:eastAsia="zh-CN"/>
        </w:rPr>
      </w:pPr>
    </w:p>
    <w:p w14:paraId="0911C697">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br w:type="page"/>
      </w:r>
    </w:p>
    <w:p w14:paraId="14B69688">
      <w:pPr>
        <w:pStyle w:val="3"/>
        <w:numPr>
          <w:ilvl w:val="0"/>
          <w:numId w:val="2"/>
        </w:numPr>
        <w:spacing w:before="0" w:after="0" w:line="360" w:lineRule="auto"/>
        <w:jc w:val="center"/>
        <w:rPr>
          <w:rFonts w:ascii="宋体" w:hAnsi="宋体" w:cs="宋体"/>
          <w:color w:val="auto"/>
          <w:highlight w:val="none"/>
        </w:rPr>
      </w:pPr>
      <w:bookmarkStart w:id="167" w:name="_Toc16009"/>
      <w:r>
        <w:rPr>
          <w:rFonts w:hint="eastAsia" w:ascii="宋体" w:hAnsi="宋体" w:cs="宋体"/>
          <w:color w:val="auto"/>
          <w:highlight w:val="none"/>
        </w:rPr>
        <w:t>采购清单</w:t>
      </w:r>
      <w:bookmarkEnd w:id="167"/>
    </w:p>
    <w:p w14:paraId="4149A88C">
      <w:pPr>
        <w:rPr>
          <w:rFonts w:hint="eastAsia" w:ascii="宋体" w:hAnsi="宋体" w:cs="宋体"/>
          <w:color w:val="auto"/>
          <w:highlight w:val="none"/>
        </w:rPr>
      </w:pPr>
    </w:p>
    <w:p w14:paraId="3C531530">
      <w:pPr>
        <w:rPr>
          <w:rFonts w:hint="eastAsia" w:ascii="宋体" w:hAnsi="宋体" w:cs="宋体"/>
          <w:color w:val="auto"/>
          <w:highlight w:val="none"/>
        </w:rPr>
      </w:pPr>
    </w:p>
    <w:tbl>
      <w:tblPr>
        <w:tblStyle w:val="44"/>
        <w:tblW w:w="8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9"/>
        <w:gridCol w:w="814"/>
        <w:gridCol w:w="4465"/>
        <w:gridCol w:w="1083"/>
        <w:gridCol w:w="1506"/>
      </w:tblGrid>
      <w:tr w14:paraId="679E5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27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73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采购清单</w:t>
            </w:r>
          </w:p>
        </w:tc>
      </w:tr>
      <w:tr w14:paraId="2C41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9" w:hRule="atLeast"/>
          <w:jc w:val="center"/>
        </w:trPr>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15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B9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险种</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92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要求</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0F9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车辆类型</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45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自主折扣系数</w:t>
            </w:r>
          </w:p>
        </w:tc>
      </w:tr>
      <w:tr w14:paraId="04A3F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9" w:hRule="atLeast"/>
          <w:jc w:val="center"/>
        </w:trPr>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C4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5843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商业险</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D26A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1.车辆损失险（按车辆折旧后车辆实际价值）；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2.第三者责任险（每次赔偿限额300万元人民币）；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3.车上人员责任险（按车辆行驶核载人数为准）、赔偿限额50万元/座；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4.医保外医疗费用责任险（不超过主险的赔偿限额）。</w:t>
            </w:r>
          </w:p>
        </w:tc>
        <w:tc>
          <w:tcPr>
            <w:tcW w:w="1083" w:type="dxa"/>
            <w:tcBorders>
              <w:top w:val="single" w:color="000000" w:sz="4" w:space="0"/>
              <w:left w:val="single" w:color="000000" w:sz="4" w:space="0"/>
              <w:bottom w:val="nil"/>
              <w:right w:val="single" w:color="000000" w:sz="4" w:space="0"/>
            </w:tcBorders>
            <w:shd w:val="clear" w:color="auto" w:fill="auto"/>
            <w:vAlign w:val="center"/>
          </w:tcPr>
          <w:p w14:paraId="1D6DB6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燃油车</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1D4B">
            <w:pPr>
              <w:jc w:val="center"/>
              <w:rPr>
                <w:rFonts w:hint="eastAsia" w:ascii="宋体" w:hAnsi="宋体" w:eastAsia="宋体" w:cs="宋体"/>
                <w:i w:val="0"/>
                <w:iCs w:val="0"/>
                <w:color w:val="000000"/>
                <w:sz w:val="21"/>
                <w:szCs w:val="21"/>
                <w:highlight w:val="none"/>
                <w:u w:val="none"/>
              </w:rPr>
            </w:pPr>
          </w:p>
        </w:tc>
      </w:tr>
      <w:tr w14:paraId="24332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6" w:hRule="atLeast"/>
          <w:jc w:val="center"/>
        </w:trPr>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BB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41D07">
            <w:pPr>
              <w:jc w:val="center"/>
              <w:rPr>
                <w:rFonts w:hint="eastAsia" w:ascii="宋体" w:hAnsi="宋体" w:eastAsia="宋体" w:cs="宋体"/>
                <w:i w:val="0"/>
                <w:iCs w:val="0"/>
                <w:color w:val="000000"/>
                <w:sz w:val="21"/>
                <w:szCs w:val="21"/>
                <w:highlight w:val="none"/>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64D49">
            <w:pPr>
              <w:jc w:val="left"/>
              <w:rPr>
                <w:rFonts w:hint="eastAsia" w:ascii="宋体" w:hAnsi="宋体" w:eastAsia="宋体" w:cs="宋体"/>
                <w:i w:val="0"/>
                <w:iCs w:val="0"/>
                <w:color w:val="000000"/>
                <w:sz w:val="21"/>
                <w:szCs w:val="21"/>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E3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新能源车</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8EB1">
            <w:pPr>
              <w:jc w:val="center"/>
              <w:rPr>
                <w:rFonts w:hint="eastAsia" w:ascii="宋体" w:hAnsi="宋体" w:eastAsia="宋体" w:cs="宋体"/>
                <w:i w:val="0"/>
                <w:iCs w:val="0"/>
                <w:color w:val="000000"/>
                <w:sz w:val="21"/>
                <w:szCs w:val="21"/>
                <w:highlight w:val="none"/>
                <w:u w:val="none"/>
              </w:rPr>
            </w:pPr>
          </w:p>
        </w:tc>
      </w:tr>
      <w:tr w14:paraId="607C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jc w:val="center"/>
        </w:trPr>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FF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4B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交强险、车船税</w:t>
            </w:r>
          </w:p>
        </w:tc>
        <w:tc>
          <w:tcPr>
            <w:tcW w:w="4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B06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交强险保费按《机动车交通事故责任强制保险条例》、中国保险行业协会机动车</w:t>
            </w:r>
            <w:bookmarkStart w:id="265" w:name="_GoBack"/>
            <w:bookmarkEnd w:id="265"/>
            <w:r>
              <w:rPr>
                <w:rFonts w:hint="eastAsia" w:ascii="宋体" w:hAnsi="宋体" w:eastAsia="宋体" w:cs="宋体"/>
                <w:i w:val="0"/>
                <w:iCs w:val="0"/>
                <w:color w:val="000000"/>
                <w:kern w:val="0"/>
                <w:sz w:val="21"/>
                <w:szCs w:val="21"/>
                <w:highlight w:val="none"/>
                <w:u w:val="none"/>
                <w:lang w:val="en-US" w:eastAsia="zh-CN" w:bidi="ar"/>
              </w:rPr>
              <w:t>交通事故责任强制保险的有关规定执行。</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66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所有车型</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80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此处不报折扣。</w:t>
            </w:r>
          </w:p>
        </w:tc>
      </w:tr>
      <w:tr w14:paraId="57E1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8277" w:type="dxa"/>
            <w:gridSpan w:val="5"/>
            <w:tcBorders>
              <w:top w:val="nil"/>
              <w:left w:val="nil"/>
              <w:bottom w:val="nil"/>
              <w:right w:val="nil"/>
            </w:tcBorders>
            <w:shd w:val="clear" w:color="auto" w:fill="auto"/>
            <w:noWrap/>
            <w:vAlign w:val="center"/>
          </w:tcPr>
          <w:p w14:paraId="3C8D5FC1">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注：1.税率6%。</w:t>
            </w:r>
          </w:p>
        </w:tc>
      </w:tr>
    </w:tbl>
    <w:p w14:paraId="703AA514">
      <w:pPr>
        <w:rPr>
          <w:rFonts w:hint="eastAsia" w:ascii="宋体" w:hAnsi="宋体" w:cs="宋体"/>
          <w:color w:val="auto"/>
          <w:highlight w:val="none"/>
        </w:rPr>
      </w:pPr>
      <w:r>
        <w:rPr>
          <w:rFonts w:hint="eastAsia" w:ascii="宋体" w:hAnsi="宋体" w:cs="宋体"/>
          <w:color w:val="auto"/>
          <w:highlight w:val="none"/>
        </w:rPr>
        <w:br w:type="page"/>
      </w:r>
    </w:p>
    <w:p w14:paraId="7D908F26">
      <w:pPr>
        <w:pStyle w:val="3"/>
        <w:numPr>
          <w:ilvl w:val="0"/>
          <w:numId w:val="2"/>
        </w:numPr>
        <w:spacing w:before="0" w:after="0" w:line="360" w:lineRule="auto"/>
        <w:jc w:val="center"/>
        <w:rPr>
          <w:rFonts w:ascii="宋体" w:hAnsi="宋体" w:cs="宋体"/>
          <w:color w:val="auto"/>
          <w:highlight w:val="none"/>
        </w:rPr>
      </w:pPr>
      <w:bookmarkStart w:id="168" w:name="_Toc9083"/>
      <w:r>
        <w:rPr>
          <w:rFonts w:hint="eastAsia" w:ascii="宋体" w:hAnsi="宋体" w:cs="宋体"/>
          <w:color w:val="auto"/>
          <w:highlight w:val="none"/>
          <w:lang w:val="en-US" w:eastAsia="zh-CN"/>
        </w:rPr>
        <w:t>服务</w:t>
      </w:r>
      <w:r>
        <w:rPr>
          <w:rFonts w:hint="eastAsia" w:ascii="宋体" w:hAnsi="宋体" w:cs="宋体"/>
          <w:color w:val="auto"/>
          <w:highlight w:val="none"/>
        </w:rPr>
        <w:t>要求</w:t>
      </w:r>
      <w:bookmarkEnd w:id="168"/>
    </w:p>
    <w:p w14:paraId="29327470">
      <w:pPr>
        <w:spacing w:before="0" w:after="0" w:line="360" w:lineRule="auto"/>
        <w:jc w:val="center"/>
        <w:rPr>
          <w:rFonts w:hint="eastAsia" w:ascii="宋体" w:hAnsi="宋体" w:cs="宋体"/>
          <w:b/>
          <w:color w:val="auto"/>
          <w:kern w:val="0"/>
          <w:sz w:val="24"/>
          <w:highlight w:val="none"/>
        </w:rPr>
      </w:pPr>
    </w:p>
    <w:p w14:paraId="6E1689FC">
      <w:pPr>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1、服务对象：</w:t>
      </w:r>
      <w:r>
        <w:rPr>
          <w:rFonts w:hint="eastAsia" w:ascii="宋体" w:hAnsi="宋体" w:eastAsia="宋体"/>
          <w:color w:val="auto"/>
          <w:kern w:val="0"/>
          <w:highlight w:val="none"/>
          <w:lang w:val="en-US" w:eastAsia="zh-CN"/>
        </w:rPr>
        <w:t>附件清单中所列的87台</w:t>
      </w:r>
      <w:r>
        <w:rPr>
          <w:rFonts w:hint="eastAsia" w:ascii="宋体" w:hAnsi="宋体" w:eastAsia="宋体"/>
          <w:color w:val="auto"/>
          <w:kern w:val="0"/>
          <w:highlight w:val="none"/>
        </w:rPr>
        <w:t>机动车辆。</w:t>
      </w:r>
    </w:p>
    <w:p w14:paraId="49BD6392">
      <w:pPr>
        <w:adjustRightInd w:val="0"/>
        <w:spacing w:line="360" w:lineRule="exact"/>
        <w:ind w:firstLine="435"/>
        <w:rPr>
          <w:rFonts w:hint="eastAsia" w:ascii="宋体" w:hAnsi="宋体" w:eastAsia="宋体"/>
          <w:color w:val="auto"/>
          <w:kern w:val="0"/>
          <w:highlight w:val="none"/>
          <w:lang w:eastAsia="zh-CN"/>
        </w:rPr>
      </w:pPr>
      <w:r>
        <w:rPr>
          <w:rFonts w:hint="eastAsia" w:ascii="宋体" w:hAnsi="宋体"/>
          <w:color w:val="auto"/>
          <w:kern w:val="0"/>
          <w:highlight w:val="none"/>
        </w:rPr>
        <w:t>2、服务内容：</w:t>
      </w:r>
      <w:r>
        <w:rPr>
          <w:rFonts w:hint="eastAsia" w:ascii="宋体" w:hAnsi="宋体" w:eastAsia="宋体"/>
          <w:color w:val="auto"/>
          <w:kern w:val="0"/>
          <w:highlight w:val="none"/>
          <w:lang w:val="en-US" w:eastAsia="zh-CN"/>
        </w:rPr>
        <w:t>清单中所列的87台</w:t>
      </w:r>
      <w:r>
        <w:rPr>
          <w:rFonts w:hint="eastAsia" w:ascii="宋体" w:hAnsi="宋体" w:eastAsia="宋体"/>
          <w:color w:val="auto"/>
          <w:kern w:val="0"/>
          <w:highlight w:val="none"/>
        </w:rPr>
        <w:t>机动车辆</w:t>
      </w:r>
      <w:r>
        <w:rPr>
          <w:rFonts w:hint="eastAsia" w:ascii="宋体" w:hAnsi="宋体"/>
          <w:color w:val="auto"/>
          <w:kern w:val="0"/>
          <w:highlight w:val="none"/>
        </w:rPr>
        <w:t>，车辆保险（交强险、第三者责任险、</w:t>
      </w:r>
      <w:r>
        <w:rPr>
          <w:rFonts w:hint="eastAsia" w:ascii="宋体" w:hAnsi="宋体"/>
          <w:color w:val="auto"/>
          <w:kern w:val="0"/>
          <w:highlight w:val="none"/>
          <w:lang w:val="en-US" w:eastAsia="zh-CN"/>
        </w:rPr>
        <w:t>车辆损失险</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车上人员责任险、医保外医疗费用责任险</w:t>
      </w:r>
      <w:r>
        <w:rPr>
          <w:rFonts w:hint="eastAsia" w:ascii="宋体" w:hAnsi="宋体"/>
          <w:color w:val="auto"/>
          <w:kern w:val="0"/>
          <w:highlight w:val="none"/>
        </w:rPr>
        <w:t>）</w:t>
      </w:r>
      <w:r>
        <w:rPr>
          <w:rFonts w:hint="eastAsia" w:ascii="宋体" w:hAnsi="宋体"/>
          <w:color w:val="auto"/>
          <w:kern w:val="0"/>
          <w:highlight w:val="none"/>
          <w:lang w:eastAsia="zh-CN"/>
        </w:rPr>
        <w:t>，并</w:t>
      </w:r>
      <w:r>
        <w:rPr>
          <w:rFonts w:hint="eastAsia" w:ascii="宋体" w:hAnsi="宋体"/>
          <w:color w:val="auto"/>
          <w:kern w:val="0"/>
          <w:highlight w:val="none"/>
          <w:lang w:val="en-US" w:eastAsia="zh-CN"/>
        </w:rPr>
        <w:t>对</w:t>
      </w:r>
      <w:r>
        <w:rPr>
          <w:rFonts w:hint="eastAsia" w:ascii="宋体" w:hAnsi="宋体"/>
          <w:color w:val="auto"/>
          <w:kern w:val="0"/>
          <w:highlight w:val="none"/>
          <w:lang w:eastAsia="zh-CN"/>
        </w:rPr>
        <w:t>所有事故（含超出保险额度或未投保险种的案件）进行出险、定损、谈判、诉讼、仲裁、保险法律条款提供咨询服务。</w:t>
      </w:r>
    </w:p>
    <w:p w14:paraId="3AC9A106">
      <w:pPr>
        <w:adjustRightInd w:val="0"/>
        <w:spacing w:line="360" w:lineRule="exact"/>
        <w:ind w:firstLine="435"/>
        <w:rPr>
          <w:rFonts w:ascii="宋体" w:hAnsi="宋体" w:cs="宋体"/>
          <w:color w:val="auto"/>
          <w:highlight w:val="none"/>
        </w:rPr>
      </w:pPr>
      <w:r>
        <w:rPr>
          <w:rFonts w:hint="eastAsia" w:ascii="宋体" w:hAnsi="宋体" w:cs="宋体"/>
          <w:color w:val="auto"/>
          <w:highlight w:val="none"/>
        </w:rPr>
        <w:t>（1）商业险部分：</w:t>
      </w:r>
    </w:p>
    <w:p w14:paraId="6F077AF6">
      <w:pPr>
        <w:adjustRightInd w:val="0"/>
        <w:spacing w:line="360" w:lineRule="exact"/>
        <w:ind w:firstLine="435"/>
        <w:rPr>
          <w:rFonts w:hint="eastAsia" w:ascii="宋体" w:hAnsi="宋体" w:cs="宋体"/>
          <w:color w:val="auto"/>
          <w:highlight w:val="none"/>
        </w:rPr>
      </w:pPr>
      <w:r>
        <w:rPr>
          <w:rFonts w:hint="eastAsia" w:ascii="宋体" w:hAnsi="宋体" w:cs="宋体"/>
          <w:color w:val="auto"/>
          <w:highlight w:val="none"/>
        </w:rPr>
        <w:t>1.车辆损失险（按车辆折旧后车辆实际价值）；</w:t>
      </w:r>
    </w:p>
    <w:p w14:paraId="5802DA4E">
      <w:pPr>
        <w:adjustRightInd w:val="0"/>
        <w:spacing w:line="360" w:lineRule="exact"/>
        <w:ind w:firstLine="435"/>
        <w:rPr>
          <w:rFonts w:hint="eastAsia" w:ascii="宋体" w:hAnsi="宋体" w:cs="宋体"/>
          <w:color w:val="auto"/>
          <w:highlight w:val="none"/>
        </w:rPr>
      </w:pPr>
      <w:r>
        <w:rPr>
          <w:rFonts w:hint="eastAsia" w:ascii="宋体" w:hAnsi="宋体" w:cs="宋体"/>
          <w:color w:val="auto"/>
          <w:highlight w:val="none"/>
        </w:rPr>
        <w:t>2.第三者责任险（每次赔偿限额300万元人民币）</w:t>
      </w:r>
    </w:p>
    <w:p w14:paraId="512D39B4">
      <w:pPr>
        <w:adjustRightInd w:val="0"/>
        <w:spacing w:line="360" w:lineRule="exact"/>
        <w:ind w:firstLine="435"/>
        <w:rPr>
          <w:rFonts w:hint="eastAsia" w:ascii="宋体" w:hAnsi="宋体" w:cs="宋体"/>
          <w:color w:val="auto"/>
          <w:highlight w:val="none"/>
        </w:rPr>
      </w:pPr>
      <w:r>
        <w:rPr>
          <w:rFonts w:hint="eastAsia" w:ascii="宋体" w:hAnsi="宋体" w:cs="宋体"/>
          <w:color w:val="auto"/>
          <w:highlight w:val="none"/>
        </w:rPr>
        <w:t>3.车上人员责任险（按车辆行驶核载人数为准）、赔偿限额50万元/座；</w:t>
      </w:r>
    </w:p>
    <w:p w14:paraId="74FA22E0">
      <w:pPr>
        <w:adjustRightInd w:val="0"/>
        <w:spacing w:line="360" w:lineRule="exact"/>
        <w:ind w:firstLine="435"/>
        <w:rPr>
          <w:rFonts w:hint="eastAsia" w:ascii="宋体" w:hAnsi="宋体" w:cs="宋体"/>
          <w:color w:val="auto"/>
          <w:highlight w:val="none"/>
        </w:rPr>
      </w:pPr>
      <w:r>
        <w:rPr>
          <w:rFonts w:hint="eastAsia" w:ascii="宋体" w:hAnsi="宋体" w:cs="宋体"/>
          <w:color w:val="auto"/>
          <w:highlight w:val="none"/>
        </w:rPr>
        <w:t>4.医保外医疗费用责任险（不超过主险的赔偿限额）</w:t>
      </w:r>
    </w:p>
    <w:p w14:paraId="1E60409E">
      <w:pPr>
        <w:adjustRightInd w:val="0"/>
        <w:spacing w:line="360" w:lineRule="exact"/>
        <w:ind w:firstLine="435"/>
        <w:rPr>
          <w:rFonts w:ascii="宋体" w:hAnsi="宋体"/>
          <w:color w:val="auto"/>
          <w:kern w:val="0"/>
          <w:highlight w:val="none"/>
        </w:rPr>
      </w:pPr>
      <w:r>
        <w:rPr>
          <w:rFonts w:hint="eastAsia" w:ascii="宋体" w:hAnsi="宋体" w:cs="宋体"/>
          <w:color w:val="auto"/>
          <w:highlight w:val="none"/>
        </w:rPr>
        <w:t>（2）</w:t>
      </w:r>
      <w:r>
        <w:rPr>
          <w:rFonts w:hint="eastAsia" w:ascii="宋体" w:hAnsi="宋体" w:cs="宋体"/>
          <w:snapToGrid w:val="0"/>
          <w:color w:val="auto"/>
          <w:highlight w:val="none"/>
        </w:rPr>
        <w:t>附属部分：车船税、交强险等</w:t>
      </w:r>
      <w:r>
        <w:rPr>
          <w:rFonts w:hint="eastAsia" w:ascii="宋体" w:hAnsi="宋体" w:cs="宋体"/>
          <w:color w:val="auto"/>
          <w:highlight w:val="none"/>
        </w:rPr>
        <w:t>。</w:t>
      </w:r>
    </w:p>
    <w:p w14:paraId="2A50D514">
      <w:pPr>
        <w:spacing w:line="360" w:lineRule="exact"/>
        <w:ind w:firstLine="420" w:firstLineChars="200"/>
        <w:rPr>
          <w:rFonts w:hint="eastAsia" w:ascii="宋体" w:hAnsi="宋体"/>
          <w:color w:val="auto"/>
          <w:kern w:val="0"/>
          <w:highlight w:val="none"/>
          <w:lang w:val="en-US" w:eastAsia="zh-CN"/>
        </w:rPr>
      </w:pPr>
      <w:r>
        <w:rPr>
          <w:rFonts w:ascii="宋体" w:hAnsi="宋体"/>
          <w:color w:val="auto"/>
          <w:kern w:val="0"/>
          <w:highlight w:val="none"/>
        </w:rPr>
        <w:t>3</w:t>
      </w:r>
      <w:r>
        <w:rPr>
          <w:rFonts w:hint="eastAsia" w:ascii="宋体" w:hAnsi="宋体"/>
          <w:color w:val="auto"/>
          <w:kern w:val="0"/>
          <w:highlight w:val="none"/>
        </w:rPr>
        <w:t>、服务期限：</w:t>
      </w:r>
      <w:r>
        <w:rPr>
          <w:rFonts w:hint="eastAsia" w:ascii="宋体" w:hAnsi="宋体"/>
          <w:color w:val="auto"/>
          <w:kern w:val="0"/>
          <w:highlight w:val="none"/>
          <w:lang w:val="en-US" w:eastAsia="zh-CN"/>
        </w:rPr>
        <w:t>2年，合同1年1签，1年到期后，经采购人考核满意的，可续约1年。</w:t>
      </w:r>
    </w:p>
    <w:p w14:paraId="651D8A30">
      <w:pPr>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4、服务要求：</w:t>
      </w:r>
    </w:p>
    <w:p w14:paraId="05D1EF12">
      <w:pPr>
        <w:spacing w:line="360" w:lineRule="exact"/>
        <w:ind w:firstLine="422"/>
        <w:rPr>
          <w:rFonts w:ascii="宋体" w:hAnsi="宋体"/>
          <w:b/>
          <w:color w:val="auto"/>
          <w:kern w:val="0"/>
          <w:highlight w:val="none"/>
        </w:rPr>
      </w:pPr>
      <w:bookmarkStart w:id="169" w:name="OLE_LINK13"/>
      <w:r>
        <w:rPr>
          <w:rFonts w:hint="eastAsia" w:ascii="宋体" w:hAnsi="宋体"/>
          <w:b/>
          <w:color w:val="auto"/>
          <w:kern w:val="0"/>
          <w:highlight w:val="none"/>
        </w:rPr>
        <w:t>保险要求：</w:t>
      </w:r>
    </w:p>
    <w:p w14:paraId="48C52131">
      <w:pPr>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车辆保险险种：</w:t>
      </w:r>
    </w:p>
    <w:p w14:paraId="46F29A5E">
      <w:pPr>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①法定险种:</w:t>
      </w:r>
    </w:p>
    <w:p w14:paraId="3DD177E6">
      <w:pPr>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机动车交通事故责任强制险；</w:t>
      </w:r>
    </w:p>
    <w:p w14:paraId="610710C6">
      <w:pPr>
        <w:spacing w:line="360" w:lineRule="exact"/>
        <w:ind w:firstLine="420" w:firstLineChars="200"/>
        <w:rPr>
          <w:rFonts w:hint="eastAsia" w:ascii="宋体" w:hAnsi="宋体"/>
          <w:color w:val="auto"/>
          <w:kern w:val="0"/>
          <w:highlight w:val="none"/>
        </w:rPr>
      </w:pPr>
      <w:r>
        <w:rPr>
          <w:rFonts w:hint="eastAsia" w:ascii="宋体" w:hAnsi="宋体"/>
          <w:color w:val="auto"/>
          <w:kern w:val="0"/>
          <w:highlight w:val="none"/>
        </w:rPr>
        <w:t xml:space="preserve">②商业险种: </w:t>
      </w:r>
    </w:p>
    <w:p w14:paraId="7EF47869">
      <w:pPr>
        <w:spacing w:line="36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1.车辆损失险（按车辆折旧后车辆实际价值）；</w:t>
      </w:r>
    </w:p>
    <w:p w14:paraId="3343C087">
      <w:pPr>
        <w:spacing w:line="36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2.第三者责任险（每次赔偿限额300万元人民币）</w:t>
      </w:r>
    </w:p>
    <w:p w14:paraId="2D938A7E">
      <w:pPr>
        <w:spacing w:line="360" w:lineRule="exact"/>
        <w:ind w:firstLine="420" w:firstLineChars="200"/>
        <w:rPr>
          <w:rFonts w:hint="eastAsia" w:ascii="宋体" w:hAnsi="宋体"/>
          <w:color w:val="auto"/>
          <w:kern w:val="0"/>
          <w:highlight w:val="none"/>
          <w:lang w:val="en-US" w:eastAsia="zh-CN"/>
        </w:rPr>
      </w:pPr>
      <w:r>
        <w:rPr>
          <w:rFonts w:hint="eastAsia" w:ascii="宋体" w:hAnsi="宋体"/>
          <w:color w:val="auto"/>
          <w:kern w:val="0"/>
          <w:highlight w:val="none"/>
          <w:lang w:val="en-US" w:eastAsia="zh-CN"/>
        </w:rPr>
        <w:t>3.车上人员责任险（按车辆行驶核载人数为准）、赔偿限额50万元/座；</w:t>
      </w:r>
    </w:p>
    <w:p w14:paraId="1FE462AB">
      <w:pPr>
        <w:spacing w:line="360" w:lineRule="exact"/>
        <w:ind w:firstLine="420" w:firstLineChars="200"/>
        <w:rPr>
          <w:rFonts w:ascii="宋体" w:hAnsi="宋体"/>
          <w:color w:val="auto"/>
          <w:kern w:val="0"/>
          <w:highlight w:val="none"/>
        </w:rPr>
      </w:pPr>
      <w:r>
        <w:rPr>
          <w:rFonts w:hint="eastAsia" w:ascii="宋体" w:hAnsi="宋体"/>
          <w:color w:val="auto"/>
          <w:kern w:val="0"/>
          <w:highlight w:val="none"/>
          <w:lang w:val="en-US" w:eastAsia="zh-CN"/>
        </w:rPr>
        <w:t>4.医保外医疗费用责任险（不超过主险的赔偿限额）</w:t>
      </w:r>
    </w:p>
    <w:p w14:paraId="636BA8D3">
      <w:pPr>
        <w:spacing w:line="360" w:lineRule="exact"/>
        <w:ind w:firstLine="420" w:firstLineChars="200"/>
        <w:rPr>
          <w:rFonts w:ascii="宋体" w:hAnsi="宋体"/>
          <w:b/>
          <w:color w:val="auto"/>
          <w:kern w:val="0"/>
          <w:highlight w:val="none"/>
        </w:rPr>
      </w:pPr>
      <w:r>
        <w:rPr>
          <w:rFonts w:hint="eastAsia" w:ascii="宋体" w:hAnsi="宋体"/>
          <w:color w:val="auto"/>
          <w:kern w:val="0"/>
          <w:highlight w:val="none"/>
        </w:rPr>
        <w:t>保险</w:t>
      </w:r>
      <w:r>
        <w:rPr>
          <w:rFonts w:hint="eastAsia" w:ascii="宋体" w:hAnsi="宋体"/>
          <w:b/>
          <w:color w:val="auto"/>
          <w:kern w:val="0"/>
          <w:highlight w:val="none"/>
        </w:rPr>
        <w:t>费率优惠要求</w:t>
      </w:r>
    </w:p>
    <w:bookmarkEnd w:id="169"/>
    <w:p w14:paraId="0AF47188">
      <w:pPr>
        <w:spacing w:line="360" w:lineRule="exact"/>
        <w:rPr>
          <w:rFonts w:ascii="宋体" w:hAnsi="宋体"/>
          <w:color w:val="auto"/>
          <w:kern w:val="0"/>
          <w:highlight w:val="none"/>
        </w:rPr>
      </w:pPr>
      <w:r>
        <w:rPr>
          <w:rFonts w:hint="eastAsia" w:ascii="宋体" w:hAnsi="宋体"/>
          <w:color w:val="auto"/>
          <w:kern w:val="0"/>
          <w:highlight w:val="none"/>
        </w:rPr>
        <w:t xml:space="preserve">    应符合中国保监会《关于实施车险综合改革的指导意见》的有关规定，</w:t>
      </w:r>
      <w:r>
        <w:rPr>
          <w:rFonts w:hint="eastAsia" w:ascii="宋体" w:hAnsi="宋体" w:cs="宋体"/>
          <w:color w:val="auto"/>
          <w:highlight w:val="none"/>
        </w:rPr>
        <w:t>在国家政策允许的范围内给重庆交通机动车辆20</w:t>
      </w:r>
      <w:r>
        <w:rPr>
          <w:rFonts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年综合商业保险最大的优惠</w:t>
      </w:r>
      <w:r>
        <w:rPr>
          <w:rFonts w:hint="eastAsia" w:ascii="宋体" w:hAnsi="宋体"/>
          <w:color w:val="auto"/>
          <w:kern w:val="0"/>
          <w:highlight w:val="none"/>
        </w:rPr>
        <w:t>。</w:t>
      </w:r>
    </w:p>
    <w:p w14:paraId="49EB9F1E">
      <w:pPr>
        <w:spacing w:line="360" w:lineRule="exact"/>
        <w:ind w:firstLine="422" w:firstLineChars="200"/>
        <w:rPr>
          <w:rFonts w:ascii="宋体" w:hAnsi="宋体"/>
          <w:b/>
          <w:color w:val="auto"/>
          <w:kern w:val="0"/>
          <w:highlight w:val="none"/>
        </w:rPr>
      </w:pPr>
      <w:r>
        <w:rPr>
          <w:rFonts w:hint="eastAsia" w:ascii="宋体" w:hAnsi="宋体"/>
          <w:b/>
          <w:color w:val="auto"/>
          <w:kern w:val="0"/>
          <w:highlight w:val="none"/>
        </w:rPr>
        <w:t xml:space="preserve">保额要求 </w:t>
      </w:r>
    </w:p>
    <w:p w14:paraId="27C6422A">
      <w:pPr>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承保交强险时各投标人应按车辆上年实际出险情况进行优惠计算保费；承保商业险时按车辆保险期间的实际情况（车辆座位数、购车时间、承保时车辆实际价格、上年出险情况等）出单计费。</w:t>
      </w:r>
    </w:p>
    <w:p w14:paraId="60E66CFF">
      <w:pPr>
        <w:spacing w:line="360" w:lineRule="exact"/>
        <w:ind w:firstLine="422" w:firstLineChars="200"/>
        <w:rPr>
          <w:rFonts w:ascii="宋体" w:hAnsi="宋体"/>
          <w:b/>
          <w:color w:val="auto"/>
          <w:kern w:val="0"/>
          <w:highlight w:val="none"/>
        </w:rPr>
      </w:pPr>
      <w:r>
        <w:rPr>
          <w:rFonts w:hint="eastAsia" w:ascii="宋体" w:hAnsi="宋体"/>
          <w:b/>
          <w:color w:val="auto"/>
          <w:kern w:val="0"/>
          <w:highlight w:val="none"/>
        </w:rPr>
        <w:t>四、其他相关要求</w:t>
      </w:r>
    </w:p>
    <w:p w14:paraId="03C5CF7C">
      <w:pPr>
        <w:spacing w:line="360" w:lineRule="exact"/>
        <w:ind w:firstLine="422" w:firstLineChars="200"/>
        <w:rPr>
          <w:rFonts w:ascii="宋体" w:hAnsi="宋体"/>
          <w:color w:val="auto"/>
          <w:highlight w:val="none"/>
        </w:rPr>
      </w:pPr>
      <w:bookmarkStart w:id="170" w:name="OLE_LINK15"/>
      <w:r>
        <w:rPr>
          <w:rFonts w:hint="eastAsia" w:ascii="宋体" w:hAnsi="宋体"/>
          <w:b/>
          <w:bCs/>
          <w:color w:val="auto"/>
          <w:kern w:val="0"/>
          <w:highlight w:val="none"/>
        </w:rPr>
        <w:t>投标人的服务承诺</w:t>
      </w:r>
      <w:bookmarkEnd w:id="170"/>
      <w:r>
        <w:rPr>
          <w:rFonts w:hint="eastAsia" w:ascii="宋体" w:hAnsi="宋体"/>
          <w:b/>
          <w:bCs/>
          <w:color w:val="auto"/>
          <w:kern w:val="0"/>
          <w:highlight w:val="none"/>
        </w:rPr>
        <w:t>（即商务部分参与评分的服务要求）</w:t>
      </w:r>
      <w:r>
        <w:rPr>
          <w:rFonts w:hint="eastAsia" w:ascii="宋体" w:hAnsi="宋体"/>
          <w:color w:val="auto"/>
          <w:kern w:val="0"/>
          <w:highlight w:val="none"/>
        </w:rPr>
        <w:t>：</w:t>
      </w:r>
      <w:r>
        <w:rPr>
          <w:rFonts w:hint="eastAsia" w:ascii="宋体" w:hAnsi="宋体"/>
          <w:color w:val="auto"/>
          <w:kern w:val="0"/>
          <w:highlight w:val="none"/>
          <w:lang w:val="en-US" w:eastAsia="zh-CN"/>
        </w:rPr>
        <w:t>报价人</w:t>
      </w:r>
      <w:r>
        <w:rPr>
          <w:rFonts w:hint="eastAsia" w:ascii="宋体" w:hAnsi="宋体"/>
          <w:color w:val="auto"/>
          <w:kern w:val="0"/>
          <w:highlight w:val="none"/>
        </w:rPr>
        <w:t>人应根据</w:t>
      </w:r>
      <w:r>
        <w:rPr>
          <w:rFonts w:hint="eastAsia" w:ascii="宋体" w:hAnsi="宋体"/>
          <w:color w:val="auto"/>
          <w:kern w:val="0"/>
          <w:highlight w:val="none"/>
          <w:lang w:val="en-US" w:eastAsia="zh-CN"/>
        </w:rPr>
        <w:t>竞争性比选</w:t>
      </w:r>
      <w:r>
        <w:rPr>
          <w:rFonts w:hint="eastAsia" w:ascii="宋体" w:hAnsi="宋体"/>
          <w:color w:val="auto"/>
          <w:kern w:val="0"/>
          <w:highlight w:val="none"/>
        </w:rPr>
        <w:t>文件的要求，在</w:t>
      </w:r>
      <w:r>
        <w:rPr>
          <w:rFonts w:hint="eastAsia" w:ascii="宋体" w:hAnsi="宋体"/>
          <w:color w:val="auto"/>
          <w:kern w:val="0"/>
          <w:highlight w:val="none"/>
          <w:lang w:val="en-US" w:eastAsia="zh-CN"/>
        </w:rPr>
        <w:t>响应性</w:t>
      </w:r>
      <w:r>
        <w:rPr>
          <w:rFonts w:hint="eastAsia" w:ascii="宋体" w:hAnsi="宋体"/>
          <w:color w:val="auto"/>
          <w:kern w:val="0"/>
          <w:highlight w:val="none"/>
        </w:rPr>
        <w:t>文件中详细载明</w:t>
      </w:r>
      <w:r>
        <w:rPr>
          <w:rFonts w:hint="eastAsia" w:ascii="宋体" w:hAnsi="宋体"/>
          <w:color w:val="auto"/>
          <w:kern w:val="0"/>
          <w:highlight w:val="none"/>
          <w:lang w:val="en-US" w:eastAsia="zh-CN"/>
        </w:rPr>
        <w:t>的</w:t>
      </w:r>
      <w:r>
        <w:rPr>
          <w:rFonts w:hint="eastAsia" w:ascii="宋体" w:hAnsi="宋体"/>
          <w:color w:val="auto"/>
          <w:kern w:val="0"/>
          <w:highlight w:val="none"/>
        </w:rPr>
        <w:t>车辆承保的承保方案及服务承诺。</w:t>
      </w:r>
    </w:p>
    <w:p w14:paraId="741086CB">
      <w:pPr>
        <w:spacing w:before="0" w:after="0" w:line="360" w:lineRule="auto"/>
        <w:ind w:firstLine="0" w:firstLineChars="0"/>
        <w:jc w:val="center"/>
        <w:rPr>
          <w:rFonts w:hint="eastAsia" w:ascii="宋体" w:hAnsi="宋体" w:cs="宋体"/>
          <w:b/>
          <w:color w:val="auto"/>
          <w:kern w:val="0"/>
          <w:sz w:val="24"/>
          <w:highlight w:val="none"/>
        </w:rPr>
      </w:pPr>
    </w:p>
    <w:p w14:paraId="1F030B39">
      <w:pPr>
        <w:spacing w:before="0" w:after="0"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br w:type="page"/>
      </w:r>
    </w:p>
    <w:p w14:paraId="5AF0DD04">
      <w:pPr>
        <w:pStyle w:val="3"/>
        <w:numPr>
          <w:ilvl w:val="0"/>
          <w:numId w:val="2"/>
        </w:numPr>
        <w:spacing w:before="0" w:after="0" w:line="360" w:lineRule="auto"/>
        <w:jc w:val="center"/>
        <w:rPr>
          <w:rFonts w:ascii="宋体" w:hAnsi="宋体" w:cs="宋体"/>
          <w:color w:val="auto"/>
          <w:highlight w:val="none"/>
        </w:rPr>
      </w:pPr>
      <w:bookmarkStart w:id="171" w:name="_Toc29760"/>
      <w:r>
        <w:rPr>
          <w:rFonts w:hint="eastAsia" w:ascii="宋体" w:hAnsi="宋体" w:cs="宋体"/>
          <w:color w:val="auto"/>
          <w:highlight w:val="none"/>
          <w:lang w:val="en-US" w:eastAsia="zh-CN"/>
        </w:rPr>
        <w:t>合同范本</w:t>
      </w:r>
      <w:bookmarkEnd w:id="171"/>
    </w:p>
    <w:p w14:paraId="1CD83D44">
      <w:pPr>
        <w:spacing w:line="360" w:lineRule="auto"/>
        <w:jc w:val="center"/>
        <w:rPr>
          <w:rFonts w:ascii="方正小标宋_GBK" w:hAnsi="宋体" w:eastAsia="方正小标宋_GBK"/>
          <w:bCs/>
          <w:color w:val="auto"/>
          <w:sz w:val="36"/>
          <w:szCs w:val="36"/>
          <w:highlight w:val="none"/>
        </w:rPr>
      </w:pPr>
      <w:r>
        <w:rPr>
          <w:rFonts w:hint="eastAsia" w:ascii="方正小标宋_GBK" w:eastAsia="方正小标宋_GBK"/>
          <w:bCs/>
          <w:color w:val="auto"/>
          <w:sz w:val="36"/>
          <w:szCs w:val="36"/>
          <w:highlight w:val="none"/>
        </w:rPr>
        <w:t>机动车辆保险服务合同</w:t>
      </w:r>
    </w:p>
    <w:p w14:paraId="3CC531E9">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甲方：                           （以下简称“甲方”）</w:t>
      </w:r>
    </w:p>
    <w:p w14:paraId="2602EEB5">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乙方：                           （以下简称“乙方”）</w:t>
      </w:r>
    </w:p>
    <w:p w14:paraId="63454594">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为了保护甲方和乙方的合法权益，根据《中华人民共和国合同法》及招标文件及其它相应文件，甲方与乙方签订本合同，并共同遵守。</w:t>
      </w:r>
    </w:p>
    <w:p w14:paraId="4516C22E">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一、服务范围：</w:t>
      </w:r>
    </w:p>
    <w:p w14:paraId="063A5901">
      <w:pPr>
        <w:spacing w:line="36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重庆首讯科技股份有限公司现有19台小客车、53台货车、13台（含新能源）特种车、2台新能源越野车，共计87台（详见附件：车辆信息清单）的车辆保险，含商业险、交强险、车船税，以及对所有事故（含超出保险额度或未投保险种的案件）进行出险、定损、谈判、诉讼、仲裁、保险法律条款提供咨询服务。</w:t>
      </w:r>
    </w:p>
    <w:p w14:paraId="3A5535EE">
      <w:pPr>
        <w:spacing w:line="36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（1）商业险：</w:t>
      </w:r>
    </w:p>
    <w:p w14:paraId="2A55E4BF">
      <w:pPr>
        <w:spacing w:line="360" w:lineRule="exact"/>
        <w:ind w:firstLine="630" w:firstLineChars="3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1.车辆损失险（按车辆折旧后车辆实际价值）；</w:t>
      </w:r>
    </w:p>
    <w:p w14:paraId="76D8ACEC">
      <w:pPr>
        <w:spacing w:line="360" w:lineRule="exact"/>
        <w:ind w:firstLine="630" w:firstLineChars="3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2.第三者责任险（每次赔偿限额300万元人民币）</w:t>
      </w:r>
    </w:p>
    <w:p w14:paraId="7F34F915">
      <w:pPr>
        <w:spacing w:line="360" w:lineRule="exact"/>
        <w:ind w:firstLine="630" w:firstLineChars="3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3.车上人员责任险（按车辆行驶核载人数为准）、赔偿限额50万元/座；</w:t>
      </w:r>
    </w:p>
    <w:p w14:paraId="5F7AE0FB">
      <w:pPr>
        <w:spacing w:line="360" w:lineRule="exact"/>
        <w:ind w:firstLine="630" w:firstLineChars="3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4.医保外医疗费用责任险（不超过主险的赔偿限额）</w:t>
      </w:r>
    </w:p>
    <w:p w14:paraId="77859BC4">
      <w:pPr>
        <w:spacing w:line="36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（2）交强险、车船税：</w:t>
      </w:r>
    </w:p>
    <w:p w14:paraId="51F935EE">
      <w:pPr>
        <w:spacing w:line="360" w:lineRule="exact"/>
        <w:ind w:firstLine="630" w:firstLineChars="300"/>
        <w:rPr>
          <w:rFonts w:ascii="宋体" w:hAnsi="宋体" w:cs="宋体"/>
          <w:snapToGrid w:val="0"/>
          <w:color w:val="auto"/>
          <w:kern w:val="0"/>
          <w:highlight w:val="none"/>
        </w:rPr>
      </w:pPr>
      <w:r>
        <w:rPr>
          <w:rFonts w:hint="eastAsia" w:ascii="宋体" w:hAnsi="宋体" w:cs="宋体"/>
          <w:snapToGrid w:val="0"/>
          <w:color w:val="auto"/>
          <w:kern w:val="0"/>
          <w:highlight w:val="none"/>
        </w:rPr>
        <w:t>按《机动车交通事故责任强制保险条例》、中国保险行业协会机动车交通事故责任强制保险的有关规定执行。注：险种不限于以上投保险种，具体险种，根据甲方实际情况而定。</w:t>
      </w:r>
    </w:p>
    <w:p w14:paraId="5F259B02">
      <w:pPr>
        <w:spacing w:line="360" w:lineRule="exact"/>
        <w:ind w:firstLine="420" w:firstLineChars="200"/>
        <w:rPr>
          <w:rFonts w:hint="eastAsia" w:ascii="宋体" w:hAnsi="宋体" w:cs="宋体"/>
          <w:snapToGrid w:val="0"/>
          <w:color w:val="auto"/>
          <w:kern w:val="0"/>
          <w:highlight w:val="none"/>
        </w:rPr>
      </w:pPr>
      <w:r>
        <w:rPr>
          <w:rFonts w:hint="eastAsia" w:ascii="宋体" w:hAnsi="宋体" w:cs="宋体"/>
          <w:snapToGrid w:val="0"/>
          <w:color w:val="auto"/>
          <w:kern w:val="0"/>
          <w:highlight w:val="none"/>
        </w:rPr>
        <w:t>（三）本合同期限为</w:t>
      </w:r>
      <w:r>
        <w:rPr>
          <w:rFonts w:ascii="宋体" w:hAnsi="宋体" w:cs="宋体"/>
          <w:snapToGrid w:val="0"/>
          <w:color w:val="auto"/>
          <w:kern w:val="0"/>
          <w:highlight w:val="none"/>
          <w:u w:val="single"/>
        </w:rPr>
        <w:t xml:space="preserve">   年   月   日至   年   月   日</w:t>
      </w:r>
      <w:r>
        <w:rPr>
          <w:rFonts w:hint="eastAsia" w:ascii="宋体" w:hAnsi="宋体" w:cs="宋体"/>
          <w:snapToGrid w:val="0"/>
          <w:color w:val="auto"/>
          <w:kern w:val="0"/>
          <w:highlight w:val="none"/>
          <w:u w:val="single"/>
        </w:rPr>
        <w:t>，</w:t>
      </w:r>
      <w:r>
        <w:rPr>
          <w:rFonts w:hint="eastAsia" w:ascii="宋体" w:hAnsi="宋体" w:cs="宋体"/>
          <w:snapToGrid w:val="0"/>
          <w:color w:val="auto"/>
          <w:kern w:val="0"/>
          <w:highlight w:val="none"/>
        </w:rPr>
        <w:t>合同为一年一签。合同到期后甲方会进行考核，若考核不合格则终止合同。详见考评表。</w:t>
      </w:r>
    </w:p>
    <w:p w14:paraId="494D5BC5">
      <w:pPr>
        <w:spacing w:line="360" w:lineRule="exact"/>
        <w:ind w:firstLine="420" w:firstLineChars="200"/>
        <w:rPr>
          <w:rFonts w:hint="eastAsia" w:ascii="宋体" w:hAnsi="宋体" w:cs="宋体"/>
          <w:snapToGrid w:val="0"/>
          <w:color w:val="auto"/>
          <w:kern w:val="0"/>
          <w:highlight w:val="none"/>
        </w:rPr>
      </w:pPr>
      <w:r>
        <w:rPr>
          <w:color w:val="auto"/>
          <w:highlight w:val="none"/>
        </w:rPr>
        <w:drawing>
          <wp:anchor distT="0" distB="0" distL="114300" distR="114300" simplePos="0" relativeHeight="251666432" behindDoc="0" locked="0" layoutInCell="1" allowOverlap="1">
            <wp:simplePos x="0" y="0"/>
            <wp:positionH relativeFrom="page">
              <wp:posOffset>1073785</wp:posOffset>
            </wp:positionH>
            <wp:positionV relativeFrom="page">
              <wp:posOffset>6279515</wp:posOffset>
            </wp:positionV>
            <wp:extent cx="5490845" cy="3430270"/>
            <wp:effectExtent l="0" t="0" r="14605" b="17780"/>
            <wp:wrapNone/>
            <wp:docPr id="8" name="图片 33" descr="ebe960dfd16147aa3852624a87a6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3" descr="ebe960dfd16147aa3852624a87a64d0"/>
                    <pic:cNvPicPr>
                      <a:picLocks noChangeAspect="1"/>
                    </pic:cNvPicPr>
                  </pic:nvPicPr>
                  <pic:blipFill>
                    <a:blip r:embed="rId14"/>
                    <a:srcRect l="3276" t="4605" r="1764" b="1755"/>
                    <a:stretch>
                      <a:fillRect/>
                    </a:stretch>
                  </pic:blipFill>
                  <pic:spPr>
                    <a:xfrm>
                      <a:off x="0" y="0"/>
                      <a:ext cx="5490845" cy="3430270"/>
                    </a:xfrm>
                    <a:prstGeom prst="rect">
                      <a:avLst/>
                    </a:prstGeom>
                    <a:noFill/>
                    <a:ln>
                      <a:noFill/>
                    </a:ln>
                  </pic:spPr>
                </pic:pic>
              </a:graphicData>
            </a:graphic>
          </wp:anchor>
        </w:drawing>
      </w:r>
      <w:r>
        <w:rPr>
          <w:rFonts w:hint="eastAsia" w:ascii="宋体" w:hAnsi="宋体" w:cs="宋体"/>
          <w:snapToGrid w:val="0"/>
          <w:color w:val="auto"/>
          <w:kern w:val="0"/>
          <w:highlight w:val="none"/>
        </w:rPr>
        <w:t>（四）无赔款优惠系数按中国保险行业协会要求执行：</w:t>
      </w:r>
    </w:p>
    <w:p w14:paraId="3FBA632F">
      <w:pPr>
        <w:pStyle w:val="2"/>
        <w:tabs>
          <w:tab w:val="right" w:leader="dot" w:pos="9174"/>
        </w:tabs>
        <w:rPr>
          <w:rFonts w:hint="eastAsia" w:ascii="宋体" w:hAnsi="宋体" w:cs="宋体"/>
          <w:snapToGrid w:val="0"/>
          <w:color w:val="auto"/>
          <w:kern w:val="0"/>
          <w:highlight w:val="none"/>
        </w:rPr>
      </w:pPr>
    </w:p>
    <w:p w14:paraId="5A4781F6">
      <w:pPr>
        <w:rPr>
          <w:rFonts w:hint="eastAsia" w:ascii="宋体" w:hAnsi="宋体" w:cs="宋体"/>
          <w:snapToGrid w:val="0"/>
          <w:color w:val="auto"/>
          <w:kern w:val="0"/>
          <w:highlight w:val="none"/>
        </w:rPr>
      </w:pPr>
    </w:p>
    <w:p w14:paraId="08AF9D2E">
      <w:pPr>
        <w:pStyle w:val="2"/>
        <w:tabs>
          <w:tab w:val="right" w:leader="dot" w:pos="9174"/>
        </w:tabs>
        <w:rPr>
          <w:rFonts w:hint="eastAsia" w:ascii="宋体" w:hAnsi="宋体" w:cs="宋体"/>
          <w:snapToGrid w:val="0"/>
          <w:color w:val="auto"/>
          <w:kern w:val="0"/>
          <w:highlight w:val="none"/>
        </w:rPr>
      </w:pPr>
    </w:p>
    <w:p w14:paraId="202BC95A">
      <w:pPr>
        <w:rPr>
          <w:rFonts w:hint="eastAsia" w:ascii="宋体" w:hAnsi="宋体" w:cs="宋体"/>
          <w:snapToGrid w:val="0"/>
          <w:color w:val="auto"/>
          <w:kern w:val="0"/>
          <w:highlight w:val="none"/>
        </w:rPr>
      </w:pPr>
    </w:p>
    <w:p w14:paraId="5E91DEC1">
      <w:pPr>
        <w:pStyle w:val="2"/>
        <w:tabs>
          <w:tab w:val="right" w:leader="dot" w:pos="9174"/>
        </w:tabs>
        <w:rPr>
          <w:rFonts w:hint="eastAsia" w:ascii="宋体" w:hAnsi="宋体" w:cs="宋体"/>
          <w:snapToGrid w:val="0"/>
          <w:color w:val="auto"/>
          <w:kern w:val="0"/>
          <w:highlight w:val="none"/>
        </w:rPr>
      </w:pPr>
    </w:p>
    <w:p w14:paraId="3673CB39">
      <w:pPr>
        <w:rPr>
          <w:rFonts w:hint="eastAsia" w:ascii="宋体" w:hAnsi="宋体" w:cs="宋体"/>
          <w:snapToGrid w:val="0"/>
          <w:color w:val="auto"/>
          <w:kern w:val="0"/>
          <w:highlight w:val="none"/>
        </w:rPr>
      </w:pPr>
    </w:p>
    <w:p w14:paraId="336F5F2E">
      <w:pPr>
        <w:pStyle w:val="2"/>
        <w:tabs>
          <w:tab w:val="right" w:leader="dot" w:pos="9174"/>
        </w:tabs>
        <w:rPr>
          <w:rFonts w:hint="eastAsia" w:ascii="宋体" w:hAnsi="宋体" w:cs="宋体"/>
          <w:snapToGrid w:val="0"/>
          <w:color w:val="auto"/>
          <w:kern w:val="0"/>
          <w:highlight w:val="none"/>
        </w:rPr>
      </w:pPr>
    </w:p>
    <w:p w14:paraId="3E7F6885">
      <w:pPr>
        <w:rPr>
          <w:rFonts w:hint="eastAsia" w:ascii="宋体" w:hAnsi="宋体" w:cs="宋体"/>
          <w:snapToGrid w:val="0"/>
          <w:color w:val="auto"/>
          <w:kern w:val="0"/>
          <w:highlight w:val="none"/>
        </w:rPr>
      </w:pPr>
    </w:p>
    <w:p w14:paraId="0E5000EE">
      <w:pPr>
        <w:pStyle w:val="2"/>
        <w:tabs>
          <w:tab w:val="right" w:leader="dot" w:pos="9174"/>
        </w:tabs>
        <w:rPr>
          <w:rFonts w:hint="eastAsia" w:ascii="宋体" w:hAnsi="宋体" w:cs="宋体"/>
          <w:snapToGrid w:val="0"/>
          <w:color w:val="auto"/>
          <w:kern w:val="0"/>
          <w:highlight w:val="none"/>
        </w:rPr>
      </w:pPr>
    </w:p>
    <w:p w14:paraId="74FD5C8D">
      <w:pPr>
        <w:rPr>
          <w:rFonts w:hint="eastAsia" w:ascii="宋体" w:hAnsi="宋体" w:cs="宋体"/>
          <w:snapToGrid w:val="0"/>
          <w:color w:val="auto"/>
          <w:kern w:val="0"/>
          <w:highlight w:val="none"/>
        </w:rPr>
      </w:pPr>
    </w:p>
    <w:p w14:paraId="54B26B12">
      <w:pPr>
        <w:pStyle w:val="2"/>
        <w:tabs>
          <w:tab w:val="right" w:leader="dot" w:pos="9174"/>
        </w:tabs>
        <w:rPr>
          <w:rFonts w:hint="eastAsia" w:ascii="宋体" w:hAnsi="宋体" w:cs="宋体"/>
          <w:snapToGrid w:val="0"/>
          <w:color w:val="auto"/>
          <w:kern w:val="0"/>
          <w:highlight w:val="none"/>
        </w:rPr>
      </w:pPr>
    </w:p>
    <w:p w14:paraId="64C08299">
      <w:pPr>
        <w:rPr>
          <w:rFonts w:hint="eastAsia"/>
          <w:color w:val="auto"/>
          <w:highlight w:val="none"/>
        </w:rPr>
      </w:pPr>
    </w:p>
    <w:p w14:paraId="67E72581">
      <w:pPr>
        <w:spacing w:line="360" w:lineRule="exact"/>
        <w:ind w:left="420" w:leftChars="200"/>
        <w:rPr>
          <w:rFonts w:ascii="宋体" w:hAnsi="宋体" w:cs="宋体"/>
          <w:snapToGrid w:val="0"/>
          <w:color w:val="auto"/>
          <w:kern w:val="0"/>
          <w:highlight w:val="none"/>
        </w:rPr>
      </w:pPr>
      <w:r>
        <w:rPr>
          <w:rFonts w:hint="eastAsia" w:ascii="宋体" w:hAnsi="宋体" w:cs="宋体"/>
          <w:snapToGrid w:val="0"/>
          <w:color w:val="auto"/>
          <w:kern w:val="0"/>
          <w:highlight w:val="none"/>
        </w:rPr>
        <w:t>（五）车辆投保时车险折扣系数：车险折扣系数=自主</w:t>
      </w:r>
      <w:r>
        <w:rPr>
          <w:rFonts w:hint="eastAsia" w:ascii="宋体" w:hAnsi="宋体" w:cs="宋体"/>
          <w:snapToGrid w:val="0"/>
          <w:color w:val="auto"/>
          <w:kern w:val="0"/>
          <w:highlight w:val="none"/>
          <w:lang w:val="en-US" w:eastAsia="zh-CN"/>
        </w:rPr>
        <w:t>定价</w:t>
      </w:r>
      <w:r>
        <w:rPr>
          <w:rFonts w:hint="eastAsia" w:ascii="宋体" w:hAnsi="宋体" w:cs="宋体"/>
          <w:snapToGrid w:val="0"/>
          <w:color w:val="auto"/>
          <w:kern w:val="0"/>
          <w:highlight w:val="none"/>
        </w:rPr>
        <w:t>系数*对应无赔款优惠系数。</w:t>
      </w:r>
    </w:p>
    <w:p w14:paraId="2ED92583">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（六）服务承诺； 乙方提供服务承诺（按投标文件执行）。</w:t>
      </w:r>
    </w:p>
    <w:p w14:paraId="22AF49A9">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三、费用结算</w:t>
      </w:r>
    </w:p>
    <w:p w14:paraId="70F2CA7C">
      <w:pPr>
        <w:spacing w:line="360" w:lineRule="exact"/>
        <w:ind w:left="420" w:leftChars="200"/>
        <w:rPr>
          <w:rFonts w:ascii="宋体" w:hAnsi="宋体" w:cs="宋体"/>
          <w:snapToGrid w:val="0"/>
          <w:color w:val="auto"/>
          <w:kern w:val="0"/>
          <w:highlight w:val="none"/>
        </w:rPr>
      </w:pPr>
      <w:r>
        <w:rPr>
          <w:rFonts w:hint="eastAsia" w:ascii="宋体" w:hAnsi="宋体" w:cs="宋体"/>
          <w:snapToGrid w:val="0"/>
          <w:color w:val="auto"/>
          <w:kern w:val="0"/>
          <w:highlight w:val="none"/>
        </w:rPr>
        <w:t>（一）：投保车辆商业险保费=中国行业协会下发的保险基数*自主</w:t>
      </w:r>
      <w:r>
        <w:rPr>
          <w:rFonts w:hint="eastAsia" w:ascii="宋体" w:hAnsi="宋体" w:cs="宋体"/>
          <w:snapToGrid w:val="0"/>
          <w:color w:val="auto"/>
          <w:kern w:val="0"/>
          <w:highlight w:val="none"/>
          <w:lang w:val="en-US" w:eastAsia="zh-CN"/>
        </w:rPr>
        <w:t>定价</w:t>
      </w:r>
      <w:r>
        <w:rPr>
          <w:rFonts w:hint="eastAsia" w:ascii="宋体" w:hAnsi="宋体" w:cs="宋体"/>
          <w:snapToGrid w:val="0"/>
          <w:color w:val="auto"/>
          <w:kern w:val="0"/>
          <w:highlight w:val="none"/>
        </w:rPr>
        <w:t>系数*对应无赔款优惠系数。</w:t>
      </w:r>
    </w:p>
    <w:p w14:paraId="5C572D96">
      <w:pPr>
        <w:spacing w:line="360" w:lineRule="exact"/>
        <w:ind w:left="420" w:leftChars="200"/>
        <w:rPr>
          <w:rFonts w:ascii="宋体" w:hAnsi="宋体" w:cs="宋体"/>
          <w:snapToGrid w:val="0"/>
          <w:color w:val="auto"/>
          <w:kern w:val="0"/>
          <w:highlight w:val="none"/>
        </w:rPr>
      </w:pPr>
      <w:r>
        <w:rPr>
          <w:rFonts w:hint="eastAsia" w:ascii="宋体" w:hAnsi="宋体" w:cs="宋体"/>
          <w:snapToGrid w:val="0"/>
          <w:color w:val="auto"/>
          <w:kern w:val="0"/>
          <w:highlight w:val="none"/>
        </w:rPr>
        <w:t>（二）：保费支付方式：乙方每月15日前核算下月投保车辆保费并通知甲方，甲方在当月统一支付乙方。</w:t>
      </w:r>
    </w:p>
    <w:p w14:paraId="5E68A63C">
      <w:pPr>
        <w:spacing w:line="360" w:lineRule="exact"/>
        <w:ind w:left="420" w:leftChars="200"/>
        <w:rPr>
          <w:rFonts w:ascii="宋体" w:hAnsi="宋体" w:cs="宋体"/>
          <w:snapToGrid w:val="0"/>
          <w:color w:val="auto"/>
          <w:kern w:val="0"/>
          <w:highlight w:val="none"/>
        </w:rPr>
      </w:pPr>
      <w:r>
        <w:rPr>
          <w:rFonts w:ascii="宋体" w:hAnsi="宋体" w:cs="宋体"/>
          <w:snapToGrid w:val="0"/>
          <w:color w:val="auto"/>
          <w:kern w:val="0"/>
          <w:highlight w:val="none"/>
        </w:rPr>
        <w:t>（三）：乙方在收到保费后，当日出具保单，并</w:t>
      </w:r>
      <w:r>
        <w:rPr>
          <w:rFonts w:hint="eastAsia" w:ascii="宋体" w:hAnsi="宋体" w:cs="宋体"/>
          <w:color w:val="auto"/>
          <w:highlight w:val="none"/>
        </w:rPr>
        <w:t>提供满足税法规定的完备的增值税专用发票</w:t>
      </w:r>
      <w:r>
        <w:rPr>
          <w:rFonts w:ascii="宋体" w:hAnsi="宋体" w:cs="宋体"/>
          <w:snapToGrid w:val="0"/>
          <w:color w:val="auto"/>
          <w:kern w:val="0"/>
          <w:highlight w:val="none"/>
        </w:rPr>
        <w:t>。</w:t>
      </w:r>
    </w:p>
    <w:p w14:paraId="26A9D098">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四、服务内容</w:t>
      </w:r>
    </w:p>
    <w:p w14:paraId="50217E4F">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（一）理赔服务项目</w:t>
      </w:r>
    </w:p>
    <w:p w14:paraId="0D734139">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1、乙方设立专业服务团队为甲方提供专业、及时、准确的理赔服务。</w:t>
      </w:r>
    </w:p>
    <w:p w14:paraId="5CCB90BF">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2、乙方应派出专人全程指导和负责甲方（或被保险人）全程办理相关的索赔手续，乙方服务大厅为本项目设立专门的理赔服务和赔款支付窗口。</w:t>
      </w:r>
    </w:p>
    <w:p w14:paraId="6B96A518">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3、接报案环节：甲方通过全国报案电话</w:t>
      </w:r>
      <w:r>
        <w:rPr>
          <w:rFonts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向乙方报案，乙方全年365天随时接受甲方（或被保险人）的出险报案，并在接到报案后立即短信通知甲方管理人员，以及派出车辆保险客户服务专出险等一条龙服务员提供。</w:t>
      </w:r>
    </w:p>
    <w:p w14:paraId="63891410">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4、对于甲方投保车辆发生保险事故，乙方保证优先响应和提供服务，甲方在重庆市主城九区内发生保险事故，乙方保证在10分钟内响应，并在30分钟内派查勘人员到现场查勘处理事故；甲方在重庆市主城九区外发生保险事故，乙方保证10分钟内响应，查勘人员按实际距离需要的时间到现场查勘处理事故；在异地发生保险事故，乙方保证30分钟内完成对事故车辆的理赔委托，并提供相应查勘等服务。乙方收到单次事故全套资料后5天内理赔到账。</w:t>
      </w:r>
    </w:p>
    <w:p w14:paraId="72C3AC78">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5、如果乙方因故无法按照约定的时间到达事故现场，则甲方（或被保险人）提供的现场照片、损失清单、事故说明、修理发票及其他证明材料应作为赔付理算依据。</w:t>
      </w:r>
    </w:p>
    <w:p w14:paraId="38DADB30">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6、甲方事故需走诉讼程序的，乙方必须有专业人员牵头处理事故并且能免费提供专业律师代理诉讼服务。</w:t>
      </w:r>
    </w:p>
    <w:p w14:paraId="7F7EE9D2">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7、乙方需对事故中所有受损车辆进行定损，并于定损完成后2个工作日将受损车辆定损明细单加盖保险公司定损专业章交于甲方。</w:t>
      </w:r>
    </w:p>
    <w:p w14:paraId="77C6B84E">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8、乙方在理赔前需向甲方提供理赔计算书（各险种实际赔付明细）。</w:t>
      </w:r>
    </w:p>
    <w:p w14:paraId="21B36BEF">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（二）施救服务环节</w:t>
      </w:r>
    </w:p>
    <w:p w14:paraId="254CB827">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1、发生保险责任范围内事故，如甲方（或被保险人）需要，乙方将协助客户联系救援拖车服务，并且市内拖车在30分钟内到达事故现场，郊区县拖车在1小时内到达事故现场。</w:t>
      </w:r>
    </w:p>
    <w:p w14:paraId="0FB6E887">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2、如果乙方无法或不能及时提供拖车服务，乙方应与甲方（或被保险人）第一时间协商拖车费用，施救费按物价和公安部门标准执行。</w:t>
      </w:r>
    </w:p>
    <w:p w14:paraId="33BBAC39">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（三）定责定损环节</w:t>
      </w:r>
    </w:p>
    <w:p w14:paraId="6694A387">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1、乙方向甲方逐案进行车辆定损价格通报，乙方保证在遵循厂家维修技术标准的前提下，和甲方（或被保险人）一起共同定损修复。</w:t>
      </w:r>
    </w:p>
    <w:p w14:paraId="5A73E031">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2、为保证快速处理简易赔案，提高工作效率，凡出险原因清楚、责任明确，事故车辆定损金额在 10000  元以下，乙方应在报案当日出具事故定责定损报告；超出上述金额，如甲方有交警出具的责任认定书，乙方按交警出具的责任认定书理赔。</w:t>
      </w:r>
    </w:p>
    <w:p w14:paraId="6C3064C9">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3、人伤事故：甲方向乙方报案后，事故责任以交警出具的责任认定书为准，乙方除按国家规定定损外，应考虑处理事故中的辅助费用（如谈判期间产生的交通费、餐饮费等）。</w:t>
      </w:r>
    </w:p>
    <w:p w14:paraId="1B5B218B">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4、甲方驾驶员在上下车途中及下车后因其他原因被本车伤害，乙方应将驾驶员视为第三者进行理赔。</w:t>
      </w:r>
    </w:p>
    <w:p w14:paraId="74350BFC">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（四）车辆修理环节</w:t>
      </w:r>
    </w:p>
    <w:p w14:paraId="4C9B353F">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1、甲方在乙方投保的车辆，事故定损中涉及的配件价格乙方原则上认可车辆全国统一光盘价和官方配件价格。</w:t>
      </w:r>
    </w:p>
    <w:p w14:paraId="296737DF">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2、受损车辆在定损环节应由甲乙双方共同完成。受损车辆的维修以修复为原则，在保证维修质量前提下，双方本着友好协商，共同做好事故车辆维修换件工作，必要时应充分尊重甲方意见。</w:t>
      </w:r>
    </w:p>
    <w:p w14:paraId="2DBB2017">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（五）索赔材料递交环节</w:t>
      </w:r>
    </w:p>
    <w:p w14:paraId="1AE740DF">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1、乙方接到甲方（或被保险人）索赔材料后应立即审查核实，若认为有关证明或材料不完整，乙方应在一日内以书面形式通知甲方（或被保险人）补充有关证明或材料。若乙方在接到索赔资料后1个工作日内未给予有关审核意见，则视为乙方认可索赔资料的完整性。</w:t>
      </w:r>
    </w:p>
    <w:p w14:paraId="2EDD6153">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2、对于非道路交通事故，甲方（或被保险人）应保留现场，第一时间给乙方报案；事故清楚，事故损失金额</w:t>
      </w:r>
      <w:r>
        <w:rPr>
          <w:rFonts w:hint="eastAsia" w:ascii="宋体" w:hAnsi="宋体" w:cs="宋体"/>
          <w:snapToGrid w:val="0"/>
          <w:color w:val="auto"/>
          <w:kern w:val="0"/>
          <w:highlight w:val="none"/>
          <w:lang w:val="en-US" w:eastAsia="zh-CN"/>
        </w:rPr>
        <w:t>1</w:t>
      </w:r>
      <w:r>
        <w:rPr>
          <w:rFonts w:hint="eastAsia" w:ascii="宋体" w:hAnsi="宋体" w:cs="宋体"/>
          <w:snapToGrid w:val="0"/>
          <w:color w:val="auto"/>
          <w:kern w:val="0"/>
          <w:highlight w:val="none"/>
        </w:rPr>
        <w:t>0000元以内（含</w:t>
      </w:r>
      <w:r>
        <w:rPr>
          <w:rFonts w:hint="eastAsia" w:ascii="宋体" w:hAnsi="宋体" w:cs="宋体"/>
          <w:snapToGrid w:val="0"/>
          <w:color w:val="auto"/>
          <w:kern w:val="0"/>
          <w:highlight w:val="none"/>
          <w:lang w:val="en-US" w:eastAsia="zh-CN"/>
        </w:rPr>
        <w:t>1</w:t>
      </w:r>
      <w:r>
        <w:rPr>
          <w:rFonts w:hint="eastAsia" w:ascii="宋体" w:hAnsi="宋体" w:cs="宋体"/>
          <w:snapToGrid w:val="0"/>
          <w:color w:val="auto"/>
          <w:kern w:val="0"/>
          <w:highlight w:val="none"/>
        </w:rPr>
        <w:t>0000元）的单方肇事案件，可不必提供交通管理部门或相关部门的事故证明。</w:t>
      </w:r>
    </w:p>
    <w:p w14:paraId="5D8CA91B">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3、如交通事故中涉及责任车辆都属于甲方保险下的车辆，乙方应分别对单车所保险的条款进行理赔。</w:t>
      </w:r>
    </w:p>
    <w:p w14:paraId="09D06A02">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（六）异地出险理赔处理环节</w:t>
      </w:r>
    </w:p>
    <w:p w14:paraId="0FD49490">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保险车辆在投保所在地以外地区发生保险事故，乙方直接派人或委托出险当地保险公司代理查勘现场，并派专人协助被保险人全程办理相关索赔手续。</w:t>
      </w:r>
    </w:p>
    <w:p w14:paraId="5F191C78">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（七）预付赔款处理环节</w:t>
      </w:r>
    </w:p>
    <w:p w14:paraId="7266B57F">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1、甲方（或被保险人）在保险期限内合法使用保险车辆的过程中，发生保险事故，造成车内人员或第三者人身伤害，需紧急抢救，乙方应及时先行支付抢救费用。</w:t>
      </w:r>
    </w:p>
    <w:p w14:paraId="47022BCC">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2、对于事故损失金额较大、定损和赔付周期较长的案件，根据案情需要或经甲方（或被保险人）请求，乙方应及时先行支付抢救费用。</w:t>
      </w:r>
    </w:p>
    <w:p w14:paraId="0EA69247">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3、对甲方（或被保险人）发生重大第三者伤亡事故的，乙方应实行保险提前介入制度，安排人伤核损医生参与甲方（或被保险人）处理好善后工作、调解谈判，并根据初步能确定的损失金额安排好预付赔款。</w:t>
      </w:r>
    </w:p>
    <w:p w14:paraId="2255D076">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4、乙方根据甲方申请提供初步确定的损失金额的最高不超过</w:t>
      </w:r>
      <w:r>
        <w:rPr>
          <w:rFonts w:hint="eastAsia" w:ascii="宋体" w:hAnsi="宋体" w:cs="宋体"/>
          <w:snapToGrid w:val="0"/>
          <w:color w:val="auto"/>
          <w:kern w:val="0"/>
          <w:highlight w:val="none"/>
          <w:u w:val="single"/>
        </w:rPr>
        <w:t xml:space="preserve">       </w:t>
      </w:r>
      <w:r>
        <w:rPr>
          <w:rFonts w:hint="eastAsia" w:ascii="宋体" w:hAnsi="宋体" w:cs="宋体"/>
          <w:snapToGrid w:val="0"/>
          <w:color w:val="auto"/>
          <w:kern w:val="0"/>
          <w:highlight w:val="none"/>
        </w:rPr>
        <w:t>的预付赔款，并在两日内进行垫付到账。</w:t>
      </w:r>
    </w:p>
    <w:p w14:paraId="32DA0B7D">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（八）业务沟通与交流</w:t>
      </w:r>
    </w:p>
    <w:p w14:paraId="19113228">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1、培训交流。乙方应定期为甲方提供沟通技巧、车险产品、理赔流程等多项培训课程。乙方应利用自身的专业优势为甲方提供车辆维修、保养、构造、新款车型介绍等各种汽车专业知识讲座。</w:t>
      </w:r>
    </w:p>
    <w:p w14:paraId="467C4B35">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业务信息沟通。甲乙双方应定期相互通报相关业务经营情况，了解甲方对保险产品的需求信息和保险服务方面的意见，促进双方业务持续、健康的发展。包括：①甲乙双方建立会议沟通机制，每季度召开合作双方联席会议，就业务合作情况进行分析、交流并提出改善建议。②当市场发生突然变化、业务发生重大争议或有重大政策影响时，合作双方应召开紧急会议商讨解决方案。③每月由乙方出具下列报表并抄送给甲方：《承保业务月度清单》每月由甲方向乙方提供新车增加数据及续保数据。</w:t>
      </w:r>
    </w:p>
    <w:p w14:paraId="615B49C4">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3、理赔沟通：凡理赔案件，由专人交接，跟踪理赔进度，对有疑问和争议案件建立沟通协商机制，定期解决。</w:t>
      </w:r>
    </w:p>
    <w:p w14:paraId="657FE975">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五 、乙方责任</w:t>
      </w:r>
    </w:p>
    <w:p w14:paraId="7FFEC293">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（一）在主城区内，乙方接到甲方报案后，未在规定时间内完成受理、响应及到达现场查勘处理事故，甲方有权处罚乙方200元/次。</w:t>
      </w:r>
    </w:p>
    <w:p w14:paraId="51D6EEF2">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（二）乙方在收到甲方事故发生的全套资料后，未按规定时间进行理赔到账的，甲方有权处罚乙方，按每延长一天罚款500元/天。</w:t>
      </w:r>
    </w:p>
    <w:p w14:paraId="55F01D61">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（三）在主城区外，乙方在收到甲方事故发生的通知后，未按规定时间内响应且进行理赔的，甲方有权处罚乙方200元/次。</w:t>
      </w:r>
    </w:p>
    <w:p w14:paraId="6F191C08">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四）如果乙方因故无法按照约定的时间到达事故现场，若乙方不接受甲方（或被保险人）提供的现场照片、损失清单、事故说明、修理发票及其他证明材料应作为赔付理算依据的，甲方有权终止合同且乙方应同时赔偿甲方一切损失。</w:t>
      </w:r>
    </w:p>
    <w:p w14:paraId="2C1F7923">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五）发生在保险责任范围内的事故，乙方在接到甲方通知需救援拖车服务后，乙方未按规定时间内到达且未提供任何其他方式进行处理的，甲方有权对乙方进行500元/次的处罚，甲方视情节严重的，有权解除合同且乙方应赔偿甲方一切损失。</w:t>
      </w:r>
    </w:p>
    <w:p w14:paraId="43497F0E">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六）若乙方未按第三条第（七）项中预付赔款处理环节条款规定时间内进行赔款的，甲方有权对乙方按每次500元进行处罚，同时甲方将从乙方缴纳的履约风险金中拿出部分资金用于事故垫付资金。甲方视情节严重的，有权终止合同且乙方应赔偿甲方一切损失。</w:t>
      </w:r>
    </w:p>
    <w:p w14:paraId="230EB919">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（七）乙方应自觉遵守合同所有的服务条款，否则甲方可视情节严重，有权解除合同，同时乙方应赔偿甲方一切损失。</w:t>
      </w:r>
    </w:p>
    <w:p w14:paraId="00DCD00E">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（八）乙方每月15日前将下月续保车辆投保明细发给甲方，并在收到甲方支票后3个工作日内出保单，因乙方漏发、延保等原因造成车辆脱保的，由乙方承担全部经济损失。</w:t>
      </w:r>
    </w:p>
    <w:p w14:paraId="14E330E3">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六、甲方责任</w:t>
      </w:r>
    </w:p>
    <w:p w14:paraId="6183C5C3">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（一）甲方应配合乙方完成保险受理及理赔所需的全套资料，在事故现场，甲方不得擅自离开。</w:t>
      </w:r>
    </w:p>
    <w:p w14:paraId="77EBB032">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（二）甲方应完全配合乙方完成保险相关的全部工作。</w:t>
      </w:r>
    </w:p>
    <w:p w14:paraId="5CE43FF7">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七、付款方式</w:t>
      </w:r>
    </w:p>
    <w:p w14:paraId="085891DC">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乙方于每月15日前打印出下月需续保车辆投保明细，经甲方同意后，支付相应的投保金额给乙方（保险费以人民币结算）。</w:t>
      </w:r>
    </w:p>
    <w:p w14:paraId="7AF754E4">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lang w:val="en-US" w:eastAsia="zh-CN"/>
        </w:rPr>
        <w:t>八</w:t>
      </w:r>
      <w:r>
        <w:rPr>
          <w:rFonts w:hint="eastAsia" w:ascii="宋体" w:hAnsi="宋体" w:cs="宋体"/>
          <w:snapToGrid w:val="0"/>
          <w:color w:val="auto"/>
          <w:kern w:val="0"/>
          <w:highlight w:val="none"/>
        </w:rPr>
        <w:t>、合同履行</w:t>
      </w:r>
    </w:p>
    <w:p w14:paraId="31902071">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本合同在履行过程中发生争议，双方应本着诚实信用的原则，及时协商解决，协商不成时，由重庆市仲裁委员会仲裁。</w:t>
      </w:r>
    </w:p>
    <w:p w14:paraId="22F91245">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lang w:val="en-US" w:eastAsia="zh-CN"/>
        </w:rPr>
        <w:t>九</w:t>
      </w:r>
      <w:r>
        <w:rPr>
          <w:rFonts w:hint="eastAsia" w:ascii="宋体" w:hAnsi="宋体" w:cs="宋体"/>
          <w:snapToGrid w:val="0"/>
          <w:color w:val="auto"/>
          <w:kern w:val="0"/>
          <w:highlight w:val="none"/>
        </w:rPr>
        <w:t>、安全责任</w:t>
      </w:r>
    </w:p>
    <w:p w14:paraId="233743E1">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乙方应按照国家及行业相关规范进行保险期内的维修作业，采取必要安全防护措施。如在协议执行期间，因乙方自身原因造成了人员、设备、材料脱保等损失的，由乙方承担相应经济和法律责任。</w:t>
      </w:r>
    </w:p>
    <w:p w14:paraId="4A9A98F5">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十、其它约定</w:t>
      </w:r>
    </w:p>
    <w:p w14:paraId="4C89F8AE">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1、在执行本协议中所发生的或与本协议有关的一切争议，甲乙双方应协商解决。如协商未果，可申请仲裁或提请诉讼。</w:t>
      </w:r>
    </w:p>
    <w:p w14:paraId="79D729D1">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2、协商、仲裁、诉讼期间，本协议继续执行。</w:t>
      </w:r>
    </w:p>
    <w:p w14:paraId="2A852734">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3、本合同须甲、乙双方法人代表或授权代表签字后生效。</w:t>
      </w:r>
    </w:p>
    <w:p w14:paraId="50200C5C">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4、招标文件、乙方的投标文件及其最终承诺等，是本协议不可分割的部分。</w:t>
      </w:r>
    </w:p>
    <w:p w14:paraId="10268E3E">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5、本协议一式伍份，甲方执叁份，乙方执两份，具有同等效力，甲、乙双方签字盖章后生效。</w:t>
      </w:r>
    </w:p>
    <w:p w14:paraId="289E8587">
      <w:pPr>
        <w:spacing w:line="360" w:lineRule="exact"/>
        <w:ind w:firstLine="420" w:firstLineChars="200"/>
        <w:rPr>
          <w:rFonts w:ascii="宋体" w:hAnsi="宋体" w:cs="宋体"/>
          <w:snapToGrid w:val="0"/>
          <w:color w:val="auto"/>
          <w:kern w:val="0"/>
          <w:highlight w:val="none"/>
        </w:rPr>
      </w:pPr>
    </w:p>
    <w:p w14:paraId="2E929821">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（本页无正文）</w:t>
      </w:r>
    </w:p>
    <w:p w14:paraId="1C70847C">
      <w:pPr>
        <w:spacing w:line="360" w:lineRule="exact"/>
        <w:ind w:firstLine="420" w:firstLineChars="200"/>
        <w:rPr>
          <w:rFonts w:ascii="宋体" w:hAnsi="宋体" w:cs="宋体"/>
          <w:snapToGrid w:val="0"/>
          <w:color w:val="auto"/>
          <w:kern w:val="0"/>
          <w:highlight w:val="none"/>
        </w:rPr>
      </w:pPr>
    </w:p>
    <w:p w14:paraId="5B0CA31E">
      <w:pPr>
        <w:spacing w:line="360" w:lineRule="exact"/>
        <w:ind w:firstLine="420" w:firstLineChars="200"/>
        <w:rPr>
          <w:rFonts w:ascii="宋体" w:hAnsi="宋体" w:cs="宋体"/>
          <w:snapToGrid w:val="0"/>
          <w:color w:val="auto"/>
          <w:kern w:val="0"/>
          <w:highlight w:val="none"/>
        </w:rPr>
      </w:pPr>
    </w:p>
    <w:p w14:paraId="42DD6DCE">
      <w:pPr>
        <w:spacing w:line="360" w:lineRule="exact"/>
        <w:ind w:firstLine="420" w:firstLineChars="200"/>
        <w:rPr>
          <w:rFonts w:ascii="宋体" w:hAnsi="宋体" w:cs="宋体"/>
          <w:snapToGrid w:val="0"/>
          <w:color w:val="auto"/>
          <w:kern w:val="0"/>
          <w:highlight w:val="none"/>
        </w:rPr>
      </w:pPr>
    </w:p>
    <w:p w14:paraId="35B26298">
      <w:pPr>
        <w:spacing w:line="360" w:lineRule="exact"/>
        <w:ind w:firstLine="420" w:firstLineChars="200"/>
        <w:rPr>
          <w:rFonts w:ascii="宋体" w:hAnsi="宋体" w:cs="宋体"/>
          <w:snapToGrid w:val="0"/>
          <w:color w:val="auto"/>
          <w:kern w:val="0"/>
          <w:highlight w:val="none"/>
        </w:rPr>
      </w:pPr>
    </w:p>
    <w:p w14:paraId="037D426E">
      <w:pPr>
        <w:spacing w:line="360" w:lineRule="exact"/>
        <w:ind w:firstLine="420" w:firstLineChars="200"/>
        <w:rPr>
          <w:rFonts w:ascii="宋体" w:hAnsi="宋体" w:cs="宋体"/>
          <w:snapToGrid w:val="0"/>
          <w:color w:val="auto"/>
          <w:kern w:val="0"/>
          <w:highlight w:val="none"/>
        </w:rPr>
      </w:pPr>
    </w:p>
    <w:p w14:paraId="2BC4BE95">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 xml:space="preserve">甲方（盖章）:                     </w:t>
      </w:r>
      <w:r>
        <w:rPr>
          <w:rFonts w:hint="eastAsia" w:ascii="宋体" w:hAnsi="宋体" w:cs="宋体"/>
          <w:snapToGrid w:val="0"/>
          <w:color w:val="auto"/>
          <w:kern w:val="0"/>
          <w:highlight w:val="none"/>
          <w:lang w:val="en-US" w:eastAsia="zh-CN"/>
        </w:rPr>
        <w:t xml:space="preserve">                 </w:t>
      </w:r>
      <w:r>
        <w:rPr>
          <w:rFonts w:hint="eastAsia" w:ascii="宋体" w:hAnsi="宋体" w:cs="宋体"/>
          <w:snapToGrid w:val="0"/>
          <w:color w:val="auto"/>
          <w:kern w:val="0"/>
          <w:highlight w:val="none"/>
        </w:rPr>
        <w:t xml:space="preserve">  乙方（盖章）:</w:t>
      </w:r>
    </w:p>
    <w:p w14:paraId="2B34D047">
      <w:pPr>
        <w:spacing w:line="360" w:lineRule="exact"/>
        <w:ind w:firstLine="420" w:firstLineChars="200"/>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lang w:val="en-US" w:eastAsia="zh-CN"/>
        </w:rPr>
        <w:t xml:space="preserve">  </w:t>
      </w:r>
    </w:p>
    <w:p w14:paraId="092F89AD">
      <w:pPr>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lang w:eastAsia="zh-CN"/>
        </w:rPr>
        <w:t>法定代表人（或单位负责人）</w:t>
      </w:r>
      <w:r>
        <w:rPr>
          <w:rFonts w:hint="eastAsia" w:ascii="宋体" w:hAnsi="宋体" w:cs="宋体"/>
          <w:snapToGrid w:val="0"/>
          <w:color w:val="auto"/>
          <w:kern w:val="0"/>
          <w:highlight w:val="none"/>
        </w:rPr>
        <w:t>（或授权代理人）：            法定代表人（或授权代理人）：</w:t>
      </w:r>
    </w:p>
    <w:p w14:paraId="07EBF9DD">
      <w:pPr>
        <w:spacing w:line="360" w:lineRule="exact"/>
        <w:ind w:firstLine="420" w:firstLineChars="200"/>
        <w:rPr>
          <w:rFonts w:ascii="宋体" w:hAnsi="宋体" w:cs="宋体"/>
          <w:snapToGrid w:val="0"/>
          <w:color w:val="auto"/>
          <w:kern w:val="0"/>
          <w:highlight w:val="none"/>
        </w:rPr>
      </w:pPr>
    </w:p>
    <w:p w14:paraId="002AADFD">
      <w:pPr>
        <w:spacing w:line="360" w:lineRule="exact"/>
        <w:ind w:firstLine="420" w:firstLineChars="200"/>
        <w:jc w:val="left"/>
        <w:rPr>
          <w:rFonts w:hint="eastAsia" w:ascii="宋体" w:hAnsi="宋体" w:cs="宋体"/>
          <w:color w:val="auto"/>
          <w:highlight w:val="none"/>
          <w:lang w:val="en-US" w:eastAsia="zh-CN"/>
        </w:rPr>
      </w:pPr>
      <w:r>
        <w:rPr>
          <w:rFonts w:hint="eastAsia" w:ascii="宋体" w:hAnsi="宋体" w:cs="宋体"/>
          <w:snapToGrid w:val="0"/>
          <w:color w:val="auto"/>
          <w:kern w:val="0"/>
          <w:highlight w:val="none"/>
        </w:rPr>
        <w:t xml:space="preserve">签订时间：                        </w:t>
      </w:r>
      <w:r>
        <w:rPr>
          <w:rFonts w:hint="eastAsia" w:ascii="宋体" w:hAnsi="宋体" w:cs="宋体"/>
          <w:snapToGrid w:val="0"/>
          <w:color w:val="auto"/>
          <w:kern w:val="0"/>
          <w:highlight w:val="none"/>
          <w:lang w:val="en-US" w:eastAsia="zh-CN"/>
        </w:rPr>
        <w:t xml:space="preserve">               </w:t>
      </w:r>
      <w:r>
        <w:rPr>
          <w:rFonts w:hint="eastAsia" w:ascii="宋体" w:hAnsi="宋体" w:cs="宋体"/>
          <w:snapToGrid w:val="0"/>
          <w:color w:val="auto"/>
          <w:kern w:val="0"/>
          <w:highlight w:val="none"/>
        </w:rPr>
        <w:t xml:space="preserve">     签订时间</w:t>
      </w:r>
      <w:r>
        <w:rPr>
          <w:rFonts w:hint="eastAsia" w:ascii="宋体" w:hAnsi="宋体" w:cs="宋体"/>
          <w:snapToGrid w:val="0"/>
          <w:color w:val="auto"/>
          <w:kern w:val="0"/>
          <w:highlight w:val="none"/>
          <w:lang w:eastAsia="zh-CN"/>
        </w:rPr>
        <w:t>：</w:t>
      </w:r>
    </w:p>
    <w:p w14:paraId="0E61AB0A">
      <w:pPr>
        <w:rPr>
          <w:rFonts w:hint="eastAsia" w:ascii="Times New Roman" w:hAnsi="Times New Roman" w:eastAsia="宋体" w:cs="Times New Roman"/>
          <w:b/>
          <w:bCs/>
          <w:color w:val="auto"/>
          <w:sz w:val="21"/>
          <w:szCs w:val="15"/>
          <w:highlight w:val="none"/>
          <w:lang w:val="en-US" w:eastAsia="zh-CN"/>
        </w:rPr>
      </w:pPr>
      <w:r>
        <w:rPr>
          <w:rFonts w:hint="eastAsia" w:ascii="宋体" w:hAnsi="宋体" w:cs="宋体"/>
          <w:color w:val="auto"/>
          <w:highlight w:val="none"/>
          <w:lang w:val="en-US" w:eastAsia="zh-CN"/>
        </w:rPr>
        <w:br w:type="page"/>
      </w: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履约保函</w:t>
      </w:r>
      <w:r>
        <w:rPr>
          <w:rFonts w:hint="eastAsia" w:ascii="Times New Roman" w:hAnsi="Times New Roman" w:cs="Times New Roman"/>
          <w:b/>
          <w:bCs/>
          <w:color w:val="auto"/>
          <w:sz w:val="21"/>
          <w:szCs w:val="15"/>
          <w:highlight w:val="none"/>
          <w:lang w:val="en-US" w:eastAsia="zh-CN"/>
        </w:rPr>
        <w:t>（如有）</w:t>
      </w:r>
    </w:p>
    <w:p w14:paraId="26921D83">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14:paraId="1F321D42">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14:paraId="1697237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14:paraId="0F08C9C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7F76A0B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14:paraId="3715EF77">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4257B47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14:paraId="55B4B15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14:paraId="18590722">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p>
    <w:p w14:paraId="7A8F5C3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p>
    <w:p w14:paraId="5F64369A">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鉴于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以下简称“受益人”）与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（以下简称“申请人”）就</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（以下简称“本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服务</w:t>
      </w:r>
      <w:r>
        <w:rPr>
          <w:rFonts w:hint="eastAsia" w:ascii="宋体" w:hAnsi="宋体" w:eastAsia="宋体" w:cs="宋体"/>
          <w:color w:val="auto"/>
          <w:kern w:val="2"/>
          <w:sz w:val="21"/>
          <w:szCs w:val="21"/>
          <w:highlight w:val="none"/>
        </w:rPr>
        <w:t>和有关事项协商一致，根据本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，了解到申请人为本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、受益人为本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项下之</w:t>
      </w:r>
      <w:r>
        <w:rPr>
          <w:rFonts w:hint="eastAsia" w:ascii="宋体" w:hAnsi="宋体" w:eastAsia="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rPr>
        <w:t>，基于申请人的请求，我方（即“开立人”）同意就申请人履行本</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依据中标通知书、</w:t>
      </w:r>
      <w:r>
        <w:rPr>
          <w:rFonts w:hint="eastAsia" w:ascii="宋体" w:hAnsi="宋体" w:cs="宋体"/>
          <w:color w:val="auto"/>
          <w:kern w:val="2"/>
          <w:sz w:val="21"/>
          <w:szCs w:val="21"/>
          <w:highlight w:val="none"/>
          <w:lang w:val="en-US" w:eastAsia="zh-CN"/>
        </w:rPr>
        <w:t>竞争性比选文件</w:t>
      </w:r>
      <w:r>
        <w:rPr>
          <w:rFonts w:hint="eastAsia" w:ascii="宋体" w:hAnsi="宋体" w:eastAsia="宋体" w:cs="宋体"/>
          <w:color w:val="auto"/>
          <w:kern w:val="2"/>
          <w:sz w:val="21"/>
          <w:szCs w:val="21"/>
          <w:highlight w:val="none"/>
        </w:rPr>
        <w:t>和</w:t>
      </w:r>
      <w:r>
        <w:rPr>
          <w:rFonts w:hint="eastAsia" w:ascii="宋体" w:hAnsi="宋体" w:cs="宋体"/>
          <w:color w:val="auto"/>
          <w:kern w:val="2"/>
          <w:sz w:val="21"/>
          <w:szCs w:val="21"/>
          <w:highlight w:val="none"/>
          <w:lang w:val="en-US" w:eastAsia="zh-CN"/>
        </w:rPr>
        <w:t>竞争性比选响应文件</w:t>
      </w:r>
      <w:r>
        <w:rPr>
          <w:rFonts w:hint="eastAsia" w:ascii="宋体" w:hAnsi="宋体" w:eastAsia="宋体" w:cs="宋体"/>
          <w:color w:val="auto"/>
          <w:kern w:val="2"/>
          <w:sz w:val="21"/>
          <w:szCs w:val="21"/>
          <w:highlight w:val="none"/>
        </w:rPr>
        <w:t>签订的</w:t>
      </w:r>
      <w:r>
        <w:rPr>
          <w:rFonts w:hint="eastAsia" w:ascii="宋体" w:hAnsi="宋体" w:eastAsia="宋体" w:cs="宋体"/>
          <w:color w:val="auto"/>
          <w:kern w:val="2"/>
          <w:sz w:val="21"/>
          <w:szCs w:val="21"/>
          <w:highlight w:val="none"/>
          <w:u w:val="single"/>
        </w:rPr>
        <w:t>《        》</w:t>
      </w:r>
      <w:r>
        <w:rPr>
          <w:rFonts w:hint="eastAsia" w:ascii="宋体" w:hAnsi="宋体" w:eastAsia="宋体" w:cs="宋体"/>
          <w:color w:val="auto"/>
          <w:kern w:val="2"/>
          <w:sz w:val="21"/>
          <w:szCs w:val="21"/>
          <w:highlight w:val="none"/>
        </w:rPr>
        <w:t>（以下简称“基础合同”）约定的义务，向贵方提供不可撤销、不可转让的见索即付保函（以下简称“本保函”）。</w:t>
      </w:r>
    </w:p>
    <w:p w14:paraId="1A523F5F">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一、本保函担保范围：</w:t>
      </w:r>
      <w:r>
        <w:rPr>
          <w:rFonts w:hint="eastAsia" w:ascii="宋体" w:hAnsi="宋体" w:eastAsia="宋体" w:cs="宋体"/>
          <w:color w:val="auto"/>
          <w:kern w:val="2"/>
          <w:sz w:val="21"/>
          <w:szCs w:val="21"/>
          <w:highlight w:val="none"/>
          <w:lang w:val="en-US" w:eastAsia="zh-CN"/>
        </w:rPr>
        <w:t>申请人</w:t>
      </w:r>
      <w:r>
        <w:rPr>
          <w:rFonts w:hint="eastAsia" w:ascii="宋体" w:hAnsi="宋体" w:eastAsia="宋体" w:cs="宋体"/>
          <w:color w:val="auto"/>
          <w:kern w:val="2"/>
          <w:sz w:val="21"/>
          <w:szCs w:val="21"/>
          <w:highlight w:val="none"/>
        </w:rPr>
        <w:t>未按照基础合同的约定履行义务，应当向</w:t>
      </w:r>
      <w:r>
        <w:rPr>
          <w:rFonts w:hint="eastAsia" w:ascii="宋体" w:hAnsi="宋体" w:eastAsia="宋体" w:cs="宋体"/>
          <w:color w:val="auto"/>
          <w:kern w:val="2"/>
          <w:sz w:val="21"/>
          <w:szCs w:val="21"/>
          <w:highlight w:val="none"/>
          <w:lang w:val="en-US" w:eastAsia="zh-CN"/>
        </w:rPr>
        <w:t>受益人</w:t>
      </w:r>
      <w:r>
        <w:rPr>
          <w:rFonts w:hint="eastAsia" w:ascii="宋体" w:hAnsi="宋体" w:eastAsia="宋体" w:cs="宋体"/>
          <w:color w:val="auto"/>
          <w:kern w:val="2"/>
          <w:sz w:val="21"/>
          <w:szCs w:val="21"/>
          <w:highlight w:val="none"/>
        </w:rPr>
        <w:t>承担的违约责任和赔偿因此造成的损失、利息、律师费、诉讼费用等实现债权的费用。</w:t>
      </w:r>
    </w:p>
    <w:p w14:paraId="0F64E509">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二、本保函担保金额最高不超过人民币（大写）</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元（¥</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1B5C763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spacing w:val="6"/>
          <w:kern w:val="2"/>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pacing w:val="6"/>
          <w:kern w:val="2"/>
          <w:sz w:val="21"/>
          <w:szCs w:val="21"/>
          <w:highlight w:val="none"/>
        </w:rPr>
        <w:t>本保函有效期自</w:t>
      </w:r>
      <w:r>
        <w:rPr>
          <w:rFonts w:hint="eastAsia" w:ascii="宋体" w:hAnsi="宋体" w:eastAsia="宋体" w:cs="宋体"/>
          <w:color w:val="auto"/>
          <w:spacing w:val="6"/>
          <w:kern w:val="2"/>
          <w:sz w:val="21"/>
          <w:szCs w:val="21"/>
          <w:highlight w:val="none"/>
          <w:lang w:eastAsia="zh-CN"/>
        </w:rPr>
        <w:t>受益人与申请人签订的合同生效之日</w:t>
      </w:r>
      <w:r>
        <w:rPr>
          <w:rFonts w:hint="eastAsia" w:ascii="宋体" w:hAnsi="宋体" w:eastAsia="宋体" w:cs="宋体"/>
          <w:color w:val="auto"/>
          <w:spacing w:val="0"/>
          <w:kern w:val="2"/>
          <w:sz w:val="21"/>
          <w:szCs w:val="21"/>
          <w:highlight w:val="none"/>
          <w:lang w:eastAsia="zh-CN"/>
        </w:rPr>
        <w:t>起至合同约定的</w:t>
      </w:r>
      <w:r>
        <w:rPr>
          <w:rFonts w:hint="eastAsia" w:ascii="宋体" w:hAnsi="宋体" w:eastAsia="宋体" w:cs="宋体"/>
          <w:color w:val="auto"/>
          <w:spacing w:val="0"/>
          <w:kern w:val="2"/>
          <w:sz w:val="21"/>
          <w:szCs w:val="21"/>
          <w:highlight w:val="none"/>
          <w:lang w:val="en-US" w:eastAsia="zh-CN"/>
        </w:rPr>
        <w:t>服务期限</w:t>
      </w:r>
      <w:r>
        <w:rPr>
          <w:rFonts w:hint="eastAsia" w:ascii="宋体" w:hAnsi="宋体" w:eastAsia="宋体" w:cs="宋体"/>
          <w:color w:val="auto"/>
          <w:spacing w:val="0"/>
          <w:kern w:val="2"/>
          <w:sz w:val="21"/>
          <w:szCs w:val="21"/>
          <w:highlight w:val="none"/>
          <w:lang w:eastAsia="zh-CN"/>
        </w:rPr>
        <w:t>截止日后</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rPr>
        <w:t>天</w:t>
      </w:r>
      <w:r>
        <w:rPr>
          <w:rFonts w:hint="eastAsia" w:ascii="宋体" w:hAnsi="宋体" w:eastAsia="宋体" w:cs="宋体"/>
          <w:color w:val="auto"/>
          <w:spacing w:val="0"/>
          <w:kern w:val="2"/>
          <w:sz w:val="21"/>
          <w:szCs w:val="21"/>
          <w:highlight w:val="none"/>
          <w:lang w:eastAsia="zh-CN"/>
        </w:rPr>
        <w:t>，最迟不超过</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年</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月</w:t>
      </w:r>
      <w:r>
        <w:rPr>
          <w:rFonts w:hint="eastAsia" w:ascii="宋体" w:hAnsi="宋体" w:eastAsia="宋体" w:cs="宋体"/>
          <w:color w:val="auto"/>
          <w:spacing w:val="0"/>
          <w:kern w:val="2"/>
          <w:sz w:val="21"/>
          <w:szCs w:val="21"/>
          <w:highlight w:val="none"/>
          <w:u w:val="single"/>
          <w:lang w:val="en-US" w:eastAsia="zh-CN"/>
        </w:rPr>
        <w:t xml:space="preserve">  </w:t>
      </w:r>
      <w:r>
        <w:rPr>
          <w:rFonts w:hint="eastAsia" w:ascii="宋体" w:hAnsi="宋体" w:eastAsia="宋体" w:cs="宋体"/>
          <w:color w:val="auto"/>
          <w:spacing w:val="0"/>
          <w:kern w:val="2"/>
          <w:sz w:val="21"/>
          <w:szCs w:val="21"/>
          <w:highlight w:val="none"/>
          <w:lang w:val="en-US" w:eastAsia="zh-CN"/>
        </w:rPr>
        <w:t>日。</w:t>
      </w:r>
    </w:p>
    <w:p w14:paraId="02E9F91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四、我方承诺，在收到受益人发来的书面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w:t>
      </w:r>
      <w:r>
        <w:rPr>
          <w:rFonts w:hint="eastAsia" w:ascii="宋体" w:hAnsi="宋体" w:eastAsia="宋体" w:cs="宋体"/>
          <w:color w:val="auto"/>
          <w:kern w:val="2"/>
          <w:sz w:val="21"/>
          <w:szCs w:val="21"/>
          <w:highlight w:val="none"/>
          <w:lang w:eastAsia="zh-CN"/>
        </w:rPr>
        <w:t>和本保函原件</w:t>
      </w:r>
      <w:r>
        <w:rPr>
          <w:rFonts w:hint="eastAsia" w:ascii="宋体" w:hAnsi="宋体" w:eastAsia="宋体" w:cs="宋体"/>
          <w:color w:val="auto"/>
          <w:kern w:val="2"/>
          <w:sz w:val="21"/>
          <w:szCs w:val="21"/>
          <w:highlight w:val="none"/>
        </w:rPr>
        <w:t>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个工作日内无条件支付至受益人指定账户，前述书面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14:paraId="2373A21E">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14:paraId="251D968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14:paraId="6792E40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（3）载明申请人违反合同义务的条款和内容；</w:t>
      </w:r>
    </w:p>
    <w:p w14:paraId="6A99758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（4）声明不存在合同文件约定或我国法律规定免除申请人或开立人支付责任的情形；</w:t>
      </w:r>
    </w:p>
    <w:p w14:paraId="04443C7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5A24CB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受益人发出的书面索赔通知应由其为鉴明受益人法定代表人（负责人）或授权代理人签名或盖个人名章并加盖公章。</w:t>
      </w:r>
    </w:p>
    <w:p w14:paraId="2FBA0661">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五、本保函项下的权利不得转让，不得设定担保。贵方未经我方书面同意转让本保函或其项下任何权利，对我方不发生法律效力。</w:t>
      </w:r>
    </w:p>
    <w:p w14:paraId="22457B1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六、与本保函有关的基础合同不成立、不生效、无效、被撤销、被解除，不影响本保函的独立有效。</w:t>
      </w:r>
    </w:p>
    <w:p w14:paraId="43F70816">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七、贵方应在本保函到期后的</w:t>
      </w:r>
      <w:r>
        <w:rPr>
          <w:rFonts w:hint="eastAsia" w:ascii="宋体" w:hAnsi="宋体" w:eastAsia="宋体" w:cs="宋体"/>
          <w:color w:val="auto"/>
          <w:kern w:val="2"/>
          <w:sz w:val="21"/>
          <w:szCs w:val="21"/>
          <w:highlight w:val="none"/>
          <w:lang w:val="en-US" w:eastAsia="zh-CN"/>
        </w:rPr>
        <w:t>七个工作</w:t>
      </w:r>
      <w:r>
        <w:rPr>
          <w:rFonts w:hint="eastAsia" w:ascii="宋体" w:hAnsi="宋体" w:eastAsia="宋体" w:cs="宋体"/>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14:paraId="5A562510">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八、本保函适用的法律为中华人民共和国法律，争议裁判管辖地为中华人民共和国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14:paraId="4970FCD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九、本保函自我方</w:t>
      </w:r>
      <w:r>
        <w:rPr>
          <w:rFonts w:hint="eastAsia" w:ascii="宋体" w:hAnsi="宋体" w:eastAsia="宋体" w:cs="宋体"/>
          <w:color w:val="auto"/>
          <w:kern w:val="2"/>
          <w:sz w:val="21"/>
          <w:szCs w:val="21"/>
          <w:highlight w:val="none"/>
          <w:lang w:eastAsia="zh-CN"/>
        </w:rPr>
        <w:t>法定代表人（单位负责人）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或盖个人名章并加盖公章或合同专用章之日起生效。</w:t>
      </w:r>
    </w:p>
    <w:p w14:paraId="2CBE6D00">
      <w:pPr>
        <w:keepNext w:val="0"/>
        <w:keepLines w:val="0"/>
        <w:pageBreakBefore w:val="0"/>
        <w:widowControl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val="en-US" w:eastAsia="zh-CN"/>
        </w:rPr>
        <w:t>十、</w:t>
      </w:r>
      <w:r>
        <w:rPr>
          <w:rFonts w:hint="eastAsia" w:ascii="宋体" w:hAnsi="宋体" w:eastAsia="宋体" w:cs="宋体"/>
          <w:color w:val="auto"/>
          <w:kern w:val="2"/>
          <w:sz w:val="21"/>
          <w:szCs w:val="21"/>
          <w:highlight w:val="none"/>
          <w:lang w:eastAsia="zh-CN"/>
        </w:rPr>
        <w:t>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14:paraId="66D39EE1">
      <w:pPr>
        <w:keepNext w:val="0"/>
        <w:keepLines w:val="0"/>
        <w:pageBreakBefore w:val="0"/>
        <w:widowControl w:val="0"/>
        <w:shd w:val="clear" w:color="auto" w:fill="auto"/>
        <w:kinsoku/>
        <w:wordWrap/>
        <w:topLinePunct w:val="0"/>
        <w:autoSpaceDE/>
        <w:autoSpaceDN/>
        <w:bidi w:val="0"/>
        <w:snapToGrid/>
        <w:spacing w:beforeLines="0" w:after="0" w:line="360" w:lineRule="auto"/>
        <w:jc w:val="both"/>
        <w:rPr>
          <w:rFonts w:hint="eastAsia" w:ascii="宋体" w:hAnsi="宋体" w:eastAsia="宋体" w:cs="宋体"/>
          <w:color w:val="auto"/>
          <w:kern w:val="2"/>
          <w:sz w:val="21"/>
          <w:szCs w:val="21"/>
          <w:highlight w:val="none"/>
          <w:lang w:val="en-US" w:eastAsia="zh-CN" w:bidi="ar-SA"/>
        </w:rPr>
      </w:pPr>
    </w:p>
    <w:p w14:paraId="2A4CE803">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（公章）</w:t>
      </w:r>
    </w:p>
    <w:p w14:paraId="097ACB8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法定代表人</w:t>
      </w:r>
      <w:r>
        <w:rPr>
          <w:rFonts w:hint="eastAsia" w:ascii="宋体" w:hAnsi="宋体" w:eastAsia="宋体" w:cs="宋体"/>
          <w:color w:val="auto"/>
          <w:kern w:val="2"/>
          <w:sz w:val="21"/>
          <w:szCs w:val="21"/>
          <w:highlight w:val="none"/>
        </w:rPr>
        <w:t>（或授权代表）：</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签名或盖个人名章</w:t>
      </w:r>
      <w:r>
        <w:rPr>
          <w:rFonts w:hint="eastAsia" w:ascii="宋体" w:hAnsi="宋体" w:eastAsia="宋体" w:cs="宋体"/>
          <w:color w:val="auto"/>
          <w:kern w:val="2"/>
          <w:sz w:val="21"/>
          <w:szCs w:val="21"/>
          <w:highlight w:val="none"/>
        </w:rPr>
        <w:t>）</w:t>
      </w:r>
    </w:p>
    <w:p w14:paraId="092CC4B8">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rPr>
        <w:t xml:space="preserve">地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20B59344">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39EB6595">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5AE9C7FB">
      <w:pPr>
        <w:keepNext w:val="0"/>
        <w:keepLines w:val="0"/>
        <w:pageBreakBefore w:val="0"/>
        <w:shd w:val="clear" w:color="auto" w:fill="auto"/>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p>
    <w:p w14:paraId="5138B375">
      <w:pPr>
        <w:jc w:val="right"/>
        <w:rPr>
          <w:rFonts w:hint="eastAsia" w:ascii="宋体" w:hAnsi="宋体" w:eastAsia="宋体" w:cs="宋体"/>
          <w:color w:val="auto"/>
          <w:kern w:val="2"/>
          <w:sz w:val="21"/>
          <w:szCs w:val="21"/>
          <w:highlight w:val="none"/>
        </w:rPr>
      </w:pPr>
    </w:p>
    <w:p w14:paraId="776424A6">
      <w:pPr>
        <w:wordWrap w:val="0"/>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p>
    <w:p w14:paraId="3BC3BE7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667E2E96">
      <w:pPr>
        <w:spacing w:line="360" w:lineRule="auto"/>
        <w:jc w:val="both"/>
        <w:rPr>
          <w:rFonts w:hint="eastAsia" w:asciiTheme="minorEastAsia" w:hAnsiTheme="minorEastAsia" w:eastAsiaTheme="minorEastAsia" w:cstheme="minorEastAsia"/>
          <w:color w:val="auto"/>
          <w:szCs w:val="21"/>
          <w:highlight w:val="none"/>
        </w:rPr>
      </w:pPr>
      <w:r>
        <w:rPr>
          <w:rFonts w:hint="eastAsia"/>
          <w:b/>
          <w:bCs/>
          <w:color w:val="auto"/>
          <w:sz w:val="21"/>
          <w:szCs w:val="15"/>
          <w:highlight w:val="none"/>
        </w:rPr>
        <w:t>附件：</w:t>
      </w:r>
      <w:r>
        <w:rPr>
          <w:rFonts w:hint="eastAsia" w:ascii="Times New Roman" w:hAnsi="Times New Roman" w:cs="Times New Roman"/>
          <w:b/>
          <w:bCs/>
          <w:color w:val="auto"/>
          <w:sz w:val="21"/>
          <w:szCs w:val="15"/>
          <w:highlight w:val="none"/>
          <w:lang w:val="en-US" w:eastAsia="en-US"/>
        </w:rPr>
        <w:t>低价风险担保保函</w:t>
      </w:r>
      <w:r>
        <w:rPr>
          <w:rFonts w:hint="eastAsia" w:ascii="Times New Roman" w:hAnsi="Times New Roman" w:cs="Times New Roman"/>
          <w:b/>
          <w:bCs/>
          <w:color w:val="auto"/>
          <w:sz w:val="21"/>
          <w:szCs w:val="15"/>
          <w:highlight w:val="none"/>
          <w:lang w:val="en-US" w:eastAsia="zh-CN"/>
        </w:rPr>
        <w:t>（如有）</w:t>
      </w:r>
    </w:p>
    <w:p w14:paraId="07AF72F0">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低价风险担保保函示范文本</w:t>
      </w:r>
    </w:p>
    <w:p w14:paraId="56C2F0D1">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（独立保函）</w:t>
      </w:r>
    </w:p>
    <w:p w14:paraId="32CC6531">
      <w:pPr>
        <w:wordWrap w:val="0"/>
        <w:spacing w:line="360" w:lineRule="auto"/>
        <w:jc w:val="righ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编号：           </w:t>
      </w:r>
    </w:p>
    <w:p w14:paraId="157368D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申请人：</w:t>
      </w:r>
    </w:p>
    <w:p w14:paraId="294C6B5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7755BEB9">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w:t>
      </w:r>
    </w:p>
    <w:p w14:paraId="794CC6B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2D14724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开立人：</w:t>
      </w:r>
    </w:p>
    <w:p w14:paraId="74CBEBBE">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地址：</w:t>
      </w:r>
    </w:p>
    <w:p w14:paraId="30514DF4">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2347F016">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（受益人名称）： </w:t>
      </w:r>
    </w:p>
    <w:p w14:paraId="13D7E121">
      <w:pPr>
        <w:pStyle w:val="18"/>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鉴于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（以下简称“申请人”）于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日参加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（以下简称“受益人”）的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（项目名称）的</w:t>
      </w:r>
      <w:r>
        <w:rPr>
          <w:rFonts w:hint="eastAsia" w:asciiTheme="minorEastAsia" w:hAnsiTheme="minorEastAsia" w:eastAsiaTheme="minorEastAsia" w:cstheme="minorEastAsia"/>
          <w:color w:val="auto"/>
          <w:szCs w:val="21"/>
          <w:highlight w:val="none"/>
          <w:lang w:val="en-US" w:eastAsia="zh-CN"/>
        </w:rPr>
        <w:t>竞争性比选</w:t>
      </w:r>
      <w:r>
        <w:rPr>
          <w:rFonts w:hint="eastAsia" w:asciiTheme="minorEastAsia" w:hAnsiTheme="minorEastAsia" w:eastAsiaTheme="minorEastAsia" w:cstheme="minorEastAsia"/>
          <w:color w:val="auto"/>
          <w:szCs w:val="21"/>
          <w:highlight w:val="none"/>
        </w:rPr>
        <w:t>，收到受益人于</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日签发的中标通知书，成为该项目的中标人。基于申请人的请求，我方同意就申请人履行该项目中标通知书、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约定的义务，向贵方提供不可撤销、不可转让的见索即付独立保函（以下简称“本保函”）。</w:t>
      </w:r>
    </w:p>
    <w:p w14:paraId="12577EFC">
      <w:pPr>
        <w:pStyle w:val="18"/>
        <w:numPr>
          <w:ilvl w:val="0"/>
          <w:numId w:val="3"/>
        </w:numPr>
        <w:spacing w:line="360" w:lineRule="auto"/>
        <w:ind w:firstLine="40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本保函担保范围：申请人未按照中标通知书、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约定签订合同或未按签订的合同约定履行相关义务，应当向贵方承担的违约责任和赔偿因此造成的损失、利息、律师费、诉讼费用等实现债权的费用。</w:t>
      </w:r>
    </w:p>
    <w:p w14:paraId="79F37FE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二、本保函担保金额最高不超过人民币（大写）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34B7697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三、本保函有效期自开立之日起至合同约定的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日止，最迟不超过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14:paraId="6FD51C6C">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四、我方承诺，在收到受益人发来的书面付款通知后的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工作日内无条件支付，前述书面付款通知即为付款要求之单据，且应满足以下要求：</w:t>
      </w:r>
    </w:p>
    <w:p w14:paraId="3F97147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（1）付款通知到达的日期在本保函的有效期内；</w:t>
      </w:r>
    </w:p>
    <w:p w14:paraId="2509D76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（2）载明要求支付的金额；</w:t>
      </w:r>
    </w:p>
    <w:p w14:paraId="042FFB66">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（3）载明申请人未按照中标通知书、</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val="en-US" w:eastAsia="zh-CN"/>
        </w:rPr>
        <w:t>竞争性比选响应文件</w:t>
      </w:r>
      <w:r>
        <w:rPr>
          <w:rFonts w:hint="eastAsia" w:asciiTheme="minorEastAsia" w:hAnsiTheme="minorEastAsia" w:eastAsiaTheme="minorEastAsia" w:cstheme="minorEastAsia"/>
          <w:color w:val="auto"/>
          <w:szCs w:val="21"/>
          <w:highlight w:val="none"/>
        </w:rPr>
        <w:t>约定签订合同或违反合同义务的条款和内容；</w:t>
      </w:r>
    </w:p>
    <w:p w14:paraId="75F7DA9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（4）付款通知中应声明不存在</w:t>
      </w:r>
      <w:r>
        <w:rPr>
          <w:rFonts w:hint="eastAsia" w:asciiTheme="minorEastAsia" w:hAnsiTheme="minorEastAsia" w:eastAsiaTheme="minorEastAsia" w:cstheme="minorEastAsia"/>
          <w:color w:val="auto"/>
          <w:szCs w:val="21"/>
          <w:highlight w:val="none"/>
          <w:lang w:val="en-US" w:eastAsia="zh-CN"/>
        </w:rPr>
        <w:t>竞争性比选文件</w:t>
      </w:r>
      <w:r>
        <w:rPr>
          <w:rFonts w:hint="eastAsia" w:asciiTheme="minorEastAsia" w:hAnsiTheme="minorEastAsia" w:eastAsiaTheme="minorEastAsia" w:cstheme="minorEastAsia"/>
          <w:color w:val="auto"/>
          <w:szCs w:val="21"/>
          <w:highlight w:val="none"/>
        </w:rPr>
        <w:t>约定、合同文件约定或我国法律规定免除申请人或开立人支付责任的情形；</w:t>
      </w:r>
    </w:p>
    <w:p w14:paraId="550D903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（5）付款通知应在本保函有效期内到达的地址是：</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14:paraId="5DB3FE10">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受益人发出的书面付款通知应由其为鉴明受益人法定代表人（负责人）或授权代理人签名加盖公章。</w:t>
      </w:r>
    </w:p>
    <w:p w14:paraId="010F77DA">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五、本保函项下的权利不得转让，不得设定担保。贵方未经我方书面同意转让本保函或其项下任何权利，对我方不发生法律效力。 </w:t>
      </w:r>
    </w:p>
    <w:p w14:paraId="71FC1D2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六、与本保函有关的合同不成立、不生效、无效、被撤销、被解除，不影响本保函的独立有效。 </w:t>
      </w:r>
    </w:p>
    <w:p w14:paraId="7325B05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14:paraId="52F5446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256EB9F1">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九、本保函自我方法定代表人或授权代表签名并加盖公章之日起生效。 </w:t>
      </w:r>
    </w:p>
    <w:p w14:paraId="05B2CE97">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开 立 人：                              （公章） </w:t>
      </w:r>
    </w:p>
    <w:p w14:paraId="2F2ED3C6">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法定代表人（或授权代表）：              （签名） </w:t>
      </w:r>
    </w:p>
    <w:p w14:paraId="77905A8B">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地    址：                                       </w:t>
      </w:r>
    </w:p>
    <w:p w14:paraId="23BB702F">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邮政编码：                 </w:t>
      </w:r>
    </w:p>
    <w:p w14:paraId="3E03F258">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电    话：                 </w:t>
      </w:r>
    </w:p>
    <w:p w14:paraId="30188323">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传    真：                 </w:t>
      </w:r>
    </w:p>
    <w:p w14:paraId="2A190DF2">
      <w:pPr>
        <w:spacing w:line="360" w:lineRule="auto"/>
        <w:ind w:firstLine="420" w:firstLineChars="200"/>
        <w:rPr>
          <w:color w:val="auto"/>
          <w:highlight w:val="none"/>
        </w:rPr>
      </w:pPr>
      <w:r>
        <w:rPr>
          <w:rFonts w:hint="eastAsia" w:asciiTheme="minorEastAsia" w:hAnsiTheme="minorEastAsia" w:eastAsiaTheme="minorEastAsia" w:cstheme="minorEastAsia"/>
          <w:color w:val="auto"/>
          <w:szCs w:val="21"/>
          <w:highlight w:val="none"/>
        </w:rPr>
        <w:t>开立时间：      年      月</w:t>
      </w:r>
      <w:r>
        <w:rPr>
          <w:rFonts w:hint="eastAsia" w:asciiTheme="minorEastAsia" w:hAnsiTheme="minorEastAsia" w:eastAsiaTheme="minorEastAsia" w:cstheme="minorEastAsia"/>
          <w:color w:val="auto"/>
          <w:szCs w:val="21"/>
          <w:highlight w:val="none"/>
          <w:lang w:val="en-US" w:eastAsia="zh-CN"/>
        </w:rPr>
        <w:t xml:space="preserve">      日</w:t>
      </w:r>
    </w:p>
    <w:p w14:paraId="2A147B1A">
      <w:pPr>
        <w:rPr>
          <w:color w:val="auto"/>
          <w:highlight w:val="none"/>
        </w:rPr>
      </w:pPr>
    </w:p>
    <w:p w14:paraId="3985BB0F">
      <w:pPr>
        <w:wordWrap w:val="0"/>
        <w:jc w:val="right"/>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14:paraId="43613419">
      <w:pPr>
        <w:rPr>
          <w:rFonts w:hint="eastAsia" w:ascii="宋体" w:hAnsi="宋体" w:cs="宋体"/>
          <w:color w:val="auto"/>
          <w:highlight w:val="none"/>
          <w:lang w:val="en-US" w:eastAsia="zh-CN"/>
        </w:rPr>
      </w:pPr>
    </w:p>
    <w:p w14:paraId="2193F85F">
      <w:pPr>
        <w:rPr>
          <w:rFonts w:hint="eastAsia" w:ascii="宋体" w:hAnsi="宋体" w:cs="宋体"/>
          <w:color w:val="auto"/>
          <w:highlight w:val="none"/>
          <w:lang w:val="en-US" w:eastAsia="zh-CN"/>
        </w:rPr>
      </w:pPr>
    </w:p>
    <w:p w14:paraId="6E3BA737">
      <w:pPr>
        <w:pStyle w:val="3"/>
        <w:numPr>
          <w:ilvl w:val="0"/>
          <w:numId w:val="2"/>
        </w:numPr>
        <w:spacing w:before="0" w:after="0" w:line="360" w:lineRule="auto"/>
        <w:jc w:val="center"/>
        <w:rPr>
          <w:rFonts w:ascii="宋体" w:hAnsi="宋体" w:cs="宋体"/>
          <w:color w:val="auto"/>
          <w:highlight w:val="none"/>
        </w:rPr>
      </w:pPr>
      <w:bookmarkStart w:id="172" w:name="_Toc14737"/>
      <w:r>
        <w:rPr>
          <w:rFonts w:hint="default" w:ascii="宋体" w:hAnsi="宋体" w:cs="宋体"/>
          <w:color w:val="auto"/>
          <w:highlight w:val="none"/>
        </w:rPr>
        <w:t>竞争性比选响应文件格式</w:t>
      </w:r>
      <w:bookmarkEnd w:id="172"/>
    </w:p>
    <w:p w14:paraId="66B2AF34">
      <w:pPr>
        <w:pStyle w:val="18"/>
        <w:rPr>
          <w:color w:val="auto"/>
          <w:highlight w:val="none"/>
        </w:rPr>
      </w:pPr>
      <w:bookmarkStart w:id="173" w:name="_Toc179632806"/>
      <w:bookmarkStart w:id="174" w:name="_Toc144974855"/>
      <w:bookmarkStart w:id="175" w:name="_Toc246997097"/>
      <w:bookmarkStart w:id="176" w:name="_Toc152045786"/>
      <w:bookmarkStart w:id="177" w:name="_Toc246996354"/>
      <w:bookmarkStart w:id="178" w:name="_Toc247085872"/>
      <w:bookmarkStart w:id="179" w:name="_Toc152042575"/>
    </w:p>
    <w:p w14:paraId="1566B306">
      <w:pPr>
        <w:rPr>
          <w:color w:val="auto"/>
          <w:highlight w:val="none"/>
        </w:rPr>
        <w:sectPr>
          <w:footerReference r:id="rId9" w:type="first"/>
          <w:headerReference r:id="rId7" w:type="default"/>
          <w:footerReference r:id="rId8" w:type="default"/>
          <w:pgSz w:w="11906" w:h="16838"/>
          <w:pgMar w:top="1440" w:right="1800" w:bottom="1440" w:left="1800" w:header="851" w:footer="992" w:gutter="0"/>
          <w:cols w:space="720" w:num="1"/>
          <w:titlePg/>
          <w:docGrid w:type="lines" w:linePitch="312" w:charSpace="0"/>
        </w:sectPr>
      </w:pPr>
      <w:bookmarkStart w:id="180" w:name="_Toc246997083"/>
      <w:bookmarkStart w:id="181" w:name="_Toc514858705"/>
      <w:bookmarkStart w:id="182" w:name="_Toc144974834"/>
      <w:bookmarkStart w:id="183" w:name="_Toc152042554"/>
      <w:bookmarkStart w:id="184" w:name="_Toc247085855"/>
      <w:bookmarkStart w:id="185" w:name="_Toc179632789"/>
      <w:bookmarkStart w:id="186" w:name="_Toc246996340"/>
      <w:bookmarkStart w:id="187" w:name="_Toc2000409"/>
      <w:bookmarkStart w:id="188" w:name="_Toc152045772"/>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14:paraId="642FC570">
      <w:pPr>
        <w:rPr>
          <w:rFonts w:ascii="宋体" w:hAnsi="宋体" w:cs="宋体"/>
          <w:color w:val="auto"/>
          <w:highlight w:val="none"/>
        </w:rPr>
      </w:pPr>
      <w:bookmarkStart w:id="189" w:name="_Toc152045787"/>
      <w:bookmarkStart w:id="190" w:name="_Toc179632807"/>
      <w:bookmarkStart w:id="191" w:name="_Toc246997098"/>
      <w:bookmarkStart w:id="192" w:name="_Toc247085873"/>
      <w:bookmarkStart w:id="193" w:name="_Toc507320039"/>
      <w:bookmarkStart w:id="194" w:name="_Toc246996355"/>
      <w:bookmarkStart w:id="195" w:name="_Toc144974856"/>
      <w:bookmarkStart w:id="196" w:name="_Toc152042576"/>
    </w:p>
    <w:p w14:paraId="30FFA2C1">
      <w:pPr>
        <w:jc w:val="center"/>
        <w:rPr>
          <w:rFonts w:ascii="宋体" w:hAnsi="宋体" w:cs="宋体"/>
          <w:color w:val="auto"/>
          <w:sz w:val="52"/>
          <w:szCs w:val="52"/>
          <w:highlight w:val="none"/>
          <w:u w:val="single"/>
        </w:rPr>
      </w:pPr>
      <w:bookmarkStart w:id="197" w:name="_Toc514858710"/>
      <w:bookmarkStart w:id="198" w:name="_Toc503951046"/>
      <w:bookmarkStart w:id="199" w:name="_Toc513646738"/>
      <w:bookmarkStart w:id="200" w:name="_Toc513633967"/>
      <w:bookmarkStart w:id="201" w:name="_Toc503971829"/>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97"/>
      <w:bookmarkEnd w:id="198"/>
      <w:bookmarkEnd w:id="199"/>
      <w:bookmarkEnd w:id="200"/>
      <w:bookmarkEnd w:id="201"/>
      <w:r>
        <w:rPr>
          <w:rFonts w:hint="eastAsia" w:ascii="宋体" w:hAnsi="宋体" w:cs="宋体"/>
          <w:color w:val="auto"/>
          <w:sz w:val="52"/>
          <w:szCs w:val="52"/>
          <w:highlight w:val="none"/>
          <w:u w:val="single"/>
        </w:rPr>
        <w:t xml:space="preserve"> </w:t>
      </w:r>
    </w:p>
    <w:p w14:paraId="5BC8645F">
      <w:pPr>
        <w:rPr>
          <w:rFonts w:ascii="宋体" w:hAnsi="宋体" w:cs="宋体"/>
          <w:color w:val="auto"/>
          <w:sz w:val="20"/>
          <w:szCs w:val="20"/>
          <w:highlight w:val="none"/>
        </w:rPr>
      </w:pPr>
    </w:p>
    <w:p w14:paraId="608270A6">
      <w:pPr>
        <w:jc w:val="center"/>
        <w:rPr>
          <w:rFonts w:ascii="宋体" w:hAnsi="宋体" w:cs="宋体"/>
          <w:color w:val="auto"/>
          <w:sz w:val="44"/>
          <w:szCs w:val="44"/>
          <w:highlight w:val="none"/>
        </w:rPr>
      </w:pPr>
      <w:r>
        <w:rPr>
          <w:rFonts w:hint="eastAsia" w:ascii="宋体" w:hAnsi="宋体" w:cs="宋体"/>
          <w:color w:val="auto"/>
          <w:sz w:val="44"/>
          <w:szCs w:val="44"/>
          <w:highlight w:val="none"/>
        </w:rPr>
        <w:t xml:space="preserve"> </w:t>
      </w:r>
    </w:p>
    <w:p w14:paraId="6ABF5093">
      <w:pPr>
        <w:rPr>
          <w:rFonts w:ascii="宋体" w:hAnsi="宋体" w:cs="宋体"/>
          <w:color w:val="auto"/>
          <w:sz w:val="28"/>
          <w:szCs w:val="28"/>
          <w:highlight w:val="none"/>
        </w:rPr>
      </w:pPr>
    </w:p>
    <w:p w14:paraId="247FEBB1">
      <w:pPr>
        <w:rPr>
          <w:rFonts w:ascii="宋体" w:hAnsi="宋体" w:cs="宋体"/>
          <w:color w:val="auto"/>
          <w:sz w:val="28"/>
          <w:szCs w:val="28"/>
          <w:highlight w:val="none"/>
        </w:rPr>
      </w:pPr>
    </w:p>
    <w:p w14:paraId="14C01E95">
      <w:pPr>
        <w:rPr>
          <w:rFonts w:ascii="宋体" w:hAnsi="宋体" w:cs="宋体"/>
          <w:color w:val="auto"/>
          <w:sz w:val="28"/>
          <w:szCs w:val="28"/>
          <w:highlight w:val="none"/>
        </w:rPr>
      </w:pPr>
    </w:p>
    <w:p w14:paraId="30F60EC8">
      <w:pPr>
        <w:jc w:val="center"/>
        <w:rPr>
          <w:rFonts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14:paraId="558A627A">
      <w:pPr>
        <w:jc w:val="center"/>
        <w:rPr>
          <w:rFonts w:ascii="宋体" w:hAnsi="宋体" w:cs="宋体"/>
          <w:b/>
          <w:color w:val="auto"/>
          <w:sz w:val="32"/>
          <w:szCs w:val="32"/>
          <w:highlight w:val="none"/>
        </w:rPr>
      </w:pPr>
    </w:p>
    <w:p w14:paraId="60A892F4">
      <w:pPr>
        <w:rPr>
          <w:rFonts w:ascii="宋体" w:hAnsi="宋体" w:cs="宋体"/>
          <w:color w:val="auto"/>
          <w:sz w:val="28"/>
          <w:szCs w:val="28"/>
          <w:highlight w:val="none"/>
        </w:rPr>
      </w:pPr>
    </w:p>
    <w:p w14:paraId="60CFEF3F">
      <w:pPr>
        <w:rPr>
          <w:rFonts w:ascii="宋体" w:hAnsi="宋体" w:cs="宋体"/>
          <w:color w:val="auto"/>
          <w:sz w:val="28"/>
          <w:szCs w:val="28"/>
          <w:highlight w:val="none"/>
        </w:rPr>
      </w:pPr>
    </w:p>
    <w:p w14:paraId="487E9653">
      <w:pPr>
        <w:rPr>
          <w:rFonts w:ascii="宋体" w:hAnsi="宋体" w:cs="宋体"/>
          <w:color w:val="auto"/>
          <w:sz w:val="28"/>
          <w:szCs w:val="28"/>
          <w:highlight w:val="none"/>
        </w:rPr>
      </w:pPr>
    </w:p>
    <w:p w14:paraId="065DDAA3">
      <w:pPr>
        <w:rPr>
          <w:rFonts w:ascii="宋体" w:hAnsi="宋体" w:cs="宋体"/>
          <w:color w:val="auto"/>
          <w:sz w:val="28"/>
          <w:szCs w:val="28"/>
          <w:highlight w:val="none"/>
        </w:rPr>
      </w:pPr>
    </w:p>
    <w:p w14:paraId="71FFC1D2">
      <w:pPr>
        <w:rPr>
          <w:rFonts w:ascii="宋体" w:hAnsi="宋体" w:cs="宋体"/>
          <w:color w:val="auto"/>
          <w:sz w:val="28"/>
          <w:szCs w:val="28"/>
          <w:highlight w:val="none"/>
        </w:rPr>
      </w:pPr>
    </w:p>
    <w:p w14:paraId="7637AB26">
      <w:pPr>
        <w:pStyle w:val="2"/>
        <w:rPr>
          <w:color w:val="auto"/>
          <w:highlight w:val="none"/>
        </w:rPr>
      </w:pPr>
    </w:p>
    <w:p w14:paraId="0BC7DD55">
      <w:pPr>
        <w:rPr>
          <w:color w:val="auto"/>
          <w:highlight w:val="none"/>
        </w:rPr>
      </w:pPr>
    </w:p>
    <w:p w14:paraId="66FF6BC3">
      <w:pPr>
        <w:pStyle w:val="2"/>
        <w:rPr>
          <w:color w:val="auto"/>
          <w:highlight w:val="none"/>
        </w:rPr>
      </w:pPr>
    </w:p>
    <w:p w14:paraId="58BD4AE8">
      <w:pPr>
        <w:rPr>
          <w:color w:val="auto"/>
          <w:highlight w:val="none"/>
        </w:rPr>
      </w:pPr>
    </w:p>
    <w:p w14:paraId="7B574E6D">
      <w:pPr>
        <w:pStyle w:val="2"/>
        <w:rPr>
          <w:color w:val="auto"/>
          <w:highlight w:val="none"/>
        </w:rPr>
      </w:pPr>
    </w:p>
    <w:p w14:paraId="28347F9F">
      <w:pPr>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（盖单位公章）</w:t>
      </w:r>
    </w:p>
    <w:p w14:paraId="3675904C">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lang w:eastAsia="zh-CN"/>
        </w:rPr>
        <w:t>签名</w:t>
      </w:r>
      <w:r>
        <w:rPr>
          <w:rFonts w:hint="eastAsia" w:ascii="宋体" w:hAnsi="宋体" w:cs="宋体"/>
          <w:color w:val="auto"/>
          <w:sz w:val="28"/>
          <w:szCs w:val="28"/>
          <w:highlight w:val="none"/>
        </w:rPr>
        <w:t>）</w:t>
      </w:r>
    </w:p>
    <w:p w14:paraId="4EEBB8DB">
      <w:pPr>
        <w:jc w:val="center"/>
        <w:rPr>
          <w:rFonts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4DF34EF4">
      <w:pPr>
        <w:rPr>
          <w:rFonts w:hint="eastAsia" w:ascii="宋体" w:hAnsi="宋体" w:eastAsia="宋体" w:cs="宋体"/>
          <w:color w:val="auto"/>
          <w:highlight w:val="none"/>
        </w:rPr>
      </w:pPr>
      <w:bookmarkStart w:id="202" w:name="_Toc26420"/>
      <w:bookmarkStart w:id="203" w:name="_Toc1368"/>
      <w:bookmarkStart w:id="204" w:name="_Toc5459"/>
      <w:bookmarkStart w:id="205" w:name="_Toc11329273"/>
      <w:bookmarkStart w:id="206" w:name="_Toc28780"/>
      <w:r>
        <w:rPr>
          <w:rFonts w:hint="eastAsia" w:ascii="宋体" w:hAnsi="宋体" w:eastAsia="宋体" w:cs="宋体"/>
          <w:color w:val="auto"/>
          <w:highlight w:val="none"/>
        </w:rPr>
        <w:br w:type="page"/>
      </w:r>
    </w:p>
    <w:p w14:paraId="04A5E3FD">
      <w:pPr>
        <w:pageBreakBefore w:val="0"/>
        <w:widowControl w:val="0"/>
        <w:kinsoku/>
        <w:wordWrap/>
        <w:overflowPunct/>
        <w:topLinePunct w:val="0"/>
        <w:autoSpaceDE/>
        <w:autoSpaceDN/>
        <w:bidi w:val="0"/>
        <w:adjustRightInd/>
        <w:snapToGrid/>
        <w:jc w:val="center"/>
        <w:textAlignment w:val="auto"/>
        <w:outlineLvl w:val="9"/>
        <w:rPr>
          <w:rFonts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目    录</w:t>
      </w:r>
      <w:bookmarkEnd w:id="189"/>
      <w:bookmarkEnd w:id="190"/>
      <w:bookmarkEnd w:id="191"/>
      <w:bookmarkEnd w:id="192"/>
      <w:bookmarkEnd w:id="193"/>
      <w:bookmarkEnd w:id="194"/>
      <w:bookmarkEnd w:id="195"/>
      <w:bookmarkEnd w:id="196"/>
      <w:bookmarkEnd w:id="202"/>
      <w:bookmarkEnd w:id="203"/>
      <w:bookmarkEnd w:id="204"/>
      <w:bookmarkEnd w:id="205"/>
      <w:bookmarkEnd w:id="206"/>
    </w:p>
    <w:p w14:paraId="679C9E5E">
      <w:pPr>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竞争性响应声明书</w:t>
      </w:r>
    </w:p>
    <w:p w14:paraId="07F09424">
      <w:pPr>
        <w:pageBreakBefore w:val="0"/>
        <w:widowControl w:val="0"/>
        <w:numPr>
          <w:ilvl w:val="0"/>
          <w:numId w:val="4"/>
        </w:numPr>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ascii="宋体" w:hAnsi="宋体" w:cs="宋体"/>
          <w:color w:val="auto"/>
          <w:highlight w:val="none"/>
        </w:rPr>
        <w:t>法定代表人身份证明或法定代表人授权委托书</w:t>
      </w:r>
    </w:p>
    <w:p w14:paraId="0F3C6188">
      <w:pPr>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三、报价一览表</w:t>
      </w:r>
    </w:p>
    <w:p w14:paraId="012E35AF">
      <w:pPr>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四、审查资料</w:t>
      </w:r>
    </w:p>
    <w:p w14:paraId="2E6CCA2B">
      <w:pPr>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Cs w:val="21"/>
          <w:highlight w:val="none"/>
        </w:rPr>
      </w:pPr>
      <w:r>
        <w:rPr>
          <w:rFonts w:hint="eastAsia" w:ascii="宋体" w:hAnsi="宋体" w:cs="宋体"/>
          <w:color w:val="auto"/>
          <w:highlight w:val="none"/>
        </w:rPr>
        <w:t>五、</w:t>
      </w:r>
      <w:r>
        <w:rPr>
          <w:rFonts w:hint="eastAsia" w:ascii="宋体" w:hAnsi="宋体" w:cs="宋体"/>
          <w:color w:val="auto"/>
          <w:szCs w:val="21"/>
          <w:highlight w:val="none"/>
        </w:rPr>
        <w:t>报价人承诺</w:t>
      </w:r>
    </w:p>
    <w:p w14:paraId="795DE794">
      <w:pPr>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highlight w:val="none"/>
        </w:rPr>
      </w:pPr>
      <w:r>
        <w:rPr>
          <w:rFonts w:hint="eastAsia" w:ascii="宋体" w:hAnsi="宋体" w:cs="宋体"/>
          <w:color w:val="auto"/>
          <w:highlight w:val="none"/>
        </w:rPr>
        <w:t>六、报价人提供的其他资料（如有）</w:t>
      </w:r>
    </w:p>
    <w:p w14:paraId="6A62F723">
      <w:pPr>
        <w:spacing w:line="400" w:lineRule="exact"/>
        <w:rPr>
          <w:rFonts w:ascii="宋体" w:hAnsi="宋体" w:cs="宋体"/>
          <w:color w:val="auto"/>
          <w:highlight w:val="none"/>
        </w:rPr>
      </w:pPr>
    </w:p>
    <w:p w14:paraId="12EA81A1">
      <w:pPr>
        <w:spacing w:line="400" w:lineRule="exact"/>
        <w:rPr>
          <w:rFonts w:ascii="宋体" w:hAnsi="宋体" w:cs="宋体"/>
          <w:color w:val="auto"/>
          <w:highlight w:val="none"/>
        </w:rPr>
      </w:pPr>
    </w:p>
    <w:p w14:paraId="65C6D356">
      <w:pPr>
        <w:spacing w:line="400" w:lineRule="exact"/>
        <w:rPr>
          <w:rFonts w:ascii="宋体" w:hAnsi="宋体" w:cs="宋体"/>
          <w:color w:val="auto"/>
          <w:highlight w:val="none"/>
        </w:rPr>
      </w:pPr>
    </w:p>
    <w:p w14:paraId="7D9ADDAE">
      <w:pPr>
        <w:spacing w:line="400" w:lineRule="exact"/>
        <w:rPr>
          <w:rFonts w:ascii="宋体" w:hAnsi="宋体" w:cs="宋体"/>
          <w:color w:val="auto"/>
          <w:highlight w:val="none"/>
        </w:rPr>
      </w:pPr>
    </w:p>
    <w:p w14:paraId="2BECC7C3">
      <w:pPr>
        <w:spacing w:line="400" w:lineRule="exact"/>
        <w:rPr>
          <w:rFonts w:ascii="宋体" w:hAnsi="宋体" w:cs="宋体"/>
          <w:color w:val="auto"/>
          <w:highlight w:val="none"/>
        </w:rPr>
      </w:pPr>
    </w:p>
    <w:p w14:paraId="5FBC4B3A">
      <w:pPr>
        <w:spacing w:line="400" w:lineRule="exact"/>
        <w:rPr>
          <w:rFonts w:ascii="宋体" w:hAnsi="宋体" w:cs="宋体"/>
          <w:color w:val="auto"/>
          <w:highlight w:val="none"/>
        </w:rPr>
      </w:pPr>
    </w:p>
    <w:p w14:paraId="14D6FD8A">
      <w:pPr>
        <w:spacing w:line="400" w:lineRule="exact"/>
        <w:rPr>
          <w:rFonts w:ascii="宋体" w:hAnsi="宋体" w:cs="宋体"/>
          <w:color w:val="auto"/>
          <w:highlight w:val="none"/>
        </w:rPr>
      </w:pPr>
    </w:p>
    <w:p w14:paraId="56BA6EC5">
      <w:pPr>
        <w:spacing w:line="400" w:lineRule="exact"/>
        <w:rPr>
          <w:rFonts w:ascii="宋体" w:hAnsi="宋体" w:cs="宋体"/>
          <w:color w:val="auto"/>
          <w:highlight w:val="none"/>
        </w:rPr>
      </w:pPr>
    </w:p>
    <w:p w14:paraId="3ABC4A4C">
      <w:pPr>
        <w:spacing w:line="400" w:lineRule="exact"/>
        <w:rPr>
          <w:rFonts w:ascii="宋体" w:hAnsi="宋体" w:cs="宋体"/>
          <w:color w:val="auto"/>
          <w:highlight w:val="none"/>
        </w:rPr>
      </w:pPr>
    </w:p>
    <w:p w14:paraId="32617BC0">
      <w:pPr>
        <w:spacing w:line="400" w:lineRule="exact"/>
        <w:rPr>
          <w:rFonts w:ascii="宋体" w:hAnsi="宋体" w:cs="宋体"/>
          <w:color w:val="auto"/>
          <w:highlight w:val="none"/>
        </w:rPr>
      </w:pPr>
    </w:p>
    <w:p w14:paraId="012BB10E">
      <w:pPr>
        <w:spacing w:line="400" w:lineRule="exact"/>
        <w:rPr>
          <w:rFonts w:ascii="宋体" w:hAnsi="宋体" w:cs="宋体"/>
          <w:color w:val="auto"/>
          <w:highlight w:val="none"/>
        </w:rPr>
      </w:pPr>
    </w:p>
    <w:p w14:paraId="048F9C1E">
      <w:pPr>
        <w:spacing w:line="400" w:lineRule="exact"/>
        <w:rPr>
          <w:rFonts w:ascii="宋体" w:hAnsi="宋体" w:cs="宋体"/>
          <w:color w:val="auto"/>
          <w:highlight w:val="none"/>
        </w:rPr>
      </w:pPr>
    </w:p>
    <w:p w14:paraId="03C9411D">
      <w:pPr>
        <w:spacing w:line="400" w:lineRule="exact"/>
        <w:rPr>
          <w:rFonts w:ascii="宋体" w:hAnsi="宋体" w:cs="宋体"/>
          <w:color w:val="auto"/>
          <w:highlight w:val="none"/>
        </w:rPr>
      </w:pPr>
    </w:p>
    <w:p w14:paraId="3C1BB3C3">
      <w:pPr>
        <w:spacing w:line="400" w:lineRule="exact"/>
        <w:rPr>
          <w:rFonts w:ascii="宋体" w:hAnsi="宋体" w:cs="宋体"/>
          <w:color w:val="auto"/>
          <w:highlight w:val="none"/>
        </w:rPr>
      </w:pPr>
    </w:p>
    <w:p w14:paraId="1791DA20">
      <w:pPr>
        <w:spacing w:line="400" w:lineRule="exact"/>
        <w:rPr>
          <w:rFonts w:ascii="宋体" w:hAnsi="宋体" w:cs="宋体"/>
          <w:color w:val="auto"/>
          <w:highlight w:val="none"/>
        </w:rPr>
      </w:pPr>
    </w:p>
    <w:p w14:paraId="5973C09B">
      <w:pPr>
        <w:spacing w:line="400" w:lineRule="exact"/>
        <w:rPr>
          <w:rFonts w:ascii="宋体" w:hAnsi="宋体" w:cs="宋体"/>
          <w:color w:val="auto"/>
          <w:highlight w:val="none"/>
        </w:rPr>
      </w:pPr>
    </w:p>
    <w:p w14:paraId="0E444D5D">
      <w:pPr>
        <w:spacing w:line="400" w:lineRule="exact"/>
        <w:rPr>
          <w:rFonts w:ascii="宋体" w:hAnsi="宋体" w:cs="宋体"/>
          <w:color w:val="auto"/>
          <w:highlight w:val="none"/>
        </w:rPr>
      </w:pPr>
    </w:p>
    <w:p w14:paraId="48E1BD80">
      <w:pPr>
        <w:spacing w:line="400" w:lineRule="exact"/>
        <w:rPr>
          <w:rFonts w:ascii="宋体" w:hAnsi="宋体" w:cs="宋体"/>
          <w:color w:val="auto"/>
          <w:highlight w:val="none"/>
        </w:rPr>
      </w:pPr>
    </w:p>
    <w:p w14:paraId="595E3780">
      <w:pPr>
        <w:spacing w:line="400" w:lineRule="exact"/>
        <w:rPr>
          <w:rFonts w:ascii="宋体" w:hAnsi="宋体" w:cs="宋体"/>
          <w:color w:val="auto"/>
          <w:highlight w:val="none"/>
        </w:rPr>
      </w:pPr>
    </w:p>
    <w:p w14:paraId="4FC7B007">
      <w:pPr>
        <w:spacing w:line="400" w:lineRule="exact"/>
        <w:rPr>
          <w:rFonts w:ascii="宋体" w:hAnsi="宋体" w:cs="宋体"/>
          <w:color w:val="auto"/>
          <w:highlight w:val="none"/>
        </w:rPr>
      </w:pPr>
    </w:p>
    <w:p w14:paraId="18A9E066">
      <w:pPr>
        <w:spacing w:line="400" w:lineRule="exact"/>
        <w:rPr>
          <w:rFonts w:ascii="宋体" w:hAnsi="宋体" w:cs="宋体"/>
          <w:color w:val="auto"/>
          <w:highlight w:val="none"/>
        </w:rPr>
      </w:pPr>
      <w:r>
        <w:rPr>
          <w:rFonts w:ascii="宋体" w:hAnsi="宋体" w:cs="宋体"/>
          <w:color w:val="auto"/>
          <w:highlight w:val="none"/>
        </w:rPr>
        <w:br w:type="page"/>
      </w:r>
    </w:p>
    <w:p w14:paraId="0B459D47">
      <w:pPr>
        <w:pStyle w:val="4"/>
        <w:numPr>
          <w:ilvl w:val="0"/>
          <w:numId w:val="5"/>
        </w:numPr>
        <w:spacing w:before="0" w:after="0" w:line="360" w:lineRule="auto"/>
        <w:jc w:val="center"/>
        <w:rPr>
          <w:rFonts w:ascii="宋体" w:hAnsi="宋体" w:eastAsia="宋体" w:cs="宋体"/>
          <w:color w:val="auto"/>
          <w:sz w:val="28"/>
          <w:highlight w:val="none"/>
        </w:rPr>
      </w:pPr>
      <w:bookmarkStart w:id="207" w:name="_Toc28976"/>
      <w:bookmarkStart w:id="208" w:name="_Toc25874"/>
      <w:bookmarkStart w:id="209" w:name="_Toc15863"/>
      <w:bookmarkStart w:id="210" w:name="_Toc29547"/>
      <w:bookmarkStart w:id="211" w:name="_Toc24431"/>
      <w:bookmarkStart w:id="212" w:name="_Toc513633969"/>
      <w:bookmarkStart w:id="213" w:name="_Toc503951048"/>
      <w:bookmarkStart w:id="214" w:name="_Toc447827053"/>
      <w:r>
        <w:rPr>
          <w:rFonts w:hint="eastAsia" w:ascii="宋体" w:hAnsi="宋体" w:eastAsia="宋体" w:cs="宋体"/>
          <w:color w:val="auto"/>
          <w:sz w:val="28"/>
          <w:highlight w:val="none"/>
        </w:rPr>
        <w:t>竞争比选响应声明书</w:t>
      </w:r>
      <w:bookmarkEnd w:id="207"/>
      <w:bookmarkEnd w:id="208"/>
      <w:bookmarkEnd w:id="209"/>
      <w:bookmarkEnd w:id="210"/>
      <w:bookmarkEnd w:id="211"/>
    </w:p>
    <w:p w14:paraId="30E8E1A6">
      <w:pPr>
        <w:tabs>
          <w:tab w:val="left" w:pos="900"/>
        </w:tabs>
        <w:spacing w:line="300" w:lineRule="auto"/>
        <w:outlineLvl w:val="2"/>
        <w:rPr>
          <w:color w:val="auto"/>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rPr>
        <w:t>重庆首讯科技股份有限公司</w:t>
      </w:r>
    </w:p>
    <w:p w14:paraId="073940A1">
      <w:pPr>
        <w:keepNext w:val="0"/>
        <w:keepLines w:val="0"/>
        <w:pageBreakBefore w:val="0"/>
        <w:widowControl w:val="0"/>
        <w:kinsoku/>
        <w:wordWrap w:val="0"/>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rPr>
        <w:t>根据贵方为</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竞争比选项目的竞争比选公告，</w:t>
      </w:r>
      <w:r>
        <w:rPr>
          <w:rFonts w:hint="eastAsia" w:ascii="Arial" w:hAnsi="Arial" w:cs="Arial"/>
          <w:color w:val="auto"/>
          <w:sz w:val="24"/>
          <w:highlight w:val="none"/>
          <w:lang w:eastAsia="zh-CN"/>
        </w:rPr>
        <w:t>签名</w:t>
      </w:r>
      <w:r>
        <w:rPr>
          <w:rFonts w:hint="eastAsia" w:ascii="Arial" w:hAnsi="Arial" w:cs="Arial"/>
          <w:color w:val="auto"/>
          <w:sz w:val="24"/>
          <w:highlight w:val="none"/>
        </w:rPr>
        <w:t>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经正式授权并代表竞争比选响应单位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hint="eastAsia" w:ascii="Arial" w:hAnsi="Arial" w:cs="Arial"/>
          <w:color w:val="auto"/>
          <w:sz w:val="24"/>
          <w:highlight w:val="none"/>
          <w:u w:val="single"/>
        </w:rPr>
        <w:t>（竞争比选响应单位名称）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提交报价文件。</w:t>
      </w:r>
    </w:p>
    <w:p w14:paraId="2C92FFC9">
      <w:pPr>
        <w:spacing w:line="480" w:lineRule="auto"/>
        <w:ind w:firstLine="480" w:firstLineChars="200"/>
        <w:rPr>
          <w:rFonts w:ascii="Arial" w:hAnsi="Arial" w:cs="Arial"/>
          <w:color w:val="auto"/>
          <w:sz w:val="24"/>
          <w:highlight w:val="none"/>
          <w:u w:val="single"/>
        </w:rPr>
      </w:pPr>
      <w:r>
        <w:rPr>
          <w:rFonts w:hint="eastAsia" w:ascii="Arial" w:hAnsi="Arial" w:cs="Arial"/>
          <w:color w:val="auto"/>
          <w:sz w:val="24"/>
          <w:highlight w:val="none"/>
          <w:u w:val="single"/>
        </w:rPr>
        <w:t>我方愿以</w:t>
      </w:r>
      <w:r>
        <w:rPr>
          <w:rFonts w:hint="eastAsia" w:ascii="Arial" w:hAnsi="Arial" w:cs="Arial"/>
          <w:color w:val="auto"/>
          <w:sz w:val="24"/>
          <w:highlight w:val="none"/>
          <w:u w:val="single"/>
          <w:lang w:val="en-US" w:eastAsia="zh-CN"/>
        </w:rPr>
        <w:t xml:space="preserve">燃油车商业险自主折扣系数：     ，新能源车商业险自主折扣系数：        </w:t>
      </w:r>
      <w:r>
        <w:rPr>
          <w:rFonts w:hint="eastAsia" w:ascii="Arial" w:hAnsi="Arial" w:cs="Arial"/>
          <w:color w:val="auto"/>
          <w:sz w:val="24"/>
          <w:highlight w:val="none"/>
          <w:u w:val="single"/>
        </w:rPr>
        <w:t>的报价按照竞争比选文件的要求，提供本次竞争比选文件要求的车辆保险服务。</w:t>
      </w:r>
    </w:p>
    <w:p w14:paraId="5A51AC31">
      <w:pPr>
        <w:tabs>
          <w:tab w:val="left" w:pos="540"/>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据此函，</w:t>
      </w:r>
      <w:r>
        <w:rPr>
          <w:rFonts w:hint="eastAsia" w:ascii="Arial" w:hAnsi="Arial" w:cs="Arial"/>
          <w:color w:val="auto"/>
          <w:sz w:val="24"/>
          <w:highlight w:val="none"/>
          <w:lang w:eastAsia="zh-CN"/>
        </w:rPr>
        <w:t>签名</w:t>
      </w:r>
      <w:r>
        <w:rPr>
          <w:rFonts w:hint="eastAsia" w:ascii="Arial" w:hAnsi="Arial" w:cs="Arial"/>
          <w:color w:val="auto"/>
          <w:sz w:val="24"/>
          <w:highlight w:val="none"/>
        </w:rPr>
        <w:t>代表宣布同意如下：</w:t>
      </w:r>
    </w:p>
    <w:p w14:paraId="120156E6">
      <w:pPr>
        <w:tabs>
          <w:tab w:val="left" w:pos="540"/>
          <w:tab w:val="left" w:pos="900"/>
        </w:tabs>
        <w:spacing w:line="480" w:lineRule="auto"/>
        <w:ind w:firstLine="480" w:firstLineChars="200"/>
        <w:outlineLvl w:val="2"/>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rPr>
        <w:t>、竞争比选响应单位将按竞争比选文件规定履行合同责任和义务。</w:t>
      </w:r>
    </w:p>
    <w:p w14:paraId="0E9D4172">
      <w:pPr>
        <w:tabs>
          <w:tab w:val="left" w:pos="900"/>
        </w:tabs>
        <w:spacing w:line="480" w:lineRule="auto"/>
        <w:ind w:firstLine="480" w:firstLineChars="200"/>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rPr>
        <w:t>、竞争比选响应单位已详细审查全部竞争比选文件，包括修改文件（如有的话）以及全部参考资料和相关附件。我们完全理解并同意放弃对这方面有不明及误解的权利。</w:t>
      </w:r>
    </w:p>
    <w:p w14:paraId="2934DA77">
      <w:pPr>
        <w:tabs>
          <w:tab w:val="left" w:pos="900"/>
        </w:tabs>
        <w:spacing w:line="480" w:lineRule="auto"/>
        <w:ind w:firstLine="480" w:firstLineChars="200"/>
        <w:rPr>
          <w:rFonts w:ascii="Arial" w:hAnsi="Arial" w:cs="Arial"/>
          <w:b/>
          <w:color w:val="auto"/>
          <w:sz w:val="24"/>
          <w:highlight w:val="none"/>
        </w:rPr>
      </w:pPr>
      <w:r>
        <w:rPr>
          <w:rFonts w:hint="eastAsia" w:ascii="Arial" w:hAnsi="Arial" w:cs="Arial"/>
          <w:color w:val="auto"/>
          <w:sz w:val="24"/>
          <w:highlight w:val="none"/>
        </w:rPr>
        <w:t>3、竞争比选响应单位同意提供采购人可能要求的与其竞争比选响应文件有关的一切数据或资料，完全理解采购人不一定要接受最低报价的竞争比选响应或收到的任何报价。</w:t>
      </w:r>
    </w:p>
    <w:p w14:paraId="3296B3AF">
      <w:pPr>
        <w:tabs>
          <w:tab w:val="left" w:pos="900"/>
        </w:tabs>
        <w:spacing w:line="480" w:lineRule="auto"/>
        <w:ind w:firstLine="480" w:firstLineChars="200"/>
        <w:outlineLvl w:val="2"/>
        <w:rPr>
          <w:rFonts w:ascii="Arial" w:hAnsi="Arial" w:cs="Arial"/>
          <w:b/>
          <w:color w:val="auto"/>
          <w:sz w:val="24"/>
          <w:highlight w:val="none"/>
        </w:rPr>
      </w:pPr>
      <w:r>
        <w:rPr>
          <w:rFonts w:hint="eastAsia" w:ascii="Arial" w:hAnsi="Arial" w:cs="Arial"/>
          <w:color w:val="auto"/>
          <w:sz w:val="24"/>
          <w:highlight w:val="none"/>
        </w:rPr>
        <w:t>4、与本竞争比选响应有关的一切正式往来通讯请寄：</w:t>
      </w:r>
    </w:p>
    <w:p w14:paraId="76EB5C68">
      <w:pPr>
        <w:tabs>
          <w:tab w:val="left" w:pos="900"/>
        </w:tabs>
        <w:spacing w:line="480" w:lineRule="auto"/>
        <w:ind w:firstLine="480" w:firstLineChars="200"/>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hint="eastAsia" w:ascii="Arial" w:hAnsi="Arial" w:cs="Arial"/>
          <w:color w:val="auto"/>
          <w:sz w:val="24"/>
          <w:highlight w:val="none"/>
          <w:u w:val="none"/>
          <w:lang w:val="en-US" w:eastAsia="zh-CN"/>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14:paraId="4F619BA6">
      <w:pPr>
        <w:tabs>
          <w:tab w:val="left" w:pos="900"/>
        </w:tabs>
        <w:spacing w:line="480" w:lineRule="auto"/>
        <w:ind w:firstLine="480" w:firstLineChars="200"/>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14:paraId="4CF93C15">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竞争比选响应单位法定代表人或授权代表人（</w:t>
      </w:r>
      <w:r>
        <w:rPr>
          <w:rFonts w:hint="eastAsia" w:ascii="Arial" w:hAnsi="Arial" w:cs="Arial"/>
          <w:color w:val="auto"/>
          <w:sz w:val="24"/>
          <w:highlight w:val="none"/>
          <w:lang w:eastAsia="zh-CN"/>
        </w:rPr>
        <w:t>签名</w:t>
      </w:r>
      <w:r>
        <w:rPr>
          <w:rFonts w:hint="eastAsia" w:ascii="Arial" w:hAnsi="Arial" w:cs="Arial"/>
          <w:color w:val="auto"/>
          <w:sz w:val="24"/>
          <w:highlight w:val="none"/>
        </w:rPr>
        <w:t>）：</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14:paraId="4EB1E188">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竞争比选响应单位法定代表人或授权代表人职务：</w:t>
      </w:r>
      <w:r>
        <w:rPr>
          <w:rFonts w:ascii="Arial" w:hAnsi="Arial" w:cs="Arial"/>
          <w:color w:val="auto"/>
          <w:sz w:val="24"/>
          <w:highlight w:val="none"/>
          <w:u w:val="single"/>
        </w:rPr>
        <w:t xml:space="preserve">      </w:t>
      </w:r>
      <w:r>
        <w:rPr>
          <w:rFonts w:hint="eastAsia" w:ascii="Arial" w:hAnsi="Arial" w:cs="Arial"/>
          <w:color w:val="auto"/>
          <w:sz w:val="24"/>
          <w:highlight w:val="none"/>
          <w:u w:val="single"/>
          <w:lang w:val="en-US" w:eastAsia="zh-CN"/>
        </w:rPr>
        <w:t xml:space="preserve">    </w:t>
      </w:r>
      <w:r>
        <w:rPr>
          <w:rFonts w:ascii="Arial" w:hAnsi="Arial" w:cs="Arial"/>
          <w:color w:val="auto"/>
          <w:sz w:val="24"/>
          <w:highlight w:val="none"/>
          <w:u w:val="single"/>
        </w:rPr>
        <w:t xml:space="preserve">       </w:t>
      </w:r>
      <w:r>
        <w:rPr>
          <w:rFonts w:ascii="Arial" w:hAnsi="Arial" w:cs="Arial"/>
          <w:color w:val="auto"/>
          <w:sz w:val="24"/>
          <w:highlight w:val="none"/>
        </w:rPr>
        <w:t xml:space="preserve">               </w:t>
      </w:r>
    </w:p>
    <w:p w14:paraId="6753ED38">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竞争比选响应单位名称（加盖</w:t>
      </w:r>
      <w:r>
        <w:rPr>
          <w:rFonts w:hint="eastAsia" w:ascii="Arial" w:hAnsi="Arial" w:cs="Arial"/>
          <w:color w:val="auto"/>
          <w:sz w:val="24"/>
          <w:highlight w:val="none"/>
          <w:lang w:val="en-US" w:eastAsia="zh-CN"/>
        </w:rPr>
        <w:t>单位</w:t>
      </w:r>
      <w:r>
        <w:rPr>
          <w:rFonts w:hint="eastAsia" w:ascii="Arial" w:hAnsi="Arial" w:cs="Arial"/>
          <w:color w:val="auto"/>
          <w:sz w:val="24"/>
          <w:highlight w:val="none"/>
        </w:rPr>
        <w:t>公章）：</w:t>
      </w:r>
      <w:r>
        <w:rPr>
          <w:rFonts w:ascii="Arial" w:hAnsi="Arial" w:cs="Arial"/>
          <w:color w:val="auto"/>
          <w:sz w:val="24"/>
          <w:highlight w:val="none"/>
          <w:u w:val="single"/>
        </w:rPr>
        <w:t xml:space="preserve">                       </w:t>
      </w:r>
    </w:p>
    <w:p w14:paraId="0D597BDC">
      <w:pPr>
        <w:tabs>
          <w:tab w:val="left" w:pos="900"/>
        </w:tabs>
        <w:spacing w:line="480" w:lineRule="auto"/>
        <w:ind w:firstLine="480" w:firstLineChars="200"/>
        <w:rPr>
          <w:rFonts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p>
    <w:p w14:paraId="6DE14CF1">
      <w:pPr>
        <w:pStyle w:val="4"/>
        <w:numPr>
          <w:ilvl w:val="0"/>
          <w:numId w:val="5"/>
        </w:numPr>
        <w:spacing w:before="0" w:after="0" w:line="360" w:lineRule="auto"/>
        <w:jc w:val="center"/>
        <w:rPr>
          <w:rFonts w:ascii="宋体" w:hAnsi="宋体" w:eastAsia="宋体" w:cs="宋体"/>
          <w:color w:val="auto"/>
          <w:sz w:val="28"/>
          <w:highlight w:val="none"/>
        </w:rPr>
      </w:pPr>
      <w:bookmarkStart w:id="215" w:name="_Toc16435"/>
      <w:bookmarkStart w:id="216" w:name="_Toc27815"/>
      <w:bookmarkStart w:id="217" w:name="_Toc30289"/>
      <w:bookmarkStart w:id="218" w:name="_Toc491883232"/>
      <w:r>
        <w:rPr>
          <w:rFonts w:hint="eastAsia" w:ascii="宋体" w:hAnsi="宋体" w:eastAsia="宋体" w:cs="宋体"/>
          <w:color w:val="auto"/>
          <w:sz w:val="28"/>
          <w:highlight w:val="none"/>
        </w:rPr>
        <w:t>法定代表人身份证明或法定代表人授权委托书</w:t>
      </w:r>
      <w:bookmarkEnd w:id="215"/>
      <w:bookmarkEnd w:id="216"/>
      <w:bookmarkEnd w:id="217"/>
    </w:p>
    <w:p w14:paraId="3E996A31">
      <w:pPr>
        <w:pStyle w:val="4"/>
        <w:spacing w:line="480" w:lineRule="auto"/>
        <w:jc w:val="center"/>
        <w:outlineLvl w:val="2"/>
        <w:rPr>
          <w:rFonts w:ascii="宋体" w:hAnsi="宋体" w:eastAsia="宋体" w:cs="宋体"/>
          <w:color w:val="auto"/>
          <w:sz w:val="24"/>
          <w:szCs w:val="24"/>
          <w:highlight w:val="none"/>
        </w:rPr>
      </w:pPr>
      <w:bookmarkStart w:id="219" w:name="_Toc14141"/>
      <w:bookmarkStart w:id="220" w:name="_Toc20985"/>
      <w:r>
        <w:rPr>
          <w:rFonts w:hint="eastAsia" w:ascii="宋体" w:hAnsi="宋体" w:eastAsia="宋体" w:cs="宋体"/>
          <w:color w:val="auto"/>
          <w:sz w:val="24"/>
          <w:szCs w:val="24"/>
          <w:highlight w:val="none"/>
        </w:rPr>
        <w:t>（一）法定代表人身份证明</w:t>
      </w:r>
      <w:bookmarkEnd w:id="218"/>
      <w:bookmarkEnd w:id="219"/>
      <w:bookmarkEnd w:id="220"/>
    </w:p>
    <w:p w14:paraId="65CE2CB1">
      <w:pPr>
        <w:spacing w:line="480" w:lineRule="auto"/>
        <w:rPr>
          <w:rFonts w:ascii="宋体" w:hAnsi="宋体"/>
          <w:color w:val="auto"/>
          <w:highlight w:val="none"/>
        </w:rPr>
      </w:pPr>
      <w:r>
        <w:rPr>
          <w:rFonts w:hint="eastAsia" w:ascii="宋体" w:hAnsi="宋体"/>
          <w:color w:val="auto"/>
          <w:highlight w:val="none"/>
        </w:rPr>
        <w:t>报价人</w:t>
      </w:r>
      <w:r>
        <w:rPr>
          <w:rFonts w:ascii="宋体" w:hAnsi="宋体"/>
          <w:color w:val="auto"/>
          <w:highlight w:val="none"/>
        </w:rPr>
        <w:t>名称：</w:t>
      </w:r>
      <w:r>
        <w:rPr>
          <w:rFonts w:ascii="宋体" w:hAnsi="宋体"/>
          <w:color w:val="auto"/>
          <w:highlight w:val="none"/>
          <w:u w:val="single"/>
        </w:rPr>
        <w:t xml:space="preserve">                        </w:t>
      </w:r>
    </w:p>
    <w:p w14:paraId="60F6C4A5">
      <w:pPr>
        <w:spacing w:line="480" w:lineRule="auto"/>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21" w:name="_Toc369531698"/>
      <w:bookmarkStart w:id="222" w:name="_Toc27897"/>
      <w:bookmarkStart w:id="223" w:name="_Toc352691662"/>
      <w:r>
        <w:rPr>
          <w:rFonts w:ascii="宋体" w:hAnsi="宋体"/>
          <w:color w:val="auto"/>
          <w:highlight w:val="none"/>
          <w:u w:val="single"/>
        </w:rPr>
        <w:t xml:space="preserve">        </w:t>
      </w:r>
      <w:r>
        <w:rPr>
          <w:rFonts w:ascii="宋体" w:hAnsi="宋体"/>
          <w:color w:val="auto"/>
          <w:highlight w:val="none"/>
        </w:rPr>
        <w:t>年</w:t>
      </w:r>
      <w:bookmarkEnd w:id="221"/>
      <w:bookmarkEnd w:id="222"/>
      <w:bookmarkEnd w:id="223"/>
      <w:r>
        <w:rPr>
          <w:rFonts w:ascii="宋体" w:hAnsi="宋体"/>
          <w:color w:val="auto"/>
          <w:highlight w:val="none"/>
        </w:rPr>
        <w:t>龄</w:t>
      </w:r>
      <w:bookmarkStart w:id="224" w:name="_Toc15573"/>
      <w:bookmarkStart w:id="225" w:name="_Toc152042578"/>
      <w:bookmarkStart w:id="226" w:name="_Toc384308377"/>
      <w:bookmarkStart w:id="227" w:name="_Toc369531699"/>
      <w:bookmarkStart w:id="228" w:name="_Toc247527829"/>
      <w:bookmarkStart w:id="229" w:name="_Toc144974858"/>
      <w:bookmarkStart w:id="230" w:name="_Toc152045789"/>
      <w:bookmarkStart w:id="231" w:name="_Toc352691663"/>
      <w:bookmarkStart w:id="232" w:name="_Toc361508754"/>
      <w:bookmarkStart w:id="233" w:name="_Toc247514248"/>
      <w:bookmarkStart w:id="234" w:name="_Toc300835211"/>
      <w:r>
        <w:rPr>
          <w:rFonts w:ascii="宋体" w:hAnsi="宋体"/>
          <w:color w:val="auto"/>
          <w:highlight w:val="none"/>
        </w:rPr>
        <w:t>：</w:t>
      </w:r>
      <w:bookmarkEnd w:id="224"/>
      <w:bookmarkEnd w:id="225"/>
      <w:bookmarkEnd w:id="226"/>
      <w:bookmarkEnd w:id="227"/>
      <w:bookmarkEnd w:id="228"/>
      <w:bookmarkEnd w:id="229"/>
      <w:bookmarkEnd w:id="230"/>
      <w:bookmarkEnd w:id="231"/>
      <w:bookmarkEnd w:id="232"/>
      <w:bookmarkEnd w:id="233"/>
      <w:bookmarkEnd w:id="234"/>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14:paraId="43E5C9A2">
      <w:pPr>
        <w:spacing w:line="480" w:lineRule="auto"/>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w:t>
      </w:r>
    </w:p>
    <w:p w14:paraId="372ED0B7">
      <w:pPr>
        <w:spacing w:line="480" w:lineRule="auto"/>
        <w:ind w:firstLine="420" w:firstLineChars="200"/>
        <w:rPr>
          <w:rFonts w:ascii="宋体" w:hAnsi="宋体"/>
          <w:color w:val="auto"/>
          <w:highlight w:val="none"/>
        </w:rPr>
      </w:pPr>
      <w:r>
        <w:rPr>
          <w:rFonts w:ascii="宋体" w:hAnsi="宋体"/>
          <w:color w:val="auto"/>
          <w:highlight w:val="none"/>
        </w:rPr>
        <w:t>特此证明。</w:t>
      </w:r>
    </w:p>
    <w:p w14:paraId="677AECF9">
      <w:pPr>
        <w:spacing w:line="480" w:lineRule="auto"/>
        <w:rPr>
          <w:rFonts w:ascii="宋体" w:hAnsi="宋体"/>
          <w:color w:val="auto"/>
          <w:highlight w:val="none"/>
        </w:rPr>
      </w:pPr>
    </w:p>
    <w:p w14:paraId="2B024D3B">
      <w:pPr>
        <w:spacing w:line="480" w:lineRule="auto"/>
        <w:rPr>
          <w:rFonts w:ascii="宋体" w:hAnsi="宋体"/>
          <w:color w:val="auto"/>
          <w:highlight w:val="none"/>
        </w:rPr>
      </w:pPr>
      <w:r>
        <w:rPr>
          <w:rFonts w:ascii="Times New Roman" w:hAnsi="Times New Roman" w:eastAsia="宋体" w:cs="Times New Roman"/>
          <w:snapToGrid w:val="0"/>
          <w:highlight w:val="none"/>
        </w:rPr>
        <mc:AlternateContent>
          <mc:Choice Requires="wps">
            <w:drawing>
              <wp:anchor distT="0" distB="0" distL="114300" distR="114300" simplePos="0" relativeHeight="251664384" behindDoc="0" locked="0" layoutInCell="1" allowOverlap="1">
                <wp:simplePos x="0" y="0"/>
                <wp:positionH relativeFrom="column">
                  <wp:posOffset>-126365</wp:posOffset>
                </wp:positionH>
                <wp:positionV relativeFrom="paragraph">
                  <wp:posOffset>-216535</wp:posOffset>
                </wp:positionV>
                <wp:extent cx="6045835" cy="1850390"/>
                <wp:effectExtent l="4445" t="4445" r="15240" b="19685"/>
                <wp:wrapNone/>
                <wp:docPr id="6"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9.95pt;margin-top:-17.05pt;height:145.7pt;width:476.05pt;z-index:251664384;mso-width-relative:page;mso-height-relative:page;" fillcolor="#FFFFFF" filled="t" stroked="t" coordsize="21600,21600" o:gfxdata="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15pZnbAAAACwEAAA8AAAAAAAAA&#10;AQAgAAAAIgAAAGRycy9kb3ducmV2LnhtbFBLAQIUABQAAAAIAIdO4kDcoLDUDgIAADgEAAAOAAAA&#10;AAAAAAEAIAAAACoBAABkcnMvZTJvRG9jLnhtbFBLBQYAAAAABgAGAFkBAACqBQAAAAA=&#10;">
                <v:fill on="t" focussize="0,0"/>
                <v:stroke color="#000000" joinstyle="miter"/>
                <v:imagedata o:title=""/>
                <o:lock v:ext="edit" aspectratio="f"/>
                <v:textbox>
                  <w:txbxContent>
                    <w:p w14:paraId="63C427C4">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1BA946E4">
                      <w:pPr>
                        <w:snapToGrid w:val="0"/>
                        <w:spacing w:line="360" w:lineRule="auto"/>
                        <w:rPr>
                          <w:highlight w:val="none"/>
                        </w:rPr>
                      </w:pPr>
                    </w:p>
                  </w:txbxContent>
                </v:textbox>
              </v:shape>
            </w:pict>
          </mc:Fallback>
        </mc:AlternateContent>
      </w:r>
      <w:r>
        <w:rPr>
          <w:rFonts w:ascii="宋体" w:hAnsi="宋体"/>
          <w:color w:val="auto"/>
          <w:highlight w:val="none"/>
        </w:rPr>
        <w:t>附：法定代表人身份证复印件</w:t>
      </w:r>
      <w:r>
        <w:rPr>
          <w:rFonts w:hint="eastAsia" w:ascii="宋体" w:hAnsi="宋体"/>
          <w:b/>
          <w:bCs/>
          <w:color w:val="auto"/>
          <w:highlight w:val="none"/>
        </w:rPr>
        <w:t>（正、反面）</w:t>
      </w:r>
      <w:r>
        <w:rPr>
          <w:rFonts w:ascii="宋体" w:hAnsi="宋体"/>
          <w:color w:val="auto"/>
          <w:highlight w:val="none"/>
        </w:rPr>
        <w:t>。</w:t>
      </w:r>
    </w:p>
    <w:p w14:paraId="789740BF">
      <w:pPr>
        <w:spacing w:line="480" w:lineRule="auto"/>
        <w:rPr>
          <w:rFonts w:ascii="宋体" w:hAnsi="宋体"/>
          <w:color w:val="auto"/>
          <w:highlight w:val="none"/>
        </w:rPr>
      </w:pPr>
    </w:p>
    <w:p w14:paraId="1EABAE64">
      <w:pPr>
        <w:spacing w:line="440" w:lineRule="exact"/>
        <w:rPr>
          <w:rFonts w:ascii="宋体" w:hAnsi="宋体"/>
          <w:color w:val="auto"/>
          <w:highlight w:val="none"/>
        </w:rPr>
      </w:pPr>
    </w:p>
    <w:p w14:paraId="2A94795F">
      <w:pPr>
        <w:spacing w:line="440" w:lineRule="exact"/>
        <w:rPr>
          <w:rFonts w:ascii="宋体" w:hAnsi="宋体"/>
          <w:color w:val="auto"/>
          <w:highlight w:val="none"/>
        </w:rPr>
      </w:pPr>
    </w:p>
    <w:p w14:paraId="3B6008EE">
      <w:pPr>
        <w:spacing w:line="440" w:lineRule="exact"/>
        <w:rPr>
          <w:rFonts w:ascii="宋体" w:hAnsi="宋体"/>
          <w:color w:val="auto"/>
          <w:highlight w:val="none"/>
        </w:rPr>
      </w:pPr>
    </w:p>
    <w:p w14:paraId="7D47DE7B">
      <w:pPr>
        <w:spacing w:line="440" w:lineRule="exact"/>
        <w:rPr>
          <w:rFonts w:ascii="宋体" w:hAnsi="宋体"/>
          <w:color w:val="auto"/>
          <w:highlight w:val="none"/>
        </w:rPr>
      </w:pPr>
    </w:p>
    <w:p w14:paraId="7EBE900E">
      <w:pPr>
        <w:spacing w:line="440" w:lineRule="exact"/>
        <w:rPr>
          <w:rFonts w:ascii="宋体" w:hAnsi="宋体"/>
          <w:color w:val="auto"/>
          <w:highlight w:val="none"/>
        </w:rPr>
      </w:pPr>
    </w:p>
    <w:p w14:paraId="7C048F95">
      <w:pPr>
        <w:spacing w:line="440" w:lineRule="exact"/>
        <w:rPr>
          <w:rFonts w:ascii="宋体" w:hAnsi="宋体"/>
          <w:color w:val="auto"/>
          <w:highlight w:val="none"/>
        </w:rPr>
      </w:pPr>
    </w:p>
    <w:p w14:paraId="78FDD692">
      <w:pPr>
        <w:spacing w:line="440" w:lineRule="exact"/>
        <w:rPr>
          <w:rFonts w:ascii="宋体" w:hAnsi="宋体"/>
          <w:color w:val="auto"/>
          <w:highlight w:val="none"/>
        </w:rPr>
      </w:pPr>
    </w:p>
    <w:p w14:paraId="7BC61CA5">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07216CE8">
      <w:pPr>
        <w:spacing w:line="440" w:lineRule="exact"/>
        <w:rPr>
          <w:rFonts w:ascii="宋体" w:hAnsi="宋体"/>
          <w:color w:val="auto"/>
          <w:highlight w:val="none"/>
        </w:rPr>
      </w:pPr>
    </w:p>
    <w:p w14:paraId="46813BC8">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2003962F">
      <w:pPr>
        <w:rPr>
          <w:rFonts w:ascii="宋体" w:hAnsi="宋体"/>
          <w:color w:val="auto"/>
          <w:highlight w:val="none"/>
        </w:rPr>
      </w:pPr>
    </w:p>
    <w:p w14:paraId="69D295E1">
      <w:pPr>
        <w:rPr>
          <w:rFonts w:ascii="宋体" w:hAnsi="宋体"/>
          <w:color w:val="auto"/>
          <w:highlight w:val="none"/>
        </w:rPr>
      </w:pPr>
    </w:p>
    <w:p w14:paraId="20A97CA0">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w:t>
      </w:r>
    </w:p>
    <w:p w14:paraId="3C6AFF67">
      <w:pPr>
        <w:spacing w:line="440" w:lineRule="exact"/>
        <w:rPr>
          <w:rFonts w:ascii="宋体" w:hAnsi="宋体"/>
          <w:color w:val="auto"/>
          <w:sz w:val="20"/>
          <w:highlight w:val="none"/>
        </w:rPr>
      </w:pPr>
    </w:p>
    <w:p w14:paraId="51DFA1F1">
      <w:pPr>
        <w:spacing w:line="20" w:lineRule="exact"/>
        <w:jc w:val="center"/>
        <w:rPr>
          <w:rFonts w:ascii="宋体" w:hAnsi="宋体"/>
          <w:color w:val="auto"/>
          <w:sz w:val="20"/>
          <w:highlight w:val="none"/>
        </w:rPr>
      </w:pPr>
      <w:r>
        <w:rPr>
          <w:rFonts w:ascii="宋体" w:hAnsi="宋体"/>
          <w:color w:val="auto"/>
          <w:sz w:val="20"/>
          <w:highlight w:val="none"/>
        </w:rPr>
        <w:br w:type="page"/>
      </w:r>
    </w:p>
    <w:p w14:paraId="5C7F0332">
      <w:pPr>
        <w:pStyle w:val="4"/>
        <w:spacing w:line="480" w:lineRule="auto"/>
        <w:jc w:val="center"/>
        <w:outlineLvl w:val="2"/>
        <w:rPr>
          <w:rFonts w:ascii="宋体" w:hAnsi="宋体"/>
          <w:color w:val="auto"/>
          <w:sz w:val="28"/>
          <w:szCs w:val="28"/>
          <w:highlight w:val="none"/>
        </w:rPr>
      </w:pPr>
      <w:bookmarkStart w:id="235" w:name="_Toc491883233"/>
      <w:bookmarkStart w:id="236" w:name="_Toc58"/>
      <w:bookmarkStart w:id="237" w:name="_Toc3882"/>
      <w:r>
        <w:rPr>
          <w:rFonts w:hint="eastAsia" w:ascii="宋体" w:hAnsi="宋体" w:eastAsia="宋体" w:cs="宋体"/>
          <w:color w:val="auto"/>
          <w:sz w:val="24"/>
          <w:szCs w:val="24"/>
          <w:highlight w:val="none"/>
        </w:rPr>
        <w:t>（二）</w:t>
      </w:r>
      <w:bookmarkEnd w:id="235"/>
      <w:r>
        <w:rPr>
          <w:rFonts w:hint="eastAsia" w:ascii="宋体" w:hAnsi="宋体" w:eastAsia="宋体" w:cs="宋体"/>
          <w:color w:val="auto"/>
          <w:sz w:val="24"/>
          <w:szCs w:val="24"/>
          <w:highlight w:val="none"/>
        </w:rPr>
        <w:t>法定代表人授权委托书</w:t>
      </w:r>
      <w:bookmarkEnd w:id="236"/>
      <w:bookmarkEnd w:id="237"/>
    </w:p>
    <w:p w14:paraId="36F85DCD">
      <w:pPr>
        <w:keepNext w:val="0"/>
        <w:keepLines w:val="0"/>
        <w:pageBreakBefore w:val="0"/>
        <w:widowControl w:val="0"/>
        <w:kinsoku/>
        <w:wordWrap/>
        <w:overflowPunct/>
        <w:topLine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w:t>
      </w:r>
      <w:r>
        <w:rPr>
          <w:rFonts w:hint="eastAsia" w:ascii="宋体" w:hAnsi="宋体"/>
          <w:color w:val="auto"/>
          <w:highlight w:val="none"/>
          <w:lang w:val="en-US" w:eastAsia="zh-CN"/>
        </w:rPr>
        <w:t>采购</w:t>
      </w:r>
      <w:r>
        <w:rPr>
          <w:rFonts w:ascii="宋体" w:hAnsi="宋体"/>
          <w:color w:val="auto"/>
          <w:highlight w:val="none"/>
        </w:rPr>
        <w:t>项目</w:t>
      </w:r>
      <w:r>
        <w:rPr>
          <w:rFonts w:hint="eastAsia" w:ascii="宋体" w:hAnsi="宋体"/>
          <w:color w:val="auto"/>
          <w:highlight w:val="none"/>
        </w:rPr>
        <w:t>比选</w:t>
      </w:r>
      <w:r>
        <w:rPr>
          <w:rFonts w:ascii="宋体" w:hAnsi="宋体"/>
          <w:color w:val="auto"/>
          <w:highlight w:val="none"/>
        </w:rPr>
        <w:t>文件、签订合同和处理有关事宜，其法律后果由我方承担。</w:t>
      </w:r>
    </w:p>
    <w:p w14:paraId="6F766D3C">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14:paraId="3D1F550A">
      <w:pPr>
        <w:keepNext w:val="0"/>
        <w:keepLines w:val="0"/>
        <w:pageBreakBefore w:val="0"/>
        <w:widowControl w:val="0"/>
        <w:kinsoku/>
        <w:wordWrap/>
        <w:overflowPunct/>
        <w:autoSpaceDE/>
        <w:autoSpaceDN/>
        <w:bidi w:val="0"/>
        <w:adjustRightInd/>
        <w:snapToGrid/>
        <w:spacing w:line="500" w:lineRule="exact"/>
        <w:ind w:firstLine="420" w:firstLineChars="200"/>
        <w:textAlignment w:val="auto"/>
        <w:rPr>
          <w:rFonts w:ascii="宋体" w:hAnsi="宋体"/>
          <w:color w:val="auto"/>
          <w:highlight w:val="none"/>
        </w:rPr>
      </w:pPr>
      <w:r>
        <w:rPr>
          <w:rFonts w:ascii="宋体" w:hAnsi="宋体"/>
          <w:color w:val="auto"/>
          <w:highlight w:val="none"/>
        </w:rPr>
        <w:t>代理人无转委托权。</w:t>
      </w:r>
    </w:p>
    <w:p w14:paraId="7CE2C97A">
      <w:pPr>
        <w:keepNext w:val="0"/>
        <w:keepLines w:val="0"/>
        <w:pageBreakBefore w:val="0"/>
        <w:widowControl w:val="0"/>
        <w:kinsoku/>
        <w:wordWrap/>
        <w:overflowPunct/>
        <w:autoSpaceDE/>
        <w:autoSpaceDN/>
        <w:bidi w:val="0"/>
        <w:adjustRightInd/>
        <w:snapToGrid/>
        <w:spacing w:line="500" w:lineRule="exact"/>
        <w:textAlignment w:val="auto"/>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b/>
          <w:bCs/>
          <w:color w:val="auto"/>
          <w:highlight w:val="none"/>
        </w:rPr>
        <w:t>（正、反面）</w:t>
      </w:r>
    </w:p>
    <w:p w14:paraId="69492D20">
      <w:pPr>
        <w:spacing w:line="440" w:lineRule="exact"/>
        <w:rPr>
          <w:rFonts w:ascii="宋体" w:hAnsi="宋体"/>
          <w:color w:val="auto"/>
          <w:highlight w:val="none"/>
        </w:rPr>
      </w:pPr>
      <w:r>
        <w:rPr>
          <w:rFonts w:ascii="Times New Roman" w:hAnsi="Times New Roman" w:eastAsia="宋体" w:cs="Times New Roman"/>
          <w:snapToGrid w:val="0"/>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-134620</wp:posOffset>
                </wp:positionH>
                <wp:positionV relativeFrom="paragraph">
                  <wp:posOffset>0</wp:posOffset>
                </wp:positionV>
                <wp:extent cx="6045835" cy="1850390"/>
                <wp:effectExtent l="4445" t="4445" r="15240" b="19685"/>
                <wp:wrapNone/>
                <wp:docPr id="5" name="文本框 32"/>
                <wp:cNvGraphicFramePr/>
                <a:graphic xmlns:a="http://schemas.openxmlformats.org/drawingml/2006/main">
                  <a:graphicData uri="http://schemas.microsoft.com/office/word/2010/wordprocessingShape">
                    <wps:wsp>
                      <wps:cNvSpPr txBox="1"/>
                      <wps:spPr>
                        <a:xfrm>
                          <a:off x="0" y="0"/>
                          <a:ext cx="6045835" cy="18503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wps:txbx>
                      <wps:bodyPr upright="1"/>
                    </wps:wsp>
                  </a:graphicData>
                </a:graphic>
              </wp:anchor>
            </w:drawing>
          </mc:Choice>
          <mc:Fallback>
            <w:pict>
              <v:shape id="文本框 32" o:spid="_x0000_s1026" o:spt="202" type="#_x0000_t202" style="position:absolute;left:0pt;margin-left:-10.6pt;margin-top:0pt;height:145.7pt;width:476.05pt;z-index:251662336;mso-width-relative:page;mso-height-relative:page;" fillcolor="#FFFFFF" filled="t" stroked="t" coordsize="21600,21600" o:gfxdata="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nTwm2AAAAAgBAAAPAAAAAAAAAAEA&#10;IAAAACIAAABkcnMvZG93bnJldi54bWxQSwECFAAUAAAACACHTuJA5TvF/Q8CAAA4BAAADgAAAAAA&#10;AAABACAAAAAnAQAAZHJzL2Uyb0RvYy54bWxQSwUGAAAAAAYABgBZAQAAqAUAAAAA&#10;">
                <v:fill on="t" focussize="0,0"/>
                <v:stroke color="#000000" joinstyle="miter"/>
                <v:imagedata o:title=""/>
                <o:lock v:ext="edit" aspectratio="f"/>
                <v:textbox>
                  <w:txbxContent>
                    <w:p w14:paraId="4978F581">
                      <w:pPr>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此处粘贴法定代表人身份证复印件（双面）</w:t>
                      </w:r>
                    </w:p>
                    <w:p w14:paraId="3944572E">
                      <w:pPr>
                        <w:snapToGrid w:val="0"/>
                        <w:spacing w:line="360" w:lineRule="auto"/>
                        <w:rPr>
                          <w:highlight w:val="none"/>
                        </w:rPr>
                      </w:pPr>
                    </w:p>
                  </w:txbxContent>
                </v:textbox>
              </v:shape>
            </w:pict>
          </mc:Fallback>
        </mc:AlternateContent>
      </w:r>
    </w:p>
    <w:p w14:paraId="22519CAF">
      <w:pPr>
        <w:spacing w:line="440" w:lineRule="exact"/>
        <w:rPr>
          <w:rFonts w:ascii="宋体" w:hAnsi="宋体"/>
          <w:color w:val="auto"/>
          <w:highlight w:val="none"/>
        </w:rPr>
      </w:pPr>
    </w:p>
    <w:p w14:paraId="36E63A40">
      <w:pPr>
        <w:spacing w:line="440" w:lineRule="exact"/>
        <w:rPr>
          <w:rFonts w:ascii="宋体" w:hAnsi="宋体"/>
          <w:color w:val="auto"/>
          <w:highlight w:val="none"/>
        </w:rPr>
      </w:pPr>
      <w:r>
        <w:rPr>
          <w:rFonts w:ascii="宋体" w:hAnsi="宋体"/>
          <w:color w:val="auto"/>
          <w:highlight w:val="none"/>
        </w:rPr>
        <w:t>委托代理人身份证复印件</w:t>
      </w:r>
    </w:p>
    <w:p w14:paraId="2D466713">
      <w:pPr>
        <w:spacing w:line="440" w:lineRule="exact"/>
        <w:rPr>
          <w:rFonts w:ascii="宋体" w:hAnsi="宋体"/>
          <w:color w:val="auto"/>
          <w:highlight w:val="none"/>
        </w:rPr>
      </w:pPr>
    </w:p>
    <w:p w14:paraId="4F03B970">
      <w:pPr>
        <w:spacing w:line="440" w:lineRule="exact"/>
        <w:rPr>
          <w:rFonts w:ascii="宋体" w:hAnsi="宋体"/>
          <w:color w:val="auto"/>
          <w:highlight w:val="none"/>
        </w:rPr>
      </w:pPr>
    </w:p>
    <w:p w14:paraId="5DE11756">
      <w:pPr>
        <w:spacing w:line="440" w:lineRule="exact"/>
        <w:rPr>
          <w:rFonts w:ascii="宋体" w:hAnsi="宋体"/>
          <w:color w:val="auto"/>
          <w:highlight w:val="none"/>
        </w:rPr>
      </w:pPr>
    </w:p>
    <w:p w14:paraId="060A3394">
      <w:pPr>
        <w:spacing w:line="440" w:lineRule="exact"/>
        <w:rPr>
          <w:rFonts w:ascii="宋体" w:hAnsi="宋体"/>
          <w:color w:val="auto"/>
          <w:highlight w:val="none"/>
        </w:rPr>
      </w:pPr>
    </w:p>
    <w:p w14:paraId="4A8B5135">
      <w:pPr>
        <w:spacing w:line="440" w:lineRule="exact"/>
        <w:ind w:firstLine="2692" w:firstLineChars="1282"/>
        <w:rPr>
          <w:rFonts w:hint="eastAsia" w:ascii="宋体" w:hAnsi="宋体"/>
          <w:color w:val="auto"/>
          <w:highlight w:val="none"/>
        </w:rPr>
      </w:pPr>
      <w:r>
        <w:rPr>
          <w:rFonts w:ascii="Times New Roman" w:hAnsi="Times New Roman" w:eastAsia="宋体"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-146050</wp:posOffset>
                </wp:positionH>
                <wp:positionV relativeFrom="paragraph">
                  <wp:posOffset>21590</wp:posOffset>
                </wp:positionV>
                <wp:extent cx="6066790" cy="1953260"/>
                <wp:effectExtent l="5080" t="4445" r="8890" b="8255"/>
                <wp:wrapNone/>
                <wp:docPr id="9" name="文本框 33"/>
                <wp:cNvGraphicFramePr/>
                <a:graphic xmlns:a="http://schemas.openxmlformats.org/drawingml/2006/main">
                  <a:graphicData uri="http://schemas.microsoft.com/office/word/2010/wordprocessingShape">
                    <wps:wsp>
                      <wps:cNvSpPr txBox="1"/>
                      <wps:spPr>
                        <a:xfrm>
                          <a:off x="0" y="0"/>
                          <a:ext cx="60667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wps:txbx>
                      <wps:bodyPr upright="1"/>
                    </wps:wsp>
                  </a:graphicData>
                </a:graphic>
              </wp:anchor>
            </w:drawing>
          </mc:Choice>
          <mc:Fallback>
            <w:pict>
              <v:shape id="文本框 33" o:spid="_x0000_s1026" o:spt="202" type="#_x0000_t202" style="position:absolute;left:0pt;margin-left:-11.5pt;margin-top:1.7pt;height:153.8pt;width:477.7pt;z-index:251663360;mso-width-relative:page;mso-height-relative:page;" fillcolor="#FFFFFF" filled="t" stroked="t" coordsize="21600,21600" o:gfxdata="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CEPO3YAAAACQEAAA8AAAAAAAAAAQAg&#10;AAAAIgAAAGRycy9kb3ducmV2LnhtbFBLAQIUABQAAAAIAIdO4kBm4Zl7DgIAADgEAAAOAAAAAAAA&#10;AAEAIAAAACcBAABkcnMvZTJvRG9jLnhtbFBLBQYAAAAABgAGAFkBAACnBQAAAAA=&#10;">
                <v:fill on="t" focussize="0,0"/>
                <v:stroke color="#000000" joinstyle="miter"/>
                <v:imagedata o:title=""/>
                <o:lock v:ext="edit" aspectratio="f"/>
                <v:textbox>
                  <w:txbxContent>
                    <w:p w14:paraId="5AB081AD">
                      <w:pPr>
                        <w:tabs>
                          <w:tab w:val="left" w:pos="1680"/>
                          <w:tab w:val="left" w:pos="4215"/>
                          <w:tab w:val="left" w:pos="4305"/>
                          <w:tab w:val="left" w:pos="8000"/>
                        </w:tabs>
                        <w:autoSpaceDE w:val="0"/>
                        <w:autoSpaceDN w:val="0"/>
                        <w:adjustRightInd w:val="0"/>
                        <w:snapToGrid w:val="0"/>
                        <w:spacing w:line="360" w:lineRule="auto"/>
                        <w:jc w:val="both"/>
                        <w:rPr>
                          <w:rFonts w:ascii="宋体" w:hAnsi="宋体" w:eastAsia="宋体" w:cs="宋体"/>
                          <w:kern w:val="0"/>
                          <w:highlight w:val="none"/>
                        </w:rPr>
                      </w:pPr>
                      <w:r>
                        <w:rPr>
                          <w:rFonts w:hint="eastAsia" w:ascii="宋体" w:hAnsi="宋体" w:eastAsia="宋体" w:cs="宋体"/>
                          <w:kern w:val="0"/>
                          <w:highlight w:val="none"/>
                          <w:lang w:bidi="ar"/>
                        </w:rPr>
                        <w:t>此处粘贴委托代理人身份证复印件（双面）</w:t>
                      </w:r>
                    </w:p>
                    <w:p w14:paraId="4B633BBF">
                      <w:pPr>
                        <w:spacing w:line="360" w:lineRule="auto"/>
                        <w:jc w:val="center"/>
                        <w:rPr>
                          <w:highlight w:val="none"/>
                        </w:rPr>
                      </w:pPr>
                    </w:p>
                  </w:txbxContent>
                </v:textbox>
              </v:shape>
            </w:pict>
          </mc:Fallback>
        </mc:AlternateContent>
      </w:r>
    </w:p>
    <w:p w14:paraId="04BF29C0">
      <w:pPr>
        <w:spacing w:line="440" w:lineRule="exact"/>
        <w:ind w:firstLine="2692" w:firstLineChars="1282"/>
        <w:rPr>
          <w:rFonts w:hint="eastAsia" w:ascii="宋体" w:hAnsi="宋体"/>
          <w:color w:val="auto"/>
          <w:highlight w:val="none"/>
        </w:rPr>
      </w:pPr>
    </w:p>
    <w:p w14:paraId="17A84542">
      <w:pPr>
        <w:spacing w:line="440" w:lineRule="exact"/>
        <w:ind w:firstLine="2692" w:firstLineChars="1282"/>
        <w:rPr>
          <w:rFonts w:hint="eastAsia" w:ascii="宋体" w:hAnsi="宋体"/>
          <w:color w:val="auto"/>
          <w:highlight w:val="none"/>
        </w:rPr>
      </w:pPr>
    </w:p>
    <w:p w14:paraId="0D8B5DCD">
      <w:pPr>
        <w:spacing w:line="440" w:lineRule="exact"/>
        <w:ind w:firstLine="2692" w:firstLineChars="1282"/>
        <w:rPr>
          <w:rFonts w:hint="eastAsia" w:ascii="宋体" w:hAnsi="宋体"/>
          <w:color w:val="auto"/>
          <w:highlight w:val="none"/>
        </w:rPr>
      </w:pPr>
    </w:p>
    <w:p w14:paraId="0562DC89">
      <w:pPr>
        <w:spacing w:line="440" w:lineRule="exact"/>
        <w:ind w:firstLine="2692" w:firstLineChars="1282"/>
        <w:rPr>
          <w:rFonts w:hint="eastAsia" w:ascii="宋体" w:hAnsi="宋体"/>
          <w:color w:val="auto"/>
          <w:highlight w:val="none"/>
        </w:rPr>
      </w:pPr>
    </w:p>
    <w:p w14:paraId="0EDA1EF7">
      <w:pPr>
        <w:spacing w:line="440" w:lineRule="exact"/>
        <w:ind w:firstLine="2692" w:firstLineChars="1282"/>
        <w:rPr>
          <w:rFonts w:hint="eastAsia" w:ascii="宋体" w:hAnsi="宋体"/>
          <w:color w:val="auto"/>
          <w:highlight w:val="none"/>
        </w:rPr>
      </w:pPr>
    </w:p>
    <w:p w14:paraId="6798AB98">
      <w:pPr>
        <w:spacing w:line="440" w:lineRule="exact"/>
        <w:ind w:firstLine="2692" w:firstLineChars="1282"/>
        <w:rPr>
          <w:rFonts w:hint="eastAsia" w:ascii="宋体" w:hAnsi="宋体"/>
          <w:color w:val="auto"/>
          <w:highlight w:val="none"/>
        </w:rPr>
      </w:pPr>
    </w:p>
    <w:p w14:paraId="1B312C8B">
      <w:pPr>
        <w:spacing w:line="440" w:lineRule="exact"/>
        <w:ind w:firstLine="2692" w:firstLineChars="1282"/>
        <w:rPr>
          <w:rFonts w:ascii="宋体" w:hAnsi="宋体"/>
          <w:color w:val="auto"/>
          <w:highlight w:val="none"/>
        </w:rPr>
      </w:pPr>
      <w:r>
        <w:rPr>
          <w:rFonts w:hint="eastAsia" w:ascii="宋体" w:hAnsi="宋体"/>
          <w:color w:val="auto"/>
          <w:highlight w:val="none"/>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rPr>
        <w:t>公章</w:t>
      </w:r>
      <w:r>
        <w:rPr>
          <w:rFonts w:ascii="宋体" w:hAnsi="宋体"/>
          <w:color w:val="auto"/>
          <w:highlight w:val="none"/>
        </w:rPr>
        <w:t>）</w:t>
      </w:r>
    </w:p>
    <w:p w14:paraId="5F3BF4A9">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28DDC637">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78A8718E">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lang w:eastAsia="zh-CN"/>
        </w:rPr>
        <w:t>签名</w:t>
      </w:r>
      <w:r>
        <w:rPr>
          <w:rFonts w:ascii="宋体" w:hAnsi="宋体"/>
          <w:color w:val="auto"/>
          <w:highlight w:val="none"/>
        </w:rPr>
        <w:t>）</w:t>
      </w:r>
    </w:p>
    <w:p w14:paraId="04DBCFB0">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31605C5B">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14:paraId="42D890ED">
      <w:pPr>
        <w:rPr>
          <w:rFonts w:ascii="宋体" w:hAnsi="宋体"/>
          <w:color w:val="auto"/>
          <w:highlight w:val="none"/>
        </w:rPr>
      </w:pPr>
    </w:p>
    <w:p w14:paraId="4422466B">
      <w:pPr>
        <w:rPr>
          <w:rFonts w:ascii="宋体" w:hAnsi="宋体"/>
          <w:color w:val="auto"/>
          <w:highlight w:val="none"/>
        </w:rPr>
      </w:pPr>
    </w:p>
    <w:p w14:paraId="238B72CB">
      <w:pPr>
        <w:spacing w:line="440" w:lineRule="exact"/>
        <w:rPr>
          <w:rFonts w:hint="eastAsia" w:ascii="宋体" w:hAnsi="宋体" w:eastAsia="宋体" w:cs="宋体"/>
          <w:color w:val="auto"/>
          <w:sz w:val="28"/>
          <w:highlight w:val="none"/>
          <w:lang w:val="en-US" w:eastAsia="zh-CN"/>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color w:val="auto"/>
          <w:highlight w:val="none"/>
        </w:rPr>
        <w:t>注：本授权委托书需由</w:t>
      </w:r>
      <w:r>
        <w:rPr>
          <w:rFonts w:hint="eastAsia" w:ascii="宋体" w:hAnsi="宋体"/>
          <w:color w:val="auto"/>
          <w:highlight w:val="none"/>
        </w:rPr>
        <w:t>报价人</w:t>
      </w:r>
      <w:r>
        <w:rPr>
          <w:rFonts w:ascii="宋体" w:hAnsi="宋体"/>
          <w:color w:val="auto"/>
          <w:highlight w:val="none"/>
        </w:rPr>
        <w:t>加盖单位</w:t>
      </w:r>
      <w:r>
        <w:rPr>
          <w:rFonts w:hint="eastAsia" w:ascii="宋体" w:hAnsi="宋体"/>
          <w:color w:val="auto"/>
          <w:highlight w:val="none"/>
        </w:rPr>
        <w:t>公章</w:t>
      </w:r>
      <w:r>
        <w:rPr>
          <w:rFonts w:ascii="宋体" w:hAnsi="宋体"/>
          <w:color w:val="auto"/>
          <w:highlight w:val="none"/>
        </w:rPr>
        <w:t>并由其法定代表人和委托代理人签</w:t>
      </w:r>
      <w:bookmarkStart w:id="238" w:name="_Toc11329275"/>
      <w:bookmarkStart w:id="239" w:name="_Toc29500"/>
      <w:r>
        <w:rPr>
          <w:rFonts w:hint="eastAsia" w:ascii="宋体" w:hAnsi="宋体"/>
          <w:color w:val="auto"/>
          <w:highlight w:val="none"/>
          <w:lang w:val="en-US" w:eastAsia="zh-CN"/>
        </w:rPr>
        <w:t>名。</w:t>
      </w:r>
    </w:p>
    <w:bookmarkEnd w:id="212"/>
    <w:bookmarkEnd w:id="213"/>
    <w:bookmarkEnd w:id="214"/>
    <w:bookmarkEnd w:id="238"/>
    <w:p w14:paraId="5364604F">
      <w:pPr>
        <w:pStyle w:val="4"/>
        <w:numPr>
          <w:ilvl w:val="0"/>
          <w:numId w:val="5"/>
        </w:numPr>
        <w:spacing w:before="0" w:after="0" w:line="360" w:lineRule="auto"/>
        <w:jc w:val="center"/>
        <w:rPr>
          <w:rFonts w:ascii="宋体" w:hAnsi="宋体" w:eastAsia="宋体" w:cs="宋体"/>
          <w:color w:val="auto"/>
          <w:sz w:val="28"/>
          <w:highlight w:val="none"/>
        </w:rPr>
      </w:pPr>
      <w:bookmarkStart w:id="240" w:name="_Toc6761"/>
      <w:r>
        <w:rPr>
          <w:rFonts w:hint="eastAsia" w:ascii="宋体" w:hAnsi="宋体" w:eastAsia="宋体" w:cs="宋体"/>
          <w:color w:val="auto"/>
          <w:sz w:val="28"/>
          <w:highlight w:val="none"/>
        </w:rPr>
        <w:t>报价一览表</w:t>
      </w:r>
      <w:bookmarkEnd w:id="239"/>
      <w:bookmarkEnd w:id="240"/>
    </w:p>
    <w:p w14:paraId="1632F807">
      <w:pPr>
        <w:pStyle w:val="39"/>
        <w:spacing w:line="480" w:lineRule="auto"/>
        <w:jc w:val="both"/>
        <w:rPr>
          <w:rFonts w:hint="eastAsia" w:hAnsi="宋体"/>
          <w:color w:val="auto"/>
          <w:highlight w:val="none"/>
        </w:rPr>
      </w:pPr>
      <w:r>
        <w:rPr>
          <w:rFonts w:hint="eastAsia" w:hAnsi="宋体"/>
          <w:color w:val="auto"/>
          <w:highlight w:val="none"/>
        </w:rPr>
        <w:t>重庆首讯科技股份有限公司：</w:t>
      </w:r>
    </w:p>
    <w:p w14:paraId="57612D2A">
      <w:pPr>
        <w:pStyle w:val="39"/>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b w:val="0"/>
          <w:bCs/>
          <w:color w:val="auto"/>
          <w:highlight w:val="none"/>
        </w:rPr>
      </w:pPr>
      <w:r>
        <w:rPr>
          <w:rFonts w:hint="eastAsia" w:hAnsi="宋体"/>
          <w:b w:val="0"/>
          <w:bCs/>
          <w:color w:val="auto"/>
          <w:highlight w:val="none"/>
        </w:rPr>
        <w:t>在研究了竞争比选文件中所有文件后，我司对</w:t>
      </w:r>
      <w:r>
        <w:rPr>
          <w:rFonts w:hint="eastAsia" w:hAnsi="宋体"/>
          <w:b w:val="0"/>
          <w:bCs/>
          <w:color w:val="auto"/>
          <w:highlight w:val="none"/>
          <w:lang w:val="en-US" w:eastAsia="zh-CN"/>
        </w:rPr>
        <w:t>本</w:t>
      </w:r>
      <w:r>
        <w:rPr>
          <w:rFonts w:hint="eastAsia" w:hAnsi="宋体"/>
          <w:b w:val="0"/>
          <w:bCs/>
          <w:color w:val="auto"/>
          <w:highlight w:val="none"/>
        </w:rPr>
        <w:t xml:space="preserve">项目竞争比选响应报价如下： </w:t>
      </w:r>
    </w:p>
    <w:tbl>
      <w:tblPr>
        <w:tblStyle w:val="44"/>
        <w:tblW w:w="13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354"/>
        <w:gridCol w:w="7421"/>
        <w:gridCol w:w="1800"/>
        <w:gridCol w:w="2504"/>
      </w:tblGrid>
      <w:tr w14:paraId="5582C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37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4C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采购清单</w:t>
            </w:r>
          </w:p>
        </w:tc>
      </w:tr>
      <w:tr w14:paraId="58C9C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706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FC2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险种</w:t>
            </w:r>
          </w:p>
        </w:tc>
        <w:tc>
          <w:tcPr>
            <w:tcW w:w="7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D3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要求</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B7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车辆类型</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54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自主折扣系数</w:t>
            </w:r>
          </w:p>
        </w:tc>
      </w:tr>
      <w:tr w14:paraId="48202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39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8C7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商业险</w:t>
            </w:r>
          </w:p>
        </w:tc>
        <w:tc>
          <w:tcPr>
            <w:tcW w:w="7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3DD4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1.车辆损失险（按车辆折旧后车辆实际价值）；</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2.第三者责任险（每次赔偿限额300万元人民币）；</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3.车上人员责任险（按车辆行驶核载人数为准）、赔偿限额50万元/座；</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4.医保外医疗费用责任险（不超过主险的赔偿限额）。</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19166A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燃油车</w:t>
            </w:r>
          </w:p>
        </w:tc>
        <w:tc>
          <w:tcPr>
            <w:tcW w:w="2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F6B7">
            <w:pPr>
              <w:jc w:val="center"/>
              <w:rPr>
                <w:rFonts w:hint="eastAsia" w:ascii="宋体" w:hAnsi="宋体" w:eastAsia="宋体" w:cs="宋体"/>
                <w:i w:val="0"/>
                <w:iCs w:val="0"/>
                <w:color w:val="000000"/>
                <w:sz w:val="21"/>
                <w:szCs w:val="21"/>
                <w:highlight w:val="none"/>
                <w:u w:val="none"/>
              </w:rPr>
            </w:pPr>
          </w:p>
        </w:tc>
      </w:tr>
      <w:tr w14:paraId="5609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30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C6699">
            <w:pPr>
              <w:jc w:val="center"/>
              <w:rPr>
                <w:rFonts w:hint="eastAsia" w:ascii="宋体" w:hAnsi="宋体" w:eastAsia="宋体" w:cs="宋体"/>
                <w:i w:val="0"/>
                <w:iCs w:val="0"/>
                <w:color w:val="000000"/>
                <w:sz w:val="21"/>
                <w:szCs w:val="21"/>
                <w:highlight w:val="none"/>
                <w:u w:val="none"/>
              </w:rPr>
            </w:pPr>
          </w:p>
        </w:tc>
        <w:tc>
          <w:tcPr>
            <w:tcW w:w="7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002F2">
            <w:pPr>
              <w:jc w:val="left"/>
              <w:rPr>
                <w:rFonts w:hint="eastAsia" w:ascii="宋体" w:hAnsi="宋体" w:eastAsia="宋体" w:cs="宋体"/>
                <w:i w:val="0"/>
                <w:iCs w:val="0"/>
                <w:color w:val="000000"/>
                <w:sz w:val="21"/>
                <w:szCs w:val="21"/>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48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新能源车</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C8D5">
            <w:pPr>
              <w:jc w:val="center"/>
              <w:rPr>
                <w:rFonts w:hint="eastAsia" w:ascii="宋体" w:hAnsi="宋体" w:eastAsia="宋体" w:cs="宋体"/>
                <w:i w:val="0"/>
                <w:iCs w:val="0"/>
                <w:color w:val="000000"/>
                <w:sz w:val="21"/>
                <w:szCs w:val="21"/>
                <w:highlight w:val="none"/>
                <w:u w:val="none"/>
              </w:rPr>
            </w:pPr>
          </w:p>
        </w:tc>
      </w:tr>
      <w:tr w14:paraId="5FF1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11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C8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交强险、车船税</w:t>
            </w:r>
          </w:p>
        </w:tc>
        <w:tc>
          <w:tcPr>
            <w:tcW w:w="7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E0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交强险保费按《机动车交通事故责任强制保险条例》、中国保险行业协会机动车交通事故责任强制保险的有关规定执行。</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76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所有车型</w:t>
            </w:r>
          </w:p>
        </w:tc>
        <w:tc>
          <w:tcPr>
            <w:tcW w:w="2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6A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此处不报折扣。</w:t>
            </w:r>
          </w:p>
        </w:tc>
      </w:tr>
      <w:tr w14:paraId="1398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3760" w:type="dxa"/>
            <w:gridSpan w:val="5"/>
            <w:tcBorders>
              <w:top w:val="nil"/>
              <w:left w:val="nil"/>
              <w:bottom w:val="nil"/>
              <w:right w:val="nil"/>
            </w:tcBorders>
            <w:shd w:val="clear" w:color="auto" w:fill="auto"/>
            <w:noWrap/>
            <w:vAlign w:val="center"/>
          </w:tcPr>
          <w:p w14:paraId="3CC26C2C">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注：1.税率6%。</w:t>
            </w:r>
          </w:p>
        </w:tc>
      </w:tr>
    </w:tbl>
    <w:p w14:paraId="202A2B10">
      <w:pPr>
        <w:spacing w:line="420" w:lineRule="exact"/>
        <w:ind w:firstLine="0" w:firstLineChars="0"/>
        <w:rPr>
          <w:rFonts w:hint="eastAsia" w:ascii="宋体" w:hAnsi="宋体" w:eastAsia="宋体" w:cs="Times New Roman"/>
          <w:color w:val="auto"/>
          <w:highlight w:val="none"/>
          <w:lang w:val="en-US" w:eastAsia="zh-CN"/>
        </w:rPr>
      </w:pPr>
    </w:p>
    <w:p w14:paraId="5093CC83">
      <w:pPr>
        <w:tabs>
          <w:tab w:val="left" w:pos="7140"/>
          <w:tab w:val="left" w:pos="7560"/>
          <w:tab w:val="left" w:pos="8300"/>
        </w:tabs>
        <w:autoSpaceDE w:val="0"/>
        <w:autoSpaceDN w:val="0"/>
        <w:adjustRightInd w:val="0"/>
        <w:spacing w:line="360" w:lineRule="auto"/>
        <w:ind w:right="210" w:firstLine="4907" w:firstLineChars="2337"/>
        <w:rPr>
          <w:rFonts w:hint="eastAsia" w:ascii="宋体" w:hAnsi="宋体"/>
          <w:snapToGrid w:val="0"/>
          <w:color w:val="auto"/>
          <w:kern w:val="0"/>
          <w:szCs w:val="21"/>
          <w:highlight w:val="none"/>
          <w:lang w:val="en-US" w:eastAsia="zh-CN"/>
        </w:rPr>
      </w:pPr>
    </w:p>
    <w:p w14:paraId="43DD24BE">
      <w:pPr>
        <w:tabs>
          <w:tab w:val="left" w:pos="7140"/>
          <w:tab w:val="left" w:pos="7560"/>
          <w:tab w:val="left" w:pos="8300"/>
        </w:tabs>
        <w:autoSpaceDE w:val="0"/>
        <w:autoSpaceDN w:val="0"/>
        <w:adjustRightInd w:val="0"/>
        <w:spacing w:line="360" w:lineRule="auto"/>
        <w:ind w:right="210" w:firstLine="4907" w:firstLineChars="2337"/>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报</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价</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w:t>
      </w:r>
      <w:r>
        <w:rPr>
          <w:rFonts w:hint="eastAsia" w:ascii="宋体" w:hAnsi="宋体"/>
          <w:snapToGrid w:val="0"/>
          <w:color w:val="auto"/>
          <w:kern w:val="0"/>
          <w:szCs w:val="21"/>
          <w:highlight w:val="none"/>
          <w:lang w:val="en-US" w:eastAsia="zh-CN"/>
        </w:rPr>
        <w:t>公</w:t>
      </w:r>
      <w:r>
        <w:rPr>
          <w:rFonts w:ascii="宋体" w:hAnsi="宋体"/>
          <w:snapToGrid w:val="0"/>
          <w:color w:val="auto"/>
          <w:kern w:val="0"/>
          <w:szCs w:val="21"/>
          <w:highlight w:val="none"/>
        </w:rPr>
        <w:t xml:space="preserve">章） </w:t>
      </w:r>
    </w:p>
    <w:p w14:paraId="4E952063">
      <w:pPr>
        <w:tabs>
          <w:tab w:val="left" w:pos="7140"/>
          <w:tab w:val="left" w:pos="7560"/>
          <w:tab w:val="left" w:pos="8300"/>
        </w:tabs>
        <w:autoSpaceDE w:val="0"/>
        <w:autoSpaceDN w:val="0"/>
        <w:adjustRightInd w:val="0"/>
        <w:spacing w:line="360" w:lineRule="auto"/>
        <w:ind w:right="210" w:firstLine="4935" w:firstLineChars="23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 xml:space="preserve">或盖章） </w:t>
      </w:r>
    </w:p>
    <w:p w14:paraId="4F03BC33">
      <w:pPr>
        <w:pStyle w:val="18"/>
        <w:ind w:firstLine="6800" w:firstLineChars="3400"/>
        <w:rPr>
          <w:rFonts w:hint="default" w:eastAsia="宋体"/>
          <w:color w:val="auto"/>
          <w:highlight w:val="none"/>
          <w:u w:val="none"/>
          <w:lang w:val="en-US" w:eastAsia="zh-CN"/>
        </w:rPr>
        <w:sectPr>
          <w:pgSz w:w="16838" w:h="11906" w:orient="landscape"/>
          <w:pgMar w:top="1463" w:right="1440" w:bottom="1576" w:left="1440" w:header="851" w:footer="992" w:gutter="0"/>
          <w:cols w:space="0" w:num="1"/>
          <w:titlePg/>
          <w:docGrid w:type="lines" w:linePitch="328" w:charSpace="0"/>
        </w:sectPr>
      </w:pPr>
      <w:r>
        <w:rPr>
          <w:rFonts w:hint="eastAsia"/>
          <w:color w:val="auto"/>
          <w:highlight w:val="none"/>
          <w:lang w:val="en-US" w:eastAsia="zh-CN"/>
        </w:rPr>
        <w:t>日期：</w:t>
      </w:r>
      <w:r>
        <w:rPr>
          <w:rFonts w:hint="eastAsia"/>
          <w:color w:val="auto"/>
          <w:highlight w:val="none"/>
          <w:u w:val="single"/>
          <w:lang w:val="en-US" w:eastAsia="zh-CN"/>
        </w:rPr>
        <w:t xml:space="preserve">    </w:t>
      </w:r>
      <w:r>
        <w:rPr>
          <w:rFonts w:hint="eastAsia"/>
          <w:color w:val="auto"/>
          <w:highlight w:val="none"/>
          <w:u w:val="none"/>
          <w:lang w:val="en-US" w:eastAsia="zh-CN"/>
        </w:rPr>
        <w:t>年</w:t>
      </w:r>
      <w:r>
        <w:rPr>
          <w:rFonts w:hint="eastAsia"/>
          <w:color w:val="auto"/>
          <w:highlight w:val="none"/>
          <w:u w:val="single"/>
          <w:lang w:val="en-US" w:eastAsia="zh-CN"/>
        </w:rPr>
        <w:t xml:space="preserve">   </w:t>
      </w:r>
      <w:r>
        <w:rPr>
          <w:rFonts w:hint="eastAsia"/>
          <w:color w:val="auto"/>
          <w:highlight w:val="none"/>
          <w:u w:val="none"/>
          <w:lang w:val="en-US" w:eastAsia="zh-CN"/>
        </w:rPr>
        <w:t>月</w:t>
      </w:r>
      <w:r>
        <w:rPr>
          <w:rFonts w:hint="eastAsia"/>
          <w:color w:val="auto"/>
          <w:highlight w:val="none"/>
          <w:u w:val="single"/>
          <w:lang w:val="en-US" w:eastAsia="zh-CN"/>
        </w:rPr>
        <w:t xml:space="preserve">   </w:t>
      </w:r>
      <w:r>
        <w:rPr>
          <w:rFonts w:hint="eastAsia"/>
          <w:color w:val="auto"/>
          <w:highlight w:val="none"/>
          <w:u w:val="none"/>
          <w:lang w:val="en-US" w:eastAsia="zh-CN"/>
        </w:rPr>
        <w:t>日</w:t>
      </w:r>
    </w:p>
    <w:p w14:paraId="2CC50ED0">
      <w:pPr>
        <w:pStyle w:val="4"/>
        <w:numPr>
          <w:ilvl w:val="0"/>
          <w:numId w:val="5"/>
        </w:numPr>
        <w:spacing w:before="0" w:after="0" w:line="360" w:lineRule="auto"/>
        <w:jc w:val="center"/>
        <w:rPr>
          <w:rFonts w:ascii="宋体" w:hAnsi="宋体" w:eastAsia="宋体" w:cs="宋体"/>
          <w:color w:val="auto"/>
          <w:sz w:val="28"/>
          <w:highlight w:val="none"/>
        </w:rPr>
      </w:pPr>
      <w:bookmarkStart w:id="241" w:name="_Toc18757"/>
      <w:bookmarkStart w:id="242" w:name="_Toc503951050"/>
      <w:bookmarkStart w:id="243" w:name="_Toc12910"/>
      <w:bookmarkStart w:id="244" w:name="_Toc11961"/>
      <w:bookmarkStart w:id="245" w:name="_Toc11329278"/>
      <w:bookmarkStart w:id="246" w:name="_Toc23170"/>
      <w:bookmarkStart w:id="247" w:name="_Toc513633971"/>
      <w:bookmarkStart w:id="248" w:name="_Toc11603"/>
      <w:bookmarkStart w:id="249" w:name="_Toc152045803"/>
      <w:bookmarkStart w:id="250" w:name="_Toc144974871"/>
      <w:bookmarkStart w:id="251" w:name="_Toc246996369"/>
      <w:bookmarkStart w:id="252" w:name="_Toc247085887"/>
      <w:bookmarkStart w:id="253" w:name="_Toc447827058"/>
      <w:bookmarkStart w:id="254" w:name="_Toc152042592"/>
      <w:bookmarkStart w:id="255" w:name="_Toc179632823"/>
      <w:bookmarkStart w:id="256" w:name="_Toc246997112"/>
      <w:r>
        <w:rPr>
          <w:rFonts w:hint="eastAsia" w:ascii="宋体" w:hAnsi="宋体" w:eastAsia="宋体" w:cs="宋体"/>
          <w:color w:val="auto"/>
          <w:sz w:val="28"/>
          <w:highlight w:val="none"/>
        </w:rPr>
        <w:t>审查资料</w:t>
      </w:r>
      <w:bookmarkEnd w:id="241"/>
      <w:bookmarkEnd w:id="242"/>
      <w:bookmarkEnd w:id="243"/>
      <w:bookmarkEnd w:id="244"/>
      <w:bookmarkEnd w:id="245"/>
      <w:bookmarkEnd w:id="246"/>
      <w:bookmarkEnd w:id="247"/>
      <w:bookmarkEnd w:id="248"/>
    </w:p>
    <w:p w14:paraId="44ED3DE5">
      <w:pPr>
        <w:pageBreakBefore w:val="0"/>
        <w:widowControl w:val="0"/>
        <w:kinsoku/>
        <w:overflowPunct/>
        <w:topLinePunct w:val="0"/>
        <w:autoSpaceDE/>
        <w:autoSpaceDN/>
        <w:bidi w:val="0"/>
        <w:adjustRightInd/>
        <w:snapToGrid/>
        <w:jc w:val="center"/>
        <w:textAlignment w:val="auto"/>
        <w:outlineLvl w:val="9"/>
        <w:rPr>
          <w:rFonts w:ascii="宋体" w:hAnsi="宋体" w:eastAsia="宋体" w:cs="宋体"/>
          <w:b/>
          <w:bCs/>
          <w:color w:val="auto"/>
          <w:sz w:val="28"/>
          <w:szCs w:val="28"/>
          <w:highlight w:val="none"/>
        </w:rPr>
      </w:pPr>
      <w:r>
        <w:rPr>
          <w:rFonts w:hint="eastAsia" w:ascii="宋体" w:hAnsi="宋体" w:cs="宋体"/>
          <w:b/>
          <w:bCs/>
          <w:color w:val="auto"/>
          <w:sz w:val="28"/>
          <w:highlight w:val="none"/>
          <w:lang w:eastAsia="zh-CN"/>
        </w:rPr>
        <w:t>（</w:t>
      </w:r>
      <w:r>
        <w:rPr>
          <w:rFonts w:hint="eastAsia" w:ascii="宋体" w:hAnsi="宋体" w:cs="宋体"/>
          <w:b/>
          <w:bCs/>
          <w:color w:val="auto"/>
          <w:sz w:val="28"/>
          <w:highlight w:val="none"/>
          <w:lang w:val="en-US" w:eastAsia="zh-CN"/>
        </w:rPr>
        <w:t>一</w:t>
      </w:r>
      <w:r>
        <w:rPr>
          <w:rFonts w:hint="eastAsia" w:ascii="宋体" w:hAnsi="宋体" w:cs="宋体"/>
          <w:b/>
          <w:bCs/>
          <w:color w:val="auto"/>
          <w:sz w:val="28"/>
          <w:highlight w:val="none"/>
          <w:lang w:eastAsia="zh-CN"/>
        </w:rPr>
        <w:t>）</w:t>
      </w:r>
      <w:r>
        <w:rPr>
          <w:rFonts w:hint="eastAsia" w:ascii="宋体" w:hAnsi="宋体" w:cs="宋体"/>
          <w:b/>
          <w:bCs/>
          <w:color w:val="auto"/>
          <w:sz w:val="28"/>
          <w:highlight w:val="none"/>
        </w:rPr>
        <w:t>资格审查资料</w:t>
      </w:r>
      <w:bookmarkEnd w:id="249"/>
      <w:bookmarkEnd w:id="250"/>
      <w:bookmarkEnd w:id="251"/>
      <w:bookmarkEnd w:id="252"/>
      <w:bookmarkEnd w:id="253"/>
      <w:bookmarkEnd w:id="254"/>
      <w:bookmarkEnd w:id="255"/>
      <w:bookmarkEnd w:id="256"/>
      <w:bookmarkStart w:id="257" w:name="_Toc513633974"/>
      <w:bookmarkStart w:id="258" w:name="_Toc503951058"/>
    </w:p>
    <w:tbl>
      <w:tblPr>
        <w:tblStyle w:val="44"/>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14:paraId="158C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14:paraId="669FE9B5">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14:paraId="50BC7D84">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784" w:type="dxa"/>
            <w:tcBorders>
              <w:top w:val="single" w:color="auto" w:sz="4" w:space="0"/>
              <w:left w:val="single" w:color="auto" w:sz="4" w:space="0"/>
              <w:bottom w:val="single" w:color="auto" w:sz="4" w:space="0"/>
              <w:right w:val="single" w:color="auto" w:sz="4" w:space="0"/>
            </w:tcBorders>
            <w:vAlign w:val="center"/>
          </w:tcPr>
          <w:p w14:paraId="06F9E538">
            <w:pPr>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资格要求</w:t>
            </w:r>
          </w:p>
        </w:tc>
      </w:tr>
      <w:tr w14:paraId="0C24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9" w:hRule="atLeast"/>
        </w:trPr>
        <w:tc>
          <w:tcPr>
            <w:tcW w:w="664" w:type="dxa"/>
            <w:tcBorders>
              <w:top w:val="single" w:color="auto" w:sz="4" w:space="0"/>
              <w:left w:val="single" w:color="auto" w:sz="4" w:space="0"/>
              <w:bottom w:val="single" w:color="auto" w:sz="4" w:space="0"/>
              <w:right w:val="single" w:color="auto" w:sz="4" w:space="0"/>
            </w:tcBorders>
            <w:vAlign w:val="center"/>
          </w:tcPr>
          <w:p w14:paraId="1C4F3C1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14:paraId="5394B0E5">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资格要求</w:t>
            </w:r>
          </w:p>
        </w:tc>
        <w:tc>
          <w:tcPr>
            <w:tcW w:w="6784" w:type="dxa"/>
            <w:tcBorders>
              <w:top w:val="single" w:color="auto" w:sz="4" w:space="0"/>
              <w:left w:val="single" w:color="auto" w:sz="4" w:space="0"/>
              <w:bottom w:val="single" w:color="auto" w:sz="4" w:space="0"/>
              <w:right w:val="single" w:color="auto" w:sz="4" w:space="0"/>
            </w:tcBorders>
            <w:vAlign w:val="center"/>
          </w:tcPr>
          <w:p w14:paraId="24479565">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报价人是在中华人民共和国境内注册，并在重庆市范围内设有分支机构的省级保险分公司或保险总公司，且有经相关登记管理机关核发的有效营业执照，属于分公司的，还须提供总公司营业执照复印件及授权委托书并加盖总公司公章（每家保险总公司只能授权一家分公司参与本项目）。</w:t>
            </w:r>
          </w:p>
          <w:p w14:paraId="0147CE2E">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3.2 保险业务范围:报价人或其总公司须是由中国保险监督管理委员会批准设立的拥有经营财产保险业务范围的保险企业法人。</w:t>
            </w:r>
          </w:p>
          <w:p w14:paraId="4B0F02E3">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3.3其他：报价人或报价人总公司具备以下①、②其一即可：</w:t>
            </w:r>
          </w:p>
          <w:p w14:paraId="68CAF1E4">
            <w:pPr>
              <w:pStyle w:val="14"/>
              <w:pageBreakBefore w:val="0"/>
              <w:widowControl w:val="0"/>
              <w:kinsoku/>
              <w:wordWrap/>
              <w:overflowPunct/>
              <w:topLinePunct w:val="0"/>
              <w:autoSpaceDE/>
              <w:autoSpaceDN/>
              <w:bidi w:val="0"/>
              <w:adjustRightInd w:val="0"/>
              <w:snapToGrid/>
              <w:spacing w:line="40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①具有中国保险监督管理委员会(或中国银行保险监督管理委员会)关于机动车综合商业保险等条款和费率的批复。</w:t>
            </w:r>
          </w:p>
          <w:p w14:paraId="6076DDC1">
            <w:pPr>
              <w:rPr>
                <w:highlight w:val="none"/>
              </w:rPr>
            </w:pPr>
            <w:r>
              <w:rPr>
                <w:rFonts w:hint="eastAsia" w:ascii="宋体" w:hAnsi="宋体" w:cs="宋体"/>
                <w:color w:val="auto"/>
                <w:sz w:val="21"/>
                <w:szCs w:val="21"/>
                <w:highlight w:val="none"/>
                <w:lang w:val="en-US" w:eastAsia="zh-CN"/>
              </w:rPr>
              <w:t>②机动车综合商业保险条款和保险费率已向中国保险监督管理委员会（或中国银行保险监督管理委员会）备案。</w:t>
            </w:r>
          </w:p>
          <w:p w14:paraId="6E762B8D">
            <w:pPr>
              <w:pStyle w:val="14"/>
              <w:pageBreakBefore w:val="0"/>
              <w:widowControl w:val="0"/>
              <w:kinsoku/>
              <w:wordWrap/>
              <w:overflowPunct/>
              <w:topLinePunct w:val="0"/>
              <w:autoSpaceDE/>
              <w:autoSpaceDN/>
              <w:bidi w:val="0"/>
              <w:adjustRightInd w:val="0"/>
              <w:snapToGrid/>
              <w:spacing w:line="400" w:lineRule="exact"/>
              <w:ind w:left="0" w:leftChars="0" w:firstLine="0" w:firstLineChars="0"/>
              <w:textAlignment w:val="auto"/>
              <w:rPr>
                <w:color w:val="auto"/>
                <w:highlight w:val="none"/>
              </w:rPr>
            </w:pPr>
          </w:p>
        </w:tc>
      </w:tr>
      <w:tr w14:paraId="4281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14:paraId="75D04412">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65" w:type="dxa"/>
            <w:tcBorders>
              <w:top w:val="single" w:color="auto" w:sz="4" w:space="0"/>
              <w:left w:val="single" w:color="auto" w:sz="4" w:space="0"/>
              <w:bottom w:val="single" w:color="auto" w:sz="4" w:space="0"/>
              <w:right w:val="single" w:color="auto" w:sz="4" w:space="0"/>
            </w:tcBorders>
            <w:vAlign w:val="center"/>
          </w:tcPr>
          <w:p w14:paraId="5D7F1E74">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14:paraId="5DD33B7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在国家企业信用信息公示系统（http://www.gsxt.gov.cn/）中未被列入严重违法失信企业名单（黑名单）信息；在“信用中国”网站（http://www.creditchina.gov.cn/）中未被列入</w:t>
            </w:r>
            <w:r>
              <w:rPr>
                <w:rFonts w:hint="eastAsia" w:ascii="宋体" w:hAnsi="宋体" w:eastAsia="宋体" w:cs="宋体"/>
                <w:color w:val="auto"/>
                <w:sz w:val="21"/>
                <w:szCs w:val="21"/>
                <w:highlight w:val="none"/>
                <w:lang w:val="en-US" w:eastAsia="zh-CN"/>
              </w:rPr>
              <w:t>严重</w:t>
            </w:r>
            <w:r>
              <w:rPr>
                <w:rFonts w:hint="eastAsia" w:ascii="宋体" w:hAnsi="宋体" w:eastAsia="宋体" w:cs="宋体"/>
                <w:color w:val="auto"/>
                <w:sz w:val="21"/>
                <w:szCs w:val="21"/>
                <w:highlight w:val="none"/>
              </w:rPr>
              <w:t>失信</w:t>
            </w:r>
            <w:r>
              <w:rPr>
                <w:rFonts w:hint="eastAsia" w:ascii="宋体" w:hAnsi="宋体" w:eastAsia="宋体" w:cs="宋体"/>
                <w:color w:val="auto"/>
                <w:sz w:val="21"/>
                <w:szCs w:val="21"/>
                <w:highlight w:val="none"/>
                <w:lang w:val="en-US" w:eastAsia="zh-CN"/>
              </w:rPr>
              <w:t>主体</w:t>
            </w:r>
            <w:r>
              <w:rPr>
                <w:rFonts w:hint="eastAsia" w:ascii="宋体" w:hAnsi="宋体" w:eastAsia="宋体" w:cs="宋体"/>
                <w:color w:val="auto"/>
                <w:sz w:val="21"/>
                <w:szCs w:val="21"/>
                <w:highlight w:val="none"/>
              </w:rPr>
              <w:t>名单</w:t>
            </w:r>
            <w:r>
              <w:rPr>
                <w:rFonts w:hint="eastAsia" w:ascii="宋体" w:hAnsi="宋体" w:cs="宋体"/>
                <w:color w:val="auto"/>
                <w:szCs w:val="21"/>
                <w:highlight w:val="none"/>
                <w:shd w:val="clear" w:color="auto" w:fill="FFFFFF"/>
              </w:rPr>
              <w:t>。</w:t>
            </w:r>
          </w:p>
        </w:tc>
      </w:tr>
    </w:tbl>
    <w:p w14:paraId="6D37F3D1">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hAnsi="宋体"/>
          <w:b/>
          <w:bCs/>
          <w:color w:val="auto"/>
          <w:kern w:val="0"/>
          <w:szCs w:val="21"/>
          <w:highlight w:val="none"/>
        </w:rPr>
      </w:pPr>
    </w:p>
    <w:p w14:paraId="3E705C0F">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hAnsi="宋体"/>
          <w:b/>
          <w:bCs/>
          <w:color w:val="auto"/>
          <w:kern w:val="0"/>
          <w:szCs w:val="21"/>
          <w:highlight w:val="none"/>
        </w:rPr>
      </w:pPr>
      <w:r>
        <w:rPr>
          <w:rFonts w:hint="eastAsia" w:hAnsi="宋体"/>
          <w:b/>
          <w:bCs/>
          <w:color w:val="auto"/>
          <w:kern w:val="0"/>
          <w:szCs w:val="21"/>
          <w:highlight w:val="none"/>
        </w:rPr>
        <w:t>注：1.提供总公司及分公司（若为分公司参与）营业执照复印件及授权文件（若为分公司参与），并加盖报价人鲜章。</w:t>
      </w:r>
    </w:p>
    <w:p w14:paraId="54281A6C">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9"/>
        <w:rPr>
          <w:rFonts w:hint="eastAsia" w:hAnsi="宋体"/>
          <w:b/>
          <w:bCs/>
          <w:color w:val="auto"/>
          <w:kern w:val="0"/>
          <w:szCs w:val="21"/>
          <w:highlight w:val="none"/>
        </w:rPr>
      </w:pPr>
      <w:r>
        <w:rPr>
          <w:rFonts w:hint="eastAsia" w:hAnsi="宋体"/>
          <w:b/>
          <w:bCs/>
          <w:color w:val="auto"/>
          <w:kern w:val="0"/>
          <w:szCs w:val="21"/>
          <w:highlight w:val="none"/>
        </w:rPr>
        <w:t>2.提供有效的许可证复印件并加盖报价人公章。</w:t>
      </w:r>
    </w:p>
    <w:p w14:paraId="598DDF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b/>
          <w:bCs/>
          <w:color w:val="auto"/>
          <w:highlight w:val="none"/>
        </w:rPr>
      </w:pPr>
      <w:r>
        <w:rPr>
          <w:rFonts w:hint="eastAsia" w:hAnsi="宋体"/>
          <w:b/>
          <w:bCs/>
          <w:color w:val="auto"/>
          <w:kern w:val="0"/>
          <w:szCs w:val="21"/>
          <w:highlight w:val="none"/>
        </w:rPr>
        <w:t>3.投标人须提供批复证明材料复印件或者提供备案回执复印件或备案情况网页截图加盖报价人公章。</w:t>
      </w:r>
    </w:p>
    <w:p w14:paraId="58F10AE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9"/>
        <w:rPr>
          <w:b/>
          <w:bCs/>
          <w:color w:val="auto"/>
          <w:sz w:val="21"/>
          <w:szCs w:val="21"/>
          <w:highlight w:val="none"/>
        </w:rPr>
      </w:pPr>
      <w:r>
        <w:rPr>
          <w:rFonts w:hint="eastAsia"/>
          <w:b/>
          <w:bCs/>
          <w:color w:val="auto"/>
          <w:sz w:val="21"/>
          <w:szCs w:val="21"/>
          <w:highlight w:val="none"/>
          <w:lang w:val="en-US" w:eastAsia="zh-CN"/>
        </w:rPr>
        <w:t>4.信誉要求报价</w:t>
      </w:r>
      <w:r>
        <w:rPr>
          <w:rFonts w:hint="eastAsia"/>
          <w:b/>
          <w:bCs/>
          <w:color w:val="auto"/>
          <w:sz w:val="21"/>
          <w:szCs w:val="21"/>
          <w:highlight w:val="none"/>
        </w:rPr>
        <w:t>人自行通过上述网站进行查询，经查询存在相应记录的，应回避本次</w:t>
      </w:r>
      <w:r>
        <w:rPr>
          <w:rFonts w:hint="eastAsia"/>
          <w:b/>
          <w:bCs/>
          <w:color w:val="auto"/>
          <w:sz w:val="21"/>
          <w:szCs w:val="21"/>
          <w:highlight w:val="none"/>
          <w:lang w:val="en-US" w:eastAsia="zh-CN"/>
        </w:rPr>
        <w:t>比选</w:t>
      </w:r>
      <w:r>
        <w:rPr>
          <w:rFonts w:hint="eastAsia"/>
          <w:b/>
          <w:bCs/>
          <w:color w:val="auto"/>
          <w:sz w:val="21"/>
          <w:szCs w:val="21"/>
          <w:highlight w:val="none"/>
        </w:rPr>
        <w:t>；查询后无相应记录的，还需按</w:t>
      </w:r>
      <w:r>
        <w:rPr>
          <w:rFonts w:hint="eastAsia"/>
          <w:b/>
          <w:bCs/>
          <w:color w:val="auto"/>
          <w:sz w:val="21"/>
          <w:szCs w:val="21"/>
          <w:highlight w:val="none"/>
          <w:lang w:val="en-US" w:eastAsia="zh-CN"/>
        </w:rPr>
        <w:t>竞争性比选响应文</w:t>
      </w:r>
      <w:r>
        <w:rPr>
          <w:rFonts w:hint="eastAsia"/>
          <w:b/>
          <w:bCs/>
          <w:color w:val="auto"/>
          <w:sz w:val="21"/>
          <w:szCs w:val="21"/>
          <w:highlight w:val="none"/>
        </w:rPr>
        <w:t>件中</w:t>
      </w:r>
      <w:r>
        <w:rPr>
          <w:rFonts w:hint="eastAsia"/>
          <w:b/>
          <w:bCs/>
          <w:color w:val="auto"/>
          <w:sz w:val="21"/>
          <w:szCs w:val="21"/>
          <w:highlight w:val="none"/>
          <w:lang w:val="en-US" w:eastAsia="zh-CN"/>
        </w:rPr>
        <w:t>承诺</w:t>
      </w:r>
      <w:r>
        <w:rPr>
          <w:rFonts w:hint="eastAsia"/>
          <w:b/>
          <w:bCs/>
          <w:color w:val="auto"/>
          <w:sz w:val="21"/>
          <w:szCs w:val="21"/>
          <w:highlight w:val="none"/>
        </w:rPr>
        <w:t>格式进行承诺</w:t>
      </w:r>
      <w:r>
        <w:rPr>
          <w:rFonts w:hint="eastAsia"/>
          <w:b/>
          <w:bCs/>
          <w:color w:val="auto"/>
          <w:highlight w:val="none"/>
          <w:lang w:val="en-US" w:eastAsia="zh-CN"/>
        </w:rPr>
        <w:t>并</w:t>
      </w:r>
      <w:r>
        <w:rPr>
          <w:rFonts w:hint="eastAsia" w:hAnsi="宋体"/>
          <w:b/>
          <w:bCs/>
          <w:color w:val="auto"/>
          <w:kern w:val="0"/>
          <w:szCs w:val="21"/>
          <w:highlight w:val="none"/>
        </w:rPr>
        <w:t>盖单位公章</w:t>
      </w:r>
      <w:r>
        <w:rPr>
          <w:rFonts w:hint="eastAsia"/>
          <w:b/>
          <w:bCs/>
          <w:color w:val="auto"/>
          <w:sz w:val="21"/>
          <w:szCs w:val="21"/>
          <w:highlight w:val="none"/>
        </w:rPr>
        <w:t>。</w:t>
      </w:r>
      <w:r>
        <w:rPr>
          <w:rFonts w:hint="eastAsia"/>
          <w:b/>
          <w:bCs/>
          <w:color w:val="auto"/>
          <w:sz w:val="21"/>
          <w:szCs w:val="21"/>
          <w:highlight w:val="none"/>
          <w:lang w:val="en-US" w:eastAsia="zh-CN"/>
        </w:rPr>
        <w:t>采购</w:t>
      </w:r>
      <w:r>
        <w:rPr>
          <w:rFonts w:hint="eastAsia"/>
          <w:b/>
          <w:bCs/>
          <w:color w:val="auto"/>
          <w:sz w:val="21"/>
          <w:szCs w:val="21"/>
          <w:highlight w:val="none"/>
        </w:rPr>
        <w:t>人保留对</w:t>
      </w:r>
      <w:r>
        <w:rPr>
          <w:rFonts w:hint="eastAsia"/>
          <w:b/>
          <w:bCs/>
          <w:color w:val="auto"/>
          <w:sz w:val="21"/>
          <w:szCs w:val="21"/>
          <w:highlight w:val="none"/>
          <w:lang w:val="en-US" w:eastAsia="zh-CN"/>
        </w:rPr>
        <w:t>报价</w:t>
      </w:r>
      <w:r>
        <w:rPr>
          <w:rFonts w:hint="eastAsia"/>
          <w:b/>
          <w:bCs/>
          <w:color w:val="auto"/>
          <w:sz w:val="21"/>
          <w:szCs w:val="21"/>
          <w:highlight w:val="none"/>
        </w:rPr>
        <w:t>人承诺真实性进行查询的权利，如果发现</w:t>
      </w:r>
      <w:r>
        <w:rPr>
          <w:rFonts w:hint="eastAsia"/>
          <w:b/>
          <w:bCs/>
          <w:color w:val="auto"/>
          <w:sz w:val="21"/>
          <w:szCs w:val="21"/>
          <w:highlight w:val="none"/>
          <w:lang w:val="en-US" w:eastAsia="zh-CN"/>
        </w:rPr>
        <w:t>报价人</w:t>
      </w:r>
      <w:r>
        <w:rPr>
          <w:rFonts w:hint="eastAsia"/>
          <w:b/>
          <w:bCs/>
          <w:color w:val="auto"/>
          <w:sz w:val="21"/>
          <w:szCs w:val="21"/>
          <w:highlight w:val="none"/>
        </w:rPr>
        <w:t>承诺不实的，将取消其中标资格，</w:t>
      </w:r>
      <w:r>
        <w:rPr>
          <w:rFonts w:hint="eastAsia"/>
          <w:b/>
          <w:bCs/>
          <w:color w:val="auto"/>
          <w:sz w:val="21"/>
          <w:szCs w:val="21"/>
          <w:highlight w:val="none"/>
          <w:lang w:val="en-US" w:eastAsia="zh-CN"/>
        </w:rPr>
        <w:t>采购</w:t>
      </w:r>
      <w:r>
        <w:rPr>
          <w:rFonts w:hint="eastAsia"/>
          <w:b/>
          <w:bCs/>
          <w:color w:val="auto"/>
          <w:sz w:val="21"/>
          <w:szCs w:val="21"/>
          <w:highlight w:val="none"/>
        </w:rPr>
        <w:t>人可以按照</w:t>
      </w:r>
      <w:r>
        <w:rPr>
          <w:rFonts w:hint="eastAsia"/>
          <w:b/>
          <w:bCs/>
          <w:color w:val="auto"/>
          <w:sz w:val="21"/>
          <w:szCs w:val="21"/>
          <w:highlight w:val="none"/>
          <w:lang w:val="en-US" w:eastAsia="zh-CN"/>
        </w:rPr>
        <w:t>评审</w:t>
      </w:r>
      <w:r>
        <w:rPr>
          <w:rFonts w:hint="eastAsia"/>
          <w:b/>
          <w:bCs/>
          <w:color w:val="auto"/>
          <w:sz w:val="21"/>
          <w:szCs w:val="21"/>
          <w:highlight w:val="none"/>
        </w:rPr>
        <w:t>报告中标结果的排序，依次递补其他</w:t>
      </w:r>
      <w:r>
        <w:rPr>
          <w:rFonts w:hint="eastAsia"/>
          <w:b/>
          <w:bCs/>
          <w:color w:val="auto"/>
          <w:sz w:val="21"/>
          <w:szCs w:val="21"/>
          <w:highlight w:val="none"/>
          <w:lang w:val="en-US" w:eastAsia="zh-CN"/>
        </w:rPr>
        <w:t>报价</w:t>
      </w:r>
      <w:r>
        <w:rPr>
          <w:rFonts w:hint="eastAsia"/>
          <w:b/>
          <w:bCs/>
          <w:color w:val="auto"/>
          <w:sz w:val="21"/>
          <w:szCs w:val="21"/>
          <w:highlight w:val="none"/>
        </w:rPr>
        <w:t>人为中标候选人或中标人，也可重新</w:t>
      </w:r>
      <w:r>
        <w:rPr>
          <w:rFonts w:hint="eastAsia"/>
          <w:b/>
          <w:bCs/>
          <w:color w:val="auto"/>
          <w:sz w:val="21"/>
          <w:szCs w:val="21"/>
          <w:highlight w:val="none"/>
          <w:lang w:val="en-US" w:eastAsia="zh-CN"/>
        </w:rPr>
        <w:t>采购</w:t>
      </w:r>
      <w:r>
        <w:rPr>
          <w:rFonts w:hint="eastAsia"/>
          <w:b/>
          <w:bCs/>
          <w:color w:val="auto"/>
          <w:sz w:val="21"/>
          <w:szCs w:val="21"/>
          <w:highlight w:val="none"/>
        </w:rPr>
        <w:t>。</w:t>
      </w:r>
    </w:p>
    <w:p w14:paraId="6BA39369">
      <w:pPr>
        <w:numPr>
          <w:ilvl w:val="0"/>
          <w:numId w:val="0"/>
        </w:numPr>
        <w:ind w:left="735" w:leftChars="0"/>
        <w:rPr>
          <w:color w:val="auto"/>
          <w:highlight w:val="none"/>
        </w:rPr>
      </w:pPr>
    </w:p>
    <w:p w14:paraId="7F11D15B">
      <w:pPr>
        <w:rPr>
          <w:color w:val="auto"/>
          <w:highlight w:val="none"/>
        </w:rPr>
      </w:pPr>
    </w:p>
    <w:p w14:paraId="514FEBF0">
      <w:pPr>
        <w:rPr>
          <w:color w:val="auto"/>
          <w:highlight w:val="none"/>
        </w:rPr>
      </w:pPr>
      <w:bookmarkStart w:id="259" w:name="_Toc30447"/>
    </w:p>
    <w:p w14:paraId="4D5B31ED">
      <w:pPr>
        <w:pStyle w:val="4"/>
        <w:numPr>
          <w:ilvl w:val="0"/>
          <w:numId w:val="5"/>
        </w:numPr>
        <w:spacing w:before="0" w:after="0" w:line="360" w:lineRule="auto"/>
        <w:jc w:val="center"/>
        <w:rPr>
          <w:rFonts w:ascii="宋体" w:hAnsi="宋体" w:eastAsia="宋体" w:cs="宋体"/>
          <w:color w:val="auto"/>
          <w:sz w:val="28"/>
          <w:highlight w:val="none"/>
        </w:rPr>
      </w:pPr>
      <w:bookmarkStart w:id="260" w:name="_Toc2739"/>
      <w:r>
        <w:rPr>
          <w:rFonts w:hint="eastAsia" w:ascii="宋体" w:hAnsi="宋体" w:eastAsia="宋体" w:cs="宋体"/>
          <w:color w:val="auto"/>
          <w:sz w:val="28"/>
          <w:highlight w:val="none"/>
        </w:rPr>
        <w:t>报价人承诺</w:t>
      </w:r>
      <w:bookmarkEnd w:id="259"/>
      <w:bookmarkEnd w:id="260"/>
    </w:p>
    <w:p w14:paraId="00263938">
      <w:pPr>
        <w:pStyle w:val="18"/>
        <w:rPr>
          <w:color w:val="auto"/>
          <w:highlight w:val="none"/>
        </w:rPr>
      </w:pPr>
    </w:p>
    <w:p w14:paraId="75B05FA2">
      <w:pPr>
        <w:pStyle w:val="39"/>
        <w:spacing w:line="480" w:lineRule="auto"/>
        <w:jc w:val="both"/>
        <w:rPr>
          <w:rFonts w:hAnsi="宋体"/>
          <w:color w:val="auto"/>
          <w:highlight w:val="none"/>
        </w:rPr>
      </w:pPr>
      <w:r>
        <w:rPr>
          <w:rFonts w:hint="eastAsia" w:hAnsi="宋体"/>
          <w:color w:val="auto"/>
          <w:highlight w:val="none"/>
        </w:rPr>
        <w:t>致：</w:t>
      </w:r>
      <w:r>
        <w:rPr>
          <w:rFonts w:hint="eastAsia" w:hAnsi="宋体"/>
          <w:color w:val="auto"/>
          <w:highlight w:val="none"/>
          <w:u w:val="single"/>
        </w:rPr>
        <w:t>重庆首讯科技股份有限公司</w:t>
      </w:r>
    </w:p>
    <w:p w14:paraId="48194117">
      <w:pPr>
        <w:rPr>
          <w:color w:val="auto"/>
          <w:highlight w:val="none"/>
        </w:rPr>
      </w:pPr>
    </w:p>
    <w:p w14:paraId="418F40F9">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auto"/>
          <w:sz w:val="24"/>
          <w:highlight w:val="none"/>
        </w:rPr>
      </w:pPr>
      <w:r>
        <w:rPr>
          <w:rFonts w:hint="eastAsia" w:ascii="宋体" w:hAnsi="宋体"/>
          <w:color w:val="auto"/>
          <w:sz w:val="24"/>
          <w:highlight w:val="none"/>
        </w:rPr>
        <w:t>在研究</w:t>
      </w:r>
      <w:r>
        <w:rPr>
          <w:rFonts w:hint="eastAsia" w:ascii="Arial" w:hAnsi="Arial" w:cs="Arial"/>
          <w:color w:val="auto"/>
          <w:sz w:val="24"/>
          <w:highlight w:val="none"/>
          <w:u w:val="single"/>
          <w:lang w:val="en-US" w:eastAsia="zh-CN"/>
        </w:rPr>
        <w:t xml:space="preserve">            （项目名称）</w:t>
      </w:r>
      <w:r>
        <w:rPr>
          <w:rFonts w:hint="eastAsia" w:ascii="Arial" w:hAnsi="Arial" w:cs="Arial"/>
          <w:color w:val="auto"/>
          <w:sz w:val="24"/>
          <w:highlight w:val="none"/>
        </w:rPr>
        <w:t>项目</w:t>
      </w:r>
      <w:r>
        <w:rPr>
          <w:rFonts w:hint="eastAsia" w:ascii="宋体" w:hAnsi="宋体"/>
          <w:color w:val="auto"/>
          <w:sz w:val="24"/>
          <w:highlight w:val="none"/>
        </w:rPr>
        <w:t>竞争比选文件后，在此郑重承诺我司满足本项目一切报价内容、报价、服务期限及质量标准等相关要求，响应比选函的一切内容，同时申明将按照自行给出的商务、技术方案组建服务团队、履行服务义务。若我司中标本项目且无法满足业主相关需求，我司愿承担由此给采购人造成的一切损失。</w:t>
      </w:r>
    </w:p>
    <w:p w14:paraId="2DD73A1D">
      <w:pPr>
        <w:keepNext w:val="0"/>
        <w:keepLines w:val="0"/>
        <w:pageBreakBefore w:val="0"/>
        <w:widowControl w:val="0"/>
        <w:tabs>
          <w:tab w:val="left" w:pos="1680"/>
          <w:tab w:val="left" w:pos="4215"/>
          <w:tab w:val="left" w:pos="4305"/>
          <w:tab w:val="left" w:pos="8000"/>
        </w:tabs>
        <w:kinsoku/>
        <w:wordWrap w:val="0"/>
        <w:overflowPunct/>
        <w:topLinePunct w:val="0"/>
        <w:autoSpaceDE w:val="0"/>
        <w:autoSpaceDN w:val="0"/>
        <w:bidi w:val="0"/>
        <w:adjustRightInd w:val="0"/>
        <w:snapToGrid w:val="0"/>
        <w:spacing w:line="480" w:lineRule="auto"/>
        <w:ind w:firstLine="720" w:firstLineChars="300"/>
        <w:textAlignment w:val="auto"/>
        <w:rPr>
          <w:rFonts w:hint="eastAsia" w:ascii="宋体" w:hAnsi="宋体"/>
          <w:color w:val="auto"/>
          <w:sz w:val="24"/>
          <w:highlight w:val="none"/>
        </w:rPr>
      </w:pPr>
      <w:r>
        <w:rPr>
          <w:rFonts w:hint="eastAsia" w:ascii="宋体" w:hAnsi="宋体"/>
          <w:color w:val="auto"/>
          <w:sz w:val="24"/>
          <w:highlight w:val="none"/>
          <w:lang w:val="en-US" w:eastAsia="zh-CN"/>
        </w:rPr>
        <w:t>我公司</w:t>
      </w:r>
      <w:r>
        <w:rPr>
          <w:rFonts w:hint="eastAsia" w:ascii="宋体" w:hAnsi="宋体"/>
          <w:color w:val="auto"/>
          <w:sz w:val="24"/>
          <w:highlight w:val="none"/>
        </w:rPr>
        <w:t>在此承诺</w:t>
      </w:r>
      <w:r>
        <w:rPr>
          <w:rFonts w:hint="eastAsia" w:ascii="宋体" w:hAnsi="宋体"/>
          <w:color w:val="auto"/>
          <w:sz w:val="24"/>
          <w:highlight w:val="none"/>
          <w:lang w:eastAsia="zh-CN"/>
        </w:rPr>
        <w:t>：</w:t>
      </w:r>
      <w:r>
        <w:rPr>
          <w:rFonts w:hint="eastAsia" w:ascii="宋体" w:hAnsi="宋体"/>
          <w:color w:val="auto"/>
          <w:sz w:val="24"/>
          <w:highlight w:val="none"/>
        </w:rPr>
        <w:t>我公司具有良好的商业信誉，在国家企业信用信息公示系统（http://www.gsxt.gov.cn/）中未被列入严重违法失信企业名单（黑名单）信息；在“信用中国”网站（http://www.creditchina.gov.cn/）中未被列入严重失信主体名单。</w:t>
      </w:r>
    </w:p>
    <w:p w14:paraId="26E52BC3">
      <w:pPr>
        <w:pStyle w:val="18"/>
        <w:spacing w:line="480" w:lineRule="auto"/>
        <w:rPr>
          <w:rFonts w:ascii="宋体" w:hAnsi="宋体"/>
          <w:color w:val="auto"/>
          <w:sz w:val="24"/>
          <w:highlight w:val="none"/>
        </w:rPr>
      </w:pPr>
    </w:p>
    <w:p w14:paraId="76C11069">
      <w:pPr>
        <w:spacing w:line="480" w:lineRule="auto"/>
        <w:rPr>
          <w:rFonts w:ascii="宋体" w:hAnsi="宋体"/>
          <w:b/>
          <w:bCs/>
          <w:color w:val="auto"/>
          <w:sz w:val="24"/>
          <w:highlight w:val="none"/>
        </w:rPr>
      </w:pPr>
      <w:r>
        <w:rPr>
          <w:rFonts w:hint="eastAsia" w:ascii="宋体" w:hAnsi="宋体"/>
          <w:color w:val="auto"/>
          <w:sz w:val="24"/>
          <w:highlight w:val="none"/>
        </w:rPr>
        <w:t xml:space="preserve">                                      </w:t>
      </w:r>
      <w:r>
        <w:rPr>
          <w:rFonts w:hint="eastAsia" w:ascii="宋体" w:hAnsi="宋体"/>
          <w:b/>
          <w:bCs/>
          <w:color w:val="auto"/>
          <w:sz w:val="24"/>
          <w:highlight w:val="none"/>
        </w:rPr>
        <w:t xml:space="preserve">  承诺人：</w:t>
      </w:r>
    </w:p>
    <w:p w14:paraId="1B2BB89C">
      <w:pPr>
        <w:pStyle w:val="18"/>
        <w:spacing w:line="480" w:lineRule="auto"/>
        <w:rPr>
          <w:b/>
          <w:bCs/>
          <w:color w:val="auto"/>
          <w:highlight w:val="none"/>
        </w:rPr>
      </w:pPr>
      <w:r>
        <w:rPr>
          <w:rFonts w:hint="eastAsia" w:ascii="宋体" w:hAnsi="宋体"/>
          <w:b/>
          <w:bCs/>
          <w:color w:val="auto"/>
          <w:sz w:val="24"/>
          <w:highlight w:val="none"/>
        </w:rPr>
        <w:t xml:space="preserve">                                        日期：</w:t>
      </w:r>
    </w:p>
    <w:p w14:paraId="4840C9C5">
      <w:pPr>
        <w:pStyle w:val="18"/>
        <w:rPr>
          <w:rFonts w:ascii="宋体" w:hAnsi="宋体"/>
          <w:color w:val="auto"/>
          <w:sz w:val="24"/>
          <w:highlight w:val="none"/>
        </w:rPr>
      </w:pPr>
    </w:p>
    <w:p w14:paraId="74AAE04F">
      <w:pPr>
        <w:rPr>
          <w:rFonts w:ascii="宋体" w:hAnsi="宋体"/>
          <w:color w:val="auto"/>
          <w:sz w:val="24"/>
          <w:highlight w:val="none"/>
        </w:rPr>
      </w:pPr>
    </w:p>
    <w:p w14:paraId="161708FA">
      <w:pPr>
        <w:rPr>
          <w:color w:val="auto"/>
          <w:highlight w:val="none"/>
        </w:rPr>
      </w:pPr>
      <w:r>
        <w:rPr>
          <w:color w:val="auto"/>
          <w:highlight w:val="none"/>
        </w:rPr>
        <w:br w:type="page"/>
      </w:r>
    </w:p>
    <w:p w14:paraId="31C8F59B">
      <w:pPr>
        <w:pStyle w:val="4"/>
        <w:numPr>
          <w:ilvl w:val="0"/>
          <w:numId w:val="5"/>
        </w:numPr>
        <w:spacing w:before="0" w:after="0" w:line="360" w:lineRule="auto"/>
        <w:jc w:val="center"/>
        <w:rPr>
          <w:rFonts w:ascii="宋体" w:hAnsi="宋体" w:eastAsia="宋体" w:cs="宋体"/>
          <w:color w:val="auto"/>
          <w:sz w:val="28"/>
          <w:highlight w:val="none"/>
        </w:rPr>
      </w:pPr>
      <w:bookmarkStart w:id="261" w:name="_Toc13614"/>
      <w:r>
        <w:rPr>
          <w:rFonts w:hint="eastAsia" w:ascii="宋体" w:hAnsi="宋体" w:eastAsia="宋体" w:cs="宋体"/>
          <w:color w:val="auto"/>
          <w:sz w:val="28"/>
          <w:highlight w:val="none"/>
        </w:rPr>
        <w:t>报价人提供的其他资料</w:t>
      </w:r>
      <w:bookmarkEnd w:id="261"/>
    </w:p>
    <w:p w14:paraId="36D7BE6D">
      <w:pPr>
        <w:pStyle w:val="5"/>
        <w:spacing w:before="0" w:after="0" w:line="360" w:lineRule="auto"/>
        <w:jc w:val="center"/>
        <w:rPr>
          <w:color w:val="auto"/>
          <w:sz w:val="28"/>
          <w:szCs w:val="28"/>
          <w:highlight w:val="none"/>
        </w:rPr>
      </w:pPr>
      <w:bookmarkStart w:id="262" w:name="_Toc452107137"/>
      <w:bookmarkStart w:id="263" w:name="_Toc4375"/>
      <w:bookmarkStart w:id="264" w:name="_Toc508110857"/>
      <w:r>
        <w:rPr>
          <w:rFonts w:hint="eastAsia"/>
          <w:color w:val="auto"/>
          <w:sz w:val="28"/>
          <w:szCs w:val="28"/>
          <w:highlight w:val="none"/>
        </w:rPr>
        <w:t>（一）报价人基本信息表</w:t>
      </w:r>
      <w:bookmarkEnd w:id="262"/>
      <w:bookmarkEnd w:id="263"/>
      <w:bookmarkEnd w:id="264"/>
    </w:p>
    <w:p w14:paraId="4D2AB63F">
      <w:pPr>
        <w:pStyle w:val="28"/>
        <w:rPr>
          <w:color w:val="auto"/>
          <w:highlight w:val="none"/>
        </w:rPr>
      </w:pPr>
    </w:p>
    <w:tbl>
      <w:tblPr>
        <w:tblStyle w:val="44"/>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14:paraId="0817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14:paraId="2D301F8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4055D0C4">
            <w:pPr>
              <w:topLinePunct/>
              <w:spacing w:line="440" w:lineRule="exact"/>
              <w:jc w:val="center"/>
              <w:rPr>
                <w:rFonts w:ascii="宋体" w:hAnsi="宋体" w:cs="宋体"/>
                <w:color w:val="auto"/>
                <w:szCs w:val="21"/>
                <w:highlight w:val="none"/>
              </w:rPr>
            </w:pPr>
          </w:p>
        </w:tc>
      </w:tr>
      <w:tr w14:paraId="11DD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14:paraId="7DC774D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报价人</w:t>
            </w:r>
          </w:p>
          <w:p w14:paraId="4B988FA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5F36A649">
            <w:pPr>
              <w:topLinePunct/>
              <w:spacing w:line="440" w:lineRule="exact"/>
              <w:jc w:val="center"/>
              <w:rPr>
                <w:rFonts w:ascii="宋体" w:hAnsi="宋体" w:cs="宋体"/>
                <w:color w:val="auto"/>
                <w:szCs w:val="21"/>
                <w:highlight w:val="none"/>
              </w:rPr>
            </w:pPr>
          </w:p>
        </w:tc>
      </w:tr>
      <w:tr w14:paraId="24983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14:paraId="0DFDA56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14:paraId="4AF6557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7C775690">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1C45001C">
            <w:pPr>
              <w:topLinePunct/>
              <w:spacing w:line="440" w:lineRule="exact"/>
              <w:jc w:val="center"/>
              <w:rPr>
                <w:rFonts w:ascii="宋体" w:hAnsi="宋体" w:cs="宋体"/>
                <w:color w:val="auto"/>
                <w:szCs w:val="21"/>
                <w:highlight w:val="none"/>
              </w:rPr>
            </w:pPr>
          </w:p>
        </w:tc>
      </w:tr>
      <w:tr w14:paraId="46761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14:paraId="277AC581">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14:paraId="79BE62E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58AA5514">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0989764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57660A7B">
            <w:pPr>
              <w:topLinePunct/>
              <w:spacing w:line="440" w:lineRule="exact"/>
              <w:jc w:val="center"/>
              <w:rPr>
                <w:rFonts w:ascii="宋体" w:hAnsi="宋体" w:cs="宋体"/>
                <w:color w:val="auto"/>
                <w:szCs w:val="21"/>
                <w:highlight w:val="none"/>
              </w:rPr>
            </w:pPr>
          </w:p>
        </w:tc>
      </w:tr>
      <w:tr w14:paraId="674A9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14:paraId="32CB48AB">
            <w:pPr>
              <w:widowControl/>
              <w:jc w:val="left"/>
              <w:rPr>
                <w:rFonts w:ascii="宋体" w:hAnsi="宋体" w:cs="宋体"/>
                <w:color w:val="auto"/>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14:paraId="5AE6AB4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E6CF551">
            <w:pPr>
              <w:topLinePunct/>
              <w:spacing w:line="440" w:lineRule="exact"/>
              <w:jc w:val="center"/>
              <w:rPr>
                <w:rFonts w:ascii="宋体" w:hAnsi="宋体" w:cs="宋体"/>
                <w:color w:val="auto"/>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3FA8EFF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12D2C95">
            <w:pPr>
              <w:topLinePunct/>
              <w:spacing w:line="440" w:lineRule="exact"/>
              <w:jc w:val="center"/>
              <w:rPr>
                <w:rFonts w:ascii="宋体" w:hAnsi="宋体" w:cs="宋体"/>
                <w:color w:val="auto"/>
                <w:szCs w:val="21"/>
                <w:highlight w:val="none"/>
              </w:rPr>
            </w:pPr>
          </w:p>
        </w:tc>
      </w:tr>
      <w:tr w14:paraId="4813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14:paraId="36E50A7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28BDE1A8">
            <w:pPr>
              <w:topLinePunct/>
              <w:spacing w:line="440" w:lineRule="exact"/>
              <w:jc w:val="center"/>
              <w:rPr>
                <w:rFonts w:ascii="宋体" w:hAnsi="宋体" w:cs="宋体"/>
                <w:color w:val="auto"/>
                <w:szCs w:val="21"/>
                <w:highlight w:val="none"/>
              </w:rPr>
            </w:pPr>
          </w:p>
        </w:tc>
      </w:tr>
      <w:tr w14:paraId="16F4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14:paraId="7D445CC7">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14:paraId="7178532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27D81B82">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A0F61A9">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346B4FAC">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41C8F26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61156FC">
            <w:pPr>
              <w:topLinePunct/>
              <w:spacing w:line="440" w:lineRule="exact"/>
              <w:jc w:val="center"/>
              <w:rPr>
                <w:rFonts w:ascii="宋体" w:hAnsi="宋体" w:cs="宋体"/>
                <w:color w:val="auto"/>
                <w:szCs w:val="21"/>
                <w:highlight w:val="none"/>
              </w:rPr>
            </w:pPr>
          </w:p>
        </w:tc>
      </w:tr>
      <w:tr w14:paraId="5923A4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14:paraId="3921FBB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项目负责人</w:t>
            </w:r>
          </w:p>
        </w:tc>
        <w:tc>
          <w:tcPr>
            <w:tcW w:w="897" w:type="dxa"/>
            <w:tcBorders>
              <w:top w:val="single" w:color="auto" w:sz="4" w:space="0"/>
              <w:left w:val="single" w:color="auto" w:sz="4" w:space="0"/>
              <w:bottom w:val="single" w:color="auto" w:sz="4" w:space="0"/>
              <w:right w:val="single" w:color="auto" w:sz="4" w:space="0"/>
            </w:tcBorders>
            <w:vAlign w:val="center"/>
          </w:tcPr>
          <w:p w14:paraId="4051BE8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14:paraId="70FD1AB6">
            <w:pPr>
              <w:topLinePunct/>
              <w:spacing w:line="440" w:lineRule="exact"/>
              <w:jc w:val="center"/>
              <w:rPr>
                <w:rFonts w:ascii="宋体" w:hAnsi="宋体" w:cs="宋体"/>
                <w:color w:val="auto"/>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582C835">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14:paraId="294DDADE">
            <w:pPr>
              <w:topLinePunct/>
              <w:spacing w:line="440" w:lineRule="exact"/>
              <w:jc w:val="center"/>
              <w:rPr>
                <w:rFonts w:ascii="宋体" w:hAnsi="宋体" w:cs="宋体"/>
                <w:color w:val="auto"/>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14:paraId="64D8D3D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14:paraId="7D1A304E">
            <w:pPr>
              <w:topLinePunct/>
              <w:spacing w:line="440" w:lineRule="exact"/>
              <w:jc w:val="center"/>
              <w:rPr>
                <w:rFonts w:ascii="宋体" w:hAnsi="宋体" w:cs="宋体"/>
                <w:color w:val="auto"/>
                <w:szCs w:val="21"/>
                <w:highlight w:val="none"/>
              </w:rPr>
            </w:pPr>
          </w:p>
        </w:tc>
      </w:tr>
      <w:tr w14:paraId="1FFE6B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14:paraId="52AFD40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427C9B0B">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14:paraId="39FDFC1D">
            <w:pPr>
              <w:topLinePunct/>
              <w:spacing w:line="440" w:lineRule="exact"/>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员工总人数：</w:t>
            </w:r>
          </w:p>
        </w:tc>
      </w:tr>
      <w:tr w14:paraId="47277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14:paraId="1FF0F0CD">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5145749B">
            <w:pPr>
              <w:topLinePunct/>
              <w:spacing w:line="440" w:lineRule="exact"/>
              <w:jc w:val="center"/>
              <w:rPr>
                <w:rFonts w:ascii="宋体" w:hAnsi="宋体" w:cs="宋体"/>
                <w:color w:val="auto"/>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14:paraId="1BAB80A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6729E56C">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8363A41">
            <w:pPr>
              <w:topLinePunct/>
              <w:spacing w:line="440" w:lineRule="exact"/>
              <w:jc w:val="center"/>
              <w:rPr>
                <w:rFonts w:ascii="宋体" w:hAnsi="宋体" w:cs="宋体"/>
                <w:color w:val="auto"/>
                <w:szCs w:val="21"/>
                <w:highlight w:val="none"/>
              </w:rPr>
            </w:pPr>
          </w:p>
        </w:tc>
      </w:tr>
      <w:tr w14:paraId="0B281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14:paraId="2C068F13">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4637FBC">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72A007D">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77D74E84">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D8D2B51">
            <w:pPr>
              <w:topLinePunct/>
              <w:spacing w:line="440" w:lineRule="exact"/>
              <w:jc w:val="center"/>
              <w:rPr>
                <w:rFonts w:ascii="宋体" w:hAnsi="宋体" w:cs="宋体"/>
                <w:color w:val="auto"/>
                <w:szCs w:val="21"/>
                <w:highlight w:val="none"/>
              </w:rPr>
            </w:pPr>
          </w:p>
        </w:tc>
      </w:tr>
      <w:tr w14:paraId="00DE2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14:paraId="6FCFBE6F">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63BA5D34">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0AAA29BB">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279509F6">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09EF4E6">
            <w:pPr>
              <w:topLinePunct/>
              <w:spacing w:line="440" w:lineRule="exact"/>
              <w:jc w:val="center"/>
              <w:rPr>
                <w:rFonts w:ascii="宋体" w:hAnsi="宋体" w:cs="宋体"/>
                <w:color w:val="auto"/>
                <w:szCs w:val="21"/>
                <w:highlight w:val="none"/>
              </w:rPr>
            </w:pPr>
          </w:p>
        </w:tc>
      </w:tr>
      <w:tr w14:paraId="7B22D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14:paraId="10942CA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1C02BE9E">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19376521">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01A39E22">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7E4A1EED">
            <w:pPr>
              <w:topLinePunct/>
              <w:spacing w:line="440" w:lineRule="exact"/>
              <w:jc w:val="center"/>
              <w:rPr>
                <w:rFonts w:ascii="宋体" w:hAnsi="宋体" w:cs="宋体"/>
                <w:color w:val="auto"/>
                <w:szCs w:val="21"/>
                <w:highlight w:val="none"/>
              </w:rPr>
            </w:pPr>
          </w:p>
        </w:tc>
      </w:tr>
      <w:tr w14:paraId="36DD1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14:paraId="39CB26CA">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14:paraId="2E76414B">
            <w:pPr>
              <w:topLinePunct/>
              <w:spacing w:line="440" w:lineRule="exact"/>
              <w:jc w:val="center"/>
              <w:rPr>
                <w:rFonts w:ascii="宋体" w:hAnsi="宋体" w:cs="宋体"/>
                <w:color w:val="auto"/>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14:paraId="2E6BAD63">
            <w:pPr>
              <w:widowControl/>
              <w:jc w:val="left"/>
              <w:rPr>
                <w:rFonts w:ascii="宋体" w:hAnsi="宋体" w:cs="宋体"/>
                <w:color w:val="auto"/>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14:paraId="45B6F4B3">
            <w:pPr>
              <w:topLinePunct/>
              <w:spacing w:line="440" w:lineRule="exact"/>
              <w:jc w:val="center"/>
              <w:rPr>
                <w:rFonts w:ascii="宋体" w:hAnsi="宋体" w:cs="宋体"/>
                <w:color w:val="auto"/>
                <w:highlight w:val="none"/>
              </w:rPr>
            </w:pPr>
            <w:r>
              <w:rPr>
                <w:rFonts w:hint="eastAsia" w:ascii="宋体" w:hAnsi="宋体" w:cs="宋体"/>
                <w:color w:val="auto"/>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2663CA1">
            <w:pPr>
              <w:topLinePunct/>
              <w:spacing w:line="440" w:lineRule="exact"/>
              <w:jc w:val="center"/>
              <w:rPr>
                <w:rFonts w:ascii="宋体" w:hAnsi="宋体" w:cs="宋体"/>
                <w:color w:val="auto"/>
                <w:szCs w:val="21"/>
                <w:highlight w:val="none"/>
              </w:rPr>
            </w:pPr>
          </w:p>
        </w:tc>
      </w:tr>
      <w:tr w14:paraId="38F88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14:paraId="53A55800">
            <w:pPr>
              <w:topLinePunct/>
              <w:spacing w:line="440" w:lineRule="exact"/>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14:paraId="0C120935">
            <w:pPr>
              <w:topLinePunct/>
              <w:spacing w:line="440" w:lineRule="exact"/>
              <w:rPr>
                <w:rFonts w:ascii="宋体" w:hAnsi="宋体" w:cs="宋体"/>
                <w:color w:val="auto"/>
                <w:szCs w:val="21"/>
                <w:highlight w:val="none"/>
              </w:rPr>
            </w:pPr>
            <w:r>
              <w:rPr>
                <w:rFonts w:hint="eastAsia" w:ascii="宋体" w:hAnsi="宋体" w:cs="宋体"/>
                <w:color w:val="auto"/>
                <w:szCs w:val="21"/>
                <w:highlight w:val="none"/>
              </w:rPr>
              <w:t> </w:t>
            </w:r>
          </w:p>
        </w:tc>
      </w:tr>
      <w:tr w14:paraId="443C5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14:paraId="69DB9DBE">
            <w:pPr>
              <w:topLinePunct/>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14:paraId="7B728B54">
            <w:pPr>
              <w:topLinePunct/>
              <w:spacing w:line="440" w:lineRule="exact"/>
              <w:jc w:val="center"/>
              <w:rPr>
                <w:rFonts w:ascii="宋体" w:hAnsi="宋体" w:cs="宋体"/>
                <w:color w:val="auto"/>
                <w:szCs w:val="21"/>
                <w:highlight w:val="none"/>
              </w:rPr>
            </w:pPr>
          </w:p>
        </w:tc>
      </w:tr>
    </w:tbl>
    <w:p w14:paraId="57A80EAD">
      <w:pPr>
        <w:pStyle w:val="18"/>
        <w:rPr>
          <w:rFonts w:hint="eastAsia" w:ascii="宋体" w:hAnsi="宋体" w:cs="宋体"/>
          <w:color w:val="auto"/>
          <w:sz w:val="28"/>
          <w:highlight w:val="none"/>
          <w:lang w:eastAsia="zh-CN"/>
        </w:rPr>
      </w:pPr>
    </w:p>
    <w:p w14:paraId="7816B5D8">
      <w:pPr>
        <w:pStyle w:val="18"/>
        <w:rPr>
          <w:rFonts w:hint="eastAsia" w:ascii="宋体" w:hAnsi="宋体" w:cs="宋体"/>
          <w:color w:val="auto"/>
          <w:sz w:val="28"/>
          <w:highlight w:val="none"/>
          <w:lang w:eastAsia="zh-CN"/>
        </w:rPr>
      </w:pPr>
    </w:p>
    <w:p w14:paraId="6FF01D88">
      <w:pPr>
        <w:autoSpaceDE w:val="0"/>
        <w:autoSpaceDN w:val="0"/>
        <w:adjustRightInd w:val="0"/>
        <w:snapToGrid w:val="0"/>
        <w:spacing w:line="360" w:lineRule="auto"/>
        <w:jc w:val="center"/>
        <w:rPr>
          <w:b/>
          <w:bCs/>
          <w:caps/>
          <w:color w:val="auto"/>
          <w:sz w:val="32"/>
          <w:szCs w:val="32"/>
          <w:highlight w:val="none"/>
        </w:rPr>
      </w:pP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lang w:val="en-US" w:eastAsia="zh-CN"/>
        </w:rPr>
        <w:t>二</w:t>
      </w:r>
      <w:r>
        <w:rPr>
          <w:rFonts w:hint="eastAsia" w:ascii="宋体" w:hAnsi="宋体" w:cs="宋体"/>
          <w:b/>
          <w:bCs/>
          <w:color w:val="auto"/>
          <w:kern w:val="0"/>
          <w:sz w:val="28"/>
          <w:szCs w:val="32"/>
          <w:highlight w:val="none"/>
          <w:lang w:eastAsia="zh-CN"/>
        </w:rPr>
        <w:t>）</w:t>
      </w:r>
      <w:r>
        <w:rPr>
          <w:rFonts w:hint="eastAsia" w:ascii="宋体" w:hAnsi="宋体" w:cs="宋体"/>
          <w:b/>
          <w:bCs/>
          <w:color w:val="auto"/>
          <w:kern w:val="0"/>
          <w:sz w:val="28"/>
          <w:szCs w:val="32"/>
          <w:highlight w:val="none"/>
        </w:rPr>
        <w:t>低价风险担保提交承诺书（如有）</w:t>
      </w:r>
    </w:p>
    <w:p w14:paraId="6EB66A39">
      <w:pPr>
        <w:rPr>
          <w:color w:val="auto"/>
          <w:highlight w:val="none"/>
        </w:rPr>
      </w:pPr>
    </w:p>
    <w:p w14:paraId="3F6DFFC5">
      <w:pPr>
        <w:keepNext w:val="0"/>
        <w:keepLines w:val="0"/>
        <w:pageBreakBefore w:val="0"/>
        <w:widowControl w:val="0"/>
        <w:kinsoku/>
        <w:wordWrap/>
        <w:overflowPunct/>
        <w:topLinePunct w:val="0"/>
        <w:autoSpaceDE w:val="0"/>
        <w:autoSpaceDN w:val="0"/>
        <w:bidi w:val="0"/>
        <w:adjustRightInd w:val="0"/>
        <w:snapToGrid w:val="0"/>
        <w:spacing w:line="360" w:lineRule="auto"/>
        <w:ind w:left="420" w:leftChars="200" w:right="420" w:rightChars="200"/>
        <w:jc w:val="center"/>
        <w:textAlignment w:val="auto"/>
        <w:rPr>
          <w:rFonts w:hint="eastAsia"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w:t>
      </w:r>
      <w:r>
        <w:rPr>
          <w:rFonts w:hint="eastAsia" w:ascii="宋体" w:hAnsi="宋体"/>
          <w:snapToGrid w:val="0"/>
          <w:color w:val="auto"/>
          <w:kern w:val="0"/>
          <w:sz w:val="32"/>
          <w:szCs w:val="32"/>
          <w:highlight w:val="none"/>
          <w:lang w:val="en-US" w:eastAsia="zh-CN"/>
        </w:rPr>
        <w:t>采用经评审的最低投标价法，且</w:t>
      </w:r>
      <w:r>
        <w:rPr>
          <w:rFonts w:hint="eastAsia" w:ascii="宋体" w:hAnsi="宋体"/>
          <w:snapToGrid w:val="0"/>
          <w:color w:val="auto"/>
          <w:kern w:val="0"/>
          <w:sz w:val="32"/>
          <w:szCs w:val="32"/>
          <w:highlight w:val="none"/>
        </w:rPr>
        <w:t>投标报价低于</w:t>
      </w:r>
      <w:r>
        <w:rPr>
          <w:rFonts w:hint="eastAsia" w:ascii="宋体" w:hAnsi="宋体"/>
          <w:snapToGrid w:val="0"/>
          <w:color w:val="auto"/>
          <w:kern w:val="0"/>
          <w:sz w:val="32"/>
          <w:szCs w:val="32"/>
          <w:highlight w:val="none"/>
          <w:lang w:val="en-US" w:eastAsia="zh-CN"/>
        </w:rPr>
        <w:t>采购</w:t>
      </w:r>
      <w:r>
        <w:rPr>
          <w:rFonts w:hint="eastAsia" w:ascii="宋体" w:hAnsi="宋体"/>
          <w:snapToGrid w:val="0"/>
          <w:color w:val="auto"/>
          <w:kern w:val="0"/>
          <w:sz w:val="32"/>
          <w:szCs w:val="32"/>
          <w:highlight w:val="none"/>
        </w:rPr>
        <w:t>项目最高限价的85%时采用）</w:t>
      </w:r>
    </w:p>
    <w:p w14:paraId="7FB0E261">
      <w:pPr>
        <w:autoSpaceDE w:val="0"/>
        <w:autoSpaceDN w:val="0"/>
        <w:adjustRightInd w:val="0"/>
        <w:snapToGrid w:val="0"/>
        <w:spacing w:line="360" w:lineRule="auto"/>
        <w:jc w:val="center"/>
        <w:rPr>
          <w:rFonts w:hint="eastAsia" w:ascii="宋体" w:hAnsi="宋体"/>
          <w:snapToGrid w:val="0"/>
          <w:color w:val="auto"/>
          <w:kern w:val="0"/>
          <w:sz w:val="32"/>
          <w:szCs w:val="32"/>
          <w:highlight w:val="none"/>
        </w:rPr>
      </w:pPr>
    </w:p>
    <w:p w14:paraId="2E58843C">
      <w:pPr>
        <w:autoSpaceDE w:val="0"/>
        <w:autoSpaceDN w:val="0"/>
        <w:adjustRightInd w:val="0"/>
        <w:snapToGrid w:val="0"/>
        <w:spacing w:line="360" w:lineRule="auto"/>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采购人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4BE216B5">
      <w:pPr>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（报价人名称）</w:t>
      </w:r>
      <w:r>
        <w:rPr>
          <w:rFonts w:hint="eastAsia" w:ascii="宋体" w:hAnsi="宋体" w:cs="宋体"/>
          <w:snapToGrid w:val="0"/>
          <w:color w:val="auto"/>
          <w:kern w:val="0"/>
          <w:szCs w:val="21"/>
          <w:highlight w:val="none"/>
        </w:rPr>
        <w:t>参加了你单位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w:t>
      </w:r>
      <w:r>
        <w:rPr>
          <w:rFonts w:hint="eastAsia" w:ascii="宋体" w:hAnsi="宋体" w:cs="宋体"/>
          <w:snapToGrid w:val="0"/>
          <w:color w:val="auto"/>
          <w:kern w:val="0"/>
          <w:szCs w:val="21"/>
          <w:highlight w:val="none"/>
          <w:lang w:val="en-US" w:eastAsia="zh-CN"/>
        </w:rPr>
        <w:t>比选</w:t>
      </w:r>
      <w:r>
        <w:rPr>
          <w:rFonts w:hint="eastAsia" w:ascii="宋体" w:hAnsi="宋体" w:cs="宋体"/>
          <w:snapToGrid w:val="0"/>
          <w:color w:val="auto"/>
          <w:kern w:val="0"/>
          <w:szCs w:val="21"/>
          <w:highlight w:val="none"/>
        </w:rPr>
        <w:t>。我公司投标报价低于最高限价的85%，若获得中标资格，我公司承诺按照</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的规定递交低价风险担保。同时，我公司已落实低价风险担保的提交方案，承诺如采用保函形式提交低价风险担保，保函的格式和内容符合</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的要求。否则，我公司愿承担</w:t>
      </w:r>
      <w:r>
        <w:rPr>
          <w:rFonts w:hint="eastAsia" w:ascii="宋体" w:hAnsi="宋体" w:cs="宋体"/>
          <w:color w:val="auto"/>
          <w:kern w:val="0"/>
          <w:szCs w:val="21"/>
          <w:highlight w:val="none"/>
          <w:lang w:val="en-US" w:eastAsia="zh-CN" w:bidi="ar"/>
        </w:rPr>
        <w:t>竞争性比选文件</w:t>
      </w:r>
      <w:r>
        <w:rPr>
          <w:rFonts w:hint="eastAsia" w:ascii="宋体" w:hAnsi="宋体" w:cs="宋体"/>
          <w:snapToGrid w:val="0"/>
          <w:color w:val="auto"/>
          <w:kern w:val="0"/>
          <w:szCs w:val="21"/>
          <w:highlight w:val="none"/>
        </w:rPr>
        <w:t>中约定的，因未按规定递交低价风险担保的相应责任。</w:t>
      </w:r>
    </w:p>
    <w:p w14:paraId="2CCB5F6A">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p>
    <w:p w14:paraId="41AE9119">
      <w:pPr>
        <w:autoSpaceDE w:val="0"/>
        <w:autoSpaceDN w:val="0"/>
        <w:adjustRightInd w:val="0"/>
        <w:snapToGrid w:val="0"/>
        <w:spacing w:line="360" w:lineRule="auto"/>
        <w:ind w:firstLine="64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27A19FFC">
      <w:pPr>
        <w:autoSpaceDE w:val="0"/>
        <w:autoSpaceDN w:val="0"/>
        <w:adjustRightInd w:val="0"/>
        <w:snapToGrid w:val="0"/>
        <w:spacing w:line="360" w:lineRule="auto"/>
        <w:ind w:firstLine="640"/>
        <w:rPr>
          <w:rFonts w:hint="eastAsia" w:ascii="宋体" w:hAnsi="宋体" w:cs="宋体"/>
          <w:snapToGrid w:val="0"/>
          <w:color w:val="auto"/>
          <w:kern w:val="0"/>
          <w:sz w:val="32"/>
          <w:szCs w:val="32"/>
          <w:highlight w:val="none"/>
        </w:rPr>
      </w:pPr>
    </w:p>
    <w:p w14:paraId="78EC4035">
      <w:pPr>
        <w:tabs>
          <w:tab w:val="left" w:pos="4200"/>
          <w:tab w:val="left" w:pos="4620"/>
        </w:tabs>
        <w:autoSpaceDE w:val="0"/>
        <w:autoSpaceDN w:val="0"/>
        <w:adjustRightInd w:val="0"/>
        <w:snapToGrid w:val="0"/>
        <w:spacing w:line="480" w:lineRule="auto"/>
        <w:ind w:firstLine="5250" w:firstLineChars="2500"/>
        <w:jc w:val="left"/>
        <w:rPr>
          <w:rFonts w:hint="eastAsia"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56381C07">
      <w:pPr>
        <w:tabs>
          <w:tab w:val="left" w:pos="7140"/>
          <w:tab w:val="left" w:pos="7560"/>
          <w:tab w:val="left" w:pos="8300"/>
        </w:tabs>
        <w:autoSpaceDE w:val="0"/>
        <w:autoSpaceDN w:val="0"/>
        <w:adjustRightInd w:val="0"/>
        <w:ind w:firstLine="420" w:firstLineChars="200"/>
        <w:rPr>
          <w:rFonts w:hint="eastAsia" w:ascii="宋体" w:hAnsi="宋体"/>
          <w:snapToGrid w:val="0"/>
          <w:color w:val="auto"/>
          <w:kern w:val="0"/>
          <w:szCs w:val="21"/>
          <w:highlight w:val="none"/>
        </w:rPr>
      </w:pPr>
    </w:p>
    <w:p w14:paraId="2A3E73CF">
      <w:pPr>
        <w:jc w:val="right"/>
        <w:rPr>
          <w:rFonts w:hint="eastAsia"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DDE38F7">
      <w:pPr>
        <w:rPr>
          <w:rFonts w:hint="eastAsia"/>
          <w:color w:val="auto"/>
          <w:highlight w:val="none"/>
        </w:rPr>
      </w:pPr>
    </w:p>
    <w:p w14:paraId="751CD7C6">
      <w:pPr>
        <w:rPr>
          <w:rFonts w:hint="eastAsia" w:ascii="宋体" w:hAnsi="宋体" w:cs="宋体"/>
          <w:b/>
          <w:bCs/>
          <w:color w:val="auto"/>
          <w:sz w:val="28"/>
          <w:highlight w:val="none"/>
          <w:lang w:eastAsia="zh-CN"/>
        </w:rPr>
      </w:pPr>
      <w:r>
        <w:rPr>
          <w:rFonts w:hint="eastAsia" w:ascii="宋体" w:hAnsi="宋体" w:cs="宋体"/>
          <w:b/>
          <w:bCs/>
          <w:color w:val="auto"/>
          <w:sz w:val="28"/>
          <w:highlight w:val="none"/>
          <w:lang w:eastAsia="zh-CN"/>
        </w:rPr>
        <w:br w:type="page"/>
      </w:r>
    </w:p>
    <w:bookmarkEnd w:id="257"/>
    <w:bookmarkEnd w:id="258"/>
    <w:p w14:paraId="7FC8FAC5">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三</w:t>
      </w:r>
      <w:r>
        <w:rPr>
          <w:rFonts w:hint="eastAsia" w:ascii="宋体" w:hAnsi="宋体" w:cs="宋体"/>
          <w:b/>
          <w:bCs/>
          <w:color w:val="auto"/>
          <w:kern w:val="0"/>
          <w:sz w:val="28"/>
          <w:szCs w:val="32"/>
          <w:highlight w:val="none"/>
        </w:rPr>
        <w:t>）技术部分</w:t>
      </w:r>
    </w:p>
    <w:p w14:paraId="55D98FE5">
      <w:pPr>
        <w:pStyle w:val="4"/>
        <w:spacing w:before="0" w:after="0" w:line="360" w:lineRule="auto"/>
        <w:jc w:val="center"/>
        <w:outlineLvl w:val="9"/>
        <w:rPr>
          <w:rFonts w:ascii="宋体" w:hAnsi="宋体" w:eastAsia="宋体" w:cs="宋体"/>
          <w:color w:val="auto"/>
          <w:sz w:val="28"/>
          <w:highlight w:val="none"/>
        </w:rPr>
      </w:pPr>
    </w:p>
    <w:p w14:paraId="33F57610">
      <w:pPr>
        <w:wordWrap w:val="0"/>
        <w:adjustRightInd w:val="0"/>
        <w:snapToGrid w:val="0"/>
        <w:spacing w:line="460" w:lineRule="exact"/>
        <w:ind w:firstLine="422" w:firstLineChars="200"/>
        <w:jc w:val="left"/>
        <w:rPr>
          <w:rFonts w:hint="eastAsia" w:asciiTheme="minorEastAsia" w:hAnsiTheme="minorEastAsia" w:eastAsiaTheme="minorEastAsia" w:cstheme="minorEastAsia"/>
          <w:b/>
          <w:color w:val="auto"/>
          <w:kern w:val="0"/>
          <w:szCs w:val="21"/>
          <w:highlight w:val="none"/>
          <w:lang w:bidi="ar"/>
        </w:rPr>
      </w:pPr>
      <w:r>
        <w:rPr>
          <w:rFonts w:hint="eastAsia" w:asciiTheme="minorEastAsia" w:hAnsiTheme="minorEastAsia" w:eastAsiaTheme="minorEastAsia" w:cstheme="minorEastAsia"/>
          <w:b/>
          <w:color w:val="auto"/>
          <w:kern w:val="0"/>
          <w:szCs w:val="21"/>
          <w:highlight w:val="none"/>
          <w:lang w:bidi="ar"/>
        </w:rPr>
        <w:t>[提示：</w:t>
      </w:r>
      <w:r>
        <w:rPr>
          <w:rFonts w:hint="eastAsia" w:asciiTheme="minorEastAsia" w:hAnsiTheme="minorEastAsia" w:eastAsiaTheme="minorEastAsia" w:cstheme="minorEastAsia"/>
          <w:b/>
          <w:color w:val="auto"/>
          <w:kern w:val="0"/>
          <w:szCs w:val="21"/>
          <w:highlight w:val="none"/>
          <w:lang w:val="en-US" w:eastAsia="zh-CN" w:bidi="ar"/>
        </w:rPr>
        <w:t>当竞争性比选文件采用综合评估法时，“第三章 评标办法”</w:t>
      </w:r>
      <w:r>
        <w:rPr>
          <w:rFonts w:hint="eastAsia" w:asciiTheme="minorEastAsia" w:hAnsiTheme="minorEastAsia" w:eastAsiaTheme="minorEastAsia" w:cstheme="minorEastAsia"/>
          <w:b/>
          <w:color w:val="auto"/>
          <w:kern w:val="0"/>
          <w:szCs w:val="21"/>
          <w:highlight w:val="none"/>
          <w:lang w:bidi="ar"/>
        </w:rPr>
        <w:t>技术部分评分标准所涉及的内容及相关佐证资料由报价人自行考虑是否提供，若提供应按要求予以制作并标注内容，格式自拟，未提供的对应部分不得分，技术部分评分内容不作为判定初步评审合格与否的条件，若评标委员会认为提交的证明材料不足以证明相应评审内容的，相应部分将不被纳入参与计分。]</w:t>
      </w:r>
    </w:p>
    <w:p w14:paraId="730EDEB7">
      <w:pPr>
        <w:rPr>
          <w:rFonts w:hint="eastAsia" w:ascii="宋体" w:hAnsi="宋体" w:cs="宋体"/>
          <w:b/>
          <w:color w:val="auto"/>
          <w:kern w:val="0"/>
          <w:szCs w:val="21"/>
          <w:highlight w:val="none"/>
          <w:lang w:bidi="ar"/>
        </w:rPr>
      </w:pPr>
      <w:r>
        <w:rPr>
          <w:rFonts w:hint="eastAsia" w:ascii="宋体" w:hAnsi="宋体" w:cs="宋体"/>
          <w:b/>
          <w:color w:val="auto"/>
          <w:kern w:val="0"/>
          <w:szCs w:val="21"/>
          <w:highlight w:val="none"/>
          <w:lang w:bidi="ar"/>
        </w:rPr>
        <w:br w:type="page"/>
      </w:r>
    </w:p>
    <w:p w14:paraId="5520330F">
      <w:pPr>
        <w:spacing w:line="360" w:lineRule="auto"/>
        <w:jc w:val="center"/>
        <w:outlineLvl w:val="2"/>
        <w:rPr>
          <w:rFonts w:hint="eastAsia" w:ascii="宋体" w:hAnsi="宋体" w:eastAsia="宋体" w:cs="宋体"/>
          <w:b/>
          <w:bCs/>
          <w:color w:val="auto"/>
          <w:kern w:val="0"/>
          <w:sz w:val="28"/>
          <w:szCs w:val="32"/>
          <w:highlight w:val="none"/>
          <w:lang w:eastAsia="zh-CN"/>
        </w:rPr>
      </w:pP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四</w:t>
      </w:r>
      <w:r>
        <w:rPr>
          <w:rFonts w:hint="eastAsia" w:ascii="宋体" w:hAnsi="宋体" w:cs="宋体"/>
          <w:b/>
          <w:bCs/>
          <w:color w:val="auto"/>
          <w:kern w:val="0"/>
          <w:sz w:val="28"/>
          <w:szCs w:val="32"/>
          <w:highlight w:val="none"/>
        </w:rPr>
        <w:t>）</w:t>
      </w:r>
      <w:r>
        <w:rPr>
          <w:rFonts w:hint="eastAsia" w:ascii="宋体" w:hAnsi="宋体" w:cs="宋体"/>
          <w:b/>
          <w:bCs/>
          <w:color w:val="auto"/>
          <w:kern w:val="0"/>
          <w:sz w:val="28"/>
          <w:szCs w:val="32"/>
          <w:highlight w:val="none"/>
          <w:lang w:val="en-US" w:eastAsia="zh-CN"/>
        </w:rPr>
        <w:t>商务</w:t>
      </w:r>
      <w:r>
        <w:rPr>
          <w:rFonts w:hint="eastAsia" w:ascii="宋体" w:hAnsi="宋体" w:cs="宋体"/>
          <w:b/>
          <w:bCs/>
          <w:color w:val="auto"/>
          <w:kern w:val="0"/>
          <w:sz w:val="28"/>
          <w:szCs w:val="32"/>
          <w:highlight w:val="none"/>
        </w:rPr>
        <w:t>部分</w:t>
      </w:r>
    </w:p>
    <w:p w14:paraId="59E0254B">
      <w:pPr>
        <w:pStyle w:val="4"/>
        <w:spacing w:before="0" w:after="0" w:line="360" w:lineRule="auto"/>
        <w:jc w:val="center"/>
        <w:outlineLvl w:val="9"/>
        <w:rPr>
          <w:rFonts w:hint="eastAsia" w:ascii="宋体" w:hAnsi="宋体" w:eastAsia="宋体" w:cs="宋体"/>
          <w:color w:val="auto"/>
          <w:sz w:val="21"/>
          <w:szCs w:val="21"/>
          <w:highlight w:val="none"/>
        </w:rPr>
      </w:pPr>
    </w:p>
    <w:p w14:paraId="51E44F03">
      <w:pPr>
        <w:pStyle w:val="18"/>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eastAsia" w:ascii="宋体" w:hAnsi="宋体" w:eastAsia="宋体" w:cs="宋体"/>
          <w:sz w:val="21"/>
          <w:szCs w:val="21"/>
          <w:highlight w:val="none"/>
        </w:rPr>
      </w:pPr>
      <w:r>
        <w:rPr>
          <w:rFonts w:hint="eastAsia" w:ascii="宋体" w:hAnsi="宋体" w:eastAsia="宋体" w:cs="宋体"/>
          <w:b/>
          <w:kern w:val="0"/>
          <w:sz w:val="21"/>
          <w:szCs w:val="21"/>
          <w:highlight w:val="none"/>
          <w:lang w:bidi="ar"/>
        </w:rPr>
        <w:t>[提示：</w:t>
      </w:r>
      <w:r>
        <w:rPr>
          <w:rFonts w:hint="eastAsia" w:ascii="宋体" w:hAnsi="宋体" w:eastAsia="宋体" w:cs="宋体"/>
          <w:b/>
          <w:color w:val="auto"/>
          <w:kern w:val="0"/>
          <w:sz w:val="21"/>
          <w:szCs w:val="21"/>
          <w:highlight w:val="none"/>
          <w:lang w:val="en-US" w:eastAsia="zh-CN" w:bidi="ar"/>
        </w:rPr>
        <w:t>当竞争性比选文件采用综合评估法时，“第三章 评标办法”</w:t>
      </w:r>
      <w:r>
        <w:rPr>
          <w:rFonts w:hint="eastAsia" w:ascii="宋体" w:hAnsi="宋体" w:eastAsia="宋体" w:cs="宋体"/>
          <w:b/>
          <w:kern w:val="0"/>
          <w:sz w:val="21"/>
          <w:szCs w:val="21"/>
          <w:highlight w:val="none"/>
          <w:lang w:bidi="ar"/>
        </w:rPr>
        <w:t>商务部分评分标准所涉及的内容及相关佐证资料由投标人自行考虑是否提供，若提供应按要求予以制作并标注内容，格式自拟，未提供的对应部分不得分，商务部分评分内容不作为判定初步评审合格与否的条件，若评标委员会认为提交的证明材料不足以证明相应评审内容的，相应部分将不被纳入参与计分。]</w:t>
      </w:r>
    </w:p>
    <w:p w14:paraId="38DE7096">
      <w:pPr>
        <w:rPr>
          <w:rFonts w:hint="eastAsia" w:ascii="宋体" w:hAnsi="宋体" w:cs="宋体"/>
          <w:b/>
          <w:bCs/>
          <w:color w:val="000000" w:themeColor="text1"/>
          <w:sz w:val="28"/>
          <w:highlight w:val="none"/>
          <w:lang w:eastAsia="zh-CN"/>
          <w14:textFill>
            <w14:solidFill>
              <w14:schemeClr w14:val="tx1"/>
            </w14:solidFill>
          </w14:textFill>
        </w:rPr>
      </w:pPr>
      <w:r>
        <w:rPr>
          <w:rFonts w:hint="eastAsia" w:ascii="宋体" w:hAnsi="宋体" w:cs="宋体"/>
          <w:b/>
          <w:bCs/>
          <w:color w:val="000000" w:themeColor="text1"/>
          <w:sz w:val="28"/>
          <w:highlight w:val="none"/>
          <w:lang w:eastAsia="zh-CN"/>
          <w14:textFill>
            <w14:solidFill>
              <w14:schemeClr w14:val="tx1"/>
            </w14:solidFill>
          </w14:textFill>
        </w:rPr>
        <w:br w:type="page"/>
      </w:r>
    </w:p>
    <w:p w14:paraId="2934C729">
      <w:pPr>
        <w:pStyle w:val="18"/>
        <w:jc w:val="center"/>
        <w:rPr>
          <w:rFonts w:ascii="宋体" w:hAnsi="宋体"/>
          <w:b/>
          <w:bCs/>
          <w:color w:val="auto"/>
          <w:sz w:val="24"/>
          <w:highlight w:val="none"/>
        </w:rPr>
      </w:pPr>
      <w:r>
        <w:rPr>
          <w:rFonts w:hint="eastAsia" w:ascii="宋体" w:hAnsi="宋体" w:cs="宋体"/>
          <w:b/>
          <w:bCs/>
          <w:color w:val="000000" w:themeColor="text1"/>
          <w:sz w:val="28"/>
          <w:highlight w:val="none"/>
          <w:lang w:eastAsia="zh-CN"/>
          <w14:textFill>
            <w14:solidFill>
              <w14:schemeClr w14:val="tx1"/>
            </w14:solidFill>
          </w14:textFill>
        </w:rPr>
        <w:t>（</w:t>
      </w:r>
      <w:r>
        <w:rPr>
          <w:rFonts w:hint="eastAsia" w:ascii="宋体" w:hAnsi="宋体" w:cs="宋体"/>
          <w:b/>
          <w:bCs/>
          <w:color w:val="000000" w:themeColor="text1"/>
          <w:sz w:val="28"/>
          <w:highlight w:val="none"/>
          <w:lang w:val="en-US" w:eastAsia="zh-CN"/>
          <w14:textFill>
            <w14:solidFill>
              <w14:schemeClr w14:val="tx1"/>
            </w14:solidFill>
          </w14:textFill>
        </w:rPr>
        <w:t>五</w:t>
      </w:r>
      <w:r>
        <w:rPr>
          <w:rFonts w:hint="eastAsia" w:ascii="宋体" w:hAnsi="宋体" w:cs="宋体"/>
          <w:b/>
          <w:bCs/>
          <w:color w:val="000000" w:themeColor="text1"/>
          <w:sz w:val="28"/>
          <w:highlight w:val="none"/>
          <w:lang w:eastAsia="zh-CN"/>
          <w14:textFill>
            <w14:solidFill>
              <w14:schemeClr w14:val="tx1"/>
            </w14:solidFill>
          </w14:textFill>
        </w:rPr>
        <w:t>）</w:t>
      </w:r>
      <w:r>
        <w:rPr>
          <w:rFonts w:hint="eastAsia" w:ascii="宋体" w:hAnsi="宋体" w:cs="宋体"/>
          <w:b/>
          <w:bCs/>
          <w:color w:val="000000" w:themeColor="text1"/>
          <w:sz w:val="28"/>
          <w:highlight w:val="none"/>
          <w14:textFill>
            <w14:solidFill>
              <w14:schemeClr w14:val="tx1"/>
            </w14:solidFill>
          </w14:textFill>
        </w:rPr>
        <w:t>其他材料</w:t>
      </w:r>
    </w:p>
    <w:p w14:paraId="088D2267">
      <w:pPr>
        <w:numPr>
          <w:ilvl w:val="0"/>
          <w:numId w:val="0"/>
        </w:numPr>
        <w:wordWrap w:val="0"/>
        <w:adjustRightInd w:val="0"/>
        <w:snapToGrid w:val="0"/>
        <w:spacing w:line="460" w:lineRule="exact"/>
        <w:jc w:val="left"/>
        <w:rPr>
          <w:rFonts w:hint="eastAsia" w:ascii="宋体" w:hAnsi="宋体" w:cs="宋体"/>
          <w:szCs w:val="21"/>
          <w:highlight w:val="none"/>
          <w:lang w:bidi="ar"/>
        </w:rPr>
      </w:pPr>
      <w:r>
        <w:rPr>
          <w:rFonts w:hint="eastAsia" w:ascii="宋体" w:hAnsi="宋体" w:cs="宋体"/>
          <w:szCs w:val="21"/>
          <w:highlight w:val="none"/>
          <w:lang w:val="en-US" w:eastAsia="zh-CN" w:bidi="ar"/>
        </w:rPr>
        <w:t>1.</w:t>
      </w:r>
      <w:r>
        <w:rPr>
          <w:rFonts w:hint="eastAsia" w:ascii="宋体" w:hAnsi="宋体" w:cs="宋体"/>
          <w:szCs w:val="21"/>
          <w:highlight w:val="none"/>
          <w:lang w:bidi="ar"/>
        </w:rPr>
        <w:t>投标保证金（以转账形式交纳投标保证金的，须提供投标保证金交纳凭证）；</w:t>
      </w:r>
    </w:p>
    <w:p w14:paraId="2E23DB95">
      <w:pPr>
        <w:numPr>
          <w:ilvl w:val="0"/>
          <w:numId w:val="0"/>
        </w:numPr>
        <w:wordWrap w:val="0"/>
        <w:adjustRightInd w:val="0"/>
        <w:snapToGrid w:val="0"/>
        <w:spacing w:line="460" w:lineRule="exact"/>
        <w:jc w:val="left"/>
        <w:rPr>
          <w:rFonts w:ascii="宋体" w:hAnsi="宋体" w:cs="宋体"/>
          <w:szCs w:val="21"/>
          <w:highlight w:val="none"/>
          <w:lang w:bidi="ar"/>
        </w:rPr>
      </w:pPr>
      <w:r>
        <w:rPr>
          <w:rFonts w:hint="eastAsia" w:ascii="宋体" w:hAnsi="宋体" w:cs="宋体"/>
          <w:szCs w:val="21"/>
          <w:highlight w:val="none"/>
          <w:lang w:bidi="ar"/>
        </w:rPr>
        <w:t>2.在满足</w:t>
      </w:r>
      <w:r>
        <w:rPr>
          <w:rFonts w:hint="eastAsia" w:ascii="宋体" w:hAnsi="宋体" w:cs="宋体"/>
          <w:szCs w:val="21"/>
          <w:highlight w:val="none"/>
          <w:lang w:val="en-US" w:eastAsia="zh-CN" w:bidi="ar"/>
        </w:rPr>
        <w:t>竞争性比选</w:t>
      </w:r>
      <w:r>
        <w:rPr>
          <w:rFonts w:hint="eastAsia" w:ascii="宋体" w:hAnsi="宋体" w:cs="宋体"/>
          <w:szCs w:val="21"/>
          <w:highlight w:val="none"/>
          <w:lang w:bidi="ar"/>
        </w:rPr>
        <w:t>文件实质性要求的基础上，</w:t>
      </w:r>
      <w:r>
        <w:rPr>
          <w:rFonts w:hint="eastAsia" w:ascii="宋体" w:hAnsi="宋体" w:cs="宋体"/>
          <w:szCs w:val="21"/>
          <w:highlight w:val="none"/>
          <w:lang w:val="en-US" w:eastAsia="zh-CN" w:bidi="ar"/>
        </w:rPr>
        <w:t>报价</w:t>
      </w:r>
      <w:r>
        <w:rPr>
          <w:rFonts w:hint="eastAsia" w:ascii="宋体" w:hAnsi="宋体" w:cs="宋体"/>
          <w:szCs w:val="21"/>
          <w:highlight w:val="none"/>
          <w:lang w:bidi="ar"/>
        </w:rPr>
        <w:t>人可以提出比</w:t>
      </w:r>
      <w:r>
        <w:rPr>
          <w:rFonts w:hint="eastAsia" w:ascii="宋体" w:hAnsi="宋体" w:cs="宋体"/>
          <w:szCs w:val="21"/>
          <w:highlight w:val="none"/>
          <w:lang w:val="en-US" w:eastAsia="zh-CN" w:bidi="ar"/>
        </w:rPr>
        <w:t>竞争性比选</w:t>
      </w:r>
      <w:r>
        <w:rPr>
          <w:rFonts w:hint="eastAsia" w:ascii="宋体" w:hAnsi="宋体" w:cs="宋体"/>
          <w:szCs w:val="21"/>
          <w:highlight w:val="none"/>
          <w:lang w:bidi="ar"/>
        </w:rPr>
        <w:t>文件要求更有利于</w:t>
      </w:r>
      <w:r>
        <w:rPr>
          <w:rFonts w:hint="eastAsia" w:ascii="宋体" w:hAnsi="宋体" w:cs="宋体"/>
          <w:szCs w:val="21"/>
          <w:highlight w:val="none"/>
          <w:lang w:val="en-US" w:eastAsia="zh-CN" w:bidi="ar"/>
        </w:rPr>
        <w:t>采购</w:t>
      </w:r>
      <w:r>
        <w:rPr>
          <w:rFonts w:hint="eastAsia" w:ascii="宋体" w:hAnsi="宋体" w:cs="宋体"/>
          <w:szCs w:val="21"/>
          <w:highlight w:val="none"/>
          <w:lang w:bidi="ar"/>
        </w:rPr>
        <w:t>人的承诺（格式自拟）；</w:t>
      </w:r>
    </w:p>
    <w:p w14:paraId="0BF53EBA">
      <w:pPr>
        <w:wordWrap w:val="0"/>
        <w:adjustRightInd w:val="0"/>
        <w:snapToGrid w:val="0"/>
        <w:spacing w:line="460" w:lineRule="exact"/>
        <w:jc w:val="left"/>
        <w:rPr>
          <w:rFonts w:hint="eastAsia" w:ascii="宋体" w:hAnsi="宋体" w:cs="宋体"/>
          <w:szCs w:val="21"/>
          <w:highlight w:val="none"/>
          <w:lang w:bidi="ar"/>
        </w:rPr>
      </w:pPr>
      <w:r>
        <w:rPr>
          <w:rFonts w:hint="eastAsia" w:ascii="宋体" w:hAnsi="宋体" w:cs="宋体"/>
          <w:szCs w:val="21"/>
          <w:highlight w:val="none"/>
          <w:lang w:bidi="ar"/>
        </w:rPr>
        <w:t>3.</w:t>
      </w:r>
      <w:r>
        <w:rPr>
          <w:rFonts w:hint="eastAsia" w:ascii="宋体" w:hAnsi="宋体" w:cs="宋体"/>
          <w:szCs w:val="21"/>
          <w:highlight w:val="none"/>
          <w:lang w:val="en-US" w:eastAsia="zh-CN" w:bidi="ar"/>
        </w:rPr>
        <w:t>报价</w:t>
      </w:r>
      <w:r>
        <w:rPr>
          <w:rFonts w:hint="eastAsia" w:ascii="宋体" w:hAnsi="宋体" w:cs="宋体"/>
          <w:szCs w:val="21"/>
          <w:highlight w:val="none"/>
          <w:lang w:bidi="ar"/>
        </w:rPr>
        <w:t>人认为有必要提供的资料，标明其内容且格式自拟。</w:t>
      </w:r>
    </w:p>
    <w:p w14:paraId="1ABDE0B0">
      <w:pPr>
        <w:wordWrap w:val="0"/>
        <w:adjustRightInd w:val="0"/>
        <w:snapToGrid w:val="0"/>
        <w:spacing w:line="460" w:lineRule="exact"/>
        <w:jc w:val="left"/>
        <w:rPr>
          <w:rFonts w:hint="eastAsia" w:ascii="宋体" w:hAnsi="宋体" w:cs="宋体"/>
          <w:color w:val="auto"/>
          <w:szCs w:val="21"/>
          <w:highlight w:val="none"/>
          <w:lang w:bidi="ar"/>
        </w:rPr>
      </w:pPr>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F070A124-A4B8-4137-8D84-1BA6F1556517}"/>
  </w:font>
  <w:font w:name="黑体">
    <w:panose1 w:val="02010609060101010101"/>
    <w:charset w:val="86"/>
    <w:family w:val="auto"/>
    <w:pitch w:val="default"/>
    <w:sig w:usb0="800002BF" w:usb1="38CF7CFA" w:usb2="00000016" w:usb3="00000000" w:csb0="00040001" w:csb1="00000000"/>
    <w:embedRegular r:id="rId2" w:fontKey="{61C2E50D-C633-4E7B-AEF0-61F5608957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宋体-简">
    <w:altName w:val="宋体"/>
    <w:panose1 w:val="0201080004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E5190C0A-2036-424B-A24E-FF4B281BEA7C}"/>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8F5DF">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06BC5">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806BC5">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10E2FDF1">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3DEB9">
    <w:pPr>
      <w:pStyle w:val="28"/>
      <w:framePr w:wrap="around" w:vAnchor="text" w:hAnchor="margin" w:xAlign="center" w:y="1"/>
      <w:rPr>
        <w:rStyle w:val="48"/>
      </w:rPr>
    </w:pPr>
    <w:r>
      <w:fldChar w:fldCharType="begin"/>
    </w:r>
    <w:r>
      <w:rPr>
        <w:rStyle w:val="48"/>
      </w:rPr>
      <w:instrText xml:space="preserve">PAGE  </w:instrText>
    </w:r>
    <w:r>
      <w:fldChar w:fldCharType="end"/>
    </w:r>
  </w:p>
  <w:p w14:paraId="1C0C98BB">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3F258">
    <w:pPr>
      <w:pStyle w:val="28"/>
      <w:jc w:val="center"/>
    </w:pPr>
    <w:r>
      <w:fldChar w:fldCharType="begin"/>
    </w:r>
    <w:r>
      <w:instrText xml:space="preserve">PAGE   \* MERGEFORMAT</w:instrText>
    </w:r>
    <w:r>
      <w:fldChar w:fldCharType="separate"/>
    </w:r>
    <w:r>
      <w:rPr>
        <w:lang w:val="zh-CN"/>
      </w:rPr>
      <w:t>79</w:t>
    </w:r>
    <w:r>
      <w:fldChar w:fldCharType="end"/>
    </w:r>
  </w:p>
  <w:p w14:paraId="5502DA99">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13BB">
    <w:pPr>
      <w:pStyle w:val="28"/>
      <w:ind w:right="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3978E">
                          <w:pPr>
                            <w:pStyle w:val="28"/>
                            <w:rPr>
                              <w:rStyle w:val="48"/>
                            </w:rPr>
                          </w:pPr>
                          <w:r>
                            <w:fldChar w:fldCharType="begin"/>
                          </w:r>
                          <w:r>
                            <w:rPr>
                              <w:rStyle w:val="48"/>
                            </w:rPr>
                            <w:instrText xml:space="preserve">PAGE  </w:instrText>
                          </w:r>
                          <w:r>
                            <w:fldChar w:fldCharType="separate"/>
                          </w:r>
                          <w:r>
                            <w:rPr>
                              <w:rStyle w:val="48"/>
                            </w:rP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7E3978E">
                    <w:pPr>
                      <w:pStyle w:val="28"/>
                      <w:rPr>
                        <w:rStyle w:val="48"/>
                      </w:rPr>
                    </w:pPr>
                    <w:r>
                      <w:fldChar w:fldCharType="begin"/>
                    </w:r>
                    <w:r>
                      <w:rPr>
                        <w:rStyle w:val="48"/>
                      </w:rPr>
                      <w:instrText xml:space="preserve">PAGE  </w:instrText>
                    </w:r>
                    <w:r>
                      <w:fldChar w:fldCharType="separate"/>
                    </w:r>
                    <w:r>
                      <w:rPr>
                        <w:rStyle w:val="48"/>
                      </w:rPr>
                      <w:t>78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2DD97">
    <w:pPr>
      <w:pStyle w:val="28"/>
      <w:jc w:val="center"/>
    </w:pPr>
    <w:r>
      <w:fldChar w:fldCharType="begin"/>
    </w:r>
    <w:r>
      <w:instrText xml:space="preserve">PAGE   \* MERGEFORMAT</w:instrText>
    </w:r>
    <w:r>
      <w:fldChar w:fldCharType="separate"/>
    </w:r>
    <w:r>
      <w:rPr>
        <w:lang w:val="zh-CN"/>
      </w:rPr>
      <w:t>79</w:t>
    </w:r>
    <w:r>
      <w:fldChar w:fldCharType="end"/>
    </w:r>
  </w:p>
  <w:p w14:paraId="031E0BEB">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8956">
    <w:pPr>
      <w:pStyle w:val="2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2E9690">
                          <w:pPr>
                            <w:pStyle w:val="28"/>
                            <w:rPr>
                              <w:rStyle w:val="48"/>
                            </w:rPr>
                          </w:pPr>
                          <w:r>
                            <w:fldChar w:fldCharType="begin"/>
                          </w:r>
                          <w:r>
                            <w:rPr>
                              <w:rStyle w:val="48"/>
                            </w:rPr>
                            <w:instrText xml:space="preserve">PAGE  </w:instrText>
                          </w:r>
                          <w:r>
                            <w:fldChar w:fldCharType="separate"/>
                          </w:r>
                          <w:r>
                            <w:rPr>
                              <w:rStyle w:val="48"/>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122E9690">
                    <w:pPr>
                      <w:pStyle w:val="28"/>
                      <w:rPr>
                        <w:rStyle w:val="48"/>
                      </w:rPr>
                    </w:pPr>
                    <w:r>
                      <w:fldChar w:fldCharType="begin"/>
                    </w:r>
                    <w:r>
                      <w:rPr>
                        <w:rStyle w:val="48"/>
                      </w:rPr>
                      <w:instrText xml:space="preserve">PAGE  </w:instrText>
                    </w:r>
                    <w:r>
                      <w:fldChar w:fldCharType="separate"/>
                    </w:r>
                    <w:r>
                      <w:rPr>
                        <w:rStyle w:val="48"/>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9AD68">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4D5A0">
                          <w:pPr>
                            <w:pStyle w:val="28"/>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B64D5A0">
                    <w:pPr>
                      <w:pStyle w:val="28"/>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544DC">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DBB7">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61027DAC"/>
    <w:multiLevelType w:val="singleLevel"/>
    <w:tmpl w:val="61027DAC"/>
    <w:lvl w:ilvl="0" w:tentative="0">
      <w:start w:val="1"/>
      <w:numFmt w:val="chineseCounting"/>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trackRevisions w:val="1"/>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235C"/>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50A2"/>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6B"/>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A6350"/>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41CB"/>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4802"/>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0C9"/>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9D"/>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0D72"/>
    <w:rsid w:val="004E6A77"/>
    <w:rsid w:val="004F05BD"/>
    <w:rsid w:val="004F5845"/>
    <w:rsid w:val="004F7236"/>
    <w:rsid w:val="005016AD"/>
    <w:rsid w:val="00501C58"/>
    <w:rsid w:val="00502E26"/>
    <w:rsid w:val="00504EDE"/>
    <w:rsid w:val="005118BF"/>
    <w:rsid w:val="005142E6"/>
    <w:rsid w:val="00514C5C"/>
    <w:rsid w:val="00514DF5"/>
    <w:rsid w:val="005216B1"/>
    <w:rsid w:val="005230E8"/>
    <w:rsid w:val="005248B7"/>
    <w:rsid w:val="00524AAD"/>
    <w:rsid w:val="00527DED"/>
    <w:rsid w:val="0053576A"/>
    <w:rsid w:val="0053749E"/>
    <w:rsid w:val="0053783C"/>
    <w:rsid w:val="00540A63"/>
    <w:rsid w:val="00541EAD"/>
    <w:rsid w:val="00543B84"/>
    <w:rsid w:val="00547A20"/>
    <w:rsid w:val="00551444"/>
    <w:rsid w:val="005516BA"/>
    <w:rsid w:val="00554CE3"/>
    <w:rsid w:val="005638B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427D"/>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1725"/>
    <w:rsid w:val="0065343F"/>
    <w:rsid w:val="00662461"/>
    <w:rsid w:val="00663AC4"/>
    <w:rsid w:val="00663C2A"/>
    <w:rsid w:val="00664ABD"/>
    <w:rsid w:val="00670D51"/>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35FD"/>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B75"/>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5DBE"/>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35E3"/>
    <w:rsid w:val="0094715F"/>
    <w:rsid w:val="009514A5"/>
    <w:rsid w:val="00951F63"/>
    <w:rsid w:val="00953549"/>
    <w:rsid w:val="00954247"/>
    <w:rsid w:val="009564C7"/>
    <w:rsid w:val="00956F8D"/>
    <w:rsid w:val="009572C8"/>
    <w:rsid w:val="00962870"/>
    <w:rsid w:val="00962ACC"/>
    <w:rsid w:val="00964B02"/>
    <w:rsid w:val="0096531D"/>
    <w:rsid w:val="009661C5"/>
    <w:rsid w:val="00972900"/>
    <w:rsid w:val="00972B04"/>
    <w:rsid w:val="00972BE1"/>
    <w:rsid w:val="00974712"/>
    <w:rsid w:val="00974ED2"/>
    <w:rsid w:val="009756CC"/>
    <w:rsid w:val="00984865"/>
    <w:rsid w:val="00987F58"/>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2ED"/>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C4EA0"/>
    <w:rsid w:val="00BD6DC6"/>
    <w:rsid w:val="00BE1BEC"/>
    <w:rsid w:val="00BE4A86"/>
    <w:rsid w:val="00BE4A91"/>
    <w:rsid w:val="00BE60A7"/>
    <w:rsid w:val="00BF28B3"/>
    <w:rsid w:val="00BF3CB4"/>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05D1"/>
    <w:rsid w:val="00C624A2"/>
    <w:rsid w:val="00C65656"/>
    <w:rsid w:val="00C66A53"/>
    <w:rsid w:val="00C66FB7"/>
    <w:rsid w:val="00C76490"/>
    <w:rsid w:val="00C848C9"/>
    <w:rsid w:val="00C8655B"/>
    <w:rsid w:val="00C91CDE"/>
    <w:rsid w:val="00C91F22"/>
    <w:rsid w:val="00C92C81"/>
    <w:rsid w:val="00C943E9"/>
    <w:rsid w:val="00C9715E"/>
    <w:rsid w:val="00CA01B6"/>
    <w:rsid w:val="00CA2781"/>
    <w:rsid w:val="00CA398D"/>
    <w:rsid w:val="00CA45CB"/>
    <w:rsid w:val="00CA6808"/>
    <w:rsid w:val="00CA7567"/>
    <w:rsid w:val="00CB3A28"/>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537A"/>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0D79"/>
    <w:rsid w:val="00DF1985"/>
    <w:rsid w:val="00DF4CFA"/>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47DBF"/>
    <w:rsid w:val="00E516C7"/>
    <w:rsid w:val="00E52FD0"/>
    <w:rsid w:val="00E53668"/>
    <w:rsid w:val="00E562C9"/>
    <w:rsid w:val="00E57CE7"/>
    <w:rsid w:val="00E64D73"/>
    <w:rsid w:val="00E65B2B"/>
    <w:rsid w:val="00E73F6E"/>
    <w:rsid w:val="00E82559"/>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6AEA"/>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0101"/>
    <w:rsid w:val="00F425FC"/>
    <w:rsid w:val="00F43948"/>
    <w:rsid w:val="00F4432F"/>
    <w:rsid w:val="00F47A3D"/>
    <w:rsid w:val="00F47D02"/>
    <w:rsid w:val="00F518DB"/>
    <w:rsid w:val="00F53D6E"/>
    <w:rsid w:val="00F5528C"/>
    <w:rsid w:val="00F55898"/>
    <w:rsid w:val="00F55EB1"/>
    <w:rsid w:val="00F56076"/>
    <w:rsid w:val="00F620DD"/>
    <w:rsid w:val="00F6265D"/>
    <w:rsid w:val="00F646A2"/>
    <w:rsid w:val="00F65BF5"/>
    <w:rsid w:val="00F66766"/>
    <w:rsid w:val="00F70302"/>
    <w:rsid w:val="00F72A20"/>
    <w:rsid w:val="00F72AAD"/>
    <w:rsid w:val="00F72FBB"/>
    <w:rsid w:val="00F73BC2"/>
    <w:rsid w:val="00F73F3B"/>
    <w:rsid w:val="00F74775"/>
    <w:rsid w:val="00F75143"/>
    <w:rsid w:val="00F807D7"/>
    <w:rsid w:val="00F8218B"/>
    <w:rsid w:val="00F821AD"/>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C626C"/>
    <w:rsid w:val="015D18DC"/>
    <w:rsid w:val="0181728F"/>
    <w:rsid w:val="01852BD3"/>
    <w:rsid w:val="018A6C3C"/>
    <w:rsid w:val="018B7BC6"/>
    <w:rsid w:val="01A52F74"/>
    <w:rsid w:val="01A8609A"/>
    <w:rsid w:val="01F5332B"/>
    <w:rsid w:val="02155A13"/>
    <w:rsid w:val="02195A53"/>
    <w:rsid w:val="02387DE2"/>
    <w:rsid w:val="029D41FE"/>
    <w:rsid w:val="02A800C5"/>
    <w:rsid w:val="02C6499B"/>
    <w:rsid w:val="02C91CAA"/>
    <w:rsid w:val="031B3B46"/>
    <w:rsid w:val="03296764"/>
    <w:rsid w:val="03410496"/>
    <w:rsid w:val="0361777C"/>
    <w:rsid w:val="03675FB1"/>
    <w:rsid w:val="037D0CD2"/>
    <w:rsid w:val="038B3366"/>
    <w:rsid w:val="03981B5E"/>
    <w:rsid w:val="03996EAD"/>
    <w:rsid w:val="03A55655"/>
    <w:rsid w:val="03B501AB"/>
    <w:rsid w:val="03DF4FA7"/>
    <w:rsid w:val="03F60BFA"/>
    <w:rsid w:val="03FD32CF"/>
    <w:rsid w:val="04023CC8"/>
    <w:rsid w:val="0402799B"/>
    <w:rsid w:val="04074EC0"/>
    <w:rsid w:val="042674F4"/>
    <w:rsid w:val="042C4A18"/>
    <w:rsid w:val="042D3C13"/>
    <w:rsid w:val="04693B13"/>
    <w:rsid w:val="04722D72"/>
    <w:rsid w:val="047A0BBC"/>
    <w:rsid w:val="04937B6A"/>
    <w:rsid w:val="04C12ED8"/>
    <w:rsid w:val="04DC5749"/>
    <w:rsid w:val="04E20559"/>
    <w:rsid w:val="04E26FED"/>
    <w:rsid w:val="04E41F94"/>
    <w:rsid w:val="04F85B15"/>
    <w:rsid w:val="04FD6633"/>
    <w:rsid w:val="052E2B3B"/>
    <w:rsid w:val="05350106"/>
    <w:rsid w:val="054416D2"/>
    <w:rsid w:val="05507F0F"/>
    <w:rsid w:val="05871A0A"/>
    <w:rsid w:val="05981B8E"/>
    <w:rsid w:val="059B4D67"/>
    <w:rsid w:val="05A42E7B"/>
    <w:rsid w:val="05A70EA9"/>
    <w:rsid w:val="05AD317E"/>
    <w:rsid w:val="05D55D36"/>
    <w:rsid w:val="05EC713F"/>
    <w:rsid w:val="060C2525"/>
    <w:rsid w:val="061B4CE2"/>
    <w:rsid w:val="062756FD"/>
    <w:rsid w:val="062B138D"/>
    <w:rsid w:val="06506CFD"/>
    <w:rsid w:val="065F7A31"/>
    <w:rsid w:val="06664D5E"/>
    <w:rsid w:val="067C53E7"/>
    <w:rsid w:val="06820F5E"/>
    <w:rsid w:val="068F02DD"/>
    <w:rsid w:val="06AE2ABA"/>
    <w:rsid w:val="06C75368"/>
    <w:rsid w:val="06C75DF5"/>
    <w:rsid w:val="06D06DE3"/>
    <w:rsid w:val="06D14EBD"/>
    <w:rsid w:val="06DD02BB"/>
    <w:rsid w:val="06E71F51"/>
    <w:rsid w:val="06F061D0"/>
    <w:rsid w:val="06F965AD"/>
    <w:rsid w:val="07014A23"/>
    <w:rsid w:val="07050666"/>
    <w:rsid w:val="070768E5"/>
    <w:rsid w:val="071C4DB7"/>
    <w:rsid w:val="07362674"/>
    <w:rsid w:val="073B54B2"/>
    <w:rsid w:val="073C469A"/>
    <w:rsid w:val="07433B60"/>
    <w:rsid w:val="07537EF9"/>
    <w:rsid w:val="07595D1A"/>
    <w:rsid w:val="076A349C"/>
    <w:rsid w:val="077E1E05"/>
    <w:rsid w:val="07815EE7"/>
    <w:rsid w:val="07954CB4"/>
    <w:rsid w:val="07BF5211"/>
    <w:rsid w:val="07F25C3B"/>
    <w:rsid w:val="07F62E75"/>
    <w:rsid w:val="081748AE"/>
    <w:rsid w:val="082D752C"/>
    <w:rsid w:val="08491B20"/>
    <w:rsid w:val="08635851"/>
    <w:rsid w:val="08B62FD9"/>
    <w:rsid w:val="08BE3C78"/>
    <w:rsid w:val="08C2359B"/>
    <w:rsid w:val="08CB4814"/>
    <w:rsid w:val="08CB6692"/>
    <w:rsid w:val="09041814"/>
    <w:rsid w:val="090B017D"/>
    <w:rsid w:val="092D7BDC"/>
    <w:rsid w:val="09332D2B"/>
    <w:rsid w:val="093E2D64"/>
    <w:rsid w:val="09472203"/>
    <w:rsid w:val="096C0CC9"/>
    <w:rsid w:val="098B1DA7"/>
    <w:rsid w:val="09907951"/>
    <w:rsid w:val="099F43E4"/>
    <w:rsid w:val="09A31A61"/>
    <w:rsid w:val="09BA7A85"/>
    <w:rsid w:val="09CE4371"/>
    <w:rsid w:val="09DE1094"/>
    <w:rsid w:val="09E2475B"/>
    <w:rsid w:val="09E4588C"/>
    <w:rsid w:val="09FF5E00"/>
    <w:rsid w:val="0A1E6E37"/>
    <w:rsid w:val="0A2400B4"/>
    <w:rsid w:val="0A3F34B7"/>
    <w:rsid w:val="0A4403A1"/>
    <w:rsid w:val="0A4B11BE"/>
    <w:rsid w:val="0A7B4003"/>
    <w:rsid w:val="0A8E5B8D"/>
    <w:rsid w:val="0AA22011"/>
    <w:rsid w:val="0AA240FA"/>
    <w:rsid w:val="0AAC0CBB"/>
    <w:rsid w:val="0AC64761"/>
    <w:rsid w:val="0AD84BD3"/>
    <w:rsid w:val="0AE941D3"/>
    <w:rsid w:val="0B1061C6"/>
    <w:rsid w:val="0B2B08D5"/>
    <w:rsid w:val="0B325009"/>
    <w:rsid w:val="0B403483"/>
    <w:rsid w:val="0BA35012"/>
    <w:rsid w:val="0BB825ED"/>
    <w:rsid w:val="0BBC1EF3"/>
    <w:rsid w:val="0BC0647C"/>
    <w:rsid w:val="0BCB2F86"/>
    <w:rsid w:val="0BD7624B"/>
    <w:rsid w:val="0BF26817"/>
    <w:rsid w:val="0BFD22E3"/>
    <w:rsid w:val="0C22464A"/>
    <w:rsid w:val="0C2B72AE"/>
    <w:rsid w:val="0C623EAC"/>
    <w:rsid w:val="0C943AA2"/>
    <w:rsid w:val="0C946488"/>
    <w:rsid w:val="0C9D2956"/>
    <w:rsid w:val="0CAD24AF"/>
    <w:rsid w:val="0CB27F34"/>
    <w:rsid w:val="0CE0427F"/>
    <w:rsid w:val="0D073416"/>
    <w:rsid w:val="0D0D3F93"/>
    <w:rsid w:val="0D12389F"/>
    <w:rsid w:val="0D2820B7"/>
    <w:rsid w:val="0D4F0275"/>
    <w:rsid w:val="0D662EE5"/>
    <w:rsid w:val="0D6FAE02"/>
    <w:rsid w:val="0D860EC5"/>
    <w:rsid w:val="0D9339BE"/>
    <w:rsid w:val="0D9E6A67"/>
    <w:rsid w:val="0D9F0DC4"/>
    <w:rsid w:val="0DC02AA1"/>
    <w:rsid w:val="0DC14827"/>
    <w:rsid w:val="0DC15A1B"/>
    <w:rsid w:val="0DCC7686"/>
    <w:rsid w:val="0DDE695A"/>
    <w:rsid w:val="0DF73A5B"/>
    <w:rsid w:val="0E164CA8"/>
    <w:rsid w:val="0E231949"/>
    <w:rsid w:val="0E2C1011"/>
    <w:rsid w:val="0E2D072E"/>
    <w:rsid w:val="0E3B295D"/>
    <w:rsid w:val="0E47249B"/>
    <w:rsid w:val="0E551882"/>
    <w:rsid w:val="0E5C501B"/>
    <w:rsid w:val="0E65340B"/>
    <w:rsid w:val="0E683859"/>
    <w:rsid w:val="0E7306EC"/>
    <w:rsid w:val="0EAD606D"/>
    <w:rsid w:val="0EB254B2"/>
    <w:rsid w:val="0EB73D57"/>
    <w:rsid w:val="0EFB3F5D"/>
    <w:rsid w:val="0F041CC7"/>
    <w:rsid w:val="0F042317"/>
    <w:rsid w:val="0F1209F8"/>
    <w:rsid w:val="0F20161D"/>
    <w:rsid w:val="0F4C19DA"/>
    <w:rsid w:val="0F4C7D05"/>
    <w:rsid w:val="0F4F31AF"/>
    <w:rsid w:val="0F5F17BD"/>
    <w:rsid w:val="0F737586"/>
    <w:rsid w:val="0F837211"/>
    <w:rsid w:val="0F90531D"/>
    <w:rsid w:val="0FA37386"/>
    <w:rsid w:val="0FA638D0"/>
    <w:rsid w:val="0FAD64B5"/>
    <w:rsid w:val="0FB21FD4"/>
    <w:rsid w:val="0FD43805"/>
    <w:rsid w:val="0FFF5930"/>
    <w:rsid w:val="102F2299"/>
    <w:rsid w:val="102F4CE5"/>
    <w:rsid w:val="10646943"/>
    <w:rsid w:val="108E2A27"/>
    <w:rsid w:val="10933BBD"/>
    <w:rsid w:val="10A265EF"/>
    <w:rsid w:val="10EC4A0F"/>
    <w:rsid w:val="110B3776"/>
    <w:rsid w:val="11156FC6"/>
    <w:rsid w:val="11397FB3"/>
    <w:rsid w:val="11485B0D"/>
    <w:rsid w:val="114C7209"/>
    <w:rsid w:val="1154158B"/>
    <w:rsid w:val="115F637E"/>
    <w:rsid w:val="117076B2"/>
    <w:rsid w:val="118E19DD"/>
    <w:rsid w:val="119E6579"/>
    <w:rsid w:val="11C97D4A"/>
    <w:rsid w:val="11D435DD"/>
    <w:rsid w:val="11DA3C43"/>
    <w:rsid w:val="1220326C"/>
    <w:rsid w:val="123A67B6"/>
    <w:rsid w:val="12474FD6"/>
    <w:rsid w:val="125670E6"/>
    <w:rsid w:val="125C6A25"/>
    <w:rsid w:val="125E1A9C"/>
    <w:rsid w:val="1276289F"/>
    <w:rsid w:val="1288522D"/>
    <w:rsid w:val="129D6A95"/>
    <w:rsid w:val="129F3456"/>
    <w:rsid w:val="12AF4046"/>
    <w:rsid w:val="12BD1BFF"/>
    <w:rsid w:val="12CE506D"/>
    <w:rsid w:val="12DB509F"/>
    <w:rsid w:val="12F65490"/>
    <w:rsid w:val="12F73D2A"/>
    <w:rsid w:val="12F9698E"/>
    <w:rsid w:val="130D27DF"/>
    <w:rsid w:val="13112273"/>
    <w:rsid w:val="131C7C5D"/>
    <w:rsid w:val="131D231B"/>
    <w:rsid w:val="13511DF6"/>
    <w:rsid w:val="13677654"/>
    <w:rsid w:val="138B4634"/>
    <w:rsid w:val="138F1214"/>
    <w:rsid w:val="13AC77D8"/>
    <w:rsid w:val="13B561D2"/>
    <w:rsid w:val="13BF412F"/>
    <w:rsid w:val="13D101C7"/>
    <w:rsid w:val="13F17187"/>
    <w:rsid w:val="1400440E"/>
    <w:rsid w:val="142669A3"/>
    <w:rsid w:val="14346F7A"/>
    <w:rsid w:val="143805F9"/>
    <w:rsid w:val="14454D6C"/>
    <w:rsid w:val="144729D8"/>
    <w:rsid w:val="14667A34"/>
    <w:rsid w:val="148E78CB"/>
    <w:rsid w:val="148F3D09"/>
    <w:rsid w:val="149F4D92"/>
    <w:rsid w:val="14A13E6D"/>
    <w:rsid w:val="14AB614D"/>
    <w:rsid w:val="14B96C2B"/>
    <w:rsid w:val="14CC1154"/>
    <w:rsid w:val="14D159F1"/>
    <w:rsid w:val="14D56F59"/>
    <w:rsid w:val="14EC1D19"/>
    <w:rsid w:val="15282A96"/>
    <w:rsid w:val="15286CDB"/>
    <w:rsid w:val="15436E45"/>
    <w:rsid w:val="15450840"/>
    <w:rsid w:val="154E24EE"/>
    <w:rsid w:val="15507C7E"/>
    <w:rsid w:val="15664AEF"/>
    <w:rsid w:val="156F17F4"/>
    <w:rsid w:val="158E23E1"/>
    <w:rsid w:val="159D7EA6"/>
    <w:rsid w:val="159F1BF9"/>
    <w:rsid w:val="15B71B1D"/>
    <w:rsid w:val="15C072C4"/>
    <w:rsid w:val="15C3670A"/>
    <w:rsid w:val="15E63361"/>
    <w:rsid w:val="15ED9D0A"/>
    <w:rsid w:val="15FA0F85"/>
    <w:rsid w:val="160202FE"/>
    <w:rsid w:val="160B0227"/>
    <w:rsid w:val="16591A2D"/>
    <w:rsid w:val="166C7DA6"/>
    <w:rsid w:val="16864176"/>
    <w:rsid w:val="16E04880"/>
    <w:rsid w:val="16E81AA3"/>
    <w:rsid w:val="16F86032"/>
    <w:rsid w:val="17081A7A"/>
    <w:rsid w:val="17292C0C"/>
    <w:rsid w:val="172A02F2"/>
    <w:rsid w:val="174C321D"/>
    <w:rsid w:val="176F50FE"/>
    <w:rsid w:val="17B27317"/>
    <w:rsid w:val="17C640D5"/>
    <w:rsid w:val="17CE0C59"/>
    <w:rsid w:val="17D10049"/>
    <w:rsid w:val="17DD0B49"/>
    <w:rsid w:val="17F1563C"/>
    <w:rsid w:val="17F23C73"/>
    <w:rsid w:val="180F3B80"/>
    <w:rsid w:val="181B1411"/>
    <w:rsid w:val="181C1400"/>
    <w:rsid w:val="18223BBF"/>
    <w:rsid w:val="18406E44"/>
    <w:rsid w:val="185C1918"/>
    <w:rsid w:val="185C46BF"/>
    <w:rsid w:val="186C25A2"/>
    <w:rsid w:val="186D44B9"/>
    <w:rsid w:val="1880349D"/>
    <w:rsid w:val="18997C8A"/>
    <w:rsid w:val="18C03C09"/>
    <w:rsid w:val="18D435BC"/>
    <w:rsid w:val="18E261BC"/>
    <w:rsid w:val="18EF6999"/>
    <w:rsid w:val="19193365"/>
    <w:rsid w:val="1919613C"/>
    <w:rsid w:val="19261639"/>
    <w:rsid w:val="195D5C0E"/>
    <w:rsid w:val="1968525C"/>
    <w:rsid w:val="19786206"/>
    <w:rsid w:val="19943426"/>
    <w:rsid w:val="19B64CC2"/>
    <w:rsid w:val="19BA69A5"/>
    <w:rsid w:val="19DF6D3F"/>
    <w:rsid w:val="19E24459"/>
    <w:rsid w:val="1A305FF4"/>
    <w:rsid w:val="1A316CB7"/>
    <w:rsid w:val="1A3D7EBE"/>
    <w:rsid w:val="1A4353A0"/>
    <w:rsid w:val="1A4459EF"/>
    <w:rsid w:val="1A557489"/>
    <w:rsid w:val="1A761AE6"/>
    <w:rsid w:val="1AB230C8"/>
    <w:rsid w:val="1AF45443"/>
    <w:rsid w:val="1B075A0C"/>
    <w:rsid w:val="1B67066F"/>
    <w:rsid w:val="1B6B1E72"/>
    <w:rsid w:val="1B7229E4"/>
    <w:rsid w:val="1B7A5EC7"/>
    <w:rsid w:val="1B8E5EC0"/>
    <w:rsid w:val="1BC72F02"/>
    <w:rsid w:val="1C930BF0"/>
    <w:rsid w:val="1CA83985"/>
    <w:rsid w:val="1CB33990"/>
    <w:rsid w:val="1CF6260F"/>
    <w:rsid w:val="1CF83AEA"/>
    <w:rsid w:val="1CF911FC"/>
    <w:rsid w:val="1D2E5635"/>
    <w:rsid w:val="1D6914D5"/>
    <w:rsid w:val="1D7C7A22"/>
    <w:rsid w:val="1D7D1F09"/>
    <w:rsid w:val="1D7E09CF"/>
    <w:rsid w:val="1D9E3026"/>
    <w:rsid w:val="1D9F1A69"/>
    <w:rsid w:val="1DBC10EB"/>
    <w:rsid w:val="1DC81497"/>
    <w:rsid w:val="1DD91595"/>
    <w:rsid w:val="1DE41480"/>
    <w:rsid w:val="1E2139B7"/>
    <w:rsid w:val="1E25455A"/>
    <w:rsid w:val="1E6F73C2"/>
    <w:rsid w:val="1E7065BE"/>
    <w:rsid w:val="1E7A14A8"/>
    <w:rsid w:val="1E7F32B0"/>
    <w:rsid w:val="1E873426"/>
    <w:rsid w:val="1EBA058B"/>
    <w:rsid w:val="1EBB622E"/>
    <w:rsid w:val="1EC34807"/>
    <w:rsid w:val="1EEA13A6"/>
    <w:rsid w:val="1EFE64E9"/>
    <w:rsid w:val="1F0709E5"/>
    <w:rsid w:val="1F0B768A"/>
    <w:rsid w:val="1F1620F4"/>
    <w:rsid w:val="1F3F5213"/>
    <w:rsid w:val="1F6207D0"/>
    <w:rsid w:val="1F7D0570"/>
    <w:rsid w:val="1F9041EC"/>
    <w:rsid w:val="1FA015EC"/>
    <w:rsid w:val="1FE1627D"/>
    <w:rsid w:val="1FEA603B"/>
    <w:rsid w:val="20090EA2"/>
    <w:rsid w:val="20133D98"/>
    <w:rsid w:val="20226856"/>
    <w:rsid w:val="20293E2F"/>
    <w:rsid w:val="20435B1B"/>
    <w:rsid w:val="205B743C"/>
    <w:rsid w:val="20686E43"/>
    <w:rsid w:val="206E3E8E"/>
    <w:rsid w:val="207224C8"/>
    <w:rsid w:val="2076639A"/>
    <w:rsid w:val="2093114F"/>
    <w:rsid w:val="2094746D"/>
    <w:rsid w:val="209B57AA"/>
    <w:rsid w:val="20A121FD"/>
    <w:rsid w:val="20AD2C5F"/>
    <w:rsid w:val="20BD00A8"/>
    <w:rsid w:val="20C20004"/>
    <w:rsid w:val="20D07CD4"/>
    <w:rsid w:val="20D83D6E"/>
    <w:rsid w:val="20DE5531"/>
    <w:rsid w:val="20E1180E"/>
    <w:rsid w:val="20EA6084"/>
    <w:rsid w:val="20EC135F"/>
    <w:rsid w:val="20F01139"/>
    <w:rsid w:val="20F1461D"/>
    <w:rsid w:val="210C771F"/>
    <w:rsid w:val="212B522B"/>
    <w:rsid w:val="21736537"/>
    <w:rsid w:val="217A74D8"/>
    <w:rsid w:val="21977807"/>
    <w:rsid w:val="219A6D4B"/>
    <w:rsid w:val="21BE2431"/>
    <w:rsid w:val="21C2735E"/>
    <w:rsid w:val="21D71593"/>
    <w:rsid w:val="21DD19A3"/>
    <w:rsid w:val="21E57FA3"/>
    <w:rsid w:val="21FB5A74"/>
    <w:rsid w:val="22034F52"/>
    <w:rsid w:val="226827C0"/>
    <w:rsid w:val="227C6EFF"/>
    <w:rsid w:val="228C4BA7"/>
    <w:rsid w:val="22942795"/>
    <w:rsid w:val="22A10D06"/>
    <w:rsid w:val="22B03931"/>
    <w:rsid w:val="22B665A5"/>
    <w:rsid w:val="22B85F08"/>
    <w:rsid w:val="22C925E0"/>
    <w:rsid w:val="22DE7C76"/>
    <w:rsid w:val="22E46F4A"/>
    <w:rsid w:val="22F20159"/>
    <w:rsid w:val="23005537"/>
    <w:rsid w:val="230A3078"/>
    <w:rsid w:val="230A54C8"/>
    <w:rsid w:val="233C2C53"/>
    <w:rsid w:val="23486890"/>
    <w:rsid w:val="236F1F61"/>
    <w:rsid w:val="23830E80"/>
    <w:rsid w:val="23AB4CDF"/>
    <w:rsid w:val="23B65B66"/>
    <w:rsid w:val="23BA40F1"/>
    <w:rsid w:val="23C37A75"/>
    <w:rsid w:val="23D43EA1"/>
    <w:rsid w:val="241707A9"/>
    <w:rsid w:val="24220F3E"/>
    <w:rsid w:val="2423604B"/>
    <w:rsid w:val="242B0FF0"/>
    <w:rsid w:val="243A3F7E"/>
    <w:rsid w:val="24436391"/>
    <w:rsid w:val="244F444B"/>
    <w:rsid w:val="2450121E"/>
    <w:rsid w:val="245726F7"/>
    <w:rsid w:val="2487622C"/>
    <w:rsid w:val="24973094"/>
    <w:rsid w:val="24AD6D9A"/>
    <w:rsid w:val="24D6253B"/>
    <w:rsid w:val="251418FC"/>
    <w:rsid w:val="25287B6E"/>
    <w:rsid w:val="254C382E"/>
    <w:rsid w:val="25537EF5"/>
    <w:rsid w:val="25A845B3"/>
    <w:rsid w:val="25E55A4D"/>
    <w:rsid w:val="25EB5951"/>
    <w:rsid w:val="25EB71B7"/>
    <w:rsid w:val="25FBD1C6"/>
    <w:rsid w:val="260276E7"/>
    <w:rsid w:val="26154215"/>
    <w:rsid w:val="261574AD"/>
    <w:rsid w:val="261A0BE6"/>
    <w:rsid w:val="262C6E4F"/>
    <w:rsid w:val="263C7691"/>
    <w:rsid w:val="265E2776"/>
    <w:rsid w:val="26666FDC"/>
    <w:rsid w:val="26AB763C"/>
    <w:rsid w:val="26B267E7"/>
    <w:rsid w:val="26F131DC"/>
    <w:rsid w:val="26F65310"/>
    <w:rsid w:val="27052D05"/>
    <w:rsid w:val="27082804"/>
    <w:rsid w:val="270832AE"/>
    <w:rsid w:val="27357F9F"/>
    <w:rsid w:val="273F1FD9"/>
    <w:rsid w:val="277C00D0"/>
    <w:rsid w:val="27A16DE5"/>
    <w:rsid w:val="27A4553F"/>
    <w:rsid w:val="27C74FFB"/>
    <w:rsid w:val="27D06488"/>
    <w:rsid w:val="27D35135"/>
    <w:rsid w:val="27DFF2BC"/>
    <w:rsid w:val="27EF1935"/>
    <w:rsid w:val="27FB26F7"/>
    <w:rsid w:val="280A1B75"/>
    <w:rsid w:val="283962F8"/>
    <w:rsid w:val="284112C1"/>
    <w:rsid w:val="286A345F"/>
    <w:rsid w:val="287A36F4"/>
    <w:rsid w:val="288458E7"/>
    <w:rsid w:val="28A33A20"/>
    <w:rsid w:val="28A47F17"/>
    <w:rsid w:val="28D7626B"/>
    <w:rsid w:val="28E842D2"/>
    <w:rsid w:val="290212C1"/>
    <w:rsid w:val="290D5ED8"/>
    <w:rsid w:val="295A28B5"/>
    <w:rsid w:val="29656DCE"/>
    <w:rsid w:val="298A7A33"/>
    <w:rsid w:val="298B4B23"/>
    <w:rsid w:val="29AB625B"/>
    <w:rsid w:val="29B71FDB"/>
    <w:rsid w:val="29CF18DD"/>
    <w:rsid w:val="29D65D23"/>
    <w:rsid w:val="29D875FE"/>
    <w:rsid w:val="29F12F35"/>
    <w:rsid w:val="2A0B100E"/>
    <w:rsid w:val="2A194E5D"/>
    <w:rsid w:val="2A21554B"/>
    <w:rsid w:val="2A594BC2"/>
    <w:rsid w:val="2A5952FE"/>
    <w:rsid w:val="2A7D60F5"/>
    <w:rsid w:val="2A7E79B2"/>
    <w:rsid w:val="2A9F7561"/>
    <w:rsid w:val="2AA90FA0"/>
    <w:rsid w:val="2AB31CE2"/>
    <w:rsid w:val="2AB55266"/>
    <w:rsid w:val="2ADF564F"/>
    <w:rsid w:val="2AE56CAE"/>
    <w:rsid w:val="2B2250B8"/>
    <w:rsid w:val="2B41036D"/>
    <w:rsid w:val="2B43250A"/>
    <w:rsid w:val="2B487382"/>
    <w:rsid w:val="2B552F60"/>
    <w:rsid w:val="2B634FBD"/>
    <w:rsid w:val="2B69553F"/>
    <w:rsid w:val="2B7841A6"/>
    <w:rsid w:val="2BB367B9"/>
    <w:rsid w:val="2BC1301F"/>
    <w:rsid w:val="2BCFAFDE"/>
    <w:rsid w:val="2C0B2FE1"/>
    <w:rsid w:val="2C13380B"/>
    <w:rsid w:val="2C184D47"/>
    <w:rsid w:val="2C514425"/>
    <w:rsid w:val="2C796A89"/>
    <w:rsid w:val="2CA90479"/>
    <w:rsid w:val="2CBD3A96"/>
    <w:rsid w:val="2CC74339"/>
    <w:rsid w:val="2CCC23F7"/>
    <w:rsid w:val="2CCE1414"/>
    <w:rsid w:val="2CF93ABF"/>
    <w:rsid w:val="2CFFA9B3"/>
    <w:rsid w:val="2D121EED"/>
    <w:rsid w:val="2D1E27A3"/>
    <w:rsid w:val="2D27F8A5"/>
    <w:rsid w:val="2D394FF5"/>
    <w:rsid w:val="2D3B1E3A"/>
    <w:rsid w:val="2D6E25C1"/>
    <w:rsid w:val="2D766528"/>
    <w:rsid w:val="2D79736F"/>
    <w:rsid w:val="2D7C4484"/>
    <w:rsid w:val="2D9F08C2"/>
    <w:rsid w:val="2DBE2231"/>
    <w:rsid w:val="2DCBA548"/>
    <w:rsid w:val="2DCE20BE"/>
    <w:rsid w:val="2DDFE05D"/>
    <w:rsid w:val="2DFF25E6"/>
    <w:rsid w:val="2E0A6052"/>
    <w:rsid w:val="2E1D62B6"/>
    <w:rsid w:val="2E636CD0"/>
    <w:rsid w:val="2E6A704D"/>
    <w:rsid w:val="2E72208A"/>
    <w:rsid w:val="2E8700A0"/>
    <w:rsid w:val="2E8A6255"/>
    <w:rsid w:val="2EC310BD"/>
    <w:rsid w:val="2F0B1048"/>
    <w:rsid w:val="2F141AAA"/>
    <w:rsid w:val="2F2E3290"/>
    <w:rsid w:val="2F5A3D7C"/>
    <w:rsid w:val="2FA16E1D"/>
    <w:rsid w:val="2FCA4353"/>
    <w:rsid w:val="2FE55D75"/>
    <w:rsid w:val="2FE5E77A"/>
    <w:rsid w:val="2FF23F99"/>
    <w:rsid w:val="2FFE6C6F"/>
    <w:rsid w:val="30017B36"/>
    <w:rsid w:val="30216CBD"/>
    <w:rsid w:val="30236367"/>
    <w:rsid w:val="30331BC6"/>
    <w:rsid w:val="30370D81"/>
    <w:rsid w:val="303E7E03"/>
    <w:rsid w:val="304A182B"/>
    <w:rsid w:val="30700C52"/>
    <w:rsid w:val="30757C00"/>
    <w:rsid w:val="307D5D65"/>
    <w:rsid w:val="30B34CE3"/>
    <w:rsid w:val="30BC78BF"/>
    <w:rsid w:val="30CB1C83"/>
    <w:rsid w:val="30ED2830"/>
    <w:rsid w:val="310F4338"/>
    <w:rsid w:val="316B2857"/>
    <w:rsid w:val="317F7567"/>
    <w:rsid w:val="31832D29"/>
    <w:rsid w:val="319D5339"/>
    <w:rsid w:val="319F2F47"/>
    <w:rsid w:val="31B71C9E"/>
    <w:rsid w:val="31D20CDE"/>
    <w:rsid w:val="31F37E23"/>
    <w:rsid w:val="31FD0ADA"/>
    <w:rsid w:val="31FE689A"/>
    <w:rsid w:val="3206489B"/>
    <w:rsid w:val="32223DC6"/>
    <w:rsid w:val="325A02A1"/>
    <w:rsid w:val="32613717"/>
    <w:rsid w:val="329032EF"/>
    <w:rsid w:val="329970EF"/>
    <w:rsid w:val="32A2020C"/>
    <w:rsid w:val="32B35AAA"/>
    <w:rsid w:val="32C404E8"/>
    <w:rsid w:val="32CB6EDC"/>
    <w:rsid w:val="3312147C"/>
    <w:rsid w:val="33135210"/>
    <w:rsid w:val="3326373F"/>
    <w:rsid w:val="332A6DF3"/>
    <w:rsid w:val="334459AC"/>
    <w:rsid w:val="334775B8"/>
    <w:rsid w:val="335C05EB"/>
    <w:rsid w:val="336058F3"/>
    <w:rsid w:val="336358B7"/>
    <w:rsid w:val="336C57F5"/>
    <w:rsid w:val="33705A64"/>
    <w:rsid w:val="33A055AF"/>
    <w:rsid w:val="33A51E80"/>
    <w:rsid w:val="33D576D7"/>
    <w:rsid w:val="33DF33CE"/>
    <w:rsid w:val="33DF8CA6"/>
    <w:rsid w:val="33EB7A8F"/>
    <w:rsid w:val="33EE589E"/>
    <w:rsid w:val="340329A9"/>
    <w:rsid w:val="342645AD"/>
    <w:rsid w:val="342B057B"/>
    <w:rsid w:val="34335C8F"/>
    <w:rsid w:val="34617CD8"/>
    <w:rsid w:val="34753860"/>
    <w:rsid w:val="34A61339"/>
    <w:rsid w:val="34A90696"/>
    <w:rsid w:val="34B8139C"/>
    <w:rsid w:val="34CC3006"/>
    <w:rsid w:val="34EF38ED"/>
    <w:rsid w:val="34F3793E"/>
    <w:rsid w:val="35034B09"/>
    <w:rsid w:val="351F4A39"/>
    <w:rsid w:val="352C1330"/>
    <w:rsid w:val="3539047D"/>
    <w:rsid w:val="353A6148"/>
    <w:rsid w:val="35574E9C"/>
    <w:rsid w:val="35712E34"/>
    <w:rsid w:val="359F29EC"/>
    <w:rsid w:val="35BE6A29"/>
    <w:rsid w:val="35D445C7"/>
    <w:rsid w:val="35ED793B"/>
    <w:rsid w:val="35F84740"/>
    <w:rsid w:val="36383125"/>
    <w:rsid w:val="36532455"/>
    <w:rsid w:val="366C082D"/>
    <w:rsid w:val="366E0262"/>
    <w:rsid w:val="36847C9D"/>
    <w:rsid w:val="368C388A"/>
    <w:rsid w:val="36C90DD1"/>
    <w:rsid w:val="36D21D41"/>
    <w:rsid w:val="37071057"/>
    <w:rsid w:val="370B1B77"/>
    <w:rsid w:val="373C217C"/>
    <w:rsid w:val="374634AB"/>
    <w:rsid w:val="375867E7"/>
    <w:rsid w:val="37704489"/>
    <w:rsid w:val="37710026"/>
    <w:rsid w:val="37925427"/>
    <w:rsid w:val="379E0F7A"/>
    <w:rsid w:val="37A55DCC"/>
    <w:rsid w:val="37CA04FF"/>
    <w:rsid w:val="37D30771"/>
    <w:rsid w:val="37DFD518"/>
    <w:rsid w:val="37EC0BB8"/>
    <w:rsid w:val="37FFD3C5"/>
    <w:rsid w:val="383D3495"/>
    <w:rsid w:val="38472A51"/>
    <w:rsid w:val="384A30E3"/>
    <w:rsid w:val="384A6801"/>
    <w:rsid w:val="385507AA"/>
    <w:rsid w:val="388D6212"/>
    <w:rsid w:val="38995839"/>
    <w:rsid w:val="38C05C05"/>
    <w:rsid w:val="38E54DB7"/>
    <w:rsid w:val="38F67245"/>
    <w:rsid w:val="392350DC"/>
    <w:rsid w:val="392D338D"/>
    <w:rsid w:val="392E03A9"/>
    <w:rsid w:val="393E7085"/>
    <w:rsid w:val="3941556B"/>
    <w:rsid w:val="394C68A5"/>
    <w:rsid w:val="395E479A"/>
    <w:rsid w:val="39675804"/>
    <w:rsid w:val="3979098B"/>
    <w:rsid w:val="397E18D7"/>
    <w:rsid w:val="39A36C2D"/>
    <w:rsid w:val="39AA29B9"/>
    <w:rsid w:val="39B9109D"/>
    <w:rsid w:val="39E71AEC"/>
    <w:rsid w:val="39F41A71"/>
    <w:rsid w:val="39F60058"/>
    <w:rsid w:val="3A0E533A"/>
    <w:rsid w:val="3A104089"/>
    <w:rsid w:val="3A235E66"/>
    <w:rsid w:val="3A6A181A"/>
    <w:rsid w:val="3A8217DE"/>
    <w:rsid w:val="3A822B01"/>
    <w:rsid w:val="3A9F4998"/>
    <w:rsid w:val="3AB8426E"/>
    <w:rsid w:val="3AB98CB2"/>
    <w:rsid w:val="3ACD37E5"/>
    <w:rsid w:val="3ACF765C"/>
    <w:rsid w:val="3AD278CD"/>
    <w:rsid w:val="3AEB17F2"/>
    <w:rsid w:val="3AEB344C"/>
    <w:rsid w:val="3AF94EFA"/>
    <w:rsid w:val="3AFA4BE5"/>
    <w:rsid w:val="3B2A44B8"/>
    <w:rsid w:val="3B2B6476"/>
    <w:rsid w:val="3B3FAC0B"/>
    <w:rsid w:val="3B7C0FEF"/>
    <w:rsid w:val="3B7F10D5"/>
    <w:rsid w:val="3BAB6E46"/>
    <w:rsid w:val="3BBC038E"/>
    <w:rsid w:val="3BCF7A72"/>
    <w:rsid w:val="3BFE3F02"/>
    <w:rsid w:val="3C2972FD"/>
    <w:rsid w:val="3C5B4444"/>
    <w:rsid w:val="3C6BD4F9"/>
    <w:rsid w:val="3C852047"/>
    <w:rsid w:val="3CA13116"/>
    <w:rsid w:val="3CA43BF7"/>
    <w:rsid w:val="3CA925AE"/>
    <w:rsid w:val="3CDAD20C"/>
    <w:rsid w:val="3CDC0B8B"/>
    <w:rsid w:val="3CEB274D"/>
    <w:rsid w:val="3CEE6FC2"/>
    <w:rsid w:val="3CF877AB"/>
    <w:rsid w:val="3D0B5F9E"/>
    <w:rsid w:val="3D306CB2"/>
    <w:rsid w:val="3D32729D"/>
    <w:rsid w:val="3D485E54"/>
    <w:rsid w:val="3D667959"/>
    <w:rsid w:val="3D763A68"/>
    <w:rsid w:val="3D8230F2"/>
    <w:rsid w:val="3D886E2C"/>
    <w:rsid w:val="3DAA5519"/>
    <w:rsid w:val="3DC413E8"/>
    <w:rsid w:val="3DCA34BB"/>
    <w:rsid w:val="3DD83D60"/>
    <w:rsid w:val="3DDF6E72"/>
    <w:rsid w:val="3E044CAE"/>
    <w:rsid w:val="3E0B01E0"/>
    <w:rsid w:val="3E12201C"/>
    <w:rsid w:val="3E1E1AF9"/>
    <w:rsid w:val="3E427218"/>
    <w:rsid w:val="3E49090A"/>
    <w:rsid w:val="3E7BC2CD"/>
    <w:rsid w:val="3E9D08D7"/>
    <w:rsid w:val="3EA72ABE"/>
    <w:rsid w:val="3EAD4174"/>
    <w:rsid w:val="3EAD7F9C"/>
    <w:rsid w:val="3EB32892"/>
    <w:rsid w:val="3EB58FF9"/>
    <w:rsid w:val="3EBC3336"/>
    <w:rsid w:val="3EBD0429"/>
    <w:rsid w:val="3EC610F2"/>
    <w:rsid w:val="3EDE79C6"/>
    <w:rsid w:val="3EF65530"/>
    <w:rsid w:val="3EF9D3F1"/>
    <w:rsid w:val="3EFF9593"/>
    <w:rsid w:val="3F035953"/>
    <w:rsid w:val="3F064AE9"/>
    <w:rsid w:val="3F1E66C4"/>
    <w:rsid w:val="3F3225C8"/>
    <w:rsid w:val="3F3B0C43"/>
    <w:rsid w:val="3F4C62B0"/>
    <w:rsid w:val="3F66523D"/>
    <w:rsid w:val="3F6E4168"/>
    <w:rsid w:val="3F7279F0"/>
    <w:rsid w:val="3F9717D1"/>
    <w:rsid w:val="3F9D7C66"/>
    <w:rsid w:val="3FB2485B"/>
    <w:rsid w:val="3FB689BA"/>
    <w:rsid w:val="3FB7DAC3"/>
    <w:rsid w:val="3FCB940A"/>
    <w:rsid w:val="3FCD00FD"/>
    <w:rsid w:val="3FE32D99"/>
    <w:rsid w:val="3FF7BF3D"/>
    <w:rsid w:val="3FFD6C8D"/>
    <w:rsid w:val="402A34B8"/>
    <w:rsid w:val="402E040A"/>
    <w:rsid w:val="40360CD1"/>
    <w:rsid w:val="40361D66"/>
    <w:rsid w:val="40564282"/>
    <w:rsid w:val="406060C3"/>
    <w:rsid w:val="40613E30"/>
    <w:rsid w:val="40736573"/>
    <w:rsid w:val="407D7357"/>
    <w:rsid w:val="409B4A07"/>
    <w:rsid w:val="40BF6E39"/>
    <w:rsid w:val="40C25B7F"/>
    <w:rsid w:val="40EA548F"/>
    <w:rsid w:val="40F66678"/>
    <w:rsid w:val="410E1C56"/>
    <w:rsid w:val="4120577A"/>
    <w:rsid w:val="412E4102"/>
    <w:rsid w:val="41313EDF"/>
    <w:rsid w:val="416C142E"/>
    <w:rsid w:val="418D13E5"/>
    <w:rsid w:val="41B66342"/>
    <w:rsid w:val="41E25FEF"/>
    <w:rsid w:val="41F31157"/>
    <w:rsid w:val="41FD121E"/>
    <w:rsid w:val="421A7627"/>
    <w:rsid w:val="4233112B"/>
    <w:rsid w:val="42401E98"/>
    <w:rsid w:val="425A3C21"/>
    <w:rsid w:val="4267672B"/>
    <w:rsid w:val="427F1795"/>
    <w:rsid w:val="42872311"/>
    <w:rsid w:val="428B5762"/>
    <w:rsid w:val="42AD3BBE"/>
    <w:rsid w:val="42D47C2B"/>
    <w:rsid w:val="42DA32B5"/>
    <w:rsid w:val="42E75CBD"/>
    <w:rsid w:val="42FA38B9"/>
    <w:rsid w:val="431B7ED7"/>
    <w:rsid w:val="433543AC"/>
    <w:rsid w:val="43420FE8"/>
    <w:rsid w:val="434513F0"/>
    <w:rsid w:val="434656CF"/>
    <w:rsid w:val="43702851"/>
    <w:rsid w:val="439B5AA0"/>
    <w:rsid w:val="43C2456C"/>
    <w:rsid w:val="43CA4F48"/>
    <w:rsid w:val="43DF4A9B"/>
    <w:rsid w:val="43F0317B"/>
    <w:rsid w:val="43F9002B"/>
    <w:rsid w:val="441E797F"/>
    <w:rsid w:val="4424604A"/>
    <w:rsid w:val="442967DE"/>
    <w:rsid w:val="445014AB"/>
    <w:rsid w:val="44951F7C"/>
    <w:rsid w:val="44CE660D"/>
    <w:rsid w:val="44D750ED"/>
    <w:rsid w:val="44F83F0D"/>
    <w:rsid w:val="4502438F"/>
    <w:rsid w:val="454F0B76"/>
    <w:rsid w:val="45795008"/>
    <w:rsid w:val="4579514B"/>
    <w:rsid w:val="457E2BBE"/>
    <w:rsid w:val="457F72E8"/>
    <w:rsid w:val="45812342"/>
    <w:rsid w:val="45BE70CB"/>
    <w:rsid w:val="45C30CC5"/>
    <w:rsid w:val="45CB0639"/>
    <w:rsid w:val="45DB18E9"/>
    <w:rsid w:val="45DE083B"/>
    <w:rsid w:val="45E076C0"/>
    <w:rsid w:val="45E85CE9"/>
    <w:rsid w:val="45EF0E3A"/>
    <w:rsid w:val="45F10353"/>
    <w:rsid w:val="45F36067"/>
    <w:rsid w:val="460054E7"/>
    <w:rsid w:val="460C0745"/>
    <w:rsid w:val="463122D8"/>
    <w:rsid w:val="4632053D"/>
    <w:rsid w:val="463D551C"/>
    <w:rsid w:val="46577675"/>
    <w:rsid w:val="4662415A"/>
    <w:rsid w:val="4662498C"/>
    <w:rsid w:val="466F029E"/>
    <w:rsid w:val="46A022D9"/>
    <w:rsid w:val="46A9554B"/>
    <w:rsid w:val="46AA7AE9"/>
    <w:rsid w:val="46B21457"/>
    <w:rsid w:val="46BE1A6C"/>
    <w:rsid w:val="46BE6647"/>
    <w:rsid w:val="46C2653A"/>
    <w:rsid w:val="46C96620"/>
    <w:rsid w:val="46CC2B84"/>
    <w:rsid w:val="46EE3897"/>
    <w:rsid w:val="471B3499"/>
    <w:rsid w:val="4730142A"/>
    <w:rsid w:val="477F005D"/>
    <w:rsid w:val="478DCCCB"/>
    <w:rsid w:val="478E4BD2"/>
    <w:rsid w:val="479B6AEC"/>
    <w:rsid w:val="47D45636"/>
    <w:rsid w:val="47DD756D"/>
    <w:rsid w:val="48011C14"/>
    <w:rsid w:val="48037A8A"/>
    <w:rsid w:val="48056FFA"/>
    <w:rsid w:val="48092C09"/>
    <w:rsid w:val="48377D23"/>
    <w:rsid w:val="48474F49"/>
    <w:rsid w:val="486634EE"/>
    <w:rsid w:val="48807890"/>
    <w:rsid w:val="488A727E"/>
    <w:rsid w:val="489A5E11"/>
    <w:rsid w:val="48A22238"/>
    <w:rsid w:val="48A64B98"/>
    <w:rsid w:val="48AD0F4E"/>
    <w:rsid w:val="48BC156D"/>
    <w:rsid w:val="48F765BE"/>
    <w:rsid w:val="490445F2"/>
    <w:rsid w:val="490935A0"/>
    <w:rsid w:val="49183CD0"/>
    <w:rsid w:val="49291217"/>
    <w:rsid w:val="49320F23"/>
    <w:rsid w:val="49573AEA"/>
    <w:rsid w:val="49A278E4"/>
    <w:rsid w:val="49BA0254"/>
    <w:rsid w:val="49DD73AE"/>
    <w:rsid w:val="49DF0293"/>
    <w:rsid w:val="49E87BA2"/>
    <w:rsid w:val="49F0622F"/>
    <w:rsid w:val="49F11610"/>
    <w:rsid w:val="49F95BD6"/>
    <w:rsid w:val="49F9FBFF"/>
    <w:rsid w:val="4A2D4613"/>
    <w:rsid w:val="4A8C77D9"/>
    <w:rsid w:val="4AA73240"/>
    <w:rsid w:val="4AB72272"/>
    <w:rsid w:val="4AD55EAC"/>
    <w:rsid w:val="4AD703A4"/>
    <w:rsid w:val="4AE14CE5"/>
    <w:rsid w:val="4B305E1B"/>
    <w:rsid w:val="4B3D6070"/>
    <w:rsid w:val="4B4632A9"/>
    <w:rsid w:val="4BB5392D"/>
    <w:rsid w:val="4BB92D8E"/>
    <w:rsid w:val="4BD07B58"/>
    <w:rsid w:val="4BD236AD"/>
    <w:rsid w:val="4BE87BA5"/>
    <w:rsid w:val="4C005116"/>
    <w:rsid w:val="4C3176AB"/>
    <w:rsid w:val="4C415DC1"/>
    <w:rsid w:val="4C51468C"/>
    <w:rsid w:val="4C602C81"/>
    <w:rsid w:val="4C6E278E"/>
    <w:rsid w:val="4C6F31F2"/>
    <w:rsid w:val="4C9837DA"/>
    <w:rsid w:val="4CFF538B"/>
    <w:rsid w:val="4D4D7800"/>
    <w:rsid w:val="4D7251FF"/>
    <w:rsid w:val="4D83495E"/>
    <w:rsid w:val="4DB8446C"/>
    <w:rsid w:val="4DE50C0B"/>
    <w:rsid w:val="4E11105D"/>
    <w:rsid w:val="4E16225A"/>
    <w:rsid w:val="4E180317"/>
    <w:rsid w:val="4E224CE2"/>
    <w:rsid w:val="4E253AB8"/>
    <w:rsid w:val="4E2B1DBF"/>
    <w:rsid w:val="4E3F66C2"/>
    <w:rsid w:val="4E472C92"/>
    <w:rsid w:val="4E824D97"/>
    <w:rsid w:val="4E88341A"/>
    <w:rsid w:val="4E8F13F8"/>
    <w:rsid w:val="4E9D5C2D"/>
    <w:rsid w:val="4EBA57C1"/>
    <w:rsid w:val="4ED50A17"/>
    <w:rsid w:val="4EE7C9FA"/>
    <w:rsid w:val="4F047E0A"/>
    <w:rsid w:val="4F07757D"/>
    <w:rsid w:val="4F096730"/>
    <w:rsid w:val="4F477F24"/>
    <w:rsid w:val="4F4936D9"/>
    <w:rsid w:val="4F77F7B4"/>
    <w:rsid w:val="4F7E1EA1"/>
    <w:rsid w:val="4F852864"/>
    <w:rsid w:val="4FA91AAC"/>
    <w:rsid w:val="4FBCE6E7"/>
    <w:rsid w:val="4FBD0FF5"/>
    <w:rsid w:val="4FC854D7"/>
    <w:rsid w:val="4FF678D5"/>
    <w:rsid w:val="50142DE1"/>
    <w:rsid w:val="5015687B"/>
    <w:rsid w:val="501926CA"/>
    <w:rsid w:val="501C30D7"/>
    <w:rsid w:val="503109FF"/>
    <w:rsid w:val="505E3D68"/>
    <w:rsid w:val="50D13748"/>
    <w:rsid w:val="511C0C9C"/>
    <w:rsid w:val="51241968"/>
    <w:rsid w:val="512A6D10"/>
    <w:rsid w:val="51351143"/>
    <w:rsid w:val="516A440A"/>
    <w:rsid w:val="516C72A2"/>
    <w:rsid w:val="519032CB"/>
    <w:rsid w:val="51BA5A6F"/>
    <w:rsid w:val="51C42E16"/>
    <w:rsid w:val="51CB5193"/>
    <w:rsid w:val="51F73F86"/>
    <w:rsid w:val="521115A1"/>
    <w:rsid w:val="52430B2E"/>
    <w:rsid w:val="524D3E1A"/>
    <w:rsid w:val="525351F4"/>
    <w:rsid w:val="525A6FBC"/>
    <w:rsid w:val="52645B25"/>
    <w:rsid w:val="526C0997"/>
    <w:rsid w:val="52855A65"/>
    <w:rsid w:val="52FB60FD"/>
    <w:rsid w:val="53052442"/>
    <w:rsid w:val="53223676"/>
    <w:rsid w:val="5329003E"/>
    <w:rsid w:val="53311AB3"/>
    <w:rsid w:val="53317F44"/>
    <w:rsid w:val="533D33D1"/>
    <w:rsid w:val="534FE554"/>
    <w:rsid w:val="53511F1B"/>
    <w:rsid w:val="536252C2"/>
    <w:rsid w:val="53670B33"/>
    <w:rsid w:val="537735FB"/>
    <w:rsid w:val="53775B6A"/>
    <w:rsid w:val="5388305B"/>
    <w:rsid w:val="538F5737"/>
    <w:rsid w:val="53D43855"/>
    <w:rsid w:val="53D6214F"/>
    <w:rsid w:val="53EE1101"/>
    <w:rsid w:val="53FB5D72"/>
    <w:rsid w:val="53FC4E8E"/>
    <w:rsid w:val="541717DC"/>
    <w:rsid w:val="54271D5C"/>
    <w:rsid w:val="54380EDF"/>
    <w:rsid w:val="546704F0"/>
    <w:rsid w:val="5474722B"/>
    <w:rsid w:val="547B44BA"/>
    <w:rsid w:val="548712BD"/>
    <w:rsid w:val="54976AA9"/>
    <w:rsid w:val="549A3F89"/>
    <w:rsid w:val="54DC2CA5"/>
    <w:rsid w:val="54DE0134"/>
    <w:rsid w:val="553C46BA"/>
    <w:rsid w:val="5545363C"/>
    <w:rsid w:val="55494082"/>
    <w:rsid w:val="556C6DB9"/>
    <w:rsid w:val="557D5B60"/>
    <w:rsid w:val="55834A19"/>
    <w:rsid w:val="558A0CD6"/>
    <w:rsid w:val="55BF466A"/>
    <w:rsid w:val="55DD60F2"/>
    <w:rsid w:val="55F27046"/>
    <w:rsid w:val="55F526C6"/>
    <w:rsid w:val="56066DC9"/>
    <w:rsid w:val="564010D3"/>
    <w:rsid w:val="56450363"/>
    <w:rsid w:val="564E1228"/>
    <w:rsid w:val="565A0534"/>
    <w:rsid w:val="568B1B00"/>
    <w:rsid w:val="56A6131D"/>
    <w:rsid w:val="56A82B00"/>
    <w:rsid w:val="56BC5AD0"/>
    <w:rsid w:val="56D00C68"/>
    <w:rsid w:val="56EC4AD0"/>
    <w:rsid w:val="56ED7603"/>
    <w:rsid w:val="57022BD1"/>
    <w:rsid w:val="570F6816"/>
    <w:rsid w:val="571A483D"/>
    <w:rsid w:val="57212B27"/>
    <w:rsid w:val="572809C2"/>
    <w:rsid w:val="57480C4D"/>
    <w:rsid w:val="574C27F3"/>
    <w:rsid w:val="5757095B"/>
    <w:rsid w:val="576F5440"/>
    <w:rsid w:val="577D4872"/>
    <w:rsid w:val="57895A45"/>
    <w:rsid w:val="57980551"/>
    <w:rsid w:val="57BFA81E"/>
    <w:rsid w:val="57C5313B"/>
    <w:rsid w:val="57CF3962"/>
    <w:rsid w:val="57D26AB7"/>
    <w:rsid w:val="57D807D4"/>
    <w:rsid w:val="57EA7969"/>
    <w:rsid w:val="57F740F4"/>
    <w:rsid w:val="57FA3D86"/>
    <w:rsid w:val="58733B63"/>
    <w:rsid w:val="58750691"/>
    <w:rsid w:val="58AB575D"/>
    <w:rsid w:val="58B40C69"/>
    <w:rsid w:val="58B636BF"/>
    <w:rsid w:val="58BC728D"/>
    <w:rsid w:val="58D84A74"/>
    <w:rsid w:val="58DD0763"/>
    <w:rsid w:val="58DD21D7"/>
    <w:rsid w:val="59341B67"/>
    <w:rsid w:val="59445F91"/>
    <w:rsid w:val="59474E7A"/>
    <w:rsid w:val="5955073B"/>
    <w:rsid w:val="595A7532"/>
    <w:rsid w:val="59815208"/>
    <w:rsid w:val="59D95921"/>
    <w:rsid w:val="59F001A4"/>
    <w:rsid w:val="5A122992"/>
    <w:rsid w:val="5A1E2DE7"/>
    <w:rsid w:val="5A20427A"/>
    <w:rsid w:val="5A395FB6"/>
    <w:rsid w:val="5A436A2D"/>
    <w:rsid w:val="5A771BC4"/>
    <w:rsid w:val="5A7F1DC3"/>
    <w:rsid w:val="5AA179C0"/>
    <w:rsid w:val="5AAC3332"/>
    <w:rsid w:val="5AAF7FEE"/>
    <w:rsid w:val="5ACE2103"/>
    <w:rsid w:val="5ADF1011"/>
    <w:rsid w:val="5AFB2D6E"/>
    <w:rsid w:val="5B0A066E"/>
    <w:rsid w:val="5B123FA7"/>
    <w:rsid w:val="5B4C4290"/>
    <w:rsid w:val="5B5B66DC"/>
    <w:rsid w:val="5B5E18A4"/>
    <w:rsid w:val="5B613C0E"/>
    <w:rsid w:val="5B7C2DC4"/>
    <w:rsid w:val="5B915317"/>
    <w:rsid w:val="5B955E96"/>
    <w:rsid w:val="5B9B2E59"/>
    <w:rsid w:val="5B9B3675"/>
    <w:rsid w:val="5BA26571"/>
    <w:rsid w:val="5BA92C6B"/>
    <w:rsid w:val="5BCA6564"/>
    <w:rsid w:val="5BD66D67"/>
    <w:rsid w:val="5C107D40"/>
    <w:rsid w:val="5C147869"/>
    <w:rsid w:val="5C15139A"/>
    <w:rsid w:val="5C1E3775"/>
    <w:rsid w:val="5C381264"/>
    <w:rsid w:val="5C672644"/>
    <w:rsid w:val="5C8132C7"/>
    <w:rsid w:val="5C8563E4"/>
    <w:rsid w:val="5CA23A25"/>
    <w:rsid w:val="5CC26330"/>
    <w:rsid w:val="5CD67F41"/>
    <w:rsid w:val="5CDF760E"/>
    <w:rsid w:val="5CE66541"/>
    <w:rsid w:val="5CF453B2"/>
    <w:rsid w:val="5D017C51"/>
    <w:rsid w:val="5D060C98"/>
    <w:rsid w:val="5D1B1DC7"/>
    <w:rsid w:val="5D3200B8"/>
    <w:rsid w:val="5D3F5332"/>
    <w:rsid w:val="5D4165A3"/>
    <w:rsid w:val="5D463591"/>
    <w:rsid w:val="5D4F2A78"/>
    <w:rsid w:val="5D4F7ED0"/>
    <w:rsid w:val="5D5A0592"/>
    <w:rsid w:val="5D792AE4"/>
    <w:rsid w:val="5D9C1B0D"/>
    <w:rsid w:val="5DAD1ECE"/>
    <w:rsid w:val="5DC25C67"/>
    <w:rsid w:val="5DD97571"/>
    <w:rsid w:val="5DF58FC7"/>
    <w:rsid w:val="5DFD708D"/>
    <w:rsid w:val="5DFF0D27"/>
    <w:rsid w:val="5DFFAD62"/>
    <w:rsid w:val="5E2774DB"/>
    <w:rsid w:val="5E2F58D3"/>
    <w:rsid w:val="5E52091B"/>
    <w:rsid w:val="5E5A06FD"/>
    <w:rsid w:val="5E9342EC"/>
    <w:rsid w:val="5E9E498A"/>
    <w:rsid w:val="5EA27CF7"/>
    <w:rsid w:val="5EA61486"/>
    <w:rsid w:val="5EB62B27"/>
    <w:rsid w:val="5EBC3C1E"/>
    <w:rsid w:val="5ED427B2"/>
    <w:rsid w:val="5ED70279"/>
    <w:rsid w:val="5EDFC910"/>
    <w:rsid w:val="5EEB4040"/>
    <w:rsid w:val="5EF77A7E"/>
    <w:rsid w:val="5F2E00CC"/>
    <w:rsid w:val="5F3815EE"/>
    <w:rsid w:val="5F430A91"/>
    <w:rsid w:val="5F5B7A6F"/>
    <w:rsid w:val="5F5C32D6"/>
    <w:rsid w:val="5F7649FB"/>
    <w:rsid w:val="5F82661B"/>
    <w:rsid w:val="5F8D6BDA"/>
    <w:rsid w:val="5F970771"/>
    <w:rsid w:val="5F9C10A2"/>
    <w:rsid w:val="5FA71BE3"/>
    <w:rsid w:val="5FA92D9F"/>
    <w:rsid w:val="5FAC2DE4"/>
    <w:rsid w:val="5FB10E83"/>
    <w:rsid w:val="5FC73231"/>
    <w:rsid w:val="5FD70630"/>
    <w:rsid w:val="5FD79839"/>
    <w:rsid w:val="5FD914CE"/>
    <w:rsid w:val="5FF35908"/>
    <w:rsid w:val="5FF563F9"/>
    <w:rsid w:val="5FF75406"/>
    <w:rsid w:val="5FFF1A4A"/>
    <w:rsid w:val="600A705A"/>
    <w:rsid w:val="600E788A"/>
    <w:rsid w:val="600F3699"/>
    <w:rsid w:val="6011673F"/>
    <w:rsid w:val="604130CF"/>
    <w:rsid w:val="60663C94"/>
    <w:rsid w:val="60794FD4"/>
    <w:rsid w:val="60814FEF"/>
    <w:rsid w:val="60976446"/>
    <w:rsid w:val="60AE4E89"/>
    <w:rsid w:val="60D32F5A"/>
    <w:rsid w:val="610E2B4C"/>
    <w:rsid w:val="610F359A"/>
    <w:rsid w:val="611F5F4B"/>
    <w:rsid w:val="612D6E8F"/>
    <w:rsid w:val="613E4136"/>
    <w:rsid w:val="614D10D2"/>
    <w:rsid w:val="61801C93"/>
    <w:rsid w:val="61807ABD"/>
    <w:rsid w:val="61846CDE"/>
    <w:rsid w:val="619945D7"/>
    <w:rsid w:val="61B56F70"/>
    <w:rsid w:val="61C24BFD"/>
    <w:rsid w:val="61DE43D4"/>
    <w:rsid w:val="61E06967"/>
    <w:rsid w:val="61ED083B"/>
    <w:rsid w:val="624216A0"/>
    <w:rsid w:val="626343A0"/>
    <w:rsid w:val="626736F9"/>
    <w:rsid w:val="626B4082"/>
    <w:rsid w:val="626B6B00"/>
    <w:rsid w:val="6286511A"/>
    <w:rsid w:val="628E1BE9"/>
    <w:rsid w:val="628F7203"/>
    <w:rsid w:val="629C7113"/>
    <w:rsid w:val="62D06FF9"/>
    <w:rsid w:val="62D765EB"/>
    <w:rsid w:val="62FE43C4"/>
    <w:rsid w:val="63021D83"/>
    <w:rsid w:val="6321195C"/>
    <w:rsid w:val="636B22CC"/>
    <w:rsid w:val="636C198B"/>
    <w:rsid w:val="639A2C09"/>
    <w:rsid w:val="639B2616"/>
    <w:rsid w:val="63B65AC7"/>
    <w:rsid w:val="63CF5573"/>
    <w:rsid w:val="63D7428B"/>
    <w:rsid w:val="640C4C0D"/>
    <w:rsid w:val="643B5584"/>
    <w:rsid w:val="644F1EBF"/>
    <w:rsid w:val="645830D7"/>
    <w:rsid w:val="64675414"/>
    <w:rsid w:val="647258C3"/>
    <w:rsid w:val="64AA2E73"/>
    <w:rsid w:val="64B8434A"/>
    <w:rsid w:val="64C5008F"/>
    <w:rsid w:val="64D2404F"/>
    <w:rsid w:val="64E8446E"/>
    <w:rsid w:val="65034D8D"/>
    <w:rsid w:val="65302769"/>
    <w:rsid w:val="65376B47"/>
    <w:rsid w:val="654042F5"/>
    <w:rsid w:val="65537C34"/>
    <w:rsid w:val="65ED34AD"/>
    <w:rsid w:val="65F66C79"/>
    <w:rsid w:val="660447CA"/>
    <w:rsid w:val="665622BC"/>
    <w:rsid w:val="665820C8"/>
    <w:rsid w:val="6660772E"/>
    <w:rsid w:val="66653739"/>
    <w:rsid w:val="666C4EE6"/>
    <w:rsid w:val="66792487"/>
    <w:rsid w:val="66A178F0"/>
    <w:rsid w:val="66FB0FDC"/>
    <w:rsid w:val="66FC5AFF"/>
    <w:rsid w:val="66FE3167"/>
    <w:rsid w:val="6709462E"/>
    <w:rsid w:val="673B0A69"/>
    <w:rsid w:val="674525DF"/>
    <w:rsid w:val="6777196F"/>
    <w:rsid w:val="678A1ED0"/>
    <w:rsid w:val="67A744FC"/>
    <w:rsid w:val="67AB61F8"/>
    <w:rsid w:val="67AFA11C"/>
    <w:rsid w:val="67BA7741"/>
    <w:rsid w:val="67BF2C5D"/>
    <w:rsid w:val="67CE5698"/>
    <w:rsid w:val="67E6170C"/>
    <w:rsid w:val="67FBA179"/>
    <w:rsid w:val="67FF84E2"/>
    <w:rsid w:val="680D0CA5"/>
    <w:rsid w:val="682F08AB"/>
    <w:rsid w:val="683D205B"/>
    <w:rsid w:val="687B6403"/>
    <w:rsid w:val="68916D9B"/>
    <w:rsid w:val="68A45648"/>
    <w:rsid w:val="68A5668C"/>
    <w:rsid w:val="68D27297"/>
    <w:rsid w:val="6911241F"/>
    <w:rsid w:val="691E001F"/>
    <w:rsid w:val="694D3FA6"/>
    <w:rsid w:val="69992032"/>
    <w:rsid w:val="69B67115"/>
    <w:rsid w:val="69B82DF4"/>
    <w:rsid w:val="69C11329"/>
    <w:rsid w:val="69DF1648"/>
    <w:rsid w:val="69DF55BE"/>
    <w:rsid w:val="69EF53B4"/>
    <w:rsid w:val="69FB365C"/>
    <w:rsid w:val="6A126DD2"/>
    <w:rsid w:val="6A231730"/>
    <w:rsid w:val="6A420E56"/>
    <w:rsid w:val="6A6602B1"/>
    <w:rsid w:val="6A7A4AD5"/>
    <w:rsid w:val="6A924E32"/>
    <w:rsid w:val="6A94008C"/>
    <w:rsid w:val="6A997C3D"/>
    <w:rsid w:val="6AA4465D"/>
    <w:rsid w:val="6AB57189"/>
    <w:rsid w:val="6AC00C9E"/>
    <w:rsid w:val="6AC61DD9"/>
    <w:rsid w:val="6AC635A8"/>
    <w:rsid w:val="6AE60947"/>
    <w:rsid w:val="6AEF6EB8"/>
    <w:rsid w:val="6B0B374F"/>
    <w:rsid w:val="6B0E6D92"/>
    <w:rsid w:val="6B17074E"/>
    <w:rsid w:val="6B1F0CCB"/>
    <w:rsid w:val="6B2751C5"/>
    <w:rsid w:val="6B3259F5"/>
    <w:rsid w:val="6B3A9615"/>
    <w:rsid w:val="6B5363CE"/>
    <w:rsid w:val="6B6234E5"/>
    <w:rsid w:val="6B972A2D"/>
    <w:rsid w:val="6BBD11F5"/>
    <w:rsid w:val="6BBD6D91"/>
    <w:rsid w:val="6BCE1834"/>
    <w:rsid w:val="6BD03987"/>
    <w:rsid w:val="6BD12800"/>
    <w:rsid w:val="6BE17EE8"/>
    <w:rsid w:val="6BFA2F04"/>
    <w:rsid w:val="6C005CE7"/>
    <w:rsid w:val="6C022DB1"/>
    <w:rsid w:val="6C030E4B"/>
    <w:rsid w:val="6C1164D9"/>
    <w:rsid w:val="6C200D51"/>
    <w:rsid w:val="6C5E02FC"/>
    <w:rsid w:val="6C627EDB"/>
    <w:rsid w:val="6C721812"/>
    <w:rsid w:val="6C880D03"/>
    <w:rsid w:val="6C8B0F52"/>
    <w:rsid w:val="6CD96A21"/>
    <w:rsid w:val="6CDD0DD0"/>
    <w:rsid w:val="6CF51963"/>
    <w:rsid w:val="6CFA7DB1"/>
    <w:rsid w:val="6D0127E4"/>
    <w:rsid w:val="6D135E16"/>
    <w:rsid w:val="6D1C168A"/>
    <w:rsid w:val="6D347A31"/>
    <w:rsid w:val="6D3668DD"/>
    <w:rsid w:val="6D471CAB"/>
    <w:rsid w:val="6D6F4DA4"/>
    <w:rsid w:val="6DAC0977"/>
    <w:rsid w:val="6DB941BD"/>
    <w:rsid w:val="6DC60F63"/>
    <w:rsid w:val="6E1A5BCD"/>
    <w:rsid w:val="6E4C770B"/>
    <w:rsid w:val="6E5F1098"/>
    <w:rsid w:val="6E60150F"/>
    <w:rsid w:val="6E6F2793"/>
    <w:rsid w:val="6E703D8E"/>
    <w:rsid w:val="6E7A132A"/>
    <w:rsid w:val="6E7E60CD"/>
    <w:rsid w:val="6E7EB17C"/>
    <w:rsid w:val="6E84323D"/>
    <w:rsid w:val="6E942A76"/>
    <w:rsid w:val="6EA27757"/>
    <w:rsid w:val="6EA41FA2"/>
    <w:rsid w:val="6EB44AD4"/>
    <w:rsid w:val="6ED73532"/>
    <w:rsid w:val="6EDC48A6"/>
    <w:rsid w:val="6EDE1A70"/>
    <w:rsid w:val="6EF2F120"/>
    <w:rsid w:val="6EFC1D3A"/>
    <w:rsid w:val="6F1152A3"/>
    <w:rsid w:val="6F2220FD"/>
    <w:rsid w:val="6F313FE8"/>
    <w:rsid w:val="6F350301"/>
    <w:rsid w:val="6F381CAC"/>
    <w:rsid w:val="6F3F7BF1"/>
    <w:rsid w:val="6F455D89"/>
    <w:rsid w:val="6F6128C1"/>
    <w:rsid w:val="6F633C29"/>
    <w:rsid w:val="6F9C6902"/>
    <w:rsid w:val="6FA0729C"/>
    <w:rsid w:val="6FA205CB"/>
    <w:rsid w:val="6FAD72F5"/>
    <w:rsid w:val="6FDD4DE6"/>
    <w:rsid w:val="6FDFD8FF"/>
    <w:rsid w:val="6FEB2C43"/>
    <w:rsid w:val="6FEF4FB0"/>
    <w:rsid w:val="6FEF7AF1"/>
    <w:rsid w:val="70100CA2"/>
    <w:rsid w:val="70393572"/>
    <w:rsid w:val="704C4E7B"/>
    <w:rsid w:val="70610967"/>
    <w:rsid w:val="70852788"/>
    <w:rsid w:val="70892265"/>
    <w:rsid w:val="70A15EF2"/>
    <w:rsid w:val="70A24D48"/>
    <w:rsid w:val="70A40FF9"/>
    <w:rsid w:val="70BA64EF"/>
    <w:rsid w:val="70C900DF"/>
    <w:rsid w:val="70F80524"/>
    <w:rsid w:val="70FC505A"/>
    <w:rsid w:val="710A2419"/>
    <w:rsid w:val="710C226A"/>
    <w:rsid w:val="71326D32"/>
    <w:rsid w:val="714C2CD0"/>
    <w:rsid w:val="715A596A"/>
    <w:rsid w:val="7162056E"/>
    <w:rsid w:val="717C247D"/>
    <w:rsid w:val="717F26E4"/>
    <w:rsid w:val="71814006"/>
    <w:rsid w:val="71816B8E"/>
    <w:rsid w:val="71832D29"/>
    <w:rsid w:val="71907818"/>
    <w:rsid w:val="71A821C4"/>
    <w:rsid w:val="71B0045C"/>
    <w:rsid w:val="71B252F9"/>
    <w:rsid w:val="71BF5724"/>
    <w:rsid w:val="71E239A4"/>
    <w:rsid w:val="71E95916"/>
    <w:rsid w:val="7203413E"/>
    <w:rsid w:val="7250588C"/>
    <w:rsid w:val="72651DF0"/>
    <w:rsid w:val="726F5278"/>
    <w:rsid w:val="727E786A"/>
    <w:rsid w:val="72887FD4"/>
    <w:rsid w:val="729D1577"/>
    <w:rsid w:val="72BD0544"/>
    <w:rsid w:val="72C0472D"/>
    <w:rsid w:val="72D11D5C"/>
    <w:rsid w:val="72E85DAD"/>
    <w:rsid w:val="73094339"/>
    <w:rsid w:val="732303D9"/>
    <w:rsid w:val="732F8D3C"/>
    <w:rsid w:val="733818AE"/>
    <w:rsid w:val="73532CC9"/>
    <w:rsid w:val="737FA0ED"/>
    <w:rsid w:val="73870CC5"/>
    <w:rsid w:val="73CC3F16"/>
    <w:rsid w:val="73D73D11"/>
    <w:rsid w:val="73E05929"/>
    <w:rsid w:val="73EC4FBF"/>
    <w:rsid w:val="73FF1727"/>
    <w:rsid w:val="744975DD"/>
    <w:rsid w:val="745558E8"/>
    <w:rsid w:val="746920A5"/>
    <w:rsid w:val="74733422"/>
    <w:rsid w:val="74CB1EDB"/>
    <w:rsid w:val="74DE73F5"/>
    <w:rsid w:val="74FA5557"/>
    <w:rsid w:val="75160021"/>
    <w:rsid w:val="751E77AF"/>
    <w:rsid w:val="757D5931"/>
    <w:rsid w:val="757FA7B4"/>
    <w:rsid w:val="75C8117D"/>
    <w:rsid w:val="75D07F8B"/>
    <w:rsid w:val="75D51537"/>
    <w:rsid w:val="75E92BD3"/>
    <w:rsid w:val="75EE5669"/>
    <w:rsid w:val="7636D2E0"/>
    <w:rsid w:val="76646D93"/>
    <w:rsid w:val="76957051"/>
    <w:rsid w:val="76BD4232"/>
    <w:rsid w:val="76C10199"/>
    <w:rsid w:val="76C57BCB"/>
    <w:rsid w:val="76DA3325"/>
    <w:rsid w:val="76DF3364"/>
    <w:rsid w:val="76E30E67"/>
    <w:rsid w:val="76E905FB"/>
    <w:rsid w:val="76F60290"/>
    <w:rsid w:val="76F77B54"/>
    <w:rsid w:val="76F927CD"/>
    <w:rsid w:val="76FBB177"/>
    <w:rsid w:val="76FF88DB"/>
    <w:rsid w:val="770666BF"/>
    <w:rsid w:val="77125D0B"/>
    <w:rsid w:val="773B2934"/>
    <w:rsid w:val="773E064E"/>
    <w:rsid w:val="774E1211"/>
    <w:rsid w:val="774E1436"/>
    <w:rsid w:val="7777C7C8"/>
    <w:rsid w:val="7779587C"/>
    <w:rsid w:val="77797094"/>
    <w:rsid w:val="777B71D8"/>
    <w:rsid w:val="779C032B"/>
    <w:rsid w:val="779D0C3B"/>
    <w:rsid w:val="77A54D53"/>
    <w:rsid w:val="77AFA966"/>
    <w:rsid w:val="77D75F2B"/>
    <w:rsid w:val="77FC6767"/>
    <w:rsid w:val="77FF8EDB"/>
    <w:rsid w:val="77FFCB35"/>
    <w:rsid w:val="781A0BEC"/>
    <w:rsid w:val="78202415"/>
    <w:rsid w:val="78213FC9"/>
    <w:rsid w:val="784376FF"/>
    <w:rsid w:val="78515BD6"/>
    <w:rsid w:val="785F7F74"/>
    <w:rsid w:val="78701D9C"/>
    <w:rsid w:val="787D2E95"/>
    <w:rsid w:val="78AD5F33"/>
    <w:rsid w:val="78CD19BA"/>
    <w:rsid w:val="78D97670"/>
    <w:rsid w:val="78FA0671"/>
    <w:rsid w:val="78FBDADB"/>
    <w:rsid w:val="792541F5"/>
    <w:rsid w:val="793A634F"/>
    <w:rsid w:val="793B8405"/>
    <w:rsid w:val="798635EB"/>
    <w:rsid w:val="798A0AC8"/>
    <w:rsid w:val="799F4581"/>
    <w:rsid w:val="79A5750A"/>
    <w:rsid w:val="79A71C80"/>
    <w:rsid w:val="79D1209D"/>
    <w:rsid w:val="79DBEED9"/>
    <w:rsid w:val="79F14CAE"/>
    <w:rsid w:val="79FBD08E"/>
    <w:rsid w:val="79FCC046"/>
    <w:rsid w:val="79FF5AA6"/>
    <w:rsid w:val="79FFE0A4"/>
    <w:rsid w:val="7A071041"/>
    <w:rsid w:val="7A0C1011"/>
    <w:rsid w:val="7A0E7A81"/>
    <w:rsid w:val="7A321CDB"/>
    <w:rsid w:val="7A567B6E"/>
    <w:rsid w:val="7A5A3E26"/>
    <w:rsid w:val="7A6E32C8"/>
    <w:rsid w:val="7A72244A"/>
    <w:rsid w:val="7A7CEC62"/>
    <w:rsid w:val="7AC900CF"/>
    <w:rsid w:val="7ADD6CC2"/>
    <w:rsid w:val="7ADF2556"/>
    <w:rsid w:val="7AEB7120"/>
    <w:rsid w:val="7AEEBFC0"/>
    <w:rsid w:val="7AEEED2C"/>
    <w:rsid w:val="7AF139CB"/>
    <w:rsid w:val="7B022DCE"/>
    <w:rsid w:val="7B052FBD"/>
    <w:rsid w:val="7B2BD677"/>
    <w:rsid w:val="7B5A5A6C"/>
    <w:rsid w:val="7B5C250E"/>
    <w:rsid w:val="7B6D0F87"/>
    <w:rsid w:val="7B72691F"/>
    <w:rsid w:val="7B783FD8"/>
    <w:rsid w:val="7B9A3DB8"/>
    <w:rsid w:val="7BA113AB"/>
    <w:rsid w:val="7BD34DAC"/>
    <w:rsid w:val="7BD52290"/>
    <w:rsid w:val="7BD568A0"/>
    <w:rsid w:val="7BDE2653"/>
    <w:rsid w:val="7BEF4EB5"/>
    <w:rsid w:val="7BF20E1E"/>
    <w:rsid w:val="7BF8E44F"/>
    <w:rsid w:val="7BFDFB3C"/>
    <w:rsid w:val="7BFF69ED"/>
    <w:rsid w:val="7BFFBE7A"/>
    <w:rsid w:val="7BFFF4A8"/>
    <w:rsid w:val="7C5728ED"/>
    <w:rsid w:val="7C9408F4"/>
    <w:rsid w:val="7CB83597"/>
    <w:rsid w:val="7CB90CC2"/>
    <w:rsid w:val="7CD4CAA2"/>
    <w:rsid w:val="7CE04A49"/>
    <w:rsid w:val="7CE7A0B1"/>
    <w:rsid w:val="7CF26181"/>
    <w:rsid w:val="7CF52BFF"/>
    <w:rsid w:val="7CFB2CE9"/>
    <w:rsid w:val="7CFBCCF6"/>
    <w:rsid w:val="7D0734C3"/>
    <w:rsid w:val="7D0C34C4"/>
    <w:rsid w:val="7D1D39AE"/>
    <w:rsid w:val="7D212CA5"/>
    <w:rsid w:val="7D255EE2"/>
    <w:rsid w:val="7D2760D5"/>
    <w:rsid w:val="7D293184"/>
    <w:rsid w:val="7D4A23DF"/>
    <w:rsid w:val="7D4B3EE6"/>
    <w:rsid w:val="7D6112EF"/>
    <w:rsid w:val="7D68620F"/>
    <w:rsid w:val="7D69777E"/>
    <w:rsid w:val="7D7601E8"/>
    <w:rsid w:val="7D7C6E9A"/>
    <w:rsid w:val="7D927DC0"/>
    <w:rsid w:val="7DB1DE95"/>
    <w:rsid w:val="7DB34706"/>
    <w:rsid w:val="7DBED353"/>
    <w:rsid w:val="7DE59FBD"/>
    <w:rsid w:val="7DF879F0"/>
    <w:rsid w:val="7DFDA2DD"/>
    <w:rsid w:val="7E163327"/>
    <w:rsid w:val="7E1A0A9F"/>
    <w:rsid w:val="7E1FC5E9"/>
    <w:rsid w:val="7E3C401A"/>
    <w:rsid w:val="7E5E0DFC"/>
    <w:rsid w:val="7E5FBFA7"/>
    <w:rsid w:val="7E641213"/>
    <w:rsid w:val="7E7FA550"/>
    <w:rsid w:val="7E8F0128"/>
    <w:rsid w:val="7E9568C8"/>
    <w:rsid w:val="7EA67E97"/>
    <w:rsid w:val="7EC0418C"/>
    <w:rsid w:val="7ED72015"/>
    <w:rsid w:val="7EDF0BE9"/>
    <w:rsid w:val="7EE33139"/>
    <w:rsid w:val="7EF34773"/>
    <w:rsid w:val="7EF75AFF"/>
    <w:rsid w:val="7EFB0677"/>
    <w:rsid w:val="7F0D08DC"/>
    <w:rsid w:val="7F173D26"/>
    <w:rsid w:val="7F27B164"/>
    <w:rsid w:val="7F362DF9"/>
    <w:rsid w:val="7F5C7D12"/>
    <w:rsid w:val="7F5DC674"/>
    <w:rsid w:val="7F617DDF"/>
    <w:rsid w:val="7F666017"/>
    <w:rsid w:val="7F713C31"/>
    <w:rsid w:val="7F714EE5"/>
    <w:rsid w:val="7F7E0744"/>
    <w:rsid w:val="7F7F2734"/>
    <w:rsid w:val="7F871C4A"/>
    <w:rsid w:val="7F8EDBCF"/>
    <w:rsid w:val="7F944AA6"/>
    <w:rsid w:val="7F9A4924"/>
    <w:rsid w:val="7FA63F96"/>
    <w:rsid w:val="7FAE9EF6"/>
    <w:rsid w:val="7FB9287C"/>
    <w:rsid w:val="7FBE4D85"/>
    <w:rsid w:val="7FBFC35E"/>
    <w:rsid w:val="7FCC47FD"/>
    <w:rsid w:val="7FCF19E0"/>
    <w:rsid w:val="7FD31973"/>
    <w:rsid w:val="7FD962E8"/>
    <w:rsid w:val="7FE15B01"/>
    <w:rsid w:val="7FE65B6D"/>
    <w:rsid w:val="7FEC3F1F"/>
    <w:rsid w:val="7FEFEFFF"/>
    <w:rsid w:val="7FF7AB6C"/>
    <w:rsid w:val="7FFA3A11"/>
    <w:rsid w:val="7FFB1B6E"/>
    <w:rsid w:val="7FFE7630"/>
    <w:rsid w:val="7FFFA0FF"/>
    <w:rsid w:val="7FFFE4F3"/>
    <w:rsid w:val="97D712E5"/>
    <w:rsid w:val="97DF737F"/>
    <w:rsid w:val="9B96F82A"/>
    <w:rsid w:val="9BD72B77"/>
    <w:rsid w:val="9C1B60B3"/>
    <w:rsid w:val="9DFFEECC"/>
    <w:rsid w:val="9FB76CD3"/>
    <w:rsid w:val="9FF95891"/>
    <w:rsid w:val="9FFA1E23"/>
    <w:rsid w:val="A3B3C6E4"/>
    <w:rsid w:val="AC3DD8CF"/>
    <w:rsid w:val="AD8F0B05"/>
    <w:rsid w:val="AED98051"/>
    <w:rsid w:val="AF3EB684"/>
    <w:rsid w:val="B26B1C15"/>
    <w:rsid w:val="B36F5B4F"/>
    <w:rsid w:val="B47D6E3A"/>
    <w:rsid w:val="B5DF2FA7"/>
    <w:rsid w:val="B5FB735C"/>
    <w:rsid w:val="B6D6260B"/>
    <w:rsid w:val="B6FBFC99"/>
    <w:rsid w:val="B9F6F55D"/>
    <w:rsid w:val="B9F944A5"/>
    <w:rsid w:val="B9FFFF18"/>
    <w:rsid w:val="BA7F44B3"/>
    <w:rsid w:val="BB5D3081"/>
    <w:rsid w:val="BB7EAAFC"/>
    <w:rsid w:val="BB9ECF36"/>
    <w:rsid w:val="BBB7FCA1"/>
    <w:rsid w:val="BBBB09ED"/>
    <w:rsid w:val="BCD6E468"/>
    <w:rsid w:val="BDF6FA2D"/>
    <w:rsid w:val="BDFFD50E"/>
    <w:rsid w:val="BE3F4117"/>
    <w:rsid w:val="BF66489A"/>
    <w:rsid w:val="BF729CD6"/>
    <w:rsid w:val="BFAFA768"/>
    <w:rsid w:val="BFB73CB5"/>
    <w:rsid w:val="BFCA0146"/>
    <w:rsid w:val="BFE5AA07"/>
    <w:rsid w:val="BFE9354E"/>
    <w:rsid w:val="BFEF7202"/>
    <w:rsid w:val="BFF23BB0"/>
    <w:rsid w:val="BFF7F79E"/>
    <w:rsid w:val="BFFDFFA5"/>
    <w:rsid w:val="BFFF17FC"/>
    <w:rsid w:val="C1EF5288"/>
    <w:rsid w:val="C4FDD6EE"/>
    <w:rsid w:val="C5DB1ABC"/>
    <w:rsid w:val="CA57A0C0"/>
    <w:rsid w:val="CB1E1260"/>
    <w:rsid w:val="CB7EC77F"/>
    <w:rsid w:val="CD9ED96A"/>
    <w:rsid w:val="CDDE29AB"/>
    <w:rsid w:val="CDF66E75"/>
    <w:rsid w:val="CE75A70B"/>
    <w:rsid w:val="D4FBDA35"/>
    <w:rsid w:val="D57EDBA3"/>
    <w:rsid w:val="DA36D2E0"/>
    <w:rsid w:val="DB6A6FC0"/>
    <w:rsid w:val="DBBE93F9"/>
    <w:rsid w:val="DBFD743E"/>
    <w:rsid w:val="DBFF9188"/>
    <w:rsid w:val="DDB5CD9B"/>
    <w:rsid w:val="DDD3B388"/>
    <w:rsid w:val="DDDB8AE3"/>
    <w:rsid w:val="DDEE7589"/>
    <w:rsid w:val="DE56E60E"/>
    <w:rsid w:val="DEF9D536"/>
    <w:rsid w:val="DF0EDA6F"/>
    <w:rsid w:val="DFBB2E67"/>
    <w:rsid w:val="DFE79705"/>
    <w:rsid w:val="DFEFBB44"/>
    <w:rsid w:val="DFF54172"/>
    <w:rsid w:val="DFF68E1C"/>
    <w:rsid w:val="E17F5E8B"/>
    <w:rsid w:val="E5D35D51"/>
    <w:rsid w:val="E5FF8168"/>
    <w:rsid w:val="E6FF17C8"/>
    <w:rsid w:val="E79D517D"/>
    <w:rsid w:val="E7CFFA1A"/>
    <w:rsid w:val="E7DFCE6A"/>
    <w:rsid w:val="E7EFE179"/>
    <w:rsid w:val="E97D1D7B"/>
    <w:rsid w:val="E97FD536"/>
    <w:rsid w:val="EB3E2410"/>
    <w:rsid w:val="EB4FFA72"/>
    <w:rsid w:val="EB73825A"/>
    <w:rsid w:val="EB779625"/>
    <w:rsid w:val="EB77E458"/>
    <w:rsid w:val="EBEE61B0"/>
    <w:rsid w:val="EBFF37F0"/>
    <w:rsid w:val="ECF4A850"/>
    <w:rsid w:val="EDA7DD58"/>
    <w:rsid w:val="EDD52862"/>
    <w:rsid w:val="EDEE63D3"/>
    <w:rsid w:val="EECD7EA9"/>
    <w:rsid w:val="EF9A47E8"/>
    <w:rsid w:val="EFA8D6EA"/>
    <w:rsid w:val="EFB6A06F"/>
    <w:rsid w:val="EFC78E81"/>
    <w:rsid w:val="EFDBFDB6"/>
    <w:rsid w:val="EFDDE3D1"/>
    <w:rsid w:val="EFF7634E"/>
    <w:rsid w:val="EFF7A7D6"/>
    <w:rsid w:val="EFF80A4A"/>
    <w:rsid w:val="EFFD0A01"/>
    <w:rsid w:val="EFFDE408"/>
    <w:rsid w:val="EFFF6522"/>
    <w:rsid w:val="F0FF4E69"/>
    <w:rsid w:val="F2BEBE3A"/>
    <w:rsid w:val="F2F5715D"/>
    <w:rsid w:val="F3BBA4B6"/>
    <w:rsid w:val="F3EBFEE2"/>
    <w:rsid w:val="F3EE40B3"/>
    <w:rsid w:val="F5DFC364"/>
    <w:rsid w:val="F5E74B70"/>
    <w:rsid w:val="F5F73BDA"/>
    <w:rsid w:val="F65F02CF"/>
    <w:rsid w:val="F67F6212"/>
    <w:rsid w:val="F6ED34C3"/>
    <w:rsid w:val="F6EE22C9"/>
    <w:rsid w:val="F6EF8CAE"/>
    <w:rsid w:val="F7EE7B87"/>
    <w:rsid w:val="F7EF6738"/>
    <w:rsid w:val="F7FF7209"/>
    <w:rsid w:val="F9EB9C71"/>
    <w:rsid w:val="FA578648"/>
    <w:rsid w:val="FAD3B2D5"/>
    <w:rsid w:val="FAFEFB64"/>
    <w:rsid w:val="FB0929A7"/>
    <w:rsid w:val="FB3EDF3B"/>
    <w:rsid w:val="FB57C932"/>
    <w:rsid w:val="FB77670D"/>
    <w:rsid w:val="FBFFF110"/>
    <w:rsid w:val="FC5F7E68"/>
    <w:rsid w:val="FCBD0687"/>
    <w:rsid w:val="FCFF63B7"/>
    <w:rsid w:val="FD75A122"/>
    <w:rsid w:val="FD7FB05D"/>
    <w:rsid w:val="FD9FF77A"/>
    <w:rsid w:val="FDBCC814"/>
    <w:rsid w:val="FDD1909F"/>
    <w:rsid w:val="FDEBBADB"/>
    <w:rsid w:val="FDF71818"/>
    <w:rsid w:val="FDFC12BF"/>
    <w:rsid w:val="FE43D0A7"/>
    <w:rsid w:val="FE7FA8E7"/>
    <w:rsid w:val="FE99D42B"/>
    <w:rsid w:val="FEDEDE08"/>
    <w:rsid w:val="FEFB11CC"/>
    <w:rsid w:val="FF385BD1"/>
    <w:rsid w:val="FF3FE0AE"/>
    <w:rsid w:val="FF5B4979"/>
    <w:rsid w:val="FF5F4091"/>
    <w:rsid w:val="FF7D82BB"/>
    <w:rsid w:val="FF7DE649"/>
    <w:rsid w:val="FF7EC21C"/>
    <w:rsid w:val="FF7EF00D"/>
    <w:rsid w:val="FF7FC83C"/>
    <w:rsid w:val="FF8B9B48"/>
    <w:rsid w:val="FF9BD202"/>
    <w:rsid w:val="FFB73B53"/>
    <w:rsid w:val="FFB7DB7F"/>
    <w:rsid w:val="FFB96590"/>
    <w:rsid w:val="FFCD1C12"/>
    <w:rsid w:val="FFCDA1B9"/>
    <w:rsid w:val="FFDFB5E3"/>
    <w:rsid w:val="FFDFB6BF"/>
    <w:rsid w:val="FFE7EEA1"/>
    <w:rsid w:val="FFEB2AAC"/>
    <w:rsid w:val="FFF6F457"/>
    <w:rsid w:val="FFF96DE8"/>
    <w:rsid w:val="FFFD7D15"/>
    <w:rsid w:val="FFFE79D1"/>
    <w:rsid w:val="FFFF8750"/>
    <w:rsid w:val="FFFFD970"/>
    <w:rsid w:val="FFFFF6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9"/>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8"/>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3"/>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paragraph" w:styleId="8">
    <w:name w:val="heading 6"/>
    <w:basedOn w:val="1"/>
    <w:next w:val="1"/>
    <w:link w:val="6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100"/>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70"/>
    <w:qFormat/>
    <w:uiPriority w:val="0"/>
    <w:pPr>
      <w:ind w:firstLine="420" w:firstLineChars="200"/>
    </w:pPr>
  </w:style>
  <w:style w:type="paragraph" w:styleId="15">
    <w:name w:val="Document Map"/>
    <w:basedOn w:val="1"/>
    <w:link w:val="77"/>
    <w:qFormat/>
    <w:uiPriority w:val="0"/>
    <w:pPr>
      <w:shd w:val="clear" w:color="auto" w:fill="000080"/>
    </w:pPr>
    <w:rPr>
      <w:kern w:val="0"/>
      <w:sz w:val="20"/>
    </w:rPr>
  </w:style>
  <w:style w:type="paragraph" w:styleId="16">
    <w:name w:val="annotation text"/>
    <w:basedOn w:val="1"/>
    <w:link w:val="59"/>
    <w:unhideWhenUsed/>
    <w:qFormat/>
    <w:uiPriority w:val="99"/>
    <w:pPr>
      <w:jc w:val="left"/>
    </w:pPr>
    <w:rPr>
      <w:kern w:val="0"/>
      <w:sz w:val="20"/>
    </w:rPr>
  </w:style>
  <w:style w:type="paragraph" w:styleId="17">
    <w:name w:val="Body Text 3"/>
    <w:basedOn w:val="1"/>
    <w:link w:val="63"/>
    <w:qFormat/>
    <w:uiPriority w:val="0"/>
    <w:rPr>
      <w:rFonts w:ascii="宋体"/>
      <w:kern w:val="0"/>
      <w:sz w:val="24"/>
      <w:szCs w:val="20"/>
    </w:rPr>
  </w:style>
  <w:style w:type="paragraph" w:styleId="18">
    <w:name w:val="Body Text"/>
    <w:basedOn w:val="1"/>
    <w:next w:val="1"/>
    <w:link w:val="66"/>
    <w:qFormat/>
    <w:uiPriority w:val="0"/>
    <w:pPr>
      <w:spacing w:after="120"/>
    </w:pPr>
    <w:rPr>
      <w:kern w:val="0"/>
      <w:sz w:val="20"/>
    </w:rPr>
  </w:style>
  <w:style w:type="paragraph" w:styleId="19">
    <w:name w:val="Body Text Indent"/>
    <w:basedOn w:val="1"/>
    <w:next w:val="1"/>
    <w:link w:val="76"/>
    <w:qFormat/>
    <w:uiPriority w:val="0"/>
    <w:pPr>
      <w:spacing w:after="120"/>
      <w:ind w:left="420" w:leftChars="200"/>
    </w:pPr>
    <w:rPr>
      <w:kern w:val="0"/>
      <w:sz w:val="20"/>
    </w:r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420"/>
      <w:jc w:val="left"/>
    </w:pPr>
    <w:rPr>
      <w:rFonts w:ascii="Calibri" w:hAnsi="Calibri"/>
      <w:i/>
      <w:iCs/>
      <w:sz w:val="20"/>
      <w:szCs w:val="20"/>
    </w:rPr>
  </w:style>
  <w:style w:type="paragraph" w:styleId="23">
    <w:name w:val="Plain Text"/>
    <w:basedOn w:val="1"/>
    <w:link w:val="99"/>
    <w:qFormat/>
    <w:uiPriority w:val="99"/>
    <w:rPr>
      <w:rFonts w:ascii="Courier New" w:hAnsi="Courier New"/>
      <w:kern w:val="0"/>
      <w:sz w:val="20"/>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link w:val="83"/>
    <w:qFormat/>
    <w:uiPriority w:val="0"/>
    <w:rPr>
      <w:kern w:val="0"/>
      <w:sz w:val="24"/>
      <w:szCs w:val="20"/>
    </w:rPr>
  </w:style>
  <w:style w:type="paragraph" w:styleId="26">
    <w:name w:val="Body Text Indent 2"/>
    <w:basedOn w:val="1"/>
    <w:qFormat/>
    <w:uiPriority w:val="0"/>
    <w:pPr>
      <w:spacing w:after="120" w:line="480" w:lineRule="auto"/>
      <w:ind w:left="420" w:leftChars="200"/>
    </w:pPr>
  </w:style>
  <w:style w:type="paragraph" w:styleId="27">
    <w:name w:val="Balloon Text"/>
    <w:basedOn w:val="1"/>
    <w:link w:val="81"/>
    <w:qFormat/>
    <w:uiPriority w:val="0"/>
    <w:rPr>
      <w:kern w:val="0"/>
      <w:sz w:val="18"/>
      <w:szCs w:val="18"/>
    </w:rPr>
  </w:style>
  <w:style w:type="paragraph" w:styleId="28">
    <w:name w:val="footer"/>
    <w:basedOn w:val="1"/>
    <w:link w:val="95"/>
    <w:qFormat/>
    <w:uiPriority w:val="99"/>
    <w:pPr>
      <w:tabs>
        <w:tab w:val="center" w:pos="4153"/>
        <w:tab w:val="right" w:pos="8306"/>
      </w:tabs>
      <w:snapToGrid w:val="0"/>
      <w:jc w:val="left"/>
    </w:pPr>
    <w:rPr>
      <w:kern w:val="0"/>
      <w:sz w:val="18"/>
      <w:szCs w:val="18"/>
    </w:rPr>
  </w:style>
  <w:style w:type="paragraph" w:styleId="29">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7"/>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7"/>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next w:val="1"/>
    <w:link w:val="80"/>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9"/>
    <w:qFormat/>
    <w:uiPriority w:val="0"/>
    <w:rPr>
      <w:b/>
      <w:bCs/>
    </w:rPr>
  </w:style>
  <w:style w:type="paragraph" w:styleId="42">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paragraph" w:styleId="43">
    <w:name w:val="Body Text First Indent 2"/>
    <w:basedOn w:val="19"/>
    <w:qFormat/>
    <w:uiPriority w:val="0"/>
    <w:pPr>
      <w:ind w:firstLine="420"/>
    </w:pPr>
    <w:rPr>
      <w:sz w:val="21"/>
    </w:rPr>
  </w:style>
  <w:style w:type="table" w:styleId="45">
    <w:name w:val="Table Grid"/>
    <w:basedOn w:val="44"/>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qFormat/>
    <w:uiPriority w:val="0"/>
  </w:style>
  <w:style w:type="character" w:styleId="49">
    <w:name w:val="FollowedHyperlink"/>
    <w:basedOn w:val="46"/>
    <w:qFormat/>
    <w:uiPriority w:val="0"/>
    <w:rPr>
      <w:rFonts w:hint="default" w:ascii="Arial" w:hAnsi="Arial" w:eastAsia="Arial" w:cs="Arial"/>
      <w:color w:val="333333"/>
      <w:sz w:val="21"/>
      <w:szCs w:val="21"/>
      <w:u w:val="none"/>
    </w:rPr>
  </w:style>
  <w:style w:type="character" w:styleId="50">
    <w:name w:val="Emphasis"/>
    <w:basedOn w:val="46"/>
    <w:qFormat/>
    <w:uiPriority w:val="20"/>
    <w:rPr>
      <w:i/>
    </w:rPr>
  </w:style>
  <w:style w:type="character" w:styleId="51">
    <w:name w:val="Hyperlink"/>
    <w:basedOn w:val="46"/>
    <w:qFormat/>
    <w:uiPriority w:val="99"/>
    <w:rPr>
      <w:rFonts w:ascii="Arial" w:hAnsi="Arial" w:eastAsia="Arial" w:cs="Arial"/>
      <w:color w:val="333333"/>
      <w:sz w:val="21"/>
      <w:szCs w:val="21"/>
      <w:u w:val="non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apple-style-span"/>
    <w:qFormat/>
    <w:uiPriority w:val="0"/>
    <w:rPr>
      <w:rFonts w:ascii="Verdana" w:hAnsi="Verdana" w:eastAsia="宋体"/>
      <w:sz w:val="21"/>
      <w:lang w:val="en-US" w:eastAsia="en-US" w:bidi="ar-SA"/>
    </w:rPr>
  </w:style>
  <w:style w:type="character" w:customStyle="1" w:styleId="55">
    <w:name w:val="正文文本 3 Char1"/>
    <w:semiHidden/>
    <w:qFormat/>
    <w:uiPriority w:val="99"/>
    <w:rPr>
      <w:rFonts w:ascii="Times New Roman" w:hAnsi="Times New Roman" w:eastAsia="宋体" w:cs="Times New Roman"/>
      <w:sz w:val="16"/>
      <w:szCs w:val="16"/>
    </w:rPr>
  </w:style>
  <w:style w:type="character" w:customStyle="1" w:styleId="56">
    <w:name w:val="样式 宋体"/>
    <w:qFormat/>
    <w:uiPriority w:val="0"/>
    <w:rPr>
      <w:rFonts w:ascii="Times New Roman" w:hAnsi="Times New Roman" w:eastAsia="宋体"/>
      <w:sz w:val="21"/>
    </w:rPr>
  </w:style>
  <w:style w:type="character" w:customStyle="1" w:styleId="57">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8">
    <w:name w:val="标题 3 字符"/>
    <w:link w:val="5"/>
    <w:qFormat/>
    <w:uiPriority w:val="0"/>
    <w:rPr>
      <w:rFonts w:ascii="Times New Roman" w:hAnsi="Times New Roman" w:eastAsia="宋体" w:cs="Times New Roman"/>
      <w:b/>
      <w:bCs/>
      <w:sz w:val="32"/>
      <w:szCs w:val="32"/>
    </w:rPr>
  </w:style>
  <w:style w:type="character" w:customStyle="1" w:styleId="59">
    <w:name w:val="批注文字 字符"/>
    <w:link w:val="16"/>
    <w:semiHidden/>
    <w:qFormat/>
    <w:uiPriority w:val="99"/>
    <w:rPr>
      <w:rFonts w:ascii="Times New Roman" w:hAnsi="Times New Roman" w:eastAsia="宋体" w:cs="Times New Roman"/>
      <w:szCs w:val="24"/>
    </w:rPr>
  </w:style>
  <w:style w:type="character" w:customStyle="1" w:styleId="60">
    <w:name w:val="标题 6 字符"/>
    <w:link w:val="8"/>
    <w:qFormat/>
    <w:uiPriority w:val="0"/>
    <w:rPr>
      <w:rFonts w:ascii="Arial" w:hAnsi="Arial" w:eastAsia="黑体" w:cs="Times New Roman"/>
      <w:b/>
      <w:bCs/>
      <w:kern w:val="0"/>
      <w:sz w:val="24"/>
      <w:szCs w:val="24"/>
    </w:rPr>
  </w:style>
  <w:style w:type="character" w:customStyle="1" w:styleId="61">
    <w:name w:val="Char Char8"/>
    <w:qFormat/>
    <w:uiPriority w:val="0"/>
    <w:rPr>
      <w:rFonts w:ascii="Arial" w:hAnsi="Arial" w:eastAsia="黑体"/>
      <w:b/>
      <w:bCs/>
      <w:kern w:val="2"/>
      <w:sz w:val="32"/>
      <w:szCs w:val="32"/>
      <w:lang w:val="en-US" w:eastAsia="zh-CN" w:bidi="ar-SA"/>
    </w:rPr>
  </w:style>
  <w:style w:type="character" w:customStyle="1" w:styleId="62">
    <w:name w:val="脚注文本 Char1"/>
    <w:semiHidden/>
    <w:qFormat/>
    <w:uiPriority w:val="99"/>
    <w:rPr>
      <w:rFonts w:ascii="Times New Roman" w:hAnsi="Times New Roman" w:eastAsia="宋体" w:cs="Times New Roman"/>
      <w:sz w:val="18"/>
      <w:szCs w:val="18"/>
    </w:rPr>
  </w:style>
  <w:style w:type="character" w:customStyle="1" w:styleId="63">
    <w:name w:val="正文文本 3 字符"/>
    <w:link w:val="17"/>
    <w:qFormat/>
    <w:uiPriority w:val="0"/>
    <w:rPr>
      <w:rFonts w:ascii="宋体"/>
      <w:sz w:val="24"/>
    </w:rPr>
  </w:style>
  <w:style w:type="character" w:customStyle="1" w:styleId="64">
    <w:name w:val="页脚 Char1"/>
    <w:semiHidden/>
    <w:qFormat/>
    <w:uiPriority w:val="99"/>
    <w:rPr>
      <w:rFonts w:ascii="Times New Roman" w:hAnsi="Times New Roman" w:eastAsia="宋体" w:cs="Times New Roman"/>
      <w:sz w:val="18"/>
      <w:szCs w:val="18"/>
    </w:rPr>
  </w:style>
  <w:style w:type="character" w:customStyle="1" w:styleId="65">
    <w:name w:val="标题 Char1"/>
    <w:qFormat/>
    <w:uiPriority w:val="10"/>
    <w:rPr>
      <w:rFonts w:ascii="Calibri Light" w:hAnsi="Calibri Light" w:eastAsia="宋体" w:cs="Times New Roman"/>
      <w:b/>
      <w:bCs/>
      <w:sz w:val="32"/>
      <w:szCs w:val="32"/>
    </w:rPr>
  </w:style>
  <w:style w:type="character" w:customStyle="1" w:styleId="66">
    <w:name w:val="正文文本 字符"/>
    <w:link w:val="18"/>
    <w:qFormat/>
    <w:uiPriority w:val="0"/>
    <w:rPr>
      <w:rFonts w:eastAsia="宋体"/>
      <w:szCs w:val="24"/>
    </w:rPr>
  </w:style>
  <w:style w:type="character" w:customStyle="1" w:styleId="67">
    <w:name w:val="脚注文本 字符"/>
    <w:link w:val="31"/>
    <w:qFormat/>
    <w:uiPriority w:val="0"/>
    <w:rPr>
      <w:rFonts w:eastAsia="宋体"/>
    </w:rPr>
  </w:style>
  <w:style w:type="character" w:customStyle="1" w:styleId="68">
    <w:name w:val="纯文本 Char1"/>
    <w:semiHidden/>
    <w:qFormat/>
    <w:uiPriority w:val="99"/>
    <w:rPr>
      <w:rFonts w:ascii="宋体" w:hAnsi="Courier New" w:eastAsia="宋体" w:cs="Courier New"/>
      <w:szCs w:val="21"/>
    </w:rPr>
  </w:style>
  <w:style w:type="character" w:customStyle="1" w:styleId="69">
    <w:name w:val="批注主题 字符"/>
    <w:link w:val="41"/>
    <w:qFormat/>
    <w:uiPriority w:val="0"/>
    <w:rPr>
      <w:rFonts w:ascii="Times New Roman" w:hAnsi="Times New Roman" w:eastAsia="宋体" w:cs="Times New Roman"/>
      <w:b/>
      <w:bCs/>
      <w:szCs w:val="24"/>
    </w:rPr>
  </w:style>
  <w:style w:type="character" w:customStyle="1" w:styleId="70">
    <w:name w:val="正文缩进 字符"/>
    <w:link w:val="14"/>
    <w:qFormat/>
    <w:locked/>
    <w:uiPriority w:val="0"/>
    <w:rPr>
      <w:kern w:val="2"/>
      <w:sz w:val="21"/>
      <w:szCs w:val="24"/>
    </w:rPr>
  </w:style>
  <w:style w:type="character" w:customStyle="1" w:styleId="71">
    <w:name w:val="font11"/>
    <w:qFormat/>
    <w:uiPriority w:val="0"/>
    <w:rPr>
      <w:rFonts w:hint="default" w:ascii="Times New Roman" w:hAnsi="Times New Roman" w:cs="Times New Roman"/>
      <w:color w:val="000000"/>
      <w:sz w:val="22"/>
      <w:szCs w:val="22"/>
      <w:u w:val="none"/>
    </w:rPr>
  </w:style>
  <w:style w:type="character" w:customStyle="1" w:styleId="72">
    <w:name w:val="font01"/>
    <w:qFormat/>
    <w:uiPriority w:val="0"/>
    <w:rPr>
      <w:rFonts w:hint="eastAsia" w:ascii="宋体" w:hAnsi="宋体" w:eastAsia="宋体" w:cs="宋体"/>
      <w:color w:val="000000"/>
      <w:sz w:val="22"/>
      <w:szCs w:val="22"/>
      <w:u w:val="none"/>
    </w:rPr>
  </w:style>
  <w:style w:type="character" w:customStyle="1" w:styleId="73">
    <w:name w:val="页眉 字符"/>
    <w:link w:val="29"/>
    <w:qFormat/>
    <w:uiPriority w:val="0"/>
    <w:rPr>
      <w:rFonts w:ascii="Times New Roman" w:hAnsi="Times New Roman" w:eastAsia="宋体" w:cs="Times New Roman"/>
      <w:sz w:val="18"/>
      <w:szCs w:val="18"/>
    </w:rPr>
  </w:style>
  <w:style w:type="character" w:customStyle="1" w:styleId="74">
    <w:name w:val="标题 9 字符"/>
    <w:link w:val="11"/>
    <w:qFormat/>
    <w:uiPriority w:val="0"/>
    <w:rPr>
      <w:rFonts w:ascii="Arial" w:hAnsi="Arial" w:eastAsia="黑体" w:cs="Times New Roman"/>
      <w:kern w:val="0"/>
      <w:szCs w:val="21"/>
    </w:rPr>
  </w:style>
  <w:style w:type="character" w:customStyle="1" w:styleId="75">
    <w:name w:val="标题 2 Char1"/>
    <w:qFormat/>
    <w:uiPriority w:val="0"/>
    <w:rPr>
      <w:rFonts w:ascii="Arial" w:hAnsi="Arial" w:eastAsia="黑体" w:cs="Times New Roman"/>
      <w:b/>
      <w:bCs/>
      <w:sz w:val="32"/>
      <w:szCs w:val="32"/>
      <w:lang w:val="en-US" w:eastAsia="en-US" w:bidi="ar-SA"/>
    </w:rPr>
  </w:style>
  <w:style w:type="character" w:customStyle="1" w:styleId="76">
    <w:name w:val="正文文本缩进 字符"/>
    <w:link w:val="19"/>
    <w:qFormat/>
    <w:uiPriority w:val="0"/>
    <w:rPr>
      <w:szCs w:val="24"/>
    </w:rPr>
  </w:style>
  <w:style w:type="character" w:customStyle="1" w:styleId="77">
    <w:name w:val="文档结构图 字符"/>
    <w:link w:val="15"/>
    <w:qFormat/>
    <w:uiPriority w:val="0"/>
    <w:rPr>
      <w:rFonts w:ascii="Times New Roman" w:hAnsi="Times New Roman" w:eastAsia="宋体" w:cs="Times New Roman"/>
      <w:szCs w:val="24"/>
      <w:shd w:val="clear" w:color="auto" w:fill="000080"/>
    </w:rPr>
  </w:style>
  <w:style w:type="character" w:customStyle="1" w:styleId="78">
    <w:name w:val="font161"/>
    <w:qFormat/>
    <w:uiPriority w:val="0"/>
    <w:rPr>
      <w:b/>
      <w:bCs/>
      <w:sz w:val="32"/>
      <w:szCs w:val="32"/>
    </w:rPr>
  </w:style>
  <w:style w:type="character" w:customStyle="1" w:styleId="79">
    <w:name w:val="标题 2 字符"/>
    <w:link w:val="4"/>
    <w:qFormat/>
    <w:uiPriority w:val="0"/>
    <w:rPr>
      <w:rFonts w:ascii="Arial" w:hAnsi="Arial" w:eastAsia="黑体" w:cs="Times New Roman"/>
      <w:b/>
      <w:bCs/>
      <w:sz w:val="32"/>
      <w:szCs w:val="32"/>
    </w:rPr>
  </w:style>
  <w:style w:type="character" w:customStyle="1" w:styleId="80">
    <w:name w:val="标题 字符"/>
    <w:link w:val="40"/>
    <w:qFormat/>
    <w:uiPriority w:val="0"/>
    <w:rPr>
      <w:rFonts w:ascii="Arial" w:hAnsi="Arial"/>
      <w:b/>
      <w:sz w:val="32"/>
    </w:rPr>
  </w:style>
  <w:style w:type="character" w:customStyle="1" w:styleId="81">
    <w:name w:val="批注框文本 字符"/>
    <w:link w:val="27"/>
    <w:qFormat/>
    <w:uiPriority w:val="0"/>
    <w:rPr>
      <w:rFonts w:ascii="Times New Roman" w:hAnsi="Times New Roman" w:eastAsia="宋体" w:cs="Times New Roman"/>
      <w:sz w:val="18"/>
      <w:szCs w:val="18"/>
    </w:rPr>
  </w:style>
  <w:style w:type="character" w:customStyle="1" w:styleId="82">
    <w:name w:val="标题 8 字符"/>
    <w:link w:val="10"/>
    <w:qFormat/>
    <w:uiPriority w:val="0"/>
    <w:rPr>
      <w:rFonts w:ascii="Arial" w:hAnsi="Arial" w:eastAsia="黑体" w:cs="Times New Roman"/>
      <w:kern w:val="0"/>
      <w:sz w:val="24"/>
      <w:szCs w:val="24"/>
    </w:rPr>
  </w:style>
  <w:style w:type="character" w:customStyle="1" w:styleId="83">
    <w:name w:val="日期 字符"/>
    <w:link w:val="25"/>
    <w:qFormat/>
    <w:uiPriority w:val="0"/>
    <w:rPr>
      <w:rFonts w:ascii="Times New Roman" w:hAnsi="Times New Roman" w:eastAsia="宋体" w:cs="Times New Roman"/>
      <w:sz w:val="24"/>
      <w:szCs w:val="20"/>
    </w:rPr>
  </w:style>
  <w:style w:type="character" w:customStyle="1" w:styleId="84">
    <w:name w:val="标题 1 字符"/>
    <w:link w:val="3"/>
    <w:qFormat/>
    <w:uiPriority w:val="0"/>
    <w:rPr>
      <w:rFonts w:ascii="Times New Roman" w:hAnsi="Times New Roman" w:eastAsia="宋体" w:cs="Times New Roman"/>
      <w:b/>
      <w:bCs/>
      <w:kern w:val="44"/>
      <w:sz w:val="44"/>
      <w:szCs w:val="44"/>
    </w:rPr>
  </w:style>
  <w:style w:type="character" w:customStyle="1" w:styleId="85">
    <w:name w:val="招标节 Char"/>
    <w:link w:val="86"/>
    <w:qFormat/>
    <w:locked/>
    <w:uiPriority w:val="0"/>
    <w:rPr>
      <w:b/>
      <w:sz w:val="24"/>
      <w:szCs w:val="24"/>
    </w:rPr>
  </w:style>
  <w:style w:type="paragraph" w:customStyle="1" w:styleId="86">
    <w:name w:val="招标节"/>
    <w:basedOn w:val="1"/>
    <w:next w:val="1"/>
    <w:link w:val="85"/>
    <w:qFormat/>
    <w:uiPriority w:val="0"/>
    <w:pPr>
      <w:spacing w:beforeLines="50" w:afterLines="50"/>
      <w:outlineLvl w:val="1"/>
    </w:pPr>
    <w:rPr>
      <w:b/>
      <w:kern w:val="0"/>
      <w:sz w:val="24"/>
    </w:rPr>
  </w:style>
  <w:style w:type="character" w:customStyle="1" w:styleId="87">
    <w:name w:val="正文文本缩进 3 字符"/>
    <w:link w:val="33"/>
    <w:qFormat/>
    <w:uiPriority w:val="0"/>
    <w:rPr>
      <w:rFonts w:ascii="Times New Roman" w:hAnsi="Times New Roman" w:eastAsia="宋体" w:cs="Times New Roman"/>
      <w:sz w:val="16"/>
      <w:szCs w:val="16"/>
    </w:rPr>
  </w:style>
  <w:style w:type="character" w:customStyle="1" w:styleId="88">
    <w:name w:val="tpc_content1"/>
    <w:qFormat/>
    <w:uiPriority w:val="0"/>
    <w:rPr>
      <w:sz w:val="20"/>
      <w:szCs w:val="20"/>
    </w:rPr>
  </w:style>
  <w:style w:type="character" w:customStyle="1" w:styleId="89">
    <w:name w:val="Char Char"/>
    <w:qFormat/>
    <w:uiPriority w:val="0"/>
    <w:rPr>
      <w:rFonts w:ascii="Arial" w:hAnsi="Arial" w:eastAsia="黑体"/>
      <w:b/>
      <w:bCs/>
      <w:kern w:val="2"/>
      <w:sz w:val="32"/>
      <w:szCs w:val="32"/>
      <w:lang w:val="en-US" w:eastAsia="zh-CN" w:bidi="ar-SA"/>
    </w:rPr>
  </w:style>
  <w:style w:type="character" w:customStyle="1" w:styleId="90">
    <w:name w:val="正文文本 Char1"/>
    <w:semiHidden/>
    <w:qFormat/>
    <w:uiPriority w:val="99"/>
    <w:rPr>
      <w:rFonts w:ascii="Times New Roman" w:hAnsi="Times New Roman" w:eastAsia="宋体" w:cs="Times New Roman"/>
      <w:szCs w:val="24"/>
    </w:rPr>
  </w:style>
  <w:style w:type="character" w:customStyle="1" w:styleId="91">
    <w:name w:val="Char Char2"/>
    <w:qFormat/>
    <w:uiPriority w:val="0"/>
    <w:rPr>
      <w:rFonts w:eastAsia="宋体"/>
      <w:kern w:val="2"/>
      <w:sz w:val="21"/>
      <w:szCs w:val="24"/>
      <w:lang w:val="en-US" w:eastAsia="zh-CN" w:bidi="ar-SA"/>
    </w:rPr>
  </w:style>
  <w:style w:type="character" w:customStyle="1" w:styleId="92">
    <w:name w:val="apple-converted-space"/>
    <w:qFormat/>
    <w:uiPriority w:val="0"/>
  </w:style>
  <w:style w:type="character" w:customStyle="1" w:styleId="93">
    <w:name w:val="标题 4 字符"/>
    <w:link w:val="6"/>
    <w:qFormat/>
    <w:uiPriority w:val="0"/>
    <w:rPr>
      <w:rFonts w:ascii="Arial" w:hAnsi="Arial" w:eastAsia="黑体" w:cs="Times New Roman"/>
      <w:b/>
      <w:bCs/>
      <w:sz w:val="28"/>
      <w:szCs w:val="28"/>
    </w:rPr>
  </w:style>
  <w:style w:type="character" w:customStyle="1" w:styleId="94">
    <w:name w:val="正文文本缩进 Char1"/>
    <w:semiHidden/>
    <w:qFormat/>
    <w:uiPriority w:val="99"/>
    <w:rPr>
      <w:rFonts w:ascii="Times New Roman" w:hAnsi="Times New Roman" w:eastAsia="宋体" w:cs="Times New Roman"/>
      <w:szCs w:val="24"/>
    </w:rPr>
  </w:style>
  <w:style w:type="character" w:customStyle="1" w:styleId="95">
    <w:name w:val="页脚 字符"/>
    <w:link w:val="28"/>
    <w:qFormat/>
    <w:uiPriority w:val="99"/>
    <w:rPr>
      <w:sz w:val="18"/>
      <w:szCs w:val="18"/>
    </w:rPr>
  </w:style>
  <w:style w:type="character" w:customStyle="1" w:styleId="96">
    <w:name w:val="Char Char7"/>
    <w:qFormat/>
    <w:uiPriority w:val="0"/>
    <w:rPr>
      <w:rFonts w:ascii="Arial" w:hAnsi="Arial" w:eastAsia="黑体"/>
      <w:b/>
      <w:bCs/>
      <w:kern w:val="2"/>
      <w:sz w:val="32"/>
      <w:szCs w:val="32"/>
      <w:lang w:val="en-US" w:eastAsia="zh-CN" w:bidi="ar-SA"/>
    </w:rPr>
  </w:style>
  <w:style w:type="character" w:customStyle="1" w:styleId="97">
    <w:name w:val="HTML 预设格式 字符"/>
    <w:link w:val="37"/>
    <w:qFormat/>
    <w:uiPriority w:val="0"/>
    <w:rPr>
      <w:rFonts w:ascii="微软雅黑" w:hAnsi="微软雅黑" w:eastAsia="微软雅黑" w:cs="Times New Roman"/>
      <w:kern w:val="0"/>
      <w:sz w:val="24"/>
      <w:szCs w:val="24"/>
    </w:rPr>
  </w:style>
  <w:style w:type="character" w:customStyle="1" w:styleId="98">
    <w:name w:val="批注文字 Char"/>
    <w:qFormat/>
    <w:uiPriority w:val="0"/>
    <w:rPr>
      <w:rFonts w:eastAsia="宋体"/>
      <w:kern w:val="2"/>
      <w:sz w:val="21"/>
      <w:szCs w:val="24"/>
      <w:lang w:val="en-US" w:eastAsia="zh-CN" w:bidi="ar-SA"/>
    </w:rPr>
  </w:style>
  <w:style w:type="character" w:customStyle="1" w:styleId="99">
    <w:name w:val="纯文本 字符"/>
    <w:link w:val="23"/>
    <w:qFormat/>
    <w:uiPriority w:val="99"/>
    <w:rPr>
      <w:rFonts w:ascii="Courier New" w:hAnsi="Courier New"/>
    </w:rPr>
  </w:style>
  <w:style w:type="character" w:customStyle="1" w:styleId="100">
    <w:name w:val="标题 7 字符"/>
    <w:link w:val="9"/>
    <w:qFormat/>
    <w:uiPriority w:val="0"/>
    <w:rPr>
      <w:rFonts w:ascii="Times New Roman" w:hAnsi="Times New Roman" w:eastAsia="宋体" w:cs="Times New Roman"/>
      <w:b/>
      <w:bCs/>
      <w:kern w:val="0"/>
      <w:sz w:val="24"/>
      <w:szCs w:val="24"/>
    </w:rPr>
  </w:style>
  <w:style w:type="paragraph" w:customStyle="1" w:styleId="101">
    <w:name w:val="样式4"/>
    <w:basedOn w:val="5"/>
    <w:qFormat/>
    <w:uiPriority w:val="0"/>
    <w:rPr>
      <w:rFonts w:eastAsia="Arial"/>
    </w:rPr>
  </w:style>
  <w:style w:type="paragraph" w:customStyle="1" w:styleId="102">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font10"/>
    <w:basedOn w:val="1"/>
    <w:qFormat/>
    <w:uiPriority w:val="0"/>
    <w:pPr>
      <w:widowControl/>
      <w:spacing w:before="100" w:beforeAutospacing="1" w:after="100" w:afterAutospacing="1"/>
      <w:jc w:val="left"/>
    </w:pPr>
    <w:rPr>
      <w:kern w:val="0"/>
      <w:sz w:val="28"/>
      <w:szCs w:val="28"/>
    </w:rPr>
  </w:style>
  <w:style w:type="paragraph" w:customStyle="1" w:styleId="105">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样式1"/>
    <w:basedOn w:val="5"/>
    <w:qFormat/>
    <w:uiPriority w:val="0"/>
    <w:rPr>
      <w:rFonts w:eastAsia="Arial"/>
    </w:rPr>
  </w:style>
  <w:style w:type="paragraph" w:customStyle="1" w:styleId="108">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Char"/>
    <w:basedOn w:val="1"/>
    <w:qFormat/>
    <w:uiPriority w:val="0"/>
    <w:pPr>
      <w:tabs>
        <w:tab w:val="left" w:pos="360"/>
      </w:tabs>
    </w:pPr>
    <w:rPr>
      <w:sz w:val="24"/>
    </w:rPr>
  </w:style>
  <w:style w:type="paragraph" w:customStyle="1" w:styleId="111">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7">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列表段落1"/>
    <w:basedOn w:val="1"/>
    <w:qFormat/>
    <w:uiPriority w:val="34"/>
    <w:pPr>
      <w:ind w:firstLine="420" w:firstLineChars="200"/>
    </w:pPr>
    <w:rPr>
      <w:rFonts w:ascii="Calibri" w:hAnsi="Calibri"/>
      <w:szCs w:val="22"/>
    </w:rPr>
  </w:style>
  <w:style w:type="paragraph" w:customStyle="1" w:styleId="12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4">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8">
    <w:name w:val="1"/>
    <w:basedOn w:val="1"/>
    <w:next w:val="1"/>
    <w:qFormat/>
    <w:uiPriority w:val="0"/>
  </w:style>
  <w:style w:type="paragraph" w:customStyle="1" w:styleId="129">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规范文本"/>
    <w:basedOn w:val="23"/>
    <w:qFormat/>
    <w:uiPriority w:val="0"/>
    <w:pPr>
      <w:adjustRightInd w:val="0"/>
      <w:snapToGrid w:val="0"/>
      <w:spacing w:line="360" w:lineRule="exact"/>
      <w:ind w:firstLine="420"/>
    </w:pPr>
    <w:rPr>
      <w:rFonts w:ascii="宋体"/>
      <w:snapToGrid w:val="0"/>
      <w:szCs w:val="21"/>
    </w:rPr>
  </w:style>
  <w:style w:type="paragraph" w:customStyle="1" w:styleId="132">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3">
    <w:name w:val="节"/>
    <w:basedOn w:val="23"/>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4">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样式3"/>
    <w:basedOn w:val="5"/>
    <w:qFormat/>
    <w:uiPriority w:val="0"/>
    <w:rPr>
      <w:rFonts w:eastAsia="Arial"/>
    </w:rPr>
  </w:style>
  <w:style w:type="paragraph" w:customStyle="1" w:styleId="136">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9">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41">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4">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5">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7">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9">
    <w:name w:val="第二"/>
    <w:basedOn w:val="1"/>
    <w:qFormat/>
    <w:uiPriority w:val="0"/>
    <w:pPr>
      <w:adjustRightInd w:val="0"/>
      <w:snapToGrid w:val="0"/>
      <w:spacing w:line="360" w:lineRule="auto"/>
      <w:ind w:right="-108" w:rightChars="-45" w:firstLine="482"/>
    </w:pPr>
    <w:rPr>
      <w:b/>
    </w:rPr>
  </w:style>
  <w:style w:type="paragraph" w:customStyle="1" w:styleId="15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2">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3">
    <w:name w:val="内容"/>
    <w:basedOn w:val="1"/>
    <w:qFormat/>
    <w:uiPriority w:val="0"/>
    <w:pPr>
      <w:spacing w:line="480" w:lineRule="exact"/>
      <w:ind w:firstLine="200" w:firstLineChars="200"/>
    </w:pPr>
  </w:style>
  <w:style w:type="paragraph" w:customStyle="1" w:styleId="154">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列出段落1"/>
    <w:basedOn w:val="1"/>
    <w:qFormat/>
    <w:uiPriority w:val="99"/>
    <w:pPr>
      <w:ind w:firstLine="420" w:firstLineChars="200"/>
    </w:pPr>
  </w:style>
  <w:style w:type="paragraph" w:customStyle="1" w:styleId="157">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8">
    <w:name w:val="表格文字"/>
    <w:basedOn w:val="1"/>
    <w:qFormat/>
    <w:uiPriority w:val="0"/>
    <w:pPr>
      <w:adjustRightInd w:val="0"/>
      <w:spacing w:line="420" w:lineRule="atLeast"/>
      <w:jc w:val="left"/>
      <w:textAlignment w:val="baseline"/>
    </w:pPr>
    <w:rPr>
      <w:kern w:val="0"/>
      <w:szCs w:val="20"/>
    </w:rPr>
  </w:style>
  <w:style w:type="paragraph" w:customStyle="1" w:styleId="159">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60">
    <w:name w:val="样式2"/>
    <w:basedOn w:val="5"/>
    <w:qFormat/>
    <w:uiPriority w:val="0"/>
  </w:style>
  <w:style w:type="character" w:customStyle="1" w:styleId="161">
    <w:name w:val="after"/>
    <w:basedOn w:val="46"/>
    <w:qFormat/>
    <w:uiPriority w:val="0"/>
    <w:rPr>
      <w:bdr w:val="dashed" w:color="auto" w:sz="48" w:space="0"/>
    </w:rPr>
  </w:style>
  <w:style w:type="character" w:customStyle="1" w:styleId="162">
    <w:name w:val="before"/>
    <w:basedOn w:val="46"/>
    <w:qFormat/>
    <w:uiPriority w:val="0"/>
    <w:rPr>
      <w:bdr w:val="single" w:color="auto" w:sz="48" w:space="0"/>
    </w:rPr>
  </w:style>
  <w:style w:type="character" w:customStyle="1" w:styleId="163">
    <w:name w:val="hover48"/>
    <w:basedOn w:val="46"/>
    <w:qFormat/>
    <w:uiPriority w:val="0"/>
    <w:rPr>
      <w:shd w:val="clear" w:color="auto" w:fill="346AC3"/>
    </w:rPr>
  </w:style>
  <w:style w:type="character" w:customStyle="1" w:styleId="164">
    <w:name w:val="hover49"/>
    <w:basedOn w:val="46"/>
    <w:qFormat/>
    <w:uiPriority w:val="0"/>
  </w:style>
  <w:style w:type="character" w:customStyle="1" w:styleId="165">
    <w:name w:val="hover50"/>
    <w:basedOn w:val="46"/>
    <w:qFormat/>
    <w:uiPriority w:val="0"/>
    <w:rPr>
      <w:color w:val="4285F4"/>
      <w:u w:val="none"/>
    </w:rPr>
  </w:style>
  <w:style w:type="character" w:customStyle="1" w:styleId="166">
    <w:name w:val="hover51"/>
    <w:basedOn w:val="46"/>
    <w:qFormat/>
    <w:uiPriority w:val="0"/>
    <w:rPr>
      <w:color w:val="4285F4"/>
    </w:rPr>
  </w:style>
  <w:style w:type="character" w:customStyle="1" w:styleId="167">
    <w:name w:val="hover52"/>
    <w:basedOn w:val="46"/>
    <w:qFormat/>
    <w:uiPriority w:val="0"/>
    <w:rPr>
      <w:color w:val="1A85D7"/>
    </w:rPr>
  </w:style>
  <w:style w:type="character" w:customStyle="1" w:styleId="168">
    <w:name w:val="credit"/>
    <w:basedOn w:val="46"/>
    <w:qFormat/>
    <w:uiPriority w:val="0"/>
    <w:rPr>
      <w:sz w:val="18"/>
      <w:szCs w:val="18"/>
    </w:rPr>
  </w:style>
  <w:style w:type="character" w:customStyle="1" w:styleId="169">
    <w:name w:val="first-child"/>
    <w:basedOn w:val="46"/>
    <w:qFormat/>
    <w:uiPriority w:val="0"/>
  </w:style>
  <w:style w:type="character" w:customStyle="1" w:styleId="170">
    <w:name w:val="font31"/>
    <w:basedOn w:val="46"/>
    <w:qFormat/>
    <w:uiPriority w:val="0"/>
    <w:rPr>
      <w:rFonts w:hint="eastAsia" w:ascii="宋体" w:hAnsi="宋体" w:eastAsia="宋体" w:cs="宋体"/>
      <w:color w:val="000000"/>
      <w:sz w:val="24"/>
      <w:szCs w:val="24"/>
      <w:u w:val="none"/>
    </w:rPr>
  </w:style>
  <w:style w:type="paragraph" w:customStyle="1" w:styleId="171">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2">
    <w:name w:val="表格内正文，无编号"/>
    <w:basedOn w:val="1"/>
    <w:qFormat/>
    <w:uiPriority w:val="0"/>
    <w:pPr>
      <w:spacing w:line="400" w:lineRule="exact"/>
      <w:ind w:firstLine="643" w:firstLineChars="200"/>
    </w:pPr>
  </w:style>
  <w:style w:type="paragraph" w:customStyle="1" w:styleId="173">
    <w:name w:val="*正文"/>
    <w:basedOn w:val="1"/>
    <w:qFormat/>
    <w:uiPriority w:val="0"/>
    <w:pPr>
      <w:widowControl/>
      <w:ind w:firstLine="200" w:firstLineChars="200"/>
    </w:pPr>
    <w:rPr>
      <w:rFonts w:ascii="仿宋_GB2312" w:eastAsia="仿宋_GB2312" w:cstheme="minorBidi"/>
      <w:sz w:val="24"/>
      <w:szCs w:val="28"/>
    </w:rPr>
  </w:style>
  <w:style w:type="paragraph" w:customStyle="1" w:styleId="174">
    <w:name w:val="表体"/>
    <w:basedOn w:val="1"/>
    <w:next w:val="1"/>
    <w:qFormat/>
    <w:uiPriority w:val="0"/>
    <w:pPr>
      <w:snapToGrid w:val="0"/>
      <w:spacing w:line="0" w:lineRule="atLeast"/>
    </w:pPr>
    <w:rPr>
      <w:b/>
      <w:szCs w:val="20"/>
    </w:rPr>
  </w:style>
  <w:style w:type="character" w:customStyle="1" w:styleId="175">
    <w:name w:val="font21"/>
    <w:basedOn w:val="46"/>
    <w:qFormat/>
    <w:uiPriority w:val="0"/>
    <w:rPr>
      <w:rFonts w:hint="eastAsia" w:ascii="黑体" w:hAnsi="宋体" w:eastAsia="黑体" w:cs="黑体"/>
      <w:color w:val="000000"/>
      <w:sz w:val="20"/>
      <w:szCs w:val="20"/>
      <w:u w:val="none"/>
    </w:rPr>
  </w:style>
  <w:style w:type="character" w:customStyle="1" w:styleId="176">
    <w:name w:val="font61"/>
    <w:basedOn w:val="46"/>
    <w:qFormat/>
    <w:uiPriority w:val="0"/>
    <w:rPr>
      <w:rFonts w:ascii="宋体-简" w:hAnsi="宋体-简" w:eastAsia="宋体-简" w:cs="宋体-简"/>
      <w:color w:val="000000"/>
      <w:sz w:val="20"/>
      <w:szCs w:val="20"/>
      <w:u w:val="none"/>
    </w:rPr>
  </w:style>
  <w:style w:type="character" w:customStyle="1" w:styleId="177">
    <w:name w:val="font81"/>
    <w:basedOn w:val="46"/>
    <w:qFormat/>
    <w:uiPriority w:val="0"/>
    <w:rPr>
      <w:rFonts w:ascii="宋体-简" w:hAnsi="宋体-简" w:eastAsia="宋体-简" w:cs="宋体-简"/>
      <w:color w:val="000000"/>
      <w:sz w:val="20"/>
      <w:szCs w:val="20"/>
      <w:u w:val="none"/>
    </w:rPr>
  </w:style>
  <w:style w:type="paragraph" w:customStyle="1" w:styleId="17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80">
    <w:name w:val="Y正文GBK"/>
    <w:basedOn w:val="1"/>
    <w:qFormat/>
    <w:uiPriority w:val="0"/>
    <w:pPr>
      <w:spacing w:line="560" w:lineRule="exact"/>
      <w:ind w:firstLine="640"/>
    </w:pPr>
    <w:rPr>
      <w:rFonts w:ascii="方正仿宋_GBK" w:hAnsi="黑体" w:eastAsia="方正仿宋_GBK"/>
      <w:szCs w:val="32"/>
    </w:rPr>
  </w:style>
  <w:style w:type="paragraph" w:customStyle="1" w:styleId="181">
    <w:name w:val="List Paragraph"/>
    <w:basedOn w:val="182"/>
    <w:qFormat/>
    <w:uiPriority w:val="1"/>
    <w:pPr>
      <w:ind w:left="100" w:firstLine="420"/>
    </w:pPr>
    <w:rPr>
      <w:rFonts w:ascii="宋体" w:hAnsi="宋体" w:eastAsia="宋体" w:cs="宋体"/>
    </w:rPr>
  </w:style>
  <w:style w:type="paragraph" w:customStyle="1" w:styleId="182">
    <w:name w:val="五级条标题"/>
    <w:basedOn w:val="183"/>
    <w:next w:val="183"/>
    <w:qFormat/>
    <w:uiPriority w:val="0"/>
    <w:pPr>
      <w:outlineLvl w:val="6"/>
    </w:pPr>
  </w:style>
  <w:style w:type="paragraph" w:customStyle="1" w:styleId="183">
    <w:name w:val="章标题"/>
    <w:next w:val="184"/>
    <w:qFormat/>
    <w:uiPriority w:val="0"/>
    <w:pPr>
      <w:jc w:val="both"/>
      <w:outlineLvl w:val="1"/>
    </w:pPr>
    <w:rPr>
      <w:rFonts w:ascii="黑体" w:hAnsi="黑体" w:eastAsia="黑体" w:cs="Times New Roman"/>
      <w:kern w:val="1"/>
      <w:sz w:val="21"/>
      <w:lang w:val="en-US" w:eastAsia="zh-CN" w:bidi="ar-SA"/>
    </w:rPr>
  </w:style>
  <w:style w:type="paragraph" w:customStyle="1" w:styleId="184">
    <w:name w:val="目次、标准名称标题"/>
    <w:basedOn w:val="185"/>
    <w:next w:val="185"/>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185">
    <w:name w:val="投标正文"/>
    <w:basedOn w:val="186"/>
    <w:qFormat/>
    <w:uiPriority w:val="0"/>
    <w:pPr>
      <w:spacing w:line="360" w:lineRule="auto"/>
    </w:pPr>
    <w:rPr>
      <w:spacing w:val="15"/>
      <w:sz w:val="32"/>
      <w:szCs w:val="32"/>
    </w:rPr>
  </w:style>
  <w:style w:type="paragraph" w:customStyle="1" w:styleId="186">
    <w:name w:val="四级条标题"/>
    <w:basedOn w:val="187"/>
    <w:next w:val="187"/>
    <w:qFormat/>
    <w:uiPriority w:val="0"/>
    <w:pPr>
      <w:outlineLvl w:val="5"/>
    </w:pPr>
  </w:style>
  <w:style w:type="paragraph" w:customStyle="1" w:styleId="187">
    <w:name w:val="三级条标题"/>
    <w:basedOn w:val="188"/>
    <w:next w:val="188"/>
    <w:qFormat/>
    <w:uiPriority w:val="0"/>
    <w:pPr>
      <w:outlineLvl w:val="4"/>
    </w:pPr>
  </w:style>
  <w:style w:type="paragraph" w:customStyle="1" w:styleId="188">
    <w:name w:val="二级条标题"/>
    <w:basedOn w:val="189"/>
    <w:next w:val="189"/>
    <w:qFormat/>
    <w:uiPriority w:val="0"/>
    <w:pPr>
      <w:outlineLvl w:val="3"/>
    </w:pPr>
  </w:style>
  <w:style w:type="paragraph" w:customStyle="1" w:styleId="189">
    <w:name w:val="一级条标题"/>
    <w:next w:val="14"/>
    <w:qFormat/>
    <w:uiPriority w:val="0"/>
    <w:pPr>
      <w:outlineLvl w:val="2"/>
    </w:pPr>
    <w:rPr>
      <w:rFonts w:ascii="黑体" w:hAnsi="黑体" w:eastAsia="黑体" w:cs="Times New Roman"/>
      <w:kern w:val="1"/>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6796</Words>
  <Characters>7223</Characters>
  <Lines>3114</Lines>
  <Paragraphs>1999</Paragraphs>
  <TotalTime>28</TotalTime>
  <ScaleCrop>false</ScaleCrop>
  <LinksUpToDate>false</LinksUpToDate>
  <CharactersWithSpaces>7382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2024-08-10T00:33:00Z</dcterms:created>
  <dc:creator>陈桂兰</dc:creator>
  <cp:lastModifiedBy>Kevin</cp:lastModifiedBy>
  <cp:lastPrinted>2022-06-10T02:51:00Z</cp:lastPrinted>
  <dcterms:modified xsi:type="dcterms:W3CDTF">2024-11-15T06:01:23Z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20F6B70B783F4AC8ACF4CCE41937F0A8_13</vt:lpwstr>
  </property>
</Properties>
</file>