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28"/>
          <w:szCs w:val="28"/>
        </w:rPr>
      </w:pPr>
      <w:bookmarkStart w:id="291" w:name="_GoBack"/>
      <w:bookmarkEnd w:id="291"/>
      <w:r>
        <w:rPr>
          <w:rFonts w:hint="eastAsia" w:ascii="宋体" w:hAnsi="宋体" w:cs="宋体"/>
          <w:b/>
          <w:sz w:val="28"/>
          <w:szCs w:val="28"/>
        </w:rPr>
        <w:t>项目名称：</w:t>
      </w:r>
      <w:bookmarkStart w:id="0" w:name="_Hlk182475544"/>
      <w:bookmarkStart w:id="1" w:name="_Hlk182475773"/>
      <w:r>
        <w:rPr>
          <w:rFonts w:hint="eastAsia" w:ascii="宋体" w:hAnsi="宋体" w:cs="宋体"/>
          <w:b/>
          <w:sz w:val="28"/>
          <w:szCs w:val="28"/>
        </w:rPr>
        <w:t>重庆市交通行业职业培训中心有限责任公司</w:t>
      </w:r>
      <w:bookmarkEnd w:id="0"/>
      <w:r>
        <w:rPr>
          <w:rFonts w:hint="eastAsia" w:ascii="宋体" w:hAnsi="宋体" w:cs="宋体"/>
          <w:b/>
          <w:sz w:val="28"/>
          <w:szCs w:val="28"/>
        </w:rPr>
        <w:t>遴选机动车驾驶人科目二考试考场社会合作单位项目</w:t>
      </w:r>
      <w:bookmarkEnd w:id="1"/>
    </w:p>
    <w:p>
      <w:pPr>
        <w:tabs>
          <w:tab w:val="center" w:pos="4233"/>
        </w:tabs>
        <w:snapToGrid w:val="0"/>
        <w:spacing w:line="440" w:lineRule="exact"/>
        <w:ind w:firstLine="0"/>
        <w:rPr>
          <w:rFonts w:hint="eastAsia" w:ascii="宋体" w:hAnsi="宋体" w:cs="宋体"/>
          <w:b/>
          <w:sz w:val="28"/>
          <w:szCs w:val="28"/>
        </w:rPr>
      </w:pPr>
    </w:p>
    <w:p>
      <w:pPr>
        <w:spacing w:after="240"/>
        <w:ind w:firstLine="0"/>
        <w:jc w:val="center"/>
        <w:rPr>
          <w:rFonts w:hint="eastAsia" w:ascii="宋体" w:hAnsi="宋体" w:cs="宋体"/>
          <w:b/>
          <w:sz w:val="84"/>
          <w:szCs w:val="84"/>
        </w:rPr>
      </w:pPr>
    </w:p>
    <w:p>
      <w:pPr>
        <w:spacing w:after="240"/>
        <w:ind w:firstLine="0"/>
        <w:jc w:val="center"/>
        <w:rPr>
          <w:rFonts w:hint="eastAsia" w:ascii="宋体" w:hAnsi="宋体" w:cs="宋体"/>
          <w:b/>
          <w:sz w:val="84"/>
          <w:szCs w:val="84"/>
        </w:rPr>
      </w:pPr>
      <w:r>
        <w:rPr>
          <w:rFonts w:hint="eastAsia" w:ascii="宋体" w:hAnsi="宋体" w:cs="宋体"/>
          <w:b/>
          <w:sz w:val="84"/>
          <w:szCs w:val="84"/>
        </w:rPr>
        <w:t>遴选文件</w:t>
      </w:r>
    </w:p>
    <w:p>
      <w:pPr>
        <w:snapToGrid w:val="0"/>
        <w:ind w:firstLine="0"/>
        <w:jc w:val="center"/>
        <w:rPr>
          <w:rFonts w:hint="eastAsia" w:ascii="宋体" w:hAnsi="宋体" w:cs="宋体"/>
          <w:sz w:val="30"/>
          <w:szCs w:val="30"/>
          <w:shd w:val="clear" w:color="FFFFFF" w:fill="D9D9D9"/>
        </w:rPr>
      </w:pPr>
    </w:p>
    <w:p>
      <w:pPr>
        <w:snapToGrid w:val="0"/>
        <w:ind w:firstLine="0"/>
        <w:jc w:val="center"/>
        <w:rPr>
          <w:rFonts w:hint="eastAsia" w:ascii="宋体" w:hAnsi="宋体" w:cs="宋体"/>
          <w:sz w:val="30"/>
          <w:szCs w:val="30"/>
          <w:shd w:val="clear" w:color="FFFFFF" w:fill="D9D9D9"/>
        </w:rPr>
      </w:pPr>
    </w:p>
    <w:p>
      <w:pPr>
        <w:tabs>
          <w:tab w:val="center" w:pos="4233"/>
        </w:tabs>
        <w:snapToGrid w:val="0"/>
        <w:spacing w:before="100" w:beforeAutospacing="1" w:after="100" w:afterAutospacing="1" w:line="240" w:lineRule="auto"/>
        <w:ind w:firstLine="0"/>
        <w:rPr>
          <w:rFonts w:hint="eastAsia" w:ascii="宋体" w:hAnsi="宋体" w:cs="宋体"/>
          <w:b/>
          <w:sz w:val="32"/>
          <w:szCs w:val="32"/>
        </w:rPr>
      </w:pPr>
    </w:p>
    <w:p>
      <w:pPr>
        <w:pStyle w:val="33"/>
        <w:snapToGrid w:val="0"/>
        <w:spacing w:line="480" w:lineRule="auto"/>
        <w:rPr>
          <w:rFonts w:hint="eastAsia" w:hAnsi="宋体" w:cs="宋体"/>
          <w:kern w:val="0"/>
          <w:sz w:val="32"/>
          <w:szCs w:val="32"/>
          <w:lang w:bidi="en-US"/>
        </w:rPr>
      </w:pPr>
    </w:p>
    <w:p>
      <w:pPr>
        <w:pStyle w:val="33"/>
        <w:tabs>
          <w:tab w:val="right" w:pos="9001"/>
        </w:tabs>
        <w:snapToGrid w:val="0"/>
        <w:spacing w:line="480" w:lineRule="auto"/>
        <w:ind w:firstLine="1167" w:firstLineChars="346"/>
        <w:rPr>
          <w:rFonts w:hint="eastAsia" w:hAnsi="宋体" w:cs="宋体"/>
          <w:b/>
          <w:spacing w:val="18"/>
          <w:kern w:val="0"/>
          <w:sz w:val="30"/>
          <w:szCs w:val="30"/>
        </w:rPr>
      </w:pPr>
    </w:p>
    <w:p>
      <w:pPr>
        <w:pStyle w:val="33"/>
        <w:tabs>
          <w:tab w:val="right" w:pos="9001"/>
        </w:tabs>
        <w:snapToGrid w:val="0"/>
        <w:spacing w:line="480" w:lineRule="auto"/>
        <w:rPr>
          <w:rFonts w:hint="eastAsia" w:hAnsi="宋体" w:cs="宋体"/>
          <w:b/>
          <w:spacing w:val="18"/>
          <w:kern w:val="0"/>
          <w:sz w:val="30"/>
          <w:szCs w:val="30"/>
        </w:rPr>
      </w:pPr>
    </w:p>
    <w:p>
      <w:pPr>
        <w:pStyle w:val="33"/>
        <w:tabs>
          <w:tab w:val="right" w:pos="9001"/>
        </w:tabs>
        <w:snapToGrid w:val="0"/>
        <w:spacing w:line="480" w:lineRule="auto"/>
        <w:jc w:val="center"/>
        <w:rPr>
          <w:rFonts w:hint="eastAsia" w:hAnsi="宋体" w:cs="宋体"/>
          <w:b/>
          <w:spacing w:val="-11"/>
          <w:kern w:val="0"/>
          <w:sz w:val="30"/>
          <w:szCs w:val="30"/>
        </w:rPr>
      </w:pPr>
      <w:r>
        <w:rPr>
          <w:rFonts w:hint="eastAsia" w:hAnsi="宋体" w:cs="宋体"/>
          <w:b/>
          <w:spacing w:val="18"/>
          <w:kern w:val="0"/>
          <w:sz w:val="30"/>
          <w:szCs w:val="30"/>
        </w:rPr>
        <w:t>遴选人</w:t>
      </w:r>
      <w:bookmarkStart w:id="2" w:name="_Toc158468707"/>
      <w:bookmarkStart w:id="3" w:name="_Toc158424261"/>
      <w:bookmarkStart w:id="4" w:name="_Toc158424409"/>
      <w:bookmarkStart w:id="5" w:name="_Toc158451005"/>
      <w:bookmarkStart w:id="6" w:name="_Toc158461843"/>
      <w:r>
        <w:rPr>
          <w:rFonts w:hint="eastAsia" w:hAnsi="宋体" w:cs="宋体"/>
          <w:b/>
          <w:spacing w:val="18"/>
          <w:kern w:val="0"/>
          <w:sz w:val="30"/>
          <w:szCs w:val="30"/>
        </w:rPr>
        <w:t>：</w:t>
      </w:r>
      <w:bookmarkEnd w:id="2"/>
      <w:bookmarkEnd w:id="3"/>
      <w:bookmarkEnd w:id="4"/>
      <w:bookmarkEnd w:id="5"/>
      <w:bookmarkEnd w:id="6"/>
      <w:r>
        <w:rPr>
          <w:rFonts w:hint="eastAsia" w:hAnsi="宋体" w:cs="宋体"/>
          <w:b/>
          <w:sz w:val="28"/>
          <w:szCs w:val="28"/>
        </w:rPr>
        <w:t>重庆市交通行业职业培训中心有限责任公司</w:t>
      </w:r>
      <w:r>
        <w:rPr>
          <w:rFonts w:hint="eastAsia" w:hAnsi="宋体" w:cs="宋体"/>
          <w:b/>
          <w:spacing w:val="-11"/>
          <w:kern w:val="0"/>
          <w:sz w:val="30"/>
          <w:szCs w:val="30"/>
        </w:rPr>
        <w:t>（公章）</w:t>
      </w:r>
    </w:p>
    <w:p>
      <w:pPr>
        <w:pStyle w:val="33"/>
        <w:tabs>
          <w:tab w:val="right" w:pos="9001"/>
        </w:tabs>
        <w:snapToGrid w:val="0"/>
        <w:spacing w:line="480" w:lineRule="auto"/>
        <w:jc w:val="center"/>
        <w:rPr>
          <w:rFonts w:hint="eastAsia" w:hAnsi="宋体" w:cs="宋体"/>
          <w:sz w:val="30"/>
          <w:szCs w:val="30"/>
        </w:rPr>
      </w:pPr>
      <w:bookmarkStart w:id="7" w:name="_Toc158424263"/>
      <w:bookmarkStart w:id="8" w:name="_Toc158451007"/>
      <w:bookmarkStart w:id="9" w:name="_Toc153594461"/>
      <w:bookmarkStart w:id="10" w:name="_Toc153606349"/>
      <w:bookmarkStart w:id="11" w:name="_Toc158424411"/>
      <w:bookmarkStart w:id="12" w:name="_Toc158461845"/>
      <w:bookmarkStart w:id="13" w:name="_Toc153377139"/>
      <w:bookmarkStart w:id="14" w:name="_Toc158468709"/>
      <w:r>
        <w:rPr>
          <w:rFonts w:hint="eastAsia" w:hAnsi="宋体" w:cs="宋体"/>
          <w:b/>
          <w:spacing w:val="14"/>
          <w:w w:val="90"/>
          <w:kern w:val="0"/>
          <w:sz w:val="30"/>
          <w:szCs w:val="30"/>
        </w:rPr>
        <w:t xml:space="preserve">    </w:t>
      </w:r>
      <w:bookmarkEnd w:id="7"/>
      <w:bookmarkEnd w:id="8"/>
      <w:bookmarkEnd w:id="9"/>
      <w:bookmarkEnd w:id="10"/>
      <w:bookmarkEnd w:id="11"/>
      <w:bookmarkEnd w:id="12"/>
      <w:bookmarkEnd w:id="13"/>
      <w:bookmarkEnd w:id="14"/>
    </w:p>
    <w:p>
      <w:pPr>
        <w:spacing w:line="520" w:lineRule="exact"/>
        <w:jc w:val="center"/>
        <w:rPr>
          <w:rFonts w:hint="eastAsia" w:ascii="宋体" w:hAnsi="宋体" w:cs="宋体"/>
          <w:b/>
          <w:sz w:val="28"/>
          <w:szCs w:val="28"/>
        </w:rPr>
      </w:pPr>
      <w:r>
        <w:rPr>
          <w:rFonts w:hint="eastAsia" w:ascii="宋体" w:hAnsi="宋体" w:cs="宋体"/>
          <w:b/>
          <w:sz w:val="28"/>
          <w:szCs w:val="28"/>
        </w:rPr>
        <w:t>二○二四年十一月</w:t>
      </w:r>
    </w:p>
    <w:p>
      <w:pPr>
        <w:ind w:firstLine="0"/>
        <w:jc w:val="center"/>
        <w:rPr>
          <w:rFonts w:hint="eastAsia" w:ascii="宋体" w:hAnsi="宋体" w:cs="宋体"/>
          <w:b/>
          <w:sz w:val="28"/>
          <w:szCs w:val="28"/>
        </w:rPr>
        <w:sectPr>
          <w:headerReference r:id="rId4" w:type="first"/>
          <w:headerReference r:id="rId3" w:type="default"/>
          <w:footerReference r:id="rId5" w:type="default"/>
          <w:footerReference r:id="rId6" w:type="even"/>
          <w:pgSz w:w="11906" w:h="16838"/>
          <w:pgMar w:top="1417" w:right="1134" w:bottom="1417" w:left="1134" w:header="851" w:footer="992" w:gutter="340"/>
          <w:cols w:space="720" w:num="1"/>
          <w:docGrid w:linePitch="326" w:charSpace="0"/>
        </w:sectPr>
      </w:pPr>
    </w:p>
    <w:p>
      <w:pPr>
        <w:ind w:firstLine="0"/>
        <w:jc w:val="center"/>
        <w:rPr>
          <w:rFonts w:hint="eastAsia" w:ascii="宋体" w:hAnsi="宋体" w:cs="宋体"/>
          <w:b/>
          <w:sz w:val="28"/>
          <w:szCs w:val="28"/>
        </w:rPr>
      </w:pPr>
      <w:r>
        <w:rPr>
          <w:rFonts w:hint="eastAsia" w:ascii="宋体" w:hAnsi="宋体" w:cs="宋体"/>
          <w:b/>
          <w:sz w:val="28"/>
          <w:szCs w:val="28"/>
        </w:rPr>
        <w:t>目    录</w:t>
      </w:r>
    </w:p>
    <w:p>
      <w:pPr>
        <w:pStyle w:val="41"/>
        <w:rPr>
          <w:rFonts w:hint="eastAsia" w:asciiTheme="minorEastAsia" w:hAnsiTheme="minorEastAsia" w:eastAsiaTheme="minorEastAsia" w:cstheme="minorBidi"/>
          <w:b w:val="0"/>
          <w:kern w:val="2"/>
          <w:sz w:val="22"/>
          <w:szCs w:val="24"/>
          <w14:ligatures w14:val="standardContextual"/>
        </w:rPr>
      </w:pPr>
      <w:r>
        <w:rPr>
          <w:rFonts w:hint="eastAsia" w:ascii="宋体" w:hAnsi="宋体" w:eastAsia="宋体" w:cs="宋体"/>
          <w:szCs w:val="24"/>
        </w:rPr>
        <w:fldChar w:fldCharType="begin"/>
      </w:r>
      <w:r>
        <w:rPr>
          <w:rFonts w:hint="eastAsia" w:ascii="宋体" w:hAnsi="宋体" w:eastAsia="宋体" w:cs="宋体"/>
          <w:szCs w:val="24"/>
        </w:rPr>
        <w:instrText xml:space="preserve">TOC \o "1-3" \h \u </w:instrText>
      </w:r>
      <w:r>
        <w:rPr>
          <w:rFonts w:hint="eastAsia" w:ascii="宋体" w:hAnsi="宋体" w:eastAsia="宋体" w:cs="宋体"/>
          <w:szCs w:val="24"/>
        </w:rPr>
        <w:fldChar w:fldCharType="separate"/>
      </w:r>
      <w:r>
        <w:fldChar w:fldCharType="begin"/>
      </w:r>
      <w:r>
        <w:instrText xml:space="preserve"> HYPERLINK \l "_Toc161058941" </w:instrText>
      </w:r>
      <w:r>
        <w:fldChar w:fldCharType="separate"/>
      </w:r>
      <w:r>
        <w:rPr>
          <w:rStyle w:val="63"/>
          <w:rFonts w:cs="宋体" w:asciiTheme="minorEastAsia" w:hAnsiTheme="minorEastAsia" w:eastAsiaTheme="minorEastAsia"/>
          <w:color w:val="auto"/>
        </w:rPr>
        <w:t>第一章 遴选公告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_Toc161058941 \h </w:instrText>
      </w:r>
      <w:r>
        <w:rPr>
          <w:rFonts w:asciiTheme="minorEastAsia" w:hAnsiTheme="minorEastAsia" w:eastAsiaTheme="minorEastAsia"/>
        </w:rPr>
        <w:fldChar w:fldCharType="separate"/>
      </w:r>
      <w:r>
        <w:rPr>
          <w:rFonts w:hint="eastAsia"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"_Toc161058942" </w:instrText>
      </w:r>
      <w:r>
        <w:fldChar w:fldCharType="separate"/>
      </w:r>
      <w:r>
        <w:rPr>
          <w:rStyle w:val="63"/>
          <w:rFonts w:cs="宋体" w:asciiTheme="minorEastAsia" w:hAnsiTheme="minorEastAsia" w:eastAsiaTheme="minorEastAsia"/>
          <w:color w:val="auto"/>
        </w:rPr>
        <w:t>1.遴选条件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_Toc161058942 \h </w:instrText>
      </w:r>
      <w:r>
        <w:rPr>
          <w:rFonts w:asciiTheme="minorEastAsia" w:hAnsiTheme="minorEastAsia" w:eastAsiaTheme="minorEastAsia"/>
        </w:rPr>
        <w:fldChar w:fldCharType="separate"/>
      </w:r>
      <w:r>
        <w:rPr>
          <w:rFonts w:hint="eastAsia"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"_Toc161058943" </w:instrText>
      </w:r>
      <w:r>
        <w:fldChar w:fldCharType="separate"/>
      </w:r>
      <w:r>
        <w:rPr>
          <w:rStyle w:val="63"/>
          <w:rFonts w:cs="宋体" w:asciiTheme="minorEastAsia" w:hAnsiTheme="minorEastAsia" w:eastAsiaTheme="minorEastAsia"/>
          <w:color w:val="auto"/>
        </w:rPr>
        <w:t>2.项目概况与遴选范围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_Toc161058943 \h </w:instrText>
      </w:r>
      <w:r>
        <w:rPr>
          <w:rFonts w:asciiTheme="minorEastAsia" w:hAnsiTheme="minorEastAsia" w:eastAsiaTheme="minorEastAsia"/>
        </w:rPr>
        <w:fldChar w:fldCharType="separate"/>
      </w:r>
      <w:r>
        <w:rPr>
          <w:rFonts w:hint="eastAsia"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"_Toc161058944" </w:instrText>
      </w:r>
      <w:r>
        <w:fldChar w:fldCharType="separate"/>
      </w:r>
      <w:r>
        <w:rPr>
          <w:rStyle w:val="63"/>
          <w:rFonts w:cs="宋体" w:asciiTheme="minorEastAsia" w:hAnsiTheme="minorEastAsia" w:eastAsiaTheme="minorEastAsia"/>
          <w:color w:val="auto"/>
        </w:rPr>
        <w:t>3.竞选人资格要求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_Toc161058944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"_Toc161058945" </w:instrText>
      </w:r>
      <w:r>
        <w:fldChar w:fldCharType="separate"/>
      </w:r>
      <w:r>
        <w:rPr>
          <w:rStyle w:val="63"/>
          <w:rFonts w:cs="宋体" w:asciiTheme="minorEastAsia" w:hAnsiTheme="minorEastAsia" w:eastAsiaTheme="minorEastAsia"/>
          <w:color w:val="auto"/>
        </w:rPr>
        <w:t>4.竞争性遴选文件的获取</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_Toc161058945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"_Toc161058946" </w:instrText>
      </w:r>
      <w:r>
        <w:fldChar w:fldCharType="separate"/>
      </w:r>
      <w:r>
        <w:rPr>
          <w:rStyle w:val="63"/>
          <w:rFonts w:cs="宋体" w:asciiTheme="minorEastAsia" w:hAnsiTheme="minorEastAsia" w:eastAsiaTheme="minorEastAsia"/>
          <w:color w:val="auto"/>
        </w:rPr>
        <w:t>5.竞选文件的递交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_Toc161058946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"_Toc161058947" </w:instrText>
      </w:r>
      <w:r>
        <w:fldChar w:fldCharType="separate"/>
      </w:r>
      <w:r>
        <w:rPr>
          <w:rStyle w:val="63"/>
          <w:rFonts w:cs="宋体" w:asciiTheme="minorEastAsia" w:hAnsiTheme="minorEastAsia" w:eastAsiaTheme="minorEastAsia"/>
          <w:color w:val="auto"/>
        </w:rPr>
        <w:t>6.发布公告的媒介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_Toc161058947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"_Toc161058948" </w:instrText>
      </w:r>
      <w:r>
        <w:fldChar w:fldCharType="separate"/>
      </w:r>
      <w:r>
        <w:rPr>
          <w:rStyle w:val="63"/>
          <w:rFonts w:cs="宋体" w:asciiTheme="minorEastAsia" w:hAnsiTheme="minorEastAsia" w:eastAsiaTheme="minorEastAsia"/>
          <w:color w:val="auto"/>
        </w:rPr>
        <w:t>7.联系方式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_Toc161058948 \h </w:instrText>
      </w:r>
      <w:r>
        <w:rPr>
          <w:rFonts w:asciiTheme="minorEastAsia" w:hAnsiTheme="minorEastAsia" w:eastAsiaTheme="minorEastAsia"/>
        </w:rPr>
        <w:fldChar w:fldCharType="separate"/>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rPr>
          <w:rFonts w:hint="eastAsia" w:asciiTheme="minorEastAsia" w:hAnsiTheme="minorEastAsia" w:eastAsiaTheme="minorEastAsia" w:cstheme="minorBidi"/>
          <w:b w:val="0"/>
          <w:kern w:val="2"/>
          <w:sz w:val="22"/>
          <w:szCs w:val="24"/>
          <w14:ligatures w14:val="standardContextual"/>
        </w:rPr>
      </w:pPr>
      <w:r>
        <w:fldChar w:fldCharType="begin"/>
      </w:r>
      <w:r>
        <w:instrText xml:space="preserve"> HYPERLINK \l "_Toc161058949" </w:instrText>
      </w:r>
      <w:r>
        <w:fldChar w:fldCharType="separate"/>
      </w:r>
      <w:r>
        <w:rPr>
          <w:rStyle w:val="63"/>
          <w:rFonts w:cs="宋体" w:asciiTheme="minorEastAsia" w:hAnsiTheme="minorEastAsia" w:eastAsiaTheme="minorEastAsia"/>
          <w:color w:val="auto"/>
        </w:rPr>
        <w:t>第二章 竞选人须知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_Toc161058949 \h </w:instrText>
      </w:r>
      <w:r>
        <w:rPr>
          <w:rFonts w:asciiTheme="minorEastAsia" w:hAnsiTheme="minorEastAsia" w:eastAsiaTheme="minorEastAsia"/>
        </w:rPr>
        <w:fldChar w:fldCharType="separate"/>
      </w:r>
      <w:r>
        <w:rPr>
          <w:rFonts w:hint="eastAsia"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"_Toc161058950" </w:instrText>
      </w:r>
      <w:r>
        <w:fldChar w:fldCharType="separate"/>
      </w:r>
      <w:r>
        <w:rPr>
          <w:rStyle w:val="63"/>
          <w:rFonts w:cs="宋体" w:asciiTheme="minorEastAsia" w:hAnsiTheme="minorEastAsia" w:eastAsiaTheme="minorEastAsia"/>
          <w:color w:val="auto"/>
        </w:rPr>
        <w:t>竞选人须知前附表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_Toc161058950 \h </w:instrText>
      </w:r>
      <w:r>
        <w:rPr>
          <w:rFonts w:asciiTheme="minorEastAsia" w:hAnsiTheme="minorEastAsia" w:eastAsiaTheme="minorEastAsia"/>
        </w:rPr>
        <w:fldChar w:fldCharType="separate"/>
      </w:r>
      <w:r>
        <w:rPr>
          <w:rFonts w:hint="eastAsia"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"_Toc161058951" </w:instrText>
      </w:r>
      <w:r>
        <w:fldChar w:fldCharType="separate"/>
      </w:r>
      <w:r>
        <w:rPr>
          <w:rStyle w:val="63"/>
          <w:rFonts w:cs="宋体" w:asciiTheme="minorEastAsia" w:hAnsiTheme="minorEastAsia" w:eastAsiaTheme="minorEastAsia"/>
          <w:color w:val="auto"/>
        </w:rPr>
        <w:t>1.总则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_Toc161058951 \h </w:instrText>
      </w:r>
      <w:r>
        <w:rPr>
          <w:rFonts w:asciiTheme="minorEastAsia" w:hAnsiTheme="minorEastAsia" w:eastAsiaTheme="minorEastAsia"/>
        </w:rPr>
        <w:fldChar w:fldCharType="separate"/>
      </w:r>
      <w:r>
        <w:rPr>
          <w:rFonts w:hint="eastAsia"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"_Toc161058952" </w:instrText>
      </w:r>
      <w:r>
        <w:fldChar w:fldCharType="separate"/>
      </w:r>
      <w:r>
        <w:rPr>
          <w:rStyle w:val="63"/>
          <w:rFonts w:cs="宋体" w:asciiTheme="minorEastAsia" w:hAnsiTheme="minorEastAsia" w:eastAsiaTheme="minorEastAsia"/>
          <w:color w:val="auto"/>
        </w:rPr>
        <w:t>2.竞争性遴选文件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_Toc161058952 \h </w:instrText>
      </w:r>
      <w:r>
        <w:rPr>
          <w:rFonts w:asciiTheme="minorEastAsia" w:hAnsiTheme="minorEastAsia" w:eastAsiaTheme="minorEastAsia"/>
        </w:rPr>
        <w:fldChar w:fldCharType="separate"/>
      </w:r>
      <w:r>
        <w:rPr>
          <w:rFonts w:hint="eastAsia"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"_Toc161058953" </w:instrText>
      </w:r>
      <w:r>
        <w:fldChar w:fldCharType="separate"/>
      </w:r>
      <w:r>
        <w:rPr>
          <w:rStyle w:val="63"/>
          <w:rFonts w:cs="宋体" w:asciiTheme="minorEastAsia" w:hAnsiTheme="minorEastAsia" w:eastAsiaTheme="minorEastAsia"/>
          <w:color w:val="auto"/>
        </w:rPr>
        <w:t>3.竞选文件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_Toc161058953 \h </w:instrText>
      </w:r>
      <w:r>
        <w:rPr>
          <w:rFonts w:asciiTheme="minorEastAsia" w:hAnsiTheme="minorEastAsia" w:eastAsiaTheme="minorEastAsia"/>
        </w:rPr>
        <w:fldChar w:fldCharType="separate"/>
      </w:r>
      <w:r>
        <w:rPr>
          <w:rFonts w:hint="eastAsia"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"_Toc161058954" </w:instrText>
      </w:r>
      <w:r>
        <w:fldChar w:fldCharType="separate"/>
      </w:r>
      <w:r>
        <w:rPr>
          <w:rStyle w:val="63"/>
          <w:rFonts w:cs="宋体" w:asciiTheme="minorEastAsia" w:hAnsiTheme="minorEastAsia" w:eastAsiaTheme="minorEastAsia"/>
          <w:color w:val="auto"/>
        </w:rPr>
        <w:t>5.评选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_Toc161058954 \h </w:instrText>
      </w:r>
      <w:r>
        <w:rPr>
          <w:rFonts w:asciiTheme="minorEastAsia" w:hAnsiTheme="minorEastAsia" w:eastAsiaTheme="minorEastAsia"/>
        </w:rPr>
        <w:fldChar w:fldCharType="separate"/>
      </w:r>
      <w:r>
        <w:rPr>
          <w:rFonts w:hint="eastAsia"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"_Toc161058955" </w:instrText>
      </w:r>
      <w:r>
        <w:fldChar w:fldCharType="separate"/>
      </w:r>
      <w:r>
        <w:rPr>
          <w:rStyle w:val="63"/>
          <w:rFonts w:cs="宋体" w:asciiTheme="minorEastAsia" w:hAnsiTheme="minorEastAsia" w:eastAsiaTheme="minorEastAsia"/>
          <w:color w:val="auto"/>
        </w:rPr>
        <w:t>6.评审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_Toc161058955 \h </w:instrText>
      </w:r>
      <w:r>
        <w:rPr>
          <w:rFonts w:asciiTheme="minorEastAsia" w:hAnsiTheme="minorEastAsia" w:eastAsiaTheme="minorEastAsia"/>
        </w:rPr>
        <w:fldChar w:fldCharType="separate"/>
      </w:r>
      <w:r>
        <w:rPr>
          <w:rFonts w:hint="eastAsia"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"_Toc161058956" </w:instrText>
      </w:r>
      <w:r>
        <w:fldChar w:fldCharType="separate"/>
      </w:r>
      <w:r>
        <w:rPr>
          <w:rStyle w:val="63"/>
          <w:rFonts w:cs="宋体" w:asciiTheme="minorEastAsia" w:hAnsiTheme="minorEastAsia" w:eastAsiaTheme="minorEastAsia"/>
          <w:color w:val="auto"/>
        </w:rPr>
        <w:t>7.合同授予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_Toc161058956 \h </w:instrText>
      </w:r>
      <w:r>
        <w:rPr>
          <w:rFonts w:asciiTheme="minorEastAsia" w:hAnsiTheme="minorEastAsia" w:eastAsiaTheme="minorEastAsia"/>
        </w:rPr>
        <w:fldChar w:fldCharType="separate"/>
      </w:r>
      <w:r>
        <w:rPr>
          <w:rFonts w:hint="eastAsia"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"_Toc161058957" </w:instrText>
      </w:r>
      <w:r>
        <w:fldChar w:fldCharType="separate"/>
      </w:r>
      <w:r>
        <w:rPr>
          <w:rStyle w:val="63"/>
          <w:rFonts w:cs="宋体" w:asciiTheme="minorEastAsia" w:hAnsiTheme="minorEastAsia" w:eastAsiaTheme="minorEastAsia"/>
          <w:color w:val="auto"/>
        </w:rPr>
        <w:t>8.重新遴选和不再遴选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_Toc161058957 \h </w:instrText>
      </w:r>
      <w:r>
        <w:rPr>
          <w:rFonts w:asciiTheme="minorEastAsia" w:hAnsiTheme="minorEastAsia" w:eastAsiaTheme="minorEastAsia"/>
        </w:rPr>
        <w:fldChar w:fldCharType="separate"/>
      </w:r>
      <w:r>
        <w:rPr>
          <w:rFonts w:hint="eastAsia"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"_Toc161058958" </w:instrText>
      </w:r>
      <w:r>
        <w:fldChar w:fldCharType="separate"/>
      </w:r>
      <w:r>
        <w:rPr>
          <w:rStyle w:val="63"/>
          <w:rFonts w:cs="宋体" w:asciiTheme="minorEastAsia" w:hAnsiTheme="minorEastAsia" w:eastAsiaTheme="minorEastAsia"/>
          <w:color w:val="auto"/>
        </w:rPr>
        <w:t>9.纪律和监督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_Toc161058958 \h </w:instrText>
      </w:r>
      <w:r>
        <w:rPr>
          <w:rFonts w:asciiTheme="minorEastAsia" w:hAnsiTheme="minorEastAsia" w:eastAsiaTheme="minorEastAsia"/>
        </w:rPr>
        <w:fldChar w:fldCharType="separate"/>
      </w:r>
      <w:r>
        <w:rPr>
          <w:rFonts w:hint="eastAsia"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rPr>
          <w:rFonts w:hint="eastAsia" w:asciiTheme="minorEastAsia" w:hAnsiTheme="minorEastAsia" w:eastAsiaTheme="minorEastAsia" w:cstheme="minorBidi"/>
          <w:kern w:val="2"/>
          <w:sz w:val="22"/>
          <w:szCs w:val="24"/>
          <w14:ligatures w14:val="standardContextual"/>
        </w:rPr>
      </w:pPr>
      <w:r>
        <w:fldChar w:fldCharType="begin"/>
      </w:r>
      <w:r>
        <w:instrText xml:space="preserve"> HYPERLINK \l "_Toc161058959" </w:instrText>
      </w:r>
      <w:r>
        <w:fldChar w:fldCharType="separate"/>
      </w:r>
      <w:r>
        <w:rPr>
          <w:rStyle w:val="63"/>
          <w:rFonts w:cs="宋体" w:asciiTheme="minorEastAsia" w:hAnsiTheme="minorEastAsia" w:eastAsiaTheme="minorEastAsia"/>
          <w:color w:val="auto"/>
        </w:rPr>
        <w:t>10.需要补充的其他内容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_Toc161058959 \h </w:instrText>
      </w:r>
      <w:r>
        <w:rPr>
          <w:rFonts w:asciiTheme="minorEastAsia" w:hAnsiTheme="minorEastAsia" w:eastAsiaTheme="minorEastAsia"/>
        </w:rPr>
        <w:fldChar w:fldCharType="separate"/>
      </w:r>
      <w:r>
        <w:rPr>
          <w:rFonts w:hint="eastAsia"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rPr>
          <w:rFonts w:hint="eastAsia" w:asciiTheme="minorEastAsia" w:hAnsiTheme="minorEastAsia" w:eastAsiaTheme="minorEastAsia" w:cstheme="minorBidi"/>
          <w:b w:val="0"/>
          <w:kern w:val="2"/>
          <w:sz w:val="22"/>
          <w:szCs w:val="24"/>
          <w14:ligatures w14:val="standardContextual"/>
        </w:rPr>
      </w:pPr>
      <w:r>
        <w:fldChar w:fldCharType="begin"/>
      </w:r>
      <w:r>
        <w:instrText xml:space="preserve"> HYPERLINK \l "_Toc161058960" </w:instrText>
      </w:r>
      <w:r>
        <w:fldChar w:fldCharType="separate"/>
      </w:r>
      <w:r>
        <w:rPr>
          <w:rStyle w:val="63"/>
          <w:rFonts w:cs="宋体" w:asciiTheme="minorEastAsia" w:hAnsiTheme="minorEastAsia" w:eastAsiaTheme="minorEastAsia"/>
          <w:color w:val="auto"/>
        </w:rPr>
        <w:t>第三章 评审办法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_Toc161058960 \h </w:instrText>
      </w:r>
      <w:r>
        <w:rPr>
          <w:rFonts w:asciiTheme="minorEastAsia" w:hAnsiTheme="minorEastAsia" w:eastAsiaTheme="minorEastAsia"/>
        </w:rPr>
        <w:fldChar w:fldCharType="separate"/>
      </w:r>
      <w:r>
        <w:rPr>
          <w:rFonts w:hint="eastAsia"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rPr>
          <w:rFonts w:hint="eastAsia" w:asciiTheme="minorEastAsia" w:hAnsiTheme="minorEastAsia" w:eastAsiaTheme="minorEastAsia" w:cstheme="minorBidi"/>
          <w:b w:val="0"/>
          <w:kern w:val="2"/>
          <w:sz w:val="22"/>
          <w:szCs w:val="24"/>
          <w14:ligatures w14:val="standardContextual"/>
        </w:rPr>
      </w:pPr>
      <w:r>
        <w:fldChar w:fldCharType="begin"/>
      </w:r>
      <w:r>
        <w:instrText xml:space="preserve"> HYPERLINK \l "_Toc161058985" </w:instrText>
      </w:r>
      <w:r>
        <w:fldChar w:fldCharType="separate"/>
      </w:r>
      <w:r>
        <w:rPr>
          <w:rStyle w:val="63"/>
          <w:rFonts w:cs="宋体" w:asciiTheme="minorEastAsia" w:hAnsiTheme="minorEastAsia" w:eastAsiaTheme="minorEastAsia"/>
          <w:color w:val="auto"/>
        </w:rPr>
        <w:t>第四章 合同条款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_Toc161058985 \h </w:instrText>
      </w:r>
      <w:r>
        <w:rPr>
          <w:rFonts w:asciiTheme="minorEastAsia" w:hAnsiTheme="minorEastAsia" w:eastAsiaTheme="minorEastAsia"/>
        </w:rPr>
        <w:fldChar w:fldCharType="separate"/>
      </w:r>
      <w:r>
        <w:rPr>
          <w:rFonts w:hint="eastAsia"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rPr>
          <w:rFonts w:hint="eastAsia" w:asciiTheme="minorEastAsia" w:hAnsiTheme="minorEastAsia" w:eastAsiaTheme="minorEastAsia" w:cstheme="minorBidi"/>
          <w:b w:val="0"/>
          <w:kern w:val="2"/>
          <w:sz w:val="22"/>
          <w:szCs w:val="24"/>
          <w14:ligatures w14:val="standardContextual"/>
        </w:rPr>
      </w:pPr>
      <w:r>
        <w:fldChar w:fldCharType="begin"/>
      </w:r>
      <w:r>
        <w:instrText xml:space="preserve"> HYPERLINK \l "_Toc161058986" </w:instrText>
      </w:r>
      <w:r>
        <w:fldChar w:fldCharType="separate"/>
      </w:r>
      <w:r>
        <w:rPr>
          <w:rStyle w:val="63"/>
          <w:rFonts w:asciiTheme="minorEastAsia" w:hAnsiTheme="minorEastAsia" w:eastAsiaTheme="minorEastAsia"/>
          <w:color w:val="auto"/>
        </w:rPr>
        <w:t>第五章 服务要求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_Toc161058986 \h </w:instrText>
      </w:r>
      <w:r>
        <w:rPr>
          <w:rFonts w:asciiTheme="minorEastAsia" w:hAnsiTheme="minorEastAsia" w:eastAsiaTheme="minorEastAsia"/>
        </w:rPr>
        <w:fldChar w:fldCharType="separate"/>
      </w:r>
      <w:r>
        <w:rPr>
          <w:rFonts w:hint="eastAsia"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rPr>
          <w:rFonts w:hint="eastAsia" w:asciiTheme="minorEastAsia" w:hAnsiTheme="minorEastAsia" w:eastAsiaTheme="minorEastAsia" w:cstheme="minorBidi"/>
          <w:b w:val="0"/>
          <w:kern w:val="2"/>
          <w:sz w:val="22"/>
          <w:szCs w:val="24"/>
          <w14:ligatures w14:val="standardContextual"/>
        </w:rPr>
      </w:pPr>
      <w:r>
        <w:fldChar w:fldCharType="begin"/>
      </w:r>
      <w:r>
        <w:instrText xml:space="preserve"> HYPERLINK \l "_Toc161058987" </w:instrText>
      </w:r>
      <w:r>
        <w:fldChar w:fldCharType="separate"/>
      </w:r>
      <w:r>
        <w:rPr>
          <w:rStyle w:val="63"/>
          <w:rFonts w:asciiTheme="minorEastAsia" w:hAnsiTheme="minorEastAsia" w:eastAsiaTheme="minorEastAsia"/>
          <w:color w:val="auto"/>
        </w:rPr>
        <w:t>第六章 竞选文件格式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_Toc161058987 \h </w:instrText>
      </w:r>
      <w:r>
        <w:rPr>
          <w:rFonts w:asciiTheme="minorEastAsia" w:hAnsiTheme="minorEastAsia" w:eastAsiaTheme="minorEastAsia"/>
        </w:rPr>
        <w:fldChar w:fldCharType="separate"/>
      </w:r>
      <w:r>
        <w:rPr>
          <w:rFonts w:hint="eastAsia"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1"/>
        <w:ind w:firstLine="420" w:firstLineChars="200"/>
        <w:rPr>
          <w:rFonts w:hint="eastAsia" w:cs="宋体"/>
          <w:sz w:val="24"/>
          <w:szCs w:val="24"/>
        </w:rPr>
        <w:sectPr>
          <w:headerReference r:id="rId8" w:type="first"/>
          <w:footerReference r:id="rId10" w:type="first"/>
          <w:headerReference r:id="rId7" w:type="default"/>
          <w:footerReference r:id="rId9" w:type="default"/>
          <w:pgSz w:w="11906" w:h="16838"/>
          <w:pgMar w:top="1417" w:right="1134" w:bottom="1417" w:left="1134" w:header="851" w:footer="992" w:gutter="340"/>
          <w:pgNumType w:start="1"/>
          <w:cols w:space="720" w:num="1"/>
          <w:titlePg/>
          <w:docGrid w:linePitch="326" w:charSpace="0"/>
        </w:sectPr>
      </w:pPr>
      <w:r>
        <w:rPr>
          <w:rFonts w:hint="eastAsia" w:cs="宋体"/>
          <w:szCs w:val="24"/>
        </w:rPr>
        <w:fldChar w:fldCharType="end"/>
      </w:r>
    </w:p>
    <w:p>
      <w:pPr>
        <w:pStyle w:val="2"/>
        <w:snapToGrid w:val="0"/>
        <w:spacing w:before="0" w:after="0" w:line="440" w:lineRule="exact"/>
        <w:rPr>
          <w:rFonts w:hint="eastAsia" w:ascii="宋体" w:hAnsi="宋体" w:cs="宋体"/>
          <w:sz w:val="36"/>
          <w:szCs w:val="36"/>
        </w:rPr>
      </w:pPr>
      <w:bookmarkStart w:id="15" w:name="_Toc351455883"/>
      <w:bookmarkStart w:id="16" w:name="_Toc161058941"/>
      <w:bookmarkStart w:id="17" w:name="_Toc447723872"/>
      <w:bookmarkStart w:id="18" w:name="_Toc30235"/>
      <w:r>
        <w:rPr>
          <w:rFonts w:hint="eastAsia" w:ascii="宋体" w:hAnsi="宋体" w:cs="宋体"/>
          <w:sz w:val="36"/>
          <w:szCs w:val="36"/>
        </w:rPr>
        <w:t xml:space="preserve">第一章 </w:t>
      </w:r>
      <w:bookmarkEnd w:id="15"/>
      <w:r>
        <w:rPr>
          <w:rFonts w:hint="eastAsia" w:ascii="宋体" w:hAnsi="宋体" w:cs="宋体"/>
          <w:sz w:val="36"/>
          <w:szCs w:val="36"/>
        </w:rPr>
        <w:t>遴选公告</w:t>
      </w:r>
      <w:bookmarkEnd w:id="16"/>
      <w:bookmarkEnd w:id="17"/>
      <w:bookmarkEnd w:id="18"/>
    </w:p>
    <w:p>
      <w:pPr>
        <w:tabs>
          <w:tab w:val="center" w:pos="4233"/>
        </w:tabs>
        <w:snapToGrid w:val="0"/>
        <w:spacing w:line="440" w:lineRule="exact"/>
        <w:ind w:firstLine="0"/>
        <w:jc w:val="center"/>
        <w:rPr>
          <w:rFonts w:hint="eastAsia" w:ascii="宋体" w:hAnsi="宋体" w:cs="宋体"/>
          <w:b/>
          <w:snapToGrid w:val="0"/>
          <w:spacing w:val="-17"/>
          <w:w w:val="99"/>
          <w:szCs w:val="24"/>
        </w:rPr>
      </w:pPr>
      <w:bookmarkStart w:id="19" w:name="_Toc351455884"/>
      <w:bookmarkStart w:id="20" w:name="OLE_LINK3"/>
      <w:r>
        <w:rPr>
          <w:rFonts w:hint="eastAsia" w:ascii="宋体" w:hAnsi="宋体" w:cs="宋体"/>
          <w:b/>
          <w:snapToGrid w:val="0"/>
          <w:spacing w:val="-17"/>
          <w:w w:val="99"/>
          <w:szCs w:val="24"/>
        </w:rPr>
        <w:t>重庆市交通行业职业培训中心有限责任公司遴选机动车驾驶人科目二考试考场社会合作单位项目</w:t>
      </w:r>
    </w:p>
    <w:p>
      <w:pPr>
        <w:tabs>
          <w:tab w:val="center" w:pos="4233"/>
        </w:tabs>
        <w:snapToGrid w:val="0"/>
        <w:spacing w:line="440" w:lineRule="exact"/>
        <w:ind w:firstLine="0"/>
        <w:jc w:val="center"/>
        <w:rPr>
          <w:rFonts w:hint="eastAsia" w:ascii="宋体" w:hAnsi="宋体" w:cs="宋体"/>
          <w:b/>
          <w:snapToGrid w:val="0"/>
          <w:w w:val="99"/>
          <w:szCs w:val="24"/>
        </w:rPr>
      </w:pPr>
      <w:r>
        <w:rPr>
          <w:rFonts w:hint="eastAsia" w:ascii="宋体" w:hAnsi="宋体" w:cs="宋体"/>
          <w:b/>
          <w:snapToGrid w:val="0"/>
          <w:w w:val="99"/>
          <w:szCs w:val="24"/>
        </w:rPr>
        <w:t>遴选公告</w:t>
      </w:r>
    </w:p>
    <w:p>
      <w:pPr>
        <w:widowControl/>
        <w:spacing w:line="440" w:lineRule="exact"/>
        <w:jc w:val="center"/>
        <w:rPr>
          <w:rFonts w:hint="eastAsia" w:ascii="宋体" w:hAnsi="宋体"/>
          <w:sz w:val="21"/>
          <w:szCs w:val="21"/>
        </w:rPr>
      </w:pPr>
    </w:p>
    <w:p>
      <w:pPr>
        <w:pStyle w:val="3"/>
        <w:keepNext w:val="0"/>
        <w:keepLines w:val="0"/>
        <w:widowControl/>
        <w:adjustRightInd/>
        <w:spacing w:line="400" w:lineRule="exact"/>
        <w:jc w:val="left"/>
        <w:textAlignment w:val="auto"/>
        <w:rPr>
          <w:rFonts w:hint="eastAsia" w:cs="宋体"/>
          <w:sz w:val="24"/>
          <w:szCs w:val="24"/>
        </w:rPr>
      </w:pPr>
      <w:bookmarkStart w:id="21" w:name="_Toc161058942"/>
      <w:bookmarkStart w:id="22" w:name="_Toc11850"/>
      <w:bookmarkStart w:id="23" w:name="_Toc447723873"/>
      <w:r>
        <w:rPr>
          <w:rFonts w:hint="eastAsia" w:cs="宋体"/>
          <w:sz w:val="24"/>
          <w:szCs w:val="24"/>
        </w:rPr>
        <w:t>1.遴选条件</w:t>
      </w:r>
      <w:bookmarkEnd w:id="19"/>
      <w:bookmarkEnd w:id="21"/>
      <w:bookmarkEnd w:id="22"/>
      <w:bookmarkEnd w:id="23"/>
    </w:p>
    <w:p>
      <w:pPr>
        <w:tabs>
          <w:tab w:val="center" w:pos="4233"/>
        </w:tabs>
        <w:snapToGrid w:val="0"/>
        <w:spacing w:line="400" w:lineRule="exact"/>
        <w:ind w:firstLine="420" w:firstLineChars="200"/>
        <w:rPr>
          <w:rFonts w:hint="eastAsia" w:ascii="宋体" w:hAnsi="宋体" w:cs="宋体"/>
          <w:sz w:val="21"/>
          <w:szCs w:val="21"/>
        </w:rPr>
      </w:pPr>
      <w:bookmarkStart w:id="24" w:name="_Toc351455885"/>
      <w:r>
        <w:rPr>
          <w:rFonts w:hint="eastAsia" w:ascii="宋体" w:hAnsi="宋体" w:cs="宋体"/>
          <w:sz w:val="21"/>
          <w:szCs w:val="21"/>
        </w:rPr>
        <w:t>本项目</w:t>
      </w:r>
      <w:bookmarkStart w:id="25" w:name="_Hlk182475882"/>
      <w:r>
        <w:rPr>
          <w:rFonts w:hint="eastAsia" w:ascii="宋体" w:hAnsi="宋体" w:cs="宋体"/>
          <w:sz w:val="21"/>
          <w:szCs w:val="21"/>
          <w:u w:val="single"/>
        </w:rPr>
        <w:t>重庆市交通行业职业培训中心有限责任公司</w:t>
      </w:r>
      <w:bookmarkEnd w:id="25"/>
      <w:r>
        <w:rPr>
          <w:rFonts w:hint="eastAsia" w:ascii="宋体" w:hAnsi="宋体" w:cs="宋体"/>
          <w:sz w:val="21"/>
          <w:szCs w:val="21"/>
          <w:u w:val="single"/>
        </w:rPr>
        <w:t>遴选机动车驾驶人科目二考试考场社会合作单位项目</w:t>
      </w:r>
      <w:r>
        <w:rPr>
          <w:rFonts w:hint="eastAsia" w:ascii="宋体" w:hAnsi="宋体" w:cs="宋体"/>
          <w:sz w:val="21"/>
          <w:szCs w:val="21"/>
        </w:rPr>
        <w:t>，项目遴选人为重</w:t>
      </w:r>
      <w:r>
        <w:rPr>
          <w:rFonts w:hint="eastAsia" w:ascii="宋体" w:hAnsi="宋体" w:cs="宋体"/>
          <w:sz w:val="21"/>
          <w:szCs w:val="21"/>
          <w:u w:val="single"/>
        </w:rPr>
        <w:t>庆市交通行业职业培训中心有限责任公司</w:t>
      </w:r>
      <w:r>
        <w:rPr>
          <w:rFonts w:hint="eastAsia" w:ascii="宋体" w:hAnsi="宋体" w:cs="宋体"/>
          <w:sz w:val="21"/>
          <w:szCs w:val="21"/>
        </w:rPr>
        <w:t>，资金来源为本次遴选的中选人。遴选人为适应机动车驾驶人科目二考试不断增长的需求，切实提高驾考服务管理水平，加快重庆市交通行业职业培训中心有限责任公司的业务发展，创新运营模式。选取一名具备丰富的驾培、驾考资源和成熟的运作模式及营运管理经验的优质合作伙伴。现对该项目的潜在合作单位进行公开遴选。</w:t>
      </w:r>
    </w:p>
    <w:p>
      <w:pPr>
        <w:pStyle w:val="3"/>
        <w:keepNext w:val="0"/>
        <w:keepLines w:val="0"/>
        <w:widowControl/>
        <w:adjustRightInd/>
        <w:spacing w:line="400" w:lineRule="exact"/>
        <w:jc w:val="left"/>
        <w:textAlignment w:val="auto"/>
        <w:rPr>
          <w:rFonts w:hint="eastAsia" w:cs="宋体"/>
          <w:b w:val="0"/>
          <w:bCs w:val="0"/>
          <w:sz w:val="21"/>
          <w:szCs w:val="21"/>
        </w:rPr>
      </w:pPr>
      <w:bookmarkStart w:id="26" w:name="_Toc161058943"/>
      <w:bookmarkStart w:id="27" w:name="_Toc25668"/>
      <w:bookmarkStart w:id="28" w:name="_Toc447723874"/>
      <w:r>
        <w:rPr>
          <w:rFonts w:hint="eastAsia" w:cs="宋体"/>
          <w:sz w:val="24"/>
          <w:szCs w:val="24"/>
        </w:rPr>
        <w:t>2.项目概况与遴选范围</w:t>
      </w:r>
      <w:bookmarkEnd w:id="24"/>
      <w:bookmarkEnd w:id="26"/>
      <w:bookmarkEnd w:id="27"/>
      <w:bookmarkEnd w:id="28"/>
    </w:p>
    <w:p>
      <w:pPr>
        <w:spacing w:line="400" w:lineRule="exact"/>
        <w:ind w:firstLine="420" w:firstLineChars="200"/>
        <w:rPr>
          <w:rFonts w:hint="eastAsia" w:ascii="宋体" w:hAnsi="宋体" w:cs="宋体"/>
          <w:sz w:val="21"/>
          <w:szCs w:val="21"/>
        </w:rPr>
      </w:pPr>
      <w:bookmarkStart w:id="29" w:name="_Toc351455886"/>
      <w:r>
        <w:rPr>
          <w:rFonts w:hint="eastAsia" w:ascii="宋体" w:hAnsi="宋体" w:cs="宋体"/>
          <w:sz w:val="21"/>
          <w:szCs w:val="21"/>
        </w:rPr>
        <w:t>2.1 项目概况：</w:t>
      </w:r>
      <w:bookmarkStart w:id="30" w:name="_Toc447723875"/>
    </w:p>
    <w:p>
      <w:pPr>
        <w:spacing w:line="400" w:lineRule="exact"/>
        <w:ind w:firstLine="420" w:firstLineChars="200"/>
        <w:rPr>
          <w:rFonts w:hint="eastAsia" w:ascii="宋体" w:hAnsi="宋体" w:cs="宋体"/>
          <w:sz w:val="21"/>
          <w:szCs w:val="21"/>
        </w:rPr>
      </w:pPr>
      <w:r>
        <w:rPr>
          <w:rFonts w:hint="eastAsia" w:ascii="宋体" w:hAnsi="宋体" w:cs="宋体"/>
          <w:sz w:val="21"/>
          <w:szCs w:val="21"/>
        </w:rPr>
        <w:t>重庆市交通行业职业培训中心有限责任公司遴选</w:t>
      </w:r>
      <w:bookmarkStart w:id="31" w:name="_Hlk182476970"/>
      <w:r>
        <w:rPr>
          <w:rFonts w:hint="eastAsia" w:ascii="宋体" w:hAnsi="宋体" w:cs="宋体"/>
          <w:sz w:val="21"/>
          <w:szCs w:val="21"/>
        </w:rPr>
        <w:t>机动车驾驶人科目二考试考场</w:t>
      </w:r>
      <w:bookmarkEnd w:id="31"/>
      <w:r>
        <w:rPr>
          <w:rFonts w:hint="eastAsia" w:ascii="宋体" w:hAnsi="宋体" w:cs="宋体"/>
          <w:sz w:val="21"/>
          <w:szCs w:val="21"/>
        </w:rPr>
        <w:t>社会合作单位项目。</w:t>
      </w:r>
    </w:p>
    <w:p>
      <w:pPr>
        <w:tabs>
          <w:tab w:val="left" w:pos="3840"/>
          <w:tab w:val="left" w:pos="5300"/>
        </w:tabs>
        <w:autoSpaceDE w:val="0"/>
        <w:autoSpaceDN w:val="0"/>
        <w:snapToGrid w:val="0"/>
        <w:spacing w:line="400" w:lineRule="exact"/>
        <w:ind w:firstLine="420" w:firstLineChars="200"/>
        <w:rPr>
          <w:rFonts w:hint="eastAsia" w:ascii="宋体" w:hAnsi="宋体" w:cs="宋体"/>
          <w:snapToGrid w:val="0"/>
          <w:sz w:val="21"/>
          <w:szCs w:val="21"/>
        </w:rPr>
      </w:pPr>
      <w:r>
        <w:rPr>
          <w:rFonts w:ascii="宋体" w:hAnsi="宋体" w:cs="宋体"/>
          <w:snapToGrid w:val="0"/>
          <w:sz w:val="21"/>
          <w:szCs w:val="21"/>
        </w:rPr>
        <w:t xml:space="preserve">2.2 </w:t>
      </w:r>
      <w:r>
        <w:rPr>
          <w:rFonts w:hint="eastAsia" w:ascii="宋体" w:hAnsi="宋体" w:cs="宋体"/>
          <w:snapToGrid w:val="0"/>
          <w:sz w:val="21"/>
          <w:szCs w:val="21"/>
        </w:rPr>
        <w:t>遴选范围：</w:t>
      </w:r>
      <w:r>
        <w:rPr>
          <w:rFonts w:hint="eastAsia" w:ascii="宋体" w:hAnsi="宋体" w:cs="宋体"/>
          <w:sz w:val="21"/>
          <w:szCs w:val="21"/>
        </w:rPr>
        <w:t>机动车驾驶人科目二考试考场投资建设及运营维护管理</w:t>
      </w:r>
      <w:r>
        <w:rPr>
          <w:rFonts w:hint="eastAsia" w:ascii="宋体" w:hAnsi="宋体" w:cs="宋体"/>
          <w:snapToGrid w:val="0"/>
          <w:sz w:val="21"/>
          <w:szCs w:val="21"/>
        </w:rPr>
        <w:t>。</w:t>
      </w:r>
    </w:p>
    <w:p>
      <w:pPr>
        <w:tabs>
          <w:tab w:val="left" w:pos="3840"/>
          <w:tab w:val="left" w:pos="5300"/>
        </w:tabs>
        <w:autoSpaceDE w:val="0"/>
        <w:autoSpaceDN w:val="0"/>
        <w:snapToGrid w:val="0"/>
        <w:spacing w:line="400" w:lineRule="exact"/>
        <w:ind w:firstLine="420" w:firstLineChars="200"/>
        <w:rPr>
          <w:rFonts w:hint="eastAsia" w:ascii="宋体" w:hAnsi="宋体" w:cs="宋体"/>
          <w:snapToGrid w:val="0"/>
          <w:sz w:val="21"/>
          <w:szCs w:val="21"/>
        </w:rPr>
      </w:pPr>
      <w:r>
        <w:rPr>
          <w:rFonts w:ascii="宋体" w:hAnsi="宋体" w:cs="宋体"/>
          <w:snapToGrid w:val="0"/>
          <w:sz w:val="21"/>
          <w:szCs w:val="21"/>
        </w:rPr>
        <w:t>2.</w:t>
      </w:r>
      <w:r>
        <w:rPr>
          <w:rFonts w:hint="eastAsia" w:ascii="宋体" w:hAnsi="宋体" w:cs="宋体"/>
          <w:snapToGrid w:val="0"/>
          <w:sz w:val="21"/>
          <w:szCs w:val="21"/>
        </w:rPr>
        <w:t>3</w:t>
      </w:r>
      <w:r>
        <w:rPr>
          <w:rFonts w:ascii="宋体" w:hAnsi="宋体" w:cs="宋体"/>
          <w:snapToGrid w:val="0"/>
          <w:sz w:val="21"/>
          <w:szCs w:val="21"/>
        </w:rPr>
        <w:t xml:space="preserve"> </w:t>
      </w:r>
      <w:r>
        <w:rPr>
          <w:rFonts w:hint="eastAsia" w:ascii="宋体" w:hAnsi="宋体" w:cs="宋体"/>
          <w:snapToGrid w:val="0"/>
          <w:sz w:val="21"/>
          <w:szCs w:val="21"/>
        </w:rPr>
        <w:t>项目合作周期：</w:t>
      </w:r>
      <w:r>
        <w:rPr>
          <w:rFonts w:hint="eastAsia" w:ascii="宋体" w:hAnsi="宋体" w:cs="宋体"/>
          <w:snapToGrid w:val="0"/>
          <w:color w:val="000000" w:themeColor="text1"/>
          <w:sz w:val="21"/>
          <w:szCs w:val="21"/>
          <w14:textFill>
            <w14:solidFill>
              <w14:schemeClr w14:val="tx1"/>
            </w14:solidFill>
          </w14:textFill>
        </w:rPr>
        <w:t>合同签订之日起9年（另建设过渡期不超过240个自然日）。</w:t>
      </w:r>
    </w:p>
    <w:p>
      <w:pPr>
        <w:tabs>
          <w:tab w:val="left" w:pos="3840"/>
          <w:tab w:val="left" w:pos="5300"/>
        </w:tabs>
        <w:autoSpaceDE w:val="0"/>
        <w:autoSpaceDN w:val="0"/>
        <w:snapToGrid w:val="0"/>
        <w:spacing w:line="400" w:lineRule="exact"/>
        <w:ind w:firstLine="420" w:firstLineChars="200"/>
        <w:rPr>
          <w:rFonts w:hint="eastAsia" w:cs="宋体" w:asciiTheme="minorEastAsia" w:hAnsiTheme="minorEastAsia" w:eastAsiaTheme="minorEastAsia"/>
          <w:snapToGrid w:val="0"/>
          <w:color w:val="000000" w:themeColor="text1"/>
          <w:sz w:val="21"/>
          <w:szCs w:val="21"/>
          <w14:textFill>
            <w14:solidFill>
              <w14:schemeClr w14:val="tx1"/>
            </w14:solidFill>
          </w14:textFill>
        </w:rPr>
      </w:pPr>
      <w:r>
        <w:rPr>
          <w:rFonts w:hint="eastAsia" w:ascii="宋体" w:hAnsi="宋体" w:cs="宋体"/>
          <w:snapToGrid w:val="0"/>
          <w:sz w:val="21"/>
          <w:szCs w:val="21"/>
        </w:rPr>
        <w:t>2.4 项目地点：</w:t>
      </w:r>
      <w:bookmarkStart w:id="32" w:name="_Hlk182477247"/>
      <w:r>
        <w:rPr>
          <w:rFonts w:hint="eastAsia" w:ascii="宋体" w:hAnsi="宋体" w:cs="宋体"/>
          <w:snapToGrid w:val="0"/>
          <w:sz w:val="21"/>
          <w:szCs w:val="21"/>
        </w:rPr>
        <w:t>重庆市</w:t>
      </w:r>
      <w:r>
        <w:rPr>
          <w:rFonts w:hint="eastAsia" w:cs="方正仿宋_GBK" w:asciiTheme="minorEastAsia" w:hAnsiTheme="minorEastAsia" w:eastAsiaTheme="minorEastAsia"/>
          <w:sz w:val="21"/>
          <w:szCs w:val="21"/>
        </w:rPr>
        <w:t>璧山区</w:t>
      </w:r>
      <w:bookmarkEnd w:id="32"/>
      <w:r>
        <w:rPr>
          <w:rFonts w:hint="eastAsia" w:cs="方正仿宋_GBK" w:asciiTheme="minorEastAsia" w:hAnsiTheme="minorEastAsia" w:eastAsiaTheme="minorEastAsia"/>
          <w:sz w:val="21"/>
          <w:szCs w:val="21"/>
        </w:rPr>
        <w:t>璧渝路329号科目二璧山璧城考场或</w:t>
      </w:r>
      <w:r>
        <w:rPr>
          <w:rFonts w:hint="eastAsia" w:ascii="宋体" w:hAnsi="宋体" w:cs="宋体"/>
          <w:snapToGrid w:val="0"/>
          <w:sz w:val="21"/>
          <w:szCs w:val="21"/>
        </w:rPr>
        <w:t>重庆市</w:t>
      </w:r>
      <w:r>
        <w:rPr>
          <w:rFonts w:hint="eastAsia" w:cs="方正仿宋_GBK" w:asciiTheme="minorEastAsia" w:hAnsiTheme="minorEastAsia" w:eastAsiaTheme="minorEastAsia"/>
          <w:sz w:val="21"/>
          <w:szCs w:val="21"/>
        </w:rPr>
        <w:t>璧山区璧城街道，福禄镇和平村1组、河边镇同心村4组地块</w:t>
      </w:r>
      <w:r>
        <w:rPr>
          <w:rFonts w:hint="eastAsia" w:cs="宋体" w:asciiTheme="minorEastAsia" w:hAnsiTheme="minorEastAsia" w:eastAsiaTheme="minorEastAsia"/>
          <w:snapToGrid w:val="0"/>
          <w:sz w:val="21"/>
          <w:szCs w:val="21"/>
        </w:rPr>
        <w:t>。</w:t>
      </w:r>
    </w:p>
    <w:p>
      <w:pPr>
        <w:tabs>
          <w:tab w:val="left" w:pos="3840"/>
          <w:tab w:val="left" w:pos="5300"/>
        </w:tabs>
        <w:autoSpaceDE w:val="0"/>
        <w:autoSpaceDN w:val="0"/>
        <w:snapToGrid w:val="0"/>
        <w:spacing w:line="400" w:lineRule="exact"/>
        <w:ind w:firstLine="420" w:firstLineChars="200"/>
        <w:rPr>
          <w:rFonts w:hint="eastAsia" w:cs="方正仿宋_GBK"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2.5合作内容：</w:t>
      </w:r>
      <w:r>
        <w:rPr>
          <w:rFonts w:hint="eastAsia" w:cs="宋体" w:asciiTheme="minorEastAsia" w:hAnsiTheme="minorEastAsia" w:eastAsiaTheme="minorEastAsia"/>
          <w:color w:val="000000" w:themeColor="text1"/>
          <w:sz w:val="21"/>
          <w:szCs w:val="21"/>
          <w14:textFill>
            <w14:solidFill>
              <w14:schemeClr w14:val="tx1"/>
            </w14:solidFill>
          </w14:textFill>
        </w:rPr>
        <w:t>双方就璧山机动车驾驶人科目二考试考场服务开展项目合作。合作期内，遴选人免费提供位于</w:t>
      </w:r>
      <w:r>
        <w:rPr>
          <w:rFonts w:hint="eastAsia" w:ascii="宋体" w:hAnsi="宋体" w:cs="宋体"/>
          <w:snapToGrid w:val="0"/>
          <w:color w:val="000000" w:themeColor="text1"/>
          <w:sz w:val="21"/>
          <w:szCs w:val="21"/>
          <w14:textFill>
            <w14:solidFill>
              <w14:schemeClr w14:val="tx1"/>
            </w14:solidFill>
          </w14:textFill>
        </w:rPr>
        <w:t>重庆市</w:t>
      </w:r>
      <w:r>
        <w:rPr>
          <w:rFonts w:hint="eastAsia" w:cs="方正仿宋_GBK" w:asciiTheme="minorEastAsia" w:hAnsiTheme="minorEastAsia" w:eastAsiaTheme="minorEastAsia"/>
          <w:color w:val="000000" w:themeColor="text1"/>
          <w:sz w:val="21"/>
          <w:szCs w:val="21"/>
          <w14:textFill>
            <w14:solidFill>
              <w14:schemeClr w14:val="tx1"/>
            </w14:solidFill>
          </w14:textFill>
        </w:rPr>
        <w:t>璧山区璧渝路329号科目二璧山璧城考场（现有考场）作为竞选人在新迁扩建考场建设过渡期内使用。该过渡期不超过240个自然日，自遴选人向竞选人提供</w:t>
      </w:r>
      <w:r>
        <w:rPr>
          <w:rFonts w:hint="eastAsia" w:ascii="宋体" w:hAnsi="宋体" w:cs="宋体"/>
          <w:snapToGrid w:val="0"/>
          <w:color w:val="000000" w:themeColor="text1"/>
          <w:sz w:val="21"/>
          <w:szCs w:val="21"/>
          <w14:textFill>
            <w14:solidFill>
              <w14:schemeClr w14:val="tx1"/>
            </w14:solidFill>
          </w14:textFill>
        </w:rPr>
        <w:t>重庆市</w:t>
      </w:r>
      <w:r>
        <w:rPr>
          <w:rFonts w:hint="eastAsia" w:cs="方正仿宋_GBK" w:asciiTheme="minorEastAsia" w:hAnsiTheme="minorEastAsia" w:eastAsiaTheme="minorEastAsia"/>
          <w:color w:val="000000" w:themeColor="text1"/>
          <w:sz w:val="21"/>
          <w:szCs w:val="21"/>
          <w14:textFill>
            <w14:solidFill>
              <w14:schemeClr w14:val="tx1"/>
            </w14:solidFill>
          </w14:textFill>
        </w:rPr>
        <w:t>璧山区璧城街道、福禄镇和平村1组、河边镇同心村4组地块之日起算。新迁扩建考场投入使用或者过渡期满</w:t>
      </w:r>
      <w:r>
        <w:rPr>
          <w:rFonts w:hint="eastAsia" w:cs="方正黑体_GBK" w:asciiTheme="minorEastAsia" w:hAnsiTheme="minorEastAsia" w:eastAsiaTheme="minorEastAsia"/>
          <w:color w:val="000000" w:themeColor="text1"/>
          <w:sz w:val="21"/>
          <w:szCs w:val="21"/>
          <w14:textFill>
            <w14:solidFill>
              <w14:schemeClr w14:val="tx1"/>
            </w14:solidFill>
          </w14:textFill>
        </w:rPr>
        <w:t>（按孰先原则执行）</w:t>
      </w:r>
      <w:r>
        <w:rPr>
          <w:rFonts w:hint="eastAsia" w:cs="方正仿宋_GBK" w:asciiTheme="minorEastAsia" w:hAnsiTheme="minorEastAsia" w:eastAsiaTheme="minorEastAsia"/>
          <w:color w:val="000000" w:themeColor="text1"/>
          <w:sz w:val="21"/>
          <w:szCs w:val="21"/>
          <w14:textFill>
            <w14:solidFill>
              <w14:schemeClr w14:val="tx1"/>
            </w14:solidFill>
          </w14:textFill>
        </w:rPr>
        <w:t>，竞选人即退还</w:t>
      </w:r>
      <w:r>
        <w:rPr>
          <w:rFonts w:hint="eastAsia" w:ascii="宋体" w:hAnsi="宋体" w:cs="宋体"/>
          <w:snapToGrid w:val="0"/>
          <w:color w:val="000000" w:themeColor="text1"/>
          <w:sz w:val="21"/>
          <w:szCs w:val="21"/>
          <w14:textFill>
            <w14:solidFill>
              <w14:schemeClr w14:val="tx1"/>
            </w14:solidFill>
          </w14:textFill>
        </w:rPr>
        <w:t>重庆市</w:t>
      </w:r>
      <w:r>
        <w:rPr>
          <w:rFonts w:hint="eastAsia" w:cs="方正仿宋_GBK" w:asciiTheme="minorEastAsia" w:hAnsiTheme="minorEastAsia" w:eastAsiaTheme="minorEastAsia"/>
          <w:color w:val="000000" w:themeColor="text1"/>
          <w:sz w:val="21"/>
          <w:szCs w:val="21"/>
          <w14:textFill>
            <w14:solidFill>
              <w14:schemeClr w14:val="tx1"/>
            </w14:solidFill>
          </w14:textFill>
        </w:rPr>
        <w:t>璧山区璧渝路329号科目二璧山璧城考场的现有场地。若竞选人仍有使用需求，届时另行协商有偿使用。合作期内，</w:t>
      </w:r>
      <w:r>
        <w:rPr>
          <w:rFonts w:hint="eastAsia" w:cs="宋体" w:asciiTheme="minorEastAsia" w:hAnsiTheme="minorEastAsia" w:eastAsiaTheme="minorEastAsia"/>
          <w:color w:val="000000" w:themeColor="text1"/>
          <w:sz w:val="21"/>
          <w:szCs w:val="21"/>
          <w14:textFill>
            <w14:solidFill>
              <w14:schemeClr w14:val="tx1"/>
            </w14:solidFill>
          </w14:textFill>
        </w:rPr>
        <w:t>遴选人</w:t>
      </w:r>
      <w:r>
        <w:rPr>
          <w:rFonts w:hint="eastAsia" w:cs="方正黑体_GBK" w:asciiTheme="minorEastAsia" w:hAnsiTheme="minorEastAsia" w:eastAsiaTheme="minorEastAsia"/>
          <w:color w:val="000000" w:themeColor="text1"/>
          <w:sz w:val="21"/>
          <w:szCs w:val="21"/>
          <w14:textFill>
            <w14:solidFill>
              <w14:schemeClr w14:val="tx1"/>
            </w14:solidFill>
          </w14:textFill>
        </w:rPr>
        <w:t>配备9名考场工作人员。</w:t>
      </w:r>
      <w:bookmarkStart w:id="33" w:name="_Hlk182554238"/>
      <w:r>
        <w:rPr>
          <w:rFonts w:hint="eastAsia" w:ascii="宋体" w:hAnsi="宋体" w:cs="宋体"/>
          <w:snapToGrid w:val="0"/>
          <w:color w:val="000000" w:themeColor="text1"/>
          <w:sz w:val="21"/>
          <w:szCs w:val="21"/>
          <w14:textFill>
            <w14:solidFill>
              <w14:schemeClr w14:val="tx1"/>
            </w14:solidFill>
          </w14:textFill>
        </w:rPr>
        <w:t>竞选人</w:t>
      </w:r>
      <w:bookmarkEnd w:id="33"/>
      <w:r>
        <w:rPr>
          <w:rFonts w:hint="eastAsia" w:cs="方正黑体_GBK" w:asciiTheme="minorEastAsia" w:hAnsiTheme="minorEastAsia" w:eastAsiaTheme="minorEastAsia"/>
          <w:color w:val="000000" w:themeColor="text1"/>
          <w:sz w:val="21"/>
          <w:szCs w:val="21"/>
          <w14:textFill>
            <w14:solidFill>
              <w14:schemeClr w14:val="tx1"/>
            </w14:solidFill>
          </w14:textFill>
        </w:rPr>
        <w:t>须满足重庆市公安局科目二考场服务要求，负责合作期内考场的投资建设及运营管理维护；确保遴选方存延续、扩展与重庆市公安局车管所在考场服务方面的良好合作。双方优势互补，实现互惠共赢。</w:t>
      </w:r>
      <w:r>
        <w:rPr>
          <w:rFonts w:hint="eastAsia" w:ascii="方正仿宋_GBK" w:eastAsia="方正仿宋_GBK" w:cs="方正黑体_GBK" w:hAnsiTheme="minorEastAsia"/>
          <w:color w:val="000000" w:themeColor="text1"/>
          <w:sz w:val="30"/>
          <w:szCs w:val="30"/>
          <w14:textFill>
            <w14:solidFill>
              <w14:schemeClr w14:val="tx1"/>
            </w14:solidFill>
          </w14:textFill>
        </w:rPr>
        <w:t xml:space="preserve"> </w:t>
      </w:r>
      <w:r>
        <w:rPr>
          <w:rFonts w:hint="eastAsia" w:ascii="宋体" w:hAnsi="宋体" w:cs="宋体"/>
          <w:snapToGrid w:val="0"/>
          <w:color w:val="000000" w:themeColor="text1"/>
          <w:sz w:val="21"/>
          <w:szCs w:val="21"/>
          <w14:textFill>
            <w14:solidFill>
              <w14:schemeClr w14:val="tx1"/>
            </w14:solidFill>
          </w14:textFill>
        </w:rPr>
        <w:t xml:space="preserve">                                                                                              </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2.6合作模式：</w:t>
      </w:r>
      <w:bookmarkStart w:id="34" w:name="_Hlk182492503"/>
      <w:r>
        <w:rPr>
          <w:rFonts w:hint="eastAsia" w:cs="方正黑体_GBK" w:asciiTheme="minorEastAsia" w:hAnsiTheme="minorEastAsia" w:eastAsiaTheme="minorEastAsia"/>
          <w:color w:val="000000" w:themeColor="text1"/>
          <w:sz w:val="21"/>
          <w:szCs w:val="21"/>
          <w14:textFill>
            <w14:solidFill>
              <w14:schemeClr w14:val="tx1"/>
            </w14:solidFill>
          </w14:textFill>
        </w:rPr>
        <w:t>年度场地合作费</w:t>
      </w:r>
      <w:bookmarkEnd w:id="34"/>
      <w:r>
        <w:rPr>
          <w:rFonts w:hint="eastAsia" w:cs="方正黑体_GBK" w:asciiTheme="minorEastAsia" w:hAnsiTheme="minorEastAsia" w:eastAsiaTheme="minorEastAsia"/>
          <w:color w:val="000000" w:themeColor="text1"/>
          <w:sz w:val="21"/>
          <w:szCs w:val="21"/>
          <w14:textFill>
            <w14:solidFill>
              <w14:schemeClr w14:val="tx1"/>
            </w14:solidFill>
          </w14:textFill>
        </w:rPr>
        <w:t>、年度人员服务费这两项作为本次遴选的固定前置条件，不纳入遴选合作报价范围。</w:t>
      </w:r>
      <w:bookmarkStart w:id="35" w:name="_Hlk182492552"/>
      <w:r>
        <w:rPr>
          <w:rFonts w:hint="eastAsia" w:cs="方正黑体_GBK" w:asciiTheme="minorEastAsia" w:hAnsiTheme="minorEastAsia" w:eastAsiaTheme="minorEastAsia"/>
          <w:color w:val="000000" w:themeColor="text1"/>
          <w:sz w:val="21"/>
          <w:szCs w:val="21"/>
          <w14:textFill>
            <w14:solidFill>
              <w14:schemeClr w14:val="tx1"/>
            </w14:solidFill>
          </w14:textFill>
        </w:rPr>
        <w:t>按照过渡期人次合作费、年度人次保底合作费</w:t>
      </w:r>
      <w:bookmarkEnd w:id="35"/>
      <w:r>
        <w:rPr>
          <w:rFonts w:hint="eastAsia" w:cs="方正黑体_GBK" w:asciiTheme="minorEastAsia" w:hAnsiTheme="minorEastAsia" w:eastAsiaTheme="minorEastAsia"/>
          <w:color w:val="000000" w:themeColor="text1"/>
          <w:sz w:val="21"/>
          <w:szCs w:val="21"/>
          <w14:textFill>
            <w14:solidFill>
              <w14:schemeClr w14:val="tx1"/>
            </w14:solidFill>
          </w14:textFill>
        </w:rPr>
        <w:t>、年度超额计量合作费这三项的总和来计算年度合作费总金额，进行报价。</w:t>
      </w:r>
    </w:p>
    <w:p>
      <w:pPr>
        <w:pStyle w:val="68"/>
        <w:spacing w:line="400" w:lineRule="exact"/>
        <w:ind w:firstLine="420" w:firstLineChars="200"/>
      </w:pPr>
      <w:r>
        <w:rPr>
          <w:rFonts w:hint="eastAsia" w:cs="方正黑体_GBK" w:asciiTheme="minorEastAsia" w:hAnsiTheme="minorEastAsia" w:eastAsiaTheme="minorEastAsia"/>
          <w:color w:val="auto"/>
          <w:sz w:val="21"/>
          <w:szCs w:val="21"/>
        </w:rPr>
        <w:t>2.6.1</w:t>
      </w:r>
      <w:r>
        <w:rPr>
          <w:rFonts w:hint="eastAsia"/>
        </w:rPr>
        <w:t>前置条件：</w:t>
      </w:r>
      <w:bookmarkStart w:id="36" w:name="_Hlk183419585"/>
      <w:r>
        <w:rPr>
          <w:rFonts w:hint="eastAsia" w:cs="方正黑体_GBK" w:asciiTheme="minorEastAsia" w:hAnsiTheme="minorEastAsia" w:eastAsiaTheme="minorEastAsia"/>
          <w:color w:val="auto"/>
          <w:sz w:val="21"/>
          <w:szCs w:val="21"/>
        </w:rPr>
        <w:t xml:space="preserve"> </w:t>
      </w:r>
    </w:p>
    <w:bookmarkEnd w:id="36"/>
    <w:p>
      <w:pPr>
        <w:pStyle w:val="68"/>
        <w:spacing w:line="400" w:lineRule="exact"/>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auto"/>
          <w:sz w:val="21"/>
          <w:szCs w:val="21"/>
        </w:rPr>
        <w:t>2.6.1.1年度场地合作费：向遴选人</w:t>
      </w:r>
      <w:r>
        <w:rPr>
          <w:rFonts w:hint="eastAsia" w:cs="方正黑体_GBK" w:asciiTheme="minorEastAsia" w:hAnsiTheme="minorEastAsia" w:eastAsiaTheme="minorEastAsia"/>
          <w:color w:val="000000" w:themeColor="text1"/>
          <w:sz w:val="21"/>
          <w:szCs w:val="21"/>
          <w14:textFill>
            <w14:solidFill>
              <w14:schemeClr w14:val="tx1"/>
            </w14:solidFill>
          </w14:textFill>
        </w:rPr>
        <w:t>支付位于</w:t>
      </w:r>
      <w:r>
        <w:rPr>
          <w:rFonts w:hint="eastAsia" w:ascii="宋体" w:hAnsi="宋体" w:cs="宋体"/>
          <w:snapToGrid w:val="0"/>
          <w:color w:val="000000" w:themeColor="text1"/>
          <w:sz w:val="21"/>
          <w:szCs w:val="21"/>
          <w14:textFill>
            <w14:solidFill>
              <w14:schemeClr w14:val="tx1"/>
            </w14:solidFill>
          </w14:textFill>
        </w:rPr>
        <w:t>重庆市</w:t>
      </w:r>
      <w:r>
        <w:rPr>
          <w:rFonts w:hint="eastAsia" w:cs="方正仿宋_GBK" w:asciiTheme="minorEastAsia" w:hAnsiTheme="minorEastAsia" w:eastAsiaTheme="minorEastAsia"/>
          <w:color w:val="000000" w:themeColor="text1"/>
          <w:sz w:val="21"/>
          <w:szCs w:val="21"/>
          <w14:textFill>
            <w14:solidFill>
              <w14:schemeClr w14:val="tx1"/>
            </w14:solidFill>
          </w14:textFill>
        </w:rPr>
        <w:t>璧山区璧城街道、福禄镇和平村1组、河边镇同心村4组地块</w:t>
      </w:r>
      <w:r>
        <w:rPr>
          <w:rFonts w:hint="eastAsia" w:cs="方正黑体_GBK" w:asciiTheme="minorEastAsia" w:hAnsiTheme="minorEastAsia" w:eastAsiaTheme="minorEastAsia"/>
          <w:color w:val="000000" w:themeColor="text1"/>
          <w:sz w:val="21"/>
          <w:szCs w:val="21"/>
          <w14:textFill>
            <w14:solidFill>
              <w14:schemeClr w14:val="tx1"/>
            </w14:solidFill>
          </w14:textFill>
        </w:rPr>
        <w:t>迁扩建科目二考场场地合作费，该场地合作费先付后用，首年场地合作费暂定62万元（最终以双方签定合同时约定为准）。</w:t>
      </w:r>
      <w:r>
        <w:rPr>
          <w:rFonts w:hint="eastAsia" w:asciiTheme="minorEastAsia" w:hAnsiTheme="minorEastAsia" w:eastAsiaTheme="minorEastAsia"/>
          <w:color w:val="000000" w:themeColor="text1"/>
          <w:sz w:val="21"/>
          <w:szCs w:val="21"/>
          <w14:textFill>
            <w14:solidFill>
              <w14:schemeClr w14:val="tx1"/>
            </w14:solidFill>
          </w14:textFill>
        </w:rPr>
        <w:t>每3年为一个小周期，下一小周期的场地合作费在上一个小周期的单年基础上递增5%。</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2.6.1.2</w:t>
      </w:r>
      <w:r>
        <w:rPr>
          <w:rFonts w:hint="eastAsia" w:cs="方正黑体_GBK" w:asciiTheme="minorEastAsia" w:hAnsiTheme="minorEastAsia" w:eastAsiaTheme="minorEastAsia"/>
          <w:color w:val="000000" w:themeColor="text1"/>
          <w:sz w:val="21"/>
          <w:szCs w:val="21"/>
          <w14:textFill>
            <w14:solidFill>
              <w14:schemeClr w14:val="tx1"/>
            </w14:solidFill>
          </w14:textFill>
        </w:rPr>
        <w:t>年度人员服务费：以8万元</w:t>
      </w:r>
      <w:bookmarkStart w:id="37" w:name="_Hlk181690454"/>
      <w:r>
        <w:rPr>
          <w:rFonts w:hint="eastAsia" w:cs="方正黑体_GBK" w:asciiTheme="minorEastAsia" w:hAnsiTheme="minorEastAsia" w:eastAsiaTheme="minorEastAsia"/>
          <w:color w:val="000000" w:themeColor="text1"/>
          <w:sz w:val="21"/>
          <w:szCs w:val="21"/>
          <w14:textFill>
            <w14:solidFill>
              <w14:schemeClr w14:val="tx1"/>
            </w14:solidFill>
          </w14:textFill>
        </w:rPr>
        <w:t>/</w:t>
      </w:r>
      <w:bookmarkEnd w:id="37"/>
      <w:r>
        <w:rPr>
          <w:rFonts w:hint="eastAsia" w:cs="方正黑体_GBK" w:asciiTheme="minorEastAsia" w:hAnsiTheme="minorEastAsia" w:eastAsiaTheme="minorEastAsia"/>
          <w:color w:val="000000" w:themeColor="text1"/>
          <w:sz w:val="21"/>
          <w:szCs w:val="21"/>
          <w14:textFill>
            <w14:solidFill>
              <w14:schemeClr w14:val="tx1"/>
            </w14:solidFill>
          </w14:textFill>
        </w:rPr>
        <w:t>人/年，9人共计72万元/年的标准，向遴选人支付年度人员服务费。</w:t>
      </w:r>
    </w:p>
    <w:p>
      <w:pPr>
        <w:pStyle w:val="68"/>
        <w:spacing w:line="400" w:lineRule="exact"/>
        <w:ind w:firstLine="420" w:firstLineChars="200"/>
        <w:rPr>
          <w:color w:val="000000" w:themeColor="text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2.6.2</w:t>
      </w:r>
      <w:r>
        <w:rPr>
          <w:rFonts w:hint="eastAsia"/>
          <w:color w:val="000000" w:themeColor="text1"/>
          <w14:textFill>
            <w14:solidFill>
              <w14:schemeClr w14:val="tx1"/>
            </w14:solidFill>
          </w14:textFill>
        </w:rPr>
        <w:t>合作费用：</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2.6.2.1过渡期人次合作费：在迁扩建新科目二考场未投入使用或未满240个自然日内</w:t>
      </w:r>
      <w:bookmarkStart w:id="38" w:name="_Hlk183530260"/>
      <w:r>
        <w:rPr>
          <w:rFonts w:hint="eastAsia" w:cs="方正黑体_GBK" w:asciiTheme="minorEastAsia" w:hAnsiTheme="minorEastAsia" w:eastAsiaTheme="minorEastAsia"/>
          <w:color w:val="000000" w:themeColor="text1"/>
          <w:sz w:val="21"/>
          <w:szCs w:val="21"/>
          <w14:textFill>
            <w14:solidFill>
              <w14:schemeClr w14:val="tx1"/>
            </w14:solidFill>
          </w14:textFill>
        </w:rPr>
        <w:t>（按孰先原则执行）</w:t>
      </w:r>
      <w:bookmarkEnd w:id="38"/>
      <w:r>
        <w:rPr>
          <w:rFonts w:hint="eastAsia" w:cs="方正黑体_GBK" w:asciiTheme="minorEastAsia" w:hAnsiTheme="minorEastAsia" w:eastAsiaTheme="minorEastAsia"/>
          <w:color w:val="000000" w:themeColor="text1"/>
          <w:sz w:val="21"/>
          <w:szCs w:val="21"/>
          <w14:textFill>
            <w14:solidFill>
              <w14:schemeClr w14:val="tx1"/>
            </w14:solidFill>
          </w14:textFill>
        </w:rPr>
        <w:t>，遴选人依据此期间重庆市公安局车管所系统统计实际参考人次，按照不低于20元/人次的标准，据实留存合作费用。</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2.6.2.2年度人次保底合作费：在合作期内，</w:t>
      </w:r>
      <w:r>
        <w:rPr>
          <w:rFonts w:hint="eastAsia" w:ascii="宋体" w:hAnsi="宋体" w:cs="宋体"/>
          <w:snapToGrid w:val="0"/>
          <w:color w:val="000000" w:themeColor="text1"/>
          <w:sz w:val="21"/>
          <w:szCs w:val="21"/>
          <w14:textFill>
            <w14:solidFill>
              <w14:schemeClr w14:val="tx1"/>
            </w14:solidFill>
          </w14:textFill>
        </w:rPr>
        <w:t>竞选人</w:t>
      </w:r>
      <w:r>
        <w:rPr>
          <w:rFonts w:hint="eastAsia" w:cs="方正黑体_GBK" w:asciiTheme="minorEastAsia" w:hAnsiTheme="minorEastAsia" w:eastAsiaTheme="minorEastAsia"/>
          <w:color w:val="000000" w:themeColor="text1"/>
          <w:sz w:val="21"/>
          <w:szCs w:val="21"/>
          <w14:textFill>
            <w14:solidFill>
              <w14:schemeClr w14:val="tx1"/>
            </w14:solidFill>
          </w14:textFill>
        </w:rPr>
        <w:t>确保在</w:t>
      </w:r>
      <w:r>
        <w:rPr>
          <w:rFonts w:hint="eastAsia" w:ascii="宋体" w:hAnsi="宋体" w:cs="宋体"/>
          <w:snapToGrid w:val="0"/>
          <w:color w:val="000000" w:themeColor="text1"/>
          <w:sz w:val="21"/>
          <w:szCs w:val="21"/>
          <w14:textFill>
            <w14:solidFill>
              <w14:schemeClr w14:val="tx1"/>
            </w14:solidFill>
          </w14:textFill>
        </w:rPr>
        <w:t>重庆市</w:t>
      </w:r>
      <w:r>
        <w:rPr>
          <w:rFonts w:hint="eastAsia" w:cs="方正仿宋_GBK" w:asciiTheme="minorEastAsia" w:hAnsiTheme="minorEastAsia" w:eastAsiaTheme="minorEastAsia"/>
          <w:color w:val="000000" w:themeColor="text1"/>
          <w:sz w:val="21"/>
          <w:szCs w:val="21"/>
          <w14:textFill>
            <w14:solidFill>
              <w14:schemeClr w14:val="tx1"/>
            </w14:solidFill>
          </w14:textFill>
        </w:rPr>
        <w:t>璧山区璧城街道、福禄镇和平村1组、河边镇同心村4组地块</w:t>
      </w:r>
      <w:r>
        <w:rPr>
          <w:rFonts w:hint="eastAsia" w:cs="方正黑体_GBK" w:asciiTheme="minorEastAsia" w:hAnsiTheme="minorEastAsia" w:eastAsiaTheme="minorEastAsia"/>
          <w:color w:val="000000" w:themeColor="text1"/>
          <w:sz w:val="21"/>
          <w:szCs w:val="21"/>
          <w14:textFill>
            <w14:solidFill>
              <w14:schemeClr w14:val="tx1"/>
            </w14:solidFill>
          </w14:textFill>
        </w:rPr>
        <w:t>迁扩建后的合作考场内参加科目二考试的人数不低于4万人次/年（保底人次），该保底人次内，遴选人按照不低于20元/人次留存合作费用。未达到保底人次的，不足部分金额由</w:t>
      </w:r>
      <w:r>
        <w:rPr>
          <w:rFonts w:hint="eastAsia" w:ascii="宋体" w:hAnsi="宋体" w:cs="宋体"/>
          <w:snapToGrid w:val="0"/>
          <w:color w:val="000000" w:themeColor="text1"/>
          <w:sz w:val="21"/>
          <w:szCs w:val="21"/>
          <w14:textFill>
            <w14:solidFill>
              <w14:schemeClr w14:val="tx1"/>
            </w14:solidFill>
          </w14:textFill>
        </w:rPr>
        <w:t>竞选人</w:t>
      </w:r>
      <w:r>
        <w:rPr>
          <w:rFonts w:hint="eastAsia" w:cs="方正黑体_GBK" w:asciiTheme="minorEastAsia" w:hAnsiTheme="minorEastAsia" w:eastAsiaTheme="minorEastAsia"/>
          <w:color w:val="000000" w:themeColor="text1"/>
          <w:sz w:val="21"/>
          <w:szCs w:val="21"/>
          <w14:textFill>
            <w14:solidFill>
              <w14:schemeClr w14:val="tx1"/>
            </w14:solidFill>
          </w14:textFill>
        </w:rPr>
        <w:t>在下一合作年度起始后的10个工作日内一次性全额补足。</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2.6.2.3年度超额计量合作费：在每个合作年度内，超出保底人次的部分，遴选人按照不低于20元/人次留存。剩余部分作为合作费用，遴选人在全额收到重庆市公安局服务费用后的10个工作日内支付给</w:t>
      </w:r>
      <w:r>
        <w:rPr>
          <w:rFonts w:hint="eastAsia" w:ascii="宋体" w:hAnsi="宋体" w:cs="宋体"/>
          <w:snapToGrid w:val="0"/>
          <w:color w:val="000000" w:themeColor="text1"/>
          <w:sz w:val="21"/>
          <w:szCs w:val="21"/>
          <w14:textFill>
            <w14:solidFill>
              <w14:schemeClr w14:val="tx1"/>
            </w14:solidFill>
          </w14:textFill>
        </w:rPr>
        <w:t>竞选人</w:t>
      </w:r>
      <w:r>
        <w:rPr>
          <w:rFonts w:hint="eastAsia" w:cs="方正黑体_GBK" w:asciiTheme="minorEastAsia" w:hAnsiTheme="minorEastAsia" w:eastAsiaTheme="minorEastAsia"/>
          <w:color w:val="000000" w:themeColor="text1"/>
          <w:sz w:val="21"/>
          <w:szCs w:val="21"/>
          <w14:textFill>
            <w14:solidFill>
              <w14:schemeClr w14:val="tx1"/>
            </w14:solidFill>
          </w14:textFill>
        </w:rPr>
        <w:t>。</w:t>
      </w:r>
    </w:p>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2.6.3参加机动车驾驶人考试，学员产生的</w:t>
      </w:r>
      <w:r>
        <w:rPr>
          <w:rFonts w:hint="eastAsia" w:cs="宋体" w:asciiTheme="minorEastAsia" w:hAnsiTheme="minorEastAsia" w:eastAsiaTheme="minorEastAsia"/>
          <w:color w:val="000000" w:themeColor="text1"/>
          <w:sz w:val="21"/>
          <w:szCs w:val="21"/>
          <w14:textFill>
            <w14:solidFill>
              <w14:schemeClr w14:val="tx1"/>
            </w14:solidFill>
          </w14:textFill>
        </w:rPr>
        <w:t>合场费、</w:t>
      </w:r>
      <w:r>
        <w:rPr>
          <w:rFonts w:hint="eastAsia" w:cs="方正黑体_GBK" w:asciiTheme="minorEastAsia" w:hAnsiTheme="minorEastAsia" w:eastAsiaTheme="minorEastAsia"/>
          <w:color w:val="000000" w:themeColor="text1"/>
          <w:sz w:val="21"/>
          <w:szCs w:val="21"/>
          <w14:textFill>
            <w14:solidFill>
              <w14:schemeClr w14:val="tx1"/>
            </w14:solidFill>
          </w14:textFill>
        </w:rPr>
        <w:t>餐饮、住宿费用由</w:t>
      </w:r>
      <w:r>
        <w:rPr>
          <w:rFonts w:hint="eastAsia" w:ascii="宋体" w:hAnsi="宋体" w:cs="宋体"/>
          <w:snapToGrid w:val="0"/>
          <w:color w:val="000000" w:themeColor="text1"/>
          <w:sz w:val="21"/>
          <w:szCs w:val="21"/>
          <w14:textFill>
            <w14:solidFill>
              <w14:schemeClr w14:val="tx1"/>
            </w14:solidFill>
          </w14:textFill>
        </w:rPr>
        <w:t>竞选人</w:t>
      </w:r>
      <w:r>
        <w:rPr>
          <w:rFonts w:hint="eastAsia" w:cs="方正黑体_GBK" w:asciiTheme="minorEastAsia" w:hAnsiTheme="minorEastAsia" w:eastAsiaTheme="minorEastAsia"/>
          <w:color w:val="000000" w:themeColor="text1"/>
          <w:sz w:val="21"/>
          <w:szCs w:val="21"/>
          <w14:textFill>
            <w14:solidFill>
              <w14:schemeClr w14:val="tx1"/>
            </w14:solidFill>
          </w14:textFill>
        </w:rPr>
        <w:t>收取。</w:t>
      </w:r>
    </w:p>
    <w:p>
      <w:pPr>
        <w:autoSpaceDE w:val="0"/>
        <w:autoSpaceDN w:val="0"/>
        <w:spacing w:line="400" w:lineRule="exact"/>
        <w:ind w:firstLine="420" w:firstLineChars="200"/>
        <w:jc w:val="left"/>
        <w:rPr>
          <w:rFonts w:hint="eastAsia" w:cs="方正黑体_GBK" w:asciiTheme="minorEastAsia" w:hAnsiTheme="minorEastAsia" w:eastAsiaTheme="minorEastAsia"/>
          <w:sz w:val="21"/>
          <w:szCs w:val="21"/>
        </w:rPr>
      </w:pPr>
      <w:r>
        <w:rPr>
          <w:rFonts w:hint="eastAsia" w:cs="方正黑体_GBK" w:asciiTheme="minorEastAsia" w:hAnsiTheme="minorEastAsia" w:eastAsiaTheme="minorEastAsia"/>
          <w:sz w:val="21"/>
          <w:szCs w:val="21"/>
        </w:rPr>
        <w:t>2.6.4遴选人派驻考场的9名工作人员若自然退休或离职的，后续不再补充，退出人员费用按照合同签定金额标准在年度保底合作费中扣减。</w:t>
      </w:r>
    </w:p>
    <w:p>
      <w:pPr>
        <w:pStyle w:val="3"/>
        <w:keepNext w:val="0"/>
        <w:keepLines w:val="0"/>
        <w:widowControl/>
        <w:adjustRightInd/>
        <w:spacing w:line="400" w:lineRule="exact"/>
        <w:jc w:val="left"/>
        <w:textAlignment w:val="auto"/>
        <w:rPr>
          <w:rFonts w:hint="eastAsia" w:cs="宋体"/>
          <w:sz w:val="24"/>
          <w:szCs w:val="24"/>
        </w:rPr>
      </w:pPr>
      <w:bookmarkStart w:id="39" w:name="_Toc18742"/>
      <w:bookmarkStart w:id="40" w:name="_Toc161058944"/>
      <w:r>
        <w:rPr>
          <w:rFonts w:hint="eastAsia" w:cs="宋体"/>
          <w:sz w:val="24"/>
          <w:szCs w:val="24"/>
        </w:rPr>
        <w:t>3.竞选人资格要求</w:t>
      </w:r>
      <w:bookmarkEnd w:id="29"/>
      <w:bookmarkEnd w:id="30"/>
      <w:bookmarkEnd w:id="39"/>
      <w:bookmarkEnd w:id="40"/>
    </w:p>
    <w:p>
      <w:pPr>
        <w:tabs>
          <w:tab w:val="left" w:pos="2388"/>
          <w:tab w:val="left" w:pos="2832"/>
          <w:tab w:val="left" w:pos="3472"/>
          <w:tab w:val="left" w:pos="6667"/>
          <w:tab w:val="left" w:pos="7270"/>
        </w:tabs>
        <w:autoSpaceDE w:val="0"/>
        <w:autoSpaceDN w:val="0"/>
        <w:spacing w:line="400" w:lineRule="exact"/>
        <w:ind w:firstLine="420" w:firstLineChars="200"/>
        <w:rPr>
          <w:rFonts w:hint="eastAsia" w:ascii="宋体" w:hAnsi="宋体" w:cs="宋体"/>
          <w:snapToGrid w:val="0"/>
          <w:sz w:val="21"/>
          <w:szCs w:val="21"/>
        </w:rPr>
      </w:pPr>
      <w:bookmarkStart w:id="41" w:name="_Toc447723876"/>
      <w:bookmarkStart w:id="42" w:name="_Toc440274628"/>
      <w:bookmarkStart w:id="43" w:name="_Toc351455889"/>
      <w:r>
        <w:rPr>
          <w:rFonts w:hint="eastAsia" w:ascii="宋体" w:hAnsi="宋体" w:cs="宋体"/>
          <w:snapToGrid w:val="0"/>
          <w:sz w:val="21"/>
          <w:szCs w:val="21"/>
        </w:rPr>
        <w:t>3.1竞选人必须是响应招标的独立法人或其他组织，须具备有效的营业执照或注册证明文件。</w:t>
      </w:r>
    </w:p>
    <w:p>
      <w:pPr>
        <w:tabs>
          <w:tab w:val="left" w:pos="2388"/>
          <w:tab w:val="left" w:pos="2832"/>
          <w:tab w:val="left" w:pos="3472"/>
          <w:tab w:val="left" w:pos="6667"/>
          <w:tab w:val="left" w:pos="7270"/>
        </w:tabs>
        <w:autoSpaceDE w:val="0"/>
        <w:autoSpaceDN w:val="0"/>
        <w:spacing w:line="400" w:lineRule="exact"/>
        <w:ind w:firstLine="422" w:firstLineChars="200"/>
        <w:rPr>
          <w:rFonts w:hint="eastAsia" w:ascii="宋体" w:hAnsi="宋体" w:cs="宋体"/>
          <w:b/>
          <w:bCs/>
          <w:snapToGrid w:val="0"/>
          <w:sz w:val="21"/>
          <w:szCs w:val="21"/>
        </w:rPr>
      </w:pPr>
      <w:r>
        <w:rPr>
          <w:rFonts w:hint="eastAsia" w:ascii="宋体" w:hAnsi="宋体" w:cs="宋体"/>
          <w:b/>
          <w:bCs/>
          <w:snapToGrid w:val="0"/>
          <w:sz w:val="21"/>
          <w:szCs w:val="21"/>
        </w:rPr>
        <w:t>具体要求详见竞争性遴选文件竞选人须知前附表1.4.1项。</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3.3本项目</w:t>
      </w:r>
      <w:r>
        <w:rPr>
          <w:rFonts w:hint="eastAsia" w:ascii="宋体" w:hAnsi="宋体" w:cs="宋体"/>
          <w:b/>
          <w:sz w:val="21"/>
          <w:szCs w:val="21"/>
          <w:u w:val="single"/>
        </w:rPr>
        <w:t>不接受</w:t>
      </w:r>
      <w:r>
        <w:rPr>
          <w:rFonts w:hint="eastAsia" w:ascii="宋体" w:hAnsi="宋体" w:cs="宋体"/>
          <w:sz w:val="21"/>
          <w:szCs w:val="21"/>
        </w:rPr>
        <w:t>联合体竞选。</w:t>
      </w:r>
    </w:p>
    <w:p>
      <w:pPr>
        <w:spacing w:line="400" w:lineRule="exact"/>
        <w:ind w:firstLine="420" w:firstLineChars="200"/>
        <w:rPr>
          <w:rFonts w:hint="eastAsia" w:ascii="宋体" w:hAnsi="宋体" w:cs="宋体"/>
          <w:snapToGrid w:val="0"/>
          <w:sz w:val="21"/>
          <w:szCs w:val="21"/>
        </w:rPr>
      </w:pPr>
      <w:r>
        <w:rPr>
          <w:rFonts w:hint="eastAsia" w:ascii="宋体" w:hAnsi="宋体" w:cs="宋体"/>
          <w:sz w:val="21"/>
          <w:szCs w:val="21"/>
        </w:rPr>
        <w:t>3.4本项目采用</w:t>
      </w:r>
      <w:r>
        <w:rPr>
          <w:rFonts w:hint="eastAsia" w:ascii="宋体" w:hAnsi="宋体" w:cs="宋体"/>
          <w:b/>
          <w:sz w:val="21"/>
          <w:szCs w:val="21"/>
          <w:u w:val="single"/>
        </w:rPr>
        <w:t>资格后审</w:t>
      </w:r>
      <w:r>
        <w:rPr>
          <w:rFonts w:hint="eastAsia" w:ascii="宋体" w:hAnsi="宋体" w:cs="宋体"/>
          <w:sz w:val="21"/>
          <w:szCs w:val="21"/>
        </w:rPr>
        <w:t>。</w:t>
      </w:r>
    </w:p>
    <w:p>
      <w:pPr>
        <w:pStyle w:val="3"/>
        <w:keepNext w:val="0"/>
        <w:keepLines w:val="0"/>
        <w:widowControl/>
        <w:adjustRightInd/>
        <w:spacing w:line="400" w:lineRule="exact"/>
        <w:jc w:val="left"/>
        <w:textAlignment w:val="auto"/>
        <w:rPr>
          <w:rFonts w:hint="eastAsia" w:cs="宋体"/>
          <w:bCs w:val="0"/>
          <w:sz w:val="24"/>
          <w:szCs w:val="24"/>
        </w:rPr>
      </w:pPr>
      <w:bookmarkStart w:id="44" w:name="_Toc161058945"/>
      <w:bookmarkStart w:id="45" w:name="_Toc24180"/>
      <w:r>
        <w:rPr>
          <w:rFonts w:hint="eastAsia" w:cs="宋体"/>
          <w:bCs w:val="0"/>
          <w:sz w:val="24"/>
          <w:szCs w:val="24"/>
        </w:rPr>
        <w:t>4.竞争性遴选文件的获取</w:t>
      </w:r>
      <w:bookmarkEnd w:id="41"/>
      <w:bookmarkEnd w:id="42"/>
      <w:bookmarkEnd w:id="44"/>
      <w:bookmarkEnd w:id="45"/>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00" w:lineRule="exact"/>
        <w:ind w:firstLine="420" w:firstLineChars="200"/>
        <w:rPr>
          <w:rFonts w:hint="eastAsia" w:ascii="宋体" w:hAnsi="宋体" w:cs="宋体"/>
          <w:snapToGrid w:val="0"/>
          <w:sz w:val="21"/>
          <w:szCs w:val="21"/>
        </w:rPr>
      </w:pPr>
      <w:bookmarkStart w:id="46" w:name="_Toc245092074"/>
      <w:bookmarkStart w:id="47" w:name="_Toc224103303"/>
      <w:bookmarkStart w:id="48" w:name="_Toc246655205"/>
      <w:bookmarkStart w:id="49" w:name="_Toc200359242"/>
      <w:bookmarkStart w:id="50" w:name="_Toc246125207"/>
      <w:bookmarkStart w:id="51" w:name="_Toc245697604"/>
      <w:bookmarkStart w:id="52" w:name="_Toc232826901"/>
      <w:bookmarkStart w:id="53" w:name="_Toc245055463"/>
      <w:bookmarkStart w:id="54" w:name="_Toc245694523"/>
      <w:bookmarkStart w:id="55" w:name="_Toc245003733"/>
      <w:bookmarkStart w:id="56" w:name="_Toc245004281"/>
      <w:bookmarkStart w:id="57" w:name="_Toc246124864"/>
      <w:bookmarkStart w:id="58" w:name="_Toc245698068"/>
      <w:bookmarkStart w:id="59" w:name="_Toc245008816"/>
      <w:bookmarkStart w:id="60" w:name="_Toc246388366"/>
      <w:bookmarkStart w:id="61" w:name="_Toc245055341"/>
      <w:bookmarkStart w:id="62" w:name="_Toc200359431"/>
      <w:bookmarkStart w:id="63" w:name="_Toc250018459"/>
      <w:bookmarkStart w:id="64" w:name="_Toc245001049"/>
      <w:bookmarkStart w:id="65" w:name="_Toc245694422"/>
      <w:bookmarkStart w:id="66" w:name="_Toc246388508"/>
      <w:bookmarkStart w:id="67" w:name="_Toc245003877"/>
      <w:bookmarkStart w:id="68" w:name="_Toc246393305"/>
      <w:r>
        <w:rPr>
          <w:rFonts w:hint="eastAsia" w:ascii="宋体" w:hAnsi="宋体" w:cs="宋体"/>
          <w:snapToGrid w:val="0"/>
          <w:sz w:val="21"/>
          <w:szCs w:val="21"/>
        </w:rPr>
        <w:t>4.1 竞争性遴选文件发布时间：2024年 11 月  27 日-2024年 12 月 1 日，过时不候。本次遴选公告、答疑、补遗、澄清及遴选结果公示在重庆高速集团官网（http://www.cegc.com.cn/）、重庆高速公路集团有限公司招投标管理平台（http://cqgsbid.cegc.com.cn:7900）上发布遴选公告。竞选人自行下载遴选文件。</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00" w:lineRule="exact"/>
        <w:ind w:firstLine="420" w:firstLineChars="200"/>
        <w:rPr>
          <w:rFonts w:hint="eastAsia" w:ascii="宋体" w:hAnsi="宋体" w:cs="宋体"/>
          <w:sz w:val="21"/>
          <w:szCs w:val="21"/>
        </w:rPr>
      </w:pPr>
      <w:r>
        <w:rPr>
          <w:rFonts w:hint="eastAsia" w:ascii="宋体" w:hAnsi="宋体" w:cs="宋体"/>
          <w:snapToGrid w:val="0"/>
          <w:sz w:val="21"/>
          <w:szCs w:val="21"/>
        </w:rPr>
        <w:t>各竞选人应随时关注网上发布的竞争性比选文件答疑、补遗、澄清等文件内容，不管竞选人是否下载，均视为已知晓竞争性遴选文件的全部内容和有关事宜。</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pStyle w:val="3"/>
        <w:keepNext w:val="0"/>
        <w:keepLines w:val="0"/>
        <w:widowControl/>
        <w:adjustRightInd/>
        <w:spacing w:line="400" w:lineRule="exact"/>
        <w:jc w:val="left"/>
        <w:textAlignment w:val="auto"/>
        <w:rPr>
          <w:rFonts w:hint="eastAsia" w:cs="宋体"/>
          <w:bCs w:val="0"/>
          <w:sz w:val="24"/>
          <w:szCs w:val="24"/>
        </w:rPr>
      </w:pPr>
      <w:bookmarkStart w:id="69" w:name="_Toc321727877"/>
      <w:bookmarkStart w:id="70" w:name="_Toc440274629"/>
      <w:bookmarkStart w:id="71" w:name="_Toc447723877"/>
      <w:bookmarkStart w:id="72" w:name="_Toc161058946"/>
      <w:bookmarkStart w:id="73" w:name="_Toc2155"/>
      <w:r>
        <w:rPr>
          <w:rFonts w:hint="eastAsia" w:cs="宋体"/>
          <w:bCs w:val="0"/>
          <w:sz w:val="24"/>
          <w:szCs w:val="24"/>
        </w:rPr>
        <w:t>5.竞选文件的递交</w:t>
      </w:r>
      <w:bookmarkEnd w:id="69"/>
      <w:bookmarkEnd w:id="70"/>
      <w:bookmarkEnd w:id="71"/>
      <w:bookmarkEnd w:id="72"/>
      <w:bookmarkEnd w:id="73"/>
    </w:p>
    <w:p>
      <w:pPr>
        <w:widowControl/>
        <w:shd w:val="clear" w:color="auto" w:fill="FFFFFF"/>
        <w:snapToGrid w:val="0"/>
        <w:spacing w:line="400" w:lineRule="exact"/>
        <w:ind w:firstLine="420" w:firstLineChars="200"/>
        <w:jc w:val="left"/>
        <w:rPr>
          <w:rFonts w:hint="eastAsia" w:ascii="方正仿宋_GBK" w:hAnsi="宋体" w:eastAsia="方正仿宋_GBK" w:cs="宋体"/>
          <w:sz w:val="30"/>
          <w:szCs w:val="30"/>
        </w:rPr>
      </w:pPr>
      <w:bookmarkStart w:id="74" w:name="_Toc321727878"/>
      <w:bookmarkStart w:id="75" w:name="_Toc447723878"/>
      <w:bookmarkStart w:id="76" w:name="_Toc27553"/>
      <w:bookmarkStart w:id="77" w:name="_Toc440274630"/>
      <w:r>
        <w:rPr>
          <w:rFonts w:hint="eastAsia" w:ascii="宋体" w:hAnsi="宋体" w:cs="宋体"/>
          <w:snapToGrid w:val="0"/>
          <w:sz w:val="21"/>
          <w:szCs w:val="21"/>
        </w:rPr>
        <w:t>5.1 竞选文件递交的截止时间（参选截止时间，下同）为2024年 12 月 2 日10时00分，地点为：</w:t>
      </w:r>
      <w:r>
        <w:rPr>
          <w:rFonts w:hint="eastAsia" w:cs="宋体" w:asciiTheme="minorEastAsia" w:hAnsiTheme="minorEastAsia" w:eastAsiaTheme="minorEastAsia"/>
          <w:sz w:val="21"/>
          <w:szCs w:val="21"/>
        </w:rPr>
        <w:t>重庆市交通行业职业培训中心有限责任公司516办公室（地址：重庆市璧山区璧城街道璧渝路329号）。</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00" w:lineRule="exact"/>
        <w:ind w:firstLine="420" w:firstLineChars="200"/>
        <w:rPr>
          <w:rFonts w:hint="eastAsia" w:ascii="宋体" w:hAnsi="宋体" w:cs="宋体"/>
          <w:snapToGrid w:val="0"/>
          <w:sz w:val="21"/>
          <w:szCs w:val="21"/>
        </w:rPr>
      </w:pPr>
      <w:r>
        <w:rPr>
          <w:rFonts w:ascii="宋体" w:hAnsi="宋体" w:cs="宋体"/>
          <w:snapToGrid w:val="0"/>
          <w:sz w:val="21"/>
          <w:szCs w:val="21"/>
        </w:rPr>
        <w:t>5.</w:t>
      </w:r>
      <w:r>
        <w:rPr>
          <w:rFonts w:hint="eastAsia" w:ascii="宋体" w:hAnsi="宋体" w:cs="宋体"/>
          <w:snapToGrid w:val="0"/>
          <w:sz w:val="21"/>
          <w:szCs w:val="21"/>
        </w:rPr>
        <w:t>2</w:t>
      </w:r>
      <w:r>
        <w:rPr>
          <w:rFonts w:ascii="宋体" w:hAnsi="宋体" w:cs="宋体"/>
          <w:snapToGrid w:val="0"/>
          <w:sz w:val="21"/>
          <w:szCs w:val="21"/>
        </w:rPr>
        <w:t xml:space="preserve"> </w:t>
      </w:r>
      <w:r>
        <w:rPr>
          <w:rFonts w:hint="eastAsia" w:ascii="宋体" w:hAnsi="宋体" w:cs="宋体"/>
          <w:snapToGrid w:val="0"/>
          <w:sz w:val="21"/>
          <w:szCs w:val="21"/>
        </w:rPr>
        <w:t>逾期送达的或者未送达指定地点的竞选文件，遴选人不予受理。</w:t>
      </w:r>
    </w:p>
    <w:p>
      <w:pPr>
        <w:pStyle w:val="3"/>
        <w:keepNext w:val="0"/>
        <w:keepLines w:val="0"/>
        <w:widowControl/>
        <w:adjustRightInd/>
        <w:spacing w:line="400" w:lineRule="exact"/>
        <w:jc w:val="left"/>
        <w:textAlignment w:val="auto"/>
        <w:rPr>
          <w:rFonts w:hint="eastAsia" w:cs="宋体"/>
          <w:bCs w:val="0"/>
          <w:sz w:val="24"/>
          <w:szCs w:val="24"/>
        </w:rPr>
      </w:pPr>
      <w:bookmarkStart w:id="78" w:name="_Toc161058947"/>
      <w:r>
        <w:rPr>
          <w:rFonts w:cs="宋体"/>
          <w:bCs w:val="0"/>
          <w:sz w:val="24"/>
          <w:szCs w:val="24"/>
        </w:rPr>
        <w:t>6.发布公告的媒介</w:t>
      </w:r>
      <w:bookmarkEnd w:id="74"/>
      <w:bookmarkEnd w:id="75"/>
      <w:bookmarkEnd w:id="76"/>
      <w:bookmarkEnd w:id="77"/>
      <w:bookmarkEnd w:id="78"/>
    </w:p>
    <w:p>
      <w:pPr>
        <w:tabs>
          <w:tab w:val="left" w:pos="2000"/>
          <w:tab w:val="left" w:pos="5580"/>
          <w:tab w:val="left" w:pos="6220"/>
          <w:tab w:val="left" w:pos="7050"/>
          <w:tab w:val="left" w:pos="7995"/>
        </w:tabs>
        <w:autoSpaceDE w:val="0"/>
        <w:autoSpaceDN w:val="0"/>
        <w:snapToGrid w:val="0"/>
        <w:spacing w:line="400" w:lineRule="exact"/>
        <w:ind w:firstLine="420" w:firstLineChars="200"/>
        <w:jc w:val="left"/>
        <w:textAlignment w:val="auto"/>
        <w:rPr>
          <w:rFonts w:hint="eastAsia" w:ascii="宋体" w:hAnsi="宋体" w:cs="宋体"/>
          <w:snapToGrid w:val="0"/>
          <w:sz w:val="21"/>
          <w:szCs w:val="21"/>
        </w:rPr>
      </w:pPr>
      <w:r>
        <w:rPr>
          <w:rFonts w:hint="eastAsia" w:ascii="宋体" w:hAnsi="宋体" w:cs="宋体"/>
          <w:snapToGrid w:val="0"/>
          <w:sz w:val="21"/>
          <w:szCs w:val="21"/>
        </w:rPr>
        <w:t>本次遴选公告在重庆高速集团官网（http://www.cegc.com.cn/）、重庆高速公路集团有限公司招投标管理平台（http://cqgsbid.cegc.com.cn:7900）</w:t>
      </w:r>
      <w:r>
        <w:rPr>
          <w:rFonts w:ascii="宋体" w:hAnsi="宋体" w:cs="宋体"/>
          <w:snapToGrid w:val="0"/>
          <w:sz w:val="21"/>
          <w:szCs w:val="21"/>
        </w:rPr>
        <w:t>上发布。</w:t>
      </w:r>
    </w:p>
    <w:p>
      <w:pPr>
        <w:pStyle w:val="3"/>
        <w:keepNext w:val="0"/>
        <w:keepLines w:val="0"/>
        <w:widowControl/>
        <w:adjustRightInd/>
        <w:spacing w:line="400" w:lineRule="exact"/>
        <w:jc w:val="left"/>
        <w:textAlignment w:val="auto"/>
        <w:rPr>
          <w:rFonts w:hint="eastAsia" w:cs="宋体"/>
          <w:sz w:val="24"/>
          <w:szCs w:val="24"/>
        </w:rPr>
      </w:pPr>
      <w:bookmarkStart w:id="79" w:name="_Toc1056"/>
      <w:bookmarkStart w:id="80" w:name="_Toc447723879"/>
      <w:bookmarkStart w:id="81" w:name="_Toc161058948"/>
      <w:r>
        <w:rPr>
          <w:rFonts w:cs="宋体"/>
          <w:sz w:val="24"/>
          <w:szCs w:val="24"/>
        </w:rPr>
        <w:t>7.联系方式</w:t>
      </w:r>
      <w:bookmarkEnd w:id="43"/>
      <w:bookmarkEnd w:id="79"/>
      <w:bookmarkEnd w:id="80"/>
      <w:bookmarkEnd w:id="81"/>
    </w:p>
    <w:p>
      <w:pPr>
        <w:widowControl/>
        <w:shd w:val="clear" w:color="auto" w:fill="FFFFFF"/>
        <w:snapToGrid w:val="0"/>
        <w:spacing w:line="400" w:lineRule="exact"/>
        <w:ind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napToGrid w:val="0"/>
          <w:sz w:val="21"/>
          <w:szCs w:val="21"/>
        </w:rPr>
        <w:t>遴选人</w:t>
      </w:r>
      <w:r>
        <w:rPr>
          <w:rFonts w:hint="eastAsia" w:cs="宋体" w:asciiTheme="minorEastAsia" w:hAnsiTheme="minorEastAsia" w:eastAsiaTheme="minorEastAsia"/>
          <w:b/>
          <w:bCs/>
          <w:snapToGrid w:val="0"/>
          <w:sz w:val="21"/>
          <w:szCs w:val="21"/>
        </w:rPr>
        <w:t>：</w:t>
      </w:r>
      <w:r>
        <w:rPr>
          <w:rFonts w:hint="eastAsia" w:cs="宋体" w:asciiTheme="minorEastAsia" w:hAnsiTheme="minorEastAsia" w:eastAsiaTheme="minorEastAsia"/>
          <w:sz w:val="21"/>
          <w:szCs w:val="21"/>
        </w:rPr>
        <w:t>重庆市交通行业职业培训中心有限责任公司</w:t>
      </w:r>
    </w:p>
    <w:p>
      <w:pPr>
        <w:widowControl/>
        <w:spacing w:line="40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址：</w:t>
      </w:r>
      <w:r>
        <w:rPr>
          <w:rFonts w:hint="eastAsia" w:cs="宋体" w:asciiTheme="minorEastAsia" w:hAnsiTheme="minorEastAsia" w:eastAsiaTheme="minorEastAsia"/>
          <w:sz w:val="21"/>
          <w:szCs w:val="21"/>
        </w:rPr>
        <w:t>重庆市璧山区璧城街道璧渝路329号</w:t>
      </w:r>
    </w:p>
    <w:p>
      <w:pPr>
        <w:widowControl/>
        <w:spacing w:line="40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人：周老师</w:t>
      </w:r>
    </w:p>
    <w:p>
      <w:pPr>
        <w:widowControl/>
        <w:spacing w:line="40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话：18983954003</w:t>
      </w:r>
      <w:r>
        <w:rPr>
          <w:rFonts w:asciiTheme="minorEastAsia" w:hAnsiTheme="minorEastAsia" w:eastAsiaTheme="minorEastAsia"/>
          <w:sz w:val="21"/>
          <w:szCs w:val="21"/>
        </w:rPr>
        <w:t xml:space="preserve"> </w:t>
      </w:r>
    </w:p>
    <w:p>
      <w:pPr>
        <w:tabs>
          <w:tab w:val="left" w:pos="2000"/>
          <w:tab w:val="left" w:pos="5580"/>
          <w:tab w:val="left" w:pos="6220"/>
          <w:tab w:val="left" w:pos="7050"/>
          <w:tab w:val="left" w:pos="7995"/>
        </w:tabs>
        <w:autoSpaceDE w:val="0"/>
        <w:autoSpaceDN w:val="0"/>
        <w:snapToGrid w:val="0"/>
        <w:spacing w:line="400" w:lineRule="exact"/>
        <w:ind w:firstLine="0"/>
        <w:jc w:val="left"/>
        <w:textAlignment w:val="auto"/>
        <w:rPr>
          <w:rFonts w:hint="eastAsia" w:ascii="宋体" w:hAnsi="宋体" w:cs="宋体"/>
          <w:snapToGrid w:val="0"/>
          <w:sz w:val="21"/>
          <w:szCs w:val="21"/>
        </w:rPr>
      </w:pPr>
    </w:p>
    <w:bookmarkEnd w:id="20"/>
    <w:p>
      <w:pPr>
        <w:pStyle w:val="2"/>
        <w:snapToGrid w:val="0"/>
        <w:spacing w:before="0" w:after="0" w:line="400" w:lineRule="exact"/>
        <w:rPr>
          <w:rFonts w:hint="eastAsia" w:ascii="宋体" w:hAnsi="宋体" w:cs="宋体"/>
          <w:sz w:val="36"/>
          <w:szCs w:val="36"/>
        </w:rPr>
        <w:sectPr>
          <w:footerReference r:id="rId12" w:type="first"/>
          <w:footerReference r:id="rId11" w:type="default"/>
          <w:pgSz w:w="11906" w:h="16838"/>
          <w:pgMar w:top="1134" w:right="1134" w:bottom="1134" w:left="1134" w:header="851" w:footer="992" w:gutter="0"/>
          <w:cols w:space="720" w:num="1"/>
          <w:docGrid w:type="lines" w:linePitch="312" w:charSpace="0"/>
        </w:sectPr>
      </w:pPr>
      <w:bookmarkStart w:id="82" w:name="_Toc447723880"/>
      <w:bookmarkStart w:id="83" w:name="_Toc1011"/>
    </w:p>
    <w:p>
      <w:pPr>
        <w:pStyle w:val="2"/>
        <w:snapToGrid w:val="0"/>
        <w:spacing w:before="0" w:after="0" w:line="400" w:lineRule="exact"/>
        <w:rPr>
          <w:rFonts w:hint="eastAsia" w:ascii="宋体" w:hAnsi="宋体" w:cs="宋体"/>
          <w:sz w:val="36"/>
          <w:szCs w:val="36"/>
        </w:rPr>
      </w:pPr>
      <w:bookmarkStart w:id="84" w:name="_Toc161058949"/>
      <w:r>
        <w:rPr>
          <w:rFonts w:hint="eastAsia" w:ascii="宋体" w:hAnsi="宋体" w:cs="宋体"/>
          <w:sz w:val="36"/>
          <w:szCs w:val="36"/>
        </w:rPr>
        <w:t>第二章 竞选人须知</w:t>
      </w:r>
      <w:bookmarkEnd w:id="82"/>
      <w:bookmarkEnd w:id="83"/>
      <w:bookmarkEnd w:id="84"/>
    </w:p>
    <w:p>
      <w:pPr>
        <w:pStyle w:val="3"/>
        <w:keepNext w:val="0"/>
        <w:keepLines w:val="0"/>
        <w:widowControl/>
        <w:adjustRightInd/>
        <w:spacing w:line="400" w:lineRule="exact"/>
        <w:jc w:val="center"/>
        <w:textAlignment w:val="auto"/>
        <w:rPr>
          <w:rFonts w:hint="eastAsia"/>
        </w:rPr>
      </w:pPr>
      <w:bookmarkStart w:id="85" w:name="_Toc14714"/>
      <w:bookmarkStart w:id="86" w:name="_Toc161058950"/>
      <w:r>
        <w:rPr>
          <w:rFonts w:hint="eastAsia" w:cs="宋体"/>
          <w:szCs w:val="28"/>
        </w:rPr>
        <w:t>竞选人须知前附表</w:t>
      </w:r>
      <w:bookmarkEnd w:id="85"/>
      <w:bookmarkEnd w:id="86"/>
    </w:p>
    <w:tbl>
      <w:tblPr>
        <w:tblStyle w:val="65"/>
        <w:tblW w:w="10260" w:type="dxa"/>
        <w:jc w:val="center"/>
        <w:tblInd w:w="0" w:type="dxa"/>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1"/>
        <w:gridCol w:w="1708"/>
        <w:gridCol w:w="7401"/>
      </w:tblGrid>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b/>
                <w:color w:val="auto"/>
                <w:sz w:val="21"/>
                <w:szCs w:val="21"/>
              </w:rPr>
            </w:pPr>
            <w:bookmarkStart w:id="87" w:name="_Toc447723881"/>
            <w:r>
              <w:rPr>
                <w:rFonts w:hint="eastAsia" w:ascii="宋体" w:hAnsi="宋体" w:eastAsia="宋体" w:cs="宋体"/>
                <w:b/>
                <w:color w:val="auto"/>
                <w:sz w:val="21"/>
                <w:szCs w:val="21"/>
              </w:rPr>
              <w:t>条款号</w:t>
            </w:r>
          </w:p>
        </w:tc>
        <w:tc>
          <w:tcPr>
            <w:tcW w:w="1708" w:type="dxa"/>
            <w:vAlign w:val="center"/>
          </w:tcPr>
          <w:p>
            <w:pPr>
              <w:pStyle w:val="68"/>
              <w:keepLines/>
              <w:spacing w:line="40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7401" w:type="dxa"/>
            <w:vAlign w:val="center"/>
          </w:tcPr>
          <w:p>
            <w:pPr>
              <w:pStyle w:val="68"/>
              <w:keepLines/>
              <w:spacing w:line="400" w:lineRule="exact"/>
              <w:jc w:val="both"/>
              <w:rPr>
                <w:rFonts w:hint="eastAsia" w:ascii="宋体" w:hAnsi="宋体" w:eastAsia="宋体" w:cs="宋体"/>
                <w:b/>
                <w:color w:val="auto"/>
                <w:sz w:val="21"/>
                <w:szCs w:val="21"/>
              </w:rPr>
            </w:pPr>
            <w:r>
              <w:rPr>
                <w:rFonts w:hint="eastAsia" w:ascii="宋体" w:hAnsi="宋体" w:eastAsia="宋体" w:cs="宋体"/>
                <w:b/>
                <w:color w:val="auto"/>
                <w:sz w:val="21"/>
                <w:szCs w:val="21"/>
              </w:rPr>
              <w:t>编列内容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遴选人</w:t>
            </w:r>
          </w:p>
        </w:tc>
        <w:tc>
          <w:tcPr>
            <w:tcW w:w="7401" w:type="dxa"/>
            <w:vAlign w:val="center"/>
          </w:tcPr>
          <w:p>
            <w:pPr>
              <w:keepLines/>
              <w:tabs>
                <w:tab w:val="left" w:pos="2000"/>
                <w:tab w:val="left" w:pos="5580"/>
                <w:tab w:val="left" w:pos="6220"/>
                <w:tab w:val="left" w:pos="7050"/>
                <w:tab w:val="left" w:pos="7995"/>
              </w:tabs>
              <w:autoSpaceDE w:val="0"/>
              <w:autoSpaceDN w:val="0"/>
              <w:snapToGrid w:val="0"/>
              <w:spacing w:line="400" w:lineRule="exact"/>
              <w:ind w:firstLine="0"/>
              <w:rPr>
                <w:rFonts w:hint="eastAsia" w:ascii="宋体" w:hAnsi="宋体" w:cs="宋体"/>
                <w:sz w:val="21"/>
                <w:szCs w:val="21"/>
              </w:rPr>
            </w:pPr>
            <w:r>
              <w:rPr>
                <w:rFonts w:hint="eastAsia" w:ascii="宋体" w:hAnsi="宋体" w:cs="宋体"/>
                <w:sz w:val="21"/>
                <w:szCs w:val="21"/>
              </w:rPr>
              <w:t>遴选人：</w:t>
            </w:r>
            <w:r>
              <w:rPr>
                <w:rFonts w:hint="eastAsia" w:cs="宋体" w:asciiTheme="minorEastAsia" w:hAnsiTheme="minorEastAsia" w:eastAsiaTheme="minorEastAsia"/>
                <w:sz w:val="21"/>
                <w:szCs w:val="21"/>
              </w:rPr>
              <w:t>重庆市交通行业职业培训中心有限责任公司</w:t>
            </w:r>
          </w:p>
          <w:p>
            <w:pPr>
              <w:keepLines/>
              <w:tabs>
                <w:tab w:val="left" w:pos="2000"/>
                <w:tab w:val="left" w:pos="5580"/>
                <w:tab w:val="left" w:pos="6220"/>
                <w:tab w:val="left" w:pos="7050"/>
                <w:tab w:val="left" w:pos="7995"/>
              </w:tabs>
              <w:autoSpaceDE w:val="0"/>
              <w:autoSpaceDN w:val="0"/>
              <w:snapToGrid w:val="0"/>
              <w:spacing w:line="400" w:lineRule="exact"/>
              <w:ind w:firstLine="0"/>
              <w:textAlignment w:val="auto"/>
              <w:rPr>
                <w:rFonts w:hint="eastAsia" w:ascii="宋体" w:hAnsi="宋体" w:cs="宋体"/>
                <w:sz w:val="21"/>
                <w:szCs w:val="21"/>
              </w:rPr>
            </w:pPr>
            <w:r>
              <w:rPr>
                <w:rFonts w:hint="eastAsia" w:ascii="宋体" w:hAnsi="宋体" w:cs="宋体"/>
                <w:sz w:val="21"/>
                <w:szCs w:val="21"/>
              </w:rPr>
              <w:t>地 址：</w:t>
            </w:r>
            <w:r>
              <w:rPr>
                <w:rFonts w:hint="eastAsia" w:cs="宋体" w:asciiTheme="minorEastAsia" w:hAnsiTheme="minorEastAsia" w:eastAsiaTheme="minorEastAsia"/>
                <w:sz w:val="21"/>
                <w:szCs w:val="21"/>
              </w:rPr>
              <w:t>重庆市璧山区璧城街道璧渝路329号</w:t>
            </w:r>
          </w:p>
          <w:p>
            <w:pPr>
              <w:keepLines/>
              <w:tabs>
                <w:tab w:val="left" w:pos="2000"/>
                <w:tab w:val="left" w:pos="5580"/>
                <w:tab w:val="left" w:pos="6220"/>
                <w:tab w:val="left" w:pos="7050"/>
                <w:tab w:val="left" w:pos="7995"/>
              </w:tabs>
              <w:autoSpaceDE w:val="0"/>
              <w:autoSpaceDN w:val="0"/>
              <w:snapToGrid w:val="0"/>
              <w:spacing w:line="400" w:lineRule="exact"/>
              <w:ind w:firstLine="0"/>
              <w:textAlignment w:val="auto"/>
              <w:rPr>
                <w:rFonts w:hint="eastAsia" w:ascii="宋体" w:hAnsi="宋体" w:cs="宋体"/>
                <w:sz w:val="21"/>
                <w:szCs w:val="21"/>
              </w:rPr>
            </w:pPr>
            <w:r>
              <w:rPr>
                <w:rFonts w:hint="eastAsia" w:ascii="宋体" w:hAnsi="宋体" w:cs="宋体"/>
                <w:sz w:val="21"/>
                <w:szCs w:val="21"/>
              </w:rPr>
              <w:t>联 系 人：</w:t>
            </w:r>
            <w:r>
              <w:rPr>
                <w:rFonts w:hint="eastAsia" w:ascii="宋体" w:hAnsi="宋体"/>
                <w:sz w:val="21"/>
                <w:szCs w:val="21"/>
              </w:rPr>
              <w:t>周老师</w:t>
            </w:r>
          </w:p>
          <w:p>
            <w:pPr>
              <w:keepLines/>
              <w:tabs>
                <w:tab w:val="left" w:pos="2000"/>
                <w:tab w:val="left" w:pos="5580"/>
                <w:tab w:val="left" w:pos="6220"/>
                <w:tab w:val="left" w:pos="7050"/>
                <w:tab w:val="left" w:pos="7995"/>
              </w:tabs>
              <w:autoSpaceDE w:val="0"/>
              <w:autoSpaceDN w:val="0"/>
              <w:snapToGrid w:val="0"/>
              <w:spacing w:line="400" w:lineRule="exact"/>
              <w:ind w:firstLine="0"/>
              <w:textAlignment w:val="auto"/>
              <w:rPr>
                <w:rFonts w:hint="eastAsia" w:ascii="宋体" w:hAnsi="宋体" w:cs="宋体"/>
                <w:sz w:val="21"/>
                <w:szCs w:val="21"/>
              </w:rPr>
            </w:pPr>
            <w:r>
              <w:rPr>
                <w:rFonts w:hint="eastAsia" w:ascii="宋体" w:hAnsi="宋体" w:cs="宋体"/>
                <w:sz w:val="21"/>
                <w:szCs w:val="21"/>
              </w:rPr>
              <w:t>电 话：</w:t>
            </w:r>
            <w:r>
              <w:rPr>
                <w:rFonts w:hint="eastAsia" w:ascii="宋体" w:hAnsi="宋体"/>
                <w:sz w:val="21"/>
                <w:szCs w:val="21"/>
              </w:rPr>
              <w:t>18983954003</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401" w:type="dxa"/>
            <w:vAlign w:val="center"/>
          </w:tcPr>
          <w:p>
            <w:pPr>
              <w:tabs>
                <w:tab w:val="center" w:pos="4233"/>
              </w:tabs>
              <w:snapToGrid w:val="0"/>
              <w:spacing w:line="400" w:lineRule="exact"/>
              <w:ind w:firstLine="0"/>
              <w:rPr>
                <w:rFonts w:hint="eastAsia" w:ascii="宋体" w:hAnsi="宋体" w:cs="宋体"/>
                <w:bCs/>
                <w:snapToGrid w:val="0"/>
                <w:spacing w:val="-17"/>
                <w:w w:val="99"/>
                <w:sz w:val="21"/>
                <w:szCs w:val="21"/>
              </w:rPr>
            </w:pPr>
            <w:r>
              <w:rPr>
                <w:rFonts w:hint="eastAsia" w:ascii="宋体" w:hAnsi="宋体" w:cs="宋体"/>
                <w:bCs/>
                <w:snapToGrid w:val="0"/>
                <w:spacing w:val="-17"/>
                <w:w w:val="99"/>
                <w:sz w:val="21"/>
                <w:szCs w:val="21"/>
              </w:rPr>
              <w:t>重庆市交通行业职业培训中心有限责任公司遴选机动车驾驶人科目二考试考场社会合作单位项目</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项目地点</w:t>
            </w:r>
          </w:p>
        </w:tc>
        <w:tc>
          <w:tcPr>
            <w:tcW w:w="7401" w:type="dxa"/>
            <w:vAlign w:val="center"/>
          </w:tcPr>
          <w:p>
            <w:pPr>
              <w:keepLines/>
              <w:spacing w:line="400" w:lineRule="exact"/>
              <w:ind w:firstLine="0"/>
              <w:rPr>
                <w:rFonts w:hint="eastAsia" w:ascii="宋体" w:hAnsi="宋体" w:cs="宋体"/>
                <w:sz w:val="21"/>
                <w:szCs w:val="21"/>
              </w:rPr>
            </w:pPr>
            <w:r>
              <w:rPr>
                <w:rFonts w:hint="eastAsia" w:ascii="宋体" w:hAnsi="宋体" w:cs="宋体"/>
                <w:sz w:val="21"/>
                <w:szCs w:val="21"/>
              </w:rPr>
              <w:t>详见遴选公告。</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740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企业自筹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出资比例</w:t>
            </w:r>
          </w:p>
        </w:tc>
        <w:tc>
          <w:tcPr>
            <w:tcW w:w="740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740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遴选范围</w:t>
            </w:r>
          </w:p>
        </w:tc>
        <w:tc>
          <w:tcPr>
            <w:tcW w:w="7401" w:type="dxa"/>
            <w:vAlign w:val="center"/>
          </w:tcPr>
          <w:p>
            <w:pPr>
              <w:keepLines/>
              <w:tabs>
                <w:tab w:val="center" w:pos="4233"/>
              </w:tabs>
              <w:snapToGrid w:val="0"/>
              <w:spacing w:line="400" w:lineRule="exact"/>
              <w:ind w:firstLine="0"/>
              <w:rPr>
                <w:rFonts w:hint="eastAsia" w:ascii="宋体" w:hAnsi="宋体" w:cs="宋体"/>
                <w:sz w:val="21"/>
                <w:szCs w:val="21"/>
              </w:rPr>
            </w:pPr>
            <w:r>
              <w:rPr>
                <w:rFonts w:hint="eastAsia" w:ascii="宋体" w:hAnsi="宋体" w:cs="宋体"/>
                <w:sz w:val="21"/>
                <w:szCs w:val="21"/>
              </w:rPr>
              <w:t>详见遴选公告。</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项目周期</w:t>
            </w:r>
          </w:p>
        </w:tc>
        <w:tc>
          <w:tcPr>
            <w:tcW w:w="7401" w:type="dxa"/>
            <w:vAlign w:val="center"/>
          </w:tcPr>
          <w:p>
            <w:pPr>
              <w:pStyle w:val="20"/>
              <w:keepLines/>
              <w:spacing w:line="400" w:lineRule="exact"/>
              <w:ind w:firstLine="0"/>
              <w:rPr>
                <w:rFonts w:hint="eastAsia"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合同签订之日起9年（另建设过渡期不超过240个自然日）</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合作要求</w:t>
            </w:r>
          </w:p>
        </w:tc>
        <w:tc>
          <w:tcPr>
            <w:tcW w:w="7401" w:type="dxa"/>
            <w:vAlign w:val="center"/>
          </w:tcPr>
          <w:p>
            <w:pPr>
              <w:pStyle w:val="68"/>
              <w:keepLines/>
              <w:spacing w:line="400" w:lineRule="exact"/>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r>
              <w:rPr>
                <w:rFonts w:hint="eastAsia" w:cs="方正黑体_GBK" w:asciiTheme="minorEastAsia" w:hAnsiTheme="minorEastAsia" w:eastAsiaTheme="minorEastAsia"/>
                <w:color w:val="auto"/>
                <w:sz w:val="21"/>
                <w:szCs w:val="21"/>
              </w:rPr>
              <w:t xml:space="preserve"> </w:t>
            </w:r>
            <w:r>
              <w:rPr>
                <w:rFonts w:hint="eastAsia" w:ascii="宋体" w:hAnsi="宋体" w:cs="宋体"/>
                <w:snapToGrid w:val="0"/>
                <w:color w:val="auto"/>
                <w:sz w:val="21"/>
                <w:szCs w:val="21"/>
              </w:rPr>
              <w:t>竞选人</w:t>
            </w:r>
            <w:r>
              <w:rPr>
                <w:rFonts w:hint="eastAsia" w:cs="方正黑体_GBK" w:asciiTheme="minorEastAsia" w:hAnsiTheme="minorEastAsia" w:eastAsiaTheme="minorEastAsia"/>
                <w:color w:val="auto"/>
                <w:sz w:val="21"/>
                <w:szCs w:val="21"/>
              </w:rPr>
              <w:t>负责璧山科目二现有考场的运营维护管理，考场迁扩建的规划设计、报审报批、开发建设、资金筹措、行业主管部门的验收投用等</w:t>
            </w:r>
            <w:r>
              <w:rPr>
                <w:rFonts w:hint="eastAsia" w:cs="宋体" w:asciiTheme="minorEastAsia" w:hAnsiTheme="minorEastAsia" w:eastAsiaTheme="minorEastAsia"/>
                <w:color w:val="auto"/>
                <w:sz w:val="21"/>
                <w:szCs w:val="21"/>
              </w:rPr>
              <w:t>；</w:t>
            </w:r>
          </w:p>
          <w:p>
            <w:pPr>
              <w:pStyle w:val="68"/>
              <w:keepLines/>
              <w:spacing w:line="400" w:lineRule="exact"/>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r>
              <w:rPr>
                <w:rFonts w:hint="eastAsia" w:cs="方正黑体_GBK" w:asciiTheme="minorEastAsia" w:hAnsiTheme="minorEastAsia" w:eastAsiaTheme="minorEastAsia"/>
                <w:color w:val="auto"/>
                <w:sz w:val="21"/>
                <w:szCs w:val="21"/>
              </w:rPr>
              <w:t xml:space="preserve"> 延续轿车（C1C2）、增加（A1A2A3B1B2C6）车型的机动车驾驶人考场考试服务，并确保遴选人作为合同主体与重庆市公安局车辆管理所签定考场服务合同，确保达到（A1A2A3B1B2C6）、轿车（C1C2）车型考试服务的软硬件要求，协调行业主管部门等完成全部验收并投入使用</w:t>
            </w:r>
            <w:r>
              <w:rPr>
                <w:rFonts w:hint="eastAsia" w:cs="宋体" w:asciiTheme="minorEastAsia" w:hAnsiTheme="minorEastAsia" w:eastAsiaTheme="minorEastAsia"/>
                <w:color w:val="auto"/>
                <w:sz w:val="21"/>
                <w:szCs w:val="21"/>
              </w:rPr>
              <w:t>；</w:t>
            </w:r>
          </w:p>
          <w:p>
            <w:pPr>
              <w:autoSpaceDE w:val="0"/>
              <w:autoSpaceDN w:val="0"/>
              <w:spacing w:line="400" w:lineRule="exact"/>
              <w:ind w:firstLine="0"/>
              <w:jc w:val="left"/>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sz w:val="21"/>
                <w:szCs w:val="21"/>
              </w:rPr>
              <w:t>3.</w:t>
            </w:r>
            <w:r>
              <w:rPr>
                <w:rFonts w:hint="eastAsia" w:cs="方正黑体_GBK" w:asciiTheme="minorEastAsia" w:hAnsiTheme="minorEastAsia" w:eastAsiaTheme="minorEastAsia"/>
                <w:sz w:val="21"/>
                <w:szCs w:val="21"/>
              </w:rPr>
              <w:t xml:space="preserve"> </w:t>
            </w:r>
            <w:r>
              <w:rPr>
                <w:rFonts w:hint="eastAsia" w:ascii="宋体" w:hAnsi="宋体" w:cs="宋体"/>
                <w:snapToGrid w:val="0"/>
                <w:sz w:val="21"/>
                <w:szCs w:val="21"/>
              </w:rPr>
              <w:t>竞选人</w:t>
            </w:r>
            <w:r>
              <w:rPr>
                <w:rFonts w:hint="eastAsia" w:cs="方正黑体_GBK" w:asciiTheme="minorEastAsia" w:hAnsiTheme="minorEastAsia" w:eastAsiaTheme="minorEastAsia"/>
                <w:sz w:val="21"/>
                <w:szCs w:val="21"/>
              </w:rPr>
              <w:t>负责遴选人现有璧山璧城科目二机动车驾驶人考场考训用轿车（C1C2）车辆设施设备等在2024年12月28日前完成购置、以遴选人的名义办理入籍登记手续（该部分车辆设施设备等资产实质权属归</w:t>
            </w:r>
            <w:r>
              <w:rPr>
                <w:rFonts w:hint="eastAsia" w:ascii="宋体" w:hAnsi="宋体" w:cs="宋体"/>
                <w:snapToGrid w:val="0"/>
                <w:sz w:val="21"/>
                <w:szCs w:val="21"/>
              </w:rPr>
              <w:t>竞选人</w:t>
            </w:r>
            <w:r>
              <w:rPr>
                <w:rFonts w:hint="eastAsia" w:cs="方正黑体_GBK" w:asciiTheme="minorEastAsia" w:hAnsiTheme="minorEastAsia" w:eastAsiaTheme="minorEastAsia"/>
                <w:sz w:val="21"/>
                <w:szCs w:val="21"/>
              </w:rPr>
              <w:t>所有），负责重庆</w:t>
            </w:r>
            <w:r>
              <w:rPr>
                <w:rFonts w:hint="eastAsia" w:cs="方正黑体_GBK" w:asciiTheme="minorEastAsia" w:hAnsiTheme="minorEastAsia" w:eastAsiaTheme="minorEastAsia"/>
                <w:color w:val="000000" w:themeColor="text1"/>
                <w:sz w:val="21"/>
                <w:szCs w:val="21"/>
                <w14:textFill>
                  <w14:solidFill>
                    <w14:schemeClr w14:val="tx1"/>
                  </w14:solidFill>
                </w14:textFill>
              </w:rPr>
              <w:t>市公安局车管部门的验收并投入使用，确保遴选人与市公安局车管所签定考场服务合同关系的及时有效存延续</w:t>
            </w:r>
            <w:r>
              <w:rPr>
                <w:rFonts w:hint="eastAsia" w:cs="宋体" w:asciiTheme="minorEastAsia" w:hAnsiTheme="minorEastAsia" w:eastAsiaTheme="minorEastAsia"/>
                <w:color w:val="000000" w:themeColor="text1"/>
                <w:sz w:val="21"/>
                <w:szCs w:val="21"/>
                <w14:textFill>
                  <w14:solidFill>
                    <w14:schemeClr w14:val="tx1"/>
                  </w14:solidFill>
                </w14:textFill>
              </w:rPr>
              <w:t>。若未能</w:t>
            </w:r>
            <w:r>
              <w:rPr>
                <w:rFonts w:hint="eastAsia" w:cs="方正黑体_GBK" w:asciiTheme="minorEastAsia" w:hAnsiTheme="minorEastAsia" w:eastAsiaTheme="minorEastAsia"/>
                <w:color w:val="000000" w:themeColor="text1"/>
                <w:sz w:val="21"/>
                <w:szCs w:val="21"/>
                <w14:textFill>
                  <w14:solidFill>
                    <w14:schemeClr w14:val="tx1"/>
                  </w14:solidFill>
                </w14:textFill>
              </w:rPr>
              <w:t>及时有效存延续，</w:t>
            </w:r>
            <w:r>
              <w:rPr>
                <w:rFonts w:hint="eastAsia" w:cs="方正仿宋_GBK" w:asciiTheme="minorEastAsia" w:hAnsiTheme="minorEastAsia" w:eastAsiaTheme="minorEastAsia"/>
                <w:color w:val="000000" w:themeColor="text1"/>
                <w:sz w:val="21"/>
                <w:szCs w:val="21"/>
                <w14:textFill>
                  <w14:solidFill>
                    <w14:schemeClr w14:val="tx1"/>
                  </w14:solidFill>
                </w14:textFill>
              </w:rPr>
              <w:t>遴选人不承担违约责任或者赔偿损失；</w:t>
            </w:r>
          </w:p>
          <w:p>
            <w:pPr>
              <w:autoSpaceDE w:val="0"/>
              <w:autoSpaceDN w:val="0"/>
              <w:spacing w:line="400" w:lineRule="exact"/>
              <w:ind w:firstLine="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hint="eastAsia" w:cs="方正黑体_GBK" w:asciiTheme="minorEastAsia" w:hAnsiTheme="minorEastAsia" w:eastAsiaTheme="minorEastAsia"/>
                <w:sz w:val="21"/>
                <w:szCs w:val="21"/>
              </w:rPr>
              <w:t xml:space="preserve"> 对遴选人工作人员进行日常管理、考核、指导</w:t>
            </w:r>
            <w:r>
              <w:rPr>
                <w:rFonts w:hint="eastAsia" w:cs="宋体" w:asciiTheme="minorEastAsia" w:hAnsiTheme="minorEastAsia" w:eastAsiaTheme="minorEastAsia"/>
                <w:sz w:val="21"/>
                <w:szCs w:val="21"/>
              </w:rPr>
              <w:t>；</w:t>
            </w:r>
          </w:p>
          <w:p>
            <w:pPr>
              <w:autoSpaceDE w:val="0"/>
              <w:autoSpaceDN w:val="0"/>
              <w:spacing w:line="400" w:lineRule="exact"/>
              <w:ind w:firstLine="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r>
              <w:rPr>
                <w:rFonts w:hint="eastAsia" w:ascii="方正仿宋_GBK" w:hAnsi="方正黑体_GBK" w:eastAsia="方正仿宋_GBK" w:cs="方正黑体_GBK"/>
                <w:sz w:val="30"/>
                <w:szCs w:val="30"/>
              </w:rPr>
              <w:t xml:space="preserve"> </w:t>
            </w:r>
            <w:r>
              <w:rPr>
                <w:rFonts w:hint="eastAsia" w:ascii="宋体" w:hAnsi="宋体" w:cs="宋体"/>
                <w:snapToGrid w:val="0"/>
                <w:sz w:val="21"/>
                <w:szCs w:val="21"/>
              </w:rPr>
              <w:t>竞选人</w:t>
            </w:r>
            <w:r>
              <w:rPr>
                <w:rFonts w:hint="eastAsia" w:cs="方正黑体_GBK" w:asciiTheme="minorEastAsia" w:hAnsiTheme="minorEastAsia" w:eastAsiaTheme="minorEastAsia"/>
                <w:sz w:val="21"/>
                <w:szCs w:val="21"/>
              </w:rPr>
              <w:t>全面承担场地在使用期内的全部安全责任（包括但不限于社会治安、环境保护、污染土地、消防安全、安全生产、安全管理、事故责任等），并按相关规定足额投保</w:t>
            </w:r>
            <w:r>
              <w:rPr>
                <w:rFonts w:hint="eastAsia" w:cs="宋体" w:asciiTheme="minorEastAsia" w:hAnsiTheme="minorEastAsia" w:eastAsiaTheme="minorEastAsia"/>
                <w:sz w:val="21"/>
                <w:szCs w:val="21"/>
              </w:rPr>
              <w:t>，</w:t>
            </w:r>
            <w:r>
              <w:rPr>
                <w:rFonts w:hint="eastAsia" w:cs="方正黑体_GBK" w:asciiTheme="minorEastAsia" w:hAnsiTheme="minorEastAsia" w:eastAsiaTheme="minorEastAsia"/>
                <w:sz w:val="21"/>
                <w:szCs w:val="21"/>
              </w:rPr>
              <w:t>包括但不限于：职员险、学员意外险、场所险</w:t>
            </w:r>
            <w:r>
              <w:rPr>
                <w:rFonts w:hint="eastAsia" w:cs="方正仿宋_GBK" w:asciiTheme="minorEastAsia" w:hAnsiTheme="minorEastAsia" w:eastAsiaTheme="minorEastAsia"/>
                <w:sz w:val="21"/>
                <w:szCs w:val="21"/>
              </w:rPr>
              <w:t>（其中，</w:t>
            </w:r>
            <w:r>
              <w:rPr>
                <w:rFonts w:hint="eastAsia" w:cs="方正黑体_GBK" w:asciiTheme="minorEastAsia" w:hAnsiTheme="minorEastAsia" w:eastAsiaTheme="minorEastAsia"/>
                <w:sz w:val="21"/>
                <w:szCs w:val="21"/>
              </w:rPr>
              <w:t>意外伤害身故、意外残疾每人</w:t>
            </w:r>
            <w:r>
              <w:rPr>
                <w:rFonts w:hint="eastAsia" w:cs="方正仿宋_GBK" w:asciiTheme="minorEastAsia" w:hAnsiTheme="minorEastAsia" w:eastAsiaTheme="minorEastAsia"/>
                <w:sz w:val="21"/>
                <w:szCs w:val="21"/>
              </w:rPr>
              <w:t>的保额不低于80万元保额，意外伤害医疗每人的保额不低于20万元保额，场所险的保额不低于100万元保额）；</w:t>
            </w:r>
          </w:p>
          <w:p>
            <w:pPr>
              <w:pStyle w:val="68"/>
              <w:keepLines/>
              <w:spacing w:line="400" w:lineRule="exact"/>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w:t>
            </w:r>
            <w:r>
              <w:rPr>
                <w:rFonts w:hint="eastAsia" w:ascii="方正仿宋_GBK" w:hAnsi="方正仿宋_GBK" w:eastAsia="方正仿宋_GBK" w:cs="方正仿宋_GBK"/>
                <w:color w:val="auto"/>
                <w:sz w:val="30"/>
                <w:szCs w:val="30"/>
              </w:rPr>
              <w:t xml:space="preserve"> </w:t>
            </w:r>
            <w:r>
              <w:rPr>
                <w:rFonts w:hint="eastAsia" w:ascii="宋体" w:hAnsi="宋体" w:cs="宋体"/>
                <w:snapToGrid w:val="0"/>
                <w:color w:val="auto"/>
                <w:sz w:val="21"/>
                <w:szCs w:val="21"/>
              </w:rPr>
              <w:t>竞选人</w:t>
            </w:r>
            <w:r>
              <w:rPr>
                <w:rFonts w:hint="eastAsia" w:cs="方正仿宋_GBK" w:asciiTheme="minorEastAsia" w:hAnsiTheme="minorEastAsia" w:eastAsiaTheme="minorEastAsia"/>
                <w:color w:val="auto"/>
                <w:sz w:val="21"/>
                <w:szCs w:val="21"/>
              </w:rPr>
              <w:t>处理解决一切服务纠纷、违规行为以及行业主管部门对考场涉及安全、信用评级考核等检查</w:t>
            </w:r>
            <w:r>
              <w:rPr>
                <w:rFonts w:hint="eastAsia" w:cs="宋体" w:asciiTheme="minorEastAsia" w:hAnsiTheme="minorEastAsia" w:eastAsiaTheme="minorEastAsia"/>
                <w:color w:val="auto"/>
                <w:sz w:val="21"/>
                <w:szCs w:val="21"/>
              </w:rPr>
              <w:t>。</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1708" w:type="dxa"/>
            <w:vAlign w:val="center"/>
          </w:tcPr>
          <w:p>
            <w:pPr>
              <w:spacing w:line="500" w:lineRule="exact"/>
              <w:ind w:firstLine="0"/>
              <w:jc w:val="center"/>
              <w:rPr>
                <w:rFonts w:hint="eastAsia" w:cs="方正黑体_GBK" w:asciiTheme="minorEastAsia" w:hAnsiTheme="minorEastAsia" w:eastAsiaTheme="minorEastAsia"/>
                <w:bCs/>
                <w:sz w:val="21"/>
                <w:szCs w:val="21"/>
              </w:rPr>
            </w:pPr>
            <w:r>
              <w:rPr>
                <w:rFonts w:hint="eastAsia" w:cs="方正黑体_GBK" w:asciiTheme="minorEastAsia" w:hAnsiTheme="minorEastAsia" w:eastAsiaTheme="minorEastAsia"/>
                <w:bCs/>
                <w:sz w:val="21"/>
                <w:szCs w:val="21"/>
              </w:rPr>
              <w:t>资产管理</w:t>
            </w:r>
          </w:p>
          <w:p>
            <w:pPr>
              <w:pStyle w:val="68"/>
              <w:keepLines/>
              <w:spacing w:line="400" w:lineRule="exact"/>
              <w:jc w:val="both"/>
              <w:rPr>
                <w:rFonts w:hint="eastAsia" w:ascii="宋体" w:hAnsi="宋体" w:eastAsia="宋体" w:cs="宋体"/>
                <w:color w:val="auto"/>
                <w:sz w:val="21"/>
                <w:szCs w:val="21"/>
              </w:rPr>
            </w:pPr>
          </w:p>
        </w:tc>
        <w:tc>
          <w:tcPr>
            <w:tcW w:w="7401" w:type="dxa"/>
            <w:vAlign w:val="center"/>
          </w:tcPr>
          <w:p>
            <w:pPr>
              <w:spacing w:line="400" w:lineRule="exact"/>
              <w:ind w:firstLine="0"/>
              <w:rPr>
                <w:rFonts w:hint="eastAsia" w:cs="方正黑体_GBK" w:asciiTheme="minorEastAsia" w:hAnsiTheme="minorEastAsia" w:eastAsiaTheme="minorEastAsia"/>
                <w:b/>
                <w:sz w:val="21"/>
                <w:szCs w:val="21"/>
              </w:rPr>
            </w:pPr>
            <w:bookmarkStart w:id="88" w:name="_Hlk182494033"/>
            <w:r>
              <w:rPr>
                <w:rFonts w:hint="eastAsia" w:cs="方正仿宋_GBK" w:asciiTheme="minorEastAsia" w:hAnsiTheme="minorEastAsia" w:eastAsiaTheme="minorEastAsia"/>
                <w:sz w:val="21"/>
                <w:szCs w:val="21"/>
              </w:rPr>
              <w:t>1.凡是双方合作的科目二考训车辆，应以遴选人的名义办理入籍登记手续，其实际所有权归竞选人所有，仅限于科目二考训使用；遴选人不得私自转卖、租借、抵押、质押或其他方式改变车辆及附属设备的实际所有权和使用权。</w:t>
            </w:r>
            <w:bookmarkEnd w:id="88"/>
            <w:bookmarkStart w:id="89" w:name="_Hlk182494075"/>
          </w:p>
          <w:p>
            <w:pPr>
              <w:spacing w:line="400" w:lineRule="exact"/>
              <w:ind w:firstLine="0"/>
              <w:rPr>
                <w:rFonts w:hint="eastAsia" w:cs="方正黑体_GBK" w:asciiTheme="minorEastAsia" w:hAnsiTheme="minorEastAsia" w:eastAsiaTheme="minorEastAsia"/>
                <w:b/>
                <w:sz w:val="21"/>
                <w:szCs w:val="21"/>
              </w:rPr>
            </w:pPr>
            <w:r>
              <w:rPr>
                <w:rFonts w:hint="eastAsia" w:cs="方正仿宋_GBK" w:asciiTheme="minorEastAsia" w:hAnsiTheme="minorEastAsia" w:eastAsiaTheme="minorEastAsia"/>
                <w:sz w:val="21"/>
                <w:szCs w:val="21"/>
              </w:rPr>
              <w:t>2.竞选人应对合作车辆设备等购买足额保险，双方合作的考训车辆，如出现交通事故或其他意外事件，一切法律后果及经济赔偿均由竞选人承担，若因其保险理赔款和竞选人交纳的保证金无法足额对受害方进行赔偿时，遴选人承担了赔偿责任的，有权向竞选人追偿，追偿范围包括但不限于遴选人实际支付赔偿款，遴选人因此产生的律师费、诉讼费、保全费和执行费等。</w:t>
            </w:r>
            <w:bookmarkEnd w:id="89"/>
            <w:bookmarkStart w:id="90" w:name="_Hlk182494159"/>
          </w:p>
          <w:p>
            <w:pPr>
              <w:spacing w:line="400" w:lineRule="exact"/>
              <w:ind w:firstLine="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3.竞选人合作车辆的路桥费、车船使用税、年审费用、保险、修理费、运营成本等费用均由竞选人承担。其合作车辆交强险和商业险由竞选人出资委托遴选人统一代为办理（其中，第三者责任保险的保额不低于100万元保额，乘座人员保险的保额不低于20万元/座）。</w:t>
            </w:r>
          </w:p>
          <w:bookmarkEnd w:id="90"/>
          <w:p>
            <w:pPr>
              <w:spacing w:line="400" w:lineRule="exact"/>
              <w:ind w:firstLine="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4.如上级部门对合作车辆和工作人员进行定期或不定期的安全检查和安全培训时，竞选人应无条件服从和准时参与。</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1.3.5</w:t>
            </w:r>
          </w:p>
        </w:tc>
        <w:tc>
          <w:tcPr>
            <w:tcW w:w="1708" w:type="dxa"/>
            <w:vAlign w:val="center"/>
          </w:tcPr>
          <w:p>
            <w:pPr>
              <w:spacing w:line="500" w:lineRule="exact"/>
              <w:ind w:firstLine="0"/>
              <w:jc w:val="center"/>
              <w:rPr>
                <w:rFonts w:hint="eastAsia" w:cs="方正黑体_GBK" w:asciiTheme="minorEastAsia" w:hAnsiTheme="minorEastAsia" w:eastAsiaTheme="minorEastAsia"/>
                <w:bCs/>
                <w:sz w:val="21"/>
                <w:szCs w:val="21"/>
              </w:rPr>
            </w:pPr>
            <w:r>
              <w:rPr>
                <w:rFonts w:hint="eastAsia" w:cs="方正黑体_GBK" w:asciiTheme="minorEastAsia" w:hAnsiTheme="minorEastAsia" w:eastAsiaTheme="minorEastAsia"/>
                <w:bCs/>
                <w:sz w:val="21"/>
                <w:szCs w:val="21"/>
              </w:rPr>
              <w:t>退出机制</w:t>
            </w:r>
          </w:p>
        </w:tc>
        <w:tc>
          <w:tcPr>
            <w:tcW w:w="7401" w:type="dxa"/>
            <w:vAlign w:val="center"/>
          </w:tcPr>
          <w:p>
            <w:pPr>
              <w:spacing w:line="400" w:lineRule="exact"/>
              <w:ind w:firstLine="420" w:firstLineChars="20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若有以下情形，遴选人有权单方解除合作，竞选人不得要求遴选人承担违约责任或者赔偿损失：</w:t>
            </w:r>
          </w:p>
          <w:p>
            <w:pPr>
              <w:pStyle w:val="68"/>
              <w:spacing w:line="400" w:lineRule="exact"/>
              <w:rPr>
                <w:rFonts w:hint="eastAsia"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1.竞选人造成重大人身伤害、财产安全事故，被政府行政机关责令关停的。</w:t>
            </w:r>
          </w:p>
          <w:p>
            <w:pPr>
              <w:spacing w:line="400" w:lineRule="exact"/>
              <w:ind w:firstLine="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2.竞选人违反国家安全环保相关法律法规，在生产经营过程中发生责任事故，被政府行政机关认定为环保责任事故、或重大安全责任事故的。</w:t>
            </w:r>
          </w:p>
          <w:p>
            <w:pPr>
              <w:pStyle w:val="68"/>
              <w:spacing w:line="400" w:lineRule="exact"/>
              <w:ind w:left="29" w:leftChars="12"/>
              <w:jc w:val="both"/>
              <w:rPr>
                <w:rFonts w:hint="eastAsia"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3.竞选人不具有合法经营资格或从事非法活动的；或营业执照被吊销、或竞选人行为被追究刑事责任的。</w:t>
            </w:r>
          </w:p>
          <w:p>
            <w:pPr>
              <w:pStyle w:val="68"/>
              <w:spacing w:line="400" w:lineRule="exact"/>
              <w:ind w:left="29" w:leftChars="12"/>
              <w:jc w:val="both"/>
              <w:rPr>
                <w:rFonts w:hint="eastAsia"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4.竞选人擅自违法违章改、扩建或新建建筑物的。</w:t>
            </w:r>
          </w:p>
          <w:p>
            <w:pPr>
              <w:pStyle w:val="68"/>
              <w:spacing w:line="400" w:lineRule="exact"/>
              <w:ind w:left="29" w:leftChars="12"/>
              <w:jc w:val="both"/>
              <w:rPr>
                <w:rFonts w:hint="eastAsia" w:cs="方正仿宋_GBK" w:asciiTheme="minorEastAsia" w:hAnsiTheme="minorEastAsia" w:eastAsiaTheme="minorEastAsia"/>
                <w:color w:val="auto"/>
                <w:sz w:val="21"/>
                <w:szCs w:val="21"/>
              </w:rPr>
            </w:pPr>
            <w:r>
              <w:rPr>
                <w:rFonts w:hint="eastAsia" w:cs="方正仿宋_GBK" w:asciiTheme="minorEastAsia" w:hAnsiTheme="minorEastAsia" w:eastAsiaTheme="minorEastAsia"/>
                <w:color w:val="auto"/>
                <w:sz w:val="21"/>
                <w:szCs w:val="21"/>
              </w:rPr>
              <w:t>5.竞选人因自身原因造成经营不善并持续恶化的。</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1.3.6</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运作方式</w:t>
            </w:r>
          </w:p>
        </w:tc>
        <w:tc>
          <w:tcPr>
            <w:tcW w:w="7401" w:type="dxa"/>
            <w:vAlign w:val="center"/>
          </w:tcPr>
          <w:p>
            <w:pPr>
              <w:pStyle w:val="68"/>
              <w:keepLines/>
              <w:spacing w:line="400" w:lineRule="exact"/>
              <w:jc w:val="both"/>
              <w:rPr>
                <w:rFonts w:hint="eastAsia" w:ascii="宋体" w:hAnsi="宋体" w:eastAsia="宋体" w:cs="宋体"/>
                <w:color w:val="auto"/>
                <w:sz w:val="21"/>
                <w:szCs w:val="21"/>
              </w:rPr>
            </w:pPr>
            <w:r>
              <w:rPr>
                <w:rFonts w:ascii="宋体" w:hAnsi="宋体" w:eastAsia="宋体" w:cs="宋体"/>
                <w:color w:val="auto"/>
                <w:sz w:val="21"/>
                <w:szCs w:val="21"/>
              </w:rPr>
              <w:t>详见1.4.1项要求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08"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资格审查方式</w:t>
            </w:r>
          </w:p>
        </w:tc>
        <w:tc>
          <w:tcPr>
            <w:tcW w:w="740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keepLines/>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1708" w:type="dxa"/>
            <w:vAlign w:val="center"/>
          </w:tcPr>
          <w:p>
            <w:pPr>
              <w:keepLines/>
              <w:spacing w:line="400" w:lineRule="exact"/>
              <w:ind w:firstLine="0"/>
              <w:rPr>
                <w:rFonts w:hint="eastAsia" w:ascii="宋体" w:hAnsi="宋体" w:cs="宋体"/>
                <w:sz w:val="21"/>
                <w:szCs w:val="21"/>
              </w:rPr>
            </w:pPr>
            <w:r>
              <w:rPr>
                <w:rFonts w:hint="eastAsia" w:ascii="宋体" w:hAnsi="宋体" w:cs="宋体"/>
                <w:sz w:val="21"/>
                <w:szCs w:val="21"/>
              </w:rPr>
              <w:t>竞选人资质条件、能力和信誉</w:t>
            </w:r>
          </w:p>
        </w:tc>
        <w:tc>
          <w:tcPr>
            <w:tcW w:w="7401" w:type="dxa"/>
            <w:vAlign w:val="center"/>
          </w:tcPr>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本项目遴选实行资格后审，竞选人应</w:t>
            </w:r>
            <w:bookmarkStart w:id="91" w:name="一是"/>
            <w:bookmarkEnd w:id="91"/>
            <w:r>
              <w:rPr>
                <w:rFonts w:hint="eastAsia" w:cs="宋体" w:asciiTheme="minorEastAsia" w:hAnsiTheme="minorEastAsia" w:eastAsiaTheme="minorEastAsia"/>
                <w:sz w:val="21"/>
                <w:szCs w:val="21"/>
              </w:rPr>
              <w:t>具备以下资格条件：</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1.投标资格</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竞选人必须是响应招标的独立法人或其他组织，须具备有效的营业执照或注册证明文件。注册资金200万元以上</w:t>
            </w:r>
            <w:r>
              <w:rPr>
                <w:rFonts w:hint="eastAsia" w:cs="方正仿宋_GBK" w:asciiTheme="minorEastAsia" w:hAnsiTheme="minorEastAsia" w:eastAsiaTheme="minorEastAsia"/>
                <w:sz w:val="21"/>
                <w:szCs w:val="21"/>
              </w:rPr>
              <w:t>，</w:t>
            </w:r>
            <w:r>
              <w:rPr>
                <w:rFonts w:hint="eastAsia" w:cs="宋体" w:asciiTheme="minorEastAsia" w:hAnsiTheme="minorEastAsia" w:eastAsiaTheme="minorEastAsia"/>
                <w:sz w:val="21"/>
                <w:szCs w:val="21"/>
              </w:rPr>
              <w:t>经营范围应包括机动车驾驶员培训、驾考服务、场地经营服务管理等，同时具备一级驾驶培训资质。</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竞选人须在竞选文件中提供有效的营业执照复印件或注册证明文件复印件加盖竞选人公（鲜）章。</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 商业信誉</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宋体" w:asciiTheme="minorEastAsia" w:hAnsiTheme="minorEastAsia" w:eastAsiaTheme="minorEastAsia"/>
                <w:sz w:val="21"/>
                <w:szCs w:val="21"/>
              </w:rPr>
              <w:t>（1）竞选人</w:t>
            </w:r>
            <w:r>
              <w:rPr>
                <w:rFonts w:hint="eastAsia" w:cs="方正仿宋_GBK" w:asciiTheme="minorEastAsia" w:hAnsiTheme="minorEastAsia" w:eastAsiaTheme="minorEastAsia"/>
                <w:sz w:val="21"/>
                <w:szCs w:val="21"/>
              </w:rPr>
              <w:t>具有较高的社会责任感，近三年没有重大违法、违规行为，未在“信用中国”网站( https: //www.creditchina. gov.cn/)列入失信惩戒名单的网页截图，并加盖</w:t>
            </w:r>
            <w:r>
              <w:rPr>
                <w:rFonts w:hint="eastAsia" w:cs="宋体" w:asciiTheme="minorEastAsia" w:hAnsiTheme="minorEastAsia" w:eastAsiaTheme="minorEastAsia"/>
                <w:sz w:val="21"/>
                <w:szCs w:val="21"/>
              </w:rPr>
              <w:t>竞选人公（鲜）章</w:t>
            </w:r>
            <w:r>
              <w:rPr>
                <w:rFonts w:hint="eastAsia" w:cs="方正仿宋_GBK" w:asciiTheme="minorEastAsia" w:hAnsiTheme="minorEastAsia" w:eastAsiaTheme="minorEastAsia"/>
                <w:sz w:val="21"/>
                <w:szCs w:val="21"/>
              </w:rPr>
              <w:t>。</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（2）</w:t>
            </w:r>
            <w:r>
              <w:rPr>
                <w:rFonts w:hint="eastAsia" w:cs="宋体" w:asciiTheme="minorEastAsia" w:hAnsiTheme="minorEastAsia" w:eastAsiaTheme="minorEastAsia"/>
                <w:sz w:val="21"/>
                <w:szCs w:val="21"/>
              </w:rPr>
              <w:t>竞选人</w:t>
            </w:r>
            <w:r>
              <w:rPr>
                <w:rFonts w:hint="eastAsia" w:cs="方正仿宋_GBK" w:asciiTheme="minorEastAsia" w:hAnsiTheme="minorEastAsia" w:eastAsiaTheme="minorEastAsia"/>
                <w:sz w:val="21"/>
                <w:szCs w:val="21"/>
              </w:rPr>
              <w:t>商业信誉好，客户满意度高；获得市、区级评定的优先。</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（3）</w:t>
            </w:r>
            <w:r>
              <w:rPr>
                <w:rFonts w:hint="eastAsia" w:cs="宋体" w:asciiTheme="minorEastAsia" w:hAnsiTheme="minorEastAsia" w:eastAsiaTheme="minorEastAsia"/>
                <w:sz w:val="21"/>
                <w:szCs w:val="21"/>
              </w:rPr>
              <w:t>竞选人</w:t>
            </w:r>
            <w:r>
              <w:rPr>
                <w:rFonts w:hint="eastAsia" w:cs="方正仿宋_GBK" w:asciiTheme="minorEastAsia" w:hAnsiTheme="minorEastAsia" w:eastAsiaTheme="minorEastAsia"/>
                <w:sz w:val="21"/>
                <w:szCs w:val="21"/>
              </w:rPr>
              <w:t>同高速集团及所属企业不存在合同、经济纠纷。</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方正仿宋_GBK" w:asciiTheme="minorEastAsia" w:hAnsiTheme="minorEastAsia" w:eastAsiaTheme="minorEastAsia"/>
                <w:sz w:val="21"/>
                <w:szCs w:val="21"/>
              </w:rPr>
              <w:t>（4）</w:t>
            </w:r>
            <w:r>
              <w:rPr>
                <w:rFonts w:hint="eastAsia" w:cs="宋体" w:asciiTheme="minorEastAsia" w:hAnsiTheme="minorEastAsia" w:eastAsiaTheme="minorEastAsia"/>
                <w:sz w:val="21"/>
                <w:szCs w:val="21"/>
              </w:rPr>
              <w:t>竞选人</w:t>
            </w:r>
            <w:r>
              <w:rPr>
                <w:rFonts w:hint="eastAsia" w:cs="方正仿宋_GBK" w:asciiTheme="minorEastAsia" w:hAnsiTheme="minorEastAsia" w:eastAsiaTheme="minorEastAsia"/>
                <w:sz w:val="21"/>
                <w:szCs w:val="21"/>
              </w:rPr>
              <w:t>未被高速集团及所属企业纳入合作黑名单。</w:t>
            </w:r>
          </w:p>
          <w:p>
            <w:pPr>
              <w:snapToGrid w:val="0"/>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3.经营状况</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宋体" w:asciiTheme="minorEastAsia" w:hAnsiTheme="minorEastAsia" w:eastAsiaTheme="minorEastAsia"/>
                <w:sz w:val="21"/>
                <w:szCs w:val="21"/>
              </w:rPr>
              <w:t>竞选人</w:t>
            </w:r>
            <w:r>
              <w:rPr>
                <w:rFonts w:hint="eastAsia" w:cs="方正仿宋_GBK" w:asciiTheme="minorEastAsia" w:hAnsiTheme="minorEastAsia" w:eastAsiaTheme="minorEastAsia"/>
                <w:sz w:val="21"/>
                <w:szCs w:val="21"/>
              </w:rPr>
              <w:t>应满足相关规定要求，具有相关经营资质，具备投资能力、管理运营能力，财务状况良好。</w:t>
            </w:r>
          </w:p>
          <w:p>
            <w:pPr>
              <w:snapToGrid w:val="0"/>
              <w:spacing w:line="400" w:lineRule="exact"/>
              <w:ind w:firstLine="420" w:firstLineChars="200"/>
              <w:rPr>
                <w:rFonts w:hint="eastAsia" w:cs="宋体" w:asciiTheme="minorEastAsia" w:hAnsiTheme="minorEastAsia" w:eastAsiaTheme="minorEastAsia"/>
                <w:sz w:val="21"/>
                <w:szCs w:val="21"/>
              </w:rPr>
            </w:pPr>
            <w:r>
              <w:rPr>
                <w:rFonts w:hint="eastAsia" w:cs="方正仿宋_GBK" w:asciiTheme="minorEastAsia" w:hAnsiTheme="minorEastAsia" w:eastAsiaTheme="minorEastAsia"/>
                <w:sz w:val="21"/>
                <w:szCs w:val="21"/>
              </w:rPr>
              <w:t>4.</w:t>
            </w:r>
            <w:r>
              <w:rPr>
                <w:rFonts w:hint="eastAsia" w:cs="宋体" w:asciiTheme="minorEastAsia" w:hAnsiTheme="minorEastAsia" w:eastAsiaTheme="minorEastAsia"/>
                <w:sz w:val="21"/>
                <w:szCs w:val="21"/>
              </w:rPr>
              <w:t xml:space="preserve"> 管理能力</w:t>
            </w:r>
          </w:p>
          <w:p>
            <w:pPr>
              <w:snapToGrid w:val="0"/>
              <w:spacing w:line="400" w:lineRule="exact"/>
              <w:ind w:firstLine="420" w:firstLineChars="200"/>
              <w:rPr>
                <w:rFonts w:hint="eastAsia" w:cs="方正仿宋_GBK" w:asciiTheme="minorEastAsia" w:hAnsiTheme="minorEastAsia" w:eastAsiaTheme="minorEastAsia"/>
                <w:sz w:val="21"/>
                <w:szCs w:val="21"/>
              </w:rPr>
            </w:pPr>
            <w:r>
              <w:rPr>
                <w:rFonts w:hint="eastAsia" w:cs="宋体" w:asciiTheme="minorEastAsia" w:hAnsiTheme="minorEastAsia" w:eastAsiaTheme="minorEastAsia"/>
                <w:sz w:val="21"/>
                <w:szCs w:val="21"/>
              </w:rPr>
              <w:t>竞选人</w:t>
            </w:r>
            <w:r>
              <w:rPr>
                <w:rFonts w:hint="eastAsia" w:cs="方正仿宋_GBK" w:asciiTheme="minorEastAsia" w:hAnsiTheme="minorEastAsia" w:eastAsiaTheme="minorEastAsia"/>
                <w:sz w:val="21"/>
                <w:szCs w:val="21"/>
              </w:rPr>
              <w:t>应具有丰富的驾培、驾考资源和成熟的运作模式及营运管理经验。</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5.承诺函</w:t>
            </w:r>
          </w:p>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竞选人须在竞选文件中提供承诺书原件（</w:t>
            </w:r>
            <w:r>
              <w:rPr>
                <w:rFonts w:hint="eastAsia" w:asciiTheme="minorEastAsia" w:hAnsiTheme="minorEastAsia" w:eastAsiaTheme="minorEastAsia"/>
                <w:sz w:val="21"/>
                <w:szCs w:val="21"/>
              </w:rPr>
              <w:t>承诺书格式自拟</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加盖竞选人公（鲜）章。</w:t>
            </w:r>
          </w:p>
          <w:p>
            <w:pPr>
              <w:autoSpaceDE w:val="0"/>
              <w:autoSpaceDN w:val="0"/>
              <w:spacing w:line="400" w:lineRule="exact"/>
              <w:jc w:val="left"/>
              <w:rPr>
                <w:rFonts w:hint="eastAsia" w:cs="方正黑体_GBK" w:asciiTheme="minorEastAsia" w:hAnsiTheme="minorEastAsia" w:eastAsiaTheme="minorEastAsia"/>
                <w:sz w:val="21"/>
                <w:szCs w:val="21"/>
              </w:rPr>
            </w:pPr>
            <w:r>
              <w:rPr>
                <w:rFonts w:hint="eastAsia" w:cs="宋体" w:asciiTheme="minorEastAsia" w:hAnsiTheme="minorEastAsia" w:eastAsiaTheme="minorEastAsia"/>
                <w:sz w:val="21"/>
                <w:szCs w:val="21"/>
              </w:rPr>
              <w:t>特别说明：</w:t>
            </w:r>
          </w:p>
          <w:p>
            <w:pPr>
              <w:keepLines/>
              <w:spacing w:line="400" w:lineRule="exact"/>
              <w:ind w:firstLine="420" w:firstLineChars="200"/>
              <w:rPr>
                <w:rFonts w:hint="eastAsia" w:cs="宋体" w:asciiTheme="minorEastAsia" w:hAnsiTheme="minorEastAsia" w:eastAsiaTheme="minorEastAsia"/>
                <w:sz w:val="21"/>
                <w:szCs w:val="21"/>
              </w:rPr>
            </w:pPr>
            <w:bookmarkStart w:id="92" w:name="_Hlk57992060"/>
            <w:r>
              <w:rPr>
                <w:rFonts w:hint="eastAsia" w:cs="宋体" w:asciiTheme="minorEastAsia" w:hAnsiTheme="minorEastAsia" w:eastAsiaTheme="minorEastAsia"/>
                <w:sz w:val="21"/>
                <w:szCs w:val="21"/>
              </w:rPr>
              <w:t>竞选人须自行承诺其提供的上述相关证明材料真实有效，不存在弄虚作假情形（格式见第六章竞选文件格式）。遴选人在合同签订前均有权对竞选人提供的资料进行核实，若发现弄虚作假，取消其中选资格，并没收竞选保证金，竞选人承担因此造成的相关责任并赔偿相应损失。</w:t>
            </w:r>
            <w:bookmarkEnd w:id="92"/>
          </w:p>
          <w:p>
            <w:pPr>
              <w:numPr>
                <w:ilvl w:val="255"/>
                <w:numId w:val="0"/>
              </w:numPr>
              <w:tabs>
                <w:tab w:val="left" w:pos="2388"/>
                <w:tab w:val="left" w:pos="2832"/>
                <w:tab w:val="left" w:pos="3472"/>
                <w:tab w:val="left" w:pos="6667"/>
                <w:tab w:val="left" w:pos="7270"/>
              </w:tabs>
              <w:autoSpaceDE w:val="0"/>
              <w:autoSpaceDN w:val="0"/>
              <w:spacing w:line="400" w:lineRule="exact"/>
              <w:ind w:firstLine="422" w:firstLineChars="2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5.其他要求</w:t>
            </w:r>
          </w:p>
          <w:p>
            <w:pPr>
              <w:spacing w:line="400" w:lineRule="exact"/>
              <w:jc w:val="left"/>
              <w:rPr>
                <w:rFonts w:hint="eastAsia" w:cs="方正黑体_GBK" w:asciiTheme="minorEastAsia" w:hAnsiTheme="minorEastAsia" w:eastAsiaTheme="minorEastAsia"/>
                <w:sz w:val="21"/>
                <w:szCs w:val="21"/>
              </w:rPr>
            </w:pPr>
            <w:r>
              <w:rPr>
                <w:rFonts w:hint="eastAsia" w:cs="宋体" w:asciiTheme="minorEastAsia" w:hAnsiTheme="minorEastAsia" w:eastAsiaTheme="minorEastAsia"/>
                <w:sz w:val="21"/>
                <w:szCs w:val="21"/>
              </w:rPr>
              <w:t>5.1</w:t>
            </w:r>
            <w:r>
              <w:rPr>
                <w:rFonts w:hint="eastAsia" w:cs="方正黑体_GBK" w:asciiTheme="minorEastAsia" w:hAnsiTheme="minorEastAsia" w:eastAsiaTheme="minorEastAsia"/>
                <w:sz w:val="21"/>
                <w:szCs w:val="21"/>
              </w:rPr>
              <w:t>合作期内，</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在遴选方提供的场地内从事非驾考活动的，须提前取得遴选人的书面同意方可进行。</w:t>
            </w:r>
          </w:p>
          <w:p>
            <w:pPr>
              <w:autoSpaceDE w:val="0"/>
              <w:autoSpaceDN w:val="0"/>
              <w:spacing w:line="400" w:lineRule="exact"/>
              <w:jc w:val="left"/>
              <w:rPr>
                <w:rFonts w:hint="eastAsia" w:cs="方正黑体_GBK" w:asciiTheme="minorEastAsia" w:hAnsiTheme="minorEastAsia" w:eastAsiaTheme="minorEastAsia"/>
                <w:sz w:val="21"/>
                <w:szCs w:val="21"/>
              </w:rPr>
            </w:pPr>
            <w:r>
              <w:rPr>
                <w:rFonts w:hint="eastAsia" w:cs="方正黑体_GBK" w:asciiTheme="minorEastAsia" w:hAnsiTheme="minorEastAsia" w:eastAsiaTheme="minorEastAsia"/>
                <w:sz w:val="21"/>
                <w:szCs w:val="21"/>
              </w:rPr>
              <w:t>5.2合同期满或终止后考场内</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投资的可移动设施设备等资产实质归</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所有。</w:t>
            </w:r>
          </w:p>
          <w:p>
            <w:pPr>
              <w:spacing w:line="400" w:lineRule="exact"/>
              <w:rPr>
                <w:rFonts w:hint="eastAsia" w:cs="方正黑体_GBK" w:asciiTheme="minorEastAsia" w:hAnsiTheme="minorEastAsia" w:eastAsiaTheme="minorEastAsia"/>
                <w:sz w:val="21"/>
                <w:szCs w:val="21"/>
              </w:rPr>
            </w:pPr>
            <w:r>
              <w:rPr>
                <w:rFonts w:hint="eastAsia" w:cs="方正黑体_GBK" w:asciiTheme="minorEastAsia" w:hAnsiTheme="minorEastAsia" w:eastAsiaTheme="minorEastAsia"/>
                <w:sz w:val="21"/>
                <w:szCs w:val="21"/>
              </w:rPr>
              <w:t>5.3合同期满或终止后依法依照双方约定形成的固定类建筑、设施设备等，</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须保持功能使用的完整并移交遴选人，且</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无权向遴选人要求任何补偿。若第三方使用该固定类建筑、设施设备等，应支付相应的使用费。该使用费（税后部分）由</w:t>
            </w:r>
            <w:r>
              <w:rPr>
                <w:rFonts w:hint="eastAsia" w:cs="宋体" w:asciiTheme="minorEastAsia" w:hAnsiTheme="minorEastAsia" w:eastAsiaTheme="minorEastAsia"/>
                <w:sz w:val="21"/>
                <w:szCs w:val="21"/>
              </w:rPr>
              <w:t>竞选人</w:t>
            </w:r>
            <w:r>
              <w:rPr>
                <w:rFonts w:hint="eastAsia" w:cs="方正黑体_GBK" w:asciiTheme="minorEastAsia" w:hAnsiTheme="minorEastAsia" w:eastAsiaTheme="minorEastAsia"/>
                <w:sz w:val="21"/>
                <w:szCs w:val="21"/>
              </w:rPr>
              <w:t>享有。</w:t>
            </w:r>
          </w:p>
          <w:p>
            <w:pPr>
              <w:spacing w:line="400" w:lineRule="exact"/>
              <w:ind w:firstLine="420" w:firstLineChars="200"/>
              <w:rPr>
                <w:rFonts w:hint="eastAsia" w:cs="方正黑体_GBK" w:asciiTheme="minorEastAsia" w:hAnsiTheme="minorEastAsia" w:eastAsiaTheme="minorEastAsia"/>
                <w:sz w:val="21"/>
                <w:szCs w:val="21"/>
              </w:rPr>
            </w:pPr>
            <w:r>
              <w:rPr>
                <w:rFonts w:hint="eastAsia" w:cs="方正黑体_GBK" w:asciiTheme="minorEastAsia" w:hAnsiTheme="minorEastAsia" w:eastAsiaTheme="minorEastAsia"/>
                <w:sz w:val="21"/>
                <w:szCs w:val="21"/>
              </w:rPr>
              <w:t>5.4若因不可抗力或第三方原因造成遴选人无法有效提供合作场地，本次遴选作废。</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1.4.2</w:t>
            </w:r>
          </w:p>
        </w:tc>
        <w:tc>
          <w:tcPr>
            <w:tcW w:w="1708"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是否接受</w:t>
            </w:r>
          </w:p>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联合体遴选</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不接受联合体遴选。</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1.5</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踏勘现场</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竞选人自行前往。 </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1.6</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遴选预备会</w:t>
            </w:r>
          </w:p>
        </w:tc>
        <w:tc>
          <w:tcPr>
            <w:tcW w:w="7401"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不召开。</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1.7</w:t>
            </w:r>
          </w:p>
        </w:tc>
        <w:tc>
          <w:tcPr>
            <w:tcW w:w="1708"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是否接受</w:t>
            </w:r>
          </w:p>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成交竞选人分包</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1.8</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竞选对竞争性遴选文件的偏离</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不允许竞选低于竞争性遴选文件要求。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kern w:val="2"/>
                <w:sz w:val="21"/>
                <w:szCs w:val="21"/>
              </w:rPr>
            </w:pPr>
          </w:p>
          <w:p>
            <w:pPr>
              <w:spacing w:line="400" w:lineRule="exact"/>
              <w:ind w:firstLine="0"/>
              <w:jc w:val="center"/>
              <w:rPr>
                <w:rFonts w:hint="eastAsia" w:ascii="宋体" w:hAnsi="宋体" w:cs="宋体"/>
                <w:kern w:val="2"/>
                <w:sz w:val="21"/>
                <w:szCs w:val="21"/>
              </w:rPr>
            </w:pPr>
          </w:p>
          <w:p>
            <w:pPr>
              <w:spacing w:line="400" w:lineRule="exact"/>
              <w:ind w:firstLine="0"/>
              <w:jc w:val="center"/>
              <w:rPr>
                <w:rFonts w:hint="eastAsia" w:ascii="宋体" w:hAnsi="宋体" w:cs="宋体"/>
                <w:kern w:val="2"/>
                <w:sz w:val="21"/>
                <w:szCs w:val="21"/>
              </w:rPr>
            </w:pPr>
          </w:p>
          <w:p>
            <w:pPr>
              <w:spacing w:line="400" w:lineRule="exact"/>
              <w:ind w:firstLine="0"/>
              <w:jc w:val="center"/>
              <w:rPr>
                <w:rFonts w:hint="eastAsia" w:ascii="宋体" w:hAnsi="宋体" w:cs="宋体"/>
                <w:kern w:val="2"/>
                <w:sz w:val="21"/>
                <w:szCs w:val="21"/>
              </w:rPr>
            </w:pPr>
            <w:r>
              <w:rPr>
                <w:rFonts w:hint="eastAsia" w:ascii="宋体" w:hAnsi="宋体" w:cs="宋体"/>
                <w:kern w:val="2"/>
                <w:sz w:val="21"/>
                <w:szCs w:val="21"/>
              </w:rPr>
              <w:t>2.1.1</w:t>
            </w:r>
          </w:p>
          <w:p>
            <w:pPr>
              <w:spacing w:line="400" w:lineRule="exact"/>
              <w:ind w:firstLine="0"/>
              <w:jc w:val="center"/>
              <w:rPr>
                <w:rFonts w:hint="eastAsia" w:ascii="宋体" w:hAnsi="宋体" w:cs="宋体"/>
                <w:kern w:val="2"/>
                <w:sz w:val="21"/>
                <w:szCs w:val="21"/>
              </w:rPr>
            </w:pPr>
          </w:p>
          <w:p>
            <w:pPr>
              <w:spacing w:line="400" w:lineRule="exact"/>
              <w:ind w:firstLine="0"/>
              <w:jc w:val="center"/>
              <w:rPr>
                <w:rFonts w:hint="eastAsia" w:ascii="宋体" w:hAnsi="宋体" w:cs="宋体"/>
                <w:sz w:val="21"/>
                <w:szCs w:val="21"/>
              </w:rPr>
            </w:pP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竞争性遴选文件</w:t>
            </w:r>
            <w:r>
              <w:rPr>
                <w:rFonts w:hint="eastAsia" w:ascii="宋体" w:hAnsi="宋体" w:cs="宋体"/>
                <w:kern w:val="2"/>
                <w:sz w:val="21"/>
                <w:szCs w:val="21"/>
              </w:rPr>
              <w:t>的组成</w:t>
            </w:r>
          </w:p>
        </w:tc>
        <w:tc>
          <w:tcPr>
            <w:tcW w:w="7401" w:type="dxa"/>
            <w:vAlign w:val="center"/>
          </w:tcPr>
          <w:p>
            <w:pPr>
              <w:spacing w:line="400" w:lineRule="exact"/>
              <w:ind w:firstLine="0"/>
              <w:rPr>
                <w:rFonts w:hint="eastAsia" w:ascii="宋体" w:hAnsi="宋体" w:cs="宋体"/>
                <w:kern w:val="2"/>
                <w:sz w:val="21"/>
                <w:szCs w:val="21"/>
              </w:rPr>
            </w:pPr>
            <w:r>
              <w:rPr>
                <w:rFonts w:hint="eastAsia" w:ascii="宋体" w:hAnsi="宋体" w:cs="宋体"/>
                <w:kern w:val="2"/>
                <w:sz w:val="21"/>
                <w:szCs w:val="21"/>
              </w:rPr>
              <w:t>第一章   遴选公告</w:t>
            </w:r>
          </w:p>
          <w:p>
            <w:pPr>
              <w:spacing w:line="400" w:lineRule="exact"/>
              <w:ind w:firstLine="0"/>
              <w:rPr>
                <w:rFonts w:hint="eastAsia" w:ascii="宋体" w:hAnsi="宋体" w:cs="宋体"/>
                <w:kern w:val="2"/>
                <w:sz w:val="21"/>
                <w:szCs w:val="21"/>
              </w:rPr>
            </w:pPr>
            <w:r>
              <w:rPr>
                <w:rFonts w:hint="eastAsia" w:ascii="宋体" w:hAnsi="宋体" w:cs="宋体"/>
                <w:kern w:val="2"/>
                <w:sz w:val="21"/>
                <w:szCs w:val="21"/>
              </w:rPr>
              <w:t xml:space="preserve">第二章   </w:t>
            </w:r>
            <w:r>
              <w:rPr>
                <w:rFonts w:hint="eastAsia" w:ascii="宋体" w:hAnsi="宋体" w:cs="宋体"/>
                <w:sz w:val="21"/>
                <w:szCs w:val="21"/>
              </w:rPr>
              <w:t>竞选</w:t>
            </w:r>
            <w:r>
              <w:rPr>
                <w:rFonts w:hint="eastAsia" w:ascii="宋体" w:hAnsi="宋体" w:cs="宋体"/>
                <w:kern w:val="2"/>
                <w:sz w:val="21"/>
                <w:szCs w:val="21"/>
              </w:rPr>
              <w:t>人须知</w:t>
            </w:r>
          </w:p>
          <w:p>
            <w:pPr>
              <w:spacing w:line="400" w:lineRule="exact"/>
              <w:ind w:firstLine="0"/>
              <w:rPr>
                <w:rFonts w:hint="eastAsia" w:ascii="宋体" w:hAnsi="宋体" w:cs="宋体"/>
                <w:kern w:val="2"/>
                <w:sz w:val="21"/>
                <w:szCs w:val="21"/>
              </w:rPr>
            </w:pPr>
            <w:r>
              <w:rPr>
                <w:rFonts w:hint="eastAsia" w:ascii="宋体" w:hAnsi="宋体" w:cs="宋体"/>
                <w:kern w:val="2"/>
                <w:sz w:val="21"/>
                <w:szCs w:val="21"/>
              </w:rPr>
              <w:t>第三章   评审办法</w:t>
            </w:r>
          </w:p>
          <w:p>
            <w:pPr>
              <w:spacing w:line="400" w:lineRule="exact"/>
              <w:ind w:firstLine="0"/>
              <w:rPr>
                <w:rFonts w:hint="eastAsia" w:ascii="宋体" w:hAnsi="宋体" w:cs="宋体"/>
                <w:kern w:val="2"/>
                <w:sz w:val="21"/>
                <w:szCs w:val="21"/>
              </w:rPr>
            </w:pPr>
            <w:r>
              <w:rPr>
                <w:rFonts w:hint="eastAsia" w:ascii="宋体" w:hAnsi="宋体" w:cs="宋体"/>
                <w:kern w:val="2"/>
                <w:sz w:val="21"/>
                <w:szCs w:val="21"/>
              </w:rPr>
              <w:t>第四章   合同条款</w:t>
            </w:r>
          </w:p>
          <w:p>
            <w:pPr>
              <w:spacing w:line="400" w:lineRule="exact"/>
              <w:ind w:firstLine="0"/>
              <w:rPr>
                <w:rFonts w:hint="eastAsia" w:ascii="宋体" w:hAnsi="宋体" w:cs="宋体"/>
                <w:kern w:val="2"/>
                <w:sz w:val="21"/>
                <w:szCs w:val="21"/>
              </w:rPr>
            </w:pPr>
            <w:r>
              <w:rPr>
                <w:rFonts w:hint="eastAsia" w:ascii="宋体" w:hAnsi="宋体" w:cs="宋体"/>
                <w:kern w:val="2"/>
                <w:sz w:val="21"/>
                <w:szCs w:val="21"/>
              </w:rPr>
              <w:t>第五章   服务要求</w:t>
            </w:r>
          </w:p>
          <w:p>
            <w:pPr>
              <w:spacing w:line="400" w:lineRule="exact"/>
              <w:ind w:firstLine="0"/>
              <w:rPr>
                <w:rFonts w:hint="eastAsia" w:ascii="宋体" w:hAnsi="宋体" w:cs="宋体"/>
                <w:sz w:val="21"/>
                <w:szCs w:val="21"/>
              </w:rPr>
            </w:pPr>
            <w:r>
              <w:rPr>
                <w:rFonts w:hint="eastAsia" w:ascii="宋体" w:hAnsi="宋体" w:cs="宋体"/>
                <w:kern w:val="2"/>
                <w:sz w:val="21"/>
                <w:szCs w:val="21"/>
              </w:rPr>
              <w:t>第六章   竞选文件格式</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2.1.2</w:t>
            </w:r>
          </w:p>
        </w:tc>
        <w:tc>
          <w:tcPr>
            <w:tcW w:w="1708" w:type="dxa"/>
            <w:vAlign w:val="center"/>
          </w:tcPr>
          <w:p>
            <w:pPr>
              <w:snapToGrid w:val="0"/>
              <w:spacing w:line="400" w:lineRule="exact"/>
              <w:ind w:firstLine="0"/>
              <w:jc w:val="center"/>
              <w:rPr>
                <w:rFonts w:hint="eastAsia" w:ascii="宋体" w:hAnsi="宋体" w:cs="宋体"/>
                <w:snapToGrid w:val="0"/>
                <w:sz w:val="21"/>
                <w:szCs w:val="21"/>
              </w:rPr>
            </w:pPr>
            <w:r>
              <w:rPr>
                <w:rFonts w:hint="eastAsia" w:ascii="宋体" w:hAnsi="宋体" w:cs="宋体"/>
                <w:sz w:val="21"/>
                <w:szCs w:val="21"/>
              </w:rPr>
              <w:t>构成竞争性遴选文件的其他材料</w:t>
            </w:r>
          </w:p>
        </w:tc>
        <w:tc>
          <w:tcPr>
            <w:tcW w:w="7401" w:type="dxa"/>
            <w:vAlign w:val="center"/>
          </w:tcPr>
          <w:p>
            <w:pPr>
              <w:snapToGrid w:val="0"/>
              <w:spacing w:line="400" w:lineRule="exact"/>
              <w:ind w:firstLine="0"/>
              <w:rPr>
                <w:rFonts w:hint="eastAsia" w:ascii="宋体" w:hAnsi="宋体" w:cs="宋体"/>
                <w:sz w:val="21"/>
                <w:szCs w:val="21"/>
              </w:rPr>
            </w:pPr>
            <w:r>
              <w:rPr>
                <w:rFonts w:hint="eastAsia" w:ascii="宋体" w:hAnsi="宋体" w:cs="宋体"/>
                <w:sz w:val="21"/>
                <w:szCs w:val="21"/>
              </w:rPr>
              <w:t>遴选人发出的答疑书、补遗书。</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2.2.1</w:t>
            </w:r>
          </w:p>
        </w:tc>
        <w:tc>
          <w:tcPr>
            <w:tcW w:w="1708" w:type="dxa"/>
            <w:vAlign w:val="center"/>
          </w:tcPr>
          <w:p>
            <w:pPr>
              <w:spacing w:line="400" w:lineRule="exact"/>
              <w:ind w:firstLine="0"/>
              <w:rPr>
                <w:rFonts w:hint="eastAsia" w:ascii="宋体" w:hAnsi="宋体" w:cs="宋体"/>
                <w:snapToGrid w:val="0"/>
                <w:sz w:val="21"/>
                <w:szCs w:val="21"/>
              </w:rPr>
            </w:pPr>
            <w:r>
              <w:rPr>
                <w:rFonts w:hint="eastAsia" w:ascii="宋体" w:hAnsi="宋体" w:cs="宋体"/>
                <w:sz w:val="21"/>
                <w:szCs w:val="21"/>
              </w:rPr>
              <w:t>对竞争性遴选文件的疑问</w:t>
            </w:r>
          </w:p>
        </w:tc>
        <w:tc>
          <w:tcPr>
            <w:tcW w:w="7401" w:type="dxa"/>
            <w:vAlign w:val="center"/>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1、竞选人在收到竞争性遴选文件后，应仔细阅读和检查竞争性遴选文件的所有内容，如有残缺或文字表述不清，图纸尺寸标注不明以及存在错、漏、缺、概念模糊和有可能出现歧义或理解上的偏差的内容等应在</w:t>
            </w:r>
            <w:r>
              <w:rPr>
                <w:rFonts w:hint="eastAsia" w:ascii="宋体" w:hAnsi="宋体" w:cs="宋体"/>
                <w:b/>
                <w:sz w:val="21"/>
                <w:szCs w:val="21"/>
                <w:u w:val="single"/>
              </w:rPr>
              <w:t xml:space="preserve">2024年 11 </w:t>
            </w:r>
            <w:r>
              <w:rPr>
                <w:rFonts w:hint="eastAsia" w:ascii="宋体" w:hAnsi="宋体" w:cs="宋体"/>
                <w:b/>
                <w:snapToGrid w:val="0"/>
                <w:sz w:val="21"/>
                <w:szCs w:val="21"/>
              </w:rPr>
              <w:t>月</w:t>
            </w:r>
            <w:r>
              <w:rPr>
                <w:rFonts w:hint="eastAsia" w:ascii="宋体" w:hAnsi="宋体" w:cs="宋体"/>
                <w:b/>
                <w:snapToGrid w:val="0"/>
                <w:sz w:val="21"/>
                <w:szCs w:val="21"/>
                <w:u w:val="single"/>
              </w:rPr>
              <w:t xml:space="preserve"> 29 </w:t>
            </w:r>
            <w:r>
              <w:rPr>
                <w:rFonts w:hint="eastAsia" w:ascii="宋体" w:hAnsi="宋体" w:cs="宋体"/>
                <w:b/>
                <w:snapToGrid w:val="0"/>
                <w:sz w:val="21"/>
                <w:szCs w:val="21"/>
              </w:rPr>
              <w:t>日</w:t>
            </w:r>
            <w:r>
              <w:rPr>
                <w:rFonts w:hint="eastAsia" w:ascii="宋体" w:hAnsi="宋体" w:cs="宋体"/>
                <w:b/>
                <w:sz w:val="21"/>
                <w:szCs w:val="21"/>
                <w:u w:val="single"/>
              </w:rPr>
              <w:t xml:space="preserve"> 10：00 </w:t>
            </w:r>
            <w:r>
              <w:rPr>
                <w:rFonts w:hint="eastAsia" w:ascii="宋体" w:hAnsi="宋体" w:cs="宋体"/>
                <w:b/>
                <w:sz w:val="21"/>
                <w:szCs w:val="21"/>
              </w:rPr>
              <w:t>时</w:t>
            </w:r>
            <w:r>
              <w:rPr>
                <w:rFonts w:hint="eastAsia" w:ascii="宋体" w:hAnsi="宋体" w:cs="宋体"/>
                <w:sz w:val="21"/>
                <w:szCs w:val="21"/>
              </w:rPr>
              <w:t>（北京时间）前向遴选人书面提出。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2、如在规定时间内没有对本项目竞争性遴选文件提出疑问的，视为完全理解并接受竞争性遴选文件的所有内容。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2.2.2</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竞争性遴选文件的澄清</w:t>
            </w:r>
          </w:p>
        </w:tc>
        <w:tc>
          <w:tcPr>
            <w:tcW w:w="7401" w:type="dxa"/>
            <w:vAlign w:val="center"/>
          </w:tcPr>
          <w:p>
            <w:pPr>
              <w:spacing w:line="400" w:lineRule="exact"/>
              <w:ind w:firstLine="422" w:firstLineChars="200"/>
              <w:rPr>
                <w:rFonts w:hint="eastAsia" w:ascii="宋体" w:hAnsi="宋体" w:cs="宋体"/>
                <w:sz w:val="21"/>
                <w:szCs w:val="21"/>
              </w:rPr>
            </w:pPr>
            <w:r>
              <w:rPr>
                <w:rFonts w:hint="eastAsia" w:ascii="宋体" w:hAnsi="宋体" w:cs="宋体"/>
                <w:b/>
                <w:sz w:val="21"/>
                <w:szCs w:val="21"/>
                <w:u w:val="single"/>
              </w:rPr>
              <w:t>2024年 11 月 30 日17时00分前</w:t>
            </w:r>
            <w:r>
              <w:rPr>
                <w:rFonts w:hint="eastAsia" w:ascii="宋体" w:hAnsi="宋体" w:cs="宋体"/>
                <w:sz w:val="21"/>
                <w:szCs w:val="21"/>
              </w:rPr>
              <w:t>（北京时间），遴选人将竞选人要求澄清遴选文件的问题在</w:t>
            </w:r>
            <w:r>
              <w:rPr>
                <w:rFonts w:hint="eastAsia" w:ascii="宋体" w:hAnsi="宋体" w:cs="宋体"/>
                <w:snapToGrid w:val="0"/>
                <w:sz w:val="21"/>
                <w:szCs w:val="21"/>
              </w:rPr>
              <w:t>重庆高速集团官网（http://www.cegc.com.cn/）、重庆高速公路集团有限公司招投标管理平台（http://cqgsbid.cegc.com.cn:7900）</w:t>
            </w:r>
            <w:r>
              <w:rPr>
                <w:rFonts w:ascii="宋体" w:hAnsi="宋体" w:cs="宋体"/>
                <w:snapToGrid w:val="0"/>
                <w:sz w:val="21"/>
                <w:szCs w:val="21"/>
              </w:rPr>
              <w:t>上发布</w:t>
            </w:r>
            <w:r>
              <w:rPr>
                <w:rFonts w:hint="eastAsia" w:ascii="宋体" w:hAnsi="宋体" w:cs="宋体"/>
                <w:sz w:val="21"/>
                <w:szCs w:val="21"/>
              </w:rPr>
              <w:t>。</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2.2.3</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竞选人对竞争性遴选文件及答疑、补遗提出异议的截止时间</w:t>
            </w:r>
          </w:p>
        </w:tc>
        <w:tc>
          <w:tcPr>
            <w:tcW w:w="7401" w:type="dxa"/>
            <w:vAlign w:val="center"/>
          </w:tcPr>
          <w:p>
            <w:pPr>
              <w:spacing w:line="400" w:lineRule="exact"/>
              <w:ind w:firstLine="0"/>
              <w:jc w:val="left"/>
              <w:rPr>
                <w:rFonts w:hint="eastAsia" w:ascii="宋体" w:hAnsi="宋体" w:cs="宋体"/>
                <w:sz w:val="21"/>
                <w:szCs w:val="21"/>
              </w:rPr>
            </w:pPr>
            <w:r>
              <w:rPr>
                <w:rFonts w:hint="eastAsia" w:ascii="宋体" w:hAnsi="宋体" w:cs="宋体"/>
                <w:sz w:val="21"/>
                <w:szCs w:val="21"/>
              </w:rPr>
              <w:t xml:space="preserve">    竞选人对竞争性遴选文件及答疑补遗如有异议的，应当在竞选截止时间2日前以书面形式通知遴选人。遴选人应当自收到异议之日起1日内作出答复，补遗内容可能影响竞选文件编制的，须在竞选截止时间1日前发布，发布时间至竞选截止时间不足1日的，应相应延长竞选截止时间。</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3.1</w:t>
            </w:r>
          </w:p>
        </w:tc>
        <w:tc>
          <w:tcPr>
            <w:tcW w:w="1708" w:type="dxa"/>
            <w:vAlign w:val="center"/>
          </w:tcPr>
          <w:p>
            <w:pPr>
              <w:spacing w:line="400" w:lineRule="exact"/>
              <w:ind w:firstLine="0"/>
              <w:jc w:val="left"/>
              <w:rPr>
                <w:rFonts w:hint="eastAsia" w:ascii="宋体" w:hAnsi="宋体" w:cs="宋体"/>
                <w:snapToGrid w:val="0"/>
                <w:sz w:val="21"/>
                <w:szCs w:val="21"/>
              </w:rPr>
            </w:pPr>
            <w:r>
              <w:rPr>
                <w:rFonts w:hint="eastAsia" w:ascii="宋体" w:hAnsi="宋体" w:cs="宋体"/>
                <w:sz w:val="21"/>
                <w:szCs w:val="21"/>
              </w:rPr>
              <w:t>构成竞选文件的其他材料</w:t>
            </w:r>
          </w:p>
        </w:tc>
        <w:tc>
          <w:tcPr>
            <w:tcW w:w="7401" w:type="dxa"/>
            <w:vAlign w:val="center"/>
          </w:tcPr>
          <w:p>
            <w:pPr>
              <w:spacing w:line="400" w:lineRule="exact"/>
              <w:ind w:firstLine="0"/>
              <w:jc w:val="left"/>
              <w:rPr>
                <w:rFonts w:hint="eastAsia" w:ascii="宋体" w:hAnsi="宋体" w:cs="宋体"/>
                <w:sz w:val="21"/>
                <w:szCs w:val="21"/>
              </w:rPr>
            </w:pPr>
            <w:r>
              <w:rPr>
                <w:rFonts w:hint="eastAsia" w:ascii="宋体" w:hAnsi="宋体" w:cs="宋体"/>
                <w:sz w:val="21"/>
                <w:szCs w:val="21"/>
              </w:rPr>
              <w:t>竞选人的澄清、说明和补正（但不得改变竞选文件的实质性内容）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3.2</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竞选报价</w:t>
            </w:r>
          </w:p>
        </w:tc>
        <w:tc>
          <w:tcPr>
            <w:tcW w:w="7401"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3.3.1</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竞选有效期</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90日历天（从竞选截止之日算起）。</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3.4.1</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竞选保证金金额、时间和形式</w:t>
            </w:r>
          </w:p>
        </w:tc>
        <w:tc>
          <w:tcPr>
            <w:tcW w:w="7401" w:type="dxa"/>
            <w:vAlign w:val="center"/>
          </w:tcPr>
          <w:p>
            <w:pPr>
              <w:spacing w:line="400" w:lineRule="exact"/>
              <w:jc w:val="left"/>
              <w:rPr>
                <w:rFonts w:hint="eastAsia" w:ascii="宋体" w:hAnsi="宋体" w:cs="宋体"/>
                <w:sz w:val="21"/>
                <w:szCs w:val="21"/>
              </w:rPr>
            </w:pPr>
            <w:r>
              <w:rPr>
                <w:rFonts w:hint="eastAsia" w:ascii="宋体" w:hAnsi="宋体" w:cs="宋体"/>
                <w:sz w:val="21"/>
                <w:szCs w:val="21"/>
              </w:rPr>
              <w:t>1、竞选保证金金额：人民币2万元整。</w:t>
            </w:r>
          </w:p>
          <w:p>
            <w:pPr>
              <w:spacing w:line="400" w:lineRule="exact"/>
              <w:jc w:val="left"/>
              <w:rPr>
                <w:rFonts w:hint="eastAsia" w:ascii="宋体" w:hAnsi="宋体" w:cs="宋体"/>
                <w:sz w:val="21"/>
                <w:szCs w:val="21"/>
              </w:rPr>
            </w:pPr>
            <w:r>
              <w:rPr>
                <w:rFonts w:hint="eastAsia" w:ascii="宋体" w:hAnsi="宋体" w:cs="宋体"/>
                <w:sz w:val="21"/>
                <w:szCs w:val="21"/>
              </w:rPr>
              <w:t>2、竞选保证金提交方式：以银行转账或银行电汇形式提交，竞选人可任选一种。</w:t>
            </w:r>
          </w:p>
          <w:p>
            <w:pPr>
              <w:spacing w:line="400" w:lineRule="exact"/>
              <w:jc w:val="left"/>
              <w:rPr>
                <w:rFonts w:hint="eastAsia" w:ascii="宋体" w:hAnsi="宋体" w:cs="宋体"/>
                <w:sz w:val="21"/>
                <w:szCs w:val="21"/>
              </w:rPr>
            </w:pPr>
            <w:r>
              <w:rPr>
                <w:rFonts w:hint="eastAsia" w:ascii="宋体" w:hAnsi="宋体" w:cs="宋体"/>
                <w:sz w:val="21"/>
                <w:szCs w:val="21"/>
              </w:rPr>
              <w:t>3、提交时间：竞选保证金必须从竞选人单位基本账户直接转（汇）入  的银行账户，其转（汇）款到账截止时间为递交竞选文件截止3小时前，若本遴选文件规定的竞选文件递交截止时间顺延，则竞选保证金到账截止时间相应顺延。迟到的竞选保证金将导致评委会对其竞选作否决参选处理。</w:t>
            </w:r>
          </w:p>
          <w:p>
            <w:pPr>
              <w:spacing w:line="400" w:lineRule="exact"/>
              <w:jc w:val="left"/>
              <w:rPr>
                <w:rFonts w:hint="eastAsia" w:ascii="宋体" w:hAnsi="宋体" w:cs="宋体"/>
                <w:sz w:val="21"/>
                <w:szCs w:val="21"/>
              </w:rPr>
            </w:pPr>
            <w:r>
              <w:rPr>
                <w:rFonts w:hint="eastAsia" w:ascii="宋体" w:hAnsi="宋体" w:cs="宋体"/>
                <w:sz w:val="21"/>
                <w:szCs w:val="21"/>
              </w:rPr>
              <w:t>竞选保证金指定帐户如下：</w:t>
            </w:r>
          </w:p>
          <w:p>
            <w:pPr>
              <w:spacing w:line="400" w:lineRule="exact"/>
              <w:jc w:val="left"/>
              <w:rPr>
                <w:rFonts w:hint="eastAsia" w:ascii="宋体" w:hAnsi="宋体" w:cs="宋体"/>
                <w:sz w:val="21"/>
                <w:szCs w:val="21"/>
                <w:u w:val="single"/>
              </w:rPr>
            </w:pPr>
            <w:r>
              <w:rPr>
                <w:rFonts w:hint="eastAsia" w:ascii="宋体" w:hAnsi="宋体" w:cs="宋体"/>
                <w:sz w:val="21"/>
                <w:szCs w:val="21"/>
              </w:rPr>
              <w:t>户  名：</w:t>
            </w:r>
            <w:r>
              <w:rPr>
                <w:rFonts w:hint="eastAsia" w:cs="宋体" w:asciiTheme="minorEastAsia" w:hAnsiTheme="minorEastAsia" w:eastAsiaTheme="minorEastAsia"/>
                <w:sz w:val="21"/>
                <w:szCs w:val="21"/>
                <w:u w:val="single"/>
              </w:rPr>
              <w:t>重庆市交通行业职业培训中心有限</w:t>
            </w:r>
            <w:r>
              <w:rPr>
                <w:rFonts w:hint="eastAsia" w:ascii="宋体" w:hAnsi="宋体" w:cs="宋体"/>
                <w:sz w:val="21"/>
                <w:szCs w:val="21"/>
                <w:u w:val="single"/>
              </w:rPr>
              <w:t>责任公司</w:t>
            </w:r>
          </w:p>
          <w:p>
            <w:pPr>
              <w:spacing w:line="400" w:lineRule="exact"/>
              <w:jc w:val="left"/>
              <w:rPr>
                <w:rFonts w:hint="eastAsia" w:ascii="宋体" w:hAnsi="宋体" w:cs="宋体"/>
                <w:sz w:val="21"/>
                <w:szCs w:val="21"/>
              </w:rPr>
            </w:pPr>
            <w:r>
              <w:rPr>
                <w:rFonts w:hint="eastAsia" w:ascii="宋体" w:hAnsi="宋体" w:cs="宋体"/>
                <w:sz w:val="21"/>
                <w:szCs w:val="21"/>
              </w:rPr>
              <w:t>人民币开户行：建设银行璧山支行</w:t>
            </w:r>
          </w:p>
          <w:p>
            <w:pPr>
              <w:spacing w:line="400" w:lineRule="exact"/>
              <w:jc w:val="left"/>
              <w:rPr>
                <w:rFonts w:hint="eastAsia" w:ascii="宋体" w:hAnsi="宋体" w:cs="宋体"/>
                <w:sz w:val="21"/>
                <w:szCs w:val="21"/>
              </w:rPr>
            </w:pPr>
            <w:r>
              <w:rPr>
                <w:rFonts w:hint="eastAsia" w:ascii="宋体" w:hAnsi="宋体" w:cs="宋体"/>
                <w:sz w:val="21"/>
                <w:szCs w:val="21"/>
              </w:rPr>
              <w:t xml:space="preserve">人民币账号：50050118630000000011  </w:t>
            </w:r>
          </w:p>
          <w:p>
            <w:pPr>
              <w:spacing w:line="400" w:lineRule="exact"/>
              <w:jc w:val="left"/>
              <w:rPr>
                <w:rFonts w:hint="eastAsia" w:ascii="宋体" w:hAnsi="宋体" w:cs="宋体"/>
                <w:sz w:val="21"/>
                <w:szCs w:val="21"/>
              </w:rPr>
            </w:pPr>
            <w:r>
              <w:rPr>
                <w:rFonts w:hint="eastAsia" w:ascii="宋体" w:hAnsi="宋体" w:cs="宋体"/>
                <w:sz w:val="21"/>
                <w:szCs w:val="21"/>
              </w:rPr>
              <w:t>4、竞选保证金有效期：竞选截止之日起90日历天内有效。</w:t>
            </w:r>
          </w:p>
          <w:p>
            <w:pPr>
              <w:spacing w:line="400" w:lineRule="exact"/>
              <w:jc w:val="left"/>
              <w:rPr>
                <w:rFonts w:hint="eastAsia" w:ascii="宋体" w:hAnsi="宋体" w:cs="宋体"/>
                <w:sz w:val="21"/>
                <w:szCs w:val="21"/>
              </w:rPr>
            </w:pPr>
            <w:r>
              <w:rPr>
                <w:rFonts w:hint="eastAsia" w:ascii="宋体" w:hAnsi="宋体" w:cs="宋体"/>
                <w:sz w:val="21"/>
                <w:szCs w:val="21"/>
              </w:rPr>
              <w:t>5、特别提示：请竞选人务必仔细阅读下列条款：</w:t>
            </w:r>
          </w:p>
          <w:p>
            <w:pPr>
              <w:spacing w:line="400" w:lineRule="exact"/>
              <w:jc w:val="left"/>
              <w:rPr>
                <w:rFonts w:hint="eastAsia" w:ascii="宋体" w:hAnsi="宋体" w:cs="宋体"/>
                <w:sz w:val="21"/>
                <w:szCs w:val="21"/>
              </w:rPr>
            </w:pPr>
            <w:r>
              <w:rPr>
                <w:rFonts w:hint="eastAsia" w:ascii="宋体" w:hAnsi="宋体" w:cs="宋体"/>
                <w:sz w:val="21"/>
                <w:szCs w:val="21"/>
              </w:rPr>
              <w:t>（1）竞选人必须在付款凭证备注栏中注明“</w:t>
            </w:r>
            <w:r>
              <w:rPr>
                <w:rFonts w:hint="eastAsia" w:ascii="宋体" w:hAnsi="宋体" w:cs="宋体"/>
                <w:bCs/>
                <w:snapToGrid w:val="0"/>
                <w:spacing w:val="-17"/>
                <w:w w:val="99"/>
                <w:sz w:val="21"/>
                <w:szCs w:val="21"/>
              </w:rPr>
              <w:t>遴选机动车驾驶人科目二考试考场社会合作单位</w:t>
            </w:r>
            <w:r>
              <w:rPr>
                <w:rFonts w:hint="eastAsia" w:ascii="宋体" w:hAnsi="宋体" w:cs="宋体"/>
                <w:sz w:val="21"/>
                <w:szCs w:val="21"/>
              </w:rPr>
              <w:t>”项目竞选保证金；</w:t>
            </w:r>
          </w:p>
          <w:p>
            <w:pPr>
              <w:spacing w:line="400" w:lineRule="exact"/>
              <w:jc w:val="left"/>
              <w:rPr>
                <w:rFonts w:hint="eastAsia" w:ascii="宋体" w:hAnsi="宋体" w:cs="宋体"/>
                <w:sz w:val="21"/>
                <w:szCs w:val="21"/>
              </w:rPr>
            </w:pPr>
            <w:r>
              <w:rPr>
                <w:rFonts w:hint="eastAsia" w:ascii="宋体" w:hAnsi="宋体" w:cs="宋体"/>
                <w:sz w:val="21"/>
                <w:szCs w:val="21"/>
              </w:rPr>
              <w:t>（2）各竞选人在银行转账（电汇）时，须充分考虑银行转账（电汇）的时间差风险，如同城转账、异地转账、跨行转账或电汇等所需的时间。竞选保证金未在到账截止时间前汇入遴选文件指定账户的风险由竞选人自行承担；</w:t>
            </w:r>
          </w:p>
          <w:p>
            <w:pPr>
              <w:spacing w:line="400" w:lineRule="exact"/>
              <w:jc w:val="left"/>
              <w:rPr>
                <w:rFonts w:hint="eastAsia" w:ascii="宋体" w:hAnsi="宋体" w:cs="宋体"/>
                <w:sz w:val="21"/>
                <w:szCs w:val="21"/>
              </w:rPr>
            </w:pPr>
            <w:r>
              <w:rPr>
                <w:rFonts w:hint="eastAsia" w:ascii="宋体" w:hAnsi="宋体" w:cs="宋体"/>
                <w:sz w:val="21"/>
                <w:szCs w:val="21"/>
              </w:rPr>
              <w:t>（3）各竞选人递交的竞选保证金，如果不是从其基本账户汇出，或者由个人名义汇出，将导致评委会对其竞选作否决参选处理。</w:t>
            </w:r>
          </w:p>
          <w:p>
            <w:pPr>
              <w:spacing w:line="400" w:lineRule="exact"/>
              <w:jc w:val="left"/>
              <w:rPr>
                <w:rFonts w:hint="eastAsia" w:ascii="宋体" w:hAnsi="宋体" w:cs="宋体"/>
                <w:sz w:val="21"/>
                <w:szCs w:val="21"/>
              </w:rPr>
            </w:pPr>
            <w:r>
              <w:rPr>
                <w:rFonts w:hint="eastAsia" w:ascii="宋体" w:hAnsi="宋体" w:cs="宋体"/>
                <w:sz w:val="21"/>
                <w:szCs w:val="21"/>
              </w:rPr>
              <w:t>6、竞选保证金的退还</w:t>
            </w:r>
          </w:p>
          <w:p>
            <w:pPr>
              <w:spacing w:line="400" w:lineRule="exact"/>
              <w:jc w:val="left"/>
              <w:rPr>
                <w:rFonts w:hint="eastAsia" w:ascii="宋体" w:hAnsi="宋体" w:cs="宋体"/>
                <w:sz w:val="21"/>
                <w:szCs w:val="21"/>
              </w:rPr>
            </w:pPr>
            <w:r>
              <w:rPr>
                <w:rFonts w:hint="eastAsia" w:ascii="宋体" w:hAnsi="宋体" w:cs="宋体"/>
                <w:sz w:val="21"/>
                <w:szCs w:val="21"/>
              </w:rPr>
              <w:t>中</w:t>
            </w:r>
            <w:r>
              <w:rPr>
                <w:rFonts w:ascii="宋体" w:hAnsi="宋体" w:cs="宋体"/>
                <w:sz w:val="21"/>
                <w:szCs w:val="21"/>
              </w:rPr>
              <w:t>选</w:t>
            </w:r>
            <w:r>
              <w:rPr>
                <w:rFonts w:hint="eastAsia" w:ascii="宋体" w:hAnsi="宋体" w:cs="宋体"/>
                <w:sz w:val="21"/>
                <w:szCs w:val="21"/>
              </w:rPr>
              <w:t>通知书发出5个工作日内，遴选人向中</w:t>
            </w:r>
            <w:r>
              <w:rPr>
                <w:rFonts w:ascii="宋体" w:hAnsi="宋体" w:cs="宋体"/>
                <w:sz w:val="21"/>
                <w:szCs w:val="21"/>
              </w:rPr>
              <w:t>选</w:t>
            </w:r>
            <w:r>
              <w:rPr>
                <w:rFonts w:hint="eastAsia" w:ascii="宋体" w:hAnsi="宋体" w:cs="宋体"/>
                <w:sz w:val="21"/>
                <w:szCs w:val="21"/>
              </w:rPr>
              <w:t>候选人以外的其他竞选人退还竞选保证金；合同生效后5个工作日内，遴选人向中</w:t>
            </w:r>
            <w:r>
              <w:rPr>
                <w:rFonts w:ascii="宋体" w:hAnsi="宋体" w:cs="宋体"/>
                <w:sz w:val="21"/>
                <w:szCs w:val="21"/>
              </w:rPr>
              <w:t>选</w:t>
            </w:r>
            <w:r>
              <w:rPr>
                <w:rFonts w:hint="eastAsia" w:ascii="宋体" w:hAnsi="宋体" w:cs="宋体"/>
                <w:sz w:val="21"/>
                <w:szCs w:val="21"/>
              </w:rPr>
              <w:t>人和其他中</w:t>
            </w:r>
            <w:r>
              <w:rPr>
                <w:rFonts w:ascii="宋体" w:hAnsi="宋体" w:cs="宋体"/>
                <w:sz w:val="21"/>
                <w:szCs w:val="21"/>
              </w:rPr>
              <w:t>选</w:t>
            </w:r>
            <w:r>
              <w:rPr>
                <w:rFonts w:hint="eastAsia" w:ascii="宋体" w:hAnsi="宋体" w:cs="宋体"/>
                <w:sz w:val="21"/>
                <w:szCs w:val="21"/>
              </w:rPr>
              <w:t>候选人退还竞选保证金。</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3.6</w:t>
            </w:r>
          </w:p>
        </w:tc>
        <w:tc>
          <w:tcPr>
            <w:tcW w:w="1708" w:type="dxa"/>
            <w:vAlign w:val="center"/>
          </w:tcPr>
          <w:p>
            <w:pPr>
              <w:spacing w:line="400" w:lineRule="exact"/>
              <w:ind w:firstLine="0"/>
              <w:jc w:val="center"/>
              <w:rPr>
                <w:rFonts w:ascii="宋体" w:hAnsi="宋体" w:cs="宋体"/>
                <w:sz w:val="21"/>
                <w:szCs w:val="21"/>
              </w:rPr>
            </w:pPr>
            <w:r>
              <w:rPr>
                <w:rFonts w:hint="eastAsia" w:ascii="宋体" w:hAnsi="宋体" w:cs="宋体"/>
                <w:sz w:val="21"/>
                <w:szCs w:val="21"/>
              </w:rPr>
              <w:t>是否允许</w:t>
            </w:r>
          </w:p>
          <w:p>
            <w:pPr>
              <w:spacing w:line="400" w:lineRule="exact"/>
              <w:ind w:firstLine="0"/>
              <w:jc w:val="center"/>
              <w:rPr>
                <w:rFonts w:hint="eastAsia" w:ascii="宋体" w:hAnsi="宋体" w:cs="宋体"/>
                <w:sz w:val="21"/>
                <w:szCs w:val="21"/>
              </w:rPr>
            </w:pPr>
            <w:r>
              <w:rPr>
                <w:rFonts w:hint="eastAsia" w:ascii="宋体" w:hAnsi="宋体" w:cs="宋体"/>
                <w:sz w:val="21"/>
                <w:szCs w:val="21"/>
              </w:rPr>
              <w:t>备选竞选方案</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3.7.3</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竞选文件签名</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或盖章要求</w:t>
            </w:r>
          </w:p>
        </w:tc>
        <w:tc>
          <w:tcPr>
            <w:tcW w:w="7401" w:type="dxa"/>
            <w:vAlign w:val="center"/>
          </w:tcPr>
          <w:p>
            <w:pPr>
              <w:pStyle w:val="68"/>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1、竞选文件的正本应由竞选人的法定代表人或经正式授权并对竞选人有约束力的代表签名或盖章。由授权代表签名或盖章时，须在竞选文件中提供“法定代表人授权书”。</w:t>
            </w:r>
          </w:p>
          <w:p>
            <w:pPr>
              <w:pStyle w:val="68"/>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除竞选人对错漏之处做必要修改或补充外，竞选文件中不得有随意的行间插字、涂改和增删。如确有错漏之处确需要手工修改或补充，竞选文件的修改必须由竞选人的法定代表人或其授权代表在修改或补充之处签名或盖章。</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3.7.4</w:t>
            </w:r>
          </w:p>
        </w:tc>
        <w:tc>
          <w:tcPr>
            <w:tcW w:w="1708" w:type="dxa"/>
            <w:vAlign w:val="center"/>
          </w:tcPr>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竞选文件份数</w:t>
            </w:r>
          </w:p>
        </w:tc>
        <w:tc>
          <w:tcPr>
            <w:tcW w:w="7401" w:type="dxa"/>
            <w:vAlign w:val="center"/>
          </w:tcPr>
          <w:p>
            <w:pPr>
              <w:autoSpaceDE w:val="0"/>
              <w:autoSpaceDN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1、竞选文件一式贰份（其中：正本1份；副本1份）；</w:t>
            </w:r>
          </w:p>
          <w:p>
            <w:pPr>
              <w:autoSpaceDE w:val="0"/>
              <w:autoSpaceDN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电子文档（U盘）：2份（包含竞选函部分、资格审查资料部分、商务部分、技术部分所有资料，格式不限）。电子文档需标明项目名称、竞选单位名称并加盖单位公章，电子文档标注和盖章的要求只是为了存档使用，不作为否决竞选条件，请各竞选人配合标注并盖章。</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3.7.5</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竞选文件</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装订要求</w:t>
            </w:r>
          </w:p>
        </w:tc>
        <w:tc>
          <w:tcPr>
            <w:tcW w:w="7401" w:type="dxa"/>
            <w:vAlign w:val="center"/>
          </w:tcPr>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1、</w:t>
            </w:r>
            <w:r>
              <w:rPr>
                <w:rFonts w:hint="eastAsia" w:ascii="宋体" w:hAnsi="宋体" w:cs="宋体"/>
                <w:sz w:val="21"/>
                <w:szCs w:val="21"/>
              </w:rPr>
              <w:t>竞选</w:t>
            </w:r>
            <w:r>
              <w:rPr>
                <w:rFonts w:hint="eastAsia" w:ascii="宋体" w:hAnsi="宋体" w:cs="宋体"/>
                <w:sz w:val="21"/>
                <w:szCs w:val="21"/>
                <w:lang w:val="en-GB"/>
              </w:rPr>
              <w:t>文件须装订成一册（按</w:t>
            </w:r>
            <w:r>
              <w:rPr>
                <w:rFonts w:hint="eastAsia" w:ascii="宋体" w:hAnsi="宋体" w:cs="宋体"/>
                <w:sz w:val="21"/>
                <w:szCs w:val="21"/>
              </w:rPr>
              <w:t>竞选函部分、</w:t>
            </w:r>
            <w:r>
              <w:rPr>
                <w:rFonts w:hint="eastAsia" w:ascii="宋体" w:hAnsi="宋体" w:cs="宋体"/>
                <w:sz w:val="21"/>
                <w:szCs w:val="21"/>
                <w:lang w:val="en-GB"/>
              </w:rPr>
              <w:t>资格审查</w:t>
            </w:r>
            <w:r>
              <w:rPr>
                <w:rFonts w:hint="eastAsia" w:ascii="宋体" w:hAnsi="宋体" w:cs="宋体"/>
                <w:sz w:val="21"/>
                <w:szCs w:val="21"/>
              </w:rPr>
              <w:t>资料</w:t>
            </w:r>
            <w:r>
              <w:rPr>
                <w:rFonts w:hint="eastAsia" w:ascii="宋体" w:hAnsi="宋体" w:cs="宋体"/>
                <w:sz w:val="21"/>
                <w:szCs w:val="21"/>
                <w:lang w:val="en-GB"/>
              </w:rPr>
              <w:t>部分</w:t>
            </w:r>
            <w:r>
              <w:rPr>
                <w:rFonts w:hint="eastAsia" w:ascii="宋体" w:hAnsi="宋体" w:cs="宋体"/>
                <w:sz w:val="21"/>
                <w:szCs w:val="21"/>
              </w:rPr>
              <w:t>、商务</w:t>
            </w:r>
            <w:r>
              <w:rPr>
                <w:rFonts w:hint="eastAsia" w:ascii="宋体" w:hAnsi="宋体" w:cs="宋体"/>
                <w:sz w:val="21"/>
                <w:szCs w:val="21"/>
                <w:lang w:val="en-GB"/>
              </w:rPr>
              <w:t>部分、</w:t>
            </w:r>
            <w:r>
              <w:rPr>
                <w:rFonts w:hint="eastAsia" w:ascii="宋体" w:hAnsi="宋体" w:cs="宋体"/>
                <w:sz w:val="21"/>
                <w:szCs w:val="21"/>
              </w:rPr>
              <w:t>技术部分的</w:t>
            </w:r>
            <w:r>
              <w:rPr>
                <w:rFonts w:hint="eastAsia" w:ascii="宋体" w:hAnsi="宋体" w:cs="宋体"/>
                <w:sz w:val="21"/>
                <w:szCs w:val="21"/>
                <w:lang w:val="en-GB"/>
              </w:rPr>
              <w:t>顺序装订），并需编制目录，若装订过厚，也可分订成多册。</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2、</w:t>
            </w:r>
            <w:r>
              <w:rPr>
                <w:rFonts w:hint="eastAsia" w:ascii="宋体" w:hAnsi="宋体" w:cs="宋体"/>
                <w:sz w:val="21"/>
                <w:szCs w:val="21"/>
              </w:rPr>
              <w:t>竞选</w:t>
            </w:r>
            <w:r>
              <w:rPr>
                <w:rFonts w:hint="eastAsia" w:ascii="宋体" w:hAnsi="宋体" w:cs="宋体"/>
                <w:sz w:val="21"/>
                <w:szCs w:val="21"/>
                <w:lang w:val="en-GB"/>
              </w:rPr>
              <w:t>文件分为正本和副本，正本文件内签名和盖章须为原件。副本可为正本的复印件。</w:t>
            </w:r>
          </w:p>
          <w:p>
            <w:pPr>
              <w:autoSpaceDE w:val="0"/>
              <w:autoSpaceDN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GB"/>
              </w:rPr>
              <w:t>3、</w:t>
            </w:r>
            <w:r>
              <w:rPr>
                <w:rFonts w:hint="eastAsia" w:ascii="宋体" w:hAnsi="宋体" w:cs="宋体"/>
                <w:sz w:val="21"/>
                <w:szCs w:val="21"/>
              </w:rPr>
              <w:t>竞争性遴选文件</w:t>
            </w:r>
            <w:r>
              <w:rPr>
                <w:rFonts w:hint="eastAsia" w:ascii="宋体" w:hAnsi="宋体" w:cs="宋体"/>
                <w:sz w:val="21"/>
                <w:szCs w:val="21"/>
                <w:lang w:val="en-GB"/>
              </w:rPr>
              <w:t>中已提供了</w:t>
            </w:r>
            <w:r>
              <w:rPr>
                <w:rFonts w:hint="eastAsia" w:ascii="宋体" w:hAnsi="宋体" w:cs="宋体"/>
                <w:sz w:val="21"/>
                <w:szCs w:val="21"/>
              </w:rPr>
              <w:t>竞选</w:t>
            </w:r>
            <w:r>
              <w:rPr>
                <w:rFonts w:hint="eastAsia" w:ascii="宋体" w:hAnsi="宋体" w:cs="宋体"/>
                <w:sz w:val="21"/>
                <w:szCs w:val="21"/>
                <w:lang w:val="en-GB"/>
              </w:rPr>
              <w:t>文件格式的部分，须按其格式填写和提供。</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4.1.1</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竞选文件的</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密封</w:t>
            </w:r>
          </w:p>
        </w:tc>
        <w:tc>
          <w:tcPr>
            <w:tcW w:w="7401" w:type="dxa"/>
            <w:vAlign w:val="center"/>
          </w:tcPr>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1、</w:t>
            </w:r>
            <w:r>
              <w:rPr>
                <w:rFonts w:hint="eastAsia" w:ascii="宋体" w:hAnsi="宋体" w:cs="宋体"/>
                <w:sz w:val="21"/>
                <w:szCs w:val="21"/>
              </w:rPr>
              <w:t>竞选</w:t>
            </w:r>
            <w:r>
              <w:rPr>
                <w:rFonts w:hint="eastAsia" w:ascii="宋体" w:hAnsi="宋体" w:cs="宋体"/>
                <w:sz w:val="21"/>
                <w:szCs w:val="21"/>
                <w:lang w:val="en-GB"/>
              </w:rPr>
              <w:t>文件袋使用</w:t>
            </w:r>
            <w:r>
              <w:rPr>
                <w:rFonts w:hint="eastAsia" w:ascii="宋体" w:hAnsi="宋体" w:cs="宋体"/>
                <w:sz w:val="21"/>
                <w:szCs w:val="21"/>
              </w:rPr>
              <w:t>竞选</w:t>
            </w:r>
            <w:r>
              <w:rPr>
                <w:rFonts w:hint="eastAsia" w:ascii="宋体" w:hAnsi="宋体" w:cs="宋体"/>
                <w:sz w:val="21"/>
                <w:szCs w:val="21"/>
                <w:lang w:val="en-GB"/>
              </w:rPr>
              <w:t>人自备的“</w:t>
            </w:r>
            <w:r>
              <w:rPr>
                <w:rFonts w:hint="eastAsia" w:ascii="宋体" w:hAnsi="宋体" w:cs="宋体"/>
                <w:sz w:val="21"/>
                <w:szCs w:val="21"/>
              </w:rPr>
              <w:t>竞选</w:t>
            </w:r>
            <w:r>
              <w:rPr>
                <w:rFonts w:hint="eastAsia" w:ascii="宋体" w:hAnsi="宋体" w:cs="宋体"/>
                <w:sz w:val="21"/>
                <w:szCs w:val="21"/>
                <w:lang w:val="en-GB"/>
              </w:rPr>
              <w:t>文件”袋（箱）。</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2、《</w:t>
            </w:r>
            <w:r>
              <w:rPr>
                <w:rFonts w:hint="eastAsia" w:ascii="宋体" w:hAnsi="宋体" w:cs="宋体"/>
                <w:sz w:val="21"/>
                <w:szCs w:val="21"/>
              </w:rPr>
              <w:t>竞选</w:t>
            </w:r>
            <w:r>
              <w:rPr>
                <w:rFonts w:hint="eastAsia" w:ascii="宋体" w:hAnsi="宋体" w:cs="宋体"/>
                <w:sz w:val="21"/>
                <w:szCs w:val="21"/>
                <w:lang w:val="en-GB"/>
              </w:rPr>
              <w:t>文件》与电子</w:t>
            </w:r>
            <w:r>
              <w:rPr>
                <w:rFonts w:hint="eastAsia" w:ascii="宋体" w:hAnsi="宋体" w:cs="宋体"/>
                <w:sz w:val="21"/>
                <w:szCs w:val="21"/>
              </w:rPr>
              <w:t>文档</w:t>
            </w:r>
            <w:r>
              <w:rPr>
                <w:rFonts w:hint="eastAsia" w:ascii="宋体" w:hAnsi="宋体" w:cs="宋体"/>
                <w:sz w:val="21"/>
                <w:szCs w:val="21"/>
                <w:lang w:val="en-GB"/>
              </w:rPr>
              <w:t>一起装入“</w:t>
            </w:r>
            <w:r>
              <w:rPr>
                <w:rFonts w:hint="eastAsia" w:ascii="宋体" w:hAnsi="宋体" w:cs="宋体"/>
                <w:sz w:val="21"/>
                <w:szCs w:val="21"/>
              </w:rPr>
              <w:t>竞选</w:t>
            </w:r>
            <w:r>
              <w:rPr>
                <w:rFonts w:hint="eastAsia" w:ascii="宋体" w:hAnsi="宋体" w:cs="宋体"/>
                <w:sz w:val="21"/>
                <w:szCs w:val="21"/>
                <w:lang w:val="en-GB"/>
              </w:rPr>
              <w:t>文件”袋（箱）中，密封并在袋上加盖</w:t>
            </w:r>
            <w:r>
              <w:rPr>
                <w:rFonts w:hint="eastAsia" w:ascii="宋体" w:hAnsi="宋体" w:cs="宋体"/>
                <w:sz w:val="21"/>
                <w:szCs w:val="21"/>
              </w:rPr>
              <w:t>竞选</w:t>
            </w:r>
            <w:r>
              <w:rPr>
                <w:rFonts w:hint="eastAsia" w:ascii="宋体" w:hAnsi="宋体" w:cs="宋体"/>
                <w:sz w:val="21"/>
                <w:szCs w:val="21"/>
                <w:lang w:val="en-GB"/>
              </w:rPr>
              <w:t xml:space="preserve">人单位公章。 </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3、“</w:t>
            </w:r>
            <w:r>
              <w:rPr>
                <w:rFonts w:hint="eastAsia" w:ascii="宋体" w:hAnsi="宋体" w:cs="宋体"/>
                <w:sz w:val="21"/>
                <w:szCs w:val="21"/>
              </w:rPr>
              <w:t>竞选</w:t>
            </w:r>
            <w:r>
              <w:rPr>
                <w:rFonts w:hint="eastAsia" w:ascii="宋体" w:hAnsi="宋体" w:cs="宋体"/>
                <w:sz w:val="21"/>
                <w:szCs w:val="21"/>
                <w:lang w:val="en-GB"/>
              </w:rPr>
              <w:t>文件”袋（箱）应按本表第4.1.2项的规定写明相应内容。</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4、如果“</w:t>
            </w:r>
            <w:r>
              <w:rPr>
                <w:rFonts w:hint="eastAsia" w:ascii="宋体" w:hAnsi="宋体" w:cs="宋体"/>
                <w:sz w:val="21"/>
                <w:szCs w:val="21"/>
              </w:rPr>
              <w:t>竞选</w:t>
            </w:r>
            <w:r>
              <w:rPr>
                <w:rFonts w:hint="eastAsia" w:ascii="宋体" w:hAnsi="宋体" w:cs="宋体"/>
                <w:sz w:val="21"/>
                <w:szCs w:val="21"/>
                <w:lang w:val="en-GB"/>
              </w:rPr>
              <w:t>文件”袋</w:t>
            </w:r>
            <w:r>
              <w:rPr>
                <w:rFonts w:hint="eastAsia" w:ascii="宋体" w:hAnsi="宋体" w:cs="宋体"/>
                <w:sz w:val="21"/>
                <w:szCs w:val="21"/>
              </w:rPr>
              <w:t>未</w:t>
            </w:r>
            <w:r>
              <w:rPr>
                <w:rFonts w:hint="eastAsia" w:ascii="宋体" w:hAnsi="宋体" w:cs="宋体"/>
                <w:sz w:val="21"/>
                <w:szCs w:val="21"/>
                <w:lang w:val="en-GB"/>
              </w:rPr>
              <w:t>按本</w:t>
            </w:r>
            <w:r>
              <w:rPr>
                <w:rFonts w:hint="eastAsia" w:ascii="宋体" w:hAnsi="宋体" w:cs="宋体"/>
                <w:sz w:val="21"/>
                <w:szCs w:val="21"/>
              </w:rPr>
              <w:t>竞争性遴选文件</w:t>
            </w:r>
            <w:r>
              <w:rPr>
                <w:rFonts w:hint="eastAsia" w:ascii="宋体" w:hAnsi="宋体" w:cs="宋体"/>
                <w:sz w:val="21"/>
                <w:szCs w:val="21"/>
                <w:lang w:val="en-GB"/>
              </w:rPr>
              <w:t>规定密封和盖章的，</w:t>
            </w:r>
            <w:r>
              <w:rPr>
                <w:rFonts w:hint="eastAsia" w:ascii="宋体" w:hAnsi="宋体" w:cs="宋体"/>
                <w:sz w:val="21"/>
                <w:szCs w:val="21"/>
              </w:rPr>
              <w:t>遴选人</w:t>
            </w:r>
            <w:r>
              <w:rPr>
                <w:rFonts w:hint="eastAsia" w:ascii="宋体" w:hAnsi="宋体" w:cs="宋体"/>
                <w:sz w:val="21"/>
                <w:szCs w:val="21"/>
                <w:lang w:val="en-GB"/>
              </w:rPr>
              <w:t>拒绝接收。</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注：</w:t>
            </w:r>
          </w:p>
          <w:p>
            <w:pPr>
              <w:autoSpaceDE w:val="0"/>
              <w:autoSpaceDN w:val="0"/>
              <w:snapToGrid w:val="0"/>
              <w:spacing w:line="400" w:lineRule="exact"/>
              <w:ind w:firstLine="420" w:firstLineChars="200"/>
              <w:jc w:val="left"/>
              <w:rPr>
                <w:rFonts w:hint="eastAsia" w:ascii="宋体" w:hAnsi="宋体" w:cs="宋体"/>
                <w:sz w:val="21"/>
                <w:szCs w:val="21"/>
                <w:lang w:val="en-GB"/>
              </w:rPr>
            </w:pPr>
            <w:r>
              <w:rPr>
                <w:rFonts w:hint="eastAsia" w:ascii="宋体" w:hAnsi="宋体" w:cs="宋体"/>
                <w:sz w:val="21"/>
                <w:szCs w:val="21"/>
                <w:lang w:val="en-GB"/>
              </w:rPr>
              <w:t>（1）如</w:t>
            </w:r>
            <w:r>
              <w:rPr>
                <w:rFonts w:hint="eastAsia" w:ascii="宋体" w:hAnsi="宋体" w:cs="宋体"/>
                <w:sz w:val="21"/>
                <w:szCs w:val="21"/>
              </w:rPr>
              <w:t>竞选</w:t>
            </w:r>
            <w:r>
              <w:rPr>
                <w:rFonts w:hint="eastAsia" w:ascii="宋体" w:hAnsi="宋体" w:cs="宋体"/>
                <w:sz w:val="21"/>
                <w:szCs w:val="21"/>
                <w:lang w:val="en-GB"/>
              </w:rPr>
              <w:t>文件较厚，上述</w:t>
            </w:r>
            <w:r>
              <w:rPr>
                <w:rFonts w:hint="eastAsia" w:ascii="宋体" w:hAnsi="宋体" w:cs="宋体"/>
                <w:sz w:val="21"/>
                <w:szCs w:val="21"/>
              </w:rPr>
              <w:t>竞选</w:t>
            </w:r>
            <w:r>
              <w:rPr>
                <w:rFonts w:hint="eastAsia" w:ascii="宋体" w:hAnsi="宋体" w:cs="宋体"/>
                <w:sz w:val="21"/>
                <w:szCs w:val="21"/>
                <w:lang w:val="en-GB"/>
              </w:rPr>
              <w:t>文件不能装入相应的一个袋（箱）中，</w:t>
            </w:r>
            <w:r>
              <w:rPr>
                <w:rFonts w:hint="eastAsia" w:ascii="宋体" w:hAnsi="宋体" w:cs="宋体"/>
                <w:sz w:val="21"/>
                <w:szCs w:val="21"/>
              </w:rPr>
              <w:t>竞选</w:t>
            </w:r>
            <w:r>
              <w:rPr>
                <w:rFonts w:hint="eastAsia" w:ascii="宋体" w:hAnsi="宋体" w:cs="宋体"/>
                <w:sz w:val="21"/>
                <w:szCs w:val="21"/>
                <w:lang w:val="en-GB"/>
              </w:rPr>
              <w:t>人可按上述要求增加</w:t>
            </w:r>
            <w:r>
              <w:rPr>
                <w:rFonts w:hint="eastAsia" w:ascii="宋体" w:hAnsi="宋体" w:cs="宋体"/>
                <w:sz w:val="21"/>
                <w:szCs w:val="21"/>
              </w:rPr>
              <w:t>竞选</w:t>
            </w:r>
            <w:r>
              <w:rPr>
                <w:rFonts w:hint="eastAsia" w:ascii="宋体" w:hAnsi="宋体" w:cs="宋体"/>
                <w:sz w:val="21"/>
                <w:szCs w:val="21"/>
                <w:lang w:val="en-GB"/>
              </w:rPr>
              <w:t>文件袋（箱）。</w:t>
            </w:r>
          </w:p>
          <w:p>
            <w:pPr>
              <w:autoSpaceDE w:val="0"/>
              <w:autoSpaceDN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GB"/>
              </w:rPr>
              <w:t>（2）</w:t>
            </w:r>
            <w:r>
              <w:rPr>
                <w:rFonts w:hint="eastAsia" w:ascii="宋体" w:hAnsi="宋体" w:cs="宋体"/>
                <w:sz w:val="21"/>
                <w:szCs w:val="21"/>
              </w:rPr>
              <w:t>竞选</w:t>
            </w:r>
            <w:r>
              <w:rPr>
                <w:rFonts w:hint="eastAsia" w:ascii="宋体" w:hAnsi="宋体" w:cs="宋体"/>
                <w:sz w:val="21"/>
                <w:szCs w:val="21"/>
                <w:lang w:val="en-GB"/>
              </w:rPr>
              <w:t>文件袋可由</w:t>
            </w:r>
            <w:r>
              <w:rPr>
                <w:rFonts w:hint="eastAsia" w:ascii="宋体" w:hAnsi="宋体" w:cs="宋体"/>
                <w:sz w:val="21"/>
                <w:szCs w:val="21"/>
              </w:rPr>
              <w:t>竞选</w:t>
            </w:r>
            <w:r>
              <w:rPr>
                <w:rFonts w:hint="eastAsia" w:ascii="宋体" w:hAnsi="宋体" w:cs="宋体"/>
                <w:sz w:val="21"/>
                <w:szCs w:val="21"/>
                <w:lang w:val="en-GB"/>
              </w:rPr>
              <w:t>人自制，也可采用盒（箱）装的形式，但需满足相关密封及标记要求。</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4.1.2</w:t>
            </w:r>
          </w:p>
        </w:tc>
        <w:tc>
          <w:tcPr>
            <w:tcW w:w="1708" w:type="dxa"/>
            <w:vAlign w:val="center"/>
          </w:tcPr>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竞选文件外封套应注明</w:t>
            </w:r>
          </w:p>
        </w:tc>
        <w:tc>
          <w:tcPr>
            <w:tcW w:w="7401" w:type="dxa"/>
            <w:vAlign w:val="center"/>
          </w:tcPr>
          <w:p>
            <w:pPr>
              <w:tabs>
                <w:tab w:val="left" w:pos="2000"/>
                <w:tab w:val="left" w:pos="5580"/>
                <w:tab w:val="left" w:pos="6220"/>
                <w:tab w:val="left" w:pos="7050"/>
                <w:tab w:val="left" w:pos="7995"/>
              </w:tabs>
              <w:autoSpaceDE w:val="0"/>
              <w:autoSpaceDN w:val="0"/>
              <w:snapToGrid w:val="0"/>
              <w:spacing w:line="400" w:lineRule="exact"/>
              <w:ind w:firstLine="0"/>
              <w:jc w:val="left"/>
              <w:textAlignment w:val="auto"/>
              <w:rPr>
                <w:rFonts w:hint="eastAsia" w:ascii="宋体" w:hAnsi="宋体" w:cs="宋体"/>
                <w:sz w:val="21"/>
                <w:szCs w:val="21"/>
                <w:u w:val="single"/>
              </w:rPr>
            </w:pPr>
            <w:r>
              <w:rPr>
                <w:rFonts w:hint="eastAsia" w:ascii="宋体" w:hAnsi="宋体" w:cs="宋体"/>
                <w:sz w:val="21"/>
                <w:szCs w:val="21"/>
              </w:rPr>
              <w:t>遴选人名称：</w:t>
            </w:r>
            <w:r>
              <w:rPr>
                <w:rFonts w:hint="eastAsia" w:cs="宋体" w:asciiTheme="minorEastAsia" w:hAnsiTheme="minorEastAsia" w:eastAsiaTheme="minorEastAsia"/>
                <w:sz w:val="21"/>
                <w:szCs w:val="21"/>
                <w:u w:val="single"/>
              </w:rPr>
              <w:t>重庆市交通行业职业培训中心有限</w:t>
            </w:r>
            <w:r>
              <w:rPr>
                <w:rFonts w:hint="eastAsia" w:ascii="宋体" w:hAnsi="宋体" w:cs="宋体"/>
                <w:sz w:val="21"/>
                <w:szCs w:val="21"/>
                <w:u w:val="single"/>
              </w:rPr>
              <w:t>责任公司</w:t>
            </w:r>
          </w:p>
          <w:p>
            <w:pPr>
              <w:widowControl/>
              <w:spacing w:line="400" w:lineRule="exact"/>
              <w:ind w:firstLine="0"/>
              <w:rPr>
                <w:rFonts w:hint="eastAsia" w:asciiTheme="minorEastAsia" w:hAnsiTheme="minorEastAsia" w:eastAsiaTheme="minorEastAsia"/>
                <w:sz w:val="21"/>
                <w:szCs w:val="21"/>
              </w:rPr>
            </w:pPr>
            <w:r>
              <w:rPr>
                <w:rFonts w:hint="eastAsia" w:ascii="宋体" w:hAnsi="宋体" w:cs="宋体"/>
                <w:sz w:val="21"/>
                <w:szCs w:val="21"/>
              </w:rPr>
              <w:t>遴选人地址：</w:t>
            </w:r>
            <w:r>
              <w:rPr>
                <w:rFonts w:hint="eastAsia" w:cs="宋体" w:asciiTheme="minorEastAsia" w:hAnsiTheme="minorEastAsia" w:eastAsiaTheme="minorEastAsia"/>
                <w:sz w:val="21"/>
                <w:szCs w:val="21"/>
                <w:u w:val="single"/>
              </w:rPr>
              <w:t>重庆市璧山区璧城街道璧渝路329号</w:t>
            </w:r>
          </w:p>
          <w:p>
            <w:pPr>
              <w:pStyle w:val="68"/>
              <w:spacing w:line="400" w:lineRule="exact"/>
              <w:rPr>
                <w:rFonts w:hint="eastAsia" w:ascii="宋体" w:hAnsi="宋体" w:eastAsia="宋体" w:cs="宋体"/>
                <w:color w:val="auto"/>
                <w:sz w:val="21"/>
                <w:szCs w:val="21"/>
              </w:rPr>
            </w:pPr>
            <w:r>
              <w:rPr>
                <w:rFonts w:hint="eastAsia" w:ascii="宋体" w:hAnsi="宋体" w:cs="宋体"/>
                <w:bCs/>
                <w:snapToGrid w:val="0"/>
                <w:color w:val="auto"/>
                <w:spacing w:val="-17"/>
                <w:w w:val="99"/>
                <w:sz w:val="21"/>
                <w:szCs w:val="21"/>
                <w:u w:val="single"/>
              </w:rPr>
              <w:t>重庆市交通行业职业培训中心有限责任公司遴选机动车驾驶人科目二考试考场社会合作单位项目</w:t>
            </w:r>
            <w:r>
              <w:rPr>
                <w:rFonts w:hint="eastAsia" w:ascii="宋体" w:hAnsi="宋体" w:cs="宋体"/>
                <w:bCs/>
                <w:snapToGrid w:val="0"/>
                <w:color w:val="auto"/>
                <w:spacing w:val="-17"/>
                <w:w w:val="99"/>
                <w:sz w:val="21"/>
                <w:szCs w:val="21"/>
              </w:rPr>
              <w:t xml:space="preserve"> </w:t>
            </w:r>
            <w:r>
              <w:rPr>
                <w:rFonts w:hint="eastAsia" w:ascii="宋体" w:hAnsi="宋体" w:eastAsia="宋体" w:cs="宋体"/>
                <w:color w:val="auto"/>
                <w:sz w:val="21"/>
                <w:szCs w:val="21"/>
              </w:rPr>
              <w:t>竞选文件</w:t>
            </w:r>
          </w:p>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竞选人名称：   （单位全称）        </w:t>
            </w:r>
          </w:p>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在</w:t>
            </w:r>
            <w:r>
              <w:rPr>
                <w:rFonts w:hint="eastAsia" w:ascii="宋体" w:hAnsi="宋体" w:eastAsia="宋体" w:cs="宋体"/>
                <w:color w:val="auto"/>
                <w:sz w:val="21"/>
                <w:szCs w:val="21"/>
                <w:u w:val="single"/>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10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00 </w:t>
            </w:r>
            <w:r>
              <w:rPr>
                <w:rFonts w:hint="eastAsia" w:ascii="宋体" w:hAnsi="宋体" w:eastAsia="宋体" w:cs="宋体"/>
                <w:color w:val="auto"/>
                <w:sz w:val="21"/>
                <w:szCs w:val="21"/>
              </w:rPr>
              <w:t xml:space="preserve">分前不得开启 </w:t>
            </w:r>
          </w:p>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（注：以上内容用A4白纸打印后，粘贴在竞选文件外密封袋封面上。</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4.2.1</w:t>
            </w:r>
          </w:p>
        </w:tc>
        <w:tc>
          <w:tcPr>
            <w:tcW w:w="1708" w:type="dxa"/>
            <w:vAlign w:val="center"/>
          </w:tcPr>
          <w:p>
            <w:pPr>
              <w:spacing w:line="400" w:lineRule="exact"/>
              <w:ind w:firstLine="0"/>
              <w:jc w:val="center"/>
              <w:rPr>
                <w:rFonts w:hint="eastAsia" w:ascii="宋体" w:hAnsi="宋体" w:cs="宋体"/>
                <w:snapToGrid w:val="0"/>
                <w:sz w:val="21"/>
                <w:szCs w:val="21"/>
              </w:rPr>
            </w:pPr>
            <w:r>
              <w:rPr>
                <w:rFonts w:hint="eastAsia" w:ascii="宋体" w:hAnsi="宋体" w:cs="宋体"/>
                <w:sz w:val="21"/>
                <w:szCs w:val="21"/>
              </w:rPr>
              <w:t>竞选截止时间</w:t>
            </w:r>
          </w:p>
        </w:tc>
        <w:tc>
          <w:tcPr>
            <w:tcW w:w="7401"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同评选时间</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4.2.2</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递交竞选文件</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地点</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cs="宋体" w:asciiTheme="minorEastAsia" w:hAnsiTheme="minorEastAsia" w:eastAsiaTheme="minorEastAsia"/>
                <w:color w:val="auto"/>
                <w:sz w:val="21"/>
                <w:szCs w:val="21"/>
              </w:rPr>
              <w:t>重庆市璧山区璧城街道璧渝路329号</w:t>
            </w:r>
            <w:r>
              <w:rPr>
                <w:rFonts w:hint="eastAsia" w:ascii="宋体" w:hAnsi="宋体" w:eastAsia="宋体" w:cs="宋体"/>
                <w:color w:val="auto"/>
                <w:sz w:val="21"/>
                <w:szCs w:val="21"/>
              </w:rPr>
              <w:t xml:space="preserve">。 </w:t>
            </w:r>
          </w:p>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遴选人提前30分钟接收竞选文件。</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4.2.3</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是否退还</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竞选文件</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不退还竞选文件</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1708"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评选时间</w:t>
            </w:r>
          </w:p>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和地点</w:t>
            </w:r>
          </w:p>
        </w:tc>
        <w:tc>
          <w:tcPr>
            <w:tcW w:w="7401" w:type="dxa"/>
            <w:vAlign w:val="center"/>
          </w:tcPr>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评选时间：同竞选截止时间</w:t>
            </w:r>
          </w:p>
          <w:p>
            <w:pPr>
              <w:pStyle w:val="68"/>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评选地点：同递交竞选文件地点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5.2</w:t>
            </w:r>
          </w:p>
        </w:tc>
        <w:tc>
          <w:tcPr>
            <w:tcW w:w="1708" w:type="dxa"/>
            <w:vAlign w:val="center"/>
          </w:tcPr>
          <w:p>
            <w:pPr>
              <w:snapToGrid w:val="0"/>
              <w:spacing w:line="400" w:lineRule="exact"/>
              <w:ind w:firstLine="0"/>
              <w:jc w:val="center"/>
              <w:rPr>
                <w:rFonts w:hint="eastAsia" w:ascii="宋体" w:hAnsi="宋体" w:cs="宋体"/>
                <w:snapToGrid w:val="0"/>
                <w:sz w:val="21"/>
                <w:szCs w:val="21"/>
              </w:rPr>
            </w:pPr>
            <w:r>
              <w:rPr>
                <w:rFonts w:hint="eastAsia" w:ascii="宋体" w:hAnsi="宋体" w:cs="宋体"/>
                <w:sz w:val="21"/>
                <w:szCs w:val="21"/>
              </w:rPr>
              <w:t>评选程序</w:t>
            </w:r>
          </w:p>
        </w:tc>
        <w:tc>
          <w:tcPr>
            <w:tcW w:w="7401" w:type="dxa"/>
            <w:vAlign w:val="center"/>
          </w:tcPr>
          <w:p>
            <w:pPr>
              <w:autoSpaceDE w:val="0"/>
              <w:autoSpaceDN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主持人按下列程序进行评选：</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1、</w:t>
            </w:r>
            <w:r>
              <w:rPr>
                <w:rFonts w:hint="eastAsia" w:ascii="宋体" w:hAnsi="宋体" w:cs="宋体"/>
                <w:sz w:val="21"/>
                <w:szCs w:val="21"/>
                <w:lang w:val="en-GB"/>
              </w:rPr>
              <w:t>宣布评选纪律；</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2</w:t>
            </w:r>
            <w:r>
              <w:rPr>
                <w:rFonts w:hint="eastAsia" w:ascii="宋体" w:hAnsi="宋体" w:cs="宋体"/>
                <w:sz w:val="21"/>
                <w:szCs w:val="21"/>
                <w:lang w:val="en-GB"/>
              </w:rPr>
              <w:t>、宣布文件开封人员、宣读竞选文件人员、记录人员、监督人员等有关人员姓名；</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3</w:t>
            </w:r>
            <w:r>
              <w:rPr>
                <w:rFonts w:hint="eastAsia" w:ascii="宋体" w:hAnsi="宋体" w:cs="宋体"/>
                <w:sz w:val="21"/>
                <w:szCs w:val="21"/>
                <w:lang w:val="en-GB"/>
              </w:rPr>
              <w:t>、公布在</w:t>
            </w:r>
            <w:r>
              <w:rPr>
                <w:rFonts w:hint="eastAsia" w:ascii="宋体" w:hAnsi="宋体" w:cs="宋体"/>
                <w:sz w:val="21"/>
                <w:szCs w:val="21"/>
              </w:rPr>
              <w:t>竞选</w:t>
            </w:r>
            <w:r>
              <w:rPr>
                <w:rFonts w:hint="eastAsia" w:ascii="宋体" w:hAnsi="宋体" w:cs="宋体"/>
                <w:sz w:val="21"/>
                <w:szCs w:val="21"/>
                <w:lang w:val="en-GB"/>
              </w:rPr>
              <w:t>截止时间前递交</w:t>
            </w:r>
            <w:r>
              <w:rPr>
                <w:rFonts w:hint="eastAsia" w:ascii="宋体" w:hAnsi="宋体" w:cs="宋体"/>
                <w:sz w:val="21"/>
                <w:szCs w:val="21"/>
              </w:rPr>
              <w:t>竞选</w:t>
            </w:r>
            <w:r>
              <w:rPr>
                <w:rFonts w:hint="eastAsia" w:ascii="宋体" w:hAnsi="宋体" w:cs="宋体"/>
                <w:sz w:val="21"/>
                <w:szCs w:val="21"/>
                <w:lang w:val="en-GB"/>
              </w:rPr>
              <w:t>文件的</w:t>
            </w:r>
            <w:r>
              <w:rPr>
                <w:rFonts w:hint="eastAsia" w:ascii="宋体" w:hAnsi="宋体" w:cs="宋体"/>
                <w:sz w:val="21"/>
                <w:szCs w:val="21"/>
              </w:rPr>
              <w:t>竞选</w:t>
            </w:r>
            <w:r>
              <w:rPr>
                <w:rFonts w:hint="eastAsia" w:ascii="宋体" w:hAnsi="宋体" w:cs="宋体"/>
                <w:sz w:val="21"/>
                <w:szCs w:val="21"/>
                <w:lang w:val="en-GB"/>
              </w:rPr>
              <w:t>人名称；</w:t>
            </w:r>
          </w:p>
          <w:p>
            <w:pPr>
              <w:snapToGrid w:val="0"/>
              <w:spacing w:line="400" w:lineRule="exact"/>
              <w:ind w:firstLine="420" w:firstLineChars="200"/>
              <w:rPr>
                <w:rFonts w:hint="eastAsia" w:ascii="宋体" w:hAnsi="宋体" w:cs="宋体"/>
                <w:sz w:val="21"/>
                <w:szCs w:val="21"/>
                <w:lang w:val="en-GB"/>
              </w:rPr>
            </w:pPr>
            <w:r>
              <w:rPr>
                <w:rFonts w:hint="eastAsia" w:ascii="宋体" w:hAnsi="宋体" w:cs="宋体"/>
                <w:sz w:val="21"/>
                <w:szCs w:val="21"/>
              </w:rPr>
              <w:t>4</w:t>
            </w:r>
            <w:r>
              <w:rPr>
                <w:rFonts w:hint="eastAsia" w:ascii="宋体" w:hAnsi="宋体" w:cs="宋体"/>
                <w:sz w:val="21"/>
                <w:szCs w:val="21"/>
                <w:lang w:val="en-GB"/>
              </w:rPr>
              <w:t>、现场展示并核查</w:t>
            </w:r>
            <w:r>
              <w:rPr>
                <w:rFonts w:hint="eastAsia" w:ascii="宋体" w:hAnsi="宋体" w:cs="宋体"/>
                <w:sz w:val="21"/>
                <w:szCs w:val="21"/>
              </w:rPr>
              <w:t>竞选</w:t>
            </w:r>
            <w:r>
              <w:rPr>
                <w:rFonts w:hint="eastAsia" w:ascii="宋体" w:hAnsi="宋体" w:cs="宋体"/>
                <w:sz w:val="21"/>
                <w:szCs w:val="21"/>
                <w:lang w:val="en-GB"/>
              </w:rPr>
              <w:t>保证金的缴纳情况；</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5</w:t>
            </w:r>
            <w:r>
              <w:rPr>
                <w:rFonts w:hint="eastAsia" w:ascii="宋体" w:hAnsi="宋体" w:cs="宋体"/>
                <w:sz w:val="21"/>
                <w:szCs w:val="21"/>
                <w:lang w:val="en-GB"/>
              </w:rPr>
              <w:t>、密封情况检查：</w:t>
            </w:r>
            <w:r>
              <w:rPr>
                <w:rFonts w:hint="eastAsia" w:ascii="宋体" w:hAnsi="宋体" w:cs="宋体"/>
                <w:sz w:val="21"/>
                <w:szCs w:val="21"/>
              </w:rPr>
              <w:t>竞选</w:t>
            </w:r>
            <w:r>
              <w:rPr>
                <w:rFonts w:hint="eastAsia" w:ascii="宋体" w:hAnsi="宋体" w:cs="宋体"/>
                <w:sz w:val="21"/>
                <w:szCs w:val="21"/>
                <w:lang w:val="en-GB"/>
              </w:rPr>
              <w:t>人或者其推选的代表检查</w:t>
            </w:r>
            <w:r>
              <w:rPr>
                <w:rFonts w:hint="eastAsia" w:ascii="宋体" w:hAnsi="宋体" w:cs="宋体"/>
                <w:sz w:val="21"/>
                <w:szCs w:val="21"/>
              </w:rPr>
              <w:t>竞选</w:t>
            </w:r>
            <w:r>
              <w:rPr>
                <w:rFonts w:hint="eastAsia" w:ascii="宋体" w:hAnsi="宋体" w:cs="宋体"/>
                <w:sz w:val="21"/>
                <w:szCs w:val="21"/>
                <w:lang w:val="en-GB"/>
              </w:rPr>
              <w:t>文件的密封情况并确认；</w:t>
            </w:r>
          </w:p>
          <w:p>
            <w:pPr>
              <w:snapToGrid w:val="0"/>
              <w:spacing w:line="400" w:lineRule="exact"/>
              <w:ind w:left="209" w:leftChars="87" w:firstLine="208" w:firstLineChars="99"/>
              <w:rPr>
                <w:rFonts w:hint="eastAsia" w:ascii="宋体" w:hAnsi="宋体" w:cs="宋体"/>
                <w:sz w:val="21"/>
                <w:szCs w:val="21"/>
              </w:rPr>
            </w:pPr>
            <w:r>
              <w:rPr>
                <w:rFonts w:hint="eastAsia" w:ascii="宋体" w:hAnsi="宋体" w:cs="宋体"/>
                <w:sz w:val="21"/>
                <w:szCs w:val="21"/>
              </w:rPr>
              <w:t>6、公布最高限价；</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7</w:t>
            </w:r>
            <w:r>
              <w:rPr>
                <w:rFonts w:hint="eastAsia" w:ascii="宋体" w:hAnsi="宋体" w:cs="宋体"/>
                <w:sz w:val="21"/>
                <w:szCs w:val="21"/>
                <w:lang w:val="en-GB"/>
              </w:rPr>
              <w:t xml:space="preserve">、评选顺序：随机开启； </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8</w:t>
            </w:r>
            <w:r>
              <w:rPr>
                <w:rFonts w:hint="eastAsia" w:ascii="宋体" w:hAnsi="宋体" w:cs="宋体"/>
                <w:sz w:val="21"/>
                <w:szCs w:val="21"/>
                <w:lang w:val="en-GB"/>
              </w:rPr>
              <w:t>、开启</w:t>
            </w:r>
            <w:r>
              <w:rPr>
                <w:rFonts w:hint="eastAsia" w:ascii="宋体" w:hAnsi="宋体" w:cs="宋体"/>
                <w:sz w:val="21"/>
                <w:szCs w:val="21"/>
              </w:rPr>
              <w:t>竞选</w:t>
            </w:r>
            <w:r>
              <w:rPr>
                <w:rFonts w:hint="eastAsia" w:ascii="宋体" w:hAnsi="宋体" w:cs="宋体"/>
                <w:sz w:val="21"/>
                <w:szCs w:val="21"/>
                <w:lang w:val="en-GB"/>
              </w:rPr>
              <w:t>文件大袋，宣读</w:t>
            </w:r>
            <w:r>
              <w:rPr>
                <w:rFonts w:hint="eastAsia" w:ascii="宋体" w:hAnsi="宋体" w:cs="宋体"/>
                <w:sz w:val="21"/>
                <w:szCs w:val="21"/>
              </w:rPr>
              <w:t>竞选</w:t>
            </w:r>
            <w:r>
              <w:rPr>
                <w:rFonts w:hint="eastAsia" w:ascii="宋体" w:hAnsi="宋体" w:cs="宋体"/>
                <w:sz w:val="21"/>
                <w:szCs w:val="21"/>
                <w:lang w:val="en-GB"/>
              </w:rPr>
              <w:t>人名称及其他内容，并记录在案；</w:t>
            </w:r>
          </w:p>
          <w:p>
            <w:pPr>
              <w:snapToGrid w:val="0"/>
              <w:spacing w:line="400" w:lineRule="exact"/>
              <w:ind w:left="209" w:leftChars="87" w:firstLine="208" w:firstLineChars="99"/>
              <w:rPr>
                <w:rFonts w:hint="eastAsia" w:ascii="宋体" w:hAnsi="宋体" w:cs="宋体"/>
                <w:sz w:val="21"/>
                <w:szCs w:val="21"/>
                <w:lang w:val="en-GB"/>
              </w:rPr>
            </w:pPr>
            <w:r>
              <w:rPr>
                <w:rFonts w:hint="eastAsia" w:ascii="宋体" w:hAnsi="宋体" w:cs="宋体"/>
                <w:sz w:val="21"/>
                <w:szCs w:val="21"/>
              </w:rPr>
              <w:t>9</w:t>
            </w:r>
            <w:r>
              <w:rPr>
                <w:rFonts w:hint="eastAsia" w:ascii="宋体" w:hAnsi="宋体" w:cs="宋体"/>
                <w:sz w:val="21"/>
                <w:szCs w:val="21"/>
                <w:lang w:val="en-GB"/>
              </w:rPr>
              <w:t>、各</w:t>
            </w:r>
            <w:r>
              <w:rPr>
                <w:rFonts w:hint="eastAsia" w:ascii="宋体" w:hAnsi="宋体" w:cs="宋体"/>
                <w:sz w:val="21"/>
                <w:szCs w:val="21"/>
              </w:rPr>
              <w:t>竞选</w:t>
            </w:r>
            <w:r>
              <w:rPr>
                <w:rFonts w:hint="eastAsia" w:ascii="宋体" w:hAnsi="宋体" w:cs="宋体"/>
                <w:sz w:val="21"/>
                <w:szCs w:val="21"/>
                <w:lang w:val="en-GB"/>
              </w:rPr>
              <w:t>人代表、</w:t>
            </w:r>
            <w:r>
              <w:rPr>
                <w:rFonts w:hint="eastAsia" w:ascii="宋体" w:hAnsi="宋体" w:cs="宋体"/>
                <w:sz w:val="21"/>
                <w:szCs w:val="21"/>
              </w:rPr>
              <w:t>遴选人</w:t>
            </w:r>
            <w:r>
              <w:rPr>
                <w:rFonts w:hint="eastAsia" w:ascii="宋体" w:hAnsi="宋体" w:cs="宋体"/>
                <w:sz w:val="21"/>
                <w:szCs w:val="21"/>
                <w:lang w:val="en-GB"/>
              </w:rPr>
              <w:t>代表、监督人、记录人等有关人员在评选记录上签名；</w:t>
            </w:r>
          </w:p>
          <w:p>
            <w:pPr>
              <w:snapToGrid w:val="0"/>
              <w:spacing w:line="400" w:lineRule="exact"/>
              <w:ind w:left="209" w:leftChars="87" w:firstLine="208" w:firstLineChars="99"/>
              <w:rPr>
                <w:rFonts w:hint="eastAsia" w:ascii="宋体" w:hAnsi="宋体" w:cs="宋体"/>
                <w:sz w:val="21"/>
                <w:szCs w:val="21"/>
              </w:rPr>
            </w:pPr>
            <w:r>
              <w:rPr>
                <w:rFonts w:hint="eastAsia" w:ascii="宋体" w:hAnsi="宋体" w:cs="宋体"/>
                <w:sz w:val="21"/>
                <w:szCs w:val="21"/>
              </w:rPr>
              <w:t>10</w:t>
            </w:r>
            <w:r>
              <w:rPr>
                <w:rFonts w:hint="eastAsia" w:ascii="宋体" w:hAnsi="宋体" w:cs="宋体"/>
                <w:sz w:val="21"/>
                <w:szCs w:val="21"/>
                <w:lang w:val="en-GB"/>
              </w:rPr>
              <w:t>、评选结束。</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1708" w:type="dxa"/>
            <w:vAlign w:val="center"/>
          </w:tcPr>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评审小组的组成</w:t>
            </w:r>
          </w:p>
        </w:tc>
        <w:tc>
          <w:tcPr>
            <w:tcW w:w="7401" w:type="dxa"/>
            <w:vAlign w:val="center"/>
          </w:tcPr>
          <w:p>
            <w:pPr>
              <w:pStyle w:val="13"/>
              <w:spacing w:line="400" w:lineRule="exact"/>
              <w:ind w:firstLine="210" w:firstLineChars="100"/>
              <w:rPr>
                <w:rFonts w:hint="eastAsia" w:ascii="宋体" w:hAnsi="宋体" w:cs="宋体"/>
                <w:sz w:val="21"/>
                <w:szCs w:val="21"/>
                <w:lang w:val="en-GB"/>
              </w:rPr>
            </w:pPr>
            <w:r>
              <w:rPr>
                <w:rFonts w:hint="eastAsia" w:ascii="宋体" w:hAnsi="宋体" w:cs="宋体"/>
                <w:sz w:val="21"/>
                <w:szCs w:val="21"/>
                <w:lang w:val="en-GB"/>
              </w:rPr>
              <w:t>由</w:t>
            </w:r>
            <w:r>
              <w:rPr>
                <w:rFonts w:hint="eastAsia" w:ascii="宋体" w:hAnsi="宋体" w:cs="宋体"/>
                <w:sz w:val="21"/>
                <w:szCs w:val="21"/>
              </w:rPr>
              <w:t>遴选人</w:t>
            </w:r>
            <w:r>
              <w:rPr>
                <w:rFonts w:hint="eastAsia" w:ascii="宋体" w:hAnsi="宋体" w:cs="宋体"/>
                <w:sz w:val="21"/>
                <w:szCs w:val="21"/>
                <w:lang w:val="en-GB"/>
              </w:rPr>
              <w:t>依法按相关法律法规和规范性文件依法组建。</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1708" w:type="dxa"/>
            <w:vAlign w:val="center"/>
          </w:tcPr>
          <w:p>
            <w:pPr>
              <w:pStyle w:val="68"/>
              <w:spacing w:line="400" w:lineRule="exact"/>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评审小组推荐的</w:t>
            </w:r>
            <w:r>
              <w:rPr>
                <w:rFonts w:hint="eastAsia" w:ascii="宋体" w:hAnsi="宋体" w:eastAsia="宋体" w:cs="宋体"/>
                <w:color w:val="auto"/>
                <w:kern w:val="2"/>
                <w:sz w:val="21"/>
                <w:szCs w:val="21"/>
              </w:rPr>
              <w:t>中选候选人</w:t>
            </w:r>
          </w:p>
        </w:tc>
        <w:tc>
          <w:tcPr>
            <w:tcW w:w="7401" w:type="dxa"/>
            <w:vAlign w:val="center"/>
          </w:tcPr>
          <w:p>
            <w:pPr>
              <w:spacing w:line="44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评审完成后，评审小组应当向遴选人提交书面评审报告和</w:t>
            </w:r>
            <w:r>
              <w:rPr>
                <w:rFonts w:hint="eastAsia" w:cs="宋体" w:asciiTheme="minorEastAsia" w:hAnsiTheme="minorEastAsia" w:eastAsiaTheme="minorEastAsia"/>
                <w:kern w:val="2"/>
                <w:sz w:val="21"/>
                <w:szCs w:val="21"/>
              </w:rPr>
              <w:t>中选候选人</w:t>
            </w:r>
            <w:r>
              <w:rPr>
                <w:rFonts w:hint="eastAsia" w:cs="宋体" w:asciiTheme="minorEastAsia" w:hAnsiTheme="minorEastAsia" w:eastAsiaTheme="minorEastAsia"/>
                <w:sz w:val="21"/>
                <w:szCs w:val="21"/>
              </w:rPr>
              <w:t>名单，</w:t>
            </w:r>
            <w:r>
              <w:rPr>
                <w:rFonts w:hint="eastAsia" w:cs="宋体" w:asciiTheme="minorEastAsia" w:hAnsiTheme="minorEastAsia" w:eastAsiaTheme="minorEastAsia"/>
                <w:sz w:val="21"/>
                <w:szCs w:val="21"/>
                <w:lang w:val="zh-TW"/>
              </w:rPr>
              <w:t>按综合得分由高到低的顺序排序，推荐</w:t>
            </w:r>
            <w:r>
              <w:rPr>
                <w:rFonts w:hint="eastAsia" w:cs="宋体" w:asciiTheme="minorEastAsia" w:hAnsiTheme="minorEastAsia" w:eastAsiaTheme="minorEastAsia"/>
                <w:color w:val="000000" w:themeColor="text1"/>
                <w:sz w:val="21"/>
                <w:szCs w:val="21"/>
                <w:lang w:val="zh-TW"/>
                <w14:textFill>
                  <w14:solidFill>
                    <w14:schemeClr w14:val="tx1"/>
                  </w14:solidFill>
                </w14:textFill>
              </w:rPr>
              <w:t>3名中选候选人，得分最高者为第一中选候选人。</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7.1</w:t>
            </w:r>
          </w:p>
        </w:tc>
        <w:tc>
          <w:tcPr>
            <w:tcW w:w="1708"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合作诚意金</w:t>
            </w:r>
          </w:p>
        </w:tc>
        <w:tc>
          <w:tcPr>
            <w:tcW w:w="7401" w:type="dxa"/>
            <w:vAlign w:val="center"/>
          </w:tcPr>
          <w:p>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无。</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8.1</w:t>
            </w:r>
          </w:p>
        </w:tc>
        <w:tc>
          <w:tcPr>
            <w:tcW w:w="1708" w:type="dxa"/>
            <w:vAlign w:val="center"/>
          </w:tcPr>
          <w:p>
            <w:pPr>
              <w:snapToGrid w:val="0"/>
              <w:spacing w:line="400" w:lineRule="exact"/>
              <w:ind w:firstLine="0"/>
              <w:jc w:val="center"/>
              <w:rPr>
                <w:rFonts w:hint="eastAsia" w:ascii="宋体" w:hAnsi="宋体" w:cs="宋体"/>
                <w:snapToGrid w:val="0"/>
                <w:sz w:val="21"/>
                <w:szCs w:val="21"/>
              </w:rPr>
            </w:pPr>
            <w:r>
              <w:rPr>
                <w:rFonts w:hint="eastAsia" w:ascii="宋体" w:hAnsi="宋体" w:cs="宋体"/>
                <w:sz w:val="21"/>
                <w:szCs w:val="21"/>
              </w:rPr>
              <w:t>遴选数量</w:t>
            </w:r>
          </w:p>
        </w:tc>
        <w:tc>
          <w:tcPr>
            <w:tcW w:w="7401" w:type="dxa"/>
            <w:vAlign w:val="center"/>
          </w:tcPr>
          <w:p>
            <w:pPr>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本次遴选由评审小组按照1.4.1的条件对竞选人进行评审，最终将选定壹家单位作为本项目的合作方。当竞选人仅有壹家且符合遴选文件条件时，可直接推荐该竞选人为</w:t>
            </w:r>
            <w:r>
              <w:rPr>
                <w:rFonts w:hint="eastAsia" w:cs="宋体" w:asciiTheme="minorEastAsia" w:hAnsiTheme="minorEastAsia" w:eastAsiaTheme="minorEastAsia"/>
                <w:sz w:val="21"/>
                <w:szCs w:val="21"/>
                <w:lang w:val="zh-TW"/>
              </w:rPr>
              <w:t>中选候选人</w:t>
            </w:r>
            <w:r>
              <w:rPr>
                <w:rFonts w:hint="eastAsia" w:cs="宋体" w:asciiTheme="minorEastAsia" w:hAnsiTheme="minorEastAsia" w:eastAsiaTheme="minorEastAsia"/>
                <w:sz w:val="21"/>
                <w:szCs w:val="21"/>
              </w:rPr>
              <w:t>，公示后按程序确定为合作方。</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1708" w:type="dxa"/>
            <w:vAlign w:val="center"/>
          </w:tcPr>
          <w:p>
            <w:pPr>
              <w:snapToGrid w:val="0"/>
              <w:spacing w:line="400" w:lineRule="exact"/>
              <w:ind w:firstLine="0"/>
              <w:jc w:val="center"/>
              <w:rPr>
                <w:rFonts w:hint="eastAsia" w:ascii="宋体" w:hAnsi="宋体" w:cs="宋体"/>
                <w:sz w:val="21"/>
                <w:szCs w:val="21"/>
              </w:rPr>
            </w:pPr>
            <w:r>
              <w:rPr>
                <w:rFonts w:hint="eastAsia" w:ascii="宋体" w:hAnsi="宋体" w:cs="宋体"/>
                <w:sz w:val="21"/>
                <w:szCs w:val="21"/>
              </w:rPr>
              <w:t>重新遴选</w:t>
            </w:r>
          </w:p>
        </w:tc>
        <w:tc>
          <w:tcPr>
            <w:tcW w:w="7401" w:type="dxa"/>
            <w:vAlign w:val="center"/>
          </w:tcPr>
          <w:p>
            <w:pPr>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1、按竞选人须知第8(1)执行；</w:t>
            </w:r>
          </w:p>
          <w:p>
            <w:pPr>
              <w:snapToGrid w:val="0"/>
              <w:spacing w:line="400" w:lineRule="exact"/>
              <w:ind w:firstLine="420" w:firstLineChars="200"/>
              <w:rPr>
                <w:rFonts w:hint="eastAsia" w:ascii="宋体" w:hAnsi="宋体" w:cs="宋体"/>
                <w:sz w:val="21"/>
                <w:szCs w:val="21"/>
              </w:rPr>
            </w:pPr>
            <w:r>
              <w:rPr>
                <w:rFonts w:hint="eastAsia" w:ascii="宋体" w:hAnsi="宋体" w:cs="宋体"/>
                <w:sz w:val="21"/>
                <w:szCs w:val="21"/>
              </w:rPr>
              <w:t>2、按竞选人须知第8(2)执行。</w:t>
            </w:r>
          </w:p>
        </w:tc>
      </w:tr>
      <w:tr>
        <w:tblPrEx>
          <w:tblBorders>
            <w:top w:val="single" w:color="000000" w:sz="6"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jc w:val="center"/>
        </w:trPr>
        <w:tc>
          <w:tcPr>
            <w:tcW w:w="1151" w:type="dxa"/>
            <w:vAlign w:val="center"/>
          </w:tcPr>
          <w:p>
            <w:pPr>
              <w:pStyle w:val="68"/>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9.1</w:t>
            </w:r>
          </w:p>
        </w:tc>
        <w:tc>
          <w:tcPr>
            <w:tcW w:w="1708" w:type="dxa"/>
            <w:vAlign w:val="center"/>
          </w:tcPr>
          <w:p>
            <w:pPr>
              <w:snapToGrid w:val="0"/>
              <w:spacing w:line="400" w:lineRule="exact"/>
              <w:ind w:firstLine="0"/>
              <w:jc w:val="center"/>
              <w:rPr>
                <w:rFonts w:hint="eastAsia" w:ascii="宋体" w:hAnsi="宋体" w:cs="宋体"/>
                <w:snapToGrid w:val="0"/>
                <w:sz w:val="21"/>
                <w:szCs w:val="21"/>
              </w:rPr>
            </w:pPr>
            <w:r>
              <w:rPr>
                <w:rFonts w:hint="eastAsia" w:ascii="宋体" w:hAnsi="宋体" w:cs="宋体"/>
                <w:sz w:val="21"/>
                <w:szCs w:val="21"/>
              </w:rPr>
              <w:t>公示</w:t>
            </w:r>
          </w:p>
        </w:tc>
        <w:tc>
          <w:tcPr>
            <w:tcW w:w="7401" w:type="dxa"/>
            <w:vAlign w:val="center"/>
          </w:tcPr>
          <w:p>
            <w:pPr>
              <w:snapToGrid w:val="0"/>
              <w:spacing w:line="400" w:lineRule="exact"/>
              <w:ind w:firstLine="0"/>
              <w:rPr>
                <w:rFonts w:hint="eastAsia" w:ascii="宋体" w:hAnsi="宋体" w:cs="宋体"/>
                <w:sz w:val="21"/>
                <w:szCs w:val="21"/>
              </w:rPr>
            </w:pPr>
            <w:r>
              <w:rPr>
                <w:rFonts w:hint="eastAsia" w:ascii="宋体" w:hAnsi="宋体" w:cs="宋体"/>
                <w:sz w:val="21"/>
                <w:szCs w:val="21"/>
              </w:rPr>
              <w:t>评审结果在公告发布的网上进行公示，公示期为3日。</w:t>
            </w:r>
          </w:p>
        </w:tc>
      </w:tr>
    </w:tbl>
    <w:p>
      <w:pPr>
        <w:spacing w:line="400" w:lineRule="exact"/>
        <w:ind w:firstLine="1200" w:firstLineChars="500"/>
        <w:rPr>
          <w:rFonts w:hint="eastAsia" w:ascii="宋体" w:hAnsi="宋体" w:cs="宋体"/>
          <w:b/>
          <w:bCs/>
          <w:szCs w:val="24"/>
        </w:rPr>
      </w:pPr>
      <w:r>
        <w:rPr>
          <w:rFonts w:hint="eastAsia"/>
        </w:rPr>
        <w:t>注：本附表与后文不一致的以本附表为准。</w:t>
      </w:r>
    </w:p>
    <w:p>
      <w:pPr>
        <w:spacing w:line="400" w:lineRule="exact"/>
      </w:pPr>
    </w:p>
    <w:p>
      <w:pPr>
        <w:spacing w:line="400" w:lineRule="exact"/>
        <w:ind w:firstLine="0"/>
        <w:sectPr>
          <w:footerReference r:id="rId13" w:type="default"/>
          <w:pgSz w:w="11906" w:h="16838"/>
          <w:pgMar w:top="1134" w:right="1134" w:bottom="1134" w:left="1134" w:header="851" w:footer="992" w:gutter="0"/>
          <w:cols w:space="720" w:num="1"/>
          <w:docGrid w:type="lines" w:linePitch="312" w:charSpace="0"/>
        </w:sectPr>
      </w:pPr>
    </w:p>
    <w:bookmarkEnd w:id="87"/>
    <w:p>
      <w:pPr>
        <w:spacing w:line="400" w:lineRule="exact"/>
        <w:ind w:firstLine="0"/>
        <w:jc w:val="left"/>
        <w:outlineLvl w:val="1"/>
        <w:rPr>
          <w:rFonts w:hint="eastAsia" w:ascii="宋体" w:hAnsi="宋体" w:cs="宋体"/>
          <w:b/>
          <w:bCs/>
          <w:szCs w:val="24"/>
        </w:rPr>
      </w:pPr>
      <w:bookmarkStart w:id="93" w:name="_Toc161058951"/>
      <w:bookmarkStart w:id="94" w:name="_Toc1807"/>
      <w:bookmarkStart w:id="95" w:name="_Toc447723882"/>
    </w:p>
    <w:p>
      <w:pPr>
        <w:spacing w:line="400" w:lineRule="exact"/>
        <w:ind w:firstLine="0"/>
        <w:jc w:val="left"/>
        <w:outlineLvl w:val="1"/>
        <w:rPr>
          <w:rFonts w:hint="eastAsia" w:ascii="宋体" w:hAnsi="宋体" w:cs="宋体"/>
          <w:bCs/>
          <w:szCs w:val="28"/>
        </w:rPr>
      </w:pPr>
      <w:r>
        <w:rPr>
          <w:rFonts w:hint="eastAsia" w:ascii="宋体" w:hAnsi="宋体" w:cs="宋体"/>
          <w:b/>
          <w:bCs/>
          <w:szCs w:val="24"/>
        </w:rPr>
        <w:t>1.总则</w:t>
      </w:r>
      <w:bookmarkEnd w:id="93"/>
      <w:bookmarkEnd w:id="94"/>
      <w:bookmarkEnd w:id="95"/>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 项目概况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1.1.1根据有关法律、法规和有关部分的规定，本项目已具备遴选条件，现对本项目进行遴选。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1.1.2 本遴选项目遴选人：见竞选人须知前附表。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1.1.3 本项目遴选代理机构：见竞选人须知前附表。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1.1.4 本遴选项目名称：见竞选人须知前附表。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1.1.5 本项目项目地点：见竞选人须知前附表。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1.2 资金来源和落实情况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1.2.1 本遴选项目的资金来源：见竞选人须知前附表。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1.2.2 本遴选项目的出资比例：见竞选人须知前附表。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1.2.3 本遴选项目的资金落实情况：见竞选人须知前附表。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1.3 遴选范围、项目周期及质量要求等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1.3.1 本项目遴选范围：见竞选人须知前附表。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1.3.2 本项目项目周期：见竞选人须知前附表。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1.3.3 本项目质量要求：见竞选人须知前附表。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1.3.4 本项目</w:t>
      </w:r>
      <w:r>
        <w:rPr>
          <w:rFonts w:hint="eastAsia" w:ascii="宋体" w:hAnsi="宋体" w:cs="宋体"/>
          <w:snapToGrid w:val="0"/>
          <w:sz w:val="21"/>
          <w:szCs w:val="21"/>
        </w:rPr>
        <w:t>运作方式：</w:t>
      </w:r>
      <w:r>
        <w:rPr>
          <w:rFonts w:hint="eastAsia" w:ascii="宋体" w:hAnsi="宋体" w:cs="宋体"/>
          <w:sz w:val="21"/>
          <w:szCs w:val="21"/>
        </w:rPr>
        <w:t>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1.4 竞选人资格要求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1.4.1竞选人应具备承担本项目的资质条件、能力和信誉等见竞选人须知前附表。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1.4.2本项目是否接受联合体竞选见竞选人须知前附表。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1.4.3  竞选人不得存在下列情形之一：</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（1）与遴选人存在利害关系可能影响遴选公正性的法人、其他组织或者个人；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（2）为本标段前期准备提供设计或咨询服务的，但设计施工总承包的除外；</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（3）为本标段的监理人；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（4）为本标段的代建人；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（5）为本标段提供遴选代理服务的；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（6）与本标段的监理人或代建人或遴选代理机构同为一个法定代表人的；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（7）与本标段的监理人或代建人或遴选代理机构相互控股或参股的；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（8）与本标段的监理人或代建人或遴选代理机构相互任职或工作的；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（9）被责令停业的；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（10）被国家、重庆市（含市或任意区县）有关行政部门处以暂停竞选资格行政处罚，且在处罚期限内的；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（11）财产被接管或冻结的；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（12）单位负责人为同一人或者存在控股、管理关系的不同单位，不得在同一标段中同时竞选。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1.5 费用承担</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竞选人准备和参加竞选活动发生的费用自理。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1.6 保密</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参与遴选活动的各方应对竞争性遴选文件和竞选文件中的商业和技术等秘密保密，违者应对由此造成的后果承担法律责任。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1.7 语言文字</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除专用术语外，与遴选有关的语言均使用中文。必要时专用术语应附有中文注释。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1.8 计量单位</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所有计量均采用中华人民共和国法定计量单位。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1.9 踏勘现场 </w:t>
      </w:r>
    </w:p>
    <w:p>
      <w:pPr>
        <w:spacing w:line="400" w:lineRule="exact"/>
        <w:ind w:firstLine="420" w:firstLineChars="200"/>
        <w:rPr>
          <w:rFonts w:hint="eastAsia" w:ascii="宋体" w:hAnsi="宋体" w:cs="宋体"/>
          <w:sz w:val="21"/>
          <w:szCs w:val="21"/>
        </w:rPr>
      </w:pPr>
      <w:bookmarkStart w:id="96" w:name="_Toc290293176"/>
      <w:bookmarkStart w:id="97" w:name="_Toc299297040"/>
      <w:bookmarkStart w:id="98" w:name="_Toc299299378"/>
      <w:bookmarkStart w:id="99" w:name="_Toc299295402"/>
      <w:bookmarkStart w:id="100" w:name="_Toc299183717"/>
      <w:bookmarkStart w:id="101" w:name="_Toc289103113"/>
      <w:bookmarkStart w:id="102" w:name="_Toc299282543"/>
      <w:bookmarkStart w:id="103" w:name="_Toc299200409"/>
      <w:bookmarkStart w:id="104" w:name="_Toc299202408"/>
      <w:bookmarkStart w:id="105" w:name="_Toc299186885"/>
      <w:bookmarkStart w:id="106" w:name="_Toc299291986"/>
      <w:r>
        <w:rPr>
          <w:rFonts w:hint="eastAsia" w:ascii="宋体" w:hAnsi="宋体" w:cs="宋体"/>
          <w:sz w:val="21"/>
          <w:szCs w:val="21"/>
        </w:rPr>
        <w:t>1.9.1 竞选人须知前附表规定组织踏勘现场的，遴选人按竞选人须知前附表规定的时间、地点组织竞选人踏勘项目现场。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1.9.2 竞选人踏勘现场发生的费用自理。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1.9.3 除遴选人的原因外，竞选人自行负责在踏勘现场中所发生的人员伤亡和财产损失。</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1.9.4 遴选人在踏勘现场中介绍的工程场地和相关的周边环境情况，供竞选人在编制竞选文件时参考，遴选人不对竞选人据此作出的判断和决策负责。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1.10遴选预备会</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本项目是否组织遴选预备会见竞选人须知前附表。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1.11是否接受</w:t>
      </w:r>
      <w:r>
        <w:rPr>
          <w:rFonts w:hint="eastAsia" w:ascii="宋体" w:hAnsi="宋体" w:cs="宋体"/>
          <w:kern w:val="2"/>
          <w:sz w:val="21"/>
          <w:szCs w:val="21"/>
        </w:rPr>
        <w:t>成交竞选人</w:t>
      </w:r>
      <w:r>
        <w:rPr>
          <w:rFonts w:hint="eastAsia" w:ascii="宋体" w:hAnsi="宋体" w:cs="宋体"/>
          <w:sz w:val="21"/>
          <w:szCs w:val="21"/>
        </w:rPr>
        <w:t>分包</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本项目是否接受</w:t>
      </w:r>
      <w:r>
        <w:rPr>
          <w:rFonts w:hint="eastAsia" w:ascii="宋体" w:hAnsi="宋体" w:cs="宋体"/>
          <w:kern w:val="2"/>
          <w:sz w:val="21"/>
          <w:szCs w:val="21"/>
        </w:rPr>
        <w:t>成交竞选人</w:t>
      </w:r>
      <w:r>
        <w:rPr>
          <w:rFonts w:hint="eastAsia" w:ascii="宋体" w:hAnsi="宋体" w:cs="宋体"/>
          <w:sz w:val="21"/>
          <w:szCs w:val="21"/>
        </w:rPr>
        <w:t>分包，若接受</w:t>
      </w:r>
      <w:r>
        <w:rPr>
          <w:rFonts w:hint="eastAsia" w:ascii="宋体" w:hAnsi="宋体" w:cs="宋体"/>
          <w:kern w:val="2"/>
          <w:sz w:val="21"/>
          <w:szCs w:val="21"/>
        </w:rPr>
        <w:t>成交竞选人</w:t>
      </w:r>
      <w:r>
        <w:rPr>
          <w:rFonts w:hint="eastAsia" w:ascii="宋体" w:hAnsi="宋体" w:cs="宋体"/>
          <w:sz w:val="21"/>
          <w:szCs w:val="21"/>
        </w:rPr>
        <w:t>分包对第三人资质要求和容许分包的金额见竞选人须知前附表。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1.12 竞选对竞争性遴选文件的偏离</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是否允许竞选文件偏离竞争性遴选文件某些要求、允许偏离的范围和幅度见竞选人须知前附表。 </w:t>
      </w:r>
    </w:p>
    <w:p>
      <w:pPr>
        <w:pStyle w:val="3"/>
        <w:keepNext w:val="0"/>
        <w:keepLines w:val="0"/>
        <w:widowControl/>
        <w:adjustRightInd/>
        <w:spacing w:line="400" w:lineRule="exact"/>
        <w:jc w:val="left"/>
        <w:textAlignment w:val="auto"/>
        <w:rPr>
          <w:rFonts w:hint="eastAsia" w:cs="宋体"/>
          <w:sz w:val="24"/>
          <w:szCs w:val="24"/>
        </w:rPr>
      </w:pPr>
      <w:bookmarkStart w:id="107" w:name="_Toc447723883"/>
      <w:bookmarkStart w:id="108" w:name="_Toc27710"/>
      <w:bookmarkStart w:id="109" w:name="_Toc161058952"/>
      <w:r>
        <w:rPr>
          <w:rFonts w:hint="eastAsia" w:cs="宋体"/>
          <w:sz w:val="24"/>
          <w:szCs w:val="24"/>
        </w:rPr>
        <w:t>2.</w:t>
      </w:r>
      <w:bookmarkEnd w:id="107"/>
      <w:bookmarkEnd w:id="108"/>
      <w:r>
        <w:rPr>
          <w:rFonts w:hint="eastAsia" w:cs="宋体"/>
          <w:sz w:val="24"/>
          <w:szCs w:val="24"/>
        </w:rPr>
        <w:t>竞争性遴选文件</w:t>
      </w:r>
      <w:bookmarkEnd w:id="109"/>
    </w:p>
    <w:p>
      <w:pPr>
        <w:spacing w:line="400" w:lineRule="exact"/>
        <w:ind w:firstLine="420" w:firstLineChars="200"/>
        <w:rPr>
          <w:rFonts w:hint="eastAsia" w:ascii="宋体" w:hAnsi="宋体" w:cs="宋体"/>
          <w:sz w:val="21"/>
          <w:szCs w:val="21"/>
        </w:rPr>
      </w:pPr>
      <w:r>
        <w:rPr>
          <w:rFonts w:hint="eastAsia" w:ascii="宋体" w:hAnsi="宋体" w:cs="宋体"/>
          <w:sz w:val="21"/>
          <w:szCs w:val="21"/>
        </w:rPr>
        <w:t>2.1 竞争性遴选文件的组成</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2.1.1本项目竞争性遴选文件的组成见竞选人须知前附表。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2.1.2对竞争性遴选文件所作的澄清、答疑和修改，构成竞争性遴选文件的组成部分。</w:t>
      </w:r>
      <w:bookmarkStart w:id="110" w:name="_Toc351455892"/>
      <w:bookmarkStart w:id="111" w:name="_Toc281564417"/>
      <w:bookmarkStart w:id="112" w:name="_Toc284158133"/>
      <w:bookmarkStart w:id="113" w:name="_Toc257799453"/>
      <w:bookmarkStart w:id="114" w:name="_Toc255759364"/>
    </w:p>
    <w:p>
      <w:pPr>
        <w:spacing w:line="400" w:lineRule="exact"/>
        <w:ind w:firstLine="420" w:firstLineChars="200"/>
        <w:rPr>
          <w:rFonts w:hint="eastAsia" w:ascii="宋体" w:hAnsi="宋体" w:cs="宋体"/>
          <w:sz w:val="21"/>
          <w:szCs w:val="21"/>
        </w:rPr>
      </w:pPr>
      <w:r>
        <w:rPr>
          <w:rFonts w:hint="eastAsia" w:ascii="宋体" w:hAnsi="宋体" w:cs="宋体"/>
          <w:sz w:val="21"/>
          <w:szCs w:val="21"/>
        </w:rPr>
        <w:t>2.2竞争性遴选文件的澄清</w:t>
      </w:r>
      <w:bookmarkEnd w:id="110"/>
      <w:bookmarkEnd w:id="111"/>
      <w:bookmarkEnd w:id="112"/>
    </w:p>
    <w:p>
      <w:pPr>
        <w:spacing w:line="400" w:lineRule="exact"/>
        <w:ind w:firstLine="420" w:firstLineChars="200"/>
        <w:rPr>
          <w:rFonts w:hint="eastAsia" w:ascii="宋体" w:hAnsi="宋体" w:cs="宋体"/>
          <w:sz w:val="21"/>
          <w:szCs w:val="21"/>
        </w:rPr>
      </w:pPr>
      <w:bookmarkStart w:id="115" w:name="_Toc351455893"/>
      <w:bookmarkStart w:id="116" w:name="_Toc284158134"/>
      <w:bookmarkStart w:id="117" w:name="_Toc281564418"/>
      <w:r>
        <w:rPr>
          <w:rFonts w:hint="eastAsia" w:ascii="宋体" w:hAnsi="宋体" w:cs="宋体"/>
          <w:sz w:val="21"/>
          <w:szCs w:val="21"/>
        </w:rPr>
        <w:t>2.2.1竞选人要求澄清竞争性遴选文件的截止时间：</w:t>
      </w:r>
      <w:r>
        <w:rPr>
          <w:rFonts w:hint="eastAsia" w:ascii="宋体" w:hAnsi="宋体" w:cs="宋体"/>
          <w:sz w:val="21"/>
          <w:szCs w:val="21"/>
          <w:u w:val="single"/>
        </w:rPr>
        <w:t>见竞选人须知前附表</w:t>
      </w: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2.2.2 遴选人对竞争性遴选文件的澄清具体要求:</w:t>
      </w:r>
      <w:r>
        <w:rPr>
          <w:rFonts w:hint="eastAsia" w:ascii="宋体" w:hAnsi="宋体" w:cs="宋体"/>
          <w:sz w:val="21"/>
          <w:szCs w:val="21"/>
          <w:u w:val="single"/>
        </w:rPr>
        <w:t>见竞选人须知前附表</w:t>
      </w: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2.2.3竞选人对竞争性遴选文件及答疑补遗提出异议的截止时间：</w:t>
      </w:r>
      <w:r>
        <w:rPr>
          <w:rFonts w:hint="eastAsia" w:ascii="宋体" w:hAnsi="宋体" w:cs="宋体"/>
          <w:sz w:val="21"/>
          <w:szCs w:val="21"/>
          <w:u w:val="single"/>
        </w:rPr>
        <w:t>见竞选人须知前附表</w:t>
      </w: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2.3 竞争性遴选文件的修改</w:t>
      </w:r>
      <w:bookmarkEnd w:id="115"/>
      <w:bookmarkEnd w:id="116"/>
      <w:bookmarkEnd w:id="117"/>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2.3.1遴选人对竞争性遴选文件修改的截止时间：在竞选截止时间2日前，遴选人可以修改招竞争性遴选文件。如果修改竞争性遴选文件的时间距竞选截止时间不足1日，相应延长竞选截止时间。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2.3.2遴选人对竞争性遴选文件的修改均通过在</w:t>
      </w:r>
      <w:r>
        <w:rPr>
          <w:rFonts w:hint="eastAsia" w:ascii="宋体" w:hAnsi="宋体" w:cs="宋体"/>
          <w:snapToGrid w:val="0"/>
          <w:sz w:val="21"/>
          <w:szCs w:val="21"/>
        </w:rPr>
        <w:t>重庆高速集团官网（http://www.cegc.com.cn/）、重庆高速公路集团有限公司招投标管理平台（http://cqgsbid.cegc.com.cn:7900）</w:t>
      </w:r>
      <w:r>
        <w:rPr>
          <w:rFonts w:hint="eastAsia" w:ascii="宋体" w:hAnsi="宋体" w:cs="宋体"/>
          <w:sz w:val="21"/>
          <w:szCs w:val="21"/>
        </w:rPr>
        <w:t>上发出，由竞选人自行下载，不论竞选人下载与否，遴选人和遴选代理机构都视为竞选人均已收到并知晓本竞选文件递交截止时间前发出的所有通知内容。</w:t>
      </w:r>
    </w:p>
    <w:p>
      <w:pPr>
        <w:pStyle w:val="3"/>
        <w:keepNext w:val="0"/>
        <w:keepLines w:val="0"/>
        <w:widowControl/>
        <w:adjustRightInd/>
        <w:spacing w:line="400" w:lineRule="exact"/>
        <w:jc w:val="left"/>
        <w:textAlignment w:val="auto"/>
        <w:rPr>
          <w:rFonts w:hint="eastAsia" w:cs="宋体"/>
          <w:sz w:val="24"/>
          <w:szCs w:val="24"/>
        </w:rPr>
      </w:pPr>
      <w:bookmarkStart w:id="118" w:name="_Toc18839"/>
      <w:bookmarkStart w:id="119" w:name="_Toc447723884"/>
      <w:bookmarkStart w:id="120" w:name="_Toc161058953"/>
      <w:r>
        <w:rPr>
          <w:rFonts w:hint="eastAsia" w:cs="宋体"/>
          <w:sz w:val="24"/>
          <w:szCs w:val="24"/>
        </w:rPr>
        <w:t>3.竞选文件</w:t>
      </w:r>
      <w:bookmarkEnd w:id="113"/>
      <w:bookmarkEnd w:id="114"/>
      <w:bookmarkEnd w:id="118"/>
      <w:bookmarkEnd w:id="119"/>
      <w:bookmarkEnd w:id="120"/>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3.1 竞选文件的组成</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3.1.1竞选文件应包括下列内容：</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详见第六章竞选文件格式</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3.2 竞选报价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3.3 竞选有效期 </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3.3.1 竞选文件在竞选人须知前附表规定的竞选有效期内保持有效，竞选人在此期间不得要求撤销或修改其竞选文件。 </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3.3.2出现特殊情况需要延长竞选有效期的，遴选人以书面形式通知所有竞选人延长竞选有效期。竞选人同意延长的，应相应延长其竞选保证金的有效期，但不得要求或被允许修改或撤销其竞选文件；竞选人拒绝延长的，其竞选失效，竞选保证金不予退还。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3.4 竞选保证金 </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3.4.1 竞选人应按竞选人须知前附表规定的金额、时间和形式递交竞选保证金。 </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3.4.2 竞选保证金提交时间和地点按竞选人须知前附表规定。</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3.4.4 竞选人不按竞争性遴选文件第 3.4.1项要求提交竞选保证金的，其竞选将被否决。 </w:t>
      </w:r>
    </w:p>
    <w:p>
      <w:pPr>
        <w:widowControl/>
        <w:adjustRightInd/>
        <w:spacing w:line="40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3.4.5 有下列情形之一的，竞选保证金将不予退还：</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（1）竞选人在规定的竞选有效期内撤销或修改其竞选文件的；</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（2）成交竞选人在收到成交通知书后，无正当理由拒签合同协议书或未按竞争性遴选文件规定提交合作诚意金的；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（3）依据法律法规应不予退还竞选保证金的其他情况。</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3.5资格审查资料（资格后审）</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本项目具体要求详见竞选人须知前附表1.4.1款的要求规定。</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3.6 备选竞选方案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除竞选人须知前附表另有规定外，竞选人不得递交备选竞选方案。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3.7 竞选文件的编制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3.7.1竞选文件应按第六章“竞选文件格式”进行编写，如有必要，可以增加附页，作为竞选文件的组成部分。其中，竞选承诺函附录在满足竞争性遴选文件实质性要求的基础上，可以提出比竞争性遴选文件要求更有利于遴选人的承诺。</w:t>
      </w:r>
    </w:p>
    <w:p>
      <w:pPr>
        <w:spacing w:line="400" w:lineRule="exact"/>
        <w:ind w:firstLine="420" w:firstLineChars="200"/>
        <w:jc w:val="left"/>
        <w:rPr>
          <w:rFonts w:hint="eastAsia" w:ascii="宋体" w:hAnsi="宋体" w:cs="宋体"/>
          <w:bCs/>
          <w:sz w:val="21"/>
          <w:szCs w:val="21"/>
        </w:rPr>
      </w:pPr>
      <w:r>
        <w:rPr>
          <w:rFonts w:hint="eastAsia" w:ascii="宋体" w:hAnsi="宋体" w:cs="宋体"/>
          <w:bCs/>
          <w:sz w:val="21"/>
          <w:szCs w:val="21"/>
        </w:rPr>
        <w:t xml:space="preserve">3.7.2 </w:t>
      </w:r>
      <w:r>
        <w:rPr>
          <w:rFonts w:hint="eastAsia" w:ascii="宋体" w:hAnsi="宋体" w:cs="宋体"/>
          <w:sz w:val="21"/>
          <w:szCs w:val="21"/>
        </w:rPr>
        <w:t>竞选</w:t>
      </w:r>
      <w:r>
        <w:rPr>
          <w:rFonts w:hint="eastAsia" w:ascii="宋体" w:hAnsi="宋体" w:cs="宋体"/>
          <w:bCs/>
          <w:sz w:val="21"/>
          <w:szCs w:val="21"/>
        </w:rPr>
        <w:t>文件应当对</w:t>
      </w:r>
      <w:r>
        <w:rPr>
          <w:rFonts w:hint="eastAsia" w:ascii="宋体" w:hAnsi="宋体" w:cs="宋体"/>
          <w:sz w:val="21"/>
          <w:szCs w:val="21"/>
        </w:rPr>
        <w:t>竞争性遴选文件</w:t>
      </w:r>
      <w:r>
        <w:rPr>
          <w:rFonts w:hint="eastAsia" w:ascii="宋体" w:hAnsi="宋体" w:cs="宋体"/>
          <w:bCs/>
          <w:sz w:val="21"/>
          <w:szCs w:val="21"/>
        </w:rPr>
        <w:t>有关服务时间、项目地点、</w:t>
      </w:r>
      <w:r>
        <w:rPr>
          <w:rFonts w:hint="eastAsia" w:ascii="宋体" w:hAnsi="宋体" w:cs="宋体"/>
          <w:sz w:val="21"/>
          <w:szCs w:val="21"/>
        </w:rPr>
        <w:t>竞选</w:t>
      </w:r>
      <w:r>
        <w:rPr>
          <w:rFonts w:hint="eastAsia" w:ascii="宋体" w:hAnsi="宋体" w:cs="宋体"/>
          <w:bCs/>
          <w:sz w:val="21"/>
          <w:szCs w:val="21"/>
        </w:rPr>
        <w:t>有效期、质量要求、技术标准和要求、遴选范围等实质性内容做出响应。</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3.7.3竞选文件应用不褪色的材料书写或打印，并由竞选人的法定代表人或其委托代理人签名或盖章、盖单位公章。委托代理人签名或盖章的，竞选文件应附法定代表人签署的授权委托书。竞选文件应尽量避免涂改、行间插字或删除。如果出现上述情况，改动之处应加盖单位鲜（公）章或由竞选人的法定代表人或其授权的代理人签名或盖章确认。签名或盖章的具体要求见竞选人须知前附表。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3.7.4 竞选文件正本一份 , 副本份数见竞选人须知前附表。正本和副本的封面上应清楚地标记“正本”或“副本”的字样。当副本和正本不一致时，以正本为准。</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3.7.5 竞选文件的正本与副本应分别装订成册，并编制目录，具体装订要求: 见竞选人须知前附表。</w:t>
      </w:r>
    </w:p>
    <w:p>
      <w:pPr>
        <w:spacing w:line="400" w:lineRule="exact"/>
        <w:rPr>
          <w:rFonts w:hint="eastAsia" w:ascii="宋体" w:hAnsi="宋体" w:cs="宋体"/>
          <w:b/>
          <w:bCs/>
          <w:szCs w:val="24"/>
        </w:rPr>
      </w:pPr>
      <w:bookmarkStart w:id="121" w:name="_Toc447723885"/>
      <w:bookmarkStart w:id="122" w:name="_Toc419126942"/>
      <w:r>
        <w:rPr>
          <w:rFonts w:hint="eastAsia" w:ascii="宋体" w:hAnsi="宋体" w:cs="宋体"/>
          <w:b/>
          <w:bCs/>
          <w:szCs w:val="24"/>
        </w:rPr>
        <w:t>4.</w:t>
      </w:r>
      <w:bookmarkEnd w:id="121"/>
      <w:bookmarkEnd w:id="122"/>
      <w:r>
        <w:rPr>
          <w:rFonts w:hint="eastAsia" w:ascii="宋体" w:hAnsi="宋体" w:cs="宋体"/>
          <w:b/>
          <w:bCs/>
          <w:szCs w:val="24"/>
        </w:rPr>
        <w:t>竞选</w:t>
      </w:r>
    </w:p>
    <w:p>
      <w:pPr>
        <w:spacing w:line="400" w:lineRule="exact"/>
        <w:rPr>
          <w:rFonts w:hint="eastAsia" w:ascii="宋体" w:hAnsi="宋体" w:cs="宋体"/>
          <w:sz w:val="21"/>
          <w:szCs w:val="21"/>
        </w:rPr>
      </w:pPr>
      <w:r>
        <w:rPr>
          <w:rFonts w:hint="eastAsia" w:ascii="宋体" w:hAnsi="宋体" w:cs="宋体"/>
          <w:sz w:val="21"/>
          <w:szCs w:val="21"/>
        </w:rPr>
        <w:t xml:space="preserve">4.1 竞选文件的密封和标记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4.1.1  竞选文件的正本与副本密封见竞选人须知前附表。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4.1.2  竞选文件的封套上应写明的内容见竞选人须知前附表。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4.1.3  未按本章第 4.1.1 项或第 4.1.2 项要求密封和加写标记的竞选文件，遴选人不予受理。</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4.2 竞选文件的递交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4.2.1竞选截止时间：见竞选人须知前附表。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4.2.2递交竞选文件的地点：见竞选人须知前附表。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4.2.3 是否退还竞选文件：见竞选人须知前附表。 </w:t>
      </w:r>
    </w:p>
    <w:p>
      <w:pPr>
        <w:spacing w:line="400" w:lineRule="exact"/>
        <w:ind w:firstLine="420" w:firstLineChars="200"/>
        <w:rPr>
          <w:rFonts w:hint="eastAsia" w:ascii="宋体" w:hAnsi="宋体" w:cs="宋体"/>
          <w:spacing w:val="10"/>
          <w:sz w:val="21"/>
          <w:szCs w:val="21"/>
        </w:rPr>
      </w:pPr>
      <w:r>
        <w:rPr>
          <w:rFonts w:hint="eastAsia" w:ascii="宋体" w:hAnsi="宋体" w:cs="宋体"/>
          <w:sz w:val="21"/>
          <w:szCs w:val="21"/>
        </w:rPr>
        <w:t xml:space="preserve">4.2.4 </w:t>
      </w:r>
      <w:r>
        <w:rPr>
          <w:rFonts w:hint="eastAsia" w:ascii="宋体" w:hAnsi="宋体" w:cs="宋体"/>
          <w:spacing w:val="10"/>
          <w:sz w:val="21"/>
          <w:szCs w:val="21"/>
        </w:rPr>
        <w:t>在本项目</w:t>
      </w:r>
      <w:r>
        <w:rPr>
          <w:rFonts w:hint="eastAsia" w:ascii="宋体" w:hAnsi="宋体" w:cs="宋体"/>
          <w:sz w:val="21"/>
          <w:szCs w:val="21"/>
        </w:rPr>
        <w:t>竞争性遴选文件</w:t>
      </w:r>
      <w:r>
        <w:rPr>
          <w:rFonts w:hint="eastAsia" w:ascii="宋体" w:hAnsi="宋体" w:cs="宋体"/>
          <w:spacing w:val="10"/>
          <w:sz w:val="21"/>
          <w:szCs w:val="21"/>
        </w:rPr>
        <w:t>规定的</w:t>
      </w:r>
      <w:r>
        <w:rPr>
          <w:rFonts w:hint="eastAsia" w:ascii="宋体" w:hAnsi="宋体" w:cs="宋体"/>
          <w:sz w:val="21"/>
          <w:szCs w:val="21"/>
        </w:rPr>
        <w:t>竞选</w:t>
      </w:r>
      <w:r>
        <w:rPr>
          <w:rFonts w:hint="eastAsia" w:ascii="宋体" w:hAnsi="宋体" w:cs="宋体"/>
          <w:spacing w:val="10"/>
          <w:sz w:val="21"/>
          <w:szCs w:val="21"/>
        </w:rPr>
        <w:t>截止时间后</w:t>
      </w:r>
      <w:r>
        <w:rPr>
          <w:rFonts w:hint="eastAsia" w:ascii="宋体" w:hAnsi="宋体" w:cs="宋体"/>
          <w:sz w:val="21"/>
          <w:szCs w:val="21"/>
        </w:rPr>
        <w:t>送达的或者未送达指定地点的竞选文件，</w:t>
      </w:r>
      <w:r>
        <w:rPr>
          <w:rFonts w:hint="eastAsia" w:ascii="宋体" w:hAnsi="宋体" w:cs="宋体"/>
          <w:spacing w:val="10"/>
          <w:sz w:val="21"/>
          <w:szCs w:val="21"/>
        </w:rPr>
        <w:t>无论任何原因，遴选人</w:t>
      </w:r>
      <w:r>
        <w:rPr>
          <w:rFonts w:hint="eastAsia" w:ascii="宋体" w:hAnsi="宋体" w:cs="宋体"/>
          <w:sz w:val="21"/>
          <w:szCs w:val="21"/>
        </w:rPr>
        <w:t>均不予受理，</w:t>
      </w:r>
      <w:r>
        <w:rPr>
          <w:rFonts w:hint="eastAsia" w:ascii="宋体" w:hAnsi="宋体" w:cs="宋体"/>
          <w:spacing w:val="10"/>
          <w:sz w:val="21"/>
          <w:szCs w:val="21"/>
        </w:rPr>
        <w:t>其责任由</w:t>
      </w:r>
      <w:r>
        <w:rPr>
          <w:rFonts w:hint="eastAsia" w:ascii="宋体" w:hAnsi="宋体" w:cs="宋体"/>
          <w:sz w:val="21"/>
          <w:szCs w:val="21"/>
        </w:rPr>
        <w:t>竞选</w:t>
      </w:r>
      <w:r>
        <w:rPr>
          <w:rFonts w:hint="eastAsia" w:ascii="宋体" w:hAnsi="宋体" w:cs="宋体"/>
          <w:spacing w:val="10"/>
          <w:sz w:val="21"/>
          <w:szCs w:val="21"/>
        </w:rPr>
        <w:t>人自行承担。</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4.3 竞选文件的修改与撤回 </w:t>
      </w:r>
    </w:p>
    <w:p>
      <w:pPr>
        <w:spacing w:line="400" w:lineRule="exact"/>
        <w:ind w:firstLine="420" w:firstLineChars="200"/>
        <w:rPr>
          <w:rFonts w:hint="eastAsia" w:ascii="宋体" w:hAnsi="宋体" w:cs="宋体"/>
          <w:sz w:val="21"/>
          <w:szCs w:val="21"/>
        </w:rPr>
      </w:pPr>
      <w:bookmarkStart w:id="123" w:name="_Toc419126943"/>
      <w:bookmarkStart w:id="124" w:name="_Toc447723886"/>
      <w:r>
        <w:rPr>
          <w:rFonts w:hint="eastAsia" w:ascii="宋体" w:hAnsi="宋体" w:cs="宋体"/>
          <w:sz w:val="21"/>
          <w:szCs w:val="21"/>
        </w:rPr>
        <w:t>4.3.1 在规定的竞选截止时间前，竞选人可以修改或撤回已递交的竞选文件，但应以书面形式通知遴选人。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4.3.2 竞选人修改或撤回已递交竞选文件的书面通知应按照本章第 3.7.3项的要求签名或盖章。遴选人收到书面通知后，向竞选人出具签收凭证。</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4.3.3 修改的内容为竞选文件的组成部分。修改的竞选文件应按照竞争性遴选文件的规定进行编制、密封、标记和递交，并标明“修改”字样。</w:t>
      </w:r>
    </w:p>
    <w:p>
      <w:pPr>
        <w:pStyle w:val="3"/>
        <w:keepNext w:val="0"/>
        <w:keepLines w:val="0"/>
        <w:widowControl/>
        <w:adjustRightInd/>
        <w:spacing w:line="400" w:lineRule="exact"/>
        <w:jc w:val="left"/>
        <w:textAlignment w:val="auto"/>
        <w:rPr>
          <w:rFonts w:hint="eastAsia" w:cs="宋体"/>
          <w:bCs w:val="0"/>
          <w:szCs w:val="28"/>
        </w:rPr>
      </w:pPr>
      <w:bookmarkStart w:id="125" w:name="_Toc26314"/>
      <w:bookmarkStart w:id="126" w:name="_Toc161058954"/>
      <w:r>
        <w:rPr>
          <w:rFonts w:hint="eastAsia" w:cs="宋体"/>
          <w:sz w:val="24"/>
          <w:szCs w:val="24"/>
        </w:rPr>
        <w:t>5.</w:t>
      </w:r>
      <w:bookmarkEnd w:id="123"/>
      <w:bookmarkEnd w:id="124"/>
      <w:bookmarkEnd w:id="125"/>
      <w:r>
        <w:rPr>
          <w:rFonts w:hint="eastAsia" w:cs="宋体"/>
          <w:sz w:val="24"/>
          <w:szCs w:val="24"/>
        </w:rPr>
        <w:t>评选</w:t>
      </w:r>
      <w:bookmarkEnd w:id="126"/>
    </w:p>
    <w:p>
      <w:pPr>
        <w:spacing w:line="400" w:lineRule="exact"/>
        <w:ind w:firstLine="420" w:firstLineChars="200"/>
        <w:rPr>
          <w:rFonts w:hint="eastAsia" w:ascii="宋体" w:hAnsi="宋体" w:cs="宋体"/>
          <w:sz w:val="21"/>
          <w:szCs w:val="21"/>
        </w:rPr>
      </w:pPr>
      <w:r>
        <w:rPr>
          <w:rFonts w:hint="eastAsia" w:ascii="宋体" w:hAnsi="宋体" w:cs="宋体"/>
          <w:sz w:val="21"/>
          <w:szCs w:val="21"/>
        </w:rPr>
        <w:t>5.1 评选时间和地点</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遴选人在本章第 4.2.1 项规定的竞选截止时间（评选时间）和竞选人须知前附表规定的地点公开评选，并邀请所有竞选人的法定代表人或其委托代理人准时参加。</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5.2 </w:t>
      </w:r>
      <w:r>
        <w:rPr>
          <w:rFonts w:ascii="宋体" w:hAnsi="宋体" w:cs="宋体"/>
          <w:sz w:val="21"/>
          <w:szCs w:val="21"/>
        </w:rPr>
        <w:t>评选</w:t>
      </w:r>
      <w:r>
        <w:rPr>
          <w:rFonts w:hint="eastAsia" w:ascii="宋体" w:hAnsi="宋体" w:cs="宋体"/>
          <w:sz w:val="21"/>
          <w:szCs w:val="21"/>
        </w:rPr>
        <w:t>程序</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详见竞选人须知前附表。</w:t>
      </w:r>
    </w:p>
    <w:p>
      <w:pPr>
        <w:pStyle w:val="3"/>
        <w:keepNext w:val="0"/>
        <w:keepLines w:val="0"/>
        <w:widowControl/>
        <w:adjustRightInd/>
        <w:spacing w:line="400" w:lineRule="exact"/>
        <w:jc w:val="left"/>
        <w:textAlignment w:val="auto"/>
        <w:rPr>
          <w:rFonts w:hint="eastAsia" w:cs="宋体"/>
          <w:sz w:val="24"/>
          <w:szCs w:val="24"/>
        </w:rPr>
      </w:pPr>
      <w:bookmarkStart w:id="127" w:name="_Toc7081"/>
      <w:bookmarkStart w:id="128" w:name="_Toc447723887"/>
      <w:bookmarkStart w:id="129" w:name="_Toc419126944"/>
      <w:bookmarkStart w:id="130" w:name="_Toc161058955"/>
      <w:r>
        <w:rPr>
          <w:rFonts w:hint="eastAsia" w:cs="宋体"/>
          <w:sz w:val="24"/>
          <w:szCs w:val="24"/>
        </w:rPr>
        <w:t>6.评</w:t>
      </w:r>
      <w:bookmarkEnd w:id="127"/>
      <w:bookmarkEnd w:id="128"/>
      <w:bookmarkEnd w:id="129"/>
      <w:r>
        <w:rPr>
          <w:rFonts w:hint="eastAsia" w:cs="宋体"/>
          <w:sz w:val="24"/>
          <w:szCs w:val="24"/>
        </w:rPr>
        <w:t>审</w:t>
      </w:r>
      <w:bookmarkEnd w:id="130"/>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6.1 评审小组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6.1.1 评审由遴选人依法组建的评审小组负责。评审小组由遴选人或其委托的遴选代理机构熟悉相关业务的代表，以及有关技术、经济等方面的专家组成。评审小组成员人数以及技术、经济等方面专家的确定方式见竞选人须知前附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6.1.2 评审小组成员有下列情形之一的，应当回避：</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（1）遴选人或竞选人的主要负责人的近亲属；</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（2）项目主管部门或者行政监督部门的人员；</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（3）与竞选人有经济利益关系，可能影响对竞选公正评审的；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（4）曾因在遴选、评审以及其他与遴选有关活动中从事违法行为而受过行政处罚或刑事处罚的。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6.2  评审原则</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评审活动遵循公平、公正、科学和择优的原则。</w:t>
      </w:r>
      <w:bookmarkStart w:id="131" w:name="_Toc426118090"/>
      <w:bookmarkStart w:id="132" w:name="_Toc200513163"/>
    </w:p>
    <w:p>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6.3  评</w:t>
      </w:r>
      <w:bookmarkEnd w:id="131"/>
      <w:bookmarkEnd w:id="132"/>
      <w:r>
        <w:rPr>
          <w:rFonts w:hint="eastAsia" w:ascii="宋体" w:hAnsi="宋体" w:cs="宋体"/>
          <w:bCs/>
          <w:sz w:val="21"/>
          <w:szCs w:val="21"/>
        </w:rPr>
        <w:t>审</w:t>
      </w:r>
    </w:p>
    <w:p>
      <w:pPr>
        <w:spacing w:line="400" w:lineRule="exact"/>
        <w:ind w:firstLine="424" w:firstLineChars="202"/>
        <w:jc w:val="left"/>
        <w:rPr>
          <w:rFonts w:hint="eastAsia" w:ascii="宋体" w:hAnsi="宋体" w:cs="宋体"/>
          <w:sz w:val="21"/>
          <w:szCs w:val="21"/>
        </w:rPr>
      </w:pPr>
      <w:r>
        <w:rPr>
          <w:rFonts w:hint="eastAsia" w:ascii="宋体" w:hAnsi="宋体" w:cs="宋体"/>
          <w:sz w:val="21"/>
          <w:szCs w:val="21"/>
        </w:rPr>
        <w:t>6.3.1评审小组按照第三章“评审办法”规定的方法、评审因素、标准和程序对竞选文件进行评审。第三章“评审办法”没有规定的方法、评审因素和标准，不作为评审依据。</w:t>
      </w:r>
    </w:p>
    <w:p>
      <w:pPr>
        <w:snapToGrid w:val="0"/>
        <w:spacing w:line="400" w:lineRule="exact"/>
        <w:ind w:firstLine="422" w:firstLineChars="201"/>
        <w:textAlignment w:val="auto"/>
        <w:rPr>
          <w:rFonts w:hint="eastAsia" w:ascii="宋体" w:hAnsi="宋体" w:cs="宋体"/>
          <w:sz w:val="21"/>
          <w:szCs w:val="21"/>
        </w:rPr>
      </w:pPr>
      <w:r>
        <w:rPr>
          <w:rFonts w:hint="eastAsia" w:ascii="宋体" w:hAnsi="宋体" w:cs="宋体"/>
          <w:sz w:val="21"/>
          <w:szCs w:val="21"/>
        </w:rPr>
        <w:t>6.3.2评审完成后，评审小组应当向遴选人提交书面评审报告和中选候选人名单。评审小组推荐中选候选人的人数见竞选人须知前附表。</w:t>
      </w:r>
    </w:p>
    <w:p>
      <w:pPr>
        <w:pStyle w:val="3"/>
        <w:keepNext w:val="0"/>
        <w:keepLines w:val="0"/>
        <w:widowControl/>
        <w:adjustRightInd/>
        <w:spacing w:line="400" w:lineRule="exact"/>
        <w:jc w:val="left"/>
        <w:textAlignment w:val="auto"/>
        <w:rPr>
          <w:rFonts w:hint="eastAsia" w:cs="宋体"/>
          <w:bCs w:val="0"/>
          <w:szCs w:val="28"/>
        </w:rPr>
      </w:pPr>
      <w:bookmarkStart w:id="133" w:name="_Toc4885"/>
      <w:bookmarkStart w:id="134" w:name="_Toc447723888"/>
      <w:bookmarkStart w:id="135" w:name="_Toc161058956"/>
      <w:bookmarkStart w:id="136" w:name="_Toc419126945"/>
      <w:r>
        <w:rPr>
          <w:rFonts w:hint="eastAsia" w:cs="宋体"/>
          <w:sz w:val="24"/>
          <w:szCs w:val="24"/>
        </w:rPr>
        <w:t>7.合同授予</w:t>
      </w:r>
      <w:bookmarkEnd w:id="133"/>
      <w:bookmarkEnd w:id="134"/>
      <w:bookmarkEnd w:id="135"/>
      <w:bookmarkEnd w:id="136"/>
    </w:p>
    <w:p>
      <w:pPr>
        <w:spacing w:line="400" w:lineRule="exact"/>
        <w:ind w:firstLine="420" w:firstLineChars="200"/>
        <w:rPr>
          <w:rFonts w:hint="eastAsia" w:ascii="宋体" w:hAnsi="宋体" w:cs="宋体"/>
          <w:sz w:val="21"/>
          <w:szCs w:val="21"/>
        </w:rPr>
      </w:pPr>
      <w:r>
        <w:rPr>
          <w:rFonts w:hint="eastAsia" w:ascii="宋体" w:hAnsi="宋体" w:cs="宋体"/>
          <w:sz w:val="21"/>
          <w:szCs w:val="21"/>
        </w:rPr>
        <w:t>7.1 定选方式</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遴选人应当确定综合得分排名第一的中选候选人为</w:t>
      </w:r>
      <w:r>
        <w:rPr>
          <w:rFonts w:hint="eastAsia" w:cs="宋体"/>
          <w:sz w:val="21"/>
          <w:szCs w:val="21"/>
        </w:rPr>
        <w:t>成交竞选人</w:t>
      </w:r>
      <w:r>
        <w:rPr>
          <w:rFonts w:hint="eastAsia" w:ascii="宋体" w:hAnsi="宋体" w:cs="宋体"/>
          <w:sz w:val="21"/>
          <w:szCs w:val="21"/>
        </w:rPr>
        <w:t>。综合得分排名第一的中选候选人放弃成交、因不可抗力不能履行合同、不按照竞争性遴选文件要求提交合作诚意金，或者被查实存在影响成交结果的违法行为等情形，不符合成交条件的，遴选人可以按照评审小组提出的中选候选人名单排序依次确定其他中选候选人为</w:t>
      </w:r>
      <w:r>
        <w:rPr>
          <w:rFonts w:hint="eastAsia" w:ascii="宋体" w:hAnsi="宋体" w:cs="宋体"/>
          <w:kern w:val="2"/>
          <w:sz w:val="21"/>
          <w:szCs w:val="21"/>
        </w:rPr>
        <w:t>成交竞选人</w:t>
      </w:r>
      <w:r>
        <w:rPr>
          <w:rFonts w:hint="eastAsia" w:ascii="宋体" w:hAnsi="宋体" w:cs="宋体"/>
          <w:sz w:val="21"/>
          <w:szCs w:val="21"/>
        </w:rPr>
        <w:t>，也可以重新遴选。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7.2成交通知书</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在本章第 3.3 款规定的竞选有效期内，遴选人以书面形式向成交竞选人发出成交通知书，同时将成交结果通知未成交的竞选人。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7.3 合作诚意金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7.3.1在签订合同前，</w:t>
      </w:r>
      <w:r>
        <w:rPr>
          <w:rFonts w:hint="eastAsia" w:ascii="宋体" w:hAnsi="宋体" w:cs="宋体"/>
          <w:kern w:val="2"/>
          <w:sz w:val="21"/>
          <w:szCs w:val="21"/>
        </w:rPr>
        <w:t>成交竞选人</w:t>
      </w:r>
      <w:r>
        <w:rPr>
          <w:rFonts w:hint="eastAsia" w:ascii="宋体" w:hAnsi="宋体" w:cs="宋体"/>
          <w:sz w:val="21"/>
          <w:szCs w:val="21"/>
        </w:rPr>
        <w:t>应按竞选人须知前附表规定的金额、担保形式、交纳时间和竞争性遴选文件第四章“合同条款及格式”规定的合作诚意金方式向遴选人提交合作诚意金。</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7.3.2 </w:t>
      </w:r>
      <w:r>
        <w:rPr>
          <w:rFonts w:hint="eastAsia" w:ascii="宋体" w:hAnsi="宋体" w:cs="宋体"/>
          <w:kern w:val="2"/>
          <w:sz w:val="21"/>
          <w:szCs w:val="21"/>
        </w:rPr>
        <w:t>成交竞选人</w:t>
      </w:r>
      <w:r>
        <w:rPr>
          <w:rFonts w:hint="eastAsia" w:ascii="宋体" w:hAnsi="宋体" w:cs="宋体"/>
          <w:sz w:val="21"/>
          <w:szCs w:val="21"/>
        </w:rPr>
        <w:t>不能按竞争性遴选文件第 7.3.1项要求提交合作诚意金的，视为放弃成交，其竞选保证金不予退还，给遴选人造成的损失超过竞选保证金数额的，</w:t>
      </w:r>
      <w:r>
        <w:rPr>
          <w:rFonts w:hint="eastAsia" w:ascii="宋体" w:hAnsi="宋体" w:cs="宋体"/>
          <w:kern w:val="2"/>
          <w:sz w:val="21"/>
          <w:szCs w:val="21"/>
        </w:rPr>
        <w:t>成交竞选人</w:t>
      </w:r>
      <w:r>
        <w:rPr>
          <w:rFonts w:hint="eastAsia" w:ascii="宋体" w:hAnsi="宋体" w:cs="宋体"/>
          <w:sz w:val="21"/>
          <w:szCs w:val="21"/>
        </w:rPr>
        <w:t xml:space="preserve">还应当对超过部分予以赔偿。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7.4 签订合同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7.4.1 遴选人和</w:t>
      </w:r>
      <w:r>
        <w:rPr>
          <w:rFonts w:hint="eastAsia" w:ascii="宋体" w:hAnsi="宋体" w:cs="宋体"/>
          <w:kern w:val="2"/>
          <w:sz w:val="21"/>
          <w:szCs w:val="21"/>
        </w:rPr>
        <w:t>成交竞选人</w:t>
      </w:r>
      <w:r>
        <w:rPr>
          <w:rFonts w:hint="eastAsia" w:ascii="宋体" w:hAnsi="宋体" w:cs="宋体"/>
          <w:sz w:val="21"/>
          <w:szCs w:val="21"/>
        </w:rPr>
        <w:t>应当自成交通知书发出之日起 30天内，根据竞争性遴选文件和成交竞选人的竞选文件订立书面合同。成交竞选人无正当理由拒签合同，在签订合同时向遴选人提出附加条件，遴选人有权取消其成交资格，其竞选保证金不予退还；给遴选人造成的损失超过竞选保证金数额的，成交竞选人还应当对超过部分予以赔偿。</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7.4.2 发出成交通知书后，遴选人无正当理由拒签合同的，遴选人向成交竞选人退还竞选保证金；给成交竞选人造成损失的，还应当赔偿损失。 </w:t>
      </w:r>
    </w:p>
    <w:p>
      <w:pPr>
        <w:pStyle w:val="3"/>
        <w:keepNext w:val="0"/>
        <w:keepLines w:val="0"/>
        <w:widowControl/>
        <w:adjustRightInd/>
        <w:spacing w:line="400" w:lineRule="exact"/>
        <w:jc w:val="left"/>
        <w:textAlignment w:val="auto"/>
        <w:rPr>
          <w:rFonts w:hint="eastAsia" w:cs="宋体"/>
          <w:bCs w:val="0"/>
          <w:szCs w:val="28"/>
        </w:rPr>
      </w:pPr>
      <w:bookmarkStart w:id="137" w:name="_Toc419126946"/>
      <w:bookmarkStart w:id="138" w:name="_Toc30826"/>
      <w:bookmarkStart w:id="139" w:name="_Toc447723889"/>
      <w:bookmarkStart w:id="140" w:name="_Toc161058957"/>
      <w:r>
        <w:rPr>
          <w:rFonts w:hint="eastAsia" w:cs="宋体"/>
          <w:sz w:val="24"/>
          <w:szCs w:val="24"/>
        </w:rPr>
        <w:t>8.重新遴选</w:t>
      </w:r>
      <w:bookmarkEnd w:id="137"/>
      <w:bookmarkEnd w:id="138"/>
      <w:bookmarkEnd w:id="139"/>
      <w:bookmarkEnd w:id="140"/>
    </w:p>
    <w:p>
      <w:pPr>
        <w:spacing w:line="400" w:lineRule="exact"/>
        <w:ind w:firstLine="420" w:firstLineChars="200"/>
        <w:rPr>
          <w:rFonts w:hint="eastAsia" w:ascii="宋体" w:hAnsi="宋体" w:cs="宋体"/>
          <w:sz w:val="21"/>
          <w:szCs w:val="21"/>
        </w:rPr>
      </w:pPr>
      <w:r>
        <w:rPr>
          <w:rFonts w:hint="eastAsia" w:ascii="宋体" w:hAnsi="宋体" w:cs="宋体"/>
          <w:sz w:val="21"/>
          <w:szCs w:val="21"/>
        </w:rPr>
        <w:t>有下列情形之一的，遴选人将重新遴选。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(1)竞选截止时间止，竞选人少于 1个的；</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w:t>
      </w:r>
      <w:bookmarkStart w:id="141" w:name="_Hlk182572303"/>
      <w:r>
        <w:rPr>
          <w:rFonts w:hint="eastAsia" w:ascii="宋体" w:hAnsi="宋体" w:cs="宋体"/>
          <w:sz w:val="21"/>
          <w:szCs w:val="21"/>
        </w:rPr>
        <w:t>经评审小组评审后否决所有竞选的</w:t>
      </w:r>
      <w:bookmarkEnd w:id="141"/>
      <w:r>
        <w:rPr>
          <w:rFonts w:hint="eastAsia" w:ascii="宋体" w:hAnsi="宋体" w:cs="宋体"/>
          <w:sz w:val="21"/>
          <w:szCs w:val="21"/>
        </w:rPr>
        <w:t>。</w:t>
      </w:r>
    </w:p>
    <w:p>
      <w:pPr>
        <w:pStyle w:val="3"/>
        <w:keepNext w:val="0"/>
        <w:keepLines w:val="0"/>
        <w:widowControl/>
        <w:adjustRightInd/>
        <w:spacing w:line="400" w:lineRule="exact"/>
        <w:jc w:val="left"/>
        <w:textAlignment w:val="auto"/>
        <w:rPr>
          <w:rFonts w:hint="eastAsia" w:cs="宋体"/>
          <w:sz w:val="24"/>
          <w:szCs w:val="24"/>
        </w:rPr>
      </w:pPr>
      <w:bookmarkStart w:id="142" w:name="_Toc161058958"/>
      <w:bookmarkStart w:id="143" w:name="_Toc419126947"/>
      <w:bookmarkStart w:id="144" w:name="_Toc31886"/>
      <w:bookmarkStart w:id="145" w:name="_Toc447723890"/>
      <w:r>
        <w:rPr>
          <w:rFonts w:hint="eastAsia" w:cs="宋体"/>
          <w:sz w:val="24"/>
          <w:szCs w:val="24"/>
        </w:rPr>
        <w:t>9.纪律和监督</w:t>
      </w:r>
      <w:bookmarkEnd w:id="142"/>
      <w:bookmarkEnd w:id="143"/>
      <w:bookmarkEnd w:id="144"/>
      <w:bookmarkEnd w:id="145"/>
    </w:p>
    <w:p>
      <w:pPr>
        <w:spacing w:line="400" w:lineRule="exact"/>
        <w:ind w:firstLine="420" w:firstLineChars="200"/>
        <w:rPr>
          <w:rFonts w:hint="eastAsia" w:ascii="宋体" w:hAnsi="宋体" w:cs="宋体"/>
          <w:sz w:val="21"/>
          <w:szCs w:val="21"/>
        </w:rPr>
      </w:pPr>
      <w:r>
        <w:rPr>
          <w:rFonts w:hint="eastAsia" w:ascii="宋体" w:hAnsi="宋体" w:cs="宋体"/>
          <w:sz w:val="21"/>
          <w:szCs w:val="21"/>
        </w:rPr>
        <w:t>9.1 对遴选人的纪律要求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遴选人不得泄漏遴选活动中应当保密的情况和资料，不得与竞选人串通损害国家利益、社会公共利益或者他人合法权益。</w:t>
      </w:r>
    </w:p>
    <w:p>
      <w:pPr>
        <w:tabs>
          <w:tab w:val="left" w:pos="5040"/>
        </w:tabs>
        <w:spacing w:line="400" w:lineRule="exact"/>
        <w:ind w:firstLine="420" w:firstLineChars="200"/>
        <w:rPr>
          <w:rFonts w:hint="eastAsia" w:ascii="宋体" w:hAnsi="宋体" w:cs="宋体"/>
          <w:sz w:val="21"/>
          <w:szCs w:val="21"/>
        </w:rPr>
      </w:pPr>
      <w:r>
        <w:rPr>
          <w:rFonts w:hint="eastAsia" w:ascii="宋体" w:hAnsi="宋体" w:cs="宋体"/>
          <w:sz w:val="21"/>
          <w:szCs w:val="21"/>
        </w:rPr>
        <w:t>9.2 对竞选人的纪律要求</w:t>
      </w:r>
      <w:r>
        <w:rPr>
          <w:rFonts w:hint="eastAsia" w:ascii="宋体" w:hAnsi="宋体" w:cs="宋体"/>
          <w:sz w:val="21"/>
          <w:szCs w:val="21"/>
        </w:rPr>
        <w:tab/>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竞选人不得相互串通竞选或者与遴选人串通竞选，不得向遴选人或者评审小组成员行贿谋取</w:t>
      </w:r>
      <w:r>
        <w:rPr>
          <w:rFonts w:hint="eastAsia" w:ascii="宋体" w:hAnsi="宋体" w:cs="宋体"/>
          <w:kern w:val="2"/>
          <w:sz w:val="21"/>
          <w:szCs w:val="21"/>
        </w:rPr>
        <w:t>成交</w:t>
      </w:r>
      <w:r>
        <w:rPr>
          <w:rFonts w:hint="eastAsia" w:ascii="宋体" w:hAnsi="宋体" w:cs="宋体"/>
          <w:sz w:val="21"/>
          <w:szCs w:val="21"/>
        </w:rPr>
        <w:t>，不得以他人名义竞选或者以其他方式弄虚作假骗取成交；竞选人不得以任何方式干扰、影响评审工作。</w:t>
      </w:r>
    </w:p>
    <w:p>
      <w:pPr>
        <w:tabs>
          <w:tab w:val="left" w:pos="5040"/>
        </w:tabs>
        <w:spacing w:line="400" w:lineRule="exact"/>
        <w:ind w:firstLine="420" w:firstLineChars="200"/>
        <w:rPr>
          <w:rFonts w:hint="eastAsia" w:ascii="宋体" w:hAnsi="宋体" w:cs="宋体"/>
          <w:sz w:val="21"/>
          <w:szCs w:val="21"/>
        </w:rPr>
      </w:pPr>
      <w:r>
        <w:rPr>
          <w:rFonts w:hint="eastAsia" w:ascii="宋体" w:hAnsi="宋体" w:cs="宋体"/>
          <w:sz w:val="21"/>
          <w:szCs w:val="21"/>
        </w:rPr>
        <w:t>9.3 对评审小组成员的纪律要求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评审小组成员不得收受他人的财物或者其他好处，不得向他人透漏对竞选文件的评审和比较、中选候选人的推荐情况以及评审有关的其他情况。在评审活动中，评审小组成员不得擅离职守，影响评审程序正常进行，不得使用第三章“评审办法”没有规定的评审因素和标准进行评审。 </w:t>
      </w:r>
    </w:p>
    <w:p>
      <w:pPr>
        <w:tabs>
          <w:tab w:val="left" w:pos="5040"/>
        </w:tabs>
        <w:spacing w:line="400" w:lineRule="exact"/>
        <w:ind w:firstLine="420" w:firstLineChars="200"/>
        <w:rPr>
          <w:rFonts w:hint="eastAsia" w:ascii="宋体" w:hAnsi="宋体" w:cs="宋体"/>
          <w:sz w:val="21"/>
          <w:szCs w:val="21"/>
        </w:rPr>
      </w:pPr>
      <w:r>
        <w:rPr>
          <w:rFonts w:hint="eastAsia" w:ascii="宋体" w:hAnsi="宋体" w:cs="宋体"/>
          <w:sz w:val="21"/>
          <w:szCs w:val="21"/>
        </w:rPr>
        <w:t>9.4 对与评审活动有关的工作人员的纪律要求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 </w:t>
      </w:r>
    </w:p>
    <w:p>
      <w:pPr>
        <w:tabs>
          <w:tab w:val="left" w:pos="5040"/>
        </w:tabs>
        <w:spacing w:line="400" w:lineRule="exact"/>
        <w:ind w:firstLine="420" w:firstLineChars="200"/>
        <w:rPr>
          <w:rFonts w:hint="eastAsia" w:ascii="宋体" w:hAnsi="宋体" w:cs="宋体"/>
          <w:sz w:val="21"/>
          <w:szCs w:val="21"/>
        </w:rPr>
      </w:pPr>
      <w:r>
        <w:rPr>
          <w:rFonts w:hint="eastAsia" w:ascii="宋体" w:hAnsi="宋体" w:cs="宋体"/>
          <w:sz w:val="21"/>
          <w:szCs w:val="21"/>
        </w:rPr>
        <w:t>9.5 投诉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竞选人和其他利害关系人认为本次遴选活动违反法律、法规有关部分规定的，有权向有关行政监督部门投诉。 </w:t>
      </w:r>
    </w:p>
    <w:p>
      <w:pPr>
        <w:spacing w:line="400" w:lineRule="exact"/>
        <w:ind w:firstLine="0"/>
        <w:jc w:val="left"/>
        <w:outlineLvl w:val="1"/>
        <w:rPr>
          <w:rFonts w:hint="eastAsia" w:ascii="宋体" w:hAnsi="宋体" w:cs="宋体"/>
          <w:b/>
          <w:bCs/>
          <w:sz w:val="28"/>
          <w:szCs w:val="28"/>
        </w:rPr>
      </w:pPr>
      <w:bookmarkStart w:id="146" w:name="_Toc20196"/>
      <w:bookmarkStart w:id="147" w:name="_Toc161058959"/>
      <w:r>
        <w:rPr>
          <w:rFonts w:hint="eastAsia" w:ascii="宋体" w:hAnsi="宋体" w:cs="宋体"/>
          <w:b/>
          <w:bCs/>
          <w:szCs w:val="24"/>
        </w:rPr>
        <w:t>10.需要补充的其他内容</w:t>
      </w:r>
      <w:bookmarkEnd w:id="146"/>
      <w:bookmarkEnd w:id="147"/>
    </w:p>
    <w:p>
      <w:pPr>
        <w:spacing w:line="400" w:lineRule="exact"/>
        <w:ind w:firstLine="420" w:firstLineChars="200"/>
        <w:rPr>
          <w:rFonts w:hint="eastAsia" w:ascii="宋体" w:hAnsi="宋体" w:cs="宋体"/>
          <w:szCs w:val="24"/>
        </w:rPr>
      </w:pPr>
      <w:r>
        <w:rPr>
          <w:rFonts w:hint="eastAsia" w:ascii="宋体" w:hAnsi="宋体" w:cs="宋体"/>
          <w:sz w:val="21"/>
          <w:szCs w:val="21"/>
        </w:rPr>
        <w:t>需要补充的其他内容：</w:t>
      </w:r>
      <w:r>
        <w:rPr>
          <w:rFonts w:hint="eastAsia" w:ascii="宋体" w:hAnsi="宋体" w:cs="宋体"/>
          <w:sz w:val="21"/>
          <w:szCs w:val="21"/>
          <w:u w:val="single"/>
        </w:rPr>
        <w:t>见竞选人须知前附表</w:t>
      </w:r>
      <w:r>
        <w:rPr>
          <w:rFonts w:hint="eastAsia" w:ascii="宋体" w:hAnsi="宋体" w:cs="宋体"/>
          <w:sz w:val="21"/>
          <w:szCs w:val="21"/>
        </w:rPr>
        <w:t>。</w:t>
      </w:r>
    </w:p>
    <w:p>
      <w:pPr>
        <w:spacing w:line="400" w:lineRule="exact"/>
        <w:rPr>
          <w:rFonts w:hint="eastAsia" w:ascii="宋体" w:hAnsi="宋体" w:cs="宋体"/>
          <w:szCs w:val="24"/>
        </w:rPr>
      </w:pPr>
    </w:p>
    <w:p>
      <w:pPr>
        <w:spacing w:line="400" w:lineRule="exact"/>
        <w:rPr>
          <w:rFonts w:hint="eastAsia" w:ascii="宋体" w:hAnsi="宋体" w:cs="宋体"/>
          <w:szCs w:val="24"/>
        </w:rPr>
      </w:pPr>
    </w:p>
    <w:p>
      <w:pPr>
        <w:pStyle w:val="2"/>
        <w:snapToGrid w:val="0"/>
        <w:spacing w:before="0" w:after="0" w:line="400" w:lineRule="exact"/>
        <w:rPr>
          <w:rFonts w:hint="eastAsia" w:ascii="宋体" w:hAnsi="宋体" w:cs="宋体"/>
          <w:szCs w:val="24"/>
        </w:rPr>
      </w:pPr>
      <w:r>
        <w:rPr>
          <w:rFonts w:hint="eastAsia" w:ascii="宋体" w:hAnsi="宋体" w:cs="宋体"/>
          <w:szCs w:val="24"/>
        </w:rPr>
        <w:br w:type="page"/>
      </w:r>
      <w:bookmarkStart w:id="148" w:name="_Toc161058960"/>
      <w:bookmarkStart w:id="149" w:name="_Toc447723893"/>
      <w:bookmarkStart w:id="150" w:name="_Toc2576"/>
    </w:p>
    <w:p>
      <w:pPr>
        <w:pStyle w:val="2"/>
        <w:snapToGrid w:val="0"/>
        <w:spacing w:before="0" w:after="0" w:line="400" w:lineRule="exact"/>
        <w:rPr>
          <w:rFonts w:hint="eastAsia" w:ascii="宋体" w:hAnsi="宋体" w:cs="宋体"/>
          <w:sz w:val="36"/>
          <w:szCs w:val="36"/>
        </w:rPr>
      </w:pPr>
      <w:r>
        <w:rPr>
          <w:rFonts w:hint="eastAsia" w:ascii="宋体" w:hAnsi="宋体" w:cs="宋体"/>
          <w:sz w:val="36"/>
          <w:szCs w:val="36"/>
        </w:rPr>
        <w:t>第三章 评审办法</w:t>
      </w:r>
      <w:bookmarkEnd w:id="148"/>
      <w:bookmarkEnd w:id="149"/>
      <w:bookmarkEnd w:id="150"/>
    </w:p>
    <w:p>
      <w:pPr>
        <w:pStyle w:val="3"/>
        <w:spacing w:line="400" w:lineRule="exact"/>
        <w:jc w:val="center"/>
        <w:rPr>
          <w:rFonts w:hint="eastAsia" w:cs="宋体"/>
          <w:sz w:val="20"/>
          <w:szCs w:val="20"/>
        </w:rPr>
      </w:pPr>
      <w:bookmarkStart w:id="151" w:name="_Toc3277"/>
      <w:bookmarkStart w:id="152" w:name="_Toc7344"/>
      <w:bookmarkStart w:id="153" w:name="_Toc161058961"/>
      <w:bookmarkStart w:id="154" w:name="_Toc5813"/>
      <w:bookmarkStart w:id="155" w:name="_Toc1817"/>
      <w:bookmarkStart w:id="156" w:name="_Toc447723894"/>
      <w:r>
        <w:rPr>
          <w:rFonts w:hint="eastAsia" w:cs="宋体"/>
        </w:rPr>
        <w:t>评审办法前附表</w:t>
      </w:r>
      <w:bookmarkEnd w:id="151"/>
      <w:bookmarkEnd w:id="152"/>
      <w:bookmarkEnd w:id="153"/>
      <w:bookmarkEnd w:id="154"/>
      <w:bookmarkEnd w:id="155"/>
    </w:p>
    <w:tbl>
      <w:tblPr>
        <w:tblStyle w:val="65"/>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
        <w:gridCol w:w="1123"/>
        <w:gridCol w:w="247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024" w:type="dxa"/>
            <w:gridSpan w:val="2"/>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条款号</w:t>
            </w:r>
          </w:p>
        </w:tc>
        <w:tc>
          <w:tcPr>
            <w:tcW w:w="2477" w:type="dxa"/>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评审因素</w:t>
            </w:r>
          </w:p>
        </w:tc>
        <w:tc>
          <w:tcPr>
            <w:tcW w:w="5759" w:type="dxa"/>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01"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2.1.1</w:t>
            </w:r>
          </w:p>
        </w:tc>
        <w:tc>
          <w:tcPr>
            <w:tcW w:w="1123"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形式评审标准</w:t>
            </w: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竞选人名称</w:t>
            </w:r>
          </w:p>
        </w:tc>
        <w:tc>
          <w:tcPr>
            <w:tcW w:w="5759"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竞选函签名盖章</w:t>
            </w:r>
          </w:p>
        </w:tc>
        <w:tc>
          <w:tcPr>
            <w:tcW w:w="5759"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符合第二章“竞选人须知”第3.7.3项规定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竞选文件格式</w:t>
            </w:r>
          </w:p>
        </w:tc>
        <w:tc>
          <w:tcPr>
            <w:tcW w:w="5759"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符合第六章“竞选文件格式”的规定。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竞选文件的签署</w:t>
            </w:r>
          </w:p>
        </w:tc>
        <w:tc>
          <w:tcPr>
            <w:tcW w:w="5759"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竞选文件上法定代表人或其授权代理人的签名齐全。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委托代理人</w:t>
            </w:r>
          </w:p>
        </w:tc>
        <w:tc>
          <w:tcPr>
            <w:tcW w:w="5759"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竞选人法定代表人的委托代理人有法定代表人签署的授权委托书，且其授权委托书符合竞争性遴选文件规定的格式。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901"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2.1.2</w:t>
            </w:r>
          </w:p>
        </w:tc>
        <w:tc>
          <w:tcPr>
            <w:tcW w:w="1123"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资格评审标准</w:t>
            </w:r>
          </w:p>
        </w:tc>
        <w:tc>
          <w:tcPr>
            <w:tcW w:w="2477" w:type="dxa"/>
            <w:vAlign w:val="center"/>
          </w:tcPr>
          <w:p>
            <w:pPr>
              <w:widowControl/>
              <w:spacing w:line="400" w:lineRule="exact"/>
              <w:ind w:firstLine="0"/>
              <w:rPr>
                <w:rFonts w:hint="eastAsia" w:ascii="宋体" w:hAnsi="宋体" w:cs="宋体"/>
                <w:sz w:val="21"/>
                <w:szCs w:val="21"/>
              </w:rPr>
            </w:pPr>
            <w:r>
              <w:rPr>
                <w:rFonts w:hint="eastAsia" w:ascii="宋体" w:hAnsi="宋体" w:cs="宋体"/>
                <w:sz w:val="21"/>
                <w:szCs w:val="21"/>
              </w:rPr>
              <w:t>营业执照</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widowControl/>
              <w:autoSpaceDE w:val="0"/>
              <w:autoSpaceDN w:val="0"/>
              <w:snapToGrid w:val="0"/>
              <w:spacing w:line="400" w:lineRule="exact"/>
              <w:ind w:firstLine="0"/>
              <w:rPr>
                <w:rFonts w:hint="eastAsia" w:ascii="宋体" w:hAnsi="宋体" w:cs="宋体"/>
                <w:sz w:val="21"/>
                <w:szCs w:val="21"/>
              </w:rPr>
            </w:pPr>
            <w:r>
              <w:rPr>
                <w:rFonts w:hint="eastAsia" w:ascii="宋体" w:hAnsi="宋体" w:cs="宋体"/>
                <w:sz w:val="21"/>
                <w:szCs w:val="21"/>
              </w:rPr>
              <w:t>业绩要求</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widowControl/>
              <w:autoSpaceDE w:val="0"/>
              <w:autoSpaceDN w:val="0"/>
              <w:snapToGrid w:val="0"/>
              <w:spacing w:line="400" w:lineRule="exact"/>
              <w:ind w:firstLine="0"/>
              <w:rPr>
                <w:rFonts w:hint="eastAsia" w:ascii="宋体" w:hAnsi="宋体" w:cs="宋体"/>
                <w:sz w:val="21"/>
                <w:szCs w:val="21"/>
                <w:highlight w:val="yellow"/>
              </w:rPr>
            </w:pPr>
            <w:r>
              <w:rPr>
                <w:rFonts w:hint="eastAsia" w:ascii="宋体" w:hAnsi="宋体" w:cs="宋体"/>
                <w:sz w:val="21"/>
                <w:szCs w:val="21"/>
              </w:rPr>
              <w:t>运作方式承诺</w:t>
            </w:r>
          </w:p>
        </w:tc>
        <w:tc>
          <w:tcPr>
            <w:tcW w:w="5759" w:type="dxa"/>
          </w:tcPr>
          <w:p>
            <w:pPr>
              <w:spacing w:line="400" w:lineRule="exact"/>
              <w:ind w:firstLine="420"/>
              <w:rPr>
                <w:rFonts w:hint="eastAsia" w:ascii="宋体" w:hAnsi="宋体" w:cs="宋体"/>
                <w:sz w:val="21"/>
                <w:szCs w:val="21"/>
                <w:highlight w:val="yellow"/>
              </w:rPr>
            </w:pPr>
            <w:r>
              <w:rPr>
                <w:rFonts w:hint="eastAsia" w:ascii="宋体" w:hAnsi="宋体" w:cs="宋体"/>
                <w:sz w:val="21"/>
                <w:szCs w:val="21"/>
              </w:rPr>
              <w:t>符合第二章“竞选人须知”第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widowControl/>
              <w:autoSpaceDE w:val="0"/>
              <w:autoSpaceDN w:val="0"/>
              <w:snapToGrid w:val="0"/>
              <w:spacing w:line="400" w:lineRule="exact"/>
              <w:ind w:firstLine="0"/>
              <w:rPr>
                <w:rFonts w:hint="eastAsia" w:ascii="宋体" w:hAnsi="宋体" w:cs="宋体"/>
                <w:sz w:val="21"/>
                <w:szCs w:val="21"/>
              </w:rPr>
            </w:pPr>
            <w:r>
              <w:rPr>
                <w:rFonts w:hint="eastAsia" w:ascii="宋体" w:hAnsi="宋体" w:cs="宋体"/>
                <w:sz w:val="21"/>
                <w:szCs w:val="21"/>
              </w:rPr>
              <w:t>承诺函</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jc w:val="center"/>
        </w:trPr>
        <w:tc>
          <w:tcPr>
            <w:tcW w:w="901"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2.1.3</w:t>
            </w:r>
          </w:p>
        </w:tc>
        <w:tc>
          <w:tcPr>
            <w:tcW w:w="1123"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响应性评审标准</w:t>
            </w: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竞选内容</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项目周期</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项目地点</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1.1.5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竞选有效期</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符合第二章“竞选人须知”第 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竞选保证金</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符合第二章“投竞选人须知”第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权利义务</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符合第四章“合同条款”及第五章“服务要求”的规定，竞选文件不应附有遴选人不能接受的条件。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rPr>
                <w:rFonts w:hint="eastAsia" w:ascii="宋体" w:hAnsi="宋体" w:cs="宋体"/>
                <w:sz w:val="21"/>
                <w:szCs w:val="21"/>
              </w:rPr>
            </w:pPr>
          </w:p>
        </w:tc>
        <w:tc>
          <w:tcPr>
            <w:tcW w:w="2477" w:type="dxa"/>
            <w:vAlign w:val="center"/>
          </w:tcPr>
          <w:p>
            <w:pPr>
              <w:pStyle w:val="153"/>
              <w:spacing w:line="400" w:lineRule="exact"/>
              <w:rPr>
                <w:rFonts w:hint="eastAsia" w:ascii="宋体" w:hAnsi="宋体" w:cs="宋体"/>
                <w:sz w:val="21"/>
                <w:szCs w:val="21"/>
              </w:rPr>
            </w:pPr>
            <w:r>
              <w:rPr>
                <w:rFonts w:hint="eastAsia" w:ascii="宋体" w:hAnsi="宋体" w:cs="宋体"/>
                <w:sz w:val="21"/>
                <w:szCs w:val="21"/>
              </w:rPr>
              <w:t>实质性要求</w:t>
            </w:r>
          </w:p>
        </w:tc>
        <w:tc>
          <w:tcPr>
            <w:tcW w:w="5759" w:type="dxa"/>
          </w:tcPr>
          <w:p>
            <w:pPr>
              <w:pStyle w:val="199"/>
              <w:spacing w:line="400" w:lineRule="exact"/>
              <w:rPr>
                <w:rFonts w:hint="eastAsia" w:ascii="宋体" w:hAnsi="宋体" w:cs="宋体"/>
                <w:sz w:val="21"/>
                <w:szCs w:val="21"/>
              </w:rPr>
            </w:pPr>
            <w:r>
              <w:rPr>
                <w:rFonts w:hint="eastAsia" w:ascii="宋体" w:hAnsi="宋体" w:cs="宋体"/>
                <w:sz w:val="21"/>
                <w:szCs w:val="21"/>
              </w:rPr>
              <w:t>符合竞争性遴选文件中规定的其他实质性要求。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2024" w:type="dxa"/>
            <w:gridSpan w:val="2"/>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条款号</w:t>
            </w:r>
          </w:p>
        </w:tc>
        <w:tc>
          <w:tcPr>
            <w:tcW w:w="2477" w:type="dxa"/>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条款内容</w:t>
            </w:r>
          </w:p>
        </w:tc>
        <w:tc>
          <w:tcPr>
            <w:tcW w:w="5759" w:type="dxa"/>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9" w:hRule="atLeast"/>
          <w:jc w:val="center"/>
        </w:trPr>
        <w:tc>
          <w:tcPr>
            <w:tcW w:w="2024" w:type="dxa"/>
            <w:gridSpan w:val="2"/>
            <w:vAlign w:val="center"/>
          </w:tcPr>
          <w:p>
            <w:pPr>
              <w:spacing w:line="400" w:lineRule="exact"/>
              <w:ind w:firstLine="0"/>
              <w:rPr>
                <w:rFonts w:hint="eastAsia" w:ascii="宋体" w:hAnsi="宋体" w:cs="宋体"/>
                <w:sz w:val="21"/>
                <w:szCs w:val="21"/>
              </w:rPr>
            </w:pPr>
            <w:r>
              <w:rPr>
                <w:rFonts w:hint="eastAsia" w:ascii="宋体" w:hAnsi="宋体" w:cs="宋体"/>
                <w:sz w:val="21"/>
                <w:szCs w:val="21"/>
              </w:rPr>
              <w:t>2.2.1</w:t>
            </w:r>
          </w:p>
        </w:tc>
        <w:tc>
          <w:tcPr>
            <w:tcW w:w="2477"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分值构成（总分 100 分）</w:t>
            </w:r>
          </w:p>
        </w:tc>
        <w:tc>
          <w:tcPr>
            <w:tcW w:w="5759" w:type="dxa"/>
          </w:tcPr>
          <w:p>
            <w:pPr>
              <w:spacing w:line="400" w:lineRule="exact"/>
              <w:ind w:firstLine="420"/>
              <w:rPr>
                <w:rFonts w:hint="eastAsia" w:ascii="宋体" w:hAnsi="宋体" w:cs="宋体"/>
                <w:sz w:val="21"/>
                <w:szCs w:val="21"/>
              </w:rPr>
            </w:pPr>
            <w:r>
              <w:rPr>
                <w:rFonts w:hint="eastAsia" w:ascii="宋体" w:hAnsi="宋体" w:cs="宋体"/>
                <w:sz w:val="21"/>
                <w:szCs w:val="21"/>
              </w:rPr>
              <w:t>（1）报价部分：30分</w:t>
            </w:r>
          </w:p>
          <w:p>
            <w:pPr>
              <w:spacing w:line="400" w:lineRule="exact"/>
              <w:ind w:firstLine="420"/>
              <w:rPr>
                <w:rFonts w:hint="eastAsia" w:ascii="宋体" w:hAnsi="宋体" w:cs="宋体"/>
                <w:sz w:val="21"/>
                <w:szCs w:val="21"/>
              </w:rPr>
            </w:pPr>
            <w:r>
              <w:rPr>
                <w:rFonts w:hint="eastAsia" w:ascii="宋体" w:hAnsi="宋体" w:cs="宋体"/>
                <w:sz w:val="21"/>
                <w:szCs w:val="21"/>
              </w:rPr>
              <w:t xml:space="preserve">（2）商务部分：20分； </w:t>
            </w:r>
          </w:p>
          <w:p>
            <w:pPr>
              <w:spacing w:line="400" w:lineRule="exact"/>
              <w:ind w:firstLine="420"/>
              <w:rPr>
                <w:rFonts w:hint="eastAsia" w:ascii="宋体" w:hAnsi="宋体" w:cs="宋体"/>
                <w:sz w:val="21"/>
                <w:szCs w:val="21"/>
              </w:rPr>
            </w:pPr>
            <w:r>
              <w:rPr>
                <w:rFonts w:hint="eastAsia" w:ascii="宋体" w:hAnsi="宋体" w:cs="宋体"/>
                <w:sz w:val="21"/>
                <w:szCs w:val="21"/>
              </w:rPr>
              <w:t>（3）技术部分：50分；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024" w:type="dxa"/>
            <w:gridSpan w:val="2"/>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条款号</w:t>
            </w:r>
          </w:p>
        </w:tc>
        <w:tc>
          <w:tcPr>
            <w:tcW w:w="2477" w:type="dxa"/>
            <w:vAlign w:val="center"/>
          </w:tcPr>
          <w:p>
            <w:pPr>
              <w:spacing w:line="400" w:lineRule="exact"/>
              <w:ind w:firstLine="0"/>
              <w:rPr>
                <w:rFonts w:hint="eastAsia" w:ascii="宋体" w:hAnsi="宋体" w:cs="宋体"/>
                <w:b/>
                <w:bCs/>
                <w:sz w:val="21"/>
                <w:szCs w:val="21"/>
              </w:rPr>
            </w:pPr>
            <w:r>
              <w:rPr>
                <w:rFonts w:hint="eastAsia" w:ascii="宋体" w:hAnsi="宋体" w:cs="宋体"/>
                <w:b/>
                <w:bCs/>
                <w:sz w:val="21"/>
                <w:szCs w:val="21"/>
              </w:rPr>
              <w:t>评分因素</w:t>
            </w:r>
          </w:p>
        </w:tc>
        <w:tc>
          <w:tcPr>
            <w:tcW w:w="5759" w:type="dxa"/>
          </w:tcPr>
          <w:p>
            <w:pPr>
              <w:spacing w:line="400" w:lineRule="exact"/>
              <w:ind w:firstLine="0"/>
              <w:rPr>
                <w:rFonts w:hint="eastAsia" w:ascii="宋体" w:hAnsi="宋体" w:cs="宋体"/>
                <w:b/>
                <w:bCs/>
                <w:sz w:val="21"/>
                <w:szCs w:val="21"/>
              </w:rPr>
            </w:pPr>
            <w:r>
              <w:rPr>
                <w:rFonts w:hint="eastAsia" w:ascii="宋体" w:hAnsi="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jc w:val="center"/>
        </w:trPr>
        <w:tc>
          <w:tcPr>
            <w:tcW w:w="901" w:type="dxa"/>
            <w:vAlign w:val="center"/>
          </w:tcPr>
          <w:p>
            <w:pPr>
              <w:spacing w:line="400" w:lineRule="exact"/>
              <w:ind w:firstLine="0"/>
              <w:rPr>
                <w:rFonts w:hint="eastAsia" w:ascii="宋体" w:hAnsi="宋体" w:cs="宋体"/>
                <w:sz w:val="21"/>
                <w:szCs w:val="21"/>
              </w:rPr>
            </w:pPr>
            <w:r>
              <w:rPr>
                <w:rFonts w:hint="eastAsia" w:ascii="宋体" w:hAnsi="宋体" w:cs="宋体"/>
                <w:sz w:val="21"/>
                <w:szCs w:val="21"/>
              </w:rPr>
              <w:t>2.2.2（1）</w:t>
            </w:r>
          </w:p>
        </w:tc>
        <w:tc>
          <w:tcPr>
            <w:tcW w:w="1123" w:type="dxa"/>
            <w:vAlign w:val="center"/>
          </w:tcPr>
          <w:p>
            <w:pPr>
              <w:spacing w:line="400" w:lineRule="exact"/>
              <w:ind w:firstLine="210" w:firstLineChars="100"/>
              <w:rPr>
                <w:rFonts w:hint="eastAsia" w:ascii="宋体" w:hAnsi="宋体" w:cs="宋体"/>
                <w:sz w:val="21"/>
                <w:szCs w:val="21"/>
              </w:rPr>
            </w:pPr>
            <w:r>
              <w:rPr>
                <w:rFonts w:hint="eastAsia" w:ascii="宋体" w:hAnsi="宋体" w:cs="宋体"/>
                <w:sz w:val="21"/>
                <w:szCs w:val="21"/>
              </w:rPr>
              <w:t>报价部分</w:t>
            </w:r>
          </w:p>
          <w:p>
            <w:pPr>
              <w:spacing w:line="400" w:lineRule="exact"/>
              <w:ind w:firstLine="210" w:firstLineChars="100"/>
              <w:jc w:val="center"/>
              <w:rPr>
                <w:rFonts w:hint="eastAsia" w:ascii="宋体" w:hAnsi="宋体" w:cs="宋体"/>
                <w:sz w:val="21"/>
                <w:szCs w:val="21"/>
              </w:rPr>
            </w:pPr>
            <w:r>
              <w:rPr>
                <w:rFonts w:hint="eastAsia" w:ascii="宋体" w:hAnsi="宋体" w:cs="宋体"/>
                <w:sz w:val="21"/>
                <w:szCs w:val="21"/>
              </w:rPr>
              <w:t>（A）</w:t>
            </w:r>
          </w:p>
          <w:p>
            <w:pPr>
              <w:spacing w:line="400" w:lineRule="exact"/>
              <w:ind w:firstLine="210" w:firstLineChars="100"/>
              <w:jc w:val="center"/>
              <w:rPr>
                <w:rFonts w:hint="eastAsia" w:ascii="宋体" w:hAnsi="宋体" w:cs="宋体"/>
                <w:sz w:val="21"/>
                <w:szCs w:val="21"/>
              </w:rPr>
            </w:pPr>
            <w:r>
              <w:rPr>
                <w:rFonts w:hint="eastAsia" w:ascii="宋体" w:hAnsi="宋体" w:cs="宋体"/>
                <w:sz w:val="21"/>
                <w:szCs w:val="21"/>
              </w:rPr>
              <w:t>（30分）</w:t>
            </w:r>
          </w:p>
        </w:tc>
        <w:tc>
          <w:tcPr>
            <w:tcW w:w="2477" w:type="dxa"/>
            <w:vAlign w:val="center"/>
          </w:tcPr>
          <w:p>
            <w:pPr>
              <w:pStyle w:val="57"/>
              <w:spacing w:before="0" w:after="0" w:line="400" w:lineRule="exact"/>
              <w:outlineLvl w:val="9"/>
              <w:rPr>
                <w:rFonts w:hint="eastAsia" w:ascii="宋体" w:hAnsi="宋体" w:eastAsia="宋体" w:cs="宋体"/>
                <w:sz w:val="21"/>
                <w:szCs w:val="21"/>
              </w:rPr>
            </w:pPr>
            <w:r>
              <w:rPr>
                <w:rFonts w:hint="eastAsia" w:ascii="宋体" w:hAnsi="宋体" w:eastAsia="宋体" w:cs="宋体"/>
                <w:sz w:val="21"/>
                <w:szCs w:val="21"/>
              </w:rPr>
              <w:t>报价（30分）</w:t>
            </w:r>
          </w:p>
        </w:tc>
        <w:tc>
          <w:tcPr>
            <w:tcW w:w="5759" w:type="dxa"/>
            <w:vAlign w:val="center"/>
          </w:tcPr>
          <w:p>
            <w:pPr>
              <w:pStyle w:val="57"/>
              <w:spacing w:line="400" w:lineRule="exact"/>
              <w:ind w:firstLine="420" w:firstLineChars="200"/>
              <w:jc w:val="left"/>
              <w:rPr>
                <w:rFonts w:hint="eastAsia" w:cs="宋体" w:asciiTheme="minorEastAsia" w:hAnsiTheme="minorEastAsia" w:eastAsiaTheme="minorEastAsia"/>
                <w:snapToGrid/>
                <w:sz w:val="21"/>
                <w:szCs w:val="21"/>
              </w:rPr>
            </w:pPr>
            <w:r>
              <w:rPr>
                <w:rFonts w:hint="eastAsia" w:cs="宋体" w:asciiTheme="minorEastAsia" w:hAnsiTheme="minorEastAsia" w:eastAsiaTheme="minorEastAsia"/>
                <w:sz w:val="21"/>
                <w:szCs w:val="21"/>
              </w:rPr>
              <w:t>当竞选人有效报价等于遴选文件中最低限价时得20分，当有效报价高于最低限价5%时加2分，高于最低限价10%时加4分，以此类推，本项最高30分。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jc w:val="center"/>
        </w:trPr>
        <w:tc>
          <w:tcPr>
            <w:tcW w:w="901"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2.2.2（2）</w:t>
            </w:r>
          </w:p>
        </w:tc>
        <w:tc>
          <w:tcPr>
            <w:tcW w:w="1123" w:type="dxa"/>
            <w:vMerge w:val="restart"/>
            <w:vAlign w:val="center"/>
          </w:tcPr>
          <w:p>
            <w:pPr>
              <w:spacing w:line="400" w:lineRule="exact"/>
              <w:ind w:firstLine="210" w:firstLineChars="100"/>
              <w:jc w:val="center"/>
              <w:rPr>
                <w:rFonts w:hint="eastAsia" w:ascii="宋体" w:hAnsi="宋体" w:cs="宋体"/>
                <w:sz w:val="21"/>
                <w:szCs w:val="21"/>
              </w:rPr>
            </w:pPr>
            <w:r>
              <w:rPr>
                <w:rFonts w:hint="eastAsia" w:ascii="宋体" w:hAnsi="宋体" w:cs="宋体"/>
                <w:sz w:val="21"/>
                <w:szCs w:val="21"/>
              </w:rPr>
              <w:t>商务部分</w:t>
            </w:r>
          </w:p>
          <w:p>
            <w:pPr>
              <w:spacing w:line="400" w:lineRule="exact"/>
              <w:ind w:firstLine="210" w:firstLineChars="100"/>
              <w:jc w:val="center"/>
              <w:rPr>
                <w:rFonts w:hint="eastAsia" w:ascii="宋体" w:hAnsi="宋体" w:cs="宋体"/>
                <w:sz w:val="21"/>
                <w:szCs w:val="21"/>
              </w:rPr>
            </w:pPr>
            <w:r>
              <w:rPr>
                <w:rFonts w:hint="eastAsia" w:ascii="宋体" w:hAnsi="宋体" w:cs="宋体"/>
                <w:sz w:val="21"/>
                <w:szCs w:val="21"/>
              </w:rPr>
              <w:t>（B）</w:t>
            </w:r>
          </w:p>
          <w:p>
            <w:pPr>
              <w:spacing w:line="400" w:lineRule="exact"/>
              <w:ind w:firstLine="0"/>
              <w:jc w:val="center"/>
              <w:rPr>
                <w:rFonts w:hint="eastAsia" w:ascii="宋体" w:hAnsi="宋体" w:cs="宋体"/>
                <w:sz w:val="21"/>
                <w:szCs w:val="21"/>
              </w:rPr>
            </w:pPr>
            <w:r>
              <w:rPr>
                <w:rFonts w:hint="eastAsia" w:ascii="宋体" w:hAnsi="宋体" w:cs="宋体"/>
                <w:sz w:val="21"/>
                <w:szCs w:val="21"/>
              </w:rPr>
              <w:t>（20分</w:t>
            </w:r>
          </w:p>
        </w:tc>
        <w:tc>
          <w:tcPr>
            <w:tcW w:w="2477"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遴选文件</w:t>
            </w:r>
          </w:p>
          <w:p>
            <w:pPr>
              <w:spacing w:line="400" w:lineRule="exact"/>
              <w:ind w:firstLine="0"/>
              <w:jc w:val="center"/>
              <w:rPr>
                <w:rFonts w:hint="eastAsia" w:ascii="宋体" w:hAnsi="宋体" w:cs="宋体"/>
                <w:sz w:val="21"/>
                <w:szCs w:val="21"/>
              </w:rPr>
            </w:pPr>
            <w:r>
              <w:rPr>
                <w:rFonts w:hint="eastAsia" w:ascii="宋体" w:hAnsi="宋体" w:cs="宋体"/>
                <w:sz w:val="21"/>
                <w:szCs w:val="21"/>
              </w:rPr>
              <w:t>（10分）</w:t>
            </w:r>
          </w:p>
        </w:tc>
        <w:tc>
          <w:tcPr>
            <w:tcW w:w="5759" w:type="dxa"/>
            <w:vAlign w:val="center"/>
          </w:tcPr>
          <w:p>
            <w:pPr>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是否参与遴选人名称与营业执照一致，遴选文件规定的格式、内容填写规范，字迹清晰可辨，证照资料齐全。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 w:hRule="atLeast"/>
          <w:jc w:val="center"/>
        </w:trPr>
        <w:tc>
          <w:tcPr>
            <w:tcW w:w="901" w:type="dxa"/>
            <w:vMerge w:val="continue"/>
            <w:vAlign w:val="center"/>
          </w:tcPr>
          <w:p>
            <w:pPr>
              <w:spacing w:line="400" w:lineRule="exact"/>
              <w:ind w:firstLine="0"/>
              <w:rPr>
                <w:rFonts w:hint="eastAsia" w:ascii="宋体" w:hAnsi="宋体" w:cs="宋体"/>
                <w:sz w:val="21"/>
                <w:szCs w:val="21"/>
              </w:rPr>
            </w:pPr>
          </w:p>
        </w:tc>
        <w:tc>
          <w:tcPr>
            <w:tcW w:w="1123" w:type="dxa"/>
            <w:vMerge w:val="continue"/>
            <w:vAlign w:val="center"/>
          </w:tcPr>
          <w:p>
            <w:pPr>
              <w:spacing w:line="400" w:lineRule="exact"/>
              <w:ind w:firstLine="0"/>
              <w:jc w:val="center"/>
              <w:rPr>
                <w:rFonts w:hint="eastAsia" w:ascii="宋体" w:hAnsi="宋体" w:cs="宋体"/>
                <w:sz w:val="21"/>
                <w:szCs w:val="21"/>
              </w:rPr>
            </w:pPr>
          </w:p>
        </w:tc>
        <w:tc>
          <w:tcPr>
            <w:tcW w:w="2477" w:type="dxa"/>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单位实力</w:t>
            </w:r>
          </w:p>
          <w:p>
            <w:pPr>
              <w:pStyle w:val="57"/>
              <w:spacing w:before="0" w:after="0" w:line="400" w:lineRule="exact"/>
              <w:outlineLvl w:val="9"/>
              <w:rPr>
                <w:rFonts w:hint="eastAsia" w:ascii="宋体" w:hAnsi="宋体" w:eastAsia="宋体" w:cs="宋体"/>
                <w:sz w:val="21"/>
                <w:szCs w:val="21"/>
              </w:rPr>
            </w:pPr>
            <w:r>
              <w:rPr>
                <w:rFonts w:hint="eastAsia" w:ascii="宋体" w:hAnsi="宋体" w:eastAsia="宋体" w:cs="宋体"/>
                <w:sz w:val="21"/>
                <w:szCs w:val="21"/>
              </w:rPr>
              <w:t>（10分）</w:t>
            </w:r>
          </w:p>
        </w:tc>
        <w:tc>
          <w:tcPr>
            <w:tcW w:w="5759" w:type="dxa"/>
            <w:vAlign w:val="center"/>
          </w:tcPr>
          <w:p>
            <w:pPr>
              <w:keepLines/>
              <w:spacing w:line="40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竞选人是否符合遴选文件中应具备的驾培驾考资质条件（教练车辆、车型、教练人员数量等），财务状况、商业信誉良好。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jc w:val="center"/>
        </w:trPr>
        <w:tc>
          <w:tcPr>
            <w:tcW w:w="901" w:type="dxa"/>
            <w:vMerge w:val="restart"/>
            <w:vAlign w:val="center"/>
          </w:tcPr>
          <w:p>
            <w:pPr>
              <w:spacing w:line="400" w:lineRule="exact"/>
              <w:ind w:firstLine="0"/>
              <w:rPr>
                <w:rFonts w:hint="eastAsia" w:ascii="宋体" w:hAnsi="宋体" w:cs="宋体"/>
                <w:sz w:val="21"/>
                <w:szCs w:val="21"/>
              </w:rPr>
            </w:pPr>
            <w:r>
              <w:rPr>
                <w:rFonts w:hint="eastAsia" w:ascii="宋体" w:hAnsi="宋体" w:cs="宋体"/>
                <w:sz w:val="21"/>
                <w:szCs w:val="21"/>
              </w:rPr>
              <w:t>2.2.2（3）</w:t>
            </w:r>
          </w:p>
        </w:tc>
        <w:tc>
          <w:tcPr>
            <w:tcW w:w="1123" w:type="dxa"/>
            <w:vMerge w:val="restart"/>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技术部分</w:t>
            </w:r>
            <w:r>
              <w:rPr>
                <w:rFonts w:ascii="宋体" w:hAnsi="宋体" w:cs="宋体"/>
                <w:sz w:val="21"/>
                <w:szCs w:val="21"/>
              </w:rPr>
              <w:t>(</w:t>
            </w:r>
            <w:r>
              <w:rPr>
                <w:rFonts w:hint="eastAsia" w:ascii="宋体" w:hAnsi="宋体" w:cs="宋体"/>
                <w:sz w:val="21"/>
                <w:szCs w:val="21"/>
              </w:rPr>
              <w:t>C</w:t>
            </w:r>
            <w:r>
              <w:rPr>
                <w:rFonts w:ascii="宋体" w:hAnsi="宋体" w:cs="宋体"/>
                <w:sz w:val="21"/>
                <w:szCs w:val="21"/>
              </w:rPr>
              <w:t xml:space="preserve">)    </w:t>
            </w:r>
            <w:r>
              <w:rPr>
                <w:rFonts w:hint="eastAsia" w:ascii="宋体" w:hAnsi="宋体" w:cs="宋体"/>
                <w:sz w:val="21"/>
                <w:szCs w:val="21"/>
              </w:rPr>
              <w:t>（5</w:t>
            </w:r>
            <w:r>
              <w:rPr>
                <w:rFonts w:ascii="宋体" w:hAnsi="宋体" w:cs="宋体"/>
                <w:sz w:val="21"/>
                <w:szCs w:val="21"/>
              </w:rPr>
              <w:t>0）</w:t>
            </w:r>
          </w:p>
        </w:tc>
        <w:tc>
          <w:tcPr>
            <w:tcW w:w="2477" w:type="dxa"/>
            <w:vAlign w:val="center"/>
          </w:tcPr>
          <w:p>
            <w:pPr>
              <w:spacing w:line="400" w:lineRule="exact"/>
              <w:ind w:firstLine="0"/>
              <w:jc w:val="center"/>
              <w:rPr>
                <w:rFonts w:hint="eastAsia" w:ascii="宋体" w:hAnsi="宋体" w:cs="宋体"/>
                <w:sz w:val="21"/>
                <w:szCs w:val="21"/>
              </w:rPr>
            </w:pPr>
            <w:r>
              <w:rPr>
                <w:rFonts w:hint="eastAsia" w:cs="宋体" w:asciiTheme="minorEastAsia" w:hAnsiTheme="minorEastAsia" w:eastAsiaTheme="minorEastAsia"/>
                <w:sz w:val="21"/>
                <w:szCs w:val="21"/>
              </w:rPr>
              <w:t>合作经营方案</w:t>
            </w:r>
            <w:r>
              <w:rPr>
                <w:rFonts w:hint="eastAsia" w:ascii="宋体" w:hAnsi="宋体" w:cs="宋体"/>
                <w:sz w:val="21"/>
                <w:szCs w:val="21"/>
              </w:rPr>
              <w:t>（20</w:t>
            </w:r>
            <w:r>
              <w:rPr>
                <w:rFonts w:ascii="宋体" w:hAnsi="宋体" w:cs="宋体"/>
                <w:sz w:val="21"/>
                <w:szCs w:val="21"/>
              </w:rPr>
              <w:t>分）</w:t>
            </w:r>
          </w:p>
        </w:tc>
        <w:tc>
          <w:tcPr>
            <w:tcW w:w="5759" w:type="dxa"/>
            <w:vAlign w:val="center"/>
          </w:tcPr>
          <w:p>
            <w:pPr>
              <w:spacing w:line="400" w:lineRule="exact"/>
              <w:ind w:firstLine="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是否符合遴选文件的相关要求，符合项目实际情况，表述清晰且可行性强。</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1）所提供方案与本项目相关性强，得1</w:t>
            </w:r>
            <w:r>
              <w:rPr>
                <w:rFonts w:hint="eastAsia" w:ascii="宋体" w:hAnsi="宋体" w:cs="宋体"/>
                <w:sz w:val="21"/>
                <w:szCs w:val="21"/>
              </w:rPr>
              <w:t>5</w:t>
            </w:r>
            <w:r>
              <w:rPr>
                <w:rFonts w:ascii="宋体" w:hAnsi="宋体" w:cs="宋体"/>
                <w:sz w:val="21"/>
                <w:szCs w:val="21"/>
              </w:rPr>
              <w:t>（不含）-</w:t>
            </w:r>
            <w:r>
              <w:rPr>
                <w:rFonts w:hint="eastAsia" w:ascii="宋体" w:hAnsi="宋体" w:cs="宋体"/>
                <w:sz w:val="21"/>
                <w:szCs w:val="21"/>
              </w:rPr>
              <w:t>20</w:t>
            </w:r>
            <w:r>
              <w:rPr>
                <w:rFonts w:ascii="宋体" w:hAnsi="宋体" w:cs="宋体"/>
                <w:sz w:val="21"/>
                <w:szCs w:val="21"/>
              </w:rPr>
              <w:t>分；</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2）所提供方案与本项目相关性一般，得</w:t>
            </w:r>
            <w:r>
              <w:rPr>
                <w:rFonts w:hint="eastAsia" w:ascii="宋体" w:hAnsi="宋体" w:cs="宋体"/>
                <w:sz w:val="21"/>
                <w:szCs w:val="21"/>
              </w:rPr>
              <w:t>10</w:t>
            </w:r>
            <w:r>
              <w:rPr>
                <w:rFonts w:ascii="宋体" w:hAnsi="宋体" w:cs="宋体"/>
                <w:sz w:val="21"/>
                <w:szCs w:val="21"/>
              </w:rPr>
              <w:t>（不含）-1</w:t>
            </w:r>
            <w:r>
              <w:rPr>
                <w:rFonts w:hint="eastAsia" w:ascii="宋体" w:hAnsi="宋体" w:cs="宋体"/>
                <w:sz w:val="21"/>
                <w:szCs w:val="21"/>
              </w:rPr>
              <w:t>5</w:t>
            </w:r>
            <w:r>
              <w:rPr>
                <w:rFonts w:ascii="宋体" w:hAnsi="宋体" w:cs="宋体"/>
                <w:sz w:val="21"/>
                <w:szCs w:val="21"/>
              </w:rPr>
              <w:t>分；</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3）所提供方案与本项目相关性弱，得0（不含）-</w:t>
            </w:r>
            <w:r>
              <w:rPr>
                <w:rFonts w:hint="eastAsia" w:ascii="宋体" w:hAnsi="宋体" w:cs="宋体"/>
                <w:sz w:val="21"/>
                <w:szCs w:val="21"/>
              </w:rPr>
              <w:t>10</w:t>
            </w:r>
            <w:r>
              <w:rPr>
                <w:rFonts w:ascii="宋体" w:hAnsi="宋体" w:cs="宋体"/>
                <w:sz w:val="21"/>
                <w:szCs w:val="21"/>
              </w:rPr>
              <w:t>分；</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4）未提供或未描述得0分。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901" w:type="dxa"/>
            <w:vMerge w:val="continue"/>
            <w:vAlign w:val="center"/>
          </w:tcPr>
          <w:p>
            <w:pPr>
              <w:snapToGrid w:val="0"/>
              <w:spacing w:line="400" w:lineRule="exact"/>
              <w:rPr>
                <w:rFonts w:hint="eastAsia" w:ascii="宋体" w:hAnsi="宋体" w:cs="宋体"/>
                <w:sz w:val="21"/>
                <w:szCs w:val="21"/>
              </w:rPr>
            </w:pPr>
          </w:p>
        </w:tc>
        <w:tc>
          <w:tcPr>
            <w:tcW w:w="1123" w:type="dxa"/>
            <w:vMerge w:val="continue"/>
            <w:vAlign w:val="center"/>
          </w:tcPr>
          <w:p>
            <w:pPr>
              <w:snapToGrid w:val="0"/>
              <w:spacing w:line="400" w:lineRule="exact"/>
              <w:rPr>
                <w:rFonts w:hint="eastAsia" w:ascii="宋体" w:hAnsi="宋体" w:cs="宋体"/>
                <w:sz w:val="21"/>
                <w:szCs w:val="21"/>
              </w:rPr>
            </w:pPr>
          </w:p>
        </w:tc>
        <w:tc>
          <w:tcPr>
            <w:tcW w:w="2477" w:type="dxa"/>
            <w:vAlign w:val="center"/>
          </w:tcPr>
          <w:p>
            <w:pPr>
              <w:spacing w:line="400" w:lineRule="exact"/>
              <w:ind w:firstLine="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考场建设规划设计（30</w:t>
            </w:r>
            <w:r>
              <w:rPr>
                <w:rFonts w:cs="宋体" w:asciiTheme="minorEastAsia" w:hAnsiTheme="minorEastAsia" w:eastAsiaTheme="minorEastAsia"/>
                <w:sz w:val="21"/>
                <w:szCs w:val="21"/>
              </w:rPr>
              <w:t>分）</w:t>
            </w:r>
          </w:p>
        </w:tc>
        <w:tc>
          <w:tcPr>
            <w:tcW w:w="5759" w:type="dxa"/>
            <w:vAlign w:val="center"/>
          </w:tcPr>
          <w:p>
            <w:pPr>
              <w:snapToGrid w:val="0"/>
              <w:spacing w:line="400" w:lineRule="exact"/>
              <w:ind w:firstLine="0"/>
              <w:jc w:val="left"/>
              <w:rPr>
                <w:rFonts w:hint="eastAsia" w:ascii="宋体" w:hAnsi="宋体" w:cs="宋体"/>
                <w:sz w:val="21"/>
                <w:szCs w:val="21"/>
              </w:rPr>
            </w:pPr>
            <w:r>
              <w:rPr>
                <w:rFonts w:hint="eastAsia" w:cs="宋体" w:asciiTheme="minorEastAsia" w:hAnsiTheme="minorEastAsia" w:eastAsiaTheme="minorEastAsia"/>
                <w:sz w:val="21"/>
                <w:szCs w:val="21"/>
              </w:rPr>
              <w:t>图纸是否满足考场建设需求，规划设计是否合理。</w:t>
            </w:r>
            <w:r>
              <w:rPr>
                <w:rFonts w:hint="eastAsia" w:ascii="宋体" w:hAnsi="宋体" w:cs="宋体"/>
                <w:sz w:val="21"/>
                <w:szCs w:val="21"/>
              </w:rPr>
              <w:t>：</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1）所提供方案与本项目相关性强，得</w:t>
            </w:r>
            <w:r>
              <w:rPr>
                <w:rFonts w:hint="eastAsia" w:ascii="宋体" w:hAnsi="宋体" w:cs="宋体"/>
                <w:sz w:val="21"/>
                <w:szCs w:val="21"/>
              </w:rPr>
              <w:t>20</w:t>
            </w:r>
            <w:r>
              <w:rPr>
                <w:rFonts w:ascii="宋体" w:hAnsi="宋体" w:cs="宋体"/>
                <w:sz w:val="21"/>
                <w:szCs w:val="21"/>
              </w:rPr>
              <w:t>（不含）-</w:t>
            </w:r>
            <w:r>
              <w:rPr>
                <w:rFonts w:hint="eastAsia" w:ascii="宋体" w:hAnsi="宋体" w:cs="宋体"/>
                <w:sz w:val="21"/>
                <w:szCs w:val="21"/>
              </w:rPr>
              <w:t>30</w:t>
            </w:r>
            <w:r>
              <w:rPr>
                <w:rFonts w:ascii="宋体" w:hAnsi="宋体" w:cs="宋体"/>
                <w:sz w:val="21"/>
                <w:szCs w:val="21"/>
              </w:rPr>
              <w:t>分；</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2）所提供方案与本项目相关性一般，得</w:t>
            </w:r>
            <w:r>
              <w:rPr>
                <w:rFonts w:hint="eastAsia" w:ascii="宋体" w:hAnsi="宋体" w:cs="宋体"/>
                <w:sz w:val="21"/>
                <w:szCs w:val="21"/>
              </w:rPr>
              <w:t>10</w:t>
            </w:r>
            <w:r>
              <w:rPr>
                <w:rFonts w:ascii="宋体" w:hAnsi="宋体" w:cs="宋体"/>
                <w:sz w:val="21"/>
                <w:szCs w:val="21"/>
              </w:rPr>
              <w:t>（不含）-</w:t>
            </w:r>
            <w:r>
              <w:rPr>
                <w:rFonts w:hint="eastAsia" w:ascii="宋体" w:hAnsi="宋体" w:cs="宋体"/>
                <w:sz w:val="21"/>
                <w:szCs w:val="21"/>
              </w:rPr>
              <w:t>20</w:t>
            </w:r>
            <w:r>
              <w:rPr>
                <w:rFonts w:ascii="宋体" w:hAnsi="宋体" w:cs="宋体"/>
                <w:sz w:val="21"/>
                <w:szCs w:val="21"/>
              </w:rPr>
              <w:t>分；</w:t>
            </w:r>
          </w:p>
          <w:p>
            <w:pPr>
              <w:spacing w:line="400" w:lineRule="exact"/>
              <w:ind w:firstLine="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3）所提供方案与本项目相关性弱，得0（不含）-</w:t>
            </w:r>
            <w:r>
              <w:rPr>
                <w:rFonts w:hint="eastAsia" w:ascii="宋体" w:hAnsi="宋体" w:cs="宋体"/>
                <w:sz w:val="21"/>
                <w:szCs w:val="21"/>
              </w:rPr>
              <w:t>10</w:t>
            </w:r>
            <w:r>
              <w:rPr>
                <w:rFonts w:ascii="宋体" w:hAnsi="宋体" w:cs="宋体"/>
                <w:sz w:val="21"/>
                <w:szCs w:val="21"/>
              </w:rPr>
              <w:t>分；</w:t>
            </w:r>
          </w:p>
          <w:p>
            <w:pPr>
              <w:snapToGrid w:val="0"/>
              <w:spacing w:line="400" w:lineRule="exact"/>
              <w:ind w:firstLine="0"/>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4）未提供或未描述得0分。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2024" w:type="dxa"/>
            <w:gridSpan w:val="2"/>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3</w:t>
            </w:r>
          </w:p>
        </w:tc>
        <w:tc>
          <w:tcPr>
            <w:tcW w:w="2477" w:type="dxa"/>
            <w:vAlign w:val="center"/>
          </w:tcPr>
          <w:p>
            <w:pPr>
              <w:snapToGrid w:val="0"/>
              <w:spacing w:line="400" w:lineRule="exact"/>
              <w:ind w:firstLine="0"/>
              <w:rPr>
                <w:rFonts w:hint="eastAsia" w:ascii="宋体" w:hAnsi="宋体" w:cs="宋体"/>
                <w:sz w:val="21"/>
                <w:szCs w:val="21"/>
              </w:rPr>
            </w:pPr>
            <w:r>
              <w:rPr>
                <w:rFonts w:hint="eastAsia" w:ascii="宋体" w:hAnsi="宋体" w:cs="宋体"/>
                <w:sz w:val="21"/>
                <w:szCs w:val="21"/>
              </w:rPr>
              <w:t>评标程序</w:t>
            </w:r>
          </w:p>
        </w:tc>
        <w:tc>
          <w:tcPr>
            <w:tcW w:w="5759" w:type="dxa"/>
            <w:vAlign w:val="center"/>
          </w:tcPr>
          <w:p>
            <w:pPr>
              <w:autoSpaceDE w:val="0"/>
              <w:autoSpaceDN w:val="0"/>
              <w:spacing w:line="400" w:lineRule="exact"/>
              <w:ind w:firstLine="420" w:firstLineChars="200"/>
              <w:rPr>
                <w:rFonts w:hint="eastAsia" w:ascii="宋体" w:hAnsi="宋体" w:cs="宋体"/>
                <w:sz w:val="21"/>
                <w:szCs w:val="21"/>
              </w:rPr>
            </w:pPr>
            <w:r>
              <w:rPr>
                <w:rFonts w:hint="eastAsia" w:ascii="宋体" w:hAnsi="宋体" w:cs="宋体"/>
                <w:sz w:val="21"/>
                <w:szCs w:val="21"/>
              </w:rPr>
              <w:t>1.按评审办法前附表2.1.1至2.1.3款的规定对所有竞选文件进行初步评审，只有通过初步评审的竞选文件才能进行后续评审。</w:t>
            </w:r>
          </w:p>
          <w:p>
            <w:pPr>
              <w:spacing w:line="400" w:lineRule="exact"/>
              <w:rPr>
                <w:rFonts w:hint="eastAsia" w:ascii="宋体" w:hAnsi="宋体" w:cs="宋体"/>
                <w:sz w:val="21"/>
                <w:szCs w:val="21"/>
              </w:rPr>
            </w:pPr>
            <w:r>
              <w:rPr>
                <w:rFonts w:hint="eastAsia" w:ascii="宋体" w:hAnsi="宋体" w:cs="宋体"/>
                <w:sz w:val="21"/>
                <w:szCs w:val="21"/>
              </w:rPr>
              <w:t>2.初步评审合格的才进行详细评审。详细评审标准：</w:t>
            </w:r>
          </w:p>
          <w:p>
            <w:pPr>
              <w:spacing w:line="400" w:lineRule="exact"/>
              <w:rPr>
                <w:rFonts w:hint="eastAsia" w:ascii="宋体" w:hAnsi="宋体" w:cs="宋体"/>
                <w:sz w:val="21"/>
                <w:szCs w:val="21"/>
              </w:rPr>
            </w:pPr>
            <w:r>
              <w:rPr>
                <w:rFonts w:hint="eastAsia" w:ascii="宋体" w:hAnsi="宋体" w:cs="宋体"/>
                <w:sz w:val="21"/>
                <w:szCs w:val="21"/>
              </w:rPr>
              <w:t>（1）报价部分评分标准：报价部分评分按2.2.2(1)项 “报价部分”中各评审标准设定的分值评分。</w:t>
            </w:r>
          </w:p>
          <w:p>
            <w:pPr>
              <w:spacing w:line="400" w:lineRule="exact"/>
              <w:ind w:firstLine="420"/>
              <w:rPr>
                <w:rFonts w:hint="eastAsia" w:ascii="宋体" w:hAnsi="宋体" w:cs="宋体"/>
                <w:sz w:val="21"/>
                <w:szCs w:val="21"/>
              </w:rPr>
            </w:pPr>
            <w:r>
              <w:rPr>
                <w:rFonts w:hint="eastAsia" w:ascii="宋体" w:hAnsi="宋体" w:cs="宋体"/>
                <w:sz w:val="21"/>
                <w:szCs w:val="21"/>
              </w:rPr>
              <w:t>（1）商务部分评分标准：商务部分评分按2.2.2(2)项 “商务部分”中各评审标准设定的分值评分。</w:t>
            </w:r>
          </w:p>
          <w:p>
            <w:pPr>
              <w:spacing w:line="400" w:lineRule="exact"/>
              <w:ind w:firstLine="420"/>
              <w:rPr>
                <w:rFonts w:hint="eastAsia" w:ascii="宋体" w:hAnsi="宋体" w:cs="宋体"/>
                <w:sz w:val="21"/>
                <w:szCs w:val="21"/>
              </w:rPr>
            </w:pPr>
            <w:r>
              <w:rPr>
                <w:rFonts w:hint="eastAsia" w:ascii="宋体" w:hAnsi="宋体" w:cs="宋体"/>
                <w:sz w:val="21"/>
                <w:szCs w:val="21"/>
              </w:rPr>
              <w:t>（2）技术部分评分标准：技术部分评分按2.2.2(3)项中“技术部分”中设定的评审标准的进行评分，以所有评委打分取算术平均值作为本项最终得分。</w:t>
            </w:r>
          </w:p>
          <w:p>
            <w:pPr>
              <w:spacing w:line="400" w:lineRule="exact"/>
              <w:ind w:firstLine="420"/>
              <w:rPr>
                <w:rFonts w:hint="eastAsia" w:ascii="宋体" w:hAnsi="宋体" w:cs="宋体"/>
                <w:sz w:val="21"/>
                <w:szCs w:val="21"/>
              </w:rPr>
            </w:pPr>
            <w:r>
              <w:rPr>
                <w:rFonts w:hint="eastAsia" w:ascii="宋体" w:hAnsi="宋体" w:cs="宋体"/>
                <w:sz w:val="21"/>
                <w:szCs w:val="21"/>
              </w:rPr>
              <w:t>4.根据综合得分由高至低进行排序，推荐1家合格的中标候选人。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jc w:val="center"/>
        </w:trPr>
        <w:tc>
          <w:tcPr>
            <w:tcW w:w="2024" w:type="dxa"/>
            <w:gridSpan w:val="2"/>
            <w:vAlign w:val="center"/>
          </w:tcPr>
          <w:p>
            <w:pPr>
              <w:spacing w:line="400" w:lineRule="exact"/>
              <w:ind w:firstLine="0"/>
              <w:rPr>
                <w:rFonts w:hint="eastAsia" w:ascii="宋体" w:hAnsi="宋体" w:cs="宋体"/>
                <w:sz w:val="21"/>
                <w:szCs w:val="21"/>
              </w:rPr>
            </w:pPr>
            <w:r>
              <w:rPr>
                <w:rFonts w:hint="eastAsia" w:ascii="宋体" w:hAnsi="宋体" w:cs="宋体"/>
                <w:sz w:val="21"/>
                <w:szCs w:val="21"/>
              </w:rPr>
              <w:t>3.2.3</w:t>
            </w:r>
          </w:p>
        </w:tc>
        <w:tc>
          <w:tcPr>
            <w:tcW w:w="2477" w:type="dxa"/>
            <w:vAlign w:val="center"/>
          </w:tcPr>
          <w:p>
            <w:pPr>
              <w:snapToGrid w:val="0"/>
              <w:spacing w:line="400" w:lineRule="exact"/>
              <w:ind w:firstLine="0"/>
              <w:rPr>
                <w:rFonts w:hint="eastAsia" w:ascii="宋体" w:hAnsi="宋体" w:cs="宋体"/>
                <w:sz w:val="21"/>
                <w:szCs w:val="21"/>
              </w:rPr>
            </w:pPr>
            <w:r>
              <w:rPr>
                <w:rFonts w:hint="eastAsia" w:ascii="宋体" w:hAnsi="宋体" w:cs="宋体"/>
                <w:sz w:val="21"/>
                <w:szCs w:val="21"/>
              </w:rPr>
              <w:t>竞选人得分</w:t>
            </w:r>
          </w:p>
        </w:tc>
        <w:tc>
          <w:tcPr>
            <w:tcW w:w="5759" w:type="dxa"/>
            <w:vAlign w:val="center"/>
          </w:tcPr>
          <w:p>
            <w:pPr>
              <w:spacing w:line="400" w:lineRule="exact"/>
              <w:ind w:firstLine="420"/>
              <w:rPr>
                <w:rFonts w:hint="eastAsia" w:ascii="宋体" w:hAnsi="宋体" w:cs="宋体"/>
                <w:sz w:val="21"/>
                <w:szCs w:val="21"/>
              </w:rPr>
            </w:pPr>
            <w:r>
              <w:rPr>
                <w:rFonts w:hint="eastAsia" w:ascii="宋体" w:hAnsi="宋体" w:cs="宋体"/>
                <w:sz w:val="21"/>
                <w:szCs w:val="21"/>
              </w:rPr>
              <w:t>竞选人得分=A+B+C</w:t>
            </w:r>
          </w:p>
        </w:tc>
      </w:tr>
    </w:tbl>
    <w:p>
      <w:pPr>
        <w:autoSpaceDE w:val="0"/>
        <w:autoSpaceDN w:val="0"/>
        <w:spacing w:line="400" w:lineRule="exact"/>
        <w:ind w:firstLine="422" w:firstLineChars="200"/>
        <w:rPr>
          <w:rFonts w:cs="宋体"/>
          <w:sz w:val="21"/>
          <w:szCs w:val="21"/>
        </w:rPr>
      </w:pPr>
      <w:bookmarkStart w:id="157" w:name="_Toc31624"/>
      <w:bookmarkStart w:id="158" w:name="_Toc15982"/>
      <w:r>
        <w:rPr>
          <w:rFonts w:hint="eastAsia" w:ascii="宋体" w:hAnsi="宋体" w:cs="宋体"/>
          <w:b/>
          <w:sz w:val="21"/>
          <w:szCs w:val="21"/>
        </w:rPr>
        <w:t>注：本附表与后文不一致的以本附表为准。</w:t>
      </w:r>
      <w:r>
        <w:rPr>
          <w:rFonts w:hint="eastAsia" w:cs="宋体"/>
          <w:sz w:val="21"/>
          <w:szCs w:val="21"/>
        </w:rPr>
        <w:br w:type="page"/>
      </w:r>
      <w:bookmarkStart w:id="159" w:name="_Toc30782"/>
      <w:r>
        <w:rPr>
          <w:rFonts w:hint="eastAsia" w:cs="宋体"/>
          <w:sz w:val="21"/>
          <w:szCs w:val="21"/>
        </w:rPr>
        <w:t>1. 评审方法</w:t>
      </w:r>
      <w:bookmarkEnd w:id="157"/>
      <w:bookmarkEnd w:id="158"/>
      <w:bookmarkEnd w:id="159"/>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本次评审采用综合评估法。评审小组对满足竞争性遴选文件实质性要求的竞选文件，按照本章第2.2款规定的评分标准进行打分，并按得分由高到低顺序推荐中选候选人，或根据遴选人授权直接确定成交竞选人，但竞选报价低于其成本的除外。综合评分相等时，以报价得分高的优先；报价得分也相等的，以技术得分高的优先；如果技术得分也相等，由遴选人自行确定。</w:t>
      </w:r>
    </w:p>
    <w:p>
      <w:pPr>
        <w:pStyle w:val="3"/>
        <w:adjustRightInd/>
        <w:spacing w:line="400" w:lineRule="exact"/>
        <w:ind w:firstLine="422" w:firstLineChars="200"/>
        <w:rPr>
          <w:rFonts w:hint="eastAsia" w:cs="宋体"/>
          <w:sz w:val="21"/>
          <w:szCs w:val="21"/>
        </w:rPr>
      </w:pPr>
      <w:bookmarkStart w:id="160" w:name="_bookmark84"/>
      <w:bookmarkEnd w:id="160"/>
      <w:bookmarkStart w:id="161" w:name="_Toc2950"/>
      <w:bookmarkStart w:id="162" w:name="_Toc23915"/>
      <w:bookmarkStart w:id="163" w:name="_Toc14183"/>
      <w:bookmarkStart w:id="164" w:name="_Toc161058976"/>
      <w:bookmarkStart w:id="165" w:name="_Toc28994"/>
      <w:r>
        <w:rPr>
          <w:rFonts w:hint="eastAsia" w:cs="宋体"/>
          <w:sz w:val="21"/>
          <w:szCs w:val="21"/>
        </w:rPr>
        <w:t>2. 评审标准</w:t>
      </w:r>
      <w:bookmarkEnd w:id="161"/>
      <w:bookmarkEnd w:id="162"/>
      <w:bookmarkEnd w:id="163"/>
      <w:bookmarkEnd w:id="164"/>
      <w:bookmarkEnd w:id="165"/>
    </w:p>
    <w:p>
      <w:pPr>
        <w:pStyle w:val="4"/>
        <w:adjustRightInd/>
        <w:spacing w:before="0" w:after="0" w:line="400" w:lineRule="exact"/>
        <w:ind w:firstLine="422" w:firstLineChars="200"/>
        <w:rPr>
          <w:rFonts w:hint="eastAsia" w:ascii="宋体" w:hAnsi="宋体" w:cs="宋体"/>
          <w:sz w:val="21"/>
          <w:szCs w:val="21"/>
        </w:rPr>
      </w:pPr>
      <w:bookmarkStart w:id="166" w:name="_bookmark85"/>
      <w:bookmarkEnd w:id="166"/>
      <w:bookmarkStart w:id="167" w:name="_Toc8204"/>
      <w:bookmarkStart w:id="168" w:name="_Toc25415"/>
      <w:bookmarkStart w:id="169" w:name="_Toc25204"/>
      <w:bookmarkStart w:id="170" w:name="_Toc19641"/>
      <w:bookmarkStart w:id="171" w:name="_Toc161058977"/>
      <w:bookmarkStart w:id="172" w:name="_Toc31508"/>
      <w:r>
        <w:rPr>
          <w:rFonts w:hint="eastAsia" w:ascii="宋体" w:hAnsi="宋体" w:cs="宋体"/>
          <w:sz w:val="21"/>
          <w:szCs w:val="21"/>
        </w:rPr>
        <w:t>2.1 初步评审标准</w:t>
      </w:r>
      <w:bookmarkEnd w:id="167"/>
      <w:bookmarkEnd w:id="168"/>
      <w:bookmarkEnd w:id="169"/>
      <w:bookmarkEnd w:id="170"/>
      <w:bookmarkEnd w:id="171"/>
      <w:bookmarkEnd w:id="172"/>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2.1.1 形式评审标准：见评审办法前附表。</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2.1.2 资格评审标准：见评审办法前附表。</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2.1.3 响应性评审标准：见评审办法前附表。</w:t>
      </w:r>
    </w:p>
    <w:p>
      <w:pPr>
        <w:pStyle w:val="4"/>
        <w:adjustRightInd/>
        <w:spacing w:before="0" w:after="0" w:line="400" w:lineRule="exact"/>
        <w:ind w:firstLine="422" w:firstLineChars="200"/>
        <w:jc w:val="left"/>
        <w:rPr>
          <w:rFonts w:hint="eastAsia" w:ascii="宋体" w:hAnsi="宋体" w:cs="宋体"/>
          <w:sz w:val="21"/>
          <w:szCs w:val="21"/>
        </w:rPr>
      </w:pPr>
      <w:bookmarkStart w:id="173" w:name="_bookmark86"/>
      <w:bookmarkEnd w:id="173"/>
      <w:bookmarkStart w:id="174" w:name="_Toc25467"/>
      <w:bookmarkStart w:id="175" w:name="_Toc16240"/>
      <w:bookmarkStart w:id="176" w:name="_Toc23027"/>
      <w:bookmarkStart w:id="177" w:name="_Toc20432"/>
      <w:bookmarkStart w:id="178" w:name="_Toc161058978"/>
      <w:bookmarkStart w:id="179" w:name="_Toc31899"/>
      <w:r>
        <w:rPr>
          <w:rFonts w:hint="eastAsia" w:ascii="宋体" w:hAnsi="宋体" w:cs="宋体"/>
          <w:sz w:val="21"/>
          <w:szCs w:val="21"/>
        </w:rPr>
        <w:t>2.2分值构成</w:t>
      </w:r>
      <w:r>
        <w:rPr>
          <w:rFonts w:hint="eastAsia" w:ascii="宋体" w:hAnsi="宋体" w:cs="宋体"/>
          <w:spacing w:val="-3"/>
          <w:sz w:val="21"/>
          <w:szCs w:val="21"/>
        </w:rPr>
        <w:t>与</w:t>
      </w:r>
      <w:r>
        <w:rPr>
          <w:rFonts w:hint="eastAsia" w:ascii="宋体" w:hAnsi="宋体" w:cs="宋体"/>
          <w:sz w:val="21"/>
          <w:szCs w:val="21"/>
        </w:rPr>
        <w:t>评</w:t>
      </w:r>
      <w:r>
        <w:rPr>
          <w:rFonts w:hint="eastAsia" w:ascii="宋体" w:hAnsi="宋体" w:cs="宋体"/>
          <w:spacing w:val="-3"/>
          <w:sz w:val="21"/>
          <w:szCs w:val="21"/>
        </w:rPr>
        <w:t>分</w:t>
      </w:r>
      <w:r>
        <w:rPr>
          <w:rFonts w:hint="eastAsia" w:ascii="宋体" w:hAnsi="宋体" w:cs="宋体"/>
          <w:sz w:val="21"/>
          <w:szCs w:val="21"/>
        </w:rPr>
        <w:t>标准</w:t>
      </w:r>
      <w:bookmarkEnd w:id="174"/>
      <w:bookmarkEnd w:id="175"/>
      <w:bookmarkEnd w:id="176"/>
      <w:bookmarkEnd w:id="177"/>
      <w:bookmarkEnd w:id="178"/>
      <w:bookmarkEnd w:id="179"/>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2.2.1 分值构成</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见评审办法前附表。</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2.2.2 评分标准</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见评审办法前附表。</w:t>
      </w:r>
    </w:p>
    <w:p>
      <w:pPr>
        <w:pStyle w:val="3"/>
        <w:adjustRightInd/>
        <w:spacing w:line="400" w:lineRule="exact"/>
        <w:rPr>
          <w:rFonts w:hint="eastAsia" w:cs="宋体"/>
          <w:sz w:val="21"/>
          <w:szCs w:val="21"/>
        </w:rPr>
      </w:pPr>
      <w:bookmarkStart w:id="180" w:name="_Toc19877"/>
      <w:bookmarkStart w:id="181" w:name="_Toc161058979"/>
      <w:bookmarkStart w:id="182" w:name="_Toc19205"/>
      <w:bookmarkStart w:id="183" w:name="_Toc12861"/>
      <w:r>
        <w:rPr>
          <w:rFonts w:hint="eastAsia" w:cs="宋体"/>
          <w:sz w:val="21"/>
          <w:szCs w:val="21"/>
        </w:rPr>
        <w:t>3. 评审程序</w:t>
      </w:r>
      <w:bookmarkEnd w:id="180"/>
      <w:bookmarkEnd w:id="181"/>
      <w:bookmarkEnd w:id="182"/>
      <w:bookmarkEnd w:id="183"/>
    </w:p>
    <w:p>
      <w:pPr>
        <w:pStyle w:val="4"/>
        <w:adjustRightInd/>
        <w:spacing w:before="0" w:after="0" w:line="400" w:lineRule="exact"/>
        <w:ind w:firstLine="422" w:firstLineChars="200"/>
        <w:rPr>
          <w:rFonts w:hint="eastAsia" w:ascii="宋体" w:hAnsi="宋体" w:cs="宋体"/>
          <w:sz w:val="21"/>
          <w:szCs w:val="21"/>
        </w:rPr>
      </w:pPr>
      <w:bookmarkStart w:id="184" w:name="_Toc28411"/>
      <w:bookmarkStart w:id="185" w:name="_Toc4125"/>
      <w:bookmarkStart w:id="186" w:name="_Toc19358"/>
      <w:bookmarkStart w:id="187" w:name="_Toc8467"/>
      <w:bookmarkStart w:id="188" w:name="_Toc161058980"/>
      <w:bookmarkStart w:id="189" w:name="_Toc2903"/>
      <w:r>
        <w:rPr>
          <w:rFonts w:hint="eastAsia" w:ascii="宋体" w:hAnsi="宋体" w:cs="宋体"/>
          <w:sz w:val="21"/>
          <w:szCs w:val="21"/>
        </w:rPr>
        <w:t>3.1 初步评审</w:t>
      </w:r>
      <w:bookmarkEnd w:id="184"/>
      <w:bookmarkEnd w:id="185"/>
      <w:bookmarkEnd w:id="186"/>
      <w:bookmarkEnd w:id="187"/>
      <w:bookmarkEnd w:id="188"/>
      <w:bookmarkEnd w:id="189"/>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3.1.1 评审小组可以要求竞选人提交第二章“竞选人须知”规定的有关证明和证件的原件，以便核验。评审小组依据本章第 2.1 款规定的标准对竞选文件进行初步评审。有一项不符合评审标准的，评审小组应当否决其竞选。</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3.1.2 竞选人有以下情形之一的，评审小组应当否决其竞选：</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（1）第二章“竞选人须知”第 1.4.3 项规定的任何一种情形的；</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（2）有串通竞选、弄虚作假、行贿等违法行为。</w:t>
      </w:r>
      <w:bookmarkStart w:id="190" w:name="_bookmark87"/>
      <w:bookmarkEnd w:id="190"/>
    </w:p>
    <w:p>
      <w:pPr>
        <w:pStyle w:val="4"/>
        <w:adjustRightInd/>
        <w:spacing w:before="0" w:after="0" w:line="400" w:lineRule="exact"/>
        <w:ind w:firstLine="422" w:firstLineChars="200"/>
        <w:rPr>
          <w:rFonts w:hint="eastAsia" w:ascii="宋体" w:hAnsi="宋体" w:cs="宋体"/>
          <w:sz w:val="21"/>
          <w:szCs w:val="21"/>
        </w:rPr>
      </w:pPr>
      <w:bookmarkStart w:id="191" w:name="_bookmark89"/>
      <w:bookmarkEnd w:id="191"/>
      <w:bookmarkStart w:id="192" w:name="_Toc27900"/>
      <w:bookmarkStart w:id="193" w:name="_Toc6169"/>
      <w:bookmarkStart w:id="194" w:name="_Toc6471"/>
      <w:bookmarkStart w:id="195" w:name="_Toc20963"/>
      <w:bookmarkStart w:id="196" w:name="_Toc26370"/>
      <w:bookmarkStart w:id="197" w:name="_Toc161058981"/>
      <w:r>
        <w:rPr>
          <w:rFonts w:hint="eastAsia" w:ascii="宋体" w:hAnsi="宋体" w:cs="宋体"/>
          <w:sz w:val="21"/>
          <w:szCs w:val="21"/>
        </w:rPr>
        <w:t>3.2 详细评审</w:t>
      </w:r>
      <w:bookmarkEnd w:id="192"/>
      <w:bookmarkEnd w:id="193"/>
      <w:bookmarkEnd w:id="194"/>
      <w:bookmarkEnd w:id="195"/>
      <w:bookmarkEnd w:id="196"/>
      <w:bookmarkEnd w:id="197"/>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3.2.1 评审小组按本章第 2.2 款规定的量化因素和分值进行打分，并计算出综合评估得分。</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（1）按本章第 2.2.2（1）目规定的评审因素和分值对商务部分计算出得分A；</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（2）按本章第 2.2.2（2）目规定的评审因素和分值对技术部分计算出得分B。</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3.2.2 评分分值计算保留小数点后两位，小数点后第三位“四舍五入”。</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3.2.3 竞选人得分=A+B。</w:t>
      </w:r>
    </w:p>
    <w:p>
      <w:pPr>
        <w:pStyle w:val="4"/>
        <w:adjustRightInd/>
        <w:spacing w:before="0" w:after="0" w:line="400" w:lineRule="exact"/>
        <w:ind w:firstLine="422" w:firstLineChars="200"/>
        <w:rPr>
          <w:rFonts w:hint="eastAsia" w:ascii="宋体" w:hAnsi="宋体" w:cs="宋体"/>
          <w:sz w:val="21"/>
          <w:szCs w:val="21"/>
        </w:rPr>
      </w:pPr>
      <w:bookmarkStart w:id="198" w:name="_bookmark90"/>
      <w:bookmarkEnd w:id="198"/>
      <w:bookmarkStart w:id="199" w:name="_Toc3580"/>
      <w:bookmarkStart w:id="200" w:name="_Toc9417"/>
      <w:bookmarkStart w:id="201" w:name="_Toc29164"/>
      <w:bookmarkStart w:id="202" w:name="_Toc161058982"/>
      <w:bookmarkStart w:id="203" w:name="_Toc25288"/>
      <w:bookmarkStart w:id="204" w:name="_Toc22765"/>
      <w:r>
        <w:rPr>
          <w:rFonts w:hint="eastAsia" w:ascii="宋体" w:hAnsi="宋体" w:cs="宋体"/>
          <w:sz w:val="21"/>
          <w:szCs w:val="21"/>
        </w:rPr>
        <w:t>3.3 竞选文件的澄清</w:t>
      </w:r>
      <w:bookmarkEnd w:id="199"/>
      <w:bookmarkEnd w:id="200"/>
      <w:bookmarkEnd w:id="201"/>
      <w:bookmarkEnd w:id="202"/>
      <w:bookmarkEnd w:id="203"/>
      <w:bookmarkEnd w:id="204"/>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3.3.1 在评审过程中，评审小组可以书面形式要求竞选人对竞选文件中含义不明确、对同类问题表述不一致或者有明显文字和计算错误的内容作必要的澄清、说明或补正。澄清、说明 或补正应以书面方式进行。评审小组不接受竞选人主动提出的澄清、说明或补正。</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3.3.2 澄清、说明或补正不得超出竞选文件的范围且不得改变竞选文件的实质性内容，并构成竞选文件的组成部分。</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3.3.3 评审小组对竞选人提交的澄清、说明或补正有疑问的，可以要求竞选人进一步澄清、说明或补正，直至满足评审小组的要求。</w:t>
      </w:r>
    </w:p>
    <w:p>
      <w:pPr>
        <w:pStyle w:val="4"/>
        <w:adjustRightInd/>
        <w:spacing w:before="0" w:after="0" w:line="400" w:lineRule="exact"/>
        <w:ind w:firstLine="422" w:firstLineChars="200"/>
        <w:rPr>
          <w:rFonts w:hint="eastAsia" w:ascii="宋体" w:hAnsi="宋体" w:cs="宋体"/>
          <w:sz w:val="21"/>
          <w:szCs w:val="21"/>
        </w:rPr>
      </w:pPr>
      <w:bookmarkStart w:id="205" w:name="_bookmark91"/>
      <w:bookmarkEnd w:id="205"/>
      <w:bookmarkStart w:id="206" w:name="_Toc27825"/>
      <w:bookmarkStart w:id="207" w:name="_Toc15428"/>
      <w:bookmarkStart w:id="208" w:name="_Toc27569"/>
      <w:bookmarkStart w:id="209" w:name="_Toc6189"/>
      <w:bookmarkStart w:id="210" w:name="_Toc161058983"/>
      <w:bookmarkStart w:id="211" w:name="_Toc27320"/>
      <w:r>
        <w:rPr>
          <w:rFonts w:hint="eastAsia" w:ascii="宋体" w:hAnsi="宋体" w:cs="宋体"/>
          <w:sz w:val="21"/>
          <w:szCs w:val="21"/>
        </w:rPr>
        <w:t>3.4 评审结果</w:t>
      </w:r>
      <w:bookmarkEnd w:id="206"/>
      <w:bookmarkEnd w:id="207"/>
      <w:bookmarkEnd w:id="208"/>
      <w:bookmarkEnd w:id="209"/>
      <w:bookmarkEnd w:id="210"/>
      <w:bookmarkEnd w:id="211"/>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3.4.1 除第二章“竞选人须知”前附表授权直接确定成交竞选人外，评审小组按照得分由高到低的顺序推荐中选候选人，并标明排序。</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3.4.2 评审小组完成评审后，应当向遴选人提交书面评审报告和中选候选人名单。</w:t>
      </w:r>
    </w:p>
    <w:bookmarkEnd w:id="156"/>
    <w:p>
      <w:pPr>
        <w:snapToGrid w:val="0"/>
        <w:spacing w:line="400" w:lineRule="exact"/>
        <w:ind w:firstLine="0"/>
        <w:rPr>
          <w:rFonts w:hint="eastAsia" w:ascii="宋体" w:hAnsi="宋体" w:cs="宋体"/>
          <w:b/>
          <w:strike/>
          <w:sz w:val="32"/>
          <w:szCs w:val="32"/>
        </w:rPr>
      </w:pPr>
      <w:bookmarkStart w:id="212" w:name="_Toc332030364"/>
      <w:bookmarkStart w:id="213" w:name="_Toc320957570"/>
    </w:p>
    <w:bookmarkEnd w:id="212"/>
    <w:bookmarkEnd w:id="213"/>
    <w:p>
      <w:pPr>
        <w:spacing w:line="400" w:lineRule="exact"/>
        <w:ind w:firstLine="0"/>
        <w:rPr>
          <w:rFonts w:hint="eastAsia" w:ascii="宋体" w:hAnsi="宋体" w:cs="宋体"/>
          <w:strike/>
          <w:sz w:val="21"/>
          <w:szCs w:val="21"/>
        </w:rPr>
      </w:pPr>
    </w:p>
    <w:p>
      <w:pPr>
        <w:pStyle w:val="3"/>
        <w:keepNext w:val="0"/>
        <w:keepLines w:val="0"/>
        <w:widowControl/>
        <w:adjustRightInd/>
        <w:spacing w:line="400" w:lineRule="exact"/>
        <w:jc w:val="left"/>
        <w:textAlignment w:val="auto"/>
        <w:rPr>
          <w:rFonts w:hint="eastAsia" w:cs="宋体"/>
          <w:sz w:val="24"/>
          <w:szCs w:val="24"/>
        </w:rPr>
      </w:pPr>
      <w:bookmarkStart w:id="214" w:name="_Toc447723903"/>
      <w:bookmarkStart w:id="215" w:name="_Toc440274654"/>
      <w:r>
        <w:rPr>
          <w:rFonts w:hint="eastAsia" w:cs="宋体"/>
          <w:sz w:val="24"/>
          <w:szCs w:val="24"/>
        </w:rPr>
        <w:br w:type="page"/>
      </w:r>
      <w:bookmarkStart w:id="216" w:name="_Toc10300"/>
      <w:bookmarkStart w:id="217" w:name="_Toc31805"/>
      <w:bookmarkStart w:id="218" w:name="_Toc161058984"/>
      <w:r>
        <w:rPr>
          <w:rFonts w:hint="eastAsia" w:cs="宋体"/>
          <w:sz w:val="24"/>
          <w:szCs w:val="24"/>
        </w:rPr>
        <w:t>附件A：否决竞选条件</w:t>
      </w:r>
      <w:bookmarkEnd w:id="214"/>
      <w:bookmarkEnd w:id="215"/>
      <w:bookmarkEnd w:id="216"/>
      <w:bookmarkEnd w:id="217"/>
      <w:bookmarkEnd w:id="218"/>
      <w:bookmarkStart w:id="219" w:name="招标文件03章02评标办法综合评估法02附件02"/>
      <w:bookmarkEnd w:id="219"/>
      <w:bookmarkStart w:id="220" w:name="招标文件04章合同条款及格式"/>
      <w:bookmarkEnd w:id="220"/>
      <w:bookmarkStart w:id="221" w:name="_Toc230410480"/>
      <w:bookmarkStart w:id="222" w:name="_Toc277082627"/>
    </w:p>
    <w:p>
      <w:pPr>
        <w:spacing w:line="400" w:lineRule="exact"/>
        <w:ind w:firstLine="0"/>
        <w:jc w:val="center"/>
        <w:rPr>
          <w:rFonts w:hint="eastAsia" w:ascii="宋体" w:hAnsi="宋体" w:cs="宋体"/>
          <w:b/>
          <w:sz w:val="21"/>
          <w:szCs w:val="21"/>
        </w:rPr>
      </w:pPr>
      <w:r>
        <w:rPr>
          <w:rFonts w:hint="eastAsia" w:ascii="宋体" w:hAnsi="宋体" w:cs="宋体"/>
          <w:b/>
          <w:sz w:val="21"/>
          <w:szCs w:val="21"/>
        </w:rPr>
        <w:t>否决竞选情况一览表</w:t>
      </w:r>
      <w:bookmarkEnd w:id="221"/>
    </w:p>
    <w:p>
      <w:pPr>
        <w:spacing w:line="400" w:lineRule="exact"/>
        <w:ind w:firstLine="0"/>
        <w:rPr>
          <w:rFonts w:hint="eastAsia" w:ascii="宋体" w:hAnsi="宋体" w:cs="宋体"/>
          <w:sz w:val="21"/>
          <w:szCs w:val="21"/>
        </w:rPr>
      </w:pPr>
      <w:bookmarkStart w:id="223" w:name="_Toc396125308"/>
      <w:bookmarkStart w:id="224" w:name="_Toc397697600"/>
      <w:bookmarkStart w:id="225" w:name="_Toc377561769"/>
      <w:bookmarkStart w:id="226" w:name="_Toc396830643"/>
      <w:bookmarkStart w:id="227" w:name="_Toc396377651"/>
      <w:bookmarkStart w:id="228" w:name="_Toc396119118"/>
      <w:bookmarkStart w:id="229" w:name="_Toc382484924"/>
      <w:bookmarkStart w:id="230" w:name="_Toc396815201"/>
      <w:bookmarkStart w:id="231" w:name="_Toc396316441"/>
      <w:bookmarkStart w:id="232" w:name="_Toc396470690"/>
      <w:bookmarkStart w:id="233" w:name="_Toc396121202"/>
      <w:bookmarkStart w:id="234" w:name="_Toc397353548"/>
      <w:bookmarkStart w:id="235" w:name="_Toc414611339"/>
      <w:bookmarkStart w:id="236" w:name="_Toc396316219"/>
      <w:r>
        <w:rPr>
          <w:rFonts w:hint="eastAsia" w:ascii="宋体" w:hAnsi="宋体" w:cs="宋体"/>
          <w:sz w:val="21"/>
          <w:szCs w:val="21"/>
        </w:rPr>
        <w:t>一览表否决竞选条件之外的评审小组不得判为重大偏差。</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bl>
      <w:tblPr>
        <w:tblStyle w:val="65"/>
        <w:tblW w:w="97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1139"/>
        <w:gridCol w:w="7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99" w:type="dxa"/>
            <w:vAlign w:val="center"/>
          </w:tcPr>
          <w:p>
            <w:pPr>
              <w:spacing w:line="400" w:lineRule="exact"/>
              <w:ind w:firstLine="103" w:firstLineChars="49"/>
              <w:jc w:val="center"/>
              <w:rPr>
                <w:rFonts w:hint="eastAsia" w:ascii="宋体" w:hAnsi="宋体" w:cs="宋体"/>
                <w:b/>
                <w:sz w:val="21"/>
                <w:szCs w:val="21"/>
              </w:rPr>
            </w:pPr>
            <w:r>
              <w:rPr>
                <w:rFonts w:hint="eastAsia" w:ascii="宋体" w:hAnsi="宋体" w:cs="宋体"/>
                <w:b/>
                <w:sz w:val="21"/>
                <w:szCs w:val="21"/>
              </w:rPr>
              <w:t>竞争性遴选文件章节号</w:t>
            </w:r>
          </w:p>
        </w:tc>
        <w:tc>
          <w:tcPr>
            <w:tcW w:w="1139" w:type="dxa"/>
            <w:vAlign w:val="center"/>
          </w:tcPr>
          <w:p>
            <w:pPr>
              <w:spacing w:line="400" w:lineRule="exact"/>
              <w:ind w:firstLine="0"/>
              <w:jc w:val="center"/>
              <w:rPr>
                <w:rFonts w:hint="eastAsia" w:ascii="宋体" w:hAnsi="宋体" w:cs="宋体"/>
                <w:b/>
                <w:sz w:val="21"/>
                <w:szCs w:val="21"/>
              </w:rPr>
            </w:pPr>
            <w:r>
              <w:rPr>
                <w:rFonts w:hint="eastAsia" w:ascii="宋体" w:hAnsi="宋体" w:cs="宋体"/>
                <w:b/>
                <w:sz w:val="21"/>
                <w:szCs w:val="21"/>
              </w:rPr>
              <w:t>条款名称</w:t>
            </w:r>
          </w:p>
        </w:tc>
        <w:tc>
          <w:tcPr>
            <w:tcW w:w="7127" w:type="dxa"/>
            <w:vAlign w:val="center"/>
          </w:tcPr>
          <w:p>
            <w:pPr>
              <w:spacing w:line="400" w:lineRule="exact"/>
              <w:jc w:val="center"/>
              <w:rPr>
                <w:rFonts w:hint="eastAsia" w:ascii="宋体" w:hAnsi="宋体" w:cs="宋体"/>
                <w:b/>
                <w:sz w:val="21"/>
                <w:szCs w:val="21"/>
              </w:rPr>
            </w:pPr>
            <w:r>
              <w:rPr>
                <w:rFonts w:hint="eastAsia" w:ascii="宋体" w:hAnsi="宋体" w:cs="宋体"/>
                <w:b/>
                <w:sz w:val="21"/>
                <w:szCs w:val="21"/>
              </w:rPr>
              <w:t>否决条件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jc w:val="center"/>
        </w:trPr>
        <w:tc>
          <w:tcPr>
            <w:tcW w:w="1499" w:type="dxa"/>
            <w:vMerge w:val="restart"/>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第三章</w:t>
            </w:r>
          </w:p>
          <w:p>
            <w:pPr>
              <w:spacing w:line="400" w:lineRule="exact"/>
              <w:ind w:firstLine="0"/>
              <w:jc w:val="center"/>
              <w:rPr>
                <w:rFonts w:hint="eastAsia" w:ascii="宋体" w:hAnsi="宋体" w:cs="宋体"/>
                <w:sz w:val="21"/>
                <w:szCs w:val="21"/>
              </w:rPr>
            </w:pPr>
            <w:r>
              <w:rPr>
                <w:rFonts w:hint="eastAsia" w:ascii="宋体" w:hAnsi="宋体" w:cs="宋体"/>
                <w:sz w:val="21"/>
                <w:szCs w:val="21"/>
              </w:rPr>
              <w:t>3.1</w:t>
            </w:r>
          </w:p>
        </w:tc>
        <w:tc>
          <w:tcPr>
            <w:tcW w:w="1139" w:type="dxa"/>
            <w:vMerge w:val="restart"/>
            <w:vAlign w:val="center"/>
          </w:tcPr>
          <w:p>
            <w:pPr>
              <w:spacing w:line="400" w:lineRule="exact"/>
              <w:ind w:firstLine="0"/>
              <w:jc w:val="center"/>
              <w:rPr>
                <w:rFonts w:hint="eastAsia" w:ascii="宋体" w:hAnsi="宋体" w:cs="宋体"/>
                <w:sz w:val="21"/>
                <w:szCs w:val="21"/>
              </w:rPr>
            </w:pPr>
            <w:r>
              <w:rPr>
                <w:rFonts w:hint="eastAsia" w:ascii="宋体" w:hAnsi="宋体" w:cs="宋体"/>
                <w:sz w:val="21"/>
                <w:szCs w:val="21"/>
              </w:rPr>
              <w:t>初步评审</w:t>
            </w:r>
          </w:p>
        </w:tc>
        <w:tc>
          <w:tcPr>
            <w:tcW w:w="7127"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评审小组</w:t>
            </w:r>
            <w:r>
              <w:rPr>
                <w:rFonts w:hint="eastAsia" w:ascii="宋体" w:hAnsi="宋体" w:cs="宋体"/>
                <w:snapToGrid w:val="0"/>
                <w:sz w:val="21"/>
                <w:szCs w:val="21"/>
              </w:rPr>
              <w:t>依据本章第 2.1 款规定的标准对</w:t>
            </w:r>
            <w:r>
              <w:rPr>
                <w:rFonts w:hint="eastAsia" w:ascii="宋体" w:hAnsi="宋体" w:cs="宋体"/>
                <w:sz w:val="21"/>
                <w:szCs w:val="21"/>
              </w:rPr>
              <w:t>竞选</w:t>
            </w:r>
            <w:r>
              <w:rPr>
                <w:rFonts w:hint="eastAsia" w:ascii="宋体" w:hAnsi="宋体" w:cs="宋体"/>
                <w:snapToGrid w:val="0"/>
                <w:sz w:val="21"/>
                <w:szCs w:val="21"/>
              </w:rPr>
              <w:t>文件进行初步评审。有一项不符合评审标准的，</w:t>
            </w:r>
            <w:r>
              <w:rPr>
                <w:rFonts w:hint="eastAsia" w:ascii="宋体" w:hAnsi="宋体" w:cs="宋体"/>
                <w:sz w:val="21"/>
                <w:szCs w:val="21"/>
              </w:rPr>
              <w:t>评审小组</w:t>
            </w:r>
            <w:r>
              <w:rPr>
                <w:rFonts w:hint="eastAsia" w:ascii="宋体" w:hAnsi="宋体" w:cs="宋体"/>
                <w:snapToGrid w:val="0"/>
                <w:sz w:val="21"/>
                <w:szCs w:val="21"/>
              </w:rPr>
              <w:t>应当否决其</w:t>
            </w:r>
            <w:r>
              <w:rPr>
                <w:rFonts w:hint="eastAsia" w:ascii="宋体" w:hAnsi="宋体" w:cs="宋体"/>
                <w:sz w:val="21"/>
                <w:szCs w:val="21"/>
              </w:rPr>
              <w:t>竞选</w:t>
            </w:r>
            <w:r>
              <w:rPr>
                <w:rFonts w:hint="eastAsia" w:ascii="宋体" w:hAnsi="宋体" w:cs="宋体"/>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jc w:val="center"/>
        </w:trPr>
        <w:tc>
          <w:tcPr>
            <w:tcW w:w="1499" w:type="dxa"/>
            <w:vMerge w:val="continue"/>
            <w:vAlign w:val="center"/>
          </w:tcPr>
          <w:p>
            <w:pPr>
              <w:spacing w:line="400" w:lineRule="exact"/>
              <w:ind w:firstLine="0"/>
              <w:jc w:val="center"/>
              <w:rPr>
                <w:rFonts w:hint="eastAsia" w:ascii="宋体" w:hAnsi="宋体" w:cs="宋体"/>
                <w:sz w:val="21"/>
                <w:szCs w:val="21"/>
              </w:rPr>
            </w:pPr>
          </w:p>
        </w:tc>
        <w:tc>
          <w:tcPr>
            <w:tcW w:w="1139" w:type="dxa"/>
            <w:vMerge w:val="continue"/>
            <w:vAlign w:val="center"/>
          </w:tcPr>
          <w:p>
            <w:pPr>
              <w:spacing w:line="400" w:lineRule="exact"/>
              <w:ind w:firstLine="0"/>
              <w:jc w:val="center"/>
              <w:rPr>
                <w:rFonts w:hint="eastAsia" w:ascii="宋体" w:hAnsi="宋体" w:cs="宋体"/>
              </w:rPr>
            </w:pPr>
          </w:p>
        </w:tc>
        <w:tc>
          <w:tcPr>
            <w:tcW w:w="7127" w:type="dxa"/>
          </w:tcPr>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竞选人有以下情形之一的，评审小组应当否决其竞选：</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（1）第二章“竞选人须知”第 1.4.1项规定的任何一种情形的；</w:t>
            </w:r>
          </w:p>
          <w:p>
            <w:pPr>
              <w:adjustRightInd/>
              <w:spacing w:line="400" w:lineRule="exact"/>
              <w:ind w:firstLine="420" w:firstLineChars="200"/>
              <w:rPr>
                <w:rFonts w:hint="eastAsia" w:ascii="宋体" w:hAnsi="宋体" w:cs="宋体"/>
                <w:sz w:val="21"/>
                <w:szCs w:val="21"/>
              </w:rPr>
            </w:pPr>
            <w:r>
              <w:rPr>
                <w:rFonts w:hint="eastAsia" w:ascii="宋体" w:hAnsi="宋体" w:cs="宋体"/>
                <w:sz w:val="21"/>
                <w:szCs w:val="21"/>
              </w:rPr>
              <w:t>（2）有串通竞选、弄虚作假、行贿等违法行为。</w:t>
            </w:r>
          </w:p>
        </w:tc>
      </w:tr>
      <w:bookmarkEnd w:id="222"/>
    </w:tbl>
    <w:p>
      <w:pPr>
        <w:spacing w:line="400" w:lineRule="exact"/>
        <w:ind w:firstLine="0"/>
        <w:rPr>
          <w:rFonts w:hint="eastAsia" w:ascii="宋体" w:hAnsi="宋体" w:cs="宋体"/>
        </w:rPr>
      </w:pPr>
    </w:p>
    <w:p>
      <w:pPr>
        <w:spacing w:line="400" w:lineRule="exact"/>
        <w:ind w:firstLine="0"/>
        <w:rPr>
          <w:rFonts w:hint="eastAsia" w:ascii="宋体" w:hAnsi="宋体" w:cs="宋体"/>
          <w:b/>
          <w:sz w:val="28"/>
          <w:szCs w:val="28"/>
        </w:rPr>
      </w:pPr>
    </w:p>
    <w:p>
      <w:pPr>
        <w:spacing w:line="400" w:lineRule="exact"/>
        <w:ind w:firstLine="0"/>
        <w:rPr>
          <w:rFonts w:hint="eastAsia" w:ascii="宋体" w:hAnsi="宋体" w:cs="宋体"/>
        </w:rPr>
      </w:pPr>
    </w:p>
    <w:bookmarkEnd w:id="96"/>
    <w:bookmarkEnd w:id="97"/>
    <w:bookmarkEnd w:id="98"/>
    <w:bookmarkEnd w:id="99"/>
    <w:bookmarkEnd w:id="100"/>
    <w:bookmarkEnd w:id="101"/>
    <w:bookmarkEnd w:id="102"/>
    <w:bookmarkEnd w:id="103"/>
    <w:bookmarkEnd w:id="104"/>
    <w:bookmarkEnd w:id="105"/>
    <w:bookmarkEnd w:id="106"/>
    <w:p>
      <w:pPr>
        <w:pStyle w:val="2"/>
        <w:keepNext w:val="0"/>
        <w:keepLines w:val="0"/>
        <w:pageBreakBefore/>
        <w:numPr>
          <w:ilvl w:val="0"/>
          <w:numId w:val="2"/>
        </w:numPr>
        <w:autoSpaceDE w:val="0"/>
        <w:autoSpaceDN w:val="0"/>
        <w:snapToGrid w:val="0"/>
        <w:spacing w:before="0" w:after="0" w:line="400" w:lineRule="exact"/>
        <w:textAlignment w:val="auto"/>
        <w:rPr>
          <w:rFonts w:hint="eastAsia" w:ascii="宋体" w:hAnsi="宋体" w:cs="宋体"/>
          <w:kern w:val="2"/>
          <w:sz w:val="36"/>
          <w:szCs w:val="36"/>
        </w:rPr>
      </w:pPr>
      <w:bookmarkStart w:id="237" w:name="_Toc161058985"/>
      <w:bookmarkStart w:id="238" w:name="_Toc447723904"/>
      <w:bookmarkStart w:id="239" w:name="_Toc19293"/>
      <w:bookmarkStart w:id="240" w:name="_Toc440274655"/>
      <w:r>
        <w:rPr>
          <w:rFonts w:hint="eastAsia" w:ascii="宋体" w:hAnsi="宋体" w:cs="宋体"/>
          <w:kern w:val="2"/>
          <w:sz w:val="36"/>
          <w:szCs w:val="36"/>
        </w:rPr>
        <w:t>合同条款</w:t>
      </w:r>
      <w:bookmarkEnd w:id="237"/>
      <w:bookmarkEnd w:id="238"/>
      <w:bookmarkEnd w:id="239"/>
      <w:bookmarkEnd w:id="240"/>
    </w:p>
    <w:p/>
    <w:p>
      <w:pPr>
        <w:pStyle w:val="56"/>
        <w:spacing w:before="0" w:beforeAutospacing="0" w:after="0" w:afterAutospacing="0" w:line="560" w:lineRule="exact"/>
        <w:jc w:val="center"/>
        <w:rPr>
          <w:rFonts w:hint="eastAsia" w:ascii="方正黑体_GBK" w:eastAsia="方正黑体_GBK"/>
          <w:sz w:val="44"/>
          <w:szCs w:val="44"/>
        </w:rPr>
      </w:pPr>
      <w:r>
        <w:rPr>
          <w:rFonts w:hint="eastAsia" w:ascii="方正黑体_GBK" w:eastAsia="方正黑体_GBK"/>
          <w:sz w:val="44"/>
          <w:szCs w:val="44"/>
        </w:rPr>
        <w:t>机动车驾驶人科目二考试考场</w:t>
      </w:r>
    </w:p>
    <w:p>
      <w:pPr>
        <w:pStyle w:val="56"/>
        <w:spacing w:before="0" w:beforeAutospacing="0" w:after="0" w:afterAutospacing="0" w:line="560" w:lineRule="exact"/>
        <w:jc w:val="center"/>
        <w:rPr>
          <w:rFonts w:hint="eastAsia" w:ascii="方正黑体_GBK" w:eastAsia="方正黑体_GBK"/>
          <w:sz w:val="44"/>
          <w:szCs w:val="44"/>
        </w:rPr>
      </w:pPr>
      <w:r>
        <w:rPr>
          <w:rFonts w:hint="eastAsia" w:ascii="方正黑体_GBK" w:eastAsia="方正黑体_GBK"/>
          <w:sz w:val="44"/>
          <w:szCs w:val="44"/>
        </w:rPr>
        <w:t>项目合作协议</w:t>
      </w:r>
    </w:p>
    <w:p>
      <w:pPr>
        <w:spacing w:line="520" w:lineRule="exact"/>
        <w:jc w:val="center"/>
        <w:rPr>
          <w:rFonts w:hint="eastAsia" w:ascii="方正黑体_GBK" w:hAnsi="方正黑体_GBK" w:eastAsia="方正黑体_GBK" w:cs="方正黑体_GBK"/>
          <w:sz w:val="28"/>
          <w:szCs w:val="28"/>
        </w:rPr>
      </w:pPr>
    </w:p>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甲方：重庆市交通行业职业培训中心有限责任公司</w:t>
      </w:r>
    </w:p>
    <w:p>
      <w:pPr>
        <w:pStyle w:val="1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住址：重庆市璧山区璧渝路329号</w:t>
      </w:r>
    </w:p>
    <w:p>
      <w:pPr>
        <w:pStyle w:val="1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法定代表人：张瑞</w:t>
      </w:r>
    </w:p>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乙方：</w:t>
      </w:r>
    </w:p>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住址：</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法定代表人：  </w:t>
      </w:r>
      <w:r>
        <w:rPr>
          <w:rFonts w:hint="eastAsia" w:ascii="方正仿宋_GBK" w:hAnsi="方正仿宋_GBK" w:eastAsia="方正仿宋_GBK" w:cs="方正仿宋_GBK"/>
          <w:sz w:val="32"/>
          <w:szCs w:val="32"/>
        </w:rPr>
        <w:t xml:space="preserve">  </w:t>
      </w:r>
    </w:p>
    <w:p>
      <w:pPr>
        <w:spacing w:line="500" w:lineRule="exact"/>
        <w:ind w:firstLine="600" w:firstLineChars="200"/>
        <w:jc w:val="left"/>
        <w:rPr>
          <w:rFonts w:hint="eastAsia" w:ascii="方正仿宋_GBK" w:hAnsi="方正黑体_GBK" w:eastAsia="方正仿宋_GBK" w:cs="方正黑体_GBK"/>
          <w:color w:val="FF0000"/>
          <w:sz w:val="30"/>
          <w:szCs w:val="30"/>
        </w:rPr>
      </w:pPr>
    </w:p>
    <w:p>
      <w:pPr>
        <w:pStyle w:val="68"/>
        <w:rPr>
          <w:rFonts w:eastAsia="方正仿宋_GBK"/>
          <w:b/>
          <w:bCs/>
          <w:color w:val="auto"/>
        </w:rPr>
      </w:pPr>
      <w:r>
        <w:rPr>
          <w:rFonts w:hint="eastAsia" w:ascii="方正仿宋_GBK" w:hAnsi="方正黑体_GBK" w:eastAsia="方正仿宋_GBK" w:cs="方正黑体_GBK"/>
          <w:b/>
          <w:bCs/>
          <w:color w:val="auto"/>
          <w:sz w:val="30"/>
          <w:szCs w:val="30"/>
        </w:rPr>
        <w:t>一、合作背景</w:t>
      </w:r>
    </w:p>
    <w:p>
      <w:pPr>
        <w:spacing w:line="500" w:lineRule="exact"/>
        <w:ind w:firstLine="600" w:firstLineChars="20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鉴于：</w:t>
      </w:r>
    </w:p>
    <w:p>
      <w:pPr>
        <w:numPr>
          <w:ilvl w:val="0"/>
          <w:numId w:val="3"/>
        </w:numPr>
        <w:adjustRightInd/>
        <w:spacing w:line="500" w:lineRule="exact"/>
        <w:ind w:firstLine="600" w:firstLineChars="200"/>
        <w:jc w:val="left"/>
        <w:textAlignment w:val="auto"/>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甲方已于2024年9月27日与重庆市公安局签定了《重庆市机动车驾驶人考场服务合同》，提供重庆市机动车驾驶人考场服务。</w:t>
      </w:r>
    </w:p>
    <w:p>
      <w:pPr>
        <w:numPr>
          <w:ilvl w:val="0"/>
          <w:numId w:val="3"/>
        </w:numPr>
        <w:adjustRightInd/>
        <w:spacing w:line="500" w:lineRule="exact"/>
        <w:ind w:firstLine="600" w:firstLineChars="200"/>
        <w:jc w:val="left"/>
        <w:textAlignment w:val="auto"/>
        <w:rPr>
          <w:rFonts w:hint="eastAsia" w:ascii="方正仿宋_GBK" w:hAnsi="方正黑体_GBK" w:eastAsia="方正仿宋_GBK" w:cs="方正黑体_GBK"/>
          <w:sz w:val="30"/>
          <w:szCs w:val="30"/>
        </w:rPr>
      </w:pPr>
      <w:r>
        <w:rPr>
          <w:rFonts w:hint="eastAsia" w:ascii="方正仿宋_GBK" w:hAnsi="方正黑体_GBK" w:eastAsia="方正仿宋_GBK" w:cs="方正黑体_GBK"/>
          <w:color w:val="000000" w:themeColor="text1"/>
          <w:sz w:val="30"/>
          <w:szCs w:val="30"/>
          <w14:textFill>
            <w14:solidFill>
              <w14:schemeClr w14:val="tx1"/>
            </w14:solidFill>
          </w14:textFill>
        </w:rPr>
        <w:t>为有效应对高速公路及周边区域突发事件，加强“急”时应急响应及救援能力，按照《重庆市交通运输委员会关于G5013渝蓉高速福禄平急两用基地设置意见的复函》（渝交便函【2024】1004号）内容，建设“福禄平急两用基地”。</w:t>
      </w:r>
    </w:p>
    <w:p>
      <w:pPr>
        <w:numPr>
          <w:ilvl w:val="0"/>
          <w:numId w:val="3"/>
        </w:numPr>
        <w:adjustRightInd/>
        <w:spacing w:line="500" w:lineRule="exact"/>
        <w:ind w:firstLine="600" w:firstLineChars="200"/>
        <w:jc w:val="left"/>
        <w:textAlignment w:val="auto"/>
        <w:rPr>
          <w:rFonts w:hint="eastAsia" w:ascii="方正仿宋_GBK" w:hAnsi="方正黑体_GBK" w:eastAsia="方正仿宋_GBK" w:cs="方正黑体_GBK"/>
          <w:sz w:val="30"/>
          <w:szCs w:val="30"/>
        </w:rPr>
      </w:pPr>
      <w:r>
        <w:rPr>
          <w:rFonts w:hint="eastAsia" w:ascii="方正仿宋_GBK" w:hAnsi="方正黑体_GBK" w:eastAsia="方正仿宋_GBK" w:cs="方正黑体_GBK"/>
          <w:color w:val="000000" w:themeColor="text1"/>
          <w:sz w:val="30"/>
          <w:szCs w:val="30"/>
          <w14:textFill>
            <w14:solidFill>
              <w14:schemeClr w14:val="tx1"/>
            </w14:solidFill>
          </w14:textFill>
        </w:rPr>
        <w:t>充分发挥平急两用基地“平”时使用效能，</w:t>
      </w:r>
      <w:r>
        <w:rPr>
          <w:rFonts w:hint="eastAsia" w:ascii="方正仿宋_GBK" w:hAnsi="方正黑体_GBK" w:eastAsia="方正仿宋_GBK" w:cs="方正黑体_GBK"/>
          <w:sz w:val="30"/>
          <w:szCs w:val="30"/>
        </w:rPr>
        <w:t>适应机动车驾驶人科目二考试的需求，切实提高驾考服务管理水平。甲方</w:t>
      </w:r>
      <w:r>
        <w:rPr>
          <w:rFonts w:hint="eastAsia" w:ascii="方正仿宋_GBK" w:hAnsi="方正黑体_GBK" w:eastAsia="方正仿宋_GBK" w:cs="方正黑体_GBK"/>
          <w:color w:val="000000" w:themeColor="text1"/>
          <w:sz w:val="30"/>
          <w:szCs w:val="30"/>
          <w14:textFill>
            <w14:solidFill>
              <w14:schemeClr w14:val="tx1"/>
            </w14:solidFill>
          </w14:textFill>
        </w:rPr>
        <w:t>通过重庆高速集团官网公开发布遴选公告，经综合评比，乙方成为</w:t>
      </w:r>
      <w:r>
        <w:rPr>
          <w:rFonts w:hint="eastAsia" w:ascii="方正仿宋_GBK" w:hAnsi="方正黑体_GBK" w:eastAsia="方正仿宋_GBK" w:cs="方正黑体_GBK"/>
          <w:sz w:val="30"/>
          <w:szCs w:val="30"/>
        </w:rPr>
        <w:t>甲方的项目合作单位。</w:t>
      </w:r>
    </w:p>
    <w:p>
      <w:pPr>
        <w:spacing w:line="500" w:lineRule="exact"/>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    在充分尊重遴选公告、响应文</w:t>
      </w:r>
      <w:r>
        <w:rPr>
          <w:rFonts w:hint="eastAsia" w:ascii="方正仿宋_GBK" w:hAnsi="方正黑体_GBK" w:eastAsia="方正仿宋_GBK" w:cs="方正黑体_GBK"/>
          <w:color w:val="000000" w:themeColor="text1"/>
          <w:sz w:val="30"/>
          <w:szCs w:val="30"/>
          <w14:textFill>
            <w14:solidFill>
              <w14:schemeClr w14:val="tx1"/>
            </w14:solidFill>
          </w14:textFill>
        </w:rPr>
        <w:t>件、合同谈判的基础</w:t>
      </w:r>
      <w:r>
        <w:rPr>
          <w:rFonts w:hint="eastAsia" w:ascii="方正仿宋_GBK" w:hAnsi="方正黑体_GBK" w:eastAsia="方正仿宋_GBK" w:cs="方正黑体_GBK"/>
          <w:sz w:val="30"/>
          <w:szCs w:val="30"/>
        </w:rPr>
        <w:t>上，根据《中华人民共和国民法典》等相关法律法规的规定，双方就璧山机动车驾驶人科目二考试考场项目合作事宜达成如下协议，以资共同遵守。</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二、合作内容</w:t>
      </w:r>
    </w:p>
    <w:p>
      <w:pPr>
        <w:spacing w:line="500" w:lineRule="exact"/>
        <w:ind w:firstLine="600" w:firstLineChars="20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双方就</w:t>
      </w:r>
      <w:r>
        <w:rPr>
          <w:rFonts w:hint="eastAsia" w:ascii="方正仿宋_GBK" w:hAnsi="方正黑体_GBK" w:eastAsia="方正仿宋_GBK" w:cs="方正黑体_GBK"/>
          <w:color w:val="000000" w:themeColor="text1"/>
          <w:sz w:val="30"/>
          <w:szCs w:val="30"/>
          <w14:textFill>
            <w14:solidFill>
              <w14:schemeClr w14:val="tx1"/>
            </w14:solidFill>
          </w14:textFill>
        </w:rPr>
        <w:t>璧山</w:t>
      </w:r>
      <w:r>
        <w:rPr>
          <w:rFonts w:hint="eastAsia" w:ascii="方正仿宋_GBK" w:hAnsi="方正黑体_GBK" w:eastAsia="方正仿宋_GBK" w:cs="方正黑体_GBK"/>
          <w:sz w:val="30"/>
          <w:szCs w:val="30"/>
        </w:rPr>
        <w:t>机动车驾驶人科目二考试考场（简称：考场）服务开展项目合作。合作期内，甲方无偿提供位于重庆市璧山区璧渝路329号科目二璧山璧城考场（现有考场）作为乙方在新迁扩建考场建设过渡期内使用。该过渡期不超过240个自然日，自甲方向乙方提供重庆市璧山区璧城街道、福禄镇和平村1组、河边镇同心村4组地块之日起算。新迁扩建考场投入使用或者过渡期满（按孰先原则执行），乙方即退还重庆市璧山区璧渝路329号科目二璧山璧城考场的现有场地。若乙方仍有使用需求，届时另行协商有偿使用。合作期内，甲方配备9名考场工作人员。乙方须满足重庆市公安局科目二考场服务要求，负责合作期内考场的投资建设及运营管理维护；确保甲方存延续、扩展与重庆市公安局车管所在考场服务方面的良好合作。</w:t>
      </w:r>
      <w:r>
        <w:rPr>
          <w:rFonts w:hint="eastAsia" w:ascii="方正仿宋_GBK" w:hAnsi="方正黑体_GBK" w:eastAsia="方正仿宋_GBK" w:cs="方正黑体_GBK"/>
          <w:color w:val="000000" w:themeColor="text1"/>
          <w:sz w:val="30"/>
          <w:szCs w:val="30"/>
          <w14:textFill>
            <w14:solidFill>
              <w14:schemeClr w14:val="tx1"/>
            </w14:solidFill>
          </w14:textFill>
        </w:rPr>
        <w:t>双方优势互补，在实现互惠共赢的同时，为</w:t>
      </w:r>
      <w:r>
        <w:rPr>
          <w:rFonts w:hint="eastAsia" w:ascii="方正仿宋_GBK" w:hAnsi="方正黑体_GBK" w:eastAsia="方正仿宋_GBK" w:cs="方正黑体_GBK"/>
          <w:sz w:val="30"/>
          <w:szCs w:val="30"/>
        </w:rPr>
        <w:t>机动车驾驶人考试服务树立行业标杆，展示新风貌。</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三、合作期限</w:t>
      </w:r>
    </w:p>
    <w:p>
      <w:pPr>
        <w:spacing w:line="500" w:lineRule="exact"/>
        <w:ind w:firstLine="600" w:firstLineChars="20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合同签订之日起9年（另建设过渡期不超过240个自然日）。合作期满后，在同等条件下乙方享有优先合作权。</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四、双方职责</w:t>
      </w:r>
    </w:p>
    <w:p>
      <w:pPr>
        <w:spacing w:line="500" w:lineRule="exact"/>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  （一）甲方职责</w:t>
      </w:r>
    </w:p>
    <w:p>
      <w:pPr>
        <w:spacing w:line="500" w:lineRule="exact"/>
        <w:ind w:firstLine="600" w:firstLineChars="200"/>
        <w:jc w:val="left"/>
        <w:rPr>
          <w:rFonts w:hint="eastAsia" w:ascii="方正仿宋_GBK" w:eastAsia="方正仿宋_GBK" w:cs="方正黑体_GBK" w:hAnsiTheme="minorEastAsia"/>
          <w:sz w:val="30"/>
          <w:szCs w:val="30"/>
        </w:rPr>
      </w:pPr>
      <w:r>
        <w:rPr>
          <w:rFonts w:hint="eastAsia" w:ascii="方正仿宋_GBK" w:hAnsi="方正黑体_GBK" w:eastAsia="方正仿宋_GBK" w:cs="方正黑体_GBK"/>
          <w:sz w:val="30"/>
          <w:szCs w:val="30"/>
        </w:rPr>
        <w:t>1、</w:t>
      </w:r>
      <w:r>
        <w:rPr>
          <w:rFonts w:hint="eastAsia" w:ascii="方正仿宋_GBK" w:hAnsi="方正黑体_GBK" w:eastAsia="方正仿宋_GBK" w:cs="方正黑体_GBK"/>
          <w:color w:val="000000" w:themeColor="text1"/>
          <w:sz w:val="30"/>
          <w:szCs w:val="30"/>
          <w14:textFill>
            <w14:solidFill>
              <w14:schemeClr w14:val="tx1"/>
            </w14:solidFill>
          </w14:textFill>
        </w:rPr>
        <w:t>在合作期内负责提供位于重庆市璧山区璧渝路329号科目二璧山璧城考场或者</w:t>
      </w:r>
      <w:r>
        <w:rPr>
          <w:rFonts w:hint="eastAsia" w:ascii="方正仿宋_GBK" w:hAnsi="方正仿宋_GBK" w:eastAsia="方正仿宋_GBK" w:cs="方正仿宋_GBK"/>
          <w:color w:val="000000" w:themeColor="text1"/>
          <w:sz w:val="30"/>
          <w:szCs w:val="30"/>
          <w14:textFill>
            <w14:solidFill>
              <w14:schemeClr w14:val="tx1"/>
            </w14:solidFill>
          </w14:textFill>
        </w:rPr>
        <w:t>璧山区璧城街道、福禄镇和平村</w:t>
      </w:r>
      <w:r>
        <w:rPr>
          <w:rFonts w:hint="eastAsia" w:ascii="方正仿宋_GBK" w:hAnsi="方正仿宋_GBK" w:eastAsia="方正仿宋_GBK" w:cs="方正仿宋_GBK"/>
          <w:sz w:val="30"/>
          <w:szCs w:val="30"/>
        </w:rPr>
        <w:t>1组、河边镇同心村4组地块</w:t>
      </w:r>
      <w:r>
        <w:rPr>
          <w:rFonts w:hint="eastAsia" w:ascii="方正仿宋_GBK" w:hAnsi="方正黑体_GBK" w:eastAsia="方正仿宋_GBK" w:cs="方正黑体_GBK"/>
          <w:sz w:val="30"/>
          <w:szCs w:val="30"/>
          <w:u w:val="single"/>
        </w:rPr>
        <w:t>71.99</w:t>
      </w:r>
      <w:r>
        <w:rPr>
          <w:rFonts w:hint="eastAsia" w:ascii="方正仿宋_GBK" w:hAnsi="方正黑体_GBK" w:eastAsia="方正仿宋_GBK" w:cs="方正黑体_GBK"/>
          <w:sz w:val="30"/>
          <w:szCs w:val="30"/>
        </w:rPr>
        <w:t>亩的场地，配备9名工作人员，配合乙方进行</w:t>
      </w:r>
      <w:r>
        <w:rPr>
          <w:rFonts w:hint="eastAsia" w:ascii="方正仿宋_GBK" w:eastAsia="方正仿宋_GBK" w:cs="方正黑体_GBK" w:hAnsiTheme="minorEastAsia"/>
          <w:sz w:val="30"/>
          <w:szCs w:val="30"/>
        </w:rPr>
        <w:t>迁扩建考场</w:t>
      </w:r>
      <w:r>
        <w:rPr>
          <w:rFonts w:hint="eastAsia" w:ascii="方正仿宋_GBK" w:hAnsi="方正黑体_GBK" w:eastAsia="方正仿宋_GBK" w:cs="方正黑体_GBK"/>
          <w:sz w:val="30"/>
          <w:szCs w:val="30"/>
        </w:rPr>
        <w:t>场地入口路段、周边区域与交通运输部门、公安交管部门及璧山区当地政府的关系协调。</w:t>
      </w:r>
    </w:p>
    <w:p>
      <w:pPr>
        <w:autoSpaceDE w:val="0"/>
        <w:autoSpaceDN w:val="0"/>
        <w:spacing w:line="500" w:lineRule="exact"/>
        <w:ind w:firstLine="600" w:firstLineChars="20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2、在乙方</w:t>
      </w:r>
      <w:r>
        <w:rPr>
          <w:rFonts w:hint="eastAsia" w:ascii="方正仿宋_GBK" w:hAnsi="方正黑体_GBK" w:eastAsia="方正仿宋_GBK" w:cs="方正黑体_GBK"/>
          <w:color w:val="000000" w:themeColor="text1"/>
          <w:sz w:val="30"/>
          <w:szCs w:val="30"/>
          <w14:textFill>
            <w14:solidFill>
              <w14:schemeClr w14:val="tx1"/>
            </w14:solidFill>
          </w14:textFill>
        </w:rPr>
        <w:t>满足重庆市公安局车管所对科目二考场建设要求前提下，</w:t>
      </w:r>
      <w:r>
        <w:rPr>
          <w:rFonts w:hint="eastAsia" w:ascii="方正仿宋_GBK" w:hAnsi="方正黑体_GBK" w:eastAsia="方正仿宋_GBK" w:cs="方正黑体_GBK"/>
          <w:sz w:val="30"/>
          <w:szCs w:val="30"/>
        </w:rPr>
        <w:t>作为与重庆市公安局车管所签定驾驶人考试考场服务的合同主体，存</w:t>
      </w:r>
      <w:r>
        <w:rPr>
          <w:rFonts w:hint="eastAsia" w:ascii="方正仿宋_GBK" w:hAnsi="方正黑体_GBK" w:eastAsia="方正仿宋_GBK" w:cs="方正黑体_GBK"/>
          <w:color w:val="000000" w:themeColor="text1"/>
          <w:sz w:val="30"/>
          <w:szCs w:val="30"/>
          <w14:textFill>
            <w14:solidFill>
              <w14:schemeClr w14:val="tx1"/>
            </w14:solidFill>
          </w14:textFill>
        </w:rPr>
        <w:t>延续轿车（C1C2）、增加</w:t>
      </w:r>
      <w:r>
        <w:rPr>
          <w:rFonts w:hint="eastAsia" w:ascii="方正仿宋_GBK" w:hAnsi="方正黑体_GBK" w:eastAsia="方正仿宋_GBK" w:cs="方正黑体_GBK"/>
          <w:sz w:val="30"/>
          <w:szCs w:val="30"/>
        </w:rPr>
        <w:t>（A1A2A3B1B2C6）车型的</w:t>
      </w:r>
      <w:r>
        <w:rPr>
          <w:rFonts w:hint="eastAsia" w:ascii="方正仿宋_GBK" w:hAnsi="方正黑体_GBK" w:eastAsia="方正仿宋_GBK" w:cs="方正黑体_GBK"/>
          <w:color w:val="000000" w:themeColor="text1"/>
          <w:sz w:val="30"/>
          <w:szCs w:val="30"/>
          <w14:textFill>
            <w14:solidFill>
              <w14:schemeClr w14:val="tx1"/>
            </w14:solidFill>
          </w14:textFill>
        </w:rPr>
        <w:t>机</w:t>
      </w:r>
      <w:r>
        <w:rPr>
          <w:rFonts w:hint="eastAsia" w:ascii="方正仿宋_GBK" w:hAnsi="方正黑体_GBK" w:eastAsia="方正仿宋_GBK" w:cs="方正黑体_GBK"/>
          <w:sz w:val="30"/>
          <w:szCs w:val="30"/>
        </w:rPr>
        <w:t>动车驾驶人考场考试服务合作。</w:t>
      </w:r>
    </w:p>
    <w:p>
      <w:pPr>
        <w:pStyle w:val="68"/>
        <w:spacing w:line="500" w:lineRule="exact"/>
        <w:ind w:firstLine="520"/>
        <w:rPr>
          <w:rFonts w:hint="eastAsia" w:ascii="方正仿宋_GBK" w:hAnsi="方正黑体_GBK" w:eastAsia="方正仿宋_GBK" w:cs="方正黑体_GBK"/>
          <w:color w:val="auto"/>
          <w:kern w:val="2"/>
          <w:sz w:val="30"/>
          <w:szCs w:val="30"/>
        </w:rPr>
      </w:pPr>
      <w:r>
        <w:rPr>
          <w:rFonts w:hint="eastAsia" w:ascii="方正仿宋_GBK" w:hAnsi="方正黑体_GBK" w:eastAsia="方正仿宋_GBK" w:cs="方正黑体_GBK"/>
          <w:color w:val="auto"/>
          <w:kern w:val="2"/>
          <w:sz w:val="30"/>
          <w:szCs w:val="30"/>
        </w:rPr>
        <w:t>3、根据需要，办理</w:t>
      </w:r>
      <w:bookmarkStart w:id="241" w:name="OLE_LINK1"/>
      <w:r>
        <w:rPr>
          <w:rFonts w:hint="eastAsia" w:ascii="方正仿宋_GBK" w:hAnsi="方正黑体_GBK" w:eastAsia="方正仿宋_GBK" w:cs="方正黑体_GBK"/>
          <w:color w:val="auto"/>
          <w:kern w:val="2"/>
          <w:sz w:val="30"/>
          <w:szCs w:val="30"/>
        </w:rPr>
        <w:t>驾驶证</w:t>
      </w:r>
      <w:bookmarkEnd w:id="241"/>
      <w:r>
        <w:rPr>
          <w:rFonts w:hint="eastAsia" w:ascii="方正仿宋_GBK" w:hAnsi="方正黑体_GBK" w:eastAsia="方正仿宋_GBK" w:cs="方正黑体_GBK"/>
          <w:color w:val="auto"/>
          <w:kern w:val="2"/>
          <w:sz w:val="30"/>
          <w:szCs w:val="30"/>
        </w:rPr>
        <w:t>考试服务的相关手续。</w:t>
      </w:r>
    </w:p>
    <w:p>
      <w:pPr>
        <w:pStyle w:val="68"/>
        <w:spacing w:line="500" w:lineRule="exact"/>
        <w:ind w:firstLine="520"/>
        <w:rPr>
          <w:rFonts w:hint="eastAsia" w:ascii="方正仿宋_GBK" w:hAnsi="方正黑体_GBK" w:eastAsia="方正仿宋_GBK" w:cs="方正黑体_GBK"/>
          <w:color w:val="auto"/>
          <w:kern w:val="2"/>
          <w:sz w:val="30"/>
          <w:szCs w:val="30"/>
        </w:rPr>
      </w:pPr>
      <w:r>
        <w:rPr>
          <w:rFonts w:hint="eastAsia" w:ascii="方正仿宋_GBK" w:hAnsi="方正黑体_GBK" w:eastAsia="方正仿宋_GBK" w:cs="方正黑体_GBK"/>
          <w:color w:val="auto"/>
          <w:kern w:val="2"/>
          <w:sz w:val="30"/>
          <w:szCs w:val="30"/>
        </w:rPr>
        <w:t>4、作为合同主体与市公安局车管所签定考场服务协议后按照甲乙双方约定向乙方支付项目合作费用。</w:t>
      </w:r>
    </w:p>
    <w:p>
      <w:pPr>
        <w:pStyle w:val="68"/>
        <w:spacing w:line="500" w:lineRule="exact"/>
        <w:ind w:firstLine="520"/>
        <w:rPr>
          <w:rFonts w:hint="eastAsia" w:ascii="方正仿宋_GBK" w:hAnsi="方正黑体_GBK" w:eastAsia="方正仿宋_GBK" w:cs="方正黑体_GBK"/>
          <w:color w:val="auto"/>
          <w:kern w:val="2"/>
          <w:sz w:val="30"/>
          <w:szCs w:val="30"/>
        </w:rPr>
      </w:pPr>
      <w:r>
        <w:rPr>
          <w:rFonts w:hint="eastAsia" w:ascii="方正仿宋_GBK" w:hAnsi="方正黑体_GBK" w:eastAsia="方正仿宋_GBK" w:cs="方正黑体_GBK"/>
          <w:color w:val="auto"/>
          <w:kern w:val="2"/>
          <w:sz w:val="30"/>
          <w:szCs w:val="30"/>
        </w:rPr>
        <w:t>5、组织考场的安全监督检查。</w:t>
      </w:r>
    </w:p>
    <w:p>
      <w:pPr>
        <w:spacing w:line="500" w:lineRule="exact"/>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  （二）乙方职责</w:t>
      </w:r>
    </w:p>
    <w:p>
      <w:pPr>
        <w:spacing w:line="500" w:lineRule="exact"/>
        <w:ind w:firstLine="600" w:firstLineChars="200"/>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1、负责璧山科目二考场的规划设计、报审报批、开发建设、资金筹措、行业主管部门的验收投用等。考场建设所有乙方投资资产，包含</w:t>
      </w:r>
      <w:bookmarkStart w:id="242" w:name="_Hlk173139905"/>
      <w:r>
        <w:rPr>
          <w:rFonts w:hint="eastAsia" w:ascii="方正仿宋_GBK" w:hAnsi="方正黑体_GBK" w:eastAsia="方正仿宋_GBK" w:cs="方正黑体_GBK"/>
          <w:color w:val="000000" w:themeColor="text1"/>
          <w:sz w:val="30"/>
          <w:szCs w:val="30"/>
          <w14:textFill>
            <w14:solidFill>
              <w14:schemeClr w14:val="tx1"/>
            </w14:solidFill>
          </w14:textFill>
        </w:rPr>
        <w:t>场地内建构筑物、设施设备、</w:t>
      </w:r>
      <w:r>
        <w:rPr>
          <w:rFonts w:hint="eastAsia" w:ascii="方正仿宋_GBK" w:hAnsi="方正黑体_GBK" w:eastAsia="方正仿宋_GBK" w:cs="方正黑体_GBK"/>
          <w:sz w:val="30"/>
          <w:szCs w:val="30"/>
        </w:rPr>
        <w:t>车辆等产权登记在甲方名下</w:t>
      </w:r>
      <w:r>
        <w:rPr>
          <w:rFonts w:hint="eastAsia" w:ascii="方正仿宋_GBK" w:hAnsi="方正黑体_GBK" w:eastAsia="方正仿宋_GBK" w:cs="方正黑体_GBK"/>
          <w:color w:val="000000" w:themeColor="text1"/>
          <w:sz w:val="30"/>
          <w:szCs w:val="30"/>
          <w14:textFill>
            <w14:solidFill>
              <w14:schemeClr w14:val="tx1"/>
            </w14:solidFill>
          </w14:textFill>
        </w:rPr>
        <w:t>，但实质所有权归乙方所有</w:t>
      </w:r>
      <w:bookmarkEnd w:id="242"/>
      <w:r>
        <w:rPr>
          <w:rFonts w:hint="eastAsia" w:ascii="方正仿宋_GBK" w:hAnsi="方正黑体_GBK" w:eastAsia="方正仿宋_GBK" w:cs="方正黑体_GBK"/>
          <w:color w:val="000000" w:themeColor="text1"/>
          <w:sz w:val="30"/>
          <w:szCs w:val="30"/>
          <w14:textFill>
            <w14:solidFill>
              <w14:schemeClr w14:val="tx1"/>
            </w14:solidFill>
          </w14:textFill>
        </w:rPr>
        <w:t>；后期若出现不可抗力，考场需拆迁或车辆设备等需报废的，相关地面构建筑物拆迁补偿费和车辆报废残值由乙方所得，但土地相关补偿金除外。</w:t>
      </w:r>
      <w:r>
        <w:rPr>
          <w:rFonts w:hint="eastAsia" w:ascii="方正仿宋_GBK" w:hAnsi="方正黑体_GBK" w:eastAsia="方正仿宋_GBK" w:cs="方正黑体_GBK"/>
          <w:color w:val="000000" w:themeColor="text1"/>
          <w:sz w:val="30"/>
          <w:szCs w:val="30"/>
          <w14:textFill>
            <w14:solidFill>
              <w14:schemeClr w14:val="tx1"/>
            </w14:solidFill>
          </w14:textFill>
        </w:rPr>
        <w:tab/>
      </w:r>
    </w:p>
    <w:p>
      <w:pPr>
        <w:spacing w:line="500" w:lineRule="exact"/>
        <w:ind w:firstLine="600" w:firstLineChars="200"/>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2、在双方合作期内，承诺并保证支持配合甲方作为合同主体与重庆市公安局车辆管理所签订考场服务合同，确保达到</w:t>
      </w:r>
      <w:r>
        <w:rPr>
          <w:rFonts w:hint="eastAsia" w:ascii="方正仿宋_GBK" w:hAnsi="方正黑体_GBK" w:eastAsia="方正仿宋_GBK" w:cs="方正黑体_GBK"/>
          <w:sz w:val="30"/>
          <w:szCs w:val="30"/>
        </w:rPr>
        <w:t>（A1A2A3B1B2C6）、轿车（C1C2）车型</w:t>
      </w:r>
      <w:r>
        <w:rPr>
          <w:rFonts w:hint="eastAsia" w:ascii="方正仿宋_GBK" w:hAnsi="方正黑体_GBK" w:eastAsia="方正仿宋_GBK" w:cs="方正黑体_GBK"/>
          <w:color w:val="000000" w:themeColor="text1"/>
          <w:sz w:val="30"/>
          <w:szCs w:val="30"/>
          <w14:textFill>
            <w14:solidFill>
              <w14:schemeClr w14:val="tx1"/>
            </w14:solidFill>
          </w14:textFill>
        </w:rPr>
        <w:t>考试服务的软硬件要求，协调行业主管部门等完成全部验收。</w:t>
      </w:r>
    </w:p>
    <w:p>
      <w:pPr>
        <w:pStyle w:val="68"/>
        <w:spacing w:line="500" w:lineRule="exact"/>
        <w:ind w:firstLine="510"/>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kern w:val="2"/>
          <w:sz w:val="30"/>
          <w:szCs w:val="30"/>
          <w14:textFill>
            <w14:solidFill>
              <w14:schemeClr w14:val="tx1"/>
            </w14:solidFill>
          </w14:textFill>
        </w:rPr>
        <w:t>3、负责甲方现有璧山璧城科目二机动车驾驶人考场考训用轿车（C1C2）车辆设施设备等在2024年12月28日前完成购置、以甲方的名义办理入籍登记手续（该部分车辆设施设备等资产实质权属归乙方所有），公安车管部门的验收并投入使用，</w:t>
      </w:r>
      <w:r>
        <w:rPr>
          <w:rFonts w:hint="eastAsia" w:ascii="方正仿宋_GBK" w:hAnsi="方正黑体_GBK" w:eastAsia="方正仿宋_GBK" w:cs="方正黑体_GBK"/>
          <w:color w:val="000000" w:themeColor="text1"/>
          <w:sz w:val="30"/>
          <w:szCs w:val="30"/>
          <w14:textFill>
            <w14:solidFill>
              <w14:schemeClr w14:val="tx1"/>
            </w14:solidFill>
          </w14:textFill>
        </w:rPr>
        <w:t>确保甲方与市公安局车管所签定考场服务合同关系的及时有效存延续。若未能及时有效存延续，甲方不承担违约责任或者赔偿损失。</w:t>
      </w:r>
    </w:p>
    <w:p>
      <w:pPr>
        <w:pStyle w:val="68"/>
        <w:spacing w:line="500" w:lineRule="exact"/>
        <w:ind w:firstLine="51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黑体_GBK" w:eastAsia="方正仿宋_GBK" w:cs="方正黑体_GBK"/>
          <w:color w:val="000000" w:themeColor="text1"/>
          <w:kern w:val="2"/>
          <w:sz w:val="30"/>
          <w:szCs w:val="30"/>
          <w14:textFill>
            <w14:solidFill>
              <w14:schemeClr w14:val="tx1"/>
            </w14:solidFill>
          </w14:textFill>
        </w:rPr>
        <w:t>负责对甲方工作人员进行日常管理、指导</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pStyle w:val="68"/>
        <w:spacing w:line="500" w:lineRule="exact"/>
        <w:ind w:firstLine="510"/>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5、</w:t>
      </w:r>
      <w:r>
        <w:rPr>
          <w:rFonts w:hint="eastAsia" w:ascii="方正仿宋_GBK" w:hAnsi="方正黑体_GBK" w:eastAsia="方正仿宋_GBK" w:cs="方正黑体_GBK"/>
          <w:color w:val="000000" w:themeColor="text1"/>
          <w:kern w:val="2"/>
          <w:sz w:val="30"/>
          <w:szCs w:val="30"/>
          <w14:textFill>
            <w14:solidFill>
              <w14:schemeClr w14:val="tx1"/>
            </w14:solidFill>
          </w14:textFill>
        </w:rPr>
        <w:t>向甲方提供其对应的基础考核数据资料</w:t>
      </w:r>
      <w:r>
        <w:rPr>
          <w:rFonts w:hint="eastAsia" w:ascii="方正仿宋_GBK" w:hAnsi="方正黑体_GBK" w:eastAsia="方正仿宋_GBK" w:cs="方正黑体_GBK"/>
          <w:color w:val="000000" w:themeColor="text1"/>
          <w:sz w:val="30"/>
          <w:szCs w:val="30"/>
          <w14:textFill>
            <w14:solidFill>
              <w14:schemeClr w14:val="tx1"/>
            </w14:solidFill>
          </w14:textFill>
        </w:rPr>
        <w:t>，按照双方约定，按时足额支付项目合作费。</w:t>
      </w:r>
    </w:p>
    <w:p>
      <w:pPr>
        <w:spacing w:line="50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6、全面承担场地在使用期内的全部安全责任（包括但不限于社会治安、环境保护、污染土地、消防安全、安全生产、安全管理、事故责任等），</w:t>
      </w:r>
      <w:r>
        <w:rPr>
          <w:rFonts w:hint="eastAsia" w:ascii="方正仿宋_GBK" w:hAnsi="方正黑体_GBK" w:eastAsia="方正仿宋_GBK" w:cs="方正黑体_GBK"/>
          <w:sz w:val="30"/>
          <w:szCs w:val="30"/>
        </w:rPr>
        <w:t>并按相关规定足额投保，包括但不限于：</w:t>
      </w:r>
      <w:bookmarkStart w:id="243" w:name="_Hlk181622763"/>
      <w:r>
        <w:rPr>
          <w:rFonts w:hint="eastAsia" w:ascii="方正仿宋_GBK" w:hAnsi="方正黑体_GBK" w:eastAsia="方正仿宋_GBK" w:cs="方正黑体_GBK"/>
          <w:sz w:val="30"/>
          <w:szCs w:val="30"/>
        </w:rPr>
        <w:t>职员险、学员意外险</w:t>
      </w:r>
      <w:bookmarkEnd w:id="243"/>
      <w:r>
        <w:rPr>
          <w:rFonts w:hint="eastAsia" w:ascii="方正仿宋_GBK" w:hAnsi="方正黑体_GBK" w:eastAsia="方正仿宋_GBK" w:cs="方正黑体_GBK"/>
          <w:sz w:val="30"/>
          <w:szCs w:val="30"/>
        </w:rPr>
        <w:t>、场所险</w:t>
      </w:r>
      <w:r>
        <w:rPr>
          <w:rFonts w:hint="eastAsia" w:ascii="方正仿宋_GBK" w:hAnsi="方正仿宋_GBK" w:eastAsia="方正仿宋_GBK" w:cs="方正仿宋_GBK"/>
          <w:sz w:val="30"/>
          <w:szCs w:val="30"/>
        </w:rPr>
        <w:t>（其中，</w:t>
      </w:r>
      <w:r>
        <w:rPr>
          <w:rFonts w:hint="eastAsia" w:ascii="方正仿宋_GBK" w:hAnsi="方正黑体_GBK" w:eastAsia="方正仿宋_GBK" w:cs="方正黑体_GBK"/>
          <w:sz w:val="30"/>
          <w:szCs w:val="30"/>
        </w:rPr>
        <w:t>意外伤害身故、意外残疾每人</w:t>
      </w:r>
      <w:r>
        <w:rPr>
          <w:rFonts w:hint="eastAsia" w:ascii="方正仿宋_GBK" w:hAnsi="方正仿宋_GBK" w:eastAsia="方正仿宋_GBK" w:cs="方正仿宋_GBK"/>
          <w:sz w:val="30"/>
          <w:szCs w:val="30"/>
        </w:rPr>
        <w:t>的保额不低于80万元保额，意外伤害医疗每人的保额不低于20万元保额，场所险的保额不低于100万元保额）。</w:t>
      </w:r>
      <w:r>
        <w:rPr>
          <w:rFonts w:hint="eastAsia" w:ascii="方正仿宋_GBK" w:hAnsi="方正黑体_GBK" w:eastAsia="方正仿宋_GBK" w:cs="方正黑体_GBK"/>
          <w:sz w:val="30"/>
          <w:szCs w:val="30"/>
        </w:rPr>
        <w:t>场</w:t>
      </w:r>
      <w:r>
        <w:rPr>
          <w:rFonts w:hint="eastAsia" w:ascii="方正仿宋_GBK" w:hAnsi="方正黑体_GBK" w:eastAsia="方正仿宋_GBK" w:cs="方正黑体_GBK"/>
          <w:color w:val="000000" w:themeColor="text1"/>
          <w:sz w:val="30"/>
          <w:szCs w:val="30"/>
          <w14:textFill>
            <w14:solidFill>
              <w14:schemeClr w14:val="tx1"/>
            </w14:solidFill>
          </w14:textFill>
        </w:rPr>
        <w:t>地发生的一切安全事故，均由乙方自行负责并赔偿由此给甲方造成的损失。</w:t>
      </w:r>
    </w:p>
    <w:p>
      <w:pPr>
        <w:pStyle w:val="56"/>
        <w:spacing w:before="0" w:beforeAutospacing="0" w:after="0" w:afterAutospacing="0" w:line="500" w:lineRule="exact"/>
        <w:ind w:firstLine="600" w:firstLineChars="200"/>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7、</w:t>
      </w:r>
      <w:r>
        <w:rPr>
          <w:rFonts w:hint="eastAsia" w:ascii="方正仿宋_GBK" w:hAnsi="方正仿宋_GBK" w:eastAsia="方正仿宋_GBK" w:cs="方正仿宋_GBK"/>
          <w:color w:val="000000" w:themeColor="text1"/>
          <w:sz w:val="30"/>
          <w:szCs w:val="30"/>
          <w14:textFill>
            <w14:solidFill>
              <w14:schemeClr w14:val="tx1"/>
            </w14:solidFill>
          </w14:textFill>
        </w:rPr>
        <w:t>处理解决一切服务纠纷、违规行为以及行业主管部门对考场涉及安全、信用评级考核等检查，如有违规行为均由乙方承担全部责任。</w:t>
      </w:r>
      <w:r>
        <w:rPr>
          <w:rFonts w:hint="eastAsia" w:ascii="方正仿宋_GBK" w:hAnsi="方正黑体_GBK" w:eastAsia="方正仿宋_GBK" w:cs="方正黑体_GBK"/>
          <w:color w:val="000000" w:themeColor="text1"/>
          <w:sz w:val="30"/>
          <w:szCs w:val="30"/>
          <w14:textFill>
            <w14:solidFill>
              <w14:schemeClr w14:val="tx1"/>
            </w14:solidFill>
          </w14:textFill>
        </w:rPr>
        <w:t>因上述原因给甲方或第三方造成不良影响或损失的，应由乙方承担一切法律责任（包括但不限于补偿或赔偿责任）。</w:t>
      </w:r>
    </w:p>
    <w:p>
      <w:pPr>
        <w:spacing w:line="500" w:lineRule="exact"/>
        <w:rPr>
          <w:rFonts w:hint="eastAsia" w:ascii="方正仿宋_GBK" w:hAnsi="方正黑体_GBK" w:eastAsia="方正仿宋_GBK" w:cs="方正黑体_GBK"/>
          <w:b/>
          <w:color w:val="000000" w:themeColor="text1"/>
          <w:sz w:val="30"/>
          <w:szCs w:val="30"/>
          <w14:textFill>
            <w14:solidFill>
              <w14:schemeClr w14:val="tx1"/>
            </w14:solidFill>
          </w14:textFill>
        </w:rPr>
      </w:pPr>
      <w:r>
        <w:rPr>
          <w:rFonts w:hint="eastAsia" w:ascii="方正仿宋_GBK" w:hAnsi="方正黑体_GBK" w:eastAsia="方正仿宋_GBK" w:cs="方正黑体_GBK"/>
          <w:b/>
          <w:color w:val="000000" w:themeColor="text1"/>
          <w:sz w:val="30"/>
          <w:szCs w:val="30"/>
          <w14:textFill>
            <w14:solidFill>
              <w14:schemeClr w14:val="tx1"/>
            </w14:solidFill>
          </w14:textFill>
        </w:rPr>
        <w:t>五、资产管理</w:t>
      </w:r>
    </w:p>
    <w:p>
      <w:pPr>
        <w:spacing w:line="500" w:lineRule="exact"/>
        <w:ind w:firstLine="600" w:firstLineChars="200"/>
        <w:rPr>
          <w:rFonts w:hint="eastAsia" w:ascii="方正仿宋_GBK" w:hAnsi="方正黑体_GBK" w:eastAsia="方正仿宋_GBK" w:cs="方正黑体_GBK"/>
          <w:b/>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一）凡是乙方与甲方合作的科目二考训车辆，应以甲方的名义办理入籍登记手续，其实际所有权归乙方所有，仅限于科目二考训使用；甲方不得私自转卖、租借、抵押、质押或其他方式改变车辆及附属设备的实际所有权和使用权。</w:t>
      </w:r>
    </w:p>
    <w:p>
      <w:pPr>
        <w:spacing w:line="50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二）乙方应对合作车辆设备等购买足额保险，乙方与甲方合作的考训车辆，如出现交通事故或其他意外事件，一切法律后果及经济赔偿均由乙方承担，若因其保险理赔款和乙方交纳的保证金无法足额对受害方进行赔偿时，甲方承担了赔偿责任的，有权向乙方追偿，追偿范围包括但不限于甲方实际支付赔偿款，甲方因此产生的律师费、诉讼费、保全费和执行费等。</w:t>
      </w:r>
    </w:p>
    <w:p>
      <w:pPr>
        <w:spacing w:line="50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三）乙方合作车辆的路桥费、车船使用税、年审费用、保险、修理费、运营成本等费用均由乙方承担，甲方协助办理，其车辆交强险和商业险由乙方出资委托甲方统一代为办理（其中，第三者责任保险的保额不低于100万元保额，乘座人员保险的保额不低于20万元/座）。   </w:t>
      </w:r>
    </w:p>
    <w:p>
      <w:pPr>
        <w:spacing w:line="50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（四）如上级部门对合作车辆和工作人员进行定期或不定期的安全检查和安全培训工作时，乙方应无条件服从和准时参与。</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六、合作相关费用及结算支付</w:t>
      </w:r>
    </w:p>
    <w:p>
      <w:pPr>
        <w:spacing w:line="500" w:lineRule="exact"/>
        <w:ind w:firstLine="600" w:firstLineChars="20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color w:val="000000" w:themeColor="text1"/>
          <w:sz w:val="30"/>
          <w:szCs w:val="30"/>
          <w14:textFill>
            <w14:solidFill>
              <w14:schemeClr w14:val="tx1"/>
            </w14:solidFill>
          </w14:textFill>
        </w:rPr>
        <w:t>（一）</w:t>
      </w:r>
      <w:r>
        <w:rPr>
          <w:rFonts w:hint="eastAsia" w:ascii="方正仿宋_GBK" w:hAnsi="方正黑体_GBK" w:eastAsia="方正仿宋_GBK" w:cs="方正黑体_GBK"/>
          <w:b/>
          <w:bCs/>
          <w:sz w:val="30"/>
          <w:szCs w:val="30"/>
        </w:rPr>
        <w:t>合作费用结算原则</w:t>
      </w:r>
    </w:p>
    <w:p>
      <w:pPr>
        <w:pStyle w:val="68"/>
        <w:spacing w:line="500" w:lineRule="exact"/>
        <w:ind w:firstLine="600"/>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合作期内，双方以车管所系统核实确定的考试人次作为结算依据。甲方全额收到重庆市公安局支付给甲方的考场服务等费用后，</w:t>
      </w:r>
      <w:r>
        <w:rPr>
          <w:rFonts w:hint="eastAsia" w:ascii="方正仿宋_GBK" w:hAnsi="方正仿宋_GBK" w:eastAsia="方正仿宋_GBK" w:cs="方正仿宋_GBK"/>
          <w:color w:val="000000" w:themeColor="text1"/>
          <w:sz w:val="30"/>
          <w:szCs w:val="30"/>
          <w14:textFill>
            <w14:solidFill>
              <w14:schemeClr w14:val="tx1"/>
            </w14:solidFill>
          </w14:textFill>
        </w:rPr>
        <w:t>扣除留存后</w:t>
      </w:r>
      <w:r>
        <w:rPr>
          <w:rFonts w:hint="eastAsia" w:ascii="方正仿宋_GBK" w:hAnsi="方正黑体_GBK" w:eastAsia="方正仿宋_GBK" w:cs="方正黑体_GBK"/>
          <w:color w:val="000000" w:themeColor="text1"/>
          <w:sz w:val="30"/>
          <w:szCs w:val="30"/>
          <w14:textFill>
            <w14:solidFill>
              <w14:schemeClr w14:val="tx1"/>
            </w14:solidFill>
          </w14:textFill>
        </w:rPr>
        <w:t>据实结算支付给乙方。</w:t>
      </w:r>
    </w:p>
    <w:p>
      <w:pPr>
        <w:pStyle w:val="68"/>
        <w:spacing w:line="500" w:lineRule="exact"/>
        <w:ind w:firstLine="600" w:firstLineChars="200"/>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sz w:val="30"/>
          <w:szCs w:val="30"/>
        </w:rPr>
        <w:t>（二）</w:t>
      </w:r>
      <w:r>
        <w:rPr>
          <w:rFonts w:hint="eastAsia" w:ascii="方正仿宋_GBK" w:hAnsi="方正黑体_GBK" w:eastAsia="方正仿宋_GBK" w:cs="方正黑体_GBK"/>
          <w:b/>
          <w:bCs/>
          <w:sz w:val="30"/>
          <w:szCs w:val="30"/>
        </w:rPr>
        <w:t>合作前置费用</w:t>
      </w:r>
    </w:p>
    <w:p>
      <w:pPr>
        <w:pStyle w:val="68"/>
        <w:spacing w:line="500" w:lineRule="exact"/>
        <w:ind w:firstLine="602" w:firstLineChars="200"/>
        <w:rPr>
          <w:rFonts w:hint="eastAsia" w:ascii="方正仿宋_GBK" w:hAnsi="方正黑体_GBK" w:eastAsia="方正仿宋_GBK" w:cs="方正黑体_GBK"/>
          <w:sz w:val="30"/>
          <w:szCs w:val="30"/>
        </w:rPr>
      </w:pPr>
      <w:r>
        <w:rPr>
          <w:rFonts w:hint="eastAsia" w:ascii="方正仿宋_GBK" w:hAnsi="方正黑体_GBK" w:eastAsia="方正仿宋_GBK" w:cs="方正黑体_GBK"/>
          <w:b/>
          <w:bCs/>
          <w:sz w:val="30"/>
          <w:szCs w:val="30"/>
        </w:rPr>
        <w:t>1、年度场地合作费</w:t>
      </w:r>
      <w:r>
        <w:rPr>
          <w:rFonts w:hint="eastAsia" w:ascii="方正仿宋_GBK" w:hAnsi="方正黑体_GBK" w:eastAsia="方正仿宋_GBK" w:cs="方正黑体_GBK"/>
          <w:sz w:val="30"/>
          <w:szCs w:val="30"/>
        </w:rPr>
        <w:t>：乙方向甲方支付位于重庆市璧山区璧城街道、福禄镇和平村1组、河边镇同心村4组地块迁扩建科目二考场场地合作费，首年场地合作费</w:t>
      </w:r>
      <w:r>
        <w:rPr>
          <w:rFonts w:hint="eastAsia" w:ascii="方正仿宋_GBK" w:hAnsi="方正黑体_GBK" w:eastAsia="方正仿宋_GBK" w:cs="方正黑体_GBK"/>
          <w:sz w:val="30"/>
          <w:szCs w:val="30"/>
          <w:u w:val="single"/>
        </w:rPr>
        <w:t xml:space="preserve">    </w:t>
      </w:r>
      <w:r>
        <w:rPr>
          <w:rFonts w:hint="eastAsia" w:ascii="方正仿宋_GBK" w:hAnsi="方正黑体_GBK" w:eastAsia="方正仿宋_GBK" w:cs="方正黑体_GBK"/>
          <w:sz w:val="30"/>
          <w:szCs w:val="30"/>
        </w:rPr>
        <w:t>万元，该场地合作费先付后用。每3年为一个小周期，下一小周期的场地合作费在上一个小周期的单年基础上递增5%。</w:t>
      </w:r>
    </w:p>
    <w:p>
      <w:pPr>
        <w:spacing w:line="500" w:lineRule="exact"/>
        <w:ind w:firstLine="602" w:firstLineChars="200"/>
        <w:rPr>
          <w:rFonts w:hint="eastAsia" w:ascii="方正仿宋_GBK" w:hAnsi="方正黑体_GBK" w:eastAsia="方正仿宋_GBK" w:cs="方正黑体_GBK"/>
          <w:sz w:val="30"/>
          <w:szCs w:val="30"/>
        </w:rPr>
      </w:pPr>
      <w:r>
        <w:rPr>
          <w:rFonts w:hint="eastAsia" w:ascii="方正仿宋_GBK" w:hAnsi="方正黑体_GBK" w:eastAsia="方正仿宋_GBK" w:cs="方正黑体_GBK"/>
          <w:b/>
          <w:bCs/>
          <w:color w:val="000000"/>
          <w:sz w:val="30"/>
          <w:szCs w:val="30"/>
        </w:rPr>
        <w:t>2、</w:t>
      </w:r>
      <w:r>
        <w:rPr>
          <w:rFonts w:hint="eastAsia" w:ascii="方正仿宋_GBK" w:hAnsi="方正黑体_GBK" w:eastAsia="方正仿宋_GBK" w:cs="方正黑体_GBK"/>
          <w:b/>
          <w:bCs/>
          <w:sz w:val="30"/>
          <w:szCs w:val="30"/>
        </w:rPr>
        <w:t>年度人员服务费</w:t>
      </w:r>
      <w:r>
        <w:rPr>
          <w:rFonts w:hint="eastAsia" w:ascii="方正仿宋_GBK" w:hAnsi="方正黑体_GBK" w:eastAsia="方正仿宋_GBK" w:cs="方正黑体_GBK"/>
          <w:sz w:val="30"/>
          <w:szCs w:val="30"/>
        </w:rPr>
        <w:t>：</w:t>
      </w:r>
      <w:r>
        <w:rPr>
          <w:rFonts w:hint="eastAsia" w:ascii="方正仿宋_GBK" w:hAnsi="方正黑体_GBK" w:eastAsia="方正仿宋_GBK" w:cs="方正黑体_GBK"/>
          <w:color w:val="000000" w:themeColor="text1"/>
          <w:sz w:val="30"/>
          <w:szCs w:val="30"/>
          <w14:textFill>
            <w14:solidFill>
              <w14:schemeClr w14:val="tx1"/>
            </w14:solidFill>
          </w14:textFill>
        </w:rPr>
        <w:t>乙方以</w:t>
      </w:r>
      <w:r>
        <w:rPr>
          <w:rFonts w:hint="eastAsia" w:ascii="方正仿宋_GBK" w:hAnsi="方正黑体_GBK" w:eastAsia="方正仿宋_GBK" w:cs="方正黑体_GBK"/>
          <w:color w:val="000000" w:themeColor="text1"/>
          <w:sz w:val="30"/>
          <w:szCs w:val="30"/>
          <w:u w:val="single"/>
          <w14:textFill>
            <w14:solidFill>
              <w14:schemeClr w14:val="tx1"/>
            </w14:solidFill>
          </w14:textFill>
        </w:rPr>
        <w:t xml:space="preserve"> 8 </w:t>
      </w:r>
      <w:r>
        <w:rPr>
          <w:rFonts w:hint="eastAsia" w:ascii="方正仿宋_GBK" w:hAnsi="方正黑体_GBK" w:eastAsia="方正仿宋_GBK" w:cs="方正黑体_GBK"/>
          <w:color w:val="000000" w:themeColor="text1"/>
          <w:sz w:val="30"/>
          <w:szCs w:val="30"/>
          <w14:textFill>
            <w14:solidFill>
              <w14:schemeClr w14:val="tx1"/>
            </w14:solidFill>
          </w14:textFill>
        </w:rPr>
        <w:t>万元/人/年，9人共计</w:t>
      </w:r>
      <w:r>
        <w:rPr>
          <w:rFonts w:hint="eastAsia" w:ascii="方正仿宋_GBK" w:hAnsi="方正黑体_GBK" w:eastAsia="方正仿宋_GBK" w:cs="方正黑体_GBK"/>
          <w:color w:val="000000" w:themeColor="text1"/>
          <w:sz w:val="30"/>
          <w:szCs w:val="30"/>
          <w:u w:val="single"/>
          <w14:textFill>
            <w14:solidFill>
              <w14:schemeClr w14:val="tx1"/>
            </w14:solidFill>
          </w14:textFill>
        </w:rPr>
        <w:t xml:space="preserve"> 72 </w:t>
      </w:r>
      <w:r>
        <w:rPr>
          <w:rFonts w:hint="eastAsia" w:ascii="方正仿宋_GBK" w:hAnsi="方正黑体_GBK" w:eastAsia="方正仿宋_GBK" w:cs="方正黑体_GBK"/>
          <w:sz w:val="30"/>
          <w:szCs w:val="30"/>
        </w:rPr>
        <w:t>万元/年的标准，向甲方支付年度固定人员服务费。</w:t>
      </w:r>
    </w:p>
    <w:p>
      <w:pPr>
        <w:pStyle w:val="68"/>
        <w:spacing w:line="500" w:lineRule="exact"/>
        <w:ind w:firstLine="600" w:firstLineChars="200"/>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sz w:val="30"/>
          <w:szCs w:val="30"/>
        </w:rPr>
        <w:t>（三）</w:t>
      </w:r>
      <w:r>
        <w:rPr>
          <w:rFonts w:hint="eastAsia" w:ascii="方正仿宋_GBK" w:hAnsi="方正黑体_GBK" w:eastAsia="方正仿宋_GBK" w:cs="方正黑体_GBK"/>
          <w:b/>
          <w:bCs/>
          <w:sz w:val="30"/>
          <w:szCs w:val="30"/>
        </w:rPr>
        <w:t>年度合作总费用：</w:t>
      </w:r>
      <w:bookmarkStart w:id="244" w:name="_Hlk183438723"/>
    </w:p>
    <w:p>
      <w:pPr>
        <w:spacing w:line="500" w:lineRule="exact"/>
        <w:ind w:firstLine="600" w:firstLineChars="200"/>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1、</w:t>
      </w:r>
      <w:r>
        <w:rPr>
          <w:rFonts w:hint="eastAsia" w:ascii="方正仿宋_GBK" w:hAnsi="方正黑体_GBK" w:eastAsia="方正仿宋_GBK" w:cs="方正黑体_GBK"/>
          <w:b/>
          <w:bCs/>
          <w:sz w:val="30"/>
          <w:szCs w:val="30"/>
        </w:rPr>
        <w:t>过渡期人次合作费：</w:t>
      </w:r>
      <w:r>
        <w:rPr>
          <w:rFonts w:hint="eastAsia" w:ascii="方正仿宋_GBK" w:hAnsi="方正黑体_GBK" w:eastAsia="方正仿宋_GBK" w:cs="方正黑体_GBK"/>
          <w:sz w:val="30"/>
          <w:szCs w:val="30"/>
        </w:rPr>
        <w:t>在迁扩建新科目二考场未投入使用或未满240个自然日内（两者孰先），甲方依据此期间重庆市公安局车管所系统统计实际参考人次，按照</w:t>
      </w:r>
      <w:r>
        <w:rPr>
          <w:rFonts w:hint="eastAsia" w:ascii="方正仿宋_GBK" w:hAnsi="方正黑体_GBK" w:eastAsia="方正仿宋_GBK" w:cs="方正黑体_GBK"/>
          <w:sz w:val="30"/>
          <w:szCs w:val="30"/>
          <w:u w:val="single"/>
        </w:rPr>
        <w:t xml:space="preserve">    </w:t>
      </w:r>
      <w:r>
        <w:rPr>
          <w:rFonts w:hint="eastAsia" w:ascii="方正仿宋_GBK" w:hAnsi="方正黑体_GBK" w:eastAsia="方正仿宋_GBK" w:cs="方正黑体_GBK"/>
          <w:sz w:val="30"/>
          <w:szCs w:val="30"/>
        </w:rPr>
        <w:t>元/人次的标准，据实留存合作费用</w:t>
      </w:r>
      <w:bookmarkEnd w:id="244"/>
      <w:r>
        <w:rPr>
          <w:rFonts w:hint="eastAsia" w:ascii="方正仿宋_GBK" w:hAnsi="方正黑体_GBK" w:eastAsia="方正仿宋_GBK" w:cs="方正黑体_GBK"/>
          <w:sz w:val="30"/>
          <w:szCs w:val="30"/>
        </w:rPr>
        <w:t>。</w:t>
      </w:r>
    </w:p>
    <w:p>
      <w:pPr>
        <w:spacing w:line="500" w:lineRule="exact"/>
        <w:ind w:firstLine="600" w:firstLineChars="200"/>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2、</w:t>
      </w:r>
      <w:r>
        <w:rPr>
          <w:rFonts w:hint="eastAsia" w:ascii="方正仿宋_GBK" w:hAnsi="方正黑体_GBK" w:eastAsia="方正仿宋_GBK" w:cs="方正黑体_GBK"/>
          <w:b/>
          <w:bCs/>
          <w:sz w:val="30"/>
          <w:szCs w:val="30"/>
        </w:rPr>
        <w:t>年度人次保底合作费</w:t>
      </w:r>
      <w:r>
        <w:rPr>
          <w:rFonts w:hint="eastAsia" w:ascii="方正仿宋_GBK" w:hAnsi="方正黑体_GBK" w:eastAsia="方正仿宋_GBK" w:cs="方正黑体_GBK"/>
          <w:sz w:val="30"/>
          <w:szCs w:val="30"/>
        </w:rPr>
        <w:t>：在每个合作年度内，乙方确保在合作考场内参加科目二考试的人数</w:t>
      </w:r>
      <w:r>
        <w:rPr>
          <w:rFonts w:hint="eastAsia" w:ascii="方正仿宋_GBK" w:hAnsi="方正黑体_GBK" w:eastAsia="方正仿宋_GBK" w:cs="方正黑体_GBK"/>
          <w:color w:val="000000" w:themeColor="text1"/>
          <w:sz w:val="30"/>
          <w:szCs w:val="30"/>
          <w:u w:val="single"/>
          <w14:textFill>
            <w14:solidFill>
              <w14:schemeClr w14:val="tx1"/>
            </w14:solidFill>
          </w14:textFill>
        </w:rPr>
        <w:t xml:space="preserve">     </w:t>
      </w:r>
      <w:r>
        <w:rPr>
          <w:rFonts w:hint="eastAsia" w:ascii="方正仿宋_GBK" w:hAnsi="方正黑体_GBK" w:eastAsia="方正仿宋_GBK" w:cs="方正黑体_GBK"/>
          <w:color w:val="000000" w:themeColor="text1"/>
          <w:sz w:val="30"/>
          <w:szCs w:val="30"/>
          <w14:textFill>
            <w14:solidFill>
              <w14:schemeClr w14:val="tx1"/>
            </w14:solidFill>
          </w14:textFill>
        </w:rPr>
        <w:t>人次（保底人次），该保底人次内，甲方按照</w:t>
      </w:r>
      <w:r>
        <w:rPr>
          <w:rFonts w:hint="eastAsia" w:ascii="方正仿宋_GBK" w:hAnsi="方正黑体_GBK" w:eastAsia="方正仿宋_GBK" w:cs="方正黑体_GBK"/>
          <w:color w:val="000000" w:themeColor="text1"/>
          <w:sz w:val="30"/>
          <w:szCs w:val="30"/>
          <w:u w:val="single"/>
          <w14:textFill>
            <w14:solidFill>
              <w14:schemeClr w14:val="tx1"/>
            </w14:solidFill>
          </w14:textFill>
        </w:rPr>
        <w:t xml:space="preserve">    </w:t>
      </w:r>
      <w:r>
        <w:rPr>
          <w:rFonts w:hint="eastAsia" w:ascii="方正仿宋_GBK" w:hAnsi="方正黑体_GBK" w:eastAsia="方正仿宋_GBK" w:cs="方正黑体_GBK"/>
          <w:color w:val="000000" w:themeColor="text1"/>
          <w:sz w:val="30"/>
          <w:szCs w:val="30"/>
          <w14:textFill>
            <w14:solidFill>
              <w14:schemeClr w14:val="tx1"/>
            </w14:solidFill>
          </w14:textFill>
        </w:rPr>
        <w:t>元/人次留存合作费用。</w:t>
      </w:r>
    </w:p>
    <w:p>
      <w:pPr>
        <w:pStyle w:val="68"/>
        <w:spacing w:line="500" w:lineRule="exact"/>
        <w:ind w:firstLine="600"/>
        <w:rPr>
          <w:rFonts w:hint="eastAsia" w:ascii="方正仿宋_GBK" w:hAnsi="方正黑体_GBK" w:eastAsia="方正仿宋_GBK" w:cs="方正黑体_GBK"/>
          <w:sz w:val="30"/>
          <w:szCs w:val="30"/>
        </w:rPr>
      </w:pPr>
      <w:r>
        <w:rPr>
          <w:rFonts w:hint="eastAsia" w:ascii="方正仿宋_GBK" w:hAnsi="方正黑体_GBK" w:eastAsia="方正仿宋_GBK" w:cs="方正黑体_GBK"/>
          <w:kern w:val="2"/>
          <w:sz w:val="30"/>
          <w:szCs w:val="30"/>
        </w:rPr>
        <w:t>3、</w:t>
      </w:r>
      <w:r>
        <w:rPr>
          <w:rFonts w:hint="eastAsia" w:ascii="方正仿宋_GBK" w:hAnsi="方正黑体_GBK" w:eastAsia="方正仿宋_GBK" w:cs="方正黑体_GBK"/>
          <w:b/>
          <w:bCs/>
          <w:sz w:val="30"/>
          <w:szCs w:val="30"/>
        </w:rPr>
        <w:t>年度超额计量合作费</w:t>
      </w:r>
      <w:r>
        <w:rPr>
          <w:rFonts w:hint="eastAsia" w:ascii="方正仿宋_GBK" w:hAnsi="方正黑体_GBK" w:eastAsia="方正仿宋_GBK" w:cs="方正黑体_GBK"/>
          <w:sz w:val="30"/>
          <w:szCs w:val="30"/>
        </w:rPr>
        <w:t>：在每个合作年度内，超出保底人次的部分，甲方按照</w:t>
      </w:r>
      <w:r>
        <w:rPr>
          <w:rFonts w:hint="eastAsia" w:ascii="方正仿宋_GBK" w:hAnsi="方正黑体_GBK" w:eastAsia="方正仿宋_GBK" w:cs="方正黑体_GBK"/>
          <w:sz w:val="30"/>
          <w:szCs w:val="30"/>
          <w:u w:val="single"/>
        </w:rPr>
        <w:t xml:space="preserve">    </w:t>
      </w:r>
      <w:r>
        <w:rPr>
          <w:rFonts w:hint="eastAsia" w:ascii="方正仿宋_GBK" w:hAnsi="方正黑体_GBK" w:eastAsia="方正仿宋_GBK" w:cs="方正黑体_GBK"/>
          <w:sz w:val="30"/>
          <w:szCs w:val="30"/>
        </w:rPr>
        <w:t>元/人次留存。剩余部分作为合作费用由甲方支付给乙方。</w:t>
      </w:r>
    </w:p>
    <w:p>
      <w:pPr>
        <w:pStyle w:val="68"/>
        <w:spacing w:line="500" w:lineRule="exac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 xml:space="preserve">   </w:t>
      </w:r>
      <w:r>
        <w:rPr>
          <w:rFonts w:hint="eastAsia" w:ascii="方正仿宋_GBK" w:hAnsi="方正黑体_GBK" w:eastAsia="方正仿宋_GBK" w:cs="方正黑体_GBK"/>
          <w:sz w:val="30"/>
          <w:szCs w:val="30"/>
        </w:rPr>
        <w:t>（四）</w:t>
      </w:r>
      <w:r>
        <w:rPr>
          <w:rFonts w:hint="eastAsia" w:ascii="方正仿宋_GBK" w:hAnsi="方正黑体_GBK" w:eastAsia="方正仿宋_GBK" w:cs="方正黑体_GBK"/>
          <w:color w:val="000000" w:themeColor="text1"/>
          <w:sz w:val="30"/>
          <w:szCs w:val="30"/>
          <w14:textFill>
            <w14:solidFill>
              <w14:schemeClr w14:val="tx1"/>
            </w14:solidFill>
          </w14:textFill>
        </w:rPr>
        <w:t>参加机动车驾驶人考试的学员产生的</w:t>
      </w:r>
      <w:r>
        <w:rPr>
          <w:rFonts w:hint="eastAsia" w:ascii="方正仿宋_GBK" w:eastAsia="方正仿宋_GBK"/>
          <w:color w:val="000000" w:themeColor="text1"/>
          <w:sz w:val="30"/>
          <w:szCs w:val="30"/>
          <w14:textFill>
            <w14:solidFill>
              <w14:schemeClr w14:val="tx1"/>
            </w14:solidFill>
          </w14:textFill>
        </w:rPr>
        <w:t>合场费和</w:t>
      </w:r>
      <w:r>
        <w:rPr>
          <w:rFonts w:hint="eastAsia" w:ascii="方正仿宋_GBK" w:hAnsi="方正黑体_GBK" w:eastAsia="方正仿宋_GBK" w:cs="方正黑体_GBK"/>
          <w:color w:val="000000" w:themeColor="text1"/>
          <w:sz w:val="30"/>
          <w:szCs w:val="30"/>
          <w14:textFill>
            <w14:solidFill>
              <w14:schemeClr w14:val="tx1"/>
            </w14:solidFill>
          </w14:textFill>
        </w:rPr>
        <w:t>餐饮、住宿费用由乙方收取。</w:t>
      </w:r>
    </w:p>
    <w:p>
      <w:pPr>
        <w:pStyle w:val="68"/>
        <w:spacing w:line="500" w:lineRule="exac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 xml:space="preserve">  （五）甲方派驻考场的9名工作人员若自然退休或离职的，后续不再补充。</w:t>
      </w:r>
    </w:p>
    <w:p>
      <w:pPr>
        <w:spacing w:line="500" w:lineRule="exact"/>
        <w:jc w:val="left"/>
        <w:rPr>
          <w:rFonts w:hint="eastAsia" w:ascii="方正仿宋_GBK" w:hAnsi="方正黑体_GBK" w:eastAsia="方正仿宋_GBK" w:cs="方正黑体_GBK"/>
          <w:b/>
          <w:bCs/>
          <w:color w:val="000000" w:themeColor="text1"/>
          <w:sz w:val="30"/>
          <w:szCs w:val="30"/>
          <w14:textFill>
            <w14:solidFill>
              <w14:schemeClr w14:val="tx1"/>
            </w14:solidFill>
          </w14:textFill>
        </w:rPr>
      </w:pPr>
      <w:r>
        <w:rPr>
          <w:rFonts w:hint="eastAsia" w:ascii="方正仿宋_GBK" w:hAnsi="方正黑体_GBK" w:eastAsia="方正仿宋_GBK" w:cs="方正黑体_GBK"/>
          <w:b/>
          <w:bCs/>
          <w:color w:val="000000" w:themeColor="text1"/>
          <w:sz w:val="30"/>
          <w:szCs w:val="30"/>
          <w14:textFill>
            <w14:solidFill>
              <w14:schemeClr w14:val="tx1"/>
            </w14:solidFill>
          </w14:textFill>
        </w:rPr>
        <w:t>七、其他约定</w:t>
      </w:r>
    </w:p>
    <w:p>
      <w:pPr>
        <w:spacing w:line="500" w:lineRule="exact"/>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b/>
          <w:bCs/>
          <w:color w:val="FF0000"/>
          <w:sz w:val="30"/>
          <w:szCs w:val="30"/>
        </w:rPr>
        <w:t xml:space="preserve">  </w:t>
      </w:r>
      <w:r>
        <w:rPr>
          <w:rFonts w:hint="eastAsia" w:ascii="方正仿宋_GBK" w:hAnsi="方正黑体_GBK" w:eastAsia="方正仿宋_GBK" w:cs="方正黑体_GBK"/>
          <w:b/>
          <w:bCs/>
          <w:color w:val="000000" w:themeColor="text1"/>
          <w:sz w:val="30"/>
          <w:szCs w:val="30"/>
          <w14:textFill>
            <w14:solidFill>
              <w14:schemeClr w14:val="tx1"/>
            </w14:solidFill>
          </w14:textFill>
        </w:rPr>
        <w:t xml:space="preserve"> </w:t>
      </w:r>
      <w:r>
        <w:rPr>
          <w:rFonts w:hint="eastAsia" w:ascii="方正仿宋_GBK" w:hAnsi="方正黑体_GBK" w:eastAsia="方正仿宋_GBK" w:cs="方正黑体_GBK"/>
          <w:color w:val="000000" w:themeColor="text1"/>
          <w:sz w:val="30"/>
          <w:szCs w:val="30"/>
          <w14:textFill>
            <w14:solidFill>
              <w14:schemeClr w14:val="tx1"/>
            </w14:solidFill>
          </w14:textFill>
        </w:rPr>
        <w:t>（一）合作期内，乙方在甲方提供的场地内从事非驾考驾训业务活动的，须提前取得甲方的书面同意方可进行。</w:t>
      </w:r>
    </w:p>
    <w:p>
      <w:pPr>
        <w:pStyle w:val="68"/>
        <w:spacing w:line="500" w:lineRule="exact"/>
        <w:rPr>
          <w:rFonts w:hint="eastAsia" w:ascii="方正仿宋_GBK" w:hAnsi="方正黑体_GBK" w:eastAsia="方正仿宋_GBK" w:cs="方正黑体_GBK"/>
          <w:color w:val="000000" w:themeColor="text1"/>
          <w:kern w:val="2"/>
          <w:sz w:val="30"/>
          <w:szCs w:val="30"/>
          <w14:textFill>
            <w14:solidFill>
              <w14:schemeClr w14:val="tx1"/>
            </w14:solidFill>
          </w14:textFill>
        </w:rPr>
      </w:pPr>
      <w:r>
        <w:rPr>
          <w:rFonts w:hint="eastAsia" w:ascii="方正仿宋_GBK" w:hAnsi="方正黑体_GBK" w:eastAsia="方正仿宋_GBK" w:cs="方正黑体_GBK"/>
          <w:color w:val="000000" w:themeColor="text1"/>
          <w:kern w:val="2"/>
          <w:sz w:val="30"/>
          <w:szCs w:val="30"/>
          <w14:textFill>
            <w14:solidFill>
              <w14:schemeClr w14:val="tx1"/>
            </w14:solidFill>
          </w14:textFill>
        </w:rPr>
        <w:t xml:space="preserve">   （二）合同期满或终止后考场内乙方投资的可移动设施设备等资产实质归乙方所有。</w:t>
      </w:r>
    </w:p>
    <w:p>
      <w:pPr>
        <w:pStyle w:val="56"/>
        <w:spacing w:before="0" w:beforeAutospacing="0" w:after="0" w:afterAutospacing="0" w:line="500" w:lineRule="exact"/>
        <w:rPr>
          <w:rFonts w:hint="eastAsia" w:ascii="方正仿宋_GBK" w:hAnsi="方正黑体_GBK" w:eastAsia="方正仿宋_GBK" w:cs="方正黑体_GBK"/>
          <w:sz w:val="30"/>
          <w:szCs w:val="30"/>
        </w:rPr>
      </w:pPr>
      <w:r>
        <w:rPr>
          <w:rFonts w:hint="eastAsia" w:ascii="方正仿宋_GBK" w:hAnsi="方正黑体_GBK" w:eastAsia="方正仿宋_GBK" w:cs="方正黑体_GBK"/>
          <w:color w:val="000000" w:themeColor="text1"/>
          <w:sz w:val="30"/>
          <w:szCs w:val="30"/>
          <w14:textFill>
            <w14:solidFill>
              <w14:schemeClr w14:val="tx1"/>
            </w14:solidFill>
          </w14:textFill>
        </w:rPr>
        <w:t xml:space="preserve">   （三）合同期满或终止后依法依本协议形成的固定类建筑、设施设备等，乙方须保持功能使用的完整并移交甲方，</w:t>
      </w:r>
      <w:r>
        <w:rPr>
          <w:rFonts w:hint="eastAsia" w:ascii="方正仿宋_GBK" w:hAnsi="方正黑体_GBK" w:eastAsia="方正仿宋_GBK" w:cs="方正黑体_GBK"/>
          <w:sz w:val="30"/>
          <w:szCs w:val="30"/>
        </w:rPr>
        <w:t>且乙方无权向甲方要求任何补偿。若第三方使用该固定类建筑、设施设备等，应支付相应的使用费。该使用费（税后部分）由乙方享有。</w:t>
      </w:r>
    </w:p>
    <w:p>
      <w:pPr>
        <w:pStyle w:val="56"/>
        <w:spacing w:before="0" w:beforeAutospacing="0" w:after="0" w:afterAutospacing="0" w:line="500" w:lineRule="exac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sz w:val="30"/>
          <w:szCs w:val="30"/>
        </w:rPr>
        <w:t xml:space="preserve">   （四）合作期内，甲方支持乙方合法依规的取得高速集团所属适用于驾培行业的土地，以期增加考场生源，提升双方共同利益，保障本合作项</w:t>
      </w:r>
      <w:r>
        <w:rPr>
          <w:rFonts w:hint="eastAsia" w:ascii="方正仿宋_GBK" w:hAnsi="方正黑体_GBK" w:eastAsia="方正仿宋_GBK" w:cs="方正黑体_GBK"/>
          <w:color w:val="000000" w:themeColor="text1"/>
          <w:sz w:val="30"/>
          <w:szCs w:val="30"/>
          <w14:textFill>
            <w14:solidFill>
              <w14:schemeClr w14:val="tx1"/>
            </w14:solidFill>
          </w14:textFill>
        </w:rPr>
        <w:t>目的持续盈利。</w:t>
      </w:r>
    </w:p>
    <w:p>
      <w:pPr>
        <w:autoSpaceDE w:val="0"/>
        <w:autoSpaceDN w:val="0"/>
        <w:spacing w:line="500" w:lineRule="exact"/>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（五）合作期内，若未能及时有效存延续与重庆市公安局车管所有关“机动车驾驶人服务合作”，甲方不承担违约责任或者赔偿损失。</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八、违约责任</w:t>
      </w:r>
    </w:p>
    <w:p>
      <w:pPr>
        <w:spacing w:line="5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（一）甲方逾期支付合作费用的，每逾期一日，应按逾期金额的万分之三支付违约金。</w:t>
      </w:r>
    </w:p>
    <w:p>
      <w:pPr>
        <w:spacing w:line="5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（二）乙方逾期缴纳合作保证金，逾期支付合作费用的，每逾期一日，应按逾期金额的万分之三支付违约金。</w:t>
      </w:r>
    </w:p>
    <w:p>
      <w:pPr>
        <w:spacing w:line="500" w:lineRule="exact"/>
        <w:ind w:firstLine="450" w:firstLineChars="15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（三）协议双方中任何一方违反本协议任一条款者即视为违约，承担违约责任，违约方应当赔偿守约方的实际经济损失。</w:t>
      </w:r>
    </w:p>
    <w:p>
      <w:pPr>
        <w:spacing w:line="500" w:lineRule="exact"/>
        <w:ind w:firstLine="450" w:firstLineChars="150"/>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（四）协议双方的任何一方由于火灾、水灾、台风、地震、战争和政府政策调整等不可抗力影响到本协议履行时，可免予承担违约责任。 </w:t>
      </w:r>
    </w:p>
    <w:p>
      <w:pPr>
        <w:spacing w:line="500" w:lineRule="exact"/>
        <w:rPr>
          <w:rFonts w:hint="eastAsia" w:ascii="方正黑体_GBK" w:hAnsi="方正黑体_GBK" w:eastAsia="方正黑体_GBK" w:cs="方正黑体_GBK"/>
          <w:b/>
          <w:bCs/>
          <w:sz w:val="32"/>
          <w:szCs w:val="32"/>
        </w:rPr>
      </w:pPr>
      <w:r>
        <w:rPr>
          <w:rFonts w:hint="eastAsia" w:ascii="方正仿宋_GBK" w:hAnsi="方正黑体_GBK" w:eastAsia="方正仿宋_GBK" w:cs="方正黑体_GBK"/>
          <w:b/>
          <w:bCs/>
          <w:sz w:val="30"/>
          <w:szCs w:val="30"/>
        </w:rPr>
        <w:t>九、不可抗力</w:t>
      </w:r>
    </w:p>
    <w:p>
      <w:pPr>
        <w:spacing w:line="5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作期间，若出现自然灾害或国家、政府和集团等不可抗力造成本协议无法履行或不能完全履行的，遭受不可抗力影响的一方应及时书面告知另一方，并就是否解除协议进行说明，甲、乙双方均应采取措施以降低不可抗力所造成的损失。</w:t>
      </w:r>
    </w:p>
    <w:p>
      <w:pPr>
        <w:spacing w:line="50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不可抗力造成本协议无法履行或不能完全履行的，甲乙双方均不承担违约责任。不可抗力因素消失后，本协议可继续履行的，应当继续履行，发生不可抗力期间不计算在协议约定的合作期内；如造成不能继续履行的，本协议自然终止。</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十、退出机制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若有以下情形，甲方有权单方解除合作，乙方不得要求甲方承担违约责任或者赔偿损失：</w:t>
      </w:r>
    </w:p>
    <w:p>
      <w:pPr>
        <w:pStyle w:val="68"/>
        <w:spacing w:line="500" w:lineRule="exact"/>
        <w:ind w:firstLine="640" w:firstLineChars="200"/>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1、乙方造成重大人身伤害、财产安全事故，被政府行政机关责令关停的。</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2、乙方违反国家安全环保相关法律法规，在生产经营过程中发生责任事故，被政府行政机关认定为环保责任事故、或重大安全责任事故的。</w:t>
      </w:r>
    </w:p>
    <w:p>
      <w:pPr>
        <w:pStyle w:val="68"/>
        <w:spacing w:line="500" w:lineRule="exact"/>
        <w:ind w:left="29" w:leftChars="12" w:firstLine="640" w:firstLineChars="200"/>
        <w:jc w:val="both"/>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3、乙方不具有合法经营资格或从事非法活动的；或营业执照被吊销、或竞选人行为被追究刑事责任的。</w:t>
      </w:r>
    </w:p>
    <w:p>
      <w:pPr>
        <w:pStyle w:val="68"/>
        <w:spacing w:line="500" w:lineRule="exact"/>
        <w:ind w:left="29" w:leftChars="12" w:firstLine="640" w:firstLineChars="200"/>
        <w:jc w:val="both"/>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4、乙方擅自违法违章改、扩建或新建建筑物的</w:t>
      </w:r>
      <w:bookmarkStart w:id="245" w:name="_Hlk183439681"/>
      <w:r>
        <w:rPr>
          <w:rFonts w:hint="eastAsia" w:ascii="方正仿宋_GBK" w:hAnsi="方正仿宋_GBK" w:eastAsia="方正仿宋_GBK" w:cs="方正仿宋_GBK"/>
          <w:color w:val="auto"/>
          <w:kern w:val="2"/>
          <w:sz w:val="32"/>
          <w:szCs w:val="32"/>
        </w:rPr>
        <w:t>。</w:t>
      </w:r>
      <w:bookmarkEnd w:id="245"/>
    </w:p>
    <w:p>
      <w:pPr>
        <w:spacing w:line="500" w:lineRule="exact"/>
        <w:ind w:firstLine="640" w:firstLineChars="200"/>
      </w:pPr>
      <w:r>
        <w:rPr>
          <w:rFonts w:hint="eastAsia" w:ascii="方正仿宋_GBK" w:hAnsi="方正仿宋_GBK" w:eastAsia="方正仿宋_GBK" w:cs="方正仿宋_GBK"/>
          <w:sz w:val="32"/>
          <w:szCs w:val="32"/>
        </w:rPr>
        <w:t>5、乙方因自身原因造成经营不善并持续恶化的。</w:t>
      </w:r>
    </w:p>
    <w:p>
      <w:pPr>
        <w:spacing w:line="500" w:lineRule="exact"/>
      </w:pPr>
      <w:r>
        <w:rPr>
          <w:rFonts w:hint="eastAsia" w:ascii="方正仿宋_GBK" w:hAnsi="方正黑体_GBK" w:eastAsia="方正仿宋_GBK" w:cs="方正黑体_GBK"/>
          <w:b/>
          <w:bCs/>
          <w:sz w:val="30"/>
          <w:szCs w:val="30"/>
        </w:rPr>
        <w:t>十一、协议的变更解除和终止</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（一）甲乙双方经协商一致，可变更或解除本协议。协议解除或终止的时间，以双方另行签订书面协议时间为准。</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因政府拆迁征收、政策性占用、政府公益事业需要、高速公路建设、产业发展战略调整或生产经营管理需要等原因需提前终止合作协议的，可提前15个自然日书面通知乙方解除协议，并不给予乙方任何经济补偿。</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十二、争议解决</w:t>
      </w:r>
    </w:p>
    <w:p>
      <w:pPr>
        <w:spacing w:line="500" w:lineRule="exact"/>
        <w:rPr>
          <w:rFonts w:hint="eastAsia" w:ascii="方正仿宋_GBK" w:hAnsi="方正仿宋_GBK" w:eastAsia="方正仿宋_GBK" w:cs="方正仿宋_GBK"/>
          <w:sz w:val="32"/>
          <w:szCs w:val="32"/>
        </w:rPr>
      </w:pPr>
      <w:r>
        <w:rPr>
          <w:rFonts w:hint="eastAsia" w:ascii="方正仿宋_GBK" w:hAnsi="方正黑体_GBK" w:eastAsia="方正仿宋_GBK" w:cs="方正黑体_GBK"/>
          <w:sz w:val="30"/>
          <w:szCs w:val="30"/>
        </w:rPr>
        <w:t xml:space="preserve">    双方因履行本协议产生的争议，应当协商解决，协商不成的，可向甲方所在地人民法院提起诉讼。</w:t>
      </w:r>
      <w:r>
        <w:rPr>
          <w:rFonts w:hint="eastAsia" w:ascii="方正仿宋_GBK" w:hAnsi="方正仿宋_GBK" w:eastAsia="方正仿宋_GBK" w:cs="方正仿宋_GBK"/>
          <w:sz w:val="32"/>
          <w:szCs w:val="32"/>
        </w:rPr>
        <w:t>甲乙双方均认可本协议所载明的地址为双方在履行协议、解决争议过程中接收对方商业函件或司法机关诉讼文书的有效地址，若向该地址寄送的文件被退回的，自退回之日起即视为送达。</w:t>
      </w:r>
    </w:p>
    <w:p>
      <w:pPr>
        <w:spacing w:line="500" w:lineRule="exact"/>
        <w:jc w:val="left"/>
        <w:rPr>
          <w:rFonts w:hint="eastAsia" w:ascii="方正仿宋_GBK" w:hAnsi="方正黑体_GBK" w:eastAsia="方正仿宋_GBK" w:cs="方正黑体_GBK"/>
          <w:b/>
          <w:bCs/>
          <w:sz w:val="30"/>
          <w:szCs w:val="30"/>
        </w:rPr>
      </w:pPr>
      <w:r>
        <w:rPr>
          <w:rFonts w:hint="eastAsia" w:ascii="方正仿宋_GBK" w:hAnsi="方正黑体_GBK" w:eastAsia="方正仿宋_GBK" w:cs="方正黑体_GBK"/>
          <w:b/>
          <w:bCs/>
          <w:sz w:val="30"/>
          <w:szCs w:val="30"/>
        </w:rPr>
        <w:t>十三、其他</w:t>
      </w:r>
    </w:p>
    <w:p>
      <w:pPr>
        <w:spacing w:line="500" w:lineRule="exact"/>
        <w:ind w:firstLine="600" w:firstLineChars="200"/>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（一）本协议为遴选文件中的组成部分，最终以双方合同谈判达成一致形成的协议条款为准。</w:t>
      </w:r>
    </w:p>
    <w:p>
      <w:pPr>
        <w:spacing w:line="500" w:lineRule="exact"/>
        <w:ind w:firstLine="600" w:firstLineChars="200"/>
        <w:jc w:val="left"/>
        <w:rPr>
          <w:rFonts w:hint="eastAsia" w:ascii="方正仿宋_GBK" w:hAnsi="方正黑体_GBK" w:eastAsia="方正仿宋_GBK" w:cs="方正黑体_GBK"/>
          <w:color w:val="000000" w:themeColor="text1"/>
          <w:sz w:val="30"/>
          <w:szCs w:val="30"/>
          <w14:textFill>
            <w14:solidFill>
              <w14:schemeClr w14:val="tx1"/>
            </w14:solidFill>
          </w14:textFill>
        </w:rPr>
      </w:pPr>
      <w:r>
        <w:rPr>
          <w:rFonts w:hint="eastAsia" w:ascii="方正仿宋_GBK" w:hAnsi="方正黑体_GBK" w:eastAsia="方正仿宋_GBK" w:cs="方正黑体_GBK"/>
          <w:color w:val="000000" w:themeColor="text1"/>
          <w:sz w:val="30"/>
          <w:szCs w:val="30"/>
          <w14:textFill>
            <w14:solidFill>
              <w14:schemeClr w14:val="tx1"/>
            </w14:solidFill>
          </w14:textFill>
        </w:rPr>
        <w:t>（二）本协议一式陆份，甲、乙双方各执叁份，经甲、乙双方签字盖章并报甲方上级批准后生效，协议生效日作为双方合作首年的起始计算日。</w:t>
      </w:r>
    </w:p>
    <w:p>
      <w:pPr>
        <w:pStyle w:val="56"/>
        <w:spacing w:before="0" w:beforeAutospacing="0" w:after="0" w:afterAutospacing="0" w:line="520" w:lineRule="exact"/>
        <w:ind w:firstLine="600" w:firstLineChars="200"/>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（三）本协议未尽事宜由甲、乙双方协商一致后，另行签订补充协议，具同等法律效力。</w:t>
      </w:r>
    </w:p>
    <w:p>
      <w:pPr>
        <w:spacing w:line="500" w:lineRule="exact"/>
        <w:jc w:val="left"/>
        <w:rPr>
          <w:rFonts w:hint="eastAsia" w:ascii="方正仿宋_GBK" w:hAnsi="方正黑体_GBK" w:eastAsia="方正仿宋_GBK" w:cs="方正黑体_GBK"/>
          <w:sz w:val="30"/>
          <w:szCs w:val="30"/>
        </w:rPr>
      </w:pPr>
    </w:p>
    <w:p>
      <w:pPr>
        <w:spacing w:line="500" w:lineRule="exact"/>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 xml:space="preserve">甲方（公章）：重庆市交通行业职业培训中心有限责任公司 </w:t>
      </w:r>
    </w:p>
    <w:p>
      <w:pPr>
        <w:spacing w:line="580" w:lineRule="exact"/>
        <w:ind w:left="480" w:hanging="480"/>
        <w:jc w:val="left"/>
        <w:rPr>
          <w:rFonts w:ascii="方正仿宋_GBK" w:eastAsia="方正仿宋_GBK"/>
          <w:sz w:val="28"/>
          <w:szCs w:val="28"/>
        </w:rPr>
      </w:pPr>
      <w:bookmarkStart w:id="246" w:name="_Hlk180143033"/>
      <w:r>
        <w:rPr>
          <w:rFonts w:hint="eastAsia" w:ascii="方正仿宋_GBK" w:eastAsia="方正仿宋_GBK"/>
          <w:sz w:val="28"/>
          <w:szCs w:val="28"/>
        </w:rPr>
        <w:t>法定代表人：</w:t>
      </w:r>
      <w:bookmarkEnd w:id="246"/>
      <w:r>
        <w:rPr>
          <w:rFonts w:ascii="方正仿宋_GBK" w:eastAsia="方正仿宋_GBK"/>
          <w:sz w:val="28"/>
          <w:szCs w:val="28"/>
        </w:rPr>
        <w:t xml:space="preserve">                                                                                   </w:t>
      </w:r>
    </w:p>
    <w:p>
      <w:pPr>
        <w:spacing w:line="520" w:lineRule="exact"/>
        <w:jc w:val="left"/>
        <w:rPr>
          <w:rFonts w:hint="eastAsia" w:ascii="方正仿宋_GBK" w:hAnsi="方正黑体_GBK" w:eastAsia="方正仿宋_GBK" w:cs="方正黑体_GBK"/>
          <w:sz w:val="28"/>
          <w:szCs w:val="28"/>
        </w:rPr>
      </w:pPr>
      <w:r>
        <w:rPr>
          <w:rFonts w:hint="eastAsia" w:ascii="方正仿宋_GBK" w:hAnsi="方正黑体_GBK" w:eastAsia="方正仿宋_GBK" w:cs="方正黑体_GBK"/>
          <w:sz w:val="28"/>
          <w:szCs w:val="28"/>
        </w:rPr>
        <w:t xml:space="preserve">分管负责人：                    </w:t>
      </w:r>
    </w:p>
    <w:p>
      <w:pPr>
        <w:spacing w:line="520" w:lineRule="exact"/>
        <w:jc w:val="left"/>
        <w:rPr>
          <w:rFonts w:hint="eastAsia" w:ascii="方正仿宋_GBK" w:hAnsi="方正黑体_GBK" w:eastAsia="方正仿宋_GBK" w:cs="方正黑体_GBK"/>
          <w:sz w:val="28"/>
          <w:szCs w:val="28"/>
        </w:rPr>
      </w:pPr>
      <w:r>
        <w:rPr>
          <w:rFonts w:hint="eastAsia" w:ascii="方正仿宋_GBK" w:hAnsi="方正黑体_GBK" w:eastAsia="方正仿宋_GBK" w:cs="方正黑体_GBK"/>
          <w:sz w:val="28"/>
          <w:szCs w:val="28"/>
        </w:rPr>
        <w:t>部门负责人：</w:t>
      </w:r>
      <w:r>
        <w:rPr>
          <w:rFonts w:ascii="方正仿宋_GBK" w:eastAsia="方正仿宋_GBK"/>
          <w:sz w:val="28"/>
          <w:szCs w:val="28"/>
        </w:rPr>
        <w:t xml:space="preserve">               </w:t>
      </w:r>
    </w:p>
    <w:p>
      <w:pPr>
        <w:spacing w:line="580" w:lineRule="exact"/>
        <w:rPr>
          <w:rFonts w:ascii="方正仿宋_GBK" w:eastAsia="方正仿宋_GBK"/>
          <w:sz w:val="28"/>
          <w:szCs w:val="28"/>
        </w:rPr>
      </w:pPr>
      <w:r>
        <w:rPr>
          <w:rFonts w:hint="eastAsia" w:ascii="方正仿宋_GBK" w:eastAsia="方正仿宋_GBK"/>
          <w:sz w:val="28"/>
          <w:szCs w:val="28"/>
        </w:rPr>
        <w:t>经办人：</w:t>
      </w:r>
      <w:r>
        <w:rPr>
          <w:rFonts w:ascii="方正仿宋_GBK" w:eastAsia="方正仿宋_GBK"/>
          <w:sz w:val="28"/>
          <w:szCs w:val="28"/>
        </w:rPr>
        <w:t xml:space="preserve">                        </w:t>
      </w:r>
    </w:p>
    <w:p>
      <w:pPr>
        <w:spacing w:line="580" w:lineRule="exact"/>
        <w:rPr>
          <w:rFonts w:ascii="方正仿宋_GBK" w:eastAsia="方正仿宋_GBK"/>
          <w:sz w:val="28"/>
          <w:szCs w:val="28"/>
        </w:rPr>
      </w:pPr>
      <w:r>
        <w:rPr>
          <w:rFonts w:hint="eastAsia" w:ascii="方正仿宋_GBK" w:eastAsia="方正仿宋_GBK"/>
          <w:sz w:val="28"/>
          <w:szCs w:val="28"/>
        </w:rPr>
        <w:t>联系电话：</w:t>
      </w:r>
      <w:r>
        <w:rPr>
          <w:rFonts w:ascii="方正仿宋_GBK" w:eastAsia="方正仿宋_GBK"/>
          <w:sz w:val="28"/>
          <w:szCs w:val="28"/>
        </w:rPr>
        <w:tab/>
      </w:r>
      <w:r>
        <w:rPr>
          <w:rFonts w:hint="eastAsia" w:ascii="方正仿宋_GBK" w:eastAsia="方正仿宋_GBK"/>
          <w:sz w:val="28"/>
          <w:szCs w:val="28"/>
        </w:rPr>
        <w:t xml:space="preserve">                      </w:t>
      </w:r>
      <w:r>
        <w:rPr>
          <w:rFonts w:ascii="方正仿宋_GBK" w:eastAsia="方正仿宋_GBK"/>
          <w:sz w:val="28"/>
          <w:szCs w:val="28"/>
        </w:rPr>
        <w:t xml:space="preserve">             </w:t>
      </w:r>
    </w:p>
    <w:p>
      <w:pPr>
        <w:spacing w:line="580" w:lineRule="exact"/>
        <w:rPr>
          <w:rFonts w:hint="eastAsia" w:ascii="方正仿宋_GBK" w:hAnsi="方正黑体_GBK" w:eastAsia="方正仿宋_GBK" w:cs="方正黑体_GBK"/>
          <w:sz w:val="30"/>
          <w:szCs w:val="30"/>
        </w:rPr>
      </w:pPr>
    </w:p>
    <w:p>
      <w:pPr>
        <w:spacing w:line="580" w:lineRule="exac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乙方（公章）：</w:t>
      </w:r>
    </w:p>
    <w:p>
      <w:pPr>
        <w:pStyle w:val="68"/>
      </w:pPr>
      <w:r>
        <w:rPr>
          <w:rFonts w:hint="eastAsia" w:ascii="方正仿宋_GBK" w:eastAsia="方正仿宋_GBK"/>
          <w:sz w:val="28"/>
          <w:szCs w:val="28"/>
        </w:rPr>
        <w:t>法定代表人：</w:t>
      </w:r>
    </w:p>
    <w:p>
      <w:pPr>
        <w:spacing w:line="500" w:lineRule="exact"/>
        <w:jc w:val="left"/>
        <w:rPr>
          <w:rFonts w:hint="eastAsia" w:ascii="方正仿宋_GBK" w:hAnsi="方正黑体_GBK" w:eastAsia="方正仿宋_GBK" w:cs="方正黑体_GBK"/>
          <w:sz w:val="30"/>
          <w:szCs w:val="30"/>
        </w:rPr>
      </w:pPr>
      <w:r>
        <w:rPr>
          <w:rFonts w:hint="eastAsia" w:ascii="方正仿宋_GBK" w:hAnsi="方正黑体_GBK" w:eastAsia="方正仿宋_GBK" w:cs="方正黑体_GBK"/>
          <w:sz w:val="30"/>
          <w:szCs w:val="30"/>
        </w:rPr>
        <w:t>授权代表：</w:t>
      </w:r>
    </w:p>
    <w:p>
      <w:pPr>
        <w:pStyle w:val="68"/>
      </w:pPr>
      <w:r>
        <w:rPr>
          <w:rFonts w:hint="eastAsia" w:ascii="方正仿宋_GBK" w:eastAsia="方正仿宋_GBK"/>
          <w:sz w:val="28"/>
          <w:szCs w:val="28"/>
        </w:rPr>
        <w:t>联系电话：</w:t>
      </w:r>
    </w:p>
    <w:p>
      <w:pPr>
        <w:spacing w:after="0" w:line="500" w:lineRule="exact"/>
        <w:jc w:val="left"/>
        <w:rPr>
          <w:rFonts w:hint="eastAsia" w:ascii="方正仿宋_GBK" w:hAnsi="方正黑体_GBK" w:eastAsia="方正仿宋_GBK" w:cs="方正黑体_GBK"/>
          <w:sz w:val="28"/>
          <w:szCs w:val="28"/>
        </w:rPr>
        <w:pPrChange w:id="0" w:author="Administrator" w:date="2024-07-25T11:51:00Z">
          <w:pPr>
            <w:pStyle w:val="56"/>
            <w:spacing w:after="0" w:line="560" w:lineRule="exact"/>
          </w:pPr>
        </w:pPrChange>
      </w:pPr>
      <w:r>
        <w:rPr>
          <w:rFonts w:hint="eastAsia" w:ascii="方正仿宋_GBK" w:hAnsi="方正黑体_GBK" w:eastAsia="方正仿宋_GBK" w:cs="方正黑体_GBK"/>
          <w:sz w:val="30"/>
          <w:szCs w:val="30"/>
        </w:rPr>
        <w:t xml:space="preserve">签订日期：                         </w:t>
      </w:r>
    </w:p>
    <w:p/>
    <w:p>
      <w:pPr>
        <w:pStyle w:val="2"/>
        <w:pageBreakBefore/>
        <w:numPr>
          <w:ilvl w:val="0"/>
          <w:numId w:val="4"/>
        </w:numPr>
        <w:spacing w:line="360" w:lineRule="auto"/>
        <w:rPr>
          <w:sz w:val="36"/>
          <w:szCs w:val="16"/>
        </w:rPr>
      </w:pPr>
      <w:bookmarkStart w:id="247" w:name="_Toc161058986"/>
      <w:bookmarkStart w:id="248" w:name="_Hlk119657274"/>
      <w:bookmarkStart w:id="249" w:name="_Toc447723908"/>
      <w:bookmarkStart w:id="250" w:name="_Toc20279"/>
      <w:r>
        <w:rPr>
          <w:rFonts w:hint="eastAsia"/>
          <w:sz w:val="36"/>
          <w:szCs w:val="16"/>
        </w:rPr>
        <w:t>服务要求</w:t>
      </w:r>
      <w:bookmarkEnd w:id="247"/>
    </w:p>
    <w:p>
      <w:pPr>
        <w:ind w:firstLine="0"/>
        <w:jc w:val="center"/>
      </w:pPr>
      <w:r>
        <w:rPr>
          <w:rFonts w:hint="eastAsia"/>
        </w:rPr>
        <w:t>无</w:t>
      </w:r>
    </w:p>
    <w:bookmarkEnd w:id="248"/>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spacing w:before="47" w:line="219" w:lineRule="auto"/>
        <w:jc w:val="center"/>
        <w:rPr>
          <w:rFonts w:hint="eastAsia" w:ascii="宋体" w:hAnsi="宋体" w:cs="宋体"/>
          <w:b/>
          <w:bCs/>
          <w:spacing w:val="9"/>
          <w:sz w:val="28"/>
          <w:szCs w:val="28"/>
        </w:rPr>
      </w:pPr>
    </w:p>
    <w:p>
      <w:pPr>
        <w:pStyle w:val="2"/>
        <w:spacing w:line="360" w:lineRule="auto"/>
        <w:rPr>
          <w:sz w:val="36"/>
          <w:szCs w:val="16"/>
        </w:rPr>
      </w:pPr>
      <w:bookmarkStart w:id="251" w:name="_Toc161058987"/>
      <w:r>
        <w:rPr>
          <w:rFonts w:hint="eastAsia"/>
          <w:sz w:val="36"/>
          <w:szCs w:val="16"/>
        </w:rPr>
        <w:t>第六章 竞选文件格式</w:t>
      </w:r>
      <w:bookmarkEnd w:id="249"/>
      <w:bookmarkEnd w:id="250"/>
      <w:bookmarkEnd w:id="251"/>
    </w:p>
    <w:p>
      <w:pPr>
        <w:jc w:val="left"/>
        <w:rPr>
          <w:rFonts w:hint="eastAsia" w:ascii="宋体" w:hAnsi="宋体" w:cs="宋体"/>
          <w:b/>
          <w:sz w:val="28"/>
          <w:szCs w:val="28"/>
          <w:lang w:bidi="en-US"/>
        </w:rPr>
      </w:pPr>
      <w:bookmarkStart w:id="252" w:name="_Toc447723909"/>
      <w:bookmarkStart w:id="253" w:name="_Toc414534226"/>
      <w:bookmarkStart w:id="254" w:name="_Toc414611342"/>
      <w:r>
        <w:rPr>
          <w:rFonts w:hint="eastAsia" w:ascii="宋体" w:hAnsi="宋体" w:cs="宋体"/>
          <w:b/>
          <w:sz w:val="28"/>
          <w:szCs w:val="28"/>
          <w:lang w:bidi="en-US"/>
        </w:rPr>
        <w:br w:type="page"/>
      </w:r>
      <w:bookmarkEnd w:id="252"/>
      <w:bookmarkEnd w:id="253"/>
      <w:bookmarkEnd w:id="254"/>
    </w:p>
    <w:p>
      <w:pPr>
        <w:ind w:firstLine="1688" w:firstLineChars="700"/>
        <w:jc w:val="left"/>
        <w:rPr>
          <w:rFonts w:hint="eastAsia" w:ascii="宋体" w:hAnsi="宋体" w:cs="宋体"/>
          <w:b/>
          <w:sz w:val="36"/>
          <w:szCs w:val="36"/>
        </w:rPr>
      </w:pP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b/>
          <w:spacing w:val="-20"/>
          <w:sz w:val="28"/>
          <w:szCs w:val="28"/>
          <w:u w:val="single"/>
        </w:rPr>
        <w:tab/>
      </w:r>
      <w:r>
        <w:rPr>
          <w:rFonts w:hint="eastAsia" w:ascii="宋体" w:hAnsi="宋体" w:cs="宋体"/>
          <w:b/>
          <w:w w:val="99"/>
          <w:sz w:val="28"/>
          <w:szCs w:val="28"/>
        </w:rPr>
        <w:t>（项目名称</w:t>
      </w:r>
      <w:r>
        <w:rPr>
          <w:rFonts w:hint="eastAsia" w:ascii="宋体" w:hAnsi="宋体" w:cs="宋体"/>
          <w:b/>
          <w:spacing w:val="1"/>
          <w:w w:val="99"/>
          <w:sz w:val="28"/>
          <w:szCs w:val="28"/>
        </w:rPr>
        <w:t>）</w:t>
      </w:r>
    </w:p>
    <w:p>
      <w:pPr>
        <w:rPr>
          <w:rFonts w:hint="eastAsia" w:ascii="宋体" w:hAnsi="宋体" w:cs="宋体"/>
        </w:rPr>
      </w:pPr>
    </w:p>
    <w:p>
      <w:pPr>
        <w:rPr>
          <w:rFonts w:hint="eastAsia" w:ascii="宋体" w:hAnsi="宋体" w:cs="宋体"/>
        </w:rPr>
      </w:pPr>
    </w:p>
    <w:p>
      <w:pPr>
        <w:pStyle w:val="293"/>
        <w:outlineLvl w:val="9"/>
        <w:rPr>
          <w:rFonts w:hint="eastAsia" w:ascii="宋体" w:hAnsi="宋体" w:cs="宋体"/>
          <w:b w:val="0"/>
          <w:sz w:val="28"/>
          <w:szCs w:val="28"/>
          <w:vertAlign w:val="subscript"/>
          <w:lang w:bidi="en-US"/>
        </w:rPr>
      </w:pPr>
    </w:p>
    <w:p>
      <w:pPr>
        <w:rPr>
          <w:rFonts w:hint="eastAsia" w:ascii="宋体" w:hAnsi="宋体" w:cs="宋体"/>
          <w:b/>
          <w:szCs w:val="24"/>
        </w:rPr>
      </w:pPr>
    </w:p>
    <w:p>
      <w:pPr>
        <w:rPr>
          <w:rFonts w:hint="eastAsia" w:ascii="宋体" w:hAnsi="宋体" w:cs="宋体"/>
          <w:b/>
          <w:szCs w:val="24"/>
        </w:rPr>
      </w:pPr>
    </w:p>
    <w:p>
      <w:pPr>
        <w:jc w:val="center"/>
        <w:rPr>
          <w:rFonts w:hint="eastAsia" w:ascii="宋体" w:hAnsi="宋体" w:cs="宋体"/>
          <w:b/>
          <w:sz w:val="72"/>
          <w:szCs w:val="72"/>
        </w:rPr>
      </w:pPr>
      <w:r>
        <w:rPr>
          <w:rFonts w:hint="eastAsia" w:ascii="宋体" w:hAnsi="宋体" w:cs="宋体"/>
          <w:b/>
          <w:sz w:val="72"/>
          <w:szCs w:val="72"/>
        </w:rPr>
        <w:t>竞 选 文 件</w:t>
      </w:r>
    </w:p>
    <w:p>
      <w:pPr>
        <w:rPr>
          <w:rFonts w:hint="eastAsia" w:ascii="宋体" w:hAnsi="宋体" w:cs="宋体"/>
          <w:b/>
          <w:szCs w:val="24"/>
        </w:rPr>
      </w:pPr>
    </w:p>
    <w:p>
      <w:pPr>
        <w:rPr>
          <w:rFonts w:hint="eastAsia" w:ascii="宋体" w:hAnsi="宋体" w:cs="宋体"/>
          <w:b/>
          <w:szCs w:val="24"/>
        </w:rPr>
      </w:pPr>
    </w:p>
    <w:p>
      <w:pPr>
        <w:ind w:firstLine="0"/>
        <w:rPr>
          <w:rFonts w:hint="eastAsia" w:ascii="宋体" w:hAnsi="宋体" w:cs="宋体"/>
          <w:b/>
          <w:szCs w:val="24"/>
        </w:rPr>
      </w:pPr>
    </w:p>
    <w:p>
      <w:pPr>
        <w:ind w:firstLine="0"/>
        <w:rPr>
          <w:rFonts w:hint="eastAsia" w:ascii="宋体" w:hAnsi="宋体" w:cs="宋体"/>
          <w:b/>
          <w:szCs w:val="24"/>
        </w:rPr>
      </w:pPr>
    </w:p>
    <w:p>
      <w:pPr>
        <w:pStyle w:val="303"/>
        <w:ind w:firstLine="562"/>
        <w:rPr>
          <w:rFonts w:hint="eastAsia" w:ascii="宋体" w:hAnsi="宋体" w:cs="宋体"/>
          <w:b/>
        </w:rPr>
      </w:pPr>
    </w:p>
    <w:p>
      <w:pPr>
        <w:rPr>
          <w:rFonts w:hint="eastAsia" w:ascii="宋体" w:hAnsi="宋体" w:cs="宋体"/>
          <w:b/>
          <w:szCs w:val="24"/>
        </w:rPr>
      </w:pPr>
    </w:p>
    <w:p>
      <w:pPr>
        <w:pStyle w:val="303"/>
        <w:ind w:firstLine="562"/>
        <w:rPr>
          <w:rFonts w:hint="eastAsia" w:ascii="宋体" w:hAnsi="宋体" w:cs="宋体"/>
          <w:b/>
        </w:rPr>
      </w:pPr>
    </w:p>
    <w:p>
      <w:pPr>
        <w:rPr>
          <w:rFonts w:hint="eastAsia" w:ascii="宋体" w:hAnsi="宋体" w:cs="宋体"/>
          <w:b/>
          <w:szCs w:val="24"/>
        </w:rPr>
      </w:pPr>
    </w:p>
    <w:p>
      <w:pPr>
        <w:pStyle w:val="303"/>
        <w:ind w:firstLine="560"/>
        <w:rPr>
          <w:rFonts w:hint="eastAsia" w:ascii="宋体" w:hAnsi="宋体" w:cs="宋体"/>
        </w:rPr>
      </w:pPr>
    </w:p>
    <w:p>
      <w:pPr>
        <w:rPr>
          <w:rFonts w:hint="eastAsia" w:ascii="宋体" w:hAnsi="宋体" w:cs="宋体"/>
          <w:b/>
          <w:szCs w:val="24"/>
        </w:rPr>
      </w:pPr>
    </w:p>
    <w:p>
      <w:pPr>
        <w:ind w:firstLine="1205" w:firstLineChars="400"/>
        <w:rPr>
          <w:rFonts w:hint="eastAsia" w:ascii="宋体" w:hAnsi="宋体" w:cs="宋体"/>
          <w:b/>
          <w:sz w:val="30"/>
          <w:szCs w:val="30"/>
        </w:rPr>
      </w:pPr>
      <w:bookmarkStart w:id="255" w:name="_Toc447723910"/>
      <w:r>
        <w:rPr>
          <w:rFonts w:hint="eastAsia" w:ascii="宋体" w:hAnsi="宋体" w:cs="宋体"/>
          <w:b/>
          <w:sz w:val="30"/>
          <w:szCs w:val="30"/>
        </w:rPr>
        <w:t>竞选人：</w:t>
      </w:r>
      <w:r>
        <w:rPr>
          <w:rFonts w:hint="eastAsia" w:ascii="宋体" w:hAnsi="宋体"/>
          <w:b/>
          <w:spacing w:val="-20"/>
          <w:sz w:val="28"/>
          <w:szCs w:val="28"/>
          <w:u w:val="single"/>
        </w:rPr>
        <w:tab/>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b/>
          <w:sz w:val="30"/>
          <w:szCs w:val="30"/>
        </w:rPr>
        <w:t>（盖单位章）</w:t>
      </w:r>
    </w:p>
    <w:p>
      <w:pPr>
        <w:ind w:firstLine="1205" w:firstLineChars="400"/>
        <w:rPr>
          <w:rFonts w:hint="eastAsia" w:ascii="宋体" w:hAnsi="宋体" w:cs="宋体"/>
          <w:b/>
          <w:sz w:val="30"/>
          <w:szCs w:val="30"/>
        </w:rPr>
      </w:pPr>
      <w:r>
        <w:rPr>
          <w:rFonts w:hint="eastAsia" w:ascii="宋体" w:hAnsi="宋体" w:cs="宋体"/>
          <w:b/>
          <w:sz w:val="30"/>
          <w:szCs w:val="30"/>
        </w:rPr>
        <w:t>法定代表人或其委托代理人：</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b/>
          <w:sz w:val="30"/>
          <w:szCs w:val="30"/>
        </w:rPr>
        <w:t>（签名或盖章）</w:t>
      </w:r>
    </w:p>
    <w:p>
      <w:pPr>
        <w:ind w:firstLine="0"/>
        <w:jc w:val="center"/>
        <w:outlineLvl w:val="1"/>
        <w:rPr>
          <w:rFonts w:hint="eastAsia" w:ascii="宋体" w:hAnsi="宋体" w:cs="宋体"/>
          <w:b/>
          <w:sz w:val="30"/>
          <w:szCs w:val="30"/>
          <w:lang w:bidi="en-US"/>
        </w:rPr>
      </w:pPr>
      <w:bookmarkStart w:id="256" w:name="_Toc444"/>
      <w:bookmarkStart w:id="257" w:name="_Toc14425"/>
      <w:r>
        <w:rPr>
          <w:rFonts w:hint="eastAsia" w:ascii="宋体" w:hAnsi="宋体" w:cs="宋体"/>
          <w:b/>
          <w:sz w:val="30"/>
          <w:szCs w:val="30"/>
          <w:u w:val="single"/>
        </w:rPr>
        <w:t xml:space="preserve">    </w:t>
      </w:r>
      <w:bookmarkStart w:id="258" w:name="_Toc11991"/>
      <w:bookmarkStart w:id="259" w:name="_Toc161058988"/>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bookmarkEnd w:id="256"/>
      <w:bookmarkEnd w:id="257"/>
      <w:bookmarkEnd w:id="258"/>
      <w:bookmarkEnd w:id="259"/>
    </w:p>
    <w:p>
      <w:pPr>
        <w:ind w:firstLine="0"/>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目  录</w:t>
      </w:r>
    </w:p>
    <w:p>
      <w:pPr>
        <w:snapToGrid w:val="0"/>
        <w:ind w:firstLine="3990" w:firstLineChars="1900"/>
        <w:textAlignment w:val="top"/>
        <w:rPr>
          <w:rFonts w:hint="eastAsia" w:ascii="宋体" w:hAnsi="宋体" w:cs="宋体"/>
          <w:snapToGrid w:val="0"/>
          <w:sz w:val="21"/>
          <w:szCs w:val="21"/>
        </w:rPr>
      </w:pPr>
    </w:p>
    <w:p>
      <w:pPr>
        <w:snapToGrid w:val="0"/>
        <w:ind w:firstLine="3990" w:firstLineChars="1900"/>
        <w:textAlignment w:val="top"/>
        <w:rPr>
          <w:rFonts w:hint="eastAsia" w:ascii="宋体" w:hAnsi="宋体" w:cs="宋体"/>
          <w:snapToGrid w:val="0"/>
          <w:sz w:val="21"/>
          <w:szCs w:val="21"/>
        </w:rPr>
      </w:pPr>
      <w:r>
        <w:rPr>
          <w:rFonts w:hint="eastAsia" w:ascii="宋体" w:hAnsi="宋体" w:cs="宋体"/>
          <w:snapToGrid w:val="0"/>
          <w:sz w:val="21"/>
          <w:szCs w:val="21"/>
        </w:rPr>
        <w:t>竞选人自拟</w:t>
      </w:r>
    </w:p>
    <w:p>
      <w:pPr>
        <w:ind w:firstLine="0"/>
        <w:jc w:val="center"/>
        <w:outlineLvl w:val="1"/>
        <w:rPr>
          <w:rFonts w:hint="eastAsia" w:ascii="宋体" w:hAnsi="宋体" w:cs="宋体"/>
          <w:b/>
          <w:szCs w:val="24"/>
        </w:rPr>
      </w:pPr>
      <w:r>
        <w:rPr>
          <w:rFonts w:hint="eastAsia" w:ascii="宋体" w:hAnsi="宋体" w:cs="宋体"/>
          <w:b/>
          <w:szCs w:val="24"/>
          <w:lang w:bidi="en-US"/>
        </w:rPr>
        <w:br w:type="page"/>
      </w:r>
      <w:bookmarkStart w:id="260" w:name="_Toc23638"/>
      <w:bookmarkStart w:id="261" w:name="_Toc3235"/>
      <w:bookmarkStart w:id="262" w:name="_Toc2919"/>
      <w:bookmarkStart w:id="263" w:name="_Toc161058989"/>
      <w:r>
        <w:rPr>
          <w:rFonts w:hint="eastAsia" w:ascii="宋体" w:hAnsi="宋体" w:cs="宋体"/>
          <w:b/>
          <w:szCs w:val="24"/>
          <w:lang w:bidi="en-US"/>
        </w:rPr>
        <w:t>一、竞选函</w:t>
      </w:r>
      <w:bookmarkStart w:id="264" w:name="_Toc141675440"/>
      <w:r>
        <w:rPr>
          <w:rFonts w:hint="eastAsia" w:ascii="宋体" w:hAnsi="宋体" w:cs="宋体"/>
          <w:b/>
          <w:szCs w:val="24"/>
          <w:lang w:bidi="en-US"/>
        </w:rPr>
        <w:t>部份</w:t>
      </w:r>
      <w:bookmarkEnd w:id="255"/>
      <w:bookmarkEnd w:id="260"/>
      <w:bookmarkEnd w:id="261"/>
      <w:bookmarkEnd w:id="262"/>
      <w:bookmarkEnd w:id="263"/>
      <w:bookmarkEnd w:id="264"/>
    </w:p>
    <w:p>
      <w:pPr>
        <w:keepNext/>
        <w:keepLines/>
        <w:ind w:firstLine="0"/>
        <w:jc w:val="center"/>
        <w:rPr>
          <w:rFonts w:hint="eastAsia" w:ascii="宋体" w:hAnsi="宋体" w:cs="宋体"/>
          <w:b/>
          <w:sz w:val="21"/>
          <w:szCs w:val="21"/>
        </w:rPr>
      </w:pPr>
      <w:r>
        <w:rPr>
          <w:rFonts w:hint="eastAsia" w:ascii="宋体" w:hAnsi="宋体" w:cs="宋体"/>
          <w:b/>
          <w:kern w:val="44"/>
          <w:sz w:val="21"/>
          <w:szCs w:val="21"/>
        </w:rPr>
        <w:br w:type="page"/>
      </w:r>
      <w:r>
        <w:rPr>
          <w:rFonts w:hint="eastAsia" w:ascii="宋体" w:hAnsi="宋体" w:cs="宋体"/>
          <w:b/>
          <w:kern w:val="44"/>
          <w:sz w:val="21"/>
          <w:szCs w:val="21"/>
        </w:rPr>
        <w:t>（一）竞选函</w:t>
      </w:r>
    </w:p>
    <w:p>
      <w:pPr>
        <w:tabs>
          <w:tab w:val="left" w:pos="6120"/>
        </w:tabs>
        <w:ind w:firstLine="0"/>
        <w:rPr>
          <w:rFonts w:hint="eastAsia" w:ascii="宋体" w:hAnsi="宋体" w:cs="宋体"/>
          <w:b/>
          <w:sz w:val="21"/>
          <w:szCs w:val="21"/>
          <w:u w:val="single"/>
        </w:rPr>
      </w:pPr>
      <w:r>
        <w:rPr>
          <w:rFonts w:hint="eastAsia" w:ascii="宋体" w:hAnsi="宋体" w:cs="宋体"/>
          <w:b/>
          <w:sz w:val="21"/>
          <w:szCs w:val="21"/>
          <w:u w:val="single"/>
        </w:rPr>
        <w:t xml:space="preserve">    （遴选人名称）    </w:t>
      </w:r>
      <w:r>
        <w:rPr>
          <w:rFonts w:hint="eastAsia" w:ascii="宋体" w:hAnsi="宋体" w:cs="宋体"/>
          <w:b/>
          <w:sz w:val="21"/>
          <w:szCs w:val="21"/>
        </w:rPr>
        <w:t>：</w:t>
      </w:r>
    </w:p>
    <w:p>
      <w:pPr>
        <w:ind w:firstLine="420" w:firstLineChars="200"/>
        <w:rPr>
          <w:rFonts w:hint="eastAsia" w:ascii="宋体" w:hAnsi="宋体" w:cs="宋体"/>
          <w:bCs/>
          <w:sz w:val="21"/>
          <w:szCs w:val="21"/>
          <w:u w:val="single"/>
        </w:rPr>
      </w:pPr>
      <w:r>
        <w:rPr>
          <w:rFonts w:hint="eastAsia" w:ascii="宋体" w:hAnsi="宋体" w:cs="宋体"/>
          <w:bCs/>
          <w:sz w:val="21"/>
          <w:szCs w:val="21"/>
        </w:rPr>
        <w:t>1.</w:t>
      </w:r>
      <w:r>
        <w:rPr>
          <w:rFonts w:hint="eastAsia" w:ascii="宋体" w:hAnsi="宋体" w:cs="宋体"/>
          <w:snapToGrid w:val="0"/>
          <w:sz w:val="21"/>
          <w:szCs w:val="21"/>
        </w:rPr>
        <w:t>我方已仔细研究了</w:t>
      </w:r>
      <w:r>
        <w:rPr>
          <w:rFonts w:hint="eastAsia" w:ascii="宋体" w:hAnsi="宋体" w:cs="宋体"/>
          <w:snapToGrid w:val="0"/>
          <w:sz w:val="21"/>
          <w:szCs w:val="21"/>
          <w:u w:val="single"/>
        </w:rPr>
        <w:t>（项目名称）</w:t>
      </w:r>
      <w:r>
        <w:rPr>
          <w:rFonts w:hint="eastAsia" w:ascii="宋体" w:hAnsi="宋体" w:cs="宋体"/>
          <w:snapToGrid w:val="0"/>
          <w:sz w:val="21"/>
          <w:szCs w:val="21"/>
        </w:rPr>
        <w:t>竞争性遴选文件的全部内容</w:t>
      </w:r>
      <w:r>
        <w:rPr>
          <w:rFonts w:hint="eastAsia" w:ascii="宋体" w:hAnsi="宋体" w:cs="宋体"/>
          <w:sz w:val="21"/>
          <w:szCs w:val="21"/>
        </w:rPr>
        <w:t>。我</w:t>
      </w:r>
      <w:r>
        <w:rPr>
          <w:rFonts w:hint="eastAsia" w:ascii="宋体" w:hAnsi="宋体" w:cs="宋体"/>
          <w:bCs/>
          <w:sz w:val="21"/>
          <w:szCs w:val="21"/>
        </w:rPr>
        <w:t>方愿意按照遴选文件中的一切要求提供服务，</w:t>
      </w:r>
      <w:r>
        <w:rPr>
          <w:rFonts w:hint="eastAsia" w:ascii="宋体" w:hAnsi="宋体"/>
          <w:sz w:val="21"/>
          <w:szCs w:val="21"/>
        </w:rPr>
        <w:t>达到遴选文件的要求</w:t>
      </w:r>
      <w:r>
        <w:rPr>
          <w:rFonts w:hint="eastAsia" w:ascii="宋体" w:hAnsi="宋体" w:cs="MingLiU"/>
          <w:snapToGrid w:val="0"/>
          <w:sz w:val="21"/>
          <w:szCs w:val="21"/>
        </w:rPr>
        <w:t xml:space="preserve"> 。</w:t>
      </w:r>
      <w:r>
        <w:rPr>
          <w:rFonts w:hint="eastAsia" w:ascii="宋体" w:hAnsi="宋体" w:cs="宋体"/>
          <w:bCs/>
          <w:sz w:val="21"/>
          <w:szCs w:val="21"/>
          <w:u w:val="single"/>
        </w:rPr>
        <w:t xml:space="preserve">              </w:t>
      </w:r>
      <w:r>
        <w:rPr>
          <w:rFonts w:hint="eastAsia" w:ascii="宋体" w:hAnsi="宋体" w:cs="宋体"/>
          <w:sz w:val="21"/>
          <w:szCs w:val="21"/>
          <w:u w:val="single"/>
        </w:rPr>
        <w:t xml:space="preserve"> </w:t>
      </w:r>
    </w:p>
    <w:p>
      <w:pPr>
        <w:ind w:firstLine="420" w:firstLineChars="200"/>
        <w:rPr>
          <w:rFonts w:hint="eastAsia" w:ascii="宋体" w:hAnsi="宋体" w:cs="宋体"/>
          <w:bCs/>
          <w:sz w:val="21"/>
          <w:szCs w:val="21"/>
        </w:rPr>
      </w:pPr>
      <w:r>
        <w:rPr>
          <w:rFonts w:hint="eastAsia" w:ascii="宋体" w:hAnsi="宋体" w:cs="宋体"/>
          <w:bCs/>
          <w:sz w:val="21"/>
          <w:szCs w:val="21"/>
        </w:rPr>
        <w:t>2．我方承诺在</w:t>
      </w:r>
      <w:r>
        <w:rPr>
          <w:rFonts w:hint="eastAsia" w:ascii="宋体" w:hAnsi="宋体" w:cs="宋体"/>
          <w:sz w:val="21"/>
          <w:szCs w:val="21"/>
        </w:rPr>
        <w:t>竞选</w:t>
      </w:r>
      <w:r>
        <w:rPr>
          <w:rFonts w:hint="eastAsia" w:ascii="宋体" w:hAnsi="宋体" w:cs="宋体"/>
          <w:bCs/>
          <w:sz w:val="21"/>
          <w:szCs w:val="21"/>
        </w:rPr>
        <w:t>有效期内不修改、撤销</w:t>
      </w:r>
      <w:r>
        <w:rPr>
          <w:rFonts w:hint="eastAsia" w:ascii="宋体" w:hAnsi="宋体" w:cs="宋体"/>
          <w:sz w:val="21"/>
          <w:szCs w:val="21"/>
        </w:rPr>
        <w:t>竞选</w:t>
      </w:r>
      <w:r>
        <w:rPr>
          <w:rFonts w:hint="eastAsia" w:ascii="宋体" w:hAnsi="宋体" w:cs="宋体"/>
          <w:bCs/>
          <w:sz w:val="21"/>
          <w:szCs w:val="21"/>
        </w:rPr>
        <w:t>文件。</w:t>
      </w:r>
    </w:p>
    <w:p>
      <w:pPr>
        <w:ind w:firstLine="420" w:firstLineChars="200"/>
        <w:rPr>
          <w:rFonts w:hint="eastAsia" w:ascii="宋体" w:hAnsi="宋体" w:cs="宋体"/>
          <w:bCs/>
          <w:sz w:val="21"/>
          <w:szCs w:val="21"/>
        </w:rPr>
      </w:pPr>
      <w:r>
        <w:rPr>
          <w:rFonts w:hint="eastAsia" w:ascii="宋体" w:hAnsi="宋体" w:cs="宋体"/>
          <w:bCs/>
          <w:sz w:val="21"/>
          <w:szCs w:val="21"/>
        </w:rPr>
        <w:t>3．随同本</w:t>
      </w:r>
      <w:r>
        <w:rPr>
          <w:rFonts w:hint="eastAsia" w:ascii="宋体" w:hAnsi="宋体" w:cs="宋体"/>
          <w:sz w:val="21"/>
          <w:szCs w:val="21"/>
        </w:rPr>
        <w:t>竞选</w:t>
      </w:r>
      <w:r>
        <w:rPr>
          <w:rFonts w:hint="eastAsia" w:ascii="宋体" w:hAnsi="宋体" w:cs="宋体"/>
          <w:bCs/>
          <w:sz w:val="21"/>
          <w:szCs w:val="21"/>
        </w:rPr>
        <w:t>函提交</w:t>
      </w:r>
      <w:r>
        <w:rPr>
          <w:rFonts w:hint="eastAsia" w:ascii="宋体" w:hAnsi="宋体" w:cs="宋体"/>
          <w:sz w:val="21"/>
          <w:szCs w:val="21"/>
        </w:rPr>
        <w:t>竞选</w:t>
      </w:r>
      <w:r>
        <w:rPr>
          <w:rFonts w:hint="eastAsia" w:ascii="宋体" w:hAnsi="宋体" w:cs="宋体"/>
          <w:bCs/>
          <w:sz w:val="21"/>
          <w:szCs w:val="21"/>
        </w:rPr>
        <w:t>保证金一份，金额为人民币</w:t>
      </w:r>
      <w:r>
        <w:rPr>
          <w:rFonts w:hint="eastAsia" w:ascii="宋体" w:hAnsi="宋体" w:cs="宋体"/>
          <w:bCs/>
          <w:sz w:val="21"/>
          <w:szCs w:val="21"/>
          <w:u w:val="single"/>
        </w:rPr>
        <w:t xml:space="preserve">       </w:t>
      </w:r>
      <w:r>
        <w:rPr>
          <w:rFonts w:hint="eastAsia" w:ascii="宋体" w:hAnsi="宋体" w:cs="宋体"/>
          <w:bCs/>
          <w:sz w:val="21"/>
          <w:szCs w:val="21"/>
        </w:rPr>
        <w:t>元。</w:t>
      </w:r>
    </w:p>
    <w:p>
      <w:pPr>
        <w:ind w:firstLine="420" w:firstLineChars="200"/>
        <w:rPr>
          <w:rFonts w:hint="eastAsia" w:ascii="宋体" w:hAnsi="宋体" w:cs="宋体"/>
          <w:bCs/>
          <w:sz w:val="21"/>
          <w:szCs w:val="21"/>
        </w:rPr>
      </w:pPr>
      <w:r>
        <w:rPr>
          <w:rFonts w:hint="eastAsia" w:ascii="宋体" w:hAnsi="宋体" w:cs="宋体"/>
          <w:bCs/>
          <w:sz w:val="21"/>
          <w:szCs w:val="21"/>
        </w:rPr>
        <w:t>4．如我方成交：</w:t>
      </w:r>
    </w:p>
    <w:p>
      <w:pPr>
        <w:ind w:firstLine="420" w:firstLineChars="200"/>
        <w:rPr>
          <w:rFonts w:hint="eastAsia" w:ascii="宋体" w:hAnsi="宋体" w:cs="宋体"/>
          <w:bCs/>
          <w:sz w:val="21"/>
          <w:szCs w:val="21"/>
        </w:rPr>
      </w:pPr>
      <w:r>
        <w:rPr>
          <w:rFonts w:hint="eastAsia" w:ascii="宋体" w:hAnsi="宋体" w:cs="宋体"/>
          <w:bCs/>
          <w:sz w:val="21"/>
          <w:szCs w:val="21"/>
        </w:rPr>
        <w:t>(l）我方承诺在收到成交通知书后，在成交通知书规定的期限内与你方签订合同。</w:t>
      </w:r>
    </w:p>
    <w:p>
      <w:pPr>
        <w:ind w:firstLine="420" w:firstLineChars="200"/>
        <w:rPr>
          <w:rFonts w:hint="eastAsia" w:ascii="宋体" w:hAnsi="宋体" w:cs="宋体"/>
          <w:bCs/>
          <w:sz w:val="21"/>
          <w:szCs w:val="21"/>
        </w:rPr>
      </w:pPr>
      <w:r>
        <w:rPr>
          <w:rFonts w:hint="eastAsia" w:ascii="宋体" w:hAnsi="宋体" w:cs="宋体"/>
          <w:bCs/>
          <w:sz w:val="21"/>
          <w:szCs w:val="21"/>
        </w:rPr>
        <w:t>(2）我方承诺在合同约定的期限内完成并移交全部合同项目。</w:t>
      </w:r>
    </w:p>
    <w:p>
      <w:pPr>
        <w:ind w:firstLine="420" w:firstLineChars="200"/>
        <w:rPr>
          <w:rFonts w:hint="eastAsia" w:ascii="宋体" w:hAnsi="宋体" w:cs="宋体"/>
          <w:bCs/>
          <w:sz w:val="21"/>
          <w:szCs w:val="21"/>
        </w:rPr>
      </w:pPr>
      <w:r>
        <w:rPr>
          <w:rFonts w:hint="eastAsia" w:ascii="宋体" w:hAnsi="宋体" w:cs="宋体"/>
          <w:bCs/>
          <w:sz w:val="21"/>
          <w:szCs w:val="21"/>
        </w:rPr>
        <w:t>5．我方在此声明，所递交的</w:t>
      </w:r>
      <w:r>
        <w:rPr>
          <w:rFonts w:hint="eastAsia" w:ascii="宋体" w:hAnsi="宋体" w:cs="宋体"/>
          <w:sz w:val="21"/>
          <w:szCs w:val="21"/>
        </w:rPr>
        <w:t>竞选</w:t>
      </w:r>
      <w:r>
        <w:rPr>
          <w:rFonts w:hint="eastAsia" w:ascii="宋体" w:hAnsi="宋体" w:cs="宋体"/>
          <w:bCs/>
          <w:sz w:val="21"/>
          <w:szCs w:val="21"/>
        </w:rPr>
        <w:t>文件及有关资料内容完整、真实和准确。</w:t>
      </w:r>
    </w:p>
    <w:p>
      <w:pPr>
        <w:ind w:firstLine="420" w:firstLineChars="200"/>
        <w:rPr>
          <w:rFonts w:hint="eastAsia" w:ascii="宋体" w:hAnsi="宋体" w:cs="宋体"/>
          <w:bCs/>
          <w:sz w:val="21"/>
          <w:szCs w:val="21"/>
        </w:rPr>
      </w:pPr>
      <w:r>
        <w:rPr>
          <w:rFonts w:hint="eastAsia" w:ascii="宋体" w:hAnsi="宋体" w:cs="宋体"/>
          <w:bCs/>
          <w:sz w:val="21"/>
          <w:szCs w:val="21"/>
        </w:rPr>
        <w:t>6. 在合同协议书正式签署生效之前，本</w:t>
      </w:r>
      <w:r>
        <w:rPr>
          <w:rFonts w:hint="eastAsia" w:ascii="宋体" w:hAnsi="宋体" w:cs="宋体"/>
          <w:sz w:val="21"/>
          <w:szCs w:val="21"/>
        </w:rPr>
        <w:t>竞选</w:t>
      </w:r>
      <w:r>
        <w:rPr>
          <w:rFonts w:hint="eastAsia" w:ascii="宋体" w:hAnsi="宋体" w:cs="宋体"/>
          <w:bCs/>
          <w:sz w:val="21"/>
          <w:szCs w:val="21"/>
        </w:rPr>
        <w:t>函连同你方的成交通知书将构成我们双方之间共同遵守的文件，对双方具有约束力。</w:t>
      </w:r>
    </w:p>
    <w:p>
      <w:pPr>
        <w:ind w:firstLine="420" w:firstLineChars="200"/>
        <w:rPr>
          <w:rFonts w:hint="eastAsia" w:ascii="宋体" w:hAnsi="宋体" w:cs="宋体"/>
          <w:bCs/>
          <w:sz w:val="21"/>
          <w:szCs w:val="21"/>
        </w:rPr>
      </w:pPr>
      <w:r>
        <w:rPr>
          <w:rFonts w:hint="eastAsia" w:ascii="宋体" w:hAnsi="宋体" w:cs="宋体"/>
          <w:bCs/>
          <w:sz w:val="21"/>
          <w:szCs w:val="21"/>
        </w:rPr>
        <w:t>7.</w:t>
      </w:r>
      <w:r>
        <w:rPr>
          <w:rFonts w:hint="eastAsia" w:ascii="宋体" w:hAnsi="宋体"/>
          <w:bCs/>
          <w:sz w:val="21"/>
          <w:szCs w:val="21"/>
        </w:rPr>
        <w:t>我方在此声明，所递交的竞选文件及有关资料内容完整、真实和准确，</w:t>
      </w:r>
      <w:r>
        <w:rPr>
          <w:rFonts w:hint="eastAsia" w:ascii="宋体" w:hAnsi="宋体" w:cs="宋体"/>
          <w:bCs/>
          <w:sz w:val="21"/>
          <w:szCs w:val="21"/>
        </w:rPr>
        <w:t>同时我方承诺接受遴选文件及附件、答疑及补遗通知中所有的内容。</w:t>
      </w:r>
    </w:p>
    <w:p>
      <w:pPr>
        <w:ind w:firstLine="420" w:firstLineChars="200"/>
        <w:rPr>
          <w:rFonts w:hint="eastAsia" w:ascii="宋体" w:hAnsi="宋体" w:cs="宋体"/>
          <w:bCs/>
          <w:sz w:val="21"/>
          <w:szCs w:val="21"/>
        </w:rPr>
      </w:pPr>
      <w:r>
        <w:rPr>
          <w:rFonts w:hint="eastAsia" w:ascii="宋体" w:hAnsi="宋体" w:cs="宋体"/>
          <w:bCs/>
          <w:sz w:val="21"/>
          <w:szCs w:val="21"/>
        </w:rPr>
        <w:t xml:space="preserve">              </w:t>
      </w:r>
    </w:p>
    <w:p>
      <w:pPr>
        <w:ind w:firstLine="420" w:firstLineChars="200"/>
        <w:rPr>
          <w:rFonts w:hint="eastAsia" w:ascii="宋体" w:hAnsi="宋体" w:cs="宋体"/>
          <w:sz w:val="21"/>
          <w:szCs w:val="21"/>
        </w:rPr>
      </w:pPr>
      <w:r>
        <w:rPr>
          <w:rFonts w:hint="eastAsia" w:ascii="宋体" w:hAnsi="宋体" w:cs="宋体"/>
          <w:bCs/>
          <w:sz w:val="21"/>
          <w:szCs w:val="21"/>
        </w:rPr>
        <w:t>8.（其他补充说明）。</w:t>
      </w:r>
    </w:p>
    <w:p>
      <w:pPr>
        <w:autoSpaceDE w:val="0"/>
        <w:autoSpaceDN w:val="0"/>
        <w:snapToGrid w:val="0"/>
        <w:ind w:firstLine="540" w:firstLineChars="257"/>
        <w:rPr>
          <w:rFonts w:hint="eastAsia" w:ascii="宋体" w:hAnsi="宋体" w:cs="宋体"/>
          <w:sz w:val="21"/>
          <w:szCs w:val="21"/>
        </w:rPr>
      </w:pPr>
    </w:p>
    <w:p>
      <w:pPr>
        <w:autoSpaceDE w:val="0"/>
        <w:autoSpaceDN w:val="0"/>
        <w:snapToGrid w:val="0"/>
        <w:ind w:firstLine="540" w:firstLineChars="257"/>
        <w:rPr>
          <w:rFonts w:hint="eastAsia" w:ascii="宋体" w:hAnsi="宋体" w:cs="宋体"/>
          <w:sz w:val="21"/>
          <w:szCs w:val="21"/>
        </w:rPr>
      </w:pPr>
    </w:p>
    <w:p>
      <w:pPr>
        <w:autoSpaceDE w:val="0"/>
        <w:autoSpaceDN w:val="0"/>
        <w:snapToGrid w:val="0"/>
        <w:ind w:firstLine="540" w:firstLineChars="257"/>
        <w:rPr>
          <w:rFonts w:hint="eastAsia" w:ascii="宋体" w:hAnsi="宋体" w:cs="宋体"/>
          <w:sz w:val="21"/>
          <w:szCs w:val="21"/>
        </w:rPr>
      </w:pPr>
    </w:p>
    <w:p>
      <w:pPr>
        <w:tabs>
          <w:tab w:val="left" w:pos="6120"/>
        </w:tabs>
        <w:snapToGrid w:val="0"/>
        <w:ind w:firstLine="3780" w:firstLineChars="1800"/>
        <w:rPr>
          <w:rFonts w:hint="eastAsia" w:ascii="宋体" w:hAnsi="宋体" w:cs="宋体"/>
          <w:sz w:val="21"/>
          <w:szCs w:val="21"/>
        </w:rPr>
      </w:pPr>
      <w:r>
        <w:rPr>
          <w:rFonts w:hint="eastAsia" w:ascii="宋体" w:hAnsi="宋体" w:cs="宋体"/>
          <w:sz w:val="21"/>
          <w:szCs w:val="21"/>
        </w:rPr>
        <w:t>竞    选   人：</w:t>
      </w:r>
      <w:r>
        <w:rPr>
          <w:rFonts w:hint="eastAsia" w:ascii="宋体" w:hAnsi="宋体" w:cs="宋体"/>
          <w:sz w:val="21"/>
          <w:szCs w:val="21"/>
          <w:u w:val="single"/>
        </w:rPr>
        <w:t xml:space="preserve">             </w:t>
      </w:r>
      <w:r>
        <w:rPr>
          <w:rFonts w:hint="eastAsia" w:ascii="宋体" w:hAnsi="宋体" w:cs="宋体"/>
          <w:sz w:val="21"/>
          <w:szCs w:val="21"/>
        </w:rPr>
        <w:t>（盖单位公章）</w:t>
      </w:r>
    </w:p>
    <w:p>
      <w:pPr>
        <w:tabs>
          <w:tab w:val="left" w:pos="6120"/>
        </w:tabs>
        <w:snapToGrid w:val="0"/>
        <w:ind w:firstLine="3780" w:firstLineChars="1800"/>
        <w:rPr>
          <w:rFonts w:hint="eastAsia" w:ascii="宋体" w:hAnsi="宋体" w:cs="宋体"/>
          <w:sz w:val="21"/>
          <w:szCs w:val="21"/>
          <w:u w:val="single"/>
        </w:rPr>
      </w:pPr>
      <w:r>
        <w:rPr>
          <w:rFonts w:hint="eastAsia" w:ascii="宋体" w:hAnsi="宋体" w:cs="宋体"/>
          <w:sz w:val="21"/>
          <w:szCs w:val="21"/>
        </w:rPr>
        <w:t>法定代表人或授权代表：</w:t>
      </w:r>
      <w:r>
        <w:rPr>
          <w:rFonts w:hint="eastAsia" w:ascii="宋体" w:hAnsi="宋体" w:cs="宋体"/>
          <w:sz w:val="21"/>
          <w:szCs w:val="21"/>
          <w:u w:val="single"/>
        </w:rPr>
        <w:t xml:space="preserve">      </w:t>
      </w:r>
      <w:r>
        <w:rPr>
          <w:rFonts w:hint="eastAsia" w:ascii="宋体" w:hAnsi="宋体" w:cs="宋体"/>
          <w:sz w:val="21"/>
          <w:szCs w:val="21"/>
        </w:rPr>
        <w:t>（签名或盖章）</w:t>
      </w:r>
    </w:p>
    <w:p>
      <w:pPr>
        <w:tabs>
          <w:tab w:val="left" w:pos="6120"/>
        </w:tabs>
        <w:snapToGrid w:val="0"/>
        <w:ind w:firstLine="2356" w:firstLineChars="1122"/>
        <w:rPr>
          <w:rFonts w:hint="eastAsia" w:ascii="宋体" w:hAnsi="宋体" w:cs="宋体"/>
          <w:sz w:val="21"/>
          <w:szCs w:val="21"/>
        </w:rPr>
      </w:pPr>
      <w:r>
        <w:rPr>
          <w:rFonts w:hint="eastAsia" w:ascii="宋体" w:hAnsi="宋体" w:cs="宋体"/>
          <w:sz w:val="21"/>
          <w:szCs w:val="21"/>
        </w:rPr>
        <w:t xml:space="preserve">              日　   期：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tabs>
          <w:tab w:val="left" w:pos="6120"/>
        </w:tabs>
        <w:snapToGrid w:val="0"/>
        <w:ind w:firstLine="2693" w:firstLineChars="1122"/>
        <w:rPr>
          <w:rFonts w:hint="eastAsia" w:ascii="宋体" w:hAnsi="宋体" w:cs="宋体"/>
          <w:szCs w:val="24"/>
        </w:rPr>
      </w:pPr>
    </w:p>
    <w:p>
      <w:pPr>
        <w:ind w:firstLine="0"/>
        <w:jc w:val="center"/>
        <w:rPr>
          <w:rFonts w:hint="eastAsia" w:ascii="宋体" w:hAnsi="宋体" w:cs="宋体"/>
          <w:b/>
          <w:kern w:val="44"/>
          <w:sz w:val="28"/>
          <w:szCs w:val="28"/>
        </w:rPr>
      </w:pPr>
      <w:r>
        <w:rPr>
          <w:rFonts w:hint="eastAsia" w:ascii="宋体" w:hAnsi="宋体" w:cs="宋体"/>
          <w:b/>
          <w:kern w:val="44"/>
          <w:sz w:val="28"/>
          <w:szCs w:val="28"/>
        </w:rPr>
        <w:br w:type="page"/>
      </w:r>
    </w:p>
    <w:p>
      <w:pPr>
        <w:ind w:firstLine="0"/>
        <w:jc w:val="center"/>
        <w:rPr>
          <w:rFonts w:hint="eastAsia" w:ascii="宋体" w:hAnsi="宋体" w:cs="宋体"/>
          <w:b/>
          <w:kern w:val="44"/>
          <w:sz w:val="21"/>
          <w:szCs w:val="21"/>
        </w:rPr>
      </w:pPr>
    </w:p>
    <w:p>
      <w:pPr>
        <w:ind w:firstLine="0"/>
        <w:jc w:val="center"/>
        <w:rPr>
          <w:rFonts w:hint="eastAsia" w:ascii="宋体" w:hAnsi="宋体" w:cs="宋体"/>
          <w:b/>
          <w:kern w:val="44"/>
          <w:sz w:val="21"/>
          <w:szCs w:val="21"/>
        </w:rPr>
      </w:pPr>
      <w:r>
        <w:rPr>
          <w:rFonts w:hint="eastAsia" w:ascii="宋体" w:hAnsi="宋体" w:cs="宋体"/>
          <w:b/>
          <w:kern w:val="44"/>
          <w:sz w:val="21"/>
          <w:szCs w:val="21"/>
        </w:rPr>
        <w:t>（二）法定代表人身份证明及法定代表人授权委托书（格式）</w:t>
      </w:r>
    </w:p>
    <w:p>
      <w:pPr>
        <w:ind w:firstLine="0"/>
        <w:jc w:val="center"/>
        <w:rPr>
          <w:rFonts w:hint="eastAsia" w:ascii="宋体" w:hAnsi="宋体" w:cs="宋体"/>
          <w:sz w:val="21"/>
          <w:szCs w:val="21"/>
        </w:rPr>
      </w:pPr>
    </w:p>
    <w:p>
      <w:pPr>
        <w:snapToGrid w:val="0"/>
        <w:ind w:firstLine="0"/>
        <w:jc w:val="center"/>
        <w:rPr>
          <w:rFonts w:hint="eastAsia" w:ascii="宋体" w:hAnsi="宋体" w:cs="宋体"/>
          <w:b/>
          <w:sz w:val="21"/>
          <w:szCs w:val="21"/>
        </w:rPr>
      </w:pPr>
      <w:r>
        <w:rPr>
          <w:rFonts w:hint="eastAsia" w:ascii="宋体" w:hAnsi="宋体" w:cs="宋体"/>
          <w:b/>
          <w:sz w:val="21"/>
          <w:szCs w:val="21"/>
        </w:rPr>
        <w:t>法定代表人身份证明（格式）</w:t>
      </w:r>
    </w:p>
    <w:p>
      <w:pPr>
        <w:autoSpaceDE w:val="0"/>
        <w:autoSpaceDN w:val="0"/>
        <w:ind w:firstLine="0"/>
        <w:rPr>
          <w:rFonts w:hint="eastAsia" w:ascii="宋体" w:hAnsi="宋体" w:cs="宋体"/>
          <w:sz w:val="28"/>
          <w:szCs w:val="28"/>
        </w:rPr>
      </w:pPr>
    </w:p>
    <w:p>
      <w:pPr>
        <w:autoSpaceDE w:val="0"/>
        <w:autoSpaceDN w:val="0"/>
        <w:ind w:firstLine="420" w:firstLineChars="200"/>
        <w:rPr>
          <w:rFonts w:hint="eastAsia" w:ascii="宋体" w:hAnsi="宋体" w:cs="宋体"/>
          <w:sz w:val="21"/>
          <w:szCs w:val="21"/>
          <w:u w:val="single"/>
        </w:rPr>
      </w:pPr>
      <w:r>
        <w:rPr>
          <w:rFonts w:hint="eastAsia" w:ascii="宋体" w:hAnsi="宋体" w:cs="宋体"/>
          <w:sz w:val="21"/>
          <w:szCs w:val="21"/>
        </w:rPr>
        <w:t>竞选人名称：</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b/>
          <w:spacing w:val="-20"/>
          <w:sz w:val="28"/>
          <w:szCs w:val="28"/>
          <w:u w:val="single"/>
        </w:rPr>
        <w:tab/>
      </w:r>
    </w:p>
    <w:p>
      <w:pPr>
        <w:autoSpaceDE w:val="0"/>
        <w:autoSpaceDN w:val="0"/>
        <w:ind w:firstLine="420" w:firstLineChars="200"/>
        <w:rPr>
          <w:rFonts w:hint="eastAsia" w:ascii="宋体" w:hAnsi="宋体" w:cs="宋体"/>
          <w:sz w:val="21"/>
          <w:szCs w:val="21"/>
          <w:u w:val="single"/>
        </w:rPr>
      </w:pPr>
      <w:r>
        <w:rPr>
          <w:rFonts w:hint="eastAsia" w:ascii="宋体" w:hAnsi="宋体" w:cs="宋体"/>
          <w:sz w:val="21"/>
          <w:szCs w:val="21"/>
        </w:rPr>
        <w:t>单位性质：</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b/>
          <w:spacing w:val="-20"/>
          <w:sz w:val="28"/>
          <w:szCs w:val="28"/>
          <w:u w:val="single"/>
        </w:rPr>
        <w:tab/>
      </w:r>
    </w:p>
    <w:p>
      <w:pPr>
        <w:autoSpaceDE w:val="0"/>
        <w:autoSpaceDN w:val="0"/>
        <w:ind w:firstLine="420" w:firstLineChars="200"/>
        <w:rPr>
          <w:rFonts w:hint="eastAsia" w:ascii="宋体" w:hAnsi="宋体" w:cs="宋体"/>
          <w:sz w:val="21"/>
          <w:szCs w:val="21"/>
          <w:u w:val="single"/>
        </w:rPr>
      </w:pPr>
      <w:r>
        <w:rPr>
          <w:rFonts w:hint="eastAsia" w:ascii="宋体" w:hAnsi="宋体" w:cs="宋体"/>
          <w:sz w:val="21"/>
          <w:szCs w:val="21"/>
        </w:rPr>
        <w:t>地    址：</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b/>
          <w:spacing w:val="-20"/>
          <w:sz w:val="28"/>
          <w:szCs w:val="28"/>
          <w:u w:val="single"/>
        </w:rPr>
        <w:tab/>
      </w:r>
    </w:p>
    <w:p>
      <w:pPr>
        <w:autoSpaceDE w:val="0"/>
        <w:autoSpaceDN w:val="0"/>
        <w:ind w:firstLine="420" w:firstLineChars="200"/>
        <w:rPr>
          <w:rFonts w:hint="eastAsia" w:ascii="宋体" w:hAnsi="宋体" w:cs="宋体"/>
          <w:sz w:val="21"/>
          <w:szCs w:val="21"/>
        </w:rPr>
      </w:pPr>
      <w:r>
        <w:rPr>
          <w:rFonts w:hint="eastAsia" w:ascii="宋体" w:hAnsi="宋体" w:cs="宋体"/>
          <w:sz w:val="21"/>
          <w:szCs w:val="21"/>
        </w:rPr>
        <w:t xml:space="preserve">成立时间：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 xml:space="preserve">日 </w:t>
      </w:r>
    </w:p>
    <w:p>
      <w:pPr>
        <w:autoSpaceDE w:val="0"/>
        <w:autoSpaceDN w:val="0"/>
        <w:ind w:firstLine="420" w:firstLineChars="200"/>
        <w:rPr>
          <w:rFonts w:hint="eastAsia" w:ascii="宋体" w:hAnsi="宋体" w:cs="宋体"/>
          <w:sz w:val="21"/>
          <w:szCs w:val="21"/>
          <w:u w:val="single"/>
        </w:rPr>
      </w:pPr>
      <w:r>
        <w:rPr>
          <w:rFonts w:hint="eastAsia" w:ascii="宋体" w:hAnsi="宋体" w:cs="宋体"/>
          <w:sz w:val="21"/>
          <w:szCs w:val="21"/>
        </w:rPr>
        <w:t>经营期限：</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b/>
          <w:spacing w:val="-20"/>
          <w:sz w:val="28"/>
          <w:szCs w:val="28"/>
          <w:u w:val="single"/>
        </w:rPr>
        <w:tab/>
      </w:r>
    </w:p>
    <w:p>
      <w:pPr>
        <w:autoSpaceDE w:val="0"/>
        <w:autoSpaceDN w:val="0"/>
        <w:ind w:firstLine="420" w:firstLineChars="200"/>
        <w:rPr>
          <w:rFonts w:hint="eastAsia" w:ascii="宋体" w:hAnsi="宋体" w:cs="宋体"/>
          <w:sz w:val="21"/>
          <w:szCs w:val="21"/>
        </w:rPr>
      </w:pPr>
      <w:r>
        <w:rPr>
          <w:rFonts w:hint="eastAsia" w:ascii="宋体" w:hAnsi="宋体" w:cs="宋体"/>
          <w:sz w:val="21"/>
          <w:szCs w:val="21"/>
        </w:rPr>
        <w:t xml:space="preserve">姓名： </w:t>
      </w:r>
      <w:r>
        <w:rPr>
          <w:rFonts w:hint="eastAsia" w:ascii="宋体" w:hAnsi="宋体" w:cs="宋体"/>
          <w:sz w:val="21"/>
          <w:szCs w:val="21"/>
          <w:u w:val="single"/>
        </w:rPr>
        <w:t xml:space="preserve">     </w:t>
      </w:r>
      <w:r>
        <w:rPr>
          <w:rFonts w:hint="eastAsia" w:ascii="宋体" w:hAnsi="宋体" w:cs="宋体"/>
          <w:sz w:val="21"/>
          <w:szCs w:val="21"/>
        </w:rPr>
        <w:t xml:space="preserve">性别： </w:t>
      </w:r>
      <w:r>
        <w:rPr>
          <w:rFonts w:hint="eastAsia" w:ascii="宋体" w:hAnsi="宋体" w:cs="宋体"/>
          <w:sz w:val="21"/>
          <w:szCs w:val="21"/>
          <w:u w:val="single"/>
        </w:rPr>
        <w:t xml:space="preserve">     </w:t>
      </w:r>
      <w:r>
        <w:rPr>
          <w:rFonts w:hint="eastAsia" w:ascii="宋体" w:hAnsi="宋体" w:cs="宋体"/>
          <w:sz w:val="21"/>
          <w:szCs w:val="21"/>
        </w:rPr>
        <w:t xml:space="preserve">年龄： </w:t>
      </w:r>
      <w:r>
        <w:rPr>
          <w:rFonts w:hint="eastAsia" w:ascii="宋体" w:hAnsi="宋体" w:cs="宋体"/>
          <w:sz w:val="21"/>
          <w:szCs w:val="21"/>
          <w:u w:val="single"/>
        </w:rPr>
        <w:t xml:space="preserve">     </w:t>
      </w:r>
      <w:r>
        <w:rPr>
          <w:rFonts w:hint="eastAsia" w:ascii="宋体" w:hAnsi="宋体" w:cs="宋体"/>
          <w:sz w:val="21"/>
          <w:szCs w:val="21"/>
        </w:rPr>
        <w:t xml:space="preserve">职务： </w:t>
      </w:r>
      <w:r>
        <w:rPr>
          <w:rFonts w:hint="eastAsia" w:ascii="宋体" w:hAnsi="宋体" w:cs="宋体"/>
          <w:sz w:val="21"/>
          <w:szCs w:val="21"/>
          <w:u w:val="single"/>
        </w:rPr>
        <w:t xml:space="preserve">     </w:t>
      </w:r>
      <w:r>
        <w:rPr>
          <w:rFonts w:hint="eastAsia" w:ascii="宋体" w:hAnsi="宋体" w:cs="宋体"/>
          <w:sz w:val="21"/>
          <w:szCs w:val="21"/>
          <w:u w:val="single"/>
        </w:rPr>
        <w:tab/>
      </w:r>
    </w:p>
    <w:p>
      <w:pPr>
        <w:autoSpaceDE w:val="0"/>
        <w:autoSpaceDN w:val="0"/>
        <w:ind w:firstLine="420" w:firstLineChars="200"/>
        <w:rPr>
          <w:rFonts w:hint="eastAsia" w:ascii="宋体" w:hAnsi="宋体" w:cs="宋体"/>
          <w:sz w:val="21"/>
          <w:szCs w:val="21"/>
        </w:rPr>
      </w:pPr>
      <w:r>
        <w:rPr>
          <w:rFonts w:hint="eastAsia" w:ascii="宋体" w:hAnsi="宋体" w:cs="宋体"/>
          <w:sz w:val="21"/>
          <w:szCs w:val="21"/>
        </w:rPr>
        <w:t>系：（竞选人名称）的法定代表人。</w:t>
      </w:r>
    </w:p>
    <w:p>
      <w:pPr>
        <w:autoSpaceDE w:val="0"/>
        <w:autoSpaceDN w:val="0"/>
        <w:rPr>
          <w:rFonts w:hint="eastAsia" w:ascii="宋体" w:hAnsi="宋体" w:cs="宋体"/>
          <w:sz w:val="21"/>
          <w:szCs w:val="21"/>
        </w:rPr>
      </w:pPr>
    </w:p>
    <w:p>
      <w:pPr>
        <w:autoSpaceDE w:val="0"/>
        <w:autoSpaceDN w:val="0"/>
        <w:ind w:firstLine="1620"/>
        <w:rPr>
          <w:rFonts w:hint="eastAsia" w:ascii="宋体" w:hAnsi="宋体" w:cs="宋体"/>
          <w:sz w:val="21"/>
          <w:szCs w:val="21"/>
        </w:rPr>
      </w:pPr>
      <w:r>
        <w:rPr>
          <w:rFonts w:hint="eastAsia" w:ascii="宋体" w:hAnsi="宋体" w:cs="宋体"/>
          <w:sz w:val="21"/>
          <w:szCs w:val="21"/>
        </w:rPr>
        <w:t>特此证明。</w:t>
      </w:r>
    </w:p>
    <w:p>
      <w:pPr>
        <w:tabs>
          <w:tab w:val="left" w:pos="2840"/>
        </w:tabs>
        <w:autoSpaceDE w:val="0"/>
        <w:autoSpaceDN w:val="0"/>
        <w:rPr>
          <w:rFonts w:hint="eastAsia" w:ascii="宋体" w:hAnsi="宋体" w:cs="宋体"/>
          <w:sz w:val="21"/>
          <w:szCs w:val="21"/>
        </w:rPr>
      </w:pPr>
    </w:p>
    <w:p>
      <w:pPr>
        <w:tabs>
          <w:tab w:val="left" w:pos="2840"/>
        </w:tabs>
        <w:autoSpaceDE w:val="0"/>
        <w:autoSpaceDN w:val="0"/>
        <w:ind w:firstLine="1365" w:firstLineChars="650"/>
        <w:rPr>
          <w:rFonts w:hint="eastAsia" w:ascii="宋体" w:hAnsi="宋体" w:cs="宋体"/>
          <w:sz w:val="21"/>
          <w:szCs w:val="21"/>
        </w:rPr>
      </w:pPr>
      <w:r>
        <w:rPr>
          <w:rFonts w:hint="eastAsia" w:ascii="宋体" w:hAnsi="宋体" w:cs="宋体"/>
          <w:sz w:val="21"/>
          <w:szCs w:val="21"/>
        </w:rPr>
        <w:t xml:space="preserve">                    竞选人：</w:t>
      </w:r>
      <w:r>
        <w:rPr>
          <w:rFonts w:hint="eastAsia" w:ascii="宋体" w:hAnsi="宋体"/>
          <w:b/>
          <w:spacing w:val="-20"/>
          <w:sz w:val="28"/>
          <w:szCs w:val="28"/>
          <w:u w:val="single"/>
        </w:rPr>
        <w:tab/>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（盖单位公章）</w:t>
      </w:r>
    </w:p>
    <w:p>
      <w:pPr>
        <w:autoSpaceDE w:val="0"/>
        <w:autoSpaceDN w:val="0"/>
        <w:jc w:val="center"/>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 xml:space="preserve">年 </w:t>
      </w:r>
      <w:r>
        <w:rPr>
          <w:rFonts w:hint="eastAsia" w:ascii="宋体" w:hAnsi="宋体" w:cs="宋体"/>
          <w:sz w:val="21"/>
          <w:szCs w:val="21"/>
          <w:u w:val="single"/>
        </w:rPr>
        <w:t xml:space="preserve">     </w:t>
      </w:r>
      <w:r>
        <w:rPr>
          <w:rFonts w:hint="eastAsia" w:ascii="宋体" w:hAnsi="宋体" w:cs="宋体"/>
          <w:sz w:val="21"/>
          <w:szCs w:val="21"/>
        </w:rPr>
        <w:t xml:space="preserve">月 </w:t>
      </w:r>
      <w:r>
        <w:rPr>
          <w:rFonts w:hint="eastAsia" w:ascii="宋体" w:hAnsi="宋体" w:cs="宋体"/>
          <w:sz w:val="21"/>
          <w:szCs w:val="21"/>
          <w:u w:val="single"/>
        </w:rPr>
        <w:t xml:space="preserve">     </w:t>
      </w:r>
      <w:r>
        <w:rPr>
          <w:rFonts w:hint="eastAsia" w:ascii="宋体" w:hAnsi="宋体" w:cs="宋体"/>
          <w:sz w:val="21"/>
          <w:szCs w:val="21"/>
        </w:rPr>
        <w:t>日</w:t>
      </w:r>
    </w:p>
    <w:p>
      <w:pPr>
        <w:autoSpaceDE w:val="0"/>
        <w:autoSpaceDN w:val="0"/>
        <w:jc w:val="center"/>
        <w:rPr>
          <w:rFonts w:hint="eastAsia" w:ascii="宋体" w:hAnsi="宋体" w:cs="宋体"/>
          <w:szCs w:val="24"/>
        </w:rPr>
      </w:pPr>
    </w:p>
    <w:tbl>
      <w:tblPr>
        <w:tblStyle w:val="65"/>
        <w:tblW w:w="8320" w:type="dxa"/>
        <w:jc w:val="center"/>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8320"/>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Ex>
        <w:trPr>
          <w:trHeight w:val="3337" w:hRule="atLeast"/>
          <w:jc w:val="center"/>
        </w:trPr>
        <w:tc>
          <w:tcPr>
            <w:tcW w:w="8320" w:type="dxa"/>
          </w:tcPr>
          <w:p>
            <w:pPr>
              <w:autoSpaceDE w:val="0"/>
              <w:autoSpaceDN w:val="0"/>
              <w:ind w:firstLine="0"/>
              <w:jc w:val="center"/>
              <w:rPr>
                <w:rFonts w:hint="eastAsia" w:ascii="宋体" w:hAnsi="宋体" w:cs="宋体"/>
                <w:b/>
                <w:szCs w:val="24"/>
              </w:rPr>
            </w:pPr>
            <w:r>
              <w:rPr>
                <w:rFonts w:hint="eastAsia" w:ascii="宋体" w:hAnsi="宋体" w:cs="宋体"/>
                <w:b/>
                <w:sz w:val="21"/>
                <w:szCs w:val="21"/>
              </w:rPr>
              <w:t>（法定代表人身份证复印件双面）</w:t>
            </w:r>
          </w:p>
        </w:tc>
      </w:tr>
    </w:tbl>
    <w:p>
      <w:pPr>
        <w:snapToGrid w:val="0"/>
        <w:jc w:val="center"/>
        <w:rPr>
          <w:rFonts w:hint="eastAsia" w:ascii="宋体" w:hAnsi="宋体" w:cs="宋体"/>
          <w:b/>
          <w:szCs w:val="24"/>
        </w:rPr>
      </w:pPr>
    </w:p>
    <w:p>
      <w:pPr>
        <w:snapToGrid w:val="0"/>
        <w:jc w:val="center"/>
        <w:rPr>
          <w:rFonts w:hint="eastAsia" w:ascii="宋体" w:hAnsi="宋体" w:cs="宋体"/>
          <w:b/>
          <w:sz w:val="21"/>
          <w:szCs w:val="21"/>
        </w:rPr>
      </w:pPr>
      <w:r>
        <w:rPr>
          <w:rFonts w:hint="eastAsia" w:ascii="宋体" w:hAnsi="宋体" w:cs="宋体"/>
          <w:b/>
          <w:sz w:val="28"/>
          <w:szCs w:val="28"/>
        </w:rPr>
        <w:br w:type="page"/>
      </w:r>
      <w:r>
        <w:rPr>
          <w:rFonts w:hint="eastAsia" w:ascii="宋体" w:hAnsi="宋体" w:cs="宋体"/>
          <w:b/>
          <w:sz w:val="21"/>
          <w:szCs w:val="21"/>
        </w:rPr>
        <w:t>法定代表人授权书（格式）</w:t>
      </w:r>
    </w:p>
    <w:p>
      <w:pPr>
        <w:snapToGrid w:val="0"/>
        <w:ind w:firstLine="0"/>
        <w:rPr>
          <w:rFonts w:hint="eastAsia" w:ascii="宋体" w:hAnsi="宋体" w:cs="宋体"/>
          <w:sz w:val="21"/>
          <w:szCs w:val="21"/>
        </w:rPr>
      </w:pPr>
      <w:r>
        <w:rPr>
          <w:rFonts w:hint="eastAsia" w:ascii="宋体" w:hAnsi="宋体" w:cs="宋体"/>
          <w:sz w:val="21"/>
          <w:szCs w:val="21"/>
          <w:u w:val="single"/>
        </w:rPr>
        <w:t>重庆市交通行业职业培训中心有限责任公司</w:t>
      </w:r>
      <w:r>
        <w:rPr>
          <w:rFonts w:hint="eastAsia" w:ascii="宋体" w:hAnsi="宋体" w:cs="宋体"/>
          <w:sz w:val="21"/>
          <w:szCs w:val="21"/>
        </w:rPr>
        <w:t>：</w:t>
      </w:r>
    </w:p>
    <w:p>
      <w:pPr>
        <w:snapToGrid w:val="0"/>
        <w:ind w:firstLine="420" w:firstLineChars="200"/>
        <w:jc w:val="left"/>
        <w:rPr>
          <w:rFonts w:hint="eastAsia" w:ascii="宋体" w:hAnsi="宋体" w:cs="宋体"/>
          <w:sz w:val="21"/>
          <w:szCs w:val="21"/>
        </w:rPr>
      </w:pPr>
      <w:r>
        <w:rPr>
          <w:rFonts w:hint="eastAsia" w:ascii="宋体" w:hAnsi="宋体" w:cs="宋体"/>
          <w:sz w:val="21"/>
          <w:szCs w:val="21"/>
          <w:u w:val="single"/>
        </w:rPr>
        <w:t>（竞选单位全称）</w:t>
      </w:r>
      <w:r>
        <w:rPr>
          <w:rFonts w:hint="eastAsia" w:ascii="宋体" w:hAnsi="宋体" w:cs="宋体"/>
          <w:sz w:val="21"/>
          <w:szCs w:val="21"/>
        </w:rPr>
        <w:t>法定代表人授权</w:t>
      </w:r>
      <w:r>
        <w:rPr>
          <w:rFonts w:hint="eastAsia" w:ascii="宋体" w:hAnsi="宋体" w:cs="宋体"/>
          <w:sz w:val="21"/>
          <w:szCs w:val="21"/>
          <w:u w:val="single"/>
        </w:rPr>
        <w:t>（授权代表姓名）</w:t>
      </w:r>
      <w:r>
        <w:rPr>
          <w:rFonts w:hint="eastAsia" w:ascii="宋体" w:hAnsi="宋体" w:cs="宋体"/>
          <w:sz w:val="21"/>
          <w:szCs w:val="21"/>
        </w:rPr>
        <w:t>为授权代表，参加贵公司组织的</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项目（项目编号）遴选活动，全权处理本次遴选活动中的一切事宜。</w:t>
      </w:r>
    </w:p>
    <w:p>
      <w:pPr>
        <w:snapToGrid w:val="0"/>
        <w:ind w:firstLine="0"/>
        <w:rPr>
          <w:rFonts w:hint="eastAsia" w:ascii="宋体" w:hAnsi="宋体" w:cs="宋体"/>
          <w:sz w:val="21"/>
          <w:szCs w:val="21"/>
        </w:rPr>
      </w:pPr>
    </w:p>
    <w:p>
      <w:pPr>
        <w:snapToGrid w:val="0"/>
        <w:ind w:firstLine="3207" w:firstLineChars="1527"/>
        <w:rPr>
          <w:rFonts w:hint="eastAsia" w:ascii="宋体" w:hAnsi="宋体" w:cs="宋体"/>
          <w:sz w:val="21"/>
          <w:szCs w:val="21"/>
        </w:rPr>
      </w:pPr>
      <w:r>
        <w:rPr>
          <w:rFonts w:hint="eastAsia" w:ascii="宋体" w:hAnsi="宋体" w:cs="宋体"/>
          <w:sz w:val="21"/>
          <w:szCs w:val="21"/>
        </w:rPr>
        <w:t xml:space="preserve">      法定代表人：</w:t>
      </w:r>
      <w:r>
        <w:rPr>
          <w:rFonts w:hint="eastAsia" w:ascii="宋体" w:hAnsi="宋体"/>
          <w:b/>
          <w:spacing w:val="-20"/>
          <w:sz w:val="28"/>
          <w:szCs w:val="28"/>
          <w:u w:val="single"/>
        </w:rPr>
        <w:tab/>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（签名或盖章）</w:t>
      </w:r>
    </w:p>
    <w:p>
      <w:pPr>
        <w:snapToGrid w:val="0"/>
        <w:ind w:firstLine="3207" w:firstLineChars="1527"/>
        <w:rPr>
          <w:rFonts w:hint="eastAsia" w:ascii="宋体" w:hAnsi="宋体" w:cs="宋体"/>
          <w:sz w:val="21"/>
          <w:szCs w:val="21"/>
        </w:rPr>
      </w:pPr>
      <w:r>
        <w:rPr>
          <w:rFonts w:hint="eastAsia" w:ascii="宋体" w:hAnsi="宋体" w:cs="宋体"/>
          <w:sz w:val="21"/>
          <w:szCs w:val="21"/>
        </w:rPr>
        <w:t xml:space="preserve">      竞选人：</w:t>
      </w:r>
      <w:r>
        <w:rPr>
          <w:rFonts w:hint="eastAsia" w:ascii="宋体" w:hAnsi="宋体"/>
          <w:b/>
          <w:spacing w:val="-20"/>
          <w:sz w:val="28"/>
          <w:szCs w:val="28"/>
          <w:u w:val="single"/>
        </w:rPr>
        <w:tab/>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（盖单位公章）</w:t>
      </w:r>
    </w:p>
    <w:p>
      <w:pPr>
        <w:snapToGrid w:val="0"/>
        <w:ind w:firstLine="3207" w:firstLineChars="1527"/>
        <w:rPr>
          <w:rFonts w:hint="eastAsia" w:ascii="宋体" w:hAnsi="宋体" w:cs="宋体"/>
          <w:sz w:val="21"/>
          <w:szCs w:val="21"/>
        </w:rPr>
      </w:pPr>
      <w:r>
        <w:rPr>
          <w:rFonts w:hint="eastAsia" w:ascii="宋体" w:hAnsi="宋体" w:cs="宋体"/>
          <w:sz w:val="21"/>
          <w:szCs w:val="21"/>
        </w:rPr>
        <w:t xml:space="preserve">      日       期：</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年</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月</w:t>
      </w:r>
      <w:r>
        <w:rPr>
          <w:rFonts w:hint="eastAsia" w:ascii="宋体" w:hAnsi="宋体"/>
          <w:b/>
          <w:spacing w:val="-20"/>
          <w:sz w:val="28"/>
          <w:szCs w:val="28"/>
          <w:u w:val="single"/>
        </w:rPr>
        <w:tab/>
      </w:r>
      <w:r>
        <w:rPr>
          <w:rFonts w:hint="eastAsia" w:ascii="宋体" w:hAnsi="宋体"/>
          <w:b/>
          <w:spacing w:val="-20"/>
          <w:sz w:val="28"/>
          <w:szCs w:val="28"/>
          <w:u w:val="single"/>
        </w:rPr>
        <w:t xml:space="preserve">  </w:t>
      </w:r>
      <w:r>
        <w:rPr>
          <w:rFonts w:hint="eastAsia" w:ascii="宋体" w:hAnsi="宋体" w:cs="宋体"/>
          <w:sz w:val="21"/>
          <w:szCs w:val="21"/>
        </w:rPr>
        <w:t>日</w:t>
      </w:r>
    </w:p>
    <w:p>
      <w:pPr>
        <w:snapToGrid w:val="0"/>
        <w:ind w:firstLine="3207" w:firstLineChars="1527"/>
        <w:rPr>
          <w:rFonts w:hint="eastAsia" w:ascii="宋体" w:hAnsi="宋体" w:cs="宋体"/>
          <w:sz w:val="21"/>
          <w:szCs w:val="21"/>
        </w:rPr>
      </w:pPr>
    </w:p>
    <w:p>
      <w:pPr>
        <w:snapToGrid w:val="0"/>
        <w:ind w:firstLine="3207" w:firstLineChars="1527"/>
        <w:rPr>
          <w:rFonts w:hint="eastAsia" w:ascii="宋体" w:hAnsi="宋体" w:cs="宋体"/>
          <w:sz w:val="21"/>
          <w:szCs w:val="21"/>
        </w:rPr>
      </w:pPr>
    </w:p>
    <w:tbl>
      <w:tblPr>
        <w:tblStyle w:val="65"/>
        <w:tblW w:w="8210" w:type="dxa"/>
        <w:tblInd w:w="72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8210"/>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Ex>
        <w:trPr>
          <w:trHeight w:val="2547" w:hRule="atLeast"/>
        </w:trPr>
        <w:tc>
          <w:tcPr>
            <w:tcW w:w="8210" w:type="dxa"/>
          </w:tcPr>
          <w:p>
            <w:pPr>
              <w:autoSpaceDE w:val="0"/>
              <w:autoSpaceDN w:val="0"/>
              <w:ind w:firstLine="0"/>
              <w:jc w:val="center"/>
              <w:rPr>
                <w:rFonts w:hint="eastAsia" w:ascii="宋体" w:hAnsi="宋体" w:cs="宋体"/>
                <w:b/>
                <w:sz w:val="21"/>
                <w:szCs w:val="21"/>
              </w:rPr>
            </w:pPr>
            <w:r>
              <w:rPr>
                <w:rFonts w:hint="eastAsia" w:ascii="宋体" w:hAnsi="宋体" w:cs="宋体"/>
                <w:b/>
                <w:sz w:val="21"/>
                <w:szCs w:val="21"/>
              </w:rPr>
              <w:t>（法定代表人身份证复印件双面）</w:t>
            </w:r>
          </w:p>
        </w:tc>
      </w:tr>
    </w:tbl>
    <w:p>
      <w:pPr>
        <w:snapToGrid w:val="0"/>
        <w:rPr>
          <w:rFonts w:hint="eastAsia" w:ascii="宋体" w:hAnsi="宋体" w:cs="宋体"/>
          <w:sz w:val="21"/>
          <w:szCs w:val="21"/>
        </w:rPr>
      </w:pPr>
    </w:p>
    <w:tbl>
      <w:tblPr>
        <w:tblStyle w:val="65"/>
        <w:tblW w:w="8210" w:type="dxa"/>
        <w:tblInd w:w="72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8210"/>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Ex>
        <w:trPr>
          <w:trHeight w:val="2547" w:hRule="atLeast"/>
        </w:trPr>
        <w:tc>
          <w:tcPr>
            <w:tcW w:w="8210" w:type="dxa"/>
          </w:tcPr>
          <w:p>
            <w:pPr>
              <w:autoSpaceDE w:val="0"/>
              <w:autoSpaceDN w:val="0"/>
              <w:ind w:firstLine="0"/>
              <w:jc w:val="center"/>
              <w:rPr>
                <w:rFonts w:hint="eastAsia" w:ascii="宋体" w:hAnsi="宋体" w:cs="宋体"/>
                <w:b/>
                <w:sz w:val="21"/>
                <w:szCs w:val="21"/>
              </w:rPr>
            </w:pPr>
            <w:r>
              <w:rPr>
                <w:rFonts w:hint="eastAsia" w:ascii="宋体" w:hAnsi="宋体" w:cs="宋体"/>
                <w:b/>
                <w:sz w:val="21"/>
                <w:szCs w:val="21"/>
              </w:rPr>
              <w:t>（授权代理人身份证复印件双面）</w:t>
            </w:r>
          </w:p>
        </w:tc>
      </w:tr>
    </w:tbl>
    <w:p>
      <w:pPr>
        <w:tabs>
          <w:tab w:val="left" w:pos="6120"/>
        </w:tabs>
        <w:snapToGrid w:val="0"/>
        <w:ind w:firstLine="0"/>
        <w:rPr>
          <w:rFonts w:hint="eastAsia" w:ascii="宋体" w:hAnsi="宋体" w:cs="宋体"/>
          <w:sz w:val="21"/>
          <w:szCs w:val="21"/>
        </w:rPr>
      </w:pPr>
    </w:p>
    <w:p>
      <w:pPr>
        <w:tabs>
          <w:tab w:val="left" w:pos="6120"/>
        </w:tabs>
        <w:snapToGrid w:val="0"/>
        <w:rPr>
          <w:rFonts w:hint="eastAsia" w:ascii="宋体" w:hAnsi="宋体" w:cs="宋体"/>
          <w:sz w:val="21"/>
          <w:szCs w:val="21"/>
        </w:rPr>
      </w:pPr>
      <w:r>
        <w:rPr>
          <w:rFonts w:hint="eastAsia" w:ascii="宋体" w:hAnsi="宋体" w:cs="宋体"/>
          <w:sz w:val="21"/>
          <w:szCs w:val="21"/>
        </w:rPr>
        <w:t>注：法定代表人参加竞选活动并签署文件的不需要授权委托书，只需提供法定代表人身份证明；非法定代表人参加竞选活动及签署文件的除提供法定代表人身份证明外还须提供授权委托书。</w:t>
      </w:r>
    </w:p>
    <w:p>
      <w:pPr>
        <w:tabs>
          <w:tab w:val="left" w:pos="6120"/>
        </w:tabs>
        <w:snapToGrid w:val="0"/>
        <w:rPr>
          <w:rFonts w:hint="eastAsia" w:ascii="宋体" w:hAnsi="宋体" w:cs="宋体"/>
          <w:sz w:val="21"/>
          <w:szCs w:val="21"/>
        </w:rPr>
      </w:pPr>
    </w:p>
    <w:p>
      <w:pPr>
        <w:tabs>
          <w:tab w:val="left" w:pos="6120"/>
        </w:tabs>
        <w:snapToGrid w:val="0"/>
        <w:rPr>
          <w:rFonts w:hint="eastAsia" w:ascii="宋体" w:hAnsi="宋体" w:cs="宋体"/>
          <w:sz w:val="21"/>
          <w:szCs w:val="21"/>
        </w:rPr>
      </w:pPr>
    </w:p>
    <w:p>
      <w:pPr>
        <w:pStyle w:val="68"/>
        <w:ind w:left="206" w:leftChars="86"/>
        <w:jc w:val="center"/>
        <w:rPr>
          <w:rFonts w:hint="eastAsia" w:asciiTheme="minorEastAsia" w:hAnsiTheme="minorEastAsia" w:eastAsiaTheme="minorEastAsia"/>
          <w:color w:val="auto"/>
          <w:sz w:val="32"/>
          <w:szCs w:val="32"/>
        </w:rPr>
      </w:pPr>
      <w:bookmarkStart w:id="265" w:name="_Toc447723911"/>
      <w:r>
        <w:rPr>
          <w:rFonts w:hint="eastAsia" w:asciiTheme="minorEastAsia" w:hAnsiTheme="minorEastAsia" w:eastAsiaTheme="minorEastAsia"/>
          <w:color w:val="auto"/>
          <w:sz w:val="32"/>
          <w:szCs w:val="32"/>
        </w:rPr>
        <w:t>报价表</w:t>
      </w:r>
    </w:p>
    <w:p>
      <w:pPr>
        <w:pStyle w:val="68"/>
        <w:ind w:left="206" w:leftChars="86"/>
        <w:jc w:val="center"/>
        <w:rPr>
          <w:rFonts w:hint="eastAsia" w:asciiTheme="minorEastAsia" w:hAnsiTheme="minorEastAsia" w:eastAsiaTheme="minorEastAsia"/>
          <w:color w:val="auto"/>
        </w:rPr>
      </w:pPr>
    </w:p>
    <w:tbl>
      <w:tblPr>
        <w:tblStyle w:val="65"/>
        <w:tblW w:w="8948"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3683"/>
        <w:gridCol w:w="3449"/>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9" w:hRule="atLeast"/>
          <w:tblHeader/>
          <w:jc w:val="center"/>
        </w:trPr>
        <w:tc>
          <w:tcPr>
            <w:tcW w:w="1816" w:type="dxa"/>
            <w:shd w:val="clear" w:color="auto" w:fill="D8D8D8" w:themeFill="background1" w:themeFillShade="D9"/>
            <w:vAlign w:val="center"/>
          </w:tcPr>
          <w:p>
            <w:pPr>
              <w:spacing w:line="500" w:lineRule="exact"/>
              <w:ind w:left="161" w:leftChars="67"/>
              <w:jc w:val="center"/>
              <w:rPr>
                <w:rFonts w:hint="eastAsia" w:cs="宋体" w:asciiTheme="minorEastAsia" w:hAnsiTheme="minorEastAsia" w:eastAsiaTheme="minorEastAsia"/>
                <w:sz w:val="21"/>
                <w:szCs w:val="21"/>
                <w:shd w:val="pct10" w:color="auto" w:fill="FFFFFF"/>
              </w:rPr>
            </w:pPr>
            <w:r>
              <w:rPr>
                <w:rFonts w:hint="eastAsia" w:cs="宋体" w:asciiTheme="minorEastAsia" w:hAnsiTheme="minorEastAsia" w:eastAsiaTheme="minorEastAsia"/>
                <w:sz w:val="21"/>
                <w:szCs w:val="21"/>
                <w:shd w:val="pct10" w:color="auto" w:fill="FFFFFF"/>
              </w:rPr>
              <w:t>项目</w:t>
            </w:r>
          </w:p>
        </w:tc>
        <w:tc>
          <w:tcPr>
            <w:tcW w:w="3683" w:type="dxa"/>
            <w:tcBorders>
              <w:right w:val="single" w:color="auto" w:sz="4" w:space="0"/>
            </w:tcBorders>
            <w:shd w:val="clear" w:color="auto" w:fill="D8D8D8" w:themeFill="background1" w:themeFillShade="D9"/>
            <w:vAlign w:val="center"/>
          </w:tcPr>
          <w:p>
            <w:pPr>
              <w:spacing w:line="500" w:lineRule="exact"/>
              <w:ind w:left="161" w:leftChars="67"/>
              <w:jc w:val="center"/>
              <w:rPr>
                <w:rFonts w:hint="eastAsia" w:cs="宋体" w:asciiTheme="minorEastAsia" w:hAnsiTheme="minorEastAsia" w:eastAsiaTheme="minorEastAsia"/>
                <w:sz w:val="21"/>
                <w:szCs w:val="21"/>
                <w:shd w:val="pct10" w:color="auto" w:fill="FFFFFF"/>
              </w:rPr>
            </w:pPr>
            <w:r>
              <w:rPr>
                <w:rFonts w:hint="eastAsia" w:cs="宋体" w:asciiTheme="minorEastAsia" w:hAnsiTheme="minorEastAsia" w:eastAsiaTheme="minorEastAsia"/>
                <w:sz w:val="21"/>
                <w:szCs w:val="21"/>
                <w:shd w:val="pct10" w:color="auto" w:fill="FFFFFF"/>
              </w:rPr>
              <w:t>标准</w:t>
            </w:r>
          </w:p>
        </w:tc>
        <w:tc>
          <w:tcPr>
            <w:tcW w:w="3449" w:type="dxa"/>
            <w:tcBorders>
              <w:left w:val="single" w:color="auto" w:sz="4" w:space="0"/>
            </w:tcBorders>
            <w:shd w:val="clear" w:color="auto" w:fill="D8D8D8" w:themeFill="background1" w:themeFillShade="D9"/>
            <w:vAlign w:val="center"/>
          </w:tcPr>
          <w:p>
            <w:pPr>
              <w:spacing w:line="500" w:lineRule="exact"/>
              <w:ind w:left="161" w:leftChars="67" w:firstLine="840" w:firstLineChars="400"/>
              <w:rPr>
                <w:rFonts w:hint="eastAsia" w:cs="宋体" w:asciiTheme="minorEastAsia" w:hAnsiTheme="minorEastAsia" w:eastAsiaTheme="minorEastAsia"/>
                <w:sz w:val="21"/>
                <w:szCs w:val="21"/>
                <w:shd w:val="pct10" w:color="auto" w:fill="FFFFFF"/>
              </w:rPr>
            </w:pPr>
            <w:r>
              <w:rPr>
                <w:rFonts w:hint="eastAsia" w:cs="宋体" w:asciiTheme="minorEastAsia" w:hAnsiTheme="minorEastAsia" w:eastAsiaTheme="minorEastAsia"/>
                <w:sz w:val="21"/>
                <w:szCs w:val="21"/>
                <w:shd w:val="pct10" w:color="auto" w:fill="FFFFFF"/>
              </w:rPr>
              <w:t>报价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3" w:hRule="atLeast"/>
          <w:jc w:val="center"/>
        </w:trPr>
        <w:tc>
          <w:tcPr>
            <w:tcW w:w="1816" w:type="dxa"/>
            <w:vAlign w:val="center"/>
          </w:tcPr>
          <w:p>
            <w:pPr>
              <w:pStyle w:val="5"/>
              <w:numPr>
                <w:ilvl w:val="3"/>
                <w:numId w:val="0"/>
              </w:numPr>
              <w:spacing w:line="300" w:lineRule="exact"/>
              <w:jc w:val="center"/>
              <w:rPr>
                <w:rFonts w:hint="eastAsia" w:cs="方正黑体_GBK" w:asciiTheme="minorEastAsia" w:hAnsiTheme="minorEastAsia" w:eastAsiaTheme="minorEastAsia"/>
                <w:i w:val="0"/>
                <w:iCs/>
                <w:color w:val="000000" w:themeColor="text1"/>
                <w:sz w:val="21"/>
                <w:szCs w:val="21"/>
                <w14:textFill>
                  <w14:solidFill>
                    <w14:schemeClr w14:val="tx1"/>
                  </w14:solidFill>
                </w14:textFill>
              </w:rPr>
            </w:pPr>
            <w:r>
              <w:rPr>
                <w:rFonts w:hint="eastAsia" w:cs="方正黑体_GBK" w:asciiTheme="minorEastAsia" w:hAnsiTheme="minorEastAsia" w:eastAsiaTheme="minorEastAsia"/>
                <w:i w:val="0"/>
                <w:iCs/>
                <w:color w:val="000000" w:themeColor="text1"/>
                <w:sz w:val="21"/>
                <w:szCs w:val="21"/>
                <w14:textFill>
                  <w14:solidFill>
                    <w14:schemeClr w14:val="tx1"/>
                  </w14:solidFill>
                </w14:textFill>
              </w:rPr>
              <w:t>过渡期人次合作费</w:t>
            </w:r>
          </w:p>
        </w:tc>
        <w:tc>
          <w:tcPr>
            <w:tcW w:w="3683" w:type="dxa"/>
            <w:tcBorders>
              <w:right w:val="single" w:color="auto" w:sz="4" w:space="0"/>
            </w:tcBorders>
            <w:vAlign w:val="center"/>
          </w:tcPr>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在迁扩建新科目二考场未投入使用或未满240个自然日内（两者孰先），遴选人依据此期间重庆市公安局车管所系统统计实际参考人次，按照不低于20元/人次的标准，据实留存合作费用。</w:t>
            </w:r>
          </w:p>
          <w:p>
            <w:pPr>
              <w:pStyle w:val="68"/>
              <w:spacing w:line="300" w:lineRule="exact"/>
              <w:rPr>
                <w:rFonts w:hint="eastAsia" w:cs="方正黑体_GBK" w:asciiTheme="minorEastAsia" w:hAnsiTheme="minorEastAsia" w:eastAsiaTheme="minorEastAsia"/>
                <w:color w:val="000000" w:themeColor="text1"/>
                <w:sz w:val="21"/>
                <w:szCs w:val="21"/>
                <w14:textFill>
                  <w14:solidFill>
                    <w14:schemeClr w14:val="tx1"/>
                  </w14:solidFill>
                </w14:textFill>
              </w:rPr>
            </w:pPr>
          </w:p>
        </w:tc>
        <w:tc>
          <w:tcPr>
            <w:tcW w:w="3449" w:type="dxa"/>
            <w:tcBorders>
              <w:left w:val="single" w:color="auto" w:sz="4" w:space="0"/>
            </w:tcBorders>
            <w:vAlign w:val="center"/>
          </w:tcPr>
          <w:p>
            <w:pPr>
              <w:pStyle w:val="68"/>
              <w:spacing w:line="400" w:lineRule="exact"/>
              <w:ind w:firstLine="420" w:firstLineChars="200"/>
              <w:rPr>
                <w:rFonts w:hint="eastAsia" w:cs="方正黑体_GBK" w:asciiTheme="minorEastAsia" w:hAnsiTheme="minorEastAsia" w:eastAsiaTheme="minorEastAsia"/>
                <w:color w:val="000000" w:themeColor="text1"/>
                <w:sz w:val="21"/>
                <w:szCs w:val="21"/>
                <w14:textFill>
                  <w14:solidFill>
                    <w14:schemeClr w14:val="tx1"/>
                  </w14:solidFill>
                </w14:textFill>
              </w:rPr>
            </w:pPr>
            <w:r>
              <w:rPr>
                <w:rFonts w:hint="eastAsia" w:cs="方正黑体_GBK" w:asciiTheme="minorEastAsia" w:hAnsiTheme="minorEastAsia" w:eastAsiaTheme="minorEastAsia"/>
                <w:color w:val="000000" w:themeColor="text1"/>
                <w:sz w:val="21"/>
                <w:szCs w:val="21"/>
                <w14:textFill>
                  <w14:solidFill>
                    <w14:schemeClr w14:val="tx1"/>
                  </w14:solidFill>
                </w14:textFill>
              </w:rPr>
              <w:t>在迁扩建新科目二考场未投入使用或未满240个自然日内（两者孰先），遴选人依据此期间重庆市公安局车管所系统统计实际参考人次，按照</w:t>
            </w:r>
            <w:r>
              <w:rPr>
                <w:rFonts w:hint="eastAsia" w:cs="方正黑体_GBK"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cs="方正黑体_GBK" w:asciiTheme="minorEastAsia" w:hAnsiTheme="minorEastAsia" w:eastAsiaTheme="minorEastAsia"/>
                <w:color w:val="000000" w:themeColor="text1"/>
                <w:sz w:val="21"/>
                <w:szCs w:val="21"/>
                <w14:textFill>
                  <w14:solidFill>
                    <w14:schemeClr w14:val="tx1"/>
                  </w14:solidFill>
                </w14:textFill>
              </w:rPr>
              <w:t>元/人次的标准，据实留存合作费用。</w:t>
            </w:r>
          </w:p>
          <w:p>
            <w:pPr>
              <w:spacing w:line="300" w:lineRule="exact"/>
              <w:rPr>
                <w:rFonts w:hint="eastAsia" w:cs="方正黑体_GBK" w:asciiTheme="minorEastAsia" w:hAnsiTheme="minorEastAsia" w:eastAsiaTheme="minorEastAsia"/>
                <w:color w:val="000000" w:themeColor="text1"/>
                <w:sz w:val="21"/>
                <w:szCs w:val="21"/>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3" w:hRule="atLeast"/>
          <w:jc w:val="center"/>
        </w:trPr>
        <w:tc>
          <w:tcPr>
            <w:tcW w:w="1816" w:type="dxa"/>
            <w:vAlign w:val="center"/>
          </w:tcPr>
          <w:p>
            <w:pPr>
              <w:pStyle w:val="5"/>
              <w:numPr>
                <w:ilvl w:val="3"/>
                <w:numId w:val="0"/>
              </w:numPr>
              <w:spacing w:line="300" w:lineRule="exact"/>
              <w:jc w:val="center"/>
              <w:rPr>
                <w:rFonts w:hint="eastAsia" w:cs="宋体" w:asciiTheme="minorEastAsia" w:hAnsiTheme="minorEastAsia" w:eastAsiaTheme="minorEastAsia"/>
                <w:i w:val="0"/>
                <w:iCs/>
                <w:kern w:val="2"/>
                <w:sz w:val="21"/>
                <w:szCs w:val="21"/>
              </w:rPr>
            </w:pPr>
            <w:r>
              <w:rPr>
                <w:rFonts w:hint="eastAsia" w:cs="方正黑体_GBK" w:asciiTheme="minorEastAsia" w:hAnsiTheme="minorEastAsia" w:eastAsiaTheme="minorEastAsia"/>
                <w:i w:val="0"/>
                <w:iCs/>
                <w:sz w:val="21"/>
                <w:szCs w:val="21"/>
              </w:rPr>
              <w:t>年度人次保底合作费</w:t>
            </w:r>
          </w:p>
        </w:tc>
        <w:tc>
          <w:tcPr>
            <w:tcW w:w="3683" w:type="dxa"/>
            <w:tcBorders>
              <w:right w:val="single" w:color="auto" w:sz="4" w:space="0"/>
            </w:tcBorders>
            <w:vAlign w:val="center"/>
          </w:tcPr>
          <w:p>
            <w:pPr>
              <w:pStyle w:val="68"/>
              <w:spacing w:line="300" w:lineRule="exact"/>
              <w:rPr>
                <w:rFonts w:hint="eastAsia" w:cs="方正黑体_GBK" w:asciiTheme="minorEastAsia" w:hAnsiTheme="minorEastAsia" w:eastAsiaTheme="minorEastAsia"/>
                <w:color w:val="auto"/>
                <w:sz w:val="21"/>
                <w:szCs w:val="21"/>
              </w:rPr>
            </w:pPr>
            <w:r>
              <w:rPr>
                <w:rFonts w:hint="eastAsia" w:cs="方正黑体_GBK" w:asciiTheme="minorEastAsia" w:hAnsiTheme="minorEastAsia" w:eastAsiaTheme="minorEastAsia"/>
                <w:color w:val="auto"/>
                <w:sz w:val="21"/>
                <w:szCs w:val="21"/>
              </w:rPr>
              <w:t>参加科目二考试的人数不低于4万人次（保底人次），该保底人次内，遴选人按照不低于20元/人次留存合作费用。</w:t>
            </w:r>
          </w:p>
        </w:tc>
        <w:tc>
          <w:tcPr>
            <w:tcW w:w="3449" w:type="dxa"/>
            <w:tcBorders>
              <w:left w:val="single" w:color="auto" w:sz="4" w:space="0"/>
            </w:tcBorders>
            <w:vAlign w:val="center"/>
          </w:tcPr>
          <w:p>
            <w:pPr>
              <w:spacing w:line="300" w:lineRule="exact"/>
              <w:rPr>
                <w:rFonts w:hint="eastAsia" w:cs="宋体" w:asciiTheme="minorEastAsia" w:hAnsiTheme="minorEastAsia" w:eastAsiaTheme="minorEastAsia"/>
                <w:sz w:val="21"/>
                <w:szCs w:val="21"/>
              </w:rPr>
            </w:pPr>
            <w:r>
              <w:rPr>
                <w:rFonts w:hint="eastAsia" w:cs="方正黑体_GBK" w:asciiTheme="minorEastAsia" w:hAnsiTheme="minorEastAsia" w:eastAsiaTheme="minorEastAsia"/>
                <w:sz w:val="21"/>
                <w:szCs w:val="21"/>
              </w:rPr>
              <w:t>参加科目二考试的人数</w:t>
            </w:r>
            <w:r>
              <w:rPr>
                <w:rFonts w:hint="eastAsia" w:cs="方正黑体_GBK" w:asciiTheme="minorEastAsia" w:hAnsiTheme="minorEastAsia" w:eastAsiaTheme="minorEastAsia"/>
                <w:sz w:val="21"/>
                <w:szCs w:val="21"/>
                <w:u w:val="single"/>
              </w:rPr>
              <w:t xml:space="preserve">    </w:t>
            </w:r>
            <w:r>
              <w:rPr>
                <w:rFonts w:hint="eastAsia" w:cs="方正黑体_GBK" w:asciiTheme="minorEastAsia" w:hAnsiTheme="minorEastAsia" w:eastAsiaTheme="minorEastAsia"/>
                <w:sz w:val="21"/>
                <w:szCs w:val="21"/>
              </w:rPr>
              <w:t>人次（保底人次），该保底人次内，遴选人按照</w:t>
            </w:r>
            <w:r>
              <w:rPr>
                <w:rFonts w:hint="eastAsia" w:cs="方正黑体_GBK" w:asciiTheme="minorEastAsia" w:hAnsiTheme="minorEastAsia" w:eastAsiaTheme="minorEastAsia"/>
                <w:sz w:val="21"/>
                <w:szCs w:val="21"/>
                <w:u w:val="single"/>
              </w:rPr>
              <w:t xml:space="preserve">     </w:t>
            </w:r>
            <w:r>
              <w:rPr>
                <w:rFonts w:hint="eastAsia" w:cs="方正黑体_GBK" w:asciiTheme="minorEastAsia" w:hAnsiTheme="minorEastAsia" w:eastAsiaTheme="minorEastAsia"/>
                <w:sz w:val="21"/>
                <w:szCs w:val="21"/>
              </w:rPr>
              <w:t xml:space="preserve"> 元/人次留存合作费用。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31" w:hRule="atLeast"/>
          <w:jc w:val="center"/>
        </w:trPr>
        <w:tc>
          <w:tcPr>
            <w:tcW w:w="1816" w:type="dxa"/>
            <w:vAlign w:val="center"/>
          </w:tcPr>
          <w:p>
            <w:pPr>
              <w:spacing w:line="300" w:lineRule="exact"/>
              <w:ind w:firstLine="0"/>
              <w:jc w:val="center"/>
              <w:rPr>
                <w:rFonts w:hint="eastAsia" w:cs="宋体" w:asciiTheme="minorEastAsia" w:hAnsiTheme="minorEastAsia" w:eastAsiaTheme="minorEastAsia"/>
                <w:sz w:val="21"/>
                <w:szCs w:val="21"/>
              </w:rPr>
            </w:pPr>
            <w:r>
              <w:rPr>
                <w:rFonts w:hint="eastAsia" w:cs="方正黑体_GBK" w:asciiTheme="minorEastAsia" w:hAnsiTheme="minorEastAsia" w:eastAsiaTheme="minorEastAsia"/>
                <w:sz w:val="21"/>
                <w:szCs w:val="21"/>
              </w:rPr>
              <w:t>年度超额计量合作费</w:t>
            </w:r>
          </w:p>
        </w:tc>
        <w:tc>
          <w:tcPr>
            <w:tcW w:w="3683" w:type="dxa"/>
            <w:tcBorders>
              <w:right w:val="single" w:color="auto" w:sz="4" w:space="0"/>
            </w:tcBorders>
            <w:vAlign w:val="center"/>
          </w:tcPr>
          <w:p>
            <w:pPr>
              <w:spacing w:line="300" w:lineRule="exact"/>
              <w:ind w:firstLine="0"/>
              <w:rPr>
                <w:rFonts w:hint="eastAsia" w:cs="宋体" w:asciiTheme="minorEastAsia" w:hAnsiTheme="minorEastAsia" w:eastAsiaTheme="minorEastAsia"/>
                <w:sz w:val="21"/>
                <w:szCs w:val="21"/>
              </w:rPr>
            </w:pPr>
            <w:r>
              <w:rPr>
                <w:rFonts w:hint="eastAsia" w:cs="方正黑体_GBK" w:asciiTheme="minorEastAsia" w:hAnsiTheme="minorEastAsia" w:eastAsiaTheme="minorEastAsia"/>
                <w:sz w:val="21"/>
                <w:szCs w:val="21"/>
              </w:rPr>
              <w:t>在每个合作年度内，超出保底人次的部分，遴选人按照不低于20元/人次留存。</w:t>
            </w:r>
          </w:p>
        </w:tc>
        <w:tc>
          <w:tcPr>
            <w:tcW w:w="3449" w:type="dxa"/>
            <w:tcBorders>
              <w:left w:val="single" w:color="auto" w:sz="4" w:space="0"/>
            </w:tcBorders>
            <w:vAlign w:val="center"/>
          </w:tcPr>
          <w:p>
            <w:pPr>
              <w:spacing w:line="320" w:lineRule="exact"/>
              <w:ind w:firstLine="210" w:firstLineChars="100"/>
              <w:rPr>
                <w:rFonts w:hint="eastAsia" w:cs="宋体" w:asciiTheme="minorEastAsia" w:hAnsiTheme="minorEastAsia" w:eastAsiaTheme="minorEastAsia"/>
                <w:sz w:val="21"/>
                <w:szCs w:val="21"/>
              </w:rPr>
            </w:pPr>
            <w:r>
              <w:rPr>
                <w:rFonts w:hint="eastAsia" w:cs="方正黑体_GBK" w:asciiTheme="minorEastAsia" w:hAnsiTheme="minorEastAsia" w:eastAsiaTheme="minorEastAsia"/>
                <w:sz w:val="21"/>
                <w:szCs w:val="21"/>
              </w:rPr>
              <w:t>在每个合作年度内，超出保底人次的部分，遴选人按照</w:t>
            </w:r>
            <w:r>
              <w:rPr>
                <w:rFonts w:hint="eastAsia" w:cs="方正黑体_GBK" w:asciiTheme="minorEastAsia" w:hAnsiTheme="minorEastAsia" w:eastAsiaTheme="minorEastAsia"/>
                <w:sz w:val="21"/>
                <w:szCs w:val="21"/>
                <w:u w:val="single"/>
              </w:rPr>
              <w:t xml:space="preserve">     </w:t>
            </w:r>
            <w:r>
              <w:rPr>
                <w:rFonts w:hint="eastAsia" w:cs="方正黑体_GBK" w:asciiTheme="minorEastAsia" w:hAnsiTheme="minorEastAsia" w:eastAsiaTheme="minorEastAsia"/>
                <w:sz w:val="21"/>
                <w:szCs w:val="21"/>
              </w:rPr>
              <w:t>元/人次留存。</w:t>
            </w:r>
          </w:p>
        </w:tc>
      </w:tr>
    </w:tbl>
    <w:p>
      <w:pPr>
        <w:ind w:left="206" w:leftChars="86"/>
      </w:pPr>
    </w:p>
    <w:p>
      <w:pPr>
        <w:pStyle w:val="68"/>
        <w:ind w:left="206" w:leftChars="86"/>
        <w:rPr>
          <w:color w:val="auto"/>
        </w:rPr>
      </w:pPr>
    </w:p>
    <w:p>
      <w:pPr>
        <w:ind w:left="206" w:leftChars="86"/>
      </w:pPr>
    </w:p>
    <w:p>
      <w:pPr>
        <w:pStyle w:val="68"/>
        <w:ind w:left="206" w:leftChars="86"/>
        <w:rPr>
          <w:color w:val="auto"/>
        </w:rPr>
      </w:pPr>
    </w:p>
    <w:p>
      <w:pPr>
        <w:ind w:left="206" w:leftChars="86"/>
      </w:pPr>
    </w:p>
    <w:p>
      <w:pPr>
        <w:pStyle w:val="68"/>
        <w:ind w:left="206" w:leftChars="86"/>
        <w:rPr>
          <w:color w:val="auto"/>
        </w:rPr>
      </w:pPr>
    </w:p>
    <w:p>
      <w:pPr>
        <w:ind w:left="206" w:leftChars="86"/>
      </w:pPr>
    </w:p>
    <w:p>
      <w:pPr>
        <w:pStyle w:val="68"/>
        <w:ind w:left="206" w:leftChars="86"/>
        <w:rPr>
          <w:color w:val="auto"/>
        </w:rPr>
      </w:pPr>
    </w:p>
    <w:p>
      <w:pPr>
        <w:ind w:left="206" w:leftChars="86"/>
      </w:pPr>
    </w:p>
    <w:p>
      <w:pPr>
        <w:pStyle w:val="68"/>
        <w:ind w:left="206" w:leftChars="86"/>
        <w:rPr>
          <w:color w:val="auto"/>
        </w:rPr>
      </w:pPr>
    </w:p>
    <w:p>
      <w:pPr>
        <w:ind w:left="206" w:leftChars="86"/>
      </w:pPr>
    </w:p>
    <w:p>
      <w:pPr>
        <w:pStyle w:val="68"/>
        <w:ind w:left="206" w:leftChars="86"/>
        <w:rPr>
          <w:color w:val="auto"/>
        </w:rPr>
      </w:pPr>
    </w:p>
    <w:p>
      <w:pPr>
        <w:ind w:left="206" w:leftChars="86"/>
      </w:pPr>
    </w:p>
    <w:p>
      <w:pPr>
        <w:pStyle w:val="68"/>
        <w:ind w:left="206" w:leftChars="86"/>
        <w:rPr>
          <w:color w:val="auto"/>
        </w:rPr>
      </w:pPr>
    </w:p>
    <w:p>
      <w:pPr>
        <w:pStyle w:val="4"/>
        <w:spacing w:before="0" w:after="0" w:line="360" w:lineRule="auto"/>
        <w:ind w:firstLine="0"/>
        <w:jc w:val="center"/>
        <w:rPr>
          <w:rFonts w:hint="eastAsia" w:ascii="宋体" w:hAnsi="宋体" w:cs="宋体"/>
          <w:bCs w:val="0"/>
          <w:sz w:val="24"/>
          <w:szCs w:val="24"/>
          <w:lang w:bidi="en-US"/>
        </w:rPr>
      </w:pPr>
      <w:r>
        <w:rPr>
          <w:rFonts w:hint="eastAsia" w:ascii="宋体" w:hAnsi="宋体" w:cs="宋体"/>
          <w:sz w:val="28"/>
          <w:szCs w:val="28"/>
          <w:lang w:bidi="en-US"/>
        </w:rPr>
        <w:br w:type="page"/>
      </w:r>
      <w:bookmarkEnd w:id="265"/>
      <w:bookmarkStart w:id="266" w:name="_Toc24835"/>
      <w:bookmarkStart w:id="267" w:name="_Toc20648"/>
      <w:bookmarkStart w:id="268" w:name="_Toc27936"/>
      <w:bookmarkStart w:id="269" w:name="_Toc161058990"/>
      <w:bookmarkStart w:id="270" w:name="_Toc429511723"/>
      <w:bookmarkStart w:id="271" w:name="_Toc428784037"/>
      <w:bookmarkStart w:id="272" w:name="_Toc447723914"/>
      <w:r>
        <w:rPr>
          <w:rFonts w:hint="eastAsia" w:ascii="宋体" w:hAnsi="宋体" w:cs="宋体"/>
          <w:bCs w:val="0"/>
          <w:sz w:val="24"/>
          <w:szCs w:val="24"/>
          <w:lang w:bidi="en-US"/>
        </w:rPr>
        <w:t>二、资格审查资料部分</w:t>
      </w:r>
      <w:bookmarkEnd w:id="266"/>
      <w:bookmarkEnd w:id="267"/>
      <w:bookmarkEnd w:id="268"/>
      <w:bookmarkEnd w:id="269"/>
    </w:p>
    <w:p>
      <w:pPr>
        <w:pStyle w:val="4"/>
        <w:spacing w:before="0" w:after="0" w:line="360" w:lineRule="auto"/>
        <w:ind w:firstLine="0"/>
        <w:jc w:val="left"/>
        <w:rPr>
          <w:rFonts w:hint="eastAsia" w:ascii="宋体" w:hAnsi="宋体" w:cs="宋体"/>
          <w:sz w:val="21"/>
          <w:szCs w:val="21"/>
        </w:rPr>
      </w:pPr>
      <w:r>
        <w:rPr>
          <w:rFonts w:hint="eastAsia" w:ascii="宋体" w:hAnsi="宋体" w:cs="宋体"/>
          <w:bCs w:val="0"/>
          <w:sz w:val="24"/>
          <w:szCs w:val="24"/>
          <w:lang w:bidi="en-US"/>
        </w:rPr>
        <w:br w:type="page"/>
      </w:r>
    </w:p>
    <w:p>
      <w:pPr>
        <w:tabs>
          <w:tab w:val="left" w:pos="720"/>
        </w:tabs>
        <w:adjustRightInd/>
        <w:snapToGrid w:val="0"/>
        <w:ind w:firstLine="0"/>
        <w:jc w:val="center"/>
        <w:textAlignment w:val="auto"/>
        <w:rPr>
          <w:rFonts w:hint="eastAsia" w:ascii="宋体" w:hAnsi="宋体" w:cs="宋体"/>
          <w:b/>
          <w:szCs w:val="24"/>
        </w:rPr>
      </w:pPr>
      <w:r>
        <w:rPr>
          <w:rFonts w:hint="eastAsia" w:ascii="宋体" w:hAnsi="宋体" w:cs="宋体"/>
          <w:b/>
          <w:szCs w:val="24"/>
        </w:rPr>
        <w:t>（一）营业执照</w:t>
      </w:r>
    </w:p>
    <w:p/>
    <w:p/>
    <w:p/>
    <w:p/>
    <w:p/>
    <w:p/>
    <w:p/>
    <w:p>
      <w:pPr>
        <w:sectPr>
          <w:headerReference r:id="rId15" w:type="first"/>
          <w:footerReference r:id="rId17" w:type="first"/>
          <w:headerReference r:id="rId14" w:type="default"/>
          <w:footerReference r:id="rId16" w:type="default"/>
          <w:pgSz w:w="11906" w:h="16838"/>
          <w:pgMar w:top="1417" w:right="1134" w:bottom="1134" w:left="1134" w:header="794" w:footer="794" w:gutter="340"/>
          <w:cols w:space="720" w:num="1"/>
          <w:titlePg/>
          <w:docGrid w:linePitch="326" w:charSpace="0"/>
        </w:sectPr>
      </w:pPr>
    </w:p>
    <w:p>
      <w:pPr>
        <w:tabs>
          <w:tab w:val="left" w:pos="720"/>
          <w:tab w:val="left" w:pos="1440"/>
        </w:tabs>
        <w:adjustRightInd/>
        <w:snapToGrid w:val="0"/>
        <w:ind w:firstLine="0"/>
        <w:jc w:val="center"/>
        <w:textAlignment w:val="auto"/>
        <w:rPr>
          <w:rFonts w:hint="eastAsia" w:ascii="宋体" w:hAnsi="宋体" w:cs="宋体"/>
          <w:b/>
          <w:szCs w:val="24"/>
        </w:rPr>
      </w:pPr>
      <w:r>
        <w:rPr>
          <w:rFonts w:hint="eastAsia" w:ascii="宋体" w:hAnsi="宋体" w:cs="宋体"/>
          <w:b/>
          <w:szCs w:val="24"/>
        </w:rPr>
        <w:t>(二)企业信誉</w:t>
      </w: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pStyle w:val="39"/>
        <w:spacing w:line="360" w:lineRule="auto"/>
        <w:ind w:firstLine="0"/>
        <w:jc w:val="center"/>
        <w:rPr>
          <w:rFonts w:hint="eastAsia" w:ascii="宋体" w:hAnsi="宋体" w:cs="宋体"/>
          <w:b/>
          <w:sz w:val="24"/>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r>
        <w:rPr>
          <w:rFonts w:hint="eastAsia" w:ascii="宋体" w:hAnsi="宋体" w:cs="宋体"/>
          <w:b/>
          <w:szCs w:val="24"/>
        </w:rPr>
        <w:t>（三）承诺函</w:t>
      </w:r>
    </w:p>
    <w:p>
      <w:pPr>
        <w:tabs>
          <w:tab w:val="left" w:pos="720"/>
          <w:tab w:val="left" w:pos="1440"/>
        </w:tabs>
        <w:adjustRightInd/>
        <w:snapToGrid w:val="0"/>
        <w:ind w:firstLine="0"/>
        <w:jc w:val="center"/>
        <w:textAlignment w:val="auto"/>
        <w:rPr>
          <w:rFonts w:hint="eastAsia" w:ascii="宋体" w:hAnsi="宋体" w:cs="宋体"/>
          <w:b/>
          <w:szCs w:val="24"/>
        </w:rPr>
      </w:pPr>
      <w:r>
        <w:rPr>
          <w:rFonts w:hint="eastAsia" w:cs="宋体" w:asciiTheme="minorEastAsia" w:hAnsiTheme="minorEastAsia" w:eastAsiaTheme="minorEastAsia"/>
          <w:sz w:val="21"/>
          <w:szCs w:val="21"/>
        </w:rPr>
        <w:t xml:space="preserve"> （</w:t>
      </w:r>
      <w:r>
        <w:rPr>
          <w:rFonts w:hint="eastAsia" w:asciiTheme="minorEastAsia" w:hAnsiTheme="minorEastAsia" w:eastAsiaTheme="minorEastAsia"/>
          <w:sz w:val="21"/>
          <w:szCs w:val="21"/>
        </w:rPr>
        <w:t>承诺书格式自拟</w:t>
      </w:r>
      <w:r>
        <w:rPr>
          <w:rFonts w:hint="eastAsia" w:cs="宋体" w:asciiTheme="minorEastAsia" w:hAnsiTheme="minorEastAsia" w:eastAsiaTheme="minorEastAsia"/>
          <w:sz w:val="21"/>
          <w:szCs w:val="21"/>
        </w:rPr>
        <w:t>）</w:t>
      </w: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p>
    <w:p>
      <w:pPr>
        <w:tabs>
          <w:tab w:val="left" w:pos="720"/>
          <w:tab w:val="left" w:pos="1440"/>
        </w:tabs>
        <w:adjustRightInd/>
        <w:snapToGrid w:val="0"/>
        <w:ind w:firstLine="0"/>
        <w:textAlignment w:val="auto"/>
        <w:rPr>
          <w:rFonts w:hint="eastAsia" w:ascii="宋体" w:hAnsi="宋体" w:cs="宋体"/>
          <w:b/>
          <w:szCs w:val="24"/>
        </w:rPr>
      </w:pPr>
    </w:p>
    <w:p>
      <w:pPr>
        <w:tabs>
          <w:tab w:val="left" w:pos="720"/>
          <w:tab w:val="left" w:pos="1440"/>
        </w:tabs>
        <w:adjustRightInd/>
        <w:snapToGrid w:val="0"/>
        <w:ind w:firstLine="0"/>
        <w:jc w:val="center"/>
        <w:textAlignment w:val="auto"/>
        <w:rPr>
          <w:rFonts w:hint="eastAsia" w:ascii="宋体" w:hAnsi="宋体" w:cs="宋体"/>
          <w:b/>
          <w:szCs w:val="24"/>
        </w:rPr>
      </w:pPr>
      <w:r>
        <w:rPr>
          <w:rFonts w:hint="eastAsia" w:ascii="宋体" w:hAnsi="宋体" w:cs="宋体"/>
          <w:b/>
          <w:szCs w:val="24"/>
        </w:rPr>
        <w:t>（四）竞争性遴选文件要求的其它资格证明文件</w:t>
      </w:r>
    </w:p>
    <w:p>
      <w:pPr>
        <w:tabs>
          <w:tab w:val="left" w:pos="720"/>
        </w:tabs>
        <w:snapToGrid w:val="0"/>
        <w:ind w:firstLine="480" w:firstLineChars="200"/>
        <w:rPr>
          <w:rFonts w:hint="eastAsia" w:ascii="宋体" w:hAnsi="宋体" w:cs="宋体"/>
          <w:szCs w:val="24"/>
        </w:rPr>
      </w:pPr>
    </w:p>
    <w:p>
      <w:pPr>
        <w:snapToGrid w:val="0"/>
        <w:rPr>
          <w:rFonts w:hint="eastAsia" w:ascii="宋体" w:hAnsi="宋体" w:cs="宋体"/>
          <w:szCs w:val="24"/>
        </w:rPr>
      </w:pPr>
    </w:p>
    <w:p>
      <w:pPr>
        <w:pStyle w:val="293"/>
        <w:ind w:left="0" w:firstLine="0"/>
        <w:jc w:val="center"/>
        <w:rPr>
          <w:rFonts w:hint="eastAsia" w:ascii="宋体" w:hAnsi="宋体" w:cs="宋体"/>
          <w:szCs w:val="24"/>
          <w:lang w:bidi="en-US"/>
        </w:rPr>
      </w:pPr>
      <w:r>
        <w:rPr>
          <w:rFonts w:hint="eastAsia" w:ascii="宋体" w:hAnsi="宋体" w:cs="宋体"/>
          <w:szCs w:val="24"/>
          <w:lang w:bidi="en-US"/>
        </w:rPr>
        <w:br w:type="page"/>
      </w:r>
      <w:bookmarkStart w:id="273" w:name="_Toc161058991"/>
      <w:bookmarkStart w:id="274" w:name="_Toc3955"/>
      <w:bookmarkStart w:id="275" w:name="_Toc21135"/>
      <w:bookmarkStart w:id="276" w:name="_Toc29876"/>
      <w:r>
        <w:rPr>
          <w:rFonts w:hint="eastAsia" w:ascii="宋体" w:hAnsi="宋体" w:cs="宋体"/>
          <w:szCs w:val="24"/>
          <w:lang w:bidi="en-US"/>
        </w:rPr>
        <w:t>三、商务部分</w:t>
      </w:r>
      <w:bookmarkEnd w:id="270"/>
      <w:bookmarkEnd w:id="271"/>
      <w:bookmarkEnd w:id="272"/>
      <w:bookmarkEnd w:id="273"/>
      <w:bookmarkEnd w:id="274"/>
      <w:bookmarkEnd w:id="275"/>
      <w:bookmarkEnd w:id="276"/>
      <w:bookmarkStart w:id="277" w:name="_Toc428784038"/>
    </w:p>
    <w:bookmarkEnd w:id="277"/>
    <w:p>
      <w:pPr>
        <w:pStyle w:val="293"/>
        <w:ind w:left="1138" w:hanging="1138" w:hangingChars="542"/>
        <w:jc w:val="left"/>
        <w:rPr>
          <w:rFonts w:hint="eastAsia" w:ascii="宋体" w:hAnsi="宋体" w:cs="宋体"/>
          <w:b w:val="0"/>
          <w:bCs/>
          <w:sz w:val="21"/>
          <w:szCs w:val="21"/>
        </w:rPr>
      </w:pPr>
      <w:bookmarkStart w:id="278" w:name="_Toc25326"/>
    </w:p>
    <w:p>
      <w:pPr>
        <w:pStyle w:val="3"/>
        <w:rPr>
          <w:rFonts w:hint="eastAsia"/>
        </w:rPr>
      </w:pPr>
    </w:p>
    <w:p>
      <w:pPr>
        <w:pStyle w:val="293"/>
        <w:ind w:left="1138" w:hanging="1138" w:hangingChars="542"/>
        <w:jc w:val="left"/>
        <w:rPr>
          <w:rFonts w:hint="eastAsia" w:ascii="宋体" w:hAnsi="宋体" w:cs="宋体"/>
          <w:b w:val="0"/>
          <w:bCs/>
          <w:sz w:val="21"/>
          <w:szCs w:val="21"/>
        </w:rPr>
      </w:pPr>
      <w:bookmarkStart w:id="279" w:name="_Toc161058992"/>
      <w:r>
        <w:rPr>
          <w:rFonts w:hint="eastAsia" w:ascii="宋体" w:hAnsi="宋体" w:cs="宋体"/>
          <w:b w:val="0"/>
          <w:bCs/>
          <w:sz w:val="21"/>
          <w:szCs w:val="21"/>
        </w:rPr>
        <w:t>包括但不限于以下内容：</w:t>
      </w:r>
      <w:bookmarkEnd w:id="278"/>
      <w:bookmarkEnd w:id="279"/>
    </w:p>
    <w:p>
      <w:pPr>
        <w:pStyle w:val="293"/>
        <w:ind w:left="240" w:leftChars="100" w:firstLine="210" w:firstLineChars="100"/>
        <w:jc w:val="left"/>
        <w:rPr>
          <w:rFonts w:hint="eastAsia" w:ascii="宋体" w:hAnsi="宋体" w:cs="宋体"/>
          <w:b w:val="0"/>
          <w:bCs/>
          <w:sz w:val="21"/>
          <w:szCs w:val="21"/>
        </w:rPr>
      </w:pPr>
      <w:bookmarkStart w:id="280" w:name="_Toc20365"/>
      <w:bookmarkStart w:id="281" w:name="_Toc161058993"/>
      <w:r>
        <w:rPr>
          <w:rFonts w:hint="eastAsia" w:ascii="宋体" w:hAnsi="宋体" w:cs="宋体"/>
          <w:b w:val="0"/>
          <w:bCs/>
          <w:sz w:val="21"/>
          <w:szCs w:val="21"/>
        </w:rPr>
        <w:t>按遴选文件商务评审标准的评分内容所提交的资料或证明文件（格式自拟）</w:t>
      </w:r>
      <w:r>
        <w:rPr>
          <w:rFonts w:ascii="宋体" w:hAnsi="宋体" w:cs="宋体"/>
          <w:b w:val="0"/>
          <w:bCs/>
          <w:sz w:val="21"/>
          <w:szCs w:val="21"/>
        </w:rPr>
        <w:t xml:space="preserve"> 。</w:t>
      </w:r>
      <w:bookmarkEnd w:id="280"/>
      <w:bookmarkEnd w:id="281"/>
      <w:r>
        <w:rPr>
          <w:rFonts w:ascii="宋体" w:hAnsi="宋体" w:cs="宋体"/>
          <w:b w:val="0"/>
          <w:bCs/>
          <w:sz w:val="21"/>
          <w:szCs w:val="21"/>
        </w:rPr>
        <w:t xml:space="preserve"> </w:t>
      </w:r>
    </w:p>
    <w:p>
      <w:pPr>
        <w:pStyle w:val="293"/>
        <w:ind w:left="0" w:firstLine="0"/>
        <w:rPr>
          <w:rFonts w:hint="eastAsia" w:ascii="宋体" w:hAnsi="宋体" w:cs="宋体"/>
        </w:rPr>
      </w:pPr>
    </w:p>
    <w:p>
      <w:pPr>
        <w:snapToGrid w:val="0"/>
        <w:spacing w:line="500" w:lineRule="atLeast"/>
        <w:ind w:firstLine="0"/>
        <w:rPr>
          <w:rFonts w:hint="eastAsia" w:ascii="宋体" w:hAnsi="宋体" w:cs="宋体"/>
          <w:sz w:val="28"/>
          <w:szCs w:val="28"/>
        </w:rPr>
      </w:pPr>
    </w:p>
    <w:p>
      <w:pPr>
        <w:autoSpaceDE w:val="0"/>
        <w:autoSpaceDN w:val="0"/>
        <w:rPr>
          <w:rFonts w:hint="eastAsia" w:ascii="宋体" w:hAnsi="宋体" w:cs="宋体"/>
        </w:rPr>
      </w:pPr>
    </w:p>
    <w:p>
      <w:pPr>
        <w:pStyle w:val="4"/>
        <w:spacing w:before="0" w:after="0" w:line="360" w:lineRule="auto"/>
        <w:ind w:firstLine="0"/>
        <w:jc w:val="center"/>
        <w:rPr>
          <w:rFonts w:hint="eastAsia" w:ascii="宋体" w:hAnsi="宋体" w:cs="宋体"/>
          <w:bCs w:val="0"/>
        </w:rPr>
      </w:pPr>
      <w:bookmarkStart w:id="282" w:name="_Toc447723916"/>
      <w:bookmarkStart w:id="283" w:name="_Toc429511725"/>
      <w:r>
        <w:rPr>
          <w:rFonts w:hint="eastAsia" w:ascii="宋体" w:hAnsi="宋体" w:cs="宋体"/>
          <w:bCs w:val="0"/>
        </w:rPr>
        <w:br w:type="page"/>
      </w:r>
      <w:bookmarkStart w:id="284" w:name="_Toc161058994"/>
      <w:bookmarkStart w:id="285" w:name="_Toc4980"/>
      <w:bookmarkStart w:id="286" w:name="_Toc2602"/>
      <w:bookmarkStart w:id="287" w:name="_Toc30292"/>
      <w:r>
        <w:rPr>
          <w:rFonts w:hint="eastAsia" w:ascii="宋体" w:hAnsi="宋体" w:cs="宋体"/>
          <w:bCs w:val="0"/>
          <w:sz w:val="24"/>
          <w:szCs w:val="24"/>
          <w:lang w:bidi="en-US"/>
        </w:rPr>
        <w:t>四、技术部分</w:t>
      </w:r>
      <w:bookmarkEnd w:id="282"/>
      <w:bookmarkEnd w:id="283"/>
      <w:bookmarkEnd w:id="284"/>
      <w:bookmarkEnd w:id="285"/>
      <w:bookmarkEnd w:id="286"/>
      <w:bookmarkEnd w:id="287"/>
    </w:p>
    <w:p>
      <w:pPr>
        <w:adjustRightInd/>
        <w:ind w:firstLine="0"/>
        <w:textAlignment w:val="auto"/>
        <w:rPr>
          <w:rFonts w:hint="eastAsia" w:ascii="宋体" w:hAnsi="宋体" w:cs="宋体"/>
          <w:sz w:val="21"/>
          <w:szCs w:val="21"/>
        </w:rPr>
      </w:pPr>
    </w:p>
    <w:p>
      <w:pPr>
        <w:adjustRightInd/>
        <w:ind w:firstLine="0"/>
        <w:textAlignment w:val="auto"/>
        <w:rPr>
          <w:rFonts w:hint="eastAsia" w:ascii="宋体" w:hAnsi="宋体" w:cs="宋体"/>
          <w:szCs w:val="21"/>
        </w:rPr>
      </w:pPr>
    </w:p>
    <w:p>
      <w:pPr>
        <w:pStyle w:val="293"/>
        <w:ind w:left="0" w:firstLine="0"/>
        <w:rPr>
          <w:rFonts w:hint="eastAsia" w:ascii="宋体" w:hAnsi="宋体" w:cs="宋体"/>
          <w:b w:val="0"/>
          <w:bCs/>
          <w:sz w:val="21"/>
          <w:szCs w:val="21"/>
        </w:rPr>
      </w:pPr>
      <w:bookmarkStart w:id="288" w:name="_Toc30676"/>
      <w:bookmarkStart w:id="289" w:name="_Toc161058995"/>
      <w:r>
        <w:rPr>
          <w:rFonts w:hint="eastAsia" w:ascii="宋体" w:hAnsi="宋体" w:cs="宋体"/>
          <w:b w:val="0"/>
          <w:bCs/>
          <w:sz w:val="21"/>
          <w:szCs w:val="21"/>
        </w:rPr>
        <w:t>包括但不限于以下内容：</w:t>
      </w:r>
      <w:bookmarkEnd w:id="288"/>
      <w:bookmarkEnd w:id="289"/>
    </w:p>
    <w:p>
      <w:pPr>
        <w:rPr>
          <w:rFonts w:hint="eastAsia" w:ascii="宋体" w:hAnsi="宋体" w:cs="宋体"/>
          <w:kern w:val="1"/>
          <w:sz w:val="28"/>
          <w:szCs w:val="28"/>
        </w:rPr>
      </w:pPr>
      <w:bookmarkStart w:id="290" w:name="_Toc14729"/>
      <w:r>
        <w:rPr>
          <w:rFonts w:hint="eastAsia" w:ascii="宋体" w:hAnsi="宋体" w:cs="宋体"/>
          <w:sz w:val="21"/>
          <w:szCs w:val="21"/>
        </w:rPr>
        <w:t>按遴选文件技术评审标准的评分内容所提交的资料或证明文件（格式自拟）</w:t>
      </w:r>
      <w:r>
        <w:rPr>
          <w:rFonts w:ascii="宋体" w:hAnsi="宋体" w:cs="宋体"/>
          <w:sz w:val="21"/>
          <w:szCs w:val="21"/>
        </w:rPr>
        <w:t xml:space="preserve"> 。</w:t>
      </w:r>
      <w:bookmarkEnd w:id="290"/>
    </w:p>
    <w:p>
      <w:pPr>
        <w:rPr>
          <w:rFonts w:hint="eastAsia" w:ascii="宋体" w:hAnsi="宋体" w:cs="宋体"/>
          <w:kern w:val="1"/>
          <w:sz w:val="28"/>
          <w:szCs w:val="28"/>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pStyle w:val="68"/>
        <w:rPr>
          <w:color w:val="auto"/>
        </w:rPr>
      </w:pPr>
    </w:p>
    <w:p>
      <w:pPr>
        <w:rPr>
          <w:rFonts w:hint="eastAsia" w:ascii="宋体" w:hAnsi="宋体" w:cs="宋体"/>
          <w:kern w:val="1"/>
          <w:sz w:val="28"/>
          <w:szCs w:val="28"/>
        </w:rPr>
      </w:pPr>
    </w:p>
    <w:p>
      <w:pPr>
        <w:rPr>
          <w:rFonts w:hint="eastAsia" w:ascii="宋体" w:hAnsi="宋体" w:cs="宋体"/>
          <w:kern w:val="1"/>
          <w:sz w:val="28"/>
          <w:szCs w:val="28"/>
        </w:rPr>
      </w:pPr>
    </w:p>
    <w:p>
      <w:pPr>
        <w:rPr>
          <w:rFonts w:hint="eastAsia" w:ascii="宋体" w:hAnsi="宋体" w:cs="宋体"/>
          <w:kern w:val="1"/>
          <w:sz w:val="28"/>
          <w:szCs w:val="28"/>
        </w:rPr>
      </w:pPr>
    </w:p>
    <w:p>
      <w:pPr>
        <w:rPr>
          <w:rFonts w:hint="eastAsia" w:ascii="宋体" w:hAnsi="宋体" w:cs="宋体"/>
          <w:kern w:val="1"/>
          <w:sz w:val="28"/>
          <w:szCs w:val="28"/>
        </w:rPr>
      </w:pPr>
    </w:p>
    <w:p>
      <w:pPr>
        <w:rPr>
          <w:rFonts w:hint="eastAsia" w:ascii="宋体" w:hAnsi="宋体" w:cs="宋体"/>
          <w:kern w:val="1"/>
          <w:sz w:val="28"/>
          <w:szCs w:val="28"/>
        </w:rPr>
      </w:pPr>
    </w:p>
    <w:p>
      <w:pPr>
        <w:ind w:firstLine="0"/>
        <w:jc w:val="right"/>
        <w:rPr>
          <w:rFonts w:hint="eastAsia" w:ascii="宋体" w:hAnsi="宋体" w:cs="宋体"/>
          <w:b/>
          <w:sz w:val="32"/>
          <w:szCs w:val="32"/>
        </w:rPr>
      </w:pPr>
    </w:p>
    <w:sectPr>
      <w:pgSz w:w="11906" w:h="16838"/>
      <w:pgMar w:top="1417" w:right="1134" w:bottom="1134" w:left="1134" w:header="794" w:footer="794" w:gutter="34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体">
    <w:altName w:val="仿宋"/>
    <w:panose1 w:val="00000000000000000000"/>
    <w:charset w:val="86"/>
    <w:family w:val="swiss"/>
    <w:pitch w:val="default"/>
    <w:sig w:usb0="00000000" w:usb1="00000000" w:usb2="00000010" w:usb3="00000000" w:csb0="00040000" w:csb1="00000000"/>
  </w:font>
  <w:font w:name="Wide Latin">
    <w:panose1 w:val="020A0A07050505020404"/>
    <w:charset w:val="00"/>
    <w:family w:val="roman"/>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Courier 10 Pitch">
    <w:altName w:val="Segoe Print"/>
    <w:panose1 w:val="00000000000000000000"/>
    <w:charset w:val="00"/>
    <w:family w:val="modern"/>
    <w:pitch w:val="default"/>
    <w:sig w:usb0="00000000" w:usb1="00000000" w:usb2="00000000" w:usb3="00000000" w:csb0="00000001" w:csb1="00000000"/>
  </w:font>
  <w:font w:name="Palatino">
    <w:altName w:val="Palatino Linotype"/>
    <w:panose1 w:val="02040602050305020304"/>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B Frutiger Bold">
    <w:altName w:val="Segoe Print"/>
    <w:panose1 w:val="00000000000000000000"/>
    <w:charset w:val="00"/>
    <w:family w:val="swiss"/>
    <w:pitch w:val="default"/>
    <w:sig w:usb0="00000000" w:usb1="00000000" w:usb2="00000000" w:usb3="00000000" w:csb0="00000001"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16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0"/>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0"/>
      </w:rPr>
    </w:pPr>
    <w:r>
      <w:fldChar w:fldCharType="begin"/>
    </w:r>
    <w:r>
      <w:rPr>
        <w:rStyle w:val="60"/>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firstLine="0"/>
      <w:rPr>
        <w:i/>
        <w:iCs/>
      </w:rPr>
    </w:pPr>
    <w:r>
      <w:rPr>
        <w:i/>
        <w:iC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63855" cy="196850"/>
              <wp:effectExtent l="0" t="0" r="0" b="0"/>
              <wp:wrapNone/>
              <wp:docPr id="9" name="文本框 6"/>
              <wp:cNvGraphicFramePr/>
              <a:graphic xmlns:a="http://schemas.openxmlformats.org/drawingml/2006/main">
                <a:graphicData uri="http://schemas.microsoft.com/office/word/2010/wordprocessingShape">
                  <wps:wsp>
                    <wps:cNvSpPr txBox="1"/>
                    <wps:spPr>
                      <a:xfrm>
                        <a:off x="0" y="0"/>
                        <a:ext cx="363855" cy="19685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5.5pt;width:28.65pt;mso-position-horizontal:center;mso-position-horizontal-relative:margin;mso-wrap-style:none;z-index:251663360;mso-width-relative:page;mso-height-relative:page;" filled="f" stroked="f" coordsize="21600,21600" o:gfxdata="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ktetEAAAADAQAADwAAAAAAAAABACAAAAAiAAAAZHJzL2Rvd25yZXYueG1sUEsBAhQAFAAAAAgA&#10;h07iQHynJd26AQAAVwMAAA4AAAAAAAAAAQAgAAAAIAEAAGRycy9lMm9Eb2MueG1sUEsFBgAAAAAG&#10;AAYAWQEAAEw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137590"/>
    </w:sdtPr>
    <w:sdtContent>
      <w:p>
        <w:pPr>
          <w:pStyle w:val="39"/>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ind w:right="-307" w:firstLine="283" w:firstLineChars="157"/>
    </w:pPr>
    <w:r>
      <w:rPr>
        <w:rFonts w:hint="eastAsia"/>
        <w:i/>
      </w:rPr>
      <w:t>重庆国际投资咨询集团有限公司</w:t>
    </w:r>
  </w:p>
  <w:p>
    <w:pPr>
      <w:pStyle w:val="39"/>
      <w:ind w:firstLine="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2E7hhFgIAABcEAAAOAAAAAAAA&#10;AAEAIAAAAB8BAABkcnMvZTJvRG9jLnhtbFBLBQYAAAAABgAGAFkBAACn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434808"/>
    </w:sdtPr>
    <w:sdtContent>
      <w:p>
        <w:pPr>
          <w:pStyle w:val="39"/>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583107"/>
    </w:sdtPr>
    <w:sdtContent>
      <w:p>
        <w:pPr>
          <w:pStyle w:val="39"/>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9"/>
      <w:ind w:right="36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963218"/>
    </w:sdtPr>
    <w:sdtContent>
      <w:p>
        <w:pPr>
          <w:pStyle w:val="39"/>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33"/>
      </w:tabs>
      <w:snapToGrid w:val="0"/>
      <w:ind w:firstLine="0"/>
      <w:jc w:val="center"/>
      <w:rPr>
        <w:bCs/>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0"/>
      <w:jc w:val="left"/>
      <w:rPr>
        <w:sz w:val="24"/>
        <w:szCs w:val="24"/>
        <w:u w:val="single"/>
      </w:rPr>
    </w:pPr>
    <w:r>
      <w:rPr>
        <w:rFonts w:hint="eastAsia" w:ascii="宋体" w:hAnsi="宋体"/>
        <w:i/>
        <w:iCs/>
        <w:spacing w:val="-11"/>
        <w:u w:val="single"/>
      </w:rPr>
      <w:t>开投科技重庆尚速物流有限公司重卡充电站引资项目</w:t>
    </w:r>
    <w:r>
      <w:rPr>
        <w:rFonts w:hint="eastAsia" w:ascii="宋体" w:hAnsi="宋体"/>
        <w:bCs/>
        <w:i/>
        <w:iCs/>
        <w:spacing w:val="-11"/>
        <w:u w:val="single"/>
      </w:rPr>
      <w:t xml:space="preserve">                                                                                           竞争性遴选文件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33"/>
      </w:tabs>
      <w:snapToGrid w:val="0"/>
      <w:ind w:firstLine="0"/>
      <w:jc w:val="center"/>
      <w:rPr>
        <w:bCs/>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0"/>
      <w:jc w:val="left"/>
      <w:rPr>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33"/>
      </w:tabs>
      <w:snapToGrid w:val="0"/>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8514"/>
    <w:multiLevelType w:val="singleLevel"/>
    <w:tmpl w:val="0B7D8514"/>
    <w:lvl w:ilvl="0" w:tentative="0">
      <w:start w:val="5"/>
      <w:numFmt w:val="chineseCounting"/>
      <w:suff w:val="space"/>
      <w:lvlText w:val="第%1章"/>
      <w:lvlJc w:val="left"/>
      <w:rPr>
        <w:rFonts w:hint="eastAsia"/>
      </w:rPr>
    </w:lvl>
  </w:abstractNum>
  <w:abstractNum w:abstractNumId="1">
    <w:nsid w:val="48FCE59F"/>
    <w:multiLevelType w:val="singleLevel"/>
    <w:tmpl w:val="48FCE59F"/>
    <w:lvl w:ilvl="0" w:tentative="0">
      <w:start w:val="4"/>
      <w:numFmt w:val="chineseCounting"/>
      <w:suff w:val="space"/>
      <w:lvlText w:val="第%1章"/>
      <w:lvlJc w:val="left"/>
      <w:rPr>
        <w:rFonts w:hint="eastAsia"/>
      </w:rPr>
    </w:lvl>
  </w:abstractNum>
  <w:abstractNum w:abstractNumId="2">
    <w:nsid w:val="49114A85"/>
    <w:multiLevelType w:val="multilevel"/>
    <w:tmpl w:val="49114A85"/>
    <w:lvl w:ilvl="0" w:tentative="0">
      <w:start w:val="1"/>
      <w:numFmt w:val="decimal"/>
      <w:pStyle w:val="311"/>
      <w:suff w:val="space"/>
      <w:lvlText w:val="%1、"/>
      <w:lvlJc w:val="left"/>
      <w:pPr>
        <w:ind w:left="0" w:firstLine="48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721948B"/>
    <w:multiLevelType w:val="singleLevel"/>
    <w:tmpl w:val="6721948B"/>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hideSpellingErrors/>
  <w:documentProtection w:edit="forms"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YmRjZTdjOTk5ODNjOTE3ZDlhYThhMDk1MDYyMzYifQ=="/>
    <w:docVar w:name="KGWebUrl" w:val="http://10.10.10.15/seeyon/officeservlet"/>
  </w:docVars>
  <w:rsids>
    <w:rsidRoot w:val="00172A27"/>
    <w:rsid w:val="000001BC"/>
    <w:rsid w:val="00000FD6"/>
    <w:rsid w:val="00001B71"/>
    <w:rsid w:val="00002F90"/>
    <w:rsid w:val="000030D0"/>
    <w:rsid w:val="00003584"/>
    <w:rsid w:val="000035D3"/>
    <w:rsid w:val="00003E86"/>
    <w:rsid w:val="00004039"/>
    <w:rsid w:val="000040EB"/>
    <w:rsid w:val="00004E4B"/>
    <w:rsid w:val="00005020"/>
    <w:rsid w:val="00005BFE"/>
    <w:rsid w:val="00006CF3"/>
    <w:rsid w:val="000077CF"/>
    <w:rsid w:val="00007B5D"/>
    <w:rsid w:val="00007B9D"/>
    <w:rsid w:val="0001051F"/>
    <w:rsid w:val="00010F8F"/>
    <w:rsid w:val="000110C8"/>
    <w:rsid w:val="0001126F"/>
    <w:rsid w:val="00011664"/>
    <w:rsid w:val="000117CC"/>
    <w:rsid w:val="00011B3D"/>
    <w:rsid w:val="00012665"/>
    <w:rsid w:val="00013035"/>
    <w:rsid w:val="000147D9"/>
    <w:rsid w:val="00014CC5"/>
    <w:rsid w:val="000201D3"/>
    <w:rsid w:val="0002047F"/>
    <w:rsid w:val="000216F6"/>
    <w:rsid w:val="000224C6"/>
    <w:rsid w:val="000227CC"/>
    <w:rsid w:val="00023AF7"/>
    <w:rsid w:val="00023EE3"/>
    <w:rsid w:val="00025F87"/>
    <w:rsid w:val="00026962"/>
    <w:rsid w:val="00026A08"/>
    <w:rsid w:val="00026F03"/>
    <w:rsid w:val="00027749"/>
    <w:rsid w:val="00027FA6"/>
    <w:rsid w:val="000303D2"/>
    <w:rsid w:val="0003093A"/>
    <w:rsid w:val="0003100D"/>
    <w:rsid w:val="000310D4"/>
    <w:rsid w:val="00031B10"/>
    <w:rsid w:val="00031B6E"/>
    <w:rsid w:val="00031E91"/>
    <w:rsid w:val="00033E68"/>
    <w:rsid w:val="000341C2"/>
    <w:rsid w:val="000341EA"/>
    <w:rsid w:val="00034208"/>
    <w:rsid w:val="00034BA0"/>
    <w:rsid w:val="00034E2D"/>
    <w:rsid w:val="00036F5C"/>
    <w:rsid w:val="0003753B"/>
    <w:rsid w:val="000406ED"/>
    <w:rsid w:val="00043718"/>
    <w:rsid w:val="0004398E"/>
    <w:rsid w:val="00043A3F"/>
    <w:rsid w:val="00043B3C"/>
    <w:rsid w:val="0004516F"/>
    <w:rsid w:val="000456AC"/>
    <w:rsid w:val="0004663B"/>
    <w:rsid w:val="000469AE"/>
    <w:rsid w:val="000502F0"/>
    <w:rsid w:val="0005087D"/>
    <w:rsid w:val="000513FD"/>
    <w:rsid w:val="000522A6"/>
    <w:rsid w:val="00052CE5"/>
    <w:rsid w:val="000538CE"/>
    <w:rsid w:val="00053985"/>
    <w:rsid w:val="0005469D"/>
    <w:rsid w:val="00055A73"/>
    <w:rsid w:val="000565D1"/>
    <w:rsid w:val="00056A26"/>
    <w:rsid w:val="00060680"/>
    <w:rsid w:val="000607A8"/>
    <w:rsid w:val="00060E92"/>
    <w:rsid w:val="0006233D"/>
    <w:rsid w:val="00063C8F"/>
    <w:rsid w:val="000645C0"/>
    <w:rsid w:val="00064743"/>
    <w:rsid w:val="0006481A"/>
    <w:rsid w:val="00066211"/>
    <w:rsid w:val="00066604"/>
    <w:rsid w:val="0006746E"/>
    <w:rsid w:val="00067D18"/>
    <w:rsid w:val="00071C6D"/>
    <w:rsid w:val="000720EC"/>
    <w:rsid w:val="00073440"/>
    <w:rsid w:val="00073FD6"/>
    <w:rsid w:val="00075FDD"/>
    <w:rsid w:val="000765E1"/>
    <w:rsid w:val="00076C4E"/>
    <w:rsid w:val="00076F87"/>
    <w:rsid w:val="000775F5"/>
    <w:rsid w:val="000779B9"/>
    <w:rsid w:val="00080B11"/>
    <w:rsid w:val="00080B16"/>
    <w:rsid w:val="00081140"/>
    <w:rsid w:val="00081991"/>
    <w:rsid w:val="00081EFB"/>
    <w:rsid w:val="000823F2"/>
    <w:rsid w:val="00083328"/>
    <w:rsid w:val="0008403D"/>
    <w:rsid w:val="00084A76"/>
    <w:rsid w:val="00084C26"/>
    <w:rsid w:val="00084D5C"/>
    <w:rsid w:val="00086EDA"/>
    <w:rsid w:val="00087782"/>
    <w:rsid w:val="00091D17"/>
    <w:rsid w:val="00092495"/>
    <w:rsid w:val="0009284E"/>
    <w:rsid w:val="00092AF0"/>
    <w:rsid w:val="00093901"/>
    <w:rsid w:val="00093A5E"/>
    <w:rsid w:val="00095303"/>
    <w:rsid w:val="00095773"/>
    <w:rsid w:val="00096D79"/>
    <w:rsid w:val="00097213"/>
    <w:rsid w:val="00097881"/>
    <w:rsid w:val="000A00A4"/>
    <w:rsid w:val="000A06A5"/>
    <w:rsid w:val="000A10A2"/>
    <w:rsid w:val="000A1F8F"/>
    <w:rsid w:val="000A378B"/>
    <w:rsid w:val="000A3C24"/>
    <w:rsid w:val="000A3EF9"/>
    <w:rsid w:val="000A557E"/>
    <w:rsid w:val="000A6025"/>
    <w:rsid w:val="000A7339"/>
    <w:rsid w:val="000A773C"/>
    <w:rsid w:val="000B11B6"/>
    <w:rsid w:val="000B12A7"/>
    <w:rsid w:val="000B14CE"/>
    <w:rsid w:val="000B1818"/>
    <w:rsid w:val="000B36FD"/>
    <w:rsid w:val="000B39FF"/>
    <w:rsid w:val="000B3BA7"/>
    <w:rsid w:val="000B485D"/>
    <w:rsid w:val="000B59EC"/>
    <w:rsid w:val="000B5A49"/>
    <w:rsid w:val="000B5E18"/>
    <w:rsid w:val="000B625D"/>
    <w:rsid w:val="000B687D"/>
    <w:rsid w:val="000B6F86"/>
    <w:rsid w:val="000B7B8F"/>
    <w:rsid w:val="000C0332"/>
    <w:rsid w:val="000C03CE"/>
    <w:rsid w:val="000C0FAC"/>
    <w:rsid w:val="000C105B"/>
    <w:rsid w:val="000C106D"/>
    <w:rsid w:val="000C1EF6"/>
    <w:rsid w:val="000C249D"/>
    <w:rsid w:val="000C2E17"/>
    <w:rsid w:val="000C404E"/>
    <w:rsid w:val="000C471E"/>
    <w:rsid w:val="000C4953"/>
    <w:rsid w:val="000C55D5"/>
    <w:rsid w:val="000C566A"/>
    <w:rsid w:val="000C5C52"/>
    <w:rsid w:val="000C602E"/>
    <w:rsid w:val="000C6523"/>
    <w:rsid w:val="000C7936"/>
    <w:rsid w:val="000D00DC"/>
    <w:rsid w:val="000D02A2"/>
    <w:rsid w:val="000D12AA"/>
    <w:rsid w:val="000D1A97"/>
    <w:rsid w:val="000D1AAE"/>
    <w:rsid w:val="000D2429"/>
    <w:rsid w:val="000D2AF1"/>
    <w:rsid w:val="000D2E16"/>
    <w:rsid w:val="000D46BF"/>
    <w:rsid w:val="000D4B78"/>
    <w:rsid w:val="000D54E1"/>
    <w:rsid w:val="000D6F1F"/>
    <w:rsid w:val="000D763D"/>
    <w:rsid w:val="000E015A"/>
    <w:rsid w:val="000E04CD"/>
    <w:rsid w:val="000E078F"/>
    <w:rsid w:val="000E0E89"/>
    <w:rsid w:val="000E273C"/>
    <w:rsid w:val="000E31A6"/>
    <w:rsid w:val="000E3CA9"/>
    <w:rsid w:val="000E4054"/>
    <w:rsid w:val="000E42B2"/>
    <w:rsid w:val="000E4FBC"/>
    <w:rsid w:val="000E64EB"/>
    <w:rsid w:val="000E6881"/>
    <w:rsid w:val="000E6A55"/>
    <w:rsid w:val="000E782A"/>
    <w:rsid w:val="000E7D51"/>
    <w:rsid w:val="000E7F93"/>
    <w:rsid w:val="000F0A6F"/>
    <w:rsid w:val="000F1CAF"/>
    <w:rsid w:val="000F1D4F"/>
    <w:rsid w:val="000F1EF8"/>
    <w:rsid w:val="000F2F82"/>
    <w:rsid w:val="000F36B6"/>
    <w:rsid w:val="000F435C"/>
    <w:rsid w:val="000F43F1"/>
    <w:rsid w:val="000F5470"/>
    <w:rsid w:val="000F569B"/>
    <w:rsid w:val="000F589C"/>
    <w:rsid w:val="000F7301"/>
    <w:rsid w:val="000F7DAE"/>
    <w:rsid w:val="000F7FAF"/>
    <w:rsid w:val="0010004E"/>
    <w:rsid w:val="0010032E"/>
    <w:rsid w:val="0010121A"/>
    <w:rsid w:val="001016D7"/>
    <w:rsid w:val="001035C9"/>
    <w:rsid w:val="00103777"/>
    <w:rsid w:val="001038DF"/>
    <w:rsid w:val="00104C93"/>
    <w:rsid w:val="00104D45"/>
    <w:rsid w:val="001058C4"/>
    <w:rsid w:val="00105E4D"/>
    <w:rsid w:val="0010675A"/>
    <w:rsid w:val="00107AB7"/>
    <w:rsid w:val="001106EB"/>
    <w:rsid w:val="00110BD4"/>
    <w:rsid w:val="001111E2"/>
    <w:rsid w:val="0011188B"/>
    <w:rsid w:val="00111A99"/>
    <w:rsid w:val="0011258B"/>
    <w:rsid w:val="00112776"/>
    <w:rsid w:val="00112A43"/>
    <w:rsid w:val="001139E1"/>
    <w:rsid w:val="0011496A"/>
    <w:rsid w:val="00114CE8"/>
    <w:rsid w:val="00115656"/>
    <w:rsid w:val="00115E1A"/>
    <w:rsid w:val="0011604A"/>
    <w:rsid w:val="00116ACC"/>
    <w:rsid w:val="00117BAA"/>
    <w:rsid w:val="001206DD"/>
    <w:rsid w:val="00120A81"/>
    <w:rsid w:val="0012178F"/>
    <w:rsid w:val="00121810"/>
    <w:rsid w:val="00121FB8"/>
    <w:rsid w:val="001225C6"/>
    <w:rsid w:val="00122B57"/>
    <w:rsid w:val="00122BB8"/>
    <w:rsid w:val="001234BE"/>
    <w:rsid w:val="001238AC"/>
    <w:rsid w:val="00123B0F"/>
    <w:rsid w:val="0012428F"/>
    <w:rsid w:val="00126467"/>
    <w:rsid w:val="0012650C"/>
    <w:rsid w:val="00126AD6"/>
    <w:rsid w:val="00127E5B"/>
    <w:rsid w:val="0013118C"/>
    <w:rsid w:val="00131313"/>
    <w:rsid w:val="00132D88"/>
    <w:rsid w:val="00133829"/>
    <w:rsid w:val="00135A3B"/>
    <w:rsid w:val="00135DD9"/>
    <w:rsid w:val="001367EB"/>
    <w:rsid w:val="00137423"/>
    <w:rsid w:val="00137FF8"/>
    <w:rsid w:val="00140933"/>
    <w:rsid w:val="001416C3"/>
    <w:rsid w:val="00143873"/>
    <w:rsid w:val="001439C9"/>
    <w:rsid w:val="00144152"/>
    <w:rsid w:val="00144226"/>
    <w:rsid w:val="001442A7"/>
    <w:rsid w:val="001443EA"/>
    <w:rsid w:val="00147110"/>
    <w:rsid w:val="00150316"/>
    <w:rsid w:val="00151B59"/>
    <w:rsid w:val="00151EE4"/>
    <w:rsid w:val="001522DC"/>
    <w:rsid w:val="00152BA4"/>
    <w:rsid w:val="001539F3"/>
    <w:rsid w:val="00153C9B"/>
    <w:rsid w:val="00153D4E"/>
    <w:rsid w:val="001546E0"/>
    <w:rsid w:val="00155071"/>
    <w:rsid w:val="001555C0"/>
    <w:rsid w:val="00156297"/>
    <w:rsid w:val="00156EB4"/>
    <w:rsid w:val="00157498"/>
    <w:rsid w:val="00157654"/>
    <w:rsid w:val="00160B4F"/>
    <w:rsid w:val="001617D3"/>
    <w:rsid w:val="00161C2B"/>
    <w:rsid w:val="00162209"/>
    <w:rsid w:val="001633C9"/>
    <w:rsid w:val="001635A9"/>
    <w:rsid w:val="00163B6B"/>
    <w:rsid w:val="00163DBA"/>
    <w:rsid w:val="00165BFE"/>
    <w:rsid w:val="001669F8"/>
    <w:rsid w:val="00166CD0"/>
    <w:rsid w:val="0016714B"/>
    <w:rsid w:val="00167A8A"/>
    <w:rsid w:val="00167D15"/>
    <w:rsid w:val="00170327"/>
    <w:rsid w:val="00171CD5"/>
    <w:rsid w:val="00172A27"/>
    <w:rsid w:val="00172AF1"/>
    <w:rsid w:val="00172D4B"/>
    <w:rsid w:val="00173DFC"/>
    <w:rsid w:val="00174144"/>
    <w:rsid w:val="001749B2"/>
    <w:rsid w:val="00174A04"/>
    <w:rsid w:val="001759AC"/>
    <w:rsid w:val="00175F8C"/>
    <w:rsid w:val="0017603D"/>
    <w:rsid w:val="0017641E"/>
    <w:rsid w:val="0017672F"/>
    <w:rsid w:val="00176BC6"/>
    <w:rsid w:val="00177102"/>
    <w:rsid w:val="00177584"/>
    <w:rsid w:val="00181F67"/>
    <w:rsid w:val="00182536"/>
    <w:rsid w:val="001826EB"/>
    <w:rsid w:val="00182D47"/>
    <w:rsid w:val="001839B6"/>
    <w:rsid w:val="00183B93"/>
    <w:rsid w:val="0018434F"/>
    <w:rsid w:val="001853C2"/>
    <w:rsid w:val="001853FE"/>
    <w:rsid w:val="00185AB1"/>
    <w:rsid w:val="001865CD"/>
    <w:rsid w:val="001872B0"/>
    <w:rsid w:val="001878DE"/>
    <w:rsid w:val="00190DAD"/>
    <w:rsid w:val="00191F63"/>
    <w:rsid w:val="00192084"/>
    <w:rsid w:val="001920AD"/>
    <w:rsid w:val="001926AE"/>
    <w:rsid w:val="001938B0"/>
    <w:rsid w:val="0019472E"/>
    <w:rsid w:val="001947AD"/>
    <w:rsid w:val="00194C7A"/>
    <w:rsid w:val="00194D3E"/>
    <w:rsid w:val="001951FC"/>
    <w:rsid w:val="00195D88"/>
    <w:rsid w:val="001966B3"/>
    <w:rsid w:val="001A391B"/>
    <w:rsid w:val="001A3CA5"/>
    <w:rsid w:val="001A5EC4"/>
    <w:rsid w:val="001B05AA"/>
    <w:rsid w:val="001B152C"/>
    <w:rsid w:val="001B180E"/>
    <w:rsid w:val="001B2294"/>
    <w:rsid w:val="001B253F"/>
    <w:rsid w:val="001B25FB"/>
    <w:rsid w:val="001B5197"/>
    <w:rsid w:val="001B554D"/>
    <w:rsid w:val="001B6ACD"/>
    <w:rsid w:val="001B7102"/>
    <w:rsid w:val="001C018F"/>
    <w:rsid w:val="001C034F"/>
    <w:rsid w:val="001C07A6"/>
    <w:rsid w:val="001C1508"/>
    <w:rsid w:val="001C2020"/>
    <w:rsid w:val="001C2709"/>
    <w:rsid w:val="001C2921"/>
    <w:rsid w:val="001C30E6"/>
    <w:rsid w:val="001C36CD"/>
    <w:rsid w:val="001C4C2A"/>
    <w:rsid w:val="001C53D6"/>
    <w:rsid w:val="001C6564"/>
    <w:rsid w:val="001C6690"/>
    <w:rsid w:val="001D0165"/>
    <w:rsid w:val="001D0D2E"/>
    <w:rsid w:val="001D14B0"/>
    <w:rsid w:val="001D1F44"/>
    <w:rsid w:val="001D2CFC"/>
    <w:rsid w:val="001D3D3C"/>
    <w:rsid w:val="001D4465"/>
    <w:rsid w:val="001D6602"/>
    <w:rsid w:val="001D705C"/>
    <w:rsid w:val="001D70C6"/>
    <w:rsid w:val="001E00E9"/>
    <w:rsid w:val="001E0ED9"/>
    <w:rsid w:val="001E1B04"/>
    <w:rsid w:val="001E32B1"/>
    <w:rsid w:val="001E32C6"/>
    <w:rsid w:val="001E36B7"/>
    <w:rsid w:val="001E4075"/>
    <w:rsid w:val="001E4481"/>
    <w:rsid w:val="001E4C16"/>
    <w:rsid w:val="001E572D"/>
    <w:rsid w:val="001E5B2E"/>
    <w:rsid w:val="001E60D0"/>
    <w:rsid w:val="001E63C8"/>
    <w:rsid w:val="001E6B40"/>
    <w:rsid w:val="001E78E5"/>
    <w:rsid w:val="001E7C9A"/>
    <w:rsid w:val="001F2915"/>
    <w:rsid w:val="001F2DAB"/>
    <w:rsid w:val="001F2DC0"/>
    <w:rsid w:val="001F3226"/>
    <w:rsid w:val="001F33CD"/>
    <w:rsid w:val="001F3DC9"/>
    <w:rsid w:val="001F43E5"/>
    <w:rsid w:val="001F501E"/>
    <w:rsid w:val="001F544F"/>
    <w:rsid w:val="001F5F61"/>
    <w:rsid w:val="001F723C"/>
    <w:rsid w:val="001F7A47"/>
    <w:rsid w:val="001F7B0A"/>
    <w:rsid w:val="001F7BC4"/>
    <w:rsid w:val="00201F64"/>
    <w:rsid w:val="00202685"/>
    <w:rsid w:val="00204135"/>
    <w:rsid w:val="00204A2A"/>
    <w:rsid w:val="0020580A"/>
    <w:rsid w:val="00206020"/>
    <w:rsid w:val="0020612E"/>
    <w:rsid w:val="002062F4"/>
    <w:rsid w:val="002065E7"/>
    <w:rsid w:val="00206DB9"/>
    <w:rsid w:val="0020740B"/>
    <w:rsid w:val="002074AE"/>
    <w:rsid w:val="00207780"/>
    <w:rsid w:val="0020790A"/>
    <w:rsid w:val="00207946"/>
    <w:rsid w:val="00207E81"/>
    <w:rsid w:val="00210165"/>
    <w:rsid w:val="002107CC"/>
    <w:rsid w:val="00210F61"/>
    <w:rsid w:val="002113CC"/>
    <w:rsid w:val="00211C5B"/>
    <w:rsid w:val="002140A8"/>
    <w:rsid w:val="00214109"/>
    <w:rsid w:val="0021551F"/>
    <w:rsid w:val="00215E62"/>
    <w:rsid w:val="00216CD2"/>
    <w:rsid w:val="002201C4"/>
    <w:rsid w:val="00220C2D"/>
    <w:rsid w:val="00221AA2"/>
    <w:rsid w:val="002224CF"/>
    <w:rsid w:val="0022255B"/>
    <w:rsid w:val="00222AA7"/>
    <w:rsid w:val="00223986"/>
    <w:rsid w:val="002239AA"/>
    <w:rsid w:val="00227BE2"/>
    <w:rsid w:val="00227DB7"/>
    <w:rsid w:val="0023062E"/>
    <w:rsid w:val="0023105C"/>
    <w:rsid w:val="002317DF"/>
    <w:rsid w:val="00232AB4"/>
    <w:rsid w:val="00233E13"/>
    <w:rsid w:val="00234223"/>
    <w:rsid w:val="00234419"/>
    <w:rsid w:val="002346EC"/>
    <w:rsid w:val="002351BF"/>
    <w:rsid w:val="00235881"/>
    <w:rsid w:val="002374D3"/>
    <w:rsid w:val="002375EC"/>
    <w:rsid w:val="002400CD"/>
    <w:rsid w:val="002408C3"/>
    <w:rsid w:val="00242073"/>
    <w:rsid w:val="00242B59"/>
    <w:rsid w:val="00242E19"/>
    <w:rsid w:val="00244CE8"/>
    <w:rsid w:val="002453FD"/>
    <w:rsid w:val="00246DDA"/>
    <w:rsid w:val="00250219"/>
    <w:rsid w:val="0025115E"/>
    <w:rsid w:val="002515C4"/>
    <w:rsid w:val="00251FF9"/>
    <w:rsid w:val="00252B78"/>
    <w:rsid w:val="002536E1"/>
    <w:rsid w:val="002538D0"/>
    <w:rsid w:val="00254186"/>
    <w:rsid w:val="002546B7"/>
    <w:rsid w:val="00254A04"/>
    <w:rsid w:val="00254CA9"/>
    <w:rsid w:val="0025728B"/>
    <w:rsid w:val="00257349"/>
    <w:rsid w:val="00257AE3"/>
    <w:rsid w:val="00257EAB"/>
    <w:rsid w:val="0026034A"/>
    <w:rsid w:val="00260BFE"/>
    <w:rsid w:val="0026238B"/>
    <w:rsid w:val="00264823"/>
    <w:rsid w:val="00265153"/>
    <w:rsid w:val="00265F97"/>
    <w:rsid w:val="0026639E"/>
    <w:rsid w:val="002666B3"/>
    <w:rsid w:val="00266F8C"/>
    <w:rsid w:val="00266F90"/>
    <w:rsid w:val="00267624"/>
    <w:rsid w:val="002676D6"/>
    <w:rsid w:val="0027023C"/>
    <w:rsid w:val="002717DF"/>
    <w:rsid w:val="002719B8"/>
    <w:rsid w:val="00271EA3"/>
    <w:rsid w:val="0027466B"/>
    <w:rsid w:val="00275D23"/>
    <w:rsid w:val="00276EBC"/>
    <w:rsid w:val="0027756D"/>
    <w:rsid w:val="00277F48"/>
    <w:rsid w:val="00280802"/>
    <w:rsid w:val="00280DD8"/>
    <w:rsid w:val="00281E52"/>
    <w:rsid w:val="0028307C"/>
    <w:rsid w:val="00283CDE"/>
    <w:rsid w:val="00284076"/>
    <w:rsid w:val="00284667"/>
    <w:rsid w:val="002878DF"/>
    <w:rsid w:val="0028795E"/>
    <w:rsid w:val="00290636"/>
    <w:rsid w:val="00290F6C"/>
    <w:rsid w:val="00291210"/>
    <w:rsid w:val="0029156C"/>
    <w:rsid w:val="00291903"/>
    <w:rsid w:val="0029466A"/>
    <w:rsid w:val="00295B27"/>
    <w:rsid w:val="00295C42"/>
    <w:rsid w:val="00295CC2"/>
    <w:rsid w:val="00296281"/>
    <w:rsid w:val="002A0308"/>
    <w:rsid w:val="002A08E6"/>
    <w:rsid w:val="002A2034"/>
    <w:rsid w:val="002A2772"/>
    <w:rsid w:val="002A29E3"/>
    <w:rsid w:val="002A3D20"/>
    <w:rsid w:val="002A41E2"/>
    <w:rsid w:val="002A4FF3"/>
    <w:rsid w:val="002A5465"/>
    <w:rsid w:val="002A66BB"/>
    <w:rsid w:val="002A76CC"/>
    <w:rsid w:val="002A77F0"/>
    <w:rsid w:val="002B05E2"/>
    <w:rsid w:val="002B0E1D"/>
    <w:rsid w:val="002B1073"/>
    <w:rsid w:val="002B1229"/>
    <w:rsid w:val="002B2172"/>
    <w:rsid w:val="002B2777"/>
    <w:rsid w:val="002B2BD3"/>
    <w:rsid w:val="002B331A"/>
    <w:rsid w:val="002B38F7"/>
    <w:rsid w:val="002B3950"/>
    <w:rsid w:val="002B3AE7"/>
    <w:rsid w:val="002B66EB"/>
    <w:rsid w:val="002B6A1A"/>
    <w:rsid w:val="002B6CEE"/>
    <w:rsid w:val="002B7B0F"/>
    <w:rsid w:val="002B7B61"/>
    <w:rsid w:val="002B7D0B"/>
    <w:rsid w:val="002C0454"/>
    <w:rsid w:val="002C0B51"/>
    <w:rsid w:val="002C0BF5"/>
    <w:rsid w:val="002C0D6A"/>
    <w:rsid w:val="002C1BD2"/>
    <w:rsid w:val="002C200F"/>
    <w:rsid w:val="002C467C"/>
    <w:rsid w:val="002C534B"/>
    <w:rsid w:val="002C676C"/>
    <w:rsid w:val="002C6C26"/>
    <w:rsid w:val="002D017E"/>
    <w:rsid w:val="002D04C8"/>
    <w:rsid w:val="002D142C"/>
    <w:rsid w:val="002D14DB"/>
    <w:rsid w:val="002D23F6"/>
    <w:rsid w:val="002D28EF"/>
    <w:rsid w:val="002D2C55"/>
    <w:rsid w:val="002D467C"/>
    <w:rsid w:val="002D5066"/>
    <w:rsid w:val="002D5654"/>
    <w:rsid w:val="002D56A5"/>
    <w:rsid w:val="002D56CA"/>
    <w:rsid w:val="002D59EB"/>
    <w:rsid w:val="002D75D5"/>
    <w:rsid w:val="002E0183"/>
    <w:rsid w:val="002E0279"/>
    <w:rsid w:val="002E0BF3"/>
    <w:rsid w:val="002E1159"/>
    <w:rsid w:val="002E2B94"/>
    <w:rsid w:val="002E2D94"/>
    <w:rsid w:val="002E3257"/>
    <w:rsid w:val="002E3646"/>
    <w:rsid w:val="002E380D"/>
    <w:rsid w:val="002E3DFC"/>
    <w:rsid w:val="002E48B6"/>
    <w:rsid w:val="002E4FDC"/>
    <w:rsid w:val="002E5CA0"/>
    <w:rsid w:val="002E63B2"/>
    <w:rsid w:val="002E721D"/>
    <w:rsid w:val="002E7438"/>
    <w:rsid w:val="002F23FA"/>
    <w:rsid w:val="002F3A7A"/>
    <w:rsid w:val="002F3BC3"/>
    <w:rsid w:val="002F3D5B"/>
    <w:rsid w:val="002F4D75"/>
    <w:rsid w:val="002F75CB"/>
    <w:rsid w:val="002F7A3A"/>
    <w:rsid w:val="002F7B9A"/>
    <w:rsid w:val="002F7F4E"/>
    <w:rsid w:val="0030072C"/>
    <w:rsid w:val="00300FF5"/>
    <w:rsid w:val="00301298"/>
    <w:rsid w:val="00301821"/>
    <w:rsid w:val="00301C5B"/>
    <w:rsid w:val="00301CC0"/>
    <w:rsid w:val="003025F1"/>
    <w:rsid w:val="00302D7E"/>
    <w:rsid w:val="00303A8E"/>
    <w:rsid w:val="00303B88"/>
    <w:rsid w:val="00303BF0"/>
    <w:rsid w:val="00304D62"/>
    <w:rsid w:val="00305699"/>
    <w:rsid w:val="00305E89"/>
    <w:rsid w:val="00306B1E"/>
    <w:rsid w:val="00307307"/>
    <w:rsid w:val="003073A8"/>
    <w:rsid w:val="003074F7"/>
    <w:rsid w:val="00307D69"/>
    <w:rsid w:val="0031042A"/>
    <w:rsid w:val="00310579"/>
    <w:rsid w:val="0031140B"/>
    <w:rsid w:val="003119BE"/>
    <w:rsid w:val="003123A5"/>
    <w:rsid w:val="00314003"/>
    <w:rsid w:val="00314523"/>
    <w:rsid w:val="00314DDD"/>
    <w:rsid w:val="00315026"/>
    <w:rsid w:val="00315B54"/>
    <w:rsid w:val="003178C2"/>
    <w:rsid w:val="00317EA6"/>
    <w:rsid w:val="00320BB1"/>
    <w:rsid w:val="00320BB8"/>
    <w:rsid w:val="003221CD"/>
    <w:rsid w:val="00322DAC"/>
    <w:rsid w:val="00323482"/>
    <w:rsid w:val="0032538E"/>
    <w:rsid w:val="003262D9"/>
    <w:rsid w:val="003278B6"/>
    <w:rsid w:val="00327BE6"/>
    <w:rsid w:val="00330868"/>
    <w:rsid w:val="00330EB1"/>
    <w:rsid w:val="0033103F"/>
    <w:rsid w:val="0033122A"/>
    <w:rsid w:val="00331A8C"/>
    <w:rsid w:val="00332631"/>
    <w:rsid w:val="00333B21"/>
    <w:rsid w:val="00334B6F"/>
    <w:rsid w:val="003366D7"/>
    <w:rsid w:val="00336BE4"/>
    <w:rsid w:val="00336D5C"/>
    <w:rsid w:val="00337D6F"/>
    <w:rsid w:val="003401D8"/>
    <w:rsid w:val="003406B0"/>
    <w:rsid w:val="00342B25"/>
    <w:rsid w:val="00343EAB"/>
    <w:rsid w:val="00344587"/>
    <w:rsid w:val="003452B3"/>
    <w:rsid w:val="003457F2"/>
    <w:rsid w:val="0034659D"/>
    <w:rsid w:val="0034668C"/>
    <w:rsid w:val="0034684F"/>
    <w:rsid w:val="00346AD5"/>
    <w:rsid w:val="003473B1"/>
    <w:rsid w:val="00347ECA"/>
    <w:rsid w:val="003521A8"/>
    <w:rsid w:val="003549CA"/>
    <w:rsid w:val="00354D93"/>
    <w:rsid w:val="00355A36"/>
    <w:rsid w:val="00357D7E"/>
    <w:rsid w:val="00362197"/>
    <w:rsid w:val="00362982"/>
    <w:rsid w:val="003631E2"/>
    <w:rsid w:val="00363F3E"/>
    <w:rsid w:val="003657A5"/>
    <w:rsid w:val="00366C25"/>
    <w:rsid w:val="00366C68"/>
    <w:rsid w:val="00366EF8"/>
    <w:rsid w:val="00366FF5"/>
    <w:rsid w:val="003709F8"/>
    <w:rsid w:val="00370F9B"/>
    <w:rsid w:val="003713D6"/>
    <w:rsid w:val="0037197D"/>
    <w:rsid w:val="00371C3F"/>
    <w:rsid w:val="003721D7"/>
    <w:rsid w:val="003736D3"/>
    <w:rsid w:val="00373D3B"/>
    <w:rsid w:val="00373F45"/>
    <w:rsid w:val="00375DBF"/>
    <w:rsid w:val="003763D8"/>
    <w:rsid w:val="003776DF"/>
    <w:rsid w:val="00380146"/>
    <w:rsid w:val="003802A4"/>
    <w:rsid w:val="00381AB3"/>
    <w:rsid w:val="003820D5"/>
    <w:rsid w:val="003821D8"/>
    <w:rsid w:val="0038231C"/>
    <w:rsid w:val="00382FAA"/>
    <w:rsid w:val="003834F1"/>
    <w:rsid w:val="00383D0C"/>
    <w:rsid w:val="003845AA"/>
    <w:rsid w:val="003860B8"/>
    <w:rsid w:val="003871D3"/>
    <w:rsid w:val="003900FA"/>
    <w:rsid w:val="00390F70"/>
    <w:rsid w:val="003911A6"/>
    <w:rsid w:val="003930E0"/>
    <w:rsid w:val="00393F5C"/>
    <w:rsid w:val="00394E59"/>
    <w:rsid w:val="0039557E"/>
    <w:rsid w:val="0039724F"/>
    <w:rsid w:val="003973C7"/>
    <w:rsid w:val="003975DC"/>
    <w:rsid w:val="003A0195"/>
    <w:rsid w:val="003A0779"/>
    <w:rsid w:val="003A0B48"/>
    <w:rsid w:val="003A0D5E"/>
    <w:rsid w:val="003A0E4E"/>
    <w:rsid w:val="003A121C"/>
    <w:rsid w:val="003A26D2"/>
    <w:rsid w:val="003A289E"/>
    <w:rsid w:val="003A35F1"/>
    <w:rsid w:val="003A37A7"/>
    <w:rsid w:val="003A37EE"/>
    <w:rsid w:val="003A44F8"/>
    <w:rsid w:val="003A4C08"/>
    <w:rsid w:val="003A7162"/>
    <w:rsid w:val="003A73EB"/>
    <w:rsid w:val="003B0547"/>
    <w:rsid w:val="003B0641"/>
    <w:rsid w:val="003B1E71"/>
    <w:rsid w:val="003B5069"/>
    <w:rsid w:val="003B5BE0"/>
    <w:rsid w:val="003B5E70"/>
    <w:rsid w:val="003B6F3D"/>
    <w:rsid w:val="003C2203"/>
    <w:rsid w:val="003C2758"/>
    <w:rsid w:val="003C2DAE"/>
    <w:rsid w:val="003C3A88"/>
    <w:rsid w:val="003C4761"/>
    <w:rsid w:val="003C4A1F"/>
    <w:rsid w:val="003C4B69"/>
    <w:rsid w:val="003C4FE1"/>
    <w:rsid w:val="003C5152"/>
    <w:rsid w:val="003C520D"/>
    <w:rsid w:val="003C52C3"/>
    <w:rsid w:val="003C53D0"/>
    <w:rsid w:val="003C5A05"/>
    <w:rsid w:val="003C5F16"/>
    <w:rsid w:val="003C7296"/>
    <w:rsid w:val="003C782D"/>
    <w:rsid w:val="003C7D4E"/>
    <w:rsid w:val="003C7DDB"/>
    <w:rsid w:val="003C7EAE"/>
    <w:rsid w:val="003D0CC9"/>
    <w:rsid w:val="003D1409"/>
    <w:rsid w:val="003D3726"/>
    <w:rsid w:val="003D3E2C"/>
    <w:rsid w:val="003D4111"/>
    <w:rsid w:val="003D5BF7"/>
    <w:rsid w:val="003D60A8"/>
    <w:rsid w:val="003D67BF"/>
    <w:rsid w:val="003E00D0"/>
    <w:rsid w:val="003E0B7D"/>
    <w:rsid w:val="003E1426"/>
    <w:rsid w:val="003E2175"/>
    <w:rsid w:val="003E22D0"/>
    <w:rsid w:val="003E3C6E"/>
    <w:rsid w:val="003E59B8"/>
    <w:rsid w:val="003E6455"/>
    <w:rsid w:val="003E68E2"/>
    <w:rsid w:val="003F1A3E"/>
    <w:rsid w:val="003F2895"/>
    <w:rsid w:val="003F2A0D"/>
    <w:rsid w:val="003F3C59"/>
    <w:rsid w:val="003F3CF0"/>
    <w:rsid w:val="003F3E78"/>
    <w:rsid w:val="003F3EE7"/>
    <w:rsid w:val="003F5254"/>
    <w:rsid w:val="003F6BEE"/>
    <w:rsid w:val="003F6CF9"/>
    <w:rsid w:val="003F6FA0"/>
    <w:rsid w:val="003F7762"/>
    <w:rsid w:val="003F7D86"/>
    <w:rsid w:val="004000EA"/>
    <w:rsid w:val="0040041F"/>
    <w:rsid w:val="004004B3"/>
    <w:rsid w:val="004011F5"/>
    <w:rsid w:val="00402017"/>
    <w:rsid w:val="004027F2"/>
    <w:rsid w:val="00402EA2"/>
    <w:rsid w:val="00403099"/>
    <w:rsid w:val="00403F61"/>
    <w:rsid w:val="00404118"/>
    <w:rsid w:val="00404329"/>
    <w:rsid w:val="004043DB"/>
    <w:rsid w:val="00405083"/>
    <w:rsid w:val="004057A2"/>
    <w:rsid w:val="00405806"/>
    <w:rsid w:val="00405FF0"/>
    <w:rsid w:val="00406B42"/>
    <w:rsid w:val="00406B7A"/>
    <w:rsid w:val="004079C7"/>
    <w:rsid w:val="00407B1D"/>
    <w:rsid w:val="00407C97"/>
    <w:rsid w:val="00407CDE"/>
    <w:rsid w:val="004101EA"/>
    <w:rsid w:val="0041126B"/>
    <w:rsid w:val="00412946"/>
    <w:rsid w:val="00412A90"/>
    <w:rsid w:val="004152AD"/>
    <w:rsid w:val="00416A77"/>
    <w:rsid w:val="004172BD"/>
    <w:rsid w:val="00420198"/>
    <w:rsid w:val="004201D7"/>
    <w:rsid w:val="00420FEE"/>
    <w:rsid w:val="00421A94"/>
    <w:rsid w:val="004223E3"/>
    <w:rsid w:val="00422674"/>
    <w:rsid w:val="00422690"/>
    <w:rsid w:val="0042279E"/>
    <w:rsid w:val="004236E1"/>
    <w:rsid w:val="00424D77"/>
    <w:rsid w:val="00425196"/>
    <w:rsid w:val="0042572D"/>
    <w:rsid w:val="00425D7E"/>
    <w:rsid w:val="0042613D"/>
    <w:rsid w:val="004262BD"/>
    <w:rsid w:val="0043050F"/>
    <w:rsid w:val="004309B6"/>
    <w:rsid w:val="00431061"/>
    <w:rsid w:val="00432583"/>
    <w:rsid w:val="004338B3"/>
    <w:rsid w:val="004340AD"/>
    <w:rsid w:val="004346CA"/>
    <w:rsid w:val="00435998"/>
    <w:rsid w:val="00436343"/>
    <w:rsid w:val="0043673C"/>
    <w:rsid w:val="004368C5"/>
    <w:rsid w:val="00437892"/>
    <w:rsid w:val="00437B9D"/>
    <w:rsid w:val="00437D03"/>
    <w:rsid w:val="00437DA4"/>
    <w:rsid w:val="00440B98"/>
    <w:rsid w:val="00442279"/>
    <w:rsid w:val="00445CAA"/>
    <w:rsid w:val="004463BA"/>
    <w:rsid w:val="004470B3"/>
    <w:rsid w:val="00451F56"/>
    <w:rsid w:val="00452939"/>
    <w:rsid w:val="004531E5"/>
    <w:rsid w:val="00453AEA"/>
    <w:rsid w:val="00454329"/>
    <w:rsid w:val="00454E92"/>
    <w:rsid w:val="004552F8"/>
    <w:rsid w:val="0045689A"/>
    <w:rsid w:val="00456C75"/>
    <w:rsid w:val="0045756A"/>
    <w:rsid w:val="004575D9"/>
    <w:rsid w:val="00457948"/>
    <w:rsid w:val="004604F7"/>
    <w:rsid w:val="00460748"/>
    <w:rsid w:val="004632A4"/>
    <w:rsid w:val="004634E7"/>
    <w:rsid w:val="00464C02"/>
    <w:rsid w:val="0046518A"/>
    <w:rsid w:val="004652AC"/>
    <w:rsid w:val="0046596F"/>
    <w:rsid w:val="00466730"/>
    <w:rsid w:val="00467076"/>
    <w:rsid w:val="004670DE"/>
    <w:rsid w:val="00467994"/>
    <w:rsid w:val="00470053"/>
    <w:rsid w:val="0047101D"/>
    <w:rsid w:val="004726FF"/>
    <w:rsid w:val="00472BB3"/>
    <w:rsid w:val="00472D44"/>
    <w:rsid w:val="0047306E"/>
    <w:rsid w:val="004730F2"/>
    <w:rsid w:val="004733A9"/>
    <w:rsid w:val="004752F4"/>
    <w:rsid w:val="00475D66"/>
    <w:rsid w:val="00476459"/>
    <w:rsid w:val="00476825"/>
    <w:rsid w:val="00476E75"/>
    <w:rsid w:val="00476EBD"/>
    <w:rsid w:val="00476EF5"/>
    <w:rsid w:val="004810A3"/>
    <w:rsid w:val="004811A3"/>
    <w:rsid w:val="00482125"/>
    <w:rsid w:val="0048257D"/>
    <w:rsid w:val="004829A5"/>
    <w:rsid w:val="004829A9"/>
    <w:rsid w:val="00483251"/>
    <w:rsid w:val="00485008"/>
    <w:rsid w:val="00485689"/>
    <w:rsid w:val="00485C5D"/>
    <w:rsid w:val="0048609B"/>
    <w:rsid w:val="004860EF"/>
    <w:rsid w:val="00486416"/>
    <w:rsid w:val="004875B9"/>
    <w:rsid w:val="00487894"/>
    <w:rsid w:val="004902D2"/>
    <w:rsid w:val="00490BF3"/>
    <w:rsid w:val="00490D9C"/>
    <w:rsid w:val="00491136"/>
    <w:rsid w:val="0049150C"/>
    <w:rsid w:val="00491A8A"/>
    <w:rsid w:val="00492065"/>
    <w:rsid w:val="00492D44"/>
    <w:rsid w:val="004935FA"/>
    <w:rsid w:val="00494D93"/>
    <w:rsid w:val="004954F2"/>
    <w:rsid w:val="00495A4A"/>
    <w:rsid w:val="00495B2B"/>
    <w:rsid w:val="00495D9E"/>
    <w:rsid w:val="00497553"/>
    <w:rsid w:val="00497A66"/>
    <w:rsid w:val="00497B38"/>
    <w:rsid w:val="004A0736"/>
    <w:rsid w:val="004A13E8"/>
    <w:rsid w:val="004A14EB"/>
    <w:rsid w:val="004A217B"/>
    <w:rsid w:val="004A32C2"/>
    <w:rsid w:val="004A3BAE"/>
    <w:rsid w:val="004A545A"/>
    <w:rsid w:val="004A575F"/>
    <w:rsid w:val="004A5DA6"/>
    <w:rsid w:val="004A6A35"/>
    <w:rsid w:val="004A6DDB"/>
    <w:rsid w:val="004A6E67"/>
    <w:rsid w:val="004A79B3"/>
    <w:rsid w:val="004B07DE"/>
    <w:rsid w:val="004B0C71"/>
    <w:rsid w:val="004B1994"/>
    <w:rsid w:val="004B1AB2"/>
    <w:rsid w:val="004B24FB"/>
    <w:rsid w:val="004B2D8D"/>
    <w:rsid w:val="004B3FB1"/>
    <w:rsid w:val="004B4095"/>
    <w:rsid w:val="004B4762"/>
    <w:rsid w:val="004B73E0"/>
    <w:rsid w:val="004B7507"/>
    <w:rsid w:val="004B7C02"/>
    <w:rsid w:val="004B7DFE"/>
    <w:rsid w:val="004C07C9"/>
    <w:rsid w:val="004C21C1"/>
    <w:rsid w:val="004C361F"/>
    <w:rsid w:val="004C386C"/>
    <w:rsid w:val="004C4D0A"/>
    <w:rsid w:val="004C5C39"/>
    <w:rsid w:val="004C6238"/>
    <w:rsid w:val="004C6B5A"/>
    <w:rsid w:val="004C7846"/>
    <w:rsid w:val="004C7D17"/>
    <w:rsid w:val="004D076A"/>
    <w:rsid w:val="004D2291"/>
    <w:rsid w:val="004D2DF6"/>
    <w:rsid w:val="004D2E1A"/>
    <w:rsid w:val="004D43B0"/>
    <w:rsid w:val="004D5356"/>
    <w:rsid w:val="004D5AA6"/>
    <w:rsid w:val="004D6FBF"/>
    <w:rsid w:val="004E1084"/>
    <w:rsid w:val="004E1454"/>
    <w:rsid w:val="004E21BB"/>
    <w:rsid w:val="004E390C"/>
    <w:rsid w:val="004E3AA8"/>
    <w:rsid w:val="004E447A"/>
    <w:rsid w:val="004E52C6"/>
    <w:rsid w:val="004E6DC7"/>
    <w:rsid w:val="004E6F15"/>
    <w:rsid w:val="004E7AFA"/>
    <w:rsid w:val="004F067A"/>
    <w:rsid w:val="004F0B98"/>
    <w:rsid w:val="004F1469"/>
    <w:rsid w:val="004F1CC6"/>
    <w:rsid w:val="004F2C15"/>
    <w:rsid w:val="004F3240"/>
    <w:rsid w:val="004F34C1"/>
    <w:rsid w:val="004F37E1"/>
    <w:rsid w:val="004F3ECF"/>
    <w:rsid w:val="004F447A"/>
    <w:rsid w:val="004F44BD"/>
    <w:rsid w:val="004F5404"/>
    <w:rsid w:val="004F5B45"/>
    <w:rsid w:val="004F68CD"/>
    <w:rsid w:val="004F68D5"/>
    <w:rsid w:val="004F68E3"/>
    <w:rsid w:val="004F6F7F"/>
    <w:rsid w:val="00500782"/>
    <w:rsid w:val="00500BA5"/>
    <w:rsid w:val="00501F90"/>
    <w:rsid w:val="0050281F"/>
    <w:rsid w:val="00502F98"/>
    <w:rsid w:val="00503D1B"/>
    <w:rsid w:val="0050559C"/>
    <w:rsid w:val="005058DF"/>
    <w:rsid w:val="00505EBD"/>
    <w:rsid w:val="0050621C"/>
    <w:rsid w:val="00506915"/>
    <w:rsid w:val="00506CE6"/>
    <w:rsid w:val="00507559"/>
    <w:rsid w:val="00507BEA"/>
    <w:rsid w:val="005118F8"/>
    <w:rsid w:val="00511993"/>
    <w:rsid w:val="00512E83"/>
    <w:rsid w:val="005137D6"/>
    <w:rsid w:val="0051409D"/>
    <w:rsid w:val="00515F3B"/>
    <w:rsid w:val="005166A6"/>
    <w:rsid w:val="005167BC"/>
    <w:rsid w:val="00516EB8"/>
    <w:rsid w:val="005177EA"/>
    <w:rsid w:val="005210D3"/>
    <w:rsid w:val="00521B5F"/>
    <w:rsid w:val="005225A2"/>
    <w:rsid w:val="00523233"/>
    <w:rsid w:val="0052454F"/>
    <w:rsid w:val="00525479"/>
    <w:rsid w:val="0052688F"/>
    <w:rsid w:val="00526FE8"/>
    <w:rsid w:val="005270F8"/>
    <w:rsid w:val="00527596"/>
    <w:rsid w:val="00527C6D"/>
    <w:rsid w:val="00530C72"/>
    <w:rsid w:val="00530F0B"/>
    <w:rsid w:val="0053215D"/>
    <w:rsid w:val="00533681"/>
    <w:rsid w:val="00534BFA"/>
    <w:rsid w:val="005354D6"/>
    <w:rsid w:val="00535E6D"/>
    <w:rsid w:val="005360D6"/>
    <w:rsid w:val="00537478"/>
    <w:rsid w:val="005379B5"/>
    <w:rsid w:val="00537C57"/>
    <w:rsid w:val="005400A0"/>
    <w:rsid w:val="005402DC"/>
    <w:rsid w:val="005402FE"/>
    <w:rsid w:val="00540A31"/>
    <w:rsid w:val="00541775"/>
    <w:rsid w:val="0054190F"/>
    <w:rsid w:val="005432C5"/>
    <w:rsid w:val="005438D2"/>
    <w:rsid w:val="00544FD7"/>
    <w:rsid w:val="005463E3"/>
    <w:rsid w:val="00547AFA"/>
    <w:rsid w:val="00550802"/>
    <w:rsid w:val="0055278A"/>
    <w:rsid w:val="00552834"/>
    <w:rsid w:val="00553181"/>
    <w:rsid w:val="00553F43"/>
    <w:rsid w:val="0055406F"/>
    <w:rsid w:val="00554491"/>
    <w:rsid w:val="005549FE"/>
    <w:rsid w:val="005558DB"/>
    <w:rsid w:val="0055591A"/>
    <w:rsid w:val="005561BA"/>
    <w:rsid w:val="00556C2D"/>
    <w:rsid w:val="00557303"/>
    <w:rsid w:val="00557515"/>
    <w:rsid w:val="0055769C"/>
    <w:rsid w:val="005604B8"/>
    <w:rsid w:val="00561A1F"/>
    <w:rsid w:val="0056319D"/>
    <w:rsid w:val="005632A5"/>
    <w:rsid w:val="00564DF6"/>
    <w:rsid w:val="0056560F"/>
    <w:rsid w:val="00565824"/>
    <w:rsid w:val="00566118"/>
    <w:rsid w:val="00566E37"/>
    <w:rsid w:val="00567070"/>
    <w:rsid w:val="0057048F"/>
    <w:rsid w:val="00572475"/>
    <w:rsid w:val="005734BA"/>
    <w:rsid w:val="00573DE8"/>
    <w:rsid w:val="00575BD8"/>
    <w:rsid w:val="0057653A"/>
    <w:rsid w:val="00577161"/>
    <w:rsid w:val="005800DD"/>
    <w:rsid w:val="00580560"/>
    <w:rsid w:val="00583535"/>
    <w:rsid w:val="005835FF"/>
    <w:rsid w:val="005865DC"/>
    <w:rsid w:val="00587B9C"/>
    <w:rsid w:val="00587EBF"/>
    <w:rsid w:val="005915D7"/>
    <w:rsid w:val="005917A2"/>
    <w:rsid w:val="00591D55"/>
    <w:rsid w:val="005925F6"/>
    <w:rsid w:val="00593947"/>
    <w:rsid w:val="0059474D"/>
    <w:rsid w:val="00594D2F"/>
    <w:rsid w:val="005957E9"/>
    <w:rsid w:val="00595D2A"/>
    <w:rsid w:val="005970F3"/>
    <w:rsid w:val="005A0DA1"/>
    <w:rsid w:val="005A0EA3"/>
    <w:rsid w:val="005A155F"/>
    <w:rsid w:val="005A1CA5"/>
    <w:rsid w:val="005A2DD0"/>
    <w:rsid w:val="005A42EE"/>
    <w:rsid w:val="005A5D95"/>
    <w:rsid w:val="005A72AF"/>
    <w:rsid w:val="005B0174"/>
    <w:rsid w:val="005B0FBD"/>
    <w:rsid w:val="005B1744"/>
    <w:rsid w:val="005B1DE3"/>
    <w:rsid w:val="005B2312"/>
    <w:rsid w:val="005B2545"/>
    <w:rsid w:val="005B265B"/>
    <w:rsid w:val="005B375E"/>
    <w:rsid w:val="005B5273"/>
    <w:rsid w:val="005B5EB3"/>
    <w:rsid w:val="005B706B"/>
    <w:rsid w:val="005B7CCD"/>
    <w:rsid w:val="005C029B"/>
    <w:rsid w:val="005C047E"/>
    <w:rsid w:val="005C066A"/>
    <w:rsid w:val="005C0EC0"/>
    <w:rsid w:val="005C0EE7"/>
    <w:rsid w:val="005C12B1"/>
    <w:rsid w:val="005C1D4A"/>
    <w:rsid w:val="005C22D0"/>
    <w:rsid w:val="005C257E"/>
    <w:rsid w:val="005C28C7"/>
    <w:rsid w:val="005C49EF"/>
    <w:rsid w:val="005C4DE6"/>
    <w:rsid w:val="005C4F55"/>
    <w:rsid w:val="005C59FB"/>
    <w:rsid w:val="005C5E38"/>
    <w:rsid w:val="005C7C24"/>
    <w:rsid w:val="005D055C"/>
    <w:rsid w:val="005D06CE"/>
    <w:rsid w:val="005D2F89"/>
    <w:rsid w:val="005D3426"/>
    <w:rsid w:val="005D350E"/>
    <w:rsid w:val="005D41C5"/>
    <w:rsid w:val="005D5C57"/>
    <w:rsid w:val="005D6FA6"/>
    <w:rsid w:val="005D74F3"/>
    <w:rsid w:val="005D7567"/>
    <w:rsid w:val="005D7CAD"/>
    <w:rsid w:val="005E0BE4"/>
    <w:rsid w:val="005E1001"/>
    <w:rsid w:val="005E12C3"/>
    <w:rsid w:val="005E1ABA"/>
    <w:rsid w:val="005E1EEC"/>
    <w:rsid w:val="005E2181"/>
    <w:rsid w:val="005E22B5"/>
    <w:rsid w:val="005E2483"/>
    <w:rsid w:val="005E2611"/>
    <w:rsid w:val="005E3ED8"/>
    <w:rsid w:val="005E5564"/>
    <w:rsid w:val="005E58BA"/>
    <w:rsid w:val="005E5A4A"/>
    <w:rsid w:val="005E6667"/>
    <w:rsid w:val="005E69A1"/>
    <w:rsid w:val="005F05F0"/>
    <w:rsid w:val="005F0761"/>
    <w:rsid w:val="005F0CC5"/>
    <w:rsid w:val="005F0D74"/>
    <w:rsid w:val="005F0F42"/>
    <w:rsid w:val="005F1B36"/>
    <w:rsid w:val="005F1D34"/>
    <w:rsid w:val="005F1E14"/>
    <w:rsid w:val="005F345C"/>
    <w:rsid w:val="005F39BB"/>
    <w:rsid w:val="005F406E"/>
    <w:rsid w:val="005F44E4"/>
    <w:rsid w:val="005F462C"/>
    <w:rsid w:val="005F526D"/>
    <w:rsid w:val="005F6520"/>
    <w:rsid w:val="005F6981"/>
    <w:rsid w:val="005F76BB"/>
    <w:rsid w:val="006009BF"/>
    <w:rsid w:val="00601311"/>
    <w:rsid w:val="00601B66"/>
    <w:rsid w:val="00603F06"/>
    <w:rsid w:val="006050D1"/>
    <w:rsid w:val="006050E5"/>
    <w:rsid w:val="006054DB"/>
    <w:rsid w:val="006056C2"/>
    <w:rsid w:val="00606690"/>
    <w:rsid w:val="006073EC"/>
    <w:rsid w:val="00607B56"/>
    <w:rsid w:val="00607B6D"/>
    <w:rsid w:val="00610171"/>
    <w:rsid w:val="00610D13"/>
    <w:rsid w:val="00610EF5"/>
    <w:rsid w:val="00611015"/>
    <w:rsid w:val="00611A70"/>
    <w:rsid w:val="00612353"/>
    <w:rsid w:val="00612D7A"/>
    <w:rsid w:val="00613952"/>
    <w:rsid w:val="00614029"/>
    <w:rsid w:val="00614AF2"/>
    <w:rsid w:val="00614E2F"/>
    <w:rsid w:val="00614E84"/>
    <w:rsid w:val="0061569C"/>
    <w:rsid w:val="0061701B"/>
    <w:rsid w:val="00621440"/>
    <w:rsid w:val="00621B69"/>
    <w:rsid w:val="00623D38"/>
    <w:rsid w:val="00625499"/>
    <w:rsid w:val="00625832"/>
    <w:rsid w:val="00625977"/>
    <w:rsid w:val="00625D65"/>
    <w:rsid w:val="00626460"/>
    <w:rsid w:val="00626635"/>
    <w:rsid w:val="006266C3"/>
    <w:rsid w:val="00626D2E"/>
    <w:rsid w:val="00627930"/>
    <w:rsid w:val="00630150"/>
    <w:rsid w:val="00630725"/>
    <w:rsid w:val="00631064"/>
    <w:rsid w:val="00631F4D"/>
    <w:rsid w:val="006323D4"/>
    <w:rsid w:val="0063257D"/>
    <w:rsid w:val="006325BD"/>
    <w:rsid w:val="00632BE1"/>
    <w:rsid w:val="0063345F"/>
    <w:rsid w:val="00634258"/>
    <w:rsid w:val="00635643"/>
    <w:rsid w:val="0063696A"/>
    <w:rsid w:val="0063766E"/>
    <w:rsid w:val="00637698"/>
    <w:rsid w:val="00640300"/>
    <w:rsid w:val="006404C7"/>
    <w:rsid w:val="006409AA"/>
    <w:rsid w:val="00640CAB"/>
    <w:rsid w:val="00641574"/>
    <w:rsid w:val="00641679"/>
    <w:rsid w:val="00642C48"/>
    <w:rsid w:val="00644773"/>
    <w:rsid w:val="00645E97"/>
    <w:rsid w:val="00646E72"/>
    <w:rsid w:val="00647080"/>
    <w:rsid w:val="00647264"/>
    <w:rsid w:val="00647C6C"/>
    <w:rsid w:val="00650146"/>
    <w:rsid w:val="00650382"/>
    <w:rsid w:val="00650404"/>
    <w:rsid w:val="00650F66"/>
    <w:rsid w:val="00651B88"/>
    <w:rsid w:val="00654D52"/>
    <w:rsid w:val="0065530C"/>
    <w:rsid w:val="00655667"/>
    <w:rsid w:val="0065568B"/>
    <w:rsid w:val="006558E0"/>
    <w:rsid w:val="0065635A"/>
    <w:rsid w:val="00660F0C"/>
    <w:rsid w:val="00664269"/>
    <w:rsid w:val="00665D42"/>
    <w:rsid w:val="00666789"/>
    <w:rsid w:val="00666E22"/>
    <w:rsid w:val="006709C2"/>
    <w:rsid w:val="006715F6"/>
    <w:rsid w:val="00672DB1"/>
    <w:rsid w:val="00673A20"/>
    <w:rsid w:val="00674B28"/>
    <w:rsid w:val="00674E3C"/>
    <w:rsid w:val="0067509C"/>
    <w:rsid w:val="00675DC9"/>
    <w:rsid w:val="00676BF8"/>
    <w:rsid w:val="00676F50"/>
    <w:rsid w:val="006774C9"/>
    <w:rsid w:val="00680D2C"/>
    <w:rsid w:val="00681143"/>
    <w:rsid w:val="006812CC"/>
    <w:rsid w:val="00683089"/>
    <w:rsid w:val="0068358F"/>
    <w:rsid w:val="006840DA"/>
    <w:rsid w:val="00684260"/>
    <w:rsid w:val="00685053"/>
    <w:rsid w:val="00685B8D"/>
    <w:rsid w:val="006862CD"/>
    <w:rsid w:val="00686688"/>
    <w:rsid w:val="00687CE4"/>
    <w:rsid w:val="00687D85"/>
    <w:rsid w:val="00690F96"/>
    <w:rsid w:val="006914F1"/>
    <w:rsid w:val="00692C6B"/>
    <w:rsid w:val="00693357"/>
    <w:rsid w:val="00693803"/>
    <w:rsid w:val="00693B88"/>
    <w:rsid w:val="00693D6A"/>
    <w:rsid w:val="00695A5F"/>
    <w:rsid w:val="00696325"/>
    <w:rsid w:val="00696FAE"/>
    <w:rsid w:val="0069715F"/>
    <w:rsid w:val="006971FE"/>
    <w:rsid w:val="006973BD"/>
    <w:rsid w:val="006A11B7"/>
    <w:rsid w:val="006A1372"/>
    <w:rsid w:val="006A18B9"/>
    <w:rsid w:val="006A2B2E"/>
    <w:rsid w:val="006A3A69"/>
    <w:rsid w:val="006A48F0"/>
    <w:rsid w:val="006A4B63"/>
    <w:rsid w:val="006A5798"/>
    <w:rsid w:val="006A6049"/>
    <w:rsid w:val="006A6CA4"/>
    <w:rsid w:val="006A7403"/>
    <w:rsid w:val="006A75F7"/>
    <w:rsid w:val="006B00DD"/>
    <w:rsid w:val="006B016C"/>
    <w:rsid w:val="006B1B39"/>
    <w:rsid w:val="006B25FD"/>
    <w:rsid w:val="006B384A"/>
    <w:rsid w:val="006B3D81"/>
    <w:rsid w:val="006B5586"/>
    <w:rsid w:val="006B591E"/>
    <w:rsid w:val="006B6084"/>
    <w:rsid w:val="006B68F3"/>
    <w:rsid w:val="006B7054"/>
    <w:rsid w:val="006C06E6"/>
    <w:rsid w:val="006C11A0"/>
    <w:rsid w:val="006C12DF"/>
    <w:rsid w:val="006C3087"/>
    <w:rsid w:val="006C3E85"/>
    <w:rsid w:val="006C4865"/>
    <w:rsid w:val="006C59CC"/>
    <w:rsid w:val="006C6183"/>
    <w:rsid w:val="006C6681"/>
    <w:rsid w:val="006C6738"/>
    <w:rsid w:val="006C7446"/>
    <w:rsid w:val="006D0555"/>
    <w:rsid w:val="006D1499"/>
    <w:rsid w:val="006D154B"/>
    <w:rsid w:val="006D166F"/>
    <w:rsid w:val="006D3411"/>
    <w:rsid w:val="006D52A1"/>
    <w:rsid w:val="006D5522"/>
    <w:rsid w:val="006D5FF4"/>
    <w:rsid w:val="006D69F1"/>
    <w:rsid w:val="006D6F2B"/>
    <w:rsid w:val="006D7384"/>
    <w:rsid w:val="006D73AB"/>
    <w:rsid w:val="006E02AB"/>
    <w:rsid w:val="006E02EB"/>
    <w:rsid w:val="006E1417"/>
    <w:rsid w:val="006E1528"/>
    <w:rsid w:val="006E407E"/>
    <w:rsid w:val="006E62E2"/>
    <w:rsid w:val="006E64AD"/>
    <w:rsid w:val="006E674C"/>
    <w:rsid w:val="006E7956"/>
    <w:rsid w:val="006F0BB9"/>
    <w:rsid w:val="006F14A0"/>
    <w:rsid w:val="006F2380"/>
    <w:rsid w:val="006F2770"/>
    <w:rsid w:val="006F27BB"/>
    <w:rsid w:val="006F2ACE"/>
    <w:rsid w:val="006F2B38"/>
    <w:rsid w:val="006F3DD2"/>
    <w:rsid w:val="006F45BB"/>
    <w:rsid w:val="006F53AC"/>
    <w:rsid w:val="006F6906"/>
    <w:rsid w:val="006F6E26"/>
    <w:rsid w:val="006F78A1"/>
    <w:rsid w:val="006F7F08"/>
    <w:rsid w:val="006F7F0A"/>
    <w:rsid w:val="00700111"/>
    <w:rsid w:val="007010C9"/>
    <w:rsid w:val="00701342"/>
    <w:rsid w:val="00701F09"/>
    <w:rsid w:val="007022F2"/>
    <w:rsid w:val="007031B5"/>
    <w:rsid w:val="0070656B"/>
    <w:rsid w:val="007066E5"/>
    <w:rsid w:val="00711A68"/>
    <w:rsid w:val="00711F5B"/>
    <w:rsid w:val="00712ECE"/>
    <w:rsid w:val="00713039"/>
    <w:rsid w:val="007131F4"/>
    <w:rsid w:val="0071364C"/>
    <w:rsid w:val="00713725"/>
    <w:rsid w:val="00713AA0"/>
    <w:rsid w:val="00713DA3"/>
    <w:rsid w:val="0071403E"/>
    <w:rsid w:val="0071406A"/>
    <w:rsid w:val="00714798"/>
    <w:rsid w:val="007174B3"/>
    <w:rsid w:val="0071797B"/>
    <w:rsid w:val="007179B3"/>
    <w:rsid w:val="00717A49"/>
    <w:rsid w:val="00720E51"/>
    <w:rsid w:val="00721702"/>
    <w:rsid w:val="00721DC6"/>
    <w:rsid w:val="00722420"/>
    <w:rsid w:val="00723256"/>
    <w:rsid w:val="00723A22"/>
    <w:rsid w:val="00723A9B"/>
    <w:rsid w:val="00723FDA"/>
    <w:rsid w:val="00724971"/>
    <w:rsid w:val="007252A2"/>
    <w:rsid w:val="00725F0F"/>
    <w:rsid w:val="0072610E"/>
    <w:rsid w:val="00726490"/>
    <w:rsid w:val="00726561"/>
    <w:rsid w:val="0072678B"/>
    <w:rsid w:val="0072716E"/>
    <w:rsid w:val="00727A6B"/>
    <w:rsid w:val="00730583"/>
    <w:rsid w:val="0073087D"/>
    <w:rsid w:val="00732011"/>
    <w:rsid w:val="007328A4"/>
    <w:rsid w:val="00732FDB"/>
    <w:rsid w:val="007337C6"/>
    <w:rsid w:val="00734197"/>
    <w:rsid w:val="0073437C"/>
    <w:rsid w:val="0073498C"/>
    <w:rsid w:val="00735A08"/>
    <w:rsid w:val="00735E22"/>
    <w:rsid w:val="00736543"/>
    <w:rsid w:val="00742178"/>
    <w:rsid w:val="007423F7"/>
    <w:rsid w:val="00742938"/>
    <w:rsid w:val="00742FAC"/>
    <w:rsid w:val="00745C2F"/>
    <w:rsid w:val="00745D98"/>
    <w:rsid w:val="00746E35"/>
    <w:rsid w:val="00747771"/>
    <w:rsid w:val="00747E38"/>
    <w:rsid w:val="007514C8"/>
    <w:rsid w:val="007524D2"/>
    <w:rsid w:val="007526A7"/>
    <w:rsid w:val="00753F31"/>
    <w:rsid w:val="007545E0"/>
    <w:rsid w:val="00754659"/>
    <w:rsid w:val="00755450"/>
    <w:rsid w:val="00756683"/>
    <w:rsid w:val="00757A75"/>
    <w:rsid w:val="007601A7"/>
    <w:rsid w:val="0076027D"/>
    <w:rsid w:val="0076037B"/>
    <w:rsid w:val="0076075B"/>
    <w:rsid w:val="007607A2"/>
    <w:rsid w:val="00760E24"/>
    <w:rsid w:val="00761D55"/>
    <w:rsid w:val="00761FC4"/>
    <w:rsid w:val="007621CC"/>
    <w:rsid w:val="00762602"/>
    <w:rsid w:val="00762987"/>
    <w:rsid w:val="00765019"/>
    <w:rsid w:val="00765251"/>
    <w:rsid w:val="007658DA"/>
    <w:rsid w:val="00765DBA"/>
    <w:rsid w:val="00766BE7"/>
    <w:rsid w:val="00766D7F"/>
    <w:rsid w:val="00767201"/>
    <w:rsid w:val="00767F7A"/>
    <w:rsid w:val="00770A60"/>
    <w:rsid w:val="00770C83"/>
    <w:rsid w:val="00770CFF"/>
    <w:rsid w:val="00771162"/>
    <w:rsid w:val="00771FED"/>
    <w:rsid w:val="00772729"/>
    <w:rsid w:val="00772F0C"/>
    <w:rsid w:val="00772FA0"/>
    <w:rsid w:val="007733EA"/>
    <w:rsid w:val="007736F9"/>
    <w:rsid w:val="00773C16"/>
    <w:rsid w:val="007746F4"/>
    <w:rsid w:val="00774FE7"/>
    <w:rsid w:val="00775873"/>
    <w:rsid w:val="00777E3C"/>
    <w:rsid w:val="00777F03"/>
    <w:rsid w:val="0078045C"/>
    <w:rsid w:val="007806C5"/>
    <w:rsid w:val="00782596"/>
    <w:rsid w:val="0078307D"/>
    <w:rsid w:val="007833A6"/>
    <w:rsid w:val="0078395F"/>
    <w:rsid w:val="007848AB"/>
    <w:rsid w:val="007856C3"/>
    <w:rsid w:val="00787C83"/>
    <w:rsid w:val="00790931"/>
    <w:rsid w:val="007921A1"/>
    <w:rsid w:val="0079272D"/>
    <w:rsid w:val="00793024"/>
    <w:rsid w:val="00794045"/>
    <w:rsid w:val="00795F78"/>
    <w:rsid w:val="00796CC6"/>
    <w:rsid w:val="00797CD7"/>
    <w:rsid w:val="007A16FC"/>
    <w:rsid w:val="007A47D9"/>
    <w:rsid w:val="007A55D5"/>
    <w:rsid w:val="007A5BC6"/>
    <w:rsid w:val="007A5C99"/>
    <w:rsid w:val="007B15D6"/>
    <w:rsid w:val="007B1654"/>
    <w:rsid w:val="007B1B4A"/>
    <w:rsid w:val="007B2279"/>
    <w:rsid w:val="007B2C09"/>
    <w:rsid w:val="007B3256"/>
    <w:rsid w:val="007B3E75"/>
    <w:rsid w:val="007B3F0E"/>
    <w:rsid w:val="007B5C9E"/>
    <w:rsid w:val="007B6884"/>
    <w:rsid w:val="007C10B9"/>
    <w:rsid w:val="007C1490"/>
    <w:rsid w:val="007C435E"/>
    <w:rsid w:val="007C4FCF"/>
    <w:rsid w:val="007C50D0"/>
    <w:rsid w:val="007C5787"/>
    <w:rsid w:val="007C5968"/>
    <w:rsid w:val="007C5C2A"/>
    <w:rsid w:val="007C66BC"/>
    <w:rsid w:val="007C7984"/>
    <w:rsid w:val="007C7FF4"/>
    <w:rsid w:val="007D0F81"/>
    <w:rsid w:val="007D17AF"/>
    <w:rsid w:val="007D296F"/>
    <w:rsid w:val="007D363C"/>
    <w:rsid w:val="007D4687"/>
    <w:rsid w:val="007D557A"/>
    <w:rsid w:val="007D603C"/>
    <w:rsid w:val="007D6B42"/>
    <w:rsid w:val="007D7A4C"/>
    <w:rsid w:val="007E170D"/>
    <w:rsid w:val="007E2B15"/>
    <w:rsid w:val="007E459E"/>
    <w:rsid w:val="007E528E"/>
    <w:rsid w:val="007E5E7D"/>
    <w:rsid w:val="007E5E8E"/>
    <w:rsid w:val="007E64CF"/>
    <w:rsid w:val="007E6C17"/>
    <w:rsid w:val="007E6D49"/>
    <w:rsid w:val="007E7913"/>
    <w:rsid w:val="007F14B4"/>
    <w:rsid w:val="007F1946"/>
    <w:rsid w:val="007F25E7"/>
    <w:rsid w:val="007F2D03"/>
    <w:rsid w:val="007F34A6"/>
    <w:rsid w:val="007F3F02"/>
    <w:rsid w:val="007F5391"/>
    <w:rsid w:val="007F565A"/>
    <w:rsid w:val="007F5F24"/>
    <w:rsid w:val="007F6378"/>
    <w:rsid w:val="007F6CC9"/>
    <w:rsid w:val="007F78F7"/>
    <w:rsid w:val="0080037F"/>
    <w:rsid w:val="008003AF"/>
    <w:rsid w:val="00801383"/>
    <w:rsid w:val="008018CE"/>
    <w:rsid w:val="00801C67"/>
    <w:rsid w:val="00802B2A"/>
    <w:rsid w:val="00803CD2"/>
    <w:rsid w:val="00804F84"/>
    <w:rsid w:val="0080504E"/>
    <w:rsid w:val="00805229"/>
    <w:rsid w:val="00806AE0"/>
    <w:rsid w:val="00806DC7"/>
    <w:rsid w:val="008076D5"/>
    <w:rsid w:val="00810417"/>
    <w:rsid w:val="00810472"/>
    <w:rsid w:val="0081092B"/>
    <w:rsid w:val="00810B82"/>
    <w:rsid w:val="00810BBE"/>
    <w:rsid w:val="00810C68"/>
    <w:rsid w:val="008111F9"/>
    <w:rsid w:val="008119B2"/>
    <w:rsid w:val="00812059"/>
    <w:rsid w:val="00812402"/>
    <w:rsid w:val="0081356F"/>
    <w:rsid w:val="0081430E"/>
    <w:rsid w:val="00815287"/>
    <w:rsid w:val="00817285"/>
    <w:rsid w:val="008200E2"/>
    <w:rsid w:val="00820B44"/>
    <w:rsid w:val="008225F9"/>
    <w:rsid w:val="00824088"/>
    <w:rsid w:val="00824442"/>
    <w:rsid w:val="00826F5A"/>
    <w:rsid w:val="00826FAF"/>
    <w:rsid w:val="0082795B"/>
    <w:rsid w:val="00827A7F"/>
    <w:rsid w:val="00827D3F"/>
    <w:rsid w:val="00830098"/>
    <w:rsid w:val="00831D6F"/>
    <w:rsid w:val="00831F65"/>
    <w:rsid w:val="008347BB"/>
    <w:rsid w:val="0083622A"/>
    <w:rsid w:val="00836B27"/>
    <w:rsid w:val="00836E87"/>
    <w:rsid w:val="00836EF0"/>
    <w:rsid w:val="008374E7"/>
    <w:rsid w:val="0083791D"/>
    <w:rsid w:val="00840805"/>
    <w:rsid w:val="008412D1"/>
    <w:rsid w:val="0084208E"/>
    <w:rsid w:val="00842166"/>
    <w:rsid w:val="00842F09"/>
    <w:rsid w:val="0084337D"/>
    <w:rsid w:val="008440BA"/>
    <w:rsid w:val="0084433D"/>
    <w:rsid w:val="00845443"/>
    <w:rsid w:val="008457C0"/>
    <w:rsid w:val="00845E9C"/>
    <w:rsid w:val="00846489"/>
    <w:rsid w:val="0084674E"/>
    <w:rsid w:val="008514C3"/>
    <w:rsid w:val="0085192A"/>
    <w:rsid w:val="00851E78"/>
    <w:rsid w:val="00852EDA"/>
    <w:rsid w:val="00854068"/>
    <w:rsid w:val="008559DF"/>
    <w:rsid w:val="008562E0"/>
    <w:rsid w:val="008567C7"/>
    <w:rsid w:val="00857641"/>
    <w:rsid w:val="0086097E"/>
    <w:rsid w:val="00860D2F"/>
    <w:rsid w:val="0086168E"/>
    <w:rsid w:val="00862097"/>
    <w:rsid w:val="00862E56"/>
    <w:rsid w:val="0086348C"/>
    <w:rsid w:val="00863822"/>
    <w:rsid w:val="00863A20"/>
    <w:rsid w:val="0086489B"/>
    <w:rsid w:val="008649B4"/>
    <w:rsid w:val="00865478"/>
    <w:rsid w:val="00865E76"/>
    <w:rsid w:val="00870BC2"/>
    <w:rsid w:val="00870DA0"/>
    <w:rsid w:val="00871F0B"/>
    <w:rsid w:val="008727B5"/>
    <w:rsid w:val="008730D6"/>
    <w:rsid w:val="00875295"/>
    <w:rsid w:val="00875E4A"/>
    <w:rsid w:val="00876006"/>
    <w:rsid w:val="00876836"/>
    <w:rsid w:val="0087693E"/>
    <w:rsid w:val="00880145"/>
    <w:rsid w:val="00881558"/>
    <w:rsid w:val="00881A26"/>
    <w:rsid w:val="008826E6"/>
    <w:rsid w:val="0088332D"/>
    <w:rsid w:val="008833A3"/>
    <w:rsid w:val="00883859"/>
    <w:rsid w:val="0088499E"/>
    <w:rsid w:val="008849CD"/>
    <w:rsid w:val="0088642B"/>
    <w:rsid w:val="00890E53"/>
    <w:rsid w:val="00891BB4"/>
    <w:rsid w:val="0089358F"/>
    <w:rsid w:val="008938DA"/>
    <w:rsid w:val="0089435E"/>
    <w:rsid w:val="00895FF9"/>
    <w:rsid w:val="008968B1"/>
    <w:rsid w:val="00896A0D"/>
    <w:rsid w:val="008970FF"/>
    <w:rsid w:val="00897220"/>
    <w:rsid w:val="008A06EA"/>
    <w:rsid w:val="008A1338"/>
    <w:rsid w:val="008A2B3E"/>
    <w:rsid w:val="008A3A87"/>
    <w:rsid w:val="008A4E15"/>
    <w:rsid w:val="008A55EE"/>
    <w:rsid w:val="008A563C"/>
    <w:rsid w:val="008A63A7"/>
    <w:rsid w:val="008A6459"/>
    <w:rsid w:val="008A687D"/>
    <w:rsid w:val="008A7144"/>
    <w:rsid w:val="008B02D7"/>
    <w:rsid w:val="008B06BA"/>
    <w:rsid w:val="008B0BCE"/>
    <w:rsid w:val="008B0D01"/>
    <w:rsid w:val="008B28B4"/>
    <w:rsid w:val="008B3BA0"/>
    <w:rsid w:val="008B473D"/>
    <w:rsid w:val="008B6224"/>
    <w:rsid w:val="008B6431"/>
    <w:rsid w:val="008C007C"/>
    <w:rsid w:val="008C0747"/>
    <w:rsid w:val="008C0AB5"/>
    <w:rsid w:val="008C0C25"/>
    <w:rsid w:val="008C102B"/>
    <w:rsid w:val="008C1397"/>
    <w:rsid w:val="008C147E"/>
    <w:rsid w:val="008C1EE6"/>
    <w:rsid w:val="008C3300"/>
    <w:rsid w:val="008C5157"/>
    <w:rsid w:val="008C75D7"/>
    <w:rsid w:val="008D0108"/>
    <w:rsid w:val="008D1A0E"/>
    <w:rsid w:val="008D2087"/>
    <w:rsid w:val="008D30A4"/>
    <w:rsid w:val="008D31FE"/>
    <w:rsid w:val="008D44AB"/>
    <w:rsid w:val="008D5A0F"/>
    <w:rsid w:val="008D5AE3"/>
    <w:rsid w:val="008D6457"/>
    <w:rsid w:val="008E0AD6"/>
    <w:rsid w:val="008E0EDB"/>
    <w:rsid w:val="008E12EA"/>
    <w:rsid w:val="008E325E"/>
    <w:rsid w:val="008E3537"/>
    <w:rsid w:val="008E3A79"/>
    <w:rsid w:val="008E47BF"/>
    <w:rsid w:val="008E4B11"/>
    <w:rsid w:val="008E511A"/>
    <w:rsid w:val="008E54E7"/>
    <w:rsid w:val="008E6883"/>
    <w:rsid w:val="008E6F66"/>
    <w:rsid w:val="008E71F8"/>
    <w:rsid w:val="008E7F89"/>
    <w:rsid w:val="008F1865"/>
    <w:rsid w:val="008F3557"/>
    <w:rsid w:val="008F37E4"/>
    <w:rsid w:val="008F41EA"/>
    <w:rsid w:val="008F4389"/>
    <w:rsid w:val="008F48D5"/>
    <w:rsid w:val="008F4998"/>
    <w:rsid w:val="008F5A9A"/>
    <w:rsid w:val="008F61FD"/>
    <w:rsid w:val="008F68D0"/>
    <w:rsid w:val="008F6B4C"/>
    <w:rsid w:val="008F6B78"/>
    <w:rsid w:val="008F6E39"/>
    <w:rsid w:val="00902374"/>
    <w:rsid w:val="00902562"/>
    <w:rsid w:val="0090263C"/>
    <w:rsid w:val="009026DA"/>
    <w:rsid w:val="00902C88"/>
    <w:rsid w:val="009057F4"/>
    <w:rsid w:val="00905ADB"/>
    <w:rsid w:val="009066EE"/>
    <w:rsid w:val="00906BBC"/>
    <w:rsid w:val="009076A3"/>
    <w:rsid w:val="00907DA3"/>
    <w:rsid w:val="00910F0C"/>
    <w:rsid w:val="00913E05"/>
    <w:rsid w:val="00914BF7"/>
    <w:rsid w:val="00915895"/>
    <w:rsid w:val="009158B0"/>
    <w:rsid w:val="00917AF9"/>
    <w:rsid w:val="0092111A"/>
    <w:rsid w:val="009224A1"/>
    <w:rsid w:val="00923720"/>
    <w:rsid w:val="00923875"/>
    <w:rsid w:val="00925728"/>
    <w:rsid w:val="0092586D"/>
    <w:rsid w:val="00925E34"/>
    <w:rsid w:val="00926C59"/>
    <w:rsid w:val="00927B82"/>
    <w:rsid w:val="00927EF6"/>
    <w:rsid w:val="00931E70"/>
    <w:rsid w:val="00933EE5"/>
    <w:rsid w:val="0093427A"/>
    <w:rsid w:val="00934A6C"/>
    <w:rsid w:val="00934FBF"/>
    <w:rsid w:val="00935483"/>
    <w:rsid w:val="0093599F"/>
    <w:rsid w:val="00935A66"/>
    <w:rsid w:val="0093648D"/>
    <w:rsid w:val="0093697F"/>
    <w:rsid w:val="009370BC"/>
    <w:rsid w:val="009371CF"/>
    <w:rsid w:val="00937250"/>
    <w:rsid w:val="00940A74"/>
    <w:rsid w:val="00941653"/>
    <w:rsid w:val="00941E74"/>
    <w:rsid w:val="00943507"/>
    <w:rsid w:val="0094461A"/>
    <w:rsid w:val="00945423"/>
    <w:rsid w:val="009461E2"/>
    <w:rsid w:val="0094671B"/>
    <w:rsid w:val="00946DAB"/>
    <w:rsid w:val="00946FCC"/>
    <w:rsid w:val="009477CE"/>
    <w:rsid w:val="00947CE6"/>
    <w:rsid w:val="009504A3"/>
    <w:rsid w:val="009538B7"/>
    <w:rsid w:val="00953AAE"/>
    <w:rsid w:val="009543A6"/>
    <w:rsid w:val="00955F1C"/>
    <w:rsid w:val="00956763"/>
    <w:rsid w:val="00956AB2"/>
    <w:rsid w:val="00956B27"/>
    <w:rsid w:val="00956E72"/>
    <w:rsid w:val="0095738B"/>
    <w:rsid w:val="00961980"/>
    <w:rsid w:val="00961D50"/>
    <w:rsid w:val="00962017"/>
    <w:rsid w:val="009622EB"/>
    <w:rsid w:val="00963BFD"/>
    <w:rsid w:val="00963D7A"/>
    <w:rsid w:val="0096501B"/>
    <w:rsid w:val="009653B3"/>
    <w:rsid w:val="00965C8B"/>
    <w:rsid w:val="00965CF2"/>
    <w:rsid w:val="00966353"/>
    <w:rsid w:val="0096699A"/>
    <w:rsid w:val="00971154"/>
    <w:rsid w:val="009718C7"/>
    <w:rsid w:val="00973A15"/>
    <w:rsid w:val="00974928"/>
    <w:rsid w:val="009755E5"/>
    <w:rsid w:val="00975EC9"/>
    <w:rsid w:val="00977271"/>
    <w:rsid w:val="009777F3"/>
    <w:rsid w:val="0098246B"/>
    <w:rsid w:val="0098248F"/>
    <w:rsid w:val="00983A64"/>
    <w:rsid w:val="00983B48"/>
    <w:rsid w:val="00983CCC"/>
    <w:rsid w:val="009842A5"/>
    <w:rsid w:val="00984535"/>
    <w:rsid w:val="00985009"/>
    <w:rsid w:val="0098568D"/>
    <w:rsid w:val="00992AC9"/>
    <w:rsid w:val="00993724"/>
    <w:rsid w:val="00994470"/>
    <w:rsid w:val="00995AA4"/>
    <w:rsid w:val="00995F6E"/>
    <w:rsid w:val="00996952"/>
    <w:rsid w:val="0099707B"/>
    <w:rsid w:val="009A0789"/>
    <w:rsid w:val="009A08A1"/>
    <w:rsid w:val="009A1AF5"/>
    <w:rsid w:val="009A1D92"/>
    <w:rsid w:val="009A26DF"/>
    <w:rsid w:val="009A2E94"/>
    <w:rsid w:val="009A3BED"/>
    <w:rsid w:val="009A6214"/>
    <w:rsid w:val="009A73F5"/>
    <w:rsid w:val="009B01D7"/>
    <w:rsid w:val="009B04A8"/>
    <w:rsid w:val="009B0659"/>
    <w:rsid w:val="009B0765"/>
    <w:rsid w:val="009B0D37"/>
    <w:rsid w:val="009B1D19"/>
    <w:rsid w:val="009B228E"/>
    <w:rsid w:val="009B36DA"/>
    <w:rsid w:val="009B6CE1"/>
    <w:rsid w:val="009B70AC"/>
    <w:rsid w:val="009B736C"/>
    <w:rsid w:val="009B7A80"/>
    <w:rsid w:val="009C035F"/>
    <w:rsid w:val="009C128F"/>
    <w:rsid w:val="009C174E"/>
    <w:rsid w:val="009C1B62"/>
    <w:rsid w:val="009C1DF7"/>
    <w:rsid w:val="009C242F"/>
    <w:rsid w:val="009C487A"/>
    <w:rsid w:val="009C584E"/>
    <w:rsid w:val="009C5F5E"/>
    <w:rsid w:val="009C613B"/>
    <w:rsid w:val="009C6D50"/>
    <w:rsid w:val="009C7728"/>
    <w:rsid w:val="009C7CE5"/>
    <w:rsid w:val="009C7F60"/>
    <w:rsid w:val="009D05C7"/>
    <w:rsid w:val="009D0729"/>
    <w:rsid w:val="009D16EC"/>
    <w:rsid w:val="009D1729"/>
    <w:rsid w:val="009D1E85"/>
    <w:rsid w:val="009D1EE9"/>
    <w:rsid w:val="009D3860"/>
    <w:rsid w:val="009D3DFD"/>
    <w:rsid w:val="009D4214"/>
    <w:rsid w:val="009D4F67"/>
    <w:rsid w:val="009D5D57"/>
    <w:rsid w:val="009D604C"/>
    <w:rsid w:val="009D6162"/>
    <w:rsid w:val="009D6305"/>
    <w:rsid w:val="009D7E5C"/>
    <w:rsid w:val="009E0352"/>
    <w:rsid w:val="009E0899"/>
    <w:rsid w:val="009E0E4B"/>
    <w:rsid w:val="009E12F0"/>
    <w:rsid w:val="009E15FD"/>
    <w:rsid w:val="009E2499"/>
    <w:rsid w:val="009E36E7"/>
    <w:rsid w:val="009E4548"/>
    <w:rsid w:val="009E45C6"/>
    <w:rsid w:val="009E5689"/>
    <w:rsid w:val="009E5D51"/>
    <w:rsid w:val="009E65B2"/>
    <w:rsid w:val="009E71A9"/>
    <w:rsid w:val="009E73DE"/>
    <w:rsid w:val="009F0821"/>
    <w:rsid w:val="009F0BF1"/>
    <w:rsid w:val="009F0D07"/>
    <w:rsid w:val="009F1EFF"/>
    <w:rsid w:val="009F2A8A"/>
    <w:rsid w:val="009F2ED2"/>
    <w:rsid w:val="009F357F"/>
    <w:rsid w:val="009F5025"/>
    <w:rsid w:val="009F50F5"/>
    <w:rsid w:val="009F5265"/>
    <w:rsid w:val="009F53A8"/>
    <w:rsid w:val="009F5982"/>
    <w:rsid w:val="009F5F26"/>
    <w:rsid w:val="009F650C"/>
    <w:rsid w:val="009F6934"/>
    <w:rsid w:val="009F70A6"/>
    <w:rsid w:val="00A00078"/>
    <w:rsid w:val="00A00642"/>
    <w:rsid w:val="00A00AE2"/>
    <w:rsid w:val="00A01A36"/>
    <w:rsid w:val="00A026B1"/>
    <w:rsid w:val="00A02A7D"/>
    <w:rsid w:val="00A0345F"/>
    <w:rsid w:val="00A03A0A"/>
    <w:rsid w:val="00A04BA0"/>
    <w:rsid w:val="00A0545B"/>
    <w:rsid w:val="00A05ED9"/>
    <w:rsid w:val="00A063D3"/>
    <w:rsid w:val="00A0732A"/>
    <w:rsid w:val="00A07679"/>
    <w:rsid w:val="00A07C2C"/>
    <w:rsid w:val="00A106C3"/>
    <w:rsid w:val="00A107AE"/>
    <w:rsid w:val="00A10EC1"/>
    <w:rsid w:val="00A129D2"/>
    <w:rsid w:val="00A1490B"/>
    <w:rsid w:val="00A14BD8"/>
    <w:rsid w:val="00A14C23"/>
    <w:rsid w:val="00A14FB8"/>
    <w:rsid w:val="00A1556D"/>
    <w:rsid w:val="00A16140"/>
    <w:rsid w:val="00A176B3"/>
    <w:rsid w:val="00A1770D"/>
    <w:rsid w:val="00A17D08"/>
    <w:rsid w:val="00A17FA8"/>
    <w:rsid w:val="00A20934"/>
    <w:rsid w:val="00A20F71"/>
    <w:rsid w:val="00A211C0"/>
    <w:rsid w:val="00A22069"/>
    <w:rsid w:val="00A22556"/>
    <w:rsid w:val="00A2270E"/>
    <w:rsid w:val="00A231E2"/>
    <w:rsid w:val="00A232B7"/>
    <w:rsid w:val="00A23385"/>
    <w:rsid w:val="00A236FD"/>
    <w:rsid w:val="00A24239"/>
    <w:rsid w:val="00A24564"/>
    <w:rsid w:val="00A249C9"/>
    <w:rsid w:val="00A2506E"/>
    <w:rsid w:val="00A25134"/>
    <w:rsid w:val="00A2566B"/>
    <w:rsid w:val="00A25FA4"/>
    <w:rsid w:val="00A267B5"/>
    <w:rsid w:val="00A27C8C"/>
    <w:rsid w:val="00A27DED"/>
    <w:rsid w:val="00A3024F"/>
    <w:rsid w:val="00A3058E"/>
    <w:rsid w:val="00A30D8F"/>
    <w:rsid w:val="00A312D6"/>
    <w:rsid w:val="00A32971"/>
    <w:rsid w:val="00A32C8E"/>
    <w:rsid w:val="00A330E3"/>
    <w:rsid w:val="00A354CC"/>
    <w:rsid w:val="00A359CC"/>
    <w:rsid w:val="00A3786A"/>
    <w:rsid w:val="00A37ACC"/>
    <w:rsid w:val="00A41095"/>
    <w:rsid w:val="00A41408"/>
    <w:rsid w:val="00A41A9C"/>
    <w:rsid w:val="00A42027"/>
    <w:rsid w:val="00A423FB"/>
    <w:rsid w:val="00A430AE"/>
    <w:rsid w:val="00A435A0"/>
    <w:rsid w:val="00A43B42"/>
    <w:rsid w:val="00A43F67"/>
    <w:rsid w:val="00A44B9E"/>
    <w:rsid w:val="00A44D11"/>
    <w:rsid w:val="00A44F25"/>
    <w:rsid w:val="00A4552A"/>
    <w:rsid w:val="00A45587"/>
    <w:rsid w:val="00A47391"/>
    <w:rsid w:val="00A47DFC"/>
    <w:rsid w:val="00A47F83"/>
    <w:rsid w:val="00A50AA5"/>
    <w:rsid w:val="00A50C5B"/>
    <w:rsid w:val="00A51084"/>
    <w:rsid w:val="00A5275D"/>
    <w:rsid w:val="00A527AF"/>
    <w:rsid w:val="00A5325E"/>
    <w:rsid w:val="00A536B8"/>
    <w:rsid w:val="00A53E18"/>
    <w:rsid w:val="00A53FA4"/>
    <w:rsid w:val="00A55307"/>
    <w:rsid w:val="00A57BF6"/>
    <w:rsid w:val="00A6110C"/>
    <w:rsid w:val="00A63419"/>
    <w:rsid w:val="00A63698"/>
    <w:rsid w:val="00A64378"/>
    <w:rsid w:val="00A6455B"/>
    <w:rsid w:val="00A64CBD"/>
    <w:rsid w:val="00A65176"/>
    <w:rsid w:val="00A657E9"/>
    <w:rsid w:val="00A67561"/>
    <w:rsid w:val="00A678B6"/>
    <w:rsid w:val="00A71D9F"/>
    <w:rsid w:val="00A71DFD"/>
    <w:rsid w:val="00A73994"/>
    <w:rsid w:val="00A743CB"/>
    <w:rsid w:val="00A74AFD"/>
    <w:rsid w:val="00A752A7"/>
    <w:rsid w:val="00A757CA"/>
    <w:rsid w:val="00A7580A"/>
    <w:rsid w:val="00A76818"/>
    <w:rsid w:val="00A76CB9"/>
    <w:rsid w:val="00A77811"/>
    <w:rsid w:val="00A8164C"/>
    <w:rsid w:val="00A82153"/>
    <w:rsid w:val="00A821F7"/>
    <w:rsid w:val="00A828D3"/>
    <w:rsid w:val="00A8406F"/>
    <w:rsid w:val="00A84344"/>
    <w:rsid w:val="00A84D27"/>
    <w:rsid w:val="00A85980"/>
    <w:rsid w:val="00A85D80"/>
    <w:rsid w:val="00A85FFD"/>
    <w:rsid w:val="00A86799"/>
    <w:rsid w:val="00A86DA7"/>
    <w:rsid w:val="00A87370"/>
    <w:rsid w:val="00A87960"/>
    <w:rsid w:val="00A901CF"/>
    <w:rsid w:val="00A91220"/>
    <w:rsid w:val="00A91798"/>
    <w:rsid w:val="00A9182B"/>
    <w:rsid w:val="00A91C43"/>
    <w:rsid w:val="00A91C6C"/>
    <w:rsid w:val="00A921B8"/>
    <w:rsid w:val="00A92628"/>
    <w:rsid w:val="00A92733"/>
    <w:rsid w:val="00A93E47"/>
    <w:rsid w:val="00A950EC"/>
    <w:rsid w:val="00A951D1"/>
    <w:rsid w:val="00A95F96"/>
    <w:rsid w:val="00AA1A1D"/>
    <w:rsid w:val="00AA29E5"/>
    <w:rsid w:val="00AA435C"/>
    <w:rsid w:val="00AA47E8"/>
    <w:rsid w:val="00AA508A"/>
    <w:rsid w:val="00AA5238"/>
    <w:rsid w:val="00AA6615"/>
    <w:rsid w:val="00AA68F0"/>
    <w:rsid w:val="00AA72DA"/>
    <w:rsid w:val="00AA78CC"/>
    <w:rsid w:val="00AB02B3"/>
    <w:rsid w:val="00AB1DAF"/>
    <w:rsid w:val="00AB2A8B"/>
    <w:rsid w:val="00AB2C43"/>
    <w:rsid w:val="00AB2C4A"/>
    <w:rsid w:val="00AB2CA7"/>
    <w:rsid w:val="00AB3C6D"/>
    <w:rsid w:val="00AB4842"/>
    <w:rsid w:val="00AB4E86"/>
    <w:rsid w:val="00AB51E6"/>
    <w:rsid w:val="00AB52A4"/>
    <w:rsid w:val="00AB53E7"/>
    <w:rsid w:val="00AB63FF"/>
    <w:rsid w:val="00AB6EB2"/>
    <w:rsid w:val="00AB71C2"/>
    <w:rsid w:val="00AB77EB"/>
    <w:rsid w:val="00AB7F6C"/>
    <w:rsid w:val="00AC1257"/>
    <w:rsid w:val="00AC1682"/>
    <w:rsid w:val="00AC1B9E"/>
    <w:rsid w:val="00AC2409"/>
    <w:rsid w:val="00AC2C3E"/>
    <w:rsid w:val="00AC34D2"/>
    <w:rsid w:val="00AC4237"/>
    <w:rsid w:val="00AC4315"/>
    <w:rsid w:val="00AC4B20"/>
    <w:rsid w:val="00AC5646"/>
    <w:rsid w:val="00AC6A02"/>
    <w:rsid w:val="00AC6D55"/>
    <w:rsid w:val="00AD01DC"/>
    <w:rsid w:val="00AD0EC9"/>
    <w:rsid w:val="00AD109E"/>
    <w:rsid w:val="00AD1877"/>
    <w:rsid w:val="00AD2ECB"/>
    <w:rsid w:val="00AD4753"/>
    <w:rsid w:val="00AD5830"/>
    <w:rsid w:val="00AD5DE8"/>
    <w:rsid w:val="00AD7D06"/>
    <w:rsid w:val="00AE06D3"/>
    <w:rsid w:val="00AE151A"/>
    <w:rsid w:val="00AE1766"/>
    <w:rsid w:val="00AE3B36"/>
    <w:rsid w:val="00AE52D7"/>
    <w:rsid w:val="00AE56B1"/>
    <w:rsid w:val="00AE5BCD"/>
    <w:rsid w:val="00AE7AE6"/>
    <w:rsid w:val="00AE7DBA"/>
    <w:rsid w:val="00AF0135"/>
    <w:rsid w:val="00AF13C7"/>
    <w:rsid w:val="00AF2557"/>
    <w:rsid w:val="00AF271B"/>
    <w:rsid w:val="00AF27D1"/>
    <w:rsid w:val="00AF300E"/>
    <w:rsid w:val="00AF5527"/>
    <w:rsid w:val="00AF5DD7"/>
    <w:rsid w:val="00AF5DF1"/>
    <w:rsid w:val="00AF6023"/>
    <w:rsid w:val="00AF63D6"/>
    <w:rsid w:val="00AF79C7"/>
    <w:rsid w:val="00AF7D2A"/>
    <w:rsid w:val="00B001D5"/>
    <w:rsid w:val="00B00CED"/>
    <w:rsid w:val="00B017DE"/>
    <w:rsid w:val="00B01ADB"/>
    <w:rsid w:val="00B01E22"/>
    <w:rsid w:val="00B0254A"/>
    <w:rsid w:val="00B027FF"/>
    <w:rsid w:val="00B030B6"/>
    <w:rsid w:val="00B030FD"/>
    <w:rsid w:val="00B031FC"/>
    <w:rsid w:val="00B048CC"/>
    <w:rsid w:val="00B04C6C"/>
    <w:rsid w:val="00B04E64"/>
    <w:rsid w:val="00B0505A"/>
    <w:rsid w:val="00B05E52"/>
    <w:rsid w:val="00B05FE2"/>
    <w:rsid w:val="00B068D5"/>
    <w:rsid w:val="00B0798F"/>
    <w:rsid w:val="00B07E28"/>
    <w:rsid w:val="00B11192"/>
    <w:rsid w:val="00B11360"/>
    <w:rsid w:val="00B11421"/>
    <w:rsid w:val="00B116CB"/>
    <w:rsid w:val="00B121B3"/>
    <w:rsid w:val="00B1244F"/>
    <w:rsid w:val="00B13385"/>
    <w:rsid w:val="00B1371B"/>
    <w:rsid w:val="00B14A69"/>
    <w:rsid w:val="00B15C47"/>
    <w:rsid w:val="00B1798B"/>
    <w:rsid w:val="00B17BCC"/>
    <w:rsid w:val="00B17D02"/>
    <w:rsid w:val="00B20E1C"/>
    <w:rsid w:val="00B2187D"/>
    <w:rsid w:val="00B21F0F"/>
    <w:rsid w:val="00B2252A"/>
    <w:rsid w:val="00B24747"/>
    <w:rsid w:val="00B24AE0"/>
    <w:rsid w:val="00B25027"/>
    <w:rsid w:val="00B255D0"/>
    <w:rsid w:val="00B25613"/>
    <w:rsid w:val="00B25A8D"/>
    <w:rsid w:val="00B26942"/>
    <w:rsid w:val="00B27096"/>
    <w:rsid w:val="00B27CBB"/>
    <w:rsid w:val="00B302F7"/>
    <w:rsid w:val="00B3039F"/>
    <w:rsid w:val="00B31DDD"/>
    <w:rsid w:val="00B32739"/>
    <w:rsid w:val="00B32918"/>
    <w:rsid w:val="00B32AAF"/>
    <w:rsid w:val="00B330E9"/>
    <w:rsid w:val="00B33F0B"/>
    <w:rsid w:val="00B347B9"/>
    <w:rsid w:val="00B34968"/>
    <w:rsid w:val="00B351A9"/>
    <w:rsid w:val="00B3554F"/>
    <w:rsid w:val="00B36B62"/>
    <w:rsid w:val="00B36D76"/>
    <w:rsid w:val="00B372D9"/>
    <w:rsid w:val="00B37B33"/>
    <w:rsid w:val="00B37DB2"/>
    <w:rsid w:val="00B40690"/>
    <w:rsid w:val="00B409C3"/>
    <w:rsid w:val="00B40DE1"/>
    <w:rsid w:val="00B41358"/>
    <w:rsid w:val="00B41F89"/>
    <w:rsid w:val="00B42741"/>
    <w:rsid w:val="00B433C1"/>
    <w:rsid w:val="00B4371A"/>
    <w:rsid w:val="00B43F24"/>
    <w:rsid w:val="00B43F76"/>
    <w:rsid w:val="00B44586"/>
    <w:rsid w:val="00B445D0"/>
    <w:rsid w:val="00B44F28"/>
    <w:rsid w:val="00B45C5C"/>
    <w:rsid w:val="00B470D4"/>
    <w:rsid w:val="00B47CE3"/>
    <w:rsid w:val="00B502E9"/>
    <w:rsid w:val="00B51421"/>
    <w:rsid w:val="00B5274D"/>
    <w:rsid w:val="00B527D3"/>
    <w:rsid w:val="00B53069"/>
    <w:rsid w:val="00B53766"/>
    <w:rsid w:val="00B542B4"/>
    <w:rsid w:val="00B547FC"/>
    <w:rsid w:val="00B55B4B"/>
    <w:rsid w:val="00B56C6C"/>
    <w:rsid w:val="00B56D40"/>
    <w:rsid w:val="00B57A3C"/>
    <w:rsid w:val="00B61DDA"/>
    <w:rsid w:val="00B63017"/>
    <w:rsid w:val="00B64041"/>
    <w:rsid w:val="00B64A20"/>
    <w:rsid w:val="00B64E22"/>
    <w:rsid w:val="00B65EFD"/>
    <w:rsid w:val="00B661F5"/>
    <w:rsid w:val="00B7040D"/>
    <w:rsid w:val="00B7089E"/>
    <w:rsid w:val="00B717A2"/>
    <w:rsid w:val="00B72141"/>
    <w:rsid w:val="00B72A6E"/>
    <w:rsid w:val="00B74707"/>
    <w:rsid w:val="00B7485A"/>
    <w:rsid w:val="00B74F02"/>
    <w:rsid w:val="00B752F1"/>
    <w:rsid w:val="00B7646A"/>
    <w:rsid w:val="00B77522"/>
    <w:rsid w:val="00B8154E"/>
    <w:rsid w:val="00B81747"/>
    <w:rsid w:val="00B81B95"/>
    <w:rsid w:val="00B81C69"/>
    <w:rsid w:val="00B8207A"/>
    <w:rsid w:val="00B821DD"/>
    <w:rsid w:val="00B82458"/>
    <w:rsid w:val="00B83620"/>
    <w:rsid w:val="00B83A10"/>
    <w:rsid w:val="00B83A5E"/>
    <w:rsid w:val="00B83E2A"/>
    <w:rsid w:val="00B84049"/>
    <w:rsid w:val="00B845D2"/>
    <w:rsid w:val="00B85184"/>
    <w:rsid w:val="00B853D0"/>
    <w:rsid w:val="00B85BA9"/>
    <w:rsid w:val="00B86775"/>
    <w:rsid w:val="00B86BC5"/>
    <w:rsid w:val="00B8707A"/>
    <w:rsid w:val="00B87152"/>
    <w:rsid w:val="00B87888"/>
    <w:rsid w:val="00B914D4"/>
    <w:rsid w:val="00B9158F"/>
    <w:rsid w:val="00B92F41"/>
    <w:rsid w:val="00B93D35"/>
    <w:rsid w:val="00B94131"/>
    <w:rsid w:val="00B944DF"/>
    <w:rsid w:val="00B946B7"/>
    <w:rsid w:val="00B9576E"/>
    <w:rsid w:val="00B958CD"/>
    <w:rsid w:val="00B95B9E"/>
    <w:rsid w:val="00B95D91"/>
    <w:rsid w:val="00B974C2"/>
    <w:rsid w:val="00B97A5B"/>
    <w:rsid w:val="00B97AF3"/>
    <w:rsid w:val="00BA0300"/>
    <w:rsid w:val="00BA08A8"/>
    <w:rsid w:val="00BA0DD4"/>
    <w:rsid w:val="00BA1C48"/>
    <w:rsid w:val="00BA2D08"/>
    <w:rsid w:val="00BA35C6"/>
    <w:rsid w:val="00BA5180"/>
    <w:rsid w:val="00BA5596"/>
    <w:rsid w:val="00BA5782"/>
    <w:rsid w:val="00BA64E8"/>
    <w:rsid w:val="00BB0107"/>
    <w:rsid w:val="00BB17B2"/>
    <w:rsid w:val="00BB4B5D"/>
    <w:rsid w:val="00BB604A"/>
    <w:rsid w:val="00BB62A6"/>
    <w:rsid w:val="00BB6996"/>
    <w:rsid w:val="00BB6B21"/>
    <w:rsid w:val="00BB6FFB"/>
    <w:rsid w:val="00BB7647"/>
    <w:rsid w:val="00BB7A6B"/>
    <w:rsid w:val="00BC0A79"/>
    <w:rsid w:val="00BC1728"/>
    <w:rsid w:val="00BC2904"/>
    <w:rsid w:val="00BC3111"/>
    <w:rsid w:val="00BC32F5"/>
    <w:rsid w:val="00BC387C"/>
    <w:rsid w:val="00BC4EBD"/>
    <w:rsid w:val="00BC69BC"/>
    <w:rsid w:val="00BC6AEF"/>
    <w:rsid w:val="00BC7E0D"/>
    <w:rsid w:val="00BD2645"/>
    <w:rsid w:val="00BD29DF"/>
    <w:rsid w:val="00BD32A7"/>
    <w:rsid w:val="00BD374F"/>
    <w:rsid w:val="00BD3B57"/>
    <w:rsid w:val="00BD45E3"/>
    <w:rsid w:val="00BD4A00"/>
    <w:rsid w:val="00BD511E"/>
    <w:rsid w:val="00BD51FE"/>
    <w:rsid w:val="00BD60FB"/>
    <w:rsid w:val="00BD7A3C"/>
    <w:rsid w:val="00BD7B91"/>
    <w:rsid w:val="00BE1C1B"/>
    <w:rsid w:val="00BE3459"/>
    <w:rsid w:val="00BE3F13"/>
    <w:rsid w:val="00BE406F"/>
    <w:rsid w:val="00BE52C4"/>
    <w:rsid w:val="00BE5F15"/>
    <w:rsid w:val="00BE745C"/>
    <w:rsid w:val="00BF015A"/>
    <w:rsid w:val="00BF11AC"/>
    <w:rsid w:val="00BF156F"/>
    <w:rsid w:val="00BF1739"/>
    <w:rsid w:val="00BF1F0F"/>
    <w:rsid w:val="00BF25E1"/>
    <w:rsid w:val="00BF396A"/>
    <w:rsid w:val="00BF44EB"/>
    <w:rsid w:val="00BF4720"/>
    <w:rsid w:val="00BF497B"/>
    <w:rsid w:val="00BF5811"/>
    <w:rsid w:val="00BF6366"/>
    <w:rsid w:val="00BF648E"/>
    <w:rsid w:val="00BF6A59"/>
    <w:rsid w:val="00BF706B"/>
    <w:rsid w:val="00BF760C"/>
    <w:rsid w:val="00C00BB3"/>
    <w:rsid w:val="00C017F2"/>
    <w:rsid w:val="00C0209E"/>
    <w:rsid w:val="00C02F84"/>
    <w:rsid w:val="00C031F0"/>
    <w:rsid w:val="00C03EAE"/>
    <w:rsid w:val="00C04468"/>
    <w:rsid w:val="00C052B7"/>
    <w:rsid w:val="00C05870"/>
    <w:rsid w:val="00C063BF"/>
    <w:rsid w:val="00C10636"/>
    <w:rsid w:val="00C10C96"/>
    <w:rsid w:val="00C11A05"/>
    <w:rsid w:val="00C11B8B"/>
    <w:rsid w:val="00C120D5"/>
    <w:rsid w:val="00C143F8"/>
    <w:rsid w:val="00C16012"/>
    <w:rsid w:val="00C17120"/>
    <w:rsid w:val="00C17DFD"/>
    <w:rsid w:val="00C208EA"/>
    <w:rsid w:val="00C22AA5"/>
    <w:rsid w:val="00C236D9"/>
    <w:rsid w:val="00C24191"/>
    <w:rsid w:val="00C2502C"/>
    <w:rsid w:val="00C25E38"/>
    <w:rsid w:val="00C275E9"/>
    <w:rsid w:val="00C27779"/>
    <w:rsid w:val="00C27A8D"/>
    <w:rsid w:val="00C30442"/>
    <w:rsid w:val="00C3107B"/>
    <w:rsid w:val="00C316C3"/>
    <w:rsid w:val="00C31A27"/>
    <w:rsid w:val="00C32527"/>
    <w:rsid w:val="00C328FB"/>
    <w:rsid w:val="00C3322B"/>
    <w:rsid w:val="00C33C5B"/>
    <w:rsid w:val="00C34943"/>
    <w:rsid w:val="00C34A5F"/>
    <w:rsid w:val="00C34DC1"/>
    <w:rsid w:val="00C353FD"/>
    <w:rsid w:val="00C356BB"/>
    <w:rsid w:val="00C36C3F"/>
    <w:rsid w:val="00C37353"/>
    <w:rsid w:val="00C37C03"/>
    <w:rsid w:val="00C415B1"/>
    <w:rsid w:val="00C41A03"/>
    <w:rsid w:val="00C41D3E"/>
    <w:rsid w:val="00C4217C"/>
    <w:rsid w:val="00C421DB"/>
    <w:rsid w:val="00C4352C"/>
    <w:rsid w:val="00C448CE"/>
    <w:rsid w:val="00C44ABA"/>
    <w:rsid w:val="00C45DC8"/>
    <w:rsid w:val="00C479B8"/>
    <w:rsid w:val="00C50133"/>
    <w:rsid w:val="00C50300"/>
    <w:rsid w:val="00C50BA8"/>
    <w:rsid w:val="00C51861"/>
    <w:rsid w:val="00C5299C"/>
    <w:rsid w:val="00C5480F"/>
    <w:rsid w:val="00C551DC"/>
    <w:rsid w:val="00C55E89"/>
    <w:rsid w:val="00C56015"/>
    <w:rsid w:val="00C57359"/>
    <w:rsid w:val="00C57965"/>
    <w:rsid w:val="00C57AE2"/>
    <w:rsid w:val="00C57EAC"/>
    <w:rsid w:val="00C6247C"/>
    <w:rsid w:val="00C63196"/>
    <w:rsid w:val="00C63238"/>
    <w:rsid w:val="00C632B4"/>
    <w:rsid w:val="00C6404B"/>
    <w:rsid w:val="00C6407A"/>
    <w:rsid w:val="00C64307"/>
    <w:rsid w:val="00C645C1"/>
    <w:rsid w:val="00C64BB8"/>
    <w:rsid w:val="00C65FBC"/>
    <w:rsid w:val="00C66622"/>
    <w:rsid w:val="00C670ED"/>
    <w:rsid w:val="00C67A73"/>
    <w:rsid w:val="00C72108"/>
    <w:rsid w:val="00C7228F"/>
    <w:rsid w:val="00C73873"/>
    <w:rsid w:val="00C76715"/>
    <w:rsid w:val="00C76F57"/>
    <w:rsid w:val="00C77CAA"/>
    <w:rsid w:val="00C800EF"/>
    <w:rsid w:val="00C804D2"/>
    <w:rsid w:val="00C80986"/>
    <w:rsid w:val="00C810F1"/>
    <w:rsid w:val="00C81840"/>
    <w:rsid w:val="00C81DDC"/>
    <w:rsid w:val="00C83476"/>
    <w:rsid w:val="00C83771"/>
    <w:rsid w:val="00C838D2"/>
    <w:rsid w:val="00C83C2D"/>
    <w:rsid w:val="00C849EE"/>
    <w:rsid w:val="00C85D36"/>
    <w:rsid w:val="00C8603D"/>
    <w:rsid w:val="00C86304"/>
    <w:rsid w:val="00C86335"/>
    <w:rsid w:val="00C86D09"/>
    <w:rsid w:val="00C8723D"/>
    <w:rsid w:val="00C90A78"/>
    <w:rsid w:val="00C90C74"/>
    <w:rsid w:val="00C9210F"/>
    <w:rsid w:val="00C929D2"/>
    <w:rsid w:val="00C93E2F"/>
    <w:rsid w:val="00C9421D"/>
    <w:rsid w:val="00C95347"/>
    <w:rsid w:val="00C96E8B"/>
    <w:rsid w:val="00C97110"/>
    <w:rsid w:val="00C97923"/>
    <w:rsid w:val="00C97BA2"/>
    <w:rsid w:val="00C97CF7"/>
    <w:rsid w:val="00CA09A1"/>
    <w:rsid w:val="00CA15D2"/>
    <w:rsid w:val="00CA2B81"/>
    <w:rsid w:val="00CA319A"/>
    <w:rsid w:val="00CA494C"/>
    <w:rsid w:val="00CA4BDE"/>
    <w:rsid w:val="00CA515D"/>
    <w:rsid w:val="00CA56DE"/>
    <w:rsid w:val="00CA5F88"/>
    <w:rsid w:val="00CA6163"/>
    <w:rsid w:val="00CA7F86"/>
    <w:rsid w:val="00CB04FD"/>
    <w:rsid w:val="00CB0BCE"/>
    <w:rsid w:val="00CB11CB"/>
    <w:rsid w:val="00CB193F"/>
    <w:rsid w:val="00CB1BEC"/>
    <w:rsid w:val="00CB24E9"/>
    <w:rsid w:val="00CB2F06"/>
    <w:rsid w:val="00CB3AF0"/>
    <w:rsid w:val="00CB663C"/>
    <w:rsid w:val="00CB688D"/>
    <w:rsid w:val="00CB68D7"/>
    <w:rsid w:val="00CB6B71"/>
    <w:rsid w:val="00CB6FD1"/>
    <w:rsid w:val="00CB74B5"/>
    <w:rsid w:val="00CC0F0B"/>
    <w:rsid w:val="00CC24D1"/>
    <w:rsid w:val="00CC3BAD"/>
    <w:rsid w:val="00CC425E"/>
    <w:rsid w:val="00CC57EA"/>
    <w:rsid w:val="00CC5AE3"/>
    <w:rsid w:val="00CC6CA8"/>
    <w:rsid w:val="00CC6FA4"/>
    <w:rsid w:val="00CC7291"/>
    <w:rsid w:val="00CD02B7"/>
    <w:rsid w:val="00CD1AC8"/>
    <w:rsid w:val="00CD1FD3"/>
    <w:rsid w:val="00CD27C9"/>
    <w:rsid w:val="00CD28CD"/>
    <w:rsid w:val="00CD2AC1"/>
    <w:rsid w:val="00CD3138"/>
    <w:rsid w:val="00CD34CA"/>
    <w:rsid w:val="00CD3A1F"/>
    <w:rsid w:val="00CD419A"/>
    <w:rsid w:val="00CD5222"/>
    <w:rsid w:val="00CD5519"/>
    <w:rsid w:val="00CD6513"/>
    <w:rsid w:val="00CD6A9D"/>
    <w:rsid w:val="00CD6F44"/>
    <w:rsid w:val="00CD739D"/>
    <w:rsid w:val="00CE00D2"/>
    <w:rsid w:val="00CE194B"/>
    <w:rsid w:val="00CE3418"/>
    <w:rsid w:val="00CE35DD"/>
    <w:rsid w:val="00CE478F"/>
    <w:rsid w:val="00CE52AD"/>
    <w:rsid w:val="00CE586B"/>
    <w:rsid w:val="00CE670E"/>
    <w:rsid w:val="00CE706F"/>
    <w:rsid w:val="00CE7192"/>
    <w:rsid w:val="00CF0F1A"/>
    <w:rsid w:val="00CF1298"/>
    <w:rsid w:val="00CF181F"/>
    <w:rsid w:val="00CF223C"/>
    <w:rsid w:val="00CF265A"/>
    <w:rsid w:val="00CF2981"/>
    <w:rsid w:val="00CF29EC"/>
    <w:rsid w:val="00CF4FD3"/>
    <w:rsid w:val="00CF6024"/>
    <w:rsid w:val="00CF615B"/>
    <w:rsid w:val="00CF64D1"/>
    <w:rsid w:val="00CF6BDE"/>
    <w:rsid w:val="00CF7C9B"/>
    <w:rsid w:val="00D0119F"/>
    <w:rsid w:val="00D014F5"/>
    <w:rsid w:val="00D02116"/>
    <w:rsid w:val="00D032FD"/>
    <w:rsid w:val="00D0428E"/>
    <w:rsid w:val="00D042B0"/>
    <w:rsid w:val="00D04544"/>
    <w:rsid w:val="00D04FB0"/>
    <w:rsid w:val="00D05335"/>
    <w:rsid w:val="00D05B1C"/>
    <w:rsid w:val="00D05D41"/>
    <w:rsid w:val="00D062C8"/>
    <w:rsid w:val="00D06A9F"/>
    <w:rsid w:val="00D078BC"/>
    <w:rsid w:val="00D10485"/>
    <w:rsid w:val="00D11BCD"/>
    <w:rsid w:val="00D12D1E"/>
    <w:rsid w:val="00D132D1"/>
    <w:rsid w:val="00D13547"/>
    <w:rsid w:val="00D13A88"/>
    <w:rsid w:val="00D13AFB"/>
    <w:rsid w:val="00D14B04"/>
    <w:rsid w:val="00D15949"/>
    <w:rsid w:val="00D15D1C"/>
    <w:rsid w:val="00D1660F"/>
    <w:rsid w:val="00D17267"/>
    <w:rsid w:val="00D2016A"/>
    <w:rsid w:val="00D20598"/>
    <w:rsid w:val="00D2068E"/>
    <w:rsid w:val="00D22116"/>
    <w:rsid w:val="00D22880"/>
    <w:rsid w:val="00D23A36"/>
    <w:rsid w:val="00D23C1F"/>
    <w:rsid w:val="00D23EA6"/>
    <w:rsid w:val="00D2616B"/>
    <w:rsid w:val="00D26193"/>
    <w:rsid w:val="00D26918"/>
    <w:rsid w:val="00D26E46"/>
    <w:rsid w:val="00D2769B"/>
    <w:rsid w:val="00D30C9C"/>
    <w:rsid w:val="00D30CC0"/>
    <w:rsid w:val="00D33135"/>
    <w:rsid w:val="00D3564B"/>
    <w:rsid w:val="00D35EA2"/>
    <w:rsid w:val="00D36A55"/>
    <w:rsid w:val="00D410E7"/>
    <w:rsid w:val="00D42E7E"/>
    <w:rsid w:val="00D4409D"/>
    <w:rsid w:val="00D44AD4"/>
    <w:rsid w:val="00D44BD1"/>
    <w:rsid w:val="00D44F46"/>
    <w:rsid w:val="00D4510E"/>
    <w:rsid w:val="00D4594B"/>
    <w:rsid w:val="00D463DA"/>
    <w:rsid w:val="00D46A26"/>
    <w:rsid w:val="00D47E38"/>
    <w:rsid w:val="00D50955"/>
    <w:rsid w:val="00D512A8"/>
    <w:rsid w:val="00D533C5"/>
    <w:rsid w:val="00D54961"/>
    <w:rsid w:val="00D55DB6"/>
    <w:rsid w:val="00D56265"/>
    <w:rsid w:val="00D56B0C"/>
    <w:rsid w:val="00D56EDB"/>
    <w:rsid w:val="00D57BAA"/>
    <w:rsid w:val="00D57C00"/>
    <w:rsid w:val="00D60E2D"/>
    <w:rsid w:val="00D611F0"/>
    <w:rsid w:val="00D6121A"/>
    <w:rsid w:val="00D614C6"/>
    <w:rsid w:val="00D622DF"/>
    <w:rsid w:val="00D625F1"/>
    <w:rsid w:val="00D62B65"/>
    <w:rsid w:val="00D63178"/>
    <w:rsid w:val="00D6386E"/>
    <w:rsid w:val="00D63D55"/>
    <w:rsid w:val="00D64C6E"/>
    <w:rsid w:val="00D64E9F"/>
    <w:rsid w:val="00D65442"/>
    <w:rsid w:val="00D6545A"/>
    <w:rsid w:val="00D66D19"/>
    <w:rsid w:val="00D670FD"/>
    <w:rsid w:val="00D6789F"/>
    <w:rsid w:val="00D67958"/>
    <w:rsid w:val="00D70B64"/>
    <w:rsid w:val="00D72657"/>
    <w:rsid w:val="00D72AE7"/>
    <w:rsid w:val="00D7343E"/>
    <w:rsid w:val="00D754B4"/>
    <w:rsid w:val="00D75AE4"/>
    <w:rsid w:val="00D761CC"/>
    <w:rsid w:val="00D76479"/>
    <w:rsid w:val="00D769AE"/>
    <w:rsid w:val="00D76A8A"/>
    <w:rsid w:val="00D76E8A"/>
    <w:rsid w:val="00D76FE0"/>
    <w:rsid w:val="00D77007"/>
    <w:rsid w:val="00D80F89"/>
    <w:rsid w:val="00D80FCE"/>
    <w:rsid w:val="00D80FE9"/>
    <w:rsid w:val="00D81B09"/>
    <w:rsid w:val="00D8214C"/>
    <w:rsid w:val="00D829A9"/>
    <w:rsid w:val="00D83B9A"/>
    <w:rsid w:val="00D8419E"/>
    <w:rsid w:val="00D8606E"/>
    <w:rsid w:val="00D8658F"/>
    <w:rsid w:val="00D87A94"/>
    <w:rsid w:val="00D927B2"/>
    <w:rsid w:val="00D93B94"/>
    <w:rsid w:val="00D93CE6"/>
    <w:rsid w:val="00D941FA"/>
    <w:rsid w:val="00D946BB"/>
    <w:rsid w:val="00D9653D"/>
    <w:rsid w:val="00D968C6"/>
    <w:rsid w:val="00D96B6E"/>
    <w:rsid w:val="00D974ED"/>
    <w:rsid w:val="00D97623"/>
    <w:rsid w:val="00D97F54"/>
    <w:rsid w:val="00DA03D0"/>
    <w:rsid w:val="00DA0E8F"/>
    <w:rsid w:val="00DA1386"/>
    <w:rsid w:val="00DA19A9"/>
    <w:rsid w:val="00DA207E"/>
    <w:rsid w:val="00DA2F52"/>
    <w:rsid w:val="00DA2FD7"/>
    <w:rsid w:val="00DA3448"/>
    <w:rsid w:val="00DA3BFD"/>
    <w:rsid w:val="00DA3D9F"/>
    <w:rsid w:val="00DA485B"/>
    <w:rsid w:val="00DA514F"/>
    <w:rsid w:val="00DA66A8"/>
    <w:rsid w:val="00DA7B92"/>
    <w:rsid w:val="00DB213A"/>
    <w:rsid w:val="00DB2BB8"/>
    <w:rsid w:val="00DB4730"/>
    <w:rsid w:val="00DB4B4B"/>
    <w:rsid w:val="00DB5630"/>
    <w:rsid w:val="00DB59A2"/>
    <w:rsid w:val="00DB5C44"/>
    <w:rsid w:val="00DB6029"/>
    <w:rsid w:val="00DB6EDD"/>
    <w:rsid w:val="00DB70E6"/>
    <w:rsid w:val="00DB7865"/>
    <w:rsid w:val="00DC13C1"/>
    <w:rsid w:val="00DC151B"/>
    <w:rsid w:val="00DC1612"/>
    <w:rsid w:val="00DC16CB"/>
    <w:rsid w:val="00DC2358"/>
    <w:rsid w:val="00DC26EB"/>
    <w:rsid w:val="00DC31EC"/>
    <w:rsid w:val="00DC3FE6"/>
    <w:rsid w:val="00DC5488"/>
    <w:rsid w:val="00DC5703"/>
    <w:rsid w:val="00DC5903"/>
    <w:rsid w:val="00DC6234"/>
    <w:rsid w:val="00DC682D"/>
    <w:rsid w:val="00DC7D68"/>
    <w:rsid w:val="00DD04CD"/>
    <w:rsid w:val="00DD08E5"/>
    <w:rsid w:val="00DD2849"/>
    <w:rsid w:val="00DD3477"/>
    <w:rsid w:val="00DD37A6"/>
    <w:rsid w:val="00DD4941"/>
    <w:rsid w:val="00DD6906"/>
    <w:rsid w:val="00DD6BFD"/>
    <w:rsid w:val="00DD7F64"/>
    <w:rsid w:val="00DE031D"/>
    <w:rsid w:val="00DE3712"/>
    <w:rsid w:val="00DE400E"/>
    <w:rsid w:val="00DE5626"/>
    <w:rsid w:val="00DE5E03"/>
    <w:rsid w:val="00DE61D8"/>
    <w:rsid w:val="00DE64CB"/>
    <w:rsid w:val="00DE686F"/>
    <w:rsid w:val="00DE70F1"/>
    <w:rsid w:val="00DE7F8D"/>
    <w:rsid w:val="00DF219C"/>
    <w:rsid w:val="00DF2666"/>
    <w:rsid w:val="00DF418C"/>
    <w:rsid w:val="00DF507E"/>
    <w:rsid w:val="00DF5F6D"/>
    <w:rsid w:val="00DF5FCE"/>
    <w:rsid w:val="00DF6812"/>
    <w:rsid w:val="00DF6D5C"/>
    <w:rsid w:val="00DF6EAF"/>
    <w:rsid w:val="00DF74A4"/>
    <w:rsid w:val="00E006B5"/>
    <w:rsid w:val="00E00D41"/>
    <w:rsid w:val="00E018A9"/>
    <w:rsid w:val="00E01F62"/>
    <w:rsid w:val="00E0274B"/>
    <w:rsid w:val="00E02AC7"/>
    <w:rsid w:val="00E0537F"/>
    <w:rsid w:val="00E05613"/>
    <w:rsid w:val="00E066A7"/>
    <w:rsid w:val="00E068D8"/>
    <w:rsid w:val="00E06E4B"/>
    <w:rsid w:val="00E1008C"/>
    <w:rsid w:val="00E104AD"/>
    <w:rsid w:val="00E109F4"/>
    <w:rsid w:val="00E11864"/>
    <w:rsid w:val="00E12EBD"/>
    <w:rsid w:val="00E132D3"/>
    <w:rsid w:val="00E1365C"/>
    <w:rsid w:val="00E14CD8"/>
    <w:rsid w:val="00E15540"/>
    <w:rsid w:val="00E15D03"/>
    <w:rsid w:val="00E1601C"/>
    <w:rsid w:val="00E1671A"/>
    <w:rsid w:val="00E21623"/>
    <w:rsid w:val="00E22B5E"/>
    <w:rsid w:val="00E24232"/>
    <w:rsid w:val="00E25673"/>
    <w:rsid w:val="00E258E2"/>
    <w:rsid w:val="00E26CB5"/>
    <w:rsid w:val="00E27106"/>
    <w:rsid w:val="00E27C4C"/>
    <w:rsid w:val="00E27D8D"/>
    <w:rsid w:val="00E31308"/>
    <w:rsid w:val="00E31AA5"/>
    <w:rsid w:val="00E3300E"/>
    <w:rsid w:val="00E33DAC"/>
    <w:rsid w:val="00E345C0"/>
    <w:rsid w:val="00E35C2C"/>
    <w:rsid w:val="00E35FC5"/>
    <w:rsid w:val="00E37C14"/>
    <w:rsid w:val="00E37FAC"/>
    <w:rsid w:val="00E4066E"/>
    <w:rsid w:val="00E411B7"/>
    <w:rsid w:val="00E41FD3"/>
    <w:rsid w:val="00E431E5"/>
    <w:rsid w:val="00E43E13"/>
    <w:rsid w:val="00E448F1"/>
    <w:rsid w:val="00E45377"/>
    <w:rsid w:val="00E469A2"/>
    <w:rsid w:val="00E47D83"/>
    <w:rsid w:val="00E51E7E"/>
    <w:rsid w:val="00E52BDD"/>
    <w:rsid w:val="00E536C8"/>
    <w:rsid w:val="00E53816"/>
    <w:rsid w:val="00E5383A"/>
    <w:rsid w:val="00E53D47"/>
    <w:rsid w:val="00E53DC5"/>
    <w:rsid w:val="00E53EA3"/>
    <w:rsid w:val="00E54F3F"/>
    <w:rsid w:val="00E555FD"/>
    <w:rsid w:val="00E558DB"/>
    <w:rsid w:val="00E56C6C"/>
    <w:rsid w:val="00E60599"/>
    <w:rsid w:val="00E60818"/>
    <w:rsid w:val="00E60B24"/>
    <w:rsid w:val="00E62433"/>
    <w:rsid w:val="00E639A2"/>
    <w:rsid w:val="00E63E6A"/>
    <w:rsid w:val="00E64BEA"/>
    <w:rsid w:val="00E653A9"/>
    <w:rsid w:val="00E666AD"/>
    <w:rsid w:val="00E667DF"/>
    <w:rsid w:val="00E66C78"/>
    <w:rsid w:val="00E676EE"/>
    <w:rsid w:val="00E708B6"/>
    <w:rsid w:val="00E71BF4"/>
    <w:rsid w:val="00E720C7"/>
    <w:rsid w:val="00E72AEE"/>
    <w:rsid w:val="00E72BBC"/>
    <w:rsid w:val="00E7372F"/>
    <w:rsid w:val="00E73BDB"/>
    <w:rsid w:val="00E74053"/>
    <w:rsid w:val="00E740FF"/>
    <w:rsid w:val="00E746DC"/>
    <w:rsid w:val="00E76E5A"/>
    <w:rsid w:val="00E77DF5"/>
    <w:rsid w:val="00E77DF7"/>
    <w:rsid w:val="00E8047D"/>
    <w:rsid w:val="00E80CDC"/>
    <w:rsid w:val="00E81447"/>
    <w:rsid w:val="00E81EE7"/>
    <w:rsid w:val="00E81F69"/>
    <w:rsid w:val="00E822B9"/>
    <w:rsid w:val="00E825AE"/>
    <w:rsid w:val="00E8262D"/>
    <w:rsid w:val="00E8404C"/>
    <w:rsid w:val="00E86511"/>
    <w:rsid w:val="00E86BAE"/>
    <w:rsid w:val="00E87B80"/>
    <w:rsid w:val="00E90AFB"/>
    <w:rsid w:val="00E90E12"/>
    <w:rsid w:val="00E921DA"/>
    <w:rsid w:val="00E92AA8"/>
    <w:rsid w:val="00E932D2"/>
    <w:rsid w:val="00E9393A"/>
    <w:rsid w:val="00E93951"/>
    <w:rsid w:val="00E93ADE"/>
    <w:rsid w:val="00E9724A"/>
    <w:rsid w:val="00EA026B"/>
    <w:rsid w:val="00EA097D"/>
    <w:rsid w:val="00EA0B20"/>
    <w:rsid w:val="00EA16C2"/>
    <w:rsid w:val="00EA2D23"/>
    <w:rsid w:val="00EA30F1"/>
    <w:rsid w:val="00EA3537"/>
    <w:rsid w:val="00EA4382"/>
    <w:rsid w:val="00EA45D5"/>
    <w:rsid w:val="00EA490C"/>
    <w:rsid w:val="00EA4E72"/>
    <w:rsid w:val="00EA4F7C"/>
    <w:rsid w:val="00EA5771"/>
    <w:rsid w:val="00EA5BCB"/>
    <w:rsid w:val="00EB06FE"/>
    <w:rsid w:val="00EB09C7"/>
    <w:rsid w:val="00EB1171"/>
    <w:rsid w:val="00EB18CB"/>
    <w:rsid w:val="00EB296B"/>
    <w:rsid w:val="00EB2E5B"/>
    <w:rsid w:val="00EB3A81"/>
    <w:rsid w:val="00EB5AE8"/>
    <w:rsid w:val="00EB63E5"/>
    <w:rsid w:val="00EB6BB9"/>
    <w:rsid w:val="00EB7077"/>
    <w:rsid w:val="00EB7DA7"/>
    <w:rsid w:val="00EC0024"/>
    <w:rsid w:val="00EC036A"/>
    <w:rsid w:val="00EC0DEC"/>
    <w:rsid w:val="00EC1ADE"/>
    <w:rsid w:val="00EC6637"/>
    <w:rsid w:val="00EC6C33"/>
    <w:rsid w:val="00EC7641"/>
    <w:rsid w:val="00ED0905"/>
    <w:rsid w:val="00ED0D6A"/>
    <w:rsid w:val="00ED1C4E"/>
    <w:rsid w:val="00ED48A9"/>
    <w:rsid w:val="00ED4A51"/>
    <w:rsid w:val="00ED6996"/>
    <w:rsid w:val="00ED6FC6"/>
    <w:rsid w:val="00ED7A84"/>
    <w:rsid w:val="00EE039D"/>
    <w:rsid w:val="00EE1491"/>
    <w:rsid w:val="00EE18B8"/>
    <w:rsid w:val="00EE24D5"/>
    <w:rsid w:val="00EE25A4"/>
    <w:rsid w:val="00EE327E"/>
    <w:rsid w:val="00EE333A"/>
    <w:rsid w:val="00EE35F6"/>
    <w:rsid w:val="00EE45EC"/>
    <w:rsid w:val="00EE4781"/>
    <w:rsid w:val="00EE5393"/>
    <w:rsid w:val="00EE7744"/>
    <w:rsid w:val="00EF0968"/>
    <w:rsid w:val="00EF26C6"/>
    <w:rsid w:val="00EF2946"/>
    <w:rsid w:val="00EF3229"/>
    <w:rsid w:val="00EF49FB"/>
    <w:rsid w:val="00EF547D"/>
    <w:rsid w:val="00EF5C51"/>
    <w:rsid w:val="00EF644D"/>
    <w:rsid w:val="00EF6A8D"/>
    <w:rsid w:val="00F0350E"/>
    <w:rsid w:val="00F03C52"/>
    <w:rsid w:val="00F051DA"/>
    <w:rsid w:val="00F05576"/>
    <w:rsid w:val="00F05743"/>
    <w:rsid w:val="00F0588E"/>
    <w:rsid w:val="00F05C96"/>
    <w:rsid w:val="00F06F02"/>
    <w:rsid w:val="00F07117"/>
    <w:rsid w:val="00F118A8"/>
    <w:rsid w:val="00F12E19"/>
    <w:rsid w:val="00F13ADC"/>
    <w:rsid w:val="00F14028"/>
    <w:rsid w:val="00F14DE0"/>
    <w:rsid w:val="00F155ED"/>
    <w:rsid w:val="00F175BA"/>
    <w:rsid w:val="00F178EF"/>
    <w:rsid w:val="00F20473"/>
    <w:rsid w:val="00F21065"/>
    <w:rsid w:val="00F211EF"/>
    <w:rsid w:val="00F21AB5"/>
    <w:rsid w:val="00F22616"/>
    <w:rsid w:val="00F2291A"/>
    <w:rsid w:val="00F23515"/>
    <w:rsid w:val="00F23C62"/>
    <w:rsid w:val="00F25570"/>
    <w:rsid w:val="00F2570C"/>
    <w:rsid w:val="00F269EA"/>
    <w:rsid w:val="00F270AB"/>
    <w:rsid w:val="00F275D9"/>
    <w:rsid w:val="00F30438"/>
    <w:rsid w:val="00F30E11"/>
    <w:rsid w:val="00F31323"/>
    <w:rsid w:val="00F32520"/>
    <w:rsid w:val="00F33091"/>
    <w:rsid w:val="00F343E4"/>
    <w:rsid w:val="00F343EB"/>
    <w:rsid w:val="00F35126"/>
    <w:rsid w:val="00F36DCC"/>
    <w:rsid w:val="00F373B3"/>
    <w:rsid w:val="00F377EC"/>
    <w:rsid w:val="00F40749"/>
    <w:rsid w:val="00F40BA7"/>
    <w:rsid w:val="00F41F65"/>
    <w:rsid w:val="00F420B2"/>
    <w:rsid w:val="00F42186"/>
    <w:rsid w:val="00F429A5"/>
    <w:rsid w:val="00F43179"/>
    <w:rsid w:val="00F4403D"/>
    <w:rsid w:val="00F44543"/>
    <w:rsid w:val="00F44994"/>
    <w:rsid w:val="00F45A41"/>
    <w:rsid w:val="00F45DAA"/>
    <w:rsid w:val="00F45F77"/>
    <w:rsid w:val="00F4664F"/>
    <w:rsid w:val="00F46ACC"/>
    <w:rsid w:val="00F46DCD"/>
    <w:rsid w:val="00F46F4B"/>
    <w:rsid w:val="00F471B4"/>
    <w:rsid w:val="00F502D9"/>
    <w:rsid w:val="00F51E9E"/>
    <w:rsid w:val="00F5239E"/>
    <w:rsid w:val="00F528B4"/>
    <w:rsid w:val="00F52930"/>
    <w:rsid w:val="00F52942"/>
    <w:rsid w:val="00F54308"/>
    <w:rsid w:val="00F55A10"/>
    <w:rsid w:val="00F55F1E"/>
    <w:rsid w:val="00F56B3A"/>
    <w:rsid w:val="00F57F7F"/>
    <w:rsid w:val="00F60439"/>
    <w:rsid w:val="00F60F01"/>
    <w:rsid w:val="00F629B1"/>
    <w:rsid w:val="00F631CF"/>
    <w:rsid w:val="00F6396F"/>
    <w:rsid w:val="00F63FEF"/>
    <w:rsid w:val="00F640D6"/>
    <w:rsid w:val="00F652D2"/>
    <w:rsid w:val="00F65F15"/>
    <w:rsid w:val="00F673A3"/>
    <w:rsid w:val="00F67469"/>
    <w:rsid w:val="00F67E78"/>
    <w:rsid w:val="00F7198D"/>
    <w:rsid w:val="00F734FD"/>
    <w:rsid w:val="00F74FEC"/>
    <w:rsid w:val="00F75609"/>
    <w:rsid w:val="00F75FB0"/>
    <w:rsid w:val="00F765FB"/>
    <w:rsid w:val="00F76732"/>
    <w:rsid w:val="00F77221"/>
    <w:rsid w:val="00F80D5B"/>
    <w:rsid w:val="00F81285"/>
    <w:rsid w:val="00F83BA2"/>
    <w:rsid w:val="00F846C5"/>
    <w:rsid w:val="00F84DA6"/>
    <w:rsid w:val="00F8649E"/>
    <w:rsid w:val="00F86BB1"/>
    <w:rsid w:val="00F8741E"/>
    <w:rsid w:val="00F87AC0"/>
    <w:rsid w:val="00F87C39"/>
    <w:rsid w:val="00F905E6"/>
    <w:rsid w:val="00F90E4B"/>
    <w:rsid w:val="00F9172D"/>
    <w:rsid w:val="00F92D08"/>
    <w:rsid w:val="00F92E28"/>
    <w:rsid w:val="00F93228"/>
    <w:rsid w:val="00F93993"/>
    <w:rsid w:val="00F942A5"/>
    <w:rsid w:val="00F94521"/>
    <w:rsid w:val="00F95521"/>
    <w:rsid w:val="00F95C67"/>
    <w:rsid w:val="00F95D96"/>
    <w:rsid w:val="00F97890"/>
    <w:rsid w:val="00FA04F7"/>
    <w:rsid w:val="00FA0A2B"/>
    <w:rsid w:val="00FA1895"/>
    <w:rsid w:val="00FA1D91"/>
    <w:rsid w:val="00FA223E"/>
    <w:rsid w:val="00FA2557"/>
    <w:rsid w:val="00FA25A9"/>
    <w:rsid w:val="00FA357A"/>
    <w:rsid w:val="00FA3CE7"/>
    <w:rsid w:val="00FA449F"/>
    <w:rsid w:val="00FA451F"/>
    <w:rsid w:val="00FA479E"/>
    <w:rsid w:val="00FA53D3"/>
    <w:rsid w:val="00FA5576"/>
    <w:rsid w:val="00FA7BF7"/>
    <w:rsid w:val="00FB0543"/>
    <w:rsid w:val="00FB0D54"/>
    <w:rsid w:val="00FB14BF"/>
    <w:rsid w:val="00FB3985"/>
    <w:rsid w:val="00FB4222"/>
    <w:rsid w:val="00FB547C"/>
    <w:rsid w:val="00FB606B"/>
    <w:rsid w:val="00FB778A"/>
    <w:rsid w:val="00FB79E7"/>
    <w:rsid w:val="00FC0006"/>
    <w:rsid w:val="00FC03D4"/>
    <w:rsid w:val="00FC0546"/>
    <w:rsid w:val="00FC068B"/>
    <w:rsid w:val="00FC0D2C"/>
    <w:rsid w:val="00FC0D2F"/>
    <w:rsid w:val="00FC1438"/>
    <w:rsid w:val="00FC2919"/>
    <w:rsid w:val="00FC332B"/>
    <w:rsid w:val="00FC3639"/>
    <w:rsid w:val="00FC4DDD"/>
    <w:rsid w:val="00FC5368"/>
    <w:rsid w:val="00FC55EF"/>
    <w:rsid w:val="00FC5881"/>
    <w:rsid w:val="00FC6062"/>
    <w:rsid w:val="00FC6764"/>
    <w:rsid w:val="00FD01D2"/>
    <w:rsid w:val="00FD14AB"/>
    <w:rsid w:val="00FD2033"/>
    <w:rsid w:val="00FD318D"/>
    <w:rsid w:val="00FD3271"/>
    <w:rsid w:val="00FD56EB"/>
    <w:rsid w:val="00FD591B"/>
    <w:rsid w:val="00FD7D0F"/>
    <w:rsid w:val="00FE1878"/>
    <w:rsid w:val="00FE1A87"/>
    <w:rsid w:val="00FE2492"/>
    <w:rsid w:val="00FE2AA1"/>
    <w:rsid w:val="00FE2B49"/>
    <w:rsid w:val="00FE333B"/>
    <w:rsid w:val="00FE397A"/>
    <w:rsid w:val="00FE47BF"/>
    <w:rsid w:val="00FE5E11"/>
    <w:rsid w:val="00FE68BF"/>
    <w:rsid w:val="00FE6A0F"/>
    <w:rsid w:val="00FE6E8D"/>
    <w:rsid w:val="00FF0E94"/>
    <w:rsid w:val="00FF0EEC"/>
    <w:rsid w:val="00FF147A"/>
    <w:rsid w:val="00FF15CD"/>
    <w:rsid w:val="00FF22F3"/>
    <w:rsid w:val="00FF2F08"/>
    <w:rsid w:val="00FF2FB5"/>
    <w:rsid w:val="00FF308C"/>
    <w:rsid w:val="00FF3539"/>
    <w:rsid w:val="00FF38BE"/>
    <w:rsid w:val="00FF3DFC"/>
    <w:rsid w:val="00FF40F2"/>
    <w:rsid w:val="00FF48C9"/>
    <w:rsid w:val="00FF4CA8"/>
    <w:rsid w:val="00FF4E24"/>
    <w:rsid w:val="00FF53A6"/>
    <w:rsid w:val="00FF5656"/>
    <w:rsid w:val="00FF657B"/>
    <w:rsid w:val="00FF7040"/>
    <w:rsid w:val="00FF76AE"/>
    <w:rsid w:val="00FF7F48"/>
    <w:rsid w:val="01035839"/>
    <w:rsid w:val="0107680F"/>
    <w:rsid w:val="013164C4"/>
    <w:rsid w:val="01381800"/>
    <w:rsid w:val="013E61F5"/>
    <w:rsid w:val="01497C8B"/>
    <w:rsid w:val="014A4829"/>
    <w:rsid w:val="014C62C4"/>
    <w:rsid w:val="01500280"/>
    <w:rsid w:val="01710F8D"/>
    <w:rsid w:val="0182363A"/>
    <w:rsid w:val="01884F7A"/>
    <w:rsid w:val="01911A34"/>
    <w:rsid w:val="01B26BD8"/>
    <w:rsid w:val="01BF0F7B"/>
    <w:rsid w:val="01C92E90"/>
    <w:rsid w:val="01CA681A"/>
    <w:rsid w:val="01EA4D52"/>
    <w:rsid w:val="020B5285"/>
    <w:rsid w:val="02102040"/>
    <w:rsid w:val="02193E3F"/>
    <w:rsid w:val="02215545"/>
    <w:rsid w:val="022F5D20"/>
    <w:rsid w:val="02446080"/>
    <w:rsid w:val="02460F5D"/>
    <w:rsid w:val="024B481A"/>
    <w:rsid w:val="024E3447"/>
    <w:rsid w:val="02533640"/>
    <w:rsid w:val="025D5B2F"/>
    <w:rsid w:val="026307F7"/>
    <w:rsid w:val="026667C8"/>
    <w:rsid w:val="02694876"/>
    <w:rsid w:val="026B17AD"/>
    <w:rsid w:val="026C5281"/>
    <w:rsid w:val="02710C87"/>
    <w:rsid w:val="027C2385"/>
    <w:rsid w:val="027F2BC1"/>
    <w:rsid w:val="0281348E"/>
    <w:rsid w:val="02835A44"/>
    <w:rsid w:val="028A2C30"/>
    <w:rsid w:val="02925BD0"/>
    <w:rsid w:val="029B38AF"/>
    <w:rsid w:val="02AA4347"/>
    <w:rsid w:val="02AB1D6D"/>
    <w:rsid w:val="02AD0D3E"/>
    <w:rsid w:val="02C41C1D"/>
    <w:rsid w:val="02C5659A"/>
    <w:rsid w:val="02DA768E"/>
    <w:rsid w:val="02F25E89"/>
    <w:rsid w:val="02F60132"/>
    <w:rsid w:val="02FD479E"/>
    <w:rsid w:val="03056213"/>
    <w:rsid w:val="030D37D9"/>
    <w:rsid w:val="03104C59"/>
    <w:rsid w:val="03130B1E"/>
    <w:rsid w:val="03191F32"/>
    <w:rsid w:val="031B339F"/>
    <w:rsid w:val="031C066F"/>
    <w:rsid w:val="032C1E19"/>
    <w:rsid w:val="03310E23"/>
    <w:rsid w:val="033754AF"/>
    <w:rsid w:val="034705B3"/>
    <w:rsid w:val="03480935"/>
    <w:rsid w:val="03495181"/>
    <w:rsid w:val="034957E8"/>
    <w:rsid w:val="034B12B2"/>
    <w:rsid w:val="035E2772"/>
    <w:rsid w:val="035F2E9C"/>
    <w:rsid w:val="037D6A51"/>
    <w:rsid w:val="037E3E22"/>
    <w:rsid w:val="038214BD"/>
    <w:rsid w:val="03872B5C"/>
    <w:rsid w:val="038D5A50"/>
    <w:rsid w:val="03917B5B"/>
    <w:rsid w:val="03921207"/>
    <w:rsid w:val="03960647"/>
    <w:rsid w:val="0397580B"/>
    <w:rsid w:val="03AC01B9"/>
    <w:rsid w:val="03B164CB"/>
    <w:rsid w:val="03C63D69"/>
    <w:rsid w:val="03C66EAB"/>
    <w:rsid w:val="03CE27D7"/>
    <w:rsid w:val="03D90C64"/>
    <w:rsid w:val="03DC0A9E"/>
    <w:rsid w:val="03E34B84"/>
    <w:rsid w:val="03F14CDA"/>
    <w:rsid w:val="03F52963"/>
    <w:rsid w:val="03F95F22"/>
    <w:rsid w:val="03FA26A1"/>
    <w:rsid w:val="04044A59"/>
    <w:rsid w:val="040A144B"/>
    <w:rsid w:val="040B106B"/>
    <w:rsid w:val="041244DF"/>
    <w:rsid w:val="04130C22"/>
    <w:rsid w:val="04214292"/>
    <w:rsid w:val="04337769"/>
    <w:rsid w:val="04694C66"/>
    <w:rsid w:val="04811900"/>
    <w:rsid w:val="0481452D"/>
    <w:rsid w:val="0485451F"/>
    <w:rsid w:val="048B2CCE"/>
    <w:rsid w:val="04983FD6"/>
    <w:rsid w:val="04997A30"/>
    <w:rsid w:val="04A73D32"/>
    <w:rsid w:val="04AF2BD1"/>
    <w:rsid w:val="04B85E33"/>
    <w:rsid w:val="04C701B4"/>
    <w:rsid w:val="04DA74B2"/>
    <w:rsid w:val="04E11CA6"/>
    <w:rsid w:val="04E82B36"/>
    <w:rsid w:val="04FD2BAD"/>
    <w:rsid w:val="04FE1ADE"/>
    <w:rsid w:val="04FE1EAB"/>
    <w:rsid w:val="050170B4"/>
    <w:rsid w:val="051B7C12"/>
    <w:rsid w:val="0525047C"/>
    <w:rsid w:val="052C3017"/>
    <w:rsid w:val="05365E08"/>
    <w:rsid w:val="053E56E6"/>
    <w:rsid w:val="053E6182"/>
    <w:rsid w:val="054D7449"/>
    <w:rsid w:val="054F410A"/>
    <w:rsid w:val="055B1F44"/>
    <w:rsid w:val="055D0A33"/>
    <w:rsid w:val="057D5605"/>
    <w:rsid w:val="058D05F0"/>
    <w:rsid w:val="05976745"/>
    <w:rsid w:val="05A46B92"/>
    <w:rsid w:val="05A62C76"/>
    <w:rsid w:val="05AB39A8"/>
    <w:rsid w:val="05B97664"/>
    <w:rsid w:val="05D93295"/>
    <w:rsid w:val="05DF0E31"/>
    <w:rsid w:val="05E86D59"/>
    <w:rsid w:val="05F159D6"/>
    <w:rsid w:val="05F862FD"/>
    <w:rsid w:val="06016ACA"/>
    <w:rsid w:val="06062F86"/>
    <w:rsid w:val="060A6AFF"/>
    <w:rsid w:val="060C3AF8"/>
    <w:rsid w:val="060D3EFD"/>
    <w:rsid w:val="060E66C3"/>
    <w:rsid w:val="060F485D"/>
    <w:rsid w:val="06215C66"/>
    <w:rsid w:val="06223ACD"/>
    <w:rsid w:val="06267001"/>
    <w:rsid w:val="06290748"/>
    <w:rsid w:val="063F52A8"/>
    <w:rsid w:val="06440D7B"/>
    <w:rsid w:val="06472D1A"/>
    <w:rsid w:val="06477891"/>
    <w:rsid w:val="0649290C"/>
    <w:rsid w:val="064936C9"/>
    <w:rsid w:val="06634534"/>
    <w:rsid w:val="0667014D"/>
    <w:rsid w:val="066C07AF"/>
    <w:rsid w:val="066D5E5B"/>
    <w:rsid w:val="06706D71"/>
    <w:rsid w:val="067219DE"/>
    <w:rsid w:val="067B2F76"/>
    <w:rsid w:val="06811B90"/>
    <w:rsid w:val="06972E76"/>
    <w:rsid w:val="06980682"/>
    <w:rsid w:val="06A31306"/>
    <w:rsid w:val="06A75572"/>
    <w:rsid w:val="06BA2BBA"/>
    <w:rsid w:val="06BB1FB2"/>
    <w:rsid w:val="06BB2D16"/>
    <w:rsid w:val="06C3152B"/>
    <w:rsid w:val="06C523E3"/>
    <w:rsid w:val="06CF1162"/>
    <w:rsid w:val="06D251BF"/>
    <w:rsid w:val="06D51359"/>
    <w:rsid w:val="06D84FBF"/>
    <w:rsid w:val="06E444E3"/>
    <w:rsid w:val="06F22F40"/>
    <w:rsid w:val="06FF4935"/>
    <w:rsid w:val="07134AE8"/>
    <w:rsid w:val="07156F90"/>
    <w:rsid w:val="071E2A8C"/>
    <w:rsid w:val="0721129F"/>
    <w:rsid w:val="07215576"/>
    <w:rsid w:val="072915E4"/>
    <w:rsid w:val="072E7738"/>
    <w:rsid w:val="073921B9"/>
    <w:rsid w:val="07462141"/>
    <w:rsid w:val="07481D53"/>
    <w:rsid w:val="07735DE9"/>
    <w:rsid w:val="077631EE"/>
    <w:rsid w:val="07766D0E"/>
    <w:rsid w:val="077F2858"/>
    <w:rsid w:val="078444B7"/>
    <w:rsid w:val="07A20205"/>
    <w:rsid w:val="07A3308B"/>
    <w:rsid w:val="07A474C3"/>
    <w:rsid w:val="07A64352"/>
    <w:rsid w:val="07A64BA0"/>
    <w:rsid w:val="07B7091F"/>
    <w:rsid w:val="07BC300C"/>
    <w:rsid w:val="07C645F8"/>
    <w:rsid w:val="07E05493"/>
    <w:rsid w:val="07E22344"/>
    <w:rsid w:val="07E539E6"/>
    <w:rsid w:val="07F01554"/>
    <w:rsid w:val="07F77054"/>
    <w:rsid w:val="08050EAC"/>
    <w:rsid w:val="080E2AE5"/>
    <w:rsid w:val="08156746"/>
    <w:rsid w:val="08175016"/>
    <w:rsid w:val="0830698D"/>
    <w:rsid w:val="0835118E"/>
    <w:rsid w:val="08420DFE"/>
    <w:rsid w:val="084834E8"/>
    <w:rsid w:val="084C207F"/>
    <w:rsid w:val="08666596"/>
    <w:rsid w:val="086B1629"/>
    <w:rsid w:val="0870463F"/>
    <w:rsid w:val="08777E2D"/>
    <w:rsid w:val="088415D4"/>
    <w:rsid w:val="0884197F"/>
    <w:rsid w:val="08844E48"/>
    <w:rsid w:val="088B4D18"/>
    <w:rsid w:val="08930197"/>
    <w:rsid w:val="08A279C6"/>
    <w:rsid w:val="08B57234"/>
    <w:rsid w:val="08D86F1C"/>
    <w:rsid w:val="08E13A59"/>
    <w:rsid w:val="08F76060"/>
    <w:rsid w:val="092028C5"/>
    <w:rsid w:val="092603B6"/>
    <w:rsid w:val="09261592"/>
    <w:rsid w:val="09312E1A"/>
    <w:rsid w:val="09373B7C"/>
    <w:rsid w:val="093C2776"/>
    <w:rsid w:val="093D0B8B"/>
    <w:rsid w:val="094759C9"/>
    <w:rsid w:val="09573ED7"/>
    <w:rsid w:val="0969595B"/>
    <w:rsid w:val="09702878"/>
    <w:rsid w:val="09713FA6"/>
    <w:rsid w:val="09722ECD"/>
    <w:rsid w:val="097A75BD"/>
    <w:rsid w:val="097E1876"/>
    <w:rsid w:val="098B000B"/>
    <w:rsid w:val="098D2BBC"/>
    <w:rsid w:val="09960B6A"/>
    <w:rsid w:val="09A03B21"/>
    <w:rsid w:val="09B049B5"/>
    <w:rsid w:val="09B8437B"/>
    <w:rsid w:val="09BB7439"/>
    <w:rsid w:val="09BB7D00"/>
    <w:rsid w:val="09BD0B8B"/>
    <w:rsid w:val="09BE4332"/>
    <w:rsid w:val="09C7433A"/>
    <w:rsid w:val="09C75E68"/>
    <w:rsid w:val="09D565A1"/>
    <w:rsid w:val="09DC24BC"/>
    <w:rsid w:val="09DE4A08"/>
    <w:rsid w:val="09E964CE"/>
    <w:rsid w:val="09F1009F"/>
    <w:rsid w:val="09FF0B68"/>
    <w:rsid w:val="0A0322FE"/>
    <w:rsid w:val="0A104A1E"/>
    <w:rsid w:val="0A1170E1"/>
    <w:rsid w:val="0A164C28"/>
    <w:rsid w:val="0A191649"/>
    <w:rsid w:val="0A28115F"/>
    <w:rsid w:val="0A3829DE"/>
    <w:rsid w:val="0A3872EE"/>
    <w:rsid w:val="0A390FE6"/>
    <w:rsid w:val="0A3B317F"/>
    <w:rsid w:val="0A4A49B8"/>
    <w:rsid w:val="0A595D33"/>
    <w:rsid w:val="0A674F17"/>
    <w:rsid w:val="0A695435"/>
    <w:rsid w:val="0A704CC8"/>
    <w:rsid w:val="0A812E88"/>
    <w:rsid w:val="0A9775ED"/>
    <w:rsid w:val="0A9B1291"/>
    <w:rsid w:val="0AA460FC"/>
    <w:rsid w:val="0AA52AB5"/>
    <w:rsid w:val="0AA8317B"/>
    <w:rsid w:val="0AA84F78"/>
    <w:rsid w:val="0AAB1306"/>
    <w:rsid w:val="0AB13F59"/>
    <w:rsid w:val="0AB144D4"/>
    <w:rsid w:val="0AB261A6"/>
    <w:rsid w:val="0AB35965"/>
    <w:rsid w:val="0AC466CA"/>
    <w:rsid w:val="0AC60145"/>
    <w:rsid w:val="0AE405DD"/>
    <w:rsid w:val="0AE913C9"/>
    <w:rsid w:val="0AE962DB"/>
    <w:rsid w:val="0AF25D2E"/>
    <w:rsid w:val="0AF61BAA"/>
    <w:rsid w:val="0AF755A0"/>
    <w:rsid w:val="0B003BD4"/>
    <w:rsid w:val="0B0A7DF4"/>
    <w:rsid w:val="0B12508E"/>
    <w:rsid w:val="0B150F1B"/>
    <w:rsid w:val="0B152FC6"/>
    <w:rsid w:val="0B1F0D82"/>
    <w:rsid w:val="0B343B11"/>
    <w:rsid w:val="0B3E4BCA"/>
    <w:rsid w:val="0B3E5AB6"/>
    <w:rsid w:val="0B405DCA"/>
    <w:rsid w:val="0B516DD0"/>
    <w:rsid w:val="0B5254BE"/>
    <w:rsid w:val="0B5B6502"/>
    <w:rsid w:val="0B61245B"/>
    <w:rsid w:val="0B700DC9"/>
    <w:rsid w:val="0B704123"/>
    <w:rsid w:val="0B785FCA"/>
    <w:rsid w:val="0B7E01FC"/>
    <w:rsid w:val="0B80759C"/>
    <w:rsid w:val="0B854FE9"/>
    <w:rsid w:val="0B8A2577"/>
    <w:rsid w:val="0B8B5A81"/>
    <w:rsid w:val="0BA35572"/>
    <w:rsid w:val="0BAC2A4E"/>
    <w:rsid w:val="0BB24977"/>
    <w:rsid w:val="0BB91F37"/>
    <w:rsid w:val="0BC35F18"/>
    <w:rsid w:val="0BD20B95"/>
    <w:rsid w:val="0BDB603B"/>
    <w:rsid w:val="0BE24575"/>
    <w:rsid w:val="0BE6337B"/>
    <w:rsid w:val="0BEA2E73"/>
    <w:rsid w:val="0BED296F"/>
    <w:rsid w:val="0BF31B81"/>
    <w:rsid w:val="0BF42AB7"/>
    <w:rsid w:val="0BF800D6"/>
    <w:rsid w:val="0BFF1D27"/>
    <w:rsid w:val="0C040F09"/>
    <w:rsid w:val="0C0C1A6D"/>
    <w:rsid w:val="0C0F068F"/>
    <w:rsid w:val="0C143723"/>
    <w:rsid w:val="0C180868"/>
    <w:rsid w:val="0C1B2310"/>
    <w:rsid w:val="0C206007"/>
    <w:rsid w:val="0C235E24"/>
    <w:rsid w:val="0C2705DD"/>
    <w:rsid w:val="0C2A72E7"/>
    <w:rsid w:val="0C340D9F"/>
    <w:rsid w:val="0C384E93"/>
    <w:rsid w:val="0C5A630C"/>
    <w:rsid w:val="0C5B2031"/>
    <w:rsid w:val="0C5C7792"/>
    <w:rsid w:val="0C640694"/>
    <w:rsid w:val="0C702F19"/>
    <w:rsid w:val="0C836ECD"/>
    <w:rsid w:val="0C92016C"/>
    <w:rsid w:val="0CA25DCB"/>
    <w:rsid w:val="0CB6186B"/>
    <w:rsid w:val="0CB9136A"/>
    <w:rsid w:val="0CBD774E"/>
    <w:rsid w:val="0CCF0D2B"/>
    <w:rsid w:val="0CD92529"/>
    <w:rsid w:val="0CE060A9"/>
    <w:rsid w:val="0CE13DB3"/>
    <w:rsid w:val="0CFA4994"/>
    <w:rsid w:val="0CFF676D"/>
    <w:rsid w:val="0D16679C"/>
    <w:rsid w:val="0D1F4DFB"/>
    <w:rsid w:val="0D225F9A"/>
    <w:rsid w:val="0D226090"/>
    <w:rsid w:val="0D335A6D"/>
    <w:rsid w:val="0D34040D"/>
    <w:rsid w:val="0D350A9C"/>
    <w:rsid w:val="0D3B450C"/>
    <w:rsid w:val="0D3E5037"/>
    <w:rsid w:val="0D452426"/>
    <w:rsid w:val="0D497B46"/>
    <w:rsid w:val="0D4A4164"/>
    <w:rsid w:val="0D4D4F96"/>
    <w:rsid w:val="0D590DBC"/>
    <w:rsid w:val="0D654E4B"/>
    <w:rsid w:val="0D710D41"/>
    <w:rsid w:val="0D7408CB"/>
    <w:rsid w:val="0D894663"/>
    <w:rsid w:val="0D9E0071"/>
    <w:rsid w:val="0DA53633"/>
    <w:rsid w:val="0DA917FF"/>
    <w:rsid w:val="0DA9532B"/>
    <w:rsid w:val="0DC24F8E"/>
    <w:rsid w:val="0DCA5283"/>
    <w:rsid w:val="0DCE49B0"/>
    <w:rsid w:val="0DD777E0"/>
    <w:rsid w:val="0DE1613E"/>
    <w:rsid w:val="0DE339A3"/>
    <w:rsid w:val="0DEB4221"/>
    <w:rsid w:val="0DED0E48"/>
    <w:rsid w:val="0E0251AE"/>
    <w:rsid w:val="0E050C15"/>
    <w:rsid w:val="0E0915CC"/>
    <w:rsid w:val="0E1472E7"/>
    <w:rsid w:val="0E2E387E"/>
    <w:rsid w:val="0E3E047F"/>
    <w:rsid w:val="0E3F45D9"/>
    <w:rsid w:val="0E495A0B"/>
    <w:rsid w:val="0E4C5886"/>
    <w:rsid w:val="0E4E6F61"/>
    <w:rsid w:val="0E55043F"/>
    <w:rsid w:val="0E570138"/>
    <w:rsid w:val="0E6A26DA"/>
    <w:rsid w:val="0E751F27"/>
    <w:rsid w:val="0E832351"/>
    <w:rsid w:val="0E883B77"/>
    <w:rsid w:val="0E8B55C0"/>
    <w:rsid w:val="0E8F577B"/>
    <w:rsid w:val="0E91582F"/>
    <w:rsid w:val="0E9229CB"/>
    <w:rsid w:val="0E942077"/>
    <w:rsid w:val="0E947CE0"/>
    <w:rsid w:val="0E9D1F3A"/>
    <w:rsid w:val="0EC24AD6"/>
    <w:rsid w:val="0EC87A33"/>
    <w:rsid w:val="0ECA4495"/>
    <w:rsid w:val="0ECD0FF0"/>
    <w:rsid w:val="0ED420A0"/>
    <w:rsid w:val="0ED54C5C"/>
    <w:rsid w:val="0ED61E3B"/>
    <w:rsid w:val="0EDD7830"/>
    <w:rsid w:val="0EDE2DB2"/>
    <w:rsid w:val="0EEE3006"/>
    <w:rsid w:val="0EF45918"/>
    <w:rsid w:val="0EFF16A6"/>
    <w:rsid w:val="0F0F1FA7"/>
    <w:rsid w:val="0F1043B5"/>
    <w:rsid w:val="0F174750"/>
    <w:rsid w:val="0F2038B9"/>
    <w:rsid w:val="0F2127AD"/>
    <w:rsid w:val="0F2A080F"/>
    <w:rsid w:val="0F2A1CC9"/>
    <w:rsid w:val="0F415BFC"/>
    <w:rsid w:val="0F4406BD"/>
    <w:rsid w:val="0F45387E"/>
    <w:rsid w:val="0F4D67A3"/>
    <w:rsid w:val="0F5428CB"/>
    <w:rsid w:val="0F647E02"/>
    <w:rsid w:val="0F6F67B6"/>
    <w:rsid w:val="0F805EE0"/>
    <w:rsid w:val="0F8D619C"/>
    <w:rsid w:val="0F8F6334"/>
    <w:rsid w:val="0F9D66E1"/>
    <w:rsid w:val="0F9F6EF8"/>
    <w:rsid w:val="0FA55B5E"/>
    <w:rsid w:val="0FAB349B"/>
    <w:rsid w:val="0FB14D6E"/>
    <w:rsid w:val="0FC608CA"/>
    <w:rsid w:val="0FCC687C"/>
    <w:rsid w:val="0FE41545"/>
    <w:rsid w:val="0FE73461"/>
    <w:rsid w:val="0FF149B1"/>
    <w:rsid w:val="0FF53BB7"/>
    <w:rsid w:val="0FF92DEB"/>
    <w:rsid w:val="10011542"/>
    <w:rsid w:val="1001252C"/>
    <w:rsid w:val="10025B56"/>
    <w:rsid w:val="1003014D"/>
    <w:rsid w:val="10041F98"/>
    <w:rsid w:val="1010364A"/>
    <w:rsid w:val="101163E8"/>
    <w:rsid w:val="101C7716"/>
    <w:rsid w:val="10280686"/>
    <w:rsid w:val="10286744"/>
    <w:rsid w:val="1037223A"/>
    <w:rsid w:val="10374868"/>
    <w:rsid w:val="10431B92"/>
    <w:rsid w:val="10463F56"/>
    <w:rsid w:val="104E2EC8"/>
    <w:rsid w:val="10707116"/>
    <w:rsid w:val="10833094"/>
    <w:rsid w:val="10863F01"/>
    <w:rsid w:val="108E339B"/>
    <w:rsid w:val="10904FA3"/>
    <w:rsid w:val="109F4D12"/>
    <w:rsid w:val="10C221AD"/>
    <w:rsid w:val="10C30BBD"/>
    <w:rsid w:val="10CF4DA4"/>
    <w:rsid w:val="10D34DD7"/>
    <w:rsid w:val="10DB6FDE"/>
    <w:rsid w:val="10E175A4"/>
    <w:rsid w:val="11012107"/>
    <w:rsid w:val="1106575A"/>
    <w:rsid w:val="110E65A8"/>
    <w:rsid w:val="11100670"/>
    <w:rsid w:val="11211B71"/>
    <w:rsid w:val="11331A66"/>
    <w:rsid w:val="113441D2"/>
    <w:rsid w:val="113F32B8"/>
    <w:rsid w:val="1148421A"/>
    <w:rsid w:val="115C39D4"/>
    <w:rsid w:val="116B4541"/>
    <w:rsid w:val="116E0802"/>
    <w:rsid w:val="117A4E05"/>
    <w:rsid w:val="117E3F69"/>
    <w:rsid w:val="118C7FF4"/>
    <w:rsid w:val="118D34E6"/>
    <w:rsid w:val="11953DD7"/>
    <w:rsid w:val="119A5210"/>
    <w:rsid w:val="11A01472"/>
    <w:rsid w:val="11A44235"/>
    <w:rsid w:val="11C10480"/>
    <w:rsid w:val="11C2780F"/>
    <w:rsid w:val="11CF226C"/>
    <w:rsid w:val="11D44B98"/>
    <w:rsid w:val="11D539D9"/>
    <w:rsid w:val="11DC0011"/>
    <w:rsid w:val="11EE7BE1"/>
    <w:rsid w:val="11F14241"/>
    <w:rsid w:val="11F94326"/>
    <w:rsid w:val="11FE4A88"/>
    <w:rsid w:val="12012F59"/>
    <w:rsid w:val="1202263C"/>
    <w:rsid w:val="12076F02"/>
    <w:rsid w:val="120D458A"/>
    <w:rsid w:val="1210777A"/>
    <w:rsid w:val="1211199A"/>
    <w:rsid w:val="122A654E"/>
    <w:rsid w:val="12476179"/>
    <w:rsid w:val="12585180"/>
    <w:rsid w:val="12794193"/>
    <w:rsid w:val="1280221A"/>
    <w:rsid w:val="12861762"/>
    <w:rsid w:val="12A30E6C"/>
    <w:rsid w:val="12A45A92"/>
    <w:rsid w:val="12A71A97"/>
    <w:rsid w:val="12A937A0"/>
    <w:rsid w:val="12AC62F3"/>
    <w:rsid w:val="12AF277F"/>
    <w:rsid w:val="12C40BB0"/>
    <w:rsid w:val="12D456E3"/>
    <w:rsid w:val="12D722C7"/>
    <w:rsid w:val="12DC603C"/>
    <w:rsid w:val="12EC4BB0"/>
    <w:rsid w:val="12F415BA"/>
    <w:rsid w:val="130612BD"/>
    <w:rsid w:val="130D3A1D"/>
    <w:rsid w:val="130D610F"/>
    <w:rsid w:val="130E596F"/>
    <w:rsid w:val="131F2B0C"/>
    <w:rsid w:val="1322606C"/>
    <w:rsid w:val="13233AE1"/>
    <w:rsid w:val="133253C2"/>
    <w:rsid w:val="133712A7"/>
    <w:rsid w:val="13387AB2"/>
    <w:rsid w:val="135221DB"/>
    <w:rsid w:val="135A42CD"/>
    <w:rsid w:val="135B66DD"/>
    <w:rsid w:val="135D6ACE"/>
    <w:rsid w:val="135E0459"/>
    <w:rsid w:val="136069E8"/>
    <w:rsid w:val="136D30CD"/>
    <w:rsid w:val="136F2747"/>
    <w:rsid w:val="13706C49"/>
    <w:rsid w:val="137707A9"/>
    <w:rsid w:val="13804F34"/>
    <w:rsid w:val="138076DE"/>
    <w:rsid w:val="13832B09"/>
    <w:rsid w:val="13A30CE8"/>
    <w:rsid w:val="13A63279"/>
    <w:rsid w:val="13AB5F96"/>
    <w:rsid w:val="13AC3E7D"/>
    <w:rsid w:val="13B026F2"/>
    <w:rsid w:val="13B41DFA"/>
    <w:rsid w:val="13C70E8E"/>
    <w:rsid w:val="13CB4491"/>
    <w:rsid w:val="13CC3D4F"/>
    <w:rsid w:val="13D61F25"/>
    <w:rsid w:val="13E93F01"/>
    <w:rsid w:val="13FF478A"/>
    <w:rsid w:val="14001057"/>
    <w:rsid w:val="14024A3A"/>
    <w:rsid w:val="14047A8F"/>
    <w:rsid w:val="1408673E"/>
    <w:rsid w:val="14184D1F"/>
    <w:rsid w:val="14193184"/>
    <w:rsid w:val="142A1490"/>
    <w:rsid w:val="142B0653"/>
    <w:rsid w:val="142E72B4"/>
    <w:rsid w:val="14562A87"/>
    <w:rsid w:val="145866D5"/>
    <w:rsid w:val="145C57F8"/>
    <w:rsid w:val="146756DB"/>
    <w:rsid w:val="1477233C"/>
    <w:rsid w:val="1480416B"/>
    <w:rsid w:val="14823B94"/>
    <w:rsid w:val="1492672C"/>
    <w:rsid w:val="1499239A"/>
    <w:rsid w:val="14997BDA"/>
    <w:rsid w:val="14A24043"/>
    <w:rsid w:val="14A322B7"/>
    <w:rsid w:val="14B00E7A"/>
    <w:rsid w:val="14BC7C6F"/>
    <w:rsid w:val="14BE592C"/>
    <w:rsid w:val="14C270A0"/>
    <w:rsid w:val="14CA6043"/>
    <w:rsid w:val="14CF0BD3"/>
    <w:rsid w:val="14D31F3C"/>
    <w:rsid w:val="14D61CBD"/>
    <w:rsid w:val="14DB1F78"/>
    <w:rsid w:val="14DC5AA4"/>
    <w:rsid w:val="14E67AD1"/>
    <w:rsid w:val="14EB5338"/>
    <w:rsid w:val="14FA28D8"/>
    <w:rsid w:val="14FC6C8E"/>
    <w:rsid w:val="1501759B"/>
    <w:rsid w:val="150F760C"/>
    <w:rsid w:val="15172105"/>
    <w:rsid w:val="151B08BC"/>
    <w:rsid w:val="151F188B"/>
    <w:rsid w:val="151F5903"/>
    <w:rsid w:val="152C1CB8"/>
    <w:rsid w:val="15473448"/>
    <w:rsid w:val="155232B8"/>
    <w:rsid w:val="155867F0"/>
    <w:rsid w:val="155C4AEB"/>
    <w:rsid w:val="155D72FB"/>
    <w:rsid w:val="15606D7C"/>
    <w:rsid w:val="15617568"/>
    <w:rsid w:val="156410F4"/>
    <w:rsid w:val="15672873"/>
    <w:rsid w:val="156D7DF8"/>
    <w:rsid w:val="157A3A3C"/>
    <w:rsid w:val="158B7A1E"/>
    <w:rsid w:val="15930695"/>
    <w:rsid w:val="15961D1F"/>
    <w:rsid w:val="15A23716"/>
    <w:rsid w:val="15A24CF9"/>
    <w:rsid w:val="15B12C6E"/>
    <w:rsid w:val="15B655DB"/>
    <w:rsid w:val="15D03E85"/>
    <w:rsid w:val="15D34F2A"/>
    <w:rsid w:val="15D6591C"/>
    <w:rsid w:val="15E43B50"/>
    <w:rsid w:val="15E94307"/>
    <w:rsid w:val="15EA3499"/>
    <w:rsid w:val="15F608E2"/>
    <w:rsid w:val="15FA2F69"/>
    <w:rsid w:val="15FE53C4"/>
    <w:rsid w:val="16017769"/>
    <w:rsid w:val="16022595"/>
    <w:rsid w:val="160400A4"/>
    <w:rsid w:val="160C6D23"/>
    <w:rsid w:val="160D00C0"/>
    <w:rsid w:val="160D5C3E"/>
    <w:rsid w:val="16120427"/>
    <w:rsid w:val="16196C46"/>
    <w:rsid w:val="161F6D75"/>
    <w:rsid w:val="161F6F82"/>
    <w:rsid w:val="16225EC8"/>
    <w:rsid w:val="16331DFE"/>
    <w:rsid w:val="163F1E3A"/>
    <w:rsid w:val="165365BA"/>
    <w:rsid w:val="16566F85"/>
    <w:rsid w:val="165D10D2"/>
    <w:rsid w:val="165F1457"/>
    <w:rsid w:val="16632E16"/>
    <w:rsid w:val="16653690"/>
    <w:rsid w:val="166F74B7"/>
    <w:rsid w:val="1671238E"/>
    <w:rsid w:val="167B1201"/>
    <w:rsid w:val="167D52CA"/>
    <w:rsid w:val="16881A32"/>
    <w:rsid w:val="16BE59A3"/>
    <w:rsid w:val="16C10E8C"/>
    <w:rsid w:val="16D1765A"/>
    <w:rsid w:val="16D60FCD"/>
    <w:rsid w:val="16DF1E33"/>
    <w:rsid w:val="16E8312F"/>
    <w:rsid w:val="16ED702D"/>
    <w:rsid w:val="16EE23A1"/>
    <w:rsid w:val="170716AA"/>
    <w:rsid w:val="17160471"/>
    <w:rsid w:val="1723494B"/>
    <w:rsid w:val="1726214C"/>
    <w:rsid w:val="17270FBE"/>
    <w:rsid w:val="172F6424"/>
    <w:rsid w:val="173F7661"/>
    <w:rsid w:val="174850AE"/>
    <w:rsid w:val="174C7CEB"/>
    <w:rsid w:val="174D747F"/>
    <w:rsid w:val="17551D55"/>
    <w:rsid w:val="177B1AE6"/>
    <w:rsid w:val="178652D4"/>
    <w:rsid w:val="17A95069"/>
    <w:rsid w:val="17B33947"/>
    <w:rsid w:val="17B554D1"/>
    <w:rsid w:val="17B92D15"/>
    <w:rsid w:val="17BB0C36"/>
    <w:rsid w:val="17CD6519"/>
    <w:rsid w:val="17D04598"/>
    <w:rsid w:val="17D93737"/>
    <w:rsid w:val="17DA28F5"/>
    <w:rsid w:val="17ED0227"/>
    <w:rsid w:val="17F54E04"/>
    <w:rsid w:val="17F8333F"/>
    <w:rsid w:val="17F9137B"/>
    <w:rsid w:val="17FD33A9"/>
    <w:rsid w:val="18012EC7"/>
    <w:rsid w:val="18070AB6"/>
    <w:rsid w:val="180D2183"/>
    <w:rsid w:val="18174E85"/>
    <w:rsid w:val="182F56D6"/>
    <w:rsid w:val="18313DEB"/>
    <w:rsid w:val="1845260E"/>
    <w:rsid w:val="185E65D5"/>
    <w:rsid w:val="186718FB"/>
    <w:rsid w:val="1877299A"/>
    <w:rsid w:val="18793119"/>
    <w:rsid w:val="18852AF9"/>
    <w:rsid w:val="18872495"/>
    <w:rsid w:val="18972F42"/>
    <w:rsid w:val="18A14A48"/>
    <w:rsid w:val="18A53535"/>
    <w:rsid w:val="18A7295C"/>
    <w:rsid w:val="18AE1BF0"/>
    <w:rsid w:val="18CC679D"/>
    <w:rsid w:val="18E12B85"/>
    <w:rsid w:val="18E56CB4"/>
    <w:rsid w:val="18EE5A28"/>
    <w:rsid w:val="18F916E9"/>
    <w:rsid w:val="18FC35E6"/>
    <w:rsid w:val="19000A04"/>
    <w:rsid w:val="190570A4"/>
    <w:rsid w:val="191A5469"/>
    <w:rsid w:val="191E0D72"/>
    <w:rsid w:val="192A4AEF"/>
    <w:rsid w:val="193530F0"/>
    <w:rsid w:val="193B6726"/>
    <w:rsid w:val="193E77F6"/>
    <w:rsid w:val="19486547"/>
    <w:rsid w:val="19493E9B"/>
    <w:rsid w:val="194F3544"/>
    <w:rsid w:val="194F372D"/>
    <w:rsid w:val="195306F5"/>
    <w:rsid w:val="195D1A0D"/>
    <w:rsid w:val="195F2DD2"/>
    <w:rsid w:val="1977748A"/>
    <w:rsid w:val="198339A1"/>
    <w:rsid w:val="19837A1A"/>
    <w:rsid w:val="1985229E"/>
    <w:rsid w:val="198A4A75"/>
    <w:rsid w:val="19930882"/>
    <w:rsid w:val="199551A8"/>
    <w:rsid w:val="19A00E8B"/>
    <w:rsid w:val="19A4247D"/>
    <w:rsid w:val="19B25C94"/>
    <w:rsid w:val="19BA5480"/>
    <w:rsid w:val="19BE0E8F"/>
    <w:rsid w:val="19C6193E"/>
    <w:rsid w:val="19C7241D"/>
    <w:rsid w:val="19CD324D"/>
    <w:rsid w:val="19CE37E0"/>
    <w:rsid w:val="19D237AA"/>
    <w:rsid w:val="19D77B4A"/>
    <w:rsid w:val="19DC42D9"/>
    <w:rsid w:val="19DE647B"/>
    <w:rsid w:val="19DF66D1"/>
    <w:rsid w:val="19EB526D"/>
    <w:rsid w:val="19FF6CE3"/>
    <w:rsid w:val="1A0A5133"/>
    <w:rsid w:val="1A0F2FA5"/>
    <w:rsid w:val="1A133BEE"/>
    <w:rsid w:val="1A172F11"/>
    <w:rsid w:val="1A21547F"/>
    <w:rsid w:val="1A2A46DB"/>
    <w:rsid w:val="1A396A26"/>
    <w:rsid w:val="1A3C1662"/>
    <w:rsid w:val="1A52565B"/>
    <w:rsid w:val="1A573017"/>
    <w:rsid w:val="1A593347"/>
    <w:rsid w:val="1A5E158C"/>
    <w:rsid w:val="1A71000B"/>
    <w:rsid w:val="1A762EDD"/>
    <w:rsid w:val="1A85707A"/>
    <w:rsid w:val="1A8624FE"/>
    <w:rsid w:val="1A891D05"/>
    <w:rsid w:val="1A930D47"/>
    <w:rsid w:val="1A9F115F"/>
    <w:rsid w:val="1AA71A34"/>
    <w:rsid w:val="1AA952BB"/>
    <w:rsid w:val="1AB16B7D"/>
    <w:rsid w:val="1AB53CE3"/>
    <w:rsid w:val="1ABD4DE9"/>
    <w:rsid w:val="1ACA0CC5"/>
    <w:rsid w:val="1ADE5632"/>
    <w:rsid w:val="1ADE7D3A"/>
    <w:rsid w:val="1AE26F18"/>
    <w:rsid w:val="1AE356F8"/>
    <w:rsid w:val="1AED2411"/>
    <w:rsid w:val="1AEE4365"/>
    <w:rsid w:val="1AF02600"/>
    <w:rsid w:val="1AF23334"/>
    <w:rsid w:val="1AF820CC"/>
    <w:rsid w:val="1AFA008F"/>
    <w:rsid w:val="1AFC4D3E"/>
    <w:rsid w:val="1AFF7E0B"/>
    <w:rsid w:val="1B031C39"/>
    <w:rsid w:val="1B06417E"/>
    <w:rsid w:val="1B08050A"/>
    <w:rsid w:val="1B0D4CB4"/>
    <w:rsid w:val="1B1507D0"/>
    <w:rsid w:val="1B1C713C"/>
    <w:rsid w:val="1B1D02FE"/>
    <w:rsid w:val="1B261A77"/>
    <w:rsid w:val="1B27488B"/>
    <w:rsid w:val="1B396524"/>
    <w:rsid w:val="1B3A56EB"/>
    <w:rsid w:val="1B4528AE"/>
    <w:rsid w:val="1B464400"/>
    <w:rsid w:val="1B4B3DCD"/>
    <w:rsid w:val="1B5D1CE3"/>
    <w:rsid w:val="1B845869"/>
    <w:rsid w:val="1B8B3CCA"/>
    <w:rsid w:val="1B8D6F6B"/>
    <w:rsid w:val="1B8E0448"/>
    <w:rsid w:val="1B932434"/>
    <w:rsid w:val="1B965EAC"/>
    <w:rsid w:val="1B9A1A31"/>
    <w:rsid w:val="1BA0331A"/>
    <w:rsid w:val="1BA12278"/>
    <w:rsid w:val="1BA36389"/>
    <w:rsid w:val="1BAC5898"/>
    <w:rsid w:val="1BB22C6E"/>
    <w:rsid w:val="1BB94AF0"/>
    <w:rsid w:val="1BBA27F5"/>
    <w:rsid w:val="1BBA6E0E"/>
    <w:rsid w:val="1BC73F84"/>
    <w:rsid w:val="1BC82348"/>
    <w:rsid w:val="1BCE6B94"/>
    <w:rsid w:val="1BDE4C87"/>
    <w:rsid w:val="1BF05AFA"/>
    <w:rsid w:val="1BF13F66"/>
    <w:rsid w:val="1C0B27F3"/>
    <w:rsid w:val="1C124F77"/>
    <w:rsid w:val="1C1E5558"/>
    <w:rsid w:val="1C2318E5"/>
    <w:rsid w:val="1C2A167E"/>
    <w:rsid w:val="1C2D07C9"/>
    <w:rsid w:val="1C2E1C0A"/>
    <w:rsid w:val="1C32002F"/>
    <w:rsid w:val="1C3346F6"/>
    <w:rsid w:val="1C3C5A09"/>
    <w:rsid w:val="1C5E25AA"/>
    <w:rsid w:val="1C67577B"/>
    <w:rsid w:val="1C6E4848"/>
    <w:rsid w:val="1C790013"/>
    <w:rsid w:val="1C83473C"/>
    <w:rsid w:val="1C8B4176"/>
    <w:rsid w:val="1C8F6A90"/>
    <w:rsid w:val="1C93366E"/>
    <w:rsid w:val="1C9F1B7D"/>
    <w:rsid w:val="1CA606FC"/>
    <w:rsid w:val="1CA615ED"/>
    <w:rsid w:val="1CB06DE0"/>
    <w:rsid w:val="1CC53F14"/>
    <w:rsid w:val="1CC8547B"/>
    <w:rsid w:val="1CD80755"/>
    <w:rsid w:val="1CD8778E"/>
    <w:rsid w:val="1CD97796"/>
    <w:rsid w:val="1CDF4B15"/>
    <w:rsid w:val="1CE51688"/>
    <w:rsid w:val="1CEA34FF"/>
    <w:rsid w:val="1CEC7831"/>
    <w:rsid w:val="1CFF21B0"/>
    <w:rsid w:val="1D055B4E"/>
    <w:rsid w:val="1D151F82"/>
    <w:rsid w:val="1D174DCB"/>
    <w:rsid w:val="1D1C20F5"/>
    <w:rsid w:val="1D23541C"/>
    <w:rsid w:val="1D2E59C7"/>
    <w:rsid w:val="1D3078B0"/>
    <w:rsid w:val="1D323487"/>
    <w:rsid w:val="1D412BDA"/>
    <w:rsid w:val="1D4A734F"/>
    <w:rsid w:val="1D510D38"/>
    <w:rsid w:val="1D6B340A"/>
    <w:rsid w:val="1D796283"/>
    <w:rsid w:val="1D82509E"/>
    <w:rsid w:val="1D89362C"/>
    <w:rsid w:val="1D8F1CC0"/>
    <w:rsid w:val="1D9F3979"/>
    <w:rsid w:val="1D9F4C43"/>
    <w:rsid w:val="1DA22BDD"/>
    <w:rsid w:val="1DAA0761"/>
    <w:rsid w:val="1DAC6399"/>
    <w:rsid w:val="1DB560A3"/>
    <w:rsid w:val="1DB705E5"/>
    <w:rsid w:val="1DBF1C99"/>
    <w:rsid w:val="1DCD6732"/>
    <w:rsid w:val="1DE10D7F"/>
    <w:rsid w:val="1DEA6244"/>
    <w:rsid w:val="1DF94384"/>
    <w:rsid w:val="1DFE0B5C"/>
    <w:rsid w:val="1DFF5E63"/>
    <w:rsid w:val="1E213597"/>
    <w:rsid w:val="1E285EBA"/>
    <w:rsid w:val="1E3875E4"/>
    <w:rsid w:val="1E3C72AB"/>
    <w:rsid w:val="1E471260"/>
    <w:rsid w:val="1E6265A3"/>
    <w:rsid w:val="1E66022B"/>
    <w:rsid w:val="1E711674"/>
    <w:rsid w:val="1E7F2308"/>
    <w:rsid w:val="1E8404B1"/>
    <w:rsid w:val="1E9A5BED"/>
    <w:rsid w:val="1EA94FC9"/>
    <w:rsid w:val="1EAE5A3A"/>
    <w:rsid w:val="1EB0131B"/>
    <w:rsid w:val="1EBE654B"/>
    <w:rsid w:val="1EC273C7"/>
    <w:rsid w:val="1EC4186E"/>
    <w:rsid w:val="1EE83BE3"/>
    <w:rsid w:val="1EEB154C"/>
    <w:rsid w:val="1EEC79B6"/>
    <w:rsid w:val="1F142C82"/>
    <w:rsid w:val="1F145CE7"/>
    <w:rsid w:val="1F1A1765"/>
    <w:rsid w:val="1F282A4C"/>
    <w:rsid w:val="1F2F0621"/>
    <w:rsid w:val="1F3528F4"/>
    <w:rsid w:val="1F3F1C5D"/>
    <w:rsid w:val="1F420146"/>
    <w:rsid w:val="1F431D7A"/>
    <w:rsid w:val="1F482784"/>
    <w:rsid w:val="1F483B58"/>
    <w:rsid w:val="1F4C25D2"/>
    <w:rsid w:val="1F53129D"/>
    <w:rsid w:val="1F5A6377"/>
    <w:rsid w:val="1F5B15F7"/>
    <w:rsid w:val="1F6315E5"/>
    <w:rsid w:val="1F6352F3"/>
    <w:rsid w:val="1F736FE8"/>
    <w:rsid w:val="1F760A51"/>
    <w:rsid w:val="1F7B04EF"/>
    <w:rsid w:val="1F92642A"/>
    <w:rsid w:val="1F9444DE"/>
    <w:rsid w:val="1FA261E1"/>
    <w:rsid w:val="1FA9416B"/>
    <w:rsid w:val="1FB22534"/>
    <w:rsid w:val="1FB25B0A"/>
    <w:rsid w:val="1FB74263"/>
    <w:rsid w:val="1FBF0316"/>
    <w:rsid w:val="1FD962B3"/>
    <w:rsid w:val="1FDC6C67"/>
    <w:rsid w:val="1FDF58BF"/>
    <w:rsid w:val="1FE517AA"/>
    <w:rsid w:val="1FE577FD"/>
    <w:rsid w:val="1FEA627E"/>
    <w:rsid w:val="200D3422"/>
    <w:rsid w:val="20127FCC"/>
    <w:rsid w:val="201E62D5"/>
    <w:rsid w:val="202028DD"/>
    <w:rsid w:val="202330E7"/>
    <w:rsid w:val="202622E4"/>
    <w:rsid w:val="2049731E"/>
    <w:rsid w:val="20577B55"/>
    <w:rsid w:val="205A06FE"/>
    <w:rsid w:val="206100E5"/>
    <w:rsid w:val="206A4DD6"/>
    <w:rsid w:val="20781F2B"/>
    <w:rsid w:val="207A1BA4"/>
    <w:rsid w:val="207A6B19"/>
    <w:rsid w:val="20802AF0"/>
    <w:rsid w:val="20817B44"/>
    <w:rsid w:val="20855CB3"/>
    <w:rsid w:val="20933208"/>
    <w:rsid w:val="20963808"/>
    <w:rsid w:val="20A75924"/>
    <w:rsid w:val="20AE7569"/>
    <w:rsid w:val="20B05B02"/>
    <w:rsid w:val="20B61BAA"/>
    <w:rsid w:val="20BD1E57"/>
    <w:rsid w:val="20C75119"/>
    <w:rsid w:val="20D468B4"/>
    <w:rsid w:val="20D6075D"/>
    <w:rsid w:val="20F87B99"/>
    <w:rsid w:val="2112466F"/>
    <w:rsid w:val="21182C17"/>
    <w:rsid w:val="2123363A"/>
    <w:rsid w:val="212824D3"/>
    <w:rsid w:val="212C76AF"/>
    <w:rsid w:val="214577A1"/>
    <w:rsid w:val="21486ECB"/>
    <w:rsid w:val="214D74A6"/>
    <w:rsid w:val="214F663F"/>
    <w:rsid w:val="215C25F3"/>
    <w:rsid w:val="21685205"/>
    <w:rsid w:val="216B121E"/>
    <w:rsid w:val="216E35C7"/>
    <w:rsid w:val="2179412E"/>
    <w:rsid w:val="217C5FAF"/>
    <w:rsid w:val="218100D7"/>
    <w:rsid w:val="218C1786"/>
    <w:rsid w:val="219A7C45"/>
    <w:rsid w:val="21AB025D"/>
    <w:rsid w:val="21B66AA2"/>
    <w:rsid w:val="21B82D30"/>
    <w:rsid w:val="21C53111"/>
    <w:rsid w:val="21C7291E"/>
    <w:rsid w:val="21C75BC3"/>
    <w:rsid w:val="21C97944"/>
    <w:rsid w:val="21CC57EB"/>
    <w:rsid w:val="21DA116B"/>
    <w:rsid w:val="21F27754"/>
    <w:rsid w:val="220124C7"/>
    <w:rsid w:val="220143E3"/>
    <w:rsid w:val="220B7F82"/>
    <w:rsid w:val="22153C21"/>
    <w:rsid w:val="22162020"/>
    <w:rsid w:val="2218231E"/>
    <w:rsid w:val="22255F4B"/>
    <w:rsid w:val="222A0C55"/>
    <w:rsid w:val="222E062D"/>
    <w:rsid w:val="2237284E"/>
    <w:rsid w:val="223E1E92"/>
    <w:rsid w:val="22501C3D"/>
    <w:rsid w:val="225C4D3E"/>
    <w:rsid w:val="22673844"/>
    <w:rsid w:val="226A69DF"/>
    <w:rsid w:val="226B0891"/>
    <w:rsid w:val="2271096A"/>
    <w:rsid w:val="227835D6"/>
    <w:rsid w:val="228C5A15"/>
    <w:rsid w:val="228F1B7E"/>
    <w:rsid w:val="228F3753"/>
    <w:rsid w:val="22B01E30"/>
    <w:rsid w:val="22B1029C"/>
    <w:rsid w:val="22B70AB1"/>
    <w:rsid w:val="22BD289E"/>
    <w:rsid w:val="22C428AC"/>
    <w:rsid w:val="22CA147D"/>
    <w:rsid w:val="22DA7A29"/>
    <w:rsid w:val="22EB6B0F"/>
    <w:rsid w:val="22ED5A81"/>
    <w:rsid w:val="22FA7DE9"/>
    <w:rsid w:val="2307556C"/>
    <w:rsid w:val="23123926"/>
    <w:rsid w:val="23143A83"/>
    <w:rsid w:val="2318768D"/>
    <w:rsid w:val="2319556F"/>
    <w:rsid w:val="232E3D8E"/>
    <w:rsid w:val="23332C84"/>
    <w:rsid w:val="23340B42"/>
    <w:rsid w:val="234440AE"/>
    <w:rsid w:val="23570959"/>
    <w:rsid w:val="235B63D3"/>
    <w:rsid w:val="23650FD8"/>
    <w:rsid w:val="2365719E"/>
    <w:rsid w:val="236E0552"/>
    <w:rsid w:val="236E698C"/>
    <w:rsid w:val="23863E3C"/>
    <w:rsid w:val="238E5E9B"/>
    <w:rsid w:val="23930F06"/>
    <w:rsid w:val="23963804"/>
    <w:rsid w:val="2398636C"/>
    <w:rsid w:val="23A848B5"/>
    <w:rsid w:val="23AB0B56"/>
    <w:rsid w:val="23AB7C3D"/>
    <w:rsid w:val="23AE52BE"/>
    <w:rsid w:val="23B00406"/>
    <w:rsid w:val="23B05EDE"/>
    <w:rsid w:val="23B1611B"/>
    <w:rsid w:val="23B33C5A"/>
    <w:rsid w:val="23BB138D"/>
    <w:rsid w:val="23C4590A"/>
    <w:rsid w:val="23C61E40"/>
    <w:rsid w:val="23C85106"/>
    <w:rsid w:val="23D04FF7"/>
    <w:rsid w:val="23D436BD"/>
    <w:rsid w:val="23D91B40"/>
    <w:rsid w:val="23D952E2"/>
    <w:rsid w:val="23E272A0"/>
    <w:rsid w:val="23E80EC5"/>
    <w:rsid w:val="23EB1315"/>
    <w:rsid w:val="23EB510E"/>
    <w:rsid w:val="23FA232E"/>
    <w:rsid w:val="240D5B26"/>
    <w:rsid w:val="241C01EC"/>
    <w:rsid w:val="24267780"/>
    <w:rsid w:val="242720D6"/>
    <w:rsid w:val="242E1674"/>
    <w:rsid w:val="24457806"/>
    <w:rsid w:val="24467FF7"/>
    <w:rsid w:val="245974EF"/>
    <w:rsid w:val="247B1FB7"/>
    <w:rsid w:val="247B3AF6"/>
    <w:rsid w:val="247C5A7E"/>
    <w:rsid w:val="248440EA"/>
    <w:rsid w:val="24904834"/>
    <w:rsid w:val="24AA4B1A"/>
    <w:rsid w:val="24BB30E2"/>
    <w:rsid w:val="24BC2E5C"/>
    <w:rsid w:val="24C30209"/>
    <w:rsid w:val="24C3346E"/>
    <w:rsid w:val="24C66488"/>
    <w:rsid w:val="24D6216A"/>
    <w:rsid w:val="24DA52AC"/>
    <w:rsid w:val="24E73DDD"/>
    <w:rsid w:val="24F16A07"/>
    <w:rsid w:val="24F76E6A"/>
    <w:rsid w:val="24FB0248"/>
    <w:rsid w:val="24FF2FC1"/>
    <w:rsid w:val="250362F9"/>
    <w:rsid w:val="252666E3"/>
    <w:rsid w:val="25282D28"/>
    <w:rsid w:val="252D4688"/>
    <w:rsid w:val="25507611"/>
    <w:rsid w:val="2552184E"/>
    <w:rsid w:val="25550DEA"/>
    <w:rsid w:val="255A541D"/>
    <w:rsid w:val="255F601C"/>
    <w:rsid w:val="256208C4"/>
    <w:rsid w:val="256E67E6"/>
    <w:rsid w:val="256F07A2"/>
    <w:rsid w:val="257A70A1"/>
    <w:rsid w:val="257C6E69"/>
    <w:rsid w:val="258C1951"/>
    <w:rsid w:val="2592115F"/>
    <w:rsid w:val="259A06A1"/>
    <w:rsid w:val="259E2090"/>
    <w:rsid w:val="25AD4CDC"/>
    <w:rsid w:val="25AF4138"/>
    <w:rsid w:val="25BB32A0"/>
    <w:rsid w:val="25C95384"/>
    <w:rsid w:val="25D67C02"/>
    <w:rsid w:val="25D871E3"/>
    <w:rsid w:val="25E66BA3"/>
    <w:rsid w:val="25ED53DE"/>
    <w:rsid w:val="25F533FB"/>
    <w:rsid w:val="25FC1A39"/>
    <w:rsid w:val="26062E69"/>
    <w:rsid w:val="260F21CA"/>
    <w:rsid w:val="26101C22"/>
    <w:rsid w:val="26103DAB"/>
    <w:rsid w:val="262B7EE4"/>
    <w:rsid w:val="26404F19"/>
    <w:rsid w:val="26483626"/>
    <w:rsid w:val="264B193C"/>
    <w:rsid w:val="265101FB"/>
    <w:rsid w:val="26557D7F"/>
    <w:rsid w:val="266559D6"/>
    <w:rsid w:val="267C46B3"/>
    <w:rsid w:val="269828E9"/>
    <w:rsid w:val="26B308C0"/>
    <w:rsid w:val="26BA60CA"/>
    <w:rsid w:val="26C65701"/>
    <w:rsid w:val="26CA4CA0"/>
    <w:rsid w:val="26DE3192"/>
    <w:rsid w:val="26F200E0"/>
    <w:rsid w:val="26F90BC6"/>
    <w:rsid w:val="26F92F32"/>
    <w:rsid w:val="26F96F8B"/>
    <w:rsid w:val="26FC4F30"/>
    <w:rsid w:val="270760AB"/>
    <w:rsid w:val="271D3DAB"/>
    <w:rsid w:val="27280E99"/>
    <w:rsid w:val="272B547F"/>
    <w:rsid w:val="2736414F"/>
    <w:rsid w:val="274B2E37"/>
    <w:rsid w:val="274D1DC0"/>
    <w:rsid w:val="274D4947"/>
    <w:rsid w:val="2759029A"/>
    <w:rsid w:val="27800EE8"/>
    <w:rsid w:val="2785154B"/>
    <w:rsid w:val="27A226BF"/>
    <w:rsid w:val="27A97FAA"/>
    <w:rsid w:val="27AE12BF"/>
    <w:rsid w:val="27B57933"/>
    <w:rsid w:val="27B851F2"/>
    <w:rsid w:val="27B95D60"/>
    <w:rsid w:val="27BC5F2F"/>
    <w:rsid w:val="27BD17EE"/>
    <w:rsid w:val="27BF1054"/>
    <w:rsid w:val="27C04634"/>
    <w:rsid w:val="27C67160"/>
    <w:rsid w:val="27CB3B32"/>
    <w:rsid w:val="27CB76D4"/>
    <w:rsid w:val="27D0331F"/>
    <w:rsid w:val="27D548AE"/>
    <w:rsid w:val="27D70929"/>
    <w:rsid w:val="27D746D9"/>
    <w:rsid w:val="27DA406C"/>
    <w:rsid w:val="27DB573D"/>
    <w:rsid w:val="27E43191"/>
    <w:rsid w:val="27E57023"/>
    <w:rsid w:val="27F41874"/>
    <w:rsid w:val="27F5358A"/>
    <w:rsid w:val="27F559DD"/>
    <w:rsid w:val="27F636BC"/>
    <w:rsid w:val="27F77BF2"/>
    <w:rsid w:val="27FD2CBA"/>
    <w:rsid w:val="27FD426D"/>
    <w:rsid w:val="28017B17"/>
    <w:rsid w:val="28082C19"/>
    <w:rsid w:val="28136D9C"/>
    <w:rsid w:val="281558F7"/>
    <w:rsid w:val="281E2610"/>
    <w:rsid w:val="28251DEC"/>
    <w:rsid w:val="28252E9C"/>
    <w:rsid w:val="28334121"/>
    <w:rsid w:val="283C307E"/>
    <w:rsid w:val="284F6676"/>
    <w:rsid w:val="28530691"/>
    <w:rsid w:val="285F130B"/>
    <w:rsid w:val="285F5786"/>
    <w:rsid w:val="286E463A"/>
    <w:rsid w:val="28704DC3"/>
    <w:rsid w:val="28835E57"/>
    <w:rsid w:val="2896655F"/>
    <w:rsid w:val="289D3F42"/>
    <w:rsid w:val="289D4018"/>
    <w:rsid w:val="28A91994"/>
    <w:rsid w:val="28AA285C"/>
    <w:rsid w:val="28AA323C"/>
    <w:rsid w:val="28AB4431"/>
    <w:rsid w:val="28AC0250"/>
    <w:rsid w:val="28AE5A32"/>
    <w:rsid w:val="28AF7CF4"/>
    <w:rsid w:val="28B57801"/>
    <w:rsid w:val="28B87831"/>
    <w:rsid w:val="28BD1E79"/>
    <w:rsid w:val="28C1247E"/>
    <w:rsid w:val="28C94CF9"/>
    <w:rsid w:val="28EC087A"/>
    <w:rsid w:val="28EF6E87"/>
    <w:rsid w:val="28F27647"/>
    <w:rsid w:val="28F542D7"/>
    <w:rsid w:val="29031B9C"/>
    <w:rsid w:val="2903554F"/>
    <w:rsid w:val="290B1ED8"/>
    <w:rsid w:val="29114CF2"/>
    <w:rsid w:val="291367DD"/>
    <w:rsid w:val="291A09C1"/>
    <w:rsid w:val="291E4D0A"/>
    <w:rsid w:val="291F7E37"/>
    <w:rsid w:val="29232EE7"/>
    <w:rsid w:val="292476C0"/>
    <w:rsid w:val="29252827"/>
    <w:rsid w:val="294D278D"/>
    <w:rsid w:val="29523C3E"/>
    <w:rsid w:val="295B2B60"/>
    <w:rsid w:val="296D0972"/>
    <w:rsid w:val="29773A0C"/>
    <w:rsid w:val="29777676"/>
    <w:rsid w:val="297E476F"/>
    <w:rsid w:val="29853B5E"/>
    <w:rsid w:val="29894D90"/>
    <w:rsid w:val="29896C21"/>
    <w:rsid w:val="29924628"/>
    <w:rsid w:val="299A60F1"/>
    <w:rsid w:val="29B33463"/>
    <w:rsid w:val="29B753D5"/>
    <w:rsid w:val="29BD6854"/>
    <w:rsid w:val="29CA360F"/>
    <w:rsid w:val="29F55024"/>
    <w:rsid w:val="29F726DF"/>
    <w:rsid w:val="29F80867"/>
    <w:rsid w:val="29F86A5A"/>
    <w:rsid w:val="2A1B6689"/>
    <w:rsid w:val="2A2A0231"/>
    <w:rsid w:val="2A3715EC"/>
    <w:rsid w:val="2A44462B"/>
    <w:rsid w:val="2A4B5CE6"/>
    <w:rsid w:val="2A5161EE"/>
    <w:rsid w:val="2A52552D"/>
    <w:rsid w:val="2A585702"/>
    <w:rsid w:val="2A6B308E"/>
    <w:rsid w:val="2A721356"/>
    <w:rsid w:val="2A7B3BF7"/>
    <w:rsid w:val="2A7C64A6"/>
    <w:rsid w:val="2A816CC8"/>
    <w:rsid w:val="2A86281B"/>
    <w:rsid w:val="2A920BB7"/>
    <w:rsid w:val="2A932E12"/>
    <w:rsid w:val="2A9560D4"/>
    <w:rsid w:val="2AB264E8"/>
    <w:rsid w:val="2AB752C9"/>
    <w:rsid w:val="2AB951E6"/>
    <w:rsid w:val="2ABF1892"/>
    <w:rsid w:val="2AC744C9"/>
    <w:rsid w:val="2AC777C4"/>
    <w:rsid w:val="2AD01430"/>
    <w:rsid w:val="2AD228B0"/>
    <w:rsid w:val="2AD40FB2"/>
    <w:rsid w:val="2AEE5287"/>
    <w:rsid w:val="2AF22DF7"/>
    <w:rsid w:val="2AFF165F"/>
    <w:rsid w:val="2B037127"/>
    <w:rsid w:val="2B113FC7"/>
    <w:rsid w:val="2B210FAB"/>
    <w:rsid w:val="2B230073"/>
    <w:rsid w:val="2B237393"/>
    <w:rsid w:val="2B24771F"/>
    <w:rsid w:val="2B253833"/>
    <w:rsid w:val="2B260224"/>
    <w:rsid w:val="2B2B5DEA"/>
    <w:rsid w:val="2B2D2D38"/>
    <w:rsid w:val="2B4014FE"/>
    <w:rsid w:val="2B491481"/>
    <w:rsid w:val="2B511506"/>
    <w:rsid w:val="2B6026E4"/>
    <w:rsid w:val="2B6717BB"/>
    <w:rsid w:val="2B6D7240"/>
    <w:rsid w:val="2B6E2F4A"/>
    <w:rsid w:val="2B703F5D"/>
    <w:rsid w:val="2B731A79"/>
    <w:rsid w:val="2B7838EC"/>
    <w:rsid w:val="2B861DF3"/>
    <w:rsid w:val="2B8925CC"/>
    <w:rsid w:val="2BA25E1D"/>
    <w:rsid w:val="2BB26319"/>
    <w:rsid w:val="2BD164BE"/>
    <w:rsid w:val="2BDA3429"/>
    <w:rsid w:val="2BE01656"/>
    <w:rsid w:val="2BEB031D"/>
    <w:rsid w:val="2BF608DD"/>
    <w:rsid w:val="2BF60ED4"/>
    <w:rsid w:val="2C031937"/>
    <w:rsid w:val="2C031B19"/>
    <w:rsid w:val="2C0A68BE"/>
    <w:rsid w:val="2C0B192D"/>
    <w:rsid w:val="2C0D4481"/>
    <w:rsid w:val="2C1037C7"/>
    <w:rsid w:val="2C184229"/>
    <w:rsid w:val="2C1C7C8D"/>
    <w:rsid w:val="2C262882"/>
    <w:rsid w:val="2C325BE6"/>
    <w:rsid w:val="2C33125B"/>
    <w:rsid w:val="2C414E87"/>
    <w:rsid w:val="2C46373C"/>
    <w:rsid w:val="2C4F1EB2"/>
    <w:rsid w:val="2C531D38"/>
    <w:rsid w:val="2C5440F6"/>
    <w:rsid w:val="2C546CBF"/>
    <w:rsid w:val="2C5C5724"/>
    <w:rsid w:val="2C635181"/>
    <w:rsid w:val="2C6D631C"/>
    <w:rsid w:val="2C7B6970"/>
    <w:rsid w:val="2C800CAE"/>
    <w:rsid w:val="2C9D006F"/>
    <w:rsid w:val="2CA47D4E"/>
    <w:rsid w:val="2CAD1B95"/>
    <w:rsid w:val="2CAE33DB"/>
    <w:rsid w:val="2CBC5896"/>
    <w:rsid w:val="2CC10CD4"/>
    <w:rsid w:val="2CC90267"/>
    <w:rsid w:val="2CD067B3"/>
    <w:rsid w:val="2CDC070C"/>
    <w:rsid w:val="2CE06580"/>
    <w:rsid w:val="2CEF44BA"/>
    <w:rsid w:val="2CF25206"/>
    <w:rsid w:val="2CF34DE6"/>
    <w:rsid w:val="2CF909E4"/>
    <w:rsid w:val="2CFA2E2A"/>
    <w:rsid w:val="2CFC42C4"/>
    <w:rsid w:val="2D070F1E"/>
    <w:rsid w:val="2D0E6A82"/>
    <w:rsid w:val="2D1105B1"/>
    <w:rsid w:val="2D1D2E44"/>
    <w:rsid w:val="2D271674"/>
    <w:rsid w:val="2D313FC1"/>
    <w:rsid w:val="2D4B0F0A"/>
    <w:rsid w:val="2D4B7385"/>
    <w:rsid w:val="2D62117E"/>
    <w:rsid w:val="2D645817"/>
    <w:rsid w:val="2D6C4516"/>
    <w:rsid w:val="2D7C7CD1"/>
    <w:rsid w:val="2D7D0505"/>
    <w:rsid w:val="2D827AB3"/>
    <w:rsid w:val="2D850026"/>
    <w:rsid w:val="2D992DD0"/>
    <w:rsid w:val="2D9B5DAD"/>
    <w:rsid w:val="2D9E3FE7"/>
    <w:rsid w:val="2DA3719B"/>
    <w:rsid w:val="2DA801C6"/>
    <w:rsid w:val="2DA816CE"/>
    <w:rsid w:val="2DCE59B4"/>
    <w:rsid w:val="2DD72A4C"/>
    <w:rsid w:val="2DD86129"/>
    <w:rsid w:val="2DE263CE"/>
    <w:rsid w:val="2DE857AD"/>
    <w:rsid w:val="2DEB17DB"/>
    <w:rsid w:val="2DF43652"/>
    <w:rsid w:val="2DF9086B"/>
    <w:rsid w:val="2E123552"/>
    <w:rsid w:val="2E143170"/>
    <w:rsid w:val="2E1456E6"/>
    <w:rsid w:val="2E16179E"/>
    <w:rsid w:val="2E166977"/>
    <w:rsid w:val="2E1D20FA"/>
    <w:rsid w:val="2E283FDD"/>
    <w:rsid w:val="2E3529BA"/>
    <w:rsid w:val="2E466218"/>
    <w:rsid w:val="2E5821CB"/>
    <w:rsid w:val="2E5B20D3"/>
    <w:rsid w:val="2E643A8E"/>
    <w:rsid w:val="2E657E92"/>
    <w:rsid w:val="2E6750DD"/>
    <w:rsid w:val="2E6D4267"/>
    <w:rsid w:val="2E6F40C3"/>
    <w:rsid w:val="2E6F7D25"/>
    <w:rsid w:val="2E835E25"/>
    <w:rsid w:val="2E8C562A"/>
    <w:rsid w:val="2E8D64A4"/>
    <w:rsid w:val="2E930DA9"/>
    <w:rsid w:val="2EAC2154"/>
    <w:rsid w:val="2EB6365C"/>
    <w:rsid w:val="2EB8036A"/>
    <w:rsid w:val="2EC16654"/>
    <w:rsid w:val="2EC26EC7"/>
    <w:rsid w:val="2ECC3D33"/>
    <w:rsid w:val="2ED85DFF"/>
    <w:rsid w:val="2EDE5C99"/>
    <w:rsid w:val="2EE20E19"/>
    <w:rsid w:val="2EE657AB"/>
    <w:rsid w:val="2EEB69EE"/>
    <w:rsid w:val="2EF104D4"/>
    <w:rsid w:val="2EF84387"/>
    <w:rsid w:val="2EF93498"/>
    <w:rsid w:val="2EFB1991"/>
    <w:rsid w:val="2F0068F9"/>
    <w:rsid w:val="2F072DBC"/>
    <w:rsid w:val="2F2D60C9"/>
    <w:rsid w:val="2F363CD5"/>
    <w:rsid w:val="2F3E32D4"/>
    <w:rsid w:val="2F432534"/>
    <w:rsid w:val="2F4415A3"/>
    <w:rsid w:val="2F4B548F"/>
    <w:rsid w:val="2F4F08D3"/>
    <w:rsid w:val="2F5C2A7D"/>
    <w:rsid w:val="2F6C0AEE"/>
    <w:rsid w:val="2F75390C"/>
    <w:rsid w:val="2F7D5A25"/>
    <w:rsid w:val="2F9052C2"/>
    <w:rsid w:val="2FB758A8"/>
    <w:rsid w:val="2FBC66C4"/>
    <w:rsid w:val="2FCD2FB1"/>
    <w:rsid w:val="2FCF6C14"/>
    <w:rsid w:val="2FEB5B88"/>
    <w:rsid w:val="2FED2B26"/>
    <w:rsid w:val="2FF636A4"/>
    <w:rsid w:val="2FFD4A09"/>
    <w:rsid w:val="300634CA"/>
    <w:rsid w:val="300A5746"/>
    <w:rsid w:val="30113BDE"/>
    <w:rsid w:val="302635A2"/>
    <w:rsid w:val="302807D7"/>
    <w:rsid w:val="30280879"/>
    <w:rsid w:val="302850E5"/>
    <w:rsid w:val="3033023E"/>
    <w:rsid w:val="30364D19"/>
    <w:rsid w:val="303C5E4D"/>
    <w:rsid w:val="30517EF4"/>
    <w:rsid w:val="305B798A"/>
    <w:rsid w:val="305E55E7"/>
    <w:rsid w:val="30637C5A"/>
    <w:rsid w:val="30664A19"/>
    <w:rsid w:val="306B6DE8"/>
    <w:rsid w:val="306C7E97"/>
    <w:rsid w:val="306E5860"/>
    <w:rsid w:val="30734410"/>
    <w:rsid w:val="307754A8"/>
    <w:rsid w:val="30783D83"/>
    <w:rsid w:val="30790F00"/>
    <w:rsid w:val="307B27AF"/>
    <w:rsid w:val="30883846"/>
    <w:rsid w:val="30924A82"/>
    <w:rsid w:val="30992312"/>
    <w:rsid w:val="309E6647"/>
    <w:rsid w:val="30A24FBD"/>
    <w:rsid w:val="30AF39F7"/>
    <w:rsid w:val="30B10DDD"/>
    <w:rsid w:val="30B34FE7"/>
    <w:rsid w:val="30BE28FF"/>
    <w:rsid w:val="30C243A0"/>
    <w:rsid w:val="30DB6E4B"/>
    <w:rsid w:val="30DC34D0"/>
    <w:rsid w:val="30DF1B07"/>
    <w:rsid w:val="30E15537"/>
    <w:rsid w:val="30EA633B"/>
    <w:rsid w:val="30F67A29"/>
    <w:rsid w:val="31007802"/>
    <w:rsid w:val="310A5661"/>
    <w:rsid w:val="311173C2"/>
    <w:rsid w:val="311217F4"/>
    <w:rsid w:val="31136EF8"/>
    <w:rsid w:val="311D5006"/>
    <w:rsid w:val="312910E6"/>
    <w:rsid w:val="312B7A89"/>
    <w:rsid w:val="312F2424"/>
    <w:rsid w:val="31413196"/>
    <w:rsid w:val="315A5475"/>
    <w:rsid w:val="316B24C8"/>
    <w:rsid w:val="317968F5"/>
    <w:rsid w:val="31847CBA"/>
    <w:rsid w:val="31851F09"/>
    <w:rsid w:val="319047EA"/>
    <w:rsid w:val="3196405C"/>
    <w:rsid w:val="31A7260D"/>
    <w:rsid w:val="31A72AA9"/>
    <w:rsid w:val="31AE37CB"/>
    <w:rsid w:val="31AF3062"/>
    <w:rsid w:val="31B92E98"/>
    <w:rsid w:val="31BD543F"/>
    <w:rsid w:val="31BF2241"/>
    <w:rsid w:val="31D63D6A"/>
    <w:rsid w:val="31D82A50"/>
    <w:rsid w:val="31DE4BCC"/>
    <w:rsid w:val="31E87A53"/>
    <w:rsid w:val="31F1584E"/>
    <w:rsid w:val="31F53B00"/>
    <w:rsid w:val="31F87528"/>
    <w:rsid w:val="320D43B9"/>
    <w:rsid w:val="321E6433"/>
    <w:rsid w:val="322F1E2A"/>
    <w:rsid w:val="3231209E"/>
    <w:rsid w:val="323213FB"/>
    <w:rsid w:val="32407F00"/>
    <w:rsid w:val="324516EB"/>
    <w:rsid w:val="32471F9C"/>
    <w:rsid w:val="32483FAB"/>
    <w:rsid w:val="324A7CF5"/>
    <w:rsid w:val="325D6C94"/>
    <w:rsid w:val="325F6A61"/>
    <w:rsid w:val="32651D42"/>
    <w:rsid w:val="32775E00"/>
    <w:rsid w:val="327C2803"/>
    <w:rsid w:val="32803BDF"/>
    <w:rsid w:val="32803E9B"/>
    <w:rsid w:val="32980799"/>
    <w:rsid w:val="3298783D"/>
    <w:rsid w:val="329A481A"/>
    <w:rsid w:val="329B2500"/>
    <w:rsid w:val="32AC4F4D"/>
    <w:rsid w:val="32AF52CA"/>
    <w:rsid w:val="32B96963"/>
    <w:rsid w:val="32BA402B"/>
    <w:rsid w:val="32BB4524"/>
    <w:rsid w:val="32C90658"/>
    <w:rsid w:val="32D05437"/>
    <w:rsid w:val="32D164BC"/>
    <w:rsid w:val="32DB3A13"/>
    <w:rsid w:val="32DF377F"/>
    <w:rsid w:val="32DF4689"/>
    <w:rsid w:val="32FE55BB"/>
    <w:rsid w:val="33013A76"/>
    <w:rsid w:val="33061268"/>
    <w:rsid w:val="330B613B"/>
    <w:rsid w:val="330B68CA"/>
    <w:rsid w:val="330E19A9"/>
    <w:rsid w:val="331C168A"/>
    <w:rsid w:val="332313CF"/>
    <w:rsid w:val="332B7999"/>
    <w:rsid w:val="334070D8"/>
    <w:rsid w:val="33496FB5"/>
    <w:rsid w:val="335318D5"/>
    <w:rsid w:val="33572C50"/>
    <w:rsid w:val="337215EE"/>
    <w:rsid w:val="33745163"/>
    <w:rsid w:val="337938B4"/>
    <w:rsid w:val="33814EBE"/>
    <w:rsid w:val="33895720"/>
    <w:rsid w:val="338D32DA"/>
    <w:rsid w:val="3391550B"/>
    <w:rsid w:val="339B50F3"/>
    <w:rsid w:val="33A50941"/>
    <w:rsid w:val="33BF1C76"/>
    <w:rsid w:val="33C02152"/>
    <w:rsid w:val="33C8052E"/>
    <w:rsid w:val="33C94702"/>
    <w:rsid w:val="33C97FA7"/>
    <w:rsid w:val="33CE18AC"/>
    <w:rsid w:val="33D55E9C"/>
    <w:rsid w:val="33D752F3"/>
    <w:rsid w:val="33E27807"/>
    <w:rsid w:val="33E77FE3"/>
    <w:rsid w:val="33E9106C"/>
    <w:rsid w:val="33F034B9"/>
    <w:rsid w:val="33F069A3"/>
    <w:rsid w:val="34047E29"/>
    <w:rsid w:val="340B2EB0"/>
    <w:rsid w:val="341274B6"/>
    <w:rsid w:val="341B1F25"/>
    <w:rsid w:val="342F7B71"/>
    <w:rsid w:val="34431A7E"/>
    <w:rsid w:val="344A1121"/>
    <w:rsid w:val="345B1E67"/>
    <w:rsid w:val="34677DA4"/>
    <w:rsid w:val="347A0882"/>
    <w:rsid w:val="34843A30"/>
    <w:rsid w:val="34921915"/>
    <w:rsid w:val="34952EB2"/>
    <w:rsid w:val="34A4780D"/>
    <w:rsid w:val="34A66029"/>
    <w:rsid w:val="34B50A38"/>
    <w:rsid w:val="34C16C37"/>
    <w:rsid w:val="34C25A64"/>
    <w:rsid w:val="34D0190B"/>
    <w:rsid w:val="34D9184A"/>
    <w:rsid w:val="34DD4488"/>
    <w:rsid w:val="34E546E0"/>
    <w:rsid w:val="35083A64"/>
    <w:rsid w:val="35305EA8"/>
    <w:rsid w:val="3536076B"/>
    <w:rsid w:val="353C5461"/>
    <w:rsid w:val="3543210D"/>
    <w:rsid w:val="354563EB"/>
    <w:rsid w:val="35491723"/>
    <w:rsid w:val="35555EB9"/>
    <w:rsid w:val="355C13FC"/>
    <w:rsid w:val="356055BB"/>
    <w:rsid w:val="35644130"/>
    <w:rsid w:val="35687534"/>
    <w:rsid w:val="35712C06"/>
    <w:rsid w:val="35734736"/>
    <w:rsid w:val="35794CA5"/>
    <w:rsid w:val="357E0CC8"/>
    <w:rsid w:val="35832491"/>
    <w:rsid w:val="358731F2"/>
    <w:rsid w:val="35890C81"/>
    <w:rsid w:val="35984F57"/>
    <w:rsid w:val="35A170E8"/>
    <w:rsid w:val="35A511E6"/>
    <w:rsid w:val="35AE684D"/>
    <w:rsid w:val="35B05157"/>
    <w:rsid w:val="35C93BC4"/>
    <w:rsid w:val="35CD4A73"/>
    <w:rsid w:val="35E100D0"/>
    <w:rsid w:val="35E1440B"/>
    <w:rsid w:val="35E96E52"/>
    <w:rsid w:val="35F65413"/>
    <w:rsid w:val="35F84F7F"/>
    <w:rsid w:val="35FC106E"/>
    <w:rsid w:val="35FD1DE0"/>
    <w:rsid w:val="35FF3F7C"/>
    <w:rsid w:val="36062820"/>
    <w:rsid w:val="360D35A6"/>
    <w:rsid w:val="36140E22"/>
    <w:rsid w:val="361A105B"/>
    <w:rsid w:val="361E4EB5"/>
    <w:rsid w:val="36284405"/>
    <w:rsid w:val="364B2ED9"/>
    <w:rsid w:val="364F4D34"/>
    <w:rsid w:val="36567B62"/>
    <w:rsid w:val="36572CDF"/>
    <w:rsid w:val="365B7163"/>
    <w:rsid w:val="365F0617"/>
    <w:rsid w:val="36674E5B"/>
    <w:rsid w:val="368044CF"/>
    <w:rsid w:val="36823235"/>
    <w:rsid w:val="36920633"/>
    <w:rsid w:val="36966A60"/>
    <w:rsid w:val="36A83C39"/>
    <w:rsid w:val="36AA3BE2"/>
    <w:rsid w:val="36B32563"/>
    <w:rsid w:val="36CB34A2"/>
    <w:rsid w:val="36CC6C1F"/>
    <w:rsid w:val="36D574DE"/>
    <w:rsid w:val="36E13A0B"/>
    <w:rsid w:val="36E2484D"/>
    <w:rsid w:val="36E51EF8"/>
    <w:rsid w:val="36F315DA"/>
    <w:rsid w:val="36F6622B"/>
    <w:rsid w:val="36FC5FF8"/>
    <w:rsid w:val="36FF135D"/>
    <w:rsid w:val="37042DCD"/>
    <w:rsid w:val="37053311"/>
    <w:rsid w:val="37123C34"/>
    <w:rsid w:val="37145212"/>
    <w:rsid w:val="372208EC"/>
    <w:rsid w:val="372F779B"/>
    <w:rsid w:val="375A2AAC"/>
    <w:rsid w:val="375B7163"/>
    <w:rsid w:val="375E3115"/>
    <w:rsid w:val="37865111"/>
    <w:rsid w:val="379B60E1"/>
    <w:rsid w:val="379C5E3D"/>
    <w:rsid w:val="37A358A5"/>
    <w:rsid w:val="37C07D88"/>
    <w:rsid w:val="37C33C83"/>
    <w:rsid w:val="37C3753C"/>
    <w:rsid w:val="37CE3FB6"/>
    <w:rsid w:val="37D131FE"/>
    <w:rsid w:val="37D914CD"/>
    <w:rsid w:val="37EB1636"/>
    <w:rsid w:val="37ED524D"/>
    <w:rsid w:val="37FB1DA0"/>
    <w:rsid w:val="37FC6AFC"/>
    <w:rsid w:val="37FE6D79"/>
    <w:rsid w:val="37FF3EF8"/>
    <w:rsid w:val="380B6737"/>
    <w:rsid w:val="380C10F7"/>
    <w:rsid w:val="380E295E"/>
    <w:rsid w:val="380F29CB"/>
    <w:rsid w:val="382B197D"/>
    <w:rsid w:val="382B7BA3"/>
    <w:rsid w:val="38305536"/>
    <w:rsid w:val="385741F8"/>
    <w:rsid w:val="385947F8"/>
    <w:rsid w:val="3871130D"/>
    <w:rsid w:val="38941C47"/>
    <w:rsid w:val="38AD5E9B"/>
    <w:rsid w:val="38B03867"/>
    <w:rsid w:val="38B1724D"/>
    <w:rsid w:val="38C73C5E"/>
    <w:rsid w:val="38CD66DA"/>
    <w:rsid w:val="38D9664D"/>
    <w:rsid w:val="38DB4929"/>
    <w:rsid w:val="38E93137"/>
    <w:rsid w:val="38EA7B19"/>
    <w:rsid w:val="38ED0099"/>
    <w:rsid w:val="38F920E9"/>
    <w:rsid w:val="38F92EB0"/>
    <w:rsid w:val="38FC407F"/>
    <w:rsid w:val="38FF2813"/>
    <w:rsid w:val="39196D2E"/>
    <w:rsid w:val="391F3846"/>
    <w:rsid w:val="391F3F68"/>
    <w:rsid w:val="39302448"/>
    <w:rsid w:val="39333B77"/>
    <w:rsid w:val="393417CC"/>
    <w:rsid w:val="39386A66"/>
    <w:rsid w:val="39400042"/>
    <w:rsid w:val="39470AAB"/>
    <w:rsid w:val="395035FC"/>
    <w:rsid w:val="39503972"/>
    <w:rsid w:val="39541B8B"/>
    <w:rsid w:val="39790265"/>
    <w:rsid w:val="398E33A8"/>
    <w:rsid w:val="399127E1"/>
    <w:rsid w:val="39921B6D"/>
    <w:rsid w:val="39923C2B"/>
    <w:rsid w:val="39990D69"/>
    <w:rsid w:val="39A313B4"/>
    <w:rsid w:val="39AA749E"/>
    <w:rsid w:val="39AC59C0"/>
    <w:rsid w:val="39B96724"/>
    <w:rsid w:val="39BA23C8"/>
    <w:rsid w:val="39BE4699"/>
    <w:rsid w:val="39C37E30"/>
    <w:rsid w:val="39C40350"/>
    <w:rsid w:val="39D804DC"/>
    <w:rsid w:val="39D96ED5"/>
    <w:rsid w:val="39DC3B01"/>
    <w:rsid w:val="39EB62BC"/>
    <w:rsid w:val="39F80BAF"/>
    <w:rsid w:val="39FA066E"/>
    <w:rsid w:val="39FB6054"/>
    <w:rsid w:val="39FE2741"/>
    <w:rsid w:val="3A011CD4"/>
    <w:rsid w:val="3A0212E9"/>
    <w:rsid w:val="3A033C6E"/>
    <w:rsid w:val="3A0F6021"/>
    <w:rsid w:val="3A200240"/>
    <w:rsid w:val="3A2575DC"/>
    <w:rsid w:val="3A5354CD"/>
    <w:rsid w:val="3A6A6656"/>
    <w:rsid w:val="3A6F313C"/>
    <w:rsid w:val="3A754939"/>
    <w:rsid w:val="3A76634C"/>
    <w:rsid w:val="3A784DA1"/>
    <w:rsid w:val="3A78578C"/>
    <w:rsid w:val="3A7D1936"/>
    <w:rsid w:val="3A7E4A27"/>
    <w:rsid w:val="3A820108"/>
    <w:rsid w:val="3A9C2680"/>
    <w:rsid w:val="3AA52AD0"/>
    <w:rsid w:val="3AA74407"/>
    <w:rsid w:val="3AAE2F0B"/>
    <w:rsid w:val="3AB50728"/>
    <w:rsid w:val="3AD61B43"/>
    <w:rsid w:val="3ADB2A46"/>
    <w:rsid w:val="3ADF481F"/>
    <w:rsid w:val="3AE131E0"/>
    <w:rsid w:val="3AEE1341"/>
    <w:rsid w:val="3AF36363"/>
    <w:rsid w:val="3AFF3516"/>
    <w:rsid w:val="3B042A58"/>
    <w:rsid w:val="3B0F37B0"/>
    <w:rsid w:val="3B170F71"/>
    <w:rsid w:val="3B1954DD"/>
    <w:rsid w:val="3B22536C"/>
    <w:rsid w:val="3B227C40"/>
    <w:rsid w:val="3B2832C3"/>
    <w:rsid w:val="3B2F17C5"/>
    <w:rsid w:val="3B4470A2"/>
    <w:rsid w:val="3B474213"/>
    <w:rsid w:val="3B501235"/>
    <w:rsid w:val="3B652068"/>
    <w:rsid w:val="3B6579F1"/>
    <w:rsid w:val="3B6B6CC1"/>
    <w:rsid w:val="3B6F5A74"/>
    <w:rsid w:val="3B8014C7"/>
    <w:rsid w:val="3B9D5CF3"/>
    <w:rsid w:val="3BA027F5"/>
    <w:rsid w:val="3BA042B7"/>
    <w:rsid w:val="3BAC7E2F"/>
    <w:rsid w:val="3BB61BAD"/>
    <w:rsid w:val="3BBC2F76"/>
    <w:rsid w:val="3BBD77F3"/>
    <w:rsid w:val="3BC3436B"/>
    <w:rsid w:val="3BD80A95"/>
    <w:rsid w:val="3BDB7CD9"/>
    <w:rsid w:val="3BDC4BC0"/>
    <w:rsid w:val="3BE27888"/>
    <w:rsid w:val="3BE33F9B"/>
    <w:rsid w:val="3BEB3854"/>
    <w:rsid w:val="3BF46CBA"/>
    <w:rsid w:val="3C014362"/>
    <w:rsid w:val="3C046EFC"/>
    <w:rsid w:val="3C1076D4"/>
    <w:rsid w:val="3C12631E"/>
    <w:rsid w:val="3C155855"/>
    <w:rsid w:val="3C173F33"/>
    <w:rsid w:val="3C1B51DB"/>
    <w:rsid w:val="3C236C78"/>
    <w:rsid w:val="3C3E4AA8"/>
    <w:rsid w:val="3C4A751C"/>
    <w:rsid w:val="3C4E7E63"/>
    <w:rsid w:val="3C625638"/>
    <w:rsid w:val="3C6C390E"/>
    <w:rsid w:val="3C7F0C8D"/>
    <w:rsid w:val="3C8067B8"/>
    <w:rsid w:val="3C8D0CFA"/>
    <w:rsid w:val="3C9A3752"/>
    <w:rsid w:val="3CA412DD"/>
    <w:rsid w:val="3CA731B3"/>
    <w:rsid w:val="3CB2255B"/>
    <w:rsid w:val="3CB32127"/>
    <w:rsid w:val="3CB96166"/>
    <w:rsid w:val="3CC07213"/>
    <w:rsid w:val="3CC96B42"/>
    <w:rsid w:val="3CCF3471"/>
    <w:rsid w:val="3CD42F53"/>
    <w:rsid w:val="3CD61C97"/>
    <w:rsid w:val="3CE56B07"/>
    <w:rsid w:val="3CEB1FB0"/>
    <w:rsid w:val="3CEE0061"/>
    <w:rsid w:val="3CFD2A63"/>
    <w:rsid w:val="3D010FFE"/>
    <w:rsid w:val="3D0B3DE1"/>
    <w:rsid w:val="3D147520"/>
    <w:rsid w:val="3D18700C"/>
    <w:rsid w:val="3D1D13DD"/>
    <w:rsid w:val="3D2F5B1B"/>
    <w:rsid w:val="3D31240F"/>
    <w:rsid w:val="3D42326E"/>
    <w:rsid w:val="3D425164"/>
    <w:rsid w:val="3D4917F2"/>
    <w:rsid w:val="3D622AC7"/>
    <w:rsid w:val="3D6B2F71"/>
    <w:rsid w:val="3D704834"/>
    <w:rsid w:val="3D71544C"/>
    <w:rsid w:val="3D8210CB"/>
    <w:rsid w:val="3D8447A3"/>
    <w:rsid w:val="3D884980"/>
    <w:rsid w:val="3D891B09"/>
    <w:rsid w:val="3D8B6FDC"/>
    <w:rsid w:val="3D8C615B"/>
    <w:rsid w:val="3D8F4C75"/>
    <w:rsid w:val="3DCB49D2"/>
    <w:rsid w:val="3DCC6348"/>
    <w:rsid w:val="3DDE4D20"/>
    <w:rsid w:val="3DE35CEA"/>
    <w:rsid w:val="3DF3208F"/>
    <w:rsid w:val="3E0C7CA6"/>
    <w:rsid w:val="3E1144BE"/>
    <w:rsid w:val="3E1C5C7E"/>
    <w:rsid w:val="3E1E0A70"/>
    <w:rsid w:val="3E265F01"/>
    <w:rsid w:val="3E2E6BA8"/>
    <w:rsid w:val="3E2F7360"/>
    <w:rsid w:val="3E3C7929"/>
    <w:rsid w:val="3E402F0F"/>
    <w:rsid w:val="3E431E3F"/>
    <w:rsid w:val="3E4B599D"/>
    <w:rsid w:val="3E4F6F61"/>
    <w:rsid w:val="3E51386E"/>
    <w:rsid w:val="3E596790"/>
    <w:rsid w:val="3E5B16C4"/>
    <w:rsid w:val="3E6C6BFD"/>
    <w:rsid w:val="3E7F6EC1"/>
    <w:rsid w:val="3E8262CE"/>
    <w:rsid w:val="3E9000FA"/>
    <w:rsid w:val="3E927090"/>
    <w:rsid w:val="3E936585"/>
    <w:rsid w:val="3E95581A"/>
    <w:rsid w:val="3E9730EE"/>
    <w:rsid w:val="3E976445"/>
    <w:rsid w:val="3E9E2EF0"/>
    <w:rsid w:val="3EA67149"/>
    <w:rsid w:val="3EB51E89"/>
    <w:rsid w:val="3EB53CC7"/>
    <w:rsid w:val="3EBB4202"/>
    <w:rsid w:val="3ECC4E68"/>
    <w:rsid w:val="3ED7167E"/>
    <w:rsid w:val="3EDC6210"/>
    <w:rsid w:val="3EE574D2"/>
    <w:rsid w:val="3EEE4A76"/>
    <w:rsid w:val="3EF12BEB"/>
    <w:rsid w:val="3EFD6AE9"/>
    <w:rsid w:val="3F0336D4"/>
    <w:rsid w:val="3F0566B2"/>
    <w:rsid w:val="3F0A21DC"/>
    <w:rsid w:val="3F0D7249"/>
    <w:rsid w:val="3F1A3ABD"/>
    <w:rsid w:val="3F1E1A85"/>
    <w:rsid w:val="3F1F3BA1"/>
    <w:rsid w:val="3F1F754D"/>
    <w:rsid w:val="3F200FBA"/>
    <w:rsid w:val="3F22382F"/>
    <w:rsid w:val="3F2E0697"/>
    <w:rsid w:val="3F364780"/>
    <w:rsid w:val="3F426C2D"/>
    <w:rsid w:val="3F460E2E"/>
    <w:rsid w:val="3F4C09E5"/>
    <w:rsid w:val="3F5768D4"/>
    <w:rsid w:val="3F6E42EA"/>
    <w:rsid w:val="3F7659FF"/>
    <w:rsid w:val="3F7A3CA0"/>
    <w:rsid w:val="3F856D38"/>
    <w:rsid w:val="3F8C57EA"/>
    <w:rsid w:val="3FA77072"/>
    <w:rsid w:val="3FAB4395"/>
    <w:rsid w:val="3FB07308"/>
    <w:rsid w:val="3FB3617A"/>
    <w:rsid w:val="3FB603B4"/>
    <w:rsid w:val="3FB610EF"/>
    <w:rsid w:val="3FB63CFD"/>
    <w:rsid w:val="3FB67FBA"/>
    <w:rsid w:val="3FC6230C"/>
    <w:rsid w:val="3FCA7189"/>
    <w:rsid w:val="3FCB1725"/>
    <w:rsid w:val="3FD93F68"/>
    <w:rsid w:val="3FEB1337"/>
    <w:rsid w:val="3FF02E41"/>
    <w:rsid w:val="3FF608EE"/>
    <w:rsid w:val="3FF916F0"/>
    <w:rsid w:val="3FFB54FC"/>
    <w:rsid w:val="3FFB7F76"/>
    <w:rsid w:val="3FFF5C7D"/>
    <w:rsid w:val="4014153A"/>
    <w:rsid w:val="401B2C58"/>
    <w:rsid w:val="40224945"/>
    <w:rsid w:val="40300C40"/>
    <w:rsid w:val="40316213"/>
    <w:rsid w:val="403E6CF0"/>
    <w:rsid w:val="40430F4B"/>
    <w:rsid w:val="40483B16"/>
    <w:rsid w:val="404E794C"/>
    <w:rsid w:val="40590226"/>
    <w:rsid w:val="405F3678"/>
    <w:rsid w:val="40613B86"/>
    <w:rsid w:val="40653F3A"/>
    <w:rsid w:val="406A5E53"/>
    <w:rsid w:val="406D005B"/>
    <w:rsid w:val="406D481B"/>
    <w:rsid w:val="406D508E"/>
    <w:rsid w:val="40720D9D"/>
    <w:rsid w:val="40781211"/>
    <w:rsid w:val="407C5076"/>
    <w:rsid w:val="40811792"/>
    <w:rsid w:val="40873B2F"/>
    <w:rsid w:val="40875A0D"/>
    <w:rsid w:val="408C7BD3"/>
    <w:rsid w:val="40975F1E"/>
    <w:rsid w:val="409A034A"/>
    <w:rsid w:val="40A73EB1"/>
    <w:rsid w:val="40A8713D"/>
    <w:rsid w:val="40AC2D6B"/>
    <w:rsid w:val="40B7629B"/>
    <w:rsid w:val="40D62D33"/>
    <w:rsid w:val="40D7331C"/>
    <w:rsid w:val="40E6230B"/>
    <w:rsid w:val="40E65891"/>
    <w:rsid w:val="40F52ADB"/>
    <w:rsid w:val="4101728E"/>
    <w:rsid w:val="41025F90"/>
    <w:rsid w:val="410739FF"/>
    <w:rsid w:val="410C0559"/>
    <w:rsid w:val="410C1D15"/>
    <w:rsid w:val="410E3129"/>
    <w:rsid w:val="411124B3"/>
    <w:rsid w:val="4112675B"/>
    <w:rsid w:val="41237CD1"/>
    <w:rsid w:val="412C00EC"/>
    <w:rsid w:val="412F3F29"/>
    <w:rsid w:val="413056FA"/>
    <w:rsid w:val="413B4CFA"/>
    <w:rsid w:val="413D4569"/>
    <w:rsid w:val="413E4CF9"/>
    <w:rsid w:val="41461FCE"/>
    <w:rsid w:val="41514E15"/>
    <w:rsid w:val="4156730E"/>
    <w:rsid w:val="415857E4"/>
    <w:rsid w:val="415950F4"/>
    <w:rsid w:val="415A4A3E"/>
    <w:rsid w:val="41662DFF"/>
    <w:rsid w:val="416C19BC"/>
    <w:rsid w:val="417206F2"/>
    <w:rsid w:val="41731946"/>
    <w:rsid w:val="41754427"/>
    <w:rsid w:val="41781F44"/>
    <w:rsid w:val="419A28D2"/>
    <w:rsid w:val="41AD7E4D"/>
    <w:rsid w:val="41B21E72"/>
    <w:rsid w:val="41B438C8"/>
    <w:rsid w:val="41B444DF"/>
    <w:rsid w:val="41BE71E2"/>
    <w:rsid w:val="41C123F2"/>
    <w:rsid w:val="41D5201F"/>
    <w:rsid w:val="41D52F27"/>
    <w:rsid w:val="41E21B95"/>
    <w:rsid w:val="42096DA4"/>
    <w:rsid w:val="420A359E"/>
    <w:rsid w:val="421F5007"/>
    <w:rsid w:val="42267665"/>
    <w:rsid w:val="422C20D6"/>
    <w:rsid w:val="422C6A3E"/>
    <w:rsid w:val="42302E8C"/>
    <w:rsid w:val="42320CBF"/>
    <w:rsid w:val="42373CFE"/>
    <w:rsid w:val="4242039E"/>
    <w:rsid w:val="42444F33"/>
    <w:rsid w:val="424F709E"/>
    <w:rsid w:val="42512AA6"/>
    <w:rsid w:val="425255BA"/>
    <w:rsid w:val="425E5EBA"/>
    <w:rsid w:val="42611848"/>
    <w:rsid w:val="42621666"/>
    <w:rsid w:val="42730BDA"/>
    <w:rsid w:val="42780C64"/>
    <w:rsid w:val="428F5DE0"/>
    <w:rsid w:val="429322AD"/>
    <w:rsid w:val="42947229"/>
    <w:rsid w:val="42992DCD"/>
    <w:rsid w:val="42A77E54"/>
    <w:rsid w:val="42B9226D"/>
    <w:rsid w:val="42CA6455"/>
    <w:rsid w:val="42CA67C4"/>
    <w:rsid w:val="42CE4355"/>
    <w:rsid w:val="42CF5E16"/>
    <w:rsid w:val="42D556CC"/>
    <w:rsid w:val="42D76FC7"/>
    <w:rsid w:val="42DA7B35"/>
    <w:rsid w:val="42ED02C0"/>
    <w:rsid w:val="42FC22B3"/>
    <w:rsid w:val="430B2089"/>
    <w:rsid w:val="4310125E"/>
    <w:rsid w:val="431D0E3E"/>
    <w:rsid w:val="432123F5"/>
    <w:rsid w:val="4324690C"/>
    <w:rsid w:val="4326596B"/>
    <w:rsid w:val="432C4BDF"/>
    <w:rsid w:val="43304263"/>
    <w:rsid w:val="433724A0"/>
    <w:rsid w:val="433D655A"/>
    <w:rsid w:val="433E7F36"/>
    <w:rsid w:val="43501312"/>
    <w:rsid w:val="43517188"/>
    <w:rsid w:val="435508B3"/>
    <w:rsid w:val="43557F2B"/>
    <w:rsid w:val="43690237"/>
    <w:rsid w:val="43740C2D"/>
    <w:rsid w:val="43794A9C"/>
    <w:rsid w:val="437B6BBF"/>
    <w:rsid w:val="43810C75"/>
    <w:rsid w:val="43882F67"/>
    <w:rsid w:val="43886A2B"/>
    <w:rsid w:val="43887308"/>
    <w:rsid w:val="43891C80"/>
    <w:rsid w:val="438C55D1"/>
    <w:rsid w:val="43907484"/>
    <w:rsid w:val="439C23C8"/>
    <w:rsid w:val="439C31B6"/>
    <w:rsid w:val="439D3C0B"/>
    <w:rsid w:val="43AE3B1E"/>
    <w:rsid w:val="43B911C8"/>
    <w:rsid w:val="43B94A1E"/>
    <w:rsid w:val="43C14430"/>
    <w:rsid w:val="43C80B8E"/>
    <w:rsid w:val="43C85B45"/>
    <w:rsid w:val="43CA2FC9"/>
    <w:rsid w:val="43DE5391"/>
    <w:rsid w:val="43E120EF"/>
    <w:rsid w:val="43F25116"/>
    <w:rsid w:val="43F36144"/>
    <w:rsid w:val="43F94FCD"/>
    <w:rsid w:val="440103A8"/>
    <w:rsid w:val="44134FB5"/>
    <w:rsid w:val="441C3C0C"/>
    <w:rsid w:val="44210E57"/>
    <w:rsid w:val="442273AF"/>
    <w:rsid w:val="443251B6"/>
    <w:rsid w:val="443F5AC6"/>
    <w:rsid w:val="44430B4B"/>
    <w:rsid w:val="44437CB9"/>
    <w:rsid w:val="444C3D2D"/>
    <w:rsid w:val="445240D7"/>
    <w:rsid w:val="44623B5C"/>
    <w:rsid w:val="44662019"/>
    <w:rsid w:val="446A0307"/>
    <w:rsid w:val="447B7BC9"/>
    <w:rsid w:val="44804E8D"/>
    <w:rsid w:val="448329CB"/>
    <w:rsid w:val="44866F42"/>
    <w:rsid w:val="448B6E43"/>
    <w:rsid w:val="448F600A"/>
    <w:rsid w:val="449B1B23"/>
    <w:rsid w:val="44A87A3F"/>
    <w:rsid w:val="44B0794F"/>
    <w:rsid w:val="44B95A0A"/>
    <w:rsid w:val="44BA1152"/>
    <w:rsid w:val="44BC13D1"/>
    <w:rsid w:val="44BE541D"/>
    <w:rsid w:val="44BF1484"/>
    <w:rsid w:val="44DB30D4"/>
    <w:rsid w:val="44E52C43"/>
    <w:rsid w:val="451D7325"/>
    <w:rsid w:val="4522364D"/>
    <w:rsid w:val="4524718B"/>
    <w:rsid w:val="452835A3"/>
    <w:rsid w:val="453274F7"/>
    <w:rsid w:val="453729C8"/>
    <w:rsid w:val="45464711"/>
    <w:rsid w:val="455B01FE"/>
    <w:rsid w:val="456043A5"/>
    <w:rsid w:val="456B438C"/>
    <w:rsid w:val="45742B36"/>
    <w:rsid w:val="457D1360"/>
    <w:rsid w:val="457E5824"/>
    <w:rsid w:val="458826EA"/>
    <w:rsid w:val="458B05C8"/>
    <w:rsid w:val="458D422E"/>
    <w:rsid w:val="4590706B"/>
    <w:rsid w:val="45996DC7"/>
    <w:rsid w:val="459E5FE0"/>
    <w:rsid w:val="45A179BD"/>
    <w:rsid w:val="45AC3A49"/>
    <w:rsid w:val="45AD56B6"/>
    <w:rsid w:val="45AF7CA3"/>
    <w:rsid w:val="45B453E5"/>
    <w:rsid w:val="45B93DC4"/>
    <w:rsid w:val="45C21BB0"/>
    <w:rsid w:val="45C50E20"/>
    <w:rsid w:val="45D6219B"/>
    <w:rsid w:val="45DD45C0"/>
    <w:rsid w:val="45E06B6A"/>
    <w:rsid w:val="45E14E9A"/>
    <w:rsid w:val="45E67A41"/>
    <w:rsid w:val="45EC3948"/>
    <w:rsid w:val="45F63999"/>
    <w:rsid w:val="45F71272"/>
    <w:rsid w:val="460536B2"/>
    <w:rsid w:val="460800F1"/>
    <w:rsid w:val="460E7946"/>
    <w:rsid w:val="462533AB"/>
    <w:rsid w:val="462705AB"/>
    <w:rsid w:val="46327646"/>
    <w:rsid w:val="463F0D16"/>
    <w:rsid w:val="46405671"/>
    <w:rsid w:val="46420C64"/>
    <w:rsid w:val="46432D25"/>
    <w:rsid w:val="46477BD6"/>
    <w:rsid w:val="4671053D"/>
    <w:rsid w:val="467923D3"/>
    <w:rsid w:val="46837DCC"/>
    <w:rsid w:val="46B3234D"/>
    <w:rsid w:val="46BE2FB9"/>
    <w:rsid w:val="46C25D11"/>
    <w:rsid w:val="46CF1A8D"/>
    <w:rsid w:val="46D03A26"/>
    <w:rsid w:val="46D502C8"/>
    <w:rsid w:val="46D95565"/>
    <w:rsid w:val="46DE5BF0"/>
    <w:rsid w:val="46EC604F"/>
    <w:rsid w:val="46F10F4D"/>
    <w:rsid w:val="46F72417"/>
    <w:rsid w:val="46FE4F20"/>
    <w:rsid w:val="473133E0"/>
    <w:rsid w:val="473A390F"/>
    <w:rsid w:val="473A71D3"/>
    <w:rsid w:val="47430C75"/>
    <w:rsid w:val="47455E61"/>
    <w:rsid w:val="47461D52"/>
    <w:rsid w:val="476C5EF0"/>
    <w:rsid w:val="47773D3E"/>
    <w:rsid w:val="477A5AF6"/>
    <w:rsid w:val="477D7548"/>
    <w:rsid w:val="47871F2D"/>
    <w:rsid w:val="4789424B"/>
    <w:rsid w:val="478E5B7E"/>
    <w:rsid w:val="478F40E7"/>
    <w:rsid w:val="4799664B"/>
    <w:rsid w:val="47A43A9A"/>
    <w:rsid w:val="47A64EA7"/>
    <w:rsid w:val="47B16899"/>
    <w:rsid w:val="47C10807"/>
    <w:rsid w:val="47C9720A"/>
    <w:rsid w:val="47CD1927"/>
    <w:rsid w:val="47D47AD1"/>
    <w:rsid w:val="47DB519C"/>
    <w:rsid w:val="47DC2C00"/>
    <w:rsid w:val="47F269F6"/>
    <w:rsid w:val="47F6169F"/>
    <w:rsid w:val="481C6E5B"/>
    <w:rsid w:val="482D13C8"/>
    <w:rsid w:val="48401D93"/>
    <w:rsid w:val="48403989"/>
    <w:rsid w:val="48553DD4"/>
    <w:rsid w:val="485A7D4A"/>
    <w:rsid w:val="48687C1D"/>
    <w:rsid w:val="487E2D6B"/>
    <w:rsid w:val="48800A1F"/>
    <w:rsid w:val="4880278C"/>
    <w:rsid w:val="48857D51"/>
    <w:rsid w:val="48863F4B"/>
    <w:rsid w:val="48891621"/>
    <w:rsid w:val="488C3441"/>
    <w:rsid w:val="48987D54"/>
    <w:rsid w:val="48A473FC"/>
    <w:rsid w:val="48A9559D"/>
    <w:rsid w:val="48B85482"/>
    <w:rsid w:val="48C57597"/>
    <w:rsid w:val="48D800B5"/>
    <w:rsid w:val="48E104C9"/>
    <w:rsid w:val="48E22FEF"/>
    <w:rsid w:val="48E47364"/>
    <w:rsid w:val="48E74F76"/>
    <w:rsid w:val="48E93B16"/>
    <w:rsid w:val="48F14045"/>
    <w:rsid w:val="492551F7"/>
    <w:rsid w:val="492F6DB1"/>
    <w:rsid w:val="493D5476"/>
    <w:rsid w:val="49457057"/>
    <w:rsid w:val="49530D12"/>
    <w:rsid w:val="495C3F8D"/>
    <w:rsid w:val="495D4A05"/>
    <w:rsid w:val="495F2835"/>
    <w:rsid w:val="495F6F24"/>
    <w:rsid w:val="4964029D"/>
    <w:rsid w:val="49640ADE"/>
    <w:rsid w:val="49667B01"/>
    <w:rsid w:val="497967F9"/>
    <w:rsid w:val="4982717A"/>
    <w:rsid w:val="498D5756"/>
    <w:rsid w:val="4992570A"/>
    <w:rsid w:val="499436AC"/>
    <w:rsid w:val="49950D37"/>
    <w:rsid w:val="49B616A7"/>
    <w:rsid w:val="49B6534C"/>
    <w:rsid w:val="49B66313"/>
    <w:rsid w:val="49B775DB"/>
    <w:rsid w:val="49BA489C"/>
    <w:rsid w:val="49BE3101"/>
    <w:rsid w:val="49BF3923"/>
    <w:rsid w:val="49C75EFE"/>
    <w:rsid w:val="49CC28F8"/>
    <w:rsid w:val="49D20E31"/>
    <w:rsid w:val="49D57B4F"/>
    <w:rsid w:val="49D806C6"/>
    <w:rsid w:val="49D8798B"/>
    <w:rsid w:val="49F1099A"/>
    <w:rsid w:val="49F2141F"/>
    <w:rsid w:val="49FE1E0B"/>
    <w:rsid w:val="49FE31CD"/>
    <w:rsid w:val="4A035B02"/>
    <w:rsid w:val="4A206858"/>
    <w:rsid w:val="4A213E24"/>
    <w:rsid w:val="4A2E2F51"/>
    <w:rsid w:val="4A3A38D3"/>
    <w:rsid w:val="4A402FD0"/>
    <w:rsid w:val="4A41551E"/>
    <w:rsid w:val="4A4C55EB"/>
    <w:rsid w:val="4A4F1FDB"/>
    <w:rsid w:val="4A502BAA"/>
    <w:rsid w:val="4A516378"/>
    <w:rsid w:val="4A51659E"/>
    <w:rsid w:val="4A580D57"/>
    <w:rsid w:val="4A5B178E"/>
    <w:rsid w:val="4A6B3875"/>
    <w:rsid w:val="4A6B69B2"/>
    <w:rsid w:val="4A7F5447"/>
    <w:rsid w:val="4A863665"/>
    <w:rsid w:val="4A874342"/>
    <w:rsid w:val="4AA0314A"/>
    <w:rsid w:val="4AA869DE"/>
    <w:rsid w:val="4AB354FB"/>
    <w:rsid w:val="4AB73780"/>
    <w:rsid w:val="4AB92124"/>
    <w:rsid w:val="4AC42EFB"/>
    <w:rsid w:val="4AC47730"/>
    <w:rsid w:val="4AC7307D"/>
    <w:rsid w:val="4AC77D4D"/>
    <w:rsid w:val="4ACD2AD5"/>
    <w:rsid w:val="4ACF74D9"/>
    <w:rsid w:val="4AD6284A"/>
    <w:rsid w:val="4AD83507"/>
    <w:rsid w:val="4ADB436F"/>
    <w:rsid w:val="4AE26049"/>
    <w:rsid w:val="4AEC2D07"/>
    <w:rsid w:val="4AEE016B"/>
    <w:rsid w:val="4AF02706"/>
    <w:rsid w:val="4AF62A9F"/>
    <w:rsid w:val="4AF66705"/>
    <w:rsid w:val="4B063241"/>
    <w:rsid w:val="4B133808"/>
    <w:rsid w:val="4B1F5CFC"/>
    <w:rsid w:val="4B454D78"/>
    <w:rsid w:val="4B527294"/>
    <w:rsid w:val="4B607380"/>
    <w:rsid w:val="4B611FAB"/>
    <w:rsid w:val="4B75555F"/>
    <w:rsid w:val="4B761DC7"/>
    <w:rsid w:val="4B77668F"/>
    <w:rsid w:val="4B7916B8"/>
    <w:rsid w:val="4B7974A9"/>
    <w:rsid w:val="4B7C0694"/>
    <w:rsid w:val="4B804368"/>
    <w:rsid w:val="4B870023"/>
    <w:rsid w:val="4B8F15D0"/>
    <w:rsid w:val="4B9425FA"/>
    <w:rsid w:val="4B954C59"/>
    <w:rsid w:val="4B9575EF"/>
    <w:rsid w:val="4B9653C8"/>
    <w:rsid w:val="4BA33622"/>
    <w:rsid w:val="4BB54A42"/>
    <w:rsid w:val="4BBC58F5"/>
    <w:rsid w:val="4BC1296E"/>
    <w:rsid w:val="4BC8555A"/>
    <w:rsid w:val="4BC96D32"/>
    <w:rsid w:val="4BD112E5"/>
    <w:rsid w:val="4BDB729B"/>
    <w:rsid w:val="4BDC6B6F"/>
    <w:rsid w:val="4BE12B56"/>
    <w:rsid w:val="4BE92DE4"/>
    <w:rsid w:val="4BF53655"/>
    <w:rsid w:val="4BF861F0"/>
    <w:rsid w:val="4BFA0C50"/>
    <w:rsid w:val="4C09243B"/>
    <w:rsid w:val="4C0A22A9"/>
    <w:rsid w:val="4C0E307B"/>
    <w:rsid w:val="4C0F7A7F"/>
    <w:rsid w:val="4C1B4F2D"/>
    <w:rsid w:val="4C1D59C6"/>
    <w:rsid w:val="4C2A67BD"/>
    <w:rsid w:val="4C2E65E7"/>
    <w:rsid w:val="4C390DDD"/>
    <w:rsid w:val="4C463328"/>
    <w:rsid w:val="4C532A99"/>
    <w:rsid w:val="4C650DB8"/>
    <w:rsid w:val="4C69766B"/>
    <w:rsid w:val="4C6E510D"/>
    <w:rsid w:val="4C706D54"/>
    <w:rsid w:val="4C755EAB"/>
    <w:rsid w:val="4C7B3C21"/>
    <w:rsid w:val="4C7C2125"/>
    <w:rsid w:val="4C8260A7"/>
    <w:rsid w:val="4C844D3E"/>
    <w:rsid w:val="4C864CBD"/>
    <w:rsid w:val="4C8A3FBF"/>
    <w:rsid w:val="4C9422E7"/>
    <w:rsid w:val="4C9952B8"/>
    <w:rsid w:val="4C9A7973"/>
    <w:rsid w:val="4CA76EB3"/>
    <w:rsid w:val="4CB83CE6"/>
    <w:rsid w:val="4CB87A06"/>
    <w:rsid w:val="4CDB2DAD"/>
    <w:rsid w:val="4CDC33F9"/>
    <w:rsid w:val="4CDE070A"/>
    <w:rsid w:val="4CDE20F2"/>
    <w:rsid w:val="4CE90458"/>
    <w:rsid w:val="4CEB08ED"/>
    <w:rsid w:val="4CFD5923"/>
    <w:rsid w:val="4D0E74BB"/>
    <w:rsid w:val="4D182890"/>
    <w:rsid w:val="4D345A84"/>
    <w:rsid w:val="4D3E67EC"/>
    <w:rsid w:val="4D417BFE"/>
    <w:rsid w:val="4D6C7AFB"/>
    <w:rsid w:val="4D7E5254"/>
    <w:rsid w:val="4D813250"/>
    <w:rsid w:val="4D872F2B"/>
    <w:rsid w:val="4D9052A4"/>
    <w:rsid w:val="4D9140B1"/>
    <w:rsid w:val="4DAB4B38"/>
    <w:rsid w:val="4DB22AFF"/>
    <w:rsid w:val="4DB575F3"/>
    <w:rsid w:val="4DBA0EF6"/>
    <w:rsid w:val="4DC6253D"/>
    <w:rsid w:val="4DC721A8"/>
    <w:rsid w:val="4DCA4C4E"/>
    <w:rsid w:val="4DD04F17"/>
    <w:rsid w:val="4DDB31CA"/>
    <w:rsid w:val="4DF41535"/>
    <w:rsid w:val="4DF86EA7"/>
    <w:rsid w:val="4DFD6C08"/>
    <w:rsid w:val="4E022DD3"/>
    <w:rsid w:val="4E244891"/>
    <w:rsid w:val="4E3072F7"/>
    <w:rsid w:val="4E3C4E24"/>
    <w:rsid w:val="4E3D21B0"/>
    <w:rsid w:val="4E403391"/>
    <w:rsid w:val="4E4071BC"/>
    <w:rsid w:val="4E42759C"/>
    <w:rsid w:val="4E4910AF"/>
    <w:rsid w:val="4E4E3DF8"/>
    <w:rsid w:val="4E4F3F85"/>
    <w:rsid w:val="4E572D0F"/>
    <w:rsid w:val="4E6B5264"/>
    <w:rsid w:val="4E862371"/>
    <w:rsid w:val="4E8D391E"/>
    <w:rsid w:val="4E915016"/>
    <w:rsid w:val="4E9F05DA"/>
    <w:rsid w:val="4EA33123"/>
    <w:rsid w:val="4EAF0ABB"/>
    <w:rsid w:val="4EB23D5D"/>
    <w:rsid w:val="4EB4100C"/>
    <w:rsid w:val="4EB97374"/>
    <w:rsid w:val="4EC86A81"/>
    <w:rsid w:val="4ECE02B9"/>
    <w:rsid w:val="4ED74BCD"/>
    <w:rsid w:val="4EDC5F63"/>
    <w:rsid w:val="4EDE745F"/>
    <w:rsid w:val="4EE94FAC"/>
    <w:rsid w:val="4EF05BE1"/>
    <w:rsid w:val="4EFA7CE5"/>
    <w:rsid w:val="4EFD5B30"/>
    <w:rsid w:val="4EFD5E68"/>
    <w:rsid w:val="4F01714B"/>
    <w:rsid w:val="4F057132"/>
    <w:rsid w:val="4F06027A"/>
    <w:rsid w:val="4F0B2459"/>
    <w:rsid w:val="4F0D4860"/>
    <w:rsid w:val="4F0E4C60"/>
    <w:rsid w:val="4F123657"/>
    <w:rsid w:val="4F187FC9"/>
    <w:rsid w:val="4F234A28"/>
    <w:rsid w:val="4F2A7C79"/>
    <w:rsid w:val="4F2B7F13"/>
    <w:rsid w:val="4F2C7137"/>
    <w:rsid w:val="4F4803F8"/>
    <w:rsid w:val="4F4B3B40"/>
    <w:rsid w:val="4F556FD6"/>
    <w:rsid w:val="4F5938A1"/>
    <w:rsid w:val="4F601213"/>
    <w:rsid w:val="4F6A14B3"/>
    <w:rsid w:val="4F703B79"/>
    <w:rsid w:val="4F751002"/>
    <w:rsid w:val="4F7514D4"/>
    <w:rsid w:val="4F7637B6"/>
    <w:rsid w:val="4F7E643A"/>
    <w:rsid w:val="4F803AB6"/>
    <w:rsid w:val="4F82785F"/>
    <w:rsid w:val="4F8B23DA"/>
    <w:rsid w:val="4F916DE9"/>
    <w:rsid w:val="4F936751"/>
    <w:rsid w:val="4F9546B8"/>
    <w:rsid w:val="4F991852"/>
    <w:rsid w:val="4F9C2893"/>
    <w:rsid w:val="4F9E2CD2"/>
    <w:rsid w:val="4FA25F48"/>
    <w:rsid w:val="4FA31BC3"/>
    <w:rsid w:val="4FAA066C"/>
    <w:rsid w:val="4FAD2282"/>
    <w:rsid w:val="4FC673C5"/>
    <w:rsid w:val="4FC819A1"/>
    <w:rsid w:val="4FCA77F2"/>
    <w:rsid w:val="4FCB1269"/>
    <w:rsid w:val="4FDC296B"/>
    <w:rsid w:val="4FE57E16"/>
    <w:rsid w:val="4FE75BCD"/>
    <w:rsid w:val="4FFA02C7"/>
    <w:rsid w:val="4FFA661B"/>
    <w:rsid w:val="4FFE1B44"/>
    <w:rsid w:val="4FFF0C55"/>
    <w:rsid w:val="5006303D"/>
    <w:rsid w:val="500851CE"/>
    <w:rsid w:val="500B7A6A"/>
    <w:rsid w:val="500F07EA"/>
    <w:rsid w:val="50105095"/>
    <w:rsid w:val="50196588"/>
    <w:rsid w:val="50245CAD"/>
    <w:rsid w:val="50327978"/>
    <w:rsid w:val="50351F9C"/>
    <w:rsid w:val="50361252"/>
    <w:rsid w:val="504F0E3F"/>
    <w:rsid w:val="50586F56"/>
    <w:rsid w:val="505C7F55"/>
    <w:rsid w:val="505F01F1"/>
    <w:rsid w:val="506611E6"/>
    <w:rsid w:val="50720359"/>
    <w:rsid w:val="5073260F"/>
    <w:rsid w:val="5082218D"/>
    <w:rsid w:val="508535D7"/>
    <w:rsid w:val="50871953"/>
    <w:rsid w:val="508D313C"/>
    <w:rsid w:val="50982CAB"/>
    <w:rsid w:val="50A548CA"/>
    <w:rsid w:val="50A65288"/>
    <w:rsid w:val="50AF012A"/>
    <w:rsid w:val="50B13EDB"/>
    <w:rsid w:val="50B422F0"/>
    <w:rsid w:val="50B6015E"/>
    <w:rsid w:val="50C02C54"/>
    <w:rsid w:val="50C116F1"/>
    <w:rsid w:val="50C35AA0"/>
    <w:rsid w:val="50C57BEA"/>
    <w:rsid w:val="50D514C6"/>
    <w:rsid w:val="50DB6D3B"/>
    <w:rsid w:val="50DD20D9"/>
    <w:rsid w:val="50F80231"/>
    <w:rsid w:val="50FB17BE"/>
    <w:rsid w:val="50FE220A"/>
    <w:rsid w:val="510A68CD"/>
    <w:rsid w:val="510C7BB8"/>
    <w:rsid w:val="51123D7E"/>
    <w:rsid w:val="512605FB"/>
    <w:rsid w:val="51385D77"/>
    <w:rsid w:val="513B7C1C"/>
    <w:rsid w:val="513F5F70"/>
    <w:rsid w:val="51491044"/>
    <w:rsid w:val="514B7DFC"/>
    <w:rsid w:val="514F51CB"/>
    <w:rsid w:val="515E1BD3"/>
    <w:rsid w:val="51651D1E"/>
    <w:rsid w:val="516C09BE"/>
    <w:rsid w:val="516C3337"/>
    <w:rsid w:val="516D34D2"/>
    <w:rsid w:val="51705600"/>
    <w:rsid w:val="51713DBF"/>
    <w:rsid w:val="51734F23"/>
    <w:rsid w:val="51750638"/>
    <w:rsid w:val="51756D86"/>
    <w:rsid w:val="517C5A1D"/>
    <w:rsid w:val="519102A6"/>
    <w:rsid w:val="5191150E"/>
    <w:rsid w:val="519266BB"/>
    <w:rsid w:val="51A34420"/>
    <w:rsid w:val="51AE5D74"/>
    <w:rsid w:val="51B25CA2"/>
    <w:rsid w:val="51BA5D13"/>
    <w:rsid w:val="51BC4A0E"/>
    <w:rsid w:val="51BE10A4"/>
    <w:rsid w:val="51C12E30"/>
    <w:rsid w:val="51C63422"/>
    <w:rsid w:val="51CE788D"/>
    <w:rsid w:val="51E826BB"/>
    <w:rsid w:val="51F73261"/>
    <w:rsid w:val="52340D5A"/>
    <w:rsid w:val="523E75F3"/>
    <w:rsid w:val="524218C8"/>
    <w:rsid w:val="524A5C56"/>
    <w:rsid w:val="524A72EA"/>
    <w:rsid w:val="525842D1"/>
    <w:rsid w:val="52594F6B"/>
    <w:rsid w:val="525B3494"/>
    <w:rsid w:val="52601CD1"/>
    <w:rsid w:val="52671B3E"/>
    <w:rsid w:val="52786200"/>
    <w:rsid w:val="52935D8F"/>
    <w:rsid w:val="52953E93"/>
    <w:rsid w:val="52982422"/>
    <w:rsid w:val="52984BA6"/>
    <w:rsid w:val="529F6F60"/>
    <w:rsid w:val="52A0561E"/>
    <w:rsid w:val="52AA5FDE"/>
    <w:rsid w:val="52AD0172"/>
    <w:rsid w:val="52B61AE1"/>
    <w:rsid w:val="52BA2B85"/>
    <w:rsid w:val="52C30E37"/>
    <w:rsid w:val="52C501FD"/>
    <w:rsid w:val="52C63470"/>
    <w:rsid w:val="52DE618C"/>
    <w:rsid w:val="52E615B2"/>
    <w:rsid w:val="52E936C5"/>
    <w:rsid w:val="52EF4CD1"/>
    <w:rsid w:val="52FB5AD8"/>
    <w:rsid w:val="530B0850"/>
    <w:rsid w:val="53180A3F"/>
    <w:rsid w:val="5326089D"/>
    <w:rsid w:val="533F2A94"/>
    <w:rsid w:val="534201E8"/>
    <w:rsid w:val="536358AB"/>
    <w:rsid w:val="537E65F7"/>
    <w:rsid w:val="538F7072"/>
    <w:rsid w:val="53A56E0C"/>
    <w:rsid w:val="53A8769A"/>
    <w:rsid w:val="53AD7DC1"/>
    <w:rsid w:val="53B01C34"/>
    <w:rsid w:val="53BB062F"/>
    <w:rsid w:val="53BB1B8F"/>
    <w:rsid w:val="53BC0DA1"/>
    <w:rsid w:val="53C35294"/>
    <w:rsid w:val="53C73F37"/>
    <w:rsid w:val="53D87E47"/>
    <w:rsid w:val="53DC69BF"/>
    <w:rsid w:val="53E36DD4"/>
    <w:rsid w:val="53EA7574"/>
    <w:rsid w:val="53EB2992"/>
    <w:rsid w:val="53F142D5"/>
    <w:rsid w:val="53F24122"/>
    <w:rsid w:val="53FC5A65"/>
    <w:rsid w:val="54087257"/>
    <w:rsid w:val="540B4A45"/>
    <w:rsid w:val="5414564A"/>
    <w:rsid w:val="541979E7"/>
    <w:rsid w:val="54230EE9"/>
    <w:rsid w:val="54264BC7"/>
    <w:rsid w:val="542754C5"/>
    <w:rsid w:val="5429172C"/>
    <w:rsid w:val="542B1A2D"/>
    <w:rsid w:val="54384147"/>
    <w:rsid w:val="543D78FD"/>
    <w:rsid w:val="545424AB"/>
    <w:rsid w:val="545B3867"/>
    <w:rsid w:val="54666CB0"/>
    <w:rsid w:val="54694499"/>
    <w:rsid w:val="54885FAB"/>
    <w:rsid w:val="549359C2"/>
    <w:rsid w:val="54935CB5"/>
    <w:rsid w:val="54937417"/>
    <w:rsid w:val="549637E2"/>
    <w:rsid w:val="5499414D"/>
    <w:rsid w:val="549F76C7"/>
    <w:rsid w:val="54A7023F"/>
    <w:rsid w:val="54A72304"/>
    <w:rsid w:val="54B000AD"/>
    <w:rsid w:val="54BB39C4"/>
    <w:rsid w:val="54BC10B9"/>
    <w:rsid w:val="54BD7AC7"/>
    <w:rsid w:val="54BF50CD"/>
    <w:rsid w:val="54C9536D"/>
    <w:rsid w:val="54DE6071"/>
    <w:rsid w:val="54E37C2F"/>
    <w:rsid w:val="54E60026"/>
    <w:rsid w:val="54E747A7"/>
    <w:rsid w:val="55096847"/>
    <w:rsid w:val="5512554E"/>
    <w:rsid w:val="551A3E16"/>
    <w:rsid w:val="55204822"/>
    <w:rsid w:val="553D51B5"/>
    <w:rsid w:val="553D5814"/>
    <w:rsid w:val="55470296"/>
    <w:rsid w:val="55473201"/>
    <w:rsid w:val="554F32A5"/>
    <w:rsid w:val="555B233F"/>
    <w:rsid w:val="55713CC5"/>
    <w:rsid w:val="557621E5"/>
    <w:rsid w:val="557813F4"/>
    <w:rsid w:val="55862F69"/>
    <w:rsid w:val="55951302"/>
    <w:rsid w:val="55981443"/>
    <w:rsid w:val="559A436F"/>
    <w:rsid w:val="55A70A61"/>
    <w:rsid w:val="55B36889"/>
    <w:rsid w:val="55B712D3"/>
    <w:rsid w:val="55D77EC6"/>
    <w:rsid w:val="55D85063"/>
    <w:rsid w:val="55DC286B"/>
    <w:rsid w:val="55DF4A13"/>
    <w:rsid w:val="55F54B2D"/>
    <w:rsid w:val="55F56C0D"/>
    <w:rsid w:val="56072060"/>
    <w:rsid w:val="56072761"/>
    <w:rsid w:val="560F337F"/>
    <w:rsid w:val="561D494D"/>
    <w:rsid w:val="5628119B"/>
    <w:rsid w:val="562D710F"/>
    <w:rsid w:val="563A13F8"/>
    <w:rsid w:val="564622AE"/>
    <w:rsid w:val="564A02E8"/>
    <w:rsid w:val="564F3481"/>
    <w:rsid w:val="564F78B1"/>
    <w:rsid w:val="5652251F"/>
    <w:rsid w:val="565B53D4"/>
    <w:rsid w:val="567E323D"/>
    <w:rsid w:val="5686035B"/>
    <w:rsid w:val="568D756F"/>
    <w:rsid w:val="568D7E16"/>
    <w:rsid w:val="569C07E2"/>
    <w:rsid w:val="56AD4729"/>
    <w:rsid w:val="56B170AA"/>
    <w:rsid w:val="56B8764E"/>
    <w:rsid w:val="56BC259A"/>
    <w:rsid w:val="56BE3A12"/>
    <w:rsid w:val="56C04C93"/>
    <w:rsid w:val="56C127A0"/>
    <w:rsid w:val="56C528F0"/>
    <w:rsid w:val="56D2445F"/>
    <w:rsid w:val="56DB58E6"/>
    <w:rsid w:val="56DE2999"/>
    <w:rsid w:val="56DE7C46"/>
    <w:rsid w:val="56E105A0"/>
    <w:rsid w:val="56F10FEB"/>
    <w:rsid w:val="56F86D23"/>
    <w:rsid w:val="570012DE"/>
    <w:rsid w:val="57032C26"/>
    <w:rsid w:val="57044512"/>
    <w:rsid w:val="570E57C3"/>
    <w:rsid w:val="5711410F"/>
    <w:rsid w:val="5714234C"/>
    <w:rsid w:val="57206338"/>
    <w:rsid w:val="5722047F"/>
    <w:rsid w:val="572F3535"/>
    <w:rsid w:val="573320E9"/>
    <w:rsid w:val="57433429"/>
    <w:rsid w:val="575D1F13"/>
    <w:rsid w:val="575D3DD4"/>
    <w:rsid w:val="575E3E05"/>
    <w:rsid w:val="576C401A"/>
    <w:rsid w:val="576D2CCF"/>
    <w:rsid w:val="577379E2"/>
    <w:rsid w:val="577A7DAA"/>
    <w:rsid w:val="578E2EFD"/>
    <w:rsid w:val="579C2EC2"/>
    <w:rsid w:val="57A45EE8"/>
    <w:rsid w:val="57A81AD7"/>
    <w:rsid w:val="57AF2C17"/>
    <w:rsid w:val="57B31619"/>
    <w:rsid w:val="57BA6405"/>
    <w:rsid w:val="57C17D3E"/>
    <w:rsid w:val="57C65FDA"/>
    <w:rsid w:val="57C82FCE"/>
    <w:rsid w:val="57D12D65"/>
    <w:rsid w:val="57DD7988"/>
    <w:rsid w:val="57DF28DE"/>
    <w:rsid w:val="57E43F62"/>
    <w:rsid w:val="57E653B7"/>
    <w:rsid w:val="57F07104"/>
    <w:rsid w:val="57FF17F3"/>
    <w:rsid w:val="58021B38"/>
    <w:rsid w:val="581103DC"/>
    <w:rsid w:val="58116771"/>
    <w:rsid w:val="58126ACC"/>
    <w:rsid w:val="58131C56"/>
    <w:rsid w:val="58205427"/>
    <w:rsid w:val="58294200"/>
    <w:rsid w:val="58391C32"/>
    <w:rsid w:val="583D7A1E"/>
    <w:rsid w:val="5843004D"/>
    <w:rsid w:val="5843029E"/>
    <w:rsid w:val="584D702A"/>
    <w:rsid w:val="585D270E"/>
    <w:rsid w:val="58681B10"/>
    <w:rsid w:val="586B2E23"/>
    <w:rsid w:val="586D4730"/>
    <w:rsid w:val="587845A9"/>
    <w:rsid w:val="58815760"/>
    <w:rsid w:val="58992EB6"/>
    <w:rsid w:val="58B86397"/>
    <w:rsid w:val="58C90CE8"/>
    <w:rsid w:val="58CC1307"/>
    <w:rsid w:val="58CD357F"/>
    <w:rsid w:val="58D57106"/>
    <w:rsid w:val="58E41672"/>
    <w:rsid w:val="58F53DC4"/>
    <w:rsid w:val="58F8282E"/>
    <w:rsid w:val="590C6B3F"/>
    <w:rsid w:val="591345F1"/>
    <w:rsid w:val="591515A2"/>
    <w:rsid w:val="59151BA6"/>
    <w:rsid w:val="59294788"/>
    <w:rsid w:val="592F75C3"/>
    <w:rsid w:val="59303CE7"/>
    <w:rsid w:val="59312326"/>
    <w:rsid w:val="593F41A1"/>
    <w:rsid w:val="594702F1"/>
    <w:rsid w:val="5947336F"/>
    <w:rsid w:val="5948449C"/>
    <w:rsid w:val="59517E58"/>
    <w:rsid w:val="596437C2"/>
    <w:rsid w:val="59654807"/>
    <w:rsid w:val="5966362C"/>
    <w:rsid w:val="596734AD"/>
    <w:rsid w:val="596C2D43"/>
    <w:rsid w:val="596D067D"/>
    <w:rsid w:val="596E49E6"/>
    <w:rsid w:val="59773725"/>
    <w:rsid w:val="597A0AFF"/>
    <w:rsid w:val="5981641E"/>
    <w:rsid w:val="599739F1"/>
    <w:rsid w:val="599E4658"/>
    <w:rsid w:val="59AA1DAE"/>
    <w:rsid w:val="59B05171"/>
    <w:rsid w:val="59B22BF6"/>
    <w:rsid w:val="59B87BD8"/>
    <w:rsid w:val="59B96B45"/>
    <w:rsid w:val="59FB15CD"/>
    <w:rsid w:val="59FC323D"/>
    <w:rsid w:val="5A087065"/>
    <w:rsid w:val="5A0E2ECB"/>
    <w:rsid w:val="5A274D93"/>
    <w:rsid w:val="5A432AA8"/>
    <w:rsid w:val="5A583C27"/>
    <w:rsid w:val="5A586610"/>
    <w:rsid w:val="5A5D580C"/>
    <w:rsid w:val="5A676681"/>
    <w:rsid w:val="5A7E556E"/>
    <w:rsid w:val="5A8F3F61"/>
    <w:rsid w:val="5AB529FE"/>
    <w:rsid w:val="5AC84802"/>
    <w:rsid w:val="5ACA7084"/>
    <w:rsid w:val="5ACD358D"/>
    <w:rsid w:val="5AD42195"/>
    <w:rsid w:val="5AE27E29"/>
    <w:rsid w:val="5AE31704"/>
    <w:rsid w:val="5AE812D0"/>
    <w:rsid w:val="5B075961"/>
    <w:rsid w:val="5B154271"/>
    <w:rsid w:val="5B2815D5"/>
    <w:rsid w:val="5B34713F"/>
    <w:rsid w:val="5B41171A"/>
    <w:rsid w:val="5B4D4FC5"/>
    <w:rsid w:val="5B4F4E54"/>
    <w:rsid w:val="5B555777"/>
    <w:rsid w:val="5B584030"/>
    <w:rsid w:val="5B5E5316"/>
    <w:rsid w:val="5B774190"/>
    <w:rsid w:val="5B80352B"/>
    <w:rsid w:val="5B942C07"/>
    <w:rsid w:val="5BA967BC"/>
    <w:rsid w:val="5BB46942"/>
    <w:rsid w:val="5BC43CC1"/>
    <w:rsid w:val="5BC60365"/>
    <w:rsid w:val="5BD007B0"/>
    <w:rsid w:val="5BD12F56"/>
    <w:rsid w:val="5BD36D79"/>
    <w:rsid w:val="5BDA18C3"/>
    <w:rsid w:val="5BDA4AC1"/>
    <w:rsid w:val="5BE82416"/>
    <w:rsid w:val="5BF01373"/>
    <w:rsid w:val="5BF13C44"/>
    <w:rsid w:val="5BFA1DC4"/>
    <w:rsid w:val="5BFE032A"/>
    <w:rsid w:val="5BFE585A"/>
    <w:rsid w:val="5BFF075A"/>
    <w:rsid w:val="5C0079C2"/>
    <w:rsid w:val="5C007ADB"/>
    <w:rsid w:val="5C093E03"/>
    <w:rsid w:val="5C165D4E"/>
    <w:rsid w:val="5C17056F"/>
    <w:rsid w:val="5C1B3E85"/>
    <w:rsid w:val="5C1D4F1A"/>
    <w:rsid w:val="5C283A38"/>
    <w:rsid w:val="5C2E6B2D"/>
    <w:rsid w:val="5C2E7EF8"/>
    <w:rsid w:val="5C315499"/>
    <w:rsid w:val="5C3271DD"/>
    <w:rsid w:val="5C3A14AA"/>
    <w:rsid w:val="5C48453A"/>
    <w:rsid w:val="5C4B293F"/>
    <w:rsid w:val="5C4F286F"/>
    <w:rsid w:val="5C543357"/>
    <w:rsid w:val="5C58138D"/>
    <w:rsid w:val="5C5A53A8"/>
    <w:rsid w:val="5C653E78"/>
    <w:rsid w:val="5C6A5261"/>
    <w:rsid w:val="5C7713D0"/>
    <w:rsid w:val="5C786A18"/>
    <w:rsid w:val="5C7D36AD"/>
    <w:rsid w:val="5C8219A1"/>
    <w:rsid w:val="5C85387F"/>
    <w:rsid w:val="5C8E55C1"/>
    <w:rsid w:val="5C936391"/>
    <w:rsid w:val="5C95034C"/>
    <w:rsid w:val="5C9D3A75"/>
    <w:rsid w:val="5C9F0B30"/>
    <w:rsid w:val="5CB04CD5"/>
    <w:rsid w:val="5CB75CB2"/>
    <w:rsid w:val="5CC33C53"/>
    <w:rsid w:val="5CD175EE"/>
    <w:rsid w:val="5CD47B12"/>
    <w:rsid w:val="5CD714B5"/>
    <w:rsid w:val="5CE33D09"/>
    <w:rsid w:val="5CFE7D35"/>
    <w:rsid w:val="5D0368C5"/>
    <w:rsid w:val="5D115160"/>
    <w:rsid w:val="5D184F89"/>
    <w:rsid w:val="5D185190"/>
    <w:rsid w:val="5D23166A"/>
    <w:rsid w:val="5D237E8F"/>
    <w:rsid w:val="5D260ADF"/>
    <w:rsid w:val="5D2F3266"/>
    <w:rsid w:val="5D343F25"/>
    <w:rsid w:val="5D4806FF"/>
    <w:rsid w:val="5D5061F6"/>
    <w:rsid w:val="5D5069F7"/>
    <w:rsid w:val="5D5156BD"/>
    <w:rsid w:val="5D520665"/>
    <w:rsid w:val="5D5E01BF"/>
    <w:rsid w:val="5D680C12"/>
    <w:rsid w:val="5D7F0FAC"/>
    <w:rsid w:val="5D8C47B3"/>
    <w:rsid w:val="5D9914D2"/>
    <w:rsid w:val="5DA21E30"/>
    <w:rsid w:val="5DA23CAB"/>
    <w:rsid w:val="5DA253F8"/>
    <w:rsid w:val="5DB75B83"/>
    <w:rsid w:val="5DC76E2A"/>
    <w:rsid w:val="5DC907C0"/>
    <w:rsid w:val="5DC96B96"/>
    <w:rsid w:val="5DCB0FA5"/>
    <w:rsid w:val="5DD009D2"/>
    <w:rsid w:val="5DDA225D"/>
    <w:rsid w:val="5DDA7364"/>
    <w:rsid w:val="5DDC7978"/>
    <w:rsid w:val="5DF054DB"/>
    <w:rsid w:val="5DF32CF7"/>
    <w:rsid w:val="5E0054CF"/>
    <w:rsid w:val="5E167F3A"/>
    <w:rsid w:val="5E187C73"/>
    <w:rsid w:val="5E277F41"/>
    <w:rsid w:val="5E29604B"/>
    <w:rsid w:val="5E303106"/>
    <w:rsid w:val="5E3B6888"/>
    <w:rsid w:val="5E525E5A"/>
    <w:rsid w:val="5E543AC4"/>
    <w:rsid w:val="5E591493"/>
    <w:rsid w:val="5E615952"/>
    <w:rsid w:val="5E6508ED"/>
    <w:rsid w:val="5E707853"/>
    <w:rsid w:val="5E7A77E4"/>
    <w:rsid w:val="5E7B02C2"/>
    <w:rsid w:val="5E8F3712"/>
    <w:rsid w:val="5E953583"/>
    <w:rsid w:val="5EA3336E"/>
    <w:rsid w:val="5EA67652"/>
    <w:rsid w:val="5EB14126"/>
    <w:rsid w:val="5ECA7FB6"/>
    <w:rsid w:val="5ECD0D4D"/>
    <w:rsid w:val="5ED01FAF"/>
    <w:rsid w:val="5ED332E7"/>
    <w:rsid w:val="5ED35D72"/>
    <w:rsid w:val="5ED73078"/>
    <w:rsid w:val="5EDB3860"/>
    <w:rsid w:val="5EF26440"/>
    <w:rsid w:val="5EF278EF"/>
    <w:rsid w:val="5F0568A2"/>
    <w:rsid w:val="5F0B08A4"/>
    <w:rsid w:val="5F180736"/>
    <w:rsid w:val="5F1A2141"/>
    <w:rsid w:val="5F1B70F7"/>
    <w:rsid w:val="5F3436D5"/>
    <w:rsid w:val="5F346ADE"/>
    <w:rsid w:val="5F3568F9"/>
    <w:rsid w:val="5F3F79F9"/>
    <w:rsid w:val="5F457774"/>
    <w:rsid w:val="5F4F06AB"/>
    <w:rsid w:val="5F4F5D86"/>
    <w:rsid w:val="5F645FFF"/>
    <w:rsid w:val="5F7C39F9"/>
    <w:rsid w:val="5F8759D2"/>
    <w:rsid w:val="5F99648B"/>
    <w:rsid w:val="5F9E0548"/>
    <w:rsid w:val="5FA0488E"/>
    <w:rsid w:val="5FB25190"/>
    <w:rsid w:val="5FB27AC1"/>
    <w:rsid w:val="5FB3522F"/>
    <w:rsid w:val="5FC264F2"/>
    <w:rsid w:val="5FC8042A"/>
    <w:rsid w:val="5FCB3DA0"/>
    <w:rsid w:val="5FCD3B23"/>
    <w:rsid w:val="5FCE29C3"/>
    <w:rsid w:val="5FD8195A"/>
    <w:rsid w:val="5FDD61F1"/>
    <w:rsid w:val="5FDF4774"/>
    <w:rsid w:val="5FF31B89"/>
    <w:rsid w:val="5FFC7B7F"/>
    <w:rsid w:val="600900D8"/>
    <w:rsid w:val="600F479A"/>
    <w:rsid w:val="601936F8"/>
    <w:rsid w:val="601F37CD"/>
    <w:rsid w:val="60235E44"/>
    <w:rsid w:val="60251915"/>
    <w:rsid w:val="6026315F"/>
    <w:rsid w:val="602B6F35"/>
    <w:rsid w:val="603C7F27"/>
    <w:rsid w:val="60407F38"/>
    <w:rsid w:val="604603AF"/>
    <w:rsid w:val="604716B6"/>
    <w:rsid w:val="604F7A20"/>
    <w:rsid w:val="60576639"/>
    <w:rsid w:val="60694FB7"/>
    <w:rsid w:val="6072233A"/>
    <w:rsid w:val="607701C3"/>
    <w:rsid w:val="6086076E"/>
    <w:rsid w:val="608E5F49"/>
    <w:rsid w:val="60A512DE"/>
    <w:rsid w:val="60B52FD4"/>
    <w:rsid w:val="60B54A6D"/>
    <w:rsid w:val="60BE270E"/>
    <w:rsid w:val="60C06F4A"/>
    <w:rsid w:val="60C50F38"/>
    <w:rsid w:val="60CE7625"/>
    <w:rsid w:val="60D93DB5"/>
    <w:rsid w:val="60DA453A"/>
    <w:rsid w:val="60EA6849"/>
    <w:rsid w:val="60ED2867"/>
    <w:rsid w:val="60FA5E1A"/>
    <w:rsid w:val="61007157"/>
    <w:rsid w:val="61010B85"/>
    <w:rsid w:val="610372BE"/>
    <w:rsid w:val="61090B1F"/>
    <w:rsid w:val="611C489A"/>
    <w:rsid w:val="611F7B74"/>
    <w:rsid w:val="61242413"/>
    <w:rsid w:val="61281D9B"/>
    <w:rsid w:val="612E338B"/>
    <w:rsid w:val="612F290F"/>
    <w:rsid w:val="612F63CE"/>
    <w:rsid w:val="613740E8"/>
    <w:rsid w:val="61390A71"/>
    <w:rsid w:val="615430D3"/>
    <w:rsid w:val="61581B1D"/>
    <w:rsid w:val="61757055"/>
    <w:rsid w:val="617E03A4"/>
    <w:rsid w:val="61895119"/>
    <w:rsid w:val="619B49BB"/>
    <w:rsid w:val="61C41DC9"/>
    <w:rsid w:val="61E13325"/>
    <w:rsid w:val="61E5482F"/>
    <w:rsid w:val="61EE2FA6"/>
    <w:rsid w:val="61EE6BC3"/>
    <w:rsid w:val="61EF7C57"/>
    <w:rsid w:val="620A29CB"/>
    <w:rsid w:val="620A564A"/>
    <w:rsid w:val="62174DEE"/>
    <w:rsid w:val="622867B1"/>
    <w:rsid w:val="62301A08"/>
    <w:rsid w:val="6234166F"/>
    <w:rsid w:val="62373737"/>
    <w:rsid w:val="623E37F9"/>
    <w:rsid w:val="6242109F"/>
    <w:rsid w:val="6244648F"/>
    <w:rsid w:val="6251444A"/>
    <w:rsid w:val="626A5AC2"/>
    <w:rsid w:val="62730A76"/>
    <w:rsid w:val="628115F6"/>
    <w:rsid w:val="62827234"/>
    <w:rsid w:val="62855C8A"/>
    <w:rsid w:val="628A5269"/>
    <w:rsid w:val="628E323E"/>
    <w:rsid w:val="62907F15"/>
    <w:rsid w:val="629B0B65"/>
    <w:rsid w:val="629E2D14"/>
    <w:rsid w:val="62A35BBD"/>
    <w:rsid w:val="62AF6332"/>
    <w:rsid w:val="62B3216A"/>
    <w:rsid w:val="62B92049"/>
    <w:rsid w:val="62CB0221"/>
    <w:rsid w:val="62CC3C85"/>
    <w:rsid w:val="62F87E5A"/>
    <w:rsid w:val="62FB0AC7"/>
    <w:rsid w:val="63006979"/>
    <w:rsid w:val="63021AD8"/>
    <w:rsid w:val="631728B7"/>
    <w:rsid w:val="633034C7"/>
    <w:rsid w:val="633301E0"/>
    <w:rsid w:val="633A7913"/>
    <w:rsid w:val="633C2130"/>
    <w:rsid w:val="633C39DB"/>
    <w:rsid w:val="63424B75"/>
    <w:rsid w:val="63432427"/>
    <w:rsid w:val="63495B2F"/>
    <w:rsid w:val="63646254"/>
    <w:rsid w:val="6368675C"/>
    <w:rsid w:val="636B312E"/>
    <w:rsid w:val="637C4411"/>
    <w:rsid w:val="63840E96"/>
    <w:rsid w:val="63866D59"/>
    <w:rsid w:val="638707AC"/>
    <w:rsid w:val="6393508F"/>
    <w:rsid w:val="63A42C82"/>
    <w:rsid w:val="63A50517"/>
    <w:rsid w:val="63B86413"/>
    <w:rsid w:val="63C14438"/>
    <w:rsid w:val="63C86542"/>
    <w:rsid w:val="63DE2D2A"/>
    <w:rsid w:val="63F61F9A"/>
    <w:rsid w:val="64017A1D"/>
    <w:rsid w:val="640737A6"/>
    <w:rsid w:val="6414734D"/>
    <w:rsid w:val="64187113"/>
    <w:rsid w:val="64193B3A"/>
    <w:rsid w:val="642D7C9C"/>
    <w:rsid w:val="64333C5C"/>
    <w:rsid w:val="643A7448"/>
    <w:rsid w:val="64512695"/>
    <w:rsid w:val="646223B4"/>
    <w:rsid w:val="646D0B6E"/>
    <w:rsid w:val="6480798E"/>
    <w:rsid w:val="64881637"/>
    <w:rsid w:val="64936697"/>
    <w:rsid w:val="64977932"/>
    <w:rsid w:val="649C3585"/>
    <w:rsid w:val="64A76770"/>
    <w:rsid w:val="64AD198D"/>
    <w:rsid w:val="64B46FEA"/>
    <w:rsid w:val="64B57944"/>
    <w:rsid w:val="64BE79BE"/>
    <w:rsid w:val="64C450E4"/>
    <w:rsid w:val="64C9758C"/>
    <w:rsid w:val="64E53660"/>
    <w:rsid w:val="64E726B3"/>
    <w:rsid w:val="64E85EB1"/>
    <w:rsid w:val="64E92B6A"/>
    <w:rsid w:val="64F07332"/>
    <w:rsid w:val="65142755"/>
    <w:rsid w:val="651B7330"/>
    <w:rsid w:val="652B7ED5"/>
    <w:rsid w:val="652C1F04"/>
    <w:rsid w:val="652C5A7D"/>
    <w:rsid w:val="65442A9B"/>
    <w:rsid w:val="65444AB5"/>
    <w:rsid w:val="65457CD9"/>
    <w:rsid w:val="655D3B24"/>
    <w:rsid w:val="65623811"/>
    <w:rsid w:val="657126AB"/>
    <w:rsid w:val="657C5A95"/>
    <w:rsid w:val="657C5D52"/>
    <w:rsid w:val="658F0B1D"/>
    <w:rsid w:val="658F7EF5"/>
    <w:rsid w:val="65BF12B3"/>
    <w:rsid w:val="65CA33B0"/>
    <w:rsid w:val="65D82E4E"/>
    <w:rsid w:val="65DB5812"/>
    <w:rsid w:val="65DC6026"/>
    <w:rsid w:val="65EC1178"/>
    <w:rsid w:val="65ED6391"/>
    <w:rsid w:val="65F440EF"/>
    <w:rsid w:val="65F96239"/>
    <w:rsid w:val="65FF0B32"/>
    <w:rsid w:val="66033CB5"/>
    <w:rsid w:val="66045B5A"/>
    <w:rsid w:val="660767D3"/>
    <w:rsid w:val="660D04E6"/>
    <w:rsid w:val="662242CD"/>
    <w:rsid w:val="66265D21"/>
    <w:rsid w:val="662C5470"/>
    <w:rsid w:val="6632459D"/>
    <w:rsid w:val="66333121"/>
    <w:rsid w:val="6634518D"/>
    <w:rsid w:val="663A0760"/>
    <w:rsid w:val="66423AD6"/>
    <w:rsid w:val="664F13F3"/>
    <w:rsid w:val="664F4C7B"/>
    <w:rsid w:val="664F719A"/>
    <w:rsid w:val="665014A0"/>
    <w:rsid w:val="66534B3B"/>
    <w:rsid w:val="66577444"/>
    <w:rsid w:val="665E067C"/>
    <w:rsid w:val="666462B8"/>
    <w:rsid w:val="666A1981"/>
    <w:rsid w:val="666A5C35"/>
    <w:rsid w:val="666E53D5"/>
    <w:rsid w:val="66745EBB"/>
    <w:rsid w:val="66762532"/>
    <w:rsid w:val="667F27E2"/>
    <w:rsid w:val="669C2A57"/>
    <w:rsid w:val="66A601A6"/>
    <w:rsid w:val="66AB1BC3"/>
    <w:rsid w:val="66AB529E"/>
    <w:rsid w:val="66AE367C"/>
    <w:rsid w:val="66AF1F67"/>
    <w:rsid w:val="66B95D26"/>
    <w:rsid w:val="66BD5532"/>
    <w:rsid w:val="66CC21D6"/>
    <w:rsid w:val="66D22E2E"/>
    <w:rsid w:val="66DA4B15"/>
    <w:rsid w:val="66E4762B"/>
    <w:rsid w:val="66FB355A"/>
    <w:rsid w:val="670B2B95"/>
    <w:rsid w:val="670E6E11"/>
    <w:rsid w:val="670F59FD"/>
    <w:rsid w:val="67154361"/>
    <w:rsid w:val="671C7F5B"/>
    <w:rsid w:val="671E167F"/>
    <w:rsid w:val="67211076"/>
    <w:rsid w:val="67220CC4"/>
    <w:rsid w:val="67241A54"/>
    <w:rsid w:val="67257E50"/>
    <w:rsid w:val="67296AB5"/>
    <w:rsid w:val="673D48D7"/>
    <w:rsid w:val="67494524"/>
    <w:rsid w:val="67516AC6"/>
    <w:rsid w:val="67567823"/>
    <w:rsid w:val="67574DE7"/>
    <w:rsid w:val="67635412"/>
    <w:rsid w:val="6763795D"/>
    <w:rsid w:val="676E7506"/>
    <w:rsid w:val="676F337D"/>
    <w:rsid w:val="677177A0"/>
    <w:rsid w:val="67781D56"/>
    <w:rsid w:val="67802B90"/>
    <w:rsid w:val="67810FE4"/>
    <w:rsid w:val="679C1110"/>
    <w:rsid w:val="679C1EF0"/>
    <w:rsid w:val="679F7363"/>
    <w:rsid w:val="67B73969"/>
    <w:rsid w:val="67BA076F"/>
    <w:rsid w:val="67BB6FBA"/>
    <w:rsid w:val="67CC615D"/>
    <w:rsid w:val="67D63DF7"/>
    <w:rsid w:val="67DF279F"/>
    <w:rsid w:val="67DF64A7"/>
    <w:rsid w:val="67E92298"/>
    <w:rsid w:val="67F00091"/>
    <w:rsid w:val="67F55583"/>
    <w:rsid w:val="67FE0DC9"/>
    <w:rsid w:val="6800117B"/>
    <w:rsid w:val="6804537B"/>
    <w:rsid w:val="68102BC6"/>
    <w:rsid w:val="68276DFA"/>
    <w:rsid w:val="6831080F"/>
    <w:rsid w:val="683238CC"/>
    <w:rsid w:val="683628D7"/>
    <w:rsid w:val="68416DD7"/>
    <w:rsid w:val="68432587"/>
    <w:rsid w:val="684423D2"/>
    <w:rsid w:val="6846230A"/>
    <w:rsid w:val="684B07F9"/>
    <w:rsid w:val="68583D55"/>
    <w:rsid w:val="685B0050"/>
    <w:rsid w:val="6863145A"/>
    <w:rsid w:val="686A5830"/>
    <w:rsid w:val="68707CAE"/>
    <w:rsid w:val="687B06A7"/>
    <w:rsid w:val="688A6F44"/>
    <w:rsid w:val="689233ED"/>
    <w:rsid w:val="68A0198F"/>
    <w:rsid w:val="68A44822"/>
    <w:rsid w:val="68AE42BA"/>
    <w:rsid w:val="68B21EB3"/>
    <w:rsid w:val="68B31665"/>
    <w:rsid w:val="68B63203"/>
    <w:rsid w:val="68BD081E"/>
    <w:rsid w:val="68BF377F"/>
    <w:rsid w:val="68C243EF"/>
    <w:rsid w:val="68C33D1B"/>
    <w:rsid w:val="68C40CDB"/>
    <w:rsid w:val="68C949C3"/>
    <w:rsid w:val="68CC6CE3"/>
    <w:rsid w:val="68D67307"/>
    <w:rsid w:val="68E86B4E"/>
    <w:rsid w:val="68E92E9D"/>
    <w:rsid w:val="68F02238"/>
    <w:rsid w:val="68F309C7"/>
    <w:rsid w:val="68FB42BE"/>
    <w:rsid w:val="68FC4A5A"/>
    <w:rsid w:val="690E70B0"/>
    <w:rsid w:val="69184D82"/>
    <w:rsid w:val="691D18A3"/>
    <w:rsid w:val="69276BBC"/>
    <w:rsid w:val="69290632"/>
    <w:rsid w:val="693A5592"/>
    <w:rsid w:val="69484572"/>
    <w:rsid w:val="694E3F32"/>
    <w:rsid w:val="69533390"/>
    <w:rsid w:val="6953718E"/>
    <w:rsid w:val="69561D9D"/>
    <w:rsid w:val="695C7018"/>
    <w:rsid w:val="696D120B"/>
    <w:rsid w:val="696D3D86"/>
    <w:rsid w:val="696D6216"/>
    <w:rsid w:val="69702873"/>
    <w:rsid w:val="697500E3"/>
    <w:rsid w:val="69756879"/>
    <w:rsid w:val="698564CE"/>
    <w:rsid w:val="698964A9"/>
    <w:rsid w:val="69923213"/>
    <w:rsid w:val="699C43A1"/>
    <w:rsid w:val="69B5751F"/>
    <w:rsid w:val="69B83949"/>
    <w:rsid w:val="69BD732B"/>
    <w:rsid w:val="69C85890"/>
    <w:rsid w:val="69CD2BF1"/>
    <w:rsid w:val="69DA5662"/>
    <w:rsid w:val="69E44306"/>
    <w:rsid w:val="69E93FA9"/>
    <w:rsid w:val="69EC582F"/>
    <w:rsid w:val="69F35F59"/>
    <w:rsid w:val="69F56887"/>
    <w:rsid w:val="6A0767B4"/>
    <w:rsid w:val="6A286FCE"/>
    <w:rsid w:val="6A32695D"/>
    <w:rsid w:val="6A3279F3"/>
    <w:rsid w:val="6A343BCD"/>
    <w:rsid w:val="6A395123"/>
    <w:rsid w:val="6A3B0CBB"/>
    <w:rsid w:val="6A46533A"/>
    <w:rsid w:val="6A4C1613"/>
    <w:rsid w:val="6A6500C9"/>
    <w:rsid w:val="6A6F758B"/>
    <w:rsid w:val="6A740698"/>
    <w:rsid w:val="6A776A09"/>
    <w:rsid w:val="6A8C48D3"/>
    <w:rsid w:val="6A922B6C"/>
    <w:rsid w:val="6AAA7F99"/>
    <w:rsid w:val="6AAC4FC1"/>
    <w:rsid w:val="6AAD7342"/>
    <w:rsid w:val="6AB22B1A"/>
    <w:rsid w:val="6AB76906"/>
    <w:rsid w:val="6ABC2872"/>
    <w:rsid w:val="6AC42DD7"/>
    <w:rsid w:val="6ACB2E4E"/>
    <w:rsid w:val="6ADA64BE"/>
    <w:rsid w:val="6AE832C1"/>
    <w:rsid w:val="6AED7F1E"/>
    <w:rsid w:val="6AF1256E"/>
    <w:rsid w:val="6B002E2C"/>
    <w:rsid w:val="6B013910"/>
    <w:rsid w:val="6B0E043C"/>
    <w:rsid w:val="6B146519"/>
    <w:rsid w:val="6B1626C9"/>
    <w:rsid w:val="6B260BB8"/>
    <w:rsid w:val="6B2C5808"/>
    <w:rsid w:val="6B321631"/>
    <w:rsid w:val="6B36486F"/>
    <w:rsid w:val="6B3B0085"/>
    <w:rsid w:val="6B413AAD"/>
    <w:rsid w:val="6B422CC5"/>
    <w:rsid w:val="6B447810"/>
    <w:rsid w:val="6B580B5C"/>
    <w:rsid w:val="6B597B5E"/>
    <w:rsid w:val="6B611F60"/>
    <w:rsid w:val="6B6E4520"/>
    <w:rsid w:val="6B6E6A17"/>
    <w:rsid w:val="6B72192C"/>
    <w:rsid w:val="6B7255A0"/>
    <w:rsid w:val="6B736CE2"/>
    <w:rsid w:val="6B786F7B"/>
    <w:rsid w:val="6B82622F"/>
    <w:rsid w:val="6B883320"/>
    <w:rsid w:val="6B8E4EB1"/>
    <w:rsid w:val="6B9A4D56"/>
    <w:rsid w:val="6B9A5FE7"/>
    <w:rsid w:val="6B9B1115"/>
    <w:rsid w:val="6BA21FB4"/>
    <w:rsid w:val="6BA678D5"/>
    <w:rsid w:val="6BA855A7"/>
    <w:rsid w:val="6BAF0CD7"/>
    <w:rsid w:val="6BC94F48"/>
    <w:rsid w:val="6BCF1404"/>
    <w:rsid w:val="6BD75F20"/>
    <w:rsid w:val="6BD77486"/>
    <w:rsid w:val="6BE31FFD"/>
    <w:rsid w:val="6C0610C3"/>
    <w:rsid w:val="6C0C2067"/>
    <w:rsid w:val="6C115E38"/>
    <w:rsid w:val="6C1246F5"/>
    <w:rsid w:val="6C151292"/>
    <w:rsid w:val="6C155FD9"/>
    <w:rsid w:val="6C330D01"/>
    <w:rsid w:val="6C412BF7"/>
    <w:rsid w:val="6C5720CA"/>
    <w:rsid w:val="6C5D6116"/>
    <w:rsid w:val="6C5F3CB5"/>
    <w:rsid w:val="6C85527C"/>
    <w:rsid w:val="6C92345F"/>
    <w:rsid w:val="6C9318F8"/>
    <w:rsid w:val="6C9624A6"/>
    <w:rsid w:val="6C994559"/>
    <w:rsid w:val="6C9B31B5"/>
    <w:rsid w:val="6CA33D24"/>
    <w:rsid w:val="6CB32B41"/>
    <w:rsid w:val="6CB43CF6"/>
    <w:rsid w:val="6CC16C42"/>
    <w:rsid w:val="6CCE37E8"/>
    <w:rsid w:val="6CD34C83"/>
    <w:rsid w:val="6CDB1D15"/>
    <w:rsid w:val="6CDF5FDD"/>
    <w:rsid w:val="6CE3126A"/>
    <w:rsid w:val="6CF626FB"/>
    <w:rsid w:val="6CF9537B"/>
    <w:rsid w:val="6CF96DEE"/>
    <w:rsid w:val="6CFE1AA3"/>
    <w:rsid w:val="6CFE5250"/>
    <w:rsid w:val="6D032997"/>
    <w:rsid w:val="6D0736DF"/>
    <w:rsid w:val="6D0B0415"/>
    <w:rsid w:val="6D165683"/>
    <w:rsid w:val="6D1B4948"/>
    <w:rsid w:val="6D1E7C11"/>
    <w:rsid w:val="6D2D1720"/>
    <w:rsid w:val="6D30127E"/>
    <w:rsid w:val="6D3139C2"/>
    <w:rsid w:val="6D44187D"/>
    <w:rsid w:val="6D4A213A"/>
    <w:rsid w:val="6D4A795C"/>
    <w:rsid w:val="6D850468"/>
    <w:rsid w:val="6D8C5028"/>
    <w:rsid w:val="6DA16104"/>
    <w:rsid w:val="6DA24C7A"/>
    <w:rsid w:val="6DAE621E"/>
    <w:rsid w:val="6DB338AA"/>
    <w:rsid w:val="6DBC7164"/>
    <w:rsid w:val="6DBE0A33"/>
    <w:rsid w:val="6DC7105A"/>
    <w:rsid w:val="6DD03501"/>
    <w:rsid w:val="6DD81CA1"/>
    <w:rsid w:val="6DE539A7"/>
    <w:rsid w:val="6DF6506B"/>
    <w:rsid w:val="6DF94875"/>
    <w:rsid w:val="6E076DA5"/>
    <w:rsid w:val="6E0777F3"/>
    <w:rsid w:val="6E19729C"/>
    <w:rsid w:val="6E230A1A"/>
    <w:rsid w:val="6E247BD7"/>
    <w:rsid w:val="6E2837AA"/>
    <w:rsid w:val="6E2A370D"/>
    <w:rsid w:val="6E331D84"/>
    <w:rsid w:val="6E3F5DA8"/>
    <w:rsid w:val="6E546332"/>
    <w:rsid w:val="6E561BE2"/>
    <w:rsid w:val="6E562F96"/>
    <w:rsid w:val="6E6442AA"/>
    <w:rsid w:val="6E746822"/>
    <w:rsid w:val="6E755127"/>
    <w:rsid w:val="6E857065"/>
    <w:rsid w:val="6E8D02D5"/>
    <w:rsid w:val="6E8D5084"/>
    <w:rsid w:val="6E932AF0"/>
    <w:rsid w:val="6E97511A"/>
    <w:rsid w:val="6EB2521B"/>
    <w:rsid w:val="6EB80D3B"/>
    <w:rsid w:val="6EBB28DC"/>
    <w:rsid w:val="6ECE6C1A"/>
    <w:rsid w:val="6ED1291B"/>
    <w:rsid w:val="6ED973A0"/>
    <w:rsid w:val="6EDC4CD5"/>
    <w:rsid w:val="6EDF1BF6"/>
    <w:rsid w:val="6EE34301"/>
    <w:rsid w:val="6EEF6FCD"/>
    <w:rsid w:val="6EF93829"/>
    <w:rsid w:val="6EFA1AE0"/>
    <w:rsid w:val="6EFE3D04"/>
    <w:rsid w:val="6F076ECF"/>
    <w:rsid w:val="6F0B42AF"/>
    <w:rsid w:val="6F0B5CE8"/>
    <w:rsid w:val="6F0D38DA"/>
    <w:rsid w:val="6F102638"/>
    <w:rsid w:val="6F215EE3"/>
    <w:rsid w:val="6F2D75CB"/>
    <w:rsid w:val="6F34155C"/>
    <w:rsid w:val="6F3C35BE"/>
    <w:rsid w:val="6F486A10"/>
    <w:rsid w:val="6F6E42C4"/>
    <w:rsid w:val="6F751BAD"/>
    <w:rsid w:val="6F876FED"/>
    <w:rsid w:val="6F906EAA"/>
    <w:rsid w:val="6F9E6806"/>
    <w:rsid w:val="6FA22688"/>
    <w:rsid w:val="6FA3431E"/>
    <w:rsid w:val="6FA613AA"/>
    <w:rsid w:val="6FA74D51"/>
    <w:rsid w:val="6FAE080B"/>
    <w:rsid w:val="6FB13FA9"/>
    <w:rsid w:val="6FB3077C"/>
    <w:rsid w:val="6FB409A3"/>
    <w:rsid w:val="6FB40BD5"/>
    <w:rsid w:val="6FB74387"/>
    <w:rsid w:val="6FB812F7"/>
    <w:rsid w:val="6FC45546"/>
    <w:rsid w:val="6FD16A53"/>
    <w:rsid w:val="6FD33D76"/>
    <w:rsid w:val="6FD72312"/>
    <w:rsid w:val="6FD7680B"/>
    <w:rsid w:val="6FD94049"/>
    <w:rsid w:val="6FE24F03"/>
    <w:rsid w:val="6FE32160"/>
    <w:rsid w:val="6FEA7D0E"/>
    <w:rsid w:val="6FF07196"/>
    <w:rsid w:val="6FF11D9F"/>
    <w:rsid w:val="700323B7"/>
    <w:rsid w:val="700803C4"/>
    <w:rsid w:val="7008415F"/>
    <w:rsid w:val="700F6C77"/>
    <w:rsid w:val="70110D04"/>
    <w:rsid w:val="702241AF"/>
    <w:rsid w:val="70380816"/>
    <w:rsid w:val="704A3657"/>
    <w:rsid w:val="706210EB"/>
    <w:rsid w:val="70674F60"/>
    <w:rsid w:val="70683F8E"/>
    <w:rsid w:val="7075737F"/>
    <w:rsid w:val="707A7C5F"/>
    <w:rsid w:val="707A7D4F"/>
    <w:rsid w:val="70872113"/>
    <w:rsid w:val="708A60B6"/>
    <w:rsid w:val="708F0738"/>
    <w:rsid w:val="709014BC"/>
    <w:rsid w:val="709412D9"/>
    <w:rsid w:val="709B0AAD"/>
    <w:rsid w:val="70A20E7F"/>
    <w:rsid w:val="70A956CB"/>
    <w:rsid w:val="70B733E3"/>
    <w:rsid w:val="70C1172A"/>
    <w:rsid w:val="70C535AC"/>
    <w:rsid w:val="70C95FCF"/>
    <w:rsid w:val="70D628A2"/>
    <w:rsid w:val="70D74006"/>
    <w:rsid w:val="70D870D7"/>
    <w:rsid w:val="70E4023A"/>
    <w:rsid w:val="70E850E2"/>
    <w:rsid w:val="70FB7159"/>
    <w:rsid w:val="71016BEB"/>
    <w:rsid w:val="71030533"/>
    <w:rsid w:val="710319E3"/>
    <w:rsid w:val="710C45A2"/>
    <w:rsid w:val="710E21F8"/>
    <w:rsid w:val="710F6427"/>
    <w:rsid w:val="71155FFB"/>
    <w:rsid w:val="713D62BC"/>
    <w:rsid w:val="7141618C"/>
    <w:rsid w:val="714737A3"/>
    <w:rsid w:val="714949D3"/>
    <w:rsid w:val="714B78DF"/>
    <w:rsid w:val="7157364D"/>
    <w:rsid w:val="71576C9B"/>
    <w:rsid w:val="715A71D4"/>
    <w:rsid w:val="715E21A4"/>
    <w:rsid w:val="716A21BA"/>
    <w:rsid w:val="716D22D9"/>
    <w:rsid w:val="71731EBC"/>
    <w:rsid w:val="71751E9E"/>
    <w:rsid w:val="717770A5"/>
    <w:rsid w:val="717E23CA"/>
    <w:rsid w:val="71802D7E"/>
    <w:rsid w:val="718472A4"/>
    <w:rsid w:val="718512DD"/>
    <w:rsid w:val="71954C28"/>
    <w:rsid w:val="7195708C"/>
    <w:rsid w:val="71AB61FD"/>
    <w:rsid w:val="71AC18A2"/>
    <w:rsid w:val="71AE13A1"/>
    <w:rsid w:val="71C0019F"/>
    <w:rsid w:val="71C83581"/>
    <w:rsid w:val="71C95705"/>
    <w:rsid w:val="71CF192F"/>
    <w:rsid w:val="71D7213C"/>
    <w:rsid w:val="71F064FF"/>
    <w:rsid w:val="71FF4C8A"/>
    <w:rsid w:val="721D0D12"/>
    <w:rsid w:val="721F3A85"/>
    <w:rsid w:val="72323B3C"/>
    <w:rsid w:val="723B6265"/>
    <w:rsid w:val="723C75DB"/>
    <w:rsid w:val="7243037B"/>
    <w:rsid w:val="724C3BF9"/>
    <w:rsid w:val="72630D0A"/>
    <w:rsid w:val="72675324"/>
    <w:rsid w:val="726B0F20"/>
    <w:rsid w:val="727215F6"/>
    <w:rsid w:val="72761365"/>
    <w:rsid w:val="7277632B"/>
    <w:rsid w:val="72885D02"/>
    <w:rsid w:val="72897F49"/>
    <w:rsid w:val="72900407"/>
    <w:rsid w:val="72A811F4"/>
    <w:rsid w:val="72A84E95"/>
    <w:rsid w:val="72AA5FAE"/>
    <w:rsid w:val="72B470F3"/>
    <w:rsid w:val="72B57621"/>
    <w:rsid w:val="72B83E1E"/>
    <w:rsid w:val="72C31200"/>
    <w:rsid w:val="72DB194D"/>
    <w:rsid w:val="72DD1413"/>
    <w:rsid w:val="72E5467C"/>
    <w:rsid w:val="72EC7D0F"/>
    <w:rsid w:val="72F80A9F"/>
    <w:rsid w:val="72FB1C16"/>
    <w:rsid w:val="72FE7CDA"/>
    <w:rsid w:val="72FF1EB5"/>
    <w:rsid w:val="730070A1"/>
    <w:rsid w:val="73240EEB"/>
    <w:rsid w:val="732C6966"/>
    <w:rsid w:val="732E762D"/>
    <w:rsid w:val="73314D27"/>
    <w:rsid w:val="733F617E"/>
    <w:rsid w:val="73467527"/>
    <w:rsid w:val="734A67E5"/>
    <w:rsid w:val="7351032D"/>
    <w:rsid w:val="73512D60"/>
    <w:rsid w:val="7351790D"/>
    <w:rsid w:val="736174F4"/>
    <w:rsid w:val="736B6000"/>
    <w:rsid w:val="736E3BCB"/>
    <w:rsid w:val="736E5EFF"/>
    <w:rsid w:val="737C23BD"/>
    <w:rsid w:val="738021FF"/>
    <w:rsid w:val="7383006F"/>
    <w:rsid w:val="739C27B2"/>
    <w:rsid w:val="739E4D62"/>
    <w:rsid w:val="73A6302B"/>
    <w:rsid w:val="73B90011"/>
    <w:rsid w:val="73C30D14"/>
    <w:rsid w:val="73C56B8F"/>
    <w:rsid w:val="73D279E8"/>
    <w:rsid w:val="73D406A2"/>
    <w:rsid w:val="73E46D65"/>
    <w:rsid w:val="741A468A"/>
    <w:rsid w:val="741C06B0"/>
    <w:rsid w:val="742752BD"/>
    <w:rsid w:val="74397C21"/>
    <w:rsid w:val="743E15C1"/>
    <w:rsid w:val="74422A8C"/>
    <w:rsid w:val="74496EA0"/>
    <w:rsid w:val="744B50DB"/>
    <w:rsid w:val="746929BA"/>
    <w:rsid w:val="746E651B"/>
    <w:rsid w:val="74712257"/>
    <w:rsid w:val="74724156"/>
    <w:rsid w:val="74736DD3"/>
    <w:rsid w:val="747942E2"/>
    <w:rsid w:val="7480559F"/>
    <w:rsid w:val="74883216"/>
    <w:rsid w:val="748D065C"/>
    <w:rsid w:val="74921604"/>
    <w:rsid w:val="749706CC"/>
    <w:rsid w:val="749C58F3"/>
    <w:rsid w:val="74AB00C0"/>
    <w:rsid w:val="74AF7DDD"/>
    <w:rsid w:val="74B122CA"/>
    <w:rsid w:val="74B64319"/>
    <w:rsid w:val="74B70BCD"/>
    <w:rsid w:val="74B8077F"/>
    <w:rsid w:val="74BC2B55"/>
    <w:rsid w:val="74BD70DB"/>
    <w:rsid w:val="74C82B02"/>
    <w:rsid w:val="74CA514E"/>
    <w:rsid w:val="74CC00BF"/>
    <w:rsid w:val="74D63BB5"/>
    <w:rsid w:val="74DD0590"/>
    <w:rsid w:val="74E00A23"/>
    <w:rsid w:val="74E21C1C"/>
    <w:rsid w:val="74E96407"/>
    <w:rsid w:val="74EB2329"/>
    <w:rsid w:val="74EF6D46"/>
    <w:rsid w:val="74EF7389"/>
    <w:rsid w:val="74F64D79"/>
    <w:rsid w:val="74F8440A"/>
    <w:rsid w:val="74FE0CBC"/>
    <w:rsid w:val="750A6149"/>
    <w:rsid w:val="751158D0"/>
    <w:rsid w:val="751410CC"/>
    <w:rsid w:val="75284772"/>
    <w:rsid w:val="752C1989"/>
    <w:rsid w:val="752D602C"/>
    <w:rsid w:val="752E5815"/>
    <w:rsid w:val="7536736C"/>
    <w:rsid w:val="754752E3"/>
    <w:rsid w:val="75505685"/>
    <w:rsid w:val="755D1BAE"/>
    <w:rsid w:val="755F5CBC"/>
    <w:rsid w:val="75621B57"/>
    <w:rsid w:val="756D162D"/>
    <w:rsid w:val="75761D59"/>
    <w:rsid w:val="7578332A"/>
    <w:rsid w:val="757C50D2"/>
    <w:rsid w:val="757D16CA"/>
    <w:rsid w:val="75895C4A"/>
    <w:rsid w:val="75912C1E"/>
    <w:rsid w:val="75976A82"/>
    <w:rsid w:val="75984A85"/>
    <w:rsid w:val="759A638E"/>
    <w:rsid w:val="759C7A4C"/>
    <w:rsid w:val="75A03742"/>
    <w:rsid w:val="75AA2375"/>
    <w:rsid w:val="75AB45F0"/>
    <w:rsid w:val="75BA77F0"/>
    <w:rsid w:val="75C57C13"/>
    <w:rsid w:val="75C80C9D"/>
    <w:rsid w:val="75CC1919"/>
    <w:rsid w:val="75CF1368"/>
    <w:rsid w:val="75DB4430"/>
    <w:rsid w:val="75DC42FF"/>
    <w:rsid w:val="75E90BBB"/>
    <w:rsid w:val="75F049FC"/>
    <w:rsid w:val="75F1724D"/>
    <w:rsid w:val="75FA57B4"/>
    <w:rsid w:val="76052860"/>
    <w:rsid w:val="76103FB3"/>
    <w:rsid w:val="761069E4"/>
    <w:rsid w:val="7631353F"/>
    <w:rsid w:val="76477045"/>
    <w:rsid w:val="7653113C"/>
    <w:rsid w:val="76616F33"/>
    <w:rsid w:val="7668132B"/>
    <w:rsid w:val="766A3F87"/>
    <w:rsid w:val="767C7B6B"/>
    <w:rsid w:val="767F7692"/>
    <w:rsid w:val="76857E8B"/>
    <w:rsid w:val="76876CD5"/>
    <w:rsid w:val="76881D58"/>
    <w:rsid w:val="768D7781"/>
    <w:rsid w:val="76947D82"/>
    <w:rsid w:val="76A26447"/>
    <w:rsid w:val="76A726D4"/>
    <w:rsid w:val="76A84C99"/>
    <w:rsid w:val="76B60AB1"/>
    <w:rsid w:val="76BB6508"/>
    <w:rsid w:val="76C44A4D"/>
    <w:rsid w:val="76DB6D89"/>
    <w:rsid w:val="76EC6B63"/>
    <w:rsid w:val="76EF486C"/>
    <w:rsid w:val="76FE6406"/>
    <w:rsid w:val="77006059"/>
    <w:rsid w:val="77040325"/>
    <w:rsid w:val="770B47AE"/>
    <w:rsid w:val="77175429"/>
    <w:rsid w:val="771B52B0"/>
    <w:rsid w:val="77205370"/>
    <w:rsid w:val="77230D26"/>
    <w:rsid w:val="77304F40"/>
    <w:rsid w:val="77321A83"/>
    <w:rsid w:val="773F3FED"/>
    <w:rsid w:val="77486632"/>
    <w:rsid w:val="774B6099"/>
    <w:rsid w:val="775D142C"/>
    <w:rsid w:val="776352D3"/>
    <w:rsid w:val="77660BD9"/>
    <w:rsid w:val="77761CAA"/>
    <w:rsid w:val="77784466"/>
    <w:rsid w:val="77822BC4"/>
    <w:rsid w:val="77910BC3"/>
    <w:rsid w:val="779D5A18"/>
    <w:rsid w:val="77B311CC"/>
    <w:rsid w:val="77B94FF6"/>
    <w:rsid w:val="77C267FF"/>
    <w:rsid w:val="77C615DE"/>
    <w:rsid w:val="77CA3035"/>
    <w:rsid w:val="77D71581"/>
    <w:rsid w:val="77DA14D9"/>
    <w:rsid w:val="77E305B2"/>
    <w:rsid w:val="77E644AD"/>
    <w:rsid w:val="78067FE5"/>
    <w:rsid w:val="781636F5"/>
    <w:rsid w:val="78172F31"/>
    <w:rsid w:val="78196686"/>
    <w:rsid w:val="782A54E9"/>
    <w:rsid w:val="7837021B"/>
    <w:rsid w:val="783C4EEE"/>
    <w:rsid w:val="78400EB4"/>
    <w:rsid w:val="785A4F95"/>
    <w:rsid w:val="786D271C"/>
    <w:rsid w:val="787F6BCE"/>
    <w:rsid w:val="789440B4"/>
    <w:rsid w:val="78A03C3E"/>
    <w:rsid w:val="78B33CAE"/>
    <w:rsid w:val="78B96BE0"/>
    <w:rsid w:val="78BE527D"/>
    <w:rsid w:val="78D1207E"/>
    <w:rsid w:val="78D36585"/>
    <w:rsid w:val="78D734CF"/>
    <w:rsid w:val="78DB50B6"/>
    <w:rsid w:val="78E60C43"/>
    <w:rsid w:val="78E70E65"/>
    <w:rsid w:val="78EE3CE3"/>
    <w:rsid w:val="78F43F3E"/>
    <w:rsid w:val="79023B77"/>
    <w:rsid w:val="79155567"/>
    <w:rsid w:val="792627C6"/>
    <w:rsid w:val="792F10BC"/>
    <w:rsid w:val="793B310E"/>
    <w:rsid w:val="7944294E"/>
    <w:rsid w:val="79443ED1"/>
    <w:rsid w:val="794803FA"/>
    <w:rsid w:val="795902BB"/>
    <w:rsid w:val="795C4B79"/>
    <w:rsid w:val="79816168"/>
    <w:rsid w:val="798F709D"/>
    <w:rsid w:val="79936A89"/>
    <w:rsid w:val="799950F1"/>
    <w:rsid w:val="799C4674"/>
    <w:rsid w:val="799D5D0D"/>
    <w:rsid w:val="79C01EC8"/>
    <w:rsid w:val="79CE6789"/>
    <w:rsid w:val="79D06AD4"/>
    <w:rsid w:val="79D212A8"/>
    <w:rsid w:val="79D6513F"/>
    <w:rsid w:val="79E308DC"/>
    <w:rsid w:val="79ED42EC"/>
    <w:rsid w:val="79F2715A"/>
    <w:rsid w:val="79FB375D"/>
    <w:rsid w:val="7A160AFA"/>
    <w:rsid w:val="7A1D2F9D"/>
    <w:rsid w:val="7A1D7D3A"/>
    <w:rsid w:val="7A2D7B93"/>
    <w:rsid w:val="7A342CD0"/>
    <w:rsid w:val="7A3F6553"/>
    <w:rsid w:val="7A457F8A"/>
    <w:rsid w:val="7A4B63FC"/>
    <w:rsid w:val="7A571A6D"/>
    <w:rsid w:val="7A631271"/>
    <w:rsid w:val="7A6C1CFB"/>
    <w:rsid w:val="7A7C0674"/>
    <w:rsid w:val="7A800012"/>
    <w:rsid w:val="7A815E16"/>
    <w:rsid w:val="7A840BF3"/>
    <w:rsid w:val="7A853982"/>
    <w:rsid w:val="7A86644D"/>
    <w:rsid w:val="7A941328"/>
    <w:rsid w:val="7A955CA3"/>
    <w:rsid w:val="7AA94EE9"/>
    <w:rsid w:val="7AAE361C"/>
    <w:rsid w:val="7AAE761E"/>
    <w:rsid w:val="7AB4725A"/>
    <w:rsid w:val="7AB548EC"/>
    <w:rsid w:val="7AB64483"/>
    <w:rsid w:val="7AC333E2"/>
    <w:rsid w:val="7ACE094E"/>
    <w:rsid w:val="7AD72ED7"/>
    <w:rsid w:val="7AD74F6A"/>
    <w:rsid w:val="7ADE41B8"/>
    <w:rsid w:val="7AE322DF"/>
    <w:rsid w:val="7AEE56D8"/>
    <w:rsid w:val="7AF04BC1"/>
    <w:rsid w:val="7AF239AB"/>
    <w:rsid w:val="7B0F7B1D"/>
    <w:rsid w:val="7B15275B"/>
    <w:rsid w:val="7B1623D5"/>
    <w:rsid w:val="7B1D1D97"/>
    <w:rsid w:val="7B2A5DAA"/>
    <w:rsid w:val="7B3214EB"/>
    <w:rsid w:val="7B347256"/>
    <w:rsid w:val="7B3A2839"/>
    <w:rsid w:val="7B3F71DD"/>
    <w:rsid w:val="7B443022"/>
    <w:rsid w:val="7B6837C6"/>
    <w:rsid w:val="7B7816C4"/>
    <w:rsid w:val="7B7C2899"/>
    <w:rsid w:val="7B881CCA"/>
    <w:rsid w:val="7B890CFA"/>
    <w:rsid w:val="7B8A61B5"/>
    <w:rsid w:val="7B8E6A19"/>
    <w:rsid w:val="7B9845C6"/>
    <w:rsid w:val="7B9C2784"/>
    <w:rsid w:val="7B9C7838"/>
    <w:rsid w:val="7B9E0954"/>
    <w:rsid w:val="7B9F5860"/>
    <w:rsid w:val="7BA900AC"/>
    <w:rsid w:val="7BAA3B2E"/>
    <w:rsid w:val="7BB0579F"/>
    <w:rsid w:val="7BB637A2"/>
    <w:rsid w:val="7BB82915"/>
    <w:rsid w:val="7BB912E2"/>
    <w:rsid w:val="7BC21BC6"/>
    <w:rsid w:val="7BCA4B65"/>
    <w:rsid w:val="7BCD0B8F"/>
    <w:rsid w:val="7BD1574D"/>
    <w:rsid w:val="7BD72484"/>
    <w:rsid w:val="7BDB076F"/>
    <w:rsid w:val="7BDF0A19"/>
    <w:rsid w:val="7BE13813"/>
    <w:rsid w:val="7BEF454A"/>
    <w:rsid w:val="7BF410B2"/>
    <w:rsid w:val="7BFB1821"/>
    <w:rsid w:val="7BFD1AAF"/>
    <w:rsid w:val="7C04084D"/>
    <w:rsid w:val="7C066DAD"/>
    <w:rsid w:val="7C0C2934"/>
    <w:rsid w:val="7C0F6094"/>
    <w:rsid w:val="7C116160"/>
    <w:rsid w:val="7C125B5C"/>
    <w:rsid w:val="7C18189D"/>
    <w:rsid w:val="7C202DE3"/>
    <w:rsid w:val="7C2421E2"/>
    <w:rsid w:val="7C327BDF"/>
    <w:rsid w:val="7C335646"/>
    <w:rsid w:val="7C382C15"/>
    <w:rsid w:val="7C4A3E77"/>
    <w:rsid w:val="7C727758"/>
    <w:rsid w:val="7C766AC8"/>
    <w:rsid w:val="7C772928"/>
    <w:rsid w:val="7C887937"/>
    <w:rsid w:val="7C9D238D"/>
    <w:rsid w:val="7CA8125C"/>
    <w:rsid w:val="7CAF7E21"/>
    <w:rsid w:val="7CB00EE3"/>
    <w:rsid w:val="7CBC305C"/>
    <w:rsid w:val="7CC67289"/>
    <w:rsid w:val="7CDB6BA0"/>
    <w:rsid w:val="7CDB6D68"/>
    <w:rsid w:val="7CDD6D32"/>
    <w:rsid w:val="7CE55252"/>
    <w:rsid w:val="7CEE5736"/>
    <w:rsid w:val="7CF346E2"/>
    <w:rsid w:val="7CF36155"/>
    <w:rsid w:val="7CF37F46"/>
    <w:rsid w:val="7CFB08F5"/>
    <w:rsid w:val="7D096E7E"/>
    <w:rsid w:val="7D0F63FB"/>
    <w:rsid w:val="7D1605FB"/>
    <w:rsid w:val="7D1E428D"/>
    <w:rsid w:val="7D2D5255"/>
    <w:rsid w:val="7D372763"/>
    <w:rsid w:val="7D483717"/>
    <w:rsid w:val="7D491EFF"/>
    <w:rsid w:val="7D4A5E6F"/>
    <w:rsid w:val="7D5E0A7F"/>
    <w:rsid w:val="7D6823C5"/>
    <w:rsid w:val="7D682EE5"/>
    <w:rsid w:val="7D6F6285"/>
    <w:rsid w:val="7D725110"/>
    <w:rsid w:val="7D766011"/>
    <w:rsid w:val="7D7B6E68"/>
    <w:rsid w:val="7D7D7EB8"/>
    <w:rsid w:val="7D9A62C0"/>
    <w:rsid w:val="7D9C6CDB"/>
    <w:rsid w:val="7D9F00E9"/>
    <w:rsid w:val="7DA7073E"/>
    <w:rsid w:val="7DB504D4"/>
    <w:rsid w:val="7DB70A42"/>
    <w:rsid w:val="7DB82431"/>
    <w:rsid w:val="7DBB3711"/>
    <w:rsid w:val="7DBB42C0"/>
    <w:rsid w:val="7DC002A9"/>
    <w:rsid w:val="7DC23B2E"/>
    <w:rsid w:val="7DC44586"/>
    <w:rsid w:val="7DC92536"/>
    <w:rsid w:val="7DD6590B"/>
    <w:rsid w:val="7DE07B5F"/>
    <w:rsid w:val="7DE770D9"/>
    <w:rsid w:val="7DFB0657"/>
    <w:rsid w:val="7E125228"/>
    <w:rsid w:val="7E1272DA"/>
    <w:rsid w:val="7E131CF5"/>
    <w:rsid w:val="7E134551"/>
    <w:rsid w:val="7E17256E"/>
    <w:rsid w:val="7E1B6B23"/>
    <w:rsid w:val="7E2349A0"/>
    <w:rsid w:val="7E243AFF"/>
    <w:rsid w:val="7E37380A"/>
    <w:rsid w:val="7E427C2A"/>
    <w:rsid w:val="7E43054C"/>
    <w:rsid w:val="7E5017F3"/>
    <w:rsid w:val="7E50653F"/>
    <w:rsid w:val="7E594C97"/>
    <w:rsid w:val="7E5F5079"/>
    <w:rsid w:val="7E624288"/>
    <w:rsid w:val="7E69054D"/>
    <w:rsid w:val="7E6D661C"/>
    <w:rsid w:val="7E7C057D"/>
    <w:rsid w:val="7E87730F"/>
    <w:rsid w:val="7E9F2F7C"/>
    <w:rsid w:val="7EA30424"/>
    <w:rsid w:val="7EA6397D"/>
    <w:rsid w:val="7EAC6A17"/>
    <w:rsid w:val="7EAD12A3"/>
    <w:rsid w:val="7EAE7F0F"/>
    <w:rsid w:val="7EB94911"/>
    <w:rsid w:val="7EC42944"/>
    <w:rsid w:val="7EC9522E"/>
    <w:rsid w:val="7ECF0D97"/>
    <w:rsid w:val="7EE96955"/>
    <w:rsid w:val="7EEB5982"/>
    <w:rsid w:val="7EEC0F3F"/>
    <w:rsid w:val="7EEF375C"/>
    <w:rsid w:val="7EF07838"/>
    <w:rsid w:val="7EF07C34"/>
    <w:rsid w:val="7EF6265E"/>
    <w:rsid w:val="7F172838"/>
    <w:rsid w:val="7F1C6E5B"/>
    <w:rsid w:val="7F2500F8"/>
    <w:rsid w:val="7F2B7FAC"/>
    <w:rsid w:val="7F303177"/>
    <w:rsid w:val="7F3778CB"/>
    <w:rsid w:val="7F3975BF"/>
    <w:rsid w:val="7F4E7AD6"/>
    <w:rsid w:val="7F523B83"/>
    <w:rsid w:val="7F5A3C71"/>
    <w:rsid w:val="7F9161F3"/>
    <w:rsid w:val="7F976778"/>
    <w:rsid w:val="7FA15D69"/>
    <w:rsid w:val="7FA57F11"/>
    <w:rsid w:val="7FA94B39"/>
    <w:rsid w:val="7FB67828"/>
    <w:rsid w:val="7FB863A1"/>
    <w:rsid w:val="7FBC1B69"/>
    <w:rsid w:val="7FBD4823"/>
    <w:rsid w:val="7FBD7473"/>
    <w:rsid w:val="7FC32660"/>
    <w:rsid w:val="7FC815D1"/>
    <w:rsid w:val="7FCC132F"/>
    <w:rsid w:val="7FDF5B22"/>
    <w:rsid w:val="7FEE39A7"/>
    <w:rsid w:val="7FF631F5"/>
    <w:rsid w:val="7FFC7CAD"/>
    <w:rsid w:val="ABDBAD74"/>
    <w:rsid w:val="F9B779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uto"/>
      <w:ind w:firstLine="482"/>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70"/>
    <w:qFormat/>
    <w:uiPriority w:val="0"/>
    <w:pPr>
      <w:keepNext/>
      <w:keepLines/>
      <w:spacing w:before="340" w:after="330" w:line="576" w:lineRule="auto"/>
      <w:ind w:firstLine="0"/>
      <w:jc w:val="center"/>
      <w:outlineLvl w:val="0"/>
    </w:pPr>
    <w:rPr>
      <w:b/>
      <w:bCs/>
      <w:kern w:val="44"/>
      <w:sz w:val="44"/>
      <w:szCs w:val="44"/>
    </w:rPr>
  </w:style>
  <w:style w:type="paragraph" w:styleId="3">
    <w:name w:val="heading 2"/>
    <w:basedOn w:val="1"/>
    <w:next w:val="1"/>
    <w:link w:val="71"/>
    <w:qFormat/>
    <w:uiPriority w:val="0"/>
    <w:pPr>
      <w:keepNext/>
      <w:keepLines/>
      <w:ind w:firstLine="0"/>
      <w:outlineLvl w:val="1"/>
    </w:pPr>
    <w:rPr>
      <w:rFonts w:ascii="宋体" w:hAnsi="宋体"/>
      <w:b/>
      <w:bCs/>
      <w:sz w:val="28"/>
      <w:szCs w:val="30"/>
    </w:rPr>
  </w:style>
  <w:style w:type="paragraph" w:styleId="4">
    <w:name w:val="heading 3"/>
    <w:basedOn w:val="1"/>
    <w:next w:val="1"/>
    <w:link w:val="72"/>
    <w:qFormat/>
    <w:uiPriority w:val="0"/>
    <w:pPr>
      <w:keepNext/>
      <w:keepLines/>
      <w:spacing w:before="260" w:after="260" w:line="413" w:lineRule="auto"/>
      <w:outlineLvl w:val="2"/>
    </w:pPr>
    <w:rPr>
      <w:b/>
      <w:bCs/>
      <w:sz w:val="32"/>
      <w:szCs w:val="32"/>
    </w:rPr>
  </w:style>
  <w:style w:type="paragraph" w:styleId="5">
    <w:name w:val="heading 4"/>
    <w:basedOn w:val="1"/>
    <w:next w:val="1"/>
    <w:link w:val="73"/>
    <w:qFormat/>
    <w:uiPriority w:val="0"/>
    <w:pPr>
      <w:keepNext/>
      <w:ind w:firstLine="0"/>
      <w:jc w:val="left"/>
      <w:outlineLvl w:val="3"/>
    </w:pPr>
    <w:rPr>
      <w:rFonts w:ascii="宋体"/>
      <w:i/>
    </w:rPr>
  </w:style>
  <w:style w:type="paragraph" w:styleId="6">
    <w:name w:val="heading 5"/>
    <w:basedOn w:val="1"/>
    <w:next w:val="1"/>
    <w:link w:val="74"/>
    <w:qFormat/>
    <w:uiPriority w:val="0"/>
    <w:pPr>
      <w:tabs>
        <w:tab w:val="left" w:pos="360"/>
      </w:tabs>
      <w:spacing w:line="460" w:lineRule="exact"/>
      <w:ind w:firstLine="0"/>
      <w:jc w:val="left"/>
      <w:outlineLvl w:val="4"/>
    </w:pPr>
  </w:style>
  <w:style w:type="paragraph" w:styleId="7">
    <w:name w:val="heading 6"/>
    <w:basedOn w:val="1"/>
    <w:next w:val="1"/>
    <w:link w:val="75"/>
    <w:qFormat/>
    <w:uiPriority w:val="0"/>
    <w:pPr>
      <w:keepNext/>
      <w:keepLines/>
      <w:tabs>
        <w:tab w:val="left" w:pos="360"/>
      </w:tabs>
      <w:spacing w:before="240" w:after="64" w:line="320" w:lineRule="atLeast"/>
      <w:ind w:firstLine="601"/>
      <w:jc w:val="left"/>
      <w:outlineLvl w:val="5"/>
    </w:pPr>
    <w:rPr>
      <w:rFonts w:ascii="Arial" w:hAnsi="Arial" w:eastAsia="黑体"/>
      <w:b/>
      <w:spacing w:val="20"/>
    </w:rPr>
  </w:style>
  <w:style w:type="paragraph" w:styleId="8">
    <w:name w:val="heading 7"/>
    <w:basedOn w:val="1"/>
    <w:next w:val="1"/>
    <w:link w:val="76"/>
    <w:qFormat/>
    <w:uiPriority w:val="0"/>
    <w:pPr>
      <w:keepNext/>
      <w:keepLines/>
      <w:spacing w:before="240" w:after="64" w:line="320" w:lineRule="atLeast"/>
      <w:ind w:firstLine="601"/>
      <w:jc w:val="left"/>
      <w:outlineLvl w:val="6"/>
    </w:pPr>
    <w:rPr>
      <w:rFonts w:eastAsia="仿宋体"/>
      <w:b/>
      <w:spacing w:val="20"/>
    </w:rPr>
  </w:style>
  <w:style w:type="paragraph" w:styleId="9">
    <w:name w:val="heading 8"/>
    <w:basedOn w:val="1"/>
    <w:next w:val="1"/>
    <w:link w:val="77"/>
    <w:qFormat/>
    <w:uiPriority w:val="0"/>
    <w:pPr>
      <w:keepNext/>
      <w:keepLines/>
      <w:spacing w:before="240" w:after="64" w:line="317" w:lineRule="auto"/>
      <w:outlineLvl w:val="7"/>
    </w:pPr>
    <w:rPr>
      <w:rFonts w:ascii="Arial" w:hAnsi="Arial" w:eastAsia="黑体"/>
      <w:szCs w:val="24"/>
    </w:rPr>
  </w:style>
  <w:style w:type="paragraph" w:styleId="10">
    <w:name w:val="heading 9"/>
    <w:basedOn w:val="1"/>
    <w:next w:val="1"/>
    <w:link w:val="78"/>
    <w:qFormat/>
    <w:uiPriority w:val="0"/>
    <w:pPr>
      <w:keepNext/>
      <w:keepLines/>
      <w:spacing w:before="240" w:after="64" w:line="320" w:lineRule="atLeast"/>
      <w:ind w:firstLine="601"/>
      <w:jc w:val="left"/>
      <w:outlineLvl w:val="8"/>
    </w:pPr>
    <w:rPr>
      <w:rFonts w:ascii="Arial" w:hAnsi="Arial" w:eastAsia="黑体"/>
      <w:spacing w:val="20"/>
      <w:sz w:val="28"/>
    </w:rPr>
  </w:style>
  <w:style w:type="character" w:default="1" w:styleId="58">
    <w:name w:val="Default Paragraph Font"/>
    <w:unhideWhenUsed/>
    <w:uiPriority w:val="1"/>
  </w:style>
  <w:style w:type="table" w:default="1" w:styleId="65">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spacing w:line="240" w:lineRule="auto"/>
      <w:ind w:left="1260" w:hanging="420"/>
      <w:textAlignment w:val="auto"/>
    </w:pPr>
    <w:rPr>
      <w:kern w:val="2"/>
      <w:sz w:val="21"/>
    </w:rPr>
  </w:style>
  <w:style w:type="paragraph" w:styleId="12">
    <w:name w:val="annotation subject"/>
    <w:basedOn w:val="13"/>
    <w:next w:val="13"/>
    <w:link w:val="99"/>
    <w:qFormat/>
    <w:uiPriority w:val="0"/>
    <w:pPr>
      <w:adjustRightInd/>
      <w:spacing w:line="240" w:lineRule="auto"/>
      <w:textAlignment w:val="auto"/>
    </w:pPr>
    <w:rPr>
      <w:b/>
      <w:bCs/>
      <w:kern w:val="2"/>
      <w:sz w:val="21"/>
    </w:rPr>
  </w:style>
  <w:style w:type="paragraph" w:styleId="13">
    <w:name w:val="annotation text"/>
    <w:basedOn w:val="1"/>
    <w:link w:val="81"/>
    <w:qFormat/>
    <w:uiPriority w:val="0"/>
    <w:pPr>
      <w:spacing w:line="360" w:lineRule="atLeast"/>
      <w:ind w:firstLine="0"/>
      <w:jc w:val="left"/>
    </w:pPr>
  </w:style>
  <w:style w:type="paragraph" w:styleId="14">
    <w:name w:val="toc 7"/>
    <w:basedOn w:val="1"/>
    <w:next w:val="1"/>
    <w:qFormat/>
    <w:uiPriority w:val="0"/>
    <w:pPr>
      <w:adjustRightInd/>
      <w:spacing w:line="240" w:lineRule="auto"/>
      <w:ind w:left="2520" w:leftChars="1200" w:firstLine="0"/>
      <w:textAlignment w:val="auto"/>
    </w:pPr>
    <w:rPr>
      <w:kern w:val="2"/>
      <w:sz w:val="21"/>
    </w:rPr>
  </w:style>
  <w:style w:type="paragraph" w:styleId="15">
    <w:name w:val="Body Text First Indent"/>
    <w:basedOn w:val="16"/>
    <w:link w:val="100"/>
    <w:qFormat/>
    <w:uiPriority w:val="0"/>
    <w:pPr>
      <w:widowControl/>
      <w:spacing w:before="60" w:after="120" w:line="240" w:lineRule="auto"/>
      <w:ind w:firstLine="420" w:firstLineChars="100"/>
      <w:jc w:val="both"/>
    </w:pPr>
    <w:rPr>
      <w:sz w:val="21"/>
    </w:rPr>
  </w:style>
  <w:style w:type="paragraph" w:styleId="16">
    <w:name w:val="Body Text"/>
    <w:basedOn w:val="1"/>
    <w:next w:val="1"/>
    <w:link w:val="85"/>
    <w:qFormat/>
    <w:uiPriority w:val="0"/>
    <w:pPr>
      <w:adjustRightInd/>
      <w:spacing w:line="520" w:lineRule="exact"/>
      <w:ind w:firstLine="0"/>
      <w:jc w:val="center"/>
      <w:textAlignment w:val="auto"/>
    </w:pPr>
    <w:rPr>
      <w:rFonts w:ascii="黑体" w:hAnsi="宋体" w:eastAsia="黑体" w:cs="Wide Latin"/>
      <w:kern w:val="2"/>
      <w:sz w:val="144"/>
    </w:rPr>
  </w:style>
  <w:style w:type="paragraph" w:styleId="17">
    <w:name w:val="table of authorities"/>
    <w:basedOn w:val="1"/>
    <w:next w:val="1"/>
    <w:qFormat/>
    <w:uiPriority w:val="0"/>
    <w:pPr>
      <w:adjustRightInd/>
      <w:spacing w:line="240" w:lineRule="auto"/>
      <w:ind w:left="420" w:leftChars="200" w:firstLine="0"/>
      <w:textAlignment w:val="auto"/>
    </w:pPr>
    <w:rPr>
      <w:rFonts w:hAnsi="宋体"/>
      <w:snapToGrid w:val="0"/>
      <w:color w:val="000000"/>
      <w:kern w:val="2"/>
      <w:sz w:val="21"/>
      <w:szCs w:val="24"/>
    </w:rPr>
  </w:style>
  <w:style w:type="paragraph" w:styleId="18">
    <w:name w:val="Note Heading"/>
    <w:basedOn w:val="1"/>
    <w:next w:val="1"/>
    <w:link w:val="79"/>
    <w:qFormat/>
    <w:uiPriority w:val="0"/>
    <w:pPr>
      <w:adjustRightInd/>
      <w:spacing w:line="240" w:lineRule="auto"/>
      <w:ind w:firstLine="0"/>
      <w:jc w:val="center"/>
      <w:textAlignment w:val="auto"/>
    </w:pPr>
    <w:rPr>
      <w:kern w:val="2"/>
      <w:sz w:val="18"/>
      <w:szCs w:val="18"/>
    </w:rPr>
  </w:style>
  <w:style w:type="paragraph" w:styleId="19">
    <w:name w:val="List Number"/>
    <w:basedOn w:val="1"/>
    <w:qFormat/>
    <w:uiPriority w:val="0"/>
    <w:pPr>
      <w:tabs>
        <w:tab w:val="left" w:pos="360"/>
      </w:tabs>
      <w:adjustRightInd/>
      <w:spacing w:line="240" w:lineRule="auto"/>
      <w:ind w:left="1080" w:hanging="570"/>
      <w:textAlignment w:val="auto"/>
    </w:pPr>
    <w:rPr>
      <w:rFonts w:ascii="宋体" w:hAnsi="宋体"/>
      <w:snapToGrid w:val="0"/>
      <w:color w:val="000000"/>
      <w:kern w:val="2"/>
      <w:sz w:val="21"/>
    </w:rPr>
  </w:style>
  <w:style w:type="paragraph" w:styleId="20">
    <w:name w:val="Normal Indent"/>
    <w:basedOn w:val="1"/>
    <w:next w:val="1"/>
    <w:qFormat/>
    <w:uiPriority w:val="99"/>
    <w:pPr>
      <w:adjustRightInd/>
      <w:spacing w:line="240" w:lineRule="auto"/>
      <w:ind w:firstLine="420"/>
      <w:textAlignment w:val="auto"/>
    </w:pPr>
    <w:rPr>
      <w:kern w:val="2"/>
      <w:sz w:val="21"/>
    </w:rPr>
  </w:style>
  <w:style w:type="paragraph" w:styleId="21">
    <w:name w:val="caption"/>
    <w:basedOn w:val="1"/>
    <w:next w:val="1"/>
    <w:qFormat/>
    <w:uiPriority w:val="35"/>
    <w:pPr>
      <w:adjustRightInd/>
      <w:spacing w:before="152" w:line="240" w:lineRule="auto"/>
      <w:ind w:firstLine="0"/>
      <w:textAlignment w:val="auto"/>
    </w:pPr>
    <w:rPr>
      <w:rFonts w:ascii="Arial" w:hAnsi="Arial" w:eastAsia="黑体" w:cs="Arial"/>
      <w:kern w:val="2"/>
      <w:sz w:val="20"/>
    </w:rPr>
  </w:style>
  <w:style w:type="paragraph" w:styleId="22">
    <w:name w:val="Document Map"/>
    <w:basedOn w:val="1"/>
    <w:link w:val="80"/>
    <w:semiHidden/>
    <w:qFormat/>
    <w:uiPriority w:val="0"/>
    <w:pPr>
      <w:shd w:val="clear" w:color="auto" w:fill="000080"/>
    </w:pPr>
  </w:style>
  <w:style w:type="paragraph" w:styleId="23">
    <w:name w:val="toa heading"/>
    <w:basedOn w:val="1"/>
    <w:next w:val="1"/>
    <w:qFormat/>
    <w:uiPriority w:val="0"/>
    <w:pPr>
      <w:adjustRightInd/>
      <w:spacing w:before="120" w:line="240" w:lineRule="auto"/>
      <w:ind w:firstLine="0"/>
      <w:textAlignment w:val="auto"/>
    </w:pPr>
    <w:rPr>
      <w:rFonts w:ascii="Arial" w:hAnsi="Arial" w:cs="Arial"/>
      <w:snapToGrid w:val="0"/>
      <w:color w:val="000000"/>
      <w:kern w:val="2"/>
      <w:sz w:val="21"/>
      <w:szCs w:val="24"/>
    </w:rPr>
  </w:style>
  <w:style w:type="paragraph" w:styleId="24">
    <w:name w:val="Salutation"/>
    <w:basedOn w:val="1"/>
    <w:next w:val="1"/>
    <w:link w:val="82"/>
    <w:qFormat/>
    <w:uiPriority w:val="0"/>
    <w:pPr>
      <w:adjustRightInd/>
      <w:spacing w:line="240" w:lineRule="auto"/>
      <w:ind w:firstLine="0"/>
      <w:textAlignment w:val="auto"/>
    </w:pPr>
    <w:rPr>
      <w:kern w:val="2"/>
    </w:rPr>
  </w:style>
  <w:style w:type="paragraph" w:styleId="25">
    <w:name w:val="Body Text 3"/>
    <w:basedOn w:val="1"/>
    <w:link w:val="83"/>
    <w:qFormat/>
    <w:uiPriority w:val="0"/>
    <w:pPr>
      <w:adjustRightInd/>
      <w:spacing w:after="120" w:line="240" w:lineRule="auto"/>
      <w:ind w:firstLine="0"/>
      <w:textAlignment w:val="auto"/>
    </w:pPr>
    <w:rPr>
      <w:kern w:val="2"/>
      <w:sz w:val="16"/>
      <w:szCs w:val="16"/>
    </w:rPr>
  </w:style>
  <w:style w:type="paragraph" w:styleId="26">
    <w:name w:val="Closing"/>
    <w:basedOn w:val="1"/>
    <w:next w:val="1"/>
    <w:link w:val="84"/>
    <w:qFormat/>
    <w:uiPriority w:val="0"/>
    <w:pPr>
      <w:adjustRightInd/>
      <w:spacing w:line="240" w:lineRule="auto"/>
      <w:ind w:left="4320" w:firstLine="0"/>
      <w:textAlignment w:val="auto"/>
    </w:pPr>
    <w:rPr>
      <w:kern w:val="2"/>
    </w:rPr>
  </w:style>
  <w:style w:type="paragraph" w:styleId="27">
    <w:name w:val="Body Text Indent"/>
    <w:basedOn w:val="1"/>
    <w:next w:val="28"/>
    <w:link w:val="87"/>
    <w:qFormat/>
    <w:uiPriority w:val="0"/>
    <w:pPr>
      <w:tabs>
        <w:tab w:val="left" w:pos="960"/>
      </w:tabs>
      <w:ind w:firstLine="480" w:firstLineChars="200"/>
    </w:pPr>
  </w:style>
  <w:style w:type="paragraph" w:styleId="28">
    <w:name w:val="Body Text First Indent 2"/>
    <w:basedOn w:val="27"/>
    <w:next w:val="1"/>
    <w:link w:val="88"/>
    <w:qFormat/>
    <w:uiPriority w:val="0"/>
    <w:pPr>
      <w:adjustRightInd/>
      <w:spacing w:after="120" w:line="240" w:lineRule="auto"/>
      <w:ind w:left="420" w:firstLine="210" w:firstLineChars="0"/>
      <w:textAlignment w:val="auto"/>
    </w:pPr>
    <w:rPr>
      <w:kern w:val="2"/>
      <w:sz w:val="21"/>
    </w:rPr>
  </w:style>
  <w:style w:type="paragraph" w:styleId="29">
    <w:name w:val="List 2"/>
    <w:basedOn w:val="1"/>
    <w:qFormat/>
    <w:uiPriority w:val="0"/>
    <w:pPr>
      <w:adjustRightInd/>
      <w:spacing w:line="240" w:lineRule="auto"/>
      <w:ind w:left="840" w:hanging="420"/>
      <w:textAlignment w:val="auto"/>
    </w:pPr>
    <w:rPr>
      <w:kern w:val="2"/>
    </w:rPr>
  </w:style>
  <w:style w:type="paragraph" w:styleId="30">
    <w:name w:val="Block Text"/>
    <w:basedOn w:val="1"/>
    <w:qFormat/>
    <w:uiPriority w:val="0"/>
    <w:pPr>
      <w:adjustRightInd/>
      <w:spacing w:before="120" w:after="120"/>
      <w:ind w:left="630" w:right="202" w:firstLine="0"/>
      <w:textAlignment w:val="auto"/>
    </w:pPr>
    <w:rPr>
      <w:rFonts w:ascii="宋体"/>
      <w:kern w:val="2"/>
    </w:rPr>
  </w:style>
  <w:style w:type="paragraph" w:styleId="31">
    <w:name w:val="toc 5"/>
    <w:basedOn w:val="1"/>
    <w:next w:val="1"/>
    <w:qFormat/>
    <w:uiPriority w:val="0"/>
    <w:pPr>
      <w:adjustRightInd/>
      <w:spacing w:line="240" w:lineRule="auto"/>
      <w:ind w:left="1680" w:leftChars="800" w:firstLine="0"/>
      <w:textAlignment w:val="auto"/>
    </w:pPr>
    <w:rPr>
      <w:kern w:val="2"/>
      <w:sz w:val="21"/>
    </w:rPr>
  </w:style>
  <w:style w:type="paragraph" w:styleId="32">
    <w:name w:val="toc 3"/>
    <w:basedOn w:val="1"/>
    <w:next w:val="1"/>
    <w:qFormat/>
    <w:uiPriority w:val="39"/>
    <w:pPr>
      <w:ind w:left="840" w:leftChars="400"/>
    </w:pPr>
  </w:style>
  <w:style w:type="paragraph" w:styleId="33">
    <w:name w:val="Plain Text"/>
    <w:basedOn w:val="1"/>
    <w:link w:val="89"/>
    <w:qFormat/>
    <w:uiPriority w:val="0"/>
    <w:pPr>
      <w:adjustRightInd/>
      <w:spacing w:line="240" w:lineRule="auto"/>
      <w:ind w:firstLine="0"/>
      <w:textAlignment w:val="auto"/>
    </w:pPr>
    <w:rPr>
      <w:rFonts w:ascii="宋体" w:hAnsi="Courier New"/>
      <w:kern w:val="2"/>
      <w:sz w:val="21"/>
    </w:rPr>
  </w:style>
  <w:style w:type="paragraph" w:styleId="34">
    <w:name w:val="List Bullet 5"/>
    <w:basedOn w:val="1"/>
    <w:qFormat/>
    <w:uiPriority w:val="0"/>
    <w:pPr>
      <w:tabs>
        <w:tab w:val="left" w:pos="2040"/>
      </w:tabs>
      <w:adjustRightInd/>
      <w:spacing w:line="240" w:lineRule="auto"/>
      <w:ind w:left="2040" w:leftChars="800" w:hanging="360" w:hangingChars="200"/>
      <w:textAlignment w:val="auto"/>
    </w:pPr>
    <w:rPr>
      <w:rFonts w:hAnsi="宋体"/>
      <w:snapToGrid w:val="0"/>
      <w:color w:val="000000"/>
      <w:kern w:val="2"/>
      <w:sz w:val="21"/>
      <w:szCs w:val="24"/>
    </w:rPr>
  </w:style>
  <w:style w:type="paragraph" w:styleId="35">
    <w:name w:val="toc 8"/>
    <w:basedOn w:val="1"/>
    <w:next w:val="1"/>
    <w:qFormat/>
    <w:uiPriority w:val="0"/>
    <w:pPr>
      <w:adjustRightInd/>
      <w:spacing w:line="240" w:lineRule="auto"/>
      <w:ind w:left="2940" w:leftChars="1400" w:firstLine="0"/>
      <w:textAlignment w:val="auto"/>
    </w:pPr>
    <w:rPr>
      <w:kern w:val="2"/>
      <w:sz w:val="21"/>
    </w:rPr>
  </w:style>
  <w:style w:type="paragraph" w:styleId="36">
    <w:name w:val="Date"/>
    <w:basedOn w:val="1"/>
    <w:next w:val="1"/>
    <w:link w:val="90"/>
    <w:qFormat/>
    <w:uiPriority w:val="0"/>
    <w:pPr>
      <w:ind w:left="100" w:leftChars="2500"/>
    </w:pPr>
  </w:style>
  <w:style w:type="paragraph" w:styleId="37">
    <w:name w:val="Body Text Indent 2"/>
    <w:basedOn w:val="1"/>
    <w:link w:val="91"/>
    <w:qFormat/>
    <w:uiPriority w:val="0"/>
    <w:pPr>
      <w:ind w:firstLine="510"/>
    </w:pPr>
  </w:style>
  <w:style w:type="paragraph" w:styleId="38">
    <w:name w:val="Balloon Text"/>
    <w:basedOn w:val="1"/>
    <w:link w:val="92"/>
    <w:qFormat/>
    <w:uiPriority w:val="0"/>
    <w:pPr>
      <w:adjustRightInd/>
      <w:spacing w:line="240" w:lineRule="auto"/>
      <w:ind w:firstLine="0"/>
      <w:textAlignment w:val="auto"/>
    </w:pPr>
    <w:rPr>
      <w:kern w:val="2"/>
      <w:sz w:val="18"/>
      <w:szCs w:val="18"/>
    </w:rPr>
  </w:style>
  <w:style w:type="paragraph" w:styleId="39">
    <w:name w:val="footer"/>
    <w:basedOn w:val="1"/>
    <w:link w:val="69"/>
    <w:qFormat/>
    <w:uiPriority w:val="99"/>
    <w:pPr>
      <w:tabs>
        <w:tab w:val="center" w:pos="4153"/>
        <w:tab w:val="right" w:pos="8306"/>
      </w:tabs>
      <w:snapToGrid w:val="0"/>
      <w:spacing w:line="240" w:lineRule="auto"/>
      <w:jc w:val="left"/>
    </w:pPr>
    <w:rPr>
      <w:sz w:val="18"/>
      <w:szCs w:val="18"/>
    </w:rPr>
  </w:style>
  <w:style w:type="paragraph" w:styleId="40">
    <w:name w:val="header"/>
    <w:basedOn w:val="1"/>
    <w:link w:val="9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1">
    <w:name w:val="toc 1"/>
    <w:basedOn w:val="1"/>
    <w:next w:val="1"/>
    <w:qFormat/>
    <w:uiPriority w:val="39"/>
    <w:pPr>
      <w:tabs>
        <w:tab w:val="right" w:leader="dot" w:pos="8931"/>
      </w:tabs>
      <w:ind w:firstLine="0"/>
    </w:pPr>
    <w:rPr>
      <w:rFonts w:ascii="黑体" w:hAnsi="黑体" w:eastAsia="黑体"/>
      <w:b/>
    </w:rPr>
  </w:style>
  <w:style w:type="paragraph" w:styleId="42">
    <w:name w:val="toc 4"/>
    <w:basedOn w:val="1"/>
    <w:next w:val="1"/>
    <w:qFormat/>
    <w:uiPriority w:val="0"/>
    <w:pPr>
      <w:adjustRightInd/>
      <w:spacing w:line="240" w:lineRule="auto"/>
      <w:ind w:left="1260" w:leftChars="600" w:firstLine="0"/>
      <w:textAlignment w:val="auto"/>
    </w:pPr>
    <w:rPr>
      <w:kern w:val="2"/>
      <w:sz w:val="21"/>
    </w:rPr>
  </w:style>
  <w:style w:type="paragraph" w:styleId="43">
    <w:name w:val="index heading"/>
    <w:basedOn w:val="1"/>
    <w:next w:val="44"/>
    <w:qFormat/>
    <w:uiPriority w:val="0"/>
    <w:pPr>
      <w:spacing w:line="460" w:lineRule="exact"/>
      <w:ind w:firstLine="510"/>
      <w:jc w:val="left"/>
    </w:pPr>
  </w:style>
  <w:style w:type="paragraph" w:styleId="44">
    <w:name w:val="index 1"/>
    <w:basedOn w:val="1"/>
    <w:next w:val="1"/>
    <w:qFormat/>
    <w:uiPriority w:val="0"/>
    <w:pPr>
      <w:spacing w:line="360" w:lineRule="atLeast"/>
      <w:ind w:firstLine="0"/>
      <w:jc w:val="left"/>
    </w:pPr>
  </w:style>
  <w:style w:type="paragraph" w:styleId="45">
    <w:name w:val="Subtitle"/>
    <w:basedOn w:val="1"/>
    <w:next w:val="1"/>
    <w:link w:val="94"/>
    <w:qFormat/>
    <w:uiPriority w:val="0"/>
    <w:pPr>
      <w:adjustRightInd/>
      <w:spacing w:before="240" w:after="60" w:line="312" w:lineRule="auto"/>
      <w:ind w:firstLine="0"/>
      <w:jc w:val="center"/>
      <w:textAlignment w:val="auto"/>
      <w:outlineLvl w:val="1"/>
    </w:pPr>
    <w:rPr>
      <w:rFonts w:ascii="Cambria" w:hAnsi="Cambria"/>
      <w:b/>
      <w:bCs/>
      <w:kern w:val="28"/>
      <w:sz w:val="32"/>
      <w:szCs w:val="32"/>
    </w:rPr>
  </w:style>
  <w:style w:type="paragraph" w:styleId="46">
    <w:name w:val="List"/>
    <w:basedOn w:val="1"/>
    <w:qFormat/>
    <w:uiPriority w:val="0"/>
    <w:pPr>
      <w:adjustRightInd/>
      <w:spacing w:line="240" w:lineRule="auto"/>
      <w:ind w:left="420" w:hanging="420"/>
      <w:textAlignment w:val="auto"/>
    </w:pPr>
    <w:rPr>
      <w:kern w:val="2"/>
      <w:sz w:val="21"/>
    </w:rPr>
  </w:style>
  <w:style w:type="paragraph" w:styleId="47">
    <w:name w:val="toc 6"/>
    <w:basedOn w:val="1"/>
    <w:next w:val="1"/>
    <w:qFormat/>
    <w:uiPriority w:val="0"/>
    <w:pPr>
      <w:adjustRightInd/>
      <w:spacing w:line="240" w:lineRule="auto"/>
      <w:ind w:left="2100" w:leftChars="1000" w:firstLine="0"/>
      <w:textAlignment w:val="auto"/>
    </w:pPr>
    <w:rPr>
      <w:kern w:val="2"/>
      <w:sz w:val="21"/>
    </w:rPr>
  </w:style>
  <w:style w:type="paragraph" w:styleId="48">
    <w:name w:val="List 5"/>
    <w:basedOn w:val="1"/>
    <w:qFormat/>
    <w:uiPriority w:val="0"/>
    <w:pPr>
      <w:adjustRightInd/>
      <w:spacing w:line="240" w:lineRule="auto"/>
      <w:ind w:left="2100" w:hanging="420"/>
      <w:textAlignment w:val="auto"/>
    </w:pPr>
    <w:rPr>
      <w:kern w:val="2"/>
      <w:sz w:val="21"/>
    </w:rPr>
  </w:style>
  <w:style w:type="paragraph" w:styleId="49">
    <w:name w:val="Body Text Indent 3"/>
    <w:basedOn w:val="1"/>
    <w:link w:val="95"/>
    <w:qFormat/>
    <w:uiPriority w:val="0"/>
    <w:pPr>
      <w:tabs>
        <w:tab w:val="left" w:pos="480"/>
      </w:tabs>
      <w:adjustRightInd/>
      <w:spacing w:line="390" w:lineRule="atLeast"/>
      <w:ind w:left="899" w:leftChars="428" w:firstLine="0"/>
      <w:textAlignment w:val="auto"/>
    </w:pPr>
    <w:rPr>
      <w:rFonts w:ascii="宋体"/>
      <w:color w:val="FF0000"/>
      <w:kern w:val="2"/>
      <w:szCs w:val="24"/>
    </w:rPr>
  </w:style>
  <w:style w:type="paragraph" w:styleId="50">
    <w:name w:val="table of figures"/>
    <w:basedOn w:val="1"/>
    <w:next w:val="1"/>
    <w:qFormat/>
    <w:uiPriority w:val="0"/>
    <w:pPr>
      <w:tabs>
        <w:tab w:val="left" w:pos="510"/>
      </w:tabs>
      <w:spacing w:line="240" w:lineRule="atLeast"/>
      <w:ind w:firstLine="0"/>
      <w:jc w:val="left"/>
    </w:pPr>
  </w:style>
  <w:style w:type="paragraph" w:styleId="51">
    <w:name w:val="toc 2"/>
    <w:basedOn w:val="1"/>
    <w:next w:val="1"/>
    <w:qFormat/>
    <w:uiPriority w:val="39"/>
    <w:pPr>
      <w:tabs>
        <w:tab w:val="left" w:pos="600"/>
        <w:tab w:val="right" w:leader="dot" w:pos="8931"/>
      </w:tabs>
      <w:ind w:firstLine="0"/>
    </w:pPr>
    <w:rPr>
      <w:rFonts w:ascii="宋体" w:hAnsi="宋体"/>
      <w:sz w:val="21"/>
    </w:rPr>
  </w:style>
  <w:style w:type="paragraph" w:styleId="52">
    <w:name w:val="toc 9"/>
    <w:basedOn w:val="1"/>
    <w:next w:val="1"/>
    <w:qFormat/>
    <w:uiPriority w:val="0"/>
    <w:pPr>
      <w:adjustRightInd/>
      <w:spacing w:line="240" w:lineRule="auto"/>
      <w:ind w:left="3360" w:leftChars="1600" w:firstLine="0"/>
      <w:textAlignment w:val="auto"/>
    </w:pPr>
    <w:rPr>
      <w:kern w:val="2"/>
      <w:sz w:val="21"/>
    </w:rPr>
  </w:style>
  <w:style w:type="paragraph" w:styleId="53">
    <w:name w:val="Body Text 2"/>
    <w:basedOn w:val="1"/>
    <w:link w:val="96"/>
    <w:qFormat/>
    <w:uiPriority w:val="0"/>
    <w:pPr>
      <w:adjustRightInd/>
      <w:spacing w:after="120" w:line="480" w:lineRule="auto"/>
      <w:ind w:firstLine="0"/>
      <w:textAlignment w:val="auto"/>
    </w:pPr>
    <w:rPr>
      <w:kern w:val="2"/>
      <w:sz w:val="21"/>
      <w:szCs w:val="24"/>
    </w:rPr>
  </w:style>
  <w:style w:type="paragraph" w:styleId="54">
    <w:name w:val="List 4"/>
    <w:basedOn w:val="1"/>
    <w:qFormat/>
    <w:uiPriority w:val="0"/>
    <w:pPr>
      <w:adjustRightInd/>
      <w:spacing w:line="240" w:lineRule="auto"/>
      <w:ind w:left="1680" w:hanging="420"/>
      <w:textAlignment w:val="auto"/>
    </w:pPr>
    <w:rPr>
      <w:kern w:val="2"/>
      <w:sz w:val="21"/>
    </w:rPr>
  </w:style>
  <w:style w:type="paragraph" w:styleId="55">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jc w:val="left"/>
      <w:textAlignment w:val="auto"/>
    </w:pPr>
    <w:rPr>
      <w:rFonts w:ascii="黑体" w:hAnsi="Courier New" w:eastAsia="黑体" w:cs="Tms Rmn"/>
      <w:snapToGrid w:val="0"/>
      <w:color w:val="000000"/>
      <w:sz w:val="20"/>
    </w:rPr>
  </w:style>
  <w:style w:type="paragraph" w:styleId="56">
    <w:name w:val="Normal (Web)"/>
    <w:basedOn w:val="1"/>
    <w:qFormat/>
    <w:uiPriority w:val="0"/>
    <w:pPr>
      <w:widowControl/>
      <w:adjustRightInd/>
      <w:spacing w:before="100" w:beforeAutospacing="1" w:after="100" w:afterAutospacing="1" w:line="240" w:lineRule="auto"/>
      <w:ind w:firstLine="0"/>
      <w:jc w:val="left"/>
      <w:textAlignment w:val="auto"/>
    </w:pPr>
    <w:rPr>
      <w:rFonts w:ascii="宋体" w:hAnsi="宋体"/>
      <w:color w:val="000000"/>
      <w:szCs w:val="24"/>
    </w:rPr>
  </w:style>
  <w:style w:type="paragraph" w:styleId="57">
    <w:name w:val="Title"/>
    <w:basedOn w:val="1"/>
    <w:next w:val="1"/>
    <w:link w:val="98"/>
    <w:qFormat/>
    <w:uiPriority w:val="0"/>
    <w:pPr>
      <w:snapToGrid w:val="0"/>
      <w:spacing w:before="120" w:after="120" w:line="520" w:lineRule="exact"/>
      <w:ind w:firstLine="0"/>
      <w:jc w:val="center"/>
      <w:textAlignment w:val="auto"/>
      <w:outlineLvl w:val="0"/>
    </w:pPr>
    <w:rPr>
      <w:rFonts w:ascii="黑体" w:eastAsia="黑体"/>
      <w:snapToGrid w:val="0"/>
      <w:sz w:val="28"/>
    </w:r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333333"/>
      <w:u w:val="none"/>
    </w:rPr>
  </w:style>
  <w:style w:type="character" w:styleId="62">
    <w:name w:val="Emphasis"/>
    <w:qFormat/>
    <w:uiPriority w:val="0"/>
    <w:rPr>
      <w:color w:val="CC0033"/>
    </w:rPr>
  </w:style>
  <w:style w:type="character" w:styleId="63">
    <w:name w:val="Hyperlink"/>
    <w:qFormat/>
    <w:uiPriority w:val="99"/>
    <w:rPr>
      <w:color w:val="333333"/>
      <w:u w:val="none"/>
    </w:rPr>
  </w:style>
  <w:style w:type="character" w:styleId="64">
    <w:name w:val="annotation reference"/>
    <w:qFormat/>
    <w:uiPriority w:val="0"/>
    <w:rPr>
      <w:sz w:val="21"/>
      <w:szCs w:val="21"/>
    </w:rPr>
  </w:style>
  <w:style w:type="table" w:styleId="66">
    <w:name w:val="Table Grid"/>
    <w:basedOn w:val="65"/>
    <w:qFormat/>
    <w:uiPriority w:val="0"/>
    <w:pPr>
      <w:widowControl w:val="0"/>
      <w:adjustRightInd w:val="0"/>
      <w:spacing w:line="360" w:lineRule="auto"/>
      <w:ind w:firstLine="482"/>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无间隔1"/>
    <w:qFormat/>
    <w:uiPriority w:val="0"/>
    <w:pPr>
      <w:widowControl w:val="0"/>
      <w:adjustRightInd w:val="0"/>
      <w:spacing w:after="160" w:line="278" w:lineRule="auto"/>
      <w:ind w:firstLine="482"/>
      <w:jc w:val="both"/>
      <w:textAlignment w:val="baseline"/>
    </w:pPr>
    <w:rPr>
      <w:rFonts w:ascii="Times New Roman" w:hAnsi="Times New Roman" w:eastAsia="宋体" w:cs="Times New Roman"/>
      <w:sz w:val="24"/>
      <w:lang w:val="en-US" w:eastAsia="zh-CN" w:bidi="ar-SA"/>
    </w:rPr>
  </w:style>
  <w:style w:type="paragraph" w:customStyle="1" w:styleId="68">
    <w:name w:val="Default"/>
    <w:link w:val="86"/>
    <w:qFormat/>
    <w:uiPriority w:val="0"/>
    <w:pPr>
      <w:widowControl w:val="0"/>
      <w:autoSpaceDE w:val="0"/>
      <w:autoSpaceDN w:val="0"/>
      <w:adjustRightInd w:val="0"/>
      <w:spacing w:after="160" w:line="278" w:lineRule="auto"/>
    </w:pPr>
    <w:rPr>
      <w:rFonts w:ascii=".." w:hAnsi="Times New Roman" w:eastAsia=".." w:cs="Times New Roman"/>
      <w:color w:val="000000"/>
      <w:sz w:val="24"/>
      <w:szCs w:val="24"/>
      <w:lang w:val="en-US" w:eastAsia="zh-CN" w:bidi="ar-SA"/>
    </w:rPr>
  </w:style>
  <w:style w:type="character" w:customStyle="1" w:styleId="69">
    <w:name w:val="页脚 字符"/>
    <w:link w:val="39"/>
    <w:qFormat/>
    <w:uiPriority w:val="99"/>
    <w:rPr>
      <w:rFonts w:eastAsia="宋体"/>
      <w:sz w:val="18"/>
      <w:szCs w:val="18"/>
      <w:lang w:val="en-US" w:eastAsia="zh-CN" w:bidi="ar-SA"/>
    </w:rPr>
  </w:style>
  <w:style w:type="character" w:customStyle="1" w:styleId="70">
    <w:name w:val="标题 1 字符"/>
    <w:link w:val="2"/>
    <w:qFormat/>
    <w:uiPriority w:val="0"/>
    <w:rPr>
      <w:rFonts w:eastAsia="宋体"/>
      <w:b/>
      <w:bCs/>
      <w:kern w:val="44"/>
      <w:sz w:val="44"/>
      <w:szCs w:val="44"/>
      <w:lang w:val="en-US" w:eastAsia="zh-CN" w:bidi="ar-SA"/>
    </w:rPr>
  </w:style>
  <w:style w:type="character" w:customStyle="1" w:styleId="71">
    <w:name w:val="标题 2 字符"/>
    <w:link w:val="3"/>
    <w:qFormat/>
    <w:uiPriority w:val="0"/>
    <w:rPr>
      <w:rFonts w:ascii="宋体" w:hAnsi="宋体"/>
      <w:b/>
      <w:bCs/>
      <w:sz w:val="28"/>
      <w:szCs w:val="30"/>
    </w:rPr>
  </w:style>
  <w:style w:type="character" w:customStyle="1" w:styleId="72">
    <w:name w:val="标题 3 字符"/>
    <w:link w:val="4"/>
    <w:qFormat/>
    <w:uiPriority w:val="0"/>
    <w:rPr>
      <w:rFonts w:eastAsia="宋体"/>
      <w:b/>
      <w:bCs/>
      <w:sz w:val="32"/>
      <w:szCs w:val="32"/>
      <w:lang w:val="en-US" w:eastAsia="zh-CN" w:bidi="ar-SA"/>
    </w:rPr>
  </w:style>
  <w:style w:type="character" w:customStyle="1" w:styleId="73">
    <w:name w:val="标题 4 字符"/>
    <w:link w:val="5"/>
    <w:qFormat/>
    <w:uiPriority w:val="0"/>
    <w:rPr>
      <w:rFonts w:ascii="宋体" w:eastAsia="宋体"/>
      <w:i/>
      <w:sz w:val="24"/>
      <w:lang w:val="en-US" w:eastAsia="zh-CN" w:bidi="ar-SA"/>
    </w:rPr>
  </w:style>
  <w:style w:type="character" w:customStyle="1" w:styleId="74">
    <w:name w:val="标题 5 字符"/>
    <w:link w:val="6"/>
    <w:qFormat/>
    <w:uiPriority w:val="0"/>
    <w:rPr>
      <w:rFonts w:eastAsia="宋体"/>
      <w:sz w:val="24"/>
      <w:lang w:val="en-US" w:eastAsia="zh-CN" w:bidi="ar-SA"/>
    </w:rPr>
  </w:style>
  <w:style w:type="character" w:customStyle="1" w:styleId="75">
    <w:name w:val="标题 6 字符"/>
    <w:link w:val="7"/>
    <w:qFormat/>
    <w:uiPriority w:val="0"/>
    <w:rPr>
      <w:rFonts w:ascii="Arial" w:hAnsi="Arial" w:eastAsia="黑体"/>
      <w:b/>
      <w:spacing w:val="20"/>
      <w:sz w:val="24"/>
      <w:lang w:val="en-US" w:eastAsia="zh-CN" w:bidi="ar-SA"/>
    </w:rPr>
  </w:style>
  <w:style w:type="character" w:customStyle="1" w:styleId="76">
    <w:name w:val="标题 7 字符"/>
    <w:link w:val="8"/>
    <w:qFormat/>
    <w:uiPriority w:val="0"/>
    <w:rPr>
      <w:rFonts w:eastAsia="仿宋体"/>
      <w:b/>
      <w:spacing w:val="20"/>
      <w:sz w:val="24"/>
      <w:lang w:val="en-US" w:eastAsia="zh-CN" w:bidi="ar-SA"/>
    </w:rPr>
  </w:style>
  <w:style w:type="character" w:customStyle="1" w:styleId="77">
    <w:name w:val="标题 8 字符"/>
    <w:link w:val="9"/>
    <w:qFormat/>
    <w:uiPriority w:val="0"/>
    <w:rPr>
      <w:rFonts w:ascii="Arial" w:hAnsi="Arial" w:eastAsia="黑体"/>
      <w:sz w:val="24"/>
      <w:szCs w:val="24"/>
      <w:lang w:val="en-US" w:eastAsia="zh-CN" w:bidi="ar-SA"/>
    </w:rPr>
  </w:style>
  <w:style w:type="character" w:customStyle="1" w:styleId="78">
    <w:name w:val="标题 9 字符"/>
    <w:link w:val="10"/>
    <w:qFormat/>
    <w:uiPriority w:val="0"/>
    <w:rPr>
      <w:rFonts w:ascii="Arial" w:hAnsi="Arial" w:eastAsia="黑体" w:cs="Times New Roman"/>
      <w:spacing w:val="20"/>
      <w:sz w:val="28"/>
    </w:rPr>
  </w:style>
  <w:style w:type="character" w:customStyle="1" w:styleId="79">
    <w:name w:val="注释标题 字符"/>
    <w:link w:val="18"/>
    <w:qFormat/>
    <w:uiPriority w:val="0"/>
    <w:rPr>
      <w:kern w:val="2"/>
      <w:sz w:val="18"/>
      <w:szCs w:val="18"/>
    </w:rPr>
  </w:style>
  <w:style w:type="character" w:customStyle="1" w:styleId="80">
    <w:name w:val="文档结构图 字符"/>
    <w:link w:val="22"/>
    <w:semiHidden/>
    <w:qFormat/>
    <w:uiPriority w:val="0"/>
    <w:rPr>
      <w:rFonts w:ascii="Times New Roman" w:hAnsi="Times New Roman" w:eastAsia="宋体" w:cs="Times New Roman"/>
      <w:sz w:val="24"/>
      <w:shd w:val="clear" w:color="auto" w:fill="000080"/>
    </w:rPr>
  </w:style>
  <w:style w:type="character" w:customStyle="1" w:styleId="81">
    <w:name w:val="批注文字 字符"/>
    <w:link w:val="13"/>
    <w:qFormat/>
    <w:uiPriority w:val="0"/>
    <w:rPr>
      <w:rFonts w:eastAsia="宋体"/>
      <w:sz w:val="24"/>
      <w:lang w:val="en-US" w:eastAsia="zh-CN" w:bidi="ar-SA"/>
    </w:rPr>
  </w:style>
  <w:style w:type="character" w:customStyle="1" w:styleId="82">
    <w:name w:val="称呼 字符"/>
    <w:link w:val="24"/>
    <w:qFormat/>
    <w:uiPriority w:val="0"/>
    <w:rPr>
      <w:rFonts w:ascii="Times New Roman" w:hAnsi="Times New Roman" w:eastAsia="宋体" w:cs="Times New Roman"/>
      <w:kern w:val="2"/>
      <w:sz w:val="24"/>
    </w:rPr>
  </w:style>
  <w:style w:type="character" w:customStyle="1" w:styleId="83">
    <w:name w:val="正文文本 3 字符"/>
    <w:link w:val="25"/>
    <w:qFormat/>
    <w:uiPriority w:val="0"/>
    <w:rPr>
      <w:kern w:val="2"/>
      <w:sz w:val="16"/>
      <w:szCs w:val="16"/>
    </w:rPr>
  </w:style>
  <w:style w:type="character" w:customStyle="1" w:styleId="84">
    <w:name w:val="结束语 字符"/>
    <w:link w:val="26"/>
    <w:qFormat/>
    <w:uiPriority w:val="0"/>
    <w:rPr>
      <w:rFonts w:ascii="Times New Roman" w:hAnsi="Times New Roman" w:eastAsia="宋体" w:cs="Times New Roman"/>
      <w:kern w:val="2"/>
      <w:sz w:val="24"/>
    </w:rPr>
  </w:style>
  <w:style w:type="character" w:customStyle="1" w:styleId="85">
    <w:name w:val="正文文本 字符"/>
    <w:link w:val="16"/>
    <w:qFormat/>
    <w:uiPriority w:val="0"/>
    <w:rPr>
      <w:rFonts w:ascii="黑体" w:hAnsi="宋体" w:eastAsia="黑体" w:cs="Wide Latin"/>
      <w:kern w:val="2"/>
      <w:sz w:val="144"/>
      <w:lang w:val="en-US" w:eastAsia="zh-CN" w:bidi="ar-SA"/>
    </w:rPr>
  </w:style>
  <w:style w:type="character" w:customStyle="1" w:styleId="86">
    <w:name w:val="Default Char Char"/>
    <w:link w:val="68"/>
    <w:qFormat/>
    <w:uiPriority w:val="0"/>
    <w:rPr>
      <w:rFonts w:ascii=".." w:eastAsia=".."/>
      <w:color w:val="000000"/>
      <w:sz w:val="24"/>
      <w:szCs w:val="24"/>
      <w:lang w:val="en-US" w:eastAsia="zh-CN" w:bidi="ar-SA"/>
    </w:rPr>
  </w:style>
  <w:style w:type="character" w:customStyle="1" w:styleId="87">
    <w:name w:val="正文文本缩进 字符"/>
    <w:link w:val="27"/>
    <w:qFormat/>
    <w:uiPriority w:val="0"/>
    <w:rPr>
      <w:rFonts w:eastAsia="宋体"/>
      <w:sz w:val="24"/>
      <w:lang w:val="en-US" w:eastAsia="zh-CN" w:bidi="ar-SA"/>
    </w:rPr>
  </w:style>
  <w:style w:type="character" w:customStyle="1" w:styleId="88">
    <w:name w:val="正文文本首行缩进 2 字符"/>
    <w:link w:val="28"/>
    <w:qFormat/>
    <w:uiPriority w:val="0"/>
    <w:rPr>
      <w:rFonts w:eastAsia="宋体"/>
      <w:kern w:val="2"/>
      <w:sz w:val="21"/>
      <w:lang w:val="en-US" w:eastAsia="zh-CN" w:bidi="ar-SA"/>
    </w:rPr>
  </w:style>
  <w:style w:type="character" w:customStyle="1" w:styleId="89">
    <w:name w:val="纯文本 字符"/>
    <w:link w:val="33"/>
    <w:qFormat/>
    <w:uiPriority w:val="0"/>
    <w:rPr>
      <w:rFonts w:ascii="宋体" w:hAnsi="Courier New" w:eastAsia="宋体"/>
      <w:kern w:val="2"/>
      <w:sz w:val="21"/>
      <w:lang w:val="en-US" w:eastAsia="zh-CN" w:bidi="ar-SA"/>
    </w:rPr>
  </w:style>
  <w:style w:type="character" w:customStyle="1" w:styleId="90">
    <w:name w:val="日期 字符"/>
    <w:link w:val="36"/>
    <w:qFormat/>
    <w:uiPriority w:val="0"/>
    <w:rPr>
      <w:rFonts w:eastAsia="宋体"/>
      <w:sz w:val="24"/>
      <w:lang w:val="en-US" w:eastAsia="zh-CN" w:bidi="ar-SA"/>
    </w:rPr>
  </w:style>
  <w:style w:type="character" w:customStyle="1" w:styleId="91">
    <w:name w:val="正文文本缩进 2 字符"/>
    <w:link w:val="37"/>
    <w:qFormat/>
    <w:uiPriority w:val="0"/>
    <w:rPr>
      <w:rFonts w:eastAsia="宋体"/>
      <w:sz w:val="24"/>
      <w:lang w:val="en-US" w:eastAsia="zh-CN" w:bidi="ar-SA"/>
    </w:rPr>
  </w:style>
  <w:style w:type="character" w:customStyle="1" w:styleId="92">
    <w:name w:val="批注框文本 字符"/>
    <w:link w:val="38"/>
    <w:qFormat/>
    <w:uiPriority w:val="0"/>
    <w:rPr>
      <w:rFonts w:eastAsia="宋体"/>
      <w:kern w:val="2"/>
      <w:sz w:val="18"/>
      <w:szCs w:val="18"/>
      <w:lang w:val="en-US" w:eastAsia="zh-CN" w:bidi="ar-SA"/>
    </w:rPr>
  </w:style>
  <w:style w:type="character" w:customStyle="1" w:styleId="93">
    <w:name w:val="页眉 字符"/>
    <w:link w:val="40"/>
    <w:qFormat/>
    <w:uiPriority w:val="99"/>
    <w:rPr>
      <w:rFonts w:eastAsia="宋体"/>
      <w:sz w:val="18"/>
      <w:szCs w:val="18"/>
      <w:lang w:val="en-US" w:eastAsia="zh-CN" w:bidi="ar-SA"/>
    </w:rPr>
  </w:style>
  <w:style w:type="character" w:customStyle="1" w:styleId="94">
    <w:name w:val="副标题 字符"/>
    <w:link w:val="45"/>
    <w:qFormat/>
    <w:locked/>
    <w:uiPriority w:val="0"/>
    <w:rPr>
      <w:rFonts w:ascii="Cambria" w:hAnsi="Cambria"/>
      <w:b/>
      <w:bCs/>
      <w:kern w:val="28"/>
      <w:sz w:val="32"/>
      <w:szCs w:val="32"/>
    </w:rPr>
  </w:style>
  <w:style w:type="character" w:customStyle="1" w:styleId="95">
    <w:name w:val="正文文本缩进 3 字符"/>
    <w:link w:val="49"/>
    <w:qFormat/>
    <w:uiPriority w:val="0"/>
    <w:rPr>
      <w:rFonts w:ascii="宋体" w:eastAsia="宋体"/>
      <w:color w:val="FF0000"/>
      <w:kern w:val="2"/>
      <w:sz w:val="24"/>
      <w:szCs w:val="24"/>
      <w:lang w:val="en-US" w:eastAsia="zh-CN" w:bidi="ar-SA"/>
    </w:rPr>
  </w:style>
  <w:style w:type="character" w:customStyle="1" w:styleId="96">
    <w:name w:val="正文文本 2 字符"/>
    <w:link w:val="53"/>
    <w:qFormat/>
    <w:uiPriority w:val="0"/>
    <w:rPr>
      <w:kern w:val="2"/>
      <w:sz w:val="21"/>
      <w:szCs w:val="24"/>
      <w:lang w:bidi="ar-SA"/>
    </w:rPr>
  </w:style>
  <w:style w:type="character" w:customStyle="1" w:styleId="97">
    <w:name w:val="HTML 预设格式 字符"/>
    <w:link w:val="55"/>
    <w:qFormat/>
    <w:uiPriority w:val="0"/>
    <w:rPr>
      <w:rFonts w:ascii="黑体" w:hAnsi="Courier New" w:eastAsia="黑体" w:cs="Tms Rmn"/>
      <w:snapToGrid w:val="0"/>
      <w:color w:val="000000"/>
    </w:rPr>
  </w:style>
  <w:style w:type="character" w:customStyle="1" w:styleId="98">
    <w:name w:val="标题 字符"/>
    <w:link w:val="57"/>
    <w:qFormat/>
    <w:uiPriority w:val="0"/>
    <w:rPr>
      <w:rFonts w:ascii="黑体" w:eastAsia="黑体"/>
      <w:snapToGrid w:val="0"/>
      <w:sz w:val="28"/>
      <w:lang w:bidi="ar-SA"/>
    </w:rPr>
  </w:style>
  <w:style w:type="character" w:customStyle="1" w:styleId="99">
    <w:name w:val="批注主题 字符"/>
    <w:link w:val="12"/>
    <w:qFormat/>
    <w:uiPriority w:val="0"/>
    <w:rPr>
      <w:rFonts w:eastAsia="宋体"/>
      <w:b/>
      <w:bCs/>
      <w:kern w:val="2"/>
      <w:sz w:val="21"/>
      <w:lang w:val="en-US" w:eastAsia="zh-CN" w:bidi="ar-SA"/>
    </w:rPr>
  </w:style>
  <w:style w:type="character" w:customStyle="1" w:styleId="100">
    <w:name w:val="正文文本首行缩进 字符"/>
    <w:link w:val="15"/>
    <w:qFormat/>
    <w:uiPriority w:val="0"/>
    <w:rPr>
      <w:rFonts w:ascii="黑体" w:hAnsi="宋体" w:eastAsia="黑体" w:cs="Wide Latin"/>
      <w:kern w:val="2"/>
      <w:sz w:val="21"/>
      <w:lang w:val="en-US" w:eastAsia="zh-CN" w:bidi="ar-SA"/>
    </w:rPr>
  </w:style>
  <w:style w:type="paragraph" w:customStyle="1" w:styleId="101">
    <w:name w:val="样式4"/>
    <w:basedOn w:val="1"/>
    <w:next w:val="1"/>
    <w:qFormat/>
    <w:uiPriority w:val="0"/>
    <w:pPr>
      <w:adjustRightInd/>
      <w:ind w:firstLine="425" w:firstLineChars="177"/>
      <w:jc w:val="left"/>
      <w:textAlignment w:val="auto"/>
    </w:pPr>
    <w:rPr>
      <w:kern w:val="2"/>
    </w:rPr>
  </w:style>
  <w:style w:type="character" w:customStyle="1" w:styleId="102">
    <w:name w:val="节标题 1.1 Char Char"/>
    <w:qFormat/>
    <w:uiPriority w:val="0"/>
    <w:rPr>
      <w:rFonts w:ascii="宋体" w:eastAsia="宋体"/>
      <w:b/>
      <w:kern w:val="44"/>
      <w:sz w:val="28"/>
      <w:lang w:val="en-US" w:eastAsia="zh-CN" w:bidi="ar-SA"/>
    </w:rPr>
  </w:style>
  <w:style w:type="character" w:customStyle="1" w:styleId="103">
    <w:name w:val="样式 标题 1 + 加粗 Char"/>
    <w:qFormat/>
    <w:uiPriority w:val="0"/>
    <w:rPr>
      <w:rFonts w:eastAsia="黑体"/>
      <w:b/>
      <w:bCs/>
      <w:spacing w:val="-20"/>
      <w:kern w:val="2"/>
      <w:sz w:val="28"/>
      <w:szCs w:val="28"/>
      <w:lang w:val="en-US" w:eastAsia="zh-CN" w:bidi="ar-SA"/>
    </w:rPr>
  </w:style>
  <w:style w:type="character" w:customStyle="1" w:styleId="104">
    <w:name w:val="Char Char13"/>
    <w:qFormat/>
    <w:uiPriority w:val="0"/>
    <w:rPr>
      <w:rFonts w:eastAsia="宋体"/>
      <w:kern w:val="2"/>
      <w:sz w:val="18"/>
      <w:szCs w:val="18"/>
      <w:lang w:val="en-US" w:eastAsia="zh-CN" w:bidi="ar-SA"/>
    </w:rPr>
  </w:style>
  <w:style w:type="character" w:customStyle="1" w:styleId="105">
    <w:name w:val="正文首行缩进2字 Char"/>
    <w:link w:val="106"/>
    <w:qFormat/>
    <w:uiPriority w:val="0"/>
    <w:rPr>
      <w:rFonts w:eastAsia="楷体_GB2312"/>
      <w:sz w:val="28"/>
      <w:szCs w:val="24"/>
      <w:lang w:bidi="ar-SA"/>
    </w:rPr>
  </w:style>
  <w:style w:type="paragraph" w:customStyle="1" w:styleId="106">
    <w:name w:val="正文首行缩进2字"/>
    <w:basedOn w:val="1"/>
    <w:link w:val="105"/>
    <w:qFormat/>
    <w:uiPriority w:val="0"/>
    <w:pPr>
      <w:adjustRightInd/>
      <w:spacing w:line="240" w:lineRule="auto"/>
      <w:ind w:firstLine="560" w:firstLineChars="200"/>
      <w:textAlignment w:val="auto"/>
    </w:pPr>
    <w:rPr>
      <w:rFonts w:eastAsia="楷体_GB2312"/>
      <w:sz w:val="28"/>
      <w:szCs w:val="24"/>
    </w:rPr>
  </w:style>
  <w:style w:type="character" w:customStyle="1" w:styleId="107">
    <w:name w:val="Char Char21"/>
    <w:qFormat/>
    <w:uiPriority w:val="0"/>
    <w:rPr>
      <w:rFonts w:ascii="Cambria" w:hAnsi="Cambria" w:eastAsia="宋体"/>
      <w:color w:val="365F91"/>
      <w:sz w:val="24"/>
      <w:szCs w:val="24"/>
      <w:lang w:bidi="ar-SA"/>
    </w:rPr>
  </w:style>
  <w:style w:type="character" w:customStyle="1" w:styleId="108">
    <w:name w:val="页脚 Char"/>
    <w:qFormat/>
    <w:uiPriority w:val="99"/>
    <w:rPr>
      <w:kern w:val="2"/>
      <w:sz w:val="18"/>
      <w:szCs w:val="18"/>
    </w:rPr>
  </w:style>
  <w:style w:type="character" w:customStyle="1" w:styleId="109">
    <w:name w:val="正文加重首行缩进2字 Char"/>
    <w:link w:val="110"/>
    <w:qFormat/>
    <w:uiPriority w:val="0"/>
    <w:rPr>
      <w:rFonts w:eastAsia="楷体_GB2312"/>
      <w:b/>
      <w:bCs/>
      <w:sz w:val="28"/>
      <w:szCs w:val="24"/>
      <w:lang w:bidi="ar-SA"/>
    </w:rPr>
  </w:style>
  <w:style w:type="paragraph" w:customStyle="1" w:styleId="110">
    <w:name w:val="正文加重首行缩进2字"/>
    <w:basedOn w:val="106"/>
    <w:link w:val="109"/>
    <w:qFormat/>
    <w:uiPriority w:val="0"/>
    <w:rPr>
      <w:b/>
      <w:bCs/>
    </w:rPr>
  </w:style>
  <w:style w:type="character" w:customStyle="1" w:styleId="111">
    <w:name w:val="Default Char"/>
    <w:qFormat/>
    <w:uiPriority w:val="0"/>
    <w:rPr>
      <w:rFonts w:ascii="宋体" w:cs="宋体"/>
      <w:color w:val="000000"/>
      <w:sz w:val="24"/>
      <w:szCs w:val="24"/>
      <w:lang w:val="en-US" w:eastAsia="zh-CN" w:bidi="ar-SA"/>
    </w:rPr>
  </w:style>
  <w:style w:type="character" w:customStyle="1" w:styleId="112">
    <w:name w:val="Footer-Even Char"/>
    <w:qFormat/>
    <w:uiPriority w:val="0"/>
    <w:rPr>
      <w:rFonts w:eastAsia="宋体"/>
      <w:sz w:val="18"/>
      <w:szCs w:val="18"/>
      <w:lang w:val="en-US" w:eastAsia="zh-CN" w:bidi="ar-SA"/>
    </w:rPr>
  </w:style>
  <w:style w:type="character" w:customStyle="1" w:styleId="113">
    <w:name w:val="技术规范书正文 Char"/>
    <w:link w:val="114"/>
    <w:qFormat/>
    <w:uiPriority w:val="0"/>
    <w:rPr>
      <w:rFonts w:eastAsia="Times New Roman"/>
      <w:kern w:val="2"/>
      <w:sz w:val="24"/>
      <w:szCs w:val="24"/>
      <w:lang w:val="en-US" w:eastAsia="zh-CN" w:bidi="ar-SA"/>
    </w:rPr>
  </w:style>
  <w:style w:type="paragraph" w:customStyle="1" w:styleId="114">
    <w:name w:val="技术规范书正文"/>
    <w:link w:val="113"/>
    <w:qFormat/>
    <w:uiPriority w:val="0"/>
    <w:pPr>
      <w:snapToGrid w:val="0"/>
      <w:spacing w:after="160" w:line="360" w:lineRule="auto"/>
    </w:pPr>
    <w:rPr>
      <w:rFonts w:ascii="Times New Roman" w:hAnsi="Times New Roman" w:eastAsia="Times New Roman" w:cs="Times New Roman"/>
      <w:kern w:val="2"/>
      <w:sz w:val="24"/>
      <w:szCs w:val="24"/>
      <w:lang w:val="en-US" w:eastAsia="zh-CN" w:bidi="ar-SA"/>
    </w:rPr>
  </w:style>
  <w:style w:type="character" w:customStyle="1" w:styleId="115">
    <w:name w:val="样式 仿宋_GB2312"/>
    <w:qFormat/>
    <w:uiPriority w:val="0"/>
    <w:rPr>
      <w:rFonts w:ascii="仿宋_GB2312" w:hAnsi="仿宋_GB2312" w:eastAsia="仿宋_GB2312"/>
    </w:rPr>
  </w:style>
  <w:style w:type="character" w:customStyle="1" w:styleId="116">
    <w:name w:val="IBM 正文 Char"/>
    <w:link w:val="117"/>
    <w:qFormat/>
    <w:uiPriority w:val="0"/>
    <w:rPr>
      <w:kern w:val="2"/>
      <w:sz w:val="24"/>
      <w:lang w:bidi="ar-SA"/>
    </w:rPr>
  </w:style>
  <w:style w:type="paragraph" w:customStyle="1" w:styleId="117">
    <w:name w:val="IBM 正文"/>
    <w:basedOn w:val="1"/>
    <w:link w:val="116"/>
    <w:qFormat/>
    <w:uiPriority w:val="0"/>
    <w:pPr>
      <w:adjustRightInd/>
      <w:spacing w:before="20" w:line="360" w:lineRule="atLeast"/>
      <w:ind w:firstLine="0"/>
      <w:textAlignment w:val="auto"/>
    </w:pPr>
    <w:rPr>
      <w:kern w:val="2"/>
    </w:rPr>
  </w:style>
  <w:style w:type="character" w:customStyle="1" w:styleId="118">
    <w:name w:val="line201"/>
    <w:qFormat/>
    <w:uiPriority w:val="0"/>
  </w:style>
  <w:style w:type="character" w:customStyle="1" w:styleId="119">
    <w:name w:val="标题 2 Char"/>
    <w:qFormat/>
    <w:uiPriority w:val="0"/>
    <w:rPr>
      <w:rFonts w:hint="eastAsia" w:ascii="宋体" w:hAnsi="宋体" w:eastAsia="宋体"/>
      <w:b/>
      <w:kern w:val="2"/>
      <w:sz w:val="24"/>
      <w:lang w:val="en-US" w:eastAsia="zh-CN" w:bidi="ar-SA"/>
    </w:rPr>
  </w:style>
  <w:style w:type="character" w:customStyle="1" w:styleId="120">
    <w:name w:val="章节标题 Char"/>
    <w:qFormat/>
    <w:uiPriority w:val="0"/>
    <w:rPr>
      <w:rFonts w:ascii="Arial" w:hAnsi="Arial" w:eastAsia="宋体"/>
      <w:b/>
      <w:kern w:val="44"/>
      <w:sz w:val="28"/>
      <w:lang w:val="en-US" w:eastAsia="zh-CN" w:bidi="ar-SA"/>
    </w:rPr>
  </w:style>
  <w:style w:type="character" w:customStyle="1" w:styleId="121">
    <w:name w:val="webdict1"/>
    <w:qFormat/>
    <w:uiPriority w:val="0"/>
    <w:rPr>
      <w:b/>
      <w:bCs/>
    </w:rPr>
  </w:style>
  <w:style w:type="character" w:customStyle="1" w:styleId="122">
    <w:name w:val="标题1 Char"/>
    <w:qFormat/>
    <w:uiPriority w:val="0"/>
    <w:rPr>
      <w:rFonts w:ascii="Arial" w:hAnsi="Arial" w:eastAsia="宋体"/>
      <w:kern w:val="44"/>
      <w:sz w:val="28"/>
      <w:lang w:val="en-US" w:eastAsia="zh-CN" w:bidi="ar-SA"/>
    </w:rPr>
  </w:style>
  <w:style w:type="character" w:customStyle="1" w:styleId="123">
    <w:name w:val="z-窗体底端 字符"/>
    <w:link w:val="124"/>
    <w:qFormat/>
    <w:uiPriority w:val="0"/>
    <w:rPr>
      <w:rFonts w:eastAsia="宋体"/>
      <w:sz w:val="18"/>
      <w:szCs w:val="18"/>
      <w:lang w:val="en-US" w:eastAsia="zh-CN" w:bidi="ar-SA"/>
    </w:rPr>
  </w:style>
  <w:style w:type="paragraph" w:customStyle="1" w:styleId="124">
    <w:name w:val="z-窗体底端1"/>
    <w:basedOn w:val="1"/>
    <w:next w:val="1"/>
    <w:link w:val="123"/>
    <w:qFormat/>
    <w:uiPriority w:val="0"/>
    <w:pPr>
      <w:pBdr>
        <w:top w:val="single" w:color="auto" w:sz="6" w:space="1"/>
      </w:pBdr>
      <w:adjustRightInd/>
      <w:spacing w:line="240" w:lineRule="auto"/>
      <w:ind w:firstLine="0"/>
      <w:jc w:val="center"/>
      <w:textAlignment w:val="auto"/>
    </w:pPr>
    <w:rPr>
      <w:sz w:val="18"/>
      <w:szCs w:val="18"/>
    </w:rPr>
  </w:style>
  <w:style w:type="character" w:customStyle="1" w:styleId="125">
    <w:name w:val="正文符号1 Char"/>
    <w:link w:val="126"/>
    <w:qFormat/>
    <w:uiPriority w:val="0"/>
    <w:rPr>
      <w:rFonts w:eastAsia="楷体_GB2312"/>
      <w:sz w:val="28"/>
      <w:szCs w:val="24"/>
    </w:rPr>
  </w:style>
  <w:style w:type="paragraph" w:customStyle="1" w:styleId="126">
    <w:name w:val="正文符号1"/>
    <w:basedOn w:val="106"/>
    <w:link w:val="125"/>
    <w:qFormat/>
    <w:uiPriority w:val="0"/>
    <w:pPr>
      <w:tabs>
        <w:tab w:val="left" w:pos="960"/>
        <w:tab w:val="left" w:pos="1080"/>
        <w:tab w:val="left" w:pos="1740"/>
      </w:tabs>
      <w:ind w:left="960" w:firstLine="288" w:firstLineChars="0"/>
    </w:pPr>
  </w:style>
  <w:style w:type="character" w:customStyle="1" w:styleId="127">
    <w:name w:val="样式1 Char"/>
    <w:link w:val="128"/>
    <w:qFormat/>
    <w:uiPriority w:val="0"/>
    <w:rPr>
      <w:sz w:val="24"/>
    </w:rPr>
  </w:style>
  <w:style w:type="paragraph" w:customStyle="1" w:styleId="128">
    <w:name w:val="样式1"/>
    <w:basedOn w:val="1"/>
    <w:link w:val="127"/>
    <w:qFormat/>
    <w:uiPriority w:val="0"/>
  </w:style>
  <w:style w:type="character" w:customStyle="1" w:styleId="129">
    <w:name w:val="正文文本缩进 Char"/>
    <w:qFormat/>
    <w:uiPriority w:val="0"/>
    <w:rPr>
      <w:rFonts w:ascii="Times New Roman" w:hAnsi="Times New Roman"/>
      <w:kern w:val="2"/>
      <w:sz w:val="21"/>
    </w:rPr>
  </w:style>
  <w:style w:type="character" w:customStyle="1" w:styleId="130">
    <w:name w:val="正文 首行缩进:  2 字符 Char1"/>
    <w:link w:val="131"/>
    <w:qFormat/>
    <w:uiPriority w:val="0"/>
    <w:rPr>
      <w:rFonts w:ascii="Arial" w:hAnsi="Arial" w:eastAsia="楷体_GB2312"/>
      <w:sz w:val="28"/>
      <w:lang w:bidi="ar-SA"/>
    </w:rPr>
  </w:style>
  <w:style w:type="paragraph" w:customStyle="1" w:styleId="131">
    <w:name w:val="正文 首行缩进:  2 字符"/>
    <w:basedOn w:val="1"/>
    <w:link w:val="130"/>
    <w:qFormat/>
    <w:uiPriority w:val="0"/>
    <w:pPr>
      <w:adjustRightInd/>
      <w:spacing w:line="240" w:lineRule="auto"/>
      <w:ind w:firstLine="560" w:firstLineChars="200"/>
      <w:textAlignment w:val="auto"/>
    </w:pPr>
    <w:rPr>
      <w:rFonts w:ascii="Arial" w:hAnsi="Arial" w:eastAsia="楷体_GB2312"/>
      <w:sz w:val="28"/>
    </w:rPr>
  </w:style>
  <w:style w:type="character" w:customStyle="1" w:styleId="132">
    <w:name w:val="标题4 Char"/>
    <w:link w:val="133"/>
    <w:qFormat/>
    <w:uiPriority w:val="0"/>
    <w:rPr>
      <w:rFonts w:ascii="Arial" w:hAnsi="Arial" w:eastAsia="宋体"/>
      <w:b/>
      <w:sz w:val="24"/>
      <w:lang w:val="en-US" w:eastAsia="zh-CN" w:bidi="ar-SA"/>
    </w:rPr>
  </w:style>
  <w:style w:type="paragraph" w:customStyle="1" w:styleId="133">
    <w:name w:val="标题4"/>
    <w:basedOn w:val="5"/>
    <w:link w:val="132"/>
    <w:qFormat/>
    <w:uiPriority w:val="0"/>
    <w:pPr>
      <w:tabs>
        <w:tab w:val="left" w:pos="480"/>
        <w:tab w:val="left" w:pos="1140"/>
      </w:tabs>
      <w:ind w:left="1140" w:hanging="1140"/>
      <w:jc w:val="both"/>
    </w:pPr>
    <w:rPr>
      <w:rFonts w:ascii="Arial" w:hAnsi="Arial"/>
      <w:b/>
      <w:i w:val="0"/>
    </w:rPr>
  </w:style>
  <w:style w:type="character" w:customStyle="1" w:styleId="134">
    <w:name w:val="页眉 Char"/>
    <w:qFormat/>
    <w:uiPriority w:val="0"/>
    <w:rPr>
      <w:kern w:val="2"/>
      <w:sz w:val="18"/>
      <w:szCs w:val="18"/>
    </w:rPr>
  </w:style>
  <w:style w:type="character" w:customStyle="1" w:styleId="135">
    <w:name w:val="样式2 Char"/>
    <w:link w:val="136"/>
    <w:qFormat/>
    <w:uiPriority w:val="0"/>
    <w:rPr>
      <w:rFonts w:ascii="宋体" w:hAnsi="宋体" w:cs="TimesNewRomanPSMT"/>
      <w:b/>
      <w:sz w:val="24"/>
    </w:rPr>
  </w:style>
  <w:style w:type="paragraph" w:customStyle="1" w:styleId="136">
    <w:name w:val="样式2"/>
    <w:basedOn w:val="1"/>
    <w:link w:val="135"/>
    <w:qFormat/>
    <w:uiPriority w:val="0"/>
    <w:pPr>
      <w:autoSpaceDE w:val="0"/>
      <w:autoSpaceDN w:val="0"/>
      <w:jc w:val="left"/>
    </w:pPr>
    <w:rPr>
      <w:rFonts w:ascii="宋体" w:hAnsi="宋体"/>
      <w:b/>
    </w:rPr>
  </w:style>
  <w:style w:type="paragraph" w:customStyle="1" w:styleId="137">
    <w:name w:val="表题"/>
    <w:basedOn w:val="20"/>
    <w:qFormat/>
    <w:uiPriority w:val="0"/>
    <w:pPr>
      <w:spacing w:line="100" w:lineRule="atLeast"/>
      <w:ind w:firstLine="0"/>
      <w:jc w:val="center"/>
    </w:pPr>
    <w:rPr>
      <w:sz w:val="24"/>
    </w:rPr>
  </w:style>
  <w:style w:type="paragraph" w:customStyle="1" w:styleId="138">
    <w:name w:val="样式5"/>
    <w:basedOn w:val="1"/>
    <w:next w:val="1"/>
    <w:qFormat/>
    <w:uiPriority w:val="0"/>
    <w:pPr>
      <w:adjustRightInd/>
      <w:spacing w:line="240" w:lineRule="auto"/>
      <w:ind w:firstLine="0"/>
      <w:jc w:val="center"/>
      <w:textAlignment w:val="auto"/>
    </w:pPr>
    <w:rPr>
      <w:rFonts w:ascii="宋体" w:hAnsi="宋体"/>
      <w:kern w:val="2"/>
      <w:sz w:val="21"/>
      <w:szCs w:val="21"/>
    </w:rPr>
  </w:style>
  <w:style w:type="paragraph" w:customStyle="1" w:styleId="139">
    <w:name w:val="列表段落1"/>
    <w:basedOn w:val="1"/>
    <w:qFormat/>
    <w:uiPriority w:val="0"/>
    <w:pPr>
      <w:adjustRightInd/>
      <w:spacing w:line="240" w:lineRule="auto"/>
      <w:ind w:firstLine="420" w:firstLineChars="200"/>
      <w:textAlignment w:val="auto"/>
    </w:pPr>
    <w:rPr>
      <w:rFonts w:ascii="Calibri" w:hAnsi="Calibri"/>
      <w:kern w:val="2"/>
      <w:sz w:val="21"/>
      <w:szCs w:val="22"/>
    </w:rPr>
  </w:style>
  <w:style w:type="paragraph" w:customStyle="1" w:styleId="140">
    <w:name w:val="xl32"/>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Arial Unicode MS" w:hAnsi="Arial Unicode MS" w:eastAsia="Arial Unicode MS" w:cs="Arial Unicode MS"/>
      <w:sz w:val="18"/>
      <w:szCs w:val="18"/>
    </w:rPr>
  </w:style>
  <w:style w:type="paragraph" w:customStyle="1" w:styleId="141">
    <w:name w:val="样式 标题 2Heading 2 HiddenHeading 2 CCBSTitre3第一章 标题 2H2h2he..."/>
    <w:basedOn w:val="3"/>
    <w:qFormat/>
    <w:uiPriority w:val="0"/>
    <w:pPr>
      <w:tabs>
        <w:tab w:val="left" w:pos="538"/>
      </w:tabs>
      <w:adjustRightInd/>
      <w:spacing w:before="260" w:after="260" w:line="413" w:lineRule="auto"/>
      <w:ind w:left="538" w:hanging="567"/>
      <w:textAlignment w:val="auto"/>
    </w:pPr>
    <w:rPr>
      <w:rFonts w:ascii="Arial" w:hAnsi="Arial" w:eastAsia="黑体"/>
      <w:color w:val="000000"/>
      <w:kern w:val="2"/>
      <w:sz w:val="32"/>
      <w:szCs w:val="32"/>
    </w:rPr>
  </w:style>
  <w:style w:type="paragraph" w:customStyle="1" w:styleId="142">
    <w:name w:val="正文文本缩进 21"/>
    <w:basedOn w:val="1"/>
    <w:qFormat/>
    <w:uiPriority w:val="0"/>
    <w:pPr>
      <w:spacing w:before="120" w:after="120"/>
      <w:ind w:right="204" w:firstLine="425"/>
    </w:pPr>
    <w:rPr>
      <w:rFonts w:ascii="宋体"/>
    </w:rPr>
  </w:style>
  <w:style w:type="paragraph" w:customStyle="1" w:styleId="143">
    <w:name w:val="xl1230"/>
    <w:basedOn w:val="1"/>
    <w:qFormat/>
    <w:uiPriority w:val="0"/>
    <w:pPr>
      <w:widowControl/>
      <w:adjustRightInd/>
      <w:spacing w:before="100" w:after="100"/>
      <w:ind w:firstLine="0"/>
      <w:jc w:val="center"/>
      <w:textAlignment w:val="auto"/>
    </w:pPr>
    <w:rPr>
      <w:rFonts w:ascii="Arial Unicode MS" w:hAnsi="Arial Unicode MS" w:eastAsia="Arial Unicode MS"/>
      <w:sz w:val="20"/>
    </w:rPr>
  </w:style>
  <w:style w:type="paragraph" w:customStyle="1" w:styleId="144">
    <w:name w:val="样式 首行缩进:  2 字符"/>
    <w:basedOn w:val="1"/>
    <w:qFormat/>
    <w:uiPriority w:val="0"/>
    <w:pPr>
      <w:adjustRightInd/>
      <w:spacing w:line="430" w:lineRule="exact"/>
      <w:ind w:firstLine="0"/>
      <w:textAlignment w:val="center"/>
    </w:pPr>
    <w:rPr>
      <w:rFonts w:hAnsi="宋体" w:eastAsia="仿宋_GB2312"/>
      <w:snapToGrid w:val="0"/>
      <w:color w:val="000000"/>
      <w:kern w:val="2"/>
      <w:sz w:val="21"/>
      <w:szCs w:val="24"/>
      <w:lang w:val="en-GB"/>
    </w:rPr>
  </w:style>
  <w:style w:type="paragraph" w:customStyle="1" w:styleId="145">
    <w:name w:val="Standardabsatz"/>
    <w:qFormat/>
    <w:uiPriority w:val="0"/>
    <w:pPr>
      <w:spacing w:after="160" w:line="278" w:lineRule="auto"/>
      <w:jc w:val="both"/>
    </w:pPr>
    <w:rPr>
      <w:rFonts w:ascii="Courier 10 Pitch" w:hAnsi="Courier 10 Pitch" w:eastAsia="宋体" w:cs="Times New Roman"/>
      <w:szCs w:val="24"/>
      <w:lang w:val="de-DE" w:eastAsia="zh-CN" w:bidi="ar-SA"/>
    </w:rPr>
  </w:style>
  <w:style w:type="paragraph" w:customStyle="1" w:styleId="146">
    <w:name w:val="AONormal"/>
    <w:qFormat/>
    <w:uiPriority w:val="0"/>
    <w:pPr>
      <w:spacing w:after="160" w:line="260" w:lineRule="atLeast"/>
      <w:jc w:val="both"/>
    </w:pPr>
    <w:rPr>
      <w:rFonts w:ascii="Times New Roman" w:hAnsi="Times New Roman" w:eastAsia="宋体" w:cs="Times New Roman"/>
      <w:sz w:val="22"/>
      <w:lang w:val="en-GB" w:eastAsia="en-US" w:bidi="ar-SA"/>
    </w:rPr>
  </w:style>
  <w:style w:type="paragraph" w:customStyle="1" w:styleId="147">
    <w:name w:val="样式 Arial 左侧:  2 字符 行距: 固定值 29 磅"/>
    <w:basedOn w:val="1"/>
    <w:qFormat/>
    <w:uiPriority w:val="0"/>
    <w:pPr>
      <w:spacing w:line="500" w:lineRule="exact"/>
      <w:ind w:firstLine="200" w:firstLineChars="200"/>
    </w:pPr>
    <w:rPr>
      <w:rFonts w:ascii="Arial" w:hAnsi="Arial"/>
    </w:rPr>
  </w:style>
  <w:style w:type="paragraph" w:customStyle="1" w:styleId="148">
    <w:name w:val="正文文字"/>
    <w:basedOn w:val="1"/>
    <w:qFormat/>
    <w:uiPriority w:val="0"/>
    <w:pPr>
      <w:adjustRightInd/>
      <w:spacing w:line="240" w:lineRule="auto"/>
      <w:ind w:firstLine="0"/>
      <w:jc w:val="center"/>
      <w:textAlignment w:val="auto"/>
    </w:pPr>
    <w:rPr>
      <w:kern w:val="2"/>
      <w:sz w:val="48"/>
    </w:rPr>
  </w:style>
  <w:style w:type="paragraph" w:customStyle="1" w:styleId="149">
    <w:name w:val="para77"/>
    <w:qFormat/>
    <w:uiPriority w:val="0"/>
    <w:pPr>
      <w:widowControl w:val="0"/>
      <w:suppressLineNumbers/>
      <w:tabs>
        <w:tab w:val="left" w:pos="3060"/>
      </w:tabs>
      <w:autoSpaceDE w:val="0"/>
      <w:autoSpaceDN w:val="0"/>
      <w:adjustRightInd w:val="0"/>
      <w:spacing w:after="160" w:line="278" w:lineRule="auto"/>
      <w:ind w:left="3060" w:hanging="1560"/>
      <w:textAlignment w:val="baseline"/>
    </w:pPr>
    <w:rPr>
      <w:rFonts w:ascii="宋体" w:hAnsi="Times New Roman" w:eastAsia="宋体" w:cs="Times New Roman"/>
      <w:sz w:val="24"/>
      <w:lang w:val="en-US" w:eastAsia="zh-CN" w:bidi="ar-SA"/>
    </w:rPr>
  </w:style>
  <w:style w:type="paragraph" w:customStyle="1" w:styleId="150">
    <w:name w:val="尾注"/>
    <w:basedOn w:val="1"/>
    <w:qFormat/>
    <w:uiPriority w:val="0"/>
    <w:pPr>
      <w:spacing w:line="312" w:lineRule="atLeast"/>
      <w:ind w:firstLine="0"/>
    </w:pPr>
    <w:rPr>
      <w:sz w:val="28"/>
    </w:rPr>
  </w:style>
  <w:style w:type="paragraph" w:customStyle="1" w:styleId="151">
    <w:name w:val="Char"/>
    <w:basedOn w:val="3"/>
    <w:qFormat/>
    <w:uiPriority w:val="0"/>
  </w:style>
  <w:style w:type="paragraph" w:customStyle="1" w:styleId="152">
    <w:name w:val="Level (I)fo"/>
    <w:basedOn w:val="1"/>
    <w:qFormat/>
    <w:uiPriority w:val="0"/>
    <w:pPr>
      <w:widowControl/>
      <w:adjustRightInd/>
      <w:spacing w:before="240" w:line="240" w:lineRule="auto"/>
      <w:ind w:left="3600" w:firstLine="0"/>
      <w:jc w:val="left"/>
      <w:textAlignment w:val="auto"/>
    </w:pPr>
    <w:rPr>
      <w:rFonts w:ascii="Palatino" w:hAnsi="Palatino"/>
      <w:sz w:val="22"/>
      <w:lang w:val="en-AU"/>
    </w:rPr>
  </w:style>
  <w:style w:type="paragraph" w:customStyle="1" w:styleId="153">
    <w:name w:val="2.表内内容"/>
    <w:basedOn w:val="1"/>
    <w:qFormat/>
    <w:uiPriority w:val="0"/>
    <w:pPr>
      <w:spacing w:line="300" w:lineRule="exact"/>
      <w:ind w:firstLine="0"/>
    </w:pPr>
  </w:style>
  <w:style w:type="paragraph" w:customStyle="1" w:styleId="154">
    <w:name w:val="table87"/>
    <w:qFormat/>
    <w:uiPriority w:val="0"/>
    <w:pPr>
      <w:keepLines/>
      <w:widowControl w:val="0"/>
      <w:suppressLineNumbers/>
      <w:tabs>
        <w:tab w:val="left" w:pos="1200"/>
      </w:tabs>
      <w:autoSpaceDE w:val="0"/>
      <w:autoSpaceDN w:val="0"/>
      <w:adjustRightInd w:val="0"/>
      <w:spacing w:after="160" w:line="480" w:lineRule="auto"/>
      <w:textAlignment w:val="baseline"/>
    </w:pPr>
    <w:rPr>
      <w:rFonts w:ascii="宋体" w:hAnsi="Times New Roman" w:eastAsia="宋体" w:cs="Times New Roman"/>
      <w:b/>
      <w:sz w:val="24"/>
      <w:lang w:val="en-US" w:eastAsia="zh-CN" w:bidi="ar-SA"/>
    </w:rPr>
  </w:style>
  <w:style w:type="paragraph" w:customStyle="1" w:styleId="155">
    <w:name w:val="样式 Arial 小四 左 段前: 7.8 磅 行距: 1.5 倍行距"/>
    <w:basedOn w:val="1"/>
    <w:qFormat/>
    <w:uiPriority w:val="0"/>
    <w:pPr>
      <w:adjustRightInd/>
      <w:spacing w:beforeLines="25" w:afterLines="25" w:line="300" w:lineRule="auto"/>
      <w:ind w:firstLine="0"/>
      <w:jc w:val="left"/>
      <w:textAlignment w:val="auto"/>
    </w:pPr>
    <w:rPr>
      <w:rFonts w:ascii="Arial" w:hAnsi="Arial" w:cs="宋体"/>
      <w:kern w:val="2"/>
    </w:rPr>
  </w:style>
  <w:style w:type="paragraph" w:customStyle="1" w:styleId="156">
    <w:name w:val="gchh"/>
    <w:qFormat/>
    <w:uiPriority w:val="0"/>
    <w:pPr>
      <w:spacing w:before="60" w:after="60" w:line="0" w:lineRule="atLeast"/>
      <w:jc w:val="center"/>
    </w:pPr>
    <w:rPr>
      <w:rFonts w:ascii="宋体" w:hAnsi="Times New Roman" w:eastAsia="宋体" w:cs="Times New Roman"/>
      <w:bCs/>
      <w:sz w:val="24"/>
      <w:lang w:val="en-US" w:eastAsia="zh-CN" w:bidi="ar-SA"/>
    </w:rPr>
  </w:style>
  <w:style w:type="paragraph" w:customStyle="1" w:styleId="157">
    <w:name w:val="AOHead2"/>
    <w:basedOn w:val="1"/>
    <w:next w:val="158"/>
    <w:qFormat/>
    <w:uiPriority w:val="0"/>
    <w:pPr>
      <w:keepNext/>
      <w:widowControl/>
      <w:adjustRightInd/>
      <w:spacing w:before="300" w:after="100" w:afterAutospacing="1" w:line="400" w:lineRule="exact"/>
      <w:ind w:firstLine="0"/>
      <w:textAlignment w:val="auto"/>
      <w:outlineLvl w:val="1"/>
    </w:pPr>
    <w:rPr>
      <w:rFonts w:ascii="黑体" w:hAnsi="宋体" w:eastAsia="黑体"/>
      <w:b/>
      <w:bCs/>
      <w:color w:val="0000FF"/>
      <w:kern w:val="28"/>
      <w:sz w:val="28"/>
      <w:lang w:val="en-GB"/>
    </w:rPr>
  </w:style>
  <w:style w:type="paragraph" w:customStyle="1" w:styleId="158">
    <w:name w:val="AODocTxtL1"/>
    <w:basedOn w:val="1"/>
    <w:qFormat/>
    <w:uiPriority w:val="0"/>
    <w:pPr>
      <w:widowControl/>
      <w:adjustRightInd/>
      <w:spacing w:before="240" w:line="360" w:lineRule="exact"/>
      <w:ind w:left="840" w:leftChars="400" w:firstLine="0"/>
      <w:textAlignment w:val="auto"/>
    </w:pPr>
    <w:rPr>
      <w:rFonts w:ascii="宋体" w:hAnsi="宋体"/>
      <w:bCs/>
      <w:color w:val="FF0000"/>
      <w:kern w:val="28"/>
    </w:rPr>
  </w:style>
  <w:style w:type="paragraph" w:customStyle="1" w:styleId="15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auto"/>
    </w:pPr>
    <w:rPr>
      <w:rFonts w:ascii="Arial Unicode MS" w:hAnsi="Arial Unicode MS"/>
      <w:szCs w:val="24"/>
    </w:rPr>
  </w:style>
  <w:style w:type="paragraph" w:customStyle="1" w:styleId="160">
    <w:name w:val="正文小四"/>
    <w:basedOn w:val="1"/>
    <w:qFormat/>
    <w:uiPriority w:val="0"/>
    <w:pPr>
      <w:adjustRightInd/>
      <w:ind w:firstLine="480" w:firstLineChars="200"/>
      <w:textAlignment w:val="auto"/>
    </w:pPr>
    <w:rPr>
      <w:kern w:val="2"/>
    </w:rPr>
  </w:style>
  <w:style w:type="paragraph" w:customStyle="1" w:styleId="161">
    <w:name w:val="xl34"/>
    <w:basedOn w:val="1"/>
    <w:qFormat/>
    <w:uiPriority w:val="0"/>
    <w:pPr>
      <w:widowControl/>
      <w:pBdr>
        <w:bottom w:val="single" w:color="auto" w:sz="12" w:space="0"/>
      </w:pBdr>
      <w:adjustRightInd/>
      <w:spacing w:before="100" w:beforeAutospacing="1" w:after="100" w:afterAutospacing="1" w:line="240" w:lineRule="auto"/>
      <w:ind w:firstLine="0"/>
      <w:jc w:val="center"/>
      <w:textAlignment w:val="center"/>
    </w:pPr>
    <w:rPr>
      <w:rFonts w:ascii="宋体" w:hAnsi="宋体"/>
      <w:sz w:val="20"/>
    </w:rPr>
  </w:style>
  <w:style w:type="paragraph" w:customStyle="1" w:styleId="162">
    <w:name w:val="样式 样式 Arial 左侧:  2 字符 首行缩进:  0.97 厘米 行距: 固定值 29 磅 + 左侧:  -0 厘米 ..."/>
    <w:basedOn w:val="1"/>
    <w:qFormat/>
    <w:uiPriority w:val="0"/>
    <w:pPr>
      <w:spacing w:line="500" w:lineRule="exact"/>
      <w:ind w:firstLine="567"/>
    </w:pPr>
    <w:rPr>
      <w:rFonts w:ascii="Arial" w:hAnsi="Arial"/>
    </w:rPr>
  </w:style>
  <w:style w:type="paragraph" w:customStyle="1" w:styleId="163">
    <w:name w:val="Char Char Char Char Char Char Char Char Char Char Char Char Char Char Char Char"/>
    <w:basedOn w:val="1"/>
    <w:qFormat/>
    <w:uiPriority w:val="0"/>
    <w:pPr>
      <w:widowControl/>
      <w:adjustRightInd/>
      <w:spacing w:line="240" w:lineRule="auto"/>
      <w:ind w:firstLine="360"/>
      <w:jc w:val="left"/>
      <w:textAlignment w:val="auto"/>
    </w:pPr>
    <w:rPr>
      <w:rFonts w:ascii="Tahoma" w:hAnsi="Tahoma"/>
      <w:lang w:eastAsia="en-US" w:bidi="en-US"/>
    </w:rPr>
  </w:style>
  <w:style w:type="paragraph" w:customStyle="1" w:styleId="164">
    <w:name w:val="段落正文"/>
    <w:basedOn w:val="20"/>
    <w:qFormat/>
    <w:uiPriority w:val="0"/>
    <w:pPr>
      <w:adjustRightInd w:val="0"/>
      <w:snapToGrid w:val="0"/>
      <w:spacing w:line="360" w:lineRule="auto"/>
      <w:ind w:firstLine="200" w:firstLineChars="200"/>
    </w:pPr>
    <w:rPr>
      <w:rFonts w:ascii="楷体_GB2312" w:eastAsia="楷体_GB2312"/>
      <w:sz w:val="24"/>
    </w:rPr>
  </w:style>
  <w:style w:type="paragraph" w:customStyle="1" w:styleId="165">
    <w:name w:val="默认段落字体 Para Char Char Char Char Char"/>
    <w:basedOn w:val="1"/>
    <w:qFormat/>
    <w:uiPriority w:val="0"/>
    <w:pPr>
      <w:adjustRightInd/>
      <w:spacing w:line="240" w:lineRule="auto"/>
      <w:ind w:firstLine="0"/>
      <w:textAlignment w:val="auto"/>
    </w:pPr>
    <w:rPr>
      <w:kern w:val="2"/>
      <w:sz w:val="21"/>
      <w:szCs w:val="21"/>
    </w:rPr>
  </w:style>
  <w:style w:type="paragraph" w:customStyle="1" w:styleId="166">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spacing w:after="160" w:line="278" w:lineRule="auto"/>
      <w:ind w:right="-1540"/>
      <w:textAlignment w:val="baseline"/>
    </w:pPr>
    <w:rPr>
      <w:rFonts w:ascii="宋体" w:hAnsi="Times New Roman" w:eastAsia="宋体" w:cs="Times New Roman"/>
      <w:sz w:val="24"/>
      <w:lang w:val="en-US" w:eastAsia="zh-CN" w:bidi="ar-SA"/>
    </w:rPr>
  </w:style>
  <w:style w:type="paragraph" w:customStyle="1" w:styleId="167">
    <w:name w:val="TOC 标题1"/>
    <w:basedOn w:val="2"/>
    <w:next w:val="1"/>
    <w:qFormat/>
    <w:uiPriority w:val="0"/>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168">
    <w:name w:val="xl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Arial Unicode MS" w:hAnsi="Arial Unicode MS"/>
      <w:szCs w:val="24"/>
    </w:rPr>
  </w:style>
  <w:style w:type="paragraph" w:customStyle="1" w:styleId="169">
    <w:name w:val="tll"/>
    <w:basedOn w:val="1"/>
    <w:qFormat/>
    <w:uiPriority w:val="0"/>
    <w:pPr>
      <w:autoSpaceDE w:val="0"/>
      <w:autoSpaceDN w:val="0"/>
      <w:spacing w:line="240" w:lineRule="auto"/>
      <w:ind w:firstLine="0"/>
      <w:jc w:val="left"/>
    </w:pPr>
    <w:rPr>
      <w:rFonts w:ascii="仿宋_GB2312" w:hAnsi="Arial" w:eastAsia="仿宋_GB2312"/>
      <w:sz w:val="21"/>
    </w:rPr>
  </w:style>
  <w:style w:type="paragraph" w:customStyle="1" w:styleId="170">
    <w:name w:val="默认段落字体 Para Char Char Char Char"/>
    <w:basedOn w:val="1"/>
    <w:qFormat/>
    <w:uiPriority w:val="0"/>
    <w:pPr>
      <w:adjustRightInd/>
      <w:spacing w:line="240" w:lineRule="auto"/>
      <w:ind w:firstLine="0"/>
      <w:textAlignment w:val="auto"/>
    </w:pPr>
    <w:rPr>
      <w:kern w:val="2"/>
      <w:sz w:val="21"/>
      <w:szCs w:val="24"/>
    </w:rPr>
  </w:style>
  <w:style w:type="paragraph" w:customStyle="1" w:styleId="171">
    <w:name w:val="正文3"/>
    <w:qFormat/>
    <w:uiPriority w:val="0"/>
    <w:pPr>
      <w:tabs>
        <w:tab w:val="left" w:pos="960"/>
      </w:tabs>
      <w:spacing w:after="160" w:line="360" w:lineRule="auto"/>
      <w:ind w:left="960" w:hanging="960"/>
    </w:pPr>
    <w:rPr>
      <w:rFonts w:ascii="Times New Roman" w:hAnsi="Times New Roman" w:eastAsia="宋体" w:cs="Times New Roman"/>
      <w:sz w:val="24"/>
      <w:lang w:val="en-US" w:eastAsia="zh-CN" w:bidi="ar-SA"/>
    </w:rPr>
  </w:style>
  <w:style w:type="paragraph" w:customStyle="1" w:styleId="172">
    <w:name w:val="-正文 Char"/>
    <w:basedOn w:val="1"/>
    <w:qFormat/>
    <w:uiPriority w:val="0"/>
    <w:pPr>
      <w:widowControl/>
      <w:overflowPunct w:val="0"/>
      <w:autoSpaceDE w:val="0"/>
      <w:autoSpaceDN w:val="0"/>
      <w:ind w:firstLine="200"/>
      <w:jc w:val="left"/>
      <w:textAlignment w:val="auto"/>
    </w:pPr>
    <w:rPr>
      <w:rFonts w:ascii="Arial" w:hAnsi="Arial"/>
    </w:rPr>
  </w:style>
  <w:style w:type="paragraph" w:customStyle="1" w:styleId="173">
    <w:name w:val="xl33"/>
    <w:basedOn w:val="1"/>
    <w:qFormat/>
    <w:uiPriority w:val="0"/>
    <w:pPr>
      <w:widowControl/>
      <w:pBdr>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Arial Unicode MS" w:hAnsi="Arial Unicode MS" w:eastAsia="Arial Unicode MS" w:cs="Arial Unicode MS"/>
      <w:b/>
      <w:bCs/>
      <w:sz w:val="18"/>
      <w:szCs w:val="18"/>
    </w:rPr>
  </w:style>
  <w:style w:type="paragraph" w:customStyle="1" w:styleId="174">
    <w:name w:val="数字编号"/>
    <w:basedOn w:val="1"/>
    <w:qFormat/>
    <w:uiPriority w:val="0"/>
    <w:pPr>
      <w:tabs>
        <w:tab w:val="left" w:pos="3969"/>
      </w:tabs>
      <w:spacing w:before="120" w:line="300" w:lineRule="auto"/>
      <w:ind w:firstLine="567"/>
      <w:jc w:val="left"/>
    </w:pPr>
    <w:rPr>
      <w:position w:val="20"/>
      <w:sz w:val="28"/>
    </w:rPr>
  </w:style>
  <w:style w:type="paragraph" w:customStyle="1" w:styleId="175">
    <w:name w:val="表格侧编号"/>
    <w:next w:val="1"/>
    <w:qFormat/>
    <w:uiPriority w:val="0"/>
    <w:pPr>
      <w:widowControl w:val="0"/>
      <w:spacing w:after="160" w:line="320" w:lineRule="exact"/>
      <w:jc w:val="both"/>
    </w:pPr>
    <w:rPr>
      <w:rFonts w:ascii="宋体" w:hAnsi="宋体" w:eastAsia="宋体" w:cs="Times New Roman"/>
      <w:b/>
      <w:color w:val="000000"/>
      <w:kern w:val="2"/>
      <w:sz w:val="21"/>
      <w:szCs w:val="21"/>
      <w:lang w:val="en-US" w:eastAsia="zh-CN" w:bidi="ar-SA"/>
    </w:rPr>
  </w:style>
  <w:style w:type="paragraph" w:customStyle="1" w:styleId="176">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77">
    <w:name w:val="表格内正文"/>
    <w:qFormat/>
    <w:uiPriority w:val="0"/>
    <w:pPr>
      <w:spacing w:before="20" w:after="160" w:line="180" w:lineRule="atLeast"/>
      <w:jc w:val="center"/>
    </w:pPr>
    <w:rPr>
      <w:rFonts w:ascii="Arial" w:hAnsi="Arial" w:eastAsia="宋体" w:cs="Times New Roman"/>
      <w:sz w:val="24"/>
      <w:lang w:val="en-US" w:eastAsia="zh-CN" w:bidi="ar-SA"/>
    </w:rPr>
  </w:style>
  <w:style w:type="paragraph" w:customStyle="1" w:styleId="178">
    <w:name w:val="样式 标题 3Heading 3 - oldBold Headbhh3H3l3CT3rd levelLevel..."/>
    <w:basedOn w:val="4"/>
    <w:qFormat/>
    <w:uiPriority w:val="0"/>
    <w:pPr>
      <w:keepLines w:val="0"/>
      <w:widowControl/>
      <w:tabs>
        <w:tab w:val="left" w:pos="0"/>
      </w:tabs>
      <w:adjustRightInd/>
      <w:spacing w:before="240" w:after="120" w:line="240" w:lineRule="auto"/>
      <w:ind w:firstLine="0"/>
      <w:textAlignment w:val="auto"/>
    </w:pPr>
    <w:rPr>
      <w:rFonts w:ascii="Arial" w:hAnsi="宋体" w:cs="Arial"/>
      <w:color w:val="000000"/>
      <w:kern w:val="2"/>
      <w:sz w:val="30"/>
      <w:szCs w:val="30"/>
    </w:rPr>
  </w:style>
  <w:style w:type="paragraph" w:customStyle="1" w:styleId="179">
    <w:name w:val="标题3"/>
    <w:basedOn w:val="4"/>
    <w:qFormat/>
    <w:uiPriority w:val="0"/>
    <w:pPr>
      <w:keepLines w:val="0"/>
      <w:widowControl/>
      <w:tabs>
        <w:tab w:val="left" w:pos="480"/>
        <w:tab w:val="left" w:pos="851"/>
      </w:tabs>
      <w:snapToGrid w:val="0"/>
      <w:spacing w:before="0" w:after="0" w:line="360" w:lineRule="auto"/>
      <w:ind w:firstLine="0"/>
    </w:pPr>
    <w:rPr>
      <w:b w:val="0"/>
      <w:bCs w:val="0"/>
      <w:sz w:val="24"/>
      <w:szCs w:val="20"/>
    </w:rPr>
  </w:style>
  <w:style w:type="paragraph" w:customStyle="1" w:styleId="180">
    <w:name w:val="xl35"/>
    <w:basedOn w:val="1"/>
    <w:qFormat/>
    <w:uiPriority w:val="0"/>
    <w:pPr>
      <w:widowControl/>
      <w:adjustRightInd/>
      <w:spacing w:before="100" w:beforeAutospacing="1" w:after="100" w:afterAutospacing="1" w:line="240" w:lineRule="auto"/>
      <w:ind w:firstLine="0"/>
      <w:jc w:val="center"/>
      <w:textAlignment w:val="auto"/>
    </w:pPr>
    <w:rPr>
      <w:rFonts w:ascii="宋体" w:hAnsi="宋体"/>
      <w:sz w:val="20"/>
    </w:rPr>
  </w:style>
  <w:style w:type="paragraph" w:customStyle="1" w:styleId="181">
    <w:name w:val="表格"/>
    <w:basedOn w:val="1"/>
    <w:qFormat/>
    <w:uiPriority w:val="0"/>
    <w:pPr>
      <w:spacing w:before="60" w:after="60" w:line="240" w:lineRule="auto"/>
      <w:ind w:firstLine="0"/>
      <w:jc w:val="center"/>
    </w:pPr>
    <w:rPr>
      <w:rFonts w:ascii="宋体"/>
    </w:rPr>
  </w:style>
  <w:style w:type="paragraph" w:customStyle="1" w:styleId="182">
    <w:name w:val="Normal1"/>
    <w:qFormat/>
    <w:uiPriority w:val="0"/>
    <w:pPr>
      <w:widowControl w:val="0"/>
      <w:adjustRightInd w:val="0"/>
      <w:spacing w:after="160" w:line="315" w:lineRule="atLeast"/>
      <w:jc w:val="both"/>
    </w:pPr>
    <w:rPr>
      <w:rFonts w:ascii="宋体" w:hAnsi="Times New Roman" w:eastAsia="宋体" w:cs="Times New Roman"/>
      <w:sz w:val="21"/>
      <w:lang w:val="en-US" w:eastAsia="zh-CN" w:bidi="ar-SA"/>
    </w:rPr>
  </w:style>
  <w:style w:type="paragraph" w:customStyle="1" w:styleId="183">
    <w:name w:val="Fliestext/Aufz."/>
    <w:basedOn w:val="1"/>
    <w:qFormat/>
    <w:uiPriority w:val="0"/>
    <w:pPr>
      <w:widowControl/>
      <w:overflowPunct w:val="0"/>
      <w:autoSpaceDE w:val="0"/>
      <w:autoSpaceDN w:val="0"/>
      <w:spacing w:after="120" w:line="240" w:lineRule="auto"/>
      <w:ind w:firstLine="0"/>
    </w:pPr>
    <w:rPr>
      <w:rFonts w:ascii="Arial" w:hAnsi="Arial" w:eastAsia="MS Mincho"/>
      <w:sz w:val="22"/>
      <w:lang w:val="de-DE"/>
    </w:rPr>
  </w:style>
  <w:style w:type="paragraph" w:customStyle="1" w:styleId="184">
    <w:name w:val="样式 正文首行缩进 + 首行缩进:  2 字符1 Char Char"/>
    <w:basedOn w:val="185"/>
    <w:qFormat/>
    <w:uiPriority w:val="0"/>
    <w:pPr>
      <w:spacing w:after="0" w:line="400" w:lineRule="exact"/>
      <w:ind w:firstLine="480" w:firstLineChars="200"/>
    </w:pPr>
    <w:rPr>
      <w:rFonts w:hAnsi="Times New Roman" w:eastAsia="仿宋_GB2312" w:cs="宋体"/>
    </w:rPr>
  </w:style>
  <w:style w:type="paragraph" w:customStyle="1" w:styleId="185">
    <w:name w:val="正文首行缩进1"/>
    <w:basedOn w:val="186"/>
    <w:qFormat/>
    <w:uiPriority w:val="0"/>
    <w:pPr>
      <w:spacing w:after="120"/>
      <w:ind w:firstLine="420" w:firstLineChars="100"/>
    </w:pPr>
    <w:rPr>
      <w:rFonts w:ascii="宋体" w:hAnsi="宋体"/>
      <w:color w:val="000000"/>
    </w:rPr>
  </w:style>
  <w:style w:type="paragraph" w:customStyle="1" w:styleId="186">
    <w:name w:val="正文文本1"/>
    <w:basedOn w:val="1"/>
    <w:qFormat/>
    <w:uiPriority w:val="0"/>
  </w:style>
  <w:style w:type="paragraph" w:customStyle="1" w:styleId="187">
    <w:name w:val="Char Char11"/>
    <w:basedOn w:val="1"/>
    <w:qFormat/>
    <w:uiPriority w:val="0"/>
    <w:pPr>
      <w:adjustRightInd/>
      <w:spacing w:beforeLines="50" w:afterLines="50" w:line="240" w:lineRule="auto"/>
      <w:ind w:firstLine="0"/>
      <w:textAlignment w:val="auto"/>
    </w:pPr>
    <w:rPr>
      <w:rFonts w:ascii="Tahoma" w:hAnsi="Tahoma"/>
      <w:kern w:val="2"/>
    </w:rPr>
  </w:style>
  <w:style w:type="paragraph" w:customStyle="1" w:styleId="188">
    <w:name w:val="xl47"/>
    <w:basedOn w:val="1"/>
    <w:qFormat/>
    <w:uiPriority w:val="0"/>
    <w:pPr>
      <w:widowControl/>
      <w:pBdr>
        <w:bottom w:val="single" w:color="auto" w:sz="4" w:space="0"/>
        <w:right w:val="single" w:color="auto" w:sz="4" w:space="0"/>
      </w:pBdr>
      <w:adjustRightInd/>
      <w:spacing w:before="100" w:beforeAutospacing="1" w:after="100" w:afterAutospacing="1" w:line="240" w:lineRule="auto"/>
      <w:ind w:firstLine="0"/>
      <w:jc w:val="center"/>
      <w:textAlignment w:val="auto"/>
    </w:pPr>
    <w:rPr>
      <w:sz w:val="21"/>
      <w:szCs w:val="21"/>
    </w:rPr>
  </w:style>
  <w:style w:type="paragraph" w:customStyle="1" w:styleId="189">
    <w:name w:val="Char Char Char Char Char Char Char Char Char1"/>
    <w:basedOn w:val="1"/>
    <w:qFormat/>
    <w:uiPriority w:val="0"/>
    <w:pPr>
      <w:adjustRightInd/>
      <w:ind w:firstLine="200" w:firstLineChars="200"/>
      <w:textAlignment w:val="auto"/>
    </w:pPr>
    <w:rPr>
      <w:rFonts w:ascii="宋体" w:hAnsi="宋体" w:cs="宋体"/>
      <w:kern w:val="2"/>
      <w:szCs w:val="24"/>
    </w:rPr>
  </w:style>
  <w:style w:type="paragraph" w:customStyle="1" w:styleId="190">
    <w:name w:val="Char Char"/>
    <w:basedOn w:val="1"/>
    <w:qFormat/>
    <w:uiPriority w:val="0"/>
    <w:pPr>
      <w:widowControl/>
      <w:adjustRightInd/>
      <w:ind w:firstLine="0"/>
      <w:jc w:val="left"/>
      <w:textAlignment w:val="auto"/>
    </w:pPr>
    <w:rPr>
      <w:rFonts w:ascii="宋体" w:hAnsi="宋体" w:cs="Arial"/>
      <w:b/>
      <w:szCs w:val="24"/>
    </w:rPr>
  </w:style>
  <w:style w:type="paragraph" w:customStyle="1" w:styleId="191">
    <w:name w:val="_Style 3"/>
    <w:basedOn w:val="1"/>
    <w:qFormat/>
    <w:uiPriority w:val="0"/>
    <w:pPr>
      <w:widowControl/>
      <w:adjustRightInd/>
      <w:spacing w:line="240" w:lineRule="auto"/>
      <w:ind w:firstLine="360"/>
      <w:textAlignment w:val="auto"/>
    </w:pPr>
    <w:rPr>
      <w:rFonts w:ascii="Calibri" w:hAnsi="Calibri"/>
      <w:sz w:val="22"/>
      <w:szCs w:val="22"/>
      <w:lang w:eastAsia="en-US" w:bidi="en-US"/>
    </w:rPr>
  </w:style>
  <w:style w:type="paragraph" w:customStyle="1" w:styleId="192">
    <w:name w:val="四级标题"/>
    <w:basedOn w:val="36"/>
    <w:qFormat/>
    <w:uiPriority w:val="0"/>
    <w:pPr>
      <w:adjustRightInd/>
      <w:ind w:left="0" w:leftChars="0" w:firstLine="0"/>
      <w:textAlignment w:val="auto"/>
    </w:pPr>
    <w:rPr>
      <w:rFonts w:eastAsia="黑体"/>
      <w:kern w:val="2"/>
    </w:rPr>
  </w:style>
  <w:style w:type="paragraph" w:customStyle="1" w:styleId="193">
    <w:name w:val="Char Char Char Char Char Char Char Char"/>
    <w:basedOn w:val="1"/>
    <w:qFormat/>
    <w:uiPriority w:val="0"/>
    <w:pPr>
      <w:adjustRightInd/>
      <w:spacing w:line="240" w:lineRule="auto"/>
      <w:ind w:firstLine="0"/>
      <w:textAlignment w:val="auto"/>
    </w:pPr>
    <w:rPr>
      <w:kern w:val="2"/>
      <w:sz w:val="21"/>
      <w:szCs w:val="24"/>
    </w:rPr>
  </w:style>
  <w:style w:type="paragraph" w:customStyle="1" w:styleId="194">
    <w:name w:val="日期1"/>
    <w:basedOn w:val="1"/>
    <w:next w:val="1"/>
    <w:qFormat/>
    <w:uiPriority w:val="0"/>
    <w:pPr>
      <w:spacing w:line="240" w:lineRule="auto"/>
      <w:ind w:firstLine="0"/>
    </w:pPr>
    <w:rPr>
      <w:kern w:val="2"/>
      <w:sz w:val="28"/>
    </w:rPr>
  </w:style>
  <w:style w:type="paragraph" w:customStyle="1" w:styleId="195">
    <w:name w:val="AOListNumber"/>
    <w:basedOn w:val="1"/>
    <w:qFormat/>
    <w:uiPriority w:val="0"/>
    <w:pPr>
      <w:widowControl/>
      <w:tabs>
        <w:tab w:val="left" w:pos="2880"/>
      </w:tabs>
      <w:adjustRightInd/>
      <w:spacing w:before="240" w:line="260" w:lineRule="atLeast"/>
      <w:ind w:left="2880" w:hanging="720"/>
      <w:textAlignment w:val="auto"/>
    </w:pPr>
    <w:rPr>
      <w:sz w:val="22"/>
      <w:lang w:val="en-GB" w:eastAsia="en-US"/>
    </w:rPr>
  </w:style>
  <w:style w:type="paragraph" w:customStyle="1" w:styleId="196">
    <w:name w:val="Plain Text1"/>
    <w:basedOn w:val="1"/>
    <w:qFormat/>
    <w:uiPriority w:val="0"/>
    <w:pPr>
      <w:overflowPunct w:val="0"/>
      <w:autoSpaceDE w:val="0"/>
      <w:autoSpaceDN w:val="0"/>
      <w:spacing w:line="240" w:lineRule="auto"/>
      <w:ind w:firstLine="0"/>
    </w:pPr>
    <w:rPr>
      <w:rFonts w:ascii="宋体" w:hAnsi="宋体"/>
      <w:snapToGrid w:val="0"/>
      <w:color w:val="000000"/>
      <w:sz w:val="28"/>
    </w:rPr>
  </w:style>
  <w:style w:type="paragraph" w:customStyle="1" w:styleId="197">
    <w:name w:val="正文(内容)"/>
    <w:basedOn w:val="1"/>
    <w:qFormat/>
    <w:uiPriority w:val="0"/>
    <w:pPr>
      <w:adjustRightInd/>
      <w:ind w:firstLine="200" w:firstLineChars="200"/>
      <w:textAlignment w:val="auto"/>
    </w:pPr>
    <w:rPr>
      <w:kern w:val="2"/>
      <w:szCs w:val="24"/>
    </w:rPr>
  </w:style>
  <w:style w:type="paragraph" w:customStyle="1" w:styleId="198">
    <w:name w:val="我的正文格式"/>
    <w:basedOn w:val="1"/>
    <w:next w:val="1"/>
    <w:qFormat/>
    <w:uiPriority w:val="0"/>
    <w:pPr>
      <w:adjustRightInd/>
      <w:snapToGrid w:val="0"/>
      <w:ind w:firstLine="0"/>
      <w:textAlignment w:val="auto"/>
    </w:pPr>
    <w:rPr>
      <w:kern w:val="16"/>
      <w:szCs w:val="24"/>
    </w:rPr>
  </w:style>
  <w:style w:type="paragraph" w:customStyle="1" w:styleId="199">
    <w:name w:val="1.表内内容（正文）"/>
    <w:basedOn w:val="1"/>
    <w:qFormat/>
    <w:uiPriority w:val="0"/>
    <w:pPr>
      <w:ind w:firstLine="420"/>
    </w:pPr>
  </w:style>
  <w:style w:type="paragraph" w:customStyle="1" w:styleId="200">
    <w:name w:val="Char Char Char Char Char Char Char"/>
    <w:basedOn w:val="1"/>
    <w:qFormat/>
    <w:uiPriority w:val="0"/>
    <w:pPr>
      <w:adjustRightInd/>
      <w:spacing w:line="240" w:lineRule="auto"/>
      <w:ind w:firstLine="0"/>
      <w:textAlignment w:val="auto"/>
    </w:pPr>
    <w:rPr>
      <w:kern w:val="2"/>
      <w:sz w:val="21"/>
      <w:szCs w:val="24"/>
    </w:rPr>
  </w:style>
  <w:style w:type="paragraph" w:customStyle="1" w:styleId="201">
    <w:name w:val="项目"/>
    <w:basedOn w:val="1"/>
    <w:qFormat/>
    <w:uiPriority w:val="0"/>
    <w:pPr>
      <w:tabs>
        <w:tab w:val="left" w:pos="360"/>
      </w:tabs>
      <w:adjustRightInd/>
      <w:spacing w:line="460" w:lineRule="exact"/>
      <w:ind w:left="360" w:hanging="360"/>
      <w:jc w:val="center"/>
      <w:textAlignment w:val="auto"/>
    </w:pPr>
    <w:rPr>
      <w:rFonts w:ascii="宋体"/>
      <w:spacing w:val="20"/>
      <w:kern w:val="2"/>
    </w:rPr>
  </w:style>
  <w:style w:type="paragraph" w:customStyle="1" w:styleId="202">
    <w:name w:val="Char Char Char Char Char Char Char1"/>
    <w:basedOn w:val="1"/>
    <w:qFormat/>
    <w:uiPriority w:val="0"/>
    <w:pPr>
      <w:adjustRightInd/>
      <w:spacing w:line="240" w:lineRule="auto"/>
      <w:ind w:firstLine="0"/>
      <w:textAlignment w:val="auto"/>
    </w:pPr>
    <w:rPr>
      <w:kern w:val="2"/>
      <w:sz w:val="21"/>
      <w:szCs w:val="24"/>
    </w:rPr>
  </w:style>
  <w:style w:type="paragraph" w:customStyle="1" w:styleId="203">
    <w:name w:val="Char Char Char Char Char Char Char Char Char"/>
    <w:basedOn w:val="1"/>
    <w:qFormat/>
    <w:uiPriority w:val="0"/>
    <w:pPr>
      <w:adjustRightInd/>
      <w:ind w:firstLine="200" w:firstLineChars="200"/>
      <w:textAlignment w:val="auto"/>
    </w:pPr>
    <w:rPr>
      <w:rFonts w:ascii="宋体" w:hAnsi="宋体" w:cs="宋体"/>
      <w:kern w:val="2"/>
      <w:szCs w:val="24"/>
    </w:rPr>
  </w:style>
  <w:style w:type="paragraph" w:customStyle="1" w:styleId="204">
    <w:name w:val="xl31"/>
    <w:basedOn w:val="1"/>
    <w:qFormat/>
    <w:uiPriority w:val="0"/>
    <w:pPr>
      <w:widowControl/>
      <w:pBdr>
        <w:bottom w:val="single" w:color="000000" w:sz="4" w:space="0"/>
        <w:right w:val="single" w:color="000000" w:sz="4" w:space="0"/>
      </w:pBdr>
      <w:adjustRightInd/>
      <w:spacing w:before="100" w:beforeAutospacing="1" w:after="100" w:afterAutospacing="1" w:line="240" w:lineRule="auto"/>
      <w:ind w:firstLine="0"/>
      <w:jc w:val="center"/>
      <w:textAlignment w:val="auto"/>
    </w:pPr>
    <w:rPr>
      <w:rFonts w:eastAsia="Arial Unicode MS"/>
      <w:sz w:val="21"/>
      <w:szCs w:val="21"/>
    </w:rPr>
  </w:style>
  <w:style w:type="paragraph" w:customStyle="1" w:styleId="205">
    <w:name w:val="ym"/>
    <w:qFormat/>
    <w:uiPriority w:val="0"/>
    <w:pPr>
      <w:spacing w:after="160" w:line="278" w:lineRule="auto"/>
      <w:jc w:val="center"/>
      <w:outlineLvl w:val="0"/>
    </w:pPr>
    <w:rPr>
      <w:rFonts w:ascii="楷体" w:hAnsi="Times New Roman" w:eastAsia="楷体" w:cs="Times New Roman"/>
      <w:sz w:val="36"/>
      <w:lang w:val="en-US" w:eastAsia="zh-CN" w:bidi="ar-SA"/>
    </w:rPr>
  </w:style>
  <w:style w:type="paragraph" w:customStyle="1" w:styleId="206">
    <w:name w:val="xl2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jc w:val="center"/>
      <w:textAlignment w:val="center"/>
    </w:pPr>
    <w:rPr>
      <w:rFonts w:eastAsia="Arial Unicode MS"/>
      <w:color w:val="0000FF"/>
      <w:sz w:val="20"/>
    </w:rPr>
  </w:style>
  <w:style w:type="paragraph" w:customStyle="1" w:styleId="207">
    <w:name w:val="AODocTxtL4"/>
    <w:basedOn w:val="1"/>
    <w:qFormat/>
    <w:uiPriority w:val="0"/>
    <w:pPr>
      <w:widowControl/>
      <w:adjustRightInd/>
      <w:spacing w:before="240" w:line="260" w:lineRule="atLeast"/>
      <w:ind w:firstLine="0"/>
      <w:textAlignment w:val="auto"/>
    </w:pPr>
    <w:rPr>
      <w:sz w:val="22"/>
      <w:lang w:val="en-GB" w:eastAsia="en-US"/>
    </w:rPr>
  </w:style>
  <w:style w:type="paragraph" w:customStyle="1" w:styleId="2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Arial Unicode MS" w:hAnsi="Arial Unicode MS"/>
      <w:color w:val="FF0000"/>
      <w:szCs w:val="24"/>
    </w:rPr>
  </w:style>
  <w:style w:type="paragraph" w:customStyle="1" w:styleId="209">
    <w:name w:val="复选框1"/>
    <w:basedOn w:val="1"/>
    <w:qFormat/>
    <w:uiPriority w:val="0"/>
    <w:pPr>
      <w:widowControl/>
      <w:adjustRightInd/>
      <w:spacing w:before="360" w:after="360" w:line="240" w:lineRule="auto"/>
      <w:ind w:firstLine="0"/>
      <w:jc w:val="left"/>
      <w:textAlignment w:val="auto"/>
    </w:pPr>
    <w:rPr>
      <w:sz w:val="20"/>
    </w:rPr>
  </w:style>
  <w:style w:type="paragraph" w:customStyle="1" w:styleId="210">
    <w:name w:val="AOAltHead6"/>
    <w:basedOn w:val="1"/>
    <w:next w:val="207"/>
    <w:qFormat/>
    <w:uiPriority w:val="0"/>
    <w:pPr>
      <w:widowControl/>
      <w:tabs>
        <w:tab w:val="left" w:pos="2160"/>
      </w:tabs>
      <w:adjustRightInd/>
      <w:spacing w:before="240" w:line="260" w:lineRule="atLeast"/>
      <w:ind w:left="2160" w:hanging="720"/>
      <w:textAlignment w:val="auto"/>
      <w:outlineLvl w:val="5"/>
    </w:pPr>
    <w:rPr>
      <w:sz w:val="22"/>
      <w:lang w:val="en-GB" w:eastAsia="en-US"/>
    </w:rPr>
  </w:style>
  <w:style w:type="paragraph" w:customStyle="1" w:styleId="211">
    <w:name w:val="样式 标题 4bulletblbbh4H4 + (西文) Arial 黑色"/>
    <w:basedOn w:val="5"/>
    <w:qFormat/>
    <w:uiPriority w:val="0"/>
    <w:pPr>
      <w:keepLines/>
      <w:adjustRightInd/>
      <w:spacing w:before="120" w:after="120" w:line="460" w:lineRule="exact"/>
      <w:ind w:left="178" w:leftChars="85"/>
      <w:jc w:val="both"/>
      <w:textAlignment w:val="auto"/>
    </w:pPr>
    <w:rPr>
      <w:rFonts w:ascii="Arial" w:hAnsi="宋体" w:eastAsia="黑体" w:cs="Arial"/>
      <w:bCs/>
      <w:i w:val="0"/>
      <w:color w:val="000000"/>
      <w:kern w:val="2"/>
      <w:sz w:val="28"/>
      <w:szCs w:val="28"/>
    </w:rPr>
  </w:style>
  <w:style w:type="paragraph" w:customStyle="1" w:styleId="212">
    <w:name w:val="AODocTxtL2"/>
    <w:basedOn w:val="1"/>
    <w:qFormat/>
    <w:uiPriority w:val="0"/>
    <w:pPr>
      <w:widowControl/>
      <w:adjustRightInd/>
      <w:spacing w:before="240" w:line="260" w:lineRule="atLeast"/>
      <w:ind w:firstLine="0"/>
      <w:textAlignment w:val="auto"/>
    </w:pPr>
    <w:rPr>
      <w:sz w:val="22"/>
      <w:lang w:val="en-GB" w:eastAsia="en-US"/>
    </w:rPr>
  </w:style>
  <w:style w:type="paragraph" w:customStyle="1" w:styleId="213">
    <w:name w:val="正文1"/>
    <w:qFormat/>
    <w:uiPriority w:val="0"/>
    <w:pPr>
      <w:widowControl w:val="0"/>
      <w:autoSpaceDE w:val="0"/>
      <w:autoSpaceDN w:val="0"/>
      <w:adjustRightInd w:val="0"/>
      <w:spacing w:after="160"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14">
    <w:name w:val="表内文字"/>
    <w:basedOn w:val="1"/>
    <w:qFormat/>
    <w:uiPriority w:val="0"/>
    <w:pPr>
      <w:spacing w:line="240" w:lineRule="auto"/>
      <w:ind w:firstLine="0"/>
    </w:pPr>
    <w:rPr>
      <w:rFonts w:ascii="仿宋_GB2312"/>
      <w:sz w:val="21"/>
      <w:szCs w:val="21"/>
    </w:rPr>
  </w:style>
  <w:style w:type="paragraph" w:customStyle="1" w:styleId="215">
    <w:name w:val="font6"/>
    <w:basedOn w:val="1"/>
    <w:qFormat/>
    <w:uiPriority w:val="0"/>
    <w:pPr>
      <w:widowControl/>
      <w:adjustRightInd/>
      <w:spacing w:before="100" w:beforeAutospacing="1" w:after="100" w:afterAutospacing="1" w:line="240" w:lineRule="auto"/>
      <w:ind w:firstLine="0"/>
      <w:jc w:val="left"/>
      <w:textAlignment w:val="auto"/>
    </w:pPr>
    <w:rPr>
      <w:rFonts w:hint="eastAsia" w:ascii="宋体" w:hAnsi="宋体"/>
      <w:sz w:val="18"/>
      <w:szCs w:val="18"/>
    </w:rPr>
  </w:style>
  <w:style w:type="paragraph" w:customStyle="1" w:styleId="216">
    <w:name w:val="font5"/>
    <w:basedOn w:val="1"/>
    <w:qFormat/>
    <w:uiPriority w:val="0"/>
    <w:pPr>
      <w:widowControl/>
      <w:adjustRightInd/>
      <w:spacing w:before="100" w:beforeAutospacing="1" w:after="100" w:afterAutospacing="1" w:line="240" w:lineRule="auto"/>
      <w:ind w:firstLine="0"/>
      <w:jc w:val="left"/>
      <w:textAlignment w:val="auto"/>
    </w:pPr>
    <w:rPr>
      <w:rFonts w:hint="eastAsia" w:ascii="宋体" w:hAnsi="宋体"/>
      <w:szCs w:val="24"/>
    </w:rPr>
  </w:style>
  <w:style w:type="paragraph" w:customStyle="1" w:styleId="217">
    <w:name w:val="Char Char Char Char"/>
    <w:basedOn w:val="1"/>
    <w:qFormat/>
    <w:uiPriority w:val="0"/>
    <w:pPr>
      <w:adjustRightInd/>
      <w:spacing w:line="240" w:lineRule="auto"/>
      <w:ind w:firstLine="0"/>
      <w:textAlignment w:val="auto"/>
    </w:pPr>
    <w:rPr>
      <w:kern w:val="2"/>
      <w:sz w:val="21"/>
      <w:szCs w:val="24"/>
    </w:rPr>
  </w:style>
  <w:style w:type="paragraph" w:customStyle="1" w:styleId="218">
    <w:name w:val="p0"/>
    <w:basedOn w:val="1"/>
    <w:qFormat/>
    <w:uiPriority w:val="0"/>
    <w:pPr>
      <w:widowControl/>
      <w:adjustRightInd/>
      <w:spacing w:line="240" w:lineRule="auto"/>
      <w:ind w:firstLine="0"/>
      <w:textAlignment w:val="auto"/>
    </w:pPr>
    <w:rPr>
      <w:sz w:val="21"/>
      <w:szCs w:val="21"/>
    </w:rPr>
  </w:style>
  <w:style w:type="paragraph" w:customStyle="1" w:styleId="219">
    <w:name w:val="正文报告"/>
    <w:basedOn w:val="1"/>
    <w:qFormat/>
    <w:uiPriority w:val="0"/>
    <w:pPr>
      <w:tabs>
        <w:tab w:val="left" w:pos="510"/>
      </w:tabs>
      <w:spacing w:line="460" w:lineRule="exact"/>
    </w:pPr>
    <w:rPr>
      <w:szCs w:val="24"/>
    </w:rPr>
  </w:style>
  <w:style w:type="paragraph" w:customStyle="1" w:styleId="220">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spacing w:after="160" w:line="278" w:lineRule="auto"/>
      <w:ind w:right="-1540"/>
      <w:textAlignment w:val="baseline"/>
    </w:pPr>
    <w:rPr>
      <w:rFonts w:ascii="宋体" w:hAnsi="Times New Roman" w:eastAsia="宋体" w:cs="Times New Roman"/>
      <w:sz w:val="24"/>
      <w:lang w:val="en-US" w:eastAsia="zh-CN" w:bidi="ar-SA"/>
    </w:rPr>
  </w:style>
  <w:style w:type="paragraph" w:customStyle="1" w:styleId="221">
    <w:name w:val="Char1"/>
    <w:basedOn w:val="1"/>
    <w:qFormat/>
    <w:uiPriority w:val="0"/>
    <w:pPr>
      <w:adjustRightInd/>
      <w:spacing w:line="240" w:lineRule="auto"/>
      <w:ind w:firstLine="0"/>
      <w:textAlignment w:val="auto"/>
    </w:pPr>
    <w:rPr>
      <w:kern w:val="2"/>
      <w:sz w:val="21"/>
      <w:szCs w:val="24"/>
    </w:rPr>
  </w:style>
  <w:style w:type="paragraph" w:customStyle="1" w:styleId="222">
    <w:name w:val="xl3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223">
    <w:name w:val="Char Char1"/>
    <w:basedOn w:val="1"/>
    <w:qFormat/>
    <w:uiPriority w:val="0"/>
    <w:pPr>
      <w:adjustRightInd/>
      <w:spacing w:beforeLines="50" w:afterLines="50" w:line="240" w:lineRule="auto"/>
      <w:ind w:firstLine="0"/>
      <w:textAlignment w:val="auto"/>
    </w:pPr>
    <w:rPr>
      <w:rFonts w:ascii="Tahoma" w:hAnsi="Tahoma"/>
      <w:kern w:val="2"/>
    </w:rPr>
  </w:style>
  <w:style w:type="paragraph" w:customStyle="1" w:styleId="224">
    <w:name w:val="默认段落字体 Para Char Char Char Char Char Char Char Char Char1 Char"/>
    <w:basedOn w:val="1"/>
    <w:qFormat/>
    <w:uiPriority w:val="0"/>
    <w:pPr>
      <w:adjustRightInd/>
      <w:spacing w:line="240" w:lineRule="auto"/>
      <w:ind w:firstLine="0"/>
      <w:textAlignment w:val="auto"/>
    </w:pPr>
    <w:rPr>
      <w:kern w:val="2"/>
      <w:sz w:val="21"/>
    </w:rPr>
  </w:style>
  <w:style w:type="paragraph" w:customStyle="1" w:styleId="225">
    <w:name w:val="AOAltHead3"/>
    <w:basedOn w:val="226"/>
    <w:next w:val="158"/>
    <w:qFormat/>
    <w:uiPriority w:val="0"/>
    <w:pPr>
      <w:snapToGrid/>
      <w:spacing w:before="240" w:line="400" w:lineRule="exact"/>
      <w:ind w:left="720" w:leftChars="0" w:hanging="720"/>
    </w:pPr>
    <w:rPr>
      <w:color w:val="auto"/>
    </w:rPr>
  </w:style>
  <w:style w:type="paragraph" w:customStyle="1" w:styleId="226">
    <w:name w:val="AOHead3"/>
    <w:basedOn w:val="1"/>
    <w:next w:val="1"/>
    <w:qFormat/>
    <w:uiPriority w:val="0"/>
    <w:pPr>
      <w:widowControl/>
      <w:adjustRightInd/>
      <w:snapToGrid w:val="0"/>
      <w:ind w:left="1260" w:leftChars="600" w:firstLine="0"/>
      <w:textAlignment w:val="auto"/>
      <w:outlineLvl w:val="2"/>
    </w:pPr>
    <w:rPr>
      <w:rFonts w:ascii="宋体" w:hAnsi="宋体"/>
      <w:color w:val="0000FF"/>
    </w:rPr>
  </w:style>
  <w:style w:type="paragraph" w:customStyle="1" w:styleId="227">
    <w:name w:val="工程建设条标题"/>
    <w:basedOn w:val="228"/>
    <w:next w:val="4"/>
    <w:qFormat/>
    <w:uiPriority w:val="0"/>
    <w:pPr>
      <w:tabs>
        <w:tab w:val="left" w:pos="360"/>
        <w:tab w:val="left" w:pos="735"/>
      </w:tabs>
      <w:spacing w:before="0" w:after="0" w:line="240" w:lineRule="auto"/>
      <w:jc w:val="both"/>
      <w:outlineLvl w:val="3"/>
    </w:pPr>
    <w:rPr>
      <w:b w:val="0"/>
      <w:sz w:val="21"/>
    </w:rPr>
  </w:style>
  <w:style w:type="paragraph" w:customStyle="1" w:styleId="228">
    <w:name w:val="工程建设节标题"/>
    <w:basedOn w:val="229"/>
    <w:next w:val="4"/>
    <w:qFormat/>
    <w:uiPriority w:val="0"/>
    <w:pPr>
      <w:tabs>
        <w:tab w:val="left" w:pos="360"/>
      </w:tabs>
    </w:pPr>
  </w:style>
  <w:style w:type="paragraph" w:customStyle="1" w:styleId="229">
    <w:name w:val="工程建设章标题"/>
    <w:next w:val="4"/>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30">
    <w:name w:val="标准正文"/>
    <w:basedOn w:val="1"/>
    <w:qFormat/>
    <w:uiPriority w:val="0"/>
    <w:pPr>
      <w:spacing w:line="360" w:lineRule="atLeast"/>
      <w:ind w:firstLine="454"/>
      <w:jc w:val="left"/>
    </w:pPr>
    <w:rPr>
      <w:rFonts w:ascii="宋体"/>
    </w:rPr>
  </w:style>
  <w:style w:type="paragraph" w:customStyle="1" w:styleId="231">
    <w:name w:val="Char Char Char Char1"/>
    <w:basedOn w:val="1"/>
    <w:qFormat/>
    <w:uiPriority w:val="0"/>
    <w:pPr>
      <w:widowControl/>
      <w:adjustRightInd/>
      <w:spacing w:line="240" w:lineRule="exact"/>
      <w:ind w:firstLine="0"/>
      <w:jc w:val="center"/>
      <w:textAlignment w:val="auto"/>
    </w:pPr>
    <w:rPr>
      <w:rFonts w:ascii="宋体" w:hAnsi="宋体"/>
      <w:b/>
      <w:sz w:val="28"/>
      <w:szCs w:val="28"/>
      <w:lang w:eastAsia="en-US"/>
    </w:rPr>
  </w:style>
  <w:style w:type="paragraph" w:customStyle="1" w:styleId="232">
    <w:name w:val="AODocTxt"/>
    <w:basedOn w:val="1"/>
    <w:qFormat/>
    <w:uiPriority w:val="0"/>
    <w:pPr>
      <w:widowControl/>
      <w:tabs>
        <w:tab w:val="left" w:pos="1425"/>
      </w:tabs>
      <w:adjustRightInd/>
      <w:spacing w:before="240" w:line="260" w:lineRule="atLeast"/>
      <w:ind w:left="1425" w:hanging="720"/>
      <w:textAlignment w:val="auto"/>
    </w:pPr>
    <w:rPr>
      <w:sz w:val="22"/>
      <w:lang w:val="en-GB" w:eastAsia="en-US"/>
    </w:rPr>
  </w:style>
  <w:style w:type="paragraph" w:customStyle="1" w:styleId="233">
    <w:name w:val="Char1 Char Char Char"/>
    <w:basedOn w:val="1"/>
    <w:qFormat/>
    <w:uiPriority w:val="0"/>
    <w:pPr>
      <w:adjustRightInd/>
      <w:ind w:firstLine="200" w:firstLineChars="200"/>
      <w:textAlignment w:val="auto"/>
    </w:pPr>
    <w:rPr>
      <w:rFonts w:ascii="宋体" w:hAnsi="宋体" w:cs="宋体"/>
      <w:kern w:val="2"/>
      <w:szCs w:val="24"/>
    </w:rPr>
  </w:style>
  <w:style w:type="paragraph" w:customStyle="1" w:styleId="234">
    <w:name w:val="文档结构图1"/>
    <w:basedOn w:val="1"/>
    <w:qFormat/>
    <w:uiPriority w:val="0"/>
    <w:pPr>
      <w:shd w:val="clear" w:color="auto" w:fill="000080"/>
      <w:spacing w:line="410" w:lineRule="atLeast"/>
      <w:ind w:firstLine="0"/>
      <w:jc w:val="left"/>
    </w:pPr>
    <w:rPr>
      <w:rFonts w:ascii="宋体"/>
    </w:rPr>
  </w:style>
  <w:style w:type="paragraph" w:customStyle="1" w:styleId="235">
    <w:name w:val="样式8"/>
    <w:basedOn w:val="1"/>
    <w:qFormat/>
    <w:uiPriority w:val="0"/>
    <w:pPr>
      <w:adjustRightInd/>
      <w:spacing w:line="240" w:lineRule="auto"/>
      <w:ind w:firstLine="499"/>
      <w:textAlignment w:val="auto"/>
    </w:pPr>
    <w:rPr>
      <w:rFonts w:ascii="宋体" w:hAnsi="宋体"/>
      <w:snapToGrid w:val="0"/>
      <w:color w:val="000000"/>
      <w:kern w:val="2"/>
      <w:sz w:val="21"/>
    </w:rPr>
  </w:style>
  <w:style w:type="paragraph" w:customStyle="1" w:styleId="236">
    <w:name w:val="纯文本2"/>
    <w:basedOn w:val="1"/>
    <w:qFormat/>
    <w:uiPriority w:val="0"/>
    <w:pPr>
      <w:spacing w:after="120" w:line="400" w:lineRule="exact"/>
      <w:ind w:firstLine="567"/>
    </w:pPr>
    <w:rPr>
      <w:rFonts w:ascii="宋体"/>
      <w:sz w:val="28"/>
    </w:rPr>
  </w:style>
  <w:style w:type="paragraph" w:customStyle="1" w:styleId="237">
    <w:name w:val="xl22"/>
    <w:basedOn w:val="1"/>
    <w:qFormat/>
    <w:uiPriority w:val="0"/>
    <w:pPr>
      <w:widowControl/>
      <w:adjustRightInd/>
      <w:spacing w:before="100" w:beforeAutospacing="1" w:after="100" w:afterAutospacing="1" w:line="240" w:lineRule="auto"/>
      <w:ind w:firstLine="0"/>
      <w:jc w:val="center"/>
      <w:textAlignment w:val="auto"/>
    </w:pPr>
    <w:rPr>
      <w:rFonts w:ascii="宋体" w:hAnsi="宋体"/>
      <w:szCs w:val="24"/>
    </w:rPr>
  </w:style>
  <w:style w:type="paragraph" w:customStyle="1" w:styleId="238">
    <w:name w:val="Char2 Char Char Char Char Char Char"/>
    <w:basedOn w:val="1"/>
    <w:qFormat/>
    <w:uiPriority w:val="0"/>
    <w:pPr>
      <w:adjustRightInd/>
      <w:spacing w:line="240" w:lineRule="auto"/>
      <w:ind w:firstLine="0"/>
      <w:textAlignment w:val="auto"/>
    </w:pPr>
    <w:rPr>
      <w:kern w:val="2"/>
      <w:sz w:val="21"/>
      <w:szCs w:val="24"/>
    </w:rPr>
  </w:style>
  <w:style w:type="paragraph" w:customStyle="1" w:styleId="239">
    <w:name w:val="Char1 Char Char Char1"/>
    <w:basedOn w:val="1"/>
    <w:qFormat/>
    <w:uiPriority w:val="0"/>
    <w:pPr>
      <w:widowControl/>
      <w:adjustRightInd/>
      <w:spacing w:line="240" w:lineRule="auto"/>
      <w:ind w:firstLine="360"/>
      <w:jc w:val="left"/>
      <w:textAlignment w:val="auto"/>
    </w:pPr>
    <w:rPr>
      <w:rFonts w:ascii="Calibri" w:hAnsi="Calibri"/>
      <w:sz w:val="22"/>
      <w:szCs w:val="22"/>
      <w:lang w:eastAsia="en-US" w:bidi="en-US"/>
    </w:rPr>
  </w:style>
  <w:style w:type="paragraph" w:customStyle="1" w:styleId="240">
    <w:name w:val="xl28"/>
    <w:basedOn w:val="1"/>
    <w:qFormat/>
    <w:uiPriority w:val="0"/>
    <w:pPr>
      <w:widowControl/>
      <w:pBdr>
        <w:bottom w:val="single" w:color="auto" w:sz="4" w:space="0"/>
      </w:pBdr>
      <w:adjustRightInd/>
      <w:snapToGrid w:val="0"/>
      <w:spacing w:before="100" w:beforeAutospacing="1" w:after="100" w:afterAutospacing="1" w:line="420" w:lineRule="atLeast"/>
      <w:ind w:firstLine="0"/>
      <w:jc w:val="center"/>
      <w:textAlignment w:val="auto"/>
    </w:pPr>
    <w:rPr>
      <w:rFonts w:ascii="宋体" w:hAnsi="宋体"/>
      <w:b/>
    </w:rPr>
  </w:style>
  <w:style w:type="paragraph" w:customStyle="1" w:styleId="241">
    <w:name w:val="Char Char Char"/>
    <w:basedOn w:val="1"/>
    <w:qFormat/>
    <w:uiPriority w:val="0"/>
    <w:pPr>
      <w:spacing w:line="312" w:lineRule="atLeast"/>
      <w:ind w:firstLine="0"/>
    </w:pPr>
    <w:rPr>
      <w:rFonts w:ascii="Tahoma" w:hAnsi="Tahoma"/>
    </w:rPr>
  </w:style>
  <w:style w:type="paragraph" w:customStyle="1" w:styleId="242">
    <w:name w:val="附件"/>
    <w:basedOn w:val="1"/>
    <w:qFormat/>
    <w:uiPriority w:val="0"/>
    <w:pPr>
      <w:spacing w:before="120" w:after="60" w:line="240" w:lineRule="auto"/>
      <w:ind w:firstLine="0"/>
      <w:jc w:val="center"/>
      <w:textAlignment w:val="center"/>
    </w:pPr>
    <w:rPr>
      <w:rFonts w:ascii="黑体" w:eastAsia="黑体"/>
      <w:b/>
      <w:sz w:val="32"/>
      <w:szCs w:val="32"/>
    </w:rPr>
  </w:style>
  <w:style w:type="paragraph" w:customStyle="1" w:styleId="243">
    <w:name w:val="样式 Arial 左侧:  2 字符 行距: 固定值 29 磅1"/>
    <w:basedOn w:val="1"/>
    <w:qFormat/>
    <w:uiPriority w:val="0"/>
    <w:pPr>
      <w:spacing w:line="580" w:lineRule="exact"/>
      <w:ind w:firstLine="0"/>
    </w:pPr>
    <w:rPr>
      <w:rFonts w:ascii="Arial" w:hAnsi="Arial"/>
    </w:rPr>
  </w:style>
  <w:style w:type="paragraph" w:customStyle="1" w:styleId="244">
    <w:name w:val="简单回函地址"/>
    <w:basedOn w:val="1"/>
    <w:qFormat/>
    <w:uiPriority w:val="0"/>
    <w:pPr>
      <w:adjustRightInd/>
      <w:spacing w:line="240" w:lineRule="auto"/>
      <w:ind w:firstLine="0"/>
      <w:textAlignment w:val="auto"/>
    </w:pPr>
    <w:rPr>
      <w:kern w:val="2"/>
      <w:sz w:val="21"/>
      <w:szCs w:val="24"/>
    </w:rPr>
  </w:style>
  <w:style w:type="paragraph" w:customStyle="1" w:styleId="245">
    <w:name w:val="表文"/>
    <w:basedOn w:val="1"/>
    <w:qFormat/>
    <w:uiPriority w:val="0"/>
    <w:pPr>
      <w:spacing w:line="240" w:lineRule="auto"/>
      <w:ind w:firstLine="0"/>
      <w:jc w:val="center"/>
    </w:pPr>
  </w:style>
  <w:style w:type="paragraph" w:customStyle="1" w:styleId="246">
    <w:name w:val="标题1"/>
    <w:basedOn w:val="2"/>
    <w:qFormat/>
    <w:uiPriority w:val="0"/>
    <w:pPr>
      <w:tabs>
        <w:tab w:val="left" w:pos="480"/>
        <w:tab w:val="left" w:pos="1140"/>
      </w:tabs>
      <w:spacing w:before="120" w:after="0" w:line="360" w:lineRule="auto"/>
      <w:ind w:left="1140" w:hanging="1140"/>
      <w:jc w:val="left"/>
    </w:pPr>
    <w:rPr>
      <w:rFonts w:hAnsi="Arial"/>
      <w:bCs w:val="0"/>
      <w:sz w:val="28"/>
      <w:szCs w:val="20"/>
    </w:rPr>
  </w:style>
  <w:style w:type="paragraph" w:customStyle="1" w:styleId="247">
    <w:name w:val="xl2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jc w:val="center"/>
      <w:textAlignment w:val="center"/>
    </w:pPr>
    <w:rPr>
      <w:rFonts w:ascii="Arial Unicode MS" w:hAnsi="Arial Unicode MS" w:eastAsia="Arial Unicode MS" w:cs="Arial Unicode MS"/>
      <w:b/>
      <w:bCs/>
      <w:sz w:val="18"/>
      <w:szCs w:val="18"/>
    </w:rPr>
  </w:style>
  <w:style w:type="paragraph" w:customStyle="1" w:styleId="248">
    <w:name w:val="样式 样式 标题 3条标题1.1.13h33rd levelH3l3CT小标题小节标题段l31 Char Cha... + 段前..."/>
    <w:basedOn w:val="1"/>
    <w:qFormat/>
    <w:uiPriority w:val="0"/>
    <w:pPr>
      <w:keepNext/>
      <w:keepLines/>
      <w:tabs>
        <w:tab w:val="left" w:pos="1740"/>
      </w:tabs>
      <w:adjustRightInd/>
      <w:spacing w:beforeLines="25" w:afterLines="25" w:line="300" w:lineRule="auto"/>
      <w:ind w:left="1740" w:hanging="420"/>
      <w:textAlignment w:val="auto"/>
      <w:outlineLvl w:val="2"/>
    </w:pPr>
    <w:rPr>
      <w:rFonts w:ascii="Arial" w:hAnsi="Arial" w:cs="宋体"/>
      <w:kern w:val="2"/>
    </w:rPr>
  </w:style>
  <w:style w:type="paragraph" w:customStyle="1" w:styleId="249">
    <w:name w:val="Char Char Char Char Char Char1 Char"/>
    <w:basedOn w:val="1"/>
    <w:qFormat/>
    <w:uiPriority w:val="0"/>
    <w:pPr>
      <w:widowControl/>
      <w:adjustRightInd/>
      <w:spacing w:line="240" w:lineRule="exact"/>
      <w:ind w:firstLine="0"/>
      <w:jc w:val="left"/>
      <w:textAlignment w:val="auto"/>
    </w:pPr>
    <w:rPr>
      <w:rFonts w:ascii="Verdana" w:hAnsi="Verdana"/>
      <w:sz w:val="21"/>
      <w:lang w:eastAsia="en-US"/>
    </w:rPr>
  </w:style>
  <w:style w:type="paragraph" w:customStyle="1" w:styleId="250">
    <w:name w:val="xl43"/>
    <w:basedOn w:val="1"/>
    <w:qFormat/>
    <w:uiPriority w:val="0"/>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firstLine="0"/>
      <w:jc w:val="center"/>
      <w:textAlignment w:val="auto"/>
    </w:pPr>
    <w:rPr>
      <w:rFonts w:ascii="宋体" w:hAnsi="宋体"/>
      <w:color w:val="FF0000"/>
      <w:sz w:val="20"/>
    </w:rPr>
  </w:style>
  <w:style w:type="paragraph" w:customStyle="1" w:styleId="251">
    <w:name w:val="默认段落字体 Para Char"/>
    <w:basedOn w:val="1"/>
    <w:qFormat/>
    <w:uiPriority w:val="0"/>
    <w:pPr>
      <w:adjustRightInd/>
      <w:spacing w:after="95"/>
      <w:ind w:firstLine="0"/>
      <w:textAlignment w:val="auto"/>
    </w:pPr>
    <w:rPr>
      <w:rFonts w:ascii="Tahoma" w:hAnsi="Tahoma"/>
      <w:kern w:val="2"/>
    </w:rPr>
  </w:style>
  <w:style w:type="paragraph" w:customStyle="1" w:styleId="252">
    <w:name w:val="正文文本 311"/>
    <w:basedOn w:val="1"/>
    <w:qFormat/>
    <w:uiPriority w:val="0"/>
    <w:pPr>
      <w:ind w:firstLine="0"/>
      <w:jc w:val="center"/>
    </w:pPr>
    <w:rPr>
      <w:rFonts w:ascii="宋体"/>
      <w:b/>
      <w:color w:val="FF0000"/>
      <w:u w:val="single"/>
    </w:rPr>
  </w:style>
  <w:style w:type="paragraph" w:customStyle="1" w:styleId="253">
    <w:name w:val="样式6"/>
    <w:basedOn w:val="7"/>
    <w:qFormat/>
    <w:uiPriority w:val="0"/>
    <w:pPr>
      <w:tabs>
        <w:tab w:val="left" w:pos="1247"/>
        <w:tab w:val="clear" w:pos="360"/>
      </w:tabs>
      <w:adjustRightInd/>
      <w:spacing w:before="0" w:after="0" w:line="360" w:lineRule="auto"/>
      <w:ind w:firstLine="0"/>
      <w:jc w:val="both"/>
      <w:textAlignment w:val="auto"/>
    </w:pPr>
    <w:rPr>
      <w:rFonts w:eastAsia="宋体"/>
      <w:snapToGrid w:val="0"/>
      <w:color w:val="000000"/>
      <w:spacing w:val="0"/>
      <w:kern w:val="2"/>
    </w:rPr>
  </w:style>
  <w:style w:type="paragraph" w:customStyle="1" w:styleId="254">
    <w:name w:val="8"/>
    <w:basedOn w:val="1"/>
    <w:qFormat/>
    <w:uiPriority w:val="0"/>
    <w:pPr>
      <w:adjustRightInd/>
      <w:ind w:firstLine="480" w:firstLineChars="200"/>
      <w:textAlignment w:val="auto"/>
    </w:pPr>
    <w:rPr>
      <w:rFonts w:hAnsi="宋体"/>
      <w:snapToGrid w:val="0"/>
      <w:color w:val="000000"/>
      <w:kern w:val="2"/>
      <w:sz w:val="21"/>
      <w:szCs w:val="28"/>
    </w:rPr>
  </w:style>
  <w:style w:type="paragraph" w:customStyle="1" w:styleId="255">
    <w:name w:val="样式 样式 Arial 首行缩进:  0.85 厘米 行距: 固定值 29 磅 + 左侧:  -0 厘米 段前: 12 磅 ..."/>
    <w:basedOn w:val="1"/>
    <w:qFormat/>
    <w:uiPriority w:val="0"/>
    <w:pPr>
      <w:spacing w:line="500" w:lineRule="exact"/>
      <w:ind w:firstLine="567"/>
    </w:pPr>
    <w:rPr>
      <w:rFonts w:ascii="Arial" w:hAnsi="Arial"/>
    </w:rPr>
  </w:style>
  <w:style w:type="paragraph" w:customStyle="1" w:styleId="256">
    <w:name w:val="font7"/>
    <w:basedOn w:val="1"/>
    <w:qFormat/>
    <w:uiPriority w:val="0"/>
    <w:pPr>
      <w:widowControl/>
      <w:adjustRightInd/>
      <w:spacing w:before="100" w:beforeAutospacing="1" w:after="100" w:afterAutospacing="1" w:line="240" w:lineRule="auto"/>
      <w:ind w:firstLine="0"/>
      <w:jc w:val="left"/>
      <w:textAlignment w:val="auto"/>
    </w:pPr>
    <w:rPr>
      <w:szCs w:val="24"/>
    </w:rPr>
  </w:style>
  <w:style w:type="paragraph" w:customStyle="1" w:styleId="257">
    <w:name w:val="Table of Contents"/>
    <w:basedOn w:val="57"/>
    <w:qFormat/>
    <w:uiPriority w:val="0"/>
    <w:pPr>
      <w:widowControl/>
      <w:adjustRightInd/>
      <w:snapToGrid/>
      <w:spacing w:before="240" w:after="480" w:line="240" w:lineRule="auto"/>
    </w:pPr>
    <w:rPr>
      <w:rFonts w:ascii="B Frutiger Bold" w:hAnsi="B Frutiger Bold" w:eastAsia="宋体"/>
      <w:b/>
      <w:snapToGrid/>
      <w:sz w:val="24"/>
      <w:lang w:val="en-AU"/>
    </w:rPr>
  </w:style>
  <w:style w:type="paragraph" w:customStyle="1" w:styleId="258">
    <w:name w:val="样式 Arial 行距: 固定值 29 磅 左  0 字符 首行缩进:  2 字符"/>
    <w:basedOn w:val="1"/>
    <w:qFormat/>
    <w:uiPriority w:val="0"/>
    <w:pPr>
      <w:spacing w:line="500" w:lineRule="exact"/>
      <w:ind w:firstLine="200" w:firstLineChars="200"/>
    </w:pPr>
    <w:rPr>
      <w:rFonts w:ascii="Arial" w:hAnsi="Arial"/>
    </w:rPr>
  </w:style>
  <w:style w:type="paragraph" w:customStyle="1" w:styleId="259">
    <w:name w:val="工程建设无节条标题"/>
    <w:basedOn w:val="1"/>
    <w:next w:val="4"/>
    <w:qFormat/>
    <w:uiPriority w:val="0"/>
    <w:pPr>
      <w:tabs>
        <w:tab w:val="left" w:pos="735"/>
      </w:tabs>
      <w:adjustRightInd/>
      <w:spacing w:line="240" w:lineRule="auto"/>
      <w:ind w:firstLine="0"/>
      <w:textAlignment w:val="auto"/>
    </w:pPr>
    <w:rPr>
      <w:kern w:val="2"/>
      <w:sz w:val="21"/>
      <w:szCs w:val="24"/>
    </w:rPr>
  </w:style>
  <w:style w:type="paragraph" w:customStyle="1" w:styleId="260">
    <w:name w:val="Char1 Char Char1 Char"/>
    <w:basedOn w:val="1"/>
    <w:qFormat/>
    <w:uiPriority w:val="0"/>
    <w:pPr>
      <w:spacing w:line="360" w:lineRule="atLeast"/>
      <w:ind w:firstLine="0"/>
    </w:pPr>
    <w:rPr>
      <w:rFonts w:hAnsi="宋体"/>
      <w:snapToGrid w:val="0"/>
      <w:color w:val="000000"/>
      <w:kern w:val="2"/>
      <w:sz w:val="21"/>
      <w:szCs w:val="24"/>
    </w:rPr>
  </w:style>
  <w:style w:type="paragraph" w:customStyle="1" w:styleId="261">
    <w:name w:val="Char Char Char Char Char Char"/>
    <w:basedOn w:val="1"/>
    <w:qFormat/>
    <w:uiPriority w:val="0"/>
    <w:pPr>
      <w:adjustRightInd/>
      <w:spacing w:line="240" w:lineRule="auto"/>
      <w:ind w:firstLine="0"/>
      <w:textAlignment w:val="auto"/>
    </w:pPr>
    <w:rPr>
      <w:kern w:val="2"/>
      <w:sz w:val="21"/>
      <w:szCs w:val="24"/>
    </w:rPr>
  </w:style>
  <w:style w:type="paragraph" w:customStyle="1" w:styleId="262">
    <w:name w:val="正文文本 21"/>
    <w:basedOn w:val="1"/>
    <w:qFormat/>
    <w:uiPriority w:val="0"/>
    <w:pPr>
      <w:spacing w:line="312" w:lineRule="atLeast"/>
      <w:ind w:firstLine="600"/>
    </w:pPr>
    <w:rPr>
      <w:rFonts w:ascii="宋体"/>
      <w:sz w:val="28"/>
    </w:rPr>
  </w:style>
  <w:style w:type="paragraph" w:customStyle="1" w:styleId="263">
    <w:name w:val="gchm"/>
    <w:qFormat/>
    <w:uiPriority w:val="0"/>
    <w:pPr>
      <w:spacing w:after="160" w:line="278" w:lineRule="auto"/>
    </w:pPr>
    <w:rPr>
      <w:rFonts w:ascii="楷体" w:hAnsi="Times New Roman" w:eastAsia="楷体" w:cs="Times New Roman"/>
      <w:sz w:val="32"/>
      <w:u w:val="double"/>
      <w:lang w:val="en-US" w:eastAsia="zh-CN" w:bidi="ar-SA"/>
    </w:rPr>
  </w:style>
  <w:style w:type="paragraph" w:customStyle="1" w:styleId="264">
    <w:name w:val="Char2"/>
    <w:basedOn w:val="1"/>
    <w:qFormat/>
    <w:uiPriority w:val="0"/>
    <w:pPr>
      <w:adjustRightInd/>
      <w:ind w:firstLine="200" w:firstLineChars="200"/>
      <w:textAlignment w:val="auto"/>
    </w:pPr>
    <w:rPr>
      <w:rFonts w:ascii="宋体" w:hAnsi="宋体" w:cs="宋体"/>
      <w:kern w:val="2"/>
      <w:szCs w:val="24"/>
    </w:rPr>
  </w:style>
  <w:style w:type="paragraph" w:customStyle="1" w:styleId="265">
    <w:name w:val="表内容"/>
    <w:basedOn w:val="1"/>
    <w:qFormat/>
    <w:uiPriority w:val="0"/>
    <w:pPr>
      <w:autoSpaceDE w:val="0"/>
      <w:autoSpaceDN w:val="0"/>
      <w:spacing w:before="60" w:after="60" w:line="240" w:lineRule="auto"/>
      <w:ind w:firstLine="0"/>
      <w:jc w:val="center"/>
      <w:textAlignment w:val="auto"/>
    </w:pPr>
    <w:rPr>
      <w:rFonts w:eastAsia="仿宋_GB2312"/>
    </w:rPr>
  </w:style>
  <w:style w:type="paragraph" w:customStyle="1" w:styleId="266">
    <w:name w:val="xl49"/>
    <w:basedOn w:val="1"/>
    <w:qFormat/>
    <w:uiPriority w:val="0"/>
    <w:pPr>
      <w:widowControl/>
      <w:adjustRightInd/>
      <w:spacing w:before="100" w:after="100" w:line="240" w:lineRule="auto"/>
      <w:ind w:firstLine="0"/>
      <w:jc w:val="center"/>
      <w:textAlignment w:val="center"/>
    </w:pPr>
    <w:rPr>
      <w:rFonts w:ascii="宋体" w:hAnsi="宋体"/>
    </w:rPr>
  </w:style>
  <w:style w:type="paragraph" w:customStyle="1" w:styleId="267">
    <w:name w:val="表格文字"/>
    <w:qFormat/>
    <w:uiPriority w:val="0"/>
    <w:pPr>
      <w:widowControl w:val="0"/>
      <w:autoSpaceDE w:val="0"/>
      <w:autoSpaceDN w:val="0"/>
      <w:adjustRightInd w:val="0"/>
      <w:spacing w:after="160" w:line="278" w:lineRule="auto"/>
      <w:jc w:val="both"/>
    </w:pPr>
    <w:rPr>
      <w:rFonts w:ascii="Times New Roman" w:hAnsi="Times New Roman" w:eastAsia="宋体" w:cs="Times New Roman"/>
      <w:color w:val="000000"/>
      <w:lang w:val="en-US" w:eastAsia="zh-CN" w:bidi="ar-SA"/>
    </w:rPr>
  </w:style>
  <w:style w:type="paragraph" w:customStyle="1" w:styleId="268">
    <w:name w:val="正文文本 31"/>
    <w:basedOn w:val="1"/>
    <w:qFormat/>
    <w:uiPriority w:val="0"/>
    <w:pPr>
      <w:ind w:firstLine="0"/>
      <w:jc w:val="center"/>
    </w:pPr>
    <w:rPr>
      <w:rFonts w:ascii="宋体"/>
      <w:b/>
      <w:color w:val="FF0000"/>
      <w:u w:val="single"/>
    </w:rPr>
  </w:style>
  <w:style w:type="paragraph" w:customStyle="1" w:styleId="269">
    <w:name w:val="Normal Paragraph"/>
    <w:basedOn w:val="1"/>
    <w:qFormat/>
    <w:uiPriority w:val="0"/>
    <w:pPr>
      <w:keepLines/>
      <w:widowControl/>
      <w:adjustRightInd/>
      <w:spacing w:before="120"/>
      <w:ind w:firstLine="0"/>
      <w:textAlignment w:val="auto"/>
    </w:pPr>
    <w:rPr>
      <w:rFonts w:ascii="Arial" w:hAnsi="Arial"/>
    </w:rPr>
  </w:style>
  <w:style w:type="paragraph" w:customStyle="1" w:styleId="270">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spacing w:after="160" w:line="278" w:lineRule="auto"/>
      <w:ind w:right="-1540"/>
      <w:textAlignment w:val="baseline"/>
    </w:pPr>
    <w:rPr>
      <w:rFonts w:ascii="宋体" w:hAnsi="Times New Roman" w:eastAsia="宋体" w:cs="Times New Roman"/>
      <w:sz w:val="24"/>
      <w:lang w:val="en-US" w:eastAsia="zh-CN" w:bidi="ar-SA"/>
    </w:rPr>
  </w:style>
  <w:style w:type="paragraph" w:customStyle="1" w:styleId="271">
    <w:name w:val="Char3"/>
    <w:basedOn w:val="1"/>
    <w:qFormat/>
    <w:uiPriority w:val="0"/>
    <w:pPr>
      <w:adjustRightInd/>
      <w:spacing w:line="240" w:lineRule="auto"/>
      <w:ind w:firstLine="0"/>
      <w:textAlignment w:val="auto"/>
    </w:pPr>
    <w:rPr>
      <w:kern w:val="2"/>
      <w:sz w:val="21"/>
      <w:szCs w:val="24"/>
    </w:rPr>
  </w:style>
  <w:style w:type="paragraph" w:customStyle="1" w:styleId="272">
    <w:name w:val="默认段落字体 Char Char Char"/>
    <w:basedOn w:val="1"/>
    <w:qFormat/>
    <w:uiPriority w:val="0"/>
    <w:pPr>
      <w:adjustRightInd/>
      <w:spacing w:line="240" w:lineRule="auto"/>
      <w:ind w:firstLine="0"/>
      <w:textAlignment w:val="auto"/>
    </w:pPr>
    <w:rPr>
      <w:kern w:val="2"/>
      <w:szCs w:val="24"/>
    </w:rPr>
  </w:style>
  <w:style w:type="paragraph" w:customStyle="1" w:styleId="273">
    <w:name w:val="样式 样式 标题 2 + 段前: 0.5 行 段后: 0.5 行 + 首行缩进:  2 字符 段前: 0.5 行 段后: 0..."/>
    <w:basedOn w:val="1"/>
    <w:qFormat/>
    <w:uiPriority w:val="0"/>
    <w:pPr>
      <w:keepNext/>
      <w:keepLines/>
      <w:spacing w:beforeLines="50" w:afterLines="50" w:line="240" w:lineRule="auto"/>
      <w:ind w:firstLine="0"/>
      <w:jc w:val="left"/>
      <w:outlineLvl w:val="1"/>
    </w:pPr>
    <w:rPr>
      <w:rFonts w:eastAsia="黑体"/>
      <w:sz w:val="21"/>
    </w:rPr>
  </w:style>
  <w:style w:type="paragraph" w:customStyle="1" w:styleId="274">
    <w:name w:val="K01"/>
    <w:basedOn w:val="1"/>
    <w:qFormat/>
    <w:uiPriority w:val="0"/>
    <w:pPr>
      <w:widowControl/>
      <w:autoSpaceDE w:val="0"/>
      <w:autoSpaceDN w:val="0"/>
      <w:spacing w:line="480" w:lineRule="atLeast"/>
      <w:ind w:left="840" w:hanging="360"/>
      <w:jc w:val="left"/>
      <w:textAlignment w:val="bottom"/>
    </w:pPr>
    <w:rPr>
      <w:rFonts w:ascii="宋体"/>
    </w:rPr>
  </w:style>
  <w:style w:type="paragraph" w:customStyle="1" w:styleId="275">
    <w:name w:val="天津标准化正文"/>
    <w:basedOn w:val="1"/>
    <w:qFormat/>
    <w:uiPriority w:val="0"/>
    <w:pPr>
      <w:widowControl/>
      <w:adjustRightInd/>
      <w:spacing w:before="60" w:after="60"/>
      <w:ind w:firstLine="425"/>
      <w:textAlignment w:val="auto"/>
    </w:pPr>
    <w:rPr>
      <w:szCs w:val="24"/>
    </w:rPr>
  </w:style>
  <w:style w:type="paragraph" w:customStyle="1" w:styleId="276">
    <w:name w:val="z-窗体顶端1"/>
    <w:basedOn w:val="1"/>
    <w:next w:val="1"/>
    <w:qFormat/>
    <w:uiPriority w:val="0"/>
    <w:pPr>
      <w:pBdr>
        <w:bottom w:val="single" w:color="auto" w:sz="6" w:space="1"/>
      </w:pBdr>
      <w:adjustRightInd/>
      <w:spacing w:line="240" w:lineRule="auto"/>
      <w:ind w:firstLine="0"/>
      <w:jc w:val="center"/>
      <w:textAlignment w:val="auto"/>
    </w:pPr>
    <w:rPr>
      <w:rFonts w:ascii="Arial" w:hAnsi="Arial" w:cs="Arial"/>
      <w:vanish/>
      <w:kern w:val="2"/>
      <w:sz w:val="16"/>
      <w:szCs w:val="16"/>
    </w:rPr>
  </w:style>
  <w:style w:type="paragraph" w:customStyle="1" w:styleId="277">
    <w:name w:val="勘察正文"/>
    <w:basedOn w:val="1"/>
    <w:qFormat/>
    <w:uiPriority w:val="0"/>
    <w:pPr>
      <w:adjustRightInd/>
      <w:spacing w:line="480" w:lineRule="exact"/>
      <w:ind w:firstLine="567"/>
      <w:textAlignment w:val="auto"/>
    </w:pPr>
    <w:rPr>
      <w:rFonts w:ascii="宋体" w:hAnsi="宋体"/>
      <w:sz w:val="28"/>
    </w:rPr>
  </w:style>
  <w:style w:type="paragraph" w:customStyle="1" w:styleId="278">
    <w:name w:val="AODocTxtL3"/>
    <w:basedOn w:val="1"/>
    <w:qFormat/>
    <w:uiPriority w:val="0"/>
    <w:pPr>
      <w:widowControl/>
      <w:adjustRightInd/>
      <w:spacing w:before="240" w:line="260" w:lineRule="atLeast"/>
      <w:ind w:firstLine="0"/>
      <w:textAlignment w:val="auto"/>
    </w:pPr>
    <w:rPr>
      <w:sz w:val="22"/>
      <w:lang w:val="en-GB" w:eastAsia="en-US"/>
    </w:rPr>
  </w:style>
  <w:style w:type="paragraph" w:customStyle="1" w:styleId="279">
    <w:name w:val="正文11"/>
    <w:basedOn w:val="1"/>
    <w:qFormat/>
    <w:uiPriority w:val="0"/>
    <w:pPr>
      <w:spacing w:line="430" w:lineRule="atLeast"/>
      <w:ind w:firstLine="0"/>
    </w:pPr>
    <w:rPr>
      <w:rFonts w:ascii="宋体"/>
      <w:spacing w:val="16"/>
    </w:rPr>
  </w:style>
  <w:style w:type="paragraph" w:customStyle="1" w:styleId="280">
    <w:name w:val="默认段落字体 Para Char Char Char Char Char Char Char"/>
    <w:basedOn w:val="1"/>
    <w:qFormat/>
    <w:uiPriority w:val="0"/>
    <w:pPr>
      <w:adjustRightInd/>
      <w:spacing w:line="240" w:lineRule="auto"/>
      <w:ind w:firstLine="0"/>
      <w:textAlignment w:val="auto"/>
    </w:pPr>
    <w:rPr>
      <w:kern w:val="2"/>
      <w:sz w:val="21"/>
    </w:rPr>
  </w:style>
  <w:style w:type="paragraph" w:customStyle="1" w:styleId="281">
    <w:name w:val="(1)"/>
    <w:basedOn w:val="1"/>
    <w:qFormat/>
    <w:uiPriority w:val="0"/>
    <w:pPr>
      <w:snapToGrid w:val="0"/>
      <w:spacing w:line="240" w:lineRule="atLeast"/>
      <w:ind w:firstLine="0"/>
      <w:jc w:val="left"/>
    </w:pPr>
    <w:rPr>
      <w:rFonts w:ascii="Arial" w:hAnsi="Arial"/>
      <w:color w:val="000000"/>
      <w:kern w:val="2"/>
      <w:sz w:val="21"/>
    </w:rPr>
  </w:style>
  <w:style w:type="paragraph" w:customStyle="1" w:styleId="282">
    <w:name w:val="标题2 Char"/>
    <w:basedOn w:val="3"/>
    <w:qFormat/>
    <w:uiPriority w:val="0"/>
    <w:pPr>
      <w:keepNext w:val="0"/>
      <w:keepLines w:val="0"/>
      <w:adjustRightInd/>
      <w:textAlignment w:val="auto"/>
      <w:outlineLvl w:val="9"/>
    </w:pPr>
    <w:rPr>
      <w:rFonts w:ascii="Times New Roman" w:hAnsi="Times New Roman"/>
      <w:b w:val="0"/>
      <w:bCs w:val="0"/>
      <w:color w:val="000000"/>
      <w:kern w:val="2"/>
      <w:sz w:val="24"/>
      <w:szCs w:val="20"/>
    </w:rPr>
  </w:style>
  <w:style w:type="paragraph" w:customStyle="1" w:styleId="283">
    <w:name w:val="Char11"/>
    <w:basedOn w:val="1"/>
    <w:qFormat/>
    <w:uiPriority w:val="0"/>
    <w:pPr>
      <w:adjustRightInd/>
      <w:spacing w:line="240" w:lineRule="auto"/>
      <w:ind w:firstLine="0"/>
      <w:textAlignment w:val="auto"/>
    </w:pPr>
    <w:rPr>
      <w:kern w:val="2"/>
      <w:sz w:val="21"/>
      <w:szCs w:val="24"/>
    </w:rPr>
  </w:style>
  <w:style w:type="paragraph" w:customStyle="1" w:styleId="284">
    <w:name w:val="1.1.1.1A"/>
    <w:basedOn w:val="1"/>
    <w:qFormat/>
    <w:uiPriority w:val="0"/>
    <w:pPr>
      <w:tabs>
        <w:tab w:val="left" w:pos="1843"/>
        <w:tab w:val="left" w:pos="26875"/>
      </w:tabs>
      <w:autoSpaceDE w:val="0"/>
      <w:autoSpaceDN w:val="0"/>
      <w:spacing w:before="60" w:after="60" w:line="360" w:lineRule="atLeast"/>
      <w:ind w:left="1560" w:hanging="426"/>
      <w:textAlignment w:val="auto"/>
    </w:pPr>
    <w:rPr>
      <w:rFonts w:ascii="宋体"/>
    </w:rPr>
  </w:style>
  <w:style w:type="paragraph" w:customStyle="1" w:styleId="285">
    <w:name w:val="样式7"/>
    <w:basedOn w:val="246"/>
    <w:qFormat/>
    <w:uiPriority w:val="0"/>
    <w:pPr>
      <w:adjustRightInd/>
      <w:spacing w:before="0"/>
      <w:ind w:firstLine="0"/>
      <w:jc w:val="both"/>
      <w:textAlignment w:val="auto"/>
    </w:pPr>
    <w:rPr>
      <w:rFonts w:ascii="宋体" w:hAnsi="宋体"/>
      <w:snapToGrid w:val="0"/>
      <w:color w:val="000000"/>
      <w:kern w:val="2"/>
    </w:rPr>
  </w:style>
  <w:style w:type="paragraph" w:customStyle="1" w:styleId="286">
    <w:name w:val="标题后正文"/>
    <w:basedOn w:val="1"/>
    <w:qFormat/>
    <w:uiPriority w:val="0"/>
    <w:pPr>
      <w:ind w:firstLine="200" w:firstLineChars="200"/>
    </w:pPr>
    <w:rPr>
      <w:rFonts w:ascii="Arial" w:hAnsi="Arial"/>
      <w:snapToGrid w:val="0"/>
      <w:kern w:val="28"/>
    </w:rPr>
  </w:style>
  <w:style w:type="paragraph" w:customStyle="1" w:styleId="287">
    <w:name w:val="涪陵表格"/>
    <w:basedOn w:val="46"/>
    <w:qFormat/>
    <w:uiPriority w:val="0"/>
    <w:pPr>
      <w:ind w:left="0" w:firstLine="0"/>
      <w:jc w:val="center"/>
    </w:pPr>
    <w:rPr>
      <w:color w:val="FF0000"/>
      <w:sz w:val="24"/>
      <w:szCs w:val="24"/>
    </w:rPr>
  </w:style>
  <w:style w:type="paragraph" w:customStyle="1" w:styleId="288">
    <w:name w:val="正文文本缩进 31"/>
    <w:basedOn w:val="1"/>
    <w:qFormat/>
    <w:uiPriority w:val="0"/>
    <w:pPr>
      <w:ind w:left="454" w:firstLine="0"/>
    </w:pPr>
    <w:rPr>
      <w:rFonts w:ascii="宋体"/>
    </w:rPr>
  </w:style>
  <w:style w:type="paragraph" w:customStyle="1" w:styleId="289">
    <w:name w:val="表格正文"/>
    <w:basedOn w:val="1"/>
    <w:qFormat/>
    <w:uiPriority w:val="0"/>
    <w:pPr>
      <w:spacing w:line="460" w:lineRule="exact"/>
      <w:ind w:firstLine="0"/>
      <w:jc w:val="left"/>
    </w:pPr>
    <w:rPr>
      <w:rFonts w:hAnsi="宋体"/>
      <w:snapToGrid w:val="0"/>
      <w:color w:val="000000"/>
      <w:sz w:val="21"/>
    </w:rPr>
  </w:style>
  <w:style w:type="paragraph" w:customStyle="1" w:styleId="290">
    <w:name w:val="AOHead4"/>
    <w:basedOn w:val="1"/>
    <w:next w:val="278"/>
    <w:qFormat/>
    <w:uiPriority w:val="0"/>
    <w:pPr>
      <w:widowControl/>
      <w:adjustRightInd/>
      <w:spacing w:before="240" w:line="260" w:lineRule="atLeast"/>
      <w:ind w:firstLine="0"/>
      <w:textAlignment w:val="auto"/>
      <w:outlineLvl w:val="3"/>
    </w:pPr>
    <w:rPr>
      <w:sz w:val="22"/>
      <w:lang w:val="en-GB" w:eastAsia="en-US"/>
    </w:rPr>
  </w:style>
  <w:style w:type="paragraph" w:customStyle="1" w:styleId="291">
    <w:name w:val="普通 (Web)"/>
    <w:basedOn w:val="1"/>
    <w:qFormat/>
    <w:uiPriority w:val="0"/>
    <w:pPr>
      <w:widowControl/>
      <w:adjustRightInd/>
      <w:spacing w:before="100" w:after="100" w:line="240" w:lineRule="auto"/>
      <w:ind w:firstLine="0"/>
      <w:jc w:val="left"/>
      <w:textAlignment w:val="auto"/>
    </w:pPr>
    <w:rPr>
      <w:rFonts w:ascii="Arial Unicode MS" w:hAnsi="Arial Unicode MS" w:eastAsia="Arial Unicode MS"/>
    </w:rPr>
  </w:style>
  <w:style w:type="paragraph" w:customStyle="1" w:styleId="292">
    <w:name w:val="Body Text 21"/>
    <w:basedOn w:val="1"/>
    <w:qFormat/>
    <w:uiPriority w:val="0"/>
    <w:pPr>
      <w:tabs>
        <w:tab w:val="left" w:pos="600"/>
        <w:tab w:val="left" w:pos="1920"/>
        <w:tab w:val="left" w:pos="5760"/>
      </w:tabs>
      <w:ind w:firstLine="0"/>
    </w:pPr>
    <w:rPr>
      <w:color w:val="000000"/>
      <w:sz w:val="28"/>
    </w:rPr>
  </w:style>
  <w:style w:type="paragraph" w:customStyle="1" w:styleId="293">
    <w:name w:val="标题2"/>
    <w:basedOn w:val="3"/>
    <w:next w:val="3"/>
    <w:qFormat/>
    <w:uiPriority w:val="0"/>
    <w:pPr>
      <w:keepNext w:val="0"/>
      <w:keepLines w:val="0"/>
      <w:tabs>
        <w:tab w:val="left" w:pos="425"/>
        <w:tab w:val="left" w:pos="480"/>
        <w:tab w:val="left" w:pos="1140"/>
      </w:tabs>
      <w:ind w:left="1140" w:hanging="1140"/>
    </w:pPr>
    <w:rPr>
      <w:rFonts w:ascii="Times New Roman" w:hAnsi="Times New Roman"/>
      <w:bCs w:val="0"/>
      <w:sz w:val="24"/>
      <w:szCs w:val="20"/>
    </w:rPr>
  </w:style>
  <w:style w:type="paragraph" w:customStyle="1" w:styleId="294">
    <w:name w:val="para35"/>
    <w:qFormat/>
    <w:uiPriority w:val="0"/>
    <w:pPr>
      <w:widowControl w:val="0"/>
      <w:suppressLineNumbers/>
      <w:autoSpaceDE w:val="0"/>
      <w:autoSpaceDN w:val="0"/>
      <w:adjustRightInd w:val="0"/>
      <w:spacing w:after="160" w:line="278" w:lineRule="auto"/>
      <w:textAlignment w:val="baseline"/>
    </w:pPr>
    <w:rPr>
      <w:rFonts w:ascii="宋体" w:hAnsi="Times New Roman" w:eastAsia="宋体" w:cs="Times New Roman"/>
      <w:sz w:val="24"/>
      <w:lang w:val="en-US" w:eastAsia="zh-CN" w:bidi="ar-SA"/>
    </w:rPr>
  </w:style>
  <w:style w:type="paragraph" w:customStyle="1" w:styleId="295">
    <w:name w:val="Char Char2"/>
    <w:basedOn w:val="1"/>
    <w:qFormat/>
    <w:uiPriority w:val="0"/>
    <w:pPr>
      <w:widowControl/>
      <w:adjustRightInd/>
      <w:spacing w:line="240" w:lineRule="exact"/>
      <w:ind w:firstLine="0"/>
      <w:jc w:val="left"/>
      <w:textAlignment w:val="auto"/>
    </w:pPr>
    <w:rPr>
      <w:rFonts w:ascii="Calibri" w:hAnsi="Calibri"/>
      <w:kern w:val="2"/>
      <w:sz w:val="21"/>
      <w:szCs w:val="22"/>
      <w:lang w:eastAsia="en-US" w:bidi="en-US"/>
    </w:rPr>
  </w:style>
  <w:style w:type="paragraph" w:customStyle="1" w:styleId="296">
    <w:name w:val="表"/>
    <w:basedOn w:val="1"/>
    <w:next w:val="1"/>
    <w:qFormat/>
    <w:uiPriority w:val="0"/>
    <w:pPr>
      <w:spacing w:before="120" w:line="240" w:lineRule="auto"/>
      <w:ind w:firstLine="0"/>
      <w:jc w:val="center"/>
    </w:pPr>
    <w:rPr>
      <w:rFonts w:hAnsi="宋体"/>
      <w:snapToGrid w:val="0"/>
      <w:color w:val="000000"/>
      <w:sz w:val="21"/>
    </w:rPr>
  </w:style>
  <w:style w:type="paragraph" w:customStyle="1" w:styleId="297">
    <w:name w:val="不缩进"/>
    <w:basedOn w:val="1"/>
    <w:qFormat/>
    <w:uiPriority w:val="0"/>
    <w:pPr>
      <w:tabs>
        <w:tab w:val="left" w:pos="-120"/>
      </w:tabs>
      <w:adjustRightInd/>
      <w:spacing w:line="240" w:lineRule="auto"/>
      <w:ind w:firstLine="0"/>
      <w:textAlignment w:val="auto"/>
    </w:pPr>
    <w:rPr>
      <w:rFonts w:ascii="宋体" w:hAnsi="宋体"/>
      <w:snapToGrid w:val="0"/>
      <w:color w:val="000000"/>
      <w:kern w:val="2"/>
      <w:sz w:val="21"/>
      <w:szCs w:val="24"/>
    </w:rPr>
  </w:style>
  <w:style w:type="paragraph" w:customStyle="1" w:styleId="298">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spacing w:after="160" w:line="278" w:lineRule="auto"/>
      <w:textAlignment w:val="baseline"/>
    </w:pPr>
    <w:rPr>
      <w:rFonts w:ascii="宋体" w:hAnsi="Times New Roman" w:eastAsia="宋体" w:cs="Times New Roman"/>
      <w:sz w:val="24"/>
      <w:lang w:val="en-US" w:eastAsia="zh-CN" w:bidi="ar-SA"/>
    </w:rPr>
  </w:style>
  <w:style w:type="paragraph" w:customStyle="1" w:styleId="299">
    <w:name w:val="AOTOCTitle"/>
    <w:basedOn w:val="1"/>
    <w:next w:val="1"/>
    <w:qFormat/>
    <w:uiPriority w:val="0"/>
    <w:pPr>
      <w:widowControl/>
      <w:adjustRightInd/>
      <w:spacing w:before="240" w:line="260" w:lineRule="atLeast"/>
      <w:ind w:firstLine="0"/>
      <w:jc w:val="center"/>
      <w:textAlignment w:val="auto"/>
    </w:pPr>
    <w:rPr>
      <w:b/>
      <w:caps/>
      <w:sz w:val="22"/>
      <w:lang w:val="en-GB" w:eastAsia="en-US"/>
    </w:rPr>
  </w:style>
  <w:style w:type="paragraph" w:customStyle="1" w:styleId="300">
    <w:name w:val="Char Char Char1 Char Char Char Char"/>
    <w:basedOn w:val="1"/>
    <w:qFormat/>
    <w:uiPriority w:val="0"/>
    <w:pPr>
      <w:adjustRightInd/>
      <w:spacing w:line="240" w:lineRule="auto"/>
      <w:ind w:firstLine="0"/>
      <w:textAlignment w:val="auto"/>
    </w:pPr>
    <w:rPr>
      <w:rFonts w:ascii="宋体" w:hAnsi="Courier New"/>
      <w:spacing w:val="20"/>
      <w:kern w:val="2"/>
      <w:sz w:val="30"/>
    </w:rPr>
  </w:style>
  <w:style w:type="paragraph" w:customStyle="1" w:styleId="301">
    <w:name w:val="标准"/>
    <w:basedOn w:val="1"/>
    <w:qFormat/>
    <w:uiPriority w:val="0"/>
    <w:pPr>
      <w:wordWrap w:val="0"/>
      <w:overflowPunct w:val="0"/>
      <w:autoSpaceDE w:val="0"/>
      <w:autoSpaceDN w:val="0"/>
      <w:spacing w:line="300" w:lineRule="auto"/>
      <w:ind w:firstLine="480"/>
    </w:pPr>
    <w:rPr>
      <w:rFonts w:ascii="宋体" w:hAnsi="MS Sans Serif"/>
    </w:rPr>
  </w:style>
  <w:style w:type="paragraph" w:customStyle="1" w:styleId="302">
    <w:name w:val="样式 标题 1 + 首行缩进:  2 字符 段前: 1 行 段后: 1 行"/>
    <w:basedOn w:val="2"/>
    <w:next w:val="293"/>
    <w:qFormat/>
    <w:uiPriority w:val="0"/>
    <w:pPr>
      <w:adjustRightInd/>
      <w:spacing w:beforeLines="100" w:afterLines="100" w:line="240" w:lineRule="auto"/>
      <w:jc w:val="both"/>
      <w:textAlignment w:val="auto"/>
    </w:pPr>
    <w:rPr>
      <w:rFonts w:eastAsia="黑体"/>
      <w:b w:val="0"/>
      <w:bCs w:val="0"/>
      <w:sz w:val="28"/>
      <w:szCs w:val="20"/>
    </w:rPr>
  </w:style>
  <w:style w:type="paragraph" w:customStyle="1" w:styleId="303">
    <w:name w:val="正文（缩进）"/>
    <w:basedOn w:val="1"/>
    <w:next w:val="1"/>
    <w:qFormat/>
    <w:uiPriority w:val="0"/>
    <w:pPr>
      <w:widowControl/>
      <w:spacing w:before="156" w:after="156"/>
      <w:ind w:firstLine="480" w:firstLineChars="200"/>
      <w:jc w:val="left"/>
    </w:pPr>
    <w:rPr>
      <w:rFonts w:ascii="仿宋" w:hAnsi="仿宋"/>
      <w:sz w:val="28"/>
      <w:szCs w:val="24"/>
      <w:lang w:bidi="th-TH"/>
    </w:rPr>
  </w:style>
  <w:style w:type="paragraph" w:customStyle="1" w:styleId="304">
    <w:name w:val="正文首缩"/>
    <w:basedOn w:val="1"/>
    <w:next w:val="5"/>
    <w:qFormat/>
    <w:uiPriority w:val="0"/>
    <w:pPr>
      <w:spacing w:line="324" w:lineRule="auto"/>
      <w:ind w:firstLine="425"/>
      <w:textAlignment w:val="auto"/>
    </w:pPr>
    <w:rPr>
      <w:sz w:val="28"/>
    </w:rPr>
  </w:style>
  <w:style w:type="paragraph" w:customStyle="1" w:styleId="305">
    <w:name w:val="BT3"/>
    <w:basedOn w:val="1"/>
    <w:qFormat/>
    <w:uiPriority w:val="0"/>
    <w:pPr>
      <w:tabs>
        <w:tab w:val="left" w:pos="0"/>
        <w:tab w:val="left" w:pos="1134"/>
      </w:tabs>
      <w:autoSpaceDE w:val="0"/>
      <w:autoSpaceDN w:val="0"/>
      <w:spacing w:before="60" w:after="60" w:line="360" w:lineRule="atLeast"/>
      <w:ind w:left="1134" w:hanging="1134"/>
      <w:textAlignment w:val="auto"/>
    </w:pPr>
    <w:rPr>
      <w:rFonts w:ascii="Arial" w:hAnsi="Arial"/>
    </w:rPr>
  </w:style>
  <w:style w:type="paragraph" w:customStyle="1" w:styleId="306">
    <w:name w:val="样式 首行缩进:  2 字符 非加宽量 / 紧缩量"/>
    <w:basedOn w:val="1"/>
    <w:qFormat/>
    <w:uiPriority w:val="0"/>
    <w:pPr>
      <w:adjustRightInd/>
      <w:ind w:firstLine="480" w:firstLineChars="200"/>
      <w:textAlignment w:val="auto"/>
    </w:pPr>
    <w:rPr>
      <w:spacing w:val="20"/>
    </w:rPr>
  </w:style>
  <w:style w:type="paragraph" w:customStyle="1" w:styleId="307">
    <w:name w:val="列出段落1"/>
    <w:basedOn w:val="1"/>
    <w:qFormat/>
    <w:uiPriority w:val="34"/>
    <w:pPr>
      <w:widowControl/>
      <w:adjustRightInd/>
      <w:spacing w:after="200" w:line="276" w:lineRule="auto"/>
      <w:ind w:firstLine="420" w:firstLineChars="200"/>
      <w:jc w:val="left"/>
      <w:textAlignment w:val="auto"/>
    </w:pPr>
    <w:rPr>
      <w:rFonts w:ascii="Calibri" w:hAnsi="Calibri"/>
      <w:sz w:val="22"/>
      <w:szCs w:val="22"/>
    </w:rPr>
  </w:style>
  <w:style w:type="paragraph" w:customStyle="1" w:styleId="308">
    <w:name w:val="列出段落2"/>
    <w:basedOn w:val="1"/>
    <w:unhideWhenUsed/>
    <w:qFormat/>
    <w:uiPriority w:val="99"/>
    <w:pPr>
      <w:ind w:firstLine="420" w:firstLineChars="200"/>
    </w:pPr>
  </w:style>
  <w:style w:type="paragraph" w:customStyle="1" w:styleId="309">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rPr>
  </w:style>
  <w:style w:type="paragraph" w:customStyle="1" w:styleId="310">
    <w:name w:val="列出段落3"/>
    <w:basedOn w:val="1"/>
    <w:qFormat/>
    <w:uiPriority w:val="34"/>
    <w:pPr>
      <w:ind w:firstLine="420"/>
    </w:pPr>
  </w:style>
  <w:style w:type="paragraph" w:customStyle="1" w:styleId="311">
    <w:name w:val="1、列"/>
    <w:basedOn w:val="20"/>
    <w:qFormat/>
    <w:uiPriority w:val="0"/>
    <w:pPr>
      <w:numPr>
        <w:ilvl w:val="0"/>
        <w:numId w:val="1"/>
      </w:numPr>
      <w:ind w:firstLine="0"/>
    </w:pPr>
  </w:style>
  <w:style w:type="paragraph" w:customStyle="1" w:styleId="312">
    <w:name w:val="msonormal"/>
    <w:basedOn w:val="1"/>
    <w:qFormat/>
    <w:uiPriority w:val="0"/>
    <w:pPr>
      <w:widowControl/>
      <w:adjustRightInd/>
      <w:spacing w:before="100" w:beforeAutospacing="1" w:after="100" w:afterAutospacing="1" w:line="240" w:lineRule="auto"/>
      <w:ind w:firstLine="0"/>
      <w:jc w:val="left"/>
      <w:textAlignment w:val="auto"/>
    </w:pPr>
    <w:rPr>
      <w:rFonts w:ascii="宋体" w:hAnsi="宋体" w:cs="宋体"/>
      <w:szCs w:val="24"/>
    </w:rPr>
  </w:style>
  <w:style w:type="paragraph" w:customStyle="1" w:styleId="313">
    <w:name w:val="font0"/>
    <w:basedOn w:val="1"/>
    <w:qFormat/>
    <w:uiPriority w:val="0"/>
    <w:pPr>
      <w:widowControl/>
      <w:adjustRightInd/>
      <w:spacing w:before="100" w:beforeAutospacing="1" w:after="100" w:afterAutospacing="1" w:line="240" w:lineRule="auto"/>
      <w:ind w:firstLine="0"/>
      <w:jc w:val="left"/>
      <w:textAlignment w:val="auto"/>
    </w:pPr>
    <w:rPr>
      <w:rFonts w:ascii="等线" w:hAnsi="等线" w:eastAsia="等线" w:cs="宋体"/>
      <w:color w:val="000000"/>
      <w:sz w:val="20"/>
    </w:rPr>
  </w:style>
  <w:style w:type="paragraph" w:customStyle="1" w:styleId="314">
    <w:name w:val="font1"/>
    <w:basedOn w:val="1"/>
    <w:qFormat/>
    <w:uiPriority w:val="0"/>
    <w:pPr>
      <w:widowControl/>
      <w:adjustRightInd/>
      <w:spacing w:before="100" w:beforeAutospacing="1" w:after="100" w:afterAutospacing="1" w:line="240" w:lineRule="auto"/>
      <w:ind w:firstLine="0"/>
      <w:jc w:val="left"/>
      <w:textAlignment w:val="auto"/>
    </w:pPr>
    <w:rPr>
      <w:rFonts w:ascii="Calibri" w:hAnsi="Calibri" w:cs="Calibri"/>
      <w:color w:val="000000"/>
      <w:sz w:val="20"/>
    </w:rPr>
  </w:style>
  <w:style w:type="paragraph" w:customStyle="1" w:styleId="315">
    <w:name w:val="font2"/>
    <w:basedOn w:val="1"/>
    <w:qFormat/>
    <w:uiPriority w:val="0"/>
    <w:pPr>
      <w:widowControl/>
      <w:adjustRightInd/>
      <w:spacing w:before="100" w:beforeAutospacing="1" w:after="100" w:afterAutospacing="1" w:line="240" w:lineRule="auto"/>
      <w:ind w:firstLine="0"/>
      <w:jc w:val="left"/>
      <w:textAlignment w:val="auto"/>
    </w:pPr>
    <w:rPr>
      <w:rFonts w:ascii="宋体-简" w:hAnsi="宋体" w:eastAsia="宋体-简" w:cs="宋体"/>
      <w:color w:val="000000"/>
      <w:sz w:val="20"/>
    </w:rPr>
  </w:style>
  <w:style w:type="paragraph" w:customStyle="1" w:styleId="316">
    <w:name w:val="et1"/>
    <w:basedOn w:val="1"/>
    <w:qFormat/>
    <w:uiPriority w:val="0"/>
    <w:pPr>
      <w:widowControl/>
      <w:adjustRightInd/>
      <w:spacing w:before="100" w:beforeAutospacing="1" w:after="100" w:afterAutospacing="1" w:line="240" w:lineRule="auto"/>
      <w:ind w:firstLine="0"/>
      <w:jc w:val="left"/>
      <w:textAlignment w:val="center"/>
    </w:pPr>
    <w:rPr>
      <w:rFonts w:ascii="宋体" w:hAnsi="宋体" w:cs="宋体"/>
      <w:szCs w:val="24"/>
    </w:rPr>
  </w:style>
  <w:style w:type="paragraph" w:customStyle="1" w:styleId="317">
    <w:name w:val="et2"/>
    <w:basedOn w:val="1"/>
    <w:qFormat/>
    <w:uiPriority w:val="0"/>
    <w:pPr>
      <w:widowControl/>
      <w:pBdr>
        <w:top w:val="single" w:color="1F2329" w:sz="4" w:space="0"/>
        <w:left w:val="single" w:color="1F2329" w:sz="4" w:space="0"/>
        <w:bottom w:val="single" w:color="1F2329" w:sz="4" w:space="0"/>
        <w:right w:val="single" w:color="1F2329" w:sz="4" w:space="0"/>
      </w:pBdr>
      <w:shd w:val="clear" w:color="auto" w:fill="BDD7EE"/>
      <w:adjustRightInd/>
      <w:spacing w:before="100" w:beforeAutospacing="1" w:after="100" w:afterAutospacing="1" w:line="240" w:lineRule="auto"/>
      <w:ind w:firstLine="0"/>
      <w:jc w:val="center"/>
      <w:textAlignment w:val="center"/>
    </w:pPr>
    <w:rPr>
      <w:rFonts w:ascii="Calibri" w:hAnsi="Calibri" w:cs="Calibri"/>
      <w:color w:val="000000"/>
      <w:szCs w:val="24"/>
    </w:rPr>
  </w:style>
  <w:style w:type="paragraph" w:customStyle="1" w:styleId="318">
    <w:name w:val="et3"/>
    <w:basedOn w:val="1"/>
    <w:qFormat/>
    <w:uiPriority w:val="0"/>
    <w:pPr>
      <w:widowControl/>
      <w:pBdr>
        <w:top w:val="single" w:color="1F2329" w:sz="4" w:space="0"/>
        <w:left w:val="single" w:color="1F2329" w:sz="4" w:space="0"/>
        <w:bottom w:val="single" w:color="1F2329" w:sz="4" w:space="0"/>
        <w:right w:val="single" w:color="1F2329" w:sz="4" w:space="0"/>
      </w:pBdr>
      <w:shd w:val="clear" w:color="auto" w:fill="BDD7EE"/>
      <w:adjustRightInd/>
      <w:spacing w:before="100" w:beforeAutospacing="1" w:after="100" w:afterAutospacing="1" w:line="240" w:lineRule="auto"/>
      <w:ind w:firstLine="0"/>
      <w:jc w:val="left"/>
      <w:textAlignment w:val="center"/>
    </w:pPr>
    <w:rPr>
      <w:rFonts w:ascii="Calibri" w:hAnsi="Calibri" w:cs="Calibri"/>
      <w:color w:val="000000"/>
      <w:szCs w:val="24"/>
    </w:rPr>
  </w:style>
  <w:style w:type="paragraph" w:customStyle="1" w:styleId="319">
    <w:name w:val="et4"/>
    <w:basedOn w:val="1"/>
    <w:qFormat/>
    <w:uiPriority w:val="0"/>
    <w:pPr>
      <w:widowControl/>
      <w:pBdr>
        <w:top w:val="single" w:color="1F2329" w:sz="4" w:space="0"/>
        <w:left w:val="single" w:color="1F2329" w:sz="4" w:space="0"/>
        <w:bottom w:val="single" w:color="1F2329" w:sz="4" w:space="0"/>
        <w:right w:val="single" w:color="1F2329" w:sz="4" w:space="0"/>
      </w:pBdr>
      <w:shd w:val="clear" w:color="auto" w:fill="BDD7EE"/>
      <w:adjustRightInd/>
      <w:spacing w:before="100" w:beforeAutospacing="1" w:after="100" w:afterAutospacing="1" w:line="240" w:lineRule="auto"/>
      <w:ind w:firstLine="0"/>
      <w:jc w:val="left"/>
      <w:textAlignment w:val="center"/>
    </w:pPr>
    <w:rPr>
      <w:rFonts w:ascii="宋体-简" w:hAnsi="宋体" w:eastAsia="宋体-简" w:cs="宋体"/>
      <w:color w:val="000000"/>
      <w:szCs w:val="24"/>
    </w:rPr>
  </w:style>
  <w:style w:type="paragraph" w:customStyle="1" w:styleId="320">
    <w:name w:val="et5"/>
    <w:basedOn w:val="1"/>
    <w:qFormat/>
    <w:uiPriority w:val="0"/>
    <w:pPr>
      <w:widowControl/>
      <w:pBdr>
        <w:top w:val="single" w:color="1F2329" w:sz="4" w:space="0"/>
        <w:left w:val="single" w:color="1F2329" w:sz="4" w:space="0"/>
        <w:bottom w:val="single" w:color="1F2329" w:sz="4" w:space="0"/>
        <w:right w:val="single" w:color="1F2329" w:sz="4" w:space="0"/>
      </w:pBdr>
      <w:adjustRightInd/>
      <w:spacing w:before="100" w:beforeAutospacing="1" w:after="100" w:afterAutospacing="1" w:line="240" w:lineRule="auto"/>
      <w:ind w:firstLine="0"/>
      <w:jc w:val="center"/>
      <w:textAlignment w:val="center"/>
    </w:pPr>
    <w:rPr>
      <w:rFonts w:ascii="Calibri" w:hAnsi="Calibri" w:cs="Calibri"/>
      <w:color w:val="000000"/>
      <w:szCs w:val="24"/>
    </w:rPr>
  </w:style>
  <w:style w:type="paragraph" w:customStyle="1" w:styleId="321">
    <w:name w:val="et6"/>
    <w:basedOn w:val="1"/>
    <w:qFormat/>
    <w:uiPriority w:val="0"/>
    <w:pPr>
      <w:widowControl/>
      <w:pBdr>
        <w:top w:val="single" w:color="1F2329" w:sz="4" w:space="0"/>
        <w:left w:val="single" w:color="1F2329" w:sz="4" w:space="0"/>
        <w:bottom w:val="single" w:color="1F2329" w:sz="4" w:space="0"/>
        <w:right w:val="single" w:color="1F2329" w:sz="4" w:space="0"/>
      </w:pBdr>
      <w:adjustRightInd/>
      <w:spacing w:before="100" w:beforeAutospacing="1" w:after="100" w:afterAutospacing="1" w:line="240" w:lineRule="auto"/>
      <w:ind w:firstLine="0"/>
      <w:jc w:val="left"/>
      <w:textAlignment w:val="center"/>
    </w:pPr>
    <w:rPr>
      <w:rFonts w:ascii="Calibri" w:hAnsi="Calibri" w:cs="Calibri"/>
      <w:color w:val="000000"/>
      <w:szCs w:val="24"/>
    </w:rPr>
  </w:style>
  <w:style w:type="paragraph" w:customStyle="1" w:styleId="322">
    <w:name w:val="et7"/>
    <w:basedOn w:val="1"/>
    <w:qFormat/>
    <w:uiPriority w:val="0"/>
    <w:pPr>
      <w:widowControl/>
      <w:pBdr>
        <w:top w:val="single" w:color="1F2329" w:sz="4" w:space="0"/>
        <w:left w:val="single" w:color="1F2329" w:sz="4" w:space="0"/>
        <w:bottom w:val="single" w:color="1F2329" w:sz="4" w:space="0"/>
        <w:right w:val="single" w:color="1F2329" w:sz="4" w:space="0"/>
      </w:pBdr>
      <w:adjustRightInd/>
      <w:spacing w:before="100" w:beforeAutospacing="1" w:after="100" w:afterAutospacing="1" w:line="240" w:lineRule="auto"/>
      <w:ind w:firstLine="0"/>
      <w:jc w:val="left"/>
      <w:textAlignment w:val="center"/>
    </w:pPr>
    <w:rPr>
      <w:rFonts w:ascii="Calibri" w:hAnsi="Calibri" w:cs="Calibri"/>
      <w:color w:val="000000"/>
      <w:szCs w:val="24"/>
    </w:rPr>
  </w:style>
  <w:style w:type="character" w:customStyle="1" w:styleId="323">
    <w:name w:val="font21"/>
    <w:qFormat/>
    <w:uiPriority w:val="0"/>
    <w:rPr>
      <w:rFonts w:hint="eastAsia" w:ascii="宋体-简" w:eastAsia="宋体-简"/>
      <w:color w:val="000000"/>
      <w:sz w:val="20"/>
      <w:szCs w:val="20"/>
      <w:u w:val="none"/>
    </w:rPr>
  </w:style>
  <w:style w:type="character" w:customStyle="1" w:styleId="324">
    <w:name w:val="font11"/>
    <w:qFormat/>
    <w:uiPriority w:val="0"/>
    <w:rPr>
      <w:rFonts w:hint="default" w:ascii="Calibri" w:hAnsi="Calibri" w:cs="Calibri"/>
      <w:color w:val="000000"/>
      <w:sz w:val="20"/>
      <w:szCs w:val="20"/>
      <w:u w:val="none"/>
    </w:rPr>
  </w:style>
  <w:style w:type="paragraph" w:customStyle="1" w:styleId="325">
    <w:name w:val="_Style 30"/>
    <w:basedOn w:val="1"/>
    <w:next w:val="1"/>
    <w:qFormat/>
    <w:uiPriority w:val="0"/>
    <w:pPr>
      <w:widowControl/>
      <w:adjustRightInd/>
      <w:ind w:firstLine="420" w:firstLineChars="200"/>
      <w:jc w:val="left"/>
      <w:textAlignment w:val="auto"/>
    </w:pPr>
    <w:rPr>
      <w:rFonts w:ascii="宋体" w:hAnsi="宋体" w:cs="宋体"/>
      <w:szCs w:val="24"/>
    </w:rPr>
  </w:style>
  <w:style w:type="paragraph" w:customStyle="1" w:styleId="326">
    <w:name w:val="QB正文"/>
    <w:basedOn w:val="1"/>
    <w:qFormat/>
    <w:uiPriority w:val="0"/>
    <w:pPr>
      <w:widowControl/>
      <w:autoSpaceDE w:val="0"/>
      <w:autoSpaceDN w:val="0"/>
      <w:adjustRightInd/>
      <w:spacing w:line="240" w:lineRule="auto"/>
      <w:ind w:firstLine="200" w:firstLineChars="200"/>
      <w:textAlignment w:val="auto"/>
    </w:pPr>
    <w:rPr>
      <w:rFonts w:ascii="仿宋_GB2312" w:hAnsi="宋体" w:eastAsia="仿宋_GB2312" w:cs="宋体"/>
      <w:sz w:val="20"/>
    </w:rPr>
  </w:style>
  <w:style w:type="paragraph" w:customStyle="1" w:styleId="327">
    <w:name w:val="列表段落2"/>
    <w:basedOn w:val="1"/>
    <w:qFormat/>
    <w:uiPriority w:val="0"/>
    <w:pPr>
      <w:ind w:firstLine="420"/>
    </w:pPr>
    <w:rPr>
      <w:szCs w:val="24"/>
    </w:rPr>
  </w:style>
  <w:style w:type="paragraph" w:customStyle="1" w:styleId="328">
    <w:name w:val="修订2"/>
    <w:semiHidden/>
    <w:qFormat/>
    <w:uiPriority w:val="99"/>
    <w:pPr>
      <w:spacing w:after="160" w:line="278" w:lineRule="auto"/>
    </w:pPr>
    <w:rPr>
      <w:rFonts w:ascii="Times New Roman" w:hAnsi="Times New Roman" w:eastAsia="宋体" w:cs="Times New Roman"/>
      <w:sz w:val="24"/>
      <w:lang w:val="en-US" w:eastAsia="zh-CN" w:bidi="ar-SA"/>
    </w:rPr>
  </w:style>
  <w:style w:type="paragraph" w:customStyle="1" w:styleId="329">
    <w:name w:val="修订3"/>
    <w:semiHidden/>
    <w:qFormat/>
    <w:uiPriority w:val="99"/>
    <w:pPr>
      <w:spacing w:after="160" w:line="278" w:lineRule="auto"/>
    </w:pPr>
    <w:rPr>
      <w:rFonts w:ascii="Times New Roman" w:hAnsi="Times New Roman" w:eastAsia="宋体" w:cs="Times New Roman"/>
      <w:sz w:val="24"/>
      <w:lang w:val="en-US" w:eastAsia="zh-CN" w:bidi="ar-SA"/>
    </w:rPr>
  </w:style>
  <w:style w:type="table" w:customStyle="1" w:styleId="330">
    <w:name w:val="TableGrid"/>
    <w:qFormat/>
    <w:uiPriority w:val="0"/>
    <w:tblPr>
      <w:tblLayout w:type="fixed"/>
      <w:tblCellMar>
        <w:top w:w="0" w:type="dxa"/>
        <w:left w:w="0" w:type="dxa"/>
        <w:bottom w:w="0" w:type="dxa"/>
        <w:right w:w="0" w:type="dxa"/>
      </w:tblCellMar>
    </w:tblPr>
  </w:style>
  <w:style w:type="paragraph" w:customStyle="1" w:styleId="331">
    <w:name w:val="Table Paragraph"/>
    <w:basedOn w:val="1"/>
    <w:qFormat/>
    <w:uiPriority w:val="1"/>
    <w:pPr>
      <w:autoSpaceDE w:val="0"/>
      <w:autoSpaceDN w:val="0"/>
      <w:spacing w:line="240" w:lineRule="auto"/>
      <w:ind w:firstLine="0"/>
      <w:jc w:val="left"/>
      <w:textAlignment w:val="auto"/>
    </w:pPr>
    <w:rPr>
      <w:szCs w:val="24"/>
    </w:rPr>
  </w:style>
  <w:style w:type="paragraph" w:customStyle="1" w:styleId="332">
    <w:name w:val="文本正文"/>
    <w:basedOn w:val="1"/>
    <w:qFormat/>
    <w:uiPriority w:val="0"/>
    <w:pPr>
      <w:adjustRightInd/>
      <w:ind w:firstLine="560" w:firstLineChars="200"/>
      <w:contextualSpacing/>
      <w:textAlignment w:val="auto"/>
    </w:pPr>
    <w:rPr>
      <w:rFonts w:ascii="宋体" w:hAnsi="宋体"/>
      <w:kern w:val="2"/>
      <w:sz w:val="28"/>
      <w:szCs w:val="28"/>
      <w:u w:color="000000"/>
    </w:rPr>
  </w:style>
  <w:style w:type="paragraph" w:customStyle="1" w:styleId="333">
    <w:name w:val="修订4"/>
    <w:hidden/>
    <w:unhideWhenUsed/>
    <w:qFormat/>
    <w:uiPriority w:val="99"/>
    <w:pPr>
      <w:spacing w:after="160" w:line="278" w:lineRule="auto"/>
    </w:pPr>
    <w:rPr>
      <w:rFonts w:ascii="Times New Roman" w:hAnsi="Times New Roman" w:eastAsia="宋体" w:cs="Times New Roman"/>
      <w:sz w:val="24"/>
      <w:lang w:val="en-US" w:eastAsia="zh-CN" w:bidi="ar-SA"/>
    </w:rPr>
  </w:style>
  <w:style w:type="paragraph" w:customStyle="1" w:styleId="334">
    <w:name w:val="2"/>
    <w:next w:val="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table" w:customStyle="1" w:styleId="335">
    <w:name w:val="Table Normal"/>
    <w:unhideWhenUsed/>
    <w:qFormat/>
    <w:uiPriority w:val="0"/>
    <w:tblPr>
      <w:tblLayout w:type="fixed"/>
      <w:tblCellMar>
        <w:top w:w="0" w:type="dxa"/>
        <w:left w:w="0" w:type="dxa"/>
        <w:bottom w:w="0" w:type="dxa"/>
        <w:right w:w="0" w:type="dxa"/>
      </w:tblCellMar>
    </w:tblPr>
  </w:style>
  <w:style w:type="paragraph" w:customStyle="1" w:styleId="336">
    <w:name w:val="列表段落3"/>
    <w:basedOn w:val="1"/>
    <w:unhideWhenUsed/>
    <w:qFormat/>
    <w:uiPriority w:val="99"/>
    <w:pPr>
      <w:adjustRightInd/>
      <w:spacing w:line="240" w:lineRule="auto"/>
      <w:ind w:firstLine="420" w:firstLineChars="200"/>
      <w:textAlignment w:val="auto"/>
    </w:pPr>
    <w:rPr>
      <w:kern w:val="2"/>
      <w:sz w:val="21"/>
      <w:szCs w:val="24"/>
    </w:rPr>
  </w:style>
  <w:style w:type="paragraph" w:customStyle="1" w:styleId="337">
    <w:name w:val="正文 B"/>
    <w:qFormat/>
    <w:uiPriority w:val="0"/>
    <w:pPr>
      <w:spacing w:after="160" w:line="278" w:lineRule="auto"/>
    </w:pPr>
    <w:rPr>
      <w:rFonts w:ascii="Arial Unicode MS" w:hAnsi="Arial Unicode MS" w:eastAsia="Times New Roman" w:cs="Arial Unicode MS"/>
      <w:color w:val="000000"/>
      <w:sz w:val="24"/>
      <w:szCs w:val="24"/>
      <w:u w:color="000000"/>
      <w:lang w:val="en-US" w:eastAsia="zh-CN" w:bidi="ar-SA"/>
    </w:rPr>
  </w:style>
  <w:style w:type="paragraph" w:customStyle="1" w:styleId="338">
    <w:name w:val="修订5"/>
    <w:hidden/>
    <w:unhideWhenUsed/>
    <w:qFormat/>
    <w:uiPriority w:val="99"/>
    <w:pPr>
      <w:spacing w:after="160" w:line="278" w:lineRule="auto"/>
    </w:pPr>
    <w:rPr>
      <w:rFonts w:ascii="Times New Roman" w:hAnsi="Times New Roman" w:eastAsia="宋体" w:cs="Times New Roman"/>
      <w:sz w:val="24"/>
      <w:lang w:val="en-US" w:eastAsia="zh-CN" w:bidi="ar-SA"/>
    </w:rPr>
  </w:style>
  <w:style w:type="paragraph" w:customStyle="1" w:styleId="339">
    <w:name w:val="修订6"/>
    <w:hidden/>
    <w:unhideWhenUsed/>
    <w:qFormat/>
    <w:uiPriority w:val="99"/>
    <w:pPr>
      <w:spacing w:after="160" w:line="278" w:lineRule="auto"/>
    </w:pPr>
    <w:rPr>
      <w:rFonts w:ascii="Times New Roman" w:hAnsi="Times New Roman" w:eastAsia="宋体" w:cs="Times New Roman"/>
      <w:sz w:val="24"/>
      <w:lang w:val="en-US" w:eastAsia="zh-CN" w:bidi="ar-SA"/>
    </w:rPr>
  </w:style>
  <w:style w:type="paragraph" w:customStyle="1" w:styleId="340">
    <w:name w:val="修订7"/>
    <w:hidden/>
    <w:unhideWhenUsed/>
    <w:qFormat/>
    <w:uiPriority w:val="99"/>
    <w:pPr>
      <w:spacing w:after="160" w:line="278" w:lineRule="auto"/>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8D310-DD93-4C2E-98D3-71726990BA1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3790</Words>
  <Characters>21604</Characters>
  <Lines>180</Lines>
  <Paragraphs>50</Paragraphs>
  <TotalTime>0</TotalTime>
  <ScaleCrop>false</ScaleCrop>
  <LinksUpToDate>false</LinksUpToDate>
  <CharactersWithSpaces>25344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2024-11-24T01:30:00Z</dcterms:created>
  <dc:creator>汪渝涛</dc:creator>
  <cp:lastModifiedBy>郑善波</cp:lastModifiedBy>
  <cp:lastPrinted>2023-08-31T10:10:00Z</cp:lastPrinted>
  <dcterms:modified xsi:type="dcterms:W3CDTF">2024-11-26T08:39:45Z</dcterms:modified>
  <dc:title>招标文件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2687FAD5353D42929FBB1F04DAC03094_13</vt:lpwstr>
  </property>
</Properties>
</file>