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eastAsia="zh-CN"/>
        </w:rPr>
        <w:t>重庆渝合高速公路有限公司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Arial" w:hAnsi="Arial" w:cs="Arial"/>
          <w:b w:val="0"/>
          <w:bCs/>
          <w:sz w:val="18"/>
          <w:szCs w:val="1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档案室密集架采购项目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1"/>
          <w:kern w:val="0"/>
          <w:sz w:val="44"/>
          <w:szCs w:val="44"/>
          <w:shd w:val="clear" w:color="auto" w:fill="FFFFFF"/>
          <w:lang w:eastAsia="zh-CN" w:bidi="ar"/>
        </w:rPr>
        <w:t>结果公示</w:t>
      </w:r>
    </w:p>
    <w:p>
      <w:pPr>
        <w:widowControl/>
        <w:spacing w:line="360" w:lineRule="auto"/>
        <w:ind w:firstLine="420"/>
        <w:jc w:val="left"/>
        <w:rPr>
          <w:rFonts w:ascii="Arial" w:hAnsi="Arial" w:cs="Arial"/>
          <w:caps/>
          <w:kern w:val="0"/>
          <w:sz w:val="24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aps/>
          <w:kern w:val="0"/>
          <w:sz w:val="32"/>
          <w:szCs w:val="32"/>
          <w:lang w:bidi="ar"/>
        </w:rPr>
        <w:t>公示结束时间：</w:t>
      </w:r>
      <w:r>
        <w:rPr>
          <w:rFonts w:hint="eastAsia" w:ascii="方正仿宋_GBK" w:hAnsi="方正仿宋_GBK" w:eastAsia="方正仿宋_GBK" w:cs="方正仿宋_GBK"/>
          <w:caps/>
          <w:kern w:val="0"/>
          <w:sz w:val="32"/>
          <w:szCs w:val="32"/>
          <w:lang w:eastAsia="zh-CN" w:bidi="ar"/>
        </w:rPr>
        <w:t>信息发布后</w:t>
      </w:r>
      <w:r>
        <w:rPr>
          <w:rFonts w:hint="eastAsia" w:ascii="方正仿宋_GBK" w:hAnsi="方正仿宋_GBK" w:eastAsia="方正仿宋_GBK" w:cs="方正仿宋_GBK"/>
          <w:caps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方正仿宋_GBK" w:hAnsi="方正仿宋_GBK" w:eastAsia="方正仿宋_GBK" w:cs="方正仿宋_GBK"/>
          <w:caps/>
          <w:kern w:val="0"/>
          <w:sz w:val="32"/>
          <w:szCs w:val="32"/>
          <w:lang w:eastAsia="zh-CN" w:bidi="ar"/>
        </w:rPr>
        <w:t>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caps/>
          <w:kern w:val="0"/>
          <w:sz w:val="32"/>
          <w:szCs w:val="32"/>
          <w:lang w:bidi="ar"/>
        </w:rPr>
        <w:t>一、评标情况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重庆渝合高速公路有限公司档案室密集架采购项目通过公开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竞争性比选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评标办法为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最低投标价法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，经评标小组评审，结果如下：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Style w:val="4"/>
          <w:rFonts w:hint="eastAsia" w:ascii="方正楷体_GBK" w:hAnsi="方正楷体_GBK" w:eastAsia="方正楷体_GBK" w:cs="方正楷体_GBK"/>
          <w:b w:val="0"/>
          <w:bCs/>
          <w:caps/>
          <w:kern w:val="0"/>
          <w:sz w:val="32"/>
          <w:szCs w:val="32"/>
          <w:lang w:bidi="ar"/>
        </w:rPr>
        <w:t>1、中标候选人基本情况：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第一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中标候选人：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u w:val="single"/>
          <w:lang w:val="en-US" w:eastAsia="zh-CN" w:bidi="ar"/>
        </w:rPr>
        <w:t>四川雅全科技有限公司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中标单价：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1178元/m³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，中标总价：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thick"/>
          <w:lang w:val="en-US" w:eastAsia="zh-CN" w:bidi="ar"/>
        </w:rPr>
        <w:t>194370元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第二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中标候选人：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val="en-US" w:eastAsia="zh-CN" w:bidi="ar"/>
        </w:rPr>
        <w:t xml:space="preserve">重庆伍方家具有限公司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中标单价：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1190元/m³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，中标总价：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thick"/>
          <w:lang w:val="en-US" w:eastAsia="zh-CN" w:bidi="ar"/>
        </w:rPr>
        <w:t>196350元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第三中标候选人：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重庆市双伟家具有限公司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，中标单价：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val="en-US" w:eastAsia="zh-CN" w:bidi="ar"/>
        </w:rPr>
        <w:t xml:space="preserve"> 1200元/m³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，中标总价：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thick"/>
          <w:lang w:val="en-US" w:eastAsia="zh-CN" w:bidi="ar"/>
        </w:rPr>
        <w:t>198000元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Style w:val="4"/>
          <w:rFonts w:hint="eastAsia" w:ascii="方正楷体_GBK" w:hAnsi="方正楷体_GBK" w:eastAsia="方正楷体_GBK" w:cs="方正楷体_GBK"/>
          <w:b w:val="0"/>
          <w:bCs/>
          <w:caps/>
          <w:kern w:val="0"/>
          <w:sz w:val="32"/>
          <w:szCs w:val="32"/>
          <w:lang w:bidi="ar"/>
        </w:rPr>
        <w:t>2、中标候选人响应招标文件要求的资格能力条件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中标候选人(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四川雅全科技有限公司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)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所提供的小样样品和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资格能力条件：满足竞价文件资质要求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caps/>
          <w:kern w:val="0"/>
          <w:sz w:val="32"/>
          <w:szCs w:val="32"/>
          <w:lang w:bidi="ar"/>
        </w:rPr>
        <w:t>二、提出异议的渠道和方式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重庆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渝合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高速公路有限公司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   023-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68216466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caps/>
          <w:kern w:val="0"/>
          <w:sz w:val="32"/>
          <w:szCs w:val="32"/>
          <w:lang w:bidi="ar"/>
        </w:rPr>
        <w:t>三、其他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重庆高速公路集团有限公司官方网站（http://www.cegc.com.cn）上发布。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caps/>
          <w:kern w:val="0"/>
          <w:sz w:val="32"/>
          <w:szCs w:val="32"/>
          <w:lang w:bidi="ar"/>
        </w:rPr>
        <w:t>四、监督部门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重庆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渝合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高速公路有限公司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纪律检查室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caps/>
          <w:kern w:val="0"/>
          <w:sz w:val="32"/>
          <w:szCs w:val="32"/>
          <w:lang w:bidi="ar"/>
        </w:rPr>
        <w:t>五、联系方式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招 标 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重庆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渝合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 w:bidi="ar"/>
        </w:rPr>
        <w:t>高速公路有限公司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地 址：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重庆市北碚区团山堡服务区（出城方向）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联 系 人：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廖老师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电 话：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19923705367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5120"/>
    <w:rsid w:val="017905A9"/>
    <w:rsid w:val="050B0F08"/>
    <w:rsid w:val="09170356"/>
    <w:rsid w:val="0A562ED6"/>
    <w:rsid w:val="0AC339A3"/>
    <w:rsid w:val="24C87BF3"/>
    <w:rsid w:val="2684494B"/>
    <w:rsid w:val="278C0F47"/>
    <w:rsid w:val="28E26223"/>
    <w:rsid w:val="29092B94"/>
    <w:rsid w:val="2E2F5718"/>
    <w:rsid w:val="2F545F35"/>
    <w:rsid w:val="3D435120"/>
    <w:rsid w:val="3E764936"/>
    <w:rsid w:val="40A70F0E"/>
    <w:rsid w:val="438A4ADE"/>
    <w:rsid w:val="43CD0CD6"/>
    <w:rsid w:val="43FD3B9E"/>
    <w:rsid w:val="446631C8"/>
    <w:rsid w:val="46363A77"/>
    <w:rsid w:val="47874069"/>
    <w:rsid w:val="4F2417A7"/>
    <w:rsid w:val="527377EA"/>
    <w:rsid w:val="54290916"/>
    <w:rsid w:val="58D82028"/>
    <w:rsid w:val="5D1E47D6"/>
    <w:rsid w:val="62D62009"/>
    <w:rsid w:val="66870830"/>
    <w:rsid w:val="698827F8"/>
    <w:rsid w:val="6DD113EA"/>
    <w:rsid w:val="6F513BB4"/>
    <w:rsid w:val="711E0EBA"/>
    <w:rsid w:val="79C0025D"/>
    <w:rsid w:val="7D1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2023-03-01T01:56:00Z</dcterms:created>
  <dc:creator>刘凌飞</dc:creator>
  <cp:lastModifiedBy>ξIāóず</cp:lastModifiedBy>
  <cp:lastPrinted>2024-05-27T03:53:00Z</cp:lastPrinted>
  <dcterms:modified xsi:type="dcterms:W3CDTF">2024-11-01T02:24:06Z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24990CCEC7E044E88F7DB2975D98CA35</vt:lpwstr>
  </property>
</Properties>
</file>