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1CEEF">
      <w:pPr>
        <w:keepNext w:val="0"/>
        <w:keepLines w:val="0"/>
        <w:pageBreakBefore w:val="0"/>
        <w:widowControl w:val="0"/>
        <w:kinsoku/>
        <w:wordWrap/>
        <w:overflowPunct/>
        <w:topLinePunct w:val="0"/>
        <w:autoSpaceDE/>
        <w:autoSpaceDN/>
        <w:bidi w:val="0"/>
        <w:adjustRightInd/>
        <w:snapToGrid/>
        <w:spacing w:line="900" w:lineRule="exact"/>
        <w:ind w:left="420" w:leftChars="200" w:right="420" w:rightChars="200"/>
        <w:jc w:val="center"/>
        <w:textAlignment w:val="auto"/>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lang w:val="en-US" w:eastAsia="zh-CN"/>
        </w:rPr>
        <w:t>项目名称：档案管理系统开发服务采购</w:t>
      </w:r>
    </w:p>
    <w:p w14:paraId="56AC8C5A">
      <w:pPr>
        <w:rPr>
          <w:rFonts w:ascii="宋体" w:hAnsi="宋体" w:cs="宋体"/>
          <w:color w:val="auto"/>
          <w:sz w:val="28"/>
          <w:szCs w:val="28"/>
          <w:highlight w:val="none"/>
        </w:rPr>
      </w:pPr>
    </w:p>
    <w:p w14:paraId="34913755">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竞</w:t>
      </w:r>
    </w:p>
    <w:p w14:paraId="42047B2A">
      <w:pPr>
        <w:jc w:val="center"/>
        <w:rPr>
          <w:rFonts w:ascii="宋体" w:hAnsi="宋体" w:cs="宋体"/>
          <w:b/>
          <w:color w:val="auto"/>
          <w:sz w:val="48"/>
          <w:szCs w:val="48"/>
          <w:highlight w:val="none"/>
        </w:rPr>
      </w:pPr>
    </w:p>
    <w:p w14:paraId="40F5D871">
      <w:pPr>
        <w:jc w:val="center"/>
        <w:rPr>
          <w:rFonts w:ascii="宋体" w:hAnsi="宋体" w:cs="宋体"/>
          <w:b/>
          <w:color w:val="auto"/>
          <w:sz w:val="48"/>
          <w:szCs w:val="48"/>
          <w:highlight w:val="none"/>
        </w:rPr>
      </w:pPr>
      <w:r>
        <w:rPr>
          <w:rFonts w:hint="eastAsia" w:ascii="宋体" w:hAnsi="宋体" w:cs="宋体"/>
          <w:b/>
          <w:color w:val="auto"/>
          <w:sz w:val="48"/>
          <w:szCs w:val="48"/>
          <w:highlight w:val="none"/>
        </w:rPr>
        <w:t>争</w:t>
      </w:r>
    </w:p>
    <w:p w14:paraId="327D4D41">
      <w:pPr>
        <w:jc w:val="center"/>
        <w:rPr>
          <w:rFonts w:ascii="宋体" w:hAnsi="宋体" w:cs="宋体"/>
          <w:b/>
          <w:color w:val="auto"/>
          <w:sz w:val="48"/>
          <w:szCs w:val="48"/>
          <w:highlight w:val="none"/>
        </w:rPr>
      </w:pPr>
    </w:p>
    <w:p w14:paraId="0C09872A">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性</w:t>
      </w:r>
    </w:p>
    <w:p w14:paraId="649313D9">
      <w:pPr>
        <w:jc w:val="center"/>
        <w:rPr>
          <w:rFonts w:ascii="宋体" w:hAnsi="宋体" w:cs="宋体"/>
          <w:b/>
          <w:color w:val="auto"/>
          <w:sz w:val="48"/>
          <w:szCs w:val="48"/>
          <w:highlight w:val="none"/>
        </w:rPr>
      </w:pPr>
    </w:p>
    <w:p w14:paraId="796D5182">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比</w:t>
      </w:r>
    </w:p>
    <w:p w14:paraId="71DCD4B8">
      <w:pPr>
        <w:jc w:val="center"/>
        <w:rPr>
          <w:rFonts w:ascii="宋体" w:hAnsi="宋体" w:cs="宋体"/>
          <w:b/>
          <w:color w:val="auto"/>
          <w:sz w:val="48"/>
          <w:szCs w:val="48"/>
          <w:highlight w:val="none"/>
        </w:rPr>
      </w:pPr>
    </w:p>
    <w:p w14:paraId="3FD997A5">
      <w:pPr>
        <w:jc w:val="center"/>
        <w:rPr>
          <w:rFonts w:hint="eastAsia" w:ascii="宋体" w:hAnsi="宋体" w:eastAsia="宋体" w:cs="宋体"/>
          <w:b/>
          <w:color w:val="auto"/>
          <w:sz w:val="48"/>
          <w:szCs w:val="48"/>
          <w:highlight w:val="none"/>
          <w:lang w:val="en-US" w:eastAsia="zh-CN"/>
        </w:rPr>
      </w:pPr>
      <w:r>
        <w:rPr>
          <w:rFonts w:hint="eastAsia" w:ascii="宋体" w:hAnsi="宋体" w:cs="宋体"/>
          <w:b/>
          <w:color w:val="auto"/>
          <w:sz w:val="48"/>
          <w:szCs w:val="48"/>
          <w:highlight w:val="none"/>
        </w:rPr>
        <w:t>选</w:t>
      </w:r>
      <w:r>
        <w:rPr>
          <w:rFonts w:hint="eastAsia" w:ascii="宋体" w:hAnsi="宋体" w:cs="宋体"/>
          <w:b/>
          <w:color w:val="auto"/>
          <w:sz w:val="48"/>
          <w:szCs w:val="48"/>
          <w:highlight w:val="none"/>
          <w:lang w:val="en-US" w:eastAsia="zh-CN"/>
        </w:rPr>
        <w:t xml:space="preserve"> </w:t>
      </w:r>
    </w:p>
    <w:p w14:paraId="199B7813">
      <w:pPr>
        <w:jc w:val="center"/>
        <w:rPr>
          <w:rFonts w:ascii="宋体" w:hAnsi="宋体" w:cs="宋体"/>
          <w:b/>
          <w:color w:val="auto"/>
          <w:sz w:val="48"/>
          <w:szCs w:val="48"/>
          <w:highlight w:val="none"/>
        </w:rPr>
      </w:pPr>
    </w:p>
    <w:p w14:paraId="7C5A304A">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文</w:t>
      </w:r>
    </w:p>
    <w:p w14:paraId="2AFB7A59">
      <w:pPr>
        <w:jc w:val="center"/>
        <w:rPr>
          <w:rFonts w:ascii="宋体" w:hAnsi="宋体" w:cs="宋体"/>
          <w:b/>
          <w:color w:val="auto"/>
          <w:sz w:val="48"/>
          <w:szCs w:val="48"/>
          <w:highlight w:val="none"/>
        </w:rPr>
      </w:pPr>
    </w:p>
    <w:p w14:paraId="0C917EBA">
      <w:pPr>
        <w:jc w:val="center"/>
        <w:rPr>
          <w:rFonts w:ascii="宋体" w:hAnsi="宋体" w:cs="宋体"/>
          <w:b/>
          <w:color w:val="auto"/>
          <w:sz w:val="96"/>
          <w:szCs w:val="72"/>
          <w:highlight w:val="none"/>
        </w:rPr>
      </w:pPr>
      <w:r>
        <w:rPr>
          <w:rFonts w:hint="eastAsia" w:ascii="宋体" w:hAnsi="宋体" w:cs="宋体"/>
          <w:b/>
          <w:color w:val="auto"/>
          <w:sz w:val="48"/>
          <w:szCs w:val="48"/>
          <w:highlight w:val="none"/>
        </w:rPr>
        <w:t>件</w:t>
      </w:r>
    </w:p>
    <w:p w14:paraId="44B7699B">
      <w:pPr>
        <w:spacing w:line="400" w:lineRule="exact"/>
        <w:rPr>
          <w:rFonts w:ascii="宋体" w:hAnsi="宋体" w:cs="宋体"/>
          <w:color w:val="auto"/>
          <w:highlight w:val="none"/>
        </w:rPr>
      </w:pPr>
    </w:p>
    <w:p w14:paraId="4B5B3673">
      <w:pPr>
        <w:rPr>
          <w:color w:val="auto"/>
          <w:highlight w:val="none"/>
        </w:rPr>
      </w:pPr>
    </w:p>
    <w:p w14:paraId="0544BD23">
      <w:pPr>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采购人：重庆首讯科技股份有限公司</w:t>
      </w:r>
    </w:p>
    <w:p w14:paraId="3AD29BD2">
      <w:pPr>
        <w:jc w:val="center"/>
        <w:rPr>
          <w:rFonts w:hint="eastAsia" w:ascii="宋体" w:hAnsi="宋体" w:cs="宋体"/>
          <w:b/>
          <w:color w:val="auto"/>
          <w:sz w:val="32"/>
          <w:szCs w:val="32"/>
          <w:highlight w:val="none"/>
          <w:u w:val="single"/>
        </w:rPr>
      </w:pPr>
    </w:p>
    <w:p w14:paraId="391895A6">
      <w:pPr>
        <w:jc w:val="center"/>
        <w:rPr>
          <w:rFonts w:ascii="宋体" w:hAnsi="宋体" w:cs="宋体"/>
          <w:b/>
          <w:color w:val="auto"/>
          <w:sz w:val="32"/>
          <w:szCs w:val="32"/>
          <w:highlight w:val="none"/>
        </w:rPr>
      </w:pPr>
      <w:r>
        <w:rPr>
          <w:rFonts w:hint="eastAsia" w:ascii="宋体" w:hAnsi="宋体" w:cs="宋体"/>
          <w:b/>
          <w:color w:val="auto"/>
          <w:sz w:val="32"/>
          <w:szCs w:val="32"/>
          <w:highlight w:val="none"/>
          <w:u w:val="single"/>
        </w:rPr>
        <w:t>202</w:t>
      </w:r>
      <w:r>
        <w:rPr>
          <w:rFonts w:hint="eastAsia" w:ascii="宋体" w:hAnsi="宋体" w:cs="宋体"/>
          <w:b/>
          <w:color w:val="auto"/>
          <w:sz w:val="32"/>
          <w:szCs w:val="32"/>
          <w:highlight w:val="none"/>
          <w:u w:val="single"/>
          <w:lang w:val="en-US" w:eastAsia="zh-CN"/>
        </w:rPr>
        <w:t>4</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u w:val="single"/>
          <w:lang w:val="en-US" w:eastAsia="zh-CN"/>
        </w:rPr>
        <w:t xml:space="preserve">12 </w:t>
      </w:r>
      <w:r>
        <w:rPr>
          <w:rFonts w:hint="eastAsia" w:ascii="宋体" w:hAnsi="宋体" w:cs="宋体"/>
          <w:b/>
          <w:color w:val="auto"/>
          <w:sz w:val="32"/>
          <w:szCs w:val="32"/>
          <w:highlight w:val="none"/>
        </w:rPr>
        <w:t>月</w:t>
      </w:r>
    </w:p>
    <w:p w14:paraId="7F31C20A">
      <w:pPr>
        <w:pStyle w:val="28"/>
        <w:jc w:val="center"/>
        <w:rPr>
          <w:rFonts w:ascii="宋体" w:hAnsi="宋体" w:cs="宋体"/>
          <w:color w:val="auto"/>
          <w:szCs w:val="21"/>
          <w:highlight w:val="none"/>
        </w:rPr>
      </w:pPr>
      <w:r>
        <w:rPr>
          <w:color w:val="auto"/>
          <w:highlight w:val="none"/>
        </w:rPr>
        <w:br w:type="page"/>
      </w:r>
      <w:bookmarkStart w:id="0" w:name="_Toc507319889"/>
      <w:bookmarkStart w:id="1" w:name="_Toc247085669"/>
      <w:bookmarkStart w:id="2" w:name="_Toc507428442"/>
      <w:bookmarkStart w:id="3" w:name="_Toc246996898"/>
      <w:bookmarkStart w:id="4" w:name="_Toc296602400"/>
      <w:r>
        <w:rPr>
          <w:rFonts w:hint="eastAsia" w:ascii="宋体" w:hAnsi="宋体" w:cs="宋体"/>
          <w:b w:val="0"/>
          <w:color w:val="auto"/>
          <w:sz w:val="32"/>
          <w:highlight w:val="none"/>
        </w:rPr>
        <w:t>目   录</w:t>
      </w:r>
      <w:bookmarkEnd w:id="0"/>
      <w:bookmarkEnd w:id="1"/>
      <w:bookmarkEnd w:id="2"/>
      <w:bookmarkEnd w:id="3"/>
      <w:bookmarkEnd w:id="4"/>
    </w:p>
    <w:p w14:paraId="7A8A421E">
      <w:pPr>
        <w:pStyle w:val="28"/>
        <w:tabs>
          <w:tab w:val="right" w:leader="dot" w:pos="9638"/>
        </w:tabs>
        <w:rPr>
          <w:color w:val="auto"/>
          <w:highlight w:val="none"/>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rFonts w:hint="eastAsia" w:ascii="宋体" w:hAnsi="宋体" w:cs="宋体"/>
          <w:bCs w:val="0"/>
          <w:caps w:val="0"/>
          <w:color w:val="auto"/>
          <w:highlight w:val="none"/>
        </w:rPr>
        <w:fldChar w:fldCharType="begin"/>
      </w:r>
      <w:r>
        <w:rPr>
          <w:rFonts w:hint="eastAsia" w:ascii="宋体" w:hAnsi="宋体" w:cs="宋体"/>
          <w:bCs w:val="0"/>
          <w:caps w:val="0"/>
          <w:color w:val="auto"/>
          <w:highlight w:val="none"/>
        </w:rPr>
        <w:instrText xml:space="preserve"> HYPERLINK \l _Toc25459 </w:instrText>
      </w:r>
      <w:r>
        <w:rPr>
          <w:rFonts w:hint="eastAsia" w:ascii="宋体" w:hAnsi="宋体" w:cs="宋体"/>
          <w:bCs w:val="0"/>
          <w:caps w:val="0"/>
          <w:color w:val="auto"/>
          <w:highlight w:val="none"/>
        </w:rPr>
        <w:fldChar w:fldCharType="separate"/>
      </w:r>
      <w:r>
        <w:rPr>
          <w:rFonts w:hint="eastAsia" w:ascii="宋体" w:hAnsi="宋体" w:eastAsia="宋体" w:cs="宋体"/>
          <w:bCs/>
          <w:smallCaps w:val="0"/>
          <w:color w:val="auto"/>
          <w:kern w:val="44"/>
          <w:szCs w:val="44"/>
          <w:highlight w:val="none"/>
          <w:lang w:val="en-US" w:eastAsia="zh-CN" w:bidi="ar-SA"/>
        </w:rPr>
        <w:t>第一章 比选公告</w:t>
      </w:r>
      <w:r>
        <w:rPr>
          <w:color w:val="auto"/>
          <w:highlight w:val="none"/>
        </w:rPr>
        <w:tab/>
      </w:r>
      <w:r>
        <w:rPr>
          <w:color w:val="auto"/>
          <w:highlight w:val="none"/>
        </w:rPr>
        <w:fldChar w:fldCharType="begin"/>
      </w:r>
      <w:r>
        <w:rPr>
          <w:color w:val="auto"/>
          <w:highlight w:val="none"/>
        </w:rPr>
        <w:instrText xml:space="preserve"> PAGEREF _Toc25459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val="0"/>
          <w:caps w:val="0"/>
          <w:color w:val="auto"/>
          <w:highlight w:val="none"/>
        </w:rPr>
        <w:fldChar w:fldCharType="end"/>
      </w:r>
    </w:p>
    <w:p w14:paraId="2F1A8A13">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_Toc17018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1. 比选条件</w:t>
      </w:r>
      <w:r>
        <w:rPr>
          <w:color w:val="auto"/>
          <w:highlight w:val="none"/>
        </w:rPr>
        <w:tab/>
      </w:r>
      <w:r>
        <w:rPr>
          <w:color w:val="auto"/>
          <w:highlight w:val="none"/>
        </w:rPr>
        <w:fldChar w:fldCharType="begin"/>
      </w:r>
      <w:r>
        <w:rPr>
          <w:color w:val="auto"/>
          <w:highlight w:val="none"/>
        </w:rPr>
        <w:instrText xml:space="preserve"> PAGEREF _Toc17018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4E6C9EE5">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_Toc32756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2. 项目概况与比选范围</w:t>
      </w:r>
      <w:r>
        <w:rPr>
          <w:color w:val="auto"/>
          <w:highlight w:val="none"/>
        </w:rPr>
        <w:tab/>
      </w:r>
      <w:r>
        <w:rPr>
          <w:color w:val="auto"/>
          <w:highlight w:val="none"/>
        </w:rPr>
        <w:fldChar w:fldCharType="begin"/>
      </w:r>
      <w:r>
        <w:rPr>
          <w:color w:val="auto"/>
          <w:highlight w:val="none"/>
        </w:rPr>
        <w:instrText xml:space="preserve"> PAGEREF _Toc32756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23A58A65">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_Toc9929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3. 报价人资格要求</w:t>
      </w:r>
      <w:r>
        <w:rPr>
          <w:color w:val="auto"/>
          <w:highlight w:val="none"/>
        </w:rPr>
        <w:tab/>
      </w:r>
      <w:r>
        <w:rPr>
          <w:color w:val="auto"/>
          <w:highlight w:val="none"/>
        </w:rPr>
        <w:fldChar w:fldCharType="begin"/>
      </w:r>
      <w:r>
        <w:rPr>
          <w:color w:val="auto"/>
          <w:highlight w:val="none"/>
        </w:rPr>
        <w:instrText xml:space="preserve"> PAGEREF _Toc9929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0DBE165F">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_Toc1968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4. 评标办法</w:t>
      </w:r>
      <w:r>
        <w:rPr>
          <w:color w:val="auto"/>
          <w:highlight w:val="none"/>
        </w:rPr>
        <w:tab/>
      </w:r>
      <w:r>
        <w:rPr>
          <w:color w:val="auto"/>
          <w:highlight w:val="none"/>
        </w:rPr>
        <w:fldChar w:fldCharType="begin"/>
      </w:r>
      <w:r>
        <w:rPr>
          <w:color w:val="auto"/>
          <w:highlight w:val="none"/>
        </w:rPr>
        <w:instrText xml:space="preserve"> PAGEREF _Toc1968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4EE56E17">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_Toc19253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r>
        <w:rPr>
          <w:color w:val="auto"/>
          <w:highlight w:val="none"/>
        </w:rPr>
        <w:tab/>
      </w:r>
      <w:r>
        <w:rPr>
          <w:color w:val="auto"/>
          <w:highlight w:val="none"/>
        </w:rPr>
        <w:fldChar w:fldCharType="begin"/>
      </w:r>
      <w:r>
        <w:rPr>
          <w:color w:val="auto"/>
          <w:highlight w:val="none"/>
        </w:rPr>
        <w:instrText xml:space="preserve"> PAGEREF _Toc19253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14:paraId="7491C287">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_Toc23205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竞争性比选响应文件的递交及相关事宜</w:t>
      </w:r>
      <w:r>
        <w:rPr>
          <w:color w:val="auto"/>
          <w:highlight w:val="none"/>
        </w:rPr>
        <w:tab/>
      </w:r>
      <w:r>
        <w:rPr>
          <w:color w:val="auto"/>
          <w:highlight w:val="none"/>
        </w:rPr>
        <w:fldChar w:fldCharType="begin"/>
      </w:r>
      <w:r>
        <w:rPr>
          <w:color w:val="auto"/>
          <w:highlight w:val="none"/>
        </w:rPr>
        <w:instrText xml:space="preserve"> PAGEREF _Toc23205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14:paraId="60B76AF8">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_Toc14412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r>
        <w:rPr>
          <w:color w:val="auto"/>
          <w:highlight w:val="none"/>
        </w:rPr>
        <w:tab/>
      </w:r>
      <w:r>
        <w:rPr>
          <w:color w:val="auto"/>
          <w:highlight w:val="none"/>
        </w:rPr>
        <w:fldChar w:fldCharType="begin"/>
      </w:r>
      <w:r>
        <w:rPr>
          <w:color w:val="auto"/>
          <w:highlight w:val="none"/>
        </w:rPr>
        <w:instrText xml:space="preserve"> PAGEREF _Toc14412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14:paraId="196D91EE">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_Toc28068 </w:instrText>
      </w:r>
      <w:r>
        <w:rPr>
          <w:rFonts w:hint="eastAsia" w:ascii="宋体" w:hAnsi="宋体" w:cs="宋体"/>
          <w:bCs/>
          <w:caps/>
          <w:color w:val="auto"/>
          <w:highlight w:val="none"/>
        </w:rPr>
        <w:fldChar w:fldCharType="separate"/>
      </w:r>
      <w:r>
        <w:rPr>
          <w:rFonts w:hint="eastAsia" w:ascii="宋体" w:hAnsi="宋体" w:cs="宋体"/>
          <w:color w:val="auto"/>
          <w:highlight w:val="none"/>
        </w:rPr>
        <w:t>第二章 报价人须知</w:t>
      </w:r>
      <w:r>
        <w:rPr>
          <w:color w:val="auto"/>
          <w:highlight w:val="none"/>
        </w:rPr>
        <w:tab/>
      </w:r>
      <w:r>
        <w:rPr>
          <w:color w:val="auto"/>
          <w:highlight w:val="none"/>
        </w:rPr>
        <w:fldChar w:fldCharType="begin"/>
      </w:r>
      <w:r>
        <w:rPr>
          <w:color w:val="auto"/>
          <w:highlight w:val="none"/>
        </w:rPr>
        <w:instrText xml:space="preserve"> PAGEREF _Toc28068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bCs/>
          <w:caps/>
          <w:color w:val="auto"/>
          <w:highlight w:val="none"/>
        </w:rPr>
        <w:fldChar w:fldCharType="end"/>
      </w:r>
    </w:p>
    <w:p w14:paraId="1207EAC5">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_Toc19497 </w:instrText>
      </w:r>
      <w:r>
        <w:rPr>
          <w:rFonts w:hint="eastAsia" w:ascii="宋体" w:hAnsi="宋体" w:cs="宋体"/>
          <w:bCs/>
          <w:caps/>
          <w:color w:val="auto"/>
          <w:highlight w:val="none"/>
        </w:rPr>
        <w:fldChar w:fldCharType="separate"/>
      </w:r>
      <w:r>
        <w:rPr>
          <w:rFonts w:hint="eastAsia" w:ascii="宋体" w:hAnsi="宋体" w:eastAsia="宋体" w:cs="宋体"/>
          <w:color w:val="auto"/>
          <w:szCs w:val="28"/>
          <w:highlight w:val="none"/>
        </w:rPr>
        <w:t xml:space="preserve">附录1  </w:t>
      </w:r>
      <w:r>
        <w:rPr>
          <w:rFonts w:hint="eastAsia" w:ascii="宋体" w:hAnsi="宋体" w:eastAsia="宋体" w:cs="宋体"/>
          <w:bCs w:val="0"/>
          <w:color w:val="auto"/>
          <w:szCs w:val="28"/>
          <w:highlight w:val="none"/>
        </w:rPr>
        <w:t>报价人资格要求</w:t>
      </w:r>
      <w:r>
        <w:rPr>
          <w:color w:val="auto"/>
          <w:highlight w:val="none"/>
        </w:rPr>
        <w:tab/>
      </w:r>
      <w:r>
        <w:rPr>
          <w:color w:val="auto"/>
          <w:highlight w:val="none"/>
        </w:rPr>
        <w:fldChar w:fldCharType="begin"/>
      </w:r>
      <w:r>
        <w:rPr>
          <w:color w:val="auto"/>
          <w:highlight w:val="none"/>
        </w:rPr>
        <w:instrText xml:space="preserve"> PAGEREF _Toc19497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bCs/>
          <w:caps/>
          <w:color w:val="auto"/>
          <w:highlight w:val="none"/>
        </w:rPr>
        <w:fldChar w:fldCharType="end"/>
      </w:r>
    </w:p>
    <w:p w14:paraId="02898A9D">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_Toc14498 </w:instrText>
      </w:r>
      <w:r>
        <w:rPr>
          <w:rFonts w:hint="eastAsia" w:ascii="宋体" w:hAnsi="宋体" w:cs="宋体"/>
          <w:bCs/>
          <w:caps/>
          <w:color w:val="auto"/>
          <w:highlight w:val="none"/>
        </w:rPr>
        <w:fldChar w:fldCharType="separate"/>
      </w:r>
      <w:r>
        <w:rPr>
          <w:rFonts w:hint="eastAsia"/>
          <w:color w:val="auto"/>
          <w:highlight w:val="none"/>
        </w:rPr>
        <w:t xml:space="preserve">第三章 </w:t>
      </w:r>
      <w:r>
        <w:rPr>
          <w:rFonts w:hint="eastAsia" w:ascii="宋体" w:hAnsi="宋体" w:cs="宋体"/>
          <w:color w:val="auto"/>
          <w:highlight w:val="none"/>
        </w:rPr>
        <w:t>评标办法（综合评估法）</w:t>
      </w:r>
      <w:r>
        <w:rPr>
          <w:color w:val="auto"/>
          <w:highlight w:val="none"/>
        </w:rPr>
        <w:tab/>
      </w:r>
      <w:r>
        <w:rPr>
          <w:color w:val="auto"/>
          <w:highlight w:val="none"/>
        </w:rPr>
        <w:fldChar w:fldCharType="begin"/>
      </w:r>
      <w:r>
        <w:rPr>
          <w:color w:val="auto"/>
          <w:highlight w:val="none"/>
        </w:rPr>
        <w:instrText xml:space="preserve"> PAGEREF _Toc14498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bCs/>
          <w:caps/>
          <w:color w:val="auto"/>
          <w:highlight w:val="none"/>
        </w:rPr>
        <w:fldChar w:fldCharType="end"/>
      </w:r>
    </w:p>
    <w:p w14:paraId="15C35710">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_Toc4109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1.  评标方法</w:t>
      </w:r>
      <w:r>
        <w:rPr>
          <w:color w:val="auto"/>
          <w:highlight w:val="none"/>
        </w:rPr>
        <w:tab/>
      </w:r>
      <w:r>
        <w:rPr>
          <w:color w:val="auto"/>
          <w:highlight w:val="none"/>
        </w:rPr>
        <w:fldChar w:fldCharType="begin"/>
      </w:r>
      <w:r>
        <w:rPr>
          <w:color w:val="auto"/>
          <w:highlight w:val="none"/>
        </w:rPr>
        <w:instrText xml:space="preserve"> PAGEREF _Toc4109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bCs/>
          <w:caps/>
          <w:color w:val="auto"/>
          <w:highlight w:val="none"/>
        </w:rPr>
        <w:fldChar w:fldCharType="end"/>
      </w:r>
    </w:p>
    <w:p w14:paraId="4C20B2E3">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_Toc21625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2.  评审标准</w:t>
      </w:r>
      <w:r>
        <w:rPr>
          <w:color w:val="auto"/>
          <w:highlight w:val="none"/>
        </w:rPr>
        <w:tab/>
      </w:r>
      <w:r>
        <w:rPr>
          <w:color w:val="auto"/>
          <w:highlight w:val="none"/>
        </w:rPr>
        <w:fldChar w:fldCharType="begin"/>
      </w:r>
      <w:r>
        <w:rPr>
          <w:color w:val="auto"/>
          <w:highlight w:val="none"/>
        </w:rPr>
        <w:instrText xml:space="preserve"> PAGEREF _Toc21625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bCs/>
          <w:caps/>
          <w:color w:val="auto"/>
          <w:highlight w:val="none"/>
        </w:rPr>
        <w:fldChar w:fldCharType="end"/>
      </w:r>
    </w:p>
    <w:p w14:paraId="3DFA8CBD">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_Toc927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3.  评标程序</w:t>
      </w:r>
      <w:r>
        <w:rPr>
          <w:color w:val="auto"/>
          <w:highlight w:val="none"/>
        </w:rPr>
        <w:tab/>
      </w:r>
      <w:r>
        <w:rPr>
          <w:color w:val="auto"/>
          <w:highlight w:val="none"/>
        </w:rPr>
        <w:fldChar w:fldCharType="begin"/>
      </w:r>
      <w:r>
        <w:rPr>
          <w:color w:val="auto"/>
          <w:highlight w:val="none"/>
        </w:rPr>
        <w:instrText xml:space="preserve"> PAGEREF _Toc927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bCs/>
          <w:caps/>
          <w:color w:val="auto"/>
          <w:highlight w:val="none"/>
        </w:rPr>
        <w:fldChar w:fldCharType="end"/>
      </w:r>
    </w:p>
    <w:p w14:paraId="4323A5C8">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_Toc11165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color w:val="auto"/>
          <w:highlight w:val="none"/>
        </w:rPr>
        <w:tab/>
      </w:r>
      <w:r>
        <w:rPr>
          <w:color w:val="auto"/>
          <w:highlight w:val="none"/>
        </w:rPr>
        <w:fldChar w:fldCharType="begin"/>
      </w:r>
      <w:r>
        <w:rPr>
          <w:color w:val="auto"/>
          <w:highlight w:val="none"/>
        </w:rPr>
        <w:instrText xml:space="preserve"> PAGEREF _Toc11165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bCs/>
          <w:caps/>
          <w:color w:val="auto"/>
          <w:highlight w:val="none"/>
        </w:rPr>
        <w:fldChar w:fldCharType="end"/>
      </w:r>
    </w:p>
    <w:p w14:paraId="4144B3F5">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_Toc21317 </w:instrText>
      </w:r>
      <w:r>
        <w:rPr>
          <w:rFonts w:hint="eastAsia" w:ascii="宋体" w:hAnsi="宋体" w:cs="宋体"/>
          <w:bCs/>
          <w:caps/>
          <w:color w:val="auto"/>
          <w:highlight w:val="none"/>
        </w:rPr>
        <w:fldChar w:fldCharType="separate"/>
      </w:r>
      <w:r>
        <w:rPr>
          <w:rFonts w:hint="eastAsia" w:ascii="宋体" w:hAnsi="宋体" w:eastAsia="宋体" w:cs="宋体"/>
          <w:bCs/>
          <w:color w:val="auto"/>
          <w:kern w:val="44"/>
          <w:szCs w:val="44"/>
          <w:highlight w:val="none"/>
          <w:lang w:val="en-US" w:eastAsia="zh-CN" w:bidi="ar-SA"/>
        </w:rPr>
        <w:t>第五章  合同范本</w:t>
      </w:r>
      <w:r>
        <w:rPr>
          <w:color w:val="auto"/>
          <w:highlight w:val="none"/>
        </w:rPr>
        <w:tab/>
      </w:r>
      <w:r>
        <w:rPr>
          <w:color w:val="auto"/>
          <w:highlight w:val="none"/>
        </w:rPr>
        <w:fldChar w:fldCharType="begin"/>
      </w:r>
      <w:r>
        <w:rPr>
          <w:color w:val="auto"/>
          <w:highlight w:val="none"/>
        </w:rPr>
        <w:instrText xml:space="preserve"> PAGEREF _Toc21317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bCs/>
          <w:caps/>
          <w:color w:val="auto"/>
          <w:highlight w:val="none"/>
        </w:rPr>
        <w:fldChar w:fldCharType="end"/>
      </w:r>
    </w:p>
    <w:p w14:paraId="05162959">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_Toc32150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r>
        <w:rPr>
          <w:color w:val="auto"/>
          <w:highlight w:val="none"/>
        </w:rPr>
        <w:tab/>
      </w:r>
      <w:r>
        <w:rPr>
          <w:color w:val="auto"/>
          <w:highlight w:val="none"/>
        </w:rPr>
        <w:fldChar w:fldCharType="begin"/>
      </w:r>
      <w:r>
        <w:rPr>
          <w:color w:val="auto"/>
          <w:highlight w:val="none"/>
        </w:rPr>
        <w:instrText xml:space="preserve"> PAGEREF _Toc32150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cs="宋体"/>
          <w:bCs/>
          <w:caps/>
          <w:color w:val="auto"/>
          <w:highlight w:val="none"/>
        </w:rPr>
        <w:fldChar w:fldCharType="end"/>
      </w:r>
    </w:p>
    <w:p w14:paraId="009E796C">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_Toc23096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一、 竞争比选响应声明书</w:t>
      </w:r>
      <w:r>
        <w:rPr>
          <w:color w:val="auto"/>
          <w:highlight w:val="none"/>
        </w:rPr>
        <w:tab/>
      </w:r>
      <w:r>
        <w:rPr>
          <w:color w:val="auto"/>
          <w:highlight w:val="none"/>
        </w:rPr>
        <w:fldChar w:fldCharType="begin"/>
      </w:r>
      <w:r>
        <w:rPr>
          <w:color w:val="auto"/>
          <w:highlight w:val="none"/>
        </w:rPr>
        <w:instrText xml:space="preserve"> PAGEREF _Toc23096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cs="宋体"/>
          <w:bCs/>
          <w:caps/>
          <w:color w:val="auto"/>
          <w:highlight w:val="none"/>
        </w:rPr>
        <w:fldChar w:fldCharType="end"/>
      </w:r>
    </w:p>
    <w:p w14:paraId="0674940F">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_Toc13122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二、 法定代表人身份证明或法定代表人授权委托书</w:t>
      </w:r>
      <w:r>
        <w:rPr>
          <w:color w:val="auto"/>
          <w:highlight w:val="none"/>
        </w:rPr>
        <w:tab/>
      </w:r>
      <w:r>
        <w:rPr>
          <w:color w:val="auto"/>
          <w:highlight w:val="none"/>
        </w:rPr>
        <w:fldChar w:fldCharType="begin"/>
      </w:r>
      <w:r>
        <w:rPr>
          <w:color w:val="auto"/>
          <w:highlight w:val="none"/>
        </w:rPr>
        <w:instrText xml:space="preserve"> PAGEREF _Toc13122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cs="宋体"/>
          <w:bCs/>
          <w:caps/>
          <w:color w:val="auto"/>
          <w:highlight w:val="none"/>
        </w:rPr>
        <w:fldChar w:fldCharType="end"/>
      </w:r>
    </w:p>
    <w:p w14:paraId="1D065414">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_Toc5695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三、报价一览表</w:t>
      </w:r>
      <w:r>
        <w:rPr>
          <w:color w:val="auto"/>
          <w:highlight w:val="none"/>
        </w:rPr>
        <w:tab/>
      </w:r>
      <w:r>
        <w:rPr>
          <w:color w:val="auto"/>
          <w:highlight w:val="none"/>
        </w:rPr>
        <w:fldChar w:fldCharType="begin"/>
      </w:r>
      <w:r>
        <w:rPr>
          <w:color w:val="auto"/>
          <w:highlight w:val="none"/>
        </w:rPr>
        <w:instrText xml:space="preserve"> PAGEREF _Toc5695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bCs/>
          <w:caps/>
          <w:color w:val="auto"/>
          <w:highlight w:val="none"/>
        </w:rPr>
        <w:fldChar w:fldCharType="end"/>
      </w:r>
    </w:p>
    <w:p w14:paraId="2FD88984">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_Toc12843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四、资格审查资料</w:t>
      </w:r>
      <w:r>
        <w:rPr>
          <w:color w:val="auto"/>
          <w:highlight w:val="none"/>
        </w:rPr>
        <w:tab/>
      </w:r>
      <w:r>
        <w:rPr>
          <w:color w:val="auto"/>
          <w:highlight w:val="none"/>
        </w:rPr>
        <w:fldChar w:fldCharType="begin"/>
      </w:r>
      <w:r>
        <w:rPr>
          <w:color w:val="auto"/>
          <w:highlight w:val="none"/>
        </w:rPr>
        <w:instrText xml:space="preserve"> PAGEREF _Toc12843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cs="宋体"/>
          <w:bCs/>
          <w:caps/>
          <w:color w:val="auto"/>
          <w:highlight w:val="none"/>
        </w:rPr>
        <w:fldChar w:fldCharType="end"/>
      </w:r>
    </w:p>
    <w:p w14:paraId="0366D887">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_Toc8754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五、报价人承诺</w:t>
      </w:r>
      <w:r>
        <w:rPr>
          <w:color w:val="auto"/>
          <w:highlight w:val="none"/>
        </w:rPr>
        <w:tab/>
      </w:r>
      <w:r>
        <w:rPr>
          <w:color w:val="auto"/>
          <w:highlight w:val="none"/>
        </w:rPr>
        <w:fldChar w:fldCharType="begin"/>
      </w:r>
      <w:r>
        <w:rPr>
          <w:color w:val="auto"/>
          <w:highlight w:val="none"/>
        </w:rPr>
        <w:instrText xml:space="preserve"> PAGEREF _Toc8754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cs="宋体"/>
          <w:bCs/>
          <w:caps/>
          <w:color w:val="auto"/>
          <w:highlight w:val="none"/>
        </w:rPr>
        <w:fldChar w:fldCharType="end"/>
      </w:r>
    </w:p>
    <w:p w14:paraId="3F185551">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_Toc3949 </w:instrText>
      </w:r>
      <w:r>
        <w:rPr>
          <w:rFonts w:hint="eastAsia" w:ascii="宋体" w:hAnsi="宋体" w:cs="宋体"/>
          <w:bCs/>
          <w:caps/>
          <w:color w:val="auto"/>
          <w:highlight w:val="none"/>
        </w:rPr>
        <w:fldChar w:fldCharType="separate"/>
      </w:r>
      <w:r>
        <w:rPr>
          <w:rFonts w:hint="eastAsia" w:ascii="宋体" w:hAnsi="宋体" w:eastAsia="宋体" w:cs="宋体"/>
          <w:bCs/>
          <w:color w:val="auto"/>
          <w:kern w:val="0"/>
          <w:szCs w:val="32"/>
          <w:highlight w:val="none"/>
          <w:lang w:val="en-US" w:eastAsia="zh-CN" w:bidi="ar-SA"/>
        </w:rPr>
        <w:t>六、报价人其他资料</w:t>
      </w:r>
      <w:r>
        <w:rPr>
          <w:color w:val="auto"/>
          <w:highlight w:val="none"/>
        </w:rPr>
        <w:tab/>
      </w:r>
      <w:r>
        <w:rPr>
          <w:color w:val="auto"/>
          <w:highlight w:val="none"/>
        </w:rPr>
        <w:fldChar w:fldCharType="begin"/>
      </w:r>
      <w:r>
        <w:rPr>
          <w:color w:val="auto"/>
          <w:highlight w:val="none"/>
        </w:rPr>
        <w:instrText xml:space="preserve"> PAGEREF _Toc3949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cs="宋体"/>
          <w:bCs/>
          <w:caps/>
          <w:color w:val="auto"/>
          <w:highlight w:val="none"/>
        </w:rPr>
        <w:fldChar w:fldCharType="end"/>
      </w:r>
    </w:p>
    <w:p w14:paraId="329136A7">
      <w:pPr>
        <w:pStyle w:val="34"/>
        <w:tabs>
          <w:tab w:val="right" w:leader="dot" w:pos="9628"/>
        </w:tabs>
        <w:ind w:left="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auto"/>
          <w:highlight w:val="none"/>
        </w:rPr>
        <w:fldChar w:fldCharType="end"/>
      </w:r>
      <w:bookmarkStart w:id="5" w:name="_Toc507319890"/>
      <w:bookmarkStart w:id="6" w:name="_Toc179632527"/>
      <w:bookmarkStart w:id="7" w:name="_Toc246996900"/>
      <w:bookmarkStart w:id="8" w:name="_Toc247085671"/>
      <w:bookmarkStart w:id="9" w:name="_Toc2000404"/>
      <w:bookmarkStart w:id="10" w:name="_Toc152042287"/>
      <w:bookmarkStart w:id="11" w:name="_Toc152045511"/>
      <w:bookmarkStart w:id="12" w:name="_Toc144974479"/>
      <w:bookmarkStart w:id="13" w:name="_Toc246996157"/>
      <w:bookmarkStart w:id="14" w:name="_Toc247096243"/>
    </w:p>
    <w:p w14:paraId="46A51883">
      <w:pPr>
        <w:pStyle w:val="34"/>
        <w:keepNext w:val="0"/>
        <w:keepLines w:val="0"/>
        <w:pageBreakBefore w:val="0"/>
        <w:widowControl w:val="0"/>
        <w:tabs>
          <w:tab w:val="right" w:leader="dot" w:pos="9628"/>
        </w:tabs>
        <w:kinsoku/>
        <w:wordWrap/>
        <w:overflowPunct/>
        <w:topLinePunct w:val="0"/>
        <w:autoSpaceDE/>
        <w:autoSpaceDN/>
        <w:bidi w:val="0"/>
        <w:adjustRightInd/>
        <w:snapToGrid/>
        <w:ind w:left="0"/>
        <w:jc w:val="center"/>
        <w:textAlignment w:val="auto"/>
        <w:outlineLvl w:val="0"/>
        <w:rPr>
          <w:rFonts w:hint="eastAsia" w:ascii="宋体" w:hAnsi="宋体" w:eastAsia="宋体" w:cs="宋体"/>
          <w:b/>
          <w:bCs/>
          <w:smallCaps w:val="0"/>
          <w:color w:val="auto"/>
          <w:kern w:val="44"/>
          <w:sz w:val="44"/>
          <w:szCs w:val="44"/>
          <w:highlight w:val="none"/>
          <w:lang w:val="en-US" w:eastAsia="zh-CN" w:bidi="ar-SA"/>
        </w:rPr>
      </w:pPr>
      <w:bookmarkStart w:id="15" w:name="_Toc25459"/>
      <w:r>
        <w:rPr>
          <w:rFonts w:hint="eastAsia" w:ascii="宋体" w:hAnsi="宋体" w:eastAsia="宋体" w:cs="宋体"/>
          <w:b/>
          <w:bCs/>
          <w:smallCaps w:val="0"/>
          <w:color w:val="auto"/>
          <w:kern w:val="44"/>
          <w:sz w:val="44"/>
          <w:szCs w:val="44"/>
          <w:highlight w:val="none"/>
          <w:lang w:val="en-US" w:eastAsia="zh-CN" w:bidi="ar-SA"/>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eastAsia="宋体" w:cs="宋体"/>
          <w:b/>
          <w:bCs/>
          <w:smallCaps w:val="0"/>
          <w:color w:val="auto"/>
          <w:kern w:val="44"/>
          <w:sz w:val="44"/>
          <w:szCs w:val="44"/>
          <w:highlight w:val="none"/>
          <w:lang w:val="en-US" w:eastAsia="zh-CN" w:bidi="ar-SA"/>
        </w:rPr>
        <w:t>比选公告</w:t>
      </w:r>
      <w:bookmarkEnd w:id="15"/>
    </w:p>
    <w:p w14:paraId="46AA44BD">
      <w:pPr>
        <w:spacing w:line="440" w:lineRule="exact"/>
        <w:jc w:val="center"/>
        <w:rPr>
          <w:rFonts w:ascii="宋体" w:hAnsi="宋体" w:cs="宋体"/>
          <w:b/>
          <w:color w:val="auto"/>
          <w:sz w:val="28"/>
          <w:szCs w:val="28"/>
          <w:highlight w:val="none"/>
        </w:rPr>
      </w:pPr>
      <w:bookmarkStart w:id="16" w:name="OLE_LINK3"/>
      <w:bookmarkStart w:id="17" w:name="OLE_LINK2"/>
    </w:p>
    <w:p w14:paraId="0D1BD6C3">
      <w:pPr>
        <w:pStyle w:val="4"/>
        <w:spacing w:before="0" w:after="0" w:line="360" w:lineRule="auto"/>
        <w:rPr>
          <w:rFonts w:ascii="宋体" w:hAnsi="宋体" w:eastAsia="宋体" w:cs="宋体"/>
          <w:color w:val="auto"/>
          <w:highlight w:val="none"/>
        </w:rPr>
      </w:pPr>
      <w:bookmarkStart w:id="18" w:name="_Toc6549"/>
      <w:bookmarkStart w:id="19" w:name="_Toc247085672"/>
      <w:bookmarkStart w:id="20" w:name="_Toc10076"/>
      <w:bookmarkStart w:id="21" w:name="_Toc24874"/>
      <w:bookmarkStart w:id="22" w:name="_Toc246996901"/>
      <w:bookmarkStart w:id="23" w:name="_Toc17018"/>
      <w:bookmarkStart w:id="24" w:name="_Toc152045512"/>
      <w:bookmarkStart w:id="25" w:name="_Toc11329213"/>
      <w:bookmarkStart w:id="26" w:name="_Toc246996158"/>
      <w:bookmarkStart w:id="27" w:name="_Toc507319891"/>
      <w:bookmarkStart w:id="28" w:name="_Toc144974480"/>
      <w:bookmarkStart w:id="29" w:name="_Toc152042288"/>
      <w:bookmarkStart w:id="30" w:name="_Toc179632528"/>
      <w:r>
        <w:rPr>
          <w:rFonts w:hint="eastAsia" w:ascii="宋体" w:hAnsi="宋体" w:eastAsia="宋体" w:cs="宋体"/>
          <w:color w:val="auto"/>
          <w:highlight w:val="none"/>
        </w:rPr>
        <w:t>1. 比选条件</w:t>
      </w:r>
      <w:bookmarkEnd w:id="18"/>
      <w:bookmarkEnd w:id="19"/>
      <w:bookmarkEnd w:id="20"/>
      <w:bookmarkEnd w:id="21"/>
      <w:bookmarkEnd w:id="22"/>
      <w:bookmarkEnd w:id="23"/>
      <w:bookmarkEnd w:id="24"/>
      <w:bookmarkEnd w:id="25"/>
      <w:bookmarkEnd w:id="26"/>
      <w:bookmarkEnd w:id="27"/>
      <w:bookmarkEnd w:id="28"/>
      <w:bookmarkEnd w:id="29"/>
      <w:bookmarkEnd w:id="30"/>
    </w:p>
    <w:p w14:paraId="000AB0FD">
      <w:pPr>
        <w:spacing w:line="400" w:lineRule="exact"/>
        <w:rPr>
          <w:rFonts w:ascii="宋体" w:hAnsi="宋体" w:cs="宋体"/>
          <w:color w:val="auto"/>
          <w:szCs w:val="21"/>
          <w:highlight w:val="none"/>
        </w:rPr>
      </w:pPr>
      <w:r>
        <w:rPr>
          <w:rFonts w:hint="eastAsia" w:ascii="宋体" w:hAnsi="宋体" w:cs="宋体"/>
          <w:color w:val="auto"/>
          <w:szCs w:val="21"/>
          <w:highlight w:val="none"/>
        </w:rPr>
        <w:t>　　本竞争性比选项目</w:t>
      </w:r>
      <w:r>
        <w:rPr>
          <w:rFonts w:hint="eastAsia" w:ascii="宋体" w:hAnsi="宋体" w:cs="宋体"/>
          <w:color w:val="auto"/>
          <w:szCs w:val="21"/>
          <w:highlight w:val="none"/>
          <w:u w:val="single"/>
          <w:lang w:val="en-US" w:eastAsia="zh-CN"/>
        </w:rPr>
        <w:t>档案管理系统开发服务采购</w:t>
      </w:r>
      <w:r>
        <w:rPr>
          <w:rFonts w:hint="eastAsia" w:ascii="宋体" w:hAnsi="宋体" w:cs="宋体"/>
          <w:color w:val="auto"/>
          <w:szCs w:val="21"/>
          <w:highlight w:val="none"/>
        </w:rPr>
        <w:t>，采购人为</w:t>
      </w:r>
      <w:r>
        <w:rPr>
          <w:rFonts w:hint="eastAsia" w:ascii="宋体" w:hAnsi="宋体" w:cs="宋体"/>
          <w:color w:val="auto"/>
          <w:szCs w:val="21"/>
          <w:highlight w:val="none"/>
          <w:u w:val="single"/>
        </w:rPr>
        <w:t>重庆首讯科技股份有限公司</w:t>
      </w:r>
      <w:r>
        <w:rPr>
          <w:rFonts w:hint="eastAsia" w:ascii="宋体" w:hAnsi="宋体" w:cs="宋体"/>
          <w:color w:val="auto"/>
          <w:szCs w:val="21"/>
          <w:highlight w:val="none"/>
        </w:rPr>
        <w:t>，该项目已具备比选条件，现对该项目进行竞争性比选。</w:t>
      </w:r>
    </w:p>
    <w:p w14:paraId="35348B97">
      <w:pPr>
        <w:pStyle w:val="4"/>
        <w:spacing w:before="120" w:after="0" w:line="360" w:lineRule="auto"/>
        <w:rPr>
          <w:rFonts w:ascii="宋体" w:hAnsi="宋体" w:eastAsia="宋体" w:cs="宋体"/>
          <w:color w:val="auto"/>
          <w:highlight w:val="none"/>
        </w:rPr>
      </w:pPr>
      <w:bookmarkStart w:id="31" w:name="_Toc18109"/>
      <w:bookmarkStart w:id="32" w:name="_Toc21343"/>
      <w:bookmarkStart w:id="33" w:name="_Toc10952"/>
      <w:bookmarkStart w:id="34" w:name="_Toc32756"/>
      <w:bookmarkStart w:id="35" w:name="_Toc246996902"/>
      <w:bookmarkStart w:id="36" w:name="_Toc247085673"/>
      <w:bookmarkStart w:id="37" w:name="_Toc246996159"/>
      <w:bookmarkStart w:id="38" w:name="_Toc152042289"/>
      <w:bookmarkStart w:id="39" w:name="_Toc11329214"/>
      <w:bookmarkStart w:id="40" w:name="_Toc152045513"/>
      <w:bookmarkStart w:id="41" w:name="_Toc144974481"/>
      <w:bookmarkStart w:id="42" w:name="_Toc179632529"/>
      <w:bookmarkStart w:id="43" w:name="_Toc507319892"/>
      <w:r>
        <w:rPr>
          <w:rFonts w:hint="eastAsia" w:ascii="宋体" w:hAnsi="宋体" w:eastAsia="宋体" w:cs="宋体"/>
          <w:color w:val="auto"/>
          <w:highlight w:val="none"/>
        </w:rPr>
        <w:t>2. 项目概况与比选范围</w:t>
      </w:r>
      <w:bookmarkEnd w:id="31"/>
      <w:bookmarkEnd w:id="32"/>
      <w:bookmarkEnd w:id="33"/>
      <w:bookmarkEnd w:id="34"/>
      <w:bookmarkEnd w:id="35"/>
      <w:bookmarkEnd w:id="36"/>
      <w:bookmarkEnd w:id="37"/>
      <w:bookmarkEnd w:id="38"/>
      <w:bookmarkEnd w:id="39"/>
      <w:bookmarkEnd w:id="40"/>
      <w:bookmarkEnd w:id="41"/>
      <w:bookmarkEnd w:id="42"/>
      <w:bookmarkEnd w:id="43"/>
    </w:p>
    <w:p w14:paraId="56F6E3F9">
      <w:pPr>
        <w:spacing w:line="420" w:lineRule="exact"/>
        <w:ind w:firstLine="420" w:firstLineChars="200"/>
        <w:rPr>
          <w:rFonts w:hint="default" w:ascii="宋体" w:hAnsi="宋体" w:cs="宋体"/>
          <w:color w:val="auto"/>
          <w:highlight w:val="none"/>
          <w:lang w:val="en-US" w:eastAsia="zh-CN"/>
        </w:rPr>
      </w:pPr>
      <w:bookmarkStart w:id="44" w:name="_Toc265234827"/>
      <w:bookmarkStart w:id="45" w:name="_Toc382816230"/>
      <w:r>
        <w:rPr>
          <w:rFonts w:hint="eastAsia" w:ascii="宋体" w:hAnsi="宋体" w:cs="宋体"/>
          <w:color w:val="auto"/>
          <w:highlight w:val="none"/>
        </w:rPr>
        <w:t>2.</w:t>
      </w:r>
      <w:r>
        <w:rPr>
          <w:rFonts w:hint="eastAsia" w:ascii="宋体" w:hAnsi="宋体" w:cs="宋体"/>
          <w:color w:val="auto"/>
          <w:highlight w:val="none"/>
          <w:lang w:val="en-US" w:eastAsia="zh-CN"/>
        </w:rPr>
        <w:t>1项目地点：</w:t>
      </w:r>
      <w:r>
        <w:rPr>
          <w:rFonts w:hint="eastAsia" w:ascii="宋体" w:hAnsi="宋体" w:cs="宋体"/>
          <w:color w:val="auto"/>
          <w:szCs w:val="21"/>
          <w:highlight w:val="none"/>
          <w:u w:val="single"/>
        </w:rPr>
        <w:t>重庆市渝北区</w:t>
      </w:r>
      <w:r>
        <w:rPr>
          <w:rFonts w:hint="eastAsia" w:ascii="宋体" w:hAnsi="宋体" w:cs="宋体"/>
          <w:color w:val="auto"/>
          <w:szCs w:val="21"/>
          <w:highlight w:val="none"/>
          <w:u w:val="none"/>
          <w:lang w:eastAsia="zh-CN"/>
        </w:rPr>
        <w:t>。</w:t>
      </w:r>
    </w:p>
    <w:p w14:paraId="7AD61C4B">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2.2项目概况：</w:t>
      </w:r>
      <w:r>
        <w:rPr>
          <w:rFonts w:hint="eastAsia" w:ascii="宋体" w:hAnsi="宋体" w:cs="宋体"/>
          <w:color w:val="auto"/>
          <w:szCs w:val="21"/>
          <w:highlight w:val="none"/>
          <w:u w:val="single"/>
          <w:lang w:val="en-US" w:eastAsia="zh-CN"/>
        </w:rPr>
        <w:t>基于云原生架构开展大数据平台、算法能力、数字底座、业务应用研究，建设覆盖档案全生命周期管理的数字档案管理系统，档案工作的“收、管、存、用”均在系统中有相关模块对应。根据采购人的业务需求需与办公系统进行单点登录，待办推送，与办公系统档案利用流程进行接口开发，与办公系统等其他系统进行在线档案接收等功能的开发，同时完成国产化软硬件的部署与适配</w:t>
      </w:r>
      <w:r>
        <w:rPr>
          <w:rFonts w:hint="eastAsia" w:ascii="宋体" w:hAnsi="宋体" w:cs="宋体"/>
          <w:color w:val="auto"/>
          <w:szCs w:val="21"/>
          <w:highlight w:val="none"/>
          <w:u w:val="none"/>
          <w:lang w:eastAsia="zh-CN"/>
        </w:rPr>
        <w:t>。</w:t>
      </w:r>
    </w:p>
    <w:p w14:paraId="249BA4AC">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项目</w:t>
      </w:r>
      <w:r>
        <w:rPr>
          <w:rFonts w:hint="eastAsia" w:ascii="宋体" w:hAnsi="宋体" w:cs="宋体"/>
          <w:color w:val="auto"/>
          <w:highlight w:val="none"/>
          <w:lang w:val="en-US" w:eastAsia="zh-CN"/>
        </w:rPr>
        <w:t>规模</w:t>
      </w:r>
      <w:r>
        <w:rPr>
          <w:rFonts w:hint="eastAsia" w:ascii="宋体" w:hAnsi="宋体" w:eastAsia="宋体" w:cs="宋体"/>
          <w:color w:val="auto"/>
          <w:szCs w:val="21"/>
          <w:highlight w:val="none"/>
        </w:rPr>
        <w:t>：本次预算费用</w:t>
      </w:r>
      <w:r>
        <w:rPr>
          <w:rFonts w:hint="eastAsia" w:ascii="宋体" w:hAnsi="宋体" w:eastAsia="宋体" w:cs="宋体"/>
          <w:color w:val="auto"/>
          <w:szCs w:val="21"/>
          <w:highlight w:val="none"/>
          <w:u w:val="single"/>
        </w:rPr>
        <w:t>23</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5</w:t>
      </w:r>
      <w:r>
        <w:rPr>
          <w:rFonts w:hint="eastAsia" w:ascii="宋体" w:hAnsi="宋体" w:eastAsia="宋体" w:cs="宋体"/>
          <w:color w:val="auto"/>
          <w:szCs w:val="21"/>
          <w:highlight w:val="none"/>
        </w:rPr>
        <w:t>万元。</w:t>
      </w:r>
    </w:p>
    <w:p w14:paraId="70EB8FCC">
      <w:pPr>
        <w:keepNext w:val="0"/>
        <w:keepLines w:val="0"/>
        <w:pageBreakBefore w:val="0"/>
        <w:kinsoku/>
        <w:wordWrap w:val="0"/>
        <w:overflowPunct/>
        <w:topLinePunct w:val="0"/>
        <w:bidi w:val="0"/>
        <w:snapToGrid w:val="0"/>
        <w:spacing w:line="420" w:lineRule="exact"/>
        <w:ind w:firstLine="424" w:firstLineChars="202"/>
        <w:textAlignment w:val="auto"/>
        <w:rPr>
          <w:rFonts w:hint="eastAsia" w:ascii="宋体" w:hAnsi="宋体" w:cs="宋体"/>
          <w:color w:val="auto"/>
          <w:highlight w:val="none"/>
        </w:rPr>
      </w:pPr>
      <w:r>
        <w:rPr>
          <w:rFonts w:hint="eastAsia" w:ascii="宋体" w:hAnsi="宋体" w:cs="宋体"/>
          <w:color w:val="auto"/>
          <w:highlight w:val="none"/>
          <w:lang w:val="en-US" w:eastAsia="zh-CN"/>
        </w:rPr>
        <w:t>2.4比选范围</w:t>
      </w:r>
      <w:r>
        <w:rPr>
          <w:rFonts w:hint="eastAsia" w:ascii="宋体" w:hAnsi="宋体" w:cs="宋体"/>
          <w:color w:val="auto"/>
          <w:highlight w:val="none"/>
        </w:rPr>
        <w:t>：</w:t>
      </w:r>
      <w:r>
        <w:rPr>
          <w:rFonts w:hint="eastAsia" w:ascii="宋体" w:hAnsi="宋体" w:cs="宋体"/>
          <w:color w:val="auto"/>
          <w:highlight w:val="none"/>
          <w:u w:val="single"/>
          <w:lang w:val="en-US" w:eastAsia="zh-CN"/>
        </w:rPr>
        <w:t>为</w:t>
      </w:r>
      <w:r>
        <w:rPr>
          <w:rFonts w:hint="eastAsia" w:ascii="宋体" w:hAnsi="宋体" w:cs="宋体"/>
          <w:color w:val="auto"/>
          <w:highlight w:val="none"/>
          <w:u w:val="single"/>
        </w:rPr>
        <w:t>采购人</w:t>
      </w:r>
      <w:r>
        <w:rPr>
          <w:rFonts w:hint="eastAsia" w:ascii="宋体" w:hAnsi="宋体" w:cs="宋体"/>
          <w:color w:val="auto"/>
          <w:highlight w:val="none"/>
          <w:u w:val="single"/>
          <w:lang w:val="en-US" w:eastAsia="zh-CN"/>
        </w:rPr>
        <w:t>开发</w:t>
      </w:r>
      <w:r>
        <w:rPr>
          <w:rFonts w:hint="eastAsia" w:ascii="宋体" w:hAnsi="宋体" w:cs="宋体"/>
          <w:color w:val="auto"/>
          <w:szCs w:val="21"/>
          <w:highlight w:val="none"/>
          <w:u w:val="single"/>
          <w:lang w:val="en-US" w:eastAsia="zh-CN"/>
        </w:rPr>
        <w:t>档案管理系统</w:t>
      </w:r>
      <w:r>
        <w:rPr>
          <w:rFonts w:hint="eastAsia" w:ascii="宋体" w:hAnsi="宋体" w:cs="宋体"/>
          <w:color w:val="auto"/>
          <w:highlight w:val="none"/>
          <w:u w:val="single"/>
          <w:lang w:eastAsia="zh-CN"/>
        </w:rPr>
        <w:t>；</w:t>
      </w:r>
      <w:r>
        <w:rPr>
          <w:rFonts w:hint="eastAsia" w:ascii="宋体" w:hAnsi="宋体" w:cs="宋体"/>
          <w:color w:val="auto"/>
          <w:highlight w:val="none"/>
          <w:u w:val="single"/>
        </w:rPr>
        <w:t>具体详见</w:t>
      </w:r>
      <w:r>
        <w:rPr>
          <w:rFonts w:hint="eastAsia" w:ascii="宋体" w:hAnsi="宋体" w:cs="宋体"/>
          <w:color w:val="auto"/>
          <w:highlight w:val="none"/>
          <w:u w:val="single"/>
          <w:lang w:eastAsia="zh-CN"/>
        </w:rPr>
        <w:t>“</w:t>
      </w:r>
      <w:r>
        <w:rPr>
          <w:rFonts w:hint="eastAsia" w:ascii="宋体" w:hAnsi="宋体" w:cs="宋体"/>
          <w:color w:val="auto"/>
          <w:highlight w:val="none"/>
          <w:u w:val="single"/>
        </w:rPr>
        <w:t>第</w:t>
      </w:r>
      <w:r>
        <w:rPr>
          <w:rFonts w:hint="eastAsia" w:ascii="宋体" w:hAnsi="宋体" w:cs="宋体"/>
          <w:color w:val="auto"/>
          <w:highlight w:val="none"/>
          <w:u w:val="single"/>
          <w:lang w:val="en-US" w:eastAsia="zh-CN"/>
        </w:rPr>
        <w:t>四</w:t>
      </w:r>
      <w:r>
        <w:rPr>
          <w:rFonts w:hint="eastAsia" w:ascii="宋体" w:hAnsi="宋体" w:cs="宋体"/>
          <w:color w:val="auto"/>
          <w:highlight w:val="none"/>
          <w:u w:val="single"/>
        </w:rPr>
        <w:t xml:space="preserve">章 </w:t>
      </w:r>
      <w:r>
        <w:rPr>
          <w:rFonts w:hint="eastAsia" w:ascii="宋体" w:hAnsi="宋体" w:cs="宋体"/>
          <w:color w:val="auto"/>
          <w:highlight w:val="none"/>
          <w:u w:val="single"/>
          <w:lang w:val="en-US" w:eastAsia="zh-CN"/>
        </w:rPr>
        <w:t>服务要求</w:t>
      </w:r>
      <w:r>
        <w:rPr>
          <w:rFonts w:hint="eastAsia" w:ascii="宋体" w:hAnsi="宋体" w:cs="宋体"/>
          <w:color w:val="auto"/>
          <w:highlight w:val="none"/>
          <w:u w:val="single"/>
          <w:lang w:eastAsia="zh-CN"/>
        </w:rPr>
        <w:t>”</w:t>
      </w:r>
      <w:r>
        <w:rPr>
          <w:rFonts w:hint="eastAsia" w:ascii="宋体" w:hAnsi="宋体" w:cs="宋体"/>
          <w:color w:val="auto"/>
          <w:szCs w:val="21"/>
          <w:highlight w:val="none"/>
          <w:u w:val="none"/>
          <w:lang w:eastAsia="zh-CN"/>
        </w:rPr>
        <w:t>。</w:t>
      </w:r>
    </w:p>
    <w:bookmarkEnd w:id="44"/>
    <w:bookmarkEnd w:id="45"/>
    <w:p w14:paraId="75CC5A4B">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2.5服务期限：</w:t>
      </w:r>
      <w:r>
        <w:rPr>
          <w:rFonts w:hint="eastAsia" w:ascii="宋体" w:hAnsi="宋体" w:cs="宋体"/>
          <w:color w:val="auto"/>
          <w:highlight w:val="none"/>
          <w:u w:val="single"/>
        </w:rPr>
        <w:t>暂定</w:t>
      </w:r>
      <w:r>
        <w:rPr>
          <w:rFonts w:hint="eastAsia" w:ascii="宋体" w:hAnsi="宋体" w:cs="宋体"/>
          <w:color w:val="auto"/>
          <w:highlight w:val="none"/>
          <w:u w:val="single"/>
          <w:lang w:val="en-US" w:eastAsia="zh-CN"/>
        </w:rPr>
        <w:t>2</w:t>
      </w:r>
      <w:r>
        <w:rPr>
          <w:rFonts w:hint="eastAsia" w:ascii="宋体" w:hAnsi="宋体" w:cs="宋体"/>
          <w:color w:val="auto"/>
          <w:highlight w:val="none"/>
          <w:u w:val="single"/>
        </w:rPr>
        <w:t>个月，具体按采购人要求为准</w:t>
      </w:r>
      <w:r>
        <w:rPr>
          <w:rFonts w:hint="eastAsia" w:ascii="宋体" w:hAnsi="宋体" w:cs="宋体"/>
          <w:color w:val="auto"/>
          <w:highlight w:val="none"/>
        </w:rPr>
        <w:t>。</w:t>
      </w:r>
    </w:p>
    <w:p w14:paraId="2C492576">
      <w:pPr>
        <w:keepNext w:val="0"/>
        <w:keepLines w:val="0"/>
        <w:pageBreakBefore w:val="0"/>
        <w:kinsoku/>
        <w:wordWrap w:val="0"/>
        <w:overflowPunct/>
        <w:topLinePunct w:val="0"/>
        <w:bidi w:val="0"/>
        <w:snapToGrid w:val="0"/>
        <w:spacing w:line="420" w:lineRule="exact"/>
        <w:ind w:firstLine="413" w:firstLineChars="197"/>
        <w:textAlignment w:val="auto"/>
        <w:rPr>
          <w:rFonts w:hint="default" w:ascii="宋体" w:hAnsi="宋体" w:eastAsia="宋体" w:cs="宋体"/>
          <w:b w:val="0"/>
          <w:bCs w:val="0"/>
          <w:i w:val="0"/>
          <w:iCs w:val="0"/>
          <w:color w:val="auto"/>
          <w:szCs w:val="21"/>
          <w:highlight w:val="none"/>
          <w:lang w:val="en-US" w:eastAsia="zh-CN"/>
        </w:rPr>
      </w:pPr>
      <w:bookmarkStart w:id="46" w:name="_Toc247085674"/>
      <w:bookmarkStart w:id="47" w:name="_Toc246996903"/>
      <w:bookmarkStart w:id="48" w:name="_Toc246996160"/>
      <w:bookmarkStart w:id="49" w:name="_Toc152042290"/>
      <w:bookmarkStart w:id="50" w:name="_Toc507319893"/>
      <w:bookmarkStart w:id="51" w:name="_Toc152045514"/>
      <w:bookmarkStart w:id="52" w:name="_Toc30356"/>
      <w:bookmarkStart w:id="53" w:name="_Toc10171"/>
      <w:bookmarkStart w:id="54" w:name="_Toc7065"/>
      <w:bookmarkStart w:id="55" w:name="_Toc144974482"/>
      <w:bookmarkStart w:id="56" w:name="_Toc179632530"/>
      <w:bookmarkStart w:id="57" w:name="_Toc11329215"/>
      <w:r>
        <w:rPr>
          <w:rFonts w:hint="eastAsia" w:ascii="宋体" w:hAnsi="宋体" w:cs="宋体"/>
          <w:b w:val="0"/>
          <w:bCs w:val="0"/>
          <w:i w:val="0"/>
          <w:iCs w:val="0"/>
          <w:color w:val="auto"/>
          <w:szCs w:val="21"/>
          <w:highlight w:val="none"/>
          <w:lang w:val="en-US" w:eastAsia="zh-CN"/>
        </w:rPr>
        <w:t>2.6标段划分：</w:t>
      </w:r>
      <w:r>
        <w:rPr>
          <w:rFonts w:hint="eastAsia" w:ascii="宋体" w:hAnsi="宋体" w:cs="宋体"/>
          <w:b w:val="0"/>
          <w:bCs w:val="0"/>
          <w:color w:val="auto"/>
          <w:kern w:val="2"/>
          <w:sz w:val="21"/>
          <w:szCs w:val="24"/>
          <w:highlight w:val="none"/>
          <w:lang w:val="en-US" w:eastAsia="zh-CN" w:bidi="ar-SA"/>
        </w:rPr>
        <w:t>本项目划分为</w:t>
      </w:r>
      <w:r>
        <w:rPr>
          <w:rFonts w:hint="eastAsia" w:ascii="宋体" w:hAnsi="宋体" w:cs="宋体"/>
          <w:b w:val="0"/>
          <w:bCs w:val="0"/>
          <w:color w:val="auto"/>
          <w:kern w:val="2"/>
          <w:sz w:val="21"/>
          <w:szCs w:val="24"/>
          <w:highlight w:val="none"/>
          <w:u w:val="single"/>
          <w:lang w:val="en-US" w:eastAsia="zh-CN" w:bidi="ar-SA"/>
        </w:rPr>
        <w:t xml:space="preserve"> 1 </w:t>
      </w:r>
      <w:r>
        <w:rPr>
          <w:rFonts w:hint="eastAsia" w:ascii="宋体" w:hAnsi="宋体" w:cs="宋体"/>
          <w:b w:val="0"/>
          <w:bCs w:val="0"/>
          <w:color w:val="auto"/>
          <w:kern w:val="2"/>
          <w:sz w:val="21"/>
          <w:szCs w:val="24"/>
          <w:highlight w:val="none"/>
          <w:lang w:val="en-US" w:eastAsia="zh-CN" w:bidi="ar-SA"/>
        </w:rPr>
        <w:t>个标段。</w:t>
      </w:r>
    </w:p>
    <w:p w14:paraId="01D20C8D">
      <w:pPr>
        <w:pStyle w:val="4"/>
        <w:spacing w:before="120" w:after="0" w:line="360" w:lineRule="auto"/>
        <w:rPr>
          <w:rFonts w:ascii="宋体" w:hAnsi="宋体" w:eastAsia="宋体" w:cs="宋体"/>
          <w:color w:val="auto"/>
          <w:highlight w:val="none"/>
        </w:rPr>
      </w:pPr>
      <w:bookmarkStart w:id="58" w:name="_Toc9929"/>
      <w:r>
        <w:rPr>
          <w:rFonts w:hint="eastAsia" w:ascii="宋体" w:hAnsi="宋体" w:eastAsia="宋体" w:cs="宋体"/>
          <w:color w:val="auto"/>
          <w:highlight w:val="none"/>
        </w:rPr>
        <w:t>3. 报价人资格要求</w:t>
      </w:r>
      <w:bookmarkEnd w:id="46"/>
      <w:bookmarkEnd w:id="47"/>
      <w:bookmarkEnd w:id="48"/>
      <w:bookmarkEnd w:id="49"/>
      <w:bookmarkEnd w:id="50"/>
      <w:bookmarkEnd w:id="51"/>
      <w:bookmarkEnd w:id="52"/>
      <w:bookmarkEnd w:id="53"/>
      <w:bookmarkEnd w:id="54"/>
      <w:bookmarkEnd w:id="55"/>
      <w:bookmarkEnd w:id="56"/>
      <w:bookmarkEnd w:id="57"/>
      <w:bookmarkEnd w:id="58"/>
    </w:p>
    <w:p w14:paraId="6751335D">
      <w:pPr>
        <w:spacing w:line="400" w:lineRule="exact"/>
        <w:ind w:firstLine="420" w:firstLineChars="200"/>
        <w:rPr>
          <w:rFonts w:hint="eastAsia" w:ascii="宋体" w:hAnsi="宋体" w:cs="宋体"/>
          <w:color w:val="auto"/>
          <w:szCs w:val="21"/>
          <w:highlight w:val="none"/>
          <w:shd w:val="clear" w:color="auto" w:fill="FFFFFF"/>
          <w:lang w:eastAsia="zh-CN"/>
        </w:rPr>
      </w:pPr>
      <w:bookmarkStart w:id="59" w:name="_Toc246996161"/>
      <w:bookmarkStart w:id="60" w:name="_Toc247085675"/>
      <w:bookmarkStart w:id="61" w:name="_Toc246996904"/>
      <w:bookmarkStart w:id="62" w:name="_Toc144974483"/>
      <w:bookmarkStart w:id="63" w:name="_Toc179632531"/>
      <w:bookmarkStart w:id="64" w:name="_Toc152042291"/>
      <w:bookmarkStart w:id="65" w:name="_Toc152045515"/>
      <w:r>
        <w:rPr>
          <w:rFonts w:hint="eastAsia" w:ascii="宋体" w:hAnsi="宋体" w:cs="宋体"/>
          <w:color w:val="auto"/>
          <w:szCs w:val="21"/>
          <w:highlight w:val="none"/>
          <w:shd w:val="clear" w:color="auto" w:fill="FFFFFF"/>
        </w:rPr>
        <w:t>3.1 资质要求</w:t>
      </w:r>
      <w:r>
        <w:rPr>
          <w:rFonts w:hint="eastAsia" w:ascii="宋体" w:hAnsi="宋体" w:cs="宋体"/>
          <w:color w:val="auto"/>
          <w:szCs w:val="21"/>
          <w:highlight w:val="none"/>
          <w:shd w:val="clear" w:color="auto" w:fill="FFFFFF"/>
          <w:lang w:eastAsia="zh-CN"/>
        </w:rPr>
        <w:t>：</w:t>
      </w:r>
    </w:p>
    <w:p w14:paraId="587B7160">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1</w:t>
      </w:r>
      <w:r>
        <w:rPr>
          <w:rFonts w:hint="eastAsia" w:ascii="宋体" w:hAnsi="宋体" w:cs="宋体"/>
          <w:color w:val="auto"/>
          <w:szCs w:val="21"/>
          <w:highlight w:val="none"/>
          <w:shd w:val="clear" w:color="auto" w:fill="FFFFFF"/>
          <w:lang w:eastAsia="zh-CN"/>
        </w:rPr>
        <w:t>）</w:t>
      </w:r>
      <w:r>
        <w:rPr>
          <w:rFonts w:hint="eastAsia" w:ascii="宋体" w:hAnsi="宋体" w:cs="宋体"/>
          <w:color w:val="auto"/>
          <w:highlight w:val="none"/>
          <w:lang w:eastAsia="zh-CN"/>
        </w:rPr>
        <w:t>报价人具有独立法人资格及有效的营业执照。</w:t>
      </w:r>
    </w:p>
    <w:p w14:paraId="2CA323C3">
      <w:pPr>
        <w:keepNext w:val="0"/>
        <w:keepLines w:val="0"/>
        <w:pageBreakBefore w:val="0"/>
        <w:kinsoku/>
        <w:overflowPunct/>
        <w:topLinePunct w:val="0"/>
        <w:bidi w:val="0"/>
        <w:adjustRightInd w:val="0"/>
        <w:snapToGrid w:val="0"/>
        <w:spacing w:line="420" w:lineRule="exact"/>
        <w:ind w:leftChars="0"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rPr>
        <w:t>（2）</w:t>
      </w:r>
      <w:r>
        <w:rPr>
          <w:rFonts w:hint="eastAsia" w:ascii="宋体" w:hAnsi="宋体" w:cs="宋体"/>
          <w:color w:val="auto"/>
          <w:highlight w:val="none"/>
          <w:lang w:eastAsia="zh-CN"/>
        </w:rPr>
        <w:t>报价</w:t>
      </w:r>
      <w:r>
        <w:rPr>
          <w:rFonts w:hint="eastAsia" w:ascii="宋体" w:hAnsi="宋体" w:cs="宋体"/>
          <w:color w:val="auto"/>
          <w:szCs w:val="21"/>
          <w:highlight w:val="none"/>
          <w:shd w:val="clear" w:color="auto" w:fill="FFFFFF"/>
        </w:rPr>
        <w:t>人需</w:t>
      </w:r>
      <w:r>
        <w:rPr>
          <w:rFonts w:hint="eastAsia" w:ascii="宋体" w:hAnsi="宋体" w:cs="宋体"/>
          <w:color w:val="auto"/>
          <w:szCs w:val="21"/>
          <w:highlight w:val="none"/>
          <w:shd w:val="clear" w:color="auto" w:fill="FFFFFF"/>
          <w:lang w:val="en-US" w:eastAsia="zh-CN"/>
        </w:rPr>
        <w:t>具备</w:t>
      </w:r>
      <w:r>
        <w:rPr>
          <w:rFonts w:hint="eastAsia" w:ascii="宋体" w:hAnsi="宋体" w:cs="宋体"/>
          <w:color w:val="auto"/>
          <w:szCs w:val="21"/>
          <w:highlight w:val="none"/>
          <w:shd w:val="clear" w:color="auto" w:fill="FFFFFF"/>
        </w:rPr>
        <w:t>“国家秘密载体印制资质”乙级及以上资质证书</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rPr>
        <w:t>资质类别：档案数字化加工或涉密档案数字化加工</w:t>
      </w:r>
      <w:r>
        <w:rPr>
          <w:rFonts w:hint="eastAsia" w:ascii="宋体" w:hAnsi="宋体" w:cs="宋体"/>
          <w:color w:val="auto"/>
          <w:szCs w:val="21"/>
          <w:highlight w:val="none"/>
          <w:shd w:val="clear" w:color="auto" w:fill="FFFFFF"/>
          <w:lang w:eastAsia="zh-CN"/>
        </w:rPr>
        <w:t>）。</w:t>
      </w:r>
    </w:p>
    <w:p w14:paraId="1987B31B">
      <w:pPr>
        <w:keepNext w:val="0"/>
        <w:keepLines w:val="0"/>
        <w:pageBreakBefore w:val="0"/>
        <w:kinsoku/>
        <w:overflowPunct/>
        <w:topLinePunct w:val="0"/>
        <w:bidi w:val="0"/>
        <w:adjustRightInd w:val="0"/>
        <w:snapToGrid w:val="0"/>
        <w:spacing w:line="420" w:lineRule="exact"/>
        <w:ind w:leftChars="0"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2</w:t>
      </w:r>
      <w:r>
        <w:rPr>
          <w:rFonts w:hint="eastAsia" w:ascii="宋体" w:hAnsi="宋体" w:cs="宋体"/>
          <w:color w:val="auto"/>
          <w:szCs w:val="21"/>
          <w:highlight w:val="none"/>
          <w:shd w:val="clear" w:color="auto" w:fill="FFFFFF"/>
        </w:rPr>
        <w:t xml:space="preserve"> </w:t>
      </w:r>
      <w:r>
        <w:rPr>
          <w:rFonts w:hint="eastAsia" w:ascii="宋体" w:hAnsi="宋体" w:cs="宋体"/>
          <w:color w:val="auto"/>
          <w:szCs w:val="21"/>
          <w:highlight w:val="none"/>
          <w:shd w:val="clear" w:color="auto" w:fill="FFFFFF"/>
          <w:lang w:val="en-US" w:eastAsia="zh-CN"/>
        </w:rPr>
        <w:t>业绩要求：2021年1月1日至竞争性比选文件发出之日（以合同签订时间为准）起至少承担一项合同金额不低于15万元的类似档案管理</w:t>
      </w:r>
      <w:r>
        <w:rPr>
          <w:rFonts w:hint="eastAsia" w:ascii="宋体" w:hAnsi="宋体" w:cs="宋体"/>
          <w:color w:val="auto"/>
          <w:szCs w:val="21"/>
          <w:highlight w:val="none"/>
          <w:shd w:val="clear" w:color="auto" w:fill="FFFFFF"/>
        </w:rPr>
        <w:t>软件开发或</w:t>
      </w:r>
      <w:r>
        <w:rPr>
          <w:rFonts w:hint="eastAsia" w:ascii="宋体" w:hAnsi="宋体" w:cs="宋体"/>
          <w:color w:val="auto"/>
          <w:szCs w:val="21"/>
          <w:highlight w:val="none"/>
          <w:shd w:val="clear" w:color="auto" w:fill="FFFFFF"/>
          <w:lang w:val="en-US" w:eastAsia="zh-CN"/>
        </w:rPr>
        <w:t>技术服务业绩。</w:t>
      </w:r>
    </w:p>
    <w:p w14:paraId="1A06C8AB">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3.3</w:t>
      </w:r>
      <w:r>
        <w:rPr>
          <w:rFonts w:hint="eastAsia" w:ascii="宋体" w:hAnsi="宋体" w:cs="宋体"/>
          <w:color w:val="auto"/>
          <w:szCs w:val="21"/>
          <w:highlight w:val="none"/>
          <w:shd w:val="clear" w:color="auto" w:fill="FFFFFF"/>
        </w:rPr>
        <w:t>信誉要求：</w:t>
      </w: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eastAsia="宋体" w:cs="宋体"/>
          <w:color w:val="auto"/>
          <w:sz w:val="21"/>
          <w:szCs w:val="21"/>
          <w:highlight w:val="none"/>
          <w:lang w:val="en-US" w:eastAsia="zh-CN"/>
        </w:rPr>
        <w:t>。</w:t>
      </w:r>
    </w:p>
    <w:p w14:paraId="3FFF4C2C">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3.4</w:t>
      </w:r>
      <w:r>
        <w:rPr>
          <w:rFonts w:hint="eastAsia" w:ascii="宋体" w:hAnsi="宋体" w:cs="宋体"/>
          <w:color w:val="auto"/>
          <w:szCs w:val="21"/>
          <w:highlight w:val="none"/>
          <w:shd w:val="clear" w:color="auto" w:fill="FFFFFF"/>
        </w:rPr>
        <w:t>本次比选不接受联合体报价。</w:t>
      </w:r>
    </w:p>
    <w:p w14:paraId="114D0F02">
      <w:pPr>
        <w:keepNext w:val="0"/>
        <w:keepLines/>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5</w:t>
      </w:r>
      <w:r>
        <w:rPr>
          <w:rFonts w:hint="eastAsia" w:ascii="宋体" w:hAnsi="宋体" w:cs="宋体"/>
          <w:color w:val="auto"/>
          <w:sz w:val="21"/>
          <w:szCs w:val="24"/>
          <w:highlight w:val="none"/>
          <w:shd w:val="clear" w:color="auto" w:fill="FFFFFF"/>
        </w:rPr>
        <w:t>单位负责人为同一人或者存在控股、管理关系的不同单位，不得同时参加本项目报价，否则均按无效报价处理。</w:t>
      </w:r>
    </w:p>
    <w:p w14:paraId="3D7F448D">
      <w:pPr>
        <w:pStyle w:val="4"/>
        <w:keepNext w:val="0"/>
        <w:keepLines/>
        <w:pageBreakBefore w:val="0"/>
        <w:widowControl w:val="0"/>
        <w:kinsoku/>
        <w:wordWrap/>
        <w:overflowPunct/>
        <w:topLinePunct w:val="0"/>
        <w:autoSpaceDE/>
        <w:autoSpaceDN/>
        <w:bidi w:val="0"/>
        <w:adjustRightInd/>
        <w:snapToGrid/>
        <w:spacing w:before="120" w:after="0" w:line="400" w:lineRule="exact"/>
        <w:textAlignment w:val="auto"/>
        <w:rPr>
          <w:rFonts w:hint="eastAsia" w:ascii="宋体" w:hAnsi="宋体" w:eastAsia="宋体" w:cs="宋体"/>
          <w:color w:val="auto"/>
          <w:highlight w:val="none"/>
        </w:rPr>
      </w:pPr>
      <w:bookmarkStart w:id="66" w:name="_Toc1968"/>
      <w:bookmarkStart w:id="67" w:name="_Toc12460"/>
      <w:bookmarkStart w:id="68" w:name="_Toc11329216"/>
      <w:bookmarkStart w:id="69" w:name="_Toc507319894"/>
      <w:bookmarkStart w:id="70" w:name="_Toc14361"/>
      <w:bookmarkStart w:id="71" w:name="_Toc25619"/>
      <w:r>
        <w:rPr>
          <w:rFonts w:hint="eastAsia" w:ascii="宋体" w:hAnsi="宋体" w:eastAsia="宋体" w:cs="宋体"/>
          <w:color w:val="auto"/>
          <w:highlight w:val="none"/>
        </w:rPr>
        <w:t>4. 评标办法</w:t>
      </w:r>
      <w:bookmarkEnd w:id="66"/>
    </w:p>
    <w:p w14:paraId="78EDB4BF">
      <w:pPr>
        <w:keepNext w:val="0"/>
        <w:keepLines/>
        <w:pageBreakBefore w:val="0"/>
        <w:widowControl w:val="0"/>
        <w:kinsoku/>
        <w:wordWrap/>
        <w:overflowPunct/>
        <w:topLinePunct w:val="0"/>
        <w:autoSpaceDE/>
        <w:autoSpaceDN/>
        <w:bidi w:val="0"/>
        <w:adjustRightInd/>
        <w:snapToGrid/>
        <w:spacing w:after="0" w:line="400" w:lineRule="exact"/>
        <w:ind w:firstLine="420" w:firstLineChars="200"/>
        <w:textAlignment w:val="auto"/>
        <w:outlineLvl w:val="9"/>
        <w:rPr>
          <w:rFonts w:hint="default"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本项目采用经评审的</w:t>
      </w:r>
      <w:r>
        <w:rPr>
          <w:rFonts w:hint="eastAsia" w:ascii="宋体" w:hAnsi="宋体" w:cs="宋体"/>
          <w:b w:val="0"/>
          <w:bCs w:val="0"/>
          <w:color w:val="auto"/>
          <w:kern w:val="2"/>
          <w:sz w:val="21"/>
          <w:szCs w:val="24"/>
          <w:highlight w:val="none"/>
          <w:lang w:val="en-US" w:eastAsia="zh-CN" w:bidi="ar-SA"/>
        </w:rPr>
        <w:t>综合评估法</w:t>
      </w:r>
    </w:p>
    <w:p w14:paraId="066A2EB0">
      <w:pPr>
        <w:pStyle w:val="4"/>
        <w:keepNext w:val="0"/>
        <w:keepLines w:val="0"/>
        <w:pageBreakBefore w:val="0"/>
        <w:widowControl w:val="0"/>
        <w:kinsoku/>
        <w:wordWrap/>
        <w:overflowPunct/>
        <w:topLinePunct w:val="0"/>
        <w:autoSpaceDE/>
        <w:autoSpaceDN/>
        <w:bidi w:val="0"/>
        <w:adjustRightInd/>
        <w:snapToGrid/>
        <w:spacing w:before="120" w:after="0" w:line="400" w:lineRule="exact"/>
        <w:textAlignment w:val="auto"/>
        <w:rPr>
          <w:rFonts w:ascii="宋体" w:hAnsi="宋体" w:eastAsia="宋体" w:cs="宋体"/>
          <w:color w:val="auto"/>
          <w:highlight w:val="none"/>
        </w:rPr>
      </w:pPr>
      <w:bookmarkStart w:id="72" w:name="_Toc19253"/>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bookmarkEnd w:id="59"/>
      <w:bookmarkEnd w:id="60"/>
      <w:bookmarkEnd w:id="61"/>
      <w:bookmarkEnd w:id="62"/>
      <w:bookmarkEnd w:id="63"/>
      <w:bookmarkEnd w:id="64"/>
      <w:bookmarkEnd w:id="65"/>
      <w:bookmarkEnd w:id="67"/>
      <w:bookmarkEnd w:id="68"/>
      <w:bookmarkEnd w:id="69"/>
      <w:bookmarkEnd w:id="70"/>
      <w:bookmarkEnd w:id="71"/>
      <w:bookmarkEnd w:id="72"/>
    </w:p>
    <w:p w14:paraId="328DD2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bookmarkStart w:id="73" w:name="_Toc144974484"/>
      <w:bookmarkStart w:id="74" w:name="_Toc11329217"/>
      <w:bookmarkStart w:id="75" w:name="_Toc247085676"/>
      <w:bookmarkStart w:id="76" w:name="_Toc507319895"/>
      <w:bookmarkStart w:id="77" w:name="_Toc152045516"/>
      <w:bookmarkStart w:id="78" w:name="_Toc246996905"/>
      <w:bookmarkStart w:id="79" w:name="_Toc246996162"/>
      <w:bookmarkStart w:id="80" w:name="_Toc152042292"/>
      <w:bookmarkStart w:id="81" w:name="_Toc179632532"/>
      <w:r>
        <w:rPr>
          <w:rFonts w:ascii="宋体" w:hAnsi="宋体"/>
          <w:color w:val="auto"/>
          <w:szCs w:val="21"/>
          <w:highlight w:val="none"/>
        </w:rPr>
        <w:t>凡愿意参加的潜在</w:t>
      </w:r>
      <w:r>
        <w:rPr>
          <w:rFonts w:hint="eastAsia" w:ascii="宋体" w:hAnsi="宋体"/>
          <w:color w:val="auto"/>
          <w:szCs w:val="21"/>
          <w:highlight w:val="none"/>
        </w:rPr>
        <w:t>报价</w:t>
      </w:r>
      <w:r>
        <w:rPr>
          <w:rFonts w:ascii="宋体" w:hAnsi="宋体"/>
          <w:color w:val="auto"/>
          <w:szCs w:val="21"/>
          <w:highlight w:val="none"/>
        </w:rPr>
        <w:t>人，</w:t>
      </w:r>
      <w:r>
        <w:rPr>
          <w:rFonts w:hint="eastAsia" w:ascii="宋体" w:hAnsi="宋体"/>
          <w:color w:val="auto"/>
          <w:szCs w:val="21"/>
          <w:highlight w:val="none"/>
        </w:rPr>
        <w:t>在</w:t>
      </w:r>
      <w:r>
        <w:rPr>
          <w:rFonts w:hint="eastAsia" w:ascii="宋体" w:hAnsi="宋体" w:cs="宋体"/>
          <w:color w:val="auto"/>
          <w:szCs w:val="21"/>
          <w:highlight w:val="none"/>
        </w:rPr>
        <w:t>报价截止时间</w:t>
      </w:r>
      <w:r>
        <w:rPr>
          <w:rFonts w:hint="eastAsia" w:ascii="宋体" w:hAnsi="宋体"/>
          <w:color w:val="auto"/>
          <w:szCs w:val="21"/>
          <w:highlight w:val="none"/>
        </w:rPr>
        <w:t>前在重庆高速集团官网</w:t>
      </w:r>
      <w:r>
        <w:rPr>
          <w:rFonts w:hint="eastAsia" w:ascii="宋体" w:hAnsi="宋体"/>
          <w:color w:val="auto"/>
          <w:szCs w:val="21"/>
          <w:highlight w:val="none"/>
          <w:lang w:eastAsia="zh-CN"/>
        </w:rPr>
        <w:t>（http://www.cegc.com.cn/）</w:t>
      </w:r>
      <w:r>
        <w:rPr>
          <w:rFonts w:hint="eastAsia" w:ascii="宋体" w:hAnsi="宋体"/>
          <w:color w:val="auto"/>
          <w:szCs w:val="21"/>
          <w:highlight w:val="none"/>
        </w:rPr>
        <w:t>获取竞争性比选文件，各报价人应随时关注网上发布的竞争性比选文件答疑、补遗、澄清等文件内容，不管报价人是否下载，均视为已知晓竞争性比选文件的全部内容和有关事宜。</w:t>
      </w:r>
    </w:p>
    <w:p w14:paraId="05C22A2F">
      <w:pPr>
        <w:pStyle w:val="4"/>
        <w:keepNext w:val="0"/>
        <w:keepLines w:val="0"/>
        <w:pageBreakBefore w:val="0"/>
        <w:widowControl w:val="0"/>
        <w:kinsoku/>
        <w:wordWrap/>
        <w:overflowPunct/>
        <w:topLinePunct w:val="0"/>
        <w:autoSpaceDE/>
        <w:autoSpaceDN/>
        <w:bidi w:val="0"/>
        <w:adjustRightInd/>
        <w:snapToGrid/>
        <w:spacing w:before="120" w:after="0" w:line="400" w:lineRule="exact"/>
        <w:textAlignment w:val="auto"/>
        <w:rPr>
          <w:rFonts w:ascii="宋体" w:hAnsi="宋体" w:eastAsia="宋体" w:cs="宋体"/>
          <w:color w:val="auto"/>
          <w:highlight w:val="none"/>
        </w:rPr>
      </w:pPr>
      <w:bookmarkStart w:id="82" w:name="_Toc23205"/>
      <w:bookmarkStart w:id="83" w:name="_Toc16686"/>
      <w:bookmarkStart w:id="84" w:name="_Toc9131"/>
      <w:bookmarkStart w:id="85" w:name="_Toc31493"/>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w:t>
      </w:r>
      <w:bookmarkEnd w:id="73"/>
      <w:bookmarkEnd w:id="74"/>
      <w:bookmarkEnd w:id="75"/>
      <w:bookmarkEnd w:id="76"/>
      <w:bookmarkEnd w:id="77"/>
      <w:bookmarkEnd w:id="78"/>
      <w:bookmarkEnd w:id="79"/>
      <w:bookmarkEnd w:id="80"/>
      <w:bookmarkEnd w:id="81"/>
      <w:r>
        <w:rPr>
          <w:rFonts w:hint="eastAsia" w:ascii="宋体" w:hAnsi="宋体" w:eastAsia="宋体" w:cs="宋体"/>
          <w:color w:val="auto"/>
          <w:highlight w:val="none"/>
        </w:rPr>
        <w:t>及相关事宜</w:t>
      </w:r>
      <w:bookmarkEnd w:id="82"/>
      <w:bookmarkEnd w:id="83"/>
      <w:bookmarkEnd w:id="84"/>
      <w:bookmarkEnd w:id="85"/>
    </w:p>
    <w:p w14:paraId="5A4A38C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shd w:val="clear" w:color="auto" w:fill="FFFFFF"/>
        </w:rPr>
        <w:t>上午1</w:t>
      </w:r>
      <w:r>
        <w:rPr>
          <w:rFonts w:hint="eastAsia" w:ascii="宋体" w:hAnsi="宋体" w:cs="宋体"/>
          <w:color w:val="auto"/>
          <w:szCs w:val="21"/>
          <w:highlight w:val="none"/>
          <w:shd w:val="clear" w:color="auto" w:fill="FFFFFF"/>
          <w:lang w:val="en-US" w:eastAsia="zh-CN"/>
        </w:rPr>
        <w:t>1</w:t>
      </w:r>
      <w:r>
        <w:rPr>
          <w:rFonts w:hint="eastAsia" w:ascii="宋体" w:hAnsi="宋体" w:cs="宋体"/>
          <w:color w:val="auto"/>
          <w:szCs w:val="21"/>
          <w:highlight w:val="none"/>
          <w:shd w:val="clear" w:color="auto" w:fill="FFFFFF"/>
        </w:rPr>
        <w:t>时</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0分</w:t>
      </w:r>
      <w:r>
        <w:rPr>
          <w:rFonts w:hint="eastAsia" w:ascii="宋体" w:hAnsi="宋体" w:cs="宋体"/>
          <w:color w:val="auto"/>
          <w:szCs w:val="21"/>
          <w:highlight w:val="none"/>
        </w:rPr>
        <w:t>（北京时间）。</w:t>
      </w:r>
    </w:p>
    <w:p w14:paraId="1F21BBB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.2开标时间：</w:t>
      </w:r>
      <w:r>
        <w:rPr>
          <w:rFonts w:hint="eastAsia" w:ascii="宋体" w:hAnsi="宋体" w:cs="宋体"/>
          <w:color w:val="auto"/>
          <w:szCs w:val="21"/>
          <w:highlight w:val="none"/>
          <w:lang w:val="en-US" w:eastAsia="zh-CN"/>
        </w:rPr>
        <w:t>同</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p>
    <w:p w14:paraId="7A6FE50F">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.3投标文件递交地点：</w:t>
      </w:r>
      <w:bookmarkStart w:id="86" w:name="_Hlk535257540"/>
      <w:r>
        <w:rPr>
          <w:rFonts w:hint="eastAsia" w:ascii="宋体" w:hAnsi="宋体" w:cs="宋体"/>
          <w:color w:val="auto"/>
          <w:szCs w:val="21"/>
          <w:highlight w:val="none"/>
        </w:rPr>
        <w:t>重庆市渝北区龙溪街道新南路52号</w:t>
      </w:r>
      <w:r>
        <w:rPr>
          <w:rFonts w:hint="eastAsia" w:ascii="宋体" w:hAnsi="宋体" w:cs="宋体"/>
          <w:color w:val="auto"/>
          <w:szCs w:val="21"/>
          <w:highlight w:val="none"/>
          <w:lang w:val="en-US" w:eastAsia="zh-CN"/>
        </w:rPr>
        <w:t>1楼</w:t>
      </w:r>
      <w:r>
        <w:rPr>
          <w:rFonts w:hint="eastAsia" w:ascii="宋体" w:hAnsi="宋体" w:cs="宋体"/>
          <w:color w:val="auto"/>
          <w:szCs w:val="21"/>
          <w:highlight w:val="none"/>
        </w:rPr>
        <w:t>（重庆首讯科技股份有限公司）。</w:t>
      </w:r>
      <w:bookmarkEnd w:id="86"/>
    </w:p>
    <w:p w14:paraId="5526C703">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采购人不组织现场踏勘，不召开报价预备会。</w:t>
      </w:r>
    </w:p>
    <w:p w14:paraId="3802D3D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逾期送达</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或未送达指定地点</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w:t>
      </w:r>
      <w:r>
        <w:rPr>
          <w:rFonts w:hint="eastAsia" w:ascii="宋体" w:hAnsi="宋体" w:cs="宋体"/>
          <w:color w:val="auto"/>
          <w:szCs w:val="21"/>
          <w:highlight w:val="none"/>
          <w:lang w:val="en-US" w:eastAsia="zh-CN"/>
        </w:rPr>
        <w:t>按要求</w:t>
      </w:r>
      <w:r>
        <w:rPr>
          <w:rFonts w:hint="eastAsia" w:ascii="宋体" w:hAnsi="宋体" w:cs="宋体"/>
          <w:color w:val="auto"/>
          <w:szCs w:val="21"/>
          <w:highlight w:val="none"/>
        </w:rPr>
        <w:t>密封的竞争性比选响应文件，采购人不予受理。</w:t>
      </w:r>
    </w:p>
    <w:p w14:paraId="4540FB0A">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递交方式：现场递交或邮寄，若采用现场递交方式需在竞争性比选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将竞争性比选响应文件送达并参与现场开标；若采用邮寄方式</w:t>
      </w:r>
      <w:r>
        <w:rPr>
          <w:rFonts w:hint="eastAsia" w:ascii="宋体" w:hAnsi="宋体" w:cs="宋体"/>
          <w:color w:val="auto"/>
          <w:szCs w:val="21"/>
          <w:highlight w:val="none"/>
          <w:lang w:val="en-US" w:eastAsia="zh-CN"/>
        </w:rPr>
        <w:t>的</w:t>
      </w:r>
      <w:bookmarkStart w:id="238" w:name="_GoBack"/>
      <w:bookmarkEnd w:id="238"/>
      <w:r>
        <w:rPr>
          <w:rFonts w:hint="eastAsia" w:ascii="宋体" w:hAnsi="宋体" w:cs="宋体"/>
          <w:color w:val="auto"/>
          <w:szCs w:val="21"/>
          <w:highlight w:val="none"/>
        </w:rPr>
        <w:t>需</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通过</w:t>
      </w:r>
      <w:r>
        <w:rPr>
          <w:rFonts w:hint="eastAsia" w:ascii="宋体" w:hAnsi="宋体" w:cs="宋体"/>
          <w:color w:val="auto"/>
          <w:szCs w:val="21"/>
          <w:highlight w:val="none"/>
        </w:rPr>
        <w:t>顺丰等快递公司</w:t>
      </w:r>
      <w:r>
        <w:rPr>
          <w:rFonts w:hint="eastAsia" w:ascii="宋体" w:hAnsi="宋体" w:cs="宋体"/>
          <w:color w:val="auto"/>
          <w:szCs w:val="21"/>
          <w:highlight w:val="none"/>
          <w:lang w:val="en-US" w:eastAsia="zh-CN"/>
        </w:rPr>
        <w:t>将</w:t>
      </w:r>
      <w:r>
        <w:rPr>
          <w:rFonts w:hint="eastAsia" w:ascii="宋体" w:hAnsi="宋体" w:cs="宋体"/>
          <w:color w:val="auto"/>
          <w:szCs w:val="21"/>
          <w:highlight w:val="none"/>
        </w:rPr>
        <w:t>竞争性比选响应文件邮寄至重庆首讯科技股份有限公司（重庆市渝北区龙溪街道新南路52号东界龙湖三楼），否则采购人有权拒收，采用邮寄方式的报价人默认认可采购人的开标结果，不得由此提出任何质疑。</w:t>
      </w:r>
    </w:p>
    <w:p w14:paraId="68EB9548">
      <w:pPr>
        <w:pStyle w:val="4"/>
        <w:spacing w:before="120" w:after="0" w:line="400" w:lineRule="exact"/>
        <w:rPr>
          <w:rFonts w:ascii="宋体" w:hAnsi="宋体" w:eastAsia="宋体" w:cs="宋体"/>
          <w:color w:val="auto"/>
          <w:highlight w:val="none"/>
        </w:rPr>
      </w:pPr>
      <w:bookmarkStart w:id="87" w:name="_Toc152045517"/>
      <w:bookmarkStart w:id="88" w:name="_Toc18402"/>
      <w:bookmarkStart w:id="89" w:name="_Toc507319897"/>
      <w:bookmarkStart w:id="90" w:name="_Toc247085678"/>
      <w:bookmarkStart w:id="91" w:name="_Toc246996164"/>
      <w:bookmarkStart w:id="92" w:name="_Toc21615"/>
      <w:bookmarkStart w:id="93" w:name="_Toc152042293"/>
      <w:bookmarkStart w:id="94" w:name="_Toc11329219"/>
      <w:bookmarkStart w:id="95" w:name="_Toc179632534"/>
      <w:bookmarkStart w:id="96" w:name="_Toc14412"/>
      <w:bookmarkStart w:id="97" w:name="_Toc144974485"/>
      <w:bookmarkStart w:id="98" w:name="_Toc246996907"/>
      <w:bookmarkStart w:id="99" w:name="_Toc393"/>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bookmarkEnd w:id="87"/>
      <w:bookmarkEnd w:id="88"/>
      <w:bookmarkEnd w:id="89"/>
      <w:bookmarkEnd w:id="90"/>
      <w:bookmarkEnd w:id="91"/>
      <w:bookmarkEnd w:id="92"/>
      <w:bookmarkEnd w:id="93"/>
      <w:bookmarkEnd w:id="94"/>
      <w:bookmarkEnd w:id="95"/>
      <w:bookmarkEnd w:id="96"/>
      <w:bookmarkEnd w:id="97"/>
      <w:bookmarkEnd w:id="98"/>
      <w:bookmarkEnd w:id="99"/>
    </w:p>
    <w:tbl>
      <w:tblPr>
        <w:tblStyle w:val="43"/>
        <w:tblW w:w="9709" w:type="dxa"/>
        <w:tblInd w:w="0" w:type="dxa"/>
        <w:tblLayout w:type="fixed"/>
        <w:tblCellMar>
          <w:top w:w="0" w:type="dxa"/>
          <w:left w:w="108" w:type="dxa"/>
          <w:bottom w:w="0" w:type="dxa"/>
          <w:right w:w="108" w:type="dxa"/>
        </w:tblCellMar>
      </w:tblPr>
      <w:tblGrid>
        <w:gridCol w:w="9709"/>
      </w:tblGrid>
      <w:tr w14:paraId="411A00A3">
        <w:tblPrEx>
          <w:tblCellMar>
            <w:top w:w="0" w:type="dxa"/>
            <w:left w:w="108" w:type="dxa"/>
            <w:bottom w:w="0" w:type="dxa"/>
            <w:right w:w="108" w:type="dxa"/>
          </w:tblCellMar>
        </w:tblPrEx>
        <w:trPr>
          <w:trHeight w:val="520" w:hRule="atLeast"/>
        </w:trPr>
        <w:tc>
          <w:tcPr>
            <w:tcW w:w="9709" w:type="dxa"/>
            <w:vAlign w:val="center"/>
          </w:tcPr>
          <w:p w14:paraId="30CAE584">
            <w:pPr>
              <w:pStyle w:val="103"/>
              <w:keepNext w:val="0"/>
              <w:keepLines w:val="0"/>
              <w:suppressLineNumbers w:val="0"/>
              <w:spacing w:before="0" w:beforeAutospacing="0" w:after="0" w:afterAutospacing="0" w:line="400" w:lineRule="exact"/>
              <w:ind w:left="0" w:right="0" w:firstLine="420" w:firstLineChars="200"/>
              <w:jc w:val="both"/>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r>
      <w:tr w14:paraId="41B5705D">
        <w:tblPrEx>
          <w:tblCellMar>
            <w:top w:w="0" w:type="dxa"/>
            <w:left w:w="108" w:type="dxa"/>
            <w:bottom w:w="0" w:type="dxa"/>
            <w:right w:w="108" w:type="dxa"/>
          </w:tblCellMar>
        </w:tblPrEx>
        <w:trPr>
          <w:trHeight w:val="510" w:hRule="atLeast"/>
        </w:trPr>
        <w:tc>
          <w:tcPr>
            <w:tcW w:w="9709" w:type="dxa"/>
            <w:vAlign w:val="center"/>
          </w:tcPr>
          <w:p w14:paraId="1D9744A9">
            <w:pPr>
              <w:keepNext w:val="0"/>
              <w:keepLines w:val="0"/>
              <w:suppressLineNumbers w:val="0"/>
              <w:topLinePunct/>
              <w:spacing w:before="0" w:beforeAutospacing="0" w:after="0" w:afterAutospacing="0" w:line="400" w:lineRule="exact"/>
              <w:ind w:left="1050" w:leftChars="200" w:right="0" w:hanging="630" w:hangingChars="300"/>
              <w:rPr>
                <w:rFonts w:hint="default" w:ascii="宋体" w:hAnsi="宋体" w:cs="宋体"/>
                <w:color w:val="auto"/>
                <w:szCs w:val="21"/>
                <w:highlight w:val="none"/>
              </w:rPr>
            </w:pPr>
            <w:r>
              <w:rPr>
                <w:rFonts w:hint="eastAsia" w:ascii="宋体" w:hAnsi="宋体" w:cs="宋体"/>
                <w:color w:val="auto"/>
                <w:szCs w:val="21"/>
                <w:highlight w:val="none"/>
              </w:rPr>
              <w:t>地址：重庆市渝北区新南路52号东界龙湖三楼</w:t>
            </w:r>
          </w:p>
        </w:tc>
      </w:tr>
      <w:tr w14:paraId="08638AB4">
        <w:tblPrEx>
          <w:tblCellMar>
            <w:top w:w="0" w:type="dxa"/>
            <w:left w:w="108" w:type="dxa"/>
            <w:bottom w:w="0" w:type="dxa"/>
            <w:right w:w="108" w:type="dxa"/>
          </w:tblCellMar>
        </w:tblPrEx>
        <w:trPr>
          <w:trHeight w:val="448" w:hRule="atLeast"/>
        </w:trPr>
        <w:tc>
          <w:tcPr>
            <w:tcW w:w="9709" w:type="dxa"/>
            <w:vAlign w:val="center"/>
          </w:tcPr>
          <w:p w14:paraId="290253AC">
            <w:pPr>
              <w:keepNext w:val="0"/>
              <w:keepLines w:val="0"/>
              <w:suppressLineNumbers w:val="0"/>
              <w:topLinePunct/>
              <w:spacing w:before="0" w:beforeAutospacing="0" w:after="0" w:afterAutospacing="0" w:line="400" w:lineRule="exact"/>
              <w:ind w:left="0" w:right="0" w:firstLine="420" w:firstLineChars="200"/>
              <w:rPr>
                <w:rFonts w:hint="default" w:eastAsia="宋体"/>
                <w:color w:val="auto"/>
                <w:highlight w:val="none"/>
                <w:lang w:val="en-US" w:eastAsia="zh-CN"/>
              </w:rPr>
            </w:pPr>
            <w:r>
              <w:rPr>
                <w:rFonts w:hint="eastAsia" w:ascii="宋体" w:hAnsi="宋体" w:cs="宋体"/>
                <w:color w:val="auto"/>
                <w:szCs w:val="21"/>
                <w:highlight w:val="none"/>
              </w:rPr>
              <w:t xml:space="preserve">项目技术联系人：田老师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电 话：15310912351</w:t>
            </w:r>
          </w:p>
        </w:tc>
      </w:tr>
      <w:tr w14:paraId="062BD539">
        <w:tblPrEx>
          <w:tblCellMar>
            <w:top w:w="0" w:type="dxa"/>
            <w:left w:w="108" w:type="dxa"/>
            <w:bottom w:w="0" w:type="dxa"/>
            <w:right w:w="108" w:type="dxa"/>
          </w:tblCellMar>
        </w:tblPrEx>
        <w:trPr>
          <w:trHeight w:val="448" w:hRule="atLeast"/>
        </w:trPr>
        <w:tc>
          <w:tcPr>
            <w:tcW w:w="9709" w:type="dxa"/>
            <w:vAlign w:val="center"/>
          </w:tcPr>
          <w:p w14:paraId="4B08A858">
            <w:pPr>
              <w:keepNext w:val="0"/>
              <w:keepLines w:val="0"/>
              <w:suppressLineNumbers w:val="0"/>
              <w:topLinePunct/>
              <w:spacing w:before="0" w:beforeAutospacing="0" w:after="0" w:afterAutospacing="0" w:line="420" w:lineRule="exact"/>
              <w:ind w:left="0" w:right="0"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项目商务联系人：</w:t>
            </w:r>
            <w:r>
              <w:rPr>
                <w:rFonts w:hint="eastAsia" w:ascii="宋体" w:hAnsi="宋体" w:cs="宋体"/>
                <w:color w:val="auto"/>
                <w:szCs w:val="21"/>
                <w:highlight w:val="none"/>
                <w:lang w:val="en-US" w:eastAsia="zh-CN"/>
              </w:rPr>
              <w:t>余</w:t>
            </w:r>
            <w:r>
              <w:rPr>
                <w:rFonts w:hint="eastAsia" w:ascii="宋体" w:hAnsi="宋体" w:cs="宋体"/>
                <w:color w:val="auto"/>
                <w:szCs w:val="21"/>
                <w:highlight w:val="none"/>
              </w:rPr>
              <w:t>老师        电 话：</w:t>
            </w:r>
            <w:r>
              <w:rPr>
                <w:rFonts w:hint="eastAsia" w:ascii="宋体" w:hAnsi="宋体" w:cs="宋体"/>
                <w:color w:val="auto"/>
                <w:szCs w:val="21"/>
                <w:highlight w:val="none"/>
                <w:lang w:val="en-US" w:eastAsia="zh-CN"/>
              </w:rPr>
              <w:t>13101153601</w:t>
            </w:r>
          </w:p>
        </w:tc>
      </w:tr>
    </w:tbl>
    <w:p w14:paraId="594BD840">
      <w:pPr>
        <w:rPr>
          <w:color w:val="auto"/>
          <w:highlight w:val="none"/>
        </w:rPr>
      </w:pPr>
    </w:p>
    <w:p w14:paraId="0AB50DE8">
      <w:pPr>
        <w:pStyle w:val="28"/>
        <w:rPr>
          <w:color w:val="auto"/>
          <w:highlight w:val="none"/>
        </w:rPr>
      </w:pPr>
    </w:p>
    <w:p w14:paraId="6C37184B">
      <w:pPr>
        <w:rPr>
          <w:color w:val="auto"/>
          <w:highlight w:val="none"/>
        </w:rPr>
      </w:pPr>
    </w:p>
    <w:p w14:paraId="18ABF154">
      <w:pPr>
        <w:pStyle w:val="28"/>
        <w:rPr>
          <w:color w:val="auto"/>
          <w:highlight w:val="none"/>
        </w:rPr>
      </w:pPr>
    </w:p>
    <w:p w14:paraId="1755F591">
      <w:pPr>
        <w:pStyle w:val="28"/>
        <w:rPr>
          <w:color w:val="auto"/>
          <w:highlight w:val="none"/>
        </w:rPr>
      </w:pPr>
    </w:p>
    <w:bookmarkEnd w:id="16"/>
    <w:bookmarkEnd w:id="17"/>
    <w:p w14:paraId="57BA6B2E">
      <w:pPr>
        <w:pStyle w:val="3"/>
        <w:spacing w:before="0" w:after="0" w:line="360" w:lineRule="auto"/>
        <w:jc w:val="center"/>
        <w:rPr>
          <w:rFonts w:ascii="宋体" w:hAnsi="宋体" w:cs="宋体"/>
          <w:color w:val="auto"/>
          <w:highlight w:val="none"/>
        </w:rPr>
      </w:pPr>
      <w:bookmarkStart w:id="100" w:name="_Toc144974495"/>
      <w:bookmarkStart w:id="101" w:name="_Toc246996173"/>
      <w:bookmarkStart w:id="102" w:name="_Toc152042303"/>
      <w:bookmarkStart w:id="103" w:name="_Toc246996916"/>
      <w:bookmarkStart w:id="104" w:name="_Toc152045527"/>
      <w:bookmarkStart w:id="105" w:name="_Toc247085687"/>
      <w:bookmarkStart w:id="106" w:name="_Toc179632544"/>
      <w:bookmarkStart w:id="107" w:name="_Toc2000405"/>
      <w:bookmarkStart w:id="108" w:name="_Toc507319898"/>
      <w:r>
        <w:rPr>
          <w:rFonts w:hint="eastAsia" w:ascii="宋体" w:hAnsi="宋体" w:cs="宋体"/>
          <w:color w:val="auto"/>
          <w:highlight w:val="none"/>
        </w:rPr>
        <w:br w:type="page"/>
      </w:r>
      <w:bookmarkStart w:id="109" w:name="_Toc28068"/>
      <w:r>
        <w:rPr>
          <w:rFonts w:hint="eastAsia" w:ascii="宋体" w:hAnsi="宋体" w:cs="宋体"/>
          <w:color w:val="auto"/>
          <w:highlight w:val="none"/>
        </w:rPr>
        <w:t>第二章 报价人须知</w:t>
      </w:r>
      <w:bookmarkEnd w:id="100"/>
      <w:bookmarkEnd w:id="101"/>
      <w:bookmarkEnd w:id="102"/>
      <w:bookmarkEnd w:id="103"/>
      <w:bookmarkEnd w:id="104"/>
      <w:bookmarkEnd w:id="105"/>
      <w:bookmarkEnd w:id="106"/>
      <w:bookmarkEnd w:id="107"/>
      <w:bookmarkEnd w:id="108"/>
      <w:bookmarkEnd w:id="109"/>
    </w:p>
    <w:tbl>
      <w:tblPr>
        <w:tblStyle w:val="43"/>
        <w:tblpPr w:leftFromText="180" w:rightFromText="180" w:vertAnchor="text" w:horzAnchor="page" w:tblpX="1102" w:tblpY="302"/>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14:paraId="08F00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97" w:type="dxa"/>
            <w:vAlign w:val="center"/>
          </w:tcPr>
          <w:p w14:paraId="14718AA6">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b/>
                <w:color w:val="auto"/>
                <w:kern w:val="0"/>
                <w:szCs w:val="21"/>
                <w:highlight w:val="none"/>
              </w:rPr>
            </w:pPr>
            <w:bookmarkStart w:id="110" w:name="_Toc326760840"/>
            <w:r>
              <w:rPr>
                <w:rFonts w:hint="eastAsia" w:ascii="宋体" w:hAnsi="宋体" w:cs="宋体"/>
                <w:b/>
                <w:color w:val="auto"/>
                <w:kern w:val="0"/>
                <w:szCs w:val="21"/>
                <w:highlight w:val="none"/>
              </w:rPr>
              <w:t>序号</w:t>
            </w:r>
          </w:p>
        </w:tc>
        <w:tc>
          <w:tcPr>
            <w:tcW w:w="2106" w:type="dxa"/>
            <w:vAlign w:val="center"/>
          </w:tcPr>
          <w:p w14:paraId="597C2C67">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04" w:type="dxa"/>
            <w:vAlign w:val="center"/>
          </w:tcPr>
          <w:p w14:paraId="70A0F998">
            <w:pPr>
              <w:keepNext w:val="0"/>
              <w:keepLines w:val="0"/>
              <w:pageBreakBefore w:val="0"/>
              <w:widowControl w:val="0"/>
              <w:suppressLineNumbers w:val="0"/>
              <w:kinsoku/>
              <w:wordWrap/>
              <w:overflowPunct/>
              <w:bidi w:val="0"/>
              <w:spacing w:before="0" w:beforeAutospacing="0" w:after="0" w:afterAutospacing="0" w:line="400" w:lineRule="exact"/>
              <w:ind w:left="0" w:right="0" w:firstLine="422" w:firstLineChars="200"/>
              <w:jc w:val="center"/>
              <w:textAlignment w:val="auto"/>
              <w:rPr>
                <w:rFonts w:hint="default"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14:paraId="0641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1210FFDD">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1</w:t>
            </w:r>
          </w:p>
        </w:tc>
        <w:tc>
          <w:tcPr>
            <w:tcW w:w="2106" w:type="dxa"/>
            <w:vAlign w:val="center"/>
          </w:tcPr>
          <w:p w14:paraId="76DD3E0C">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7104" w:type="dxa"/>
            <w:vAlign w:val="center"/>
          </w:tcPr>
          <w:p w14:paraId="50D40C6A">
            <w:pPr>
              <w:keepNext w:val="0"/>
              <w:keepLines w:val="0"/>
              <w:pageBreakBefore w:val="0"/>
              <w:suppressLineNumbers w:val="0"/>
              <w:kinsoku/>
              <w:wordWrap/>
              <w:overflowPunct/>
              <w:bidi w:val="0"/>
              <w:spacing w:before="0" w:beforeAutospacing="0" w:after="0" w:afterAutospacing="0" w:line="36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采购人：重庆首讯科技股份有限公司</w:t>
            </w:r>
          </w:p>
          <w:p w14:paraId="564738C9">
            <w:pPr>
              <w:keepNext w:val="0"/>
              <w:keepLines w:val="0"/>
              <w:pageBreakBefore w:val="0"/>
              <w:suppressLineNumbers w:val="0"/>
              <w:kinsoku/>
              <w:wordWrap/>
              <w:overflowPunct/>
              <w:bidi w:val="0"/>
              <w:spacing w:before="0" w:beforeAutospacing="0" w:after="0" w:afterAutospacing="0" w:line="36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址：重庆市渝北区新南路52号东界龙湖三楼</w:t>
            </w:r>
          </w:p>
          <w:p w14:paraId="11242BA5">
            <w:pPr>
              <w:keepNext w:val="0"/>
              <w:keepLines w:val="0"/>
              <w:pageBreakBefore w:val="0"/>
              <w:suppressLineNumbers w:val="0"/>
              <w:kinsoku/>
              <w:wordWrap/>
              <w:overflowPunct/>
              <w:bidi w:val="0"/>
              <w:spacing w:before="0" w:beforeAutospacing="0" w:after="0" w:afterAutospacing="0" w:line="36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cs="宋体"/>
                <w:color w:val="auto"/>
                <w:szCs w:val="21"/>
                <w:highlight w:val="none"/>
                <w:lang w:val="en-US" w:eastAsia="zh-CN"/>
              </w:rPr>
              <w:t>余</w:t>
            </w:r>
            <w:r>
              <w:rPr>
                <w:rFonts w:hint="eastAsia" w:ascii="宋体" w:hAnsi="宋体" w:cs="宋体"/>
                <w:color w:val="auto"/>
                <w:szCs w:val="21"/>
                <w:highlight w:val="none"/>
              </w:rPr>
              <w:t>老师</w:t>
            </w:r>
          </w:p>
          <w:p w14:paraId="2A4C1279">
            <w:pPr>
              <w:keepNext w:val="0"/>
              <w:keepLines w:val="0"/>
              <w:pageBreakBefore w:val="0"/>
              <w:widowControl w:val="0"/>
              <w:suppressLineNumbers w:val="0"/>
              <w:kinsoku/>
              <w:wordWrap/>
              <w:overflowPunct/>
              <w:topLinePunct/>
              <w:bidi w:val="0"/>
              <w:spacing w:before="0" w:beforeAutospacing="0" w:after="0" w:afterAutospacing="0" w:line="400" w:lineRule="exact"/>
              <w:ind w:left="0" w:right="0" w:firstLine="420" w:firstLineChars="200"/>
              <w:textAlignment w:val="auto"/>
              <w:rPr>
                <w:rFonts w:hint="default" w:eastAsia="宋体"/>
                <w:color w:val="auto"/>
                <w:highlight w:val="none"/>
                <w:lang w:val="en-US" w:eastAsia="zh-CN"/>
              </w:rPr>
            </w:pPr>
            <w:r>
              <w:rPr>
                <w:rFonts w:hint="eastAsia" w:ascii="宋体" w:hAnsi="宋体" w:eastAsia="宋体" w:cs="宋体"/>
                <w:color w:val="auto"/>
                <w:sz w:val="21"/>
                <w:szCs w:val="21"/>
                <w:highlight w:val="none"/>
              </w:rPr>
              <w:t>电  话：</w:t>
            </w:r>
            <w:r>
              <w:rPr>
                <w:rFonts w:hint="eastAsia" w:ascii="宋体" w:hAnsi="宋体" w:cs="宋体"/>
                <w:color w:val="auto"/>
                <w:szCs w:val="21"/>
                <w:highlight w:val="none"/>
                <w:lang w:val="en-US" w:eastAsia="zh-CN"/>
              </w:rPr>
              <w:t>13101153601</w:t>
            </w:r>
          </w:p>
        </w:tc>
      </w:tr>
      <w:tr w14:paraId="3532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2A1F5499">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2</w:t>
            </w:r>
          </w:p>
        </w:tc>
        <w:tc>
          <w:tcPr>
            <w:tcW w:w="2106" w:type="dxa"/>
            <w:vAlign w:val="center"/>
          </w:tcPr>
          <w:p w14:paraId="777C66B7">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04" w:type="dxa"/>
            <w:vAlign w:val="center"/>
          </w:tcPr>
          <w:p w14:paraId="7EE09C5A">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档案管理系统开发服务采购</w:t>
            </w:r>
          </w:p>
        </w:tc>
      </w:tr>
      <w:tr w14:paraId="4ADC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7D7F672">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3</w:t>
            </w:r>
          </w:p>
        </w:tc>
        <w:tc>
          <w:tcPr>
            <w:tcW w:w="2106" w:type="dxa"/>
            <w:vAlign w:val="center"/>
          </w:tcPr>
          <w:p w14:paraId="4FF5C3F6">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highlight w:val="none"/>
                <w:lang w:val="en-US" w:eastAsia="zh-CN"/>
              </w:rPr>
              <w:t>项目地点</w:t>
            </w:r>
          </w:p>
        </w:tc>
        <w:tc>
          <w:tcPr>
            <w:tcW w:w="7104" w:type="dxa"/>
            <w:vAlign w:val="center"/>
          </w:tcPr>
          <w:p w14:paraId="3A37CEDF">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jc w:val="both"/>
              <w:textAlignment w:val="auto"/>
              <w:rPr>
                <w:rFonts w:hint="default" w:ascii="宋体" w:hAnsi="宋体" w:cs="宋体"/>
                <w:color w:val="auto"/>
                <w:szCs w:val="21"/>
                <w:highlight w:val="none"/>
              </w:rPr>
            </w:pPr>
            <w:r>
              <w:rPr>
                <w:rFonts w:hint="eastAsia" w:ascii="宋体" w:hAnsi="宋体" w:cs="宋体"/>
                <w:color w:val="auto"/>
                <w:szCs w:val="21"/>
                <w:highlight w:val="none"/>
              </w:rPr>
              <w:t>见比选公告</w:t>
            </w:r>
          </w:p>
        </w:tc>
      </w:tr>
      <w:tr w14:paraId="7BCD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DA7AC9D">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4</w:t>
            </w:r>
          </w:p>
        </w:tc>
        <w:tc>
          <w:tcPr>
            <w:tcW w:w="2106" w:type="dxa"/>
            <w:vAlign w:val="center"/>
          </w:tcPr>
          <w:p w14:paraId="205A8159">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highlight w:val="none"/>
              </w:rPr>
              <w:t>项目规模</w:t>
            </w:r>
          </w:p>
        </w:tc>
        <w:tc>
          <w:tcPr>
            <w:tcW w:w="7104" w:type="dxa"/>
            <w:vAlign w:val="center"/>
          </w:tcPr>
          <w:p w14:paraId="4B60B45A">
            <w:pPr>
              <w:keepNext w:val="0"/>
              <w:keepLines w:val="0"/>
              <w:pageBreakBefore w:val="0"/>
              <w:widowControl w:val="0"/>
              <w:suppressLineNumbers w:val="0"/>
              <w:tabs>
                <w:tab w:val="left" w:pos="3000"/>
                <w:tab w:val="left" w:pos="3280"/>
                <w:tab w:val="left" w:pos="6120"/>
                <w:tab w:val="left" w:pos="7540"/>
                <w:tab w:val="left" w:pos="8320"/>
              </w:tabs>
              <w:kinsoku/>
              <w:wordWrap/>
              <w:overflowPunct/>
              <w:autoSpaceDE w:val="0"/>
              <w:autoSpaceDN w:val="0"/>
              <w:bidi w:val="0"/>
              <w:adjustRightInd w:val="0"/>
              <w:spacing w:before="0" w:beforeAutospacing="0" w:after="0" w:afterAutospacing="0" w:line="400" w:lineRule="exact"/>
              <w:ind w:left="0" w:right="0" w:firstLine="420" w:firstLineChars="200"/>
              <w:jc w:val="both"/>
              <w:textAlignment w:val="auto"/>
              <w:rPr>
                <w:rFonts w:hint="default" w:ascii="宋体" w:hAnsi="宋体" w:cs="宋体"/>
                <w:color w:val="auto"/>
                <w:szCs w:val="21"/>
                <w:highlight w:val="none"/>
              </w:rPr>
            </w:pPr>
            <w:r>
              <w:rPr>
                <w:rFonts w:hint="eastAsia" w:ascii="宋体" w:hAnsi="宋体" w:cs="宋体"/>
                <w:color w:val="auto"/>
                <w:kern w:val="0"/>
                <w:szCs w:val="21"/>
                <w:highlight w:val="none"/>
              </w:rPr>
              <w:t>见比选公告</w:t>
            </w:r>
          </w:p>
        </w:tc>
      </w:tr>
      <w:tr w14:paraId="79E3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B8E5A84">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5</w:t>
            </w:r>
          </w:p>
        </w:tc>
        <w:tc>
          <w:tcPr>
            <w:tcW w:w="2106" w:type="dxa"/>
            <w:vAlign w:val="center"/>
          </w:tcPr>
          <w:p w14:paraId="06B1B79A">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highlight w:val="none"/>
                <w:lang w:val="en-US" w:eastAsia="zh-CN"/>
              </w:rPr>
              <w:t>比选范围</w:t>
            </w:r>
          </w:p>
        </w:tc>
        <w:tc>
          <w:tcPr>
            <w:tcW w:w="7104" w:type="dxa"/>
            <w:vAlign w:val="center"/>
          </w:tcPr>
          <w:p w14:paraId="2DD78199">
            <w:pPr>
              <w:keepNext w:val="0"/>
              <w:keepLines w:val="0"/>
              <w:pageBreakBefore w:val="0"/>
              <w:widowControl w:val="0"/>
              <w:suppressLineNumbers w:val="0"/>
              <w:tabs>
                <w:tab w:val="left" w:pos="3000"/>
                <w:tab w:val="left" w:pos="3280"/>
                <w:tab w:val="left" w:pos="6120"/>
                <w:tab w:val="left" w:pos="7540"/>
                <w:tab w:val="left" w:pos="8320"/>
              </w:tabs>
              <w:kinsoku/>
              <w:wordWrap/>
              <w:overflowPunct/>
              <w:autoSpaceDE w:val="0"/>
              <w:autoSpaceDN w:val="0"/>
              <w:bidi w:val="0"/>
              <w:adjustRightInd w:val="0"/>
              <w:spacing w:before="0" w:beforeAutospacing="0" w:after="0" w:afterAutospacing="0" w:line="400" w:lineRule="exact"/>
              <w:ind w:left="0" w:right="0" w:firstLine="420" w:firstLineChars="200"/>
              <w:jc w:val="both"/>
              <w:textAlignment w:val="auto"/>
              <w:rPr>
                <w:rFonts w:hint="default" w:ascii="宋体" w:hAnsi="宋体" w:cs="宋体"/>
                <w:color w:val="auto"/>
                <w:kern w:val="10"/>
                <w:szCs w:val="21"/>
                <w:highlight w:val="none"/>
              </w:rPr>
            </w:pPr>
            <w:r>
              <w:rPr>
                <w:rFonts w:hint="eastAsia" w:ascii="宋体" w:hAnsi="宋体" w:cs="宋体"/>
                <w:color w:val="auto"/>
                <w:kern w:val="0"/>
                <w:szCs w:val="21"/>
                <w:highlight w:val="none"/>
              </w:rPr>
              <w:t>见比选公告</w:t>
            </w:r>
          </w:p>
        </w:tc>
      </w:tr>
      <w:tr w14:paraId="1E78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0076F74">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6</w:t>
            </w:r>
          </w:p>
        </w:tc>
        <w:tc>
          <w:tcPr>
            <w:tcW w:w="2106" w:type="dxa"/>
            <w:vAlign w:val="center"/>
          </w:tcPr>
          <w:p w14:paraId="1902CB50">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highlight w:val="none"/>
              </w:rPr>
              <w:t>服务期限</w:t>
            </w:r>
          </w:p>
        </w:tc>
        <w:tc>
          <w:tcPr>
            <w:tcW w:w="7104" w:type="dxa"/>
            <w:vAlign w:val="center"/>
          </w:tcPr>
          <w:p w14:paraId="2DE61C1B">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jc w:val="both"/>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见比选公告</w:t>
            </w:r>
          </w:p>
        </w:tc>
      </w:tr>
      <w:tr w14:paraId="480C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36C45F63">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7</w:t>
            </w:r>
          </w:p>
        </w:tc>
        <w:tc>
          <w:tcPr>
            <w:tcW w:w="2106" w:type="dxa"/>
            <w:vAlign w:val="center"/>
          </w:tcPr>
          <w:p w14:paraId="1E5DED14">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服务要求</w:t>
            </w:r>
          </w:p>
        </w:tc>
        <w:tc>
          <w:tcPr>
            <w:tcW w:w="7104" w:type="dxa"/>
            <w:vAlign w:val="center"/>
          </w:tcPr>
          <w:p w14:paraId="17598663">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jc w:val="both"/>
              <w:textAlignment w:val="auto"/>
              <w:rPr>
                <w:rFonts w:hint="default"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val="en-US" w:eastAsia="zh-CN"/>
              </w:rPr>
              <w:t>比选文件“第四章 服务要求”</w:t>
            </w:r>
          </w:p>
        </w:tc>
      </w:tr>
      <w:tr w14:paraId="5249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F38B5ED">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8</w:t>
            </w:r>
          </w:p>
        </w:tc>
        <w:tc>
          <w:tcPr>
            <w:tcW w:w="2106" w:type="dxa"/>
            <w:vAlign w:val="center"/>
          </w:tcPr>
          <w:p w14:paraId="766B38D0">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szCs w:val="21"/>
                <w:highlight w:val="none"/>
              </w:rPr>
              <w:t>报价人资格要求</w:t>
            </w:r>
          </w:p>
        </w:tc>
        <w:tc>
          <w:tcPr>
            <w:tcW w:w="7104" w:type="dxa"/>
            <w:vAlign w:val="center"/>
          </w:tcPr>
          <w:p w14:paraId="528030AD">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jc w:val="both"/>
              <w:textAlignment w:val="auto"/>
              <w:rPr>
                <w:rFonts w:hint="default" w:ascii="宋体" w:hAnsi="宋体" w:cs="宋体"/>
                <w:color w:val="auto"/>
                <w:szCs w:val="21"/>
                <w:highlight w:val="none"/>
              </w:rPr>
            </w:pPr>
            <w:r>
              <w:rPr>
                <w:rFonts w:hint="eastAsia" w:ascii="宋体" w:hAnsi="宋体" w:cs="宋体"/>
                <w:color w:val="auto"/>
                <w:kern w:val="0"/>
                <w:szCs w:val="21"/>
                <w:highlight w:val="none"/>
              </w:rPr>
              <w:t>见比选公告及附录1</w:t>
            </w:r>
          </w:p>
        </w:tc>
      </w:tr>
      <w:tr w14:paraId="3932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C75D7B7">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9</w:t>
            </w:r>
          </w:p>
        </w:tc>
        <w:tc>
          <w:tcPr>
            <w:tcW w:w="2106" w:type="dxa"/>
            <w:vAlign w:val="center"/>
          </w:tcPr>
          <w:p w14:paraId="228AE0BB">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是否接受</w:t>
            </w:r>
          </w:p>
          <w:p w14:paraId="00B0DFC3">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联合体报价</w:t>
            </w:r>
          </w:p>
        </w:tc>
        <w:tc>
          <w:tcPr>
            <w:tcW w:w="7104" w:type="dxa"/>
            <w:vAlign w:val="center"/>
          </w:tcPr>
          <w:p w14:paraId="07AA41CE">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jc w:val="both"/>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不接受</w:t>
            </w:r>
          </w:p>
        </w:tc>
      </w:tr>
      <w:tr w14:paraId="037F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7D95533">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10</w:t>
            </w:r>
          </w:p>
        </w:tc>
        <w:tc>
          <w:tcPr>
            <w:tcW w:w="2106" w:type="dxa"/>
            <w:vAlign w:val="center"/>
          </w:tcPr>
          <w:p w14:paraId="7E4C7E34">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04" w:type="dxa"/>
            <w:vAlign w:val="center"/>
          </w:tcPr>
          <w:p w14:paraId="17AFFC66">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不组织，由各报价人根据需要自行完成现场踏勘</w:t>
            </w:r>
          </w:p>
        </w:tc>
      </w:tr>
      <w:tr w14:paraId="0C0A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1F204DA0">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11</w:t>
            </w:r>
          </w:p>
        </w:tc>
        <w:tc>
          <w:tcPr>
            <w:tcW w:w="2106" w:type="dxa"/>
            <w:vAlign w:val="center"/>
          </w:tcPr>
          <w:p w14:paraId="48F5D6A9">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04" w:type="dxa"/>
            <w:vAlign w:val="center"/>
          </w:tcPr>
          <w:p w14:paraId="57D6FAF2">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不允许</w:t>
            </w:r>
          </w:p>
        </w:tc>
      </w:tr>
      <w:tr w14:paraId="65C6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245A3DBD">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12</w:t>
            </w:r>
          </w:p>
        </w:tc>
        <w:tc>
          <w:tcPr>
            <w:tcW w:w="2106" w:type="dxa"/>
            <w:vAlign w:val="center"/>
          </w:tcPr>
          <w:p w14:paraId="63EFC6A6">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偏差</w:t>
            </w:r>
          </w:p>
        </w:tc>
        <w:tc>
          <w:tcPr>
            <w:tcW w:w="7104" w:type="dxa"/>
            <w:vAlign w:val="center"/>
          </w:tcPr>
          <w:p w14:paraId="788BD316">
            <w:pPr>
              <w:keepNext w:val="0"/>
              <w:keepLines w:val="0"/>
              <w:pageBreakBefore w:val="0"/>
              <w:widowControl w:val="0"/>
              <w:suppressLineNumbers w:val="0"/>
              <w:kinsoku/>
              <w:wordWrap/>
              <w:overflowPunct/>
              <w:bidi w:val="0"/>
              <w:spacing w:before="0" w:beforeAutospacing="0" w:after="0" w:afterAutospacing="0" w:line="400" w:lineRule="exact"/>
              <w:ind w:left="0" w:right="0" w:firstLine="422" w:firstLineChars="200"/>
              <w:textAlignment w:val="auto"/>
              <w:rPr>
                <w:rFonts w:hint="default" w:ascii="宋体" w:hAnsi="宋体" w:cs="宋体"/>
                <w:color w:val="auto"/>
                <w:kern w:val="0"/>
                <w:szCs w:val="21"/>
                <w:highlight w:val="none"/>
              </w:rPr>
            </w:pPr>
            <w:r>
              <w:rPr>
                <w:rFonts w:hint="eastAsia" w:ascii="宋体" w:hAnsi="宋体" w:cs="宋体"/>
                <w:b/>
                <w:color w:val="auto"/>
                <w:kern w:val="0"/>
                <w:szCs w:val="21"/>
                <w:highlight w:val="none"/>
              </w:rPr>
              <w:t>不允许负偏差</w:t>
            </w:r>
          </w:p>
        </w:tc>
      </w:tr>
      <w:tr w14:paraId="7D3B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3F32AB4C">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13</w:t>
            </w:r>
          </w:p>
        </w:tc>
        <w:tc>
          <w:tcPr>
            <w:tcW w:w="2106" w:type="dxa"/>
            <w:vAlign w:val="center"/>
          </w:tcPr>
          <w:p w14:paraId="0D965056">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bCs/>
                <w:color w:val="auto"/>
                <w:szCs w:val="21"/>
                <w:highlight w:val="none"/>
              </w:rPr>
              <w:t>构成比选文件的其他材料</w:t>
            </w:r>
          </w:p>
        </w:tc>
        <w:tc>
          <w:tcPr>
            <w:tcW w:w="7104" w:type="dxa"/>
            <w:vAlign w:val="center"/>
          </w:tcPr>
          <w:p w14:paraId="088B9EB3">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textAlignment w:val="auto"/>
              <w:rPr>
                <w:rFonts w:hint="default" w:ascii="宋体" w:hAnsi="宋体" w:cs="宋体"/>
                <w:color w:val="auto"/>
                <w:szCs w:val="21"/>
                <w:highlight w:val="none"/>
              </w:rPr>
            </w:pPr>
            <w:r>
              <w:rPr>
                <w:rFonts w:hint="eastAsia" w:ascii="宋体" w:hAnsi="宋体" w:cs="宋体"/>
                <w:color w:val="auto"/>
                <w:szCs w:val="21"/>
                <w:highlight w:val="none"/>
              </w:rPr>
              <w:t>采购人发布的图纸、补遗书、答疑、澄清、最高限价通知等附件。</w:t>
            </w:r>
          </w:p>
        </w:tc>
      </w:tr>
      <w:tr w14:paraId="1AC3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1D24DC2D">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14</w:t>
            </w:r>
          </w:p>
        </w:tc>
        <w:tc>
          <w:tcPr>
            <w:tcW w:w="2106" w:type="dxa"/>
            <w:vAlign w:val="center"/>
          </w:tcPr>
          <w:p w14:paraId="3DC685DB">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构成竞争性比选响应文件的其他材料</w:t>
            </w:r>
          </w:p>
        </w:tc>
        <w:tc>
          <w:tcPr>
            <w:tcW w:w="7104" w:type="dxa"/>
            <w:vAlign w:val="center"/>
          </w:tcPr>
          <w:p w14:paraId="783B813B">
            <w:pPr>
              <w:pStyle w:val="150"/>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jc w:val="both"/>
              <w:textAlignment w:val="auto"/>
              <w:rPr>
                <w:rFonts w:hint="default"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14:paraId="78AC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tcBorders>
              <w:bottom w:val="single" w:color="auto" w:sz="4" w:space="0"/>
            </w:tcBorders>
            <w:vAlign w:val="center"/>
          </w:tcPr>
          <w:p w14:paraId="63FC4FF1">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15</w:t>
            </w:r>
          </w:p>
        </w:tc>
        <w:tc>
          <w:tcPr>
            <w:tcW w:w="2106" w:type="dxa"/>
            <w:tcBorders>
              <w:bottom w:val="single" w:color="auto" w:sz="4" w:space="0"/>
            </w:tcBorders>
            <w:vAlign w:val="center"/>
          </w:tcPr>
          <w:p w14:paraId="025F45D7">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报价原则</w:t>
            </w:r>
          </w:p>
        </w:tc>
        <w:tc>
          <w:tcPr>
            <w:tcW w:w="7104" w:type="dxa"/>
            <w:tcBorders>
              <w:bottom w:val="single" w:color="auto" w:sz="4" w:space="0"/>
            </w:tcBorders>
          </w:tcPr>
          <w:p w14:paraId="5217F547">
            <w:pPr>
              <w:keepNext w:val="0"/>
              <w:keepLines w:val="0"/>
              <w:suppressLineNumbers w:val="0"/>
              <w:spacing w:before="0" w:beforeAutospacing="0" w:after="0" w:afterAutospacing="0" w:line="42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1.投标报价：</w:t>
            </w:r>
          </w:p>
          <w:p w14:paraId="0D516494">
            <w:pPr>
              <w:keepNext w:val="0"/>
              <w:keepLines w:val="0"/>
              <w:suppressLineNumbers w:val="0"/>
              <w:spacing w:before="0" w:beforeAutospacing="0" w:after="0" w:afterAutospacing="0" w:line="42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本项目采用总价包干报价，</w:t>
            </w:r>
            <w:r>
              <w:rPr>
                <w:rFonts w:hint="eastAsia" w:ascii="宋体" w:hAnsi="宋体" w:cs="宋体"/>
                <w:color w:val="auto"/>
                <w:szCs w:val="21"/>
                <w:highlight w:val="none"/>
                <w:u w:val="single"/>
                <w:lang w:val="en-US" w:eastAsia="zh-CN"/>
              </w:rPr>
              <w:t>报价</w:t>
            </w:r>
            <w:r>
              <w:rPr>
                <w:rFonts w:hint="eastAsia" w:ascii="宋体" w:hAnsi="宋体" w:cs="宋体"/>
                <w:color w:val="auto"/>
                <w:szCs w:val="21"/>
                <w:highlight w:val="none"/>
                <w:u w:val="single"/>
              </w:rPr>
              <w:t>人所报投标总报价应包含但不限于完成本项目</w:t>
            </w:r>
            <w:r>
              <w:rPr>
                <w:rFonts w:hint="eastAsia" w:ascii="宋体" w:hAnsi="宋体" w:cs="宋体"/>
                <w:color w:val="auto"/>
                <w:szCs w:val="21"/>
                <w:highlight w:val="none"/>
                <w:u w:val="single"/>
                <w:lang w:val="en-US" w:eastAsia="zh-CN"/>
              </w:rPr>
              <w:t>比选</w:t>
            </w:r>
            <w:r>
              <w:rPr>
                <w:rFonts w:hint="eastAsia" w:ascii="宋体" w:hAnsi="宋体" w:cs="宋体"/>
                <w:color w:val="auto"/>
                <w:szCs w:val="21"/>
                <w:highlight w:val="none"/>
                <w:u w:val="single"/>
              </w:rPr>
              <w:t>内容全部工作内容所需的人工、材料</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服务</w:t>
            </w:r>
            <w:r>
              <w:rPr>
                <w:rFonts w:hint="eastAsia" w:ascii="宋体" w:hAnsi="宋体" w:cs="宋体"/>
                <w:color w:val="auto"/>
                <w:szCs w:val="21"/>
                <w:highlight w:val="none"/>
                <w:u w:val="single"/>
              </w:rPr>
              <w:t>、税金、管理费、利润等所有</w:t>
            </w:r>
            <w:r>
              <w:rPr>
                <w:rFonts w:hint="eastAsia" w:ascii="宋体" w:hAnsi="宋体" w:cs="宋体"/>
                <w:color w:val="auto"/>
                <w:szCs w:val="21"/>
                <w:highlight w:val="none"/>
                <w:u w:val="single"/>
                <w:lang w:val="en-US" w:eastAsia="zh-CN"/>
              </w:rPr>
              <w:t>一切</w:t>
            </w:r>
            <w:r>
              <w:rPr>
                <w:rFonts w:hint="eastAsia" w:ascii="宋体" w:hAnsi="宋体" w:cs="宋体"/>
                <w:color w:val="auto"/>
                <w:szCs w:val="21"/>
                <w:highlight w:val="none"/>
                <w:u w:val="single"/>
              </w:rPr>
              <w:t>费用，一旦中标，</w:t>
            </w:r>
            <w:r>
              <w:rPr>
                <w:rFonts w:hint="eastAsia" w:ascii="宋体" w:hAnsi="宋体" w:cs="宋体"/>
                <w:color w:val="auto"/>
                <w:szCs w:val="21"/>
                <w:highlight w:val="none"/>
                <w:u w:val="single"/>
                <w:lang w:val="en-US" w:eastAsia="zh-CN"/>
              </w:rPr>
              <w:t>采购</w:t>
            </w:r>
            <w:r>
              <w:rPr>
                <w:rFonts w:hint="eastAsia" w:ascii="宋体" w:hAnsi="宋体" w:cs="宋体"/>
                <w:color w:val="auto"/>
                <w:szCs w:val="21"/>
                <w:highlight w:val="none"/>
                <w:u w:val="single"/>
              </w:rPr>
              <w:t>人不再额外支付任何费用</w:t>
            </w:r>
            <w:r>
              <w:rPr>
                <w:rFonts w:hint="eastAsia" w:ascii="宋体" w:hAnsi="宋体" w:cs="宋体"/>
                <w:color w:val="auto"/>
                <w:szCs w:val="21"/>
                <w:highlight w:val="none"/>
              </w:rPr>
              <w:t>。</w:t>
            </w:r>
          </w:p>
          <w:p w14:paraId="379E1671">
            <w:pPr>
              <w:keepNext w:val="0"/>
              <w:keepLines w:val="0"/>
              <w:suppressLineNumbers w:val="0"/>
              <w:spacing w:before="0" w:beforeAutospacing="0" w:after="0" w:afterAutospacing="0" w:line="420" w:lineRule="exact"/>
              <w:ind w:left="0" w:right="0" w:firstLine="308" w:firstLineChars="147"/>
              <w:rPr>
                <w:rFonts w:hint="eastAsia" w:ascii="宋体" w:hAnsi="宋体" w:cs="宋体"/>
                <w:color w:val="auto"/>
                <w:szCs w:val="21"/>
                <w:highlight w:val="none"/>
              </w:rPr>
            </w:pPr>
            <w:r>
              <w:rPr>
                <w:rFonts w:hint="eastAsia" w:ascii="宋体" w:hAnsi="宋体" w:cs="宋体"/>
                <w:color w:val="auto"/>
                <w:highlight w:val="none"/>
              </w:rPr>
              <w:t>2.报价原则</w:t>
            </w:r>
          </w:p>
          <w:p w14:paraId="0CE13B9A">
            <w:pPr>
              <w:keepNext w:val="0"/>
              <w:keepLines w:val="0"/>
              <w:suppressLineNumbers w:val="0"/>
              <w:spacing w:before="0" w:beforeAutospacing="0" w:after="0" w:afterAutospacing="0" w:line="420" w:lineRule="exact"/>
              <w:ind w:left="0" w:right="0" w:firstLine="308" w:firstLineChars="147"/>
              <w:rPr>
                <w:rFonts w:hint="eastAsia" w:ascii="宋体" w:hAnsi="宋体" w:cs="宋体"/>
                <w:color w:val="auto"/>
                <w:szCs w:val="21"/>
                <w:highlight w:val="none"/>
                <w:u w:val="single"/>
              </w:rPr>
            </w:pP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应严格根据</w:t>
            </w:r>
            <w:r>
              <w:rPr>
                <w:rFonts w:hint="eastAsia" w:ascii="宋体" w:hAnsi="宋体" w:cs="宋体"/>
                <w:color w:val="auto"/>
                <w:highlight w:val="none"/>
                <w:u w:val="single"/>
                <w:lang w:val="en-US" w:eastAsia="zh-CN"/>
              </w:rPr>
              <w:t>竞争性比选文件</w:t>
            </w:r>
            <w:r>
              <w:rPr>
                <w:rFonts w:hint="eastAsia" w:ascii="宋体" w:hAnsi="宋体" w:cs="宋体"/>
                <w:color w:val="auto"/>
                <w:highlight w:val="none"/>
                <w:u w:val="single"/>
              </w:rPr>
              <w:t>及相关资料，结合市场价格、依据企业自身实力、技术及生产管理水平等，进行自主报价；</w:t>
            </w: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投标总报价只能有一个有效报价，不得提交选择性报价，否则竞争性比选响应文件将按否决报价处理。</w:t>
            </w:r>
          </w:p>
          <w:p w14:paraId="6B2A825E">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jc w:val="left"/>
              <w:textAlignment w:val="auto"/>
              <w:rPr>
                <w:rFonts w:hint="default" w:ascii="宋体" w:hAnsi="宋体" w:cs="宋体"/>
                <w:color w:val="auto"/>
                <w:szCs w:val="21"/>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报价人按照采购人提供的报价清单填写报价</w:t>
            </w:r>
          </w:p>
          <w:p w14:paraId="5F9A1D0F">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textAlignment w:val="auto"/>
              <w:rPr>
                <w:rFonts w:hint="default" w:ascii="宋体" w:hAnsi="宋体" w:cs="宋体"/>
                <w:b w:val="0"/>
                <w:bCs/>
                <w:color w:val="auto"/>
                <w:szCs w:val="21"/>
                <w:highlight w:val="none"/>
              </w:rPr>
            </w:pP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综合单价取小数点后两位，小数点后第三位四舍五入。</w:t>
            </w:r>
          </w:p>
          <w:p w14:paraId="6FB6AD68">
            <w:pPr>
              <w:keepNext w:val="0"/>
              <w:keepLines w:val="0"/>
              <w:suppressLineNumbers w:val="0"/>
              <w:snapToGrid w:val="0"/>
              <w:spacing w:before="0" w:beforeAutospacing="0" w:after="0" w:afterAutospacing="0" w:line="420" w:lineRule="exact"/>
              <w:ind w:left="0" w:right="0" w:firstLine="420" w:firstLineChars="200"/>
              <w:rPr>
                <w:rFonts w:hint="eastAsia" w:ascii="宋体" w:hAnsi="宋体" w:cs="宋体"/>
                <w:b w:val="0"/>
                <w:bCs w:val="0"/>
                <w:color w:val="auto"/>
                <w:highlight w:val="none"/>
              </w:rPr>
            </w:pP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本项目报价清单及说明随比选文件一并发布，详见附件。</w:t>
            </w:r>
          </w:p>
          <w:p w14:paraId="2091ADCA">
            <w:pPr>
              <w:keepNext w:val="0"/>
              <w:keepLines w:val="0"/>
              <w:suppressLineNumbers w:val="0"/>
              <w:snapToGrid w:val="0"/>
              <w:spacing w:before="0" w:beforeAutospacing="0" w:after="0" w:afterAutospacing="0" w:line="420" w:lineRule="exact"/>
              <w:ind w:left="0" w:right="0"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特别提醒：</w:t>
            </w:r>
          </w:p>
          <w:p w14:paraId="05C0D658">
            <w:pPr>
              <w:keepNext w:val="0"/>
              <w:keepLines w:val="0"/>
              <w:suppressLineNumbers w:val="0"/>
              <w:adjustRightInd w:val="0"/>
              <w:snapToGrid w:val="0"/>
              <w:spacing w:before="0" w:beforeAutospacing="0" w:after="0" w:afterAutospacing="0" w:line="420" w:lineRule="exact"/>
              <w:ind w:left="0" w:right="0" w:firstLine="344" w:firstLineChars="164"/>
              <w:rPr>
                <w:rFonts w:hint="eastAsia" w:ascii="宋体" w:hAnsi="宋体" w:cs="宋体"/>
                <w:b w:val="0"/>
                <w:bCs w:val="0"/>
                <w:color w:val="auto"/>
                <w:highlight w:val="none"/>
              </w:rPr>
            </w:pPr>
            <w:r>
              <w:rPr>
                <w:rFonts w:hint="eastAsia" w:ascii="宋体" w:hAnsi="宋体" w:cs="宋体"/>
                <w:b w:val="0"/>
                <w:bCs w:val="0"/>
                <w:color w:val="auto"/>
                <w:szCs w:val="21"/>
                <w:highlight w:val="none"/>
              </w:rPr>
              <w:t>1.</w:t>
            </w:r>
            <w:r>
              <w:rPr>
                <w:rFonts w:hint="eastAsia" w:ascii="宋体" w:hAnsi="宋体" w:cs="宋体"/>
                <w:b w:val="0"/>
                <w:bCs w:val="0"/>
                <w:color w:val="auto"/>
                <w:highlight w:val="none"/>
                <w:u w:val="single"/>
              </w:rPr>
              <w:t>若因</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在报价时有漏报、漏项的情况发生，</w:t>
            </w:r>
            <w:r>
              <w:rPr>
                <w:rFonts w:hint="eastAsia" w:ascii="宋体" w:hAnsi="宋体" w:cs="宋体"/>
                <w:b w:val="0"/>
                <w:bCs w:val="0"/>
                <w:color w:val="auto"/>
                <w:highlight w:val="none"/>
                <w:u w:val="single"/>
                <w:lang w:eastAsia="zh-CN"/>
              </w:rPr>
              <w:t>采购人</w:t>
            </w:r>
            <w:r>
              <w:rPr>
                <w:rFonts w:hint="eastAsia" w:ascii="宋体" w:hAnsi="宋体" w:cs="宋体"/>
                <w:b w:val="0"/>
                <w:bCs w:val="0"/>
                <w:color w:val="auto"/>
                <w:highlight w:val="none"/>
                <w:u w:val="single"/>
              </w:rPr>
              <w:t>均视为</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已充分理解</w:t>
            </w:r>
            <w:r>
              <w:rPr>
                <w:rFonts w:hint="eastAsia" w:ascii="宋体" w:hAnsi="宋体" w:cs="宋体"/>
                <w:b w:val="0"/>
                <w:bCs w:val="0"/>
                <w:color w:val="auto"/>
                <w:highlight w:val="none"/>
                <w:u w:val="single"/>
                <w:lang w:val="en-US" w:eastAsia="zh-CN"/>
              </w:rPr>
              <w:t>竞争性比选</w:t>
            </w:r>
            <w:r>
              <w:rPr>
                <w:rFonts w:hint="eastAsia" w:ascii="宋体" w:hAnsi="宋体" w:cs="宋体"/>
                <w:b w:val="0"/>
                <w:bCs w:val="0"/>
                <w:color w:val="auto"/>
                <w:highlight w:val="none"/>
                <w:u w:val="single"/>
              </w:rPr>
              <w:t>文件要求，漏报、漏项部分已包含在其报价之中。该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若中标，其报价不得调整</w:t>
            </w:r>
            <w:r>
              <w:rPr>
                <w:rFonts w:hint="eastAsia" w:ascii="宋体" w:hAnsi="宋体" w:cs="宋体"/>
                <w:b w:val="0"/>
                <w:bCs w:val="0"/>
                <w:color w:val="auto"/>
                <w:highlight w:val="none"/>
              </w:rPr>
              <w:t>。</w:t>
            </w:r>
          </w:p>
          <w:p w14:paraId="612EC86D">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jc w:val="left"/>
              <w:textAlignment w:val="auto"/>
              <w:rPr>
                <w:rFonts w:hint="default" w:ascii="宋体" w:hAnsi="宋体" w:cs="宋体"/>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在报价时应充分考虑市场价格波动、人工费用上涨等不确定因素的风险，该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若中标，其报价在服务期内不得调整</w:t>
            </w:r>
            <w:r>
              <w:rPr>
                <w:rFonts w:hint="eastAsia" w:ascii="宋体" w:hAnsi="宋体" w:cs="宋体"/>
                <w:b w:val="0"/>
                <w:bCs w:val="0"/>
                <w:color w:val="auto"/>
                <w:highlight w:val="none"/>
              </w:rPr>
              <w:t>。</w:t>
            </w:r>
          </w:p>
        </w:tc>
      </w:tr>
      <w:tr w14:paraId="7EAA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tcBorders>
              <w:bottom w:val="single" w:color="auto" w:sz="4" w:space="0"/>
            </w:tcBorders>
            <w:vAlign w:val="center"/>
          </w:tcPr>
          <w:p w14:paraId="0ACA2D97">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16</w:t>
            </w:r>
          </w:p>
        </w:tc>
        <w:tc>
          <w:tcPr>
            <w:tcW w:w="2106" w:type="dxa"/>
            <w:tcBorders>
              <w:bottom w:val="single" w:color="auto" w:sz="4" w:space="0"/>
            </w:tcBorders>
            <w:vAlign w:val="center"/>
          </w:tcPr>
          <w:p w14:paraId="4587D7E2">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最高投标限价</w:t>
            </w:r>
          </w:p>
        </w:tc>
        <w:tc>
          <w:tcPr>
            <w:tcW w:w="7104" w:type="dxa"/>
            <w:tcBorders>
              <w:bottom w:val="single" w:color="auto" w:sz="4" w:space="0"/>
            </w:tcBorders>
          </w:tcPr>
          <w:p w14:paraId="2AAC0BDF">
            <w:pPr>
              <w:keepNext w:val="0"/>
              <w:keepLines w:val="0"/>
              <w:pageBreakBefore w:val="0"/>
              <w:widowControl w:val="0"/>
              <w:suppressLineNumbers w:val="0"/>
              <w:kinsoku/>
              <w:wordWrap/>
              <w:overflowPunct/>
              <w:bidi w:val="0"/>
              <w:spacing w:before="0" w:beforeAutospacing="0" w:after="0" w:afterAutospacing="0" w:line="400" w:lineRule="exact"/>
              <w:ind w:left="0" w:right="0" w:firstLine="422" w:firstLineChars="200"/>
              <w:textAlignment w:val="auto"/>
              <w:rPr>
                <w:rFonts w:hint="default" w:ascii="宋体" w:hAnsi="宋体"/>
                <w:color w:val="auto"/>
                <w:szCs w:val="21"/>
                <w:highlight w:val="none"/>
              </w:rPr>
            </w:pPr>
            <w:r>
              <w:rPr>
                <w:rFonts w:hint="eastAsia" w:ascii="宋体" w:hAnsi="宋体"/>
                <w:b/>
                <w:bCs/>
                <w:color w:val="auto"/>
                <w:szCs w:val="21"/>
                <w:highlight w:val="none"/>
                <w:lang w:val="en-US" w:eastAsia="zh-CN"/>
              </w:rPr>
              <w:t>本项目设置</w:t>
            </w:r>
            <w:r>
              <w:rPr>
                <w:rFonts w:hint="eastAsia" w:ascii="宋体" w:hAnsi="宋体"/>
                <w:b/>
                <w:bCs/>
                <w:color w:val="auto"/>
                <w:szCs w:val="21"/>
                <w:highlight w:val="none"/>
              </w:rPr>
              <w:t>最高限价</w:t>
            </w:r>
            <w:r>
              <w:rPr>
                <w:rFonts w:hint="eastAsia" w:ascii="宋体" w:hAnsi="宋体"/>
                <w:b/>
                <w:bCs/>
                <w:color w:val="auto"/>
                <w:szCs w:val="21"/>
                <w:highlight w:val="none"/>
                <w:lang w:val="en-US" w:eastAsia="zh-CN"/>
              </w:rPr>
              <w:t>为</w:t>
            </w:r>
            <w:r>
              <w:rPr>
                <w:rFonts w:hint="eastAsia" w:ascii="宋体" w:hAnsi="宋体"/>
                <w:b/>
                <w:bCs/>
                <w:color w:val="auto"/>
                <w:szCs w:val="21"/>
                <w:highlight w:val="none"/>
                <w:u w:val="single"/>
                <w:lang w:val="en-US" w:eastAsia="zh-CN"/>
              </w:rPr>
              <w:t>221918.00</w:t>
            </w:r>
            <w:r>
              <w:rPr>
                <w:rFonts w:hint="eastAsia" w:ascii="宋体" w:hAnsi="宋体"/>
                <w:b/>
                <w:bCs/>
                <w:color w:val="auto"/>
                <w:szCs w:val="21"/>
                <w:highlight w:val="none"/>
              </w:rPr>
              <w:t>元。</w:t>
            </w:r>
          </w:p>
          <w:p w14:paraId="39EA1CDF">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textAlignment w:val="auto"/>
              <w:rPr>
                <w:rFonts w:hint="default" w:ascii="宋体" w:hAnsi="宋体" w:cs="宋体"/>
                <w:b/>
                <w:bCs/>
                <w:color w:val="auto"/>
                <w:kern w:val="0"/>
                <w:szCs w:val="21"/>
                <w:highlight w:val="none"/>
              </w:rPr>
            </w:pPr>
            <w:r>
              <w:rPr>
                <w:rFonts w:hint="eastAsia" w:ascii="宋体" w:hAnsi="宋体" w:cs="宋体"/>
                <w:b w:val="0"/>
                <w:bCs/>
                <w:color w:val="auto"/>
                <w:szCs w:val="21"/>
                <w:highlight w:val="none"/>
              </w:rPr>
              <w:t>报价人报价不得高于采购人发布的最高限价，否则其竞争性比选响应文件视为重大偏差，竞争性比选响应文件将按否决报价处理</w:t>
            </w:r>
            <w:r>
              <w:rPr>
                <w:rFonts w:hint="eastAsia" w:ascii="宋体" w:hAnsi="宋体" w:cs="宋体"/>
                <w:b w:val="0"/>
                <w:bCs/>
                <w:color w:val="auto"/>
                <w:kern w:val="0"/>
                <w:szCs w:val="21"/>
                <w:highlight w:val="none"/>
              </w:rPr>
              <w:t>。</w:t>
            </w:r>
          </w:p>
        </w:tc>
      </w:tr>
      <w:tr w14:paraId="35E73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tcBorders>
              <w:bottom w:val="single" w:color="auto" w:sz="4" w:space="0"/>
            </w:tcBorders>
            <w:vAlign w:val="center"/>
          </w:tcPr>
          <w:p w14:paraId="34DF28F8">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17</w:t>
            </w:r>
          </w:p>
        </w:tc>
        <w:tc>
          <w:tcPr>
            <w:tcW w:w="2106" w:type="dxa"/>
            <w:tcBorders>
              <w:bottom w:val="single" w:color="auto" w:sz="4" w:space="0"/>
            </w:tcBorders>
            <w:vAlign w:val="center"/>
          </w:tcPr>
          <w:p w14:paraId="36E507BD">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合同支付办法</w:t>
            </w:r>
          </w:p>
        </w:tc>
        <w:tc>
          <w:tcPr>
            <w:tcW w:w="7104" w:type="dxa"/>
            <w:tcBorders>
              <w:bottom w:val="single" w:color="auto" w:sz="4" w:space="0"/>
            </w:tcBorders>
            <w:vAlign w:val="center"/>
          </w:tcPr>
          <w:p w14:paraId="1C7D6C71">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每次支付前需由乙方提交书面支付申请、相关证明材料以及对应增值税专用发票经甲方审核无误后，按以下节点支付：</w:t>
            </w:r>
          </w:p>
          <w:p w14:paraId="1178413D">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（1）合同签订</w:t>
            </w:r>
            <w:r>
              <w:rPr>
                <w:rFonts w:hint="eastAsia" w:ascii="宋体" w:hAnsi="宋体" w:cs="宋体"/>
                <w:color w:val="auto"/>
                <w:sz w:val="21"/>
                <w:szCs w:val="21"/>
                <w:highlight w:val="none"/>
                <w:lang w:val="en-US" w:eastAsia="zh-CN"/>
              </w:rPr>
              <w:t>后，且</w:t>
            </w:r>
            <w:r>
              <w:rPr>
                <w:rFonts w:hint="default" w:ascii="宋体" w:hAnsi="宋体" w:eastAsia="宋体" w:cs="宋体"/>
                <w:color w:val="auto"/>
                <w:sz w:val="21"/>
                <w:szCs w:val="21"/>
                <w:highlight w:val="none"/>
                <w:lang w:val="en-US" w:eastAsia="zh-CN"/>
              </w:rPr>
              <w:t>需求调研完成</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双方签订《需求确认文件》之日起15个工作日内</w:t>
            </w:r>
            <w:r>
              <w:rPr>
                <w:rFonts w:hint="eastAsia" w:ascii="宋体" w:hAnsi="宋体" w:cs="宋体"/>
                <w:color w:val="auto"/>
                <w:sz w:val="21"/>
                <w:szCs w:val="21"/>
                <w:highlight w:val="none"/>
                <w:lang w:val="en-US" w:eastAsia="zh-CN"/>
              </w:rPr>
              <w:t>甲方支付</w:t>
            </w:r>
            <w:r>
              <w:rPr>
                <w:rFonts w:hint="default" w:ascii="宋体" w:hAnsi="宋体" w:eastAsia="宋体" w:cs="宋体"/>
                <w:color w:val="auto"/>
                <w:sz w:val="21"/>
                <w:szCs w:val="21"/>
                <w:highlight w:val="none"/>
                <w:lang w:val="en-US" w:eastAsia="zh-CN"/>
              </w:rPr>
              <w:t>合同金额的20%。</w:t>
            </w:r>
          </w:p>
          <w:p w14:paraId="7AC94463">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乙方</w:t>
            </w:r>
            <w:r>
              <w:rPr>
                <w:rFonts w:hint="default" w:ascii="宋体" w:hAnsi="宋体" w:eastAsia="宋体" w:cs="宋体"/>
                <w:color w:val="auto"/>
                <w:sz w:val="21"/>
                <w:szCs w:val="21"/>
                <w:highlight w:val="none"/>
                <w:lang w:val="en-US" w:eastAsia="zh-CN"/>
              </w:rPr>
              <w:t>完成档案管理系统功能开发</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且经验收合格后15个工作日内</w:t>
            </w:r>
            <w:r>
              <w:rPr>
                <w:rFonts w:hint="eastAsia" w:ascii="宋体" w:hAnsi="宋体" w:cs="宋体"/>
                <w:color w:val="auto"/>
                <w:sz w:val="21"/>
                <w:szCs w:val="21"/>
                <w:highlight w:val="none"/>
                <w:lang w:val="en-US" w:eastAsia="zh-CN"/>
              </w:rPr>
              <w:t>甲方</w:t>
            </w:r>
            <w:r>
              <w:rPr>
                <w:rFonts w:hint="default" w:ascii="宋体" w:hAnsi="宋体" w:eastAsia="宋体" w:cs="宋体"/>
                <w:color w:val="auto"/>
                <w:sz w:val="21"/>
                <w:szCs w:val="21"/>
                <w:highlight w:val="none"/>
                <w:lang w:val="en-US" w:eastAsia="zh-CN"/>
              </w:rPr>
              <w:t>支付</w:t>
            </w:r>
            <w:r>
              <w:rPr>
                <w:rFonts w:hint="eastAsia" w:ascii="宋体" w:hAnsi="宋体" w:cs="宋体"/>
                <w:color w:val="auto"/>
                <w:sz w:val="21"/>
                <w:szCs w:val="21"/>
                <w:highlight w:val="none"/>
                <w:lang w:val="en-US" w:eastAsia="zh-CN"/>
              </w:rPr>
              <w:t>至</w:t>
            </w:r>
            <w:r>
              <w:rPr>
                <w:rFonts w:hint="default" w:ascii="宋体" w:hAnsi="宋体" w:eastAsia="宋体" w:cs="宋体"/>
                <w:color w:val="auto"/>
                <w:sz w:val="21"/>
                <w:szCs w:val="21"/>
                <w:highlight w:val="none"/>
                <w:lang w:val="en-US" w:eastAsia="zh-CN"/>
              </w:rPr>
              <w:t>合同金额</w:t>
            </w:r>
            <w:r>
              <w:rPr>
                <w:rFonts w:hint="eastAsia" w:ascii="宋体" w:hAnsi="宋体" w:cs="宋体"/>
                <w:color w:val="auto"/>
                <w:sz w:val="21"/>
                <w:szCs w:val="21"/>
                <w:highlight w:val="none"/>
                <w:lang w:val="en-US" w:eastAsia="zh-CN"/>
              </w:rPr>
              <w:t>的9</w:t>
            </w:r>
            <w:r>
              <w:rPr>
                <w:rFonts w:hint="default" w:ascii="宋体" w:hAnsi="宋体" w:eastAsia="宋体" w:cs="宋体"/>
                <w:color w:val="auto"/>
                <w:sz w:val="21"/>
                <w:szCs w:val="21"/>
                <w:highlight w:val="none"/>
                <w:lang w:val="en-US" w:eastAsia="zh-CN"/>
              </w:rPr>
              <w:t>5%。</w:t>
            </w:r>
          </w:p>
          <w:p w14:paraId="77204B59">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（3）档案管理系统历史数据迁移完成</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且验收合格之日起稳定运行1年后</w:t>
            </w:r>
            <w:r>
              <w:rPr>
                <w:rFonts w:hint="eastAsia" w:ascii="宋体" w:hAnsi="宋体" w:cs="宋体"/>
                <w:color w:val="auto"/>
                <w:sz w:val="21"/>
                <w:szCs w:val="21"/>
                <w:highlight w:val="none"/>
                <w:lang w:val="en-US" w:eastAsia="zh-CN"/>
              </w:rPr>
              <w:t>，甲方</w:t>
            </w:r>
            <w:r>
              <w:rPr>
                <w:rFonts w:hint="default" w:ascii="宋体" w:hAnsi="宋体" w:eastAsia="宋体" w:cs="宋体"/>
                <w:color w:val="auto"/>
                <w:sz w:val="21"/>
                <w:szCs w:val="21"/>
                <w:highlight w:val="none"/>
                <w:lang w:val="en-US" w:eastAsia="zh-CN"/>
              </w:rPr>
              <w:t>支付剩余合同金额的5%。</w:t>
            </w:r>
          </w:p>
          <w:p w14:paraId="014C58FE">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jc w:val="both"/>
              <w:textAlignment w:val="auto"/>
              <w:rPr>
                <w:rFonts w:hint="default" w:eastAsia="宋体"/>
                <w:color w:val="auto"/>
                <w:highlight w:val="none"/>
                <w:lang w:val="en-US" w:eastAsia="zh-CN"/>
              </w:rPr>
            </w:pPr>
            <w:r>
              <w:rPr>
                <w:rFonts w:hint="default" w:ascii="宋体" w:hAnsi="宋体" w:eastAsia="宋体" w:cs="宋体"/>
                <w:color w:val="auto"/>
                <w:sz w:val="21"/>
                <w:szCs w:val="21"/>
                <w:highlight w:val="none"/>
                <w:lang w:val="en-US" w:eastAsia="zh-CN"/>
              </w:rPr>
              <w:t>注：乙方按合同约定的税率开具符合甲方要求的增值税发票。在合同履行期间，若国家税率政策发生变更调整的，合同的执行税率也随之进行相应的调整。</w:t>
            </w:r>
          </w:p>
        </w:tc>
      </w:tr>
      <w:tr w14:paraId="15D1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31F37233">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19</w:t>
            </w:r>
          </w:p>
        </w:tc>
        <w:tc>
          <w:tcPr>
            <w:tcW w:w="2106" w:type="dxa"/>
          </w:tcPr>
          <w:p w14:paraId="75C89870">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中标候选人的人数</w:t>
            </w:r>
          </w:p>
        </w:tc>
        <w:tc>
          <w:tcPr>
            <w:tcW w:w="7104" w:type="dxa"/>
            <w:vAlign w:val="center"/>
          </w:tcPr>
          <w:p w14:paraId="387E0328">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textAlignment w:val="auto"/>
              <w:rPr>
                <w:rFonts w:hint="default" w:ascii="宋体" w:hAnsi="宋体" w:cs="宋体"/>
                <w:color w:val="auto"/>
                <w:highlight w:val="none"/>
              </w:rPr>
            </w:pPr>
            <w:r>
              <w:rPr>
                <w:rFonts w:hint="eastAsia" w:ascii="宋体" w:hAnsi="宋体" w:cs="宋体"/>
                <w:color w:val="auto"/>
                <w:highlight w:val="none"/>
              </w:rPr>
              <w:t>推荐的中标候选人数：2名。</w:t>
            </w:r>
          </w:p>
        </w:tc>
      </w:tr>
      <w:tr w14:paraId="1882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533A1BA0">
            <w:pPr>
              <w:pStyle w:val="150"/>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hAnsi="宋体"/>
                <w:color w:val="auto"/>
                <w:kern w:val="2"/>
                <w:sz w:val="21"/>
                <w:szCs w:val="21"/>
                <w:highlight w:val="none"/>
              </w:rPr>
            </w:pPr>
            <w:r>
              <w:rPr>
                <w:rFonts w:hint="eastAsia" w:hAnsi="宋体"/>
                <w:color w:val="auto"/>
                <w:kern w:val="2"/>
                <w:sz w:val="21"/>
                <w:szCs w:val="21"/>
                <w:highlight w:val="none"/>
              </w:rPr>
              <w:t>20</w:t>
            </w:r>
          </w:p>
        </w:tc>
        <w:tc>
          <w:tcPr>
            <w:tcW w:w="2106" w:type="dxa"/>
            <w:vAlign w:val="center"/>
          </w:tcPr>
          <w:p w14:paraId="3F6EB493">
            <w:pPr>
              <w:pStyle w:val="150"/>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14:paraId="3135C0D7">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一、投标保证金</w:t>
            </w:r>
          </w:p>
          <w:p w14:paraId="020EC2B0">
            <w:pPr>
              <w:pStyle w:val="150"/>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w:t>
            </w:r>
            <w:r>
              <w:rPr>
                <w:rFonts w:hint="eastAsia" w:ascii="宋体" w:hAnsi="宋体" w:cs="宋体"/>
                <w:b w:val="0"/>
                <w:bCs w:val="0"/>
                <w:color w:val="auto"/>
                <w:kern w:val="0"/>
                <w:sz w:val="21"/>
                <w:szCs w:val="18"/>
                <w:highlight w:val="none"/>
                <w:lang w:bidi="ar"/>
              </w:rPr>
              <w:t>投标保证金</w:t>
            </w:r>
            <w:r>
              <w:rPr>
                <w:rFonts w:hint="eastAsia" w:ascii="宋体"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eastAsia="zh-CN" w:bidi="ar"/>
              </w:rPr>
              <w:t>☑</w:t>
            </w:r>
            <w:r>
              <w:rPr>
                <w:rFonts w:hint="eastAsia" w:ascii="宋体" w:hAnsi="宋体" w:cs="宋体"/>
                <w:b w:val="0"/>
                <w:bCs w:val="0"/>
                <w:color w:val="auto"/>
                <w:kern w:val="0"/>
                <w:sz w:val="21"/>
                <w:szCs w:val="18"/>
                <w:highlight w:val="none"/>
                <w:u w:val="none"/>
                <w:lang w:val="en-US" w:eastAsia="zh-CN" w:bidi="ar"/>
              </w:rPr>
              <w:t>是</w:t>
            </w:r>
            <w:r>
              <w:rPr>
                <w:rFonts w:hint="eastAsia" w:hAnsi="宋体" w:cs="宋体"/>
                <w:b w:val="0"/>
                <w:bCs w:val="0"/>
                <w:color w:val="auto"/>
                <w:kern w:val="0"/>
                <w:sz w:val="21"/>
                <w:szCs w:val="18"/>
                <w:highlight w:val="none"/>
                <w:u w:val="none"/>
                <w:lang w:val="en-US" w:eastAsia="zh-CN" w:bidi="ar"/>
              </w:rPr>
              <w:t xml:space="preserve">   </w:t>
            </w:r>
            <w:r>
              <w:rPr>
                <w:rFonts w:hint="eastAsia"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val="en-US" w:eastAsia="zh-CN" w:bidi="ar"/>
              </w:rPr>
              <w:t>否</w:t>
            </w:r>
          </w:p>
          <w:p w14:paraId="3EB16061">
            <w:pPr>
              <w:pStyle w:val="150"/>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1、报价人须缴纳投标保证金</w:t>
            </w:r>
            <w:r>
              <w:rPr>
                <w:rFonts w:hint="eastAsia" w:hAnsi="宋体" w:cs="宋体"/>
                <w:color w:val="auto"/>
                <w:sz w:val="21"/>
                <w:szCs w:val="21"/>
                <w:highlight w:val="none"/>
                <w:u w:val="single"/>
                <w:lang w:val="en-US" w:eastAsia="zh-CN"/>
              </w:rPr>
              <w:t>2000</w:t>
            </w:r>
            <w:r>
              <w:rPr>
                <w:rFonts w:hint="eastAsia" w:ascii="宋体" w:hAnsi="宋体" w:eastAsia="宋体" w:cs="宋体"/>
                <w:color w:val="auto"/>
                <w:sz w:val="21"/>
                <w:szCs w:val="21"/>
                <w:highlight w:val="none"/>
              </w:rPr>
              <w:t>元，由报价人从公司基本账户将投标保证金汇至以下指定账户：</w:t>
            </w:r>
          </w:p>
          <w:p w14:paraId="0AA378E7">
            <w:pPr>
              <w:pStyle w:val="150"/>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保证金到账截止</w:t>
            </w:r>
            <w:r>
              <w:rPr>
                <w:rFonts w:hint="eastAsia" w:ascii="宋体" w:hAnsi="宋体" w:eastAsia="宋体" w:cs="宋体"/>
                <w:caps/>
                <w:color w:val="auto"/>
                <w:kern w:val="2"/>
                <w:sz w:val="21"/>
                <w:szCs w:val="21"/>
                <w:highlight w:val="none"/>
                <w:shd w:val="clear" w:color="auto" w:fill="FFFFFF"/>
              </w:rPr>
              <w:t>时间：</w:t>
            </w:r>
            <w:r>
              <w:rPr>
                <w:rFonts w:hint="eastAsia" w:hAnsi="宋体" w:cs="宋体"/>
                <w:color w:val="auto"/>
                <w:sz w:val="21"/>
                <w:szCs w:val="21"/>
                <w:highlight w:val="none"/>
                <w:lang w:val="en-US" w:eastAsia="zh-CN"/>
              </w:rPr>
              <w:t>开标截止时间</w:t>
            </w:r>
            <w:r>
              <w:rPr>
                <w:rFonts w:hint="eastAsia" w:ascii="宋体" w:hAnsi="宋体" w:eastAsia="宋体" w:cs="宋体"/>
                <w:color w:val="auto"/>
                <w:sz w:val="21"/>
                <w:szCs w:val="21"/>
                <w:highlight w:val="none"/>
              </w:rPr>
              <w:t>前</w:t>
            </w:r>
            <w:r>
              <w:rPr>
                <w:rFonts w:hint="eastAsia" w:ascii="宋体" w:hAnsi="宋体" w:eastAsia="宋体" w:cs="宋体"/>
                <w:caps/>
                <w:color w:val="auto"/>
                <w:kern w:val="2"/>
                <w:sz w:val="21"/>
                <w:szCs w:val="21"/>
                <w:highlight w:val="none"/>
                <w:shd w:val="clear" w:color="auto" w:fill="FFFFFF"/>
              </w:rPr>
              <w:t>；</w:t>
            </w:r>
          </w:p>
          <w:p w14:paraId="0321158B">
            <w:pPr>
              <w:pStyle w:val="150"/>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若竞争性比选响应文件内无投标保证金缴纳凭证，采购人有权作废标处理，若投标保证金存在虚假不实情况，采购人有权作废标处理。</w:t>
            </w:r>
          </w:p>
          <w:p w14:paraId="506259D5">
            <w:pPr>
              <w:pStyle w:val="150"/>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转款备注：</w:t>
            </w:r>
            <w:r>
              <w:rPr>
                <w:rFonts w:hint="eastAsia" w:ascii="宋体" w:hAnsi="宋体" w:eastAsia="宋体" w:cs="宋体"/>
                <w:i/>
                <w:iCs/>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rPr>
              <w:t>（项目名称）</w:t>
            </w:r>
            <w:r>
              <w:rPr>
                <w:rFonts w:hint="eastAsia" w:ascii="宋体" w:hAnsi="宋体" w:eastAsia="宋体" w:cs="宋体"/>
                <w:color w:val="auto"/>
                <w:sz w:val="21"/>
                <w:szCs w:val="21"/>
                <w:highlight w:val="none"/>
              </w:rPr>
              <w:t>投标保证金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r>
              <w:rPr>
                <w:rFonts w:hint="eastAsia" w:ascii="宋体" w:hAnsi="宋体" w:eastAsia="宋体" w:cs="宋体"/>
                <w:b/>
                <w:bCs/>
                <w:color w:val="auto"/>
                <w:sz w:val="21"/>
                <w:szCs w:val="21"/>
                <w:highlight w:val="none"/>
              </w:rPr>
              <w:t>。</w:t>
            </w:r>
          </w:p>
          <w:p w14:paraId="07F25003">
            <w:pPr>
              <w:pStyle w:val="150"/>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2、投标保证金退还方式</w:t>
            </w:r>
          </w:p>
          <w:p w14:paraId="3825446B">
            <w:pPr>
              <w:pStyle w:val="150"/>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为便于及时退还，报价人在递交响应文件的同时，递交本项目保证金银行回单和公司的开户许可证复印件。</w:t>
            </w:r>
          </w:p>
          <w:p w14:paraId="79B8BAB6">
            <w:pPr>
              <w:pStyle w:val="150"/>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未中标报价人的投标保证金，于该项目结果公示期结束</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未中标报价人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后15个工作日内无息退还至报价人基本账户。</w:t>
            </w:r>
          </w:p>
          <w:p w14:paraId="09AC8670">
            <w:pPr>
              <w:pStyle w:val="150"/>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中标人的投标保证金，自合同签订后</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15个工作日内无息退还至中标人基本账户。</w:t>
            </w:r>
          </w:p>
          <w:p w14:paraId="568ED5AE">
            <w:pPr>
              <w:pStyle w:val="150"/>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二、履约保证金</w:t>
            </w:r>
          </w:p>
          <w:p w14:paraId="3AD1E7E7">
            <w:pPr>
              <w:pStyle w:val="150"/>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jc w:val="both"/>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18"/>
                <w:highlight w:val="none"/>
                <w:lang w:val="en-US" w:eastAsia="zh-CN" w:bidi="ar"/>
              </w:rPr>
              <w:t>报价人是否提供履约</w:t>
            </w:r>
            <w:r>
              <w:rPr>
                <w:rFonts w:hint="eastAsia" w:ascii="宋体" w:hAnsi="宋体" w:cs="宋体"/>
                <w:b w:val="0"/>
                <w:bCs w:val="0"/>
                <w:color w:val="auto"/>
                <w:kern w:val="0"/>
                <w:sz w:val="21"/>
                <w:szCs w:val="18"/>
                <w:highlight w:val="none"/>
                <w:lang w:bidi="ar"/>
              </w:rPr>
              <w:t>保证金</w:t>
            </w:r>
            <w:r>
              <w:rPr>
                <w:rFonts w:hint="eastAsia" w:ascii="宋体"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eastAsia="zh-CN" w:bidi="ar"/>
              </w:rPr>
              <w:t>☑</w:t>
            </w:r>
            <w:r>
              <w:rPr>
                <w:rFonts w:hint="eastAsia" w:ascii="宋体" w:hAnsi="宋体" w:cs="宋体"/>
                <w:b w:val="0"/>
                <w:bCs w:val="0"/>
                <w:color w:val="auto"/>
                <w:kern w:val="0"/>
                <w:sz w:val="21"/>
                <w:szCs w:val="18"/>
                <w:highlight w:val="none"/>
                <w:u w:val="none"/>
                <w:lang w:val="en-US" w:eastAsia="zh-CN" w:bidi="ar"/>
              </w:rPr>
              <w:t>是</w:t>
            </w:r>
            <w:r>
              <w:rPr>
                <w:rFonts w:hint="eastAsia" w:hAnsi="宋体" w:cs="宋体"/>
                <w:b w:val="0"/>
                <w:bCs w:val="0"/>
                <w:color w:val="auto"/>
                <w:kern w:val="0"/>
                <w:sz w:val="21"/>
                <w:szCs w:val="18"/>
                <w:highlight w:val="none"/>
                <w:u w:val="none"/>
                <w:lang w:val="en-US" w:eastAsia="zh-CN" w:bidi="ar"/>
              </w:rPr>
              <w:t xml:space="preserve">   </w:t>
            </w:r>
            <w:r>
              <w:rPr>
                <w:rFonts w:hint="eastAsia"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val="en-US" w:eastAsia="zh-CN" w:bidi="ar"/>
              </w:rPr>
              <w:t>否</w:t>
            </w:r>
          </w:p>
          <w:p w14:paraId="0F506B36">
            <w:pPr>
              <w:pStyle w:val="150"/>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w:t>
            </w:r>
            <w:r>
              <w:rPr>
                <w:rFonts w:hint="eastAsia" w:hAnsi="宋体"/>
                <w:color w:val="auto"/>
                <w:kern w:val="2"/>
                <w:sz w:val="21"/>
                <w:szCs w:val="21"/>
                <w:highlight w:val="none"/>
                <w:lang w:val="en-US" w:eastAsia="zh-CN"/>
              </w:rPr>
              <w:t>保证金</w:t>
            </w:r>
            <w:r>
              <w:rPr>
                <w:rFonts w:hint="default" w:hAnsi="宋体"/>
                <w:color w:val="auto"/>
                <w:kern w:val="2"/>
                <w:sz w:val="21"/>
                <w:szCs w:val="21"/>
                <w:highlight w:val="none"/>
                <w:lang w:val="en-US" w:eastAsia="zh-CN"/>
              </w:rPr>
              <w:t>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14:paraId="44745179">
            <w:pPr>
              <w:pStyle w:val="150"/>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w:t>
            </w:r>
            <w:r>
              <w:rPr>
                <w:rFonts w:hint="eastAsia" w:hAnsi="宋体"/>
                <w:color w:val="auto"/>
                <w:kern w:val="2"/>
                <w:sz w:val="21"/>
                <w:szCs w:val="21"/>
                <w:highlight w:val="none"/>
                <w:u w:val="single"/>
                <w:lang w:val="en-US" w:eastAsia="zh-CN"/>
              </w:rPr>
              <w:t>中标总价的10%</w:t>
            </w:r>
            <w:r>
              <w:rPr>
                <w:rFonts w:hint="eastAsia" w:hAnsi="宋体"/>
                <w:color w:val="auto"/>
                <w:kern w:val="2"/>
                <w:sz w:val="21"/>
                <w:szCs w:val="21"/>
                <w:highlight w:val="none"/>
                <w:lang w:val="en-US" w:eastAsia="zh-CN"/>
              </w:rPr>
              <w:t>。</w:t>
            </w:r>
          </w:p>
          <w:p w14:paraId="1FE4EDCA">
            <w:pPr>
              <w:pStyle w:val="150"/>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3、履约保证金有效期：自双方签订的合同文件生效之日起，至合同约定的工作验收完成止。</w:t>
            </w:r>
          </w:p>
          <w:p w14:paraId="36521AA9">
            <w:pPr>
              <w:pStyle w:val="150"/>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4、履约保证金缴纳方式：现金或保函</w:t>
            </w:r>
          </w:p>
          <w:p w14:paraId="258B6FAF">
            <w:pPr>
              <w:pStyle w:val="3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5、履约保证金的提交：在甲方发出中标通知书后5个工作日内，中标人向采购人提供履约保证金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。若缴纳现金的，</w:t>
            </w:r>
            <w:r>
              <w:rPr>
                <w:rFonts w:hint="eastAsia" w:ascii="宋体" w:hAnsi="宋体" w:eastAsia="宋体" w:cs="宋体"/>
                <w:i w:val="0"/>
                <w:caps w:val="0"/>
                <w:color w:val="auto"/>
                <w:spacing w:val="0"/>
                <w:sz w:val="21"/>
                <w:szCs w:val="21"/>
                <w:highlight w:val="none"/>
                <w:lang w:val="en-US" w:eastAsia="zh-CN"/>
              </w:rPr>
              <w:t>则需</w:t>
            </w:r>
            <w:r>
              <w:rPr>
                <w:rFonts w:hint="eastAsia" w:ascii="宋体" w:hAnsi="宋体" w:eastAsia="宋体" w:cs="宋体"/>
                <w:i w:val="0"/>
                <w:caps w:val="0"/>
                <w:color w:val="auto"/>
                <w:spacing w:val="0"/>
                <w:sz w:val="21"/>
                <w:szCs w:val="21"/>
                <w:highlight w:val="none"/>
              </w:rPr>
              <w:t>备注</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i w:val="0"/>
                <w:caps w:val="0"/>
                <w:color w:val="auto"/>
                <w:spacing w:val="0"/>
                <w:sz w:val="21"/>
                <w:szCs w:val="21"/>
                <w:highlight w:val="none"/>
              </w:rPr>
              <w:t>转款备注：</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i w:val="0"/>
                <w:caps w:val="0"/>
                <w:color w:val="auto"/>
                <w:spacing w:val="0"/>
                <w:sz w:val="21"/>
                <w:szCs w:val="21"/>
                <w:highlight w:val="none"/>
                <w:lang w:val="en-US" w:eastAsia="zh-CN"/>
              </w:rPr>
              <w:t>履约</w:t>
            </w:r>
            <w:r>
              <w:rPr>
                <w:rFonts w:hint="eastAsia" w:ascii="宋体" w:hAnsi="宋体" w:eastAsia="宋体" w:cs="宋体"/>
                <w:i w:val="0"/>
                <w:caps w:val="0"/>
                <w:color w:val="auto"/>
                <w:spacing w:val="0"/>
                <w:sz w:val="21"/>
                <w:szCs w:val="21"/>
                <w:highlight w:val="none"/>
              </w:rPr>
              <w:t>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p>
          <w:p w14:paraId="2BBA16CA">
            <w:pPr>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6、若提供保函的：</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lang w:eastAsia="zh-CN"/>
              </w:rPr>
              <w:t>保函应合法合规，符合招投标行政监督部门、行业主管部门和金融监管部门的相关规定，满足</w:t>
            </w:r>
            <w:r>
              <w:rPr>
                <w:rFonts w:hint="eastAsia" w:ascii="宋体" w:hAnsi="宋体" w:cs="宋体"/>
                <w:color w:val="auto"/>
                <w:kern w:val="0"/>
                <w:szCs w:val="21"/>
                <w:highlight w:val="none"/>
                <w:lang w:val="en-US" w:eastAsia="zh-CN"/>
              </w:rPr>
              <w:t>竞争性比选文件</w:t>
            </w:r>
            <w:r>
              <w:rPr>
                <w:rFonts w:hint="eastAsia" w:ascii="宋体" w:hAnsi="宋体" w:eastAsia="宋体" w:cs="宋体"/>
                <w:color w:val="auto"/>
                <w:kern w:val="0"/>
                <w:szCs w:val="21"/>
                <w:highlight w:val="none"/>
                <w:lang w:eastAsia="zh-CN"/>
              </w:rPr>
              <w:t>约定要求。</w:t>
            </w:r>
            <w:r>
              <w:rPr>
                <w:rFonts w:hint="eastAsia" w:ascii="宋体" w:hAnsi="宋体" w:eastAsia="宋体" w:cs="宋体"/>
                <w:color w:val="auto"/>
                <w:kern w:val="0"/>
                <w:szCs w:val="21"/>
                <w:highlight w:val="none"/>
                <w:lang w:val="en-US" w:eastAsia="zh-CN"/>
              </w:rPr>
              <w:t>报价人对所提交的纸质投标保函的真实性、合法性、有效性负责。</w:t>
            </w:r>
          </w:p>
          <w:p w14:paraId="6E3A81D4">
            <w:pPr>
              <w:pStyle w:val="150"/>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hAnsi="宋体"/>
                <w:color w:val="auto"/>
                <w:kern w:val="2"/>
                <w:sz w:val="21"/>
                <w:szCs w:val="21"/>
                <w:highlight w:val="none"/>
                <w:lang w:val="en-US" w:eastAsia="zh-CN"/>
              </w:rPr>
              <w:t>7、</w:t>
            </w:r>
            <w:r>
              <w:rPr>
                <w:rFonts w:hint="default" w:ascii="宋体" w:hAnsi="宋体" w:cs="宋体"/>
                <w:color w:val="auto"/>
                <w:kern w:val="2"/>
                <w:sz w:val="21"/>
                <w:szCs w:val="21"/>
                <w:highlight w:val="none"/>
                <w:lang w:val="en-US" w:eastAsia="zh-CN"/>
              </w:rPr>
              <w:t>履约保证金退还：缴纳现金保函的，在完成合同约定的全部工作内容后28天后无息退还剩余部分。</w:t>
            </w:r>
          </w:p>
          <w:p w14:paraId="1F081E61">
            <w:pPr>
              <w:pStyle w:val="150"/>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2" w:firstLineChars="200"/>
              <w:textAlignment w:val="auto"/>
              <w:rPr>
                <w:rFonts w:hint="default" w:ascii="宋体" w:hAnsi="宋体" w:cs="宋体"/>
                <w:b/>
                <w:bCs/>
                <w:color w:val="auto"/>
                <w:kern w:val="0"/>
                <w:szCs w:val="21"/>
                <w:highlight w:val="none"/>
                <w:lang w:val="en-US" w:bidi="ar"/>
              </w:rPr>
            </w:pPr>
            <w:r>
              <w:rPr>
                <w:rFonts w:hint="eastAsia" w:hAnsi="宋体"/>
                <w:b/>
                <w:bCs/>
                <w:color w:val="auto"/>
                <w:kern w:val="2"/>
                <w:sz w:val="21"/>
                <w:szCs w:val="21"/>
                <w:highlight w:val="none"/>
                <w:lang w:val="en-US" w:eastAsia="zh-CN"/>
              </w:rPr>
              <w:t>三、低价风险担保金</w:t>
            </w:r>
          </w:p>
          <w:p w14:paraId="184DC214">
            <w:pPr>
              <w:pStyle w:val="150"/>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报价人是否提供低价风险担保金</w:t>
            </w:r>
            <w:r>
              <w:rPr>
                <w:rFonts w:hint="eastAsia" w:ascii="宋体"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eastAsia="zh-CN" w:bidi="ar"/>
              </w:rPr>
              <w:t>□</w:t>
            </w:r>
            <w:r>
              <w:rPr>
                <w:rFonts w:hint="eastAsia" w:ascii="宋体" w:hAnsi="宋体" w:cs="宋体"/>
                <w:b w:val="0"/>
                <w:bCs w:val="0"/>
                <w:color w:val="auto"/>
                <w:kern w:val="0"/>
                <w:sz w:val="21"/>
                <w:szCs w:val="18"/>
                <w:highlight w:val="none"/>
                <w:u w:val="none"/>
                <w:lang w:val="en-US" w:eastAsia="zh-CN" w:bidi="ar"/>
              </w:rPr>
              <w:t>是</w:t>
            </w:r>
            <w:r>
              <w:rPr>
                <w:rFonts w:hint="eastAsia" w:hAnsi="宋体" w:cs="宋体"/>
                <w:b w:val="0"/>
                <w:bCs w:val="0"/>
                <w:color w:val="auto"/>
                <w:kern w:val="0"/>
                <w:sz w:val="21"/>
                <w:szCs w:val="18"/>
                <w:highlight w:val="none"/>
                <w:u w:val="none"/>
                <w:lang w:val="en-US" w:eastAsia="zh-CN" w:bidi="ar"/>
              </w:rPr>
              <w:t xml:space="preserve">   </w:t>
            </w:r>
            <w:r>
              <w:rPr>
                <w:rFonts w:hint="eastAsia"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val="en-US" w:eastAsia="zh-CN" w:bidi="ar"/>
              </w:rPr>
              <w:t>否</w:t>
            </w:r>
          </w:p>
          <w:p w14:paraId="04A177B6">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低价风险担保：中标价低于最高限价的85%时提供，如不按时足额提供，视为中标人放弃中标，</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有权不退还其投标保证金。</w:t>
            </w:r>
          </w:p>
          <w:p w14:paraId="6AE4DEFB">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中标人提供低价风险担保的形式、金额及期限：</w:t>
            </w:r>
          </w:p>
          <w:p w14:paraId="1B64F9A2">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（1）低价风险担保的形式：现金或保函；采用保函形式的，保函必须为不可撤销、不可转让且见索即付的独立保函，保函格式详见</w:t>
            </w:r>
            <w:r>
              <w:rPr>
                <w:rFonts w:hint="eastAsia" w:ascii="宋体" w:hAnsi="宋体" w:cs="宋体"/>
                <w:color w:val="auto"/>
                <w:kern w:val="0"/>
                <w:szCs w:val="21"/>
                <w:highlight w:val="none"/>
                <w:lang w:val="en-US" w:eastAsia="zh-CN" w:bidi="ar"/>
              </w:rPr>
              <w:t>附件</w:t>
            </w:r>
            <w:r>
              <w:rPr>
                <w:rFonts w:hint="eastAsia" w:ascii="宋体" w:hAnsi="宋体" w:cs="宋体"/>
                <w:color w:val="auto"/>
                <w:kern w:val="0"/>
                <w:szCs w:val="21"/>
                <w:highlight w:val="none"/>
                <w:lang w:bidi="ar"/>
              </w:rPr>
              <w:t>合同条款及格式附件，中标人出具保函时，不得修改“低价风险担保保函”名称，也不得对低价风险担保保函示范文本中付款条件等实质性内容进行修改，否则视为不符合</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w:t>
            </w:r>
          </w:p>
          <w:p w14:paraId="2D99F20A">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（2）低价风险担保的金额：（最高限价×85%-中标价）×3，且最高不超过最高限价的85%。</w:t>
            </w:r>
          </w:p>
          <w:p w14:paraId="0D7C681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（3）低价风险担保送达</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的时间：从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 xml:space="preserve">中标通知书送达拟中标人之日起 20 </w:t>
            </w:r>
            <w:r>
              <w:rPr>
                <w:rFonts w:hint="eastAsia" w:ascii="宋体" w:hAnsi="宋体" w:cs="宋体"/>
                <w:color w:val="auto"/>
                <w:kern w:val="0"/>
                <w:szCs w:val="21"/>
                <w:highlight w:val="none"/>
                <w:lang w:val="en-US" w:eastAsia="zh-CN" w:bidi="ar"/>
              </w:rPr>
              <w:t>个</w:t>
            </w:r>
            <w:r>
              <w:rPr>
                <w:rFonts w:hint="eastAsia" w:ascii="宋体" w:hAnsi="宋体" w:cs="宋体"/>
                <w:color w:val="auto"/>
                <w:kern w:val="0"/>
                <w:szCs w:val="21"/>
                <w:highlight w:val="none"/>
                <w:lang w:bidi="ar"/>
              </w:rPr>
              <w:t>工作日内。</w:t>
            </w:r>
          </w:p>
          <w:p w14:paraId="0C8A7992">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签订合同的，其以现金形式提交低价风险担保的，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有权扣除其低价风险担保金并取消其中标资格；以保函形式提交低价风险担保的，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有权要求保函开立人支付保函担保的与低价风险担保金额等额的款项并取消中标人中标资格；中标人因自身原因未按中标通知书规定的时限与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签订合同，且未提交低价风险担保金或低价风险保函的，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有权要求中标人承担低价风险担保金等额的损失并取消中标人资格。</w:t>
            </w:r>
          </w:p>
          <w:p w14:paraId="3F62BBA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（5）低价风险担保的期限：自低价风险担保生效之日起至合同设备验收证书或验收款支付函签署之日止。</w:t>
            </w:r>
          </w:p>
          <w:p w14:paraId="707AEFB6">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低价风险担保的退还时间：采用现金担保的，在现场工程师确认供货完成后28天内全额退还，合同履行期间允许</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用符合要求的银行保函进行置换；若所供货物完全满足要求，经现场工程师确认后可在供货金额达到合同金额的一半时，可申请退还一半的低价风险担保金，剩余部分在现场工程师确认供货完成后28天内全额退还。</w:t>
            </w:r>
          </w:p>
          <w:p w14:paraId="06B08C57">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（5）低价风险担保的扣减：</w:t>
            </w:r>
          </w:p>
          <w:p w14:paraId="43E0CEF8">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在合同履行期间，以其投标时填报的价格过低为由拒绝</w:t>
            </w:r>
            <w:r>
              <w:rPr>
                <w:rFonts w:hint="eastAsia" w:ascii="宋体" w:hAnsi="宋体" w:cs="宋体"/>
                <w:color w:val="auto"/>
                <w:kern w:val="0"/>
                <w:szCs w:val="21"/>
                <w:highlight w:val="none"/>
                <w:lang w:val="en-US" w:eastAsia="zh-CN" w:bidi="ar"/>
              </w:rPr>
              <w:t>履行合同义务</w:t>
            </w:r>
            <w:r>
              <w:rPr>
                <w:rFonts w:hint="eastAsia" w:ascii="宋体" w:hAnsi="宋体" w:cs="宋体"/>
                <w:color w:val="auto"/>
                <w:kern w:val="0"/>
                <w:szCs w:val="21"/>
                <w:highlight w:val="none"/>
                <w:lang w:bidi="ar"/>
              </w:rPr>
              <w:t>；或因其自身其他原因导致项目暂停等，给</w:t>
            </w:r>
            <w:r>
              <w:rPr>
                <w:rFonts w:hint="eastAsia" w:ascii="宋体" w:hAnsi="宋体" w:cs="宋体"/>
                <w:color w:val="auto"/>
                <w:kern w:val="0"/>
                <w:szCs w:val="21"/>
                <w:highlight w:val="none"/>
                <w:lang w:eastAsia="zh-CN" w:bidi="ar"/>
              </w:rPr>
              <w:t>甲方</w:t>
            </w:r>
            <w:r>
              <w:rPr>
                <w:rFonts w:hint="eastAsia" w:ascii="宋体" w:hAnsi="宋体" w:cs="宋体"/>
                <w:color w:val="auto"/>
                <w:kern w:val="0"/>
                <w:szCs w:val="21"/>
                <w:highlight w:val="none"/>
                <w:lang w:bidi="ar"/>
              </w:rPr>
              <w:t>造成直接经济损失且拒绝承担的，按低价风险担保金额的50～100%扣减，直至解除合同；</w:t>
            </w:r>
          </w:p>
          <w:p w14:paraId="3BFC821A">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②因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违约被解除合同的，低价风险担保将全额扣除；</w:t>
            </w:r>
          </w:p>
          <w:p w14:paraId="62325C86">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③因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原因导致的其他情形。</w:t>
            </w:r>
          </w:p>
          <w:p w14:paraId="6F3A5C84">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拟中标人或者中标人放弃中标项目，无正当理由不与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签订合同，在签订合同时向</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提出附加条件或者更改合同实质性内容，或者拒不按照</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造成的损失超过投标保证金数额的，拟中标人或中标人应对超过部分予以赔偿。</w:t>
            </w:r>
          </w:p>
          <w:p w14:paraId="05A96C30">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备注：当中标人或拟中标人未按时提交低价风险担保，且属于可以延长低价风险担保提交期限的特殊情形时，经</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同意，可适当延长低价风险担保的提交期限。</w:t>
            </w:r>
          </w:p>
          <w:p w14:paraId="16F2CB3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投标总报价低于最高限价85%的，</w:t>
            </w:r>
            <w:r>
              <w:rPr>
                <w:rFonts w:hint="eastAsia" w:ascii="宋体" w:hAnsi="宋体" w:cs="宋体"/>
                <w:color w:val="auto"/>
                <w:kern w:val="0"/>
                <w:szCs w:val="21"/>
                <w:highlight w:val="none"/>
                <w:lang w:eastAsia="zh-CN" w:bidi="ar"/>
              </w:rPr>
              <w:t>报价人</w:t>
            </w:r>
            <w:r>
              <w:rPr>
                <w:rFonts w:hint="eastAsia" w:ascii="宋体" w:hAnsi="宋体" w:cs="宋体"/>
                <w:color w:val="auto"/>
                <w:kern w:val="0"/>
                <w:szCs w:val="21"/>
                <w:highlight w:val="none"/>
                <w:lang w:bidi="ar"/>
              </w:rPr>
              <w:t>应在编制</w:t>
            </w:r>
            <w:r>
              <w:rPr>
                <w:rFonts w:hint="eastAsia" w:ascii="宋体" w:hAnsi="宋体" w:cs="宋体"/>
                <w:color w:val="auto"/>
                <w:kern w:val="0"/>
                <w:szCs w:val="21"/>
                <w:highlight w:val="none"/>
                <w:lang w:eastAsia="zh-CN" w:bidi="ar"/>
              </w:rPr>
              <w:t>竞争性比选响应文件</w:t>
            </w:r>
            <w:r>
              <w:rPr>
                <w:rFonts w:hint="eastAsia" w:ascii="宋体" w:hAnsi="宋体" w:cs="宋体"/>
                <w:color w:val="auto"/>
                <w:kern w:val="0"/>
                <w:szCs w:val="21"/>
                <w:highlight w:val="none"/>
                <w:lang w:bidi="ar"/>
              </w:rPr>
              <w:t>时，在投标函部分中递交低价风险担保提交承诺书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格式自拟</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w:t>
            </w:r>
          </w:p>
          <w:p w14:paraId="7AD1409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0"/>
                <w:szCs w:val="21"/>
                <w:highlight w:val="none"/>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14:paraId="2D8F1F7A">
            <w:pPr>
              <w:pStyle w:val="150"/>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14:paraId="3C7EE693">
            <w:pPr>
              <w:pStyle w:val="150"/>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14:paraId="5BD87400">
            <w:pPr>
              <w:pStyle w:val="150"/>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14:paraId="2E387328">
            <w:pPr>
              <w:pStyle w:val="150"/>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14:paraId="0EE08E5B">
            <w:pPr>
              <w:pStyle w:val="150"/>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22" w:firstLineChars="200"/>
              <w:jc w:val="both"/>
              <w:textAlignment w:val="auto"/>
              <w:rPr>
                <w:rFonts w:hint="default" w:hAnsi="宋体"/>
                <w:color w:val="auto"/>
                <w:kern w:val="2"/>
                <w:sz w:val="21"/>
                <w:highlight w:val="none"/>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14:paraId="01F9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697" w:type="dxa"/>
            <w:vAlign w:val="center"/>
          </w:tcPr>
          <w:p w14:paraId="1E1AA6A2">
            <w:pPr>
              <w:pStyle w:val="150"/>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eastAsia" w:hAnsi="宋体"/>
                <w:color w:val="auto"/>
                <w:kern w:val="2"/>
                <w:sz w:val="21"/>
                <w:szCs w:val="21"/>
                <w:highlight w:val="none"/>
              </w:rPr>
            </w:pPr>
            <w:r>
              <w:rPr>
                <w:rFonts w:hint="eastAsia" w:hAnsi="宋体"/>
                <w:color w:val="auto"/>
                <w:sz w:val="21"/>
                <w:szCs w:val="21"/>
                <w:highlight w:val="none"/>
              </w:rPr>
              <w:t>21</w:t>
            </w:r>
          </w:p>
        </w:tc>
        <w:tc>
          <w:tcPr>
            <w:tcW w:w="2106" w:type="dxa"/>
            <w:vAlign w:val="center"/>
          </w:tcPr>
          <w:p w14:paraId="7323986F">
            <w:pPr>
              <w:pStyle w:val="150"/>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eastAsia" w:hAnsi="宋体"/>
                <w:color w:val="auto"/>
                <w:kern w:val="2"/>
                <w:sz w:val="21"/>
                <w:szCs w:val="21"/>
                <w:highlight w:val="none"/>
              </w:rPr>
            </w:pPr>
            <w:r>
              <w:rPr>
                <w:rFonts w:hint="eastAsia" w:hAnsi="宋体"/>
                <w:color w:val="auto"/>
                <w:kern w:val="2"/>
                <w:sz w:val="21"/>
                <w:szCs w:val="21"/>
                <w:highlight w:val="none"/>
              </w:rPr>
              <w:t>投标文件的装订、密封及标记</w:t>
            </w:r>
          </w:p>
        </w:tc>
        <w:tc>
          <w:tcPr>
            <w:tcW w:w="7104" w:type="dxa"/>
            <w:vAlign w:val="center"/>
          </w:tcPr>
          <w:p w14:paraId="3F758C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竞争性比选响应文件提交正本1份，副本1份，副本可为正本的复印件，竞争性比选响应文件需装订成册；报价人应提供竞争性比选响应文件电子文件1份（U盘1份，电子文件内容须包括竞争性比选响应文件全部内容）。当电子文件与纸质版竞争性比选响应文件不一致时，以纸质版竞争性比选响应文件为准，当正本与副本不一致时，以正本为准。</w:t>
            </w:r>
          </w:p>
          <w:p w14:paraId="59CFBB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次竞争性比选响应文件的组成：竞争性比选响应声明书、法定代表人身份证明和法定代表人授权委托书、报价一览表、资格审查资料、承诺书、报价人认为需要提供的其他相关文件（注：以上所有文件均须加盖报价人的公章）。</w:t>
            </w:r>
          </w:p>
          <w:p w14:paraId="48B11C71">
            <w:pPr>
              <w:keepNext w:val="0"/>
              <w:keepLines w:val="0"/>
              <w:suppressLineNumbers w:val="0"/>
              <w:adjustRightInd w:val="0"/>
              <w:snapToGrid w:val="0"/>
              <w:spacing w:before="0" w:beforeAutospacing="0" w:after="0" w:afterAutospacing="0" w:line="420" w:lineRule="exact"/>
              <w:ind w:left="0" w:right="0" w:firstLine="436" w:firstLineChars="208"/>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密封要求：竞争性比选响应文件密封到一个封袋中</w:t>
            </w:r>
            <w:r>
              <w:rPr>
                <w:rFonts w:hint="eastAsia" w:ascii="宋体" w:hAnsi="宋体" w:cs="宋体"/>
                <w:color w:val="auto"/>
                <w:szCs w:val="21"/>
                <w:highlight w:val="none"/>
                <w:lang w:eastAsia="zh-CN"/>
              </w:rPr>
              <w:t>。</w:t>
            </w:r>
          </w:p>
          <w:p w14:paraId="270E665C">
            <w:pPr>
              <w:keepNext w:val="0"/>
              <w:keepLines w:val="0"/>
              <w:suppressLineNumbers w:val="0"/>
              <w:adjustRightInd w:val="0"/>
              <w:snapToGrid w:val="0"/>
              <w:spacing w:before="0" w:beforeAutospacing="0" w:after="0" w:afterAutospacing="0" w:line="420" w:lineRule="exact"/>
              <w:ind w:left="0" w:right="0" w:firstLine="436" w:firstLineChars="208"/>
              <w:rPr>
                <w:rFonts w:hint="eastAsia" w:ascii="宋体" w:hAnsi="宋体" w:cs="宋体"/>
                <w:b/>
                <w:bCs/>
                <w:color w:val="auto"/>
                <w:kern w:val="0"/>
                <w:szCs w:val="21"/>
                <w:highlight w:val="none"/>
              </w:rPr>
            </w:pPr>
            <w:r>
              <w:rPr>
                <w:rFonts w:hint="eastAsia" w:ascii="宋体" w:hAnsi="宋体" w:eastAsia="宋体" w:cs="宋体"/>
                <w:color w:val="auto"/>
                <w:szCs w:val="21"/>
                <w:highlight w:val="none"/>
                <w:u w:val="none"/>
                <w:lang w:val="en-US" w:eastAsia="zh-CN"/>
              </w:rPr>
              <w:t>4.</w:t>
            </w:r>
            <w:r>
              <w:rPr>
                <w:rFonts w:hint="eastAsia" w:ascii="宋体" w:hAnsi="宋体" w:eastAsia="宋体" w:cs="宋体"/>
                <w:color w:val="auto"/>
                <w:szCs w:val="21"/>
                <w:highlight w:val="none"/>
                <w:u w:val="none"/>
                <w:lang w:eastAsia="zh-CN"/>
              </w:rPr>
              <w:t>投标文件的标记</w:t>
            </w:r>
          </w:p>
          <w:p w14:paraId="24C8318E">
            <w:pPr>
              <w:keepNext w:val="0"/>
              <w:keepLines w:val="0"/>
              <w:suppressLineNumbers w:val="0"/>
              <w:adjustRightInd w:val="0"/>
              <w:snapToGrid w:val="0"/>
              <w:spacing w:before="0" w:beforeAutospacing="0" w:after="0" w:afterAutospacing="0" w:line="420" w:lineRule="exact"/>
              <w:ind w:left="0" w:right="0"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rPr>
              <w:t>应在 “</w:t>
            </w:r>
            <w:r>
              <w:rPr>
                <w:rFonts w:hint="eastAsia" w:ascii="宋体" w:hAnsi="宋体" w:cs="宋体"/>
                <w:color w:val="auto"/>
                <w:szCs w:val="21"/>
                <w:highlight w:val="none"/>
              </w:rPr>
              <w:t>竞争性比选响应文件</w:t>
            </w:r>
            <w:r>
              <w:rPr>
                <w:rFonts w:hint="eastAsia" w:ascii="宋体" w:hAnsi="宋体" w:cs="宋体"/>
                <w:color w:val="auto"/>
                <w:kern w:val="0"/>
                <w:szCs w:val="21"/>
                <w:highlight w:val="none"/>
              </w:rPr>
              <w:t>”</w:t>
            </w:r>
            <w:r>
              <w:rPr>
                <w:rFonts w:hint="eastAsia" w:ascii="宋体" w:hAnsi="宋体" w:cs="宋体"/>
                <w:color w:val="auto"/>
                <w:szCs w:val="21"/>
                <w:highlight w:val="none"/>
              </w:rPr>
              <w:t>封袋</w:t>
            </w:r>
            <w:r>
              <w:rPr>
                <w:rFonts w:hint="eastAsia" w:ascii="宋体" w:hAnsi="宋体" w:cs="宋体"/>
                <w:color w:val="auto"/>
                <w:kern w:val="0"/>
                <w:szCs w:val="21"/>
                <w:highlight w:val="none"/>
              </w:rPr>
              <w:t>写明以下内容：</w:t>
            </w:r>
          </w:p>
          <w:tbl>
            <w:tblPr>
              <w:tblStyle w:val="43"/>
              <w:tblW w:w="6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2"/>
            </w:tblGrid>
            <w:tr w14:paraId="627B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6142" w:type="dxa"/>
                  <w:noWrap w:val="0"/>
                  <w:vAlign w:val="top"/>
                </w:tcPr>
                <w:p w14:paraId="231DDDB4">
                  <w:pPr>
                    <w:keepNext w:val="0"/>
                    <w:keepLines w:val="0"/>
                    <w:suppressLineNumbers w:val="0"/>
                    <w:adjustRightInd w:val="0"/>
                    <w:snapToGrid w:val="0"/>
                    <w:spacing w:before="0" w:beforeAutospacing="0" w:after="0" w:afterAutospacing="0" w:line="420" w:lineRule="exact"/>
                    <w:ind w:left="0" w:right="0"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名称：</w:t>
                  </w:r>
                </w:p>
                <w:p w14:paraId="3C257E41">
                  <w:pPr>
                    <w:keepNext w:val="0"/>
                    <w:keepLines w:val="0"/>
                    <w:suppressLineNumbers w:val="0"/>
                    <w:adjustRightInd w:val="0"/>
                    <w:snapToGrid w:val="0"/>
                    <w:spacing w:before="0" w:beforeAutospacing="0" w:after="0" w:afterAutospacing="0" w:line="420" w:lineRule="exact"/>
                    <w:ind w:left="0" w:right="0"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（项目名称）                </w:t>
                  </w:r>
                  <w:r>
                    <w:rPr>
                      <w:rFonts w:hint="eastAsia" w:ascii="宋体" w:hAnsi="宋体" w:cs="宋体"/>
                      <w:color w:val="auto"/>
                      <w:szCs w:val="21"/>
                      <w:highlight w:val="none"/>
                    </w:rPr>
                    <w:t>响应</w:t>
                  </w:r>
                  <w:r>
                    <w:rPr>
                      <w:rFonts w:hint="eastAsia" w:ascii="宋体" w:hAnsi="宋体" w:cs="宋体"/>
                      <w:color w:val="auto"/>
                      <w:kern w:val="0"/>
                      <w:szCs w:val="21"/>
                      <w:highlight w:val="none"/>
                    </w:rPr>
                    <w:t>文件</w:t>
                  </w:r>
                </w:p>
                <w:p w14:paraId="0B10C874">
                  <w:pPr>
                    <w:keepNext w:val="0"/>
                    <w:keepLines w:val="0"/>
                    <w:suppressLineNumbers w:val="0"/>
                    <w:adjustRightInd w:val="0"/>
                    <w:snapToGrid w:val="0"/>
                    <w:spacing w:before="0" w:beforeAutospacing="0" w:after="0" w:afterAutospacing="0" w:line="420" w:lineRule="exact"/>
                    <w:ind w:left="0" w:right="0"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（加盖</w:t>
                  </w: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人单位</w:t>
                  </w:r>
                  <w:r>
                    <w:rPr>
                      <w:rFonts w:hint="eastAsia" w:ascii="宋体" w:hAnsi="宋体" w:cs="宋体"/>
                      <w:color w:val="auto"/>
                      <w:kern w:val="0"/>
                      <w:szCs w:val="21"/>
                      <w:highlight w:val="none"/>
                      <w:lang w:val="en-US" w:eastAsia="zh-CN"/>
                    </w:rPr>
                    <w:t>公</w:t>
                  </w:r>
                  <w:r>
                    <w:rPr>
                      <w:rFonts w:hint="eastAsia" w:ascii="宋体" w:hAnsi="宋体" w:cs="宋体"/>
                      <w:color w:val="auto"/>
                      <w:kern w:val="0"/>
                      <w:szCs w:val="21"/>
                      <w:highlight w:val="none"/>
                    </w:rPr>
                    <w:t>章）</w:t>
                  </w:r>
                </w:p>
                <w:p w14:paraId="3009AF2A">
                  <w:pPr>
                    <w:keepNext w:val="0"/>
                    <w:keepLines w:val="0"/>
                    <w:suppressLineNumbers w:val="0"/>
                    <w:adjustRightInd w:val="0"/>
                    <w:snapToGrid w:val="0"/>
                    <w:spacing w:before="0" w:beforeAutospacing="0" w:after="0" w:afterAutospacing="0" w:line="420" w:lineRule="exact"/>
                    <w:ind w:left="0" w:right="0"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rPr>
                    <w:t>在</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分（同</w:t>
                  </w:r>
                  <w:r>
                    <w:rPr>
                      <w:rFonts w:hint="eastAsia" w:ascii="宋体" w:hAnsi="宋体" w:cs="宋体"/>
                      <w:color w:val="auto"/>
                      <w:szCs w:val="21"/>
                      <w:highlight w:val="none"/>
                      <w:shd w:val="clear" w:color="auto" w:fill="FFFFFF"/>
                    </w:rPr>
                    <w:t>报价截止时间</w:t>
                  </w:r>
                  <w:r>
                    <w:rPr>
                      <w:rFonts w:hint="eastAsia" w:ascii="宋体" w:hAnsi="宋体" w:cs="宋体"/>
                      <w:color w:val="auto"/>
                      <w:kern w:val="0"/>
                      <w:szCs w:val="21"/>
                      <w:highlight w:val="none"/>
                    </w:rPr>
                    <w:t>）前不得开启</w:t>
                  </w:r>
                </w:p>
              </w:tc>
            </w:tr>
          </w:tbl>
          <w:p w14:paraId="49E05330">
            <w:pPr>
              <w:pStyle w:val="150"/>
              <w:keepNext w:val="0"/>
              <w:keepLines w:val="0"/>
              <w:pageBreakBefore w:val="0"/>
              <w:widowControl w:val="0"/>
              <w:suppressLineNumbers w:val="0"/>
              <w:kinsoku/>
              <w:wordWrap/>
              <w:overflowPunct/>
              <w:bidi w:val="0"/>
              <w:spacing w:before="0" w:beforeAutospacing="0" w:after="0" w:afterAutospacing="0" w:line="400" w:lineRule="exact"/>
              <w:ind w:left="0" w:right="0"/>
              <w:textAlignment w:val="auto"/>
              <w:rPr>
                <w:rFonts w:hint="eastAsia" w:hAnsi="宋体"/>
                <w:b/>
                <w:bCs/>
                <w:color w:val="auto"/>
                <w:kern w:val="2"/>
                <w:sz w:val="21"/>
                <w:szCs w:val="21"/>
                <w:highlight w:val="none"/>
                <w:lang w:val="en-US" w:eastAsia="zh-CN"/>
              </w:rPr>
            </w:pPr>
          </w:p>
        </w:tc>
      </w:tr>
      <w:tr w14:paraId="6435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3DB9636">
            <w:pPr>
              <w:pStyle w:val="150"/>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hAnsi="宋体"/>
                <w:color w:val="auto"/>
                <w:sz w:val="21"/>
                <w:szCs w:val="21"/>
                <w:highlight w:val="none"/>
              </w:rPr>
            </w:pPr>
            <w:r>
              <w:rPr>
                <w:rFonts w:hint="eastAsia" w:hAnsi="宋体"/>
                <w:color w:val="auto"/>
                <w:kern w:val="2"/>
                <w:sz w:val="21"/>
                <w:szCs w:val="21"/>
                <w:highlight w:val="none"/>
              </w:rPr>
              <w:t>22</w:t>
            </w:r>
          </w:p>
        </w:tc>
        <w:tc>
          <w:tcPr>
            <w:tcW w:w="2106" w:type="dxa"/>
            <w:vAlign w:val="center"/>
          </w:tcPr>
          <w:p w14:paraId="2A88EA22">
            <w:pPr>
              <w:pStyle w:val="150"/>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14:paraId="1D4B56AC">
            <w:pPr>
              <w:pStyle w:val="150"/>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textAlignment w:val="auto"/>
              <w:rPr>
                <w:rFonts w:hint="default"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14:paraId="3432A47D">
            <w:pPr>
              <w:pStyle w:val="150"/>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textAlignment w:val="auto"/>
              <w:rPr>
                <w:rFonts w:hint="default" w:hAnsi="宋体"/>
                <w:color w:val="auto"/>
                <w:kern w:val="2"/>
                <w:sz w:val="21"/>
                <w:szCs w:val="21"/>
                <w:highlight w:val="none"/>
              </w:rPr>
            </w:pPr>
            <w:r>
              <w:rPr>
                <w:rFonts w:hint="eastAsia" w:hAnsi="宋体"/>
                <w:color w:val="auto"/>
                <w:kern w:val="2"/>
                <w:sz w:val="21"/>
                <w:szCs w:val="21"/>
                <w:highlight w:val="none"/>
              </w:rPr>
              <w:t>地    址：重庆市渝北区龙溪街道新南路52号1幢3-1</w:t>
            </w:r>
          </w:p>
          <w:p w14:paraId="68DE3C09">
            <w:pPr>
              <w:pStyle w:val="150"/>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textAlignment w:val="auto"/>
              <w:rPr>
                <w:rFonts w:hint="default" w:hAnsi="宋体"/>
                <w:color w:val="auto"/>
                <w:sz w:val="21"/>
                <w:szCs w:val="21"/>
                <w:highlight w:val="none"/>
              </w:rPr>
            </w:pPr>
            <w:r>
              <w:rPr>
                <w:rFonts w:hint="eastAsia" w:hAnsi="宋体"/>
                <w:color w:val="auto"/>
                <w:kern w:val="2"/>
                <w:sz w:val="21"/>
                <w:szCs w:val="21"/>
                <w:highlight w:val="none"/>
              </w:rPr>
              <w:t>电    话：023-86376833</w:t>
            </w:r>
          </w:p>
        </w:tc>
      </w:tr>
      <w:tr w14:paraId="38B6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705A9351">
            <w:pPr>
              <w:pStyle w:val="150"/>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hAnsi="宋体"/>
                <w:color w:val="auto"/>
                <w:kern w:val="2"/>
                <w:sz w:val="21"/>
                <w:szCs w:val="21"/>
                <w:highlight w:val="none"/>
              </w:rPr>
            </w:pPr>
            <w:r>
              <w:rPr>
                <w:rFonts w:hint="eastAsia" w:hAnsi="宋体" w:cs="宋体"/>
                <w:color w:val="auto"/>
                <w:sz w:val="21"/>
                <w:szCs w:val="21"/>
                <w:highlight w:val="none"/>
                <w:lang w:val="en-US" w:eastAsia="zh-CN"/>
              </w:rPr>
              <w:t>23</w:t>
            </w:r>
          </w:p>
        </w:tc>
        <w:tc>
          <w:tcPr>
            <w:tcW w:w="2106" w:type="dxa"/>
            <w:vAlign w:val="center"/>
          </w:tcPr>
          <w:p w14:paraId="73A52923">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中标候选人公示</w:t>
            </w:r>
          </w:p>
        </w:tc>
        <w:tc>
          <w:tcPr>
            <w:tcW w:w="7104" w:type="dxa"/>
            <w:vAlign w:val="center"/>
          </w:tcPr>
          <w:p w14:paraId="253E10E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评标结果将在</w:t>
            </w:r>
            <w:r>
              <w:rPr>
                <w:rFonts w:hint="eastAsia" w:ascii="宋体" w:hAnsi="宋体"/>
                <w:color w:val="auto"/>
                <w:szCs w:val="21"/>
                <w:highlight w:val="none"/>
              </w:rPr>
              <w:t>重庆高速集团官网</w:t>
            </w:r>
            <w:r>
              <w:rPr>
                <w:rFonts w:hint="eastAsia" w:ascii="宋体" w:hAnsi="宋体"/>
                <w:color w:val="auto"/>
                <w:szCs w:val="21"/>
                <w:highlight w:val="none"/>
                <w:lang w:eastAsia="zh-CN"/>
              </w:rPr>
              <w:t>（http://www.cegc.com.cn/）</w:t>
            </w:r>
            <w:r>
              <w:rPr>
                <w:rFonts w:hint="eastAsia" w:ascii="宋体" w:hAnsi="宋体" w:eastAsia="宋体" w:cs="宋体"/>
                <w:color w:val="auto"/>
                <w:sz w:val="21"/>
                <w:szCs w:val="21"/>
                <w:highlight w:val="none"/>
              </w:rPr>
              <w:t>上进行公示，公示期为3日。公示内容包括中标候选人名称、排序、投标报价；提出异议、投诉的渠道和方式。</w:t>
            </w:r>
          </w:p>
        </w:tc>
      </w:tr>
      <w:tr w14:paraId="2262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8F80675">
            <w:pPr>
              <w:pStyle w:val="150"/>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23</w:t>
            </w:r>
          </w:p>
        </w:tc>
        <w:tc>
          <w:tcPr>
            <w:tcW w:w="9210" w:type="dxa"/>
            <w:gridSpan w:val="2"/>
            <w:vAlign w:val="center"/>
          </w:tcPr>
          <w:p w14:paraId="3C203CC6">
            <w:pPr>
              <w:pStyle w:val="150"/>
              <w:keepNext w:val="0"/>
              <w:keepLines w:val="0"/>
              <w:pageBreakBefore w:val="0"/>
              <w:widowControl w:val="0"/>
              <w:suppressLineNumbers w:val="0"/>
              <w:kinsoku/>
              <w:wordWrap/>
              <w:overflowPunct/>
              <w:bidi w:val="0"/>
              <w:spacing w:before="0" w:beforeAutospacing="0" w:after="0" w:afterAutospacing="0" w:line="400" w:lineRule="exact"/>
              <w:ind w:left="0" w:right="0" w:firstLine="482" w:firstLineChars="200"/>
              <w:jc w:val="center"/>
              <w:textAlignment w:val="auto"/>
              <w:rPr>
                <w:rFonts w:hint="default" w:hAnsi="宋体"/>
                <w:color w:val="auto"/>
                <w:kern w:val="2"/>
                <w:sz w:val="21"/>
                <w:szCs w:val="21"/>
                <w:highlight w:val="none"/>
              </w:rPr>
            </w:pPr>
            <w:r>
              <w:rPr>
                <w:rFonts w:hint="default" w:hAnsi="宋体"/>
                <w:b/>
                <w:bCs/>
                <w:color w:val="auto"/>
                <w:szCs w:val="21"/>
                <w:highlight w:val="none"/>
              </w:rPr>
              <w:t>需要补充的其他内容</w:t>
            </w:r>
          </w:p>
        </w:tc>
      </w:tr>
      <w:tr w14:paraId="2CD7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1D237708">
            <w:pPr>
              <w:pStyle w:val="150"/>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hAnsi="宋体"/>
                <w:color w:val="auto"/>
                <w:kern w:val="2"/>
                <w:sz w:val="21"/>
                <w:szCs w:val="21"/>
                <w:highlight w:val="none"/>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3</w:t>
            </w:r>
            <w:r>
              <w:rPr>
                <w:rFonts w:hint="eastAsia" w:hAnsi="宋体"/>
                <w:color w:val="auto"/>
                <w:kern w:val="2"/>
                <w:sz w:val="21"/>
                <w:szCs w:val="21"/>
                <w:highlight w:val="none"/>
              </w:rPr>
              <w:t>.1</w:t>
            </w:r>
          </w:p>
        </w:tc>
        <w:tc>
          <w:tcPr>
            <w:tcW w:w="9210" w:type="dxa"/>
            <w:gridSpan w:val="2"/>
            <w:vAlign w:val="center"/>
          </w:tcPr>
          <w:p w14:paraId="0B0CCFC4">
            <w:pPr>
              <w:pStyle w:val="150"/>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textAlignment w:val="auto"/>
              <w:rPr>
                <w:rFonts w:hint="default" w:hAnsi="宋体"/>
                <w:b/>
                <w:bCs/>
                <w:color w:val="auto"/>
                <w:szCs w:val="21"/>
                <w:highlight w:val="none"/>
              </w:rPr>
            </w:pPr>
            <w:r>
              <w:rPr>
                <w:rFonts w:hint="eastAsia" w:hAnsi="宋体"/>
                <w:color w:val="auto"/>
                <w:sz w:val="21"/>
                <w:szCs w:val="21"/>
                <w:highlight w:val="none"/>
              </w:rPr>
              <w:t>截止竞争性比选响应文件递交时间，递交竞争性比选响应文件不足3家的不得开启竞争性比选文件。重新招标后报价人仍少于3个，按法定程序开标和评标，确定中标人。</w:t>
            </w:r>
          </w:p>
        </w:tc>
      </w:tr>
      <w:bookmarkEnd w:id="110"/>
    </w:tbl>
    <w:p w14:paraId="238C440A">
      <w:pPr>
        <w:rPr>
          <w:color w:val="auto"/>
          <w:highlight w:val="none"/>
        </w:rPr>
      </w:pPr>
    </w:p>
    <w:p w14:paraId="7F643B22">
      <w:pPr>
        <w:spacing w:line="360" w:lineRule="auto"/>
        <w:jc w:val="center"/>
        <w:rPr>
          <w:rFonts w:ascii="宋体" w:hAnsi="宋体" w:cs="宋体"/>
          <w:b/>
          <w:color w:val="auto"/>
          <w:sz w:val="28"/>
          <w:szCs w:val="28"/>
          <w:highlight w:val="none"/>
        </w:rPr>
        <w:sectPr>
          <w:headerReference r:id="rId7" w:type="default"/>
          <w:footerReference r:id="rId8" w:type="default"/>
          <w:pgSz w:w="11906" w:h="16838"/>
          <w:pgMar w:top="1418" w:right="1134" w:bottom="1418" w:left="1134" w:header="851" w:footer="992" w:gutter="0"/>
          <w:pgNumType w:start="1"/>
          <w:cols w:space="720" w:num="1"/>
          <w:docGrid w:type="lines" w:linePitch="312" w:charSpace="0"/>
        </w:sectPr>
      </w:pPr>
      <w:bookmarkStart w:id="111" w:name="_Hlt227984024"/>
      <w:bookmarkEnd w:id="111"/>
    </w:p>
    <w:p w14:paraId="7F111BED">
      <w:pPr>
        <w:pStyle w:val="4"/>
        <w:jc w:val="center"/>
        <w:rPr>
          <w:rFonts w:ascii="宋体" w:hAnsi="宋体" w:eastAsia="宋体" w:cs="宋体"/>
          <w:bCs w:val="0"/>
          <w:color w:val="auto"/>
          <w:sz w:val="28"/>
          <w:szCs w:val="28"/>
          <w:highlight w:val="none"/>
        </w:rPr>
      </w:pPr>
      <w:bookmarkStart w:id="112" w:name="_Toc30198"/>
      <w:bookmarkStart w:id="113" w:name="_Toc17532"/>
      <w:bookmarkStart w:id="114" w:name="_Toc11284"/>
      <w:bookmarkStart w:id="115" w:name="_Toc11329222"/>
      <w:bookmarkStart w:id="116" w:name="_Toc19497"/>
      <w:r>
        <w:rPr>
          <w:rFonts w:hint="eastAsia" w:ascii="宋体" w:hAnsi="宋体" w:eastAsia="宋体" w:cs="宋体"/>
          <w:color w:val="auto"/>
          <w:sz w:val="28"/>
          <w:szCs w:val="28"/>
          <w:highlight w:val="none"/>
        </w:rPr>
        <w:t xml:space="preserve">附录1  </w:t>
      </w:r>
      <w:bookmarkEnd w:id="112"/>
      <w:bookmarkEnd w:id="113"/>
      <w:bookmarkEnd w:id="114"/>
      <w:bookmarkEnd w:id="115"/>
      <w:bookmarkStart w:id="117" w:name="_Toc12773"/>
      <w:bookmarkStart w:id="118" w:name="_Toc11329226"/>
      <w:bookmarkStart w:id="119" w:name="_Toc27096"/>
      <w:bookmarkStart w:id="120" w:name="_Toc25591"/>
      <w:r>
        <w:rPr>
          <w:rFonts w:hint="eastAsia" w:ascii="宋体" w:hAnsi="宋体" w:eastAsia="宋体" w:cs="宋体"/>
          <w:bCs w:val="0"/>
          <w:color w:val="auto"/>
          <w:sz w:val="28"/>
          <w:szCs w:val="28"/>
          <w:highlight w:val="none"/>
        </w:rPr>
        <w:t>报价人资格要求</w:t>
      </w:r>
      <w:bookmarkEnd w:id="116"/>
      <w:bookmarkEnd w:id="117"/>
      <w:bookmarkEnd w:id="118"/>
      <w:bookmarkEnd w:id="119"/>
      <w:bookmarkEnd w:id="120"/>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5DFE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4E695C84">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bookmarkStart w:id="121" w:name="_Toc387234996"/>
            <w:bookmarkStart w:id="122" w:name="_Toc388534043"/>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3B0F12E3">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4C546DA0">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资格要求</w:t>
            </w:r>
          </w:p>
        </w:tc>
      </w:tr>
      <w:tr w14:paraId="4B7A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14:paraId="02D5665B">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14:paraId="4FC47385">
            <w:pPr>
              <w:keepNext w:val="0"/>
              <w:keepLines w:val="0"/>
              <w:suppressLineNumbers w:val="0"/>
              <w:spacing w:before="0" w:beforeAutospacing="0" w:after="0" w:afterAutospacing="0" w:line="40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14:paraId="7BBC621D">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1</w:t>
            </w:r>
            <w:r>
              <w:rPr>
                <w:rFonts w:hint="eastAsia" w:ascii="宋体" w:hAnsi="宋体" w:cs="宋体"/>
                <w:color w:val="auto"/>
                <w:szCs w:val="21"/>
                <w:highlight w:val="none"/>
                <w:shd w:val="clear" w:color="auto" w:fill="FFFFFF"/>
                <w:lang w:eastAsia="zh-CN"/>
              </w:rPr>
              <w:t>）</w:t>
            </w:r>
            <w:r>
              <w:rPr>
                <w:rFonts w:hint="eastAsia" w:ascii="宋体" w:hAnsi="宋体" w:cs="宋体"/>
                <w:color w:val="auto"/>
                <w:highlight w:val="none"/>
                <w:lang w:eastAsia="zh-CN"/>
              </w:rPr>
              <w:t>报价人具有独立法人资格及有效的营业执照。</w:t>
            </w:r>
          </w:p>
          <w:p w14:paraId="4654D1E5">
            <w:pPr>
              <w:keepNext w:val="0"/>
              <w:keepLines w:val="0"/>
              <w:pageBreakBefore w:val="0"/>
              <w:suppressLineNumbers w:val="0"/>
              <w:kinsoku/>
              <w:overflowPunct/>
              <w:topLinePunct w:val="0"/>
              <w:bidi w:val="0"/>
              <w:adjustRightInd w:val="0"/>
              <w:snapToGrid w:val="0"/>
              <w:spacing w:before="0" w:beforeAutospacing="0" w:after="0" w:afterAutospacing="0" w:line="420" w:lineRule="exact"/>
              <w:ind w:left="0" w:leftChars="0" w:right="0"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shd w:val="clear" w:color="auto" w:fill="FFFFFF"/>
              </w:rPr>
              <w:t>（2）</w:t>
            </w:r>
            <w:r>
              <w:rPr>
                <w:rFonts w:hint="eastAsia" w:ascii="宋体" w:hAnsi="宋体" w:cs="宋体"/>
                <w:color w:val="auto"/>
                <w:highlight w:val="none"/>
                <w:lang w:eastAsia="zh-CN"/>
              </w:rPr>
              <w:t>报价</w:t>
            </w:r>
            <w:r>
              <w:rPr>
                <w:rFonts w:hint="eastAsia" w:ascii="宋体" w:hAnsi="宋体" w:cs="宋体"/>
                <w:color w:val="auto"/>
                <w:szCs w:val="21"/>
                <w:highlight w:val="none"/>
                <w:shd w:val="clear" w:color="auto" w:fill="FFFFFF"/>
              </w:rPr>
              <w:t>人需</w:t>
            </w:r>
            <w:r>
              <w:rPr>
                <w:rFonts w:hint="eastAsia" w:ascii="宋体" w:hAnsi="宋体" w:cs="宋体"/>
                <w:color w:val="auto"/>
                <w:szCs w:val="21"/>
                <w:highlight w:val="none"/>
                <w:shd w:val="clear" w:color="auto" w:fill="FFFFFF"/>
                <w:lang w:val="en-US" w:eastAsia="zh-CN"/>
              </w:rPr>
              <w:t>具备</w:t>
            </w:r>
            <w:r>
              <w:rPr>
                <w:rFonts w:hint="eastAsia" w:ascii="宋体" w:hAnsi="宋体" w:cs="宋体"/>
                <w:color w:val="auto"/>
                <w:szCs w:val="21"/>
                <w:highlight w:val="none"/>
                <w:shd w:val="clear" w:color="auto" w:fill="FFFFFF"/>
              </w:rPr>
              <w:t>“国家秘密载体印制资质”乙级及以上资质证书</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rPr>
              <w:t>资质类别：档案数字化加工或涉密档案数字化加工</w:t>
            </w:r>
            <w:r>
              <w:rPr>
                <w:rFonts w:hint="eastAsia" w:ascii="宋体" w:hAnsi="宋体" w:cs="宋体"/>
                <w:color w:val="auto"/>
                <w:szCs w:val="21"/>
                <w:highlight w:val="none"/>
                <w:shd w:val="clear" w:color="auto" w:fill="FFFFFF"/>
                <w:lang w:eastAsia="zh-CN"/>
              </w:rPr>
              <w:t>）。</w:t>
            </w:r>
          </w:p>
        </w:tc>
      </w:tr>
      <w:tr w14:paraId="6847A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7F8E84E5">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14:paraId="7B0C4406">
            <w:pPr>
              <w:keepNext w:val="0"/>
              <w:keepLines w:val="0"/>
              <w:suppressLineNumbers w:val="0"/>
              <w:spacing w:before="0" w:beforeAutospacing="0" w:after="0" w:afterAutospacing="0" w:line="400" w:lineRule="exact"/>
              <w:ind w:left="0" w:right="0"/>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25C8A0A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2021年1月1日至竞争性比选文件发出之日（以合同签订时间为准）起至少承担一项合同金额不低于15万元的类似档案管理</w:t>
            </w:r>
            <w:r>
              <w:rPr>
                <w:rFonts w:hint="eastAsia" w:ascii="宋体" w:hAnsi="宋体" w:cs="宋体"/>
                <w:color w:val="auto"/>
                <w:szCs w:val="21"/>
                <w:highlight w:val="none"/>
                <w:shd w:val="clear" w:color="auto" w:fill="FFFFFF"/>
              </w:rPr>
              <w:t>软件开发或</w:t>
            </w:r>
            <w:r>
              <w:rPr>
                <w:rFonts w:hint="eastAsia" w:ascii="宋体" w:hAnsi="宋体" w:cs="宋体"/>
                <w:color w:val="auto"/>
                <w:szCs w:val="21"/>
                <w:highlight w:val="none"/>
                <w:shd w:val="clear" w:color="auto" w:fill="FFFFFF"/>
                <w:lang w:val="en-US" w:eastAsia="zh-CN"/>
              </w:rPr>
              <w:t>技术服务业绩。</w:t>
            </w:r>
          </w:p>
        </w:tc>
      </w:tr>
      <w:tr w14:paraId="5EFF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7A788D9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14:paraId="7DDBE20B">
            <w:pPr>
              <w:keepNext w:val="0"/>
              <w:keepLines w:val="0"/>
              <w:suppressLineNumbers w:val="0"/>
              <w:spacing w:before="0" w:beforeAutospacing="0" w:after="0" w:afterAutospacing="0" w:line="40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777BAF4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default"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eastAsia="宋体" w:cs="宋体"/>
                <w:color w:val="auto"/>
                <w:sz w:val="21"/>
                <w:szCs w:val="21"/>
                <w:highlight w:val="none"/>
                <w:lang w:val="en-US" w:eastAsia="zh-CN"/>
              </w:rPr>
              <w:t>。</w:t>
            </w:r>
          </w:p>
        </w:tc>
      </w:tr>
    </w:tbl>
    <w:p w14:paraId="0DCA809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hAnsi="宋体" w:eastAsia="宋体"/>
          <w:b/>
          <w:bCs/>
          <w:color w:val="auto"/>
          <w:sz w:val="21"/>
          <w:szCs w:val="21"/>
          <w:highlight w:val="none"/>
          <w:lang w:val="en-US" w:eastAsia="zh-CN"/>
        </w:rPr>
      </w:pPr>
      <w:r>
        <w:rPr>
          <w:rFonts w:hint="eastAsia" w:hAnsi="宋体"/>
          <w:b/>
          <w:bCs/>
          <w:color w:val="auto"/>
          <w:sz w:val="21"/>
          <w:szCs w:val="21"/>
          <w:highlight w:val="none"/>
        </w:rPr>
        <w:t>注：</w:t>
      </w:r>
      <w:r>
        <w:rPr>
          <w:rFonts w:hint="eastAsia" w:hAnsi="宋体"/>
          <w:b/>
          <w:bCs/>
          <w:color w:val="auto"/>
          <w:kern w:val="0"/>
          <w:szCs w:val="21"/>
          <w:highlight w:val="none"/>
        </w:rPr>
        <w:t>1.提供公司营业执照复印件，并加盖单位公章</w:t>
      </w:r>
      <w:r>
        <w:rPr>
          <w:rFonts w:hint="eastAsia" w:hAnsi="宋体"/>
          <w:b/>
          <w:bCs/>
          <w:color w:val="auto"/>
          <w:kern w:val="0"/>
          <w:szCs w:val="21"/>
          <w:highlight w:val="none"/>
          <w:lang w:eastAsia="zh-CN"/>
        </w:rPr>
        <w:t>。</w:t>
      </w:r>
    </w:p>
    <w:p w14:paraId="083AC5F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w:t>
      </w:r>
      <w:r>
        <w:rPr>
          <w:rFonts w:hint="eastAsia" w:hAnsi="宋体"/>
          <w:b/>
          <w:bCs/>
          <w:color w:val="auto"/>
          <w:kern w:val="0"/>
          <w:szCs w:val="21"/>
          <w:highlight w:val="none"/>
          <w:lang w:val="en-US" w:eastAsia="zh-CN"/>
        </w:rPr>
        <w:t>证明资料</w:t>
      </w:r>
      <w:r>
        <w:rPr>
          <w:rFonts w:hint="eastAsia" w:hAnsi="宋体"/>
          <w:b/>
          <w:bCs/>
          <w:color w:val="auto"/>
          <w:kern w:val="0"/>
          <w:szCs w:val="21"/>
          <w:highlight w:val="none"/>
        </w:rPr>
        <w:t>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14:paraId="4B16A65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bookmarkEnd w:id="121"/>
    <w:bookmarkEnd w:id="122"/>
    <w:p w14:paraId="0846B4BF">
      <w:pPr>
        <w:spacing w:line="440" w:lineRule="exact"/>
        <w:ind w:firstLine="210" w:firstLineChars="100"/>
        <w:rPr>
          <w:rFonts w:ascii="宋体" w:hAnsi="宋体" w:cs="宋体"/>
          <w:color w:val="auto"/>
          <w:highlight w:val="none"/>
        </w:rPr>
      </w:pPr>
    </w:p>
    <w:p w14:paraId="1C730F0D">
      <w:pPr>
        <w:rPr>
          <w:rFonts w:ascii="宋体" w:hAnsi="宋体" w:cs="宋体"/>
          <w:color w:val="auto"/>
          <w:highlight w:val="none"/>
        </w:rPr>
      </w:pPr>
    </w:p>
    <w:p w14:paraId="17435661">
      <w:pPr>
        <w:rPr>
          <w:rFonts w:ascii="宋体" w:hAnsi="宋体" w:cs="宋体"/>
          <w:color w:val="auto"/>
          <w:highlight w:val="none"/>
        </w:rPr>
      </w:pPr>
    </w:p>
    <w:p w14:paraId="0D559551">
      <w:pPr>
        <w:pStyle w:val="16"/>
        <w:rPr>
          <w:rFonts w:ascii="宋体" w:hAnsi="宋体" w:cs="宋体"/>
          <w:color w:val="auto"/>
          <w:highlight w:val="none"/>
        </w:rPr>
      </w:pPr>
    </w:p>
    <w:p w14:paraId="0A6130F9">
      <w:pPr>
        <w:rPr>
          <w:color w:val="auto"/>
          <w:highlight w:val="none"/>
        </w:rPr>
      </w:pPr>
      <w:r>
        <w:rPr>
          <w:color w:val="auto"/>
          <w:highlight w:val="none"/>
        </w:rPr>
        <w:br w:type="page"/>
      </w:r>
    </w:p>
    <w:p w14:paraId="366F579C">
      <w:pPr>
        <w:pStyle w:val="3"/>
        <w:keepNext/>
        <w:keepLines/>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jc w:val="center"/>
        <w:textAlignment w:val="auto"/>
        <w:rPr>
          <w:color w:val="auto"/>
          <w:highlight w:val="none"/>
        </w:rPr>
      </w:pPr>
      <w:bookmarkStart w:id="123" w:name="_Toc14498"/>
      <w:bookmarkStart w:id="124" w:name="_Toc31054"/>
      <w:r>
        <w:rPr>
          <w:rFonts w:hint="eastAsia" w:ascii="宋体" w:hAnsi="宋体" w:cs="宋体"/>
          <w:color w:val="auto"/>
          <w:highlight w:val="none"/>
        </w:rPr>
        <w:t>评标办法（综合评估法）</w:t>
      </w:r>
      <w:bookmarkEnd w:id="123"/>
      <w:bookmarkEnd w:id="124"/>
    </w:p>
    <w:p w14:paraId="13F65A1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评标方法前附表</w:t>
      </w:r>
    </w:p>
    <w:tbl>
      <w:tblPr>
        <w:tblStyle w:val="43"/>
        <w:tblpPr w:leftFromText="180" w:rightFromText="180" w:vertAnchor="text" w:horzAnchor="page" w:tblpX="1139" w:tblpY="296"/>
        <w:tblOverlap w:val="never"/>
        <w:tblW w:w="98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4"/>
        <w:gridCol w:w="897"/>
        <w:gridCol w:w="1129"/>
        <w:gridCol w:w="1653"/>
        <w:gridCol w:w="5182"/>
      </w:tblGrid>
      <w:tr w14:paraId="5670A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2970" w:type="dxa"/>
            <w:gridSpan w:val="3"/>
            <w:tcBorders>
              <w:top w:val="single" w:color="auto" w:sz="4" w:space="0"/>
              <w:bottom w:val="single" w:color="auto" w:sz="4" w:space="0"/>
              <w:right w:val="single" w:color="auto" w:sz="4" w:space="0"/>
            </w:tcBorders>
            <w:vAlign w:val="center"/>
          </w:tcPr>
          <w:p w14:paraId="3605E309">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条款号</w:t>
            </w:r>
          </w:p>
        </w:tc>
        <w:tc>
          <w:tcPr>
            <w:tcW w:w="1653" w:type="dxa"/>
            <w:tcBorders>
              <w:top w:val="single" w:color="auto" w:sz="4" w:space="0"/>
              <w:left w:val="single" w:color="auto" w:sz="4" w:space="0"/>
              <w:bottom w:val="single" w:color="auto" w:sz="4" w:space="0"/>
              <w:right w:val="single" w:color="auto" w:sz="4" w:space="0"/>
            </w:tcBorders>
            <w:vAlign w:val="center"/>
          </w:tcPr>
          <w:p w14:paraId="2CB63694">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评审因素</w:t>
            </w:r>
          </w:p>
        </w:tc>
        <w:tc>
          <w:tcPr>
            <w:tcW w:w="5182" w:type="dxa"/>
            <w:tcBorders>
              <w:top w:val="single" w:color="auto" w:sz="4" w:space="0"/>
              <w:left w:val="single" w:color="auto" w:sz="4" w:space="0"/>
              <w:bottom w:val="single" w:color="auto" w:sz="4" w:space="0"/>
            </w:tcBorders>
            <w:vAlign w:val="center"/>
          </w:tcPr>
          <w:p w14:paraId="79A369CE">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评审标准</w:t>
            </w:r>
          </w:p>
        </w:tc>
      </w:tr>
      <w:tr w14:paraId="25B5A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44" w:type="dxa"/>
            <w:tcBorders>
              <w:top w:val="single" w:color="auto" w:sz="4" w:space="0"/>
              <w:right w:val="single" w:color="auto" w:sz="4" w:space="0"/>
            </w:tcBorders>
            <w:vAlign w:val="center"/>
          </w:tcPr>
          <w:p w14:paraId="5C2C8C49">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2026" w:type="dxa"/>
            <w:gridSpan w:val="2"/>
            <w:tcBorders>
              <w:top w:val="single" w:color="auto" w:sz="4" w:space="0"/>
              <w:left w:val="single" w:color="auto" w:sz="4" w:space="0"/>
              <w:right w:val="single" w:color="auto" w:sz="4" w:space="0"/>
            </w:tcBorders>
            <w:vAlign w:val="center"/>
          </w:tcPr>
          <w:p w14:paraId="3CCF3CC7">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评标方法</w:t>
            </w:r>
          </w:p>
        </w:tc>
        <w:tc>
          <w:tcPr>
            <w:tcW w:w="1653" w:type="dxa"/>
            <w:tcBorders>
              <w:top w:val="single" w:color="auto" w:sz="4" w:space="0"/>
              <w:left w:val="single" w:color="auto" w:sz="4" w:space="0"/>
              <w:bottom w:val="single" w:color="auto" w:sz="4" w:space="0"/>
              <w:right w:val="single" w:color="auto" w:sz="4" w:space="0"/>
            </w:tcBorders>
            <w:vAlign w:val="center"/>
          </w:tcPr>
          <w:p w14:paraId="708390D3">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中标候选人排序方法</w:t>
            </w:r>
          </w:p>
        </w:tc>
        <w:tc>
          <w:tcPr>
            <w:tcW w:w="5182" w:type="dxa"/>
            <w:tcBorders>
              <w:top w:val="single" w:color="auto" w:sz="4" w:space="0"/>
              <w:left w:val="single" w:color="auto" w:sz="4" w:space="0"/>
              <w:bottom w:val="single" w:color="auto" w:sz="4" w:space="0"/>
            </w:tcBorders>
          </w:tcPr>
          <w:p w14:paraId="1A91954D">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报价人得分=A+B+C，对通过初步评审的报价人按照投标总得分（商务+技术+报价）由从高到低的先后顺序。如出现得分(精确到小数点后两位)相等时，按以下原则确定第一中标候选人：</w:t>
            </w:r>
          </w:p>
          <w:p w14:paraId="3662CE25">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（1）以评标价低的报价人优先；</w:t>
            </w:r>
          </w:p>
          <w:p w14:paraId="3724CF31">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（2）如评标价也相同时，以技术得分较高的报价人优先；</w:t>
            </w:r>
          </w:p>
          <w:p w14:paraId="615EF948">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（3）如技术得分也相同时，由评标委员会投票决定。</w:t>
            </w:r>
          </w:p>
        </w:tc>
      </w:tr>
      <w:tr w14:paraId="048C0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restart"/>
            <w:tcBorders>
              <w:top w:val="single" w:color="auto" w:sz="4" w:space="0"/>
              <w:right w:val="single" w:color="auto" w:sz="4" w:space="0"/>
            </w:tcBorders>
            <w:vAlign w:val="center"/>
          </w:tcPr>
          <w:p w14:paraId="17AD70CC">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2.1.1</w:t>
            </w:r>
          </w:p>
        </w:tc>
        <w:tc>
          <w:tcPr>
            <w:tcW w:w="2026" w:type="dxa"/>
            <w:gridSpan w:val="2"/>
            <w:vMerge w:val="restart"/>
            <w:tcBorders>
              <w:top w:val="single" w:color="auto" w:sz="4" w:space="0"/>
              <w:left w:val="single" w:color="auto" w:sz="4" w:space="0"/>
              <w:right w:val="single" w:color="auto" w:sz="4" w:space="0"/>
            </w:tcBorders>
            <w:vAlign w:val="center"/>
          </w:tcPr>
          <w:p w14:paraId="3293AD0C">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形式评审标准</w:t>
            </w:r>
          </w:p>
        </w:tc>
        <w:tc>
          <w:tcPr>
            <w:tcW w:w="1653" w:type="dxa"/>
            <w:tcBorders>
              <w:top w:val="single" w:color="auto" w:sz="4" w:space="0"/>
              <w:left w:val="single" w:color="auto" w:sz="4" w:space="0"/>
              <w:bottom w:val="single" w:color="auto" w:sz="4" w:space="0"/>
              <w:right w:val="single" w:color="auto" w:sz="4" w:space="0"/>
            </w:tcBorders>
            <w:vAlign w:val="center"/>
          </w:tcPr>
          <w:p w14:paraId="290DC170">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报价人名称</w:t>
            </w:r>
          </w:p>
        </w:tc>
        <w:tc>
          <w:tcPr>
            <w:tcW w:w="5182" w:type="dxa"/>
            <w:tcBorders>
              <w:top w:val="single" w:color="auto" w:sz="4" w:space="0"/>
              <w:left w:val="single" w:color="auto" w:sz="4" w:space="0"/>
              <w:bottom w:val="single" w:color="auto" w:sz="4" w:space="0"/>
            </w:tcBorders>
            <w:vAlign w:val="center"/>
          </w:tcPr>
          <w:p w14:paraId="666630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与营业执照、资质证书一致。</w:t>
            </w:r>
          </w:p>
        </w:tc>
      </w:tr>
      <w:tr w14:paraId="1ADCC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right w:val="single" w:color="auto" w:sz="4" w:space="0"/>
            </w:tcBorders>
            <w:vAlign w:val="center"/>
          </w:tcPr>
          <w:p w14:paraId="6B60B19D">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14:paraId="18962726">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596E9ADF">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报价函</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盖章</w:t>
            </w:r>
          </w:p>
        </w:tc>
        <w:tc>
          <w:tcPr>
            <w:tcW w:w="5182" w:type="dxa"/>
            <w:tcBorders>
              <w:top w:val="single" w:color="auto" w:sz="4" w:space="0"/>
              <w:left w:val="single" w:color="auto" w:sz="4" w:space="0"/>
              <w:bottom w:val="single" w:color="auto" w:sz="4" w:space="0"/>
            </w:tcBorders>
            <w:vAlign w:val="center"/>
          </w:tcPr>
          <w:p w14:paraId="6473D4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有法定代表人或委托代理人</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或加盖单位公章。</w:t>
            </w:r>
          </w:p>
        </w:tc>
      </w:tr>
      <w:tr w14:paraId="24072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right w:val="single" w:color="auto" w:sz="4" w:space="0"/>
            </w:tcBorders>
            <w:vAlign w:val="center"/>
          </w:tcPr>
          <w:p w14:paraId="6AAF3947">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14:paraId="43FCE5F3">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4174BE7F">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竞争性比选响应文件格式</w:t>
            </w:r>
          </w:p>
        </w:tc>
        <w:tc>
          <w:tcPr>
            <w:tcW w:w="5182" w:type="dxa"/>
            <w:tcBorders>
              <w:top w:val="single" w:color="auto" w:sz="4" w:space="0"/>
              <w:left w:val="single" w:color="auto" w:sz="4" w:space="0"/>
              <w:bottom w:val="single" w:color="auto" w:sz="4" w:space="0"/>
            </w:tcBorders>
            <w:vAlign w:val="center"/>
          </w:tcPr>
          <w:p w14:paraId="535339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w:t>
            </w:r>
            <w:r>
              <w:rPr>
                <w:rFonts w:hint="eastAsia"/>
                <w:color w:val="auto"/>
                <w:highlight w:val="none"/>
                <w:lang w:val="en-US" w:eastAsia="zh-CN"/>
              </w:rPr>
              <w:t>八</w:t>
            </w:r>
            <w:r>
              <w:rPr>
                <w:rFonts w:hint="eastAsia" w:asciiTheme="minorEastAsia" w:hAnsiTheme="minorEastAsia" w:eastAsiaTheme="minorEastAsia" w:cstheme="minorEastAsia"/>
                <w:color w:val="auto"/>
                <w:szCs w:val="21"/>
                <w:highlight w:val="none"/>
              </w:rPr>
              <w:t>章“竞争性比选响应文件格式”的要求，字迹清晰可辨。</w:t>
            </w:r>
          </w:p>
          <w:p w14:paraId="4B6B60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1.报价函的所有数据均符合比选文件的规定；</w:t>
            </w:r>
          </w:p>
          <w:p w14:paraId="48C437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2.竞争性比选响应文件附表齐全完整，内容均按规定填写；</w:t>
            </w:r>
          </w:p>
        </w:tc>
      </w:tr>
      <w:tr w14:paraId="1E2BF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right w:val="single" w:color="auto" w:sz="4" w:space="0"/>
            </w:tcBorders>
            <w:vAlign w:val="center"/>
          </w:tcPr>
          <w:p w14:paraId="2402F53E">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14:paraId="42520371">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1A4E95F4">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报价其它要求</w:t>
            </w:r>
          </w:p>
        </w:tc>
        <w:tc>
          <w:tcPr>
            <w:tcW w:w="5182" w:type="dxa"/>
            <w:tcBorders>
              <w:top w:val="single" w:color="auto" w:sz="4" w:space="0"/>
              <w:left w:val="single" w:color="auto" w:sz="4" w:space="0"/>
              <w:bottom w:val="single" w:color="auto" w:sz="4" w:space="0"/>
            </w:tcBorders>
            <w:vAlign w:val="center"/>
          </w:tcPr>
          <w:p w14:paraId="08A5E3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竞争性比选响应文件报价表中的报价与报价书文字报价应保持一致。</w:t>
            </w:r>
          </w:p>
        </w:tc>
      </w:tr>
      <w:tr w14:paraId="4C20A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right w:val="single" w:color="auto" w:sz="4" w:space="0"/>
            </w:tcBorders>
            <w:vAlign w:val="center"/>
          </w:tcPr>
          <w:p w14:paraId="626F06B0">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14:paraId="28085063">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right w:val="single" w:color="auto" w:sz="4" w:space="0"/>
            </w:tcBorders>
            <w:vAlign w:val="center"/>
          </w:tcPr>
          <w:p w14:paraId="6EE0118D">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竞争性比选响应文件正本中法定代表人或其授权代理人签署</w:t>
            </w:r>
          </w:p>
        </w:tc>
        <w:tc>
          <w:tcPr>
            <w:tcW w:w="5182" w:type="dxa"/>
            <w:tcBorders>
              <w:top w:val="single" w:color="auto" w:sz="4" w:space="0"/>
              <w:left w:val="single" w:color="auto" w:sz="4" w:space="0"/>
              <w:bottom w:val="single" w:color="auto" w:sz="4" w:space="0"/>
            </w:tcBorders>
            <w:vAlign w:val="center"/>
          </w:tcPr>
          <w:p w14:paraId="3DAF21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竞争性比选响应文件正本中法定代表人或授权代理人签署姓名齐全，符合比选文件规定；</w:t>
            </w:r>
          </w:p>
        </w:tc>
      </w:tr>
      <w:tr w14:paraId="76021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right w:val="single" w:color="auto" w:sz="4" w:space="0"/>
            </w:tcBorders>
            <w:vAlign w:val="center"/>
          </w:tcPr>
          <w:p w14:paraId="18744ABD">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14:paraId="4B90F0A5">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right w:val="single" w:color="auto" w:sz="4" w:space="0"/>
            </w:tcBorders>
            <w:vAlign w:val="center"/>
          </w:tcPr>
          <w:p w14:paraId="7149ACD3">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其它</w:t>
            </w:r>
          </w:p>
        </w:tc>
        <w:tc>
          <w:tcPr>
            <w:tcW w:w="5182" w:type="dxa"/>
            <w:tcBorders>
              <w:top w:val="single" w:color="auto" w:sz="4" w:space="0"/>
              <w:left w:val="single" w:color="auto" w:sz="4" w:space="0"/>
            </w:tcBorders>
            <w:vAlign w:val="center"/>
          </w:tcPr>
          <w:p w14:paraId="30E3D6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单位负责人为同一人或者存在控股、管理关系的不同单位，不得同时参加报价，否则相关报价均无效。</w:t>
            </w:r>
          </w:p>
        </w:tc>
      </w:tr>
      <w:tr w14:paraId="31F08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restart"/>
            <w:tcBorders>
              <w:top w:val="single" w:color="auto" w:sz="4" w:space="0"/>
              <w:bottom w:val="single" w:color="auto" w:sz="4" w:space="0"/>
              <w:right w:val="single" w:color="auto" w:sz="4" w:space="0"/>
            </w:tcBorders>
            <w:vAlign w:val="center"/>
          </w:tcPr>
          <w:p w14:paraId="4D56D133">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eastAsia="宋体" w:asciiTheme="minorEastAsia" w:hAnsiTheme="minorEastAsia" w:cstheme="minorEastAsia"/>
                <w:color w:val="auto"/>
                <w:szCs w:val="21"/>
                <w:highlight w:val="none"/>
                <w:lang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2</w:t>
            </w:r>
          </w:p>
        </w:tc>
        <w:tc>
          <w:tcPr>
            <w:tcW w:w="2026" w:type="dxa"/>
            <w:gridSpan w:val="2"/>
            <w:vMerge w:val="restart"/>
            <w:tcBorders>
              <w:top w:val="single" w:color="auto" w:sz="4" w:space="0"/>
              <w:left w:val="single" w:color="auto" w:sz="4" w:space="0"/>
              <w:bottom w:val="single" w:color="auto" w:sz="4" w:space="0"/>
              <w:right w:val="single" w:color="auto" w:sz="4" w:space="0"/>
            </w:tcBorders>
            <w:vAlign w:val="center"/>
          </w:tcPr>
          <w:p w14:paraId="2B2CDBD4">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资格评审标准</w:t>
            </w:r>
          </w:p>
        </w:tc>
        <w:tc>
          <w:tcPr>
            <w:tcW w:w="1653" w:type="dxa"/>
            <w:tcBorders>
              <w:top w:val="single" w:color="auto" w:sz="4" w:space="0"/>
              <w:left w:val="single" w:color="auto" w:sz="4" w:space="0"/>
              <w:bottom w:val="single" w:color="auto" w:sz="4" w:space="0"/>
              <w:right w:val="single" w:color="auto" w:sz="4" w:space="0"/>
            </w:tcBorders>
            <w:vAlign w:val="center"/>
          </w:tcPr>
          <w:p w14:paraId="58D97F3B">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宋体" w:hAnsi="宋体" w:cs="宋体"/>
                <w:color w:val="auto"/>
                <w:szCs w:val="21"/>
                <w:highlight w:val="none"/>
                <w:lang w:val="en-US" w:eastAsia="zh-CN"/>
              </w:rPr>
              <w:t>资格要求</w:t>
            </w:r>
          </w:p>
        </w:tc>
        <w:tc>
          <w:tcPr>
            <w:tcW w:w="5182" w:type="dxa"/>
            <w:tcBorders>
              <w:top w:val="single" w:color="auto" w:sz="4" w:space="0"/>
              <w:left w:val="single" w:color="auto" w:sz="4" w:space="0"/>
              <w:bottom w:val="single" w:color="auto" w:sz="4" w:space="0"/>
            </w:tcBorders>
            <w:vAlign w:val="center"/>
          </w:tcPr>
          <w:p w14:paraId="36FC24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14:paraId="6AF25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72FCDA5E">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6F3DF598">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51BE457C">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业绩要求</w:t>
            </w:r>
          </w:p>
        </w:tc>
        <w:tc>
          <w:tcPr>
            <w:tcW w:w="5182" w:type="dxa"/>
            <w:tcBorders>
              <w:top w:val="single" w:color="auto" w:sz="4" w:space="0"/>
              <w:left w:val="single" w:color="auto" w:sz="4" w:space="0"/>
              <w:bottom w:val="single" w:color="auto" w:sz="4" w:space="0"/>
            </w:tcBorders>
            <w:vAlign w:val="center"/>
          </w:tcPr>
          <w:p w14:paraId="624082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14:paraId="47124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0FDC20F9">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020E9F97">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3CBEAD3A">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信誉要求</w:t>
            </w:r>
          </w:p>
        </w:tc>
        <w:tc>
          <w:tcPr>
            <w:tcW w:w="5182" w:type="dxa"/>
            <w:tcBorders>
              <w:top w:val="single" w:color="auto" w:sz="4" w:space="0"/>
              <w:left w:val="single" w:color="auto" w:sz="4" w:space="0"/>
              <w:bottom w:val="single" w:color="auto" w:sz="4" w:space="0"/>
            </w:tcBorders>
            <w:vAlign w:val="center"/>
          </w:tcPr>
          <w:p w14:paraId="154636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14:paraId="4DFF5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restart"/>
            <w:tcBorders>
              <w:top w:val="single" w:color="auto" w:sz="4" w:space="0"/>
              <w:bottom w:val="single" w:color="auto" w:sz="4" w:space="0"/>
              <w:right w:val="single" w:color="auto" w:sz="4" w:space="0"/>
            </w:tcBorders>
            <w:vAlign w:val="center"/>
          </w:tcPr>
          <w:p w14:paraId="5F002F59">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eastAsia="宋体" w:asciiTheme="minorEastAsia" w:hAnsiTheme="minorEastAsia" w:cstheme="minorEastAsia"/>
                <w:color w:val="auto"/>
                <w:szCs w:val="21"/>
                <w:highlight w:val="none"/>
                <w:lang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3</w:t>
            </w:r>
          </w:p>
        </w:tc>
        <w:tc>
          <w:tcPr>
            <w:tcW w:w="2026" w:type="dxa"/>
            <w:gridSpan w:val="2"/>
            <w:vMerge w:val="restart"/>
            <w:tcBorders>
              <w:top w:val="single" w:color="auto" w:sz="4" w:space="0"/>
              <w:left w:val="single" w:color="auto" w:sz="4" w:space="0"/>
              <w:bottom w:val="single" w:color="auto" w:sz="4" w:space="0"/>
              <w:right w:val="single" w:color="auto" w:sz="4" w:space="0"/>
            </w:tcBorders>
            <w:vAlign w:val="center"/>
          </w:tcPr>
          <w:p w14:paraId="5FDBDC59">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响应性评审标准</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3F5923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highlight w:val="none"/>
                <w:lang w:val="en-US" w:eastAsia="zh-CN"/>
              </w:rPr>
              <w:t>项目地点</w:t>
            </w:r>
          </w:p>
        </w:tc>
        <w:tc>
          <w:tcPr>
            <w:tcW w:w="5182" w:type="dxa"/>
            <w:tcBorders>
              <w:top w:val="single" w:color="auto" w:sz="4" w:space="0"/>
              <w:left w:val="single" w:color="auto" w:sz="4" w:space="0"/>
              <w:bottom w:val="single" w:color="auto" w:sz="4" w:space="0"/>
            </w:tcBorders>
            <w:shd w:val="clear" w:color="auto" w:fill="auto"/>
            <w:vAlign w:val="center"/>
          </w:tcPr>
          <w:p w14:paraId="6DCFD0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3</w:t>
            </w:r>
            <w:r>
              <w:rPr>
                <w:rFonts w:hint="default"/>
                <w:color w:val="auto"/>
                <w:highlight w:val="none"/>
              </w:rPr>
              <w:t>项规定</w:t>
            </w:r>
          </w:p>
        </w:tc>
      </w:tr>
      <w:tr w14:paraId="2BC34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right w:val="single" w:color="auto" w:sz="4" w:space="0"/>
            </w:tcBorders>
            <w:vAlign w:val="center"/>
          </w:tcPr>
          <w:p w14:paraId="36F5A122">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14:paraId="44A2C5E7">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07E8E2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highlight w:val="none"/>
              </w:rPr>
              <w:t>项目规模</w:t>
            </w:r>
          </w:p>
        </w:tc>
        <w:tc>
          <w:tcPr>
            <w:tcW w:w="5182" w:type="dxa"/>
            <w:tcBorders>
              <w:top w:val="single" w:color="auto" w:sz="4" w:space="0"/>
              <w:left w:val="single" w:color="auto" w:sz="4" w:space="0"/>
              <w:bottom w:val="single" w:color="auto" w:sz="4" w:space="0"/>
            </w:tcBorders>
            <w:shd w:val="clear" w:color="auto" w:fill="auto"/>
            <w:vAlign w:val="center"/>
          </w:tcPr>
          <w:p w14:paraId="32BF51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4</w:t>
            </w:r>
            <w:r>
              <w:rPr>
                <w:rFonts w:hint="default"/>
                <w:color w:val="auto"/>
                <w:highlight w:val="none"/>
              </w:rPr>
              <w:t>项规定</w:t>
            </w:r>
          </w:p>
        </w:tc>
      </w:tr>
      <w:tr w14:paraId="42CA3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055A3031">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18B42542">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626DB9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投标内容</w:t>
            </w:r>
          </w:p>
        </w:tc>
        <w:tc>
          <w:tcPr>
            <w:tcW w:w="5182" w:type="dxa"/>
            <w:tcBorders>
              <w:top w:val="single" w:color="auto" w:sz="4" w:space="0"/>
              <w:left w:val="single" w:color="auto" w:sz="4" w:space="0"/>
              <w:bottom w:val="single" w:color="auto" w:sz="4" w:space="0"/>
            </w:tcBorders>
            <w:shd w:val="clear" w:color="auto" w:fill="auto"/>
            <w:vAlign w:val="center"/>
          </w:tcPr>
          <w:p w14:paraId="060577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5</w:t>
            </w:r>
            <w:r>
              <w:rPr>
                <w:rFonts w:hint="default"/>
                <w:color w:val="auto"/>
                <w:highlight w:val="none"/>
              </w:rPr>
              <w:t>项规定</w:t>
            </w:r>
          </w:p>
        </w:tc>
      </w:tr>
      <w:tr w14:paraId="73493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0917A7F1">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60A5E2AC">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74259F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服务期限</w:t>
            </w:r>
          </w:p>
        </w:tc>
        <w:tc>
          <w:tcPr>
            <w:tcW w:w="5182" w:type="dxa"/>
            <w:tcBorders>
              <w:top w:val="single" w:color="auto" w:sz="4" w:space="0"/>
              <w:left w:val="single" w:color="auto" w:sz="4" w:space="0"/>
              <w:bottom w:val="single" w:color="auto" w:sz="4" w:space="0"/>
            </w:tcBorders>
            <w:shd w:val="clear" w:color="auto" w:fill="auto"/>
            <w:vAlign w:val="center"/>
          </w:tcPr>
          <w:p w14:paraId="40C749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imes New Roman" w:hAnsi="Times New Roman" w:eastAsia="宋体" w:cs="Times New Roman"/>
                <w:color w:val="auto"/>
                <w:kern w:val="2"/>
                <w:sz w:val="21"/>
                <w:szCs w:val="24"/>
                <w:highlight w:val="none"/>
                <w:lang w:val="en-US" w:eastAsia="zh-CN" w:bidi="ar-SA"/>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6</w:t>
            </w:r>
            <w:r>
              <w:rPr>
                <w:rFonts w:hint="default"/>
                <w:color w:val="auto"/>
                <w:highlight w:val="none"/>
              </w:rPr>
              <w:t>项规定</w:t>
            </w:r>
          </w:p>
        </w:tc>
      </w:tr>
      <w:tr w14:paraId="6624F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180EB94F">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2C055031">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37BB28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Cs w:val="21"/>
                <w:highlight w:val="none"/>
                <w:lang w:val="en-US" w:eastAsia="zh-CN"/>
              </w:rPr>
              <w:t>服务要求</w:t>
            </w:r>
          </w:p>
        </w:tc>
        <w:tc>
          <w:tcPr>
            <w:tcW w:w="5182" w:type="dxa"/>
            <w:tcBorders>
              <w:top w:val="single" w:color="auto" w:sz="4" w:space="0"/>
              <w:left w:val="single" w:color="auto" w:sz="4" w:space="0"/>
              <w:bottom w:val="single" w:color="auto" w:sz="4" w:space="0"/>
            </w:tcBorders>
            <w:shd w:val="clear" w:color="auto" w:fill="auto"/>
            <w:vAlign w:val="center"/>
          </w:tcPr>
          <w:p w14:paraId="6A8691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imes New Roman" w:hAnsi="Times New Roman" w:eastAsia="宋体" w:cs="Times New Roman"/>
                <w:color w:val="auto"/>
                <w:kern w:val="2"/>
                <w:sz w:val="21"/>
                <w:szCs w:val="24"/>
                <w:highlight w:val="none"/>
                <w:lang w:val="en-US" w:eastAsia="zh-CN" w:bidi="ar-SA"/>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7</w:t>
            </w:r>
            <w:r>
              <w:rPr>
                <w:rFonts w:hint="default"/>
                <w:color w:val="auto"/>
                <w:highlight w:val="none"/>
              </w:rPr>
              <w:t>项规定</w:t>
            </w:r>
          </w:p>
        </w:tc>
      </w:tr>
      <w:tr w14:paraId="4FD07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0F45D6E7">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49190FBE">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11A12A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olor w:val="auto"/>
                <w:highlight w:val="none"/>
                <w:lang w:val="en-US" w:eastAsia="zh-CN"/>
              </w:rPr>
            </w:pPr>
            <w:r>
              <w:rPr>
                <w:rFonts w:hint="default"/>
                <w:color w:val="auto"/>
                <w:highlight w:val="none"/>
              </w:rPr>
              <w:t>报价</w:t>
            </w:r>
          </w:p>
        </w:tc>
        <w:tc>
          <w:tcPr>
            <w:tcW w:w="5182" w:type="dxa"/>
            <w:tcBorders>
              <w:top w:val="single" w:color="auto" w:sz="4" w:space="0"/>
              <w:left w:val="single" w:color="auto" w:sz="4" w:space="0"/>
              <w:bottom w:val="single" w:color="auto" w:sz="4" w:space="0"/>
            </w:tcBorders>
            <w:shd w:val="clear" w:color="auto" w:fill="auto"/>
            <w:vAlign w:val="center"/>
          </w:tcPr>
          <w:p w14:paraId="4C4685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color w:val="auto"/>
                <w:highlight w:val="none"/>
              </w:rPr>
            </w:pPr>
            <w:r>
              <w:rPr>
                <w:rFonts w:hint="default"/>
                <w:color w:val="auto"/>
                <w:highlight w:val="none"/>
              </w:rPr>
              <w:t>符合比选文件给出的范围及数量，且报价不得超过</w:t>
            </w:r>
            <w:r>
              <w:rPr>
                <w:rFonts w:hint="eastAsia"/>
                <w:color w:val="auto"/>
                <w:highlight w:val="none"/>
              </w:rPr>
              <w:t>采购人</w:t>
            </w:r>
            <w:r>
              <w:rPr>
                <w:rFonts w:hint="default"/>
                <w:color w:val="auto"/>
                <w:highlight w:val="none"/>
              </w:rPr>
              <w:t>公布的最高限价，但也不得低于</w:t>
            </w:r>
            <w:r>
              <w:rPr>
                <w:rFonts w:hint="eastAsia"/>
                <w:color w:val="auto"/>
                <w:highlight w:val="none"/>
              </w:rPr>
              <w:t>报价</w:t>
            </w:r>
            <w:r>
              <w:rPr>
                <w:rFonts w:hint="default"/>
                <w:color w:val="auto"/>
                <w:highlight w:val="none"/>
              </w:rPr>
              <w:t>人的企业成本。</w:t>
            </w:r>
          </w:p>
        </w:tc>
      </w:tr>
      <w:tr w14:paraId="42386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66595410">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50A2E5F5">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2989C5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eastAsiaTheme="minorEastAsia" w:cstheme="minorEastAsia"/>
                <w:color w:val="auto"/>
                <w:szCs w:val="21"/>
                <w:highlight w:val="none"/>
                <w:lang w:val="en-US" w:eastAsia="zh-CN"/>
              </w:rPr>
            </w:pPr>
            <w:r>
              <w:rPr>
                <w:rFonts w:hint="eastAsia"/>
                <w:color w:val="auto"/>
                <w:highlight w:val="none"/>
                <w:lang w:val="en-US" w:eastAsia="zh-CN"/>
              </w:rPr>
              <w:t>偏差</w:t>
            </w:r>
          </w:p>
        </w:tc>
        <w:tc>
          <w:tcPr>
            <w:tcW w:w="5182" w:type="dxa"/>
            <w:tcBorders>
              <w:top w:val="single" w:color="auto" w:sz="4" w:space="0"/>
              <w:left w:val="single" w:color="auto" w:sz="4" w:space="0"/>
              <w:bottom w:val="single" w:color="auto" w:sz="4" w:space="0"/>
            </w:tcBorders>
            <w:shd w:val="clear" w:color="auto" w:fill="auto"/>
            <w:vAlign w:val="center"/>
          </w:tcPr>
          <w:p w14:paraId="4D2294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color w:val="auto"/>
                <w:szCs w:val="21"/>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12</w:t>
            </w:r>
            <w:r>
              <w:rPr>
                <w:rFonts w:hint="default"/>
                <w:color w:val="auto"/>
                <w:highlight w:val="none"/>
              </w:rPr>
              <w:t>项规定</w:t>
            </w:r>
          </w:p>
        </w:tc>
      </w:tr>
      <w:tr w14:paraId="19929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20002980">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2263257B">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3D496B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color w:val="auto"/>
                <w:highlight w:val="none"/>
                <w:lang w:val="en-US" w:eastAsia="zh-CN"/>
              </w:rPr>
              <w:t>保证金</w:t>
            </w:r>
          </w:p>
        </w:tc>
        <w:tc>
          <w:tcPr>
            <w:tcW w:w="5182" w:type="dxa"/>
            <w:tcBorders>
              <w:top w:val="single" w:color="auto" w:sz="4" w:space="0"/>
              <w:left w:val="single" w:color="auto" w:sz="4" w:space="0"/>
              <w:bottom w:val="single" w:color="auto" w:sz="4" w:space="0"/>
            </w:tcBorders>
            <w:shd w:val="clear" w:color="auto" w:fill="auto"/>
            <w:vAlign w:val="center"/>
          </w:tcPr>
          <w:p w14:paraId="3CAF87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20</w:t>
            </w:r>
            <w:r>
              <w:rPr>
                <w:rFonts w:hint="default"/>
                <w:color w:val="auto"/>
                <w:highlight w:val="none"/>
              </w:rPr>
              <w:t>项规定</w:t>
            </w:r>
          </w:p>
        </w:tc>
      </w:tr>
      <w:tr w14:paraId="30647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tcBorders>
              <w:top w:val="single" w:color="auto" w:sz="4" w:space="0"/>
              <w:bottom w:val="single" w:color="auto" w:sz="4" w:space="0"/>
              <w:right w:val="single" w:color="auto" w:sz="4" w:space="0"/>
            </w:tcBorders>
            <w:vAlign w:val="center"/>
          </w:tcPr>
          <w:p w14:paraId="1A90389B">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2.2.1</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43FE7F3D">
            <w:pPr>
              <w:keepNext w:val="0"/>
              <w:keepLines w:val="0"/>
              <w:pageBreakBefore w:val="0"/>
              <w:suppressLineNumbers w:val="0"/>
              <w:tabs>
                <w:tab w:val="left" w:pos="1875"/>
              </w:tabs>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分值构成</w:t>
            </w:r>
          </w:p>
          <w:p w14:paraId="6EC76294">
            <w:pPr>
              <w:keepNext w:val="0"/>
              <w:keepLines w:val="0"/>
              <w:pageBreakBefore w:val="0"/>
              <w:suppressLineNumbers w:val="0"/>
              <w:tabs>
                <w:tab w:val="left" w:pos="1875"/>
              </w:tabs>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(总分100分)</w:t>
            </w:r>
          </w:p>
        </w:tc>
        <w:tc>
          <w:tcPr>
            <w:tcW w:w="6835" w:type="dxa"/>
            <w:gridSpan w:val="2"/>
            <w:tcBorders>
              <w:top w:val="single" w:color="auto" w:sz="4" w:space="0"/>
              <w:left w:val="single" w:color="auto" w:sz="4" w:space="0"/>
              <w:bottom w:val="single" w:color="auto" w:sz="4" w:space="0"/>
            </w:tcBorders>
          </w:tcPr>
          <w:p w14:paraId="5F873CC8">
            <w:pPr>
              <w:keepNext w:val="0"/>
              <w:keepLines w:val="0"/>
              <w:pageBreakBefore w:val="0"/>
              <w:suppressLineNumbers w:val="0"/>
              <w:kinsoku/>
              <w:wordWrap/>
              <w:overflowPunct/>
              <w:topLinePunct w:val="0"/>
              <w:bidi w:val="0"/>
              <w:spacing w:before="0" w:beforeAutospacing="0" w:after="0" w:afterAutospacing="0" w:line="360" w:lineRule="exact"/>
              <w:ind w:left="0" w:right="0" w:firstLine="42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A：投标报价70分；</w:t>
            </w:r>
          </w:p>
          <w:p w14:paraId="5051ED1B">
            <w:pPr>
              <w:keepNext w:val="0"/>
              <w:keepLines w:val="0"/>
              <w:pageBreakBefore w:val="0"/>
              <w:suppressLineNumbers w:val="0"/>
              <w:kinsoku/>
              <w:wordWrap/>
              <w:overflowPunct/>
              <w:topLinePunct w:val="0"/>
              <w:bidi w:val="0"/>
              <w:spacing w:before="0" w:beforeAutospacing="0" w:after="0" w:afterAutospacing="0" w:line="360" w:lineRule="exact"/>
              <w:ind w:left="0" w:right="0" w:firstLine="42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B：商务部分10分；</w:t>
            </w:r>
          </w:p>
          <w:p w14:paraId="4C5C7129">
            <w:pPr>
              <w:keepNext w:val="0"/>
              <w:keepLines w:val="0"/>
              <w:pageBreakBefore w:val="0"/>
              <w:suppressLineNumbers w:val="0"/>
              <w:kinsoku/>
              <w:wordWrap/>
              <w:overflowPunct/>
              <w:topLinePunct w:val="0"/>
              <w:bidi w:val="0"/>
              <w:spacing w:before="0" w:beforeAutospacing="0" w:after="0" w:afterAutospacing="0" w:line="360" w:lineRule="exact"/>
              <w:ind w:left="0" w:right="0" w:firstLine="42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C：技术部分20分。</w:t>
            </w:r>
          </w:p>
        </w:tc>
      </w:tr>
      <w:tr w14:paraId="40900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66" w:hRule="atLeast"/>
        </w:trPr>
        <w:tc>
          <w:tcPr>
            <w:tcW w:w="944" w:type="dxa"/>
            <w:tcBorders>
              <w:top w:val="single" w:color="auto" w:sz="4" w:space="0"/>
              <w:bottom w:val="single" w:color="auto" w:sz="4" w:space="0"/>
              <w:right w:val="single" w:color="auto" w:sz="4" w:space="0"/>
            </w:tcBorders>
            <w:vAlign w:val="center"/>
          </w:tcPr>
          <w:p w14:paraId="387CC15F">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2.2.2</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3EFA6B3A">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评标基准价</w:t>
            </w:r>
          </w:p>
        </w:tc>
        <w:tc>
          <w:tcPr>
            <w:tcW w:w="6835" w:type="dxa"/>
            <w:gridSpan w:val="2"/>
            <w:tcBorders>
              <w:top w:val="single" w:color="auto" w:sz="4" w:space="0"/>
              <w:left w:val="single" w:color="auto" w:sz="4" w:space="0"/>
              <w:bottom w:val="single" w:color="auto" w:sz="4" w:space="0"/>
            </w:tcBorders>
          </w:tcPr>
          <w:p w14:paraId="3E9C53F3">
            <w:pPr>
              <w:keepNext w:val="0"/>
              <w:keepLines/>
              <w:pageBreakBefore w:val="0"/>
              <w:suppressLineNumbers w:val="0"/>
              <w:kinsoku/>
              <w:wordWrap/>
              <w:overflowPunct/>
              <w:topLinePunct w:val="0"/>
              <w:bidi w:val="0"/>
              <w:adjustRightInd w:val="0"/>
              <w:snapToGrid w:val="0"/>
              <w:spacing w:before="0" w:beforeAutospacing="0" w:after="0" w:afterAutospacing="0" w:line="36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1.有效报价：系指初步评审均合格且其</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rPr>
              <w:t>内容满足</w:t>
            </w:r>
            <w:r>
              <w:rPr>
                <w:rFonts w:hint="eastAsia" w:ascii="宋体" w:hAnsi="宋体" w:cs="宋体"/>
                <w:color w:val="auto"/>
                <w:szCs w:val="21"/>
                <w:highlight w:val="none"/>
                <w:lang w:val="en-US" w:eastAsia="zh-CN"/>
              </w:rPr>
              <w:t>比选</w:t>
            </w:r>
            <w:r>
              <w:rPr>
                <w:rFonts w:hint="eastAsia" w:ascii="宋体" w:hAnsi="宋体" w:eastAsia="宋体" w:cs="宋体"/>
                <w:color w:val="auto"/>
                <w:szCs w:val="21"/>
                <w:highlight w:val="none"/>
              </w:rPr>
              <w:t>文件要求的</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人的投标</w:t>
            </w:r>
            <w:r>
              <w:rPr>
                <w:rFonts w:hint="eastAsia" w:ascii="宋体" w:hAnsi="宋体" w:cs="宋体"/>
                <w:color w:val="auto"/>
                <w:szCs w:val="21"/>
                <w:highlight w:val="none"/>
                <w:lang w:val="en-US" w:eastAsia="zh-CN"/>
              </w:rPr>
              <w:t>总</w:t>
            </w:r>
            <w:r>
              <w:rPr>
                <w:rFonts w:hint="eastAsia" w:ascii="宋体" w:hAnsi="宋体" w:eastAsia="宋体" w:cs="宋体"/>
                <w:color w:val="auto"/>
                <w:szCs w:val="21"/>
                <w:highlight w:val="none"/>
              </w:rPr>
              <w:t>报价。</w:t>
            </w:r>
          </w:p>
          <w:p w14:paraId="3FAE8677">
            <w:pPr>
              <w:pStyle w:val="121"/>
              <w:keepNext w:val="0"/>
              <w:keepLines w:val="0"/>
              <w:pageBreakBefore w:val="0"/>
              <w:suppressLineNumbers w:val="0"/>
              <w:kinsoku/>
              <w:wordWrap/>
              <w:overflowPunct/>
              <w:topLinePunct w:val="0"/>
              <w:bidi w:val="0"/>
              <w:adjustRightInd w:val="0"/>
              <w:spacing w:before="0" w:beforeAutospacing="0" w:after="0" w:afterAutospacing="0" w:line="360" w:lineRule="exact"/>
              <w:ind w:left="0" w:right="0"/>
              <w:textAlignment w:val="baseline"/>
              <w:rPr>
                <w:rFonts w:hint="default" w:asciiTheme="minorEastAsia" w:hAnsiTheme="minorEastAsia" w:eastAsiaTheme="minorEastAsia" w:cstheme="minorEastAsia"/>
                <w:bCs/>
                <w:color w:val="auto"/>
                <w:szCs w:val="21"/>
                <w:highlight w:val="none"/>
              </w:rPr>
            </w:pPr>
            <w:r>
              <w:rPr>
                <w:rFonts w:hint="eastAsia" w:ascii="宋体" w:hAnsi="宋体" w:eastAsia="宋体" w:cs="宋体"/>
                <w:color w:val="auto"/>
                <w:szCs w:val="21"/>
                <w:highlight w:val="none"/>
              </w:rPr>
              <w:t>2.评标基准价：所有通过初步评审合格的</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人的投标报价中去掉六分之一（不能整除的按小数点前整数取整，不足六家报价则不去掉）的最低价和相同家数的最高价后的算术平均值为评标基准价。</w:t>
            </w:r>
          </w:p>
          <w:p w14:paraId="46EF1626">
            <w:pPr>
              <w:keepNext w:val="0"/>
              <w:keepLines w:val="0"/>
              <w:pageBreakBefore w:val="0"/>
              <w:suppressLineNumbers w:val="0"/>
              <w:kinsoku/>
              <w:wordWrap/>
              <w:overflowPunct/>
              <w:topLinePunct w:val="0"/>
              <w:bidi w:val="0"/>
              <w:spacing w:before="0" w:beforeAutospacing="0" w:after="0" w:afterAutospacing="0" w:line="360" w:lineRule="exact"/>
              <w:ind w:left="0" w:right="0"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注：评标基准价以元为</w:t>
            </w:r>
            <w:r>
              <w:rPr>
                <w:rFonts w:hint="eastAsia" w:ascii="宋体" w:hAnsi="宋体" w:cs="宋体"/>
                <w:color w:val="auto"/>
                <w:szCs w:val="21"/>
                <w:highlight w:val="none"/>
              </w:rPr>
              <w:t>单位，保留2位小数，按四舍五入原则进行。确认后的评标基准价在本次整个招投标期间保持不变，不随后续评审的报价人数量发生变化。</w:t>
            </w:r>
          </w:p>
        </w:tc>
      </w:tr>
      <w:tr w14:paraId="6FEC5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6" w:hRule="atLeast"/>
        </w:trPr>
        <w:tc>
          <w:tcPr>
            <w:tcW w:w="944" w:type="dxa"/>
            <w:tcBorders>
              <w:top w:val="single" w:color="auto" w:sz="4" w:space="0"/>
              <w:bottom w:val="single" w:color="auto" w:sz="4" w:space="0"/>
              <w:right w:val="single" w:color="auto" w:sz="4" w:space="0"/>
            </w:tcBorders>
            <w:vAlign w:val="center"/>
          </w:tcPr>
          <w:p w14:paraId="346917F8">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2.2.3</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300A67C8">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szCs w:val="21"/>
                <w:highlight w:val="none"/>
                <w:lang w:bidi="ar"/>
              </w:rPr>
              <w:t>评标价的偏差率计算公式</w:t>
            </w:r>
          </w:p>
        </w:tc>
        <w:tc>
          <w:tcPr>
            <w:tcW w:w="6835" w:type="dxa"/>
            <w:gridSpan w:val="2"/>
            <w:tcBorders>
              <w:top w:val="single" w:color="auto" w:sz="4" w:space="0"/>
              <w:left w:val="single" w:color="auto" w:sz="4" w:space="0"/>
              <w:bottom w:val="single" w:color="auto" w:sz="4" w:space="0"/>
            </w:tcBorders>
            <w:vAlign w:val="center"/>
          </w:tcPr>
          <w:p w14:paraId="185E828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firstLine="420" w:firstLineChars="200"/>
              <w:jc w:val="left"/>
              <w:rPr>
                <w:rFonts w:hint="default" w:ascii="宋体" w:hAnsi="宋体" w:cs="宋体"/>
                <w:color w:val="auto"/>
                <w:kern w:val="0"/>
                <w:highlight w:val="none"/>
              </w:rPr>
            </w:pPr>
            <w:r>
              <w:rPr>
                <w:rFonts w:hint="eastAsia" w:ascii="宋体" w:hAnsi="宋体" w:cs="宋体"/>
                <w:color w:val="auto"/>
                <w:kern w:val="0"/>
                <w:highlight w:val="none"/>
              </w:rPr>
              <w:t>偏差率</w:t>
            </w:r>
            <w:r>
              <w:rPr>
                <w:rFonts w:hint="eastAsia" w:ascii="宋体" w:hAnsi="宋体" w:cs="宋体"/>
                <w:color w:val="auto"/>
                <w:kern w:val="0"/>
                <w:sz w:val="28"/>
                <w:szCs w:val="28"/>
                <w:highlight w:val="none"/>
              </w:rPr>
              <w:t>=</w:t>
            </w:r>
            <w:r>
              <w:rPr>
                <w:rFonts w:hint="eastAsia" w:ascii="宋体" w:hAnsi="宋体" w:cs="宋体"/>
                <w:color w:val="auto"/>
                <w:kern w:val="0"/>
                <w:highlight w:val="none"/>
              </w:rPr>
              <w:t>100％×（投标价一评标基准价）／评标基准价</w:t>
            </w:r>
          </w:p>
          <w:p w14:paraId="3EF9511C">
            <w:pPr>
              <w:keepNext w:val="0"/>
              <w:keepLines w:val="0"/>
              <w:pageBreakBefore w:val="0"/>
              <w:suppressLineNumbers w:val="0"/>
              <w:kinsoku/>
              <w:wordWrap/>
              <w:overflowPunct/>
              <w:topLinePunct w:val="0"/>
              <w:bidi w:val="0"/>
              <w:spacing w:before="0" w:beforeAutospacing="0" w:after="0" w:afterAutospacing="0" w:line="360" w:lineRule="exact"/>
              <w:ind w:left="0" w:right="0"/>
              <w:jc w:val="left"/>
              <w:rPr>
                <w:rFonts w:hint="default" w:asciiTheme="minorEastAsia" w:hAnsiTheme="minorEastAsia" w:eastAsiaTheme="minorEastAsia" w:cstheme="minorEastAsia"/>
                <w:color w:val="auto"/>
                <w:szCs w:val="21"/>
                <w:highlight w:val="none"/>
              </w:rPr>
            </w:pPr>
            <w:r>
              <w:rPr>
                <w:rFonts w:hint="eastAsia" w:ascii="宋体" w:hAnsi="宋体" w:cs="宋体"/>
                <w:color w:val="auto"/>
                <w:kern w:val="0"/>
                <w:highlight w:val="none"/>
              </w:rPr>
              <w:t>偏差率</w:t>
            </w:r>
            <w:r>
              <w:rPr>
                <w:rFonts w:hint="eastAsia" w:ascii="宋体" w:hAnsi="宋体" w:cs="宋体"/>
                <w:color w:val="auto"/>
                <w:kern w:val="0"/>
                <w:szCs w:val="21"/>
                <w:highlight w:val="none"/>
              </w:rPr>
              <w:t>计算的最终结果保留两位小数，小数点后第三位四舍五入</w:t>
            </w:r>
            <w:r>
              <w:rPr>
                <w:rFonts w:hint="eastAsia" w:asciiTheme="minorEastAsia" w:hAnsiTheme="minorEastAsia" w:eastAsiaTheme="minorEastAsia" w:cstheme="minorEastAsia"/>
                <w:bCs/>
                <w:color w:val="auto"/>
                <w:szCs w:val="21"/>
                <w:highlight w:val="none"/>
                <w:lang w:bidi="ar"/>
              </w:rPr>
              <w:t>。</w:t>
            </w:r>
          </w:p>
        </w:tc>
      </w:tr>
      <w:tr w14:paraId="5152B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tcBorders>
              <w:top w:val="single" w:color="auto" w:sz="4" w:space="0"/>
              <w:bottom w:val="single" w:color="auto" w:sz="4" w:space="0"/>
              <w:right w:val="single" w:color="auto" w:sz="4" w:space="0"/>
            </w:tcBorders>
            <w:vAlign w:val="center"/>
          </w:tcPr>
          <w:p w14:paraId="1FE2FC3B">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zCs w:val="21"/>
                <w:highlight w:val="none"/>
                <w:lang w:bidi="ar"/>
              </w:rPr>
              <w:t>条款号</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1B6E6A21">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b/>
                <w:color w:val="auto"/>
                <w:szCs w:val="21"/>
                <w:highlight w:val="none"/>
                <w:lang w:bidi="ar"/>
              </w:rPr>
              <w:t>评分因素权重分值</w:t>
            </w:r>
          </w:p>
        </w:tc>
        <w:tc>
          <w:tcPr>
            <w:tcW w:w="6835" w:type="dxa"/>
            <w:gridSpan w:val="2"/>
            <w:tcBorders>
              <w:top w:val="single" w:color="auto" w:sz="4" w:space="0"/>
              <w:left w:val="single" w:color="auto" w:sz="4" w:space="0"/>
              <w:bottom w:val="single" w:color="auto" w:sz="4" w:space="0"/>
            </w:tcBorders>
            <w:vAlign w:val="center"/>
          </w:tcPr>
          <w:p w14:paraId="62C6338A">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b/>
                <w:color w:val="auto"/>
                <w:szCs w:val="21"/>
                <w:highlight w:val="none"/>
                <w:lang w:bidi="ar"/>
              </w:rPr>
              <w:t>各评分因素细分项</w:t>
            </w:r>
          </w:p>
        </w:tc>
      </w:tr>
      <w:tr w14:paraId="7EC16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restart"/>
            <w:tcBorders>
              <w:top w:val="single" w:color="auto" w:sz="4" w:space="0"/>
              <w:bottom w:val="single" w:color="auto" w:sz="4" w:space="0"/>
              <w:right w:val="single" w:color="auto" w:sz="4" w:space="0"/>
            </w:tcBorders>
            <w:vAlign w:val="center"/>
          </w:tcPr>
          <w:p w14:paraId="1D783627">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2.2.4</w:t>
            </w:r>
          </w:p>
          <w:p w14:paraId="37DAF799">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eastAsia="宋体" w:asciiTheme="minorEastAsia" w:hAnsiTheme="minorEastAsia" w:cstheme="minorEastAsia"/>
                <w:bCs/>
                <w:color w:val="auto"/>
                <w:szCs w:val="21"/>
                <w:highlight w:val="none"/>
                <w:lang w:val="en-US" w:eastAsia="zh-CN" w:bidi="ar"/>
              </w:rPr>
            </w:pPr>
            <w:r>
              <w:rPr>
                <w:rFonts w:hint="eastAsia" w:ascii="宋体" w:hAnsi="宋体" w:cs="宋体"/>
                <w:color w:val="auto"/>
                <w:szCs w:val="21"/>
                <w:highlight w:val="none"/>
                <w:lang w:val="en-US" w:eastAsia="zh-CN"/>
              </w:rPr>
              <w:t>（1）</w:t>
            </w:r>
          </w:p>
        </w:tc>
        <w:tc>
          <w:tcPr>
            <w:tcW w:w="897" w:type="dxa"/>
            <w:vMerge w:val="restart"/>
            <w:tcBorders>
              <w:top w:val="single" w:color="auto" w:sz="4" w:space="0"/>
              <w:left w:val="single" w:color="auto" w:sz="4" w:space="0"/>
              <w:bottom w:val="single" w:color="auto" w:sz="4" w:space="0"/>
              <w:right w:val="single" w:color="auto" w:sz="4" w:space="0"/>
            </w:tcBorders>
            <w:vAlign w:val="center"/>
          </w:tcPr>
          <w:p w14:paraId="2F6BA229">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技术评分标准（20分）</w:t>
            </w:r>
          </w:p>
        </w:tc>
        <w:tc>
          <w:tcPr>
            <w:tcW w:w="7964" w:type="dxa"/>
            <w:gridSpan w:val="3"/>
            <w:tcBorders>
              <w:top w:val="single" w:color="auto" w:sz="4" w:space="0"/>
              <w:left w:val="single" w:color="auto" w:sz="4" w:space="0"/>
              <w:bottom w:val="single" w:color="auto" w:sz="4" w:space="0"/>
            </w:tcBorders>
            <w:vAlign w:val="center"/>
          </w:tcPr>
          <w:p w14:paraId="005AEDB6">
            <w:pPr>
              <w:keepNext w:val="0"/>
              <w:keepLines w:val="0"/>
              <w:pageBreakBefore w:val="0"/>
              <w:suppressLineNumbers w:val="0"/>
              <w:kinsoku/>
              <w:wordWrap/>
              <w:overflowPunct/>
              <w:topLinePunct w:val="0"/>
              <w:autoSpaceDE w:val="0"/>
              <w:autoSpaceDN w:val="0"/>
              <w:bidi w:val="0"/>
              <w:spacing w:before="0" w:beforeAutospacing="0" w:after="0" w:afterAutospacing="0" w:line="360" w:lineRule="exact"/>
              <w:ind w:left="0" w:right="0"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技术部分评分分为客观评分和主观评分。</w:t>
            </w:r>
          </w:p>
          <w:p w14:paraId="172FF56D">
            <w:pPr>
              <w:keepNext w:val="0"/>
              <w:keepLines w:val="0"/>
              <w:pageBreakBefore w:val="0"/>
              <w:suppressLineNumbers w:val="0"/>
              <w:kinsoku/>
              <w:wordWrap/>
              <w:overflowPunct/>
              <w:topLinePunct w:val="0"/>
              <w:autoSpaceDE w:val="0"/>
              <w:autoSpaceDN w:val="0"/>
              <w:bidi w:val="0"/>
              <w:spacing w:before="0" w:beforeAutospacing="0" w:after="0" w:afterAutospacing="0" w:line="360" w:lineRule="exact"/>
              <w:ind w:left="0" w:right="0"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客观评分：评标委员会按以下各评审因素设定的分值进行评分且保证分值统一；主观评分：评标委员会成员为5人及以上时，所有评委评分算术平均值为该报价人技术部分得分。</w:t>
            </w:r>
          </w:p>
          <w:p w14:paraId="1740F238">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
                <w:color w:val="auto"/>
                <w:sz w:val="18"/>
                <w:szCs w:val="18"/>
                <w:highlight w:val="none"/>
                <w:lang w:bidi="ar"/>
              </w:rPr>
            </w:pPr>
            <w:r>
              <w:rPr>
                <w:rFonts w:hint="eastAsia" w:asciiTheme="minorEastAsia" w:hAnsiTheme="minorEastAsia" w:eastAsiaTheme="minorEastAsia" w:cstheme="minorEastAsia"/>
                <w:bCs/>
                <w:color w:val="auto"/>
                <w:szCs w:val="21"/>
                <w:highlight w:val="none"/>
                <w:lang w:val="en-US" w:eastAsia="zh-CN"/>
              </w:rPr>
              <w:t>技术部分得分的最终结果保留两位小数，小数点后第三位四舍五入。</w:t>
            </w:r>
          </w:p>
        </w:tc>
      </w:tr>
      <w:tr w14:paraId="26561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4" w:type="dxa"/>
            <w:vMerge w:val="continue"/>
            <w:tcBorders>
              <w:top w:val="single" w:color="auto" w:sz="4" w:space="0"/>
              <w:bottom w:val="single" w:color="auto" w:sz="4" w:space="0"/>
              <w:right w:val="single" w:color="auto" w:sz="4" w:space="0"/>
            </w:tcBorders>
            <w:vAlign w:val="center"/>
          </w:tcPr>
          <w:p w14:paraId="7767800E">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14:paraId="0FBF8B6B">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08BA1D3E">
            <w:pPr>
              <w:keepNext w:val="0"/>
              <w:keepLines w:val="0"/>
              <w:widowControl w:val="0"/>
              <w:suppressLineNumbers w:val="0"/>
              <w:spacing w:before="0" w:beforeAutospacing="0" w:after="0" w:afterAutospacing="0"/>
              <w:ind w:left="0" w:right="0"/>
              <w:jc w:val="both"/>
              <w:rPr>
                <w:rFonts w:hint="default"/>
                <w:color w:val="auto"/>
                <w:highlight w:val="none"/>
              </w:rPr>
            </w:pPr>
            <w:r>
              <w:rPr>
                <w:rFonts w:hint="eastAsia" w:ascii="宋体" w:hAnsi="宋体" w:eastAsia="宋体" w:cs="宋体"/>
                <w:color w:val="auto"/>
                <w:kern w:val="0"/>
                <w:sz w:val="21"/>
                <w:szCs w:val="21"/>
                <w:highlight w:val="none"/>
                <w:lang w:val="en-US" w:eastAsia="zh-CN" w:bidi="ar"/>
              </w:rPr>
              <w:t>项目技术方案（10分）</w:t>
            </w:r>
          </w:p>
          <w:p w14:paraId="710C5B89">
            <w:pPr>
              <w:keepNext w:val="0"/>
              <w:keepLines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Cs/>
                <w:i/>
                <w:iCs/>
                <w:color w:val="auto"/>
                <w:kern w:val="2"/>
                <w:sz w:val="21"/>
                <w:szCs w:val="21"/>
                <w:highlight w:val="none"/>
                <w:lang w:val="en-US" w:eastAsia="zh-CN" w:bidi="ar-SA"/>
              </w:rPr>
            </w:pPr>
          </w:p>
        </w:tc>
        <w:tc>
          <w:tcPr>
            <w:tcW w:w="6835" w:type="dxa"/>
            <w:gridSpan w:val="2"/>
            <w:tcBorders>
              <w:top w:val="single" w:color="auto" w:sz="4" w:space="0"/>
              <w:left w:val="single" w:color="auto" w:sz="4" w:space="0"/>
              <w:bottom w:val="single" w:color="auto" w:sz="4" w:space="0"/>
            </w:tcBorders>
            <w:shd w:val="clear" w:color="auto" w:fill="auto"/>
            <w:vAlign w:val="center"/>
          </w:tcPr>
          <w:p w14:paraId="62794CEF">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报价人对“项目需求”中所列需求进行响应，所选用的软件开发架构和工具应具有先进性，功能齐全且具备扩展性；具有详细的设计和实施计划；具备风险应对措施（如延期等）；关键性环节步骤有详细的步骤描述；系统安全性保障考虑全面。</w:t>
            </w:r>
          </w:p>
          <w:p w14:paraId="31B7DB9E">
            <w:pPr>
              <w:keepNext w:val="0"/>
              <w:keepLines w:val="0"/>
              <w:suppressLineNumbers w:val="0"/>
              <w:spacing w:before="0" w:beforeAutospacing="0" w:after="0" w:afterAutospacing="0" w:line="400" w:lineRule="exact"/>
              <w:ind w:left="0" w:leftChars="0" w:right="0" w:rightChars="0" w:firstLine="420" w:firstLineChars="200"/>
              <w:rPr>
                <w:rFonts w:hint="default" w:asciiTheme="minorEastAsia" w:hAnsiTheme="minorEastAsia" w:eastAsiaTheme="minorEastAsia" w:cstheme="minorEastAsia"/>
                <w:b/>
                <w:color w:val="auto"/>
                <w:sz w:val="18"/>
                <w:szCs w:val="18"/>
                <w:highlight w:val="none"/>
                <w:lang w:bidi="ar"/>
              </w:rPr>
            </w:pPr>
            <w:r>
              <w:rPr>
                <w:rFonts w:hint="eastAsia" w:ascii="宋体" w:hAnsi="宋体" w:cs="宋体"/>
                <w:color w:val="auto"/>
                <w:szCs w:val="21"/>
                <w:highlight w:val="none"/>
                <w:lang w:val="en-US" w:eastAsia="zh-CN"/>
              </w:rPr>
              <w:t>注：以上性能满足要求得</w:t>
            </w:r>
            <w:r>
              <w:rPr>
                <w:rFonts w:hint="default" w:ascii="宋体" w:hAnsi="宋体" w:cs="宋体"/>
                <w:color w:val="auto"/>
                <w:szCs w:val="21"/>
                <w:highlight w:val="none"/>
                <w:lang w:val="en-US" w:eastAsia="zh-CN"/>
              </w:rPr>
              <w:t>10-8</w:t>
            </w:r>
            <w:r>
              <w:rPr>
                <w:rFonts w:hint="eastAsia" w:ascii="宋体" w:hAnsi="宋体" w:cs="宋体"/>
                <w:color w:val="auto"/>
                <w:szCs w:val="21"/>
                <w:highlight w:val="none"/>
                <w:lang w:val="en-US" w:eastAsia="zh-CN"/>
              </w:rPr>
              <w:t>分；以上性能较为满足要求得</w:t>
            </w:r>
            <w:r>
              <w:rPr>
                <w:rFonts w:hint="default" w:ascii="宋体" w:hAnsi="宋体" w:cs="宋体"/>
                <w:color w:val="auto"/>
                <w:szCs w:val="21"/>
                <w:highlight w:val="none"/>
                <w:lang w:val="en-US" w:eastAsia="zh-CN"/>
              </w:rPr>
              <w:t>8</w:t>
            </w:r>
            <w:r>
              <w:rPr>
                <w:rFonts w:hint="eastAsia" w:ascii="宋体" w:hAnsi="宋体" w:cs="宋体"/>
                <w:color w:val="auto"/>
                <w:szCs w:val="21"/>
                <w:highlight w:val="none"/>
                <w:lang w:val="en-US" w:eastAsia="zh-CN"/>
              </w:rPr>
              <w:t>-</w:t>
            </w:r>
            <w:r>
              <w:rPr>
                <w:rFonts w:hint="default" w:ascii="宋体" w:hAnsi="宋体" w:cs="宋体"/>
                <w:color w:val="auto"/>
                <w:szCs w:val="21"/>
                <w:highlight w:val="none"/>
                <w:lang w:val="en-US" w:eastAsia="zh-CN"/>
              </w:rPr>
              <w:t>6</w:t>
            </w:r>
            <w:r>
              <w:rPr>
                <w:rFonts w:hint="eastAsia" w:ascii="宋体" w:hAnsi="宋体" w:cs="宋体"/>
                <w:color w:val="auto"/>
                <w:szCs w:val="21"/>
                <w:highlight w:val="none"/>
                <w:lang w:val="en-US" w:eastAsia="zh-CN"/>
              </w:rPr>
              <w:t>分，以上性能不满足要求得</w:t>
            </w:r>
            <w:r>
              <w:rPr>
                <w:rFonts w:hint="default" w:ascii="宋体" w:hAnsi="宋体" w:cs="宋体"/>
                <w:color w:val="auto"/>
                <w:szCs w:val="21"/>
                <w:highlight w:val="none"/>
                <w:lang w:val="en-US" w:eastAsia="zh-CN"/>
              </w:rPr>
              <w:t>6</w:t>
            </w:r>
            <w:r>
              <w:rPr>
                <w:rFonts w:hint="eastAsia" w:ascii="宋体" w:hAnsi="宋体" w:cs="宋体"/>
                <w:color w:val="auto"/>
                <w:szCs w:val="21"/>
                <w:highlight w:val="none"/>
                <w:lang w:val="en-US" w:eastAsia="zh-CN"/>
              </w:rPr>
              <w:t>-</w:t>
            </w:r>
            <w:r>
              <w:rPr>
                <w:rFonts w:hint="default" w:ascii="宋体" w:hAnsi="宋体" w:cs="宋体"/>
                <w:color w:val="auto"/>
                <w:szCs w:val="21"/>
                <w:highlight w:val="none"/>
                <w:lang w:val="en-US" w:eastAsia="zh-CN"/>
              </w:rPr>
              <w:t>0</w:t>
            </w:r>
            <w:r>
              <w:rPr>
                <w:rFonts w:hint="eastAsia" w:ascii="宋体" w:hAnsi="宋体" w:cs="宋体"/>
                <w:color w:val="auto"/>
                <w:szCs w:val="21"/>
                <w:highlight w:val="none"/>
                <w:lang w:val="en-US" w:eastAsia="zh-CN"/>
              </w:rPr>
              <w:t>分。</w:t>
            </w:r>
          </w:p>
        </w:tc>
      </w:tr>
      <w:tr w14:paraId="535AE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4" w:type="dxa"/>
            <w:vMerge w:val="continue"/>
            <w:tcBorders>
              <w:top w:val="single" w:color="auto" w:sz="4" w:space="0"/>
              <w:bottom w:val="single" w:color="auto" w:sz="4" w:space="0"/>
              <w:right w:val="single" w:color="auto" w:sz="4" w:space="0"/>
            </w:tcBorders>
            <w:vAlign w:val="center"/>
          </w:tcPr>
          <w:p w14:paraId="0789A544">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14:paraId="2F7F6839">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31A5913B">
            <w:pPr>
              <w:keepNext w:val="0"/>
              <w:keepLines w:val="0"/>
              <w:widowControl w:val="0"/>
              <w:suppressLineNumbers w:val="0"/>
              <w:spacing w:before="0" w:beforeAutospacing="0" w:after="0" w:afterAutospacing="0"/>
              <w:ind w:left="0" w:right="0"/>
              <w:jc w:val="both"/>
              <w:rPr>
                <w:rFonts w:hint="default"/>
                <w:color w:val="auto"/>
                <w:highlight w:val="none"/>
              </w:rPr>
            </w:pPr>
            <w:r>
              <w:rPr>
                <w:rFonts w:hint="eastAsia" w:ascii="宋体" w:hAnsi="宋体" w:eastAsia="宋体" w:cs="宋体"/>
                <w:bCs/>
                <w:color w:val="auto"/>
                <w:kern w:val="2"/>
                <w:sz w:val="21"/>
                <w:szCs w:val="21"/>
                <w:highlight w:val="none"/>
                <w:lang w:val="en-US" w:eastAsia="zh-CN" w:bidi="ar"/>
              </w:rPr>
              <w:t>项目实施方案（5分）</w:t>
            </w:r>
          </w:p>
          <w:p w14:paraId="2A1169E9">
            <w:pPr>
              <w:keepNext w:val="0"/>
              <w:keepLines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Cs/>
                <w:i w:val="0"/>
                <w:iCs w:val="0"/>
                <w:color w:val="auto"/>
                <w:kern w:val="2"/>
                <w:sz w:val="21"/>
                <w:szCs w:val="21"/>
                <w:highlight w:val="none"/>
                <w:lang w:val="en-US" w:eastAsia="zh-CN" w:bidi="ar-SA"/>
              </w:rPr>
            </w:pPr>
          </w:p>
        </w:tc>
        <w:tc>
          <w:tcPr>
            <w:tcW w:w="6835" w:type="dxa"/>
            <w:gridSpan w:val="2"/>
            <w:tcBorders>
              <w:top w:val="single" w:color="auto" w:sz="4" w:space="0"/>
              <w:left w:val="single" w:color="auto" w:sz="4" w:space="0"/>
              <w:bottom w:val="single" w:color="auto" w:sz="4" w:space="0"/>
            </w:tcBorders>
            <w:shd w:val="clear" w:color="auto" w:fill="auto"/>
            <w:vAlign w:val="center"/>
          </w:tcPr>
          <w:p w14:paraId="14642CDF">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报价人针对档案管理系统开发服务项目的软件代码过程提供合理可行的项目实施方案，方案至少包含项目实施的组织架构、实施计划、实施管理流程；实施方案内容全面、结构清晰；实施方案针对技术、资源、时间的安排合理。根据编制内容优劣给分：</w:t>
            </w:r>
          </w:p>
          <w:p w14:paraId="0419C993">
            <w:pPr>
              <w:keepNext w:val="0"/>
              <w:keepLines w:val="0"/>
              <w:suppressLineNumbers w:val="0"/>
              <w:spacing w:before="0" w:beforeAutospacing="0" w:after="0" w:afterAutospacing="0" w:line="400" w:lineRule="exact"/>
              <w:ind w:left="0" w:leftChars="0" w:right="0" w:rightChars="0" w:firstLine="420" w:firstLineChars="200"/>
              <w:rPr>
                <w:rFonts w:hint="default" w:asciiTheme="minorEastAsia" w:hAnsiTheme="minorEastAsia" w:eastAsiaTheme="minorEastAsia" w:cstheme="minorEastAsia"/>
                <w:b/>
                <w:color w:val="auto"/>
                <w:sz w:val="18"/>
                <w:szCs w:val="18"/>
                <w:highlight w:val="none"/>
                <w:lang w:bidi="ar"/>
              </w:rPr>
            </w:pPr>
            <w:r>
              <w:rPr>
                <w:rFonts w:hint="eastAsia" w:ascii="宋体" w:hAnsi="宋体" w:cs="宋体"/>
                <w:color w:val="auto"/>
                <w:szCs w:val="21"/>
                <w:highlight w:val="none"/>
                <w:lang w:val="en-US" w:eastAsia="zh-CN"/>
              </w:rPr>
              <w:t>注：方案内容合理、可行性高、完整性好，内容全面结构清晰得5-4分；方案内容较合理性、可行性较高、完整性一般、内容全面结构一般得4-3分；方案内容应不合理性、不具有可行性、完整性较差、内容全面结构模糊得3-0分。</w:t>
            </w:r>
          </w:p>
        </w:tc>
      </w:tr>
      <w:tr w14:paraId="4860D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4" w:type="dxa"/>
            <w:vMerge w:val="continue"/>
            <w:tcBorders>
              <w:top w:val="single" w:color="auto" w:sz="4" w:space="0"/>
              <w:bottom w:val="single" w:color="auto" w:sz="4" w:space="0"/>
              <w:right w:val="single" w:color="auto" w:sz="4" w:space="0"/>
            </w:tcBorders>
            <w:vAlign w:val="center"/>
          </w:tcPr>
          <w:p w14:paraId="3889ECF4">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14:paraId="547AA51A">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27B7C1D7">
            <w:pPr>
              <w:keepNext w:val="0"/>
              <w:keepLines w:val="0"/>
              <w:widowControl w:val="0"/>
              <w:suppressLineNumbers w:val="0"/>
              <w:spacing w:before="0" w:beforeAutospacing="0" w:after="0" w:afterAutospacing="0"/>
              <w:ind w:left="0" w:right="0"/>
              <w:jc w:val="both"/>
              <w:rPr>
                <w:rFonts w:hint="default"/>
                <w:color w:val="auto"/>
                <w:highlight w:val="none"/>
              </w:rPr>
            </w:pPr>
            <w:r>
              <w:rPr>
                <w:rFonts w:hint="eastAsia" w:ascii="宋体" w:hAnsi="宋体" w:eastAsia="宋体" w:cs="宋体"/>
                <w:bCs/>
                <w:color w:val="auto"/>
                <w:kern w:val="2"/>
                <w:sz w:val="21"/>
                <w:szCs w:val="21"/>
                <w:highlight w:val="none"/>
                <w:lang w:val="en-US" w:eastAsia="zh-CN" w:bidi="ar"/>
              </w:rPr>
              <w:t>项目技术交底和缺陷责任保障服务方案（5分）</w:t>
            </w:r>
          </w:p>
          <w:p w14:paraId="5E1832FC">
            <w:pPr>
              <w:pStyle w:val="41"/>
              <w:keepNext w:val="0"/>
              <w:keepLines w:val="0"/>
              <w:suppressLineNumbers w:val="0"/>
              <w:spacing w:before="0" w:beforeAutospacing="0" w:after="0" w:afterAutospacing="0" w:line="320" w:lineRule="exact"/>
              <w:ind w:left="0" w:leftChars="0" w:right="0" w:rightChars="0" w:firstLine="0" w:firstLineChars="0"/>
              <w:rPr>
                <w:rFonts w:hint="eastAsia" w:asciiTheme="minorEastAsia" w:hAnsiTheme="minorEastAsia" w:eastAsiaTheme="minorEastAsia" w:cstheme="minorEastAsia"/>
                <w:bCs/>
                <w:i w:val="0"/>
                <w:iCs w:val="0"/>
                <w:color w:val="auto"/>
                <w:kern w:val="2"/>
                <w:sz w:val="21"/>
                <w:szCs w:val="21"/>
                <w:highlight w:val="none"/>
                <w:lang w:val="en-US" w:eastAsia="zh-CN" w:bidi="ar-SA"/>
              </w:rPr>
            </w:pPr>
          </w:p>
        </w:tc>
        <w:tc>
          <w:tcPr>
            <w:tcW w:w="6835" w:type="dxa"/>
            <w:gridSpan w:val="2"/>
            <w:tcBorders>
              <w:top w:val="single" w:color="auto" w:sz="4" w:space="0"/>
              <w:left w:val="single" w:color="auto" w:sz="4" w:space="0"/>
              <w:bottom w:val="single" w:color="auto" w:sz="4" w:space="0"/>
            </w:tcBorders>
            <w:shd w:val="clear" w:color="auto" w:fill="auto"/>
            <w:vAlign w:val="center"/>
          </w:tcPr>
          <w:p w14:paraId="25585CD8">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报价人针对档案管理系统开发服务提供合理可行的项目售后服务技术支持及技术交底服务方案，方案至少包含开发过程文档、需求变更文档、最终版源代码移交，技术交底方式、计划、技术交底质量控制、缺陷责任期响应和修复保障等内容。</w:t>
            </w:r>
          </w:p>
          <w:p w14:paraId="0C47C7AB">
            <w:pPr>
              <w:keepNext w:val="0"/>
              <w:keepLines w:val="0"/>
              <w:suppressLineNumbers w:val="0"/>
              <w:spacing w:before="0" w:beforeAutospacing="0" w:after="0" w:afterAutospacing="0" w:line="400" w:lineRule="exact"/>
              <w:ind w:left="0" w:leftChars="0" w:right="0" w:rightChars="0" w:firstLine="420" w:firstLineChars="200"/>
              <w:rPr>
                <w:rFonts w:hint="default" w:asciiTheme="minorEastAsia" w:hAnsiTheme="minorEastAsia" w:eastAsiaTheme="minorEastAsia" w:cstheme="minorEastAsia"/>
                <w:b/>
                <w:color w:val="auto"/>
                <w:sz w:val="18"/>
                <w:szCs w:val="18"/>
                <w:highlight w:val="none"/>
                <w:lang w:bidi="ar"/>
              </w:rPr>
            </w:pPr>
            <w:r>
              <w:rPr>
                <w:rFonts w:hint="eastAsia" w:ascii="宋体" w:hAnsi="宋体" w:cs="宋体"/>
                <w:color w:val="auto"/>
                <w:szCs w:val="21"/>
                <w:highlight w:val="none"/>
                <w:lang w:val="en-US" w:eastAsia="zh-CN"/>
              </w:rPr>
              <w:t>注：方案内容合理性、可行性、完整性较好得5-4分，方案内容合理性、可行性、完整性一般得4-3分，方案内容不合理、可行性不好、完整性差得3-0分。</w:t>
            </w:r>
          </w:p>
        </w:tc>
      </w:tr>
      <w:tr w14:paraId="509BC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44" w:type="dxa"/>
            <w:vMerge w:val="restart"/>
            <w:tcBorders>
              <w:top w:val="single" w:color="auto" w:sz="4" w:space="0"/>
              <w:bottom w:val="single" w:color="auto" w:sz="4" w:space="0"/>
              <w:right w:val="single" w:color="auto" w:sz="4" w:space="0"/>
            </w:tcBorders>
            <w:vAlign w:val="center"/>
          </w:tcPr>
          <w:p w14:paraId="157D254F">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2.2.4</w:t>
            </w:r>
          </w:p>
          <w:p w14:paraId="2E034C2C">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r>
              <w:rPr>
                <w:rFonts w:hint="eastAsia" w:ascii="宋体" w:hAnsi="宋体" w:cs="宋体"/>
                <w:color w:val="auto"/>
                <w:szCs w:val="21"/>
                <w:highlight w:val="none"/>
                <w:lang w:val="en-US" w:eastAsia="zh-CN"/>
              </w:rPr>
              <w:t>（2）</w:t>
            </w:r>
          </w:p>
        </w:tc>
        <w:tc>
          <w:tcPr>
            <w:tcW w:w="897" w:type="dxa"/>
            <w:vMerge w:val="restart"/>
            <w:tcBorders>
              <w:top w:val="single" w:color="auto" w:sz="4" w:space="0"/>
              <w:left w:val="single" w:color="auto" w:sz="4" w:space="0"/>
              <w:bottom w:val="single" w:color="auto" w:sz="4" w:space="0"/>
              <w:right w:val="single" w:color="auto" w:sz="4" w:space="0"/>
            </w:tcBorders>
            <w:vAlign w:val="center"/>
          </w:tcPr>
          <w:p w14:paraId="4484D657">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商务评分标准（10分）</w:t>
            </w:r>
          </w:p>
        </w:tc>
        <w:tc>
          <w:tcPr>
            <w:tcW w:w="7964" w:type="dxa"/>
            <w:gridSpan w:val="3"/>
            <w:tcBorders>
              <w:top w:val="single" w:color="auto" w:sz="4" w:space="0"/>
              <w:left w:val="single" w:color="auto" w:sz="4" w:space="0"/>
              <w:bottom w:val="single" w:color="auto" w:sz="4" w:space="0"/>
            </w:tcBorders>
            <w:vAlign w:val="center"/>
          </w:tcPr>
          <w:p w14:paraId="0B9F7AA0">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商务部分评分为客观评分，评标委员会按</w:t>
            </w:r>
            <w:r>
              <w:rPr>
                <w:rFonts w:hint="eastAsia" w:ascii="宋体" w:hAnsi="宋体" w:eastAsia="宋体" w:cs="宋体"/>
                <w:color w:val="auto"/>
                <w:szCs w:val="21"/>
                <w:highlight w:val="none"/>
                <w:lang w:eastAsia="zh-CN"/>
              </w:rPr>
              <w:t>以下</w:t>
            </w:r>
            <w:r>
              <w:rPr>
                <w:rFonts w:hint="eastAsia" w:ascii="宋体" w:hAnsi="宋体" w:eastAsia="宋体" w:cs="宋体"/>
                <w:color w:val="auto"/>
                <w:szCs w:val="21"/>
                <w:highlight w:val="none"/>
              </w:rPr>
              <w:t>各评审因素设定的分值进行评分</w:t>
            </w:r>
            <w:r>
              <w:rPr>
                <w:rFonts w:hint="eastAsia" w:ascii="宋体" w:hAnsi="宋体" w:eastAsia="宋体" w:cs="宋体"/>
                <w:color w:val="auto"/>
                <w:szCs w:val="21"/>
                <w:highlight w:val="none"/>
                <w:lang w:val="en-US" w:eastAsia="zh-CN"/>
              </w:rPr>
              <w:t>且保证分值统一</w:t>
            </w:r>
            <w:r>
              <w:rPr>
                <w:rFonts w:hint="eastAsia" w:ascii="宋体" w:hAnsi="宋体" w:eastAsia="宋体" w:cs="宋体"/>
                <w:color w:val="auto"/>
                <w:szCs w:val="21"/>
                <w:highlight w:val="none"/>
              </w:rPr>
              <w:t>。</w:t>
            </w:r>
          </w:p>
          <w:p w14:paraId="73E886E7">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jc w:val="left"/>
              <w:rPr>
                <w:rFonts w:hint="default" w:asciiTheme="minorEastAsia" w:hAnsiTheme="minorEastAsia" w:eastAsiaTheme="minorEastAsia" w:cstheme="minorEastAsia"/>
                <w:b/>
                <w:color w:val="auto"/>
                <w:sz w:val="18"/>
                <w:szCs w:val="18"/>
                <w:highlight w:val="none"/>
                <w:lang w:bidi="ar"/>
              </w:rPr>
            </w:pPr>
            <w:r>
              <w:rPr>
                <w:rFonts w:hint="eastAsia" w:asciiTheme="minorEastAsia" w:hAnsiTheme="minorEastAsia" w:eastAsiaTheme="minorEastAsia" w:cstheme="minorEastAsia"/>
                <w:bCs/>
                <w:color w:val="auto"/>
                <w:szCs w:val="21"/>
                <w:highlight w:val="none"/>
                <w:lang w:val="en-US" w:eastAsia="zh-CN"/>
              </w:rPr>
              <w:t>商务部分得分的最终结果保留两位小数，小数点后第三位四舍五入。</w:t>
            </w:r>
          </w:p>
        </w:tc>
      </w:tr>
      <w:tr w14:paraId="48064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44" w:type="dxa"/>
            <w:vMerge w:val="continue"/>
            <w:tcBorders>
              <w:top w:val="single" w:color="auto" w:sz="4" w:space="0"/>
              <w:right w:val="single" w:color="auto" w:sz="4" w:space="0"/>
            </w:tcBorders>
            <w:vAlign w:val="center"/>
          </w:tcPr>
          <w:p w14:paraId="556290A8">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14:paraId="2DF01CD6">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611D94DF">
            <w:pPr>
              <w:keepNext w:val="0"/>
              <w:keepLines w:val="0"/>
              <w:suppressLineNumbers w:val="0"/>
              <w:spacing w:before="0" w:beforeAutospacing="0" w:after="0" w:afterAutospacing="0" w:line="240" w:lineRule="atLeast"/>
              <w:ind w:left="0" w:right="0"/>
              <w:jc w:val="center"/>
              <w:rPr>
                <w:rFonts w:hint="eastAsia" w:ascii="宋体" w:hAnsi="宋体"/>
                <w:color w:val="auto"/>
                <w:sz w:val="21"/>
                <w:szCs w:val="21"/>
                <w:highlight w:val="none"/>
              </w:rPr>
            </w:pPr>
            <w:r>
              <w:rPr>
                <w:rFonts w:hint="eastAsia" w:ascii="宋体" w:hAnsi="宋体"/>
                <w:color w:val="auto"/>
                <w:sz w:val="21"/>
                <w:szCs w:val="21"/>
                <w:highlight w:val="none"/>
              </w:rPr>
              <w:t>项目团队</w:t>
            </w:r>
          </w:p>
          <w:p w14:paraId="11A0F9BA">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val="0"/>
                <w:i/>
                <w:iCs/>
                <w:caps w:val="0"/>
                <w:color w:val="auto"/>
                <w:kern w:val="2"/>
                <w:sz w:val="21"/>
                <w:szCs w:val="21"/>
                <w:highlight w:val="none"/>
                <w:lang w:val="en-US" w:eastAsia="zh-CN" w:bidi="ar-SA"/>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分）</w:t>
            </w:r>
          </w:p>
        </w:tc>
        <w:tc>
          <w:tcPr>
            <w:tcW w:w="6835" w:type="dxa"/>
            <w:gridSpan w:val="2"/>
            <w:tcBorders>
              <w:top w:val="single" w:color="auto" w:sz="4" w:space="0"/>
              <w:left w:val="single" w:color="auto" w:sz="4" w:space="0"/>
              <w:bottom w:val="single" w:color="auto" w:sz="4" w:space="0"/>
            </w:tcBorders>
            <w:shd w:val="clear" w:color="auto" w:fill="auto"/>
            <w:vAlign w:val="center"/>
          </w:tcPr>
          <w:p w14:paraId="4F5F3417">
            <w:pPr>
              <w:keepNext w:val="0"/>
              <w:keepLines w:val="0"/>
              <w:suppressLineNumbers w:val="0"/>
              <w:spacing w:before="0" w:beforeAutospacing="0" w:after="0" w:afterAutospacing="0" w:line="400" w:lineRule="exact"/>
              <w:ind w:left="0" w:right="0" w:firstLine="420" w:firstLineChars="20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1.项目负责人（2分）</w:t>
            </w:r>
          </w:p>
          <w:p w14:paraId="0BA02EC0">
            <w:pPr>
              <w:keepNext w:val="0"/>
              <w:keepLines w:val="0"/>
              <w:suppressLineNumbers w:val="0"/>
              <w:spacing w:before="0" w:beforeAutospacing="0" w:after="0" w:afterAutospacing="0" w:line="400" w:lineRule="exact"/>
              <w:ind w:left="0" w:right="0"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报价人拟派的</w:t>
            </w:r>
            <w:r>
              <w:rPr>
                <w:rFonts w:hint="eastAsia" w:asciiTheme="minorEastAsia" w:hAnsiTheme="minorEastAsia" w:eastAsiaTheme="minorEastAsia" w:cstheme="minorEastAsia"/>
                <w:b w:val="0"/>
                <w:bCs/>
                <w:color w:val="auto"/>
                <w:kern w:val="2"/>
                <w:sz w:val="21"/>
                <w:szCs w:val="21"/>
                <w:highlight w:val="none"/>
                <w:lang w:val="en-US" w:eastAsia="zh-CN" w:bidi="ar-SA"/>
              </w:rPr>
              <w:t>项目负责人</w:t>
            </w:r>
            <w:r>
              <w:rPr>
                <w:rFonts w:hint="eastAsia" w:ascii="宋体" w:hAnsi="宋体" w:cs="宋体"/>
                <w:color w:val="auto"/>
                <w:szCs w:val="21"/>
                <w:highlight w:val="none"/>
                <w:lang w:val="en-US" w:eastAsia="zh-CN"/>
              </w:rPr>
              <w:t>具有“档案馆员”职称证书得1分；具有“副研究员馆员及以上”职称证书得2分，本项最多得2分。</w:t>
            </w:r>
          </w:p>
          <w:p w14:paraId="0066D5AB">
            <w:pPr>
              <w:keepNext w:val="0"/>
              <w:keepLines w:val="0"/>
              <w:suppressLineNumbers w:val="0"/>
              <w:spacing w:before="0" w:beforeAutospacing="0" w:after="0" w:afterAutospacing="0" w:line="400" w:lineRule="exact"/>
              <w:ind w:left="0" w:right="0" w:firstLine="420" w:firstLineChars="20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2.项目团队成员（2分）</w:t>
            </w:r>
          </w:p>
          <w:p w14:paraId="327F06A3">
            <w:pPr>
              <w:keepNext w:val="0"/>
              <w:keepLines w:val="0"/>
              <w:widowControl w:val="0"/>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szCs w:val="21"/>
                <w:highlight w:val="none"/>
                <w:lang w:val="en-US" w:eastAsia="zh-CN"/>
              </w:rPr>
              <w:t>报价人拟派的项目团队成员（不含项目负责人）中每有1名具有工程师及以上职称（职称专业为计算机类或通信类或人工智能类）得1分，本项最多得2分。</w:t>
            </w:r>
          </w:p>
          <w:p w14:paraId="5834864A">
            <w:pPr>
              <w:keepNext w:val="0"/>
              <w:keepLines w:val="0"/>
              <w:pageBreakBefore w:val="0"/>
              <w:suppressLineNumbers w:val="0"/>
              <w:kinsoku/>
              <w:wordWrap/>
              <w:overflowPunct/>
              <w:topLinePunct w:val="0"/>
              <w:bidi w:val="0"/>
              <w:spacing w:before="0" w:beforeAutospacing="0" w:after="0" w:afterAutospacing="0" w:line="360" w:lineRule="exact"/>
              <w:ind w:left="0" w:right="0" w:firstLine="422" w:firstLineChars="200"/>
              <w:jc w:val="left"/>
              <w:rPr>
                <w:rFonts w:hint="default" w:asciiTheme="minorEastAsia" w:hAnsiTheme="minorEastAsia" w:eastAsiaTheme="minorEastAsia" w:cstheme="minorEastAsia"/>
                <w:b/>
                <w:color w:val="auto"/>
                <w:sz w:val="18"/>
                <w:szCs w:val="18"/>
                <w:highlight w:val="none"/>
                <w:lang w:bidi="ar"/>
              </w:rPr>
            </w:pPr>
            <w:r>
              <w:rPr>
                <w:rFonts w:hint="eastAsia"/>
                <w:b/>
                <w:bCs/>
                <w:color w:val="auto"/>
                <w:sz w:val="21"/>
                <w:szCs w:val="21"/>
                <w:highlight w:val="none"/>
                <w:lang w:val="en-US" w:eastAsia="zh-CN"/>
              </w:rPr>
              <w:t>注：</w:t>
            </w:r>
            <w:r>
              <w:rPr>
                <w:rFonts w:hint="default" w:eastAsia="宋体"/>
                <w:b/>
                <w:bCs/>
                <w:color w:val="auto"/>
                <w:sz w:val="21"/>
                <w:szCs w:val="21"/>
                <w:highlight w:val="none"/>
                <w:lang w:val="en-US" w:eastAsia="zh-CN"/>
              </w:rPr>
              <w:t>提供项目</w:t>
            </w:r>
            <w:r>
              <w:rPr>
                <w:rFonts w:hint="eastAsia" w:ascii="宋体" w:hAnsi="宋体" w:cs="宋体"/>
                <w:b/>
                <w:bCs/>
                <w:color w:val="auto"/>
                <w:szCs w:val="21"/>
                <w:highlight w:val="none"/>
              </w:rPr>
              <w:t>团队</w:t>
            </w:r>
            <w:r>
              <w:rPr>
                <w:rFonts w:hint="default" w:eastAsia="宋体"/>
                <w:b/>
                <w:bCs/>
                <w:color w:val="auto"/>
                <w:sz w:val="21"/>
                <w:szCs w:val="21"/>
                <w:highlight w:val="none"/>
                <w:lang w:val="en-US" w:eastAsia="zh-CN"/>
              </w:rPr>
              <w:t>人员名单（表格形式），以上人员相关资质证件、身份证复印件及由社保局出具的报价人为以上人员缴纳2024年</w:t>
            </w:r>
            <w:r>
              <w:rPr>
                <w:rFonts w:hint="eastAsia"/>
                <w:b/>
                <w:bCs/>
                <w:color w:val="auto"/>
                <w:sz w:val="21"/>
                <w:szCs w:val="21"/>
                <w:highlight w:val="none"/>
                <w:lang w:val="en-US" w:eastAsia="zh-CN"/>
              </w:rPr>
              <w:t>8</w:t>
            </w:r>
            <w:r>
              <w:rPr>
                <w:rFonts w:hint="default" w:eastAsia="宋体"/>
                <w:b/>
                <w:bCs/>
                <w:color w:val="auto"/>
                <w:sz w:val="21"/>
                <w:szCs w:val="21"/>
                <w:highlight w:val="none"/>
                <w:lang w:val="en-US" w:eastAsia="zh-CN"/>
              </w:rPr>
              <w:t>月至2024年</w:t>
            </w:r>
            <w:r>
              <w:rPr>
                <w:rFonts w:hint="eastAsia"/>
                <w:b/>
                <w:bCs/>
                <w:color w:val="auto"/>
                <w:sz w:val="21"/>
                <w:szCs w:val="21"/>
                <w:highlight w:val="none"/>
                <w:lang w:val="en-US" w:eastAsia="zh-CN"/>
              </w:rPr>
              <w:t>10</w:t>
            </w:r>
            <w:r>
              <w:rPr>
                <w:rFonts w:hint="default" w:eastAsia="宋体"/>
                <w:b/>
                <w:bCs/>
                <w:color w:val="auto"/>
                <w:sz w:val="21"/>
                <w:szCs w:val="21"/>
                <w:highlight w:val="none"/>
                <w:lang w:val="en-US" w:eastAsia="zh-CN"/>
              </w:rPr>
              <w:t>月连续三个月的养老保险证明（带有社保部门公章或社保部门的有效电子印章），并加盖单位公章。</w:t>
            </w:r>
          </w:p>
        </w:tc>
      </w:tr>
      <w:tr w14:paraId="7B5CA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44" w:type="dxa"/>
            <w:vMerge w:val="continue"/>
            <w:tcBorders>
              <w:top w:val="single" w:color="auto" w:sz="4" w:space="0"/>
              <w:right w:val="single" w:color="auto" w:sz="4" w:space="0"/>
            </w:tcBorders>
            <w:vAlign w:val="center"/>
          </w:tcPr>
          <w:p w14:paraId="59779785">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14:paraId="558AB083">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692C384E">
            <w:pPr>
              <w:keepNext w:val="0"/>
              <w:keepLines w:val="0"/>
              <w:suppressLineNumbers w:val="0"/>
              <w:spacing w:before="0" w:beforeAutospacing="0" w:after="0" w:afterAutospacing="0" w:line="320" w:lineRule="exact"/>
              <w:ind w:left="0" w:right="0"/>
              <w:jc w:val="center"/>
              <w:rPr>
                <w:rFonts w:hint="eastAsia" w:ascii="宋体" w:hAnsi="宋体"/>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企业实力（</w:t>
            </w:r>
            <w:r>
              <w:rPr>
                <w:rFonts w:hint="eastAsia" w:ascii="宋体" w:hAnsi="宋体" w:cs="宋体"/>
                <w:i w:val="0"/>
                <w:iCs w:val="0"/>
                <w:color w:val="auto"/>
                <w:kern w:val="0"/>
                <w:sz w:val="21"/>
                <w:szCs w:val="21"/>
                <w:highlight w:val="none"/>
                <w:lang w:val="en-US" w:eastAsia="zh-CN" w:bidi="ar"/>
              </w:rPr>
              <w:t>2</w:t>
            </w:r>
            <w:r>
              <w:rPr>
                <w:rFonts w:hint="eastAsia" w:ascii="宋体" w:hAnsi="宋体" w:eastAsia="宋体" w:cs="宋体"/>
                <w:i w:val="0"/>
                <w:iCs w:val="0"/>
                <w:color w:val="auto"/>
                <w:kern w:val="0"/>
                <w:sz w:val="21"/>
                <w:szCs w:val="21"/>
                <w:highlight w:val="none"/>
                <w:lang w:val="en-US" w:eastAsia="zh-CN" w:bidi="ar"/>
              </w:rPr>
              <w:t>分）</w:t>
            </w:r>
          </w:p>
        </w:tc>
        <w:tc>
          <w:tcPr>
            <w:tcW w:w="6835" w:type="dxa"/>
            <w:gridSpan w:val="2"/>
            <w:tcBorders>
              <w:top w:val="single" w:color="auto" w:sz="4" w:space="0"/>
              <w:left w:val="single" w:color="auto" w:sz="4" w:space="0"/>
              <w:bottom w:val="single" w:color="auto" w:sz="4" w:space="0"/>
            </w:tcBorders>
            <w:shd w:val="clear" w:color="auto" w:fill="auto"/>
            <w:vAlign w:val="center"/>
          </w:tcPr>
          <w:p w14:paraId="562F6B4E">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1.报价人具备有效的ISO27001信息安全管理体系认证证书得1分。</w:t>
            </w:r>
          </w:p>
          <w:p w14:paraId="65C5A8D6">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2.报价人具备有效的ISO9001质量管理体系认证证书得1分。</w:t>
            </w:r>
          </w:p>
          <w:p w14:paraId="76AE6037">
            <w:pPr>
              <w:keepNext w:val="0"/>
              <w:keepLines w:val="0"/>
              <w:pageBreakBefore w:val="0"/>
              <w:suppressLineNumbers w:val="0"/>
              <w:kinsoku/>
              <w:wordWrap/>
              <w:overflowPunct/>
              <w:topLinePunct w:val="0"/>
              <w:bidi w:val="0"/>
              <w:spacing w:before="0" w:beforeAutospacing="0" w:after="0" w:afterAutospacing="0" w:line="360" w:lineRule="exact"/>
              <w:ind w:left="0" w:right="0" w:firstLine="422" w:firstLineChars="200"/>
              <w:jc w:val="left"/>
              <w:rPr>
                <w:rFonts w:hint="eastAsia"/>
                <w:b/>
                <w:bCs/>
                <w:color w:val="auto"/>
                <w:sz w:val="21"/>
                <w:szCs w:val="21"/>
                <w:highlight w:val="none"/>
                <w:lang w:val="en-US" w:eastAsia="zh-CN"/>
              </w:rPr>
            </w:pPr>
            <w:r>
              <w:rPr>
                <w:rFonts w:hint="eastAsia"/>
                <w:b/>
                <w:bCs/>
                <w:color w:val="auto"/>
                <w:sz w:val="21"/>
                <w:szCs w:val="21"/>
                <w:highlight w:val="none"/>
                <w:lang w:val="en-US" w:eastAsia="zh-CN"/>
              </w:rPr>
              <w:t>注：</w:t>
            </w:r>
            <w:r>
              <w:rPr>
                <w:rFonts w:hint="eastAsia" w:ascii="宋体" w:hAnsi="宋体" w:cs="宋体"/>
                <w:b/>
                <w:bCs/>
                <w:color w:val="auto"/>
                <w:szCs w:val="21"/>
                <w:highlight w:val="none"/>
                <w:lang w:val="en-US" w:eastAsia="zh-CN"/>
              </w:rPr>
              <w:t>提供证书复印件、</w:t>
            </w:r>
            <w:r>
              <w:rPr>
                <w:rFonts w:hint="default" w:ascii="宋体" w:hAnsi="宋体" w:cs="宋体"/>
                <w:b/>
                <w:bCs/>
                <w:color w:val="auto"/>
                <w:szCs w:val="21"/>
                <w:highlight w:val="none"/>
                <w:lang w:val="en-US" w:eastAsia="zh-CN"/>
              </w:rPr>
              <w:t>国家认证认可监督管理委员会官网</w:t>
            </w:r>
            <w:r>
              <w:rPr>
                <w:rFonts w:hint="eastAsia" w:ascii="宋体" w:hAnsi="宋体" w:cs="宋体"/>
                <w:b/>
                <w:bCs/>
                <w:color w:val="auto"/>
                <w:szCs w:val="21"/>
                <w:highlight w:val="none"/>
                <w:lang w:val="en-US" w:eastAsia="zh-CN"/>
              </w:rPr>
              <w:t>查询截图，</w:t>
            </w:r>
            <w:r>
              <w:rPr>
                <w:rFonts w:hint="default" w:eastAsia="宋体"/>
                <w:b/>
                <w:bCs/>
                <w:color w:val="auto"/>
                <w:sz w:val="21"/>
                <w:szCs w:val="21"/>
                <w:highlight w:val="none"/>
                <w:lang w:val="en-US" w:eastAsia="zh-CN"/>
              </w:rPr>
              <w:t>并加盖单位公章</w:t>
            </w:r>
            <w:r>
              <w:rPr>
                <w:rFonts w:hint="eastAsia" w:ascii="宋体" w:hAnsi="宋体" w:cs="宋体"/>
                <w:b/>
                <w:bCs/>
                <w:color w:val="auto"/>
                <w:szCs w:val="21"/>
                <w:highlight w:val="none"/>
                <w:lang w:val="en-US" w:eastAsia="zh-CN"/>
              </w:rPr>
              <w:t>。</w:t>
            </w:r>
          </w:p>
        </w:tc>
      </w:tr>
      <w:tr w14:paraId="0C099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44" w:type="dxa"/>
            <w:vMerge w:val="continue"/>
            <w:tcBorders>
              <w:top w:val="single" w:color="auto" w:sz="4" w:space="0"/>
              <w:right w:val="single" w:color="auto" w:sz="4" w:space="0"/>
            </w:tcBorders>
            <w:vAlign w:val="center"/>
          </w:tcPr>
          <w:p w14:paraId="1813851A">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14:paraId="30A34426">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vAlign w:val="center"/>
          </w:tcPr>
          <w:p w14:paraId="061F2D5A">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b w:val="0"/>
                <w:i/>
                <w:iCs/>
                <w:caps w:val="0"/>
                <w:color w:val="auto"/>
                <w:sz w:val="21"/>
                <w:szCs w:val="21"/>
                <w:highlight w:val="none"/>
                <w:lang w:val="en-US" w:eastAsia="zh-CN"/>
              </w:rPr>
            </w:pPr>
            <w:r>
              <w:rPr>
                <w:rFonts w:hint="eastAsia" w:ascii="宋体" w:hAnsi="宋体" w:cs="宋体"/>
                <w:color w:val="auto"/>
                <w:szCs w:val="21"/>
                <w:highlight w:val="none"/>
              </w:rPr>
              <w:t>业绩要求（4分）</w:t>
            </w:r>
          </w:p>
        </w:tc>
        <w:tc>
          <w:tcPr>
            <w:tcW w:w="6835" w:type="dxa"/>
            <w:gridSpan w:val="2"/>
            <w:tcBorders>
              <w:top w:val="single" w:color="auto" w:sz="4" w:space="0"/>
              <w:left w:val="single" w:color="auto" w:sz="4" w:space="0"/>
              <w:bottom w:val="single" w:color="auto" w:sz="4" w:space="0"/>
            </w:tcBorders>
            <w:vAlign w:val="center"/>
          </w:tcPr>
          <w:p w14:paraId="5ADCB6F6">
            <w:pPr>
              <w:keepNext w:val="0"/>
              <w:keepLines w:val="0"/>
              <w:suppressLineNumbers w:val="0"/>
              <w:spacing w:before="0" w:beforeAutospacing="0" w:after="0" w:afterAutospacing="0" w:line="400" w:lineRule="exact"/>
              <w:ind w:left="0" w:right="0" w:firstLine="420" w:firstLineChars="200"/>
              <w:jc w:val="left"/>
              <w:rPr>
                <w:rFonts w:hint="eastAsia" w:ascii="宋体" w:hAnsi="宋体" w:cs="宋体"/>
                <w:color w:val="auto"/>
                <w:szCs w:val="21"/>
                <w:highlight w:val="none"/>
                <w:shd w:val="clear" w:color="auto" w:fill="FFFFFF"/>
                <w:lang w:val="en-US" w:eastAsia="zh-CN"/>
              </w:rPr>
            </w:pPr>
            <w:r>
              <w:rPr>
                <w:rFonts w:hint="eastAsia" w:ascii="宋体" w:hAnsi="宋体" w:cs="宋体"/>
                <w:color w:val="auto"/>
                <w:kern w:val="0"/>
                <w:szCs w:val="24"/>
                <w:highlight w:val="none"/>
              </w:rPr>
              <w:t>在满足资格</w:t>
            </w:r>
            <w:r>
              <w:rPr>
                <w:rFonts w:hint="eastAsia" w:ascii="宋体" w:hAnsi="宋体" w:cs="宋体"/>
                <w:color w:val="auto"/>
                <w:kern w:val="0"/>
                <w:szCs w:val="24"/>
                <w:highlight w:val="none"/>
                <w:lang w:val="en-US" w:eastAsia="zh-CN"/>
              </w:rPr>
              <w:t>业绩</w:t>
            </w:r>
            <w:r>
              <w:rPr>
                <w:rFonts w:hint="eastAsia" w:ascii="宋体" w:hAnsi="宋体" w:cs="宋体"/>
                <w:color w:val="auto"/>
                <w:kern w:val="0"/>
                <w:szCs w:val="24"/>
                <w:highlight w:val="none"/>
              </w:rPr>
              <w:t>要求</w:t>
            </w:r>
            <w:r>
              <w:rPr>
                <w:rFonts w:hint="eastAsia" w:ascii="宋体" w:hAnsi="宋体" w:cs="宋体"/>
                <w:color w:val="auto"/>
                <w:kern w:val="0"/>
                <w:szCs w:val="24"/>
                <w:highlight w:val="none"/>
                <w:lang w:val="en-US" w:eastAsia="zh-CN"/>
              </w:rPr>
              <w:t>的</w:t>
            </w:r>
            <w:r>
              <w:rPr>
                <w:rFonts w:hint="eastAsia" w:ascii="宋体" w:hAnsi="宋体" w:cs="宋体"/>
                <w:color w:val="auto"/>
                <w:kern w:val="0"/>
                <w:szCs w:val="24"/>
                <w:highlight w:val="none"/>
              </w:rPr>
              <w:t>基础上，</w:t>
            </w:r>
            <w:r>
              <w:rPr>
                <w:rFonts w:hint="eastAsia" w:asciiTheme="minorEastAsia" w:hAnsiTheme="minorEastAsia" w:eastAsiaTheme="minorEastAsia" w:cstheme="minorEastAsia"/>
                <w:bCs/>
                <w:color w:val="auto"/>
                <w:szCs w:val="21"/>
                <w:highlight w:val="none"/>
              </w:rPr>
              <w:t>报价人在</w:t>
            </w:r>
            <w:r>
              <w:rPr>
                <w:rFonts w:hint="eastAsia" w:ascii="宋体" w:hAnsi="宋体" w:cs="宋体"/>
                <w:color w:val="auto"/>
                <w:szCs w:val="21"/>
                <w:highlight w:val="none"/>
                <w:shd w:val="clear" w:color="auto" w:fill="FFFFFF"/>
                <w:lang w:val="en-US" w:eastAsia="zh-CN"/>
              </w:rPr>
              <w:t>2021年1月1日至竞争性比选文件发出之日（以合同签订时间为准）</w:t>
            </w:r>
            <w:r>
              <w:rPr>
                <w:rFonts w:hint="eastAsia" w:ascii="宋体" w:hAnsi="宋体" w:cs="宋体"/>
                <w:b w:val="0"/>
                <w:bCs w:val="0"/>
                <w:color w:val="auto"/>
                <w:sz w:val="21"/>
                <w:szCs w:val="21"/>
                <w:highlight w:val="none"/>
                <w:lang w:val="en-US" w:eastAsia="zh-CN"/>
              </w:rPr>
              <w:t>每</w:t>
            </w:r>
            <w:r>
              <w:rPr>
                <w:rFonts w:hint="eastAsia" w:ascii="宋体" w:hAnsi="宋体" w:eastAsia="宋体" w:cs="宋体"/>
                <w:b w:val="0"/>
                <w:bCs w:val="0"/>
                <w:color w:val="auto"/>
                <w:sz w:val="21"/>
                <w:szCs w:val="21"/>
                <w:highlight w:val="none"/>
                <w:lang w:val="en-US" w:eastAsia="zh-CN"/>
              </w:rPr>
              <w:t>承担</w:t>
            </w:r>
            <w:r>
              <w:rPr>
                <w:rFonts w:hint="eastAsia" w:ascii="宋体" w:hAnsi="宋体" w:cs="宋体"/>
                <w:b w:val="0"/>
                <w:bCs w:val="0"/>
                <w:color w:val="auto"/>
                <w:sz w:val="21"/>
                <w:szCs w:val="21"/>
                <w:highlight w:val="none"/>
                <w:lang w:val="en-US" w:eastAsia="zh-CN"/>
              </w:rPr>
              <w:t>过</w:t>
            </w:r>
            <w:r>
              <w:rPr>
                <w:rFonts w:hint="eastAsia" w:ascii="宋体" w:hAnsi="宋体" w:eastAsia="宋体" w:cs="宋体"/>
                <w:b w:val="0"/>
                <w:bCs w:val="0"/>
                <w:color w:val="auto"/>
                <w:sz w:val="21"/>
                <w:szCs w:val="21"/>
                <w:highlight w:val="none"/>
                <w:lang w:val="en-US" w:eastAsia="zh-CN"/>
              </w:rPr>
              <w:t>一</w:t>
            </w:r>
            <w:r>
              <w:rPr>
                <w:rFonts w:hint="eastAsia" w:ascii="宋体" w:hAnsi="宋体" w:cs="宋体"/>
                <w:b w:val="0"/>
                <w:bCs w:val="0"/>
                <w:color w:val="auto"/>
                <w:sz w:val="21"/>
                <w:szCs w:val="21"/>
                <w:highlight w:val="none"/>
                <w:lang w:val="en-US" w:eastAsia="zh-CN"/>
              </w:rPr>
              <w:t>项</w:t>
            </w:r>
            <w:r>
              <w:rPr>
                <w:rFonts w:hint="eastAsia" w:ascii="宋体" w:hAnsi="宋体" w:eastAsia="宋体" w:cs="宋体"/>
                <w:color w:val="auto"/>
                <w:sz w:val="21"/>
                <w:szCs w:val="21"/>
                <w:highlight w:val="none"/>
                <w:lang w:val="en-US" w:eastAsia="zh-CN"/>
              </w:rPr>
              <w:t>合同金额不低于</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lang w:val="en-US" w:eastAsia="zh-CN"/>
              </w:rPr>
              <w:t>万元的</w:t>
            </w:r>
            <w:r>
              <w:rPr>
                <w:rFonts w:hint="eastAsia" w:ascii="宋体" w:hAnsi="宋体" w:cs="宋体"/>
                <w:color w:val="auto"/>
                <w:szCs w:val="21"/>
                <w:highlight w:val="none"/>
                <w:shd w:val="clear" w:color="auto" w:fill="FFFFFF"/>
                <w:lang w:val="en-US" w:eastAsia="zh-CN"/>
              </w:rPr>
              <w:t>类似档案管理</w:t>
            </w:r>
            <w:r>
              <w:rPr>
                <w:rFonts w:hint="eastAsia" w:ascii="宋体" w:hAnsi="宋体" w:cs="宋体"/>
                <w:color w:val="auto"/>
                <w:szCs w:val="21"/>
                <w:highlight w:val="none"/>
                <w:shd w:val="clear" w:color="auto" w:fill="FFFFFF"/>
              </w:rPr>
              <w:t>软件开发或</w:t>
            </w:r>
            <w:r>
              <w:rPr>
                <w:rFonts w:hint="eastAsia" w:ascii="宋体" w:hAnsi="宋体" w:cs="宋体"/>
                <w:color w:val="auto"/>
                <w:szCs w:val="21"/>
                <w:highlight w:val="none"/>
                <w:shd w:val="clear" w:color="auto" w:fill="FFFFFF"/>
                <w:lang w:val="en-US" w:eastAsia="zh-CN"/>
              </w:rPr>
              <w:t>技术服务业绩得2分</w:t>
            </w: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本项</w:t>
            </w:r>
            <w:r>
              <w:rPr>
                <w:rFonts w:hint="eastAsia" w:asciiTheme="minorEastAsia" w:hAnsiTheme="minorEastAsia" w:eastAsiaTheme="minorEastAsia" w:cstheme="minorEastAsia"/>
                <w:color w:val="auto"/>
                <w:kern w:val="0"/>
                <w:szCs w:val="21"/>
                <w:highlight w:val="none"/>
                <w:shd w:val="clear" w:color="auto" w:fill="FFFFFF"/>
                <w:lang w:val="en-US" w:eastAsia="zh-CN" w:bidi="ar"/>
              </w:rPr>
              <w:t>最多得4分</w:t>
            </w:r>
            <w:r>
              <w:rPr>
                <w:rFonts w:hint="eastAsia" w:ascii="宋体" w:hAnsi="宋体" w:cs="宋体"/>
                <w:color w:val="auto"/>
                <w:szCs w:val="21"/>
                <w:highlight w:val="none"/>
                <w:shd w:val="clear" w:color="auto" w:fill="FFFFFF"/>
                <w:lang w:val="en-US" w:eastAsia="zh-CN"/>
              </w:rPr>
              <w:t>。</w:t>
            </w:r>
          </w:p>
          <w:p w14:paraId="2660968B">
            <w:pPr>
              <w:keepNext w:val="0"/>
              <w:keepLines w:val="0"/>
              <w:pageBreakBefore w:val="0"/>
              <w:suppressLineNumbers w:val="0"/>
              <w:kinsoku/>
              <w:wordWrap/>
              <w:overflowPunct/>
              <w:topLinePunct w:val="0"/>
              <w:bidi w:val="0"/>
              <w:spacing w:before="0" w:beforeAutospacing="0" w:after="0" w:afterAutospacing="0" w:line="360" w:lineRule="exact"/>
              <w:ind w:left="0" w:right="0" w:firstLine="422" w:firstLineChars="200"/>
              <w:jc w:val="left"/>
              <w:rPr>
                <w:rFonts w:hint="default" w:asciiTheme="minorEastAsia" w:hAnsiTheme="minorEastAsia" w:eastAsiaTheme="minorEastAsia" w:cstheme="minorEastAsia"/>
                <w:b/>
                <w:color w:val="auto"/>
                <w:sz w:val="18"/>
                <w:szCs w:val="18"/>
                <w:highlight w:val="none"/>
                <w:lang w:bidi="ar"/>
              </w:rPr>
            </w:pPr>
            <w:r>
              <w:rPr>
                <w:rFonts w:hint="eastAsia"/>
                <w:b/>
                <w:bCs/>
                <w:color w:val="auto"/>
                <w:highlight w:val="none"/>
                <w:lang w:val="en-US" w:eastAsia="zh-CN"/>
              </w:rPr>
              <w:t>注：业绩证明资料</w:t>
            </w:r>
            <w:r>
              <w:rPr>
                <w:rFonts w:hint="default"/>
                <w:b/>
                <w:bCs/>
                <w:color w:val="auto"/>
                <w:highlight w:val="none"/>
              </w:rPr>
              <w:t>提供合同</w:t>
            </w:r>
            <w:r>
              <w:rPr>
                <w:rFonts w:hint="eastAsia" w:ascii="宋体" w:hAnsi="宋体" w:cs="宋体"/>
                <w:b/>
                <w:bCs/>
                <w:color w:val="auto"/>
                <w:szCs w:val="21"/>
                <w:highlight w:val="none"/>
                <w:shd w:val="clear" w:color="auto" w:fill="FFFFFF"/>
              </w:rPr>
              <w:t>复印件</w:t>
            </w:r>
            <w:r>
              <w:rPr>
                <w:rFonts w:hint="default"/>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tc>
      </w:tr>
      <w:tr w14:paraId="66524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0" w:hRule="atLeast"/>
        </w:trPr>
        <w:tc>
          <w:tcPr>
            <w:tcW w:w="944" w:type="dxa"/>
            <w:tcBorders>
              <w:top w:val="single" w:color="auto" w:sz="4" w:space="0"/>
              <w:right w:val="single" w:color="auto" w:sz="4" w:space="0"/>
            </w:tcBorders>
            <w:vAlign w:val="center"/>
          </w:tcPr>
          <w:p w14:paraId="59E7F3CE">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2.2.4</w:t>
            </w:r>
          </w:p>
          <w:p w14:paraId="00DADE6D">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r>
              <w:rPr>
                <w:rFonts w:hint="eastAsia" w:ascii="宋体" w:hAnsi="宋体" w:cs="宋体"/>
                <w:color w:val="auto"/>
                <w:szCs w:val="21"/>
                <w:highlight w:val="none"/>
                <w:lang w:val="en-US" w:eastAsia="zh-CN"/>
              </w:rPr>
              <w:t>（3）</w:t>
            </w:r>
          </w:p>
        </w:tc>
        <w:tc>
          <w:tcPr>
            <w:tcW w:w="897" w:type="dxa"/>
            <w:tcBorders>
              <w:top w:val="single" w:color="auto" w:sz="4" w:space="0"/>
              <w:left w:val="single" w:color="auto" w:sz="4" w:space="0"/>
              <w:right w:val="single" w:color="auto" w:sz="4" w:space="0"/>
            </w:tcBorders>
            <w:vAlign w:val="center"/>
          </w:tcPr>
          <w:p w14:paraId="5181EC17">
            <w:pPr>
              <w:pStyle w:val="37"/>
              <w:keepNext w:val="0"/>
              <w:keepLines w:val="0"/>
              <w:pageBreakBefore w:val="0"/>
              <w:widowControl w:val="0"/>
              <w:suppressLineNumbers w:val="0"/>
              <w:kinsoku/>
              <w:wordWrap/>
              <w:overflowPunct/>
              <w:topLinePunct w:val="0"/>
              <w:bidi w:val="0"/>
              <w:adjustRightInd w:val="0"/>
              <w:spacing w:before="0" w:beforeAutospacing="0" w:after="0" w:afterAutospacing="0" w:line="360" w:lineRule="exact"/>
              <w:ind w:left="0" w:right="0"/>
              <w:jc w:val="center"/>
              <w:textAlignment w:val="baseline"/>
              <w:rPr>
                <w:rFonts w:hint="default" w:asciiTheme="minorEastAsia" w:hAnsiTheme="minorEastAsia" w:eastAsiaTheme="minorEastAsia" w:cstheme="minorEastAsia"/>
                <w:bCs/>
                <w:color w:val="auto"/>
                <w:kern w:val="2"/>
                <w:sz w:val="21"/>
                <w:szCs w:val="21"/>
                <w:highlight w:val="none"/>
                <w:lang w:bidi="ar"/>
              </w:rPr>
            </w:pPr>
            <w:r>
              <w:rPr>
                <w:rFonts w:hint="eastAsia" w:asciiTheme="minorEastAsia" w:hAnsiTheme="minorEastAsia" w:eastAsiaTheme="minorEastAsia" w:cstheme="minorEastAsia"/>
                <w:bCs/>
                <w:color w:val="auto"/>
                <w:kern w:val="2"/>
                <w:sz w:val="21"/>
                <w:szCs w:val="21"/>
                <w:highlight w:val="none"/>
                <w:lang w:bidi="ar"/>
              </w:rPr>
              <w:t>评标价（70分）</w:t>
            </w:r>
          </w:p>
        </w:tc>
        <w:tc>
          <w:tcPr>
            <w:tcW w:w="1129" w:type="dxa"/>
            <w:tcBorders>
              <w:top w:val="single" w:color="auto" w:sz="4" w:space="0"/>
              <w:left w:val="single" w:color="auto" w:sz="4" w:space="0"/>
              <w:right w:val="single" w:color="auto" w:sz="4" w:space="0"/>
            </w:tcBorders>
            <w:vAlign w:val="center"/>
          </w:tcPr>
          <w:p w14:paraId="1618AADB">
            <w:pPr>
              <w:pStyle w:val="37"/>
              <w:keepNext w:val="0"/>
              <w:keepLines w:val="0"/>
              <w:pageBreakBefore w:val="0"/>
              <w:widowControl w:val="0"/>
              <w:suppressLineNumbers w:val="0"/>
              <w:kinsoku/>
              <w:wordWrap/>
              <w:overflowPunct/>
              <w:topLinePunct w:val="0"/>
              <w:bidi w:val="0"/>
              <w:adjustRightInd w:val="0"/>
              <w:spacing w:before="0" w:beforeAutospacing="0" w:after="0" w:afterAutospacing="0" w:line="360" w:lineRule="exact"/>
              <w:ind w:left="0" w:right="0"/>
              <w:jc w:val="center"/>
              <w:textAlignment w:val="baseline"/>
              <w:rPr>
                <w:rFonts w:hint="default"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投标报价</w:t>
            </w:r>
          </w:p>
        </w:tc>
        <w:tc>
          <w:tcPr>
            <w:tcW w:w="6835" w:type="dxa"/>
            <w:gridSpan w:val="2"/>
            <w:tcBorders>
              <w:top w:val="single" w:color="auto" w:sz="4" w:space="0"/>
              <w:left w:val="single" w:color="auto" w:sz="4" w:space="0"/>
            </w:tcBorders>
            <w:vAlign w:val="center"/>
          </w:tcPr>
          <w:p w14:paraId="6FD2AABD">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jc w:val="left"/>
              <w:rPr>
                <w:rFonts w:hint="default"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color w:val="auto"/>
                <w:kern w:val="2"/>
                <w:sz w:val="21"/>
                <w:szCs w:val="21"/>
                <w:highlight w:val="none"/>
              </w:rPr>
              <w:t>所有通过初步评审的有效投标报价首先得基本分70分，然后与评标基准价相比较，每上浮1%扣0.5分，每下浮1%扣0.2分，</w:t>
            </w:r>
            <w:r>
              <w:rPr>
                <w:rFonts w:hint="eastAsia" w:asciiTheme="minorEastAsia" w:hAnsiTheme="minorEastAsia" w:eastAsiaTheme="minorEastAsia" w:cstheme="minorEastAsia"/>
                <w:color w:val="auto"/>
                <w:kern w:val="2"/>
                <w:sz w:val="21"/>
                <w:szCs w:val="21"/>
                <w:highlight w:val="none"/>
                <w:lang w:val="en-US" w:eastAsia="zh-CN"/>
              </w:rPr>
              <w:t>最多扣10分</w:t>
            </w:r>
            <w:r>
              <w:rPr>
                <w:rFonts w:hint="eastAsia" w:asciiTheme="minorEastAsia" w:hAnsiTheme="minorEastAsia" w:eastAsiaTheme="minorEastAsia" w:cstheme="minorEastAsia"/>
                <w:color w:val="auto"/>
                <w:kern w:val="2"/>
                <w:sz w:val="21"/>
                <w:szCs w:val="21"/>
                <w:highlight w:val="none"/>
              </w:rPr>
              <w:t>。按插入法计算得分。以上计算取小数点后两位，第三位四舍五入。</w:t>
            </w:r>
          </w:p>
        </w:tc>
      </w:tr>
      <w:tr w14:paraId="3F5A1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tcBorders>
              <w:top w:val="single" w:color="auto" w:sz="4" w:space="0"/>
              <w:bottom w:val="single" w:color="auto" w:sz="4" w:space="0"/>
              <w:right w:val="single" w:color="auto" w:sz="4" w:space="0"/>
            </w:tcBorders>
            <w:vAlign w:val="center"/>
          </w:tcPr>
          <w:p w14:paraId="595616E7">
            <w:pPr>
              <w:pStyle w:val="37"/>
              <w:keepNext w:val="0"/>
              <w:keepLines w:val="0"/>
              <w:pageBreakBefore w:val="0"/>
              <w:widowControl w:val="0"/>
              <w:suppressLineNumbers w:val="0"/>
              <w:kinsoku/>
              <w:wordWrap/>
              <w:overflowPunct/>
              <w:topLinePunct w:val="0"/>
              <w:bidi w:val="0"/>
              <w:adjustRightInd w:val="0"/>
              <w:spacing w:before="0" w:beforeAutospacing="0" w:after="0" w:afterAutospacing="0" w:line="360" w:lineRule="exact"/>
              <w:ind w:left="0" w:right="0"/>
              <w:jc w:val="center"/>
              <w:textAlignment w:val="baseline"/>
              <w:rPr>
                <w:rFonts w:hint="default" w:asciiTheme="minorEastAsia" w:hAnsiTheme="minorEastAsia" w:eastAsiaTheme="minorEastAsia" w:cstheme="minorEastAsia"/>
                <w:b/>
                <w:color w:val="auto"/>
                <w:kern w:val="2"/>
                <w:sz w:val="21"/>
                <w:szCs w:val="21"/>
                <w:highlight w:val="none"/>
                <w:lang w:bidi="ar"/>
              </w:rPr>
            </w:pPr>
            <w:r>
              <w:rPr>
                <w:rFonts w:hint="eastAsia" w:ascii="宋体" w:hAnsi="宋体" w:cs="宋体"/>
                <w:color w:val="auto"/>
                <w:szCs w:val="21"/>
                <w:highlight w:val="none"/>
              </w:rPr>
              <w:t>3.2</w:t>
            </w:r>
          </w:p>
        </w:tc>
        <w:tc>
          <w:tcPr>
            <w:tcW w:w="8861" w:type="dxa"/>
            <w:gridSpan w:val="4"/>
            <w:tcBorders>
              <w:top w:val="single" w:color="auto" w:sz="4" w:space="0"/>
              <w:left w:val="single" w:color="auto" w:sz="4" w:space="0"/>
              <w:bottom w:val="single" w:color="auto" w:sz="4" w:space="0"/>
            </w:tcBorders>
            <w:vAlign w:val="bottom"/>
          </w:tcPr>
          <w:p w14:paraId="46BE8ED1">
            <w:pPr>
              <w:pStyle w:val="37"/>
              <w:keepNext w:val="0"/>
              <w:keepLines w:val="0"/>
              <w:pageBreakBefore w:val="0"/>
              <w:widowControl w:val="0"/>
              <w:suppressLineNumbers w:val="0"/>
              <w:kinsoku/>
              <w:wordWrap/>
              <w:overflowPunct/>
              <w:topLinePunct w:val="0"/>
              <w:bidi w:val="0"/>
              <w:adjustRightInd w:val="0"/>
              <w:spacing w:before="0" w:beforeAutospacing="0" w:after="0" w:afterAutospacing="0" w:line="360" w:lineRule="exact"/>
              <w:ind w:left="0" w:right="0"/>
              <w:jc w:val="both"/>
              <w:textAlignment w:val="baseline"/>
              <w:rPr>
                <w:rFonts w:hint="default"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补充正文：</w:t>
            </w:r>
          </w:p>
          <w:p w14:paraId="6A552D16">
            <w:pPr>
              <w:pStyle w:val="37"/>
              <w:keepNext w:val="0"/>
              <w:keepLines w:val="0"/>
              <w:pageBreakBefore w:val="0"/>
              <w:widowControl w:val="0"/>
              <w:suppressLineNumbers w:val="0"/>
              <w:kinsoku/>
              <w:wordWrap/>
              <w:overflowPunct/>
              <w:topLinePunct w:val="0"/>
              <w:bidi w:val="0"/>
              <w:adjustRightInd w:val="0"/>
              <w:spacing w:before="0" w:beforeAutospacing="0" w:after="0" w:afterAutospacing="0" w:line="360" w:lineRule="exact"/>
              <w:ind w:left="0" w:right="0"/>
              <w:jc w:val="both"/>
              <w:textAlignment w:val="baseline"/>
              <w:rPr>
                <w:rFonts w:hint="default"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中标候选人推荐办法：</w:t>
            </w:r>
          </w:p>
          <w:p w14:paraId="6D7EA5C5">
            <w:pPr>
              <w:pStyle w:val="37"/>
              <w:keepNext w:val="0"/>
              <w:keepLines w:val="0"/>
              <w:pageBreakBefore w:val="0"/>
              <w:widowControl w:val="0"/>
              <w:suppressLineNumbers w:val="0"/>
              <w:kinsoku/>
              <w:wordWrap/>
              <w:overflowPunct/>
              <w:topLinePunct w:val="0"/>
              <w:bidi w:val="0"/>
              <w:adjustRightInd w:val="0"/>
              <w:spacing w:before="0" w:beforeAutospacing="0" w:after="0" w:afterAutospacing="0" w:line="360" w:lineRule="exact"/>
              <w:ind w:left="0" w:right="0"/>
              <w:jc w:val="both"/>
              <w:textAlignment w:val="baseline"/>
              <w:rPr>
                <w:rFonts w:hint="default"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1.对通过评审的报价人按照综合得分（商务得分+技术得分+报价得分）由高到低排序。</w:t>
            </w:r>
          </w:p>
          <w:p w14:paraId="0C035343">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default"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color w:val="auto"/>
                <w:szCs w:val="21"/>
                <w:highlight w:val="none"/>
                <w:lang w:bidi="ar"/>
              </w:rPr>
              <w:t>2.按评标综合得分由高到低排序推荐2名中标候选人。</w:t>
            </w:r>
          </w:p>
        </w:tc>
      </w:tr>
    </w:tbl>
    <w:p w14:paraId="6B9728EC">
      <w:pPr>
        <w:rPr>
          <w:color w:val="auto"/>
          <w:highlight w:val="none"/>
        </w:rPr>
      </w:pPr>
    </w:p>
    <w:p w14:paraId="3C37C564">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343F8A1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25" w:name="_Toc19268"/>
      <w:bookmarkStart w:id="126" w:name="_Toc9238"/>
      <w:bookmarkStart w:id="127" w:name="_Toc26037"/>
      <w:bookmarkStart w:id="128" w:name="_Toc4109"/>
      <w:r>
        <w:rPr>
          <w:rFonts w:hint="eastAsia" w:ascii="宋体" w:hAnsi="宋体" w:cs="宋体"/>
          <w:color w:val="auto"/>
          <w:szCs w:val="21"/>
          <w:highlight w:val="none"/>
        </w:rPr>
        <w:t>1.  评标方法</w:t>
      </w:r>
      <w:bookmarkEnd w:id="125"/>
      <w:bookmarkEnd w:id="126"/>
      <w:bookmarkEnd w:id="127"/>
      <w:bookmarkEnd w:id="128"/>
    </w:p>
    <w:p w14:paraId="50AEA66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本次评标采用综合评估法。评标委员会对满足</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实质性要求的</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，按照本章规定的评分标准进行评分，并按得分由高到低顺序推荐中标候选人，或根据</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授权直接确定中标人。综合评分相等时，以评标办法前附表约定的原则确定中标候选人顺序。</w:t>
      </w:r>
    </w:p>
    <w:p w14:paraId="19933D8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29" w:name="_Toc21625"/>
      <w:bookmarkStart w:id="130" w:name="_Toc8753"/>
      <w:bookmarkStart w:id="131" w:name="_Toc22200"/>
      <w:bookmarkStart w:id="132" w:name="_Toc31759"/>
      <w:r>
        <w:rPr>
          <w:rFonts w:hint="eastAsia" w:ascii="宋体" w:hAnsi="宋体" w:cs="宋体"/>
          <w:color w:val="auto"/>
          <w:szCs w:val="21"/>
          <w:highlight w:val="none"/>
        </w:rPr>
        <w:t>2.  评审标准</w:t>
      </w:r>
      <w:bookmarkEnd w:id="129"/>
      <w:bookmarkEnd w:id="130"/>
      <w:bookmarkEnd w:id="131"/>
      <w:bookmarkEnd w:id="132"/>
    </w:p>
    <w:p w14:paraId="07A007E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2.1  初步评审标准</w:t>
      </w:r>
    </w:p>
    <w:p w14:paraId="0B59835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2.1.1  形式评审标准：见评标办法前附表。</w:t>
      </w:r>
    </w:p>
    <w:p w14:paraId="5E21ED9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2.1.2  资格评审标准：见评标办法前附表。</w:t>
      </w:r>
    </w:p>
    <w:p w14:paraId="06F4DB1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2.1.3  响应性评审标准：见评标办法前附表。</w:t>
      </w:r>
    </w:p>
    <w:p w14:paraId="1064B78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2.2  分值构成与评审标准</w:t>
      </w:r>
    </w:p>
    <w:p w14:paraId="7D1AC1A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2.2.1  分值构成</w:t>
      </w:r>
    </w:p>
    <w:p w14:paraId="7E24E28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（1）技术部分：见评标办法前附表；</w:t>
      </w:r>
    </w:p>
    <w:p w14:paraId="7CC5BF0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（2）商务部分：见评标办法前附表；</w:t>
      </w:r>
    </w:p>
    <w:p w14:paraId="51F5430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（3）投标报价：见评标办法前附表。</w:t>
      </w:r>
    </w:p>
    <w:p w14:paraId="11853AD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2.2.2  评标基准价计算</w:t>
      </w:r>
    </w:p>
    <w:p w14:paraId="285157B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评标基准价计算方法：见评标办法前附表。</w:t>
      </w:r>
    </w:p>
    <w:p w14:paraId="10CF8C0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2.2.3  投标报价的偏差率计算</w:t>
      </w:r>
    </w:p>
    <w:p w14:paraId="61E0F99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投标报价的偏差率计算公式：见评标办法前附表；</w:t>
      </w:r>
    </w:p>
    <w:p w14:paraId="559869D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2.2.4  评审标准</w:t>
      </w:r>
    </w:p>
    <w:p w14:paraId="0F35B69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（1）技术部分评分标准：见评标办法前附表；</w:t>
      </w:r>
    </w:p>
    <w:p w14:paraId="4599CB1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（2）商务部分评分标准：见评标办法前附表；</w:t>
      </w:r>
    </w:p>
    <w:p w14:paraId="4F76294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）投标报价评分标准：见评标办法前附表。</w:t>
      </w:r>
    </w:p>
    <w:p w14:paraId="5AFD89E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33" w:name="_Toc11564"/>
      <w:bookmarkStart w:id="134" w:name="_Toc927"/>
      <w:bookmarkStart w:id="135" w:name="_Toc8345"/>
      <w:bookmarkStart w:id="136" w:name="_Toc5245"/>
      <w:r>
        <w:rPr>
          <w:rFonts w:hint="eastAsia" w:ascii="宋体" w:hAnsi="宋体" w:cs="宋体"/>
          <w:color w:val="auto"/>
          <w:szCs w:val="21"/>
          <w:highlight w:val="none"/>
        </w:rPr>
        <w:t>3.  评标程序</w:t>
      </w:r>
      <w:bookmarkEnd w:id="133"/>
      <w:bookmarkEnd w:id="134"/>
      <w:bookmarkEnd w:id="135"/>
      <w:bookmarkEnd w:id="136"/>
    </w:p>
    <w:p w14:paraId="5497957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3.1  初步评审</w:t>
      </w:r>
    </w:p>
    <w:p w14:paraId="20AB525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3.1.1  评标委员会依据本章第 2.1 款规定的标准对</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进行初步评审。有一项不符合评审标准的，作否决投标处理。（适用于未进行资格预审的）</w:t>
      </w:r>
    </w:p>
    <w:p w14:paraId="778BB77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3.1.1  评标委员会依据本章第2.1.2项、第2.1.3项规定的评审标准对</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进行初步评审。有一项不符合评审标准的，作否决投标处理。当</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资格预审申请文件的内容发生重大变化时，评标委员会依据本章第2.1.1项规定的标准对其更新资料进行评审。（适用于已进行资格预审的）</w:t>
      </w:r>
    </w:p>
    <w:p w14:paraId="5C4ABD5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 xml:space="preserve">3.1.2  </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有以下情形之一的，其投标作否决投标处理：</w:t>
      </w:r>
    </w:p>
    <w:p w14:paraId="2EB950E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竞争性比选响应文件</w:t>
      </w:r>
      <w:r>
        <w:rPr>
          <w:rFonts w:hint="eastAsia" w:ascii="宋体" w:hAnsi="宋体" w:cs="宋体"/>
          <w:color w:val="auto"/>
          <w:szCs w:val="21"/>
          <w:highlight w:val="none"/>
        </w:rPr>
        <w:t>没有对</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的实质性要求和条件作出响应，或者对</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的偏差超出</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规定的偏差范围或最高项数；</w:t>
      </w:r>
    </w:p>
    <w:p w14:paraId="4FCBFEA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（2）有串通投标、弄虚作假、行贿等违法行为；</w:t>
      </w:r>
    </w:p>
    <w:p w14:paraId="0A7B7DA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14:paraId="5284570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3.1.3  投标报价有算术错误及其他错误的，评标委员会按以下原则要求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对投标报价进行修正，并要求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书面澄清确认。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拒不澄清确认的，评标委员会应当否决其投标：</w:t>
      </w:r>
    </w:p>
    <w:p w14:paraId="024ABDE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中的大写金额与小写金额不一致的，以大写金额为准；</w:t>
      </w:r>
    </w:p>
    <w:p w14:paraId="26D9B21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（2）分项报价表中各分项总价金额与依据固定单价计算出的结果不一致的，由评标委员会作否决投标处理；</w:t>
      </w:r>
    </w:p>
    <w:p w14:paraId="1ECD7C5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（3）投标报价为各分项总价金额之和，投标报价与各分项总价的合价不一致的，由评标委员会作否决投标处理；</w:t>
      </w:r>
    </w:p>
    <w:p w14:paraId="5CA312B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（4）如果分项报价中存在缺漏项，则视为缺漏项价格已包含在其他分项报价之中。</w:t>
      </w:r>
    </w:p>
    <w:p w14:paraId="426E6A9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3.2  详细评审</w:t>
      </w:r>
    </w:p>
    <w:p w14:paraId="46DD4F2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3.2.1  评标委员会按本章第2.2款规定的量化因素和分值进行评分，并计算出综合评估得分。</w:t>
      </w:r>
    </w:p>
    <w:p w14:paraId="07771C9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（1）按本章第 2.2.4（1）目规定的评审因素和分值对技术部分计算出得分 A；</w:t>
      </w:r>
    </w:p>
    <w:p w14:paraId="1A551F5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（2）按本章第 2.2.4（2）目规定的评审因素和分值对商务部分计算出得分 B；</w:t>
      </w:r>
    </w:p>
    <w:p w14:paraId="17314C4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（3）按本章第 2.2.4（</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）目规定的评审因素和分值对投标报价计算出得分 C；</w:t>
      </w:r>
    </w:p>
    <w:p w14:paraId="08E03E4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3.2.2  各类评分分值的最终计算结果保留两位小数，小数点后第三位“四舍五入”。</w:t>
      </w:r>
    </w:p>
    <w:p w14:paraId="591A9A6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 xml:space="preserve">3.2.3  </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得分=A+B+C。</w:t>
      </w:r>
    </w:p>
    <w:p w14:paraId="1BAD3C2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 xml:space="preserve">3.3  </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的澄清</w:t>
      </w:r>
    </w:p>
    <w:p w14:paraId="49CD940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3.3.1  在评标过程中，评标委员会可以书面形式要求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对所提交</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中含义不明确、对同类问题表述不一致或者有明显文字和计算错误的内容作必要的澄清、说明或补正。澄清、说明或补正应以书面方式进行。评标委员会不接受</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主动提出的澄清、说明或补正。</w:t>
      </w:r>
    </w:p>
    <w:p w14:paraId="7EB9BD8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3.3.2  澄清、说明或补正不得超出</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的范围且不得改变</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的实质性内容，并构成</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的组成部分。</w:t>
      </w:r>
    </w:p>
    <w:p w14:paraId="457CA9B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3.3.3  评标委员会对</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提交的澄清、说明或补正有疑问的，可以要求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进一步澄清、说明或补正，直至满足评标委员会的要求。</w:t>
      </w:r>
    </w:p>
    <w:p w14:paraId="60BFE63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3.4  评标结果</w:t>
      </w:r>
    </w:p>
    <w:p w14:paraId="272B23C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3.4.1  除第二章“</w:t>
      </w:r>
      <w:r>
        <w:rPr>
          <w:rFonts w:hint="eastAsia" w:ascii="宋体" w:hAnsi="宋体" w:cs="宋体"/>
          <w:color w:val="auto"/>
          <w:szCs w:val="21"/>
          <w:highlight w:val="none"/>
          <w:lang w:eastAsia="zh-CN"/>
        </w:rPr>
        <w:t>报价人须知</w:t>
      </w:r>
      <w:r>
        <w:rPr>
          <w:rFonts w:hint="eastAsia" w:ascii="宋体" w:hAnsi="宋体" w:cs="宋体"/>
          <w:color w:val="auto"/>
          <w:szCs w:val="21"/>
          <w:highlight w:val="none"/>
        </w:rPr>
        <w:t>”前附表授权直接确定中标人外，评标委员会按照得分由高到低的顺序推荐</w:t>
      </w:r>
      <w:r>
        <w:rPr>
          <w:rFonts w:hint="eastAsia" w:ascii="宋体" w:hAnsi="宋体" w:cs="宋体"/>
          <w:color w:val="auto"/>
          <w:szCs w:val="21"/>
          <w:highlight w:val="none"/>
          <w:lang w:val="en-US" w:eastAsia="zh-CN"/>
        </w:rPr>
        <w:t>2名</w:t>
      </w:r>
      <w:r>
        <w:rPr>
          <w:rFonts w:hint="eastAsia" w:ascii="宋体" w:hAnsi="宋体" w:cs="宋体"/>
          <w:color w:val="auto"/>
          <w:szCs w:val="21"/>
          <w:highlight w:val="none"/>
        </w:rPr>
        <w:t>中标候选人，并标明排序。</w:t>
      </w:r>
    </w:p>
    <w:p w14:paraId="31863462">
      <w:pPr>
        <w:ind w:firstLine="420" w:firstLineChars="200"/>
        <w:rPr>
          <w:rStyle w:val="83"/>
          <w:rFonts w:hint="eastAsia"/>
          <w:color w:val="auto"/>
          <w:highlight w:val="none"/>
        </w:rPr>
      </w:pPr>
      <w:r>
        <w:rPr>
          <w:rFonts w:hint="eastAsia" w:ascii="宋体" w:hAnsi="宋体" w:cs="宋体"/>
          <w:color w:val="auto"/>
          <w:szCs w:val="21"/>
          <w:highlight w:val="none"/>
        </w:rPr>
        <w:t>3.4.2  评标委员会完成评标后，应当向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提交书面评标报告和中标候选人名单。</w:t>
      </w:r>
    </w:p>
    <w:p w14:paraId="557135A1">
      <w:pPr>
        <w:rPr>
          <w:rStyle w:val="83"/>
          <w:rFonts w:hint="eastAsia"/>
          <w:color w:val="auto"/>
          <w:highlight w:val="none"/>
        </w:rPr>
      </w:pPr>
      <w:r>
        <w:rPr>
          <w:rStyle w:val="83"/>
          <w:rFonts w:hint="eastAsia"/>
          <w:color w:val="auto"/>
          <w:highlight w:val="none"/>
        </w:rPr>
        <w:br w:type="page"/>
      </w:r>
    </w:p>
    <w:p w14:paraId="65E12840">
      <w:pPr>
        <w:pStyle w:val="3"/>
        <w:spacing w:before="0" w:after="0" w:line="360" w:lineRule="auto"/>
        <w:jc w:val="center"/>
        <w:rPr>
          <w:rFonts w:hint="default" w:ascii="宋体" w:hAnsi="宋体" w:eastAsia="宋体" w:cs="宋体"/>
          <w:color w:val="auto"/>
          <w:highlight w:val="none"/>
          <w:lang w:val="en-US" w:eastAsia="zh-CN"/>
        </w:rPr>
      </w:pPr>
      <w:bookmarkStart w:id="137" w:name="_Toc447827049"/>
      <w:bookmarkStart w:id="138" w:name="_Toc246997096"/>
      <w:bookmarkStart w:id="139" w:name="_Toc2000411"/>
      <w:bookmarkStart w:id="140" w:name="_Toc152045785"/>
      <w:bookmarkStart w:id="141" w:name="_Toc179632804"/>
      <w:bookmarkStart w:id="142" w:name="_Toc514858707"/>
      <w:bookmarkStart w:id="143" w:name="_Toc513633964"/>
      <w:bookmarkStart w:id="144" w:name="_Toc152042574"/>
      <w:bookmarkStart w:id="145" w:name="_Toc144974854"/>
      <w:bookmarkStart w:id="146" w:name="_Toc246996353"/>
      <w:bookmarkStart w:id="147" w:name="_Toc503951043"/>
      <w:bookmarkStart w:id="148" w:name="_Toc247085870"/>
      <w:bookmarkStart w:id="149" w:name="_Toc11165"/>
      <w:bookmarkStart w:id="150" w:name="_Toc246997097"/>
      <w:bookmarkStart w:id="151" w:name="_Toc152042575"/>
      <w:bookmarkStart w:id="152" w:name="_Toc246996354"/>
      <w:bookmarkStart w:id="153" w:name="_Toc247085872"/>
      <w:bookmarkStart w:id="154" w:name="_Toc179632806"/>
      <w:bookmarkStart w:id="155" w:name="_Toc144974855"/>
      <w:bookmarkStart w:id="156" w:name="_Toc152045786"/>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bookmarkEnd w:id="137"/>
      <w:bookmarkEnd w:id="138"/>
      <w:bookmarkEnd w:id="139"/>
      <w:bookmarkEnd w:id="140"/>
      <w:bookmarkEnd w:id="141"/>
      <w:bookmarkEnd w:id="142"/>
      <w:bookmarkEnd w:id="143"/>
      <w:bookmarkEnd w:id="144"/>
      <w:bookmarkEnd w:id="145"/>
      <w:bookmarkEnd w:id="146"/>
      <w:bookmarkEnd w:id="147"/>
      <w:bookmarkEnd w:id="148"/>
      <w:r>
        <w:rPr>
          <w:rFonts w:hint="eastAsia" w:ascii="宋体" w:hAnsi="宋体" w:cs="宋体"/>
          <w:color w:val="auto"/>
          <w:highlight w:val="none"/>
          <w:lang w:val="en-US" w:eastAsia="zh-CN"/>
        </w:rPr>
        <w:t>服务要求</w:t>
      </w:r>
      <w:bookmarkEnd w:id="149"/>
    </w:p>
    <w:bookmarkEnd w:id="150"/>
    <w:bookmarkEnd w:id="151"/>
    <w:bookmarkEnd w:id="152"/>
    <w:bookmarkEnd w:id="153"/>
    <w:bookmarkEnd w:id="154"/>
    <w:bookmarkEnd w:id="155"/>
    <w:bookmarkEnd w:id="156"/>
    <w:p w14:paraId="7A529A29">
      <w:pPr>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auto"/>
          <w:sz w:val="21"/>
          <w:szCs w:val="21"/>
          <w:highlight w:val="none"/>
          <w:lang w:val="en-US" w:eastAsia="zh-CN"/>
        </w:rPr>
      </w:pPr>
      <w:bookmarkStart w:id="157" w:name="_Toc514430114"/>
      <w:bookmarkStart w:id="158" w:name="_Toc2000412"/>
      <w:bookmarkStart w:id="159" w:name="_Toc514858708"/>
      <w:bookmarkStart w:id="160" w:name="_Toc179632807"/>
      <w:bookmarkStart w:id="161" w:name="_Toc247085873"/>
      <w:bookmarkStart w:id="162" w:name="_Toc246997098"/>
      <w:bookmarkStart w:id="163" w:name="_Toc246996355"/>
      <w:bookmarkStart w:id="164" w:name="_Toc152042576"/>
      <w:bookmarkStart w:id="165" w:name="_Toc507320039"/>
      <w:bookmarkStart w:id="166" w:name="_Toc144974856"/>
      <w:bookmarkStart w:id="167" w:name="_Toc152045787"/>
    </w:p>
    <w:p w14:paraId="543F2F10">
      <w:pPr>
        <w:pStyle w:val="4"/>
        <w:pageBreakBefore w:val="0"/>
        <w:widowControl w:val="0"/>
        <w:numPr>
          <w:ilvl w:val="0"/>
          <w:numId w:val="0"/>
        </w:numPr>
        <w:kinsoku/>
        <w:wordWrap/>
        <w:overflowPunct/>
        <w:topLinePunct w:val="0"/>
        <w:bidi w:val="0"/>
        <w:snapToGrid/>
        <w:spacing w:before="0" w:after="0"/>
        <w:ind w:leftChars="200"/>
        <w:textAlignment w:val="auto"/>
        <w:rPr>
          <w:rFonts w:hint="eastAsia" w:ascii="宋体" w:hAnsi="宋体" w:eastAsia="宋体" w:cs="宋体"/>
          <w:color w:val="auto"/>
          <w:sz w:val="21"/>
          <w:szCs w:val="21"/>
          <w:highlight w:val="none"/>
        </w:rPr>
      </w:pPr>
      <w:bookmarkStart w:id="168" w:name="_Toc18241"/>
      <w:bookmarkStart w:id="169" w:name="_Toc409303003"/>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总体</w:t>
      </w:r>
      <w:bookmarkEnd w:id="168"/>
      <w:r>
        <w:rPr>
          <w:rFonts w:hint="eastAsia" w:ascii="宋体" w:hAnsi="宋体" w:eastAsia="宋体" w:cs="宋体"/>
          <w:color w:val="auto"/>
          <w:sz w:val="21"/>
          <w:szCs w:val="21"/>
          <w:highlight w:val="none"/>
        </w:rPr>
        <w:t>要求</w:t>
      </w:r>
    </w:p>
    <w:p w14:paraId="6D52009F">
      <w:pPr>
        <w:pStyle w:val="121"/>
        <w:pageBreakBefore w:val="0"/>
        <w:widowControl w:val="0"/>
        <w:numPr>
          <w:ilvl w:val="0"/>
          <w:numId w:val="0"/>
        </w:numPr>
        <w:tabs>
          <w:tab w:val="left" w:pos="993"/>
        </w:tabs>
        <w:kinsoku/>
        <w:wordWrap/>
        <w:overflowPunct/>
        <w:topLinePunct w:val="0"/>
        <w:autoSpaceDE w:val="0"/>
        <w:autoSpaceDN w:val="0"/>
        <w:bidi w:val="0"/>
        <w:adjustRightInd w:val="0"/>
        <w:snapToGrid/>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本次项目为对</w:t>
      </w:r>
      <w:r>
        <w:rPr>
          <w:rFonts w:hint="eastAsia" w:ascii="宋体" w:hAnsi="宋体" w:eastAsia="宋体" w:cs="宋体"/>
          <w:color w:val="auto"/>
          <w:sz w:val="21"/>
          <w:szCs w:val="21"/>
          <w:highlight w:val="none"/>
          <w:lang w:val="en-US" w:eastAsia="zh-CN"/>
        </w:rPr>
        <w:t>现</w:t>
      </w:r>
      <w:r>
        <w:rPr>
          <w:rFonts w:hint="eastAsia" w:ascii="宋体" w:hAnsi="宋体" w:eastAsia="宋体" w:cs="宋体"/>
          <w:color w:val="auto"/>
          <w:sz w:val="21"/>
          <w:szCs w:val="21"/>
          <w:highlight w:val="none"/>
        </w:rPr>
        <w:t>有</w:t>
      </w:r>
      <w:r>
        <w:rPr>
          <w:rFonts w:hint="eastAsia" w:ascii="宋体" w:hAnsi="宋体" w:eastAsia="宋体" w:cs="宋体"/>
          <w:color w:val="auto"/>
          <w:sz w:val="21"/>
          <w:szCs w:val="21"/>
          <w:highlight w:val="none"/>
          <w:lang w:val="en-US" w:eastAsia="zh-CN"/>
        </w:rPr>
        <w:t>OA</w:t>
      </w:r>
      <w:r>
        <w:rPr>
          <w:rFonts w:hint="eastAsia" w:ascii="宋体" w:hAnsi="宋体" w:eastAsia="宋体" w:cs="宋体"/>
          <w:color w:val="auto"/>
          <w:sz w:val="21"/>
          <w:szCs w:val="21"/>
          <w:highlight w:val="none"/>
        </w:rPr>
        <w:t>协同办公平台</w:t>
      </w:r>
      <w:r>
        <w:rPr>
          <w:rFonts w:hint="eastAsia" w:ascii="宋体" w:hAnsi="宋体" w:eastAsia="宋体" w:cs="宋体"/>
          <w:color w:val="auto"/>
          <w:sz w:val="21"/>
          <w:szCs w:val="21"/>
          <w:highlight w:val="none"/>
          <w:lang w:val="en-US" w:eastAsia="zh-CN"/>
        </w:rPr>
        <w:t>中的发文、收文、签报、合同中已办结的文件进行归档到档案管理系统中</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需将包括审计在内的各业务板块加入归档功能，同时需具备对照片、录音、录像等档案类别的归档功能。</w:t>
      </w:r>
      <w:r>
        <w:rPr>
          <w:rFonts w:hint="eastAsia" w:ascii="宋体" w:hAnsi="宋体" w:eastAsia="宋体" w:cs="宋体"/>
          <w:color w:val="auto"/>
          <w:sz w:val="21"/>
          <w:szCs w:val="21"/>
          <w:highlight w:val="none"/>
          <w:lang w:eastAsia="zh-CN"/>
        </w:rPr>
        <w:t>）</w:t>
      </w:r>
    </w:p>
    <w:p w14:paraId="3B1EE877">
      <w:pPr>
        <w:pStyle w:val="121"/>
        <w:pageBreakBefore w:val="0"/>
        <w:widowControl w:val="0"/>
        <w:numPr>
          <w:ilvl w:val="0"/>
          <w:numId w:val="0"/>
        </w:numPr>
        <w:tabs>
          <w:tab w:val="left" w:pos="993"/>
        </w:tabs>
        <w:kinsoku/>
        <w:wordWrap/>
        <w:overflowPunct/>
        <w:topLinePunct w:val="0"/>
        <w:autoSpaceDE w:val="0"/>
        <w:autoSpaceDN w:val="0"/>
        <w:bidi w:val="0"/>
        <w:adjustRightInd w:val="0"/>
        <w:snapToGrid/>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9504" behindDoc="0" locked="0" layoutInCell="1" allowOverlap="1">
                <wp:simplePos x="0" y="0"/>
                <wp:positionH relativeFrom="column">
                  <wp:posOffset>3893820</wp:posOffset>
                </wp:positionH>
                <wp:positionV relativeFrom="paragraph">
                  <wp:posOffset>10160</wp:posOffset>
                </wp:positionV>
                <wp:extent cx="799465" cy="365125"/>
                <wp:effectExtent l="12700" t="12700" r="13335" b="15875"/>
                <wp:wrapNone/>
                <wp:docPr id="7" name="流程图: 过程 7"/>
                <wp:cNvGraphicFramePr/>
                <a:graphic xmlns:a="http://schemas.openxmlformats.org/drawingml/2006/main">
                  <a:graphicData uri="http://schemas.microsoft.com/office/word/2010/wordprocessingShape">
                    <wps:wsp>
                      <wps:cNvSpPr/>
                      <wps:spPr>
                        <a:xfrm>
                          <a:off x="5036820" y="2465705"/>
                          <a:ext cx="799465" cy="3651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85168C">
                            <w:pPr>
                              <w:jc w:val="center"/>
                              <w:rPr>
                                <w:rFonts w:hint="default" w:eastAsia="宋体"/>
                                <w:lang w:val="en-US" w:eastAsia="zh-CN"/>
                              </w:rPr>
                            </w:pPr>
                            <w:r>
                              <w:rPr>
                                <w:rFonts w:hint="eastAsia"/>
                                <w:lang w:val="en-US" w:eastAsia="zh-CN"/>
                              </w:rPr>
                              <w:t>档案利用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06.6pt;margin-top:0.8pt;height:28.75pt;width:62.95pt;z-index:251669504;v-text-anchor:middle;mso-width-relative:page;mso-height-relative:page;" fillcolor="#4F81BD [3204]" filled="t" stroked="t" coordsize="21600,21600" o:gfxdata="UEsDBAoAAAAAAIdO4kAAAAAAAAAAAAAAAAAEAAAAZHJzL1BLAwQUAAAACACHTuJAhMLMH9UAAAAI&#10;AQAADwAAAGRycy9kb3ducmV2LnhtbE2PwU7DMAyG70i8Q2QkbixpJwqUpjsgjRtIbFy4ZY1pyxqn&#10;JGk73h5zYifL+n79/lxtTm4QM4bYe9KQrRQIpMbbnloN7/vtzT2ImAxZM3hCDT8YYVNfXlSmtH6h&#10;N5x3qRVcQrE0GrqUxlLK2HToTFz5EYnZpw/OJF5DK20wC5e7QeZKFdKZnvhCZ0Z86rA57ianYQ5N&#10;+lbkPvL49fpy3G+X5ym0Wl9fZeoRRMJT+g/Dnz6rQ81OBz+RjWLQUGTrnKMMChDM79YPGYiDhlue&#10;sq7k+QP1L1BLAwQUAAAACACHTuJAsFAE6KICAAArBQAADgAAAGRycy9lMm9Eb2MueG1srVTNbhMx&#10;EL4j8Q6W73Q3aTZJo26qkCgIqaKRCuLseL1ZS/7DdrIpN04c+gi8AC/AFZ6Gn8dgbG/btOXQAzk4&#10;Mzvjb2a+mfHp2V4KtGPWca1K3DvKMWKK6oqrTYnfvV2+GGPkPFEVEVqxEl8xh8+mz5+dtmbC+rrR&#10;omIWAYhyk9aUuPHeTLLM0YZJ4o60YQqMtbaSeFDtJqssaQFdiqyf58Os1bYyVlPmHHxdJCPuEO1T&#10;AHVdc8oWmm4lUz6hWiaIh5Jcw43D05htXTPqL+raMY9EiaFSH08IAvI6nNn0lEw2lpiG0y4F8pQU&#10;HtQkCVcQ9BZqQTxBW8sfQUlOrXa69kdUyywVEhmBKnr5A24uG2JYrAWoduaWdPf/YOmb3coiXpV4&#10;hJEiEhr+69un31+vf375PkF/fnwGEY0CTa1xE/C+NCvbaQ7EUPO+tjL8QzVoX+IiPx6O+0DwVYn7&#10;g2ExyotEM9t7RMFhdHICnzGi4HA8LHr9aM/ugIx1/hXTEgWhxLXQ7bwh1q/S1ESiye7ceUgErt24&#10;hxycFrxaciGiYjfrubBoR6D7g+W493IRMoEr99yEQi2kWgxySJoSmOkaZglEaYAXpzYYEbGBZaHe&#10;xtj3brvDIMfjYjGeJaeGVCyFLnL43URO7o+zCFUsiGvSlRiiuyIUeAf6E+FB8vv1vuvCWldX0EKr&#10;02w7Q5ccoM6J8ytiYZihKFh3fwFHYLLEupMwarT9+K/vwR9mDKwYtbAcwMKHLbEMI/FawfSd9AYD&#10;gPVRGRSj0G17aFkfWtRWzjV0oAcPi6FRDP5e3Ii11fI9vAqzEBVMRFGInfjulLlPSwvvCmWzWXSD&#10;DTLEn6tLQwN46LjSs63XNY+TEYhK7HT8wQ5F3rt9D0t6qEevuzdu+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Ewswf1QAAAAgBAAAPAAAAAAAAAAEAIAAAACIAAABkcnMvZG93bnJldi54bWxQSwEC&#10;FAAUAAAACACHTuJAsFAE6KICAAArBQAADgAAAAAAAAABACAAAAAkAQAAZHJzL2Uyb0RvYy54bWxQ&#10;SwUGAAAAAAYABgBZAQAAOAYAAAAA&#10;">
                <v:fill on="t" focussize="0,0"/>
                <v:stroke weight="2pt" color="#385D8A [3204]" joinstyle="round"/>
                <v:imagedata o:title=""/>
                <o:lock v:ext="edit" aspectratio="f"/>
                <v:textbox>
                  <w:txbxContent>
                    <w:p w14:paraId="5D85168C">
                      <w:pPr>
                        <w:jc w:val="center"/>
                        <w:rPr>
                          <w:rFonts w:hint="default" w:eastAsia="宋体"/>
                          <w:lang w:val="en-US" w:eastAsia="zh-CN"/>
                        </w:rPr>
                      </w:pPr>
                      <w:r>
                        <w:rPr>
                          <w:rFonts w:hint="eastAsia"/>
                          <w:lang w:val="en-US" w:eastAsia="zh-CN"/>
                        </w:rPr>
                        <w:t>档案利用</w:t>
                      </w:r>
                    </w:p>
                  </w:txbxContent>
                </v:textbox>
              </v:shape>
            </w:pict>
          </mc:Fallback>
        </mc:AlternateContent>
      </w:r>
      <w:r>
        <w:rPr>
          <w:rFonts w:hint="eastAsia" w:ascii="宋体" w:hAnsi="宋体" w:eastAsia="宋体" w:cs="宋体"/>
          <w:color w:val="auto"/>
          <w:sz w:val="21"/>
          <w:szCs w:val="21"/>
          <w:highlight w:val="none"/>
        </w:rPr>
        <mc:AlternateContent>
          <mc:Choice Requires="wps">
            <w:drawing>
              <wp:anchor distT="0" distB="0" distL="114300" distR="114300" simplePos="0" relativeHeight="251670528" behindDoc="0" locked="0" layoutInCell="1" allowOverlap="1">
                <wp:simplePos x="0" y="0"/>
                <wp:positionH relativeFrom="column">
                  <wp:posOffset>3481070</wp:posOffset>
                </wp:positionH>
                <wp:positionV relativeFrom="paragraph">
                  <wp:posOffset>191135</wp:posOffset>
                </wp:positionV>
                <wp:extent cx="412750" cy="1905"/>
                <wp:effectExtent l="0" t="48895" r="6350" b="50800"/>
                <wp:wrapNone/>
                <wp:docPr id="8" name="直接箭头连接符 8"/>
                <wp:cNvGraphicFramePr/>
                <a:graphic xmlns:a="http://schemas.openxmlformats.org/drawingml/2006/main">
                  <a:graphicData uri="http://schemas.microsoft.com/office/word/2010/wordprocessingShape">
                    <wps:wsp>
                      <wps:cNvCnPr>
                        <a:stCxn id="7" idx="1"/>
                        <a:endCxn id="12" idx="3"/>
                      </wps:cNvCnPr>
                      <wps:spPr>
                        <a:xfrm flipH="1" flipV="1">
                          <a:off x="4624070" y="2624455"/>
                          <a:ext cx="412750" cy="19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74.1pt;margin-top:15.05pt;height:0.15pt;width:32.5pt;z-index:251670528;mso-width-relative:page;mso-height-relative:page;" filled="f" stroked="t" coordsize="21600,21600" o:gfxdata="UEsDBAoAAAAAAIdO4kAAAAAAAAAAAAAAAAAEAAAAZHJzL1BLAwQUAAAACACHTuJAC+EuY9cAAAAJ&#10;AQAADwAAAGRycy9kb3ducmV2LnhtbE2PwU7DMAyG70i8Q2QkbixJO7quNJ0EEhISJzbQrl4T2orG&#10;qZJsK29PdmJH//70+3O9me3ITsaHwZECuRDADLVOD9Qp+Ny9PpTAQkTSODoyCn5NgE1ze1Njpd2Z&#10;PsxpGzuWSihUqKCPcao4D21vLIaFmwyl3bfzFmMafce1x3MqtyPPhCi4xYHShR4n89Kb9md7tAp2&#10;+Lx6d29TmfuvvSt0tlrL2St1fyfFE7Bo5vgPw0U/qUOTnA7uSDqwUcHjsswSqiAXElgCCpmn4HAJ&#10;lsCbml9/0PwBUEsDBBQAAAAIAIdO4kC6YaGZSgIAAGMEAAAOAAAAZHJzL2Uyb0RvYy54bWytVM1u&#10;1DAQviPxDpbvNNmw222jZiu628KBn0r83KeOk1hybMt2N7svwQsgcQJOwKl3ngbKYzC205aWSw9c&#10;nLHH883M941zcLjpJVlz64RWFZ3s5JRwxXQtVFvRt29OHu1R4jyoGqRWvKJb7ujh4uGDg8GUvNCd&#10;ljW3BEGUKwdT0c57U2aZYx3vwe1owxU6G2178Li1bVZbGBC9l1mR57vZoG1trGbcOTxdJScdEe19&#10;AHXTCMZXmp33XPmEarkEjy25ThhHF7HapuHMv2oaxz2RFcVOfVwxCdpnYc0WB1C2Fkwn2FgC3KeE&#10;Oz31IBQmvYZagQdybsU/UL1gVjvd+B2m+yw1EhnBLib5HW5ed2B47AWpduaadPf/YNnL9akloq4o&#10;yq6gR8EvP1z8ev/58vu3n58ufv/4GOyvX8heoGowrsSIpTq1oVnnlxsVg+cUPxscp0QoV/WVZ1KM&#10;rsfBld1CCBtnEtamsT1ppDDPAkq03gUr5EGaCIJPd4tpPkflthUt0J7OZmO6jScsXJgU8xn6GV6Y&#10;7OfRm0EZoAOMsc4/5bonwaio8xZE2/mlVgrnRNuUDNbPnQ+l3gSEYKVPhJRxXKQiQ0X3Z8UMUwE+&#10;gQZHD83eII1OtZSAbPFtMW9j+U5LUYfoyJltz5bSkjXgRE6fzI+PjtKlDmqeTvdneT5OpgP/Qtfp&#10;eJJfnWNpLsHEMm/hh95W4LoUE12JJA9CHqua+K1BkcFaPURFoJRqFCZpEVQ50/X21F4JhrMXE43v&#10;JAz33/sYffNvWP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EuY9cAAAAJAQAADwAAAAAAAAAB&#10;ACAAAAAiAAAAZHJzL2Rvd25yZXYueG1sUEsBAhQAFAAAAAgAh07iQLphoZlKAgAAYwQAAA4AAAAA&#10;AAAAAQAgAAAAJgEAAGRycy9lMm9Eb2MueG1sUEsFBgAAAAAGAAYAWQEAAOIFAAAAAA==&#10;">
                <v:fill on="f" focussize="0,0"/>
                <v:stroke color="#4A7EBB [3204]" joinstyle="round" endarrow="open"/>
                <v:imagedata o:title=""/>
                <o:lock v:ext="edit" aspectratio="f"/>
              </v:shape>
            </w:pict>
          </mc:Fallback>
        </mc:AlternateContent>
      </w:r>
      <w:r>
        <w:rPr>
          <w:rFonts w:hint="eastAsia" w:ascii="宋体" w:hAnsi="宋体" w:eastAsia="宋体" w:cs="宋体"/>
          <w:color w:val="auto"/>
          <w:sz w:val="21"/>
          <w:szCs w:val="21"/>
          <w:highlight w:val="none"/>
        </w:rPr>
        <mc:AlternateContent>
          <mc:Choice Requires="wps">
            <w:drawing>
              <wp:anchor distT="0" distB="0" distL="114300" distR="114300" simplePos="0" relativeHeight="251668480" behindDoc="0" locked="0" layoutInCell="1" allowOverlap="1">
                <wp:simplePos x="0" y="0"/>
                <wp:positionH relativeFrom="column">
                  <wp:posOffset>2290445</wp:posOffset>
                </wp:positionH>
                <wp:positionV relativeFrom="paragraph">
                  <wp:posOffset>186055</wp:posOffset>
                </wp:positionV>
                <wp:extent cx="349250" cy="5080"/>
                <wp:effectExtent l="0" t="45085" r="6350" b="51435"/>
                <wp:wrapNone/>
                <wp:docPr id="10" name="直接箭头连接符 10"/>
                <wp:cNvGraphicFramePr/>
                <a:graphic xmlns:a="http://schemas.openxmlformats.org/drawingml/2006/main">
                  <a:graphicData uri="http://schemas.microsoft.com/office/word/2010/wordprocessingShape">
                    <wps:wsp>
                      <wps:cNvCnPr>
                        <a:stCxn id="13" idx="3"/>
                        <a:endCxn id="12" idx="1"/>
                      </wps:cNvCnPr>
                      <wps:spPr>
                        <a:xfrm>
                          <a:off x="3433445" y="2619375"/>
                          <a:ext cx="349250" cy="50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80.35pt;margin-top:14.65pt;height:0.4pt;width:27.5pt;z-index:251668480;mso-width-relative:page;mso-height-relative:page;" filled="f" stroked="t" coordsize="21600,21600" o:gfxdata="UEsDBAoAAAAAAIdO4kAAAAAAAAAAAAAAAAAEAAAAZHJzL1BLAwQUAAAACACHTuJA+p1cq9kAAAAJ&#10;AQAADwAAAGRycy9kb3ducmV2LnhtbE2PTU/DMAyG70j8h8hI3FiSDgqUphNCmrQDSKwgsWPWmLaj&#10;caom++DfY05wtN9Hrx+Xi5MfxAGn2AcyoGcKBFITXE+tgfe35dUdiJgsOTsEQgPfGGFRnZ+VtnDh&#10;SGs81KkVXEKxsAa6lMZCyth06G2chRGJs88weZt4nFrpJnvkcj/ITKlcetsTX+jsiE8dNl/13hv4&#10;WOlc15vuEdNy9/L8mm3sercy5vJCqwcQCU/pD4ZffVaHip22YU8uisHAPFe3jBrI7ucgGLjWN7zY&#10;cqI0yKqU/z+ofgBQSwMEFAAAAAgAh07iQIEzWQJAAgAAUgQAAA4AAABkcnMvZTJvRG9jLnhtbK1U&#10;S3LUMBDdU8UdVNoTe35JxhVPiswkbPhMFXCAjizbqpIllaSMZy7BBahiBayAVfacBsIxaEmeQMIm&#10;CzaypFY/vX795JPTbSfJhlsntCrp6CCnhCumK6Gakr59c/HkmBLnQVUgteIl3XFHTxePH530puBj&#10;3WpZcUsQRLmiNyVtvTdFljnW8g7cgTZcYbDWtgOPS9tklYUe0TuZjfP8MOu1rYzVjDuHu6sUpAOi&#10;fQigrmvB+Eqzq44rn1Atl+CxJNcK4+gisq1rzvyrunbcE1lSrNTHES/B+WUYs8UJFI0F0wo2UICH&#10;ULhXUwdC4aW3UCvwQK6s+AeqE8xqp2t/wHSXpUKiIljFKL+nzesWDI+1oNTO3Iru/h8se7lZWyIq&#10;dAJKoqDDjt+8v/757tPNt68/Pl7/+v4hzL98JhhHsXrjCsxZqrUN5Tq/3KqUPqH43ZZ0kjTlqroN&#10;jYfQKISyOxBh4UwC29a2C6CoCglA08lkOp1Rsivp+HA0nxzNBuitJywemI9nyJrhgVl+HPllUOxh&#10;jHX+GdcdCZOSOm9BNK1faqXQFtqOYsNg89z5QAuKfULgoPSFkDK6QyrSl3Q+GyMVBuj4Gp2G086g&#10;ak41lIBs8CkxbyOi01JUITsKZJvLpbRkA2jA6dOj87OzdKiFiqfd+SzPByM68C90lbZH+X4fqbkE&#10;E2newQ+cV+DalBNDSSQPQp6rividwZaCtbqP6kMh1dCEpHvowKWudmu7bw5aLV40PIvg5b/XMfvP&#10;r2D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qdXKvZAAAACQEAAA8AAAAAAAAAAQAgAAAAIgAA&#10;AGRycy9kb3ducmV2LnhtbFBLAQIUABQAAAAIAIdO4kCBM1kCQAIAAFIEAAAOAAAAAAAAAAEAIAAA&#10;ACgBAABkcnMvZTJvRG9jLnhtbFBLBQYAAAAABgAGAFkBAADaBQAAAAA=&#10;">
                <v:fill on="f" focussize="0,0"/>
                <v:stroke color="#4A7EBB [3204]" joinstyle="round" endarrow="open"/>
                <v:imagedata o:title=""/>
                <o:lock v:ext="edit" aspectratio="f"/>
              </v:shape>
            </w:pict>
          </mc:Fallback>
        </mc:AlternateContent>
      </w:r>
      <w:r>
        <w:rPr>
          <w:rFonts w:hint="eastAsia" w:ascii="宋体" w:hAnsi="宋体" w:eastAsia="宋体" w:cs="宋体"/>
          <w:color w:val="auto"/>
          <w:sz w:val="21"/>
          <w:szCs w:val="21"/>
          <w:highlight w:val="none"/>
        </w:rPr>
        <mc:AlternateContent>
          <mc:Choice Requires="wps">
            <w:drawing>
              <wp:anchor distT="0" distB="0" distL="114300" distR="114300" simplePos="0" relativeHeight="251667456" behindDoc="0" locked="0" layoutInCell="1" allowOverlap="1">
                <wp:simplePos x="0" y="0"/>
                <wp:positionH relativeFrom="column">
                  <wp:posOffset>1126490</wp:posOffset>
                </wp:positionH>
                <wp:positionV relativeFrom="paragraph">
                  <wp:posOffset>180975</wp:posOffset>
                </wp:positionV>
                <wp:extent cx="360045" cy="13335"/>
                <wp:effectExtent l="0" t="45720" r="8255" b="42545"/>
                <wp:wrapNone/>
                <wp:docPr id="11" name="直接箭头连接符 11"/>
                <wp:cNvGraphicFramePr/>
                <a:graphic xmlns:a="http://schemas.openxmlformats.org/drawingml/2006/main">
                  <a:graphicData uri="http://schemas.microsoft.com/office/word/2010/wordprocessingShape">
                    <wps:wsp>
                      <wps:cNvCnPr>
                        <a:stCxn id="14" idx="3"/>
                      </wps:cNvCnPr>
                      <wps:spPr>
                        <a:xfrm flipV="1">
                          <a:off x="2269490" y="2614295"/>
                          <a:ext cx="360045" cy="133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88.7pt;margin-top:14.25pt;height:1.05pt;width:28.35pt;z-index:251667456;mso-width-relative:page;mso-height-relative:page;" filled="f" stroked="t" coordsize="21600,21600" o:gfxdata="UEsDBAoAAAAAAIdO4kAAAAAAAAAAAAAAAAAEAAAAZHJzL1BLAwQUAAAACACHTuJAY3HRAtoAAAAJ&#10;AQAADwAAAGRycy9kb3ducmV2LnhtbE2PQU+DQBCF7yb+h8008WZ3gdI2lKWJJh568CCSNN62MAIp&#10;O0vYbYv+eseTHl/my3vf5PvZDuKKk+8daYiWCgRS7ZqeWg3V+8vjFoQPhhozOEINX+hhX9zf5SZr&#10;3I3e8FqGVnAJ+cxo6EIYMyl93aE1fulGJL59usmawHFqZTOZG5fbQcZKraU1PfFCZ0Z87rA+lxer&#10;wR2OZ/fxVKnvtEqTYzyP5esh1fphEakdiIBz+IPhV5/VoWCnk7tQ48XAebNZMaoh3qYgGIiTVQTi&#10;pCFRa5BFLv9/UPwAUEsDBBQAAAAIAIdO4kDjWSFoPgIAAEIEAAAOAAAAZHJzL2Uyb0RvYy54bWyt&#10;U81u1DAQviPxDpbvNNlf2GizFd1tufCzEj/3WcdJLDm2Zbub3ZfgBZA4ASfg1DtPA+UxGNvblpZL&#10;D1yS8Yy/b2a+Gc+Pd50kW26d0Kqkg6OcEq6YroRqSvr2zdmjJ5Q4D6oCqRUv6Z47erx4+GDem4IP&#10;datlxS1BEuWK3pS09d4UWeZYyztwR9pwhcFa2w48Hm2TVRZ6ZO9kNszzadZrWxmrGXcOvasUpAdG&#10;ex9CXdeC8ZVm5x1XPrFaLsFjS64VxtFFrLauOfOv6tpxT2RJsVMfv5gE7U34Zos5FI0F0wp2KAHu&#10;U8KdnjoQCpNeU63AAzm34h+qTjCrna79EdNdlhqJimAXg/yONq9bMDz2glI7cy26+3+07OV2bYmo&#10;cBMGlCjocOKXHy5+vf98+f3bz08Xv398DPbXLwTjKFZvXIGYpVrb0K7zy51K8DHF/66ko3Atu3Uv&#10;HJxJiF1tO1JLYd5hyigZikAQNxxOZ+MZzmWP9nQwHs4maTp85wkLxNM8H08oYXhhMBqNYjiDIjCG&#10;Wox1/hnXHQlGSZ23IJrWL7VSuAbapmywfe58qPAGEMBKnwkp4zZIRfqSzibDkAtww2vcLDQ7gyo5&#10;1VACssGnw7yN9TstRRXQURDbbJbSki3gwo2fPj49OUmXWqh48s4meX5YPAf+ha6Se5Bf+bE0l2hi&#10;mbf4Q28rcG3CxFBSyYOQp6oifm9whGCt7uMgoJDqMI80gjCMja72a3s1J1ytmOjwDMLu/n2O6Jun&#10;v/g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Y3HRAtoAAAAJAQAADwAAAAAAAAABACAAAAAiAAAA&#10;ZHJzL2Rvd25yZXYueG1sUEsBAhQAFAAAAAgAh07iQONZIWg+AgAAQgQAAA4AAAAAAAAAAQAgAAAA&#10;KQEAAGRycy9lMm9Eb2MueG1sUEsFBgAAAAAGAAYAWQEAANkFAAAAAA==&#10;">
                <v:fill on="f" focussize="0,0"/>
                <v:stroke color="#4A7EBB [3204]" joinstyle="round" endarrow="open"/>
                <v:imagedata o:title=""/>
                <o:lock v:ext="edit" aspectratio="f"/>
              </v:shape>
            </w:pict>
          </mc:Fallback>
        </mc:AlternateContent>
      </w:r>
      <w:r>
        <w:rPr>
          <w:rFonts w:hint="eastAsia" w:ascii="宋体" w:hAnsi="宋体" w:eastAsia="宋体" w:cs="宋体"/>
          <w:color w:val="auto"/>
          <w:sz w:val="21"/>
          <w:szCs w:val="21"/>
          <w:highlight w:val="none"/>
        </w:rPr>
        <mc:AlternateContent>
          <mc:Choice Requires="wps">
            <w:drawing>
              <wp:anchor distT="0" distB="0" distL="114300" distR="114300" simplePos="0" relativeHeight="251666432" behindDoc="0" locked="0" layoutInCell="1" allowOverlap="1">
                <wp:simplePos x="0" y="0"/>
                <wp:positionH relativeFrom="column">
                  <wp:posOffset>2639695</wp:posOffset>
                </wp:positionH>
                <wp:positionV relativeFrom="paragraph">
                  <wp:posOffset>16510</wp:posOffset>
                </wp:positionV>
                <wp:extent cx="841375" cy="349250"/>
                <wp:effectExtent l="12700" t="12700" r="22225" b="19050"/>
                <wp:wrapNone/>
                <wp:docPr id="12" name="流程图: 过程 12"/>
                <wp:cNvGraphicFramePr/>
                <a:graphic xmlns:a="http://schemas.openxmlformats.org/drawingml/2006/main">
                  <a:graphicData uri="http://schemas.microsoft.com/office/word/2010/wordprocessingShape">
                    <wps:wsp>
                      <wps:cNvSpPr/>
                      <wps:spPr>
                        <a:xfrm>
                          <a:off x="3793490" y="2503170"/>
                          <a:ext cx="841375" cy="3492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B2F1F9">
                            <w:pPr>
                              <w:jc w:val="center"/>
                              <w:rPr>
                                <w:rFonts w:hint="eastAsia" w:eastAsia="宋体"/>
                                <w:lang w:val="en-US" w:eastAsia="zh-CN"/>
                              </w:rPr>
                            </w:pPr>
                            <w:r>
                              <w:rPr>
                                <w:rFonts w:hint="eastAsia"/>
                                <w:lang w:val="en-US" w:eastAsia="zh-CN"/>
                              </w:rPr>
                              <w:t>档案库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07.85pt;margin-top:1.3pt;height:27.5pt;width:66.25pt;z-index:251666432;v-text-anchor:middle;mso-width-relative:page;mso-height-relative:page;" fillcolor="#4F81BD [3204]" filled="t" stroked="t" coordsize="21600,21600" o:gfxdata="UEsDBAoAAAAAAIdO4kAAAAAAAAAAAAAAAAAEAAAAZHJzL1BLAwQUAAAACACHTuJAh6+jrdcAAAAI&#10;AQAADwAAAGRycy9kb3ducmV2LnhtbE2PwU7DMBBE70j8g7VI3KiTqE2rNE4PSOUGEm0v3Nx4SdLG&#10;62A7Sfl7lhPcZjWjmbfl7mZ7MaEPnSMF6SIBgVQ701Gj4HTcP21AhKjJ6N4RKvjGALvq/q7UhXEz&#10;veN0iI3gEgqFVtDGOBRShrpFq8PCDUjsfTpvdeTTN9J4PXO57WWWJLm0uiNeaPWAzy3W18NoFUy+&#10;jl8J2Y8sXN5er8f9/DL6RqnHhzTZgoh4i39h+MVndKiY6exGMkH0Cpbpas1RBVkOgv3VcpOBOLNY&#10;5yCrUv5/oPoBUEsDBBQAAAAIAIdO4kCnsbUMnwIAAC0FAAAOAAAAZHJzL2Uyb0RvYy54bWytVM1u&#10;EzEQviPxDpbvdHeTDUmjblBIFIRU0UgFcXa8dnYl/2E72ZQbJw48Ai/AC3CFp+HnMRjb2zYtHHog&#10;B2dm5/M3ns8zPnt2kALtmXWtVhUuTnKMmKK6btW2wm9er55MMHKeqJoIrViFr5jDz2aPH511ZsoG&#10;utGiZhYBiXLTzlS48d5Ms8zRhkniTrRhCoJcW0k8uHab1ZZ0wC5FNsjzp1mnbW2spsw5+LpMQdwz&#10;2ocQas5bypaa7iRTPrFaJoiHklzTGodn8bScM+ovOHfMI1FhqNTHFZKAvQlrNjsj060lpmlpfwTy&#10;kCPcq0mSVkHSG6ol8QTtbPsXlWyp1U5zf0K1zFIhURGoosjvaXPZEMNiLSC1Mzeiu/9HS1/t1xa1&#10;NXTCACNFJNz4z68ffn359OPztyn6/f0jmAhiIFRn3BTwl2Zte8+BGao+cCvDP9SDDhUejk+H5SlI&#10;fFXhwSgfFuNeaHbwiAJgUhbD8QgjCgBAAibwZ7dExjr/gmmJglFhLnS3aIj169Q3UWqyP3c+bbuG&#10;hzM4Ldp61QoRHbvdLIRFewL3X64mxfNln+kOTCjUhaOWORyaEuhqDt0EpjSgjFNbjIjYwrhQb2Pu&#10;O7vdcZLhZLSczBOoITVLqUc5/K4zJ3is9w5PqGJJXJO2xFC/RShAB/mT4MHyh82hv4WNrq/gEq1O&#10;3e0MXbVAdU6cXxML7QxFwcD7C1iCkhXWvYVRo+37f30PeOgyiGLUwXiACu92xDKMxEsF/XdalCXQ&#10;+uiUo/EAHHsc2RxH1E4uNNxAAU+LodEMeC+uTW61fAvvwjxkhRBRFHInvXtn4dPYwstC2XweYTBD&#10;hvhzdWloIA83rvR85zVvY2cEoZI6vX4wRVH3fuLDmB77EXX7ys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Ievo63XAAAACAEAAA8AAAAAAAAAAQAgAAAAIgAAAGRycy9kb3ducmV2LnhtbFBLAQIU&#10;ABQAAAAIAIdO4kCnsbUMnwIAAC0FAAAOAAAAAAAAAAEAIAAAACYBAABkcnMvZTJvRG9jLnhtbFBL&#10;BQYAAAAABgAGAFkBAAA3BgAAAAA=&#10;">
                <v:fill on="t" focussize="0,0"/>
                <v:stroke weight="2pt" color="#385D8A [3204]" joinstyle="round"/>
                <v:imagedata o:title=""/>
                <o:lock v:ext="edit" aspectratio="f"/>
                <v:textbox>
                  <w:txbxContent>
                    <w:p w14:paraId="69B2F1F9">
                      <w:pPr>
                        <w:jc w:val="center"/>
                        <w:rPr>
                          <w:rFonts w:hint="eastAsia" w:eastAsia="宋体"/>
                          <w:lang w:val="en-US" w:eastAsia="zh-CN"/>
                        </w:rPr>
                      </w:pPr>
                      <w:r>
                        <w:rPr>
                          <w:rFonts w:hint="eastAsia"/>
                          <w:lang w:val="en-US" w:eastAsia="zh-CN"/>
                        </w:rPr>
                        <w:t>档案库</w:t>
                      </w:r>
                    </w:p>
                  </w:txbxContent>
                </v:textbox>
              </v:shape>
            </w:pict>
          </mc:Fallback>
        </mc:AlternateContent>
      </w:r>
      <w:r>
        <w:rPr>
          <w:rFonts w:hint="eastAsia" w:ascii="宋体" w:hAnsi="宋体" w:eastAsia="宋体" w:cs="宋体"/>
          <w:color w:val="auto"/>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1533525</wp:posOffset>
                </wp:positionH>
                <wp:positionV relativeFrom="paragraph">
                  <wp:posOffset>32385</wp:posOffset>
                </wp:positionV>
                <wp:extent cx="756920" cy="306705"/>
                <wp:effectExtent l="12700" t="12700" r="17780" b="23495"/>
                <wp:wrapNone/>
                <wp:docPr id="13" name="流程图: 过程 13"/>
                <wp:cNvGraphicFramePr/>
                <a:graphic xmlns:a="http://schemas.openxmlformats.org/drawingml/2006/main">
                  <a:graphicData uri="http://schemas.microsoft.com/office/word/2010/wordprocessingShape">
                    <wps:wsp>
                      <wps:cNvSpPr/>
                      <wps:spPr>
                        <a:xfrm>
                          <a:off x="2698115" y="2492375"/>
                          <a:ext cx="756920" cy="30670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9FAE6D">
                            <w:pPr>
                              <w:jc w:val="center"/>
                              <w:rPr>
                                <w:rFonts w:hint="eastAsia" w:eastAsia="宋体"/>
                                <w:lang w:val="en-US" w:eastAsia="zh-CN"/>
                              </w:rPr>
                            </w:pPr>
                            <w:r>
                              <w:rPr>
                                <w:rFonts w:hint="eastAsia"/>
                                <w:lang w:val="en-US" w:eastAsia="zh-CN"/>
                              </w:rPr>
                              <w:t>预归档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20.75pt;margin-top:2.55pt;height:24.15pt;width:59.6pt;z-index:251665408;v-text-anchor:middle;mso-width-relative:page;mso-height-relative:page;" fillcolor="#4F81BD [3204]" filled="t" stroked="t" coordsize="21600,21600" o:gfxdata="UEsDBAoAAAAAAIdO4kAAAAAAAAAAAAAAAAAEAAAAZHJzL1BLAwQUAAAACACHTuJA57hJD9YAAAAI&#10;AQAADwAAAGRycy9kb3ducmV2LnhtbE2PzU7DMBCE70i8g7VI3Kid9AcU4vSAVG4g0XLh5sZLEhqv&#10;g+0k5e1ZTvQ4mtHMN+X27HoxYYidJw3ZQoFAqr3tqNHwftjdPYCIyZA1vSfU8IMRttX1VWkK62d6&#10;w2mfGsElFAujoU1pKKSMdYvOxIUfkNj79MGZxDI00gYzc7nrZa7URjrTES+0ZsCnFuvTfnQaplCn&#10;b0XuI49fry+nw25+HkOj9e1Nph5BJDyn/zD84TM6VMx09CPZKHoN+Spbc1TDOgPB/nKj7kEcWS9X&#10;IKtSXh6ofgFQSwMEFAAAAAgAh07iQCrTtiujAgAALQUAAA4AAABkcnMvZTJvRG9jLnhtbK1US27b&#10;MBDdF+gdCO4bSbblHyIHrg0XBYLGQFp0TVOUJYC/krTldNdVFzlCL9ALdNuepp9jdEgqiZN0kUW9&#10;oGc0wzczb2Z4enYQHO2ZsY2SBc5OUoyYpKps5LbA796uXowxso7IknAlWYGvmMVns+fPTls9ZT1V&#10;K14ygwBE2mmrC1w7p6dJYmnNBLEnSjMJxkoZQRyoZpuUhrSALnjSS9Nh0ipTaqMosxa+LqMRd4jm&#10;KYCqqhrKloruBJMuohrGiYOSbN1oi2ch26pi1F1UlWUO8QJDpS6cEATkjT+T2SmZbg3RdUO7FMhT&#10;UnhQkyCNhKC3UEviCNqZ5hGUaKhRVlXuhCqRxEICI1BFlj7g5rImmoVagGqrb0m3/w+WvtmvDWpK&#10;mIQ+RpII6Pivb59+f73++eX7FP358RlEBDYgqtV2Cv6Xem06zYLoqz5URvh/qAcdCtwbTsZZlmN0&#10;BfJg0uuP8kg0OzhEwWGUDyc9aAEFh346HKXBntwBaWPdK6YE8kKBK67aRU2MW8e5CVST/bl1kAhc&#10;u3H3OVjFm3LVcB4Us90suEF7Av0frMbZy6XPBK7cc+MStZBqPkh9UgSmuoJpAlFoYMbKLUaEb2Fd&#10;qDMh9r3b9jhIf5wvx/PoVJOSxdB5Cr+byNH9cRa+iiWxdbwSQnRXuARvT38k3EvusDl0Xdio8gqa&#10;aFScbqvpqgGoc2LdmhgYZygKFt5dwOGZLLDqJIxqZT7+67v3hykDK0YtrAew8GFHDMOIv5Ywf5Ns&#10;MABYF5RBPvLdNMeWzbFF7sRCQQcyeFo0DaL3d/xGrIwS7+FdmPuoYCKSQuzId6csXFxbeFkom8+D&#10;G+yQJu5cXmrqwX3HpZrvnKqaMBmeqMhOxx9sUeC923i/psd68Lp75W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Oe4SQ/WAAAACAEAAA8AAAAAAAAAAQAgAAAAIgAAAGRycy9kb3ducmV2LnhtbFBL&#10;AQIUABQAAAAIAIdO4kAq07YrowIAAC0FAAAOAAAAAAAAAAEAIAAAACUBAABkcnMvZTJvRG9jLnht&#10;bFBLBQYAAAAABgAGAFkBAAA6BgAAAAA=&#10;">
                <v:fill on="t" focussize="0,0"/>
                <v:stroke weight="2pt" color="#385D8A [3204]" joinstyle="round"/>
                <v:imagedata o:title=""/>
                <o:lock v:ext="edit" aspectratio="f"/>
                <v:textbox>
                  <w:txbxContent>
                    <w:p w14:paraId="139FAE6D">
                      <w:pPr>
                        <w:jc w:val="center"/>
                        <w:rPr>
                          <w:rFonts w:hint="eastAsia" w:eastAsia="宋体"/>
                          <w:lang w:val="en-US" w:eastAsia="zh-CN"/>
                        </w:rPr>
                      </w:pPr>
                      <w:r>
                        <w:rPr>
                          <w:rFonts w:hint="eastAsia"/>
                          <w:lang w:val="en-US" w:eastAsia="zh-CN"/>
                        </w:rPr>
                        <w:t>预归档</w:t>
                      </w:r>
                    </w:p>
                  </w:txbxContent>
                </v:textbox>
              </v:shape>
            </w:pict>
          </mc:Fallback>
        </mc:AlternateContent>
      </w:r>
      <w:r>
        <w:rPr>
          <w:rFonts w:hint="eastAsia" w:ascii="宋体" w:hAnsi="宋体" w:eastAsia="宋体" w:cs="宋体"/>
          <w:color w:val="auto"/>
          <w:sz w:val="21"/>
          <w:szCs w:val="21"/>
          <w:highlight w:val="none"/>
        </w:rPr>
        <mc:AlternateContent>
          <mc:Choice Requires="wps">
            <w:drawing>
              <wp:anchor distT="0" distB="0" distL="114300" distR="114300" simplePos="0" relativeHeight="251664384" behindDoc="0" locked="0" layoutInCell="1" allowOverlap="1">
                <wp:simplePos x="0" y="0"/>
                <wp:positionH relativeFrom="column">
                  <wp:posOffset>258445</wp:posOffset>
                </wp:positionH>
                <wp:positionV relativeFrom="paragraph">
                  <wp:posOffset>43180</wp:posOffset>
                </wp:positionV>
                <wp:extent cx="868045" cy="301625"/>
                <wp:effectExtent l="12700" t="12700" r="20955" b="15875"/>
                <wp:wrapNone/>
                <wp:docPr id="14" name="流程图: 过程 14"/>
                <wp:cNvGraphicFramePr/>
                <a:graphic xmlns:a="http://schemas.openxmlformats.org/drawingml/2006/main">
                  <a:graphicData uri="http://schemas.microsoft.com/office/word/2010/wordprocessingShape">
                    <wps:wsp>
                      <wps:cNvSpPr/>
                      <wps:spPr>
                        <a:xfrm>
                          <a:off x="1401445" y="2476500"/>
                          <a:ext cx="868045" cy="3016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48F6CA">
                            <w:pPr>
                              <w:jc w:val="center"/>
                              <w:rPr>
                                <w:rFonts w:hint="default" w:eastAsia="宋体"/>
                                <w:lang w:val="en-US" w:eastAsia="zh-CN"/>
                              </w:rPr>
                            </w:pPr>
                            <w:r>
                              <w:rPr>
                                <w:rFonts w:hint="eastAsia"/>
                                <w:lang w:val="en-US" w:eastAsia="zh-CN"/>
                              </w:rPr>
                              <w:t>公文、合同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0.35pt;margin-top:3.4pt;height:23.75pt;width:68.35pt;z-index:251664384;v-text-anchor:middle;mso-width-relative:page;mso-height-relative:page;" fillcolor="#4F81BD [3204]" filled="t" stroked="t" coordsize="21600,21600" o:gfxdata="UEsDBAoAAAAAAIdO4kAAAAAAAAAAAAAAAAAEAAAAZHJzL1BLAwQUAAAACACHTuJAdHpC3NQAAAAH&#10;AQAADwAAAGRycy9kb3ducmV2LnhtbE2PMU/DMBSEdyT+g/WQ2KjdEhoU8tIBqWwg0bKwufEjCY2f&#10;g+0k5d/jTnQ83enuu3Jzsr2YyIfOMcJyoUAQ18503CB87Ld3jyBC1Gx075gQfinAprq+KnVh3Mzv&#10;NO1iI1IJh0IjtDEOhZShbsnqsHADcfK+nLc6JukbabyeU7nt5UqptbS647TQ6oGeW6qPu9EiTL6O&#10;P4rt5yp8v70e99v5ZfQN4u3NUj2BiHSK/2E44yd0qBLTwY1sgugRMpWnJMI6HTjbeZ6BOCA8ZPcg&#10;q1Je8ld/UEsDBBQAAAAIAIdO4kBOazTlngIAAC0FAAAOAAAAZHJzL2Uyb0RvYy54bWytVM1uEzEQ&#10;viPxDpbvZDfpJg1RN1VIFIRU0UgFcXa83qwl/2E72YQbJw59BF6AF+AKT8PPYzC2t21aOPTAxTuz&#10;M/5m5psZn53vpUA7Zh3XqsT9Xo4RU1RXXG1K/PbN8tkYI+eJqojQipX4wBw+nz59ctaaCRvoRouK&#10;WQQgyk1aU+LGezPJMkcbJonracMUGGttJfGg2k1WWdICuhTZIM9HWattZaymzDn4u0hG3CHaxwDq&#10;uuaULTTdSqZ8QrVMEA8luYYbh6cx27pm1F/WtWMeiRJDpT6eEATkdTiz6RmZbCwxDaddCuQxKTyo&#10;SRKuIOgt1IJ4graW/wUlObXa6dr3qJZZKiQyAlX08wfcXDXEsFgLUO3MLenu/8HS17uVRbyCSSgw&#10;UkRCx39+/fjry/WPz98m6Pf3TyAisAFRrXET8L8yK9tpDsRQ9b62MnyhHrQPUHm/KIYYHUo8KE5H&#10;w7wjmu09ouAwHo3zYKfgcJL3R4NhwM/ugIx1/iXTEgWhxLXQ7bwh1q/S3ESqye7C+XTtxj3k4LTg&#10;1ZILERW7Wc+FRTsC/S+W4/6LRRfpnptQqIVUhwUkiiiBqa5hmkCUBphxaoMRERtYF+ptjH3vtjsO&#10;cjIeLsaz5NSQiqXQwEDiAGrs3GO993BCFQvimnQlmrpkhQLvQH8iPEh+v953XVjr6gBNtDpNtzN0&#10;yQHqgji/IhbGGYqChfeXcAQmS6w7CaNG2w//+h/8YcrAilEL6wEsvN8SyzASrxTM33NocNinqBTD&#10;0wEo9tiyPraorZxr6EAfnhZDoxj8vbgRa6vlO3gXZiEqmIiiEDvx3Slzn9YWXhbKZrPoBjtkiL9Q&#10;V4YG8NBxpWdbr2seJyMQldjp+IMtirx3Gx/W9FiPXnev3PQ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dHpC3NQAAAAHAQAADwAAAAAAAAABACAAAAAiAAAAZHJzL2Rvd25yZXYueG1sUEsBAhQAFAAA&#10;AAgAh07iQE5rNOWeAgAALQUAAA4AAAAAAAAAAQAgAAAAIwEAAGRycy9lMm9Eb2MueG1sUEsFBgAA&#10;AAAGAAYAWQEAADMGAAAAAA==&#10;">
                <v:fill on="t" focussize="0,0"/>
                <v:stroke weight="2pt" color="#385D8A [3204]" joinstyle="round"/>
                <v:imagedata o:title=""/>
                <o:lock v:ext="edit" aspectratio="f"/>
                <v:textbox>
                  <w:txbxContent>
                    <w:p w14:paraId="6D48F6CA">
                      <w:pPr>
                        <w:jc w:val="center"/>
                        <w:rPr>
                          <w:rFonts w:hint="default" w:eastAsia="宋体"/>
                          <w:lang w:val="en-US" w:eastAsia="zh-CN"/>
                        </w:rPr>
                      </w:pPr>
                      <w:r>
                        <w:rPr>
                          <w:rFonts w:hint="eastAsia"/>
                          <w:lang w:val="en-US" w:eastAsia="zh-CN"/>
                        </w:rPr>
                        <w:t>公文、合同</w:t>
                      </w:r>
                    </w:p>
                  </w:txbxContent>
                </v:textbox>
              </v:shape>
            </w:pict>
          </mc:Fallback>
        </mc:AlternateContent>
      </w:r>
    </w:p>
    <w:p w14:paraId="353D3362">
      <w:pPr>
        <w:pageBreakBefore w:val="0"/>
        <w:widowControl w:val="0"/>
        <w:kinsoku/>
        <w:wordWrap/>
        <w:overflowPunct/>
        <w:topLinePunct w:val="0"/>
        <w:bidi w:val="0"/>
        <w:snapToGrid/>
        <w:ind w:left="0" w:leftChars="0" w:firstLine="420" w:firstLineChars="200"/>
        <w:textAlignment w:val="auto"/>
        <w:rPr>
          <w:rFonts w:hint="eastAsia" w:ascii="宋体" w:hAnsi="宋体" w:eastAsia="宋体" w:cs="宋体"/>
          <w:color w:val="auto"/>
          <w:sz w:val="21"/>
          <w:szCs w:val="21"/>
          <w:highlight w:val="none"/>
          <w:lang w:val="en-US" w:eastAsia="zh-CN"/>
        </w:rPr>
      </w:pPr>
      <w:bookmarkStart w:id="170" w:name="_Toc9645"/>
    </w:p>
    <w:p w14:paraId="5BDC0BCF">
      <w:pPr>
        <w:pageBreakBefore w:val="0"/>
        <w:widowControl w:val="0"/>
        <w:kinsoku/>
        <w:wordWrap/>
        <w:overflowPunct/>
        <w:topLinePunct w:val="0"/>
        <w:bidi w:val="0"/>
        <w:snapToGrid/>
        <w:ind w:left="0" w:leftChars="0" w:firstLine="420" w:firstLineChars="200"/>
        <w:textAlignment w:val="auto"/>
        <w:rPr>
          <w:rFonts w:hint="eastAsia" w:ascii="宋体" w:hAnsi="宋体" w:eastAsia="宋体" w:cs="宋体"/>
          <w:color w:val="auto"/>
          <w:sz w:val="21"/>
          <w:szCs w:val="21"/>
          <w:highlight w:val="none"/>
          <w:lang w:val="en-US" w:eastAsia="zh-CN"/>
        </w:rPr>
      </w:pPr>
    </w:p>
    <w:p w14:paraId="1187C832">
      <w:pPr>
        <w:pageBreakBefore w:val="0"/>
        <w:widowControl w:val="0"/>
        <w:kinsoku/>
        <w:wordWrap/>
        <w:overflowPunct/>
        <w:topLinePunct w:val="0"/>
        <w:bidi w:val="0"/>
        <w:snapToGrid/>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（档案系统的功能配置除目前具备但还不够完善的档案接收、档案整理、档案保存、档案利用等功能外还应有档案处置、档案统计、系统管理等功能，且目前功能分区不够清晰，具体功能要求应符合GB/T 39784-2021《电子档案管理系统通用功能要求》。）</w:t>
      </w:r>
    </w:p>
    <w:p w14:paraId="2EE2ABAC">
      <w:pPr>
        <w:pStyle w:val="4"/>
        <w:pageBreakBefore w:val="0"/>
        <w:widowControl w:val="0"/>
        <w:numPr>
          <w:ilvl w:val="0"/>
          <w:numId w:val="0"/>
        </w:numPr>
        <w:kinsoku/>
        <w:wordWrap/>
        <w:overflowPunct/>
        <w:topLinePunct w:val="0"/>
        <w:bidi w:val="0"/>
        <w:snapToGrid/>
        <w:spacing w:before="0" w:after="0"/>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功能性需求</w:t>
      </w:r>
      <w:bookmarkEnd w:id="170"/>
      <w:r>
        <w:rPr>
          <w:rFonts w:hint="eastAsia" w:ascii="宋体" w:hAnsi="宋体" w:eastAsia="宋体" w:cs="宋体"/>
          <w:color w:val="auto"/>
          <w:sz w:val="21"/>
          <w:szCs w:val="21"/>
          <w:highlight w:val="none"/>
          <w:lang w:val="en-US" w:eastAsia="zh-CN"/>
        </w:rPr>
        <w:t>改造</w:t>
      </w:r>
    </w:p>
    <w:p w14:paraId="600A51A8">
      <w:pPr>
        <w:pStyle w:val="121"/>
        <w:pageBreakBefore w:val="0"/>
        <w:widowControl w:val="0"/>
        <w:numPr>
          <w:ilvl w:val="0"/>
          <w:numId w:val="0"/>
        </w:numPr>
        <w:kinsoku/>
        <w:wordWrap/>
        <w:overflowPunct/>
        <w:topLinePunct w:val="0"/>
        <w:autoSpaceDE w:val="0"/>
        <w:autoSpaceDN w:val="0"/>
        <w:bidi w:val="0"/>
        <w:adjustRightInd w:val="0"/>
        <w:snapToGrid/>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1.公文、合同已完结的文件点击归档，流转到档案管理的预归档库。</w:t>
      </w:r>
    </w:p>
    <w:p w14:paraId="0C0C7AE5">
      <w:pPr>
        <w:pStyle w:val="121"/>
        <w:pageBreakBefore w:val="0"/>
        <w:widowControl w:val="0"/>
        <w:numPr>
          <w:ilvl w:val="0"/>
          <w:numId w:val="0"/>
        </w:numPr>
        <w:kinsoku/>
        <w:wordWrap/>
        <w:overflowPunct/>
        <w:topLinePunct w:val="0"/>
        <w:autoSpaceDE w:val="0"/>
        <w:autoSpaceDN w:val="0"/>
        <w:bidi w:val="0"/>
        <w:adjustRightInd w:val="0"/>
        <w:snapToGrid/>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5273040" cy="1979295"/>
            <wp:effectExtent l="0" t="0" r="10160" b="1905"/>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5"/>
                    <a:stretch>
                      <a:fillRect/>
                    </a:stretch>
                  </pic:blipFill>
                  <pic:spPr>
                    <a:xfrm>
                      <a:off x="0" y="0"/>
                      <a:ext cx="5273040" cy="1979295"/>
                    </a:xfrm>
                    <a:prstGeom prst="rect">
                      <a:avLst/>
                    </a:prstGeom>
                    <a:noFill/>
                    <a:ln>
                      <a:noFill/>
                    </a:ln>
                  </pic:spPr>
                </pic:pic>
              </a:graphicData>
            </a:graphic>
          </wp:inline>
        </w:drawing>
      </w:r>
    </w:p>
    <w:p w14:paraId="7AADB340">
      <w:pPr>
        <w:pStyle w:val="121"/>
        <w:pageBreakBefore w:val="0"/>
        <w:widowControl w:val="0"/>
        <w:numPr>
          <w:ilvl w:val="0"/>
          <w:numId w:val="0"/>
        </w:numPr>
        <w:kinsoku/>
        <w:wordWrap/>
        <w:overflowPunct/>
        <w:topLinePunct w:val="0"/>
        <w:autoSpaceDE w:val="0"/>
        <w:autoSpaceDN w:val="0"/>
        <w:bidi w:val="0"/>
        <w:adjustRightInd w:val="0"/>
        <w:snapToGrid/>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（公文、合同归档界面）</w:t>
      </w:r>
    </w:p>
    <w:p w14:paraId="3BC4383F">
      <w:pPr>
        <w:pStyle w:val="121"/>
        <w:pageBreakBefore w:val="0"/>
        <w:widowControl w:val="0"/>
        <w:numPr>
          <w:ilvl w:val="0"/>
          <w:numId w:val="0"/>
        </w:numPr>
        <w:kinsoku/>
        <w:wordWrap/>
        <w:overflowPunct/>
        <w:topLinePunct w:val="0"/>
        <w:autoSpaceDE w:val="0"/>
        <w:autoSpaceDN w:val="0"/>
        <w:bidi w:val="0"/>
        <w:adjustRightInd w:val="0"/>
        <w:snapToGrid/>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5258435" cy="1692275"/>
            <wp:effectExtent l="0" t="0" r="12065" b="9525"/>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16"/>
                    <a:stretch>
                      <a:fillRect/>
                    </a:stretch>
                  </pic:blipFill>
                  <pic:spPr>
                    <a:xfrm>
                      <a:off x="0" y="0"/>
                      <a:ext cx="5258435" cy="1692275"/>
                    </a:xfrm>
                    <a:prstGeom prst="rect">
                      <a:avLst/>
                    </a:prstGeom>
                    <a:noFill/>
                    <a:ln>
                      <a:noFill/>
                    </a:ln>
                  </pic:spPr>
                </pic:pic>
              </a:graphicData>
            </a:graphic>
          </wp:inline>
        </w:drawing>
      </w:r>
    </w:p>
    <w:p w14:paraId="696AEAA5">
      <w:pPr>
        <w:pStyle w:val="121"/>
        <w:pageBreakBefore w:val="0"/>
        <w:widowControl w:val="0"/>
        <w:numPr>
          <w:ilvl w:val="0"/>
          <w:numId w:val="0"/>
        </w:numPr>
        <w:kinsoku/>
        <w:wordWrap/>
        <w:overflowPunct/>
        <w:topLinePunct w:val="0"/>
        <w:autoSpaceDE w:val="0"/>
        <w:autoSpaceDN w:val="0"/>
        <w:bidi w:val="0"/>
        <w:adjustRightInd w:val="0"/>
        <w:snapToGrid/>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（预归档界面）</w:t>
      </w:r>
    </w:p>
    <w:p w14:paraId="010075A6">
      <w:pPr>
        <w:pStyle w:val="121"/>
        <w:pageBreakBefore w:val="0"/>
        <w:widowControl w:val="0"/>
        <w:numPr>
          <w:ilvl w:val="0"/>
          <w:numId w:val="0"/>
        </w:numPr>
        <w:kinsoku/>
        <w:wordWrap/>
        <w:overflowPunct/>
        <w:topLinePunct w:val="0"/>
        <w:autoSpaceDE w:val="0"/>
        <w:autoSpaceDN w:val="0"/>
        <w:bidi w:val="0"/>
        <w:adjustRightInd w:val="0"/>
        <w:snapToGrid/>
        <w:ind w:left="0" w:leftChars="0" w:firstLine="420" w:firstLineChars="200"/>
        <w:textAlignment w:val="auto"/>
        <w:rPr>
          <w:rFonts w:hint="eastAsia" w:ascii="宋体" w:hAnsi="宋体" w:eastAsia="宋体" w:cs="宋体"/>
          <w:color w:val="auto"/>
          <w:sz w:val="21"/>
          <w:szCs w:val="21"/>
          <w:highlight w:val="none"/>
        </w:rPr>
      </w:pPr>
    </w:p>
    <w:p w14:paraId="3C38916F">
      <w:pPr>
        <w:pStyle w:val="121"/>
        <w:pageBreakBefore w:val="0"/>
        <w:widowControl w:val="0"/>
        <w:numPr>
          <w:ilvl w:val="0"/>
          <w:numId w:val="0"/>
        </w:numPr>
        <w:kinsoku/>
        <w:wordWrap/>
        <w:overflowPunct/>
        <w:topLinePunct w:val="0"/>
        <w:autoSpaceDE w:val="0"/>
        <w:autoSpaceDN w:val="0"/>
        <w:bidi w:val="0"/>
        <w:adjustRightInd w:val="0"/>
        <w:snapToGrid/>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档案管理员在预归档库对对应的归档文件进行二次校对（检查正文是否盖章，表签是否完整等内容），如正确，点击确定归档，填写档案对应字段，如需完善，点击取消归档，退回给公文等模块进行修改后再次点击归档。</w:t>
      </w:r>
    </w:p>
    <w:p w14:paraId="2D1466B8">
      <w:pPr>
        <w:pStyle w:val="121"/>
        <w:pageBreakBefore w:val="0"/>
        <w:widowControl w:val="0"/>
        <w:numPr>
          <w:ilvl w:val="0"/>
          <w:numId w:val="0"/>
        </w:numPr>
        <w:kinsoku/>
        <w:wordWrap/>
        <w:overflowPunct/>
        <w:topLinePunct w:val="0"/>
        <w:autoSpaceDE w:val="0"/>
        <w:autoSpaceDN w:val="0"/>
        <w:bidi w:val="0"/>
        <w:adjustRightInd w:val="0"/>
        <w:snapToGrid/>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（文件的归档应由具体经办人点击，当预归档核查发现问题时也应直接退回给具体经办人进行修改确认后再提交归档。）</w:t>
      </w:r>
    </w:p>
    <w:p w14:paraId="6E0B9327">
      <w:pPr>
        <w:pStyle w:val="121"/>
        <w:pageBreakBefore w:val="0"/>
        <w:widowControl w:val="0"/>
        <w:numPr>
          <w:ilvl w:val="0"/>
          <w:numId w:val="0"/>
        </w:numPr>
        <w:kinsoku/>
        <w:wordWrap/>
        <w:overflowPunct/>
        <w:topLinePunct w:val="0"/>
        <w:autoSpaceDE w:val="0"/>
        <w:autoSpaceDN w:val="0"/>
        <w:bidi w:val="0"/>
        <w:adjustRightInd w:val="0"/>
        <w:snapToGrid/>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3.点击确定归档后的字段填写。</w:t>
      </w:r>
    </w:p>
    <w:p w14:paraId="1AE82962">
      <w:pPr>
        <w:pStyle w:val="121"/>
        <w:pageBreakBefore w:val="0"/>
        <w:widowControl w:val="0"/>
        <w:numPr>
          <w:ilvl w:val="0"/>
          <w:numId w:val="0"/>
        </w:numPr>
        <w:kinsoku/>
        <w:wordWrap/>
        <w:overflowPunct/>
        <w:topLinePunct w:val="0"/>
        <w:autoSpaceDE w:val="0"/>
        <w:autoSpaceDN w:val="0"/>
        <w:bidi w:val="0"/>
        <w:adjustRightInd w:val="0"/>
        <w:snapToGrid/>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5267960" cy="1548130"/>
            <wp:effectExtent l="0" t="0" r="2540" b="1270"/>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17"/>
                    <a:stretch>
                      <a:fillRect/>
                    </a:stretch>
                  </pic:blipFill>
                  <pic:spPr>
                    <a:xfrm>
                      <a:off x="0" y="0"/>
                      <a:ext cx="5267960" cy="1548130"/>
                    </a:xfrm>
                    <a:prstGeom prst="rect">
                      <a:avLst/>
                    </a:prstGeom>
                    <a:noFill/>
                    <a:ln>
                      <a:noFill/>
                    </a:ln>
                  </pic:spPr>
                </pic:pic>
              </a:graphicData>
            </a:graphic>
          </wp:inline>
        </w:drawing>
      </w:r>
    </w:p>
    <w:p w14:paraId="330ACE4B">
      <w:pPr>
        <w:pStyle w:val="121"/>
        <w:pageBreakBefore w:val="0"/>
        <w:widowControl w:val="0"/>
        <w:numPr>
          <w:ilvl w:val="0"/>
          <w:numId w:val="0"/>
        </w:numPr>
        <w:kinsoku/>
        <w:wordWrap/>
        <w:overflowPunct/>
        <w:topLinePunct w:val="0"/>
        <w:autoSpaceDE w:val="0"/>
        <w:autoSpaceDN w:val="0"/>
        <w:bidi w:val="0"/>
        <w:adjustRightInd w:val="0"/>
        <w:snapToGrid/>
        <w:ind w:left="0" w:leftChars="0" w:firstLine="3150" w:firstLineChars="15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（档案模块现有的字段）</w:t>
      </w:r>
    </w:p>
    <w:p w14:paraId="4E284FEA">
      <w:pPr>
        <w:pStyle w:val="121"/>
        <w:pageBreakBefore w:val="0"/>
        <w:widowControl w:val="0"/>
        <w:numPr>
          <w:ilvl w:val="0"/>
          <w:numId w:val="0"/>
        </w:numPr>
        <w:kinsoku/>
        <w:wordWrap/>
        <w:overflowPunct/>
        <w:topLinePunct w:val="0"/>
        <w:autoSpaceDE w:val="0"/>
        <w:autoSpaceDN w:val="0"/>
        <w:bidi w:val="0"/>
        <w:adjustRightInd w:val="0"/>
        <w:snapToGrid/>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注：如需增加、更改、删除字段，请根据档案管理要求的字段进行补充更改。</w:t>
      </w:r>
    </w:p>
    <w:p w14:paraId="5DCADBA4">
      <w:pPr>
        <w:pStyle w:val="121"/>
        <w:pageBreakBefore w:val="0"/>
        <w:widowControl w:val="0"/>
        <w:numPr>
          <w:ilvl w:val="0"/>
          <w:numId w:val="0"/>
        </w:numPr>
        <w:kinsoku/>
        <w:wordWrap/>
        <w:overflowPunct/>
        <w:topLinePunct w:val="0"/>
        <w:autoSpaceDE w:val="0"/>
        <w:autoSpaceDN w:val="0"/>
        <w:bidi w:val="0"/>
        <w:adjustRightInd w:val="0"/>
        <w:snapToGrid/>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档案模块现有字段不符合档案相关要求，需根据不同档案类别进行字段的分配，字段需有全总名称、全宗号、档案门类（文书档案、照片档案、录音档案、录像档案、专业档案、科技档案等）、档号（不同档案门类的档号结构不一样，档案门类标识不一样）、文号、保管期限、归档年度、件号、档案题名、责任者、成文时间、密级、页数等，具体要求还需参考DA/T 46-2009《文书类电子文件元数据方案》。）</w:t>
      </w:r>
    </w:p>
    <w:p w14:paraId="06199253">
      <w:pPr>
        <w:pStyle w:val="121"/>
        <w:pageBreakBefore w:val="0"/>
        <w:widowControl w:val="0"/>
        <w:numPr>
          <w:ilvl w:val="0"/>
          <w:numId w:val="0"/>
        </w:numPr>
        <w:kinsoku/>
        <w:wordWrap/>
        <w:overflowPunct/>
        <w:topLinePunct w:val="0"/>
        <w:autoSpaceDE w:val="0"/>
        <w:autoSpaceDN w:val="0"/>
        <w:bidi w:val="0"/>
        <w:adjustRightInd w:val="0"/>
        <w:snapToGrid/>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4.对归档进来的文件进行一键合并并重新编页。</w:t>
      </w:r>
    </w:p>
    <w:bookmarkEnd w:id="169"/>
    <w:p w14:paraId="02C00171">
      <w:pPr>
        <w:pageBreakBefore w:val="0"/>
        <w:widowControl w:val="0"/>
        <w:kinsoku/>
        <w:wordWrap/>
        <w:overflowPunct/>
        <w:topLinePunct w:val="0"/>
        <w:bidi w:val="0"/>
        <w:snapToGrid/>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5262245" cy="2081530"/>
            <wp:effectExtent l="0" t="0" r="8255" b="1270"/>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18"/>
                    <a:stretch>
                      <a:fillRect/>
                    </a:stretch>
                  </pic:blipFill>
                  <pic:spPr>
                    <a:xfrm>
                      <a:off x="0" y="0"/>
                      <a:ext cx="5262245" cy="2081530"/>
                    </a:xfrm>
                    <a:prstGeom prst="rect">
                      <a:avLst/>
                    </a:prstGeom>
                    <a:noFill/>
                    <a:ln>
                      <a:noFill/>
                    </a:ln>
                  </pic:spPr>
                </pic:pic>
              </a:graphicData>
            </a:graphic>
          </wp:inline>
        </w:drawing>
      </w:r>
    </w:p>
    <w:p w14:paraId="2032EE60">
      <w:pPr>
        <w:pStyle w:val="2"/>
        <w:pageBreakBefore w:val="0"/>
        <w:widowControl w:val="0"/>
        <w:numPr>
          <w:ilvl w:val="0"/>
          <w:numId w:val="0"/>
        </w:numPr>
        <w:kinsoku/>
        <w:wordWrap/>
        <w:overflowPunct/>
        <w:topLinePunct w:val="0"/>
        <w:bidi w:val="0"/>
        <w:snapToGrid/>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5.对合并后的文件首页右上角进行签归档章（不同档案类别归档章样式会有不同）。</w:t>
      </w:r>
    </w:p>
    <w:p w14:paraId="47E2C86D">
      <w:pPr>
        <w:pageBreakBefore w:val="0"/>
        <w:widowControl w:val="0"/>
        <w:numPr>
          <w:ilvl w:val="0"/>
          <w:numId w:val="0"/>
        </w:numPr>
        <w:kinsoku/>
        <w:wordWrap/>
        <w:overflowPunct/>
        <w:topLinePunct w:val="0"/>
        <w:bidi w:val="0"/>
        <w:snapToGrid/>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6.历史数据迁移</w:t>
      </w:r>
    </w:p>
    <w:p w14:paraId="547F2313">
      <w:pPr>
        <w:pStyle w:val="2"/>
        <w:pageBreakBefore w:val="0"/>
        <w:widowControl w:val="0"/>
        <w:kinsoku/>
        <w:wordWrap/>
        <w:overflowPunct/>
        <w:topLinePunct w:val="0"/>
        <w:bidi w:val="0"/>
        <w:snapToGrid/>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根据旧版档案管理系统提供的数据进行迁移到现有档案系统。</w:t>
      </w:r>
    </w:p>
    <w:p w14:paraId="2CFB729F">
      <w:pPr>
        <w:pageBreakBefore w:val="0"/>
        <w:widowControl w:val="0"/>
        <w:kinsoku/>
        <w:wordWrap/>
        <w:overflowPunct/>
        <w:topLinePunct w:val="0"/>
        <w:bidi w:val="0"/>
        <w:snapToGrid/>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注：提供数据迁移的源数据</w:t>
      </w:r>
    </w:p>
    <w:p w14:paraId="2856F7AC">
      <w:pPr>
        <w:pageBreakBefore w:val="0"/>
        <w:widowControl w:val="0"/>
        <w:numPr>
          <w:ilvl w:val="0"/>
          <w:numId w:val="0"/>
        </w:numPr>
        <w:kinsoku/>
        <w:wordWrap/>
        <w:overflowPunct/>
        <w:topLinePunct w:val="0"/>
        <w:bidi w:val="0"/>
        <w:snapToGrid/>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7.数据导出</w:t>
      </w:r>
    </w:p>
    <w:p w14:paraId="392EA540">
      <w:pPr>
        <w:pStyle w:val="2"/>
        <w:pageBreakBefore w:val="0"/>
        <w:widowControl w:val="0"/>
        <w:kinsoku/>
        <w:wordWrap/>
        <w:overflowPunct/>
        <w:topLinePunct w:val="0"/>
        <w:bidi w:val="0"/>
        <w:snapToGrid/>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根据档案馆的数据要求，在新版档案系统导出对应的数据进行打包提供给档案馆。注：提供档案馆交接的数据类型。</w:t>
      </w:r>
    </w:p>
    <w:p w14:paraId="63DA9B5C">
      <w:pPr>
        <w:pageBreakBefore w:val="0"/>
        <w:widowControl w:val="0"/>
        <w:numPr>
          <w:ilvl w:val="0"/>
          <w:numId w:val="0"/>
        </w:numPr>
        <w:kinsoku/>
        <w:wordWrap/>
        <w:overflowPunct/>
        <w:topLinePunct w:val="0"/>
        <w:bidi w:val="0"/>
        <w:snapToGrid/>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8.档案归档流程的审批。</w:t>
      </w:r>
    </w:p>
    <w:p w14:paraId="6FC588ED">
      <w:pPr>
        <w:pStyle w:val="2"/>
        <w:pageBreakBefore w:val="0"/>
        <w:widowControl w:val="0"/>
        <w:numPr>
          <w:ilvl w:val="0"/>
          <w:numId w:val="0"/>
        </w:numPr>
        <w:kinsoku/>
        <w:wordWrap/>
        <w:overflowPunct/>
        <w:topLinePunct w:val="0"/>
        <w:bidi w:val="0"/>
        <w:snapToGrid/>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9.档案利用的方式及流程审批。</w:t>
      </w:r>
    </w:p>
    <w:p w14:paraId="6F0736BB">
      <w:pPr>
        <w:pageBreakBefore w:val="0"/>
        <w:widowControl w:val="0"/>
        <w:kinsoku/>
        <w:wordWrap/>
        <w:overflowPunct/>
        <w:topLinePunct w:val="0"/>
        <w:bidi w:val="0"/>
        <w:snapToGrid/>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问题：以上所提到的功能性需求改造只是基于目前OA系统内已有功能，但系统内仍存在功能板块不齐全或不清晰的情况需解决，各功能板块下还有具体的功能需求，故建议先结合《电子档案管理系统通用功能要求》（GB/T 39784-2021）做好系统功能整体设计，再对各模块进行建设。</w:t>
      </w:r>
    </w:p>
    <w:p w14:paraId="6BF4A392">
      <w:pPr>
        <w:rPr>
          <w:rFonts w:hint="eastAsia" w:ascii="宋体" w:hAnsi="宋体" w:eastAsia="宋体" w:cs="宋体"/>
          <w:b/>
          <w:bCs/>
          <w:color w:val="auto"/>
          <w:kern w:val="44"/>
          <w:sz w:val="44"/>
          <w:szCs w:val="44"/>
          <w:highlight w:val="none"/>
          <w:lang w:val="en-US" w:eastAsia="zh-CN" w:bidi="ar-SA"/>
        </w:rPr>
      </w:pPr>
    </w:p>
    <w:p w14:paraId="6034DBA3">
      <w:pPr>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br w:type="page"/>
      </w:r>
    </w:p>
    <w:p w14:paraId="1D86FA4F">
      <w:pPr>
        <w:pStyle w:val="16"/>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Ansi="宋体" w:cs="方正小标宋_GBK"/>
          <w:b/>
          <w:color w:val="auto"/>
          <w:sz w:val="44"/>
          <w:szCs w:val="44"/>
          <w:highlight w:val="none"/>
        </w:rPr>
      </w:pPr>
      <w:bookmarkStart w:id="171" w:name="_Toc21317"/>
      <w:r>
        <w:rPr>
          <w:rFonts w:hint="eastAsia" w:ascii="宋体" w:hAnsi="宋体" w:eastAsia="宋体" w:cs="宋体"/>
          <w:b/>
          <w:bCs/>
          <w:color w:val="auto"/>
          <w:kern w:val="44"/>
          <w:sz w:val="44"/>
          <w:szCs w:val="44"/>
          <w:highlight w:val="none"/>
          <w:lang w:val="en-US" w:eastAsia="zh-CN" w:bidi="ar-SA"/>
        </w:rPr>
        <w:t xml:space="preserve">第五章  </w:t>
      </w:r>
      <w:bookmarkEnd w:id="157"/>
      <w:bookmarkEnd w:id="158"/>
      <w:bookmarkEnd w:id="159"/>
      <w:r>
        <w:rPr>
          <w:rFonts w:hint="eastAsia" w:ascii="宋体" w:hAnsi="宋体" w:eastAsia="宋体" w:cs="宋体"/>
          <w:b/>
          <w:bCs/>
          <w:color w:val="auto"/>
          <w:kern w:val="44"/>
          <w:sz w:val="44"/>
          <w:szCs w:val="44"/>
          <w:highlight w:val="none"/>
          <w:lang w:val="en-US" w:eastAsia="zh-CN" w:bidi="ar-SA"/>
        </w:rPr>
        <w:t>合同范本</w:t>
      </w:r>
      <w:bookmarkEnd w:id="171"/>
    </w:p>
    <w:p w14:paraId="7E5361ED">
      <w:pPr>
        <w:jc w:val="center"/>
        <w:rPr>
          <w:rFonts w:hint="eastAsia" w:ascii="仿宋" w:hAnsi="仿宋" w:eastAsia="仿宋" w:cs="仿宋"/>
          <w:color w:val="auto"/>
          <w:szCs w:val="21"/>
          <w:highlight w:val="none"/>
          <w:lang w:val="en-US" w:eastAsia="zh-CN"/>
        </w:rPr>
      </w:pPr>
    </w:p>
    <w:p w14:paraId="311E40FC">
      <w:pPr>
        <w:jc w:val="center"/>
        <w:rPr>
          <w:rFonts w:ascii="宋体" w:hAnsi="宋体" w:cs="宋体"/>
          <w:b/>
          <w:bCs/>
          <w:color w:val="auto"/>
          <w:highlight w:val="none"/>
        </w:rPr>
      </w:pPr>
      <w:r>
        <w:rPr>
          <w:rFonts w:hint="eastAsia" w:ascii="仿宋" w:hAnsi="仿宋" w:eastAsia="仿宋" w:cs="仿宋"/>
          <w:b/>
          <w:bCs/>
          <w:color w:val="auto"/>
          <w:szCs w:val="21"/>
          <w:highlight w:val="none"/>
          <w:lang w:val="en-US" w:eastAsia="zh-CN"/>
        </w:rPr>
        <w:t>详见随竞争性比选文件一同发布的附件合同</w:t>
      </w:r>
    </w:p>
    <w:p w14:paraId="70AFDC09">
      <w:pPr>
        <w:rPr>
          <w:rFonts w:ascii="宋体" w:hAnsi="宋体" w:cs="宋体"/>
          <w:color w:val="auto"/>
          <w:highlight w:val="none"/>
        </w:rPr>
      </w:pPr>
    </w:p>
    <w:p w14:paraId="4CF372C1">
      <w:pPr>
        <w:rPr>
          <w:rFonts w:ascii="宋体" w:hAnsi="宋体" w:cs="宋体"/>
          <w:color w:val="auto"/>
          <w:highlight w:val="none"/>
        </w:rPr>
        <w:sectPr>
          <w:footerReference r:id="rId9" w:type="default"/>
          <w:pgSz w:w="11906" w:h="16838"/>
          <w:pgMar w:top="1440" w:right="1803" w:bottom="1440" w:left="1803" w:header="851" w:footer="992" w:gutter="0"/>
          <w:cols w:space="720" w:num="1"/>
          <w:titlePg/>
          <w:docGrid w:type="lines" w:linePitch="319" w:charSpace="0"/>
        </w:sectPr>
      </w:pPr>
      <w:bookmarkStart w:id="172" w:name="_Toc513633965"/>
    </w:p>
    <w:p w14:paraId="108BBCE2">
      <w:pPr>
        <w:rPr>
          <w:rFonts w:ascii="宋体" w:hAnsi="宋体" w:cs="宋体"/>
          <w:color w:val="auto"/>
          <w:highlight w:val="none"/>
        </w:rPr>
      </w:pPr>
    </w:p>
    <w:p w14:paraId="5BD9F4CE">
      <w:pPr>
        <w:pStyle w:val="3"/>
        <w:spacing w:before="0" w:after="0" w:line="360" w:lineRule="auto"/>
        <w:jc w:val="center"/>
        <w:rPr>
          <w:rFonts w:ascii="宋体" w:hAnsi="宋体" w:cs="宋体"/>
          <w:color w:val="auto"/>
          <w:highlight w:val="none"/>
        </w:rPr>
      </w:pPr>
      <w:bookmarkStart w:id="173" w:name="_Toc32150"/>
      <w:bookmarkStart w:id="174" w:name="_Toc2000413"/>
      <w:bookmarkStart w:id="175" w:name="_Toc514858709"/>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bookmarkEnd w:id="172"/>
      <w:bookmarkEnd w:id="173"/>
      <w:bookmarkEnd w:id="174"/>
      <w:bookmarkEnd w:id="175"/>
    </w:p>
    <w:p w14:paraId="53916058">
      <w:pPr>
        <w:rPr>
          <w:rFonts w:ascii="宋体" w:hAnsi="宋体" w:cs="宋体"/>
          <w:color w:val="auto"/>
          <w:highlight w:val="none"/>
        </w:rPr>
      </w:pPr>
    </w:p>
    <w:p w14:paraId="6E2C1278">
      <w:pPr>
        <w:rPr>
          <w:rFonts w:ascii="宋体" w:hAnsi="宋体" w:cs="宋体"/>
          <w:color w:val="auto"/>
          <w:highlight w:val="none"/>
        </w:rPr>
        <w:sectPr>
          <w:pgSz w:w="11906" w:h="16838"/>
          <w:pgMar w:top="1440" w:right="1803" w:bottom="1440" w:left="1803" w:header="851" w:footer="992" w:gutter="0"/>
          <w:cols w:space="720" w:num="1"/>
          <w:titlePg/>
          <w:docGrid w:type="lines" w:linePitch="319" w:charSpace="0"/>
        </w:sectPr>
      </w:pPr>
    </w:p>
    <w:p w14:paraId="65EF4E59">
      <w:pPr>
        <w:rPr>
          <w:rFonts w:ascii="宋体" w:hAnsi="宋体" w:cs="宋体"/>
          <w:color w:val="auto"/>
          <w:highlight w:val="none"/>
        </w:rPr>
      </w:pPr>
    </w:p>
    <w:p w14:paraId="289D8CEB">
      <w:pPr>
        <w:jc w:val="center"/>
        <w:rPr>
          <w:rFonts w:ascii="宋体" w:hAnsi="宋体" w:cs="宋体"/>
          <w:color w:val="auto"/>
          <w:sz w:val="52"/>
          <w:szCs w:val="52"/>
          <w:highlight w:val="none"/>
          <w:u w:val="single"/>
        </w:rPr>
      </w:pPr>
      <w:bookmarkStart w:id="176" w:name="_Toc503951046"/>
      <w:bookmarkStart w:id="177" w:name="_Toc514858710"/>
      <w:bookmarkStart w:id="178" w:name="_Toc513646738"/>
      <w:bookmarkStart w:id="179" w:name="_Toc513633967"/>
      <w:bookmarkStart w:id="180" w:name="_Toc503971829"/>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176"/>
      <w:bookmarkEnd w:id="177"/>
      <w:bookmarkEnd w:id="178"/>
      <w:bookmarkEnd w:id="179"/>
      <w:bookmarkEnd w:id="180"/>
      <w:r>
        <w:rPr>
          <w:rFonts w:hint="eastAsia" w:ascii="宋体" w:hAnsi="宋体" w:cs="宋体"/>
          <w:color w:val="auto"/>
          <w:sz w:val="52"/>
          <w:szCs w:val="52"/>
          <w:highlight w:val="none"/>
          <w:u w:val="single"/>
        </w:rPr>
        <w:t xml:space="preserve"> </w:t>
      </w:r>
    </w:p>
    <w:p w14:paraId="3F33CC04">
      <w:pPr>
        <w:rPr>
          <w:rFonts w:ascii="宋体" w:hAnsi="宋体" w:cs="宋体"/>
          <w:color w:val="auto"/>
          <w:sz w:val="20"/>
          <w:szCs w:val="20"/>
          <w:highlight w:val="none"/>
        </w:rPr>
      </w:pPr>
    </w:p>
    <w:p w14:paraId="41269B95">
      <w:pPr>
        <w:jc w:val="center"/>
        <w:rPr>
          <w:rFonts w:ascii="宋体" w:hAnsi="宋体" w:cs="宋体"/>
          <w:color w:val="auto"/>
          <w:sz w:val="44"/>
          <w:szCs w:val="44"/>
          <w:highlight w:val="none"/>
        </w:rPr>
      </w:pPr>
      <w:r>
        <w:rPr>
          <w:rFonts w:hint="eastAsia" w:ascii="宋体" w:hAnsi="宋体" w:cs="宋体"/>
          <w:color w:val="auto"/>
          <w:sz w:val="44"/>
          <w:szCs w:val="44"/>
          <w:highlight w:val="none"/>
        </w:rPr>
        <w:t xml:space="preserve"> </w:t>
      </w:r>
    </w:p>
    <w:p w14:paraId="012B6CB6">
      <w:pPr>
        <w:rPr>
          <w:rFonts w:ascii="宋体" w:hAnsi="宋体" w:cs="宋体"/>
          <w:color w:val="auto"/>
          <w:sz w:val="28"/>
          <w:szCs w:val="28"/>
          <w:highlight w:val="none"/>
        </w:rPr>
      </w:pPr>
    </w:p>
    <w:p w14:paraId="79F643D3">
      <w:pPr>
        <w:rPr>
          <w:rFonts w:ascii="宋体" w:hAnsi="宋体" w:cs="宋体"/>
          <w:color w:val="auto"/>
          <w:sz w:val="28"/>
          <w:szCs w:val="28"/>
          <w:highlight w:val="none"/>
        </w:rPr>
      </w:pPr>
    </w:p>
    <w:p w14:paraId="77950151">
      <w:pPr>
        <w:rPr>
          <w:rFonts w:ascii="宋体" w:hAnsi="宋体" w:cs="宋体"/>
          <w:color w:val="auto"/>
          <w:sz w:val="28"/>
          <w:szCs w:val="28"/>
          <w:highlight w:val="none"/>
        </w:rPr>
      </w:pPr>
    </w:p>
    <w:p w14:paraId="2A607BFC">
      <w:pPr>
        <w:jc w:val="center"/>
        <w:rPr>
          <w:rFonts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14:paraId="52813A41">
      <w:pPr>
        <w:jc w:val="center"/>
        <w:rPr>
          <w:rFonts w:ascii="宋体" w:hAnsi="宋体" w:cs="宋体"/>
          <w:b/>
          <w:color w:val="auto"/>
          <w:sz w:val="32"/>
          <w:szCs w:val="32"/>
          <w:highlight w:val="none"/>
        </w:rPr>
      </w:pPr>
    </w:p>
    <w:p w14:paraId="42A4A2EF">
      <w:pPr>
        <w:rPr>
          <w:rFonts w:ascii="宋体" w:hAnsi="宋体" w:cs="宋体"/>
          <w:color w:val="auto"/>
          <w:sz w:val="28"/>
          <w:szCs w:val="28"/>
          <w:highlight w:val="none"/>
        </w:rPr>
      </w:pPr>
    </w:p>
    <w:p w14:paraId="410B8410">
      <w:pPr>
        <w:rPr>
          <w:rFonts w:ascii="宋体" w:hAnsi="宋体" w:cs="宋体"/>
          <w:color w:val="auto"/>
          <w:sz w:val="28"/>
          <w:szCs w:val="28"/>
          <w:highlight w:val="none"/>
        </w:rPr>
      </w:pPr>
    </w:p>
    <w:p w14:paraId="71D64076">
      <w:pPr>
        <w:rPr>
          <w:rFonts w:ascii="宋体" w:hAnsi="宋体" w:cs="宋体"/>
          <w:color w:val="auto"/>
          <w:sz w:val="28"/>
          <w:szCs w:val="28"/>
          <w:highlight w:val="none"/>
        </w:rPr>
      </w:pPr>
    </w:p>
    <w:p w14:paraId="4373E93A">
      <w:pPr>
        <w:rPr>
          <w:rFonts w:ascii="宋体" w:hAnsi="宋体" w:cs="宋体"/>
          <w:color w:val="auto"/>
          <w:sz w:val="28"/>
          <w:szCs w:val="28"/>
          <w:highlight w:val="none"/>
        </w:rPr>
      </w:pPr>
    </w:p>
    <w:p w14:paraId="50C7215F">
      <w:pPr>
        <w:rPr>
          <w:rFonts w:ascii="宋体" w:hAnsi="宋体" w:cs="宋体"/>
          <w:color w:val="auto"/>
          <w:sz w:val="28"/>
          <w:szCs w:val="28"/>
          <w:highlight w:val="none"/>
        </w:rPr>
      </w:pPr>
    </w:p>
    <w:p w14:paraId="02582869">
      <w:pPr>
        <w:pStyle w:val="28"/>
        <w:rPr>
          <w:color w:val="auto"/>
          <w:highlight w:val="none"/>
        </w:rPr>
      </w:pPr>
    </w:p>
    <w:p w14:paraId="0B12F108">
      <w:pPr>
        <w:rPr>
          <w:color w:val="auto"/>
          <w:highlight w:val="none"/>
        </w:rPr>
      </w:pPr>
    </w:p>
    <w:p w14:paraId="70B56BD0">
      <w:pPr>
        <w:pStyle w:val="28"/>
        <w:rPr>
          <w:color w:val="auto"/>
          <w:highlight w:val="none"/>
        </w:rPr>
      </w:pPr>
    </w:p>
    <w:p w14:paraId="7AF60C53">
      <w:pPr>
        <w:rPr>
          <w:color w:val="auto"/>
          <w:highlight w:val="none"/>
        </w:rPr>
      </w:pPr>
    </w:p>
    <w:p w14:paraId="4C43D44C">
      <w:pPr>
        <w:pStyle w:val="28"/>
        <w:rPr>
          <w:color w:val="auto"/>
          <w:highlight w:val="none"/>
        </w:rPr>
      </w:pPr>
    </w:p>
    <w:p w14:paraId="61344318">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（盖单位公章）</w:t>
      </w:r>
    </w:p>
    <w:p w14:paraId="2CFEE79B">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签名</w:t>
      </w:r>
      <w:r>
        <w:rPr>
          <w:rFonts w:hint="eastAsia" w:ascii="宋体" w:hAnsi="宋体" w:cs="宋体"/>
          <w:color w:val="auto"/>
          <w:sz w:val="28"/>
          <w:szCs w:val="28"/>
          <w:highlight w:val="none"/>
          <w:lang w:val="en-US" w:eastAsia="zh-CN"/>
        </w:rPr>
        <w:t>或盖章</w:t>
      </w:r>
      <w:r>
        <w:rPr>
          <w:rFonts w:hint="eastAsia" w:ascii="宋体" w:hAnsi="宋体" w:cs="宋体"/>
          <w:color w:val="auto"/>
          <w:sz w:val="28"/>
          <w:szCs w:val="28"/>
          <w:highlight w:val="none"/>
        </w:rPr>
        <w:t>）</w:t>
      </w:r>
    </w:p>
    <w:p w14:paraId="4A07F0C3">
      <w:pPr>
        <w:jc w:val="center"/>
        <w:rPr>
          <w:rFonts w:ascii="宋体" w:hAnsi="宋体" w:cs="宋体"/>
          <w:color w:val="auto"/>
          <w:sz w:val="20"/>
          <w:szCs w:val="20"/>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2DAC3F4F">
      <w:pPr>
        <w:spacing w:line="400" w:lineRule="exact"/>
        <w:rPr>
          <w:rFonts w:ascii="宋体" w:hAnsi="宋体" w:cs="宋体"/>
          <w:color w:val="auto"/>
          <w:highlight w:val="none"/>
        </w:rPr>
      </w:pPr>
    </w:p>
    <w:p w14:paraId="440584B4">
      <w:pPr>
        <w:spacing w:line="400" w:lineRule="exact"/>
        <w:rPr>
          <w:rFonts w:ascii="宋体" w:hAnsi="宋体" w:cs="宋体"/>
          <w:color w:val="auto"/>
          <w:highlight w:val="none"/>
        </w:rPr>
      </w:pPr>
    </w:p>
    <w:p w14:paraId="22C0C06A">
      <w:pPr>
        <w:spacing w:line="400" w:lineRule="exact"/>
        <w:rPr>
          <w:rFonts w:ascii="宋体" w:hAnsi="宋体" w:cs="宋体"/>
          <w:color w:val="auto"/>
          <w:highlight w:val="none"/>
        </w:rPr>
      </w:pPr>
    </w:p>
    <w:p w14:paraId="57A25FDF">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ascii="宋体" w:hAnsi="宋体" w:eastAsia="宋体" w:cs="宋体"/>
          <w:color w:val="auto"/>
          <w:sz w:val="32"/>
          <w:szCs w:val="40"/>
          <w:highlight w:val="none"/>
        </w:rPr>
      </w:pPr>
      <w:bookmarkStart w:id="181" w:name="_Toc11329273"/>
      <w:bookmarkStart w:id="182" w:name="_Toc5459"/>
      <w:bookmarkStart w:id="183" w:name="_Toc28780"/>
      <w:bookmarkStart w:id="184" w:name="_Toc1368"/>
      <w:r>
        <w:rPr>
          <w:rFonts w:hint="eastAsia" w:ascii="宋体" w:hAnsi="宋体" w:eastAsia="宋体" w:cs="宋体"/>
          <w:color w:val="auto"/>
          <w:sz w:val="32"/>
          <w:szCs w:val="40"/>
          <w:highlight w:val="none"/>
        </w:rPr>
        <w:t>目    录</w:t>
      </w:r>
      <w:bookmarkEnd w:id="160"/>
      <w:bookmarkEnd w:id="161"/>
      <w:bookmarkEnd w:id="162"/>
      <w:bookmarkEnd w:id="163"/>
      <w:bookmarkEnd w:id="164"/>
      <w:bookmarkEnd w:id="165"/>
      <w:bookmarkEnd w:id="166"/>
      <w:bookmarkEnd w:id="167"/>
      <w:bookmarkEnd w:id="181"/>
      <w:bookmarkEnd w:id="182"/>
      <w:bookmarkEnd w:id="183"/>
      <w:bookmarkEnd w:id="184"/>
    </w:p>
    <w:p w14:paraId="0B44E527">
      <w:pPr>
        <w:numPr>
          <w:ilvl w:val="0"/>
          <w:numId w:val="3"/>
        </w:numPr>
        <w:spacing w:line="400" w:lineRule="exact"/>
        <w:rPr>
          <w:rFonts w:ascii="宋体" w:hAnsi="宋体" w:cs="宋体"/>
          <w:color w:val="auto"/>
          <w:highlight w:val="none"/>
        </w:rPr>
      </w:pPr>
      <w:r>
        <w:rPr>
          <w:rFonts w:hint="eastAsia" w:ascii="宋体" w:hAnsi="宋体" w:cs="宋体"/>
          <w:color w:val="auto"/>
          <w:highlight w:val="none"/>
        </w:rPr>
        <w:t>竞争性响应声明书</w:t>
      </w:r>
    </w:p>
    <w:p w14:paraId="6D17B54C">
      <w:pPr>
        <w:numPr>
          <w:ilvl w:val="0"/>
          <w:numId w:val="3"/>
        </w:numPr>
        <w:spacing w:line="400" w:lineRule="exact"/>
        <w:rPr>
          <w:rFonts w:ascii="宋体" w:hAnsi="宋体" w:cs="宋体"/>
          <w:color w:val="auto"/>
          <w:highlight w:val="none"/>
        </w:rPr>
      </w:pPr>
      <w:r>
        <w:rPr>
          <w:rFonts w:ascii="宋体" w:hAnsi="宋体" w:cs="宋体"/>
          <w:color w:val="auto"/>
          <w:highlight w:val="none"/>
        </w:rPr>
        <w:t>法定代表人身份证明或法定代表人授权委托书</w:t>
      </w:r>
    </w:p>
    <w:p w14:paraId="4193244A">
      <w:pPr>
        <w:spacing w:line="400" w:lineRule="exact"/>
        <w:rPr>
          <w:rFonts w:ascii="宋体" w:hAnsi="宋体" w:cs="宋体"/>
          <w:color w:val="auto"/>
          <w:highlight w:val="none"/>
        </w:rPr>
      </w:pPr>
      <w:r>
        <w:rPr>
          <w:rFonts w:hint="eastAsia" w:ascii="宋体" w:hAnsi="宋体" w:cs="宋体"/>
          <w:color w:val="auto"/>
          <w:highlight w:val="none"/>
        </w:rPr>
        <w:t>三、报价一览表</w:t>
      </w:r>
    </w:p>
    <w:p w14:paraId="44E3F224">
      <w:pPr>
        <w:spacing w:line="400" w:lineRule="exact"/>
        <w:rPr>
          <w:rFonts w:ascii="宋体" w:hAnsi="宋体" w:cs="宋体"/>
          <w:color w:val="auto"/>
          <w:highlight w:val="none"/>
        </w:rPr>
      </w:pPr>
      <w:r>
        <w:rPr>
          <w:rFonts w:hint="eastAsia" w:ascii="宋体" w:hAnsi="宋体" w:cs="宋体"/>
          <w:color w:val="auto"/>
          <w:highlight w:val="none"/>
        </w:rPr>
        <w:t>四、资格审查资料</w:t>
      </w:r>
    </w:p>
    <w:p w14:paraId="76595B1E">
      <w:pPr>
        <w:spacing w:line="400" w:lineRule="exact"/>
        <w:rPr>
          <w:rFonts w:hint="eastAsia" w:ascii="宋体" w:hAnsi="宋体" w:cs="宋体"/>
          <w:color w:val="auto"/>
          <w:szCs w:val="21"/>
          <w:highlight w:val="none"/>
        </w:rPr>
      </w:pPr>
      <w:r>
        <w:rPr>
          <w:rFonts w:hint="eastAsia" w:ascii="宋体" w:hAnsi="宋体" w:cs="宋体"/>
          <w:color w:val="auto"/>
          <w:highlight w:val="none"/>
        </w:rPr>
        <w:t>五、</w:t>
      </w:r>
      <w:r>
        <w:rPr>
          <w:rFonts w:hint="eastAsia" w:ascii="宋体" w:hAnsi="宋体" w:cs="宋体"/>
          <w:color w:val="auto"/>
          <w:szCs w:val="21"/>
          <w:highlight w:val="none"/>
        </w:rPr>
        <w:t>报价人承诺</w:t>
      </w:r>
    </w:p>
    <w:p w14:paraId="77CD1EF3">
      <w:pPr>
        <w:spacing w:line="400" w:lineRule="exact"/>
        <w:rPr>
          <w:rFonts w:ascii="宋体" w:hAnsi="宋体" w:cs="宋体"/>
          <w:color w:val="auto"/>
          <w:szCs w:val="21"/>
          <w:highlight w:val="none"/>
        </w:rPr>
      </w:pPr>
      <w:r>
        <w:rPr>
          <w:rFonts w:hint="eastAsia" w:ascii="宋体" w:hAnsi="宋体" w:cs="宋体"/>
          <w:color w:val="auto"/>
          <w:szCs w:val="21"/>
          <w:highlight w:val="none"/>
        </w:rPr>
        <w:t>六、报价人其他资料</w:t>
      </w:r>
    </w:p>
    <w:p w14:paraId="11DFC95F">
      <w:pPr>
        <w:spacing w:line="400" w:lineRule="exact"/>
        <w:rPr>
          <w:rFonts w:ascii="宋体" w:hAnsi="宋体" w:cs="宋体"/>
          <w:color w:val="auto"/>
          <w:highlight w:val="none"/>
        </w:rPr>
      </w:pPr>
    </w:p>
    <w:p w14:paraId="513CF849">
      <w:pPr>
        <w:spacing w:line="400" w:lineRule="exact"/>
        <w:rPr>
          <w:rFonts w:ascii="宋体" w:hAnsi="宋体" w:cs="宋体"/>
          <w:color w:val="auto"/>
          <w:highlight w:val="none"/>
        </w:rPr>
      </w:pPr>
    </w:p>
    <w:p w14:paraId="2B0DD9E5">
      <w:pPr>
        <w:spacing w:line="400" w:lineRule="exact"/>
        <w:rPr>
          <w:rFonts w:ascii="宋体" w:hAnsi="宋体" w:cs="宋体"/>
          <w:color w:val="auto"/>
          <w:highlight w:val="none"/>
        </w:rPr>
      </w:pPr>
    </w:p>
    <w:p w14:paraId="4D6CE3B5">
      <w:pPr>
        <w:spacing w:line="400" w:lineRule="exact"/>
        <w:rPr>
          <w:rFonts w:ascii="宋体" w:hAnsi="宋体" w:cs="宋体"/>
          <w:color w:val="auto"/>
          <w:highlight w:val="none"/>
        </w:rPr>
      </w:pPr>
    </w:p>
    <w:p w14:paraId="65687576">
      <w:pPr>
        <w:spacing w:line="400" w:lineRule="exact"/>
        <w:rPr>
          <w:rFonts w:ascii="宋体" w:hAnsi="宋体" w:cs="宋体"/>
          <w:color w:val="auto"/>
          <w:highlight w:val="none"/>
        </w:rPr>
      </w:pPr>
    </w:p>
    <w:p w14:paraId="736F207B">
      <w:pPr>
        <w:spacing w:line="400" w:lineRule="exact"/>
        <w:rPr>
          <w:rFonts w:ascii="宋体" w:hAnsi="宋体" w:cs="宋体"/>
          <w:color w:val="auto"/>
          <w:highlight w:val="none"/>
        </w:rPr>
      </w:pPr>
    </w:p>
    <w:p w14:paraId="093E0F1D">
      <w:pPr>
        <w:spacing w:line="400" w:lineRule="exact"/>
        <w:rPr>
          <w:rFonts w:ascii="宋体" w:hAnsi="宋体" w:cs="宋体"/>
          <w:color w:val="auto"/>
          <w:highlight w:val="none"/>
        </w:rPr>
      </w:pPr>
    </w:p>
    <w:p w14:paraId="2CD68BE6">
      <w:pPr>
        <w:spacing w:line="400" w:lineRule="exact"/>
        <w:rPr>
          <w:rFonts w:ascii="宋体" w:hAnsi="宋体" w:cs="宋体"/>
          <w:color w:val="auto"/>
          <w:highlight w:val="none"/>
        </w:rPr>
      </w:pPr>
    </w:p>
    <w:p w14:paraId="3DC1D185">
      <w:pPr>
        <w:spacing w:line="400" w:lineRule="exact"/>
        <w:rPr>
          <w:rFonts w:ascii="宋体" w:hAnsi="宋体" w:cs="宋体"/>
          <w:color w:val="auto"/>
          <w:highlight w:val="none"/>
        </w:rPr>
      </w:pPr>
    </w:p>
    <w:p w14:paraId="4F8FA26C">
      <w:pPr>
        <w:spacing w:line="400" w:lineRule="exact"/>
        <w:rPr>
          <w:rFonts w:ascii="宋体" w:hAnsi="宋体" w:cs="宋体"/>
          <w:color w:val="auto"/>
          <w:highlight w:val="none"/>
        </w:rPr>
      </w:pPr>
    </w:p>
    <w:p w14:paraId="5456F189">
      <w:pPr>
        <w:spacing w:line="400" w:lineRule="exact"/>
        <w:rPr>
          <w:rFonts w:ascii="宋体" w:hAnsi="宋体" w:cs="宋体"/>
          <w:color w:val="auto"/>
          <w:highlight w:val="none"/>
        </w:rPr>
      </w:pPr>
    </w:p>
    <w:p w14:paraId="267CE89E">
      <w:pPr>
        <w:spacing w:line="400" w:lineRule="exact"/>
        <w:rPr>
          <w:rFonts w:ascii="宋体" w:hAnsi="宋体" w:cs="宋体"/>
          <w:color w:val="auto"/>
          <w:highlight w:val="none"/>
        </w:rPr>
      </w:pPr>
    </w:p>
    <w:p w14:paraId="20F4B2B1">
      <w:pPr>
        <w:spacing w:line="400" w:lineRule="exact"/>
        <w:rPr>
          <w:rFonts w:ascii="宋体" w:hAnsi="宋体" w:cs="宋体"/>
          <w:color w:val="auto"/>
          <w:highlight w:val="none"/>
        </w:rPr>
      </w:pPr>
    </w:p>
    <w:p w14:paraId="6677FA1A">
      <w:pPr>
        <w:spacing w:line="400" w:lineRule="exact"/>
        <w:rPr>
          <w:rFonts w:ascii="宋体" w:hAnsi="宋体" w:cs="宋体"/>
          <w:color w:val="auto"/>
          <w:highlight w:val="none"/>
        </w:rPr>
      </w:pPr>
    </w:p>
    <w:p w14:paraId="23C2B46E">
      <w:pPr>
        <w:spacing w:line="400" w:lineRule="exact"/>
        <w:rPr>
          <w:rFonts w:ascii="宋体" w:hAnsi="宋体" w:cs="宋体"/>
          <w:color w:val="auto"/>
          <w:highlight w:val="none"/>
        </w:rPr>
      </w:pPr>
    </w:p>
    <w:p w14:paraId="7F909289">
      <w:pPr>
        <w:spacing w:line="400" w:lineRule="exact"/>
        <w:rPr>
          <w:rFonts w:ascii="宋体" w:hAnsi="宋体" w:cs="宋体"/>
          <w:color w:val="auto"/>
          <w:highlight w:val="none"/>
        </w:rPr>
      </w:pPr>
    </w:p>
    <w:p w14:paraId="685282E9">
      <w:pPr>
        <w:spacing w:line="400" w:lineRule="exact"/>
        <w:rPr>
          <w:rFonts w:ascii="宋体" w:hAnsi="宋体" w:cs="宋体"/>
          <w:color w:val="auto"/>
          <w:highlight w:val="none"/>
        </w:rPr>
      </w:pPr>
    </w:p>
    <w:p w14:paraId="40750946">
      <w:pPr>
        <w:spacing w:line="400" w:lineRule="exact"/>
        <w:rPr>
          <w:rFonts w:ascii="宋体" w:hAnsi="宋体" w:cs="宋体"/>
          <w:color w:val="auto"/>
          <w:highlight w:val="none"/>
        </w:rPr>
      </w:pPr>
    </w:p>
    <w:p w14:paraId="64F19A18">
      <w:pPr>
        <w:spacing w:line="400" w:lineRule="exact"/>
        <w:rPr>
          <w:rFonts w:ascii="宋体" w:hAnsi="宋体" w:cs="宋体"/>
          <w:color w:val="auto"/>
          <w:highlight w:val="none"/>
        </w:rPr>
      </w:pPr>
    </w:p>
    <w:p w14:paraId="23B1787E">
      <w:pPr>
        <w:spacing w:line="400" w:lineRule="exact"/>
        <w:rPr>
          <w:rFonts w:ascii="宋体" w:hAnsi="宋体" w:cs="宋体"/>
          <w:color w:val="auto"/>
          <w:highlight w:val="none"/>
        </w:rPr>
      </w:pPr>
    </w:p>
    <w:p w14:paraId="6A683138">
      <w:pPr>
        <w:spacing w:line="400" w:lineRule="exact"/>
        <w:rPr>
          <w:rFonts w:ascii="宋体" w:hAnsi="宋体" w:cs="宋体"/>
          <w:color w:val="auto"/>
          <w:highlight w:val="none"/>
        </w:rPr>
      </w:pPr>
      <w:r>
        <w:rPr>
          <w:rFonts w:ascii="宋体" w:hAnsi="宋体" w:cs="宋体"/>
          <w:color w:val="auto"/>
          <w:highlight w:val="none"/>
        </w:rPr>
        <w:br w:type="page"/>
      </w:r>
    </w:p>
    <w:p w14:paraId="3A351B11">
      <w:pPr>
        <w:pStyle w:val="4"/>
        <w:numPr>
          <w:ilvl w:val="0"/>
          <w:numId w:val="4"/>
        </w:numPr>
        <w:spacing w:before="0" w:after="0" w:line="360" w:lineRule="auto"/>
        <w:jc w:val="center"/>
        <w:rPr>
          <w:rFonts w:ascii="宋体" w:hAnsi="宋体" w:eastAsia="宋体" w:cs="宋体"/>
          <w:color w:val="auto"/>
          <w:sz w:val="28"/>
          <w:highlight w:val="none"/>
        </w:rPr>
      </w:pPr>
      <w:bookmarkStart w:id="185" w:name="_Toc25874"/>
      <w:bookmarkStart w:id="186" w:name="_Toc15863"/>
      <w:bookmarkStart w:id="187" w:name="_Toc29547"/>
      <w:bookmarkStart w:id="188" w:name="_Toc23096"/>
      <w:bookmarkStart w:id="189" w:name="_Toc447827053"/>
      <w:bookmarkStart w:id="190" w:name="_Toc503951048"/>
      <w:bookmarkStart w:id="191" w:name="_Toc513633969"/>
      <w:r>
        <w:rPr>
          <w:rFonts w:hint="eastAsia" w:ascii="宋体" w:hAnsi="宋体" w:eastAsia="宋体" w:cs="宋体"/>
          <w:color w:val="auto"/>
          <w:sz w:val="28"/>
          <w:highlight w:val="none"/>
        </w:rPr>
        <w:t>竞争比选响应声明书</w:t>
      </w:r>
      <w:bookmarkEnd w:id="185"/>
      <w:bookmarkEnd w:id="186"/>
      <w:bookmarkEnd w:id="187"/>
      <w:bookmarkEnd w:id="188"/>
    </w:p>
    <w:p w14:paraId="225C4055">
      <w:pPr>
        <w:rPr>
          <w:color w:val="auto"/>
          <w:highlight w:val="none"/>
        </w:rPr>
      </w:pPr>
    </w:p>
    <w:p w14:paraId="481CB899">
      <w:pPr>
        <w:tabs>
          <w:tab w:val="left" w:pos="900"/>
        </w:tabs>
        <w:spacing w:line="360" w:lineRule="auto"/>
        <w:rPr>
          <w:rFonts w:ascii="Arial" w:hAnsi="Arial" w:cs="Arial"/>
          <w:b/>
          <w:bCs/>
          <w:color w:val="auto"/>
          <w:sz w:val="24"/>
          <w:highlight w:val="none"/>
          <w:u w:val="single"/>
        </w:rPr>
      </w:pPr>
      <w:r>
        <w:rPr>
          <w:rFonts w:ascii="Arial" w:hAnsi="Arial" w:cs="Arial"/>
          <w:color w:val="auto"/>
          <w:sz w:val="24"/>
          <w:highlight w:val="none"/>
        </w:rPr>
        <w:t xml:space="preserve"> </w:t>
      </w:r>
      <w:r>
        <w:rPr>
          <w:rFonts w:hint="eastAsia" w:ascii="Arial" w:hAnsi="Arial" w:cs="Arial"/>
          <w:b/>
          <w:color w:val="auto"/>
          <w:sz w:val="24"/>
          <w:highlight w:val="none"/>
        </w:rPr>
        <w:t>致：</w:t>
      </w:r>
      <w:r>
        <w:rPr>
          <w:rFonts w:hint="eastAsia" w:ascii="Arial" w:hAnsi="Arial" w:cs="Arial"/>
          <w:b/>
          <w:bCs/>
          <w:color w:val="auto"/>
          <w:sz w:val="24"/>
          <w:highlight w:val="none"/>
          <w:u w:val="single"/>
        </w:rPr>
        <w:t>重庆首讯科技股份有限公司</w:t>
      </w:r>
    </w:p>
    <w:p w14:paraId="10E29682">
      <w:pPr>
        <w:pStyle w:val="42"/>
        <w:rPr>
          <w:color w:val="auto"/>
          <w:highlight w:val="none"/>
        </w:rPr>
      </w:pPr>
    </w:p>
    <w:p w14:paraId="5FB4B34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w:t>
      </w:r>
      <w:r>
        <w:rPr>
          <w:rFonts w:hint="eastAsia" w:ascii="宋体" w:hAnsi="宋体" w:cs="宋体" w:eastAsiaTheme="minorEastAsia"/>
          <w:color w:val="auto"/>
          <w:szCs w:val="21"/>
          <w:highlight w:val="none"/>
          <w:u w:val="single"/>
          <w:lang w:val="en-US" w:eastAsia="zh-CN"/>
        </w:rPr>
        <w:t xml:space="preserve">     （项目名称）</w:t>
      </w:r>
      <w:r>
        <w:rPr>
          <w:rFonts w:hint="eastAsia" w:asciiTheme="minorEastAsia" w:hAnsiTheme="minorEastAsia" w:eastAsiaTheme="minorEastAsia" w:cstheme="minorEastAsia"/>
          <w:color w:val="auto"/>
          <w:szCs w:val="21"/>
          <w:highlight w:val="none"/>
        </w:rPr>
        <w:t>竞争比选项目的竞争比选公告，</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代表</w:t>
      </w:r>
      <w:r>
        <w:rPr>
          <w:rFonts w:hint="eastAsia" w:asciiTheme="minorEastAsia" w:hAnsiTheme="minorEastAsia" w:eastAsiaTheme="minorEastAsia" w:cstheme="minorEastAsia"/>
          <w:color w:val="auto"/>
          <w:szCs w:val="21"/>
          <w:highlight w:val="none"/>
          <w:u w:val="single"/>
        </w:rPr>
        <w:t xml:space="preserve">          （全名、职务）</w:t>
      </w:r>
      <w:r>
        <w:rPr>
          <w:rFonts w:hint="eastAsia" w:asciiTheme="minorEastAsia" w:hAnsiTheme="minorEastAsia" w:eastAsiaTheme="minorEastAsia" w:cstheme="minorEastAsia"/>
          <w:color w:val="auto"/>
          <w:szCs w:val="21"/>
          <w:highlight w:val="none"/>
        </w:rPr>
        <w:t>经正式授权并代表竞争比选响应单位</w:t>
      </w:r>
      <w:r>
        <w:rPr>
          <w:rFonts w:hint="eastAsia" w:asciiTheme="minorEastAsia" w:hAnsiTheme="minorEastAsia" w:eastAsiaTheme="minorEastAsia" w:cstheme="minorEastAsia"/>
          <w:color w:val="auto"/>
          <w:szCs w:val="21"/>
          <w:highlight w:val="none"/>
          <w:u w:val="single"/>
        </w:rPr>
        <w:t xml:space="preserve"> （竞争比选响应单位名称） </w:t>
      </w:r>
      <w:r>
        <w:rPr>
          <w:rFonts w:hint="eastAsia" w:asciiTheme="minorEastAsia" w:hAnsiTheme="minorEastAsia" w:eastAsiaTheme="minorEastAsia" w:cstheme="minorEastAsia"/>
          <w:color w:val="auto"/>
          <w:szCs w:val="21"/>
          <w:highlight w:val="none"/>
        </w:rPr>
        <w:t>提交报价文件。</w:t>
      </w:r>
    </w:p>
    <w:p w14:paraId="324F3BA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我方愿以：人民币：              元（大写              元）的报价总价按照竞争比选文件的要求，承担本次竞争比选文件要求的服务内容。</w:t>
      </w:r>
    </w:p>
    <w:p w14:paraId="24B17095">
      <w:pPr>
        <w:keepNext w:val="0"/>
        <w:keepLines w:val="0"/>
        <w:pageBreakBefore w:val="0"/>
        <w:widowControl w:val="0"/>
        <w:tabs>
          <w:tab w:val="left" w:pos="540"/>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据此函，</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代表宣布同意如下：</w:t>
      </w:r>
    </w:p>
    <w:p w14:paraId="4638CCF6">
      <w:pPr>
        <w:keepNext w:val="0"/>
        <w:keepLines w:val="0"/>
        <w:pageBreakBefore w:val="0"/>
        <w:widowControl w:val="0"/>
        <w:tabs>
          <w:tab w:val="left" w:pos="540"/>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1、竞争比选响应单位将按竞争比选文件规定履行合同责任和义务。</w:t>
      </w:r>
    </w:p>
    <w:p w14:paraId="0C1BC220">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2、竞争比选响应单位已详细审查全部竞争比选文件，包括修改文件（如有的话）以及全部参考资料和相关附件。我们完全理解并同意放弃对这方面有不明及误解的权利。</w:t>
      </w:r>
    </w:p>
    <w:p w14:paraId="1FF3076A">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3、竞争比选响应单位同意提供采购人可能要求的与其竞争比选响应文件有关的一切数据或资料，完全理解采购人不一定要接受最低报价的竞争比选响应或收到的任何报价。</w:t>
      </w:r>
    </w:p>
    <w:p w14:paraId="4970336A">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4、与本竞争比选响应有关的一切正式往来通讯请寄：</w:t>
      </w:r>
    </w:p>
    <w:p w14:paraId="70715567">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邮编：</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b/>
          <w:color w:val="auto"/>
          <w:szCs w:val="21"/>
          <w:highlight w:val="none"/>
        </w:rPr>
        <w:t xml:space="preserve">  </w:t>
      </w:r>
    </w:p>
    <w:p w14:paraId="46E63FD6">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传真：</w:t>
      </w:r>
      <w:r>
        <w:rPr>
          <w:rFonts w:hint="eastAsia" w:asciiTheme="minorEastAsia" w:hAnsiTheme="minorEastAsia" w:eastAsiaTheme="minorEastAsia" w:cstheme="minorEastAsia"/>
          <w:color w:val="auto"/>
          <w:szCs w:val="21"/>
          <w:highlight w:val="none"/>
          <w:u w:val="single"/>
        </w:rPr>
        <w:t xml:space="preserve">            </w:t>
      </w:r>
    </w:p>
    <w:p w14:paraId="0A2BD27B">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竞争比选响应单位法定代表人或授权代表人（</w:t>
      </w:r>
      <w:r>
        <w:rPr>
          <w:rFonts w:hint="eastAsia" w:asciiTheme="minorEastAsia" w:hAnsiTheme="minorEastAsia" w:eastAsiaTheme="minorEastAsia" w:cstheme="minorEastAsia"/>
          <w:color w:val="auto"/>
          <w:szCs w:val="21"/>
          <w:highlight w:val="none"/>
          <w:lang w:eastAsia="zh-CN"/>
        </w:rPr>
        <w:t>签名或盖章</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4E367513">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竞争比选响应单位法定代表人或授权代表人职务：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1A36432E">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竞争比选响应单位名称（加盖公章）：</w:t>
      </w:r>
      <w:r>
        <w:rPr>
          <w:rFonts w:hint="eastAsia" w:asciiTheme="minorEastAsia" w:hAnsiTheme="minorEastAsia" w:eastAsiaTheme="minorEastAsia" w:cstheme="minorEastAsia"/>
          <w:color w:val="auto"/>
          <w:szCs w:val="21"/>
          <w:highlight w:val="none"/>
          <w:u w:val="single"/>
        </w:rPr>
        <w:t xml:space="preserve">                                 </w:t>
      </w:r>
    </w:p>
    <w:p w14:paraId="2EBBF70E">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14:paraId="1AFCFA60">
      <w:pPr>
        <w:pStyle w:val="4"/>
        <w:rPr>
          <w:rFonts w:ascii="宋体" w:hAnsi="宋体" w:eastAsia="宋体" w:cs="宋体"/>
          <w:color w:val="auto"/>
          <w:sz w:val="28"/>
          <w:szCs w:val="28"/>
          <w:highlight w:val="none"/>
        </w:rPr>
      </w:pPr>
      <w:bookmarkStart w:id="192" w:name="_Toc27815"/>
      <w:bookmarkStart w:id="193" w:name="_Toc491883232"/>
    </w:p>
    <w:p w14:paraId="33E69110">
      <w:pPr>
        <w:rPr>
          <w:color w:val="auto"/>
          <w:highlight w:val="none"/>
        </w:rPr>
      </w:pPr>
    </w:p>
    <w:p w14:paraId="5B7A9033">
      <w:pPr>
        <w:pStyle w:val="42"/>
        <w:rPr>
          <w:color w:val="auto"/>
          <w:highlight w:val="none"/>
        </w:rPr>
      </w:pPr>
    </w:p>
    <w:p w14:paraId="3EF6595A">
      <w:pPr>
        <w:pStyle w:val="42"/>
        <w:rPr>
          <w:color w:val="auto"/>
          <w:highlight w:val="none"/>
        </w:rPr>
      </w:pPr>
    </w:p>
    <w:p w14:paraId="62BA4386">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20C9125D">
      <w:pPr>
        <w:pStyle w:val="4"/>
        <w:numPr>
          <w:ilvl w:val="0"/>
          <w:numId w:val="4"/>
        </w:numPr>
        <w:spacing w:before="0" w:after="0" w:line="360" w:lineRule="auto"/>
        <w:jc w:val="center"/>
        <w:rPr>
          <w:rFonts w:hint="eastAsia" w:ascii="宋体" w:hAnsi="宋体" w:eastAsia="宋体" w:cs="宋体"/>
          <w:color w:val="auto"/>
          <w:sz w:val="28"/>
          <w:highlight w:val="none"/>
        </w:rPr>
      </w:pPr>
      <w:bookmarkStart w:id="194" w:name="_Toc13122"/>
      <w:r>
        <w:rPr>
          <w:rFonts w:hint="eastAsia" w:ascii="宋体" w:hAnsi="宋体" w:eastAsia="宋体" w:cs="宋体"/>
          <w:color w:val="auto"/>
          <w:sz w:val="28"/>
          <w:highlight w:val="none"/>
        </w:rPr>
        <w:t>法定代表人身份证明或法定代表人授权委托书</w:t>
      </w:r>
      <w:bookmarkEnd w:id="192"/>
      <w:bookmarkEnd w:id="194"/>
    </w:p>
    <w:bookmarkEnd w:id="193"/>
    <w:p w14:paraId="3E996A31">
      <w:pPr>
        <w:pStyle w:val="4"/>
        <w:spacing w:line="480" w:lineRule="auto"/>
        <w:jc w:val="center"/>
        <w:outlineLvl w:val="2"/>
        <w:rPr>
          <w:rFonts w:ascii="宋体" w:hAnsi="宋体" w:eastAsia="宋体" w:cs="宋体"/>
          <w:color w:val="auto"/>
          <w:sz w:val="24"/>
          <w:szCs w:val="24"/>
          <w:highlight w:val="none"/>
        </w:rPr>
      </w:pPr>
      <w:bookmarkStart w:id="195" w:name="_Toc20985"/>
      <w:bookmarkStart w:id="196" w:name="_Toc14141"/>
      <w:r>
        <w:rPr>
          <w:rFonts w:hint="eastAsia" w:ascii="宋体" w:hAnsi="宋体" w:eastAsia="宋体" w:cs="宋体"/>
          <w:color w:val="auto"/>
          <w:sz w:val="24"/>
          <w:szCs w:val="24"/>
          <w:highlight w:val="none"/>
        </w:rPr>
        <w:t>（一）法定代表人身份证明</w:t>
      </w:r>
      <w:bookmarkEnd w:id="195"/>
      <w:bookmarkEnd w:id="196"/>
    </w:p>
    <w:p w14:paraId="65CE2CB1">
      <w:pPr>
        <w:spacing w:line="480" w:lineRule="auto"/>
        <w:rPr>
          <w:rFonts w:ascii="宋体" w:hAnsi="宋体"/>
          <w:color w:val="auto"/>
          <w:highlight w:val="none"/>
        </w:rPr>
      </w:pPr>
      <w:r>
        <w:rPr>
          <w:rFonts w:hint="eastAsia" w:ascii="宋体" w:hAnsi="宋体"/>
          <w:color w:val="auto"/>
          <w:highlight w:val="none"/>
        </w:rPr>
        <w:t>报价人</w:t>
      </w:r>
      <w:r>
        <w:rPr>
          <w:rFonts w:ascii="宋体" w:hAnsi="宋体"/>
          <w:color w:val="auto"/>
          <w:highlight w:val="none"/>
        </w:rPr>
        <w:t>名称：</w:t>
      </w:r>
      <w:r>
        <w:rPr>
          <w:rFonts w:ascii="宋体" w:hAnsi="宋体"/>
          <w:color w:val="auto"/>
          <w:highlight w:val="none"/>
          <w:u w:val="single"/>
        </w:rPr>
        <w:t xml:space="preserve">                        </w:t>
      </w:r>
    </w:p>
    <w:p w14:paraId="60F6C4A5">
      <w:pPr>
        <w:spacing w:line="480" w:lineRule="auto"/>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197" w:name="_Toc352691662"/>
      <w:bookmarkStart w:id="198" w:name="_Toc369531698"/>
      <w:bookmarkStart w:id="199" w:name="_Toc27897"/>
      <w:r>
        <w:rPr>
          <w:rFonts w:ascii="宋体" w:hAnsi="宋体"/>
          <w:color w:val="auto"/>
          <w:highlight w:val="none"/>
          <w:u w:val="single"/>
        </w:rPr>
        <w:t xml:space="preserve">        </w:t>
      </w:r>
      <w:r>
        <w:rPr>
          <w:rFonts w:ascii="宋体" w:hAnsi="宋体"/>
          <w:color w:val="auto"/>
          <w:highlight w:val="none"/>
        </w:rPr>
        <w:t>年</w:t>
      </w:r>
      <w:bookmarkEnd w:id="197"/>
      <w:bookmarkEnd w:id="198"/>
      <w:bookmarkEnd w:id="199"/>
      <w:r>
        <w:rPr>
          <w:rFonts w:ascii="宋体" w:hAnsi="宋体"/>
          <w:color w:val="auto"/>
          <w:highlight w:val="none"/>
        </w:rPr>
        <w:t>龄</w:t>
      </w:r>
      <w:bookmarkStart w:id="200" w:name="_Toc361508754"/>
      <w:bookmarkStart w:id="201" w:name="_Toc300835211"/>
      <w:bookmarkStart w:id="202" w:name="_Toc144974858"/>
      <w:bookmarkStart w:id="203" w:name="_Toc15573"/>
      <w:bookmarkStart w:id="204" w:name="_Toc247514248"/>
      <w:bookmarkStart w:id="205" w:name="_Toc384308377"/>
      <w:bookmarkStart w:id="206" w:name="_Toc247527829"/>
      <w:bookmarkStart w:id="207" w:name="_Toc152045789"/>
      <w:bookmarkStart w:id="208" w:name="_Toc352691663"/>
      <w:bookmarkStart w:id="209" w:name="_Toc152042578"/>
      <w:bookmarkStart w:id="210" w:name="_Toc369531699"/>
      <w:r>
        <w:rPr>
          <w:rFonts w:ascii="宋体" w:hAnsi="宋体"/>
          <w:color w:val="auto"/>
          <w:highlight w:val="none"/>
        </w:rPr>
        <w:t>：</w:t>
      </w:r>
      <w:bookmarkEnd w:id="200"/>
      <w:bookmarkEnd w:id="201"/>
      <w:bookmarkEnd w:id="202"/>
      <w:bookmarkEnd w:id="203"/>
      <w:bookmarkEnd w:id="204"/>
      <w:bookmarkEnd w:id="205"/>
      <w:bookmarkEnd w:id="206"/>
      <w:bookmarkEnd w:id="207"/>
      <w:bookmarkEnd w:id="208"/>
      <w:bookmarkEnd w:id="209"/>
      <w:bookmarkEnd w:id="210"/>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14:paraId="43E5C9A2">
      <w:pPr>
        <w:spacing w:line="480" w:lineRule="auto"/>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w:t>
      </w:r>
    </w:p>
    <w:p w14:paraId="372ED0B7">
      <w:pPr>
        <w:spacing w:line="480" w:lineRule="auto"/>
        <w:ind w:firstLine="420" w:firstLineChars="200"/>
        <w:rPr>
          <w:rFonts w:ascii="宋体" w:hAnsi="宋体"/>
          <w:color w:val="auto"/>
          <w:highlight w:val="none"/>
        </w:rPr>
      </w:pPr>
      <w:r>
        <w:rPr>
          <w:rFonts w:ascii="宋体" w:hAnsi="宋体"/>
          <w:color w:val="auto"/>
          <w:highlight w:val="none"/>
        </w:rPr>
        <w:t>特此证明。</w:t>
      </w:r>
    </w:p>
    <w:p w14:paraId="677AECF9">
      <w:pPr>
        <w:spacing w:line="480" w:lineRule="auto"/>
        <w:rPr>
          <w:rFonts w:ascii="宋体" w:hAnsi="宋体"/>
          <w:color w:val="auto"/>
          <w:highlight w:val="none"/>
        </w:rPr>
      </w:pPr>
    </w:p>
    <w:p w14:paraId="2B024D3B">
      <w:pPr>
        <w:spacing w:line="480" w:lineRule="auto"/>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-126365</wp:posOffset>
                </wp:positionH>
                <wp:positionV relativeFrom="paragraph">
                  <wp:posOffset>-216535</wp:posOffset>
                </wp:positionV>
                <wp:extent cx="6045835" cy="1850390"/>
                <wp:effectExtent l="4445" t="4445" r="7620" b="12065"/>
                <wp:wrapNone/>
                <wp:docPr id="6"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C427C4">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1BA946E4">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9.95pt;margin-top:-17.05pt;height:145.7pt;width:476.05pt;z-index:251663360;mso-width-relative:page;mso-height-relative:page;" fillcolor="#FFFFFF" filled="t" stroked="t" coordsize="21600,21600" o:gfxdata="UEsDBAoAAAAAAIdO4kAAAAAAAAAAAAAAAAAEAAAAZHJzL1BLAwQUAAAACACHTuJAXXmlmdsAAAAL&#10;AQAADwAAAGRycy9kb3ducmV2LnhtbE2PTU/DMAyG70j8h8hIXNCWfoxtLU13QALBbQwE16zx2orE&#10;KU3WjX+POcHNlh+9ft5qc3ZWTDiG3pOCdJ6AQGq86alV8Pb6MFuDCFGT0dYTKvjGAJv68qLSpfEn&#10;esFpF1vBIRRKraCLcSilDE2HToe5H5D4dvCj05HXsZVm1CcOd1ZmSbKUTvfEHzo94H2Hzefu6BSs&#10;F0/TR3jOt+/N8mCLeLOaHr9Gpa6v0uQORMRz/IPhV5/VoWanvT+SCcIqmKVFwSgP+SIFwUSRZxmI&#10;vYLsdpWDrCv5v0P9A1BLAwQUAAAACACHTuJA3KCw1A4CAAA4BAAADgAAAGRycy9lMm9Eb2MueG1s&#10;rVNLjhMxEN0jcQfLe9KdhESZVjojQQgbBEgDB3Bsd7cl/+Ry0p0LwA1YsWHPuXIOyk4m84FFFvTC&#10;Xbafn+u9Ki9vB6PJXgZQztZ0PCopkZY7oWxb069fNq8WlEBkVjDtrKzpQQK9Xb18sex9JSeuc1rI&#10;QJDEQtX7mnYx+qoogHfSMBg5Ly1uNi4YFnEa2kIE1iO70cWkLOdF74LwwXEJgKvr0yY9M4ZrCF3T&#10;KC7Xju+MtPHEGqRmESVBpzzQVc62aSSPn5oGZCS6pqg05hEvwXibxmK1ZFUbmO8UP6fArknhmSbD&#10;lMVLL1RrFhnZBfUXlVE8OHBNHHFnipOQ7AiqGJfPvLnrmJdZC1oN/mI6/D9a/nH/ORAlajqnxDKD&#10;BT/++H78+fv46xuZTpI/vYcKYXcegXF44wbsmvt1wMUke2iCSX8URHAf3T1c3JVDJBwX5+Xr2WI6&#10;o4Tj3ngxK6c32f/i4bgPEN9LZ0gKahqwfNlVtv8AEVNB6D0k3QZOK7FRWudJaLdvdSB7hqXe5C9l&#10;iUeewLQlfU1vZpOUCMP+bbBvMDQePQDb5vuenIDHxGX+/kWcElsz6E4JZIYEY5VRUYYcdZKJd1aQ&#10;ePDos8XnRVMyRgpKtMTXmKKMjEzpa5CoTlsUmWp0qkWK4rAdkCaFWycOWLedD6rt0NJcuQzHhsru&#10;nJs/dezjeSZ9ePC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15pZnbAAAACwEAAA8AAAAAAAAA&#10;AQAgAAAAIgAAAGRycy9kb3ducmV2LnhtbFBLAQIUABQAAAAIAIdO4kDcoLDUDgIAADgEAAAOAAAA&#10;AAAAAAEAIAAAACoBAABkcnMvZTJvRG9jLnhtbFBLBQYAAAAABgAGAFkBAACqBQAAAAA=&#10;">
                <v:fill on="t" focussize="0,0"/>
                <v:stroke color="#000000" joinstyle="miter"/>
                <v:imagedata o:title=""/>
                <o:lock v:ext="edit" aspectratio="f"/>
                <v:textbox>
                  <w:txbxContent>
                    <w:p w14:paraId="63C427C4">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1BA946E4">
                      <w:pPr>
                        <w:snapToGrid w:val="0"/>
                        <w:spacing w:line="360" w:lineRule="auto"/>
                        <w:rPr>
                          <w:highlight w:val="none"/>
                        </w:rPr>
                      </w:pPr>
                    </w:p>
                  </w:txbxContent>
                </v:textbox>
              </v:shape>
            </w:pict>
          </mc:Fallback>
        </mc:AlternateContent>
      </w:r>
      <w:r>
        <w:rPr>
          <w:rFonts w:ascii="宋体" w:hAnsi="宋体"/>
          <w:color w:val="auto"/>
          <w:highlight w:val="none"/>
        </w:rPr>
        <w:t>附：法定代表人身份证复印件</w:t>
      </w:r>
      <w:r>
        <w:rPr>
          <w:rFonts w:hint="eastAsia" w:ascii="宋体" w:hAnsi="宋体"/>
          <w:b/>
          <w:bCs/>
          <w:color w:val="auto"/>
          <w:highlight w:val="none"/>
        </w:rPr>
        <w:t>（正、反面）</w:t>
      </w:r>
      <w:r>
        <w:rPr>
          <w:rFonts w:ascii="宋体" w:hAnsi="宋体"/>
          <w:color w:val="auto"/>
          <w:highlight w:val="none"/>
        </w:rPr>
        <w:t>。</w:t>
      </w:r>
    </w:p>
    <w:p w14:paraId="789740BF">
      <w:pPr>
        <w:spacing w:line="480" w:lineRule="auto"/>
        <w:rPr>
          <w:rFonts w:ascii="宋体" w:hAnsi="宋体"/>
          <w:color w:val="auto"/>
          <w:highlight w:val="none"/>
        </w:rPr>
      </w:pPr>
    </w:p>
    <w:p w14:paraId="1EABAE64">
      <w:pPr>
        <w:spacing w:line="440" w:lineRule="exact"/>
        <w:rPr>
          <w:rFonts w:ascii="宋体" w:hAnsi="宋体"/>
          <w:color w:val="auto"/>
          <w:highlight w:val="none"/>
        </w:rPr>
      </w:pPr>
    </w:p>
    <w:p w14:paraId="2A94795F">
      <w:pPr>
        <w:spacing w:line="440" w:lineRule="exact"/>
        <w:rPr>
          <w:rFonts w:ascii="宋体" w:hAnsi="宋体"/>
          <w:color w:val="auto"/>
          <w:highlight w:val="none"/>
        </w:rPr>
      </w:pPr>
    </w:p>
    <w:p w14:paraId="3B6008EE">
      <w:pPr>
        <w:spacing w:line="440" w:lineRule="exact"/>
        <w:rPr>
          <w:rFonts w:ascii="宋体" w:hAnsi="宋体"/>
          <w:color w:val="auto"/>
          <w:highlight w:val="none"/>
        </w:rPr>
      </w:pPr>
    </w:p>
    <w:p w14:paraId="7D47DE7B">
      <w:pPr>
        <w:spacing w:line="440" w:lineRule="exact"/>
        <w:rPr>
          <w:rFonts w:ascii="宋体" w:hAnsi="宋体"/>
          <w:color w:val="auto"/>
          <w:highlight w:val="none"/>
        </w:rPr>
      </w:pPr>
    </w:p>
    <w:p w14:paraId="7EBE900E">
      <w:pPr>
        <w:spacing w:line="440" w:lineRule="exact"/>
        <w:rPr>
          <w:rFonts w:ascii="宋体" w:hAnsi="宋体"/>
          <w:color w:val="auto"/>
          <w:highlight w:val="none"/>
        </w:rPr>
      </w:pPr>
    </w:p>
    <w:p w14:paraId="7C048F95">
      <w:pPr>
        <w:spacing w:line="440" w:lineRule="exact"/>
        <w:rPr>
          <w:rFonts w:ascii="宋体" w:hAnsi="宋体"/>
          <w:color w:val="auto"/>
          <w:highlight w:val="none"/>
        </w:rPr>
      </w:pPr>
    </w:p>
    <w:p w14:paraId="78FDD692">
      <w:pPr>
        <w:spacing w:line="440" w:lineRule="exact"/>
        <w:rPr>
          <w:rFonts w:ascii="宋体" w:hAnsi="宋体"/>
          <w:color w:val="auto"/>
          <w:highlight w:val="none"/>
        </w:rPr>
      </w:pPr>
    </w:p>
    <w:p w14:paraId="7BC61CA5">
      <w:pPr>
        <w:spacing w:line="440" w:lineRule="exact"/>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07216CE8">
      <w:pPr>
        <w:spacing w:line="440" w:lineRule="exact"/>
        <w:rPr>
          <w:rFonts w:ascii="宋体" w:hAnsi="宋体"/>
          <w:color w:val="auto"/>
          <w:highlight w:val="none"/>
        </w:rPr>
      </w:pPr>
    </w:p>
    <w:p w14:paraId="46813BC8">
      <w:pP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2003962F">
      <w:pPr>
        <w:rPr>
          <w:rFonts w:ascii="宋体" w:hAnsi="宋体"/>
          <w:color w:val="auto"/>
          <w:highlight w:val="none"/>
        </w:rPr>
      </w:pPr>
    </w:p>
    <w:p w14:paraId="69D295E1">
      <w:pPr>
        <w:rPr>
          <w:rFonts w:ascii="宋体" w:hAnsi="宋体"/>
          <w:color w:val="auto"/>
          <w:highlight w:val="none"/>
        </w:rPr>
      </w:pPr>
    </w:p>
    <w:p w14:paraId="20A97CA0">
      <w:pPr>
        <w:spacing w:line="440" w:lineRule="exact"/>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w:t>
      </w:r>
    </w:p>
    <w:p w14:paraId="3C6AFF67">
      <w:pPr>
        <w:spacing w:line="440" w:lineRule="exact"/>
        <w:rPr>
          <w:rFonts w:ascii="宋体" w:hAnsi="宋体"/>
          <w:color w:val="auto"/>
          <w:sz w:val="20"/>
          <w:highlight w:val="none"/>
        </w:rPr>
      </w:pPr>
    </w:p>
    <w:p w14:paraId="51DFA1F1">
      <w:pPr>
        <w:spacing w:line="20" w:lineRule="exact"/>
        <w:jc w:val="center"/>
        <w:rPr>
          <w:rFonts w:ascii="宋体" w:hAnsi="宋体"/>
          <w:color w:val="auto"/>
          <w:sz w:val="20"/>
          <w:highlight w:val="none"/>
        </w:rPr>
      </w:pPr>
      <w:r>
        <w:rPr>
          <w:rFonts w:ascii="宋体" w:hAnsi="宋体"/>
          <w:color w:val="auto"/>
          <w:sz w:val="20"/>
          <w:highlight w:val="none"/>
        </w:rPr>
        <w:br w:type="page"/>
      </w:r>
    </w:p>
    <w:p w14:paraId="5C7F0332">
      <w:pPr>
        <w:pStyle w:val="4"/>
        <w:spacing w:line="480" w:lineRule="auto"/>
        <w:jc w:val="center"/>
        <w:outlineLvl w:val="2"/>
        <w:rPr>
          <w:rFonts w:ascii="宋体" w:hAnsi="宋体"/>
          <w:color w:val="auto"/>
          <w:sz w:val="28"/>
          <w:szCs w:val="28"/>
          <w:highlight w:val="none"/>
        </w:rPr>
      </w:pPr>
      <w:bookmarkStart w:id="211" w:name="_Toc491883233"/>
      <w:bookmarkStart w:id="212" w:name="_Toc58"/>
      <w:bookmarkStart w:id="213" w:name="_Toc3882"/>
      <w:r>
        <w:rPr>
          <w:rFonts w:hint="eastAsia" w:ascii="宋体" w:hAnsi="宋体" w:eastAsia="宋体" w:cs="宋体"/>
          <w:color w:val="auto"/>
          <w:sz w:val="24"/>
          <w:szCs w:val="24"/>
          <w:highlight w:val="none"/>
        </w:rPr>
        <w:t>（二）</w:t>
      </w:r>
      <w:bookmarkEnd w:id="211"/>
      <w:r>
        <w:rPr>
          <w:rFonts w:hint="eastAsia" w:ascii="宋体" w:hAnsi="宋体" w:eastAsia="宋体" w:cs="宋体"/>
          <w:color w:val="auto"/>
          <w:sz w:val="24"/>
          <w:szCs w:val="24"/>
          <w:highlight w:val="none"/>
        </w:rPr>
        <w:t>法定代表人授权委托书</w:t>
      </w:r>
      <w:bookmarkEnd w:id="212"/>
      <w:bookmarkEnd w:id="213"/>
    </w:p>
    <w:p w14:paraId="36F85DCD">
      <w:pPr>
        <w:keepNext w:val="0"/>
        <w:keepLines w:val="0"/>
        <w:pageBreakBefore w:val="0"/>
        <w:widowControl w:val="0"/>
        <w:kinsoku/>
        <w:wordWrap/>
        <w:overflowPunct/>
        <w:topLine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w:t>
      </w:r>
      <w:r>
        <w:rPr>
          <w:rFonts w:hint="eastAsia" w:ascii="宋体" w:hAnsi="宋体"/>
          <w:color w:val="auto"/>
          <w:highlight w:val="none"/>
          <w:lang w:val="en-US" w:eastAsia="zh-CN"/>
        </w:rPr>
        <w:t>采购</w:t>
      </w:r>
      <w:r>
        <w:rPr>
          <w:rFonts w:ascii="宋体" w:hAnsi="宋体"/>
          <w:color w:val="auto"/>
          <w:highlight w:val="none"/>
        </w:rPr>
        <w:t>项目</w:t>
      </w:r>
      <w:r>
        <w:rPr>
          <w:rFonts w:hint="eastAsia" w:ascii="宋体" w:hAnsi="宋体"/>
          <w:color w:val="auto"/>
          <w:highlight w:val="none"/>
        </w:rPr>
        <w:t>比选</w:t>
      </w:r>
      <w:r>
        <w:rPr>
          <w:rFonts w:ascii="宋体" w:hAnsi="宋体"/>
          <w:color w:val="auto"/>
          <w:highlight w:val="none"/>
        </w:rPr>
        <w:t>文件、签订合同和处理有关事宜，其法律后果由我方承担。</w:t>
      </w:r>
    </w:p>
    <w:p w14:paraId="6F766D3C">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14:paraId="3D1F550A">
      <w:pPr>
        <w:keepNext w:val="0"/>
        <w:keepLines w:val="0"/>
        <w:pageBreakBefore w:val="0"/>
        <w:widowControl w:val="0"/>
        <w:kinsoku/>
        <w:wordWrap/>
        <w:overflow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代理人无转委托权。</w:t>
      </w:r>
    </w:p>
    <w:p w14:paraId="7CE2C97A">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附：法定代表人身份证复印件及委托代理人身份证复印件</w:t>
      </w:r>
      <w:r>
        <w:rPr>
          <w:rFonts w:hint="eastAsia" w:ascii="宋体" w:hAnsi="宋体"/>
          <w:b/>
          <w:bCs/>
          <w:color w:val="auto"/>
          <w:highlight w:val="none"/>
        </w:rPr>
        <w:t>（正、反面）</w:t>
      </w:r>
    </w:p>
    <w:p w14:paraId="69492D20">
      <w:pPr>
        <w:spacing w:line="440" w:lineRule="exact"/>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-134620</wp:posOffset>
                </wp:positionH>
                <wp:positionV relativeFrom="paragraph">
                  <wp:posOffset>0</wp:posOffset>
                </wp:positionV>
                <wp:extent cx="6045835" cy="1850390"/>
                <wp:effectExtent l="4445" t="4445" r="7620" b="12065"/>
                <wp:wrapNone/>
                <wp:docPr id="5"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78F581">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3944572E">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10.6pt;margin-top:0pt;height:145.7pt;width:476.05pt;z-index:251661312;mso-width-relative:page;mso-height-relative:page;" fillcolor="#FFFFFF" filled="t" stroked="t" coordsize="21600,21600" o:gfxdata="UEsDBAoAAAAAAIdO4kAAAAAAAAAAAAAAAAAEAAAAZHJzL1BLAwQUAAAACACHTuJAIJ08JtgAAAAI&#10;AQAADwAAAGRycy9kb3ducmV2LnhtbE2PwU7DMBBE70j8g7VIXFBrJ61KE+L0gASCGy0Irm68TSLs&#10;dYjdtPw9ywmOoxnNvKk2Z+/EhGPsA2nI5goEUhNsT62Gt9eH2RpETIascYFQwzdG2NSXF5UpbTjR&#10;FqddagWXUCyNhi6loZQyNh16E+dhQGLvEEZvEsuxlXY0Jy73TuZKraQ3PfFCZwa877D53B29hvXy&#10;afqIz4uX92Z1cEW6uZ0ev0atr68ydQci4Tn9heEXn9GhZqZ9OJKNwmmY5VnOUQ38iO1ioQoQew15&#10;kS1B1pX8f6D+AVBLAwQUAAAACACHTuJA5TvF/Q8CAAA4BAAADgAAAGRycy9lMm9Eb2MueG1srVNL&#10;jhMxEN0jcQfLe9KdhIwyrXRGghA2CJAGDuDY7m5L/snlpDsXgBuwYsOec+UclJ1M5sMsspheuMvl&#10;8qt6r8qLm8FospMBlLM1HY9KSqTlTijb1vT7t/WbOSUQmRVMOytrupdAb5avXy16X8mJ65wWMhAE&#10;sVD1vqZdjL4qCuCdNAxGzkuLh40LhkXchrYQgfWIbnQxKcurondB+OC4BEDv6nhIT4jhEkDXNIrL&#10;leNbI208ogapWURK0CkPdJmrbRrJ45emARmJrikyjXnFJGhv0losF6xqA/Od4qcS2CUlPOFkmLKY&#10;9Ay1YpGRbVD/QRnFgwPXxBF3pjgSyYogi3H5RJvbjnmZuaDU4M+iw8vB8s+7r4EoUdMZJZYZbPjh&#10;18/D77+HPz/IdJL06T1UGHbrMTAO79yAU3PnB3Qm2kMTTPojIYLnqO7+rK4cIuHovCrfzuZTTMPx&#10;bDyfldPrrH9xf90HiB+lMyQZNQ3Yvqwq232CiKVg6F1IygZOK7FWWudNaDfvdSA7hq1e5y9ViVce&#10;hWlL+ppezyapEIbz2+DcoGk8agC2zfke3YCHwGX+ngNOha0YdMcCMkIKY5VRUYZsdZKJD1aQuPeo&#10;s8XnRVMxRgpKtMTXmKwcGZnSl0QiO22RZOrRsRfJisNmQJhkbpzYY9+2Pqi2Q0lz53I4DlRW5zT8&#10;aWIf7jPo/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nTwm2AAAAAgBAAAPAAAAAAAAAAEA&#10;IAAAACIAAABkcnMvZG93bnJldi54bWxQSwECFAAUAAAACACHTuJA5TvF/Q8CAAA4BAAADgAAAAAA&#10;AAABACAAAAAnAQAAZHJzL2Uyb0RvYy54bWxQSwUGAAAAAAYABgBZAQAAqAUAAAAA&#10;">
                <v:fill on="t" focussize="0,0"/>
                <v:stroke color="#000000" joinstyle="miter"/>
                <v:imagedata o:title=""/>
                <o:lock v:ext="edit" aspectratio="f"/>
                <v:textbox>
                  <w:txbxContent>
                    <w:p w14:paraId="4978F581">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3944572E">
                      <w:pPr>
                        <w:snapToGrid w:val="0"/>
                        <w:spacing w:line="360" w:lineRule="auto"/>
                        <w:rPr>
                          <w:highlight w:val="none"/>
                        </w:rPr>
                      </w:pPr>
                    </w:p>
                  </w:txbxContent>
                </v:textbox>
              </v:shape>
            </w:pict>
          </mc:Fallback>
        </mc:AlternateContent>
      </w:r>
    </w:p>
    <w:p w14:paraId="22519CAF">
      <w:pPr>
        <w:spacing w:line="440" w:lineRule="exact"/>
        <w:rPr>
          <w:rFonts w:ascii="宋体" w:hAnsi="宋体"/>
          <w:color w:val="auto"/>
          <w:highlight w:val="none"/>
        </w:rPr>
      </w:pPr>
    </w:p>
    <w:p w14:paraId="36E63A40">
      <w:pPr>
        <w:spacing w:line="440" w:lineRule="exact"/>
        <w:rPr>
          <w:rFonts w:ascii="宋体" w:hAnsi="宋体"/>
          <w:color w:val="auto"/>
          <w:highlight w:val="none"/>
        </w:rPr>
      </w:pPr>
      <w:r>
        <w:rPr>
          <w:rFonts w:ascii="宋体" w:hAnsi="宋体"/>
          <w:color w:val="auto"/>
          <w:highlight w:val="none"/>
        </w:rPr>
        <w:t>委托代理人身份证复印件</w:t>
      </w:r>
    </w:p>
    <w:p w14:paraId="2D466713">
      <w:pPr>
        <w:spacing w:line="440" w:lineRule="exact"/>
        <w:rPr>
          <w:rFonts w:ascii="宋体" w:hAnsi="宋体"/>
          <w:color w:val="auto"/>
          <w:highlight w:val="none"/>
        </w:rPr>
      </w:pPr>
    </w:p>
    <w:p w14:paraId="4F03B970">
      <w:pPr>
        <w:spacing w:line="440" w:lineRule="exact"/>
        <w:rPr>
          <w:rFonts w:ascii="宋体" w:hAnsi="宋体"/>
          <w:color w:val="auto"/>
          <w:highlight w:val="none"/>
        </w:rPr>
      </w:pPr>
    </w:p>
    <w:p w14:paraId="5DE11756">
      <w:pPr>
        <w:spacing w:line="440" w:lineRule="exact"/>
        <w:rPr>
          <w:rFonts w:ascii="宋体" w:hAnsi="宋体"/>
          <w:color w:val="auto"/>
          <w:highlight w:val="none"/>
        </w:rPr>
      </w:pPr>
    </w:p>
    <w:p w14:paraId="060A3394">
      <w:pPr>
        <w:spacing w:line="440" w:lineRule="exact"/>
        <w:rPr>
          <w:rFonts w:ascii="宋体" w:hAnsi="宋体"/>
          <w:color w:val="auto"/>
          <w:highlight w:val="none"/>
        </w:rPr>
      </w:pPr>
    </w:p>
    <w:p w14:paraId="4A8B5135">
      <w:pPr>
        <w:spacing w:line="440" w:lineRule="exact"/>
        <w:ind w:firstLine="2692" w:firstLineChars="1282"/>
        <w:rPr>
          <w:rFonts w:hint="eastAsia" w:ascii="宋体" w:hAnsi="宋体"/>
          <w:color w:val="auto"/>
          <w:highlight w:val="none"/>
        </w:rPr>
      </w:pPr>
      <w:r>
        <w:rPr>
          <w:rFonts w:ascii="Times New Roman" w:hAnsi="Times New Roman" w:eastAsia="宋体"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-146050</wp:posOffset>
                </wp:positionH>
                <wp:positionV relativeFrom="paragraph">
                  <wp:posOffset>21590</wp:posOffset>
                </wp:positionV>
                <wp:extent cx="6066790" cy="1953260"/>
                <wp:effectExtent l="5080" t="4445" r="11430" b="10795"/>
                <wp:wrapNone/>
                <wp:docPr id="9" name="文本框 33"/>
                <wp:cNvGraphicFramePr/>
                <a:graphic xmlns:a="http://schemas.openxmlformats.org/drawingml/2006/main">
                  <a:graphicData uri="http://schemas.microsoft.com/office/word/2010/wordprocessingShape">
                    <wps:wsp>
                      <wps:cNvSpPr txBox="1"/>
                      <wps:spPr>
                        <a:xfrm>
                          <a:off x="0" y="0"/>
                          <a:ext cx="6066790" cy="1953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B081AD">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14:paraId="4B633BBF">
                            <w:pPr>
                              <w:spacing w:line="360" w:lineRule="auto"/>
                              <w:jc w:val="center"/>
                              <w:rPr>
                                <w:highlight w:val="none"/>
                              </w:rPr>
                            </w:pPr>
                          </w:p>
                        </w:txbxContent>
                      </wps:txbx>
                      <wps:bodyPr upright="1"/>
                    </wps:wsp>
                  </a:graphicData>
                </a:graphic>
              </wp:anchor>
            </w:drawing>
          </mc:Choice>
          <mc:Fallback>
            <w:pict>
              <v:shape id="文本框 33" o:spid="_x0000_s1026" o:spt="202" type="#_x0000_t202" style="position:absolute;left:0pt;margin-left:-11.5pt;margin-top:1.7pt;height:153.8pt;width:477.7pt;z-index:251662336;mso-width-relative:page;mso-height-relative:page;" fillcolor="#FFFFFF" filled="t" stroked="t" coordsize="21600,21600" o:gfxdata="UEsDBAoAAAAAAIdO4kAAAAAAAAAAAAAAAAAEAAAAZHJzL1BLAwQUAAAACACHTuJAAIQ87dgAAAAJ&#10;AQAADwAAAGRycy9kb3ducmV2LnhtbE2PwU7DMBBE70j8g7VIXFBrJ6lKG+L0gASCGy0Irm68TSLs&#10;dYjdtPw9ywluO5rR7Jtqc/ZOTDjGPpCGbK5AIDXB9tRqeHt9mK1AxGTIGhcINXxjhE19eVGZ0oYT&#10;bXHapVZwCcXSaOhSGkopY9OhN3EeBiT2DmH0JrEcW2lHc+Jy72Su1FJ60xN/6MyA9x02n7uj17Ba&#10;PE0f8bl4eW+WB7dON7fT49eo9fVVpu5AJDynvzD84jM61My0D0eyUTgNs7zgLUlDsQDB/rrI+diz&#10;zjIFsq7k/wX1D1BLAwQUAAAACACHTuJAZuGZew4CAAA4BAAADgAAAGRycy9lMm9Eb2MueG1srVNN&#10;rtMwEN4jcQfLe5q0VQuNmj4JStkgQHpwANd2Ekv+k8dt0gvADVixYc+5eo43dvv6fmDRBVk4Y8/4&#10;m/m+GS9vBqPJXgZQztZ0PCopkZY7oWxb029fN6/eUAKRWcG0s7KmBwn0ZvXyxbL3lZy4zmkhA0EQ&#10;C1Xva9rF6KuiAN5Jw2DkvLTobFwwLOI2tIUIrEd0o4tJWc6L3gXhg+MSAE/XJyc9I4ZrAF3TKC7X&#10;ju+MtPGEGqRmESlBpzzQVa62aSSPn5sGZCS6psg05hWToL1Na7FasqoNzHeKn0tg15TwjJNhymLS&#10;C9SaRUZ2Qf0FZRQPDlwTR9yZ4kQkK4IsxuUzbW475mXmglKDv4gO/w+Wf9p/CUSJmi4oscxgw48/&#10;fxx//Tn+/k6m06RP76HCsFuPgXF46wacmvtzwMNEe2iCSX8kRNCP6h4u6sohEo6H83I+f71AF0ff&#10;eDGbTuZZ/+Lhug8QP0hnSDJqGrB9WVW2/wgRS8HQ+5CUDZxWYqO0zpvQbt/pQPYMW73JX6oSrzwJ&#10;05b0SHY2mWEhDOe3wblB03jUAGyb8z25AY+By/z9CzgVtmbQnQrICCmMVUZFGbLVSSbeW0HiwaPO&#10;Fp8XTcUYKSjREl9jsnJkZEpfE4nstEWSqUenXiQrDtsBYZK5deKAfdv5oNoOJc2dy+E4UFmd8/Cn&#10;iX28z6APD35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CEPO3YAAAACQEAAA8AAAAAAAAAAQAg&#10;AAAAIgAAAGRycy9kb3ducmV2LnhtbFBLAQIUABQAAAAIAIdO4kBm4Zl7DgIAADgEAAAOAAAAAAAA&#10;AAEAIAAAACcBAABkcnMvZTJvRG9jLnhtbFBLBQYAAAAABgAGAFkBAACnBQAAAAA=&#10;">
                <v:fill on="t" focussize="0,0"/>
                <v:stroke color="#000000" joinstyle="miter"/>
                <v:imagedata o:title=""/>
                <o:lock v:ext="edit" aspectratio="f"/>
                <v:textbox>
                  <w:txbxContent>
                    <w:p w14:paraId="5AB081AD">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14:paraId="4B633BBF">
                      <w:pPr>
                        <w:spacing w:line="360" w:lineRule="auto"/>
                        <w:jc w:val="center"/>
                        <w:rPr>
                          <w:highlight w:val="none"/>
                        </w:rPr>
                      </w:pPr>
                    </w:p>
                  </w:txbxContent>
                </v:textbox>
              </v:shape>
            </w:pict>
          </mc:Fallback>
        </mc:AlternateContent>
      </w:r>
    </w:p>
    <w:p w14:paraId="04BF29C0">
      <w:pPr>
        <w:spacing w:line="440" w:lineRule="exact"/>
        <w:ind w:firstLine="2692" w:firstLineChars="1282"/>
        <w:rPr>
          <w:rFonts w:hint="eastAsia" w:ascii="宋体" w:hAnsi="宋体"/>
          <w:color w:val="auto"/>
          <w:highlight w:val="none"/>
        </w:rPr>
      </w:pPr>
    </w:p>
    <w:p w14:paraId="17A84542">
      <w:pPr>
        <w:spacing w:line="440" w:lineRule="exact"/>
        <w:ind w:firstLine="2692" w:firstLineChars="1282"/>
        <w:rPr>
          <w:rFonts w:hint="eastAsia" w:ascii="宋体" w:hAnsi="宋体"/>
          <w:color w:val="auto"/>
          <w:highlight w:val="none"/>
        </w:rPr>
      </w:pPr>
    </w:p>
    <w:p w14:paraId="0D8B5DCD">
      <w:pPr>
        <w:spacing w:line="440" w:lineRule="exact"/>
        <w:ind w:firstLine="2692" w:firstLineChars="1282"/>
        <w:rPr>
          <w:rFonts w:hint="eastAsia" w:ascii="宋体" w:hAnsi="宋体"/>
          <w:color w:val="auto"/>
          <w:highlight w:val="none"/>
        </w:rPr>
      </w:pPr>
    </w:p>
    <w:p w14:paraId="0562DC89">
      <w:pPr>
        <w:spacing w:line="440" w:lineRule="exact"/>
        <w:ind w:firstLine="2692" w:firstLineChars="1282"/>
        <w:rPr>
          <w:rFonts w:hint="eastAsia" w:ascii="宋体" w:hAnsi="宋体"/>
          <w:color w:val="auto"/>
          <w:highlight w:val="none"/>
        </w:rPr>
      </w:pPr>
    </w:p>
    <w:p w14:paraId="0EDA1EF7">
      <w:pPr>
        <w:spacing w:line="440" w:lineRule="exact"/>
        <w:ind w:firstLine="2692" w:firstLineChars="1282"/>
        <w:rPr>
          <w:rFonts w:hint="eastAsia" w:ascii="宋体" w:hAnsi="宋体"/>
          <w:color w:val="auto"/>
          <w:highlight w:val="none"/>
        </w:rPr>
      </w:pPr>
    </w:p>
    <w:p w14:paraId="6798AB98">
      <w:pPr>
        <w:spacing w:line="440" w:lineRule="exact"/>
        <w:ind w:firstLine="2692" w:firstLineChars="1282"/>
        <w:rPr>
          <w:rFonts w:hint="eastAsia" w:ascii="宋体" w:hAnsi="宋体"/>
          <w:color w:val="auto"/>
          <w:highlight w:val="none"/>
        </w:rPr>
      </w:pPr>
    </w:p>
    <w:p w14:paraId="1B312C8B">
      <w:pPr>
        <w:spacing w:line="440" w:lineRule="exact"/>
        <w:ind w:firstLine="2692" w:firstLineChars="1282"/>
        <w:rPr>
          <w:rFonts w:ascii="宋体" w:hAnsi="宋体"/>
          <w:color w:val="auto"/>
          <w:highlight w:val="none"/>
        </w:rPr>
      </w:pPr>
      <w:r>
        <w:rPr>
          <w:rFonts w:hint="eastAsia" w:ascii="宋体" w:hAnsi="宋体"/>
          <w:color w:val="auto"/>
          <w:highlight w:val="none"/>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5F3BF4A9">
      <w:pP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14:paraId="28DDC637">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78A8718E">
      <w:pP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14:paraId="04DBCFB0">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31605C5B">
      <w:pP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42D890ED">
      <w:pPr>
        <w:rPr>
          <w:rFonts w:ascii="宋体" w:hAnsi="宋体"/>
          <w:color w:val="auto"/>
          <w:highlight w:val="none"/>
        </w:rPr>
      </w:pPr>
    </w:p>
    <w:p w14:paraId="64EC21B4">
      <w:pPr>
        <w:spacing w:line="440" w:lineRule="exact"/>
        <w:rPr>
          <w:rFonts w:ascii="宋体" w:hAnsi="宋体"/>
          <w:color w:val="auto"/>
          <w:highlight w:val="none"/>
        </w:rPr>
      </w:pPr>
      <w:r>
        <w:rPr>
          <w:rFonts w:ascii="宋体" w:hAnsi="宋体"/>
          <w:color w:val="auto"/>
          <w:highlight w:val="none"/>
        </w:rPr>
        <w:t>注：本授权委托书需由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并由其法定代表人和委托代理人签</w:t>
      </w:r>
      <w:r>
        <w:rPr>
          <w:rFonts w:hint="eastAsia" w:ascii="宋体" w:hAnsi="宋体"/>
          <w:color w:val="auto"/>
          <w:highlight w:val="none"/>
          <w:lang w:val="en-US" w:eastAsia="zh-CN"/>
        </w:rPr>
        <w:t>名。</w:t>
      </w:r>
    </w:p>
    <w:p w14:paraId="24ECA3A6">
      <w:pPr>
        <w:pStyle w:val="28"/>
        <w:pageBreakBefore w:val="0"/>
        <w:widowControl w:val="0"/>
        <w:kinsoku/>
        <w:wordWrap/>
        <w:overflowPunct/>
        <w:autoSpaceDE/>
        <w:autoSpaceDN/>
        <w:bidi w:val="0"/>
        <w:adjustRightInd/>
        <w:snapToGrid/>
        <w:textAlignment w:val="auto"/>
        <w:outlineLvl w:val="9"/>
        <w:rPr>
          <w:color w:val="auto"/>
          <w:highlight w:val="none"/>
        </w:rPr>
        <w:sectPr>
          <w:footerReference r:id="rId11" w:type="first"/>
          <w:footerReference r:id="rId10" w:type="default"/>
          <w:pgSz w:w="11906" w:h="16838"/>
          <w:pgMar w:top="1440" w:right="1803" w:bottom="1440" w:left="1803" w:header="851" w:footer="992" w:gutter="0"/>
          <w:cols w:space="720" w:num="1"/>
          <w:titlePg/>
          <w:docGrid w:type="lines" w:linePitch="319" w:charSpace="0"/>
        </w:sectPr>
      </w:pPr>
    </w:p>
    <w:p w14:paraId="4080DD53">
      <w:pPr>
        <w:rPr>
          <w:rFonts w:ascii="宋体" w:hAnsi="宋体" w:cs="宋体"/>
          <w:snapToGrid w:val="0"/>
          <w:color w:val="auto"/>
          <w:kern w:val="0"/>
          <w:szCs w:val="21"/>
          <w:highlight w:val="none"/>
        </w:rPr>
      </w:pPr>
    </w:p>
    <w:p w14:paraId="2AB78AD3">
      <w:pPr>
        <w:pStyle w:val="4"/>
        <w:spacing w:before="0" w:after="0" w:line="360" w:lineRule="auto"/>
        <w:jc w:val="center"/>
        <w:rPr>
          <w:rFonts w:ascii="宋体" w:hAnsi="宋体" w:eastAsia="宋体" w:cs="宋体"/>
          <w:color w:val="auto"/>
          <w:sz w:val="28"/>
          <w:highlight w:val="none"/>
        </w:rPr>
      </w:pPr>
      <w:bookmarkStart w:id="214" w:name="_Toc11329275"/>
      <w:bookmarkStart w:id="215" w:name="_Toc5695"/>
      <w:r>
        <w:rPr>
          <w:rFonts w:hint="eastAsia" w:ascii="宋体" w:hAnsi="宋体" w:eastAsia="宋体" w:cs="宋体"/>
          <w:color w:val="auto"/>
          <w:sz w:val="28"/>
          <w:highlight w:val="none"/>
        </w:rPr>
        <w:t>三、</w:t>
      </w:r>
      <w:bookmarkEnd w:id="189"/>
      <w:bookmarkEnd w:id="190"/>
      <w:bookmarkEnd w:id="191"/>
      <w:bookmarkEnd w:id="214"/>
      <w:r>
        <w:rPr>
          <w:rFonts w:hint="eastAsia" w:ascii="宋体" w:hAnsi="宋体" w:eastAsia="宋体" w:cs="宋体"/>
          <w:color w:val="auto"/>
          <w:sz w:val="28"/>
          <w:highlight w:val="none"/>
        </w:rPr>
        <w:t>报价一览表</w:t>
      </w:r>
      <w:bookmarkEnd w:id="215"/>
    </w:p>
    <w:p w14:paraId="5E559A0A">
      <w:pPr>
        <w:ind w:left="765"/>
        <w:jc w:val="center"/>
        <w:rPr>
          <w:rFonts w:ascii="宋体" w:hAnsi="宋体" w:cs="宋体"/>
          <w:color w:val="auto"/>
          <w:szCs w:val="21"/>
          <w:highlight w:val="none"/>
        </w:rPr>
      </w:pPr>
    </w:p>
    <w:p w14:paraId="15036639">
      <w:pPr>
        <w:pStyle w:val="38"/>
        <w:spacing w:line="480" w:lineRule="auto"/>
        <w:jc w:val="both"/>
        <w:rPr>
          <w:rFonts w:hAnsi="宋体"/>
          <w:color w:val="auto"/>
          <w:highlight w:val="none"/>
        </w:rPr>
      </w:pPr>
      <w:r>
        <w:rPr>
          <w:rFonts w:hint="eastAsia" w:hAnsi="宋体"/>
          <w:color w:val="auto"/>
          <w:highlight w:val="none"/>
        </w:rPr>
        <w:t>重庆首讯科技股份有限公司：</w:t>
      </w:r>
    </w:p>
    <w:p w14:paraId="3E756476">
      <w:pPr>
        <w:spacing w:line="480" w:lineRule="auto"/>
        <w:ind w:firstLine="420" w:firstLineChars="200"/>
        <w:jc w:val="left"/>
        <w:rPr>
          <w:rFonts w:ascii="宋体" w:hAnsi="宋体"/>
          <w:b/>
          <w:color w:val="auto"/>
          <w:szCs w:val="21"/>
          <w:highlight w:val="none"/>
        </w:rPr>
      </w:pPr>
      <w:r>
        <w:rPr>
          <w:rFonts w:hint="eastAsia" w:ascii="宋体" w:hAnsi="宋体"/>
          <w:color w:val="auto"/>
          <w:szCs w:val="21"/>
          <w:highlight w:val="none"/>
        </w:rPr>
        <w:t>在研究了竞争比选文件中所有文件后，我司对</w:t>
      </w:r>
      <w:r>
        <w:rPr>
          <w:rFonts w:hint="eastAsia" w:ascii="Arial" w:hAnsi="Arial" w:cs="Arial"/>
          <w:color w:val="auto"/>
          <w:szCs w:val="21"/>
          <w:highlight w:val="none"/>
          <w:u w:val="single"/>
          <w:lang w:val="en-US" w:eastAsia="zh-CN"/>
        </w:rPr>
        <w:t>本项目</w:t>
      </w:r>
      <w:r>
        <w:rPr>
          <w:rFonts w:hint="eastAsia" w:ascii="宋体" w:hAnsi="宋体"/>
          <w:color w:val="auto"/>
          <w:szCs w:val="21"/>
          <w:highlight w:val="none"/>
        </w:rPr>
        <w:t>竞</w:t>
      </w:r>
      <w:r>
        <w:rPr>
          <w:rFonts w:hint="eastAsia" w:ascii="Arial" w:hAnsi="Arial" w:cs="Arial"/>
          <w:color w:val="auto"/>
          <w:szCs w:val="21"/>
          <w:highlight w:val="none"/>
        </w:rPr>
        <w:t>争比选响应</w:t>
      </w:r>
      <w:r>
        <w:rPr>
          <w:rFonts w:hint="eastAsia" w:ascii="宋体" w:hAnsi="宋体"/>
          <w:color w:val="auto"/>
          <w:szCs w:val="21"/>
          <w:highlight w:val="none"/>
        </w:rPr>
        <w:t>报价如下：</w:t>
      </w:r>
      <w:r>
        <w:rPr>
          <w:rFonts w:hint="eastAsia" w:ascii="宋体" w:hAnsi="宋体"/>
          <w:b/>
          <w:color w:val="auto"/>
          <w:szCs w:val="21"/>
          <w:highlight w:val="none"/>
        </w:rPr>
        <w:t xml:space="preserve"> </w:t>
      </w:r>
    </w:p>
    <w:tbl>
      <w:tblPr>
        <w:tblStyle w:val="43"/>
        <w:tblW w:w="5019" w:type="pct"/>
        <w:tblInd w:w="0" w:type="dxa"/>
        <w:tblLayout w:type="fixed"/>
        <w:tblCellMar>
          <w:top w:w="0" w:type="dxa"/>
          <w:left w:w="108" w:type="dxa"/>
          <w:bottom w:w="0" w:type="dxa"/>
          <w:right w:w="108" w:type="dxa"/>
        </w:tblCellMar>
      </w:tblPr>
      <w:tblGrid>
        <w:gridCol w:w="578"/>
        <w:gridCol w:w="1222"/>
        <w:gridCol w:w="3622"/>
        <w:gridCol w:w="658"/>
        <w:gridCol w:w="1631"/>
        <w:gridCol w:w="844"/>
      </w:tblGrid>
      <w:tr w14:paraId="1C537DFA">
        <w:tblPrEx>
          <w:tblCellMar>
            <w:top w:w="0" w:type="dxa"/>
            <w:left w:w="108" w:type="dxa"/>
            <w:bottom w:w="0" w:type="dxa"/>
            <w:right w:w="108" w:type="dxa"/>
          </w:tblCellMar>
        </w:tblPrEx>
        <w:trPr>
          <w:trHeight w:val="585" w:hRule="atLeast"/>
        </w:trPr>
        <w:tc>
          <w:tcPr>
            <w:tcW w:w="337" w:type="pct"/>
            <w:tcBorders>
              <w:top w:val="single" w:color="000000" w:sz="8" w:space="0"/>
              <w:left w:val="single" w:color="000000" w:sz="8" w:space="0"/>
              <w:bottom w:val="single" w:color="000000" w:sz="8" w:space="0"/>
              <w:right w:val="single" w:color="000000" w:sz="8" w:space="0"/>
            </w:tcBorders>
            <w:vAlign w:val="center"/>
          </w:tcPr>
          <w:p w14:paraId="494A1C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bookmarkStart w:id="216" w:name="_Toc247085887"/>
            <w:bookmarkStart w:id="217" w:name="_Toc246997112"/>
            <w:bookmarkStart w:id="218" w:name="_Toc152045803"/>
            <w:bookmarkStart w:id="219" w:name="_Toc246996369"/>
            <w:bookmarkStart w:id="220" w:name="_Toc503951050"/>
            <w:bookmarkStart w:id="221" w:name="_Toc144974871"/>
            <w:bookmarkStart w:id="222" w:name="_Toc447827058"/>
            <w:bookmarkStart w:id="223" w:name="_Toc152042592"/>
            <w:bookmarkStart w:id="224" w:name="_Toc11329278"/>
            <w:bookmarkStart w:id="225" w:name="_Toc179632823"/>
            <w:bookmarkStart w:id="226" w:name="_Toc513633971"/>
            <w:r>
              <w:rPr>
                <w:rFonts w:hint="eastAsia" w:ascii="宋体" w:hAnsi="宋体" w:eastAsia="宋体" w:cs="宋体"/>
                <w:b/>
                <w:bCs/>
                <w:color w:val="auto"/>
                <w:kern w:val="0"/>
                <w:sz w:val="21"/>
                <w:szCs w:val="21"/>
                <w:highlight w:val="none"/>
                <w:lang w:bidi="ar"/>
              </w:rPr>
              <w:t>序号</w:t>
            </w:r>
          </w:p>
        </w:tc>
        <w:tc>
          <w:tcPr>
            <w:tcW w:w="714" w:type="pct"/>
            <w:tcBorders>
              <w:top w:val="single" w:color="000000" w:sz="8" w:space="0"/>
              <w:left w:val="nil"/>
              <w:bottom w:val="single" w:color="000000" w:sz="8" w:space="0"/>
              <w:right w:val="single" w:color="000000" w:sz="8" w:space="0"/>
            </w:tcBorders>
            <w:vAlign w:val="center"/>
          </w:tcPr>
          <w:p w14:paraId="3B23A6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服务项目</w:t>
            </w:r>
          </w:p>
        </w:tc>
        <w:tc>
          <w:tcPr>
            <w:tcW w:w="2116" w:type="pct"/>
            <w:tcBorders>
              <w:top w:val="single" w:color="000000" w:sz="8" w:space="0"/>
              <w:left w:val="nil"/>
              <w:bottom w:val="single" w:color="000000" w:sz="8" w:space="0"/>
              <w:right w:val="single" w:color="000000" w:sz="8" w:space="0"/>
            </w:tcBorders>
            <w:vAlign w:val="center"/>
          </w:tcPr>
          <w:p w14:paraId="5ACED4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工作内容</w:t>
            </w:r>
          </w:p>
        </w:tc>
        <w:tc>
          <w:tcPr>
            <w:tcW w:w="384" w:type="pct"/>
            <w:tcBorders>
              <w:top w:val="single" w:color="000000" w:sz="8" w:space="0"/>
              <w:left w:val="nil"/>
              <w:bottom w:val="single" w:color="000000" w:sz="8" w:space="0"/>
              <w:right w:val="single" w:color="000000" w:sz="8" w:space="0"/>
            </w:tcBorders>
            <w:vAlign w:val="center"/>
          </w:tcPr>
          <w:p w14:paraId="4BBACC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sz w:val="21"/>
                <w:szCs w:val="21"/>
                <w:highlight w:val="none"/>
                <w:lang w:val="en-US" w:eastAsia="zh-CN"/>
              </w:rPr>
              <w:t>数量</w:t>
            </w:r>
          </w:p>
        </w:tc>
        <w:tc>
          <w:tcPr>
            <w:tcW w:w="953" w:type="pct"/>
            <w:tcBorders>
              <w:top w:val="single" w:color="000000" w:sz="8" w:space="0"/>
              <w:left w:val="nil"/>
              <w:bottom w:val="single" w:color="000000" w:sz="8" w:space="0"/>
              <w:right w:val="single" w:color="000000" w:sz="8" w:space="0"/>
            </w:tcBorders>
            <w:vAlign w:val="center"/>
          </w:tcPr>
          <w:p w14:paraId="5B17A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cs="宋体"/>
                <w:b/>
                <w:bCs/>
                <w:i w:val="0"/>
                <w:iCs w:val="0"/>
                <w:color w:val="auto"/>
                <w:kern w:val="0"/>
                <w:sz w:val="21"/>
                <w:szCs w:val="21"/>
                <w:highlight w:val="none"/>
                <w:u w:val="none"/>
                <w:lang w:val="en-US" w:eastAsia="zh-CN" w:bidi="ar"/>
              </w:rPr>
              <w:t>报价（元）</w:t>
            </w:r>
          </w:p>
        </w:tc>
        <w:tc>
          <w:tcPr>
            <w:tcW w:w="493" w:type="pct"/>
            <w:tcBorders>
              <w:top w:val="single" w:color="000000" w:sz="8" w:space="0"/>
              <w:left w:val="nil"/>
              <w:bottom w:val="single" w:color="000000" w:sz="8" w:space="0"/>
              <w:right w:val="single" w:color="000000" w:sz="8" w:space="0"/>
            </w:tcBorders>
            <w:vAlign w:val="center"/>
          </w:tcPr>
          <w:p w14:paraId="6C486C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备注</w:t>
            </w:r>
          </w:p>
        </w:tc>
      </w:tr>
      <w:tr w14:paraId="56C15383">
        <w:tblPrEx>
          <w:tblCellMar>
            <w:top w:w="0" w:type="dxa"/>
            <w:left w:w="108" w:type="dxa"/>
            <w:bottom w:w="0" w:type="dxa"/>
            <w:right w:w="108" w:type="dxa"/>
          </w:tblCellMar>
        </w:tblPrEx>
        <w:trPr>
          <w:trHeight w:val="953" w:hRule="atLeast"/>
        </w:trPr>
        <w:tc>
          <w:tcPr>
            <w:tcW w:w="337" w:type="pct"/>
            <w:tcBorders>
              <w:top w:val="nil"/>
              <w:left w:val="single" w:color="000000" w:sz="8" w:space="0"/>
              <w:bottom w:val="single" w:color="auto" w:sz="4" w:space="0"/>
              <w:right w:val="single" w:color="000000" w:sz="8" w:space="0"/>
            </w:tcBorders>
            <w:vAlign w:val="center"/>
          </w:tcPr>
          <w:p w14:paraId="7E72C4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color w:val="auto"/>
                <w:sz w:val="15"/>
                <w:szCs w:val="15"/>
                <w:highlight w:val="none"/>
              </w:rPr>
            </w:pPr>
            <w:r>
              <w:rPr>
                <w:rFonts w:hint="eastAsia" w:ascii="宋体" w:hAnsi="宋体" w:eastAsia="宋体" w:cs="宋体"/>
                <w:i w:val="0"/>
                <w:iCs w:val="0"/>
                <w:color w:val="auto"/>
                <w:kern w:val="0"/>
                <w:sz w:val="15"/>
                <w:szCs w:val="15"/>
                <w:highlight w:val="none"/>
                <w:u w:val="none"/>
                <w:lang w:val="en-US" w:eastAsia="zh-CN" w:bidi="ar"/>
              </w:rPr>
              <w:t>1</w:t>
            </w:r>
          </w:p>
        </w:tc>
        <w:tc>
          <w:tcPr>
            <w:tcW w:w="714" w:type="pct"/>
            <w:tcBorders>
              <w:top w:val="nil"/>
              <w:left w:val="nil"/>
              <w:bottom w:val="single" w:color="auto" w:sz="4" w:space="0"/>
              <w:right w:val="single" w:color="000000" w:sz="8" w:space="0"/>
            </w:tcBorders>
            <w:vAlign w:val="center"/>
          </w:tcPr>
          <w:p w14:paraId="13FB565B">
            <w:pPr>
              <w:keepNext w:val="0"/>
              <w:keepLines w:val="0"/>
              <w:widowControl/>
              <w:suppressLineNumbers w:val="0"/>
              <w:spacing w:before="0" w:beforeAutospacing="0" w:after="0" w:afterAutospacing="0"/>
              <w:ind w:left="0" w:leftChars="0" w:right="0" w:rightChars="0"/>
              <w:jc w:val="left"/>
              <w:textAlignment w:val="center"/>
              <w:rPr>
                <w:rFonts w:hint="default" w:ascii="仿宋" w:hAnsi="仿宋" w:eastAsia="仿宋" w:cs="仿宋"/>
                <w:color w:val="auto"/>
                <w:sz w:val="15"/>
                <w:szCs w:val="15"/>
                <w:highlight w:val="none"/>
                <w:lang w:val="en-US"/>
              </w:rPr>
            </w:pPr>
            <w:r>
              <w:rPr>
                <w:rFonts w:hint="eastAsia" w:ascii="宋体" w:hAnsi="宋体" w:cs="宋体"/>
                <w:color w:val="auto"/>
                <w:szCs w:val="21"/>
                <w:highlight w:val="none"/>
                <w:lang w:val="en-US" w:eastAsia="zh-CN"/>
              </w:rPr>
              <w:t>档案管理系统软件开发服务</w:t>
            </w:r>
          </w:p>
        </w:tc>
        <w:tc>
          <w:tcPr>
            <w:tcW w:w="2116" w:type="pct"/>
            <w:tcBorders>
              <w:top w:val="nil"/>
              <w:left w:val="nil"/>
              <w:bottom w:val="single" w:color="auto" w:sz="4" w:space="0"/>
              <w:right w:val="single" w:color="000000" w:sz="8" w:space="0"/>
            </w:tcBorders>
            <w:vAlign w:val="center"/>
          </w:tcPr>
          <w:p w14:paraId="0A053EA1">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现有系统</w:t>
            </w:r>
            <w:r>
              <w:rPr>
                <w:rFonts w:hint="eastAsia" w:ascii="宋体" w:hAnsi="宋体" w:cs="宋体"/>
                <w:color w:val="auto"/>
                <w:kern w:val="0"/>
                <w:szCs w:val="21"/>
                <w:highlight w:val="none"/>
                <w:lang w:bidi="ar"/>
              </w:rPr>
              <w:t>基础上完成</w:t>
            </w:r>
            <w:r>
              <w:rPr>
                <w:rFonts w:hint="eastAsia" w:ascii="宋体" w:hAnsi="宋体" w:cs="宋体"/>
                <w:color w:val="auto"/>
                <w:kern w:val="0"/>
                <w:szCs w:val="21"/>
                <w:highlight w:val="none"/>
                <w:lang w:val="en-US" w:eastAsia="zh-CN" w:bidi="ar"/>
              </w:rPr>
              <w:t>定制功能的</w:t>
            </w:r>
            <w:r>
              <w:rPr>
                <w:rFonts w:hint="eastAsia" w:ascii="宋体" w:hAnsi="宋体" w:cs="宋体"/>
                <w:color w:val="auto"/>
                <w:kern w:val="0"/>
                <w:szCs w:val="21"/>
                <w:highlight w:val="none"/>
                <w:lang w:bidi="ar"/>
              </w:rPr>
              <w:t>升级、改造、代码合并等工作内容；</w:t>
            </w:r>
          </w:p>
          <w:p w14:paraId="207CD4EB">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2.实施开发，对业主提供</w:t>
            </w:r>
            <w:r>
              <w:rPr>
                <w:rFonts w:hint="eastAsia" w:ascii="宋体" w:hAnsi="宋体" w:cs="宋体"/>
                <w:color w:val="auto"/>
                <w:kern w:val="0"/>
                <w:szCs w:val="21"/>
                <w:highlight w:val="none"/>
                <w:lang w:val="en-US" w:eastAsia="zh-CN" w:bidi="ar"/>
              </w:rPr>
              <w:t>的</w:t>
            </w:r>
            <w:r>
              <w:rPr>
                <w:rFonts w:hint="eastAsia" w:ascii="宋体" w:hAnsi="宋体" w:cs="宋体"/>
                <w:color w:val="auto"/>
                <w:kern w:val="0"/>
                <w:szCs w:val="21"/>
                <w:highlight w:val="none"/>
                <w:lang w:bidi="ar"/>
              </w:rPr>
              <w:t>国产数据库、国产服务器、国产中间件适配、安装调试、实施开发、培训等；</w:t>
            </w:r>
          </w:p>
          <w:p w14:paraId="5CA43CDC">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cs="宋体"/>
                <w:color w:val="auto"/>
                <w:kern w:val="0"/>
                <w:szCs w:val="21"/>
                <w:highlight w:val="none"/>
                <w:lang w:bidi="ar"/>
              </w:rPr>
              <w:t>3. 完成历史数据迁移，确保数据完整性和数据平滑迁移可用性等。</w:t>
            </w:r>
          </w:p>
        </w:tc>
        <w:tc>
          <w:tcPr>
            <w:tcW w:w="384" w:type="pct"/>
            <w:tcBorders>
              <w:top w:val="nil"/>
              <w:left w:val="nil"/>
              <w:bottom w:val="single" w:color="auto" w:sz="4" w:space="0"/>
              <w:right w:val="single" w:color="000000" w:sz="8" w:space="0"/>
            </w:tcBorders>
            <w:shd w:val="clear" w:color="auto" w:fill="auto"/>
            <w:vAlign w:val="center"/>
          </w:tcPr>
          <w:p w14:paraId="7512A7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color w:val="auto"/>
                <w:kern w:val="2"/>
                <w:sz w:val="15"/>
                <w:szCs w:val="15"/>
                <w:highlight w:val="none"/>
                <w:lang w:val="en-US" w:eastAsia="zh-CN" w:bidi="ar-SA"/>
              </w:rPr>
            </w:pPr>
            <w:r>
              <w:rPr>
                <w:rFonts w:hint="eastAsia" w:ascii="宋体" w:hAnsi="宋体" w:eastAsia="宋体" w:cs="宋体"/>
                <w:i w:val="0"/>
                <w:iCs w:val="0"/>
                <w:color w:val="auto"/>
                <w:kern w:val="0"/>
                <w:sz w:val="15"/>
                <w:szCs w:val="15"/>
                <w:highlight w:val="none"/>
                <w:u w:val="none"/>
                <w:lang w:val="en-US" w:eastAsia="zh-CN" w:bidi="ar"/>
              </w:rPr>
              <w:t>1</w:t>
            </w:r>
            <w:r>
              <w:rPr>
                <w:rFonts w:hint="eastAsia" w:ascii="宋体" w:hAnsi="宋体" w:cs="宋体"/>
                <w:color w:val="auto"/>
                <w:kern w:val="0"/>
                <w:szCs w:val="21"/>
                <w:highlight w:val="none"/>
                <w:lang w:bidi="ar"/>
              </w:rPr>
              <w:t>套</w:t>
            </w:r>
          </w:p>
        </w:tc>
        <w:tc>
          <w:tcPr>
            <w:tcW w:w="953" w:type="pct"/>
            <w:tcBorders>
              <w:top w:val="nil"/>
              <w:left w:val="nil"/>
              <w:bottom w:val="single" w:color="auto" w:sz="4" w:space="0"/>
              <w:right w:val="single" w:color="000000" w:sz="8" w:space="0"/>
            </w:tcBorders>
            <w:vAlign w:val="center"/>
          </w:tcPr>
          <w:p w14:paraId="664334CC">
            <w:pPr>
              <w:keepNext w:val="0"/>
              <w:keepLines w:val="0"/>
              <w:suppressLineNumbers w:val="0"/>
              <w:spacing w:before="0" w:beforeAutospacing="0" w:after="0" w:afterAutospacing="0"/>
              <w:ind w:left="0" w:right="0"/>
              <w:jc w:val="center"/>
              <w:rPr>
                <w:rFonts w:hint="default" w:ascii="仿宋" w:hAnsi="仿宋" w:eastAsia="仿宋" w:cs="仿宋"/>
                <w:color w:val="auto"/>
                <w:sz w:val="15"/>
                <w:szCs w:val="15"/>
                <w:highlight w:val="none"/>
              </w:rPr>
            </w:pPr>
          </w:p>
        </w:tc>
        <w:tc>
          <w:tcPr>
            <w:tcW w:w="493" w:type="pct"/>
            <w:tcBorders>
              <w:top w:val="nil"/>
              <w:left w:val="nil"/>
              <w:bottom w:val="single" w:color="auto" w:sz="4" w:space="0"/>
              <w:right w:val="single" w:color="000000" w:sz="8" w:space="0"/>
            </w:tcBorders>
            <w:vAlign w:val="center"/>
          </w:tcPr>
          <w:p w14:paraId="63A29623">
            <w:pPr>
              <w:keepNext w:val="0"/>
              <w:keepLines w:val="0"/>
              <w:suppressLineNumbers w:val="0"/>
              <w:spacing w:before="0" w:beforeAutospacing="0" w:after="0" w:afterAutospacing="0"/>
              <w:ind w:left="0" w:right="0"/>
              <w:jc w:val="center"/>
              <w:rPr>
                <w:rFonts w:hint="default" w:ascii="仿宋" w:hAnsi="仿宋" w:eastAsia="仿宋" w:cs="仿宋"/>
                <w:color w:val="auto"/>
                <w:sz w:val="15"/>
                <w:szCs w:val="15"/>
                <w:highlight w:val="none"/>
              </w:rPr>
            </w:pPr>
          </w:p>
        </w:tc>
      </w:tr>
      <w:tr w14:paraId="3AA6F16F">
        <w:tblPrEx>
          <w:tblCellMar>
            <w:top w:w="0" w:type="dxa"/>
            <w:left w:w="108" w:type="dxa"/>
            <w:bottom w:w="0" w:type="dxa"/>
            <w:right w:w="108" w:type="dxa"/>
          </w:tblCellMar>
        </w:tblPrEx>
        <w:trPr>
          <w:trHeight w:val="401" w:hRule="atLeast"/>
        </w:trPr>
        <w:tc>
          <w:tcPr>
            <w:tcW w:w="3553" w:type="pct"/>
            <w:gridSpan w:val="4"/>
            <w:tcBorders>
              <w:top w:val="nil"/>
              <w:left w:val="single" w:color="000000" w:sz="8" w:space="0"/>
              <w:bottom w:val="single" w:color="auto" w:sz="4" w:space="0"/>
              <w:right w:val="single" w:color="000000" w:sz="8" w:space="0"/>
            </w:tcBorders>
            <w:vAlign w:val="center"/>
          </w:tcPr>
          <w:p w14:paraId="5AF142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bidi="ar"/>
              </w:rPr>
            </w:pPr>
            <w:r>
              <w:rPr>
                <w:rFonts w:hint="eastAsia" w:ascii="宋体" w:hAnsi="宋体" w:cs="宋体"/>
                <w:color w:val="auto"/>
                <w:kern w:val="0"/>
                <w:szCs w:val="21"/>
                <w:highlight w:val="none"/>
                <w:lang w:val="en-US" w:eastAsia="zh-CN" w:bidi="ar"/>
              </w:rPr>
              <w:t>税率（%）</w:t>
            </w:r>
          </w:p>
        </w:tc>
        <w:tc>
          <w:tcPr>
            <w:tcW w:w="1446" w:type="pct"/>
            <w:gridSpan w:val="2"/>
            <w:tcBorders>
              <w:top w:val="nil"/>
              <w:left w:val="nil"/>
              <w:bottom w:val="single" w:color="auto" w:sz="4" w:space="0"/>
              <w:right w:val="single" w:color="000000" w:sz="8" w:space="0"/>
            </w:tcBorders>
            <w:vAlign w:val="center"/>
          </w:tcPr>
          <w:p w14:paraId="70C8FD48">
            <w:pPr>
              <w:keepNext w:val="0"/>
              <w:keepLines w:val="0"/>
              <w:suppressLineNumbers w:val="0"/>
              <w:spacing w:before="0" w:beforeAutospacing="0" w:after="0" w:afterAutospacing="0"/>
              <w:ind w:left="0" w:right="0"/>
              <w:jc w:val="center"/>
              <w:rPr>
                <w:rFonts w:hint="default" w:ascii="仿宋" w:hAnsi="仿宋" w:eastAsia="仿宋" w:cs="仿宋"/>
                <w:color w:val="auto"/>
                <w:sz w:val="15"/>
                <w:szCs w:val="15"/>
                <w:highlight w:val="none"/>
              </w:rPr>
            </w:pPr>
          </w:p>
        </w:tc>
      </w:tr>
      <w:tr w14:paraId="2FD42EE9">
        <w:tblPrEx>
          <w:tblCellMar>
            <w:top w:w="0" w:type="dxa"/>
            <w:left w:w="108" w:type="dxa"/>
            <w:bottom w:w="0" w:type="dxa"/>
            <w:right w:w="108" w:type="dxa"/>
          </w:tblCellMar>
        </w:tblPrEx>
        <w:trPr>
          <w:trHeight w:val="510" w:hRule="atLeast"/>
        </w:trPr>
        <w:tc>
          <w:tcPr>
            <w:tcW w:w="5000" w:type="pct"/>
            <w:gridSpan w:val="6"/>
            <w:tcBorders>
              <w:top w:val="single" w:color="auto" w:sz="4" w:space="0"/>
              <w:left w:val="nil"/>
              <w:bottom w:val="nil"/>
              <w:right w:val="nil"/>
            </w:tcBorders>
            <w:vAlign w:val="center"/>
          </w:tcPr>
          <w:p w14:paraId="2EE19E53">
            <w:pPr>
              <w:keepNext w:val="0"/>
              <w:keepLines w:val="0"/>
              <w:suppressLineNumbers w:val="0"/>
              <w:adjustRightInd w:val="0"/>
              <w:snapToGrid w:val="0"/>
              <w:spacing w:before="0" w:beforeAutospacing="0" w:after="0" w:afterAutospacing="0" w:line="420" w:lineRule="exact"/>
              <w:ind w:left="0" w:right="0"/>
              <w:jc w:val="left"/>
              <w:rPr>
                <w:rFonts w:hint="eastAsia"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cs="宋体"/>
                <w:b/>
                <w:color w:val="auto"/>
                <w:szCs w:val="21"/>
                <w:highlight w:val="none"/>
                <w:lang w:val="en-US" w:eastAsia="zh-CN"/>
              </w:rPr>
              <w:t>报价人本次</w:t>
            </w:r>
            <w:r>
              <w:rPr>
                <w:rFonts w:hint="eastAsia" w:ascii="宋体" w:hAnsi="宋体" w:cs="宋体"/>
                <w:b/>
                <w:color w:val="auto"/>
                <w:szCs w:val="21"/>
                <w:highlight w:val="none"/>
              </w:rPr>
              <w:t>报价满足</w:t>
            </w:r>
            <w:r>
              <w:rPr>
                <w:rFonts w:hint="eastAsia" w:ascii="宋体" w:hAnsi="宋体" w:cs="宋体"/>
                <w:b/>
                <w:color w:val="auto"/>
                <w:szCs w:val="21"/>
                <w:highlight w:val="none"/>
                <w:lang w:val="en-US" w:eastAsia="zh-CN"/>
              </w:rPr>
              <w:t>竞争性响应文件所有内容</w:t>
            </w:r>
            <w:r>
              <w:rPr>
                <w:rFonts w:hint="eastAsia" w:ascii="宋体" w:hAnsi="宋体" w:cs="宋体"/>
                <w:b/>
                <w:color w:val="auto"/>
                <w:szCs w:val="21"/>
                <w:highlight w:val="none"/>
              </w:rPr>
              <w:t xml:space="preserve">。 </w:t>
            </w:r>
          </w:p>
          <w:p w14:paraId="6F171D04">
            <w:pPr>
              <w:keepNext w:val="0"/>
              <w:keepLines w:val="0"/>
              <w:widowControl/>
              <w:suppressLineNumbers w:val="0"/>
              <w:spacing w:before="0" w:beforeAutospacing="0" w:after="0" w:afterAutospacing="0"/>
              <w:ind w:left="0" w:right="0" w:firstLine="482" w:firstLineChars="200"/>
              <w:jc w:val="left"/>
              <w:textAlignment w:val="center"/>
              <w:rPr>
                <w:rFonts w:hint="eastAsia" w:ascii="仿宋" w:hAnsi="仿宋" w:eastAsia="仿宋" w:cs="仿宋"/>
                <w:b/>
                <w:bCs/>
                <w:color w:val="auto"/>
                <w:kern w:val="0"/>
                <w:sz w:val="24"/>
                <w:highlight w:val="none"/>
                <w:lang w:val="en-US" w:eastAsia="zh-CN" w:bidi="ar"/>
              </w:rPr>
            </w:pPr>
          </w:p>
        </w:tc>
      </w:tr>
    </w:tbl>
    <w:p w14:paraId="69855159">
      <w:pPr>
        <w:spacing w:line="360" w:lineRule="auto"/>
        <w:ind w:firstLine="420" w:firstLineChars="200"/>
        <w:jc w:val="left"/>
        <w:rPr>
          <w:rFonts w:hint="eastAsia" w:ascii="宋体" w:hAnsi="宋体" w:cs="宋体"/>
          <w:bCs/>
          <w:color w:val="auto"/>
          <w:highlight w:val="none"/>
        </w:rPr>
      </w:pPr>
    </w:p>
    <w:p w14:paraId="779C9F05">
      <w:pPr>
        <w:keepNext w:val="0"/>
        <w:keepLines w:val="0"/>
        <w:pageBreakBefore w:val="0"/>
        <w:widowControl w:val="0"/>
        <w:kinsoku/>
        <w:wordWrap/>
        <w:overflowPunct/>
        <w:topLinePunct w:val="0"/>
        <w:autoSpaceDE/>
        <w:autoSpaceDN/>
        <w:bidi w:val="0"/>
        <w:adjustRightInd/>
        <w:snapToGrid/>
        <w:spacing w:line="480" w:lineRule="auto"/>
        <w:ind w:firstLine="4819" w:firstLineChars="2000"/>
        <w:textAlignment w:val="auto"/>
        <w:rPr>
          <w:rFonts w:hint="eastAsia" w:ascii="宋体" w:hAnsi="宋体" w:eastAsia="宋体"/>
          <w:b/>
          <w:bCs/>
          <w:color w:val="auto"/>
          <w:sz w:val="24"/>
          <w:highlight w:val="none"/>
          <w:lang w:eastAsia="zh-CN"/>
        </w:rPr>
      </w:pPr>
      <w:r>
        <w:rPr>
          <w:rFonts w:hint="eastAsia" w:ascii="宋体" w:hAnsi="宋体"/>
          <w:b/>
          <w:bCs/>
          <w:color w:val="auto"/>
          <w:sz w:val="24"/>
          <w:highlight w:val="none"/>
        </w:rPr>
        <w:t>报价人</w:t>
      </w:r>
      <w:r>
        <w:rPr>
          <w:rFonts w:hint="eastAsia" w:ascii="宋体" w:hAnsi="宋体"/>
          <w:b/>
          <w:bCs/>
          <w:color w:val="auto"/>
          <w:sz w:val="24"/>
          <w:highlight w:val="none"/>
          <w:lang w:val="en-US" w:eastAsia="zh-CN"/>
        </w:rPr>
        <w:t>（盖单位公章）</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lang w:val="en-US" w:eastAsia="zh-CN"/>
        </w:rPr>
        <w:tab/>
      </w:r>
    </w:p>
    <w:p w14:paraId="01FFC2A2">
      <w:pPr>
        <w:pStyle w:val="16"/>
        <w:keepNext w:val="0"/>
        <w:keepLines w:val="0"/>
        <w:pageBreakBefore w:val="0"/>
        <w:widowControl w:val="0"/>
        <w:kinsoku/>
        <w:wordWrap/>
        <w:overflowPunct/>
        <w:topLinePunct w:val="0"/>
        <w:autoSpaceDE/>
        <w:autoSpaceDN/>
        <w:bidi w:val="0"/>
        <w:adjustRightInd/>
        <w:snapToGrid/>
        <w:spacing w:line="480" w:lineRule="auto"/>
        <w:ind w:firstLine="4819" w:firstLineChars="2000"/>
        <w:textAlignment w:val="auto"/>
        <w:rPr>
          <w:b/>
          <w:bCs/>
          <w:color w:val="auto"/>
          <w:highlight w:val="none"/>
        </w:rPr>
      </w:pPr>
      <w:r>
        <w:rPr>
          <w:rFonts w:hint="eastAsia" w:ascii="宋体" w:hAnsi="宋体"/>
          <w:b/>
          <w:bCs/>
          <w:color w:val="auto"/>
          <w:sz w:val="24"/>
          <w:highlight w:val="none"/>
        </w:rPr>
        <w:t>日期：</w:t>
      </w:r>
    </w:p>
    <w:p w14:paraId="0827DD92">
      <w:pPr>
        <w:pStyle w:val="4"/>
        <w:jc w:val="center"/>
        <w:rPr>
          <w:rFonts w:ascii="宋体" w:hAnsi="宋体" w:eastAsia="宋体" w:cs="宋体"/>
          <w:bCs w:val="0"/>
          <w:color w:val="auto"/>
          <w:sz w:val="28"/>
          <w:szCs w:val="28"/>
          <w:highlight w:val="none"/>
        </w:rPr>
      </w:pPr>
      <w:r>
        <w:rPr>
          <w:rFonts w:hint="eastAsia" w:ascii="宋体" w:hAnsi="宋体" w:eastAsia="宋体" w:cs="宋体"/>
          <w:color w:val="auto"/>
          <w:sz w:val="28"/>
          <w:highlight w:val="none"/>
        </w:rPr>
        <w:br w:type="page"/>
      </w:r>
      <w:bookmarkStart w:id="227" w:name="_Toc12843"/>
      <w:bookmarkStart w:id="228" w:name="_Toc12910"/>
      <w:bookmarkStart w:id="229" w:name="_Toc11961"/>
      <w:bookmarkStart w:id="230" w:name="_Toc18757"/>
      <w:r>
        <w:rPr>
          <w:rFonts w:hint="eastAsia" w:ascii="宋体" w:hAnsi="宋体" w:eastAsia="宋体" w:cs="宋体"/>
          <w:color w:val="auto"/>
          <w:sz w:val="28"/>
          <w:highlight w:val="none"/>
        </w:rPr>
        <w:t>四、资格审查资料</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Start w:id="231" w:name="_Toc513633974"/>
      <w:bookmarkStart w:id="232" w:name="_Toc503951058"/>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3CD93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3840A7C9">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756DFB81">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1B8F366B">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资格要求</w:t>
            </w:r>
          </w:p>
        </w:tc>
      </w:tr>
      <w:tr w14:paraId="4EDD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14:paraId="58AC1361">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14:paraId="16B7DF92">
            <w:pPr>
              <w:keepNext w:val="0"/>
              <w:keepLines w:val="0"/>
              <w:suppressLineNumbers w:val="0"/>
              <w:spacing w:before="0" w:beforeAutospacing="0" w:after="0" w:afterAutospacing="0" w:line="40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14:paraId="5FF40F69">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1</w:t>
            </w:r>
            <w:r>
              <w:rPr>
                <w:rFonts w:hint="eastAsia" w:ascii="宋体" w:hAnsi="宋体" w:cs="宋体"/>
                <w:color w:val="auto"/>
                <w:szCs w:val="21"/>
                <w:highlight w:val="none"/>
                <w:shd w:val="clear" w:color="auto" w:fill="FFFFFF"/>
                <w:lang w:eastAsia="zh-CN"/>
              </w:rPr>
              <w:t>）</w:t>
            </w:r>
            <w:r>
              <w:rPr>
                <w:rFonts w:hint="eastAsia" w:ascii="宋体" w:hAnsi="宋体" w:cs="宋体"/>
                <w:color w:val="auto"/>
                <w:highlight w:val="none"/>
                <w:lang w:eastAsia="zh-CN"/>
              </w:rPr>
              <w:t>报价人具有独立法人资格及有效的营业执照。</w:t>
            </w:r>
          </w:p>
          <w:p w14:paraId="3CE1EEC8">
            <w:pPr>
              <w:keepNext w:val="0"/>
              <w:keepLines w:val="0"/>
              <w:pageBreakBefore w:val="0"/>
              <w:suppressLineNumbers w:val="0"/>
              <w:kinsoku/>
              <w:overflowPunct/>
              <w:topLinePunct w:val="0"/>
              <w:bidi w:val="0"/>
              <w:adjustRightInd w:val="0"/>
              <w:snapToGrid w:val="0"/>
              <w:spacing w:before="0" w:beforeAutospacing="0" w:after="0" w:afterAutospacing="0" w:line="420" w:lineRule="exact"/>
              <w:ind w:left="0" w:leftChars="0" w:right="0" w:firstLine="420" w:firstLineChars="200"/>
              <w:jc w:val="left"/>
              <w:textAlignment w:val="auto"/>
              <w:rPr>
                <w:rFonts w:hint="default" w:ascii="宋体" w:hAnsi="宋体" w:cs="宋体"/>
                <w:color w:val="auto"/>
                <w:szCs w:val="21"/>
                <w:highlight w:val="none"/>
              </w:rPr>
            </w:pPr>
            <w:r>
              <w:rPr>
                <w:rFonts w:hint="eastAsia" w:ascii="宋体" w:hAnsi="宋体" w:cs="宋体"/>
                <w:color w:val="auto"/>
                <w:szCs w:val="21"/>
                <w:highlight w:val="none"/>
                <w:shd w:val="clear" w:color="auto" w:fill="FFFFFF"/>
              </w:rPr>
              <w:t>（2）</w:t>
            </w:r>
            <w:r>
              <w:rPr>
                <w:rFonts w:hint="eastAsia" w:ascii="宋体" w:hAnsi="宋体" w:cs="宋体"/>
                <w:color w:val="auto"/>
                <w:highlight w:val="none"/>
                <w:lang w:eastAsia="zh-CN"/>
              </w:rPr>
              <w:t>报价</w:t>
            </w:r>
            <w:r>
              <w:rPr>
                <w:rFonts w:hint="eastAsia" w:ascii="宋体" w:hAnsi="宋体" w:cs="宋体"/>
                <w:color w:val="auto"/>
                <w:szCs w:val="21"/>
                <w:highlight w:val="none"/>
                <w:shd w:val="clear" w:color="auto" w:fill="FFFFFF"/>
              </w:rPr>
              <w:t>人需</w:t>
            </w:r>
            <w:r>
              <w:rPr>
                <w:rFonts w:hint="eastAsia" w:ascii="宋体" w:hAnsi="宋体" w:cs="宋体"/>
                <w:color w:val="auto"/>
                <w:szCs w:val="21"/>
                <w:highlight w:val="none"/>
                <w:shd w:val="clear" w:color="auto" w:fill="FFFFFF"/>
                <w:lang w:val="en-US" w:eastAsia="zh-CN"/>
              </w:rPr>
              <w:t>具备</w:t>
            </w:r>
            <w:r>
              <w:rPr>
                <w:rFonts w:hint="eastAsia" w:ascii="宋体" w:hAnsi="宋体" w:cs="宋体"/>
                <w:color w:val="auto"/>
                <w:szCs w:val="21"/>
                <w:highlight w:val="none"/>
                <w:shd w:val="clear" w:color="auto" w:fill="FFFFFF"/>
              </w:rPr>
              <w:t>“国家秘密载体印制资质”乙级及以上资质证书</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rPr>
              <w:t>资质类别：档案数字化加工或涉密档案数字化加工</w:t>
            </w:r>
            <w:r>
              <w:rPr>
                <w:rFonts w:hint="eastAsia" w:ascii="宋体" w:hAnsi="宋体" w:cs="宋体"/>
                <w:color w:val="auto"/>
                <w:szCs w:val="21"/>
                <w:highlight w:val="none"/>
                <w:shd w:val="clear" w:color="auto" w:fill="FFFFFF"/>
                <w:lang w:eastAsia="zh-CN"/>
              </w:rPr>
              <w:t>）。</w:t>
            </w:r>
          </w:p>
        </w:tc>
      </w:tr>
      <w:tr w14:paraId="6481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78709EAC">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14:paraId="4133DD09">
            <w:pPr>
              <w:keepNext w:val="0"/>
              <w:keepLines w:val="0"/>
              <w:suppressLineNumbers w:val="0"/>
              <w:spacing w:before="0" w:beforeAutospacing="0" w:after="0" w:afterAutospacing="0" w:line="400" w:lineRule="exact"/>
              <w:ind w:left="0" w:right="0"/>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48D47EC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2021年1月1日至竞争性比选文件发出之日（以合同签订时间为准）起至少承担一项合同金额不低于15万元的类似档案管理</w:t>
            </w:r>
            <w:r>
              <w:rPr>
                <w:rFonts w:hint="eastAsia" w:ascii="宋体" w:hAnsi="宋体" w:cs="宋体"/>
                <w:color w:val="auto"/>
                <w:szCs w:val="21"/>
                <w:highlight w:val="none"/>
                <w:shd w:val="clear" w:color="auto" w:fill="FFFFFF"/>
              </w:rPr>
              <w:t>软件开发或</w:t>
            </w:r>
            <w:r>
              <w:rPr>
                <w:rFonts w:hint="eastAsia" w:ascii="宋体" w:hAnsi="宋体" w:cs="宋体"/>
                <w:color w:val="auto"/>
                <w:szCs w:val="21"/>
                <w:highlight w:val="none"/>
                <w:shd w:val="clear" w:color="auto" w:fill="FFFFFF"/>
                <w:lang w:val="en-US" w:eastAsia="zh-CN"/>
              </w:rPr>
              <w:t>技术服务业绩。</w:t>
            </w:r>
          </w:p>
        </w:tc>
      </w:tr>
      <w:tr w14:paraId="7707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58BD6E5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14:paraId="19ABBF47">
            <w:pPr>
              <w:keepNext w:val="0"/>
              <w:keepLines w:val="0"/>
              <w:suppressLineNumbers w:val="0"/>
              <w:spacing w:before="0" w:beforeAutospacing="0" w:after="0" w:afterAutospacing="0" w:line="40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5EF7847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rPr>
                <w:rFonts w:hint="default"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eastAsia="宋体" w:cs="宋体"/>
                <w:color w:val="auto"/>
                <w:sz w:val="21"/>
                <w:szCs w:val="21"/>
                <w:highlight w:val="none"/>
                <w:lang w:val="en-US" w:eastAsia="zh-CN"/>
              </w:rPr>
              <w:t>。</w:t>
            </w:r>
          </w:p>
        </w:tc>
      </w:tr>
    </w:tbl>
    <w:p w14:paraId="7FEDD08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hAnsi="宋体" w:eastAsia="宋体"/>
          <w:b/>
          <w:bCs/>
          <w:color w:val="auto"/>
          <w:sz w:val="21"/>
          <w:szCs w:val="21"/>
          <w:highlight w:val="none"/>
          <w:lang w:val="en-US" w:eastAsia="zh-CN"/>
        </w:rPr>
      </w:pPr>
      <w:r>
        <w:rPr>
          <w:rFonts w:hint="eastAsia" w:hAnsi="宋体"/>
          <w:b/>
          <w:bCs/>
          <w:color w:val="auto"/>
          <w:sz w:val="21"/>
          <w:szCs w:val="21"/>
          <w:highlight w:val="none"/>
        </w:rPr>
        <w:t>注：</w:t>
      </w:r>
      <w:r>
        <w:rPr>
          <w:rFonts w:hint="eastAsia" w:hAnsi="宋体"/>
          <w:b/>
          <w:bCs/>
          <w:color w:val="auto"/>
          <w:kern w:val="0"/>
          <w:szCs w:val="21"/>
          <w:highlight w:val="none"/>
        </w:rPr>
        <w:t>1.提供公司营业执照复印件，并加盖单位公章</w:t>
      </w:r>
      <w:r>
        <w:rPr>
          <w:rFonts w:hint="eastAsia" w:hAnsi="宋体"/>
          <w:b/>
          <w:bCs/>
          <w:color w:val="auto"/>
          <w:kern w:val="0"/>
          <w:szCs w:val="21"/>
          <w:highlight w:val="none"/>
          <w:lang w:eastAsia="zh-CN"/>
        </w:rPr>
        <w:t>。</w:t>
      </w:r>
    </w:p>
    <w:p w14:paraId="2E016AE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2.业绩证明资料（技术咨询服务）</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w:t>
      </w:r>
      <w:r>
        <w:rPr>
          <w:rFonts w:hint="eastAsia" w:hAnsi="宋体"/>
          <w:b/>
          <w:bCs/>
          <w:color w:val="auto"/>
          <w:kern w:val="0"/>
          <w:szCs w:val="21"/>
          <w:highlight w:val="none"/>
          <w:lang w:val="en-US" w:eastAsia="zh-CN"/>
        </w:rPr>
        <w:t>证明资料</w:t>
      </w:r>
      <w:r>
        <w:rPr>
          <w:rFonts w:hint="eastAsia" w:hAnsi="宋体"/>
          <w:b/>
          <w:bCs/>
          <w:color w:val="auto"/>
          <w:kern w:val="0"/>
          <w:szCs w:val="21"/>
          <w:highlight w:val="none"/>
        </w:rPr>
        <w:t>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14:paraId="0151B5A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14:paraId="66DF764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sz w:val="21"/>
          <w:szCs w:val="21"/>
          <w:highlight w:val="none"/>
        </w:rPr>
      </w:pPr>
    </w:p>
    <w:p w14:paraId="224DF0CF">
      <w:pPr>
        <w:rPr>
          <w:rFonts w:ascii="宋体" w:hAnsi="宋体" w:cs="宋体"/>
          <w:color w:val="auto"/>
          <w:sz w:val="28"/>
          <w:highlight w:val="none"/>
        </w:rPr>
      </w:pPr>
    </w:p>
    <w:p w14:paraId="3FD3F257">
      <w:pP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p>
    <w:p w14:paraId="77355F2B">
      <w:pPr>
        <w:pStyle w:val="4"/>
        <w:spacing w:before="0" w:after="0" w:line="360" w:lineRule="auto"/>
        <w:jc w:val="center"/>
        <w:rPr>
          <w:rFonts w:ascii="宋体" w:hAnsi="宋体" w:eastAsia="宋体" w:cs="宋体"/>
          <w:color w:val="auto"/>
          <w:sz w:val="28"/>
          <w:highlight w:val="none"/>
        </w:rPr>
      </w:pPr>
      <w:bookmarkStart w:id="233" w:name="_Toc8754"/>
      <w:r>
        <w:rPr>
          <w:rFonts w:hint="eastAsia" w:ascii="宋体" w:hAnsi="宋体" w:eastAsia="宋体" w:cs="宋体"/>
          <w:color w:val="auto"/>
          <w:sz w:val="28"/>
          <w:highlight w:val="none"/>
        </w:rPr>
        <w:t>五、报价人承诺</w:t>
      </w:r>
      <w:bookmarkEnd w:id="233"/>
    </w:p>
    <w:p w14:paraId="5590EE14">
      <w:pPr>
        <w:pStyle w:val="16"/>
        <w:rPr>
          <w:color w:val="auto"/>
          <w:highlight w:val="none"/>
        </w:rPr>
      </w:pPr>
    </w:p>
    <w:p w14:paraId="340A600A">
      <w:pPr>
        <w:pStyle w:val="38"/>
        <w:spacing w:line="480" w:lineRule="auto"/>
        <w:jc w:val="both"/>
        <w:rPr>
          <w:rFonts w:hAnsi="宋体"/>
          <w:color w:val="auto"/>
          <w:highlight w:val="none"/>
        </w:rPr>
      </w:pPr>
      <w:r>
        <w:rPr>
          <w:rFonts w:hint="eastAsia" w:hAnsi="宋体"/>
          <w:color w:val="auto"/>
          <w:highlight w:val="none"/>
        </w:rPr>
        <w:t>致：</w:t>
      </w:r>
      <w:r>
        <w:rPr>
          <w:rFonts w:hint="eastAsia" w:hAnsi="宋体"/>
          <w:color w:val="auto"/>
          <w:highlight w:val="none"/>
          <w:u w:val="single"/>
        </w:rPr>
        <w:t>重庆首讯科技股份有限公司</w:t>
      </w:r>
    </w:p>
    <w:p w14:paraId="0D133342">
      <w:pPr>
        <w:rPr>
          <w:color w:val="auto"/>
          <w:highlight w:val="none"/>
        </w:rPr>
      </w:pPr>
    </w:p>
    <w:p w14:paraId="418F40F9">
      <w:pPr>
        <w:tabs>
          <w:tab w:val="left" w:pos="1680"/>
          <w:tab w:val="left" w:pos="4215"/>
          <w:tab w:val="left" w:pos="4305"/>
          <w:tab w:val="left" w:pos="8000"/>
        </w:tabs>
        <w:autoSpaceDE w:val="0"/>
        <w:autoSpaceDN w:val="0"/>
        <w:adjustRightInd w:val="0"/>
        <w:snapToGrid w:val="0"/>
        <w:spacing w:line="480" w:lineRule="auto"/>
        <w:ind w:firstLine="720" w:firstLineChars="300"/>
        <w:rPr>
          <w:rFonts w:hint="eastAsia" w:ascii="宋体" w:hAnsi="宋体"/>
          <w:color w:val="auto"/>
          <w:sz w:val="24"/>
          <w:highlight w:val="none"/>
        </w:rPr>
      </w:pPr>
      <w:r>
        <w:rPr>
          <w:rFonts w:hint="eastAsia" w:ascii="宋体" w:hAnsi="宋体"/>
          <w:color w:val="auto"/>
          <w:sz w:val="24"/>
          <w:highlight w:val="none"/>
        </w:rPr>
        <w:t>在研究</w:t>
      </w:r>
      <w:r>
        <w:rPr>
          <w:rFonts w:hint="eastAsia" w:ascii="Arial" w:hAnsi="Arial" w:cs="Arial"/>
          <w:color w:val="auto"/>
          <w:sz w:val="24"/>
          <w:highlight w:val="none"/>
          <w:u w:val="single"/>
          <w:lang w:val="en-US" w:eastAsia="zh-CN"/>
        </w:rPr>
        <w:t xml:space="preserve">            （项目名称）</w:t>
      </w:r>
      <w:r>
        <w:rPr>
          <w:rFonts w:hint="eastAsia" w:ascii="Arial" w:hAnsi="Arial" w:cs="Arial"/>
          <w:color w:val="auto"/>
          <w:sz w:val="24"/>
          <w:highlight w:val="none"/>
        </w:rPr>
        <w:t>项目</w:t>
      </w:r>
      <w:r>
        <w:rPr>
          <w:rFonts w:hint="eastAsia" w:ascii="宋体" w:hAnsi="宋体"/>
          <w:color w:val="auto"/>
          <w:sz w:val="24"/>
          <w:highlight w:val="none"/>
        </w:rPr>
        <w:t>竞争比选文件后，在此郑重承诺我司满足本项目一切报价内容、报价、服务期限及质量标准等相关要求，响应比选函的一切内容，同时申明将按照自行给出的商务、技术方案组建服务团队、履行服务义务。若我司中标本项目且无法满足业主相关需求，我司愿承担由此给采购人造成的一切损失。</w:t>
      </w:r>
    </w:p>
    <w:p w14:paraId="2DD73A1D">
      <w:pPr>
        <w:keepNext w:val="0"/>
        <w:keepLines w:val="0"/>
        <w:pageBreakBefore w:val="0"/>
        <w:widowControl w:val="0"/>
        <w:tabs>
          <w:tab w:val="left" w:pos="1680"/>
          <w:tab w:val="left" w:pos="4215"/>
          <w:tab w:val="left" w:pos="4305"/>
          <w:tab w:val="left" w:pos="8000"/>
        </w:tabs>
        <w:kinsoku/>
        <w:wordWrap w:val="0"/>
        <w:overflowPunct/>
        <w:topLinePunct w:val="0"/>
        <w:autoSpaceDE w:val="0"/>
        <w:autoSpaceDN w:val="0"/>
        <w:bidi w:val="0"/>
        <w:adjustRightInd w:val="0"/>
        <w:snapToGrid w:val="0"/>
        <w:spacing w:line="480" w:lineRule="auto"/>
        <w:ind w:firstLine="720" w:firstLineChars="300"/>
        <w:textAlignment w:val="auto"/>
        <w:rPr>
          <w:rFonts w:hint="eastAsia" w:ascii="宋体" w:hAnsi="宋体"/>
          <w:color w:val="auto"/>
          <w:sz w:val="24"/>
          <w:highlight w:val="none"/>
        </w:rPr>
      </w:pPr>
      <w:r>
        <w:rPr>
          <w:rFonts w:hint="eastAsia" w:ascii="宋体" w:hAnsi="宋体"/>
          <w:color w:val="auto"/>
          <w:sz w:val="24"/>
          <w:highlight w:val="none"/>
          <w:lang w:val="en-US" w:eastAsia="zh-CN"/>
        </w:rPr>
        <w:t>我公司</w:t>
      </w:r>
      <w:r>
        <w:rPr>
          <w:rFonts w:hint="eastAsia" w:ascii="宋体" w:hAnsi="宋体"/>
          <w:color w:val="auto"/>
          <w:sz w:val="24"/>
          <w:highlight w:val="none"/>
        </w:rPr>
        <w:t>在此承诺</w:t>
      </w:r>
      <w:r>
        <w:rPr>
          <w:rFonts w:hint="eastAsia" w:ascii="宋体" w:hAnsi="宋体"/>
          <w:color w:val="auto"/>
          <w:sz w:val="24"/>
          <w:highlight w:val="none"/>
          <w:lang w:eastAsia="zh-CN"/>
        </w:rPr>
        <w:t>：</w:t>
      </w:r>
      <w:r>
        <w:rPr>
          <w:rFonts w:hint="eastAsia" w:ascii="宋体" w:hAnsi="宋体"/>
          <w:color w:val="auto"/>
          <w:sz w:val="24"/>
          <w:highlight w:val="none"/>
        </w:rPr>
        <w:t>我公司具有良好的商业信誉，在国家企业信用信息公示系统（http://www.gsxt.gov.cn/）中未被列入严重违法失信企业名单（黑名单）信息；在“信用中国”网站（http://www.creditchina.gov.cn/）中未被列入严重失信主体名单。</w:t>
      </w:r>
    </w:p>
    <w:p w14:paraId="7CC9E192">
      <w:pPr>
        <w:pStyle w:val="16"/>
        <w:spacing w:line="480" w:lineRule="auto"/>
        <w:rPr>
          <w:rFonts w:ascii="宋体" w:hAnsi="宋体"/>
          <w:color w:val="auto"/>
          <w:sz w:val="24"/>
          <w:highlight w:val="none"/>
        </w:rPr>
      </w:pPr>
    </w:p>
    <w:p w14:paraId="1570E223">
      <w:pPr>
        <w:spacing w:line="480" w:lineRule="auto"/>
        <w:rPr>
          <w:rFonts w:ascii="宋体" w:hAnsi="宋体"/>
          <w:color w:val="auto"/>
          <w:sz w:val="24"/>
          <w:highlight w:val="none"/>
        </w:rPr>
      </w:pPr>
    </w:p>
    <w:p w14:paraId="26A015DC">
      <w:pPr>
        <w:pStyle w:val="16"/>
        <w:spacing w:line="480" w:lineRule="auto"/>
        <w:rPr>
          <w:rFonts w:ascii="宋体" w:hAnsi="宋体"/>
          <w:color w:val="auto"/>
          <w:sz w:val="24"/>
          <w:highlight w:val="none"/>
        </w:rPr>
      </w:pPr>
    </w:p>
    <w:p w14:paraId="667354CA">
      <w:pPr>
        <w:keepNext w:val="0"/>
        <w:keepLines w:val="0"/>
        <w:pageBreakBefore w:val="0"/>
        <w:widowControl w:val="0"/>
        <w:kinsoku/>
        <w:wordWrap/>
        <w:overflowPunct/>
        <w:topLinePunct w:val="0"/>
        <w:autoSpaceDE/>
        <w:autoSpaceDN/>
        <w:bidi w:val="0"/>
        <w:adjustRightInd/>
        <w:snapToGrid/>
        <w:spacing w:line="480" w:lineRule="auto"/>
        <w:ind w:firstLine="4819" w:firstLineChars="2000"/>
        <w:textAlignment w:val="auto"/>
        <w:rPr>
          <w:rFonts w:hint="eastAsia" w:ascii="宋体" w:hAnsi="宋体" w:eastAsia="宋体"/>
          <w:b/>
          <w:bCs/>
          <w:color w:val="auto"/>
          <w:sz w:val="24"/>
          <w:highlight w:val="none"/>
          <w:lang w:eastAsia="zh-CN"/>
        </w:rPr>
      </w:pPr>
      <w:r>
        <w:rPr>
          <w:rFonts w:hint="eastAsia" w:ascii="宋体" w:hAnsi="宋体"/>
          <w:b/>
          <w:bCs/>
          <w:color w:val="auto"/>
          <w:sz w:val="24"/>
          <w:highlight w:val="none"/>
        </w:rPr>
        <w:t>报价人</w:t>
      </w:r>
      <w:r>
        <w:rPr>
          <w:rFonts w:hint="eastAsia" w:ascii="宋体" w:hAnsi="宋体"/>
          <w:b/>
          <w:bCs/>
          <w:color w:val="auto"/>
          <w:sz w:val="24"/>
          <w:highlight w:val="none"/>
          <w:lang w:val="en-US" w:eastAsia="zh-CN"/>
        </w:rPr>
        <w:t>（盖单位公章）</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lang w:val="en-US" w:eastAsia="zh-CN"/>
        </w:rPr>
        <w:tab/>
      </w:r>
    </w:p>
    <w:p w14:paraId="517320AF">
      <w:pPr>
        <w:pStyle w:val="16"/>
        <w:keepNext w:val="0"/>
        <w:keepLines w:val="0"/>
        <w:pageBreakBefore w:val="0"/>
        <w:widowControl w:val="0"/>
        <w:kinsoku/>
        <w:wordWrap/>
        <w:overflowPunct/>
        <w:topLinePunct w:val="0"/>
        <w:autoSpaceDE/>
        <w:autoSpaceDN/>
        <w:bidi w:val="0"/>
        <w:adjustRightInd/>
        <w:snapToGrid/>
        <w:spacing w:line="480" w:lineRule="auto"/>
        <w:ind w:firstLine="4819" w:firstLineChars="2000"/>
        <w:textAlignment w:val="auto"/>
        <w:rPr>
          <w:rFonts w:hint="eastAsia" w:ascii="宋体" w:hAnsi="宋体"/>
          <w:b/>
          <w:bCs/>
          <w:color w:val="auto"/>
          <w:sz w:val="24"/>
          <w:highlight w:val="none"/>
        </w:rPr>
      </w:pPr>
      <w:r>
        <w:rPr>
          <w:rFonts w:hint="eastAsia" w:ascii="宋体" w:hAnsi="宋体"/>
          <w:b/>
          <w:bCs/>
          <w:color w:val="auto"/>
          <w:sz w:val="24"/>
          <w:highlight w:val="none"/>
        </w:rPr>
        <w:t>日期：</w:t>
      </w:r>
    </w:p>
    <w:p w14:paraId="7188A83D">
      <w:pPr>
        <w:rPr>
          <w:rFonts w:hint="eastAsia" w:ascii="宋体" w:hAnsi="宋体"/>
          <w:b/>
          <w:bCs/>
          <w:color w:val="auto"/>
          <w:sz w:val="24"/>
          <w:highlight w:val="none"/>
        </w:rPr>
      </w:pPr>
      <w:r>
        <w:rPr>
          <w:rFonts w:hint="eastAsia" w:ascii="宋体" w:hAnsi="宋体"/>
          <w:b/>
          <w:bCs/>
          <w:color w:val="auto"/>
          <w:sz w:val="24"/>
          <w:highlight w:val="none"/>
        </w:rPr>
        <w:br w:type="page"/>
      </w:r>
    </w:p>
    <w:p w14:paraId="53AFC68B">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宋体" w:hAnsi="宋体" w:eastAsia="宋体" w:cs="宋体"/>
          <w:b/>
          <w:bCs/>
          <w:color w:val="auto"/>
          <w:kern w:val="0"/>
          <w:sz w:val="28"/>
          <w:szCs w:val="32"/>
          <w:highlight w:val="none"/>
          <w:lang w:val="en-US" w:eastAsia="zh-CN" w:bidi="ar-SA"/>
        </w:rPr>
      </w:pPr>
      <w:bookmarkStart w:id="234" w:name="_Toc3949"/>
      <w:r>
        <w:rPr>
          <w:rFonts w:hint="eastAsia" w:ascii="宋体" w:hAnsi="宋体" w:eastAsia="宋体" w:cs="宋体"/>
          <w:b/>
          <w:bCs/>
          <w:color w:val="auto"/>
          <w:kern w:val="0"/>
          <w:sz w:val="28"/>
          <w:szCs w:val="32"/>
          <w:highlight w:val="none"/>
          <w:lang w:val="en-US" w:eastAsia="zh-CN" w:bidi="ar-SA"/>
        </w:rPr>
        <w:t>六、报价人其他资料</w:t>
      </w:r>
      <w:bookmarkEnd w:id="234"/>
    </w:p>
    <w:p w14:paraId="36D7BE6D">
      <w:pPr>
        <w:pStyle w:val="5"/>
        <w:spacing w:before="0" w:after="0" w:line="360" w:lineRule="auto"/>
        <w:jc w:val="center"/>
        <w:rPr>
          <w:color w:val="auto"/>
          <w:sz w:val="28"/>
          <w:szCs w:val="28"/>
          <w:highlight w:val="none"/>
        </w:rPr>
      </w:pPr>
      <w:bookmarkStart w:id="235" w:name="_Toc452107137"/>
      <w:bookmarkStart w:id="236" w:name="_Toc4375"/>
      <w:bookmarkStart w:id="237" w:name="_Toc508110857"/>
      <w:r>
        <w:rPr>
          <w:rFonts w:hint="eastAsia"/>
          <w:color w:val="auto"/>
          <w:sz w:val="28"/>
          <w:szCs w:val="28"/>
          <w:highlight w:val="none"/>
        </w:rPr>
        <w:t>（一）报价人基本信息表</w:t>
      </w:r>
      <w:bookmarkEnd w:id="235"/>
      <w:bookmarkEnd w:id="236"/>
      <w:bookmarkEnd w:id="237"/>
    </w:p>
    <w:p w14:paraId="4D2AB63F">
      <w:pPr>
        <w:pStyle w:val="26"/>
        <w:rPr>
          <w:color w:val="auto"/>
          <w:highlight w:val="none"/>
        </w:rPr>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14:paraId="08174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14:paraId="2D301F87">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4055D0C4">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r>
      <w:tr w14:paraId="11DD9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14:paraId="7DC774DD">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报价人</w:t>
            </w:r>
          </w:p>
          <w:p w14:paraId="4B988FAD">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5F36A649">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r>
      <w:tr w14:paraId="24983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14:paraId="0DFDA563">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14:paraId="4AF65571">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7C775690">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1C45001C">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r>
      <w:tr w14:paraId="46761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14:paraId="277AC581">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14:paraId="79BE62E4">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58AA5514">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989764B">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7660A7B">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r>
      <w:tr w14:paraId="674A9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14:paraId="32CB48AB">
            <w:pPr>
              <w:keepNext w:val="0"/>
              <w:keepLines w:val="0"/>
              <w:widowControl/>
              <w:suppressLineNumbers w:val="0"/>
              <w:spacing w:before="0" w:beforeAutospacing="0" w:after="0" w:afterAutospacing="0"/>
              <w:ind w:left="0" w:right="0"/>
              <w:jc w:val="left"/>
              <w:rPr>
                <w:rFonts w:hint="default"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5AE6AB4A">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2E6CF551">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3FA8EFF9">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712D2C95">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r>
      <w:tr w14:paraId="4813D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14:paraId="36E50A7C">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28BDE1A8">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r>
      <w:tr w14:paraId="16F42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14:paraId="7D445CC7">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14:paraId="7178532F">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27D81B82">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A0F61A9">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346B4FAC">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41C8F266">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761156FC">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r>
      <w:tr w14:paraId="5923A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14:paraId="3921FBBD">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14:paraId="4051BE8D">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70FD1AB6">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582C835">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294DDADE">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64D8D3D6">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7D1A304E">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r>
      <w:tr w14:paraId="1FFE6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14:paraId="52AFD40F">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427C9B0B">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14:paraId="39FDFC1D">
            <w:pPr>
              <w:keepNext w:val="0"/>
              <w:keepLines w:val="0"/>
              <w:suppressLineNumbers w:val="0"/>
              <w:topLinePunct/>
              <w:spacing w:before="0" w:beforeAutospacing="0" w:after="0" w:afterAutospacing="0" w:line="440" w:lineRule="exact"/>
              <w:ind w:left="0" w:right="0" w:firstLine="105" w:firstLineChars="50"/>
              <w:jc w:val="center"/>
              <w:rPr>
                <w:rFonts w:hint="default" w:ascii="宋体" w:hAnsi="宋体" w:cs="宋体"/>
                <w:color w:val="auto"/>
                <w:szCs w:val="21"/>
                <w:highlight w:val="none"/>
              </w:rPr>
            </w:pPr>
            <w:r>
              <w:rPr>
                <w:rFonts w:hint="eastAsia" w:ascii="宋体" w:hAnsi="宋体" w:cs="宋体"/>
                <w:color w:val="auto"/>
                <w:szCs w:val="21"/>
                <w:highlight w:val="none"/>
              </w:rPr>
              <w:t>员工总人数：</w:t>
            </w:r>
          </w:p>
        </w:tc>
      </w:tr>
      <w:tr w14:paraId="47277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14:paraId="1FF0F0CD">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5145749B">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14:paraId="1BAB80A4">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6729E56C">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8363A41">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r>
      <w:tr w14:paraId="0B281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14:paraId="2C068F13">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14637FBC">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272A007D">
            <w:pPr>
              <w:keepNext w:val="0"/>
              <w:keepLines w:val="0"/>
              <w:widowControl/>
              <w:suppressLineNumbers w:val="0"/>
              <w:spacing w:before="0" w:beforeAutospacing="0" w:after="0" w:afterAutospacing="0"/>
              <w:ind w:left="0" w:right="0"/>
              <w:jc w:val="left"/>
              <w:rPr>
                <w:rFonts w:hint="default"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77D74E84">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D8D2B51">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r>
      <w:tr w14:paraId="00DE2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14:paraId="6FCFBE6F">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63BA5D34">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0AAA29BB">
            <w:pPr>
              <w:keepNext w:val="0"/>
              <w:keepLines w:val="0"/>
              <w:widowControl/>
              <w:suppressLineNumbers w:val="0"/>
              <w:spacing w:before="0" w:beforeAutospacing="0" w:after="0" w:afterAutospacing="0"/>
              <w:ind w:left="0" w:right="0"/>
              <w:jc w:val="left"/>
              <w:rPr>
                <w:rFonts w:hint="default"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279509F6">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09EF4E6">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r>
      <w:tr w14:paraId="7B22D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14:paraId="10942CA2">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1C02BE9E">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19376521">
            <w:pPr>
              <w:keepNext w:val="0"/>
              <w:keepLines w:val="0"/>
              <w:widowControl/>
              <w:suppressLineNumbers w:val="0"/>
              <w:spacing w:before="0" w:beforeAutospacing="0" w:after="0" w:afterAutospacing="0"/>
              <w:ind w:left="0" w:right="0"/>
              <w:jc w:val="left"/>
              <w:rPr>
                <w:rFonts w:hint="default"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01A39E22">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E4A1EED">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r>
      <w:tr w14:paraId="36DD1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14:paraId="39CB26CA">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2E76414B">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2E6BAD63">
            <w:pPr>
              <w:keepNext w:val="0"/>
              <w:keepLines w:val="0"/>
              <w:widowControl/>
              <w:suppressLineNumbers w:val="0"/>
              <w:spacing w:before="0" w:beforeAutospacing="0" w:after="0" w:afterAutospacing="0"/>
              <w:ind w:left="0" w:right="0"/>
              <w:jc w:val="left"/>
              <w:rPr>
                <w:rFonts w:hint="default"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45B6F4B3">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highlight w:val="none"/>
              </w:rPr>
            </w:pPr>
            <w:r>
              <w:rPr>
                <w:rFonts w:hint="eastAsia" w:ascii="宋体" w:hAnsi="宋体" w:cs="宋体"/>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62663CA1">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r>
      <w:tr w14:paraId="38F88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14:paraId="53A55800">
            <w:pPr>
              <w:keepNext w:val="0"/>
              <w:keepLines w:val="0"/>
              <w:suppressLineNumbers w:val="0"/>
              <w:topLinePunct/>
              <w:spacing w:before="0" w:beforeAutospacing="0" w:after="0" w:afterAutospacing="0" w:line="440" w:lineRule="exact"/>
              <w:ind w:left="0" w:right="0" w:firstLine="210" w:firstLineChars="100"/>
              <w:jc w:val="center"/>
              <w:rPr>
                <w:rFonts w:hint="default" w:ascii="宋体" w:hAnsi="宋体" w:cs="宋体"/>
                <w:color w:val="auto"/>
                <w:szCs w:val="21"/>
                <w:highlight w:val="none"/>
              </w:rPr>
            </w:pPr>
            <w:r>
              <w:rPr>
                <w:rFonts w:hint="eastAsia" w:ascii="宋体" w:hAnsi="宋体" w:cs="宋体"/>
                <w:color w:val="auto"/>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14:paraId="0C120935">
            <w:pPr>
              <w:keepNext w:val="0"/>
              <w:keepLines w:val="0"/>
              <w:suppressLineNumbers w:val="0"/>
              <w:topLinePunct/>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 </w:t>
            </w:r>
          </w:p>
        </w:tc>
      </w:tr>
      <w:tr w14:paraId="443C5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14:paraId="69DB9DBE">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7B728B54">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r>
    </w:tbl>
    <w:p w14:paraId="57A80EAD">
      <w:pPr>
        <w:pStyle w:val="16"/>
        <w:rPr>
          <w:rFonts w:hint="eastAsia" w:ascii="宋体" w:hAnsi="宋体" w:cs="宋体"/>
          <w:color w:val="auto"/>
          <w:sz w:val="28"/>
          <w:highlight w:val="none"/>
          <w:lang w:eastAsia="zh-CN"/>
        </w:rPr>
      </w:pPr>
    </w:p>
    <w:p w14:paraId="7816B5D8">
      <w:pPr>
        <w:pStyle w:val="16"/>
        <w:rPr>
          <w:rFonts w:hint="eastAsia" w:ascii="宋体" w:hAnsi="宋体" w:cs="宋体"/>
          <w:color w:val="auto"/>
          <w:sz w:val="28"/>
          <w:highlight w:val="none"/>
          <w:lang w:eastAsia="zh-CN"/>
        </w:rPr>
      </w:pPr>
    </w:p>
    <w:p w14:paraId="6FF01D88">
      <w:pPr>
        <w:autoSpaceDE w:val="0"/>
        <w:autoSpaceDN w:val="0"/>
        <w:adjustRightInd w:val="0"/>
        <w:snapToGrid w:val="0"/>
        <w:spacing w:line="360" w:lineRule="auto"/>
        <w:jc w:val="center"/>
        <w:rPr>
          <w:b/>
          <w:bCs/>
          <w:caps/>
          <w:color w:val="auto"/>
          <w:sz w:val="32"/>
          <w:szCs w:val="32"/>
          <w:highlight w:val="none"/>
        </w:rPr>
      </w:pP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rPr>
        <w:t>低价风险担保提交承诺书（如有）</w:t>
      </w:r>
    </w:p>
    <w:p w14:paraId="6EB66A39">
      <w:pPr>
        <w:rPr>
          <w:color w:val="auto"/>
          <w:highlight w:val="none"/>
        </w:rPr>
      </w:pPr>
    </w:p>
    <w:p w14:paraId="3F6DFFC5">
      <w:pPr>
        <w:keepNext w:val="0"/>
        <w:keepLines w:val="0"/>
        <w:pageBreakBefore w:val="0"/>
        <w:widowControl w:val="0"/>
        <w:kinsoku/>
        <w:wordWrap/>
        <w:overflowPunct/>
        <w:topLinePunct w:val="0"/>
        <w:autoSpaceDE w:val="0"/>
        <w:autoSpaceDN w:val="0"/>
        <w:bidi w:val="0"/>
        <w:adjustRightInd w:val="0"/>
        <w:snapToGrid w:val="0"/>
        <w:spacing w:line="360" w:lineRule="auto"/>
        <w:ind w:left="420" w:leftChars="200" w:right="420" w:rightChars="200"/>
        <w:jc w:val="center"/>
        <w:textAlignment w:val="auto"/>
        <w:rPr>
          <w:rFonts w:hint="eastAsia"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w:t>
      </w:r>
      <w:r>
        <w:rPr>
          <w:rFonts w:hint="eastAsia" w:ascii="宋体" w:hAnsi="宋体"/>
          <w:snapToGrid w:val="0"/>
          <w:color w:val="auto"/>
          <w:kern w:val="0"/>
          <w:sz w:val="32"/>
          <w:szCs w:val="32"/>
          <w:highlight w:val="none"/>
          <w:lang w:val="en-US" w:eastAsia="zh-CN"/>
        </w:rPr>
        <w:t>采用经评审的最低投标价法，且</w:t>
      </w:r>
      <w:r>
        <w:rPr>
          <w:rFonts w:hint="eastAsia" w:ascii="宋体" w:hAnsi="宋体"/>
          <w:snapToGrid w:val="0"/>
          <w:color w:val="auto"/>
          <w:kern w:val="0"/>
          <w:sz w:val="32"/>
          <w:szCs w:val="32"/>
          <w:highlight w:val="none"/>
        </w:rPr>
        <w:t>投标报价低于</w:t>
      </w:r>
      <w:r>
        <w:rPr>
          <w:rFonts w:hint="eastAsia" w:ascii="宋体" w:hAnsi="宋体"/>
          <w:snapToGrid w:val="0"/>
          <w:color w:val="auto"/>
          <w:kern w:val="0"/>
          <w:sz w:val="32"/>
          <w:szCs w:val="32"/>
          <w:highlight w:val="none"/>
          <w:lang w:val="en-US" w:eastAsia="zh-CN"/>
        </w:rPr>
        <w:t>采购</w:t>
      </w:r>
      <w:r>
        <w:rPr>
          <w:rFonts w:hint="eastAsia" w:ascii="宋体" w:hAnsi="宋体"/>
          <w:snapToGrid w:val="0"/>
          <w:color w:val="auto"/>
          <w:kern w:val="0"/>
          <w:sz w:val="32"/>
          <w:szCs w:val="32"/>
          <w:highlight w:val="none"/>
        </w:rPr>
        <w:t>项目最高限价的85%时采用）</w:t>
      </w:r>
    </w:p>
    <w:p w14:paraId="7FB0E261">
      <w:pPr>
        <w:autoSpaceDE w:val="0"/>
        <w:autoSpaceDN w:val="0"/>
        <w:adjustRightInd w:val="0"/>
        <w:snapToGrid w:val="0"/>
        <w:spacing w:line="360" w:lineRule="auto"/>
        <w:jc w:val="center"/>
        <w:rPr>
          <w:rFonts w:hint="eastAsia" w:ascii="宋体" w:hAnsi="宋体"/>
          <w:snapToGrid w:val="0"/>
          <w:color w:val="auto"/>
          <w:kern w:val="0"/>
          <w:sz w:val="32"/>
          <w:szCs w:val="32"/>
          <w:highlight w:val="none"/>
        </w:rPr>
      </w:pPr>
    </w:p>
    <w:p w14:paraId="2E58843C">
      <w:pPr>
        <w:autoSpaceDE w:val="0"/>
        <w:autoSpaceDN w:val="0"/>
        <w:adjustRightInd w:val="0"/>
        <w:snapToGrid w:val="0"/>
        <w:spacing w:line="360"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采购人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14:paraId="4BE216B5">
      <w:pPr>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（报价人名称）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w:t>
      </w:r>
      <w:r>
        <w:rPr>
          <w:rFonts w:hint="eastAsia" w:ascii="宋体" w:hAnsi="宋体" w:cs="宋体"/>
          <w:snapToGrid w:val="0"/>
          <w:color w:val="auto"/>
          <w:kern w:val="0"/>
          <w:szCs w:val="21"/>
          <w:highlight w:val="none"/>
          <w:lang w:val="en-US" w:eastAsia="zh-CN"/>
        </w:rPr>
        <w:t>比选</w:t>
      </w:r>
      <w:r>
        <w:rPr>
          <w:rFonts w:hint="eastAsia" w:ascii="宋体" w:hAnsi="宋体" w:cs="宋体"/>
          <w:snapToGrid w:val="0"/>
          <w:color w:val="auto"/>
          <w:kern w:val="0"/>
          <w:szCs w:val="21"/>
          <w:highlight w:val="none"/>
        </w:rPr>
        <w:t>。我公司投标报价低于最高限价的85%，若获得中标资格，我公司承诺按照</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的规定递交低价风险担保。同时，我公司已落实低价风险担保的提交方案，承诺如采用保函形式提交低价风险担保，保函的格式和内容符合</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的要求。否则，我公司愿承担</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中约定的，因未按规定递交低价风险担保的相应责任。</w:t>
      </w:r>
    </w:p>
    <w:p w14:paraId="2CCB5F6A">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p>
    <w:p w14:paraId="41AE9119">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27A19FFC">
      <w:pPr>
        <w:autoSpaceDE w:val="0"/>
        <w:autoSpaceDN w:val="0"/>
        <w:adjustRightInd w:val="0"/>
        <w:snapToGrid w:val="0"/>
        <w:spacing w:line="360" w:lineRule="auto"/>
        <w:ind w:firstLine="640"/>
        <w:rPr>
          <w:rFonts w:hint="eastAsia" w:ascii="宋体" w:hAnsi="宋体" w:cs="宋体"/>
          <w:snapToGrid w:val="0"/>
          <w:color w:val="auto"/>
          <w:kern w:val="0"/>
          <w:sz w:val="32"/>
          <w:szCs w:val="32"/>
          <w:highlight w:val="none"/>
        </w:rPr>
      </w:pPr>
    </w:p>
    <w:p w14:paraId="56381C07">
      <w:pPr>
        <w:tabs>
          <w:tab w:val="left" w:pos="7140"/>
          <w:tab w:val="left" w:pos="7560"/>
          <w:tab w:val="left" w:pos="8300"/>
        </w:tabs>
        <w:autoSpaceDE w:val="0"/>
        <w:autoSpaceDN w:val="0"/>
        <w:adjustRightInd w:val="0"/>
        <w:ind w:firstLine="420" w:firstLineChars="200"/>
        <w:jc w:val="right"/>
        <w:rPr>
          <w:rFonts w:hint="eastAsia" w:ascii="宋体" w:hAnsi="宋体"/>
          <w:snapToGrid w:val="0"/>
          <w:color w:val="auto"/>
          <w:kern w:val="0"/>
          <w:szCs w:val="21"/>
          <w:highlight w:val="none"/>
        </w:rPr>
      </w:pPr>
      <w:r>
        <w:rPr>
          <w:rFonts w:hint="eastAsia" w:ascii="宋体" w:hAnsi="宋体"/>
          <w:color w:val="auto"/>
          <w:kern w:val="0"/>
          <w:szCs w:val="21"/>
          <w:highlight w:val="none"/>
          <w:lang w:val="en-US" w:eastAsia="zh-CN"/>
        </w:rPr>
        <w:t>报价</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lang w:val="en-US" w:eastAsia="zh-CN"/>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6265D80E">
      <w:pPr>
        <w:jc w:val="right"/>
        <w:rPr>
          <w:rFonts w:hint="eastAsia" w:ascii="宋体" w:hAnsi="宋体"/>
          <w:color w:val="auto"/>
          <w:kern w:val="0"/>
          <w:szCs w:val="21"/>
          <w:highlight w:val="none"/>
          <w:u w:val="single"/>
        </w:rPr>
      </w:pPr>
    </w:p>
    <w:p w14:paraId="2A3E73CF">
      <w:pPr>
        <w:jc w:val="right"/>
        <w:rPr>
          <w:rFonts w:hint="eastAsia"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3DDE38F7">
      <w:pPr>
        <w:rPr>
          <w:rFonts w:hint="eastAsia"/>
          <w:color w:val="auto"/>
          <w:highlight w:val="none"/>
        </w:rPr>
      </w:pPr>
    </w:p>
    <w:p w14:paraId="751CD7C6">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14:paraId="7FC8FAC5">
      <w:pPr>
        <w:spacing w:line="360" w:lineRule="auto"/>
        <w:jc w:val="center"/>
        <w:outlineLvl w:val="2"/>
        <w:rPr>
          <w:rFonts w:hint="eastAsia" w:ascii="宋体" w:hAnsi="宋体" w:eastAsia="宋体" w:cs="宋体"/>
          <w:b/>
          <w:bCs/>
          <w:color w:val="auto"/>
          <w:kern w:val="0"/>
          <w:sz w:val="28"/>
          <w:szCs w:val="32"/>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三</w:t>
      </w:r>
      <w:r>
        <w:rPr>
          <w:rFonts w:hint="eastAsia" w:ascii="宋体" w:hAnsi="宋体" w:cs="宋体"/>
          <w:b/>
          <w:bCs/>
          <w:color w:val="auto"/>
          <w:kern w:val="0"/>
          <w:sz w:val="28"/>
          <w:szCs w:val="32"/>
          <w:highlight w:val="none"/>
        </w:rPr>
        <w:t>）技术部分</w:t>
      </w:r>
    </w:p>
    <w:p w14:paraId="55D98FE5">
      <w:pPr>
        <w:pStyle w:val="4"/>
        <w:spacing w:before="0" w:after="0" w:line="360" w:lineRule="auto"/>
        <w:jc w:val="center"/>
        <w:outlineLvl w:val="9"/>
        <w:rPr>
          <w:rFonts w:ascii="宋体" w:hAnsi="宋体" w:eastAsia="宋体" w:cs="宋体"/>
          <w:color w:val="auto"/>
          <w:sz w:val="28"/>
          <w:highlight w:val="none"/>
        </w:rPr>
      </w:pPr>
    </w:p>
    <w:p w14:paraId="33F57610">
      <w:pPr>
        <w:wordWrap w:val="0"/>
        <w:adjustRightInd w:val="0"/>
        <w:snapToGrid w:val="0"/>
        <w:spacing w:line="460" w:lineRule="exact"/>
        <w:ind w:firstLine="422" w:firstLineChars="200"/>
        <w:jc w:val="left"/>
        <w:rPr>
          <w:rFonts w:hint="eastAsia" w:asciiTheme="minorEastAsia" w:hAnsiTheme="minorEastAsia" w:eastAsiaTheme="minorEastAsia" w:cstheme="minorEastAsia"/>
          <w:b/>
          <w:color w:val="auto"/>
          <w:kern w:val="0"/>
          <w:szCs w:val="21"/>
          <w:highlight w:val="none"/>
          <w:lang w:bidi="ar"/>
        </w:rPr>
      </w:pPr>
      <w:r>
        <w:rPr>
          <w:rFonts w:hint="eastAsia" w:asciiTheme="minorEastAsia" w:hAnsiTheme="minorEastAsia" w:eastAsiaTheme="minorEastAsia" w:cstheme="minorEastAsia"/>
          <w:b/>
          <w:color w:val="auto"/>
          <w:kern w:val="0"/>
          <w:szCs w:val="21"/>
          <w:highlight w:val="none"/>
          <w:lang w:bidi="ar"/>
        </w:rPr>
        <w:t>[提示：</w:t>
      </w:r>
      <w:r>
        <w:rPr>
          <w:rFonts w:hint="eastAsia" w:asciiTheme="minorEastAsia" w:hAnsiTheme="minorEastAsia" w:eastAsiaTheme="minorEastAsia" w:cstheme="minorEastAsia"/>
          <w:b/>
          <w:color w:val="auto"/>
          <w:kern w:val="0"/>
          <w:szCs w:val="21"/>
          <w:highlight w:val="none"/>
          <w:lang w:val="en-US" w:eastAsia="zh-CN" w:bidi="ar"/>
        </w:rPr>
        <w:t>当竞争性比选文件采用综合评估法时，“第三章 评标办法”</w:t>
      </w:r>
      <w:r>
        <w:rPr>
          <w:rFonts w:hint="eastAsia" w:asciiTheme="minorEastAsia" w:hAnsiTheme="minorEastAsia" w:eastAsiaTheme="minorEastAsia" w:cstheme="minorEastAsia"/>
          <w:b/>
          <w:color w:val="auto"/>
          <w:kern w:val="0"/>
          <w:szCs w:val="21"/>
          <w:highlight w:val="none"/>
          <w:lang w:bidi="ar"/>
        </w:rPr>
        <w:t>技术部分评分标准所涉及的内容及相关佐证资料由报价人自行考虑是否提供，若提供应按要求予以制作并标注内容，格式自拟，未提供的对应部分不得分，技术部分评分内容不作为判定初步评审合格与否的条件，若评标委员会认为提交的证明材料不足以证明相应评审内容的，相应部分将不被纳入参与计分。]</w:t>
      </w:r>
    </w:p>
    <w:p w14:paraId="730EDEB7">
      <w:pPr>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br w:type="page"/>
      </w:r>
    </w:p>
    <w:p w14:paraId="5520330F">
      <w:pPr>
        <w:spacing w:line="360" w:lineRule="auto"/>
        <w:jc w:val="center"/>
        <w:outlineLvl w:val="2"/>
        <w:rPr>
          <w:rFonts w:hint="eastAsia" w:ascii="宋体" w:hAnsi="宋体" w:eastAsia="宋体" w:cs="宋体"/>
          <w:b/>
          <w:bCs/>
          <w:color w:val="auto"/>
          <w:kern w:val="0"/>
          <w:sz w:val="28"/>
          <w:szCs w:val="32"/>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四</w:t>
      </w: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商务</w:t>
      </w:r>
      <w:r>
        <w:rPr>
          <w:rFonts w:hint="eastAsia" w:ascii="宋体" w:hAnsi="宋体" w:cs="宋体"/>
          <w:b/>
          <w:bCs/>
          <w:color w:val="auto"/>
          <w:kern w:val="0"/>
          <w:sz w:val="28"/>
          <w:szCs w:val="32"/>
          <w:highlight w:val="none"/>
        </w:rPr>
        <w:t>部分</w:t>
      </w:r>
    </w:p>
    <w:p w14:paraId="59E0254B">
      <w:pPr>
        <w:pStyle w:val="4"/>
        <w:spacing w:before="0" w:after="0" w:line="360" w:lineRule="auto"/>
        <w:jc w:val="center"/>
        <w:outlineLvl w:val="9"/>
        <w:rPr>
          <w:rFonts w:hint="eastAsia" w:ascii="宋体" w:hAnsi="宋体" w:eastAsia="宋体" w:cs="宋体"/>
          <w:color w:val="auto"/>
          <w:sz w:val="21"/>
          <w:szCs w:val="21"/>
          <w:highlight w:val="none"/>
        </w:rPr>
      </w:pPr>
    </w:p>
    <w:p w14:paraId="51E44F03">
      <w:pPr>
        <w:pStyle w:val="16"/>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bidi="ar"/>
        </w:rPr>
        <w:t>[提示：</w:t>
      </w:r>
      <w:r>
        <w:rPr>
          <w:rFonts w:hint="eastAsia" w:ascii="宋体" w:hAnsi="宋体" w:eastAsia="宋体" w:cs="宋体"/>
          <w:b/>
          <w:color w:val="auto"/>
          <w:kern w:val="0"/>
          <w:sz w:val="21"/>
          <w:szCs w:val="21"/>
          <w:highlight w:val="none"/>
          <w:lang w:val="en-US" w:eastAsia="zh-CN" w:bidi="ar"/>
        </w:rPr>
        <w:t>当竞争性比选文件采用综合评估法时，“第三章 评标办法”</w:t>
      </w:r>
      <w:r>
        <w:rPr>
          <w:rFonts w:hint="eastAsia" w:ascii="宋体" w:hAnsi="宋体" w:eastAsia="宋体" w:cs="宋体"/>
          <w:b/>
          <w:color w:val="auto"/>
          <w:kern w:val="0"/>
          <w:sz w:val="21"/>
          <w:szCs w:val="21"/>
          <w:highlight w:val="none"/>
          <w:lang w:bidi="ar"/>
        </w:rPr>
        <w:t>商务部分评分标准所涉及的内容及相关佐证资料由</w:t>
      </w:r>
      <w:r>
        <w:rPr>
          <w:rFonts w:hint="eastAsia" w:ascii="宋体" w:hAnsi="宋体" w:cs="宋体"/>
          <w:b/>
          <w:color w:val="auto"/>
          <w:kern w:val="0"/>
          <w:sz w:val="21"/>
          <w:szCs w:val="21"/>
          <w:highlight w:val="none"/>
          <w:lang w:eastAsia="zh-CN" w:bidi="ar"/>
        </w:rPr>
        <w:t>报价人</w:t>
      </w:r>
      <w:r>
        <w:rPr>
          <w:rFonts w:hint="eastAsia" w:ascii="宋体" w:hAnsi="宋体" w:eastAsia="宋体" w:cs="宋体"/>
          <w:b/>
          <w:color w:val="auto"/>
          <w:kern w:val="0"/>
          <w:sz w:val="21"/>
          <w:szCs w:val="21"/>
          <w:highlight w:val="none"/>
          <w:lang w:bidi="ar"/>
        </w:rPr>
        <w:t>自行考虑是否提供，若提供应按要求予以制作并标注内容，格式自拟，未提供的对应部分不得分，商务部分评分内容不作为判定初步评审合格与否的条件，若评标委员会认为提交的证明材料不足以证明相应评审内容的，相应部分将不被纳入参与计分。]</w:t>
      </w:r>
    </w:p>
    <w:p w14:paraId="38DE7096">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14:paraId="2934C729">
      <w:pPr>
        <w:pStyle w:val="16"/>
        <w:jc w:val="center"/>
        <w:rPr>
          <w:rFonts w:ascii="宋体" w:hAnsi="宋体"/>
          <w:b/>
          <w:bCs/>
          <w:color w:val="auto"/>
          <w:sz w:val="24"/>
          <w:highlight w:val="none"/>
        </w:rPr>
      </w:pPr>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五</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其他材料</w:t>
      </w:r>
    </w:p>
    <w:p w14:paraId="088D2267">
      <w:pPr>
        <w:numPr>
          <w:ilvl w:val="0"/>
          <w:numId w:val="0"/>
        </w:num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投标保证金（以转账形式交纳投标保证金的，须提供投标保证金交纳凭证）；</w:t>
      </w:r>
    </w:p>
    <w:p w14:paraId="2E23DB95">
      <w:pPr>
        <w:numPr>
          <w:ilvl w:val="0"/>
          <w:numId w:val="0"/>
        </w:numPr>
        <w:wordWrap w:val="0"/>
        <w:adjustRightInd w:val="0"/>
        <w:snapToGrid w:val="0"/>
        <w:spacing w:line="460" w:lineRule="exact"/>
        <w:jc w:val="left"/>
        <w:rPr>
          <w:rFonts w:ascii="宋体" w:hAnsi="宋体" w:cs="宋体"/>
          <w:color w:val="auto"/>
          <w:szCs w:val="21"/>
          <w:highlight w:val="none"/>
          <w:lang w:bidi="ar"/>
        </w:rPr>
      </w:pPr>
      <w:r>
        <w:rPr>
          <w:rFonts w:hint="eastAsia" w:ascii="宋体" w:hAnsi="宋体" w:cs="宋体"/>
          <w:color w:val="auto"/>
          <w:szCs w:val="21"/>
          <w:highlight w:val="none"/>
          <w:lang w:bidi="ar"/>
        </w:rPr>
        <w:t>2.在满足</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文件实质性要求的基础上，</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人可以提出比</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文件要求更有利于</w:t>
      </w:r>
      <w:r>
        <w:rPr>
          <w:rFonts w:hint="eastAsia" w:ascii="宋体" w:hAnsi="宋体" w:cs="宋体"/>
          <w:color w:val="auto"/>
          <w:szCs w:val="21"/>
          <w:highlight w:val="none"/>
          <w:lang w:val="en-US" w:eastAsia="zh-CN" w:bidi="ar"/>
        </w:rPr>
        <w:t>采购</w:t>
      </w:r>
      <w:r>
        <w:rPr>
          <w:rFonts w:hint="eastAsia" w:ascii="宋体" w:hAnsi="宋体" w:cs="宋体"/>
          <w:color w:val="auto"/>
          <w:szCs w:val="21"/>
          <w:highlight w:val="none"/>
          <w:lang w:bidi="ar"/>
        </w:rPr>
        <w:t>人的承诺（格式自拟）；</w:t>
      </w:r>
    </w:p>
    <w:p w14:paraId="0BF53EBA">
      <w:p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3.</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人认为有必要提供的资料，标明其内容且格式自拟。</w:t>
      </w:r>
    </w:p>
    <w:p w14:paraId="1ABDE0B0">
      <w:pPr>
        <w:wordWrap w:val="0"/>
        <w:adjustRightInd w:val="0"/>
        <w:snapToGrid w:val="0"/>
        <w:spacing w:line="460" w:lineRule="exact"/>
        <w:jc w:val="left"/>
        <w:rPr>
          <w:rFonts w:hint="eastAsia" w:ascii="宋体" w:hAnsi="宋体" w:cs="宋体"/>
          <w:color w:val="auto"/>
          <w:szCs w:val="21"/>
          <w:highlight w:val="none"/>
          <w:lang w:bidi="ar"/>
        </w:rPr>
      </w:pPr>
    </w:p>
    <w:p w14:paraId="6F62624E">
      <w:pPr>
        <w:wordWrap w:val="0"/>
        <w:adjustRightInd w:val="0"/>
        <w:snapToGrid w:val="0"/>
        <w:spacing w:line="460" w:lineRule="exact"/>
        <w:jc w:val="left"/>
        <w:rPr>
          <w:rFonts w:hint="eastAsia" w:ascii="宋体" w:hAnsi="宋体" w:cs="宋体"/>
          <w:color w:val="auto"/>
          <w:szCs w:val="21"/>
          <w:highlight w:val="none"/>
          <w:lang w:bidi="ar"/>
        </w:rPr>
      </w:pPr>
    </w:p>
    <w:p w14:paraId="0FA130C8">
      <w:pPr>
        <w:pStyle w:val="16"/>
        <w:rPr>
          <w:rFonts w:ascii="宋体" w:hAnsi="宋体"/>
          <w:color w:val="auto"/>
          <w:sz w:val="24"/>
          <w:highlight w:val="none"/>
        </w:rPr>
      </w:pPr>
    </w:p>
    <w:p w14:paraId="1FE767E2">
      <w:pPr>
        <w:pStyle w:val="16"/>
        <w:rPr>
          <w:color w:val="auto"/>
          <w:highlight w:val="none"/>
        </w:rPr>
      </w:pPr>
    </w:p>
    <w:p w14:paraId="0B89105D">
      <w:pPr>
        <w:rPr>
          <w:rFonts w:ascii="宋体" w:hAnsi="宋体" w:cs="宋体"/>
          <w:color w:val="auto"/>
          <w:sz w:val="28"/>
          <w:highlight w:val="none"/>
        </w:rPr>
      </w:pPr>
    </w:p>
    <w:bookmarkEnd w:id="231"/>
    <w:bookmarkEnd w:id="232"/>
    <w:p w14:paraId="2445694C">
      <w:pPr>
        <w:rPr>
          <w:color w:val="auto"/>
          <w:highlight w:val="none"/>
        </w:rPr>
      </w:pPr>
    </w:p>
    <w:sectPr>
      <w:footerReference r:id="rId13" w:type="first"/>
      <w:footerReference r:id="rId12"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66D8C4E-B70A-4124-A4B6-453D794EDF5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6A8FAB56-19CC-421F-A8E9-185921E40361}"/>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embedRegular r:id="rId3" w:fontKey="{88233C41-2B88-412A-B6D8-70CAB835C7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90148">
    <w:pPr>
      <w:pStyle w:val="26"/>
      <w:jc w:val="center"/>
    </w:pPr>
  </w:p>
  <w:p w14:paraId="67287BD2">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DB543">
    <w:pPr>
      <w:pStyle w:val="26"/>
      <w:framePr w:wrap="around" w:vAnchor="text" w:hAnchor="margin" w:xAlign="center" w:y="1"/>
      <w:rPr>
        <w:rStyle w:val="47"/>
      </w:rPr>
    </w:pPr>
    <w:r>
      <w:fldChar w:fldCharType="begin"/>
    </w:r>
    <w:r>
      <w:rPr>
        <w:rStyle w:val="47"/>
      </w:rPr>
      <w:instrText xml:space="preserve">PAGE  </w:instrText>
    </w:r>
    <w:r>
      <w:fldChar w:fldCharType="end"/>
    </w:r>
  </w:p>
  <w:p w14:paraId="3D08D602">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72009">
    <w:pPr>
      <w:pStyle w:val="26"/>
      <w:jc w:val="center"/>
    </w:pPr>
    <w:r>
      <w:fldChar w:fldCharType="begin"/>
    </w:r>
    <w:r>
      <w:instrText xml:space="preserve">PAGE   \* MERGEFORMAT</w:instrText>
    </w:r>
    <w:r>
      <w:fldChar w:fldCharType="separate"/>
    </w:r>
    <w:r>
      <w:rPr>
        <w:lang w:val="zh-CN"/>
      </w:rPr>
      <w:t>79</w:t>
    </w:r>
    <w:r>
      <w:fldChar w:fldCharType="end"/>
    </w:r>
  </w:p>
  <w:p w14:paraId="5DAB88C7">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5AD90">
    <w:pPr>
      <w:pStyle w:val="26"/>
      <w:jc w:val="center"/>
    </w:pPr>
    <w:r>
      <w:fldChar w:fldCharType="begin"/>
    </w:r>
    <w:r>
      <w:instrText xml:space="preserve">PAGE   \* MERGEFORMAT</w:instrText>
    </w:r>
    <w:r>
      <w:fldChar w:fldCharType="separate"/>
    </w:r>
    <w:r>
      <w:rPr>
        <w:lang w:val="zh-CN"/>
      </w:rPr>
      <w:t>35</w:t>
    </w:r>
    <w:r>
      <w:fldChar w:fldCharType="end"/>
    </w:r>
  </w:p>
  <w:p w14:paraId="51A012A0">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D4024">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14:paraId="1712793A">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48956">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2E9690">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14:paraId="122E9690">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9AD68">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64D5A0">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14:paraId="6B64D5A0">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B42B2">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17739A">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7817739A">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E8982">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42C834">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5C42C834">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D03C3">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A0908">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12678"/>
    <w:multiLevelType w:val="singleLevel"/>
    <w:tmpl w:val="C6A12678"/>
    <w:lvl w:ilvl="0" w:tentative="0">
      <w:start w:val="1"/>
      <w:numFmt w:val="chineseCounting"/>
      <w:suff w:val="nothing"/>
      <w:lvlText w:val="%1、"/>
      <w:lvlJc w:val="left"/>
      <w:rPr>
        <w:rFonts w:hint="eastAsia"/>
      </w:rPr>
    </w:lvl>
  </w:abstractNum>
  <w:abstractNum w:abstractNumId="1">
    <w:nsid w:val="C87D13C6"/>
    <w:multiLevelType w:val="singleLevel"/>
    <w:tmpl w:val="C87D13C6"/>
    <w:lvl w:ilvl="0" w:tentative="0">
      <w:start w:val="3"/>
      <w:numFmt w:val="chineseCounting"/>
      <w:suff w:val="space"/>
      <w:lvlText w:val="第%1章"/>
      <w:lvlJc w:val="left"/>
      <w:rPr>
        <w:rFonts w:hint="eastAsia"/>
      </w:rPr>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3871CE1D"/>
    <w:multiLevelType w:val="singleLevel"/>
    <w:tmpl w:val="3871CE1D"/>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OWM2MzNlZjk4NTNhNjlmZThmZjcxNGE1Y2Q0ZmI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9409D"/>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BB1"/>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0FE8"/>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351"/>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32A"/>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17FC0"/>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5468"/>
    <w:rsid w:val="008D63E7"/>
    <w:rsid w:val="008D73C7"/>
    <w:rsid w:val="008E0572"/>
    <w:rsid w:val="008E1519"/>
    <w:rsid w:val="008E287D"/>
    <w:rsid w:val="008E45A7"/>
    <w:rsid w:val="008F3C41"/>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08B5"/>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00A2"/>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36CF9"/>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5731"/>
    <w:rsid w:val="00C07B2A"/>
    <w:rsid w:val="00C11F6E"/>
    <w:rsid w:val="00C13F63"/>
    <w:rsid w:val="00C15831"/>
    <w:rsid w:val="00C168B7"/>
    <w:rsid w:val="00C20F3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E7A03"/>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6E"/>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A3FE5"/>
    <w:rsid w:val="015D18DC"/>
    <w:rsid w:val="01852BD3"/>
    <w:rsid w:val="018A6C3C"/>
    <w:rsid w:val="01A8609A"/>
    <w:rsid w:val="02195A53"/>
    <w:rsid w:val="023B0129"/>
    <w:rsid w:val="029D41FE"/>
    <w:rsid w:val="02A800C5"/>
    <w:rsid w:val="02C6499B"/>
    <w:rsid w:val="02C91CAA"/>
    <w:rsid w:val="037D0CD2"/>
    <w:rsid w:val="038B3366"/>
    <w:rsid w:val="03981B5E"/>
    <w:rsid w:val="03996EAD"/>
    <w:rsid w:val="03DA7C69"/>
    <w:rsid w:val="03F60BFA"/>
    <w:rsid w:val="04023CC8"/>
    <w:rsid w:val="042674F4"/>
    <w:rsid w:val="042D3C13"/>
    <w:rsid w:val="04722D72"/>
    <w:rsid w:val="047A0BBC"/>
    <w:rsid w:val="04C12ED8"/>
    <w:rsid w:val="04DC5749"/>
    <w:rsid w:val="04E26FED"/>
    <w:rsid w:val="04E41F94"/>
    <w:rsid w:val="04FD6633"/>
    <w:rsid w:val="052E2B3B"/>
    <w:rsid w:val="054416D2"/>
    <w:rsid w:val="05507F0F"/>
    <w:rsid w:val="057A1FA9"/>
    <w:rsid w:val="05871A0A"/>
    <w:rsid w:val="05A42E7B"/>
    <w:rsid w:val="05A70EA9"/>
    <w:rsid w:val="05D55D36"/>
    <w:rsid w:val="060C2525"/>
    <w:rsid w:val="062756FD"/>
    <w:rsid w:val="063D08A7"/>
    <w:rsid w:val="065F7A31"/>
    <w:rsid w:val="06633ED8"/>
    <w:rsid w:val="067C53E7"/>
    <w:rsid w:val="06820F5E"/>
    <w:rsid w:val="06951992"/>
    <w:rsid w:val="06AE2ABA"/>
    <w:rsid w:val="06C75DF5"/>
    <w:rsid w:val="06DD02BB"/>
    <w:rsid w:val="06E43F57"/>
    <w:rsid w:val="06E71F51"/>
    <w:rsid w:val="06F965AD"/>
    <w:rsid w:val="07050666"/>
    <w:rsid w:val="071C4DB7"/>
    <w:rsid w:val="07362674"/>
    <w:rsid w:val="073B54B2"/>
    <w:rsid w:val="07537EF9"/>
    <w:rsid w:val="07815EE7"/>
    <w:rsid w:val="08170505"/>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E5B8D"/>
    <w:rsid w:val="0AA240FA"/>
    <w:rsid w:val="0AAC0CBB"/>
    <w:rsid w:val="0ABA5513"/>
    <w:rsid w:val="0AD05F44"/>
    <w:rsid w:val="0AD84BD3"/>
    <w:rsid w:val="0AE941D3"/>
    <w:rsid w:val="0B1061C6"/>
    <w:rsid w:val="0B2B08D5"/>
    <w:rsid w:val="0BA35012"/>
    <w:rsid w:val="0BB825ED"/>
    <w:rsid w:val="0BC0647C"/>
    <w:rsid w:val="0BD7624B"/>
    <w:rsid w:val="0BF26817"/>
    <w:rsid w:val="0C210BDA"/>
    <w:rsid w:val="0C22464A"/>
    <w:rsid w:val="0C2B72AE"/>
    <w:rsid w:val="0C5C6F5A"/>
    <w:rsid w:val="0C623EAC"/>
    <w:rsid w:val="0C946488"/>
    <w:rsid w:val="0CAD24AF"/>
    <w:rsid w:val="0CB27F34"/>
    <w:rsid w:val="0D0D3F93"/>
    <w:rsid w:val="0D12389F"/>
    <w:rsid w:val="0D2820B7"/>
    <w:rsid w:val="0D662EE5"/>
    <w:rsid w:val="0D7262D5"/>
    <w:rsid w:val="0D7F57F2"/>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3416B8"/>
    <w:rsid w:val="0F4C19DA"/>
    <w:rsid w:val="0F4C7D05"/>
    <w:rsid w:val="0F4F31AF"/>
    <w:rsid w:val="0F5F17BD"/>
    <w:rsid w:val="0F90531D"/>
    <w:rsid w:val="0FAD64B5"/>
    <w:rsid w:val="0FB21FD4"/>
    <w:rsid w:val="0FB26719"/>
    <w:rsid w:val="0FFF5930"/>
    <w:rsid w:val="10A265EF"/>
    <w:rsid w:val="10D62C15"/>
    <w:rsid w:val="10DF2B28"/>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11DF6"/>
    <w:rsid w:val="138B4634"/>
    <w:rsid w:val="138F1214"/>
    <w:rsid w:val="13BF412F"/>
    <w:rsid w:val="13D101C7"/>
    <w:rsid w:val="1400440E"/>
    <w:rsid w:val="140E3C60"/>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E63361"/>
    <w:rsid w:val="160B0227"/>
    <w:rsid w:val="16864176"/>
    <w:rsid w:val="16E04880"/>
    <w:rsid w:val="16E33BB8"/>
    <w:rsid w:val="16F86032"/>
    <w:rsid w:val="17081A7A"/>
    <w:rsid w:val="17292C0C"/>
    <w:rsid w:val="176F50FE"/>
    <w:rsid w:val="17D10049"/>
    <w:rsid w:val="17DD0B49"/>
    <w:rsid w:val="17F1563C"/>
    <w:rsid w:val="17F23C73"/>
    <w:rsid w:val="180F3B80"/>
    <w:rsid w:val="181B1411"/>
    <w:rsid w:val="181C1400"/>
    <w:rsid w:val="18223BBF"/>
    <w:rsid w:val="18406E44"/>
    <w:rsid w:val="185C1918"/>
    <w:rsid w:val="186039EF"/>
    <w:rsid w:val="1880349D"/>
    <w:rsid w:val="18D435BC"/>
    <w:rsid w:val="18E261BC"/>
    <w:rsid w:val="19193365"/>
    <w:rsid w:val="19261639"/>
    <w:rsid w:val="1935660C"/>
    <w:rsid w:val="195D5C0E"/>
    <w:rsid w:val="19B64CC2"/>
    <w:rsid w:val="19BA69A5"/>
    <w:rsid w:val="19DF6D3F"/>
    <w:rsid w:val="19E24459"/>
    <w:rsid w:val="1A305FF4"/>
    <w:rsid w:val="1A3D7EBE"/>
    <w:rsid w:val="1A4353A0"/>
    <w:rsid w:val="1A557489"/>
    <w:rsid w:val="1AF45443"/>
    <w:rsid w:val="1AF678A7"/>
    <w:rsid w:val="1B075A0C"/>
    <w:rsid w:val="1B67066F"/>
    <w:rsid w:val="1B7229E4"/>
    <w:rsid w:val="1B7A5EC7"/>
    <w:rsid w:val="1B8E5EC0"/>
    <w:rsid w:val="1CB33990"/>
    <w:rsid w:val="1CF6260F"/>
    <w:rsid w:val="1CF83AEA"/>
    <w:rsid w:val="1CF911FC"/>
    <w:rsid w:val="1D6914D5"/>
    <w:rsid w:val="1D7C7A22"/>
    <w:rsid w:val="1D7E09CF"/>
    <w:rsid w:val="1D9F1A69"/>
    <w:rsid w:val="1DC81497"/>
    <w:rsid w:val="1DE41480"/>
    <w:rsid w:val="1E2139B7"/>
    <w:rsid w:val="1E7A14A8"/>
    <w:rsid w:val="1E7F32B0"/>
    <w:rsid w:val="1EBA058B"/>
    <w:rsid w:val="1EBB622E"/>
    <w:rsid w:val="1EEA13A6"/>
    <w:rsid w:val="1EF77A66"/>
    <w:rsid w:val="1EFE64E9"/>
    <w:rsid w:val="1F6207D0"/>
    <w:rsid w:val="1FE1627D"/>
    <w:rsid w:val="1FEA603B"/>
    <w:rsid w:val="20133D98"/>
    <w:rsid w:val="20226856"/>
    <w:rsid w:val="20293E2F"/>
    <w:rsid w:val="2049095D"/>
    <w:rsid w:val="20686E43"/>
    <w:rsid w:val="206E3E8E"/>
    <w:rsid w:val="207224C8"/>
    <w:rsid w:val="2076639A"/>
    <w:rsid w:val="2093114F"/>
    <w:rsid w:val="209B57AA"/>
    <w:rsid w:val="20A121FD"/>
    <w:rsid w:val="20C20004"/>
    <w:rsid w:val="20CE4B84"/>
    <w:rsid w:val="20D83D6E"/>
    <w:rsid w:val="20DE5531"/>
    <w:rsid w:val="20E1180E"/>
    <w:rsid w:val="20EA6084"/>
    <w:rsid w:val="20F01139"/>
    <w:rsid w:val="20F1461D"/>
    <w:rsid w:val="212B522B"/>
    <w:rsid w:val="21736537"/>
    <w:rsid w:val="218D4C70"/>
    <w:rsid w:val="21977807"/>
    <w:rsid w:val="219A6D4B"/>
    <w:rsid w:val="21C2735E"/>
    <w:rsid w:val="21E57FA3"/>
    <w:rsid w:val="21FB5A74"/>
    <w:rsid w:val="221B4C1C"/>
    <w:rsid w:val="222E74EE"/>
    <w:rsid w:val="226827C0"/>
    <w:rsid w:val="227C6EFF"/>
    <w:rsid w:val="22942795"/>
    <w:rsid w:val="22A10D06"/>
    <w:rsid w:val="22B665A5"/>
    <w:rsid w:val="22C925E0"/>
    <w:rsid w:val="22E46F4A"/>
    <w:rsid w:val="22F20159"/>
    <w:rsid w:val="23005537"/>
    <w:rsid w:val="23285177"/>
    <w:rsid w:val="233C2C53"/>
    <w:rsid w:val="23486890"/>
    <w:rsid w:val="236F1F61"/>
    <w:rsid w:val="23AB4CDF"/>
    <w:rsid w:val="23C37A75"/>
    <w:rsid w:val="24220F3E"/>
    <w:rsid w:val="2423604B"/>
    <w:rsid w:val="243A3F7E"/>
    <w:rsid w:val="24436391"/>
    <w:rsid w:val="2450121E"/>
    <w:rsid w:val="2487622C"/>
    <w:rsid w:val="24973094"/>
    <w:rsid w:val="24AD6D9A"/>
    <w:rsid w:val="24BE0A92"/>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5F07E0"/>
    <w:rsid w:val="27A4553F"/>
    <w:rsid w:val="27D35135"/>
    <w:rsid w:val="27EF1935"/>
    <w:rsid w:val="280A1B75"/>
    <w:rsid w:val="283962F8"/>
    <w:rsid w:val="285F2F19"/>
    <w:rsid w:val="287A36F4"/>
    <w:rsid w:val="288458E7"/>
    <w:rsid w:val="28A33A20"/>
    <w:rsid w:val="28A47F17"/>
    <w:rsid w:val="290212C1"/>
    <w:rsid w:val="290D5ED8"/>
    <w:rsid w:val="29656DCE"/>
    <w:rsid w:val="296E75F6"/>
    <w:rsid w:val="298B4B23"/>
    <w:rsid w:val="29B71FDB"/>
    <w:rsid w:val="29CF18DD"/>
    <w:rsid w:val="29D65D23"/>
    <w:rsid w:val="29D875FE"/>
    <w:rsid w:val="29E259F5"/>
    <w:rsid w:val="29F232B2"/>
    <w:rsid w:val="2A0B100E"/>
    <w:rsid w:val="2A0F3808"/>
    <w:rsid w:val="2A194E5D"/>
    <w:rsid w:val="2A21554B"/>
    <w:rsid w:val="2A44702A"/>
    <w:rsid w:val="2A594BC2"/>
    <w:rsid w:val="2A5A558B"/>
    <w:rsid w:val="2A9F7561"/>
    <w:rsid w:val="2AA90FA0"/>
    <w:rsid w:val="2AB31CE2"/>
    <w:rsid w:val="2AB55266"/>
    <w:rsid w:val="2B487382"/>
    <w:rsid w:val="2B552F60"/>
    <w:rsid w:val="2B7841A6"/>
    <w:rsid w:val="2BB367B9"/>
    <w:rsid w:val="2BC45071"/>
    <w:rsid w:val="2C13380B"/>
    <w:rsid w:val="2C184D47"/>
    <w:rsid w:val="2C2B5641"/>
    <w:rsid w:val="2C7417C1"/>
    <w:rsid w:val="2C796A89"/>
    <w:rsid w:val="2CBD3A96"/>
    <w:rsid w:val="2CC74339"/>
    <w:rsid w:val="2CCC23F7"/>
    <w:rsid w:val="2CCE1414"/>
    <w:rsid w:val="2CF93ABF"/>
    <w:rsid w:val="2D1E27A3"/>
    <w:rsid w:val="2D394FF5"/>
    <w:rsid w:val="2D623014"/>
    <w:rsid w:val="2D766528"/>
    <w:rsid w:val="2DBD6C6F"/>
    <w:rsid w:val="2E6A704D"/>
    <w:rsid w:val="2E8A6255"/>
    <w:rsid w:val="2F032EB8"/>
    <w:rsid w:val="2F0B1048"/>
    <w:rsid w:val="2F141AAA"/>
    <w:rsid w:val="2F9A6191"/>
    <w:rsid w:val="2FCA4353"/>
    <w:rsid w:val="2FE55D75"/>
    <w:rsid w:val="2FF23F99"/>
    <w:rsid w:val="300A288E"/>
    <w:rsid w:val="30236367"/>
    <w:rsid w:val="30331BC6"/>
    <w:rsid w:val="303E7E03"/>
    <w:rsid w:val="304A182B"/>
    <w:rsid w:val="30700C52"/>
    <w:rsid w:val="30757C00"/>
    <w:rsid w:val="307D5D65"/>
    <w:rsid w:val="30B34CE3"/>
    <w:rsid w:val="30CB1C83"/>
    <w:rsid w:val="30ED2830"/>
    <w:rsid w:val="316B2857"/>
    <w:rsid w:val="31832D29"/>
    <w:rsid w:val="319D5339"/>
    <w:rsid w:val="319F2F47"/>
    <w:rsid w:val="31A974F8"/>
    <w:rsid w:val="31D20CDE"/>
    <w:rsid w:val="31F37E23"/>
    <w:rsid w:val="31FE689A"/>
    <w:rsid w:val="321F0739"/>
    <w:rsid w:val="32223DC6"/>
    <w:rsid w:val="325A02A1"/>
    <w:rsid w:val="329032EF"/>
    <w:rsid w:val="329970EF"/>
    <w:rsid w:val="32B35AAA"/>
    <w:rsid w:val="33135210"/>
    <w:rsid w:val="3326373F"/>
    <w:rsid w:val="334459AC"/>
    <w:rsid w:val="33705A64"/>
    <w:rsid w:val="33A055AF"/>
    <w:rsid w:val="33A51E80"/>
    <w:rsid w:val="33EE589E"/>
    <w:rsid w:val="33F03D7B"/>
    <w:rsid w:val="340329A9"/>
    <w:rsid w:val="342645AD"/>
    <w:rsid w:val="342B057B"/>
    <w:rsid w:val="342E1467"/>
    <w:rsid w:val="34335C8F"/>
    <w:rsid w:val="34617CD8"/>
    <w:rsid w:val="34753860"/>
    <w:rsid w:val="34A61339"/>
    <w:rsid w:val="34CC3006"/>
    <w:rsid w:val="34F3793E"/>
    <w:rsid w:val="35574E9C"/>
    <w:rsid w:val="35712E34"/>
    <w:rsid w:val="35C10F67"/>
    <w:rsid w:val="35ED793B"/>
    <w:rsid w:val="35F84740"/>
    <w:rsid w:val="36383125"/>
    <w:rsid w:val="366C082D"/>
    <w:rsid w:val="368C388A"/>
    <w:rsid w:val="36BB2DB7"/>
    <w:rsid w:val="36C90DD1"/>
    <w:rsid w:val="374634AB"/>
    <w:rsid w:val="37704489"/>
    <w:rsid w:val="37710026"/>
    <w:rsid w:val="37925427"/>
    <w:rsid w:val="37A55DCC"/>
    <w:rsid w:val="37CA04FF"/>
    <w:rsid w:val="37D30771"/>
    <w:rsid w:val="37EC0BB8"/>
    <w:rsid w:val="38995839"/>
    <w:rsid w:val="39265074"/>
    <w:rsid w:val="392B274A"/>
    <w:rsid w:val="394C68A5"/>
    <w:rsid w:val="395E479A"/>
    <w:rsid w:val="395F1C11"/>
    <w:rsid w:val="39675804"/>
    <w:rsid w:val="39A36C2D"/>
    <w:rsid w:val="39AA29B9"/>
    <w:rsid w:val="39E71AEC"/>
    <w:rsid w:val="39F60058"/>
    <w:rsid w:val="3A0948D8"/>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984483"/>
    <w:rsid w:val="3EA72ABE"/>
    <w:rsid w:val="3EAD4174"/>
    <w:rsid w:val="3EAD7F9C"/>
    <w:rsid w:val="3EB32892"/>
    <w:rsid w:val="3EBC3336"/>
    <w:rsid w:val="3EDE79C6"/>
    <w:rsid w:val="3EF65530"/>
    <w:rsid w:val="3EF9D3F1"/>
    <w:rsid w:val="3F064AE9"/>
    <w:rsid w:val="3F3B0C43"/>
    <w:rsid w:val="3F431BA8"/>
    <w:rsid w:val="3F4C62B0"/>
    <w:rsid w:val="3F7279F0"/>
    <w:rsid w:val="3F9717D1"/>
    <w:rsid w:val="3FB2485B"/>
    <w:rsid w:val="3FD83A06"/>
    <w:rsid w:val="402A34B8"/>
    <w:rsid w:val="40360CD1"/>
    <w:rsid w:val="40361D66"/>
    <w:rsid w:val="406060C3"/>
    <w:rsid w:val="40613E30"/>
    <w:rsid w:val="40736573"/>
    <w:rsid w:val="407D7357"/>
    <w:rsid w:val="409B4A07"/>
    <w:rsid w:val="40BF6E39"/>
    <w:rsid w:val="40C25B7F"/>
    <w:rsid w:val="40F66678"/>
    <w:rsid w:val="410E1C56"/>
    <w:rsid w:val="4120577A"/>
    <w:rsid w:val="416C142E"/>
    <w:rsid w:val="41976EDF"/>
    <w:rsid w:val="41FD121E"/>
    <w:rsid w:val="421A7627"/>
    <w:rsid w:val="4233112B"/>
    <w:rsid w:val="42401E98"/>
    <w:rsid w:val="42872311"/>
    <w:rsid w:val="428B5762"/>
    <w:rsid w:val="42D47C2B"/>
    <w:rsid w:val="42D8334B"/>
    <w:rsid w:val="42DA32B5"/>
    <w:rsid w:val="433543AC"/>
    <w:rsid w:val="43420FE8"/>
    <w:rsid w:val="434513F0"/>
    <w:rsid w:val="43702851"/>
    <w:rsid w:val="43CA4F48"/>
    <w:rsid w:val="4424604A"/>
    <w:rsid w:val="442967DE"/>
    <w:rsid w:val="443F6CBF"/>
    <w:rsid w:val="444C712C"/>
    <w:rsid w:val="445014AB"/>
    <w:rsid w:val="44560D1E"/>
    <w:rsid w:val="44666FCD"/>
    <w:rsid w:val="44CE660D"/>
    <w:rsid w:val="454F0B76"/>
    <w:rsid w:val="45795008"/>
    <w:rsid w:val="4579514B"/>
    <w:rsid w:val="457E2BBE"/>
    <w:rsid w:val="457F72E8"/>
    <w:rsid w:val="45D43029"/>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6FE69D3"/>
    <w:rsid w:val="471B3499"/>
    <w:rsid w:val="4730142A"/>
    <w:rsid w:val="474608B5"/>
    <w:rsid w:val="47756DDF"/>
    <w:rsid w:val="478E4BD2"/>
    <w:rsid w:val="47DD756D"/>
    <w:rsid w:val="48037A8A"/>
    <w:rsid w:val="482303E2"/>
    <w:rsid w:val="48377D23"/>
    <w:rsid w:val="486634EE"/>
    <w:rsid w:val="48807890"/>
    <w:rsid w:val="48A64B98"/>
    <w:rsid w:val="48BC156D"/>
    <w:rsid w:val="48F765BE"/>
    <w:rsid w:val="490445F2"/>
    <w:rsid w:val="490935A0"/>
    <w:rsid w:val="49320F23"/>
    <w:rsid w:val="4944230E"/>
    <w:rsid w:val="49DD73AE"/>
    <w:rsid w:val="49F95BD6"/>
    <w:rsid w:val="4A14705F"/>
    <w:rsid w:val="4AA73240"/>
    <w:rsid w:val="4AB72272"/>
    <w:rsid w:val="4AD703A4"/>
    <w:rsid w:val="4AF71396"/>
    <w:rsid w:val="4B305E1B"/>
    <w:rsid w:val="4B5279C2"/>
    <w:rsid w:val="4BA62C8E"/>
    <w:rsid w:val="4BB92D8E"/>
    <w:rsid w:val="4BD07B58"/>
    <w:rsid w:val="4BE87BA5"/>
    <w:rsid w:val="4C3176AB"/>
    <w:rsid w:val="4C415DC1"/>
    <w:rsid w:val="4C6E278E"/>
    <w:rsid w:val="4CFF538B"/>
    <w:rsid w:val="4D4D7800"/>
    <w:rsid w:val="4D7251FF"/>
    <w:rsid w:val="4DE50C0B"/>
    <w:rsid w:val="4E11105D"/>
    <w:rsid w:val="4E16225A"/>
    <w:rsid w:val="4E253AB8"/>
    <w:rsid w:val="4E472C92"/>
    <w:rsid w:val="4E824D97"/>
    <w:rsid w:val="4E9D5C2D"/>
    <w:rsid w:val="4EBA57C1"/>
    <w:rsid w:val="4EEA14D6"/>
    <w:rsid w:val="4F047E0A"/>
    <w:rsid w:val="4F477F24"/>
    <w:rsid w:val="4FA91AAC"/>
    <w:rsid w:val="4FBD0FF5"/>
    <w:rsid w:val="4FC854D7"/>
    <w:rsid w:val="50142DE1"/>
    <w:rsid w:val="5015687B"/>
    <w:rsid w:val="501926CA"/>
    <w:rsid w:val="503109FF"/>
    <w:rsid w:val="505E3D68"/>
    <w:rsid w:val="508F700E"/>
    <w:rsid w:val="50D13748"/>
    <w:rsid w:val="516A440A"/>
    <w:rsid w:val="51752B27"/>
    <w:rsid w:val="51BA5A6F"/>
    <w:rsid w:val="51C42E16"/>
    <w:rsid w:val="525351F4"/>
    <w:rsid w:val="525A6FBC"/>
    <w:rsid w:val="526C0997"/>
    <w:rsid w:val="52855A65"/>
    <w:rsid w:val="52C7249A"/>
    <w:rsid w:val="53311AB3"/>
    <w:rsid w:val="53317F44"/>
    <w:rsid w:val="533D33D1"/>
    <w:rsid w:val="53511F1B"/>
    <w:rsid w:val="53670B33"/>
    <w:rsid w:val="537735FB"/>
    <w:rsid w:val="53775B6A"/>
    <w:rsid w:val="538F5737"/>
    <w:rsid w:val="53D43855"/>
    <w:rsid w:val="53D6214F"/>
    <w:rsid w:val="53E564F4"/>
    <w:rsid w:val="53EE1101"/>
    <w:rsid w:val="53FC4E8E"/>
    <w:rsid w:val="541717DC"/>
    <w:rsid w:val="54271D5C"/>
    <w:rsid w:val="546535D1"/>
    <w:rsid w:val="54976AA9"/>
    <w:rsid w:val="549A3F89"/>
    <w:rsid w:val="54DE0134"/>
    <w:rsid w:val="54EF737F"/>
    <w:rsid w:val="553C46BA"/>
    <w:rsid w:val="55494082"/>
    <w:rsid w:val="557D5B60"/>
    <w:rsid w:val="55834A19"/>
    <w:rsid w:val="55F27046"/>
    <w:rsid w:val="55F526C6"/>
    <w:rsid w:val="56066DC9"/>
    <w:rsid w:val="564E1228"/>
    <w:rsid w:val="56A6131D"/>
    <w:rsid w:val="56A82B00"/>
    <w:rsid w:val="56BC5AD0"/>
    <w:rsid w:val="56D00C68"/>
    <w:rsid w:val="57022BD1"/>
    <w:rsid w:val="57212B27"/>
    <w:rsid w:val="572809C2"/>
    <w:rsid w:val="572F0264"/>
    <w:rsid w:val="57480C4D"/>
    <w:rsid w:val="574C27F3"/>
    <w:rsid w:val="576F5440"/>
    <w:rsid w:val="57895A45"/>
    <w:rsid w:val="57C5313B"/>
    <w:rsid w:val="57D807D4"/>
    <w:rsid w:val="57EA7969"/>
    <w:rsid w:val="57F740F4"/>
    <w:rsid w:val="57FA3D86"/>
    <w:rsid w:val="58263B5F"/>
    <w:rsid w:val="584003A6"/>
    <w:rsid w:val="58750691"/>
    <w:rsid w:val="58AB575D"/>
    <w:rsid w:val="58BC728D"/>
    <w:rsid w:val="58DD0763"/>
    <w:rsid w:val="59356739"/>
    <w:rsid w:val="59445F91"/>
    <w:rsid w:val="59815208"/>
    <w:rsid w:val="59F001A4"/>
    <w:rsid w:val="5A1E2DE7"/>
    <w:rsid w:val="5A20427A"/>
    <w:rsid w:val="5A395FB6"/>
    <w:rsid w:val="5A436A2D"/>
    <w:rsid w:val="5AEB4FF2"/>
    <w:rsid w:val="5B0A066E"/>
    <w:rsid w:val="5B123FA7"/>
    <w:rsid w:val="5B5E18A4"/>
    <w:rsid w:val="5B613C0E"/>
    <w:rsid w:val="5B90559E"/>
    <w:rsid w:val="5B955E96"/>
    <w:rsid w:val="5B9B3675"/>
    <w:rsid w:val="5BA26571"/>
    <w:rsid w:val="5BCA6564"/>
    <w:rsid w:val="5BD66D67"/>
    <w:rsid w:val="5C107D40"/>
    <w:rsid w:val="5C1E3775"/>
    <w:rsid w:val="5C381264"/>
    <w:rsid w:val="5C672644"/>
    <w:rsid w:val="5C8132C7"/>
    <w:rsid w:val="5CA23A25"/>
    <w:rsid w:val="5CC26330"/>
    <w:rsid w:val="5CD67F41"/>
    <w:rsid w:val="5CDF760E"/>
    <w:rsid w:val="5CF93D1F"/>
    <w:rsid w:val="5D017C51"/>
    <w:rsid w:val="5D4165A3"/>
    <w:rsid w:val="5D463591"/>
    <w:rsid w:val="5D4F2A78"/>
    <w:rsid w:val="5D5A5DCC"/>
    <w:rsid w:val="5D792AE4"/>
    <w:rsid w:val="5DC25C67"/>
    <w:rsid w:val="5DD97571"/>
    <w:rsid w:val="5E2F58D3"/>
    <w:rsid w:val="5E5A06FD"/>
    <w:rsid w:val="5E864B67"/>
    <w:rsid w:val="5E9342EC"/>
    <w:rsid w:val="5EA27CF7"/>
    <w:rsid w:val="5EBC3C1E"/>
    <w:rsid w:val="5F3815EE"/>
    <w:rsid w:val="5F5C32D6"/>
    <w:rsid w:val="5F762886"/>
    <w:rsid w:val="5F853E5C"/>
    <w:rsid w:val="5FA870CA"/>
    <w:rsid w:val="5FA92D9F"/>
    <w:rsid w:val="5FAC2DE4"/>
    <w:rsid w:val="5FB10E83"/>
    <w:rsid w:val="5FB70ABF"/>
    <w:rsid w:val="600E788A"/>
    <w:rsid w:val="6011673F"/>
    <w:rsid w:val="604130CF"/>
    <w:rsid w:val="60663C94"/>
    <w:rsid w:val="60794FD4"/>
    <w:rsid w:val="60814FEF"/>
    <w:rsid w:val="60AE4E89"/>
    <w:rsid w:val="60D23EEC"/>
    <w:rsid w:val="60D32F5A"/>
    <w:rsid w:val="60DA2E86"/>
    <w:rsid w:val="610E2B4C"/>
    <w:rsid w:val="61561E7C"/>
    <w:rsid w:val="617B2468"/>
    <w:rsid w:val="619945D7"/>
    <w:rsid w:val="61C24BFD"/>
    <w:rsid w:val="61DE43D4"/>
    <w:rsid w:val="61E06967"/>
    <w:rsid w:val="61ED083B"/>
    <w:rsid w:val="621F1FA5"/>
    <w:rsid w:val="624216A0"/>
    <w:rsid w:val="624526EC"/>
    <w:rsid w:val="626343A0"/>
    <w:rsid w:val="626736F9"/>
    <w:rsid w:val="626B4082"/>
    <w:rsid w:val="626B6B00"/>
    <w:rsid w:val="628E1BE9"/>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566942"/>
    <w:rsid w:val="65F66C79"/>
    <w:rsid w:val="660447CA"/>
    <w:rsid w:val="665622BC"/>
    <w:rsid w:val="6660772E"/>
    <w:rsid w:val="66653739"/>
    <w:rsid w:val="666C4EE6"/>
    <w:rsid w:val="66792487"/>
    <w:rsid w:val="66FB0FDC"/>
    <w:rsid w:val="66FC5AFF"/>
    <w:rsid w:val="6709462E"/>
    <w:rsid w:val="6777196F"/>
    <w:rsid w:val="678A1ED0"/>
    <w:rsid w:val="67AB61F8"/>
    <w:rsid w:val="67BA7741"/>
    <w:rsid w:val="67BD2A93"/>
    <w:rsid w:val="67E6170C"/>
    <w:rsid w:val="680D0CA5"/>
    <w:rsid w:val="68A45648"/>
    <w:rsid w:val="68A5668C"/>
    <w:rsid w:val="68B20836"/>
    <w:rsid w:val="68D27297"/>
    <w:rsid w:val="6911241F"/>
    <w:rsid w:val="69B67115"/>
    <w:rsid w:val="69B82DF4"/>
    <w:rsid w:val="69EE20B7"/>
    <w:rsid w:val="69EF53B4"/>
    <w:rsid w:val="6A126DD2"/>
    <w:rsid w:val="6A420E56"/>
    <w:rsid w:val="6A924E32"/>
    <w:rsid w:val="6A94008C"/>
    <w:rsid w:val="6AC635A8"/>
    <w:rsid w:val="6AE60947"/>
    <w:rsid w:val="6AEF6EB8"/>
    <w:rsid w:val="6B0B374F"/>
    <w:rsid w:val="6B0E6D92"/>
    <w:rsid w:val="6B17074E"/>
    <w:rsid w:val="6B1F0CCB"/>
    <w:rsid w:val="6B6234E5"/>
    <w:rsid w:val="6B8230D4"/>
    <w:rsid w:val="6BBD11F5"/>
    <w:rsid w:val="6BCE1834"/>
    <w:rsid w:val="6BD12800"/>
    <w:rsid w:val="6C022DB1"/>
    <w:rsid w:val="6C5C6966"/>
    <w:rsid w:val="6C5E02FC"/>
    <w:rsid w:val="6C721812"/>
    <w:rsid w:val="6C8B0F52"/>
    <w:rsid w:val="6CDD0DD0"/>
    <w:rsid w:val="6CFA7DB1"/>
    <w:rsid w:val="6D0127E4"/>
    <w:rsid w:val="6D0333AE"/>
    <w:rsid w:val="6D135E16"/>
    <w:rsid w:val="6D1C168A"/>
    <w:rsid w:val="6D347A31"/>
    <w:rsid w:val="6D3668DD"/>
    <w:rsid w:val="6D471CAB"/>
    <w:rsid w:val="6DAC0977"/>
    <w:rsid w:val="6DB941BD"/>
    <w:rsid w:val="6DC60F63"/>
    <w:rsid w:val="6E0E4B39"/>
    <w:rsid w:val="6E151E87"/>
    <w:rsid w:val="6E351C40"/>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0A492A"/>
    <w:rsid w:val="70100CA2"/>
    <w:rsid w:val="70393572"/>
    <w:rsid w:val="707A7026"/>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D11D5C"/>
    <w:rsid w:val="72E85DAD"/>
    <w:rsid w:val="732303D9"/>
    <w:rsid w:val="73532CC9"/>
    <w:rsid w:val="73D37E0A"/>
    <w:rsid w:val="73D73D11"/>
    <w:rsid w:val="73D937EE"/>
    <w:rsid w:val="744975DD"/>
    <w:rsid w:val="746920A5"/>
    <w:rsid w:val="748D3CA5"/>
    <w:rsid w:val="74B669BB"/>
    <w:rsid w:val="74CB1EDB"/>
    <w:rsid w:val="74DE73F5"/>
    <w:rsid w:val="751E77AF"/>
    <w:rsid w:val="75D07F8B"/>
    <w:rsid w:val="75EE5669"/>
    <w:rsid w:val="762C7EE8"/>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701D9C"/>
    <w:rsid w:val="789B4D29"/>
    <w:rsid w:val="78FA0671"/>
    <w:rsid w:val="793A634F"/>
    <w:rsid w:val="798635EB"/>
    <w:rsid w:val="79A5750A"/>
    <w:rsid w:val="79F87A3D"/>
    <w:rsid w:val="7A0C1011"/>
    <w:rsid w:val="7A0E7A81"/>
    <w:rsid w:val="7A321CDB"/>
    <w:rsid w:val="7A567B6E"/>
    <w:rsid w:val="7A6E32C8"/>
    <w:rsid w:val="7ABE4C8F"/>
    <w:rsid w:val="7AC900CF"/>
    <w:rsid w:val="7B052FBD"/>
    <w:rsid w:val="7B5A5A6C"/>
    <w:rsid w:val="7B5C250E"/>
    <w:rsid w:val="7B6D0F87"/>
    <w:rsid w:val="7B72691F"/>
    <w:rsid w:val="7B783FD8"/>
    <w:rsid w:val="7B9A3DB8"/>
    <w:rsid w:val="7BA113AB"/>
    <w:rsid w:val="7BD52290"/>
    <w:rsid w:val="7BD568A0"/>
    <w:rsid w:val="7BEF4EB5"/>
    <w:rsid w:val="7BF20E1E"/>
    <w:rsid w:val="7C1524F7"/>
    <w:rsid w:val="7C456120"/>
    <w:rsid w:val="7C5728ED"/>
    <w:rsid w:val="7C82779C"/>
    <w:rsid w:val="7C9408F4"/>
    <w:rsid w:val="7CB462B9"/>
    <w:rsid w:val="7CB4634A"/>
    <w:rsid w:val="7CB83597"/>
    <w:rsid w:val="7CB90CC2"/>
    <w:rsid w:val="7CFB2CE9"/>
    <w:rsid w:val="7D0C34C4"/>
    <w:rsid w:val="7D212CA5"/>
    <w:rsid w:val="7D255EE2"/>
    <w:rsid w:val="7D293184"/>
    <w:rsid w:val="7D4B3EE6"/>
    <w:rsid w:val="7D6112EF"/>
    <w:rsid w:val="7D68620F"/>
    <w:rsid w:val="7D69777E"/>
    <w:rsid w:val="7D927DC0"/>
    <w:rsid w:val="7D971DB1"/>
    <w:rsid w:val="7DB34706"/>
    <w:rsid w:val="7E1A0A9F"/>
    <w:rsid w:val="7E244DB4"/>
    <w:rsid w:val="7E3C401A"/>
    <w:rsid w:val="7E641213"/>
    <w:rsid w:val="7EE33139"/>
    <w:rsid w:val="7EF34773"/>
    <w:rsid w:val="7F0D08DC"/>
    <w:rsid w:val="7F173D26"/>
    <w:rsid w:val="7F5DC674"/>
    <w:rsid w:val="7F666017"/>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8"/>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7"/>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2"/>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9"/>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11">
    <w:name w:val="toc 7"/>
    <w:basedOn w:val="1"/>
    <w:next w:val="1"/>
    <w:qFormat/>
    <w:uiPriority w:val="39"/>
    <w:pPr>
      <w:ind w:left="1260"/>
      <w:jc w:val="left"/>
    </w:pPr>
    <w:rPr>
      <w:rFonts w:ascii="Calibri" w:hAnsi="Calibri"/>
      <w:sz w:val="18"/>
      <w:szCs w:val="18"/>
    </w:rPr>
  </w:style>
  <w:style w:type="paragraph" w:styleId="12">
    <w:name w:val="Normal Indent"/>
    <w:basedOn w:val="1"/>
    <w:link w:val="69"/>
    <w:qFormat/>
    <w:uiPriority w:val="0"/>
    <w:pPr>
      <w:ind w:firstLine="420" w:firstLineChars="200"/>
    </w:pPr>
  </w:style>
  <w:style w:type="paragraph" w:styleId="13">
    <w:name w:val="Document Map"/>
    <w:basedOn w:val="1"/>
    <w:link w:val="76"/>
    <w:qFormat/>
    <w:uiPriority w:val="0"/>
    <w:pPr>
      <w:shd w:val="clear" w:color="auto" w:fill="000080"/>
    </w:pPr>
    <w:rPr>
      <w:kern w:val="0"/>
      <w:sz w:val="20"/>
    </w:rPr>
  </w:style>
  <w:style w:type="paragraph" w:styleId="14">
    <w:name w:val="annotation text"/>
    <w:basedOn w:val="1"/>
    <w:link w:val="58"/>
    <w:unhideWhenUsed/>
    <w:qFormat/>
    <w:uiPriority w:val="99"/>
    <w:pPr>
      <w:jc w:val="left"/>
    </w:pPr>
    <w:rPr>
      <w:kern w:val="0"/>
      <w:sz w:val="20"/>
    </w:rPr>
  </w:style>
  <w:style w:type="paragraph" w:styleId="15">
    <w:name w:val="Body Text 3"/>
    <w:basedOn w:val="1"/>
    <w:link w:val="62"/>
    <w:qFormat/>
    <w:uiPriority w:val="0"/>
    <w:rPr>
      <w:rFonts w:ascii="宋体"/>
      <w:kern w:val="0"/>
      <w:sz w:val="24"/>
      <w:szCs w:val="20"/>
    </w:rPr>
  </w:style>
  <w:style w:type="paragraph" w:styleId="16">
    <w:name w:val="Body Text"/>
    <w:basedOn w:val="1"/>
    <w:link w:val="65"/>
    <w:qFormat/>
    <w:uiPriority w:val="0"/>
    <w:pPr>
      <w:spacing w:after="120"/>
    </w:pPr>
    <w:rPr>
      <w:kern w:val="0"/>
      <w:sz w:val="20"/>
    </w:rPr>
  </w:style>
  <w:style w:type="paragraph" w:styleId="17">
    <w:name w:val="Body Text Indent"/>
    <w:basedOn w:val="1"/>
    <w:link w:val="75"/>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8"/>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2"/>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80"/>
    <w:qFormat/>
    <w:uiPriority w:val="0"/>
    <w:rPr>
      <w:kern w:val="0"/>
      <w:sz w:val="18"/>
      <w:szCs w:val="18"/>
    </w:rPr>
  </w:style>
  <w:style w:type="paragraph" w:styleId="26">
    <w:name w:val="footer"/>
    <w:basedOn w:val="1"/>
    <w:link w:val="94"/>
    <w:qFormat/>
    <w:uiPriority w:val="99"/>
    <w:pPr>
      <w:tabs>
        <w:tab w:val="center" w:pos="4153"/>
        <w:tab w:val="right" w:pos="8306"/>
      </w:tabs>
      <w:snapToGrid w:val="0"/>
      <w:jc w:val="left"/>
    </w:pPr>
    <w:rPr>
      <w:kern w:val="0"/>
      <w:sz w:val="18"/>
      <w:szCs w:val="18"/>
    </w:rPr>
  </w:style>
  <w:style w:type="paragraph" w:styleId="27">
    <w:name w:val="header"/>
    <w:basedOn w:val="1"/>
    <w:link w:val="72"/>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6"/>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6"/>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9"/>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4"/>
    <w:next w:val="14"/>
    <w:link w:val="68"/>
    <w:qFormat/>
    <w:uiPriority w:val="0"/>
    <w:rPr>
      <w:b/>
      <w:bCs/>
    </w:rPr>
  </w:style>
  <w:style w:type="paragraph" w:styleId="41">
    <w:name w:val="Body Text First Indent"/>
    <w:basedOn w:val="16"/>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qFormat/>
    <w:uiPriority w:val="0"/>
    <w:pPr>
      <w:ind w:firstLine="420"/>
    </w:pPr>
    <w:rPr>
      <w:sz w:val="21"/>
    </w:r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Emphasis"/>
    <w:basedOn w:val="45"/>
    <w:qFormat/>
    <w:uiPriority w:val="20"/>
    <w:rPr>
      <w:i/>
    </w:rPr>
  </w:style>
  <w:style w:type="character" w:styleId="50">
    <w:name w:val="Hyperlink"/>
    <w:basedOn w:val="45"/>
    <w:qFormat/>
    <w:uiPriority w:val="99"/>
    <w:rPr>
      <w:rFonts w:ascii="Arial" w:hAnsi="Arial" w:eastAsia="Arial" w:cs="Arial"/>
      <w:color w:val="333333"/>
      <w:sz w:val="21"/>
      <w:szCs w:val="21"/>
      <w:u w:val="none"/>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character" w:customStyle="1" w:styleId="53">
    <w:name w:val="apple-style-span"/>
    <w:qFormat/>
    <w:uiPriority w:val="0"/>
    <w:rPr>
      <w:rFonts w:ascii="Verdana" w:hAnsi="Verdana" w:eastAsia="宋体"/>
      <w:sz w:val="21"/>
      <w:lang w:val="en-US" w:eastAsia="en-US" w:bidi="ar-SA"/>
    </w:rPr>
  </w:style>
  <w:style w:type="character" w:customStyle="1" w:styleId="54">
    <w:name w:val="正文文本 3 Char1"/>
    <w:semiHidden/>
    <w:qFormat/>
    <w:uiPriority w:val="99"/>
    <w:rPr>
      <w:rFonts w:ascii="Times New Roman" w:hAnsi="Times New Roman" w:eastAsia="宋体" w:cs="Times New Roman"/>
      <w:sz w:val="16"/>
      <w:szCs w:val="16"/>
    </w:rPr>
  </w:style>
  <w:style w:type="character" w:customStyle="1" w:styleId="55">
    <w:name w:val="样式 宋体"/>
    <w:qFormat/>
    <w:uiPriority w:val="0"/>
    <w:rPr>
      <w:rFonts w:ascii="Times New Roman" w:hAnsi="Times New Roman" w:eastAsia="宋体"/>
      <w:sz w:val="21"/>
    </w:rPr>
  </w:style>
  <w:style w:type="character" w:customStyle="1" w:styleId="56">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7">
    <w:name w:val="标题 3 字符"/>
    <w:link w:val="5"/>
    <w:qFormat/>
    <w:uiPriority w:val="0"/>
    <w:rPr>
      <w:rFonts w:ascii="Times New Roman" w:hAnsi="Times New Roman" w:eastAsia="宋体" w:cs="Times New Roman"/>
      <w:b/>
      <w:bCs/>
      <w:sz w:val="32"/>
      <w:szCs w:val="32"/>
    </w:rPr>
  </w:style>
  <w:style w:type="character" w:customStyle="1" w:styleId="58">
    <w:name w:val="批注文字 字符"/>
    <w:link w:val="14"/>
    <w:semiHidden/>
    <w:qFormat/>
    <w:uiPriority w:val="99"/>
    <w:rPr>
      <w:rFonts w:ascii="Times New Roman" w:hAnsi="Times New Roman" w:eastAsia="宋体" w:cs="Times New Roman"/>
      <w:szCs w:val="24"/>
    </w:rPr>
  </w:style>
  <w:style w:type="character" w:customStyle="1" w:styleId="59">
    <w:name w:val="标题 6 字符"/>
    <w:link w:val="7"/>
    <w:qFormat/>
    <w:uiPriority w:val="0"/>
    <w:rPr>
      <w:rFonts w:ascii="Arial" w:hAnsi="Arial" w:eastAsia="黑体" w:cs="Times New Roman"/>
      <w:b/>
      <w:bCs/>
      <w:kern w:val="0"/>
      <w:sz w:val="24"/>
      <w:szCs w:val="24"/>
    </w:rPr>
  </w:style>
  <w:style w:type="character" w:customStyle="1" w:styleId="60">
    <w:name w:val="Char Char8"/>
    <w:qFormat/>
    <w:uiPriority w:val="0"/>
    <w:rPr>
      <w:rFonts w:ascii="Arial" w:hAnsi="Arial" w:eastAsia="黑体"/>
      <w:b/>
      <w:bCs/>
      <w:kern w:val="2"/>
      <w:sz w:val="32"/>
      <w:szCs w:val="32"/>
      <w:lang w:val="en-US" w:eastAsia="zh-CN" w:bidi="ar-SA"/>
    </w:rPr>
  </w:style>
  <w:style w:type="character" w:customStyle="1" w:styleId="61">
    <w:name w:val="脚注文本 Char1"/>
    <w:semiHidden/>
    <w:qFormat/>
    <w:uiPriority w:val="99"/>
    <w:rPr>
      <w:rFonts w:ascii="Times New Roman" w:hAnsi="Times New Roman" w:eastAsia="宋体" w:cs="Times New Roman"/>
      <w:sz w:val="18"/>
      <w:szCs w:val="18"/>
    </w:rPr>
  </w:style>
  <w:style w:type="character" w:customStyle="1" w:styleId="62">
    <w:name w:val="正文文本 3 字符"/>
    <w:link w:val="15"/>
    <w:qFormat/>
    <w:uiPriority w:val="0"/>
    <w:rPr>
      <w:rFonts w:ascii="宋体"/>
      <w:sz w:val="24"/>
    </w:rPr>
  </w:style>
  <w:style w:type="character" w:customStyle="1" w:styleId="63">
    <w:name w:val="页脚 Char1"/>
    <w:semiHidden/>
    <w:qFormat/>
    <w:uiPriority w:val="99"/>
    <w:rPr>
      <w:rFonts w:ascii="Times New Roman" w:hAnsi="Times New Roman" w:eastAsia="宋体" w:cs="Times New Roman"/>
      <w:sz w:val="18"/>
      <w:szCs w:val="18"/>
    </w:rPr>
  </w:style>
  <w:style w:type="character" w:customStyle="1" w:styleId="64">
    <w:name w:val="标题 Char1"/>
    <w:qFormat/>
    <w:uiPriority w:val="10"/>
    <w:rPr>
      <w:rFonts w:ascii="Calibri Light" w:hAnsi="Calibri Light" w:eastAsia="宋体" w:cs="Times New Roman"/>
      <w:b/>
      <w:bCs/>
      <w:sz w:val="32"/>
      <w:szCs w:val="32"/>
    </w:rPr>
  </w:style>
  <w:style w:type="character" w:customStyle="1" w:styleId="65">
    <w:name w:val="正文文本 字符"/>
    <w:link w:val="16"/>
    <w:qFormat/>
    <w:uiPriority w:val="0"/>
    <w:rPr>
      <w:rFonts w:eastAsia="宋体"/>
      <w:szCs w:val="24"/>
    </w:rPr>
  </w:style>
  <w:style w:type="character" w:customStyle="1" w:styleId="66">
    <w:name w:val="脚注文本 字符"/>
    <w:link w:val="30"/>
    <w:qFormat/>
    <w:uiPriority w:val="0"/>
    <w:rPr>
      <w:rFonts w:eastAsia="宋体"/>
    </w:rPr>
  </w:style>
  <w:style w:type="character" w:customStyle="1" w:styleId="67">
    <w:name w:val="纯文本 Char1"/>
    <w:semiHidden/>
    <w:qFormat/>
    <w:uiPriority w:val="99"/>
    <w:rPr>
      <w:rFonts w:ascii="宋体" w:hAnsi="Courier New" w:eastAsia="宋体" w:cs="Courier New"/>
      <w:szCs w:val="21"/>
    </w:rPr>
  </w:style>
  <w:style w:type="character" w:customStyle="1" w:styleId="68">
    <w:name w:val="批注主题 字符"/>
    <w:link w:val="40"/>
    <w:qFormat/>
    <w:uiPriority w:val="0"/>
    <w:rPr>
      <w:rFonts w:ascii="Times New Roman" w:hAnsi="Times New Roman" w:eastAsia="宋体" w:cs="Times New Roman"/>
      <w:b/>
      <w:bCs/>
      <w:szCs w:val="24"/>
    </w:rPr>
  </w:style>
  <w:style w:type="character" w:customStyle="1" w:styleId="69">
    <w:name w:val="正文缩进 字符"/>
    <w:link w:val="12"/>
    <w:qFormat/>
    <w:locked/>
    <w:uiPriority w:val="0"/>
    <w:rPr>
      <w:kern w:val="2"/>
      <w:sz w:val="21"/>
      <w:szCs w:val="24"/>
    </w:rPr>
  </w:style>
  <w:style w:type="character" w:customStyle="1" w:styleId="70">
    <w:name w:val="font11"/>
    <w:qFormat/>
    <w:uiPriority w:val="0"/>
    <w:rPr>
      <w:rFonts w:hint="default" w:ascii="Times New Roman" w:hAnsi="Times New Roman" w:cs="Times New Roman"/>
      <w:color w:val="000000"/>
      <w:sz w:val="22"/>
      <w:szCs w:val="22"/>
      <w:u w:val="none"/>
    </w:rPr>
  </w:style>
  <w:style w:type="character" w:customStyle="1" w:styleId="71">
    <w:name w:val="font01"/>
    <w:qFormat/>
    <w:uiPriority w:val="0"/>
    <w:rPr>
      <w:rFonts w:hint="eastAsia" w:ascii="宋体" w:hAnsi="宋体" w:eastAsia="宋体" w:cs="宋体"/>
      <w:color w:val="000000"/>
      <w:sz w:val="22"/>
      <w:szCs w:val="22"/>
      <w:u w:val="none"/>
    </w:rPr>
  </w:style>
  <w:style w:type="character" w:customStyle="1" w:styleId="72">
    <w:name w:val="页眉 字符"/>
    <w:link w:val="27"/>
    <w:qFormat/>
    <w:uiPriority w:val="0"/>
    <w:rPr>
      <w:rFonts w:ascii="Times New Roman" w:hAnsi="Times New Roman" w:eastAsia="宋体" w:cs="Times New Roman"/>
      <w:sz w:val="18"/>
      <w:szCs w:val="18"/>
    </w:rPr>
  </w:style>
  <w:style w:type="character" w:customStyle="1" w:styleId="73">
    <w:name w:val="标题 9 字符"/>
    <w:link w:val="10"/>
    <w:qFormat/>
    <w:uiPriority w:val="0"/>
    <w:rPr>
      <w:rFonts w:ascii="Arial" w:hAnsi="Arial" w:eastAsia="黑体" w:cs="Times New Roman"/>
      <w:kern w:val="0"/>
      <w:szCs w:val="21"/>
    </w:rPr>
  </w:style>
  <w:style w:type="character" w:customStyle="1" w:styleId="74">
    <w:name w:val="标题 2 Char1"/>
    <w:qFormat/>
    <w:uiPriority w:val="0"/>
    <w:rPr>
      <w:rFonts w:ascii="Arial" w:hAnsi="Arial" w:eastAsia="黑体" w:cs="Times New Roman"/>
      <w:b/>
      <w:bCs/>
      <w:sz w:val="32"/>
      <w:szCs w:val="32"/>
      <w:lang w:val="en-US" w:eastAsia="en-US" w:bidi="ar-SA"/>
    </w:rPr>
  </w:style>
  <w:style w:type="character" w:customStyle="1" w:styleId="75">
    <w:name w:val="正文文本缩进 字符"/>
    <w:link w:val="17"/>
    <w:qFormat/>
    <w:uiPriority w:val="0"/>
    <w:rPr>
      <w:szCs w:val="24"/>
    </w:rPr>
  </w:style>
  <w:style w:type="character" w:customStyle="1" w:styleId="76">
    <w:name w:val="文档结构图 字符"/>
    <w:link w:val="13"/>
    <w:qFormat/>
    <w:uiPriority w:val="0"/>
    <w:rPr>
      <w:rFonts w:ascii="Times New Roman" w:hAnsi="Times New Roman" w:eastAsia="宋体" w:cs="Times New Roman"/>
      <w:szCs w:val="24"/>
      <w:shd w:val="clear" w:color="auto" w:fill="000080"/>
    </w:rPr>
  </w:style>
  <w:style w:type="character" w:customStyle="1" w:styleId="77">
    <w:name w:val="font161"/>
    <w:qFormat/>
    <w:uiPriority w:val="0"/>
    <w:rPr>
      <w:b/>
      <w:bCs/>
      <w:sz w:val="32"/>
      <w:szCs w:val="32"/>
    </w:rPr>
  </w:style>
  <w:style w:type="character" w:customStyle="1" w:styleId="78">
    <w:name w:val="标题 2 字符"/>
    <w:link w:val="4"/>
    <w:qFormat/>
    <w:uiPriority w:val="0"/>
    <w:rPr>
      <w:rFonts w:ascii="Arial" w:hAnsi="Arial" w:eastAsia="黑体" w:cs="Times New Roman"/>
      <w:b/>
      <w:bCs/>
      <w:sz w:val="32"/>
      <w:szCs w:val="32"/>
    </w:rPr>
  </w:style>
  <w:style w:type="character" w:customStyle="1" w:styleId="79">
    <w:name w:val="标题 字符"/>
    <w:link w:val="39"/>
    <w:qFormat/>
    <w:uiPriority w:val="0"/>
    <w:rPr>
      <w:rFonts w:ascii="Arial" w:hAnsi="Arial"/>
      <w:b/>
      <w:sz w:val="32"/>
    </w:rPr>
  </w:style>
  <w:style w:type="character" w:customStyle="1" w:styleId="80">
    <w:name w:val="批注框文本 字符"/>
    <w:link w:val="25"/>
    <w:qFormat/>
    <w:uiPriority w:val="0"/>
    <w:rPr>
      <w:rFonts w:ascii="Times New Roman" w:hAnsi="Times New Roman" w:eastAsia="宋体" w:cs="Times New Roman"/>
      <w:sz w:val="18"/>
      <w:szCs w:val="18"/>
    </w:rPr>
  </w:style>
  <w:style w:type="character" w:customStyle="1" w:styleId="81">
    <w:name w:val="标题 8 字符"/>
    <w:link w:val="9"/>
    <w:qFormat/>
    <w:uiPriority w:val="0"/>
    <w:rPr>
      <w:rFonts w:ascii="Arial" w:hAnsi="Arial" w:eastAsia="黑体" w:cs="Times New Roman"/>
      <w:kern w:val="0"/>
      <w:sz w:val="24"/>
      <w:szCs w:val="24"/>
    </w:rPr>
  </w:style>
  <w:style w:type="character" w:customStyle="1" w:styleId="82">
    <w:name w:val="日期 字符"/>
    <w:link w:val="23"/>
    <w:qFormat/>
    <w:uiPriority w:val="0"/>
    <w:rPr>
      <w:rFonts w:ascii="Times New Roman" w:hAnsi="Times New Roman" w:eastAsia="宋体" w:cs="Times New Roman"/>
      <w:sz w:val="24"/>
      <w:szCs w:val="20"/>
    </w:rPr>
  </w:style>
  <w:style w:type="character" w:customStyle="1" w:styleId="83">
    <w:name w:val="标题 1 字符"/>
    <w:link w:val="3"/>
    <w:qFormat/>
    <w:uiPriority w:val="0"/>
    <w:rPr>
      <w:rFonts w:ascii="Times New Roman" w:hAnsi="Times New Roman" w:eastAsia="宋体" w:cs="Times New Roman"/>
      <w:b/>
      <w:bCs/>
      <w:kern w:val="44"/>
      <w:sz w:val="44"/>
      <w:szCs w:val="44"/>
    </w:rPr>
  </w:style>
  <w:style w:type="character" w:customStyle="1" w:styleId="84">
    <w:name w:val="招标节 Char"/>
    <w:link w:val="85"/>
    <w:qFormat/>
    <w:locked/>
    <w:uiPriority w:val="0"/>
    <w:rPr>
      <w:b/>
      <w:sz w:val="24"/>
      <w:szCs w:val="24"/>
    </w:rPr>
  </w:style>
  <w:style w:type="paragraph" w:customStyle="1" w:styleId="85">
    <w:name w:val="招标节"/>
    <w:basedOn w:val="1"/>
    <w:next w:val="1"/>
    <w:link w:val="84"/>
    <w:qFormat/>
    <w:uiPriority w:val="0"/>
    <w:pPr>
      <w:spacing w:beforeLines="50" w:afterLines="50"/>
      <w:outlineLvl w:val="1"/>
    </w:pPr>
    <w:rPr>
      <w:b/>
      <w:kern w:val="0"/>
      <w:sz w:val="24"/>
    </w:rPr>
  </w:style>
  <w:style w:type="character" w:customStyle="1" w:styleId="86">
    <w:name w:val="正文文本缩进 3 字符"/>
    <w:link w:val="32"/>
    <w:qFormat/>
    <w:uiPriority w:val="0"/>
    <w:rPr>
      <w:rFonts w:ascii="Times New Roman" w:hAnsi="Times New Roman" w:eastAsia="宋体" w:cs="Times New Roman"/>
      <w:sz w:val="16"/>
      <w:szCs w:val="16"/>
    </w:rPr>
  </w:style>
  <w:style w:type="character" w:customStyle="1" w:styleId="87">
    <w:name w:val="tpc_content1"/>
    <w:qFormat/>
    <w:uiPriority w:val="0"/>
    <w:rPr>
      <w:sz w:val="20"/>
      <w:szCs w:val="20"/>
    </w:rPr>
  </w:style>
  <w:style w:type="character" w:customStyle="1" w:styleId="88">
    <w:name w:val="Char Char"/>
    <w:qFormat/>
    <w:uiPriority w:val="0"/>
    <w:rPr>
      <w:rFonts w:ascii="Arial" w:hAnsi="Arial" w:eastAsia="黑体"/>
      <w:b/>
      <w:bCs/>
      <w:kern w:val="2"/>
      <w:sz w:val="32"/>
      <w:szCs w:val="32"/>
      <w:lang w:val="en-US" w:eastAsia="zh-CN" w:bidi="ar-SA"/>
    </w:rPr>
  </w:style>
  <w:style w:type="character" w:customStyle="1" w:styleId="89">
    <w:name w:val="正文文本 Char1"/>
    <w:semiHidden/>
    <w:qFormat/>
    <w:uiPriority w:val="99"/>
    <w:rPr>
      <w:rFonts w:ascii="Times New Roman" w:hAnsi="Times New Roman" w:eastAsia="宋体" w:cs="Times New Roman"/>
      <w:szCs w:val="24"/>
    </w:rPr>
  </w:style>
  <w:style w:type="character" w:customStyle="1" w:styleId="90">
    <w:name w:val="Char Char2"/>
    <w:qFormat/>
    <w:uiPriority w:val="0"/>
    <w:rPr>
      <w:rFonts w:eastAsia="宋体"/>
      <w:kern w:val="2"/>
      <w:sz w:val="21"/>
      <w:szCs w:val="24"/>
      <w:lang w:val="en-US" w:eastAsia="zh-CN" w:bidi="ar-SA"/>
    </w:rPr>
  </w:style>
  <w:style w:type="character" w:customStyle="1" w:styleId="91">
    <w:name w:val="apple-converted-space"/>
    <w:qFormat/>
    <w:uiPriority w:val="0"/>
  </w:style>
  <w:style w:type="character" w:customStyle="1" w:styleId="92">
    <w:name w:val="标题 4 字符"/>
    <w:link w:val="6"/>
    <w:qFormat/>
    <w:uiPriority w:val="0"/>
    <w:rPr>
      <w:rFonts w:ascii="Arial" w:hAnsi="Arial" w:eastAsia="黑体" w:cs="Times New Roman"/>
      <w:b/>
      <w:bCs/>
      <w:sz w:val="28"/>
      <w:szCs w:val="28"/>
    </w:rPr>
  </w:style>
  <w:style w:type="character" w:customStyle="1" w:styleId="93">
    <w:name w:val="正文文本缩进 Char1"/>
    <w:semiHidden/>
    <w:qFormat/>
    <w:uiPriority w:val="99"/>
    <w:rPr>
      <w:rFonts w:ascii="Times New Roman" w:hAnsi="Times New Roman" w:eastAsia="宋体" w:cs="Times New Roman"/>
      <w:szCs w:val="24"/>
    </w:rPr>
  </w:style>
  <w:style w:type="character" w:customStyle="1" w:styleId="94">
    <w:name w:val="页脚 字符"/>
    <w:link w:val="26"/>
    <w:qFormat/>
    <w:uiPriority w:val="99"/>
    <w:rPr>
      <w:sz w:val="18"/>
      <w:szCs w:val="18"/>
    </w:rPr>
  </w:style>
  <w:style w:type="character" w:customStyle="1" w:styleId="95">
    <w:name w:val="Char Char7"/>
    <w:qFormat/>
    <w:uiPriority w:val="0"/>
    <w:rPr>
      <w:rFonts w:ascii="Arial" w:hAnsi="Arial" w:eastAsia="黑体"/>
      <w:b/>
      <w:bCs/>
      <w:kern w:val="2"/>
      <w:sz w:val="32"/>
      <w:szCs w:val="32"/>
      <w:lang w:val="en-US" w:eastAsia="zh-CN" w:bidi="ar-SA"/>
    </w:rPr>
  </w:style>
  <w:style w:type="character" w:customStyle="1" w:styleId="96">
    <w:name w:val="HTML 预设格式 字符"/>
    <w:link w:val="36"/>
    <w:qFormat/>
    <w:uiPriority w:val="0"/>
    <w:rPr>
      <w:rFonts w:ascii="微软雅黑" w:hAnsi="微软雅黑" w:eastAsia="微软雅黑" w:cs="Times New Roman"/>
      <w:kern w:val="0"/>
      <w:sz w:val="24"/>
      <w:szCs w:val="24"/>
    </w:rPr>
  </w:style>
  <w:style w:type="character" w:customStyle="1" w:styleId="97">
    <w:name w:val="批注文字 Char"/>
    <w:qFormat/>
    <w:uiPriority w:val="0"/>
    <w:rPr>
      <w:rFonts w:eastAsia="宋体"/>
      <w:kern w:val="2"/>
      <w:sz w:val="21"/>
      <w:szCs w:val="24"/>
      <w:lang w:val="en-US" w:eastAsia="zh-CN" w:bidi="ar-SA"/>
    </w:rPr>
  </w:style>
  <w:style w:type="character" w:customStyle="1" w:styleId="98">
    <w:name w:val="纯文本 字符"/>
    <w:link w:val="21"/>
    <w:qFormat/>
    <w:uiPriority w:val="99"/>
    <w:rPr>
      <w:rFonts w:ascii="Courier New" w:hAnsi="Courier New"/>
    </w:rPr>
  </w:style>
  <w:style w:type="character" w:customStyle="1" w:styleId="99">
    <w:name w:val="标题 7 字符"/>
    <w:link w:val="8"/>
    <w:qFormat/>
    <w:uiPriority w:val="0"/>
    <w:rPr>
      <w:rFonts w:ascii="Times New Roman" w:hAnsi="Times New Roman" w:eastAsia="宋体" w:cs="Times New Roman"/>
      <w:b/>
      <w:bCs/>
      <w:kern w:val="0"/>
      <w:sz w:val="24"/>
      <w:szCs w:val="24"/>
    </w:rPr>
  </w:style>
  <w:style w:type="paragraph" w:customStyle="1" w:styleId="100">
    <w:name w:val="样式4"/>
    <w:basedOn w:val="5"/>
    <w:qFormat/>
    <w:uiPriority w:val="0"/>
    <w:rPr>
      <w:rFonts w:eastAsia="Arial"/>
    </w:rPr>
  </w:style>
  <w:style w:type="paragraph" w:customStyle="1" w:styleId="101">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font10"/>
    <w:basedOn w:val="1"/>
    <w:qFormat/>
    <w:uiPriority w:val="0"/>
    <w:pPr>
      <w:widowControl/>
      <w:spacing w:before="100" w:beforeAutospacing="1" w:after="100" w:afterAutospacing="1"/>
      <w:jc w:val="left"/>
    </w:pPr>
    <w:rPr>
      <w:kern w:val="0"/>
      <w:sz w:val="28"/>
      <w:szCs w:val="28"/>
    </w:rPr>
  </w:style>
  <w:style w:type="paragraph" w:customStyle="1" w:styleId="104">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样式1"/>
    <w:basedOn w:val="5"/>
    <w:qFormat/>
    <w:uiPriority w:val="0"/>
    <w:rPr>
      <w:rFonts w:eastAsia="Arial"/>
    </w:rPr>
  </w:style>
  <w:style w:type="paragraph" w:customStyle="1" w:styleId="107">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Char"/>
    <w:basedOn w:val="1"/>
    <w:qFormat/>
    <w:uiPriority w:val="0"/>
    <w:pPr>
      <w:tabs>
        <w:tab w:val="left" w:pos="360"/>
      </w:tabs>
    </w:pPr>
    <w:rPr>
      <w:sz w:val="24"/>
    </w:rPr>
  </w:style>
  <w:style w:type="paragraph" w:customStyle="1" w:styleId="110">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表格"/>
    <w:basedOn w:val="1"/>
    <w:qFormat/>
    <w:uiPriority w:val="0"/>
    <w:pPr>
      <w:jc w:val="center"/>
      <w:textAlignment w:val="center"/>
    </w:pPr>
    <w:rPr>
      <w:rFonts w:ascii="华文细黑" w:hAnsi="华文细黑"/>
      <w:kern w:val="0"/>
      <w:szCs w:val="20"/>
    </w:rPr>
  </w:style>
  <w:style w:type="paragraph" w:customStyle="1" w:styleId="112">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6">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列表段落1"/>
    <w:basedOn w:val="1"/>
    <w:qFormat/>
    <w:uiPriority w:val="34"/>
    <w:pPr>
      <w:ind w:firstLine="420" w:firstLineChars="200"/>
    </w:pPr>
    <w:rPr>
      <w:rFonts w:ascii="Calibri" w:hAnsi="Calibri"/>
      <w:szCs w:val="22"/>
    </w:rPr>
  </w:style>
  <w:style w:type="paragraph" w:customStyle="1" w:styleId="12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3">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5">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6">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7">
    <w:name w:val="1"/>
    <w:basedOn w:val="1"/>
    <w:next w:val="1"/>
    <w:qFormat/>
    <w:uiPriority w:val="0"/>
  </w:style>
  <w:style w:type="paragraph" w:customStyle="1" w:styleId="128">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0">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1">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2">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3">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样式3"/>
    <w:basedOn w:val="5"/>
    <w:qFormat/>
    <w:uiPriority w:val="0"/>
    <w:rPr>
      <w:rFonts w:eastAsia="Arial"/>
    </w:rPr>
  </w:style>
  <w:style w:type="paragraph" w:customStyle="1" w:styleId="135">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8">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40">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3">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4">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6">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8">
    <w:name w:val="第二"/>
    <w:basedOn w:val="1"/>
    <w:qFormat/>
    <w:uiPriority w:val="0"/>
    <w:pPr>
      <w:adjustRightInd w:val="0"/>
      <w:snapToGrid w:val="0"/>
      <w:spacing w:line="360" w:lineRule="auto"/>
      <w:ind w:right="-108" w:rightChars="-45" w:firstLine="482"/>
    </w:pPr>
    <w:rPr>
      <w:b/>
    </w:rPr>
  </w:style>
  <w:style w:type="paragraph" w:customStyle="1" w:styleId="14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1">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2">
    <w:name w:val="内容"/>
    <w:basedOn w:val="1"/>
    <w:qFormat/>
    <w:uiPriority w:val="0"/>
    <w:pPr>
      <w:spacing w:line="480" w:lineRule="exact"/>
      <w:ind w:firstLine="200" w:firstLineChars="200"/>
    </w:pPr>
  </w:style>
  <w:style w:type="paragraph" w:customStyle="1" w:styleId="153">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4">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列出段落1"/>
    <w:basedOn w:val="1"/>
    <w:qFormat/>
    <w:uiPriority w:val="99"/>
    <w:pPr>
      <w:ind w:firstLine="420" w:firstLineChars="200"/>
    </w:pPr>
  </w:style>
  <w:style w:type="paragraph" w:customStyle="1" w:styleId="156">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7">
    <w:name w:val="表格文字"/>
    <w:basedOn w:val="1"/>
    <w:qFormat/>
    <w:uiPriority w:val="0"/>
    <w:pPr>
      <w:adjustRightInd w:val="0"/>
      <w:spacing w:line="420" w:lineRule="atLeast"/>
      <w:jc w:val="left"/>
      <w:textAlignment w:val="baseline"/>
    </w:pPr>
    <w:rPr>
      <w:kern w:val="0"/>
      <w:szCs w:val="20"/>
    </w:rPr>
  </w:style>
  <w:style w:type="paragraph" w:customStyle="1" w:styleId="158">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9">
    <w:name w:val="样式2"/>
    <w:basedOn w:val="5"/>
    <w:qFormat/>
    <w:uiPriority w:val="0"/>
  </w:style>
  <w:style w:type="character" w:customStyle="1" w:styleId="160">
    <w:name w:val="after"/>
    <w:basedOn w:val="45"/>
    <w:qFormat/>
    <w:uiPriority w:val="0"/>
    <w:rPr>
      <w:bdr w:val="dashed" w:color="auto" w:sz="48" w:space="0"/>
    </w:rPr>
  </w:style>
  <w:style w:type="character" w:customStyle="1" w:styleId="161">
    <w:name w:val="before"/>
    <w:basedOn w:val="45"/>
    <w:qFormat/>
    <w:uiPriority w:val="0"/>
    <w:rPr>
      <w:bdr w:val="single" w:color="auto" w:sz="48" w:space="0"/>
    </w:rPr>
  </w:style>
  <w:style w:type="character" w:customStyle="1" w:styleId="162">
    <w:name w:val="hover48"/>
    <w:basedOn w:val="45"/>
    <w:qFormat/>
    <w:uiPriority w:val="0"/>
    <w:rPr>
      <w:shd w:val="clear" w:color="auto" w:fill="346AC3"/>
    </w:rPr>
  </w:style>
  <w:style w:type="character" w:customStyle="1" w:styleId="163">
    <w:name w:val="hover49"/>
    <w:basedOn w:val="45"/>
    <w:qFormat/>
    <w:uiPriority w:val="0"/>
  </w:style>
  <w:style w:type="character" w:customStyle="1" w:styleId="164">
    <w:name w:val="hover50"/>
    <w:basedOn w:val="45"/>
    <w:qFormat/>
    <w:uiPriority w:val="0"/>
    <w:rPr>
      <w:color w:val="4285F4"/>
      <w:u w:val="none"/>
    </w:rPr>
  </w:style>
  <w:style w:type="character" w:customStyle="1" w:styleId="165">
    <w:name w:val="hover51"/>
    <w:basedOn w:val="45"/>
    <w:qFormat/>
    <w:uiPriority w:val="0"/>
    <w:rPr>
      <w:color w:val="4285F4"/>
    </w:rPr>
  </w:style>
  <w:style w:type="character" w:customStyle="1" w:styleId="166">
    <w:name w:val="hover52"/>
    <w:basedOn w:val="45"/>
    <w:qFormat/>
    <w:uiPriority w:val="0"/>
    <w:rPr>
      <w:color w:val="1A85D7"/>
    </w:rPr>
  </w:style>
  <w:style w:type="character" w:customStyle="1" w:styleId="167">
    <w:name w:val="credit"/>
    <w:basedOn w:val="45"/>
    <w:qFormat/>
    <w:uiPriority w:val="0"/>
    <w:rPr>
      <w:sz w:val="18"/>
      <w:szCs w:val="18"/>
    </w:rPr>
  </w:style>
  <w:style w:type="character" w:customStyle="1" w:styleId="168">
    <w:name w:val="first-child"/>
    <w:basedOn w:val="45"/>
    <w:qFormat/>
    <w:uiPriority w:val="0"/>
  </w:style>
  <w:style w:type="paragraph" w:customStyle="1" w:styleId="169">
    <w:name w:val="_Style 6"/>
    <w:basedOn w:val="1"/>
    <w:next w:val="1"/>
    <w:qFormat/>
    <w:uiPriority w:val="39"/>
    <w:pPr>
      <w:tabs>
        <w:tab w:val="left" w:pos="1260"/>
        <w:tab w:val="left" w:pos="1680"/>
        <w:tab w:val="right" w:leader="dot" w:pos="9712"/>
      </w:tabs>
      <w:adjustRightInd w:val="0"/>
      <w:snapToGrid w:val="0"/>
      <w:spacing w:line="312" w:lineRule="auto"/>
    </w:pPr>
    <w:rPr>
      <w:rFonts w:hAnsi="宋体"/>
      <w:b/>
      <w:bCs/>
      <w:sz w:val="32"/>
    </w:rPr>
  </w:style>
  <w:style w:type="character" w:customStyle="1" w:styleId="170">
    <w:name w:val="font41"/>
    <w:basedOn w:val="45"/>
    <w:qFormat/>
    <w:uiPriority w:val="0"/>
    <w:rPr>
      <w:rFonts w:hint="eastAsia" w:ascii="宋体" w:hAnsi="宋体" w:eastAsia="宋体" w:cs="宋体"/>
      <w:b/>
      <w:bCs/>
      <w:color w:val="000000"/>
      <w:sz w:val="24"/>
      <w:szCs w:val="24"/>
      <w:u w:val="none"/>
    </w:rPr>
  </w:style>
  <w:style w:type="character" w:customStyle="1" w:styleId="171">
    <w:name w:val="font112"/>
    <w:basedOn w:val="45"/>
    <w:qFormat/>
    <w:uiPriority w:val="0"/>
    <w:rPr>
      <w:rFonts w:ascii="Tahoma" w:hAnsi="Tahoma" w:eastAsia="Tahoma" w:cs="Tahoma"/>
      <w:b/>
      <w:bCs/>
      <w:color w:val="000000"/>
      <w:sz w:val="24"/>
      <w:szCs w:val="24"/>
      <w:u w:val="none"/>
    </w:rPr>
  </w:style>
  <w:style w:type="character" w:customStyle="1" w:styleId="172">
    <w:name w:val="15"/>
    <w:basedOn w:val="4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9626</Words>
  <Characters>10185</Characters>
  <Lines>116</Lines>
  <Paragraphs>32</Paragraphs>
  <TotalTime>2</TotalTime>
  <ScaleCrop>false</ScaleCrop>
  <LinksUpToDate>false</LinksUpToDate>
  <CharactersWithSpaces>10432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余运</cp:lastModifiedBy>
  <cp:lastPrinted>2022-06-07T02:51:00Z</cp:lastPrinted>
  <dcterms:modified xsi:type="dcterms:W3CDTF">2024-12-02T06:13:22Z</dcterms:modified>
  <dc:title>项目名称：2019年重庆市取消高速公路省界收费站项目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CA9229BF7F204DA08DD95BC61990121B</vt:lpwstr>
  </property>
</Properties>
</file>