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highlight w:val="yellow"/>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lang w:eastAsia="zh-CN"/>
          <w14:textFill>
            <w14:solidFill>
              <w14:schemeClr w14:val="tx1"/>
            </w14:solidFill>
          </w14:textFill>
        </w:rPr>
        <w:t>国产技术体系下的供应链统计分析和系统开发服务</w:t>
      </w:r>
    </w:p>
    <w:p>
      <w:pPr>
        <w:pStyle w:val="23"/>
        <w:ind w:left="0" w:leftChars="0" w:firstLine="0"/>
        <w:rPr>
          <w:rFonts w:ascii="宋体" w:hAnsi="宋体" w:cs="宋体"/>
          <w:b/>
          <w:color w:val="000000" w:themeColor="text1"/>
          <w:sz w:val="32"/>
          <w:szCs w:val="32"/>
          <w:highlight w:val="yellow"/>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ascii="宋体" w:hAnsi="宋体" w:cs="宋体"/>
          <w:b/>
          <w:color w:val="000000" w:themeColor="text1"/>
          <w:sz w:val="28"/>
          <w:szCs w:val="28"/>
          <w:u w:val="single"/>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1</w:t>
      </w:r>
      <w:r>
        <w:rPr>
          <w:rFonts w:hint="eastAsia" w:ascii="宋体" w:hAnsi="宋体" w:cs="宋体"/>
          <w:b/>
          <w:color w:val="000000" w:themeColor="text1"/>
          <w:sz w:val="28"/>
          <w:szCs w:val="28"/>
          <w:u w:val="single"/>
          <w:lang w:val="en-US" w:eastAsia="zh-CN"/>
          <w14:textFill>
            <w14:solidFill>
              <w14:schemeClr w14:val="tx1"/>
            </w14:solidFill>
          </w14:textFill>
        </w:rPr>
        <w:t>2</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月</w:t>
      </w:r>
    </w:p>
    <w:p>
      <w:pPr>
        <w:pStyle w:val="16"/>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507428442"/>
      <w:bookmarkStart w:id="1" w:name="_Toc246996898"/>
      <w:bookmarkStart w:id="2" w:name="_Toc247085669"/>
      <w:bookmarkStart w:id="3" w:name="_Toc507319889"/>
      <w:bookmarkStart w:id="4" w:name="_Toc296602400"/>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7"/>
        <w:tabs>
          <w:tab w:val="right" w:leader="dot" w:pos="9628"/>
        </w:tabs>
        <w:ind w:left="0"/>
        <w:rPr>
          <w:b/>
          <w:bCs/>
          <w:caps/>
          <w:smallCaps w:val="0"/>
          <w:color w:val="000000" w:themeColor="text1"/>
          <w:highlight w:val="green"/>
          <w14:textFill>
            <w14:solidFill>
              <w14:schemeClr w14:val="tx1"/>
            </w14:solidFill>
          </w14:textFill>
        </w:rPr>
      </w:pPr>
    </w:p>
    <w:p>
      <w:pPr>
        <w:pStyle w:val="16"/>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fldChar w:fldCharType="begin"/>
      </w:r>
      <w:r>
        <w:instrText xml:space="preserve"> HYPERLINK \l "_Toc10533" </w:instrText>
      </w:r>
      <w: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"_Toc21719" </w:instrText>
      </w:r>
      <w: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"_Toc7682" </w:instrText>
      </w:r>
      <w:r>
        <w:fldChar w:fldCharType="separate"/>
      </w:r>
      <w:r>
        <w:rPr>
          <w:rFonts w:hint="eastAsia" w:ascii="宋体" w:hAnsi="宋体" w:cs="宋体"/>
          <w:color w:val="000000" w:themeColor="text1"/>
          <w14:textFill>
            <w14:solidFill>
              <w14:schemeClr w14:val="tx1"/>
            </w14:solidFill>
          </w14:textFill>
        </w:rPr>
        <w:t>第三章 评标办法（综合评估法）</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"_Toc13787" </w:instrText>
      </w:r>
      <w: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"_Toc24503" </w:instrText>
      </w:r>
      <w: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"_Toc12440" </w:instrText>
      </w:r>
      <w: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"_Toc10887" </w:instrText>
      </w:r>
      <w: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"_Toc12089" </w:instrText>
      </w:r>
      <w: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"_Toc24853" </w:instrText>
      </w:r>
      <w: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2"/>
        <w:spacing w:before="0" w:after="0" w:line="360" w:lineRule="auto"/>
        <w:jc w:val="center"/>
        <w:rPr>
          <w:rFonts w:ascii="宋体" w:hAnsi="宋体" w:cs="宋体"/>
          <w:color w:val="000000" w:themeColor="text1"/>
          <w14:textFill>
            <w14:solidFill>
              <w14:schemeClr w14:val="tx1"/>
            </w14:solidFill>
          </w14:textFill>
        </w:rPr>
      </w:pPr>
      <w:bookmarkStart w:id="5" w:name="_Toc2000404"/>
      <w:bookmarkStart w:id="6" w:name="_Toc247085671"/>
      <w:bookmarkStart w:id="7" w:name="_Toc507319890"/>
      <w:bookmarkStart w:id="8" w:name="_Toc246996157"/>
      <w:bookmarkStart w:id="9" w:name="_Toc152042287"/>
      <w:bookmarkStart w:id="10" w:name="_Toc247096243"/>
      <w:bookmarkStart w:id="11" w:name="_Toc246996900"/>
      <w:bookmarkStart w:id="12" w:name="_Toc144974479"/>
      <w:bookmarkStart w:id="13" w:name="_Toc179632527"/>
      <w:bookmarkStart w:id="14" w:name="_Toc152045511"/>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3"/>
      <w:bookmarkStart w:id="17" w:name="OLE_LINK2"/>
    </w:p>
    <w:p>
      <w:pPr>
        <w:pStyle w:val="3"/>
        <w:spacing w:before="0" w:after="0" w:line="360" w:lineRule="auto"/>
        <w:rPr>
          <w:rFonts w:ascii="宋体" w:hAnsi="宋体" w:eastAsia="宋体" w:cs="宋体"/>
          <w:color w:val="000000" w:themeColor="text1"/>
          <w14:textFill>
            <w14:solidFill>
              <w14:schemeClr w14:val="tx1"/>
            </w14:solidFill>
          </w14:textFill>
        </w:rPr>
      </w:pPr>
      <w:bookmarkStart w:id="18" w:name="_Toc507319891"/>
      <w:bookmarkStart w:id="19" w:name="_Toc152045512"/>
      <w:bookmarkStart w:id="20" w:name="_Toc247085672"/>
      <w:bookmarkStart w:id="21" w:name="_Toc152042288"/>
      <w:bookmarkStart w:id="22" w:name="_Toc24874"/>
      <w:bookmarkStart w:id="23" w:name="_Toc6549"/>
      <w:bookmarkStart w:id="24" w:name="_Toc246996901"/>
      <w:bookmarkStart w:id="25" w:name="_Toc246996158"/>
      <w:bookmarkStart w:id="26" w:name="_Toc144974480"/>
      <w:bookmarkStart w:id="27" w:name="_Toc11329213"/>
      <w:bookmarkStart w:id="28" w:name="_Toc10076"/>
      <w:bookmarkStart w:id="29" w:name="_Toc179632528"/>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eastAsia="zh-CN"/>
          <w14:textFill>
            <w14:solidFill>
              <w14:schemeClr w14:val="tx1"/>
            </w14:solidFill>
          </w14:textFill>
        </w:rPr>
        <w:t>国产技术体系下的供应链统计分析和系统开发服务</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30" w:name="_Toc179632529"/>
      <w:bookmarkStart w:id="31" w:name="_Toc246996902"/>
      <w:bookmarkStart w:id="32" w:name="_Toc247085673"/>
      <w:bookmarkStart w:id="33" w:name="_Toc10952"/>
      <w:bookmarkStart w:id="34" w:name="_Toc152045513"/>
      <w:bookmarkStart w:id="35" w:name="_Toc21343"/>
      <w:bookmarkStart w:id="36" w:name="_Toc11329214"/>
      <w:bookmarkStart w:id="37" w:name="_Toc18109"/>
      <w:bookmarkStart w:id="38" w:name="_Toc152042289"/>
      <w:bookmarkStart w:id="39" w:name="_Toc246996159"/>
      <w:bookmarkStart w:id="40" w:name="_Toc507319892"/>
      <w:bookmarkStart w:id="41" w:name="_Toc144974481"/>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color w:val="000000" w:themeColor="text1"/>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14:textFill>
            <w14:solidFill>
              <w14:schemeClr w14:val="tx1"/>
            </w14:solidFill>
          </w14:textFill>
        </w:rPr>
        <w:t>重庆市。</w:t>
      </w:r>
    </w:p>
    <w:p>
      <w:pPr>
        <w:pStyle w:val="7"/>
        <w:adjustRightIn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为进一步借助现代信息、物联网、移动互联网等技术，与传统业务融合发展，实现全集团物资采购数字化管理；搭建物资采购管理平台，掌握集团的采购业务管理，有效提高工作效率、管理水平和核心竞争力；整合与重构集团的信息流、资金流、商流的协同管理，实现信息互动共享，实现集团数字能力升级。本次拟委托开发一套供应链统计分析系统，对集团物资采购情况与物资采购趋势进行分析，提供决策数据。建设内容包含统计报表、接口开发、审批待办等3个模块的设计、编码和测试工作，预计工期2个月</w:t>
      </w:r>
      <w:r>
        <w:rPr>
          <w:rFonts w:hint="default" w:ascii="宋体" w:hAnsi="宋体" w:cs="宋体"/>
          <w:color w:val="000000" w:themeColor="text1"/>
          <w:szCs w:val="21"/>
          <w14:textFill>
            <w14:solidFill>
              <w14:schemeClr w14:val="tx1"/>
            </w14:solidFill>
          </w14:textFill>
        </w:rPr>
        <w:t>。</w:t>
      </w:r>
    </w:p>
    <w:p>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 预计采购金额：9</w:t>
      </w:r>
      <w:r>
        <w:rPr>
          <w:rFonts w:hint="eastAsia" w:ascii="宋体" w:hAnsi="宋体" w:cs="宋体"/>
          <w:color w:val="000000" w:themeColor="text1"/>
          <w:lang w:val="en-US" w:eastAsia="zh-CN"/>
          <w14:textFill>
            <w14:solidFill>
              <w14:schemeClr w14:val="tx1"/>
            </w14:solidFill>
          </w14:textFill>
        </w:rPr>
        <w:t>1.02</w:t>
      </w:r>
      <w:r>
        <w:rPr>
          <w:rFonts w:hint="eastAsia" w:ascii="宋体" w:hAnsi="宋体" w:cs="宋体"/>
          <w:color w:val="000000" w:themeColor="text1"/>
          <w14:textFill>
            <w14:solidFill>
              <w14:schemeClr w14:val="tx1"/>
            </w14:solidFill>
          </w14:textFill>
        </w:rPr>
        <w:t>万元。</w:t>
      </w:r>
    </w:p>
    <w:p>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 采购内容：</w:t>
      </w:r>
      <w:r>
        <w:rPr>
          <w:rFonts w:hint="eastAsia" w:ascii="宋体" w:hAnsi="宋体" w:cs="宋体"/>
          <w:color w:val="000000" w:themeColor="text1"/>
          <w:szCs w:val="21"/>
          <w14:textFill>
            <w14:solidFill>
              <w14:schemeClr w14:val="tx1"/>
            </w14:solidFill>
          </w14:textFill>
        </w:rPr>
        <w:t>本次采购内容为</w:t>
      </w:r>
      <w:r>
        <w:rPr>
          <w:rFonts w:hint="default" w:ascii="宋体" w:hAnsi="宋体" w:cs="宋体"/>
          <w:color w:val="000000" w:themeColor="text1"/>
          <w:szCs w:val="21"/>
          <w14:textFill>
            <w14:solidFill>
              <w14:schemeClr w14:val="tx1"/>
            </w14:solidFill>
          </w14:textFill>
        </w:rPr>
        <w:t>供应商管理系统</w:t>
      </w:r>
      <w:r>
        <w:rPr>
          <w:rFonts w:hint="eastAsia" w:ascii="宋体" w:hAnsi="宋体" w:cs="宋体"/>
          <w:color w:val="000000" w:themeColor="text1"/>
          <w:szCs w:val="21"/>
          <w:u w:val="none"/>
          <w14:textFill>
            <w14:solidFill>
              <w14:schemeClr w14:val="tx1"/>
            </w14:solidFill>
          </w14:textFill>
        </w:rPr>
        <w:t>开发工作</w:t>
      </w:r>
      <w:r>
        <w:rPr>
          <w:rFonts w:hint="eastAsia" w:ascii="宋体" w:hAnsi="宋体" w:cs="宋体"/>
          <w:color w:val="000000" w:themeColor="text1"/>
          <w:szCs w:val="21"/>
          <w14:textFill>
            <w14:solidFill>
              <w14:schemeClr w14:val="tx1"/>
            </w14:solidFill>
          </w14:textFill>
        </w:rPr>
        <w:t>,详见工程量清单。</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 工期要求：</w:t>
      </w:r>
      <w:r>
        <w:rPr>
          <w:rFonts w:hint="eastAsia" w:ascii="宋体" w:hAnsi="宋体" w:cs="宋体"/>
        </w:rPr>
        <w:t>预计工期为</w:t>
      </w:r>
      <w:r>
        <w:rPr>
          <w:rFonts w:hint="eastAsia" w:ascii="宋体" w:hAnsi="宋体" w:cs="宋体"/>
          <w:lang w:val="en-US" w:eastAsia="zh-CN"/>
        </w:rPr>
        <w:t>2</w:t>
      </w:r>
      <w:r>
        <w:rPr>
          <w:rFonts w:hint="eastAsia" w:ascii="宋体" w:hAnsi="宋体" w:cs="宋体"/>
        </w:rPr>
        <w:t>个月，具体以项目部要求为准。</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43" w:name="_Toc30356"/>
      <w:bookmarkStart w:id="44" w:name="_Toc7065"/>
      <w:bookmarkStart w:id="45" w:name="_Toc11329215"/>
      <w:bookmarkStart w:id="46" w:name="_Toc144974482"/>
      <w:bookmarkStart w:id="47" w:name="_Toc247085674"/>
      <w:bookmarkStart w:id="48" w:name="_Toc152042290"/>
      <w:bookmarkStart w:id="49" w:name="_Toc10171"/>
      <w:bookmarkStart w:id="50" w:name="_Toc507319893"/>
      <w:bookmarkStart w:id="51" w:name="_Toc179632530"/>
      <w:bookmarkStart w:id="52" w:name="_Toc246996160"/>
      <w:bookmarkStart w:id="53" w:name="_Toc152045514"/>
      <w:bookmarkStart w:id="54" w:name="_Toc246996903"/>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52042291"/>
      <w:bookmarkStart w:id="56" w:name="_Toc144974483"/>
      <w:bookmarkStart w:id="57" w:name="_Toc152045515"/>
      <w:bookmarkStart w:id="58" w:name="_Toc246996904"/>
      <w:bookmarkStart w:id="59" w:name="_Toc247085675"/>
      <w:bookmarkStart w:id="60" w:name="_Toc179632531"/>
      <w:bookmarkStart w:id="61" w:name="_Toc246996161"/>
      <w:r>
        <w:rPr>
          <w:rFonts w:hint="eastAsia" w:ascii="宋体" w:hAnsi="宋体" w:cs="宋体"/>
          <w:color w:val="000000" w:themeColor="text1"/>
          <w:szCs w:val="21"/>
          <w:shd w:val="clear" w:color="auto" w:fill="FFFFFF"/>
          <w14:textFill>
            <w14:solidFill>
              <w14:schemeClr w14:val="tx1"/>
            </w14:solidFill>
          </w14:textFill>
        </w:rPr>
        <w:t>3.1 资质要求：</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（1）报价人具有独立法人资格及有效的营业执照；</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3.2 业绩要求：2021年1月1日至报价截止日期（以合同签订时间为准）至少独立完成一项合同金额不低于50万元的软件</w:t>
      </w:r>
      <w:r>
        <w:rPr>
          <w:rFonts w:hint="eastAsia" w:ascii="宋体" w:hAnsi="宋体" w:cs="宋体"/>
          <w:color w:val="000000" w:themeColor="text1"/>
          <w:szCs w:val="21"/>
          <w:shd w:val="clear" w:color="auto" w:fill="FFFFFF"/>
          <w:lang w:val="en-US" w:eastAsia="zh-CN"/>
          <w14:textFill>
            <w14:solidFill>
              <w14:schemeClr w14:val="tx1"/>
            </w14:solidFill>
          </w14:textFill>
        </w:rPr>
        <w:t>开发</w:t>
      </w:r>
      <w:r>
        <w:rPr>
          <w:rFonts w:hint="eastAsia" w:ascii="宋体" w:hAnsi="宋体" w:cs="宋体"/>
          <w:color w:val="000000" w:themeColor="text1"/>
          <w:szCs w:val="21"/>
          <w:shd w:val="clear" w:color="auto" w:fill="FFFFFF"/>
          <w14:textFill>
            <w14:solidFill>
              <w14:schemeClr w14:val="tx1"/>
            </w14:solidFill>
          </w14:textFill>
        </w:rPr>
        <w:t>或技术服务业绩（提供合同扫描件）。</w:t>
      </w:r>
    </w:p>
    <w:p>
      <w:pPr>
        <w:wordWrap w:val="0"/>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3.3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3.4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3.5</w:t>
      </w:r>
      <w:r>
        <w:rPr>
          <w:rFonts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3.6 单位负责人为同一人或者存在控股、管理关系的不同单位，不得同时参加本项目报价，否则均按无效报价处理。</w:t>
      </w:r>
    </w:p>
    <w:p>
      <w:pPr>
        <w:pStyle w:val="3"/>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评标办法</w:t>
      </w:r>
    </w:p>
    <w:p>
      <w:pPr>
        <w:pStyle w:val="9"/>
        <w:ind w:firstLine="420" w:firstLineChars="200"/>
        <w:rPr>
          <w:rFonts w:ascii="宋体" w:hAnsi="宋体"/>
          <w:kern w:val="2"/>
          <w:sz w:val="21"/>
          <w:szCs w:val="21"/>
        </w:rPr>
      </w:pPr>
      <w:r>
        <w:rPr>
          <w:rFonts w:hint="eastAsia" w:ascii="宋体" w:hAnsi="宋体"/>
          <w:kern w:val="2"/>
          <w:sz w:val="21"/>
          <w:szCs w:val="21"/>
        </w:rPr>
        <w:t>本项目采用综合评估法。</w:t>
      </w:r>
    </w:p>
    <w:p>
      <w:pPr>
        <w:pStyle w:val="3"/>
        <w:spacing w:before="120" w:after="0" w:line="400" w:lineRule="exact"/>
        <w:rPr>
          <w:rFonts w:ascii="宋体" w:hAnsi="宋体" w:eastAsia="宋体" w:cs="宋体"/>
          <w:color w:val="000000" w:themeColor="text1"/>
          <w14:textFill>
            <w14:solidFill>
              <w14:schemeClr w14:val="tx1"/>
            </w14:solidFill>
          </w14:textFill>
        </w:rPr>
      </w:pPr>
      <w:bookmarkStart w:id="62" w:name="_Toc12460"/>
      <w:bookmarkStart w:id="63" w:name="_Toc14361"/>
      <w:bookmarkStart w:id="64" w:name="_Toc11329216"/>
      <w:bookmarkStart w:id="65" w:name="_Toc507319894"/>
      <w:bookmarkStart w:id="66" w:name="_Toc25619"/>
      <w:r>
        <w:rPr>
          <w:rFonts w:hint="eastAsia" w:ascii="宋体" w:hAnsi="宋体" w:eastAsia="宋体" w:cs="宋体"/>
          <w:color w:val="000000" w:themeColor="text1"/>
          <w14:textFill>
            <w14:solidFill>
              <w14:schemeClr w14:val="tx1"/>
            </w14:solidFill>
          </w14:textFill>
        </w:rPr>
        <w:t>5. 比选文件的获取</w:t>
      </w:r>
      <w:bookmarkEnd w:id="55"/>
      <w:bookmarkEnd w:id="56"/>
      <w:bookmarkEnd w:id="57"/>
      <w:bookmarkEnd w:id="58"/>
      <w:bookmarkEnd w:id="59"/>
      <w:bookmarkEnd w:id="60"/>
      <w:bookmarkEnd w:id="61"/>
      <w:bookmarkEnd w:id="62"/>
      <w:bookmarkEnd w:id="63"/>
      <w:bookmarkEnd w:id="64"/>
      <w:bookmarkEnd w:id="65"/>
      <w:bookmarkEnd w:id="66"/>
    </w:p>
    <w:p>
      <w:pPr>
        <w:wordWrap w:val="0"/>
        <w:spacing w:line="360" w:lineRule="auto"/>
        <w:ind w:firstLine="420" w:firstLineChars="200"/>
        <w:rPr>
          <w:rFonts w:ascii="宋体" w:hAnsi="宋体"/>
          <w:szCs w:val="21"/>
        </w:rPr>
      </w:pPr>
      <w:bookmarkStart w:id="67" w:name="_Toc144974484"/>
      <w:bookmarkStart w:id="68" w:name="_Toc152045516"/>
      <w:bookmarkStart w:id="69" w:name="_Toc507319895"/>
      <w:bookmarkStart w:id="70" w:name="_Toc152042292"/>
      <w:bookmarkStart w:id="71" w:name="_Toc11329217"/>
      <w:bookmarkStart w:id="72" w:name="_Toc246996905"/>
      <w:bookmarkStart w:id="73" w:name="_Toc247085676"/>
      <w:bookmarkStart w:id="74" w:name="_Toc246996162"/>
      <w:bookmarkStart w:id="75" w:name="_Toc179632532"/>
      <w:bookmarkStart w:id="76" w:name="_Toc16686"/>
      <w:bookmarkStart w:id="77" w:name="_Toc31493"/>
      <w:bookmarkStart w:id="78" w:name="_Toc9131"/>
      <w:bookmarkStart w:id="79" w:name="_Toc246996164"/>
      <w:bookmarkStart w:id="80" w:name="_Toc179632534"/>
      <w:bookmarkStart w:id="81" w:name="_Toc11329219"/>
      <w:bookmarkStart w:id="82" w:name="_Toc18402"/>
      <w:bookmarkStart w:id="83" w:name="_Toc152045517"/>
      <w:bookmarkStart w:id="84" w:name="_Toc393"/>
      <w:bookmarkStart w:id="85" w:name="_Toc507319897"/>
      <w:bookmarkStart w:id="86" w:name="_Toc152042293"/>
      <w:bookmarkStart w:id="87" w:name="_Toc21615"/>
      <w:bookmarkStart w:id="88" w:name="_Toc144974485"/>
      <w:bookmarkStart w:id="89" w:name="_Toc247085678"/>
      <w:bookmarkStart w:id="90" w:name="_Toc246996907"/>
      <w:r>
        <w:rPr>
          <w:rFonts w:hint="eastAsia" w:ascii="宋体" w:hAnsi="宋体" w:cs="宋体"/>
        </w:rPr>
        <w:t>凡愿意参加的潜在报价人，在2024年1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9</w:t>
      </w:r>
      <w:r>
        <w:rPr>
          <w:rFonts w:hint="eastAsia" w:ascii="宋体" w:hAnsi="宋体" w:cs="宋体"/>
        </w:rPr>
        <w:t>日</w:t>
      </w:r>
      <w:r>
        <w:rPr>
          <w:rFonts w:hint="eastAsia" w:ascii="宋体" w:hAnsi="宋体"/>
          <w:szCs w:val="21"/>
        </w:rPr>
        <w:t>上午10：00</w:t>
      </w:r>
      <w:r>
        <w:rPr>
          <w:rFonts w:hint="eastAsia" w:ascii="宋体" w:hAnsi="宋体" w:cs="宋体"/>
        </w:rPr>
        <w:t>前在重庆高速集团官网（https://www.cegc.com.cn/html/col1810480.html）上获取竞争性比选文件，各报价人应随时关注网上发布的竞争性比选文件答疑、补遗、澄清等文件内容，不管报价人是否下载，均视为已知晓竞争性比选文件的全部内容和有关事宜。</w:t>
      </w:r>
    </w:p>
    <w:p>
      <w:pPr>
        <w:pStyle w:val="3"/>
        <w:spacing w:before="120" w:after="0" w:line="400" w:lineRule="exact"/>
        <w:rPr>
          <w:rFonts w:ascii="宋体" w:hAnsi="宋体" w:eastAsia="宋体" w:cs="宋体"/>
        </w:rPr>
      </w:pPr>
      <w:r>
        <w:rPr>
          <w:rFonts w:hint="eastAsia" w:ascii="宋体" w:hAnsi="宋体" w:eastAsia="宋体" w:cs="宋体"/>
        </w:rPr>
        <w:t>6.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rPr>
        <w:t>6.1报价截止时间和开标时间：</w:t>
      </w:r>
      <w:r>
        <w:rPr>
          <w:rFonts w:hint="eastAsia" w:ascii="宋体" w:hAnsi="宋体" w:cs="宋体"/>
        </w:rPr>
        <w:t>2024年1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9</w:t>
      </w:r>
      <w:r>
        <w:rPr>
          <w:rFonts w:hint="eastAsia" w:ascii="宋体" w:hAnsi="宋体" w:cs="宋体"/>
        </w:rPr>
        <w:t>日</w:t>
      </w:r>
      <w:r>
        <w:rPr>
          <w:rFonts w:hint="eastAsia" w:ascii="宋体" w:hAnsi="宋体"/>
          <w:szCs w:val="21"/>
        </w:rPr>
        <w:t>上午</w:t>
      </w:r>
      <w:r>
        <w:rPr>
          <w:rFonts w:hint="eastAsia" w:ascii="宋体" w:hAnsi="宋体" w:cs="宋体"/>
          <w:szCs w:val="21"/>
        </w:rPr>
        <w:t>10时00分（北京时间）。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2</w:t>
      </w:r>
      <w:r>
        <w:rPr>
          <w:rFonts w:ascii="宋体" w:hAnsi="宋体" w:cs="宋体"/>
          <w:szCs w:val="21"/>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.3 递交地址：重庆市渝北区新南路52号东界龙湖</w:t>
      </w:r>
      <w:r>
        <w:rPr>
          <w:rFonts w:hint="eastAsia" w:ascii="宋体" w:hAnsi="宋体" w:cs="宋体"/>
          <w:szCs w:val="21"/>
        </w:rPr>
        <w:t>一</w:t>
      </w:r>
      <w:r>
        <w:rPr>
          <w:rFonts w:ascii="宋体" w:hAnsi="宋体" w:cs="宋体"/>
          <w:szCs w:val="21"/>
        </w:rPr>
        <w:t>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.4 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6.5 采购人不组织项目现场踏勘，不召开报价预备会。</w:t>
      </w:r>
    </w:p>
    <w:p>
      <w:pPr>
        <w:pStyle w:val="3"/>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79"/>
      <w:bookmarkEnd w:id="80"/>
      <w:bookmarkEnd w:id="81"/>
      <w:bookmarkEnd w:id="82"/>
      <w:bookmarkEnd w:id="83"/>
      <w:bookmarkEnd w:id="84"/>
      <w:bookmarkEnd w:id="85"/>
      <w:bookmarkEnd w:id="86"/>
      <w:bookmarkEnd w:id="87"/>
      <w:bookmarkEnd w:id="88"/>
      <w:bookmarkEnd w:id="89"/>
      <w:bookmarkEnd w:id="90"/>
    </w:p>
    <w:tbl>
      <w:tblPr>
        <w:tblStyle w:val="2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30"/>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kern w:val="2"/>
                <w:sz w:val="21"/>
                <w:szCs w:val="21"/>
              </w:rPr>
              <w:t>采购人：重庆首讯科技股份有限公司</w:t>
            </w:r>
          </w:p>
        </w:tc>
        <w:tc>
          <w:tcPr>
            <w:tcW w:w="1415" w:type="dxa"/>
            <w:vAlign w:val="center"/>
          </w:tcPr>
          <w:p>
            <w:pPr>
              <w:pStyle w:val="30"/>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szCs w:val="21"/>
              </w:rPr>
              <w:t>地址：重庆市渝北区新南路52号东界龙湖三楼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szCs w:val="21"/>
              </w:rPr>
              <w:t>商务联系人：</w:t>
            </w:r>
            <w:r>
              <w:rPr>
                <w:rFonts w:hint="eastAsia" w:ascii="宋体" w:hAnsi="宋体" w:cs="宋体"/>
                <w:color w:val="000000" w:themeColor="text1"/>
                <w:szCs w:val="21"/>
                <w14:textFill>
                  <w14:solidFill>
                    <w14:schemeClr w14:val="tx1"/>
                  </w14:solidFill>
                </w14:textFill>
              </w:rPr>
              <w:t>刘  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 话：18623655450</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技术联系人：张老师  电 话：13364044449</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2"/>
        <w:spacing w:before="0" w:after="0" w:line="360" w:lineRule="auto"/>
        <w:jc w:val="center"/>
        <w:rPr>
          <w:rFonts w:ascii="宋体" w:hAnsi="宋体" w:cs="宋体"/>
          <w:color w:val="000000" w:themeColor="text1"/>
          <w14:textFill>
            <w14:solidFill>
              <w14:schemeClr w14:val="tx1"/>
            </w14:solidFill>
          </w14:textFill>
        </w:rPr>
      </w:pPr>
      <w:bookmarkStart w:id="91" w:name="_Toc246996916"/>
      <w:bookmarkStart w:id="92" w:name="_Toc507319898"/>
      <w:bookmarkStart w:id="93" w:name="_Toc246996173"/>
      <w:bookmarkStart w:id="94" w:name="_Toc21719"/>
      <w:bookmarkStart w:id="95" w:name="_Toc2000405"/>
      <w:bookmarkStart w:id="96" w:name="_Toc144974495"/>
      <w:bookmarkStart w:id="97" w:name="_Toc179632544"/>
      <w:bookmarkStart w:id="98" w:name="_Toc152042303"/>
      <w:bookmarkStart w:id="99" w:name="_Toc247085687"/>
      <w:bookmarkStart w:id="100" w:name="_Toc152045527"/>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2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rPr>
              <w:t>重庆市渝北区新南路52号东界龙湖三楼</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szCs w:val="21"/>
              </w:rPr>
              <w:t>刘老师</w:t>
            </w:r>
          </w:p>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szCs w:val="21"/>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国产技术体系下的供应链统计分析和系统开发服务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达到国家和地方现行有关质量标准和比选文件第七章技术标准和工作要求，并且一次性验收合格。缺陷责任期：</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个月，自甲方验收合格之日起算。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31"/>
              <w:adjustRightInd/>
              <w:spacing w:line="400" w:lineRule="exact"/>
              <w:ind w:firstLine="422" w:firstLineChars="200"/>
              <w:jc w:val="both"/>
              <w:rPr>
                <w:rFonts w:hAnsi="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31"/>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b/>
                <w:bCs/>
                <w:szCs w:val="21"/>
                <w:lang w:eastAsia="zh-CN"/>
              </w:rPr>
              <w:t>国产技术体系下的供应链统计分析和系统开发服务</w:t>
            </w:r>
            <w:r>
              <w:rPr>
                <w:rFonts w:hint="eastAsia" w:ascii="宋体" w:hAnsi="宋体"/>
                <w:b/>
                <w:bCs/>
                <w:szCs w:val="21"/>
              </w:rPr>
              <w:t>项目最高限价：</w:t>
            </w:r>
            <w:r>
              <w:rPr>
                <w:rFonts w:hint="eastAsia" w:ascii="宋体" w:hAnsi="宋体"/>
                <w:b/>
                <w:bCs/>
                <w:szCs w:val="21"/>
                <w:u w:val="single"/>
              </w:rPr>
              <w:t>910200.00元。</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b/>
                <w:bCs/>
                <w:szCs w:val="21"/>
              </w:rPr>
              <w:t>报价人所报价格不得超过采购人发布的限价，否则</w:t>
            </w:r>
            <w:r>
              <w:rPr>
                <w:rFonts w:hint="eastAsia" w:ascii="宋体" w:hAnsi="宋体" w:cs="宋体"/>
                <w:b/>
                <w:szCs w:val="21"/>
              </w:rPr>
              <w:t>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numPr>
                <w:ilvl w:val="255"/>
                <w:numId w:val="0"/>
              </w:numPr>
              <w:spacing w:line="400" w:lineRule="exact"/>
              <w:ind w:firstLine="420" w:firstLineChars="200"/>
              <w:rPr>
                <w:color w:val="auto"/>
              </w:rPr>
            </w:pPr>
            <w:bookmarkStart w:id="103" w:name="_Hlk132637631"/>
            <w:r>
              <w:rPr>
                <w:rFonts w:hint="eastAsia"/>
                <w:color w:val="auto"/>
              </w:rPr>
              <w:t xml:space="preserve"> 每次支付前需由乙方提交书面支付申请、相关证明材料以及对应增值税专用发票经甲方审核无误后，按以下节点支付：</w:t>
            </w:r>
          </w:p>
          <w:bookmarkEnd w:id="103"/>
          <w:p>
            <w:pPr>
              <w:numPr>
                <w:ilvl w:val="0"/>
                <w:numId w:val="2"/>
              </w:numPr>
              <w:spacing w:line="400" w:lineRule="exact"/>
              <w:ind w:firstLine="420" w:firstLineChars="200"/>
              <w:rPr>
                <w:rFonts w:hint="eastAsia"/>
                <w:color w:val="auto"/>
                <w:lang w:eastAsia="zh-CN"/>
              </w:rPr>
            </w:pPr>
            <w:r>
              <w:rPr>
                <w:rFonts w:hint="eastAsia"/>
                <w:color w:val="auto"/>
                <w:lang w:eastAsia="zh-CN"/>
              </w:rPr>
              <w:t>完成需求调研及方案设计，通过评审后30日内支付合同金额的30%；</w:t>
            </w:r>
          </w:p>
          <w:p>
            <w:pPr>
              <w:numPr>
                <w:ilvl w:val="0"/>
                <w:numId w:val="2"/>
              </w:numPr>
              <w:spacing w:line="400" w:lineRule="exact"/>
              <w:ind w:firstLine="420" w:firstLineChars="200"/>
              <w:rPr>
                <w:rFonts w:hint="eastAsia"/>
                <w:color w:val="auto"/>
                <w:lang w:eastAsia="zh-CN"/>
              </w:rPr>
            </w:pPr>
            <w:r>
              <w:rPr>
                <w:rFonts w:hint="eastAsia"/>
                <w:color w:val="auto"/>
                <w:lang w:eastAsia="zh-CN"/>
              </w:rPr>
              <w:t>完成测试版本的代码开发，并完成软件初验收后30日内支付至合同金额的70%；</w:t>
            </w:r>
          </w:p>
          <w:p>
            <w:pPr>
              <w:numPr>
                <w:ilvl w:val="0"/>
                <w:numId w:val="2"/>
              </w:numPr>
              <w:spacing w:line="400" w:lineRule="exact"/>
              <w:ind w:firstLine="420" w:firstLineChars="200"/>
              <w:rPr>
                <w:rFonts w:hint="eastAsia" w:eastAsia="宋体"/>
                <w:color w:val="000000" w:themeColor="text1"/>
                <w:lang w:eastAsia="zh-CN"/>
                <w14:textFill>
                  <w14:solidFill>
                    <w14:schemeClr w14:val="tx1"/>
                  </w14:solidFill>
                </w14:textFill>
              </w:rPr>
            </w:pPr>
            <w:r>
              <w:rPr>
                <w:rFonts w:hint="eastAsia"/>
                <w:color w:val="auto"/>
                <w:lang w:eastAsia="zh-CN"/>
              </w:rPr>
              <w:t>完成正式版本的代码开发及交付，软件（硬件）运行正常，通过最终验收后30日内支付至结算总额的95%；</w:t>
            </w:r>
          </w:p>
          <w:p>
            <w:pPr>
              <w:numPr>
                <w:ilvl w:val="0"/>
                <w:numId w:val="2"/>
              </w:numPr>
              <w:spacing w:line="400" w:lineRule="exact"/>
              <w:ind w:firstLine="420" w:firstLineChars="200"/>
              <w:rPr>
                <w:rFonts w:hint="eastAsia" w:eastAsia="宋体"/>
                <w:color w:val="000000" w:themeColor="text1"/>
                <w:lang w:eastAsia="zh-CN"/>
                <w14:textFill>
                  <w14:solidFill>
                    <w14:schemeClr w14:val="tx1"/>
                  </w14:solidFill>
                </w14:textFill>
              </w:rPr>
            </w:pPr>
            <w:r>
              <w:rPr>
                <w:rFonts w:hint="eastAsia"/>
                <w:color w:val="auto"/>
                <w:lang w:eastAsia="zh-CN"/>
              </w:rPr>
              <w:t>剩余结算总额的5%为质量保证金，在缺陷责任期满并履行缺陷责任义务后30日内支付。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根据项目部具体要求执行。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认真阅读本比选函所有技术及服务要求后以确认在填报单价和价格之前，采购人要求的服务内容已被包括在每个项目内，报出的单价和价格应被认为包括所有劳务、工具、相关税费、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报价人是否提供投标保证金：</w:t>
            </w:r>
            <w:r>
              <w:rPr>
                <w:rFonts w:hint="eastAsia" w:ascii="宋体" w:hAnsi="宋体" w:cs="宋体"/>
                <w:b/>
                <w:bCs/>
                <w:color w:val="000000"/>
                <w:kern w:val="0"/>
                <w:szCs w:val="21"/>
                <w:u w:val="single"/>
                <w:lang w:bidi="ar"/>
              </w:rPr>
              <w:t>是</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1、报价人须缴纳投标保证金</w:t>
            </w:r>
            <w:r>
              <w:rPr>
                <w:rFonts w:hint="eastAsia" w:ascii="宋体" w:hAnsi="宋体" w:cs="宋体"/>
                <w:color w:val="000000"/>
                <w:kern w:val="0"/>
                <w:szCs w:val="21"/>
                <w:u w:val="single"/>
                <w:lang w:bidi="ar"/>
              </w:rPr>
              <w:t xml:space="preserve">  10000.00  </w:t>
            </w:r>
            <w:r>
              <w:rPr>
                <w:rFonts w:hint="eastAsia" w:ascii="宋体" w:hAnsi="宋体" w:cs="宋体"/>
                <w:color w:val="000000"/>
                <w:kern w:val="0"/>
                <w:szCs w:val="21"/>
                <w:lang w:bidi="ar"/>
              </w:rPr>
              <w:t>元，由报价人从公司基本账户将投标保证金汇至以下指定账户：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保证金到账截止时间：2024年1</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日上午10时00分前；</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pPr>
              <w:spacing w:line="360" w:lineRule="auto"/>
              <w:ind w:firstLine="420" w:firstLineChars="200"/>
              <w:rPr>
                <w:rFonts w:ascii="宋体" w:hAnsi="宋体" w:cs="宋体"/>
                <w:color w:val="000000"/>
                <w:kern w:val="0"/>
                <w:szCs w:val="21"/>
                <w:lang w:bidi="ar"/>
              </w:rPr>
            </w:pPr>
            <w:r>
              <w:rPr>
                <w:rFonts w:hint="eastAsia" w:hAnsi="宋体"/>
                <w:szCs w:val="21"/>
              </w:rPr>
              <w:t>若缴纳现金的，</w:t>
            </w:r>
            <w:r>
              <w:rPr>
                <w:rFonts w:hint="eastAsia" w:ascii="宋体" w:hAnsi="宋体" w:cs="宋体"/>
                <w:color w:val="000000"/>
                <w:szCs w:val="21"/>
              </w:rPr>
              <w:t>则需</w:t>
            </w:r>
            <w:r>
              <w:rPr>
                <w:rFonts w:hint="eastAsia" w:ascii="宋体" w:hAnsi="宋体" w:cs="宋体"/>
                <w:szCs w:val="21"/>
              </w:rPr>
              <w:t>备注，转款备注：</w:t>
            </w:r>
            <w:r>
              <w:rPr>
                <w:rFonts w:hint="eastAsia" w:ascii="宋体"/>
                <w:szCs w:val="21"/>
                <w:lang w:eastAsia="zh-CN"/>
              </w:rPr>
              <w:t>国产技术体系下的供应链统计分析和系统开发服务</w:t>
            </w:r>
            <w:r>
              <w:rPr>
                <w:rFonts w:hint="eastAsia" w:ascii="宋体" w:hAnsi="宋体" w:cs="宋体"/>
                <w:szCs w:val="21"/>
              </w:rPr>
              <w:t>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2、投标保证金退还方式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3、有下列情形之一的，投标保证金将不予退还：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（1）报价人在投标有效期内撤销投标文件；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（2）中标人在收到中标通知书后，无正当理由不与采购人订立合同，在签订合同时向采购人提出附加条件，或者不按照招标文件要求提交履约保证金；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（4）报价人被发现本次投标存在串通投标、弄虚造假、行贿等违法行为的；</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（5）发生报价人须知前附表规定的其他可以不予退还投标保证金的情形。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报价人是否提供履约保证金：</w:t>
            </w:r>
            <w:r>
              <w:rPr>
                <w:rFonts w:hint="eastAsia" w:ascii="宋体" w:hAnsi="宋体" w:cs="宋体"/>
                <w:b/>
                <w:bCs/>
                <w:color w:val="000000"/>
                <w:kern w:val="0"/>
                <w:szCs w:val="21"/>
                <w:u w:val="single"/>
                <w:lang w:bidi="ar"/>
              </w:rPr>
              <w:t>是</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2、履约保证金的金额：中标合同额的10%。</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3、履约保证金有效期：自双方签订的合同文件生效之日起，至合同约定的工作验收完成止。</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4、履约保证金缴纳方式：现金或保函</w:t>
            </w:r>
          </w:p>
          <w:p>
            <w:pPr>
              <w:pStyle w:val="19"/>
              <w:spacing w:before="0" w:beforeAutospacing="0" w:after="0" w:afterAutospacing="0" w:line="360" w:lineRule="auto"/>
              <w:ind w:firstLine="420"/>
              <w:rPr>
                <w:kern w:val="2"/>
                <w:sz w:val="21"/>
                <w:szCs w:val="21"/>
              </w:rPr>
            </w:pPr>
            <w:r>
              <w:rPr>
                <w:rFonts w:hint="eastAsia"/>
                <w:kern w:val="2"/>
                <w:sz w:val="21"/>
                <w:szCs w:val="21"/>
              </w:rPr>
              <w:t>5、履约保证金的提交：在甲方发出中标通知书后5个工作日内，中标人向采购人提供履约保证金</w:t>
            </w:r>
            <w:r>
              <w:rPr>
                <w:kern w:val="2"/>
                <w:sz w:val="21"/>
                <w:szCs w:val="21"/>
              </w:rPr>
              <w:t>缴纳凭证</w:t>
            </w:r>
            <w:r>
              <w:rPr>
                <w:rFonts w:hint="eastAsia"/>
                <w:kern w:val="2"/>
                <w:sz w:val="21"/>
                <w:szCs w:val="21"/>
              </w:rPr>
              <w:t>。若缴纳现金的，</w:t>
            </w:r>
            <w:r>
              <w:rPr>
                <w:rFonts w:hint="eastAsia"/>
                <w:color w:val="000000"/>
                <w:sz w:val="21"/>
                <w:szCs w:val="21"/>
              </w:rPr>
              <w:t>则需</w:t>
            </w:r>
            <w:r>
              <w:rPr>
                <w:rFonts w:hint="eastAsia"/>
                <w:sz w:val="21"/>
                <w:szCs w:val="21"/>
              </w:rPr>
              <w:t>备注，转款备注：</w:t>
            </w:r>
            <w:r>
              <w:rPr>
                <w:rFonts w:hint="eastAsia"/>
                <w:sz w:val="21"/>
                <w:szCs w:val="21"/>
                <w:lang w:eastAsia="zh-CN"/>
              </w:rPr>
              <w:t>国产技术体系下的供应链统计分析和系统开发服务</w:t>
            </w:r>
            <w:r>
              <w:rPr>
                <w:rFonts w:hint="eastAsia"/>
                <w:sz w:val="21"/>
                <w:szCs w:val="21"/>
              </w:rPr>
              <w:t>履约保证金</w:t>
            </w:r>
          </w:p>
          <w:p>
            <w:pPr>
              <w:spacing w:line="360" w:lineRule="auto"/>
              <w:ind w:firstLine="420" w:firstLineChars="200"/>
              <w:rPr>
                <w:rFonts w:hAnsi="宋体"/>
                <w:szCs w:val="21"/>
              </w:rPr>
            </w:pPr>
            <w:r>
              <w:rPr>
                <w:rFonts w:hint="eastAsia" w:hAnsi="宋体"/>
                <w:szCs w:val="21"/>
              </w:rPr>
              <w:t>6、若提供保函的：</w:t>
            </w:r>
            <w:r>
              <w:rPr>
                <w:rFonts w:hint="eastAsia" w:ascii="宋体" w:hAnsi="宋体" w:cs="宋体"/>
                <w:kern w:val="0"/>
                <w:szCs w:val="21"/>
              </w:rPr>
              <w:t>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spacing w:line="360" w:lineRule="auto"/>
              <w:ind w:firstLine="420" w:firstLineChars="200"/>
              <w:rPr>
                <w:rFonts w:ascii="宋体" w:hAnsi="宋体" w:cs="宋体"/>
                <w:color w:val="000000"/>
                <w:kern w:val="0"/>
                <w:szCs w:val="21"/>
                <w:lang w:bidi="ar"/>
              </w:rPr>
            </w:pPr>
            <w:r>
              <w:rPr>
                <w:rFonts w:hint="eastAsia" w:hAnsi="宋体"/>
                <w:szCs w:val="21"/>
              </w:rPr>
              <w:t>7、</w:t>
            </w:r>
            <w:r>
              <w:rPr>
                <w:rFonts w:ascii="宋体" w:hAnsi="宋体" w:cs="宋体"/>
                <w:szCs w:val="21"/>
              </w:rPr>
              <w:t>履约保证金退还：缴纳现金保函的，在完成合同约定的全部工作内容后28天后无息退还剩余部分。</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三、低价保证金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1．低价风险担保：中标价低于最高限价的85%时提供，如不按时足额提供，视为中标人放弃中标，采购人有权不退还其投标保证金。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（2）低价风险担保的金额：（最高限价×85%-中标价）×3，且最高不超过最高限价的85%。</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（3）低价风险担保送达采购人的时间：从采购人中标通知书送达拟中标人之日起 20 个工作日内。</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（5）低价风险担保的扣减：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②因乙方违约被解除合同的，低价风险担保将全额扣除；</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③因乙方原因导致的其他情形。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备注：当中标人或拟中标人未按时提交低价风险担保，且属于可以延长低价风险担保提交期限的特殊情形时，经采购人同意，可适当延长低价风险担保的提交期限。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投标总报价低于最高限价85%的，报价人应在编制投标文件时，在投标函部分中递交低价风险担保提交承诺书。格式自拟。</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spacing w:line="360" w:lineRule="auto"/>
              <w:ind w:firstLine="420" w:firstLineChars="200"/>
              <w:rPr>
                <w:rFonts w:hAnsi="宋体"/>
                <w:szCs w:val="21"/>
              </w:rPr>
            </w:pPr>
            <w:r>
              <w:rPr>
                <w:rFonts w:hint="eastAsia" w:hAnsi="宋体"/>
                <w:szCs w:val="21"/>
              </w:rPr>
              <w:t>四、采购人指定的开户银行及账号如下：</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帐    号：3460 1010 0100 4791 14</w:t>
            </w:r>
          </w:p>
          <w:p>
            <w:pPr>
              <w:pStyle w:val="31"/>
              <w:spacing w:line="400" w:lineRule="exact"/>
              <w:ind w:firstLine="422" w:firstLineChars="200"/>
              <w:rPr>
                <w:rFonts w:hAnsi="宋体"/>
                <w:color w:val="auto"/>
                <w:kern w:val="2"/>
                <w:sz w:val="21"/>
                <w:szCs w:val="21"/>
              </w:rPr>
            </w:pPr>
            <w:r>
              <w:rPr>
                <w:rFonts w:hint="eastAsia" w:hAnsi="宋体"/>
                <w:b/>
                <w:bCs/>
                <w:color w:val="auto"/>
                <w:sz w:val="21"/>
                <w:szCs w:val="18"/>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31"/>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监督部门：重庆首讯科技股份有限公司合规监管部</w:t>
            </w:r>
          </w:p>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址：重庆市渝北区新南路52号东界龙湖三楼</w:t>
            </w:r>
          </w:p>
          <w:p>
            <w:pPr>
              <w:pStyle w:val="31"/>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25</w:t>
            </w:r>
          </w:p>
        </w:tc>
        <w:tc>
          <w:tcPr>
            <w:tcW w:w="2106"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竞争性比选响应文件的组成</w:t>
            </w:r>
          </w:p>
        </w:tc>
        <w:tc>
          <w:tcPr>
            <w:tcW w:w="7104" w:type="dxa"/>
            <w:vAlign w:val="center"/>
          </w:tcPr>
          <w:p>
            <w:pPr>
              <w:pStyle w:val="31"/>
              <w:numPr>
                <w:ilvl w:val="255"/>
                <w:numId w:val="0"/>
              </w:numPr>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auto"/>
                <w:kern w:val="2"/>
                <w:sz w:val="21"/>
                <w:szCs w:val="21"/>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14:textFill>
                  <w14:solidFill>
                    <w14:schemeClr w14:val="tx1"/>
                  </w14:solidFill>
                </w14:textFill>
              </w:rPr>
              <w:t>。</w:t>
            </w:r>
            <w:r>
              <w:rPr>
                <w:rFonts w:hint="eastAsia" w:hAnsi="宋体"/>
                <w:color w:val="auto"/>
                <w:kern w:val="2"/>
                <w:sz w:val="21"/>
                <w:szCs w:val="21"/>
              </w:rPr>
              <w:t>当电子文件与纸质版竞争性比选响应文件不一致时，以纸质版竞争性比选响应文件为准，当正本与副本不一致时，以正本为准。</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rPr>
              <w:t>3.竞争性比选响应声明书、报价函、资格要求材料、报价人认为需要提供的其他相关文件（注：以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pPr>
              <w:pStyle w:val="31"/>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国产技术体系下的供应链统计分析和系统开发服务</w:t>
            </w:r>
            <w:r>
              <w:rPr>
                <w:rFonts w:hint="eastAsia" w:hAnsi="宋体"/>
                <w:color w:val="auto"/>
                <w:kern w:val="2"/>
                <w:sz w:val="21"/>
                <w:szCs w:val="21"/>
              </w:rPr>
              <w:t>竞争性比选响应文件（加盖报价人的公章）</w:t>
            </w:r>
          </w:p>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2024 </w:t>
            </w:r>
            <w:r>
              <w:rPr>
                <w:rFonts w:hint="eastAsia" w:hAnsi="宋体"/>
                <w:sz w:val="21"/>
                <w:szCs w:val="18"/>
              </w:rPr>
              <w:t>年</w:t>
            </w:r>
            <w:r>
              <w:rPr>
                <w:rFonts w:hint="eastAsia" w:hAnsi="宋体"/>
                <w:sz w:val="21"/>
                <w:szCs w:val="18"/>
                <w:u w:val="single"/>
              </w:rPr>
              <w:t xml:space="preserve"> 1</w:t>
            </w:r>
            <w:r>
              <w:rPr>
                <w:rFonts w:hint="eastAsia" w:hAnsi="宋体"/>
                <w:sz w:val="21"/>
                <w:szCs w:val="18"/>
                <w:u w:val="single"/>
                <w:lang w:val="en-US" w:eastAsia="zh-CN"/>
              </w:rPr>
              <w:t>2</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9</w:t>
            </w:r>
            <w:bookmarkStart w:id="270" w:name="_GoBack"/>
            <w:bookmarkEnd w:id="270"/>
            <w:r>
              <w:rPr>
                <w:rFonts w:hAnsi="宋体"/>
                <w:sz w:val="21"/>
                <w:szCs w:val="18"/>
                <w:u w:val="single"/>
              </w:rPr>
              <w:t xml:space="preserve"> </w:t>
            </w:r>
            <w:r>
              <w:rPr>
                <w:rFonts w:hint="eastAsia" w:hAnsi="宋体"/>
                <w:sz w:val="21"/>
                <w:szCs w:val="18"/>
              </w:rPr>
              <w:t>日上</w:t>
            </w:r>
            <w:r>
              <w:rPr>
                <w:rFonts w:hint="eastAsia" w:hAnsi="宋体"/>
                <w:color w:val="auto"/>
                <w:kern w:val="2"/>
                <w:sz w:val="21"/>
                <w:szCs w:val="21"/>
              </w:rPr>
              <w:t>午10：00时前不得开启。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26</w:t>
            </w:r>
          </w:p>
        </w:tc>
        <w:tc>
          <w:tcPr>
            <w:tcW w:w="2106" w:type="dxa"/>
            <w:vAlign w:val="center"/>
          </w:tcPr>
          <w:p>
            <w:pPr>
              <w:spacing w:line="400" w:lineRule="exact"/>
              <w:jc w:val="center"/>
              <w:rPr>
                <w:rFonts w:hAnsi="宋体"/>
                <w:color w:val="000000" w:themeColor="text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Ansi="宋体"/>
                <w:color w:val="000000" w:themeColor="text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w:t>
            </w:r>
          </w:p>
        </w:tc>
        <w:tc>
          <w:tcPr>
            <w:tcW w:w="9210" w:type="dxa"/>
            <w:gridSpan w:val="2"/>
            <w:vAlign w:val="center"/>
          </w:tcPr>
          <w:p>
            <w:pPr>
              <w:pStyle w:val="31"/>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27.1</w:t>
            </w:r>
          </w:p>
        </w:tc>
        <w:tc>
          <w:tcPr>
            <w:tcW w:w="9210" w:type="dxa"/>
            <w:gridSpan w:val="2"/>
            <w:vAlign w:val="center"/>
          </w:tcPr>
          <w:p>
            <w:pPr>
              <w:pStyle w:val="31"/>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27.2</w:t>
            </w:r>
          </w:p>
        </w:tc>
        <w:tc>
          <w:tcPr>
            <w:tcW w:w="9210" w:type="dxa"/>
            <w:gridSpan w:val="2"/>
            <w:vAlign w:val="center"/>
          </w:tcPr>
          <w:p>
            <w:pPr>
              <w:pStyle w:val="31"/>
              <w:numPr>
                <w:ilvl w:val="0"/>
                <w:numId w:val="3"/>
              </w:numPr>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如中标人无法满足工程量清单中任一参数要求，采购人有权退货、终止合同，并扣除合同总金额的10%。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27.3</w:t>
            </w:r>
          </w:p>
        </w:tc>
        <w:tc>
          <w:tcPr>
            <w:tcW w:w="9210" w:type="dxa"/>
            <w:gridSpan w:val="2"/>
            <w:vAlign w:val="center"/>
          </w:tcPr>
          <w:p>
            <w:pPr>
              <w:pStyle w:val="31"/>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1、需提供投标保证金银行回执。</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jc w:val="center"/>
        <w:rPr>
          <w:rFonts w:ascii="宋体" w:hAnsi="宋体" w:eastAsia="宋体" w:cs="宋体"/>
          <w:bCs w:val="0"/>
          <w:sz w:val="28"/>
          <w:szCs w:val="28"/>
        </w:rPr>
      </w:pPr>
      <w:bookmarkStart w:id="104" w:name="_Toc28820"/>
      <w:bookmarkStart w:id="105" w:name="_Toc32070"/>
      <w:bookmarkStart w:id="106" w:name="_Toc11329222"/>
      <w:bookmarkStart w:id="107" w:name="_Toc30198"/>
      <w:bookmarkStart w:id="108" w:name="_Toc17532"/>
      <w:bookmarkStart w:id="109" w:name="_Toc11284"/>
      <w:r>
        <w:rPr>
          <w:rFonts w:hint="eastAsia" w:ascii="宋体" w:hAnsi="宋体" w:eastAsia="宋体" w:cs="宋体"/>
          <w:sz w:val="28"/>
          <w:szCs w:val="28"/>
        </w:rPr>
        <w:t xml:space="preserve">附录1  </w:t>
      </w:r>
      <w:r>
        <w:rPr>
          <w:rFonts w:hint="eastAsia" w:ascii="宋体" w:hAnsi="宋体" w:eastAsia="宋体" w:cs="宋体"/>
          <w:bCs w:val="0"/>
          <w:sz w:val="28"/>
          <w:szCs w:val="28"/>
        </w:rPr>
        <w:t>资格审查文件（项目主要管理人员最低要求）</w:t>
      </w:r>
      <w:bookmarkEnd w:id="104"/>
    </w:p>
    <w:p>
      <w:pPr>
        <w:spacing w:line="400" w:lineRule="exact"/>
        <w:jc w:val="center"/>
      </w:pPr>
      <w:r>
        <w:rPr>
          <w:rFonts w:hint="eastAsia" w:ascii="宋体" w:hAnsi="宋体" w:cs="宋体"/>
          <w:b/>
          <w:szCs w:val="21"/>
        </w:rPr>
        <w:t>主要管理人员最低要求</w:t>
      </w:r>
    </w:p>
    <w:tbl>
      <w:tblPr>
        <w:tblStyle w:val="2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602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项目负责人</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602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具有3年以上工作经验，计算机、通信、数据处理相关专业。</w:t>
            </w:r>
          </w:p>
        </w:tc>
      </w:tr>
    </w:tbl>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bidi="ar"/>
        </w:rPr>
        <w:t xml:space="preserve"> 注：</w:t>
      </w:r>
      <w:r>
        <w:rPr>
          <w:rFonts w:hint="eastAsia" w:ascii="宋体" w:hAnsi="宋体" w:cs="宋体"/>
          <w:bCs/>
          <w:kern w:val="0"/>
          <w:sz w:val="22"/>
          <w:szCs w:val="20"/>
        </w:rPr>
        <w:t>以上人员</w:t>
      </w:r>
      <w:r>
        <w:rPr>
          <w:rFonts w:hint="eastAsia" w:ascii="宋体" w:hAnsi="宋体" w:cs="宋体"/>
          <w:kern w:val="0"/>
          <w:sz w:val="22"/>
          <w:szCs w:val="22"/>
        </w:rPr>
        <w:t>由报价人</w:t>
      </w:r>
      <w:r>
        <w:rPr>
          <w:rFonts w:hint="eastAsia" w:ascii="宋体" w:hAnsi="宋体" w:cs="宋体"/>
          <w:b/>
          <w:kern w:val="0"/>
          <w:sz w:val="22"/>
          <w:szCs w:val="22"/>
        </w:rPr>
        <w:t>自行承诺</w:t>
      </w:r>
      <w:r>
        <w:rPr>
          <w:rFonts w:hint="eastAsia" w:ascii="宋体" w:hAnsi="宋体" w:cs="宋体"/>
          <w:kern w:val="0"/>
          <w:sz w:val="22"/>
          <w:szCs w:val="22"/>
        </w:rPr>
        <w:t>，</w:t>
      </w:r>
      <w:r>
        <w:rPr>
          <w:rFonts w:hint="eastAsia" w:ascii="宋体" w:hAnsi="宋体" w:cs="宋体"/>
          <w:kern w:val="0"/>
          <w:sz w:val="22"/>
          <w:szCs w:val="20"/>
        </w:rPr>
        <w:t>并加盖单位鲜公章</w:t>
      </w:r>
      <w:r>
        <w:rPr>
          <w:rFonts w:hint="eastAsia" w:hAnsi="宋体"/>
          <w:sz w:val="20"/>
          <w:szCs w:val="20"/>
        </w:rPr>
        <w:t>。</w:t>
      </w:r>
    </w:p>
    <w:p>
      <w:pPr>
        <w:pStyle w:val="16"/>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3"/>
        <w:jc w:val="center"/>
        <w:rPr>
          <w:rFonts w:ascii="宋体" w:hAnsi="宋体" w:eastAsia="宋体" w:cs="宋体"/>
          <w:bCs w:val="0"/>
          <w:sz w:val="28"/>
          <w:szCs w:val="28"/>
        </w:rPr>
      </w:pPr>
      <w:bookmarkStart w:id="110" w:name="_Toc22513"/>
      <w:bookmarkStart w:id="111" w:name="_Toc12685"/>
      <w:r>
        <w:rPr>
          <w:rFonts w:hint="eastAsia" w:ascii="宋体" w:hAnsi="宋体" w:eastAsia="宋体" w:cs="宋体"/>
          <w:bCs w:val="0"/>
          <w:sz w:val="28"/>
          <w:szCs w:val="28"/>
        </w:rPr>
        <w:t>附录2 资格审查文件（项目其他人员最低要求）</w:t>
      </w:r>
      <w:bookmarkEnd w:id="110"/>
      <w:bookmarkEnd w:id="111"/>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2" w:name="_Toc23696"/>
            <w:bookmarkStart w:id="113" w:name="_Toc507319900"/>
            <w:bookmarkStart w:id="114" w:name="_Toc413241584"/>
            <w:r>
              <w:rPr>
                <w:rFonts w:hint="eastAsia" w:ascii="宋体" w:hAnsi="宋体" w:cs="宋体"/>
                <w:szCs w:val="21"/>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160" w:type="dxa"/>
          </w:tcPr>
          <w:p>
            <w:pPr>
              <w:ind w:firstLine="420" w:firstLineChars="200"/>
            </w:pPr>
            <w:r>
              <w:rPr>
                <w:rFonts w:hint="eastAsia"/>
              </w:rPr>
              <w:t>根据项目实际进度情况及时增加人员。</w:t>
            </w:r>
          </w:p>
        </w:tc>
      </w:tr>
    </w:tbl>
    <w:p>
      <w:pPr>
        <w:pStyle w:val="31"/>
        <w:adjustRightInd/>
        <w:spacing w:line="360" w:lineRule="auto"/>
        <w:jc w:val="both"/>
        <w:rPr>
          <w:rFonts w:hAnsi="宋体"/>
          <w:color w:val="FF0000"/>
          <w:sz w:val="21"/>
          <w:szCs w:val="21"/>
        </w:rPr>
      </w:pPr>
      <w:r>
        <w:rPr>
          <w:rFonts w:hint="eastAsia" w:hAnsi="宋体"/>
          <w:bCs/>
          <w:sz w:val="22"/>
          <w:szCs w:val="20"/>
        </w:rPr>
        <w:t>注：以上人员</w:t>
      </w:r>
      <w:r>
        <w:rPr>
          <w:rFonts w:hint="eastAsia" w:hAnsi="宋体"/>
          <w:sz w:val="22"/>
          <w:szCs w:val="22"/>
        </w:rPr>
        <w:t>由报价人</w:t>
      </w:r>
      <w:r>
        <w:rPr>
          <w:rFonts w:hint="eastAsia" w:hAnsi="宋体"/>
          <w:b/>
          <w:sz w:val="22"/>
          <w:szCs w:val="22"/>
        </w:rPr>
        <w:t>自行承诺</w:t>
      </w:r>
      <w:r>
        <w:rPr>
          <w:rFonts w:hint="eastAsia" w:hAnsi="宋体"/>
          <w:sz w:val="22"/>
          <w:szCs w:val="22"/>
        </w:rPr>
        <w:t>，</w:t>
      </w:r>
      <w:r>
        <w:rPr>
          <w:rFonts w:hint="eastAsia" w:hAnsi="宋体"/>
          <w:sz w:val="22"/>
          <w:szCs w:val="20"/>
        </w:rPr>
        <w:t>并加盖单位鲜公章</w:t>
      </w:r>
      <w:r>
        <w:rPr>
          <w:rFonts w:hint="eastAsia" w:hAnsi="宋体"/>
          <w:color w:val="auto"/>
          <w:sz w:val="20"/>
          <w:szCs w:val="20"/>
        </w:rPr>
        <w:t>。</w:t>
      </w:r>
    </w:p>
    <w:bookmarkEnd w:id="112"/>
    <w:bookmarkEnd w:id="113"/>
    <w:bookmarkEnd w:id="114"/>
    <w:p>
      <w:pPr>
        <w:pStyle w:val="3"/>
        <w:rPr>
          <w:rStyle w:val="32"/>
          <w:rFonts w:ascii="宋体" w:hAnsi="宋体" w:eastAsia="宋体" w:cs="宋体"/>
          <w:b w:val="0"/>
          <w:bCs w:val="0"/>
          <w:sz w:val="28"/>
          <w:szCs w:val="28"/>
        </w:rPr>
      </w:pPr>
    </w:p>
    <w:p>
      <w:pPr>
        <w:pStyle w:val="3"/>
        <w:rPr>
          <w:rFonts w:hAnsi="宋体"/>
          <w:b w:val="0"/>
          <w:sz w:val="28"/>
          <w:szCs w:val="28"/>
        </w:rPr>
      </w:pPr>
      <w:bookmarkStart w:id="115" w:name="_Toc12175"/>
      <w:bookmarkStart w:id="116" w:name="_Toc23610"/>
      <w:r>
        <w:rPr>
          <w:rFonts w:hint="eastAsia" w:ascii="宋体" w:hAnsi="宋体" w:eastAsia="宋体" w:cs="宋体"/>
          <w:bCs w:val="0"/>
          <w:sz w:val="28"/>
          <w:szCs w:val="28"/>
        </w:rPr>
        <w:t>附录3 资格审查文件（主要机械设备和试验检测设备最低要求）</w:t>
      </w:r>
      <w:bookmarkEnd w:id="115"/>
      <w:bookmarkEnd w:id="116"/>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rPr>
              <w:t>无</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hAnsi="宋体"/>
          <w:szCs w:val="21"/>
        </w:rPr>
        <w:t>，提供承诺资料并加盖单位公章</w:t>
      </w:r>
      <w:r>
        <w:rPr>
          <w:rFonts w:hint="eastAsia" w:ascii="宋体" w:hAnsi="宋体" w:cs="宋体"/>
          <w:kern w:val="0"/>
          <w:szCs w:val="21"/>
        </w:rPr>
        <w:t>。</w:t>
      </w:r>
    </w:p>
    <w:p>
      <w:pPr>
        <w:spacing w:line="440" w:lineRule="exact"/>
        <w:jc w:val="center"/>
        <w:rPr>
          <w:rFonts w:ascii="宋体" w:hAnsi="宋体" w:cs="宋体"/>
          <w:color w:val="000000" w:themeColor="text1"/>
          <w:szCs w:val="2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szCs w:val="21"/>
        </w:rPr>
        <w:t>以上（附录1-附录3中的资格审查）的要求均为强制性条件，其中任何一条不满足要求，则按否决报价处理。</w:t>
      </w:r>
      <w:bookmarkEnd w:id="105"/>
      <w:bookmarkEnd w:id="106"/>
      <w:bookmarkEnd w:id="107"/>
      <w:bookmarkEnd w:id="108"/>
      <w:bookmarkEnd w:id="109"/>
    </w:p>
    <w:p>
      <w:pPr>
        <w:pStyle w:val="2"/>
        <w:spacing w:before="0" w:after="0" w:line="360" w:lineRule="auto"/>
        <w:jc w:val="center"/>
        <w:rPr>
          <w:rFonts w:ascii="宋体" w:hAnsi="宋体" w:cs="宋体"/>
          <w:color w:val="000000" w:themeColor="text1"/>
          <w14:textFill>
            <w14:solidFill>
              <w14:schemeClr w14:val="tx1"/>
            </w14:solidFill>
          </w14:textFill>
        </w:rPr>
      </w:pPr>
      <w:bookmarkStart w:id="117" w:name="_Toc507319957"/>
      <w:bookmarkStart w:id="118" w:name="_Toc179632605"/>
      <w:bookmarkStart w:id="119" w:name="_Toc7682"/>
      <w:bookmarkStart w:id="120" w:name="_Toc246996230"/>
      <w:bookmarkStart w:id="121" w:name="_Toc144974554"/>
      <w:bookmarkStart w:id="122" w:name="_Toc246996973"/>
      <w:bookmarkStart w:id="123" w:name="_Toc152045587"/>
      <w:bookmarkStart w:id="124" w:name="_Toc2000406"/>
      <w:bookmarkStart w:id="125" w:name="_Toc152042364"/>
      <w:bookmarkStart w:id="126" w:name="_Toc247085745"/>
      <w:r>
        <w:rPr>
          <w:rFonts w:hint="eastAsia" w:ascii="宋体" w:hAnsi="宋体" w:cs="宋体"/>
          <w:color w:val="000000" w:themeColor="text1"/>
          <w14:textFill>
            <w14:solidFill>
              <w14:schemeClr w14:val="tx1"/>
            </w14:solidFill>
          </w14:textFill>
        </w:rPr>
        <w:t xml:space="preserve">第三章 </w:t>
      </w:r>
      <w:r>
        <w:rPr>
          <w:rFonts w:hint="eastAsia" w:ascii="宋体" w:hAnsi="宋体" w:cs="宋体"/>
        </w:rPr>
        <w:t>评标办法（综合评估法）</w:t>
      </w:r>
      <w:bookmarkEnd w:id="117"/>
      <w:bookmarkEnd w:id="118"/>
      <w:bookmarkEnd w:id="119"/>
      <w:bookmarkEnd w:id="120"/>
      <w:bookmarkEnd w:id="121"/>
      <w:bookmarkEnd w:id="122"/>
      <w:bookmarkEnd w:id="123"/>
      <w:bookmarkEnd w:id="124"/>
      <w:bookmarkEnd w:id="125"/>
      <w:bookmarkEnd w:id="126"/>
    </w:p>
    <w:p>
      <w:pPr>
        <w:rPr>
          <w:b/>
          <w:bCs/>
        </w:rPr>
      </w:pPr>
      <w:r>
        <w:rPr>
          <w:rFonts w:hint="eastAsia"/>
          <w:b/>
          <w:bCs/>
        </w:rPr>
        <w:t>评标办法前附表</w:t>
      </w:r>
    </w:p>
    <w:tbl>
      <w:tblPr>
        <w:tblStyle w:val="24"/>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投标报价（60分）</w:t>
            </w:r>
          </w:p>
        </w:tc>
        <w:tc>
          <w:tcPr>
            <w:tcW w:w="2022" w:type="dxa"/>
            <w:vAlign w:val="center"/>
          </w:tcPr>
          <w:p>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评标基准价计算方法</w:t>
            </w:r>
          </w:p>
        </w:tc>
        <w:tc>
          <w:tcPr>
            <w:tcW w:w="5928" w:type="dxa"/>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由评标委员会计算评标基准价：</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（1）评标价的确定：评标价＝投标函文字报价</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（2）评标基准价的确定：</w:t>
            </w:r>
          </w:p>
          <w:p>
            <w:pPr>
              <w:snapToGrid w:val="0"/>
              <w:spacing w:line="400" w:lineRule="exact"/>
              <w:ind w:firstLine="420" w:firstLineChars="200"/>
              <w:rPr>
                <w:rFonts w:ascii="宋体" w:hAnsi="宋体" w:cs="宋体"/>
                <w:szCs w:val="21"/>
              </w:rPr>
            </w:pPr>
            <w:r>
              <w:rPr>
                <w:rFonts w:hint="eastAsia" w:ascii="宋体" w:hAnsi="宋体" w:cs="宋体"/>
                <w:kern w:val="0"/>
                <w:szCs w:val="21"/>
              </w:rPr>
              <w:t>在通过初步评审后且不高于最高限价和不低于最高限价85%的投标报价中去掉六分之一（不能整除的按小数前整数取整，不足六家报价则不去掉）的最低价和相同家数的最高价后的算术平均值为评标基准价。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评标价的偏差率计算公式</w:t>
            </w:r>
          </w:p>
        </w:tc>
        <w:tc>
          <w:tcPr>
            <w:tcW w:w="5928" w:type="dxa"/>
            <w:vAlign w:val="center"/>
          </w:tcPr>
          <w:p>
            <w:pPr>
              <w:spacing w:line="320" w:lineRule="exact"/>
              <w:jc w:val="left"/>
              <w:rPr>
                <w:rFonts w:ascii="宋体" w:hAnsi="宋体" w:cs="宋体"/>
                <w:szCs w:val="21"/>
              </w:rPr>
            </w:pPr>
            <w:r>
              <w:rPr>
                <w:rFonts w:hint="eastAsia" w:ascii="宋体" w:hAnsi="宋体" w:cs="宋体"/>
                <w:b/>
                <w:bCs/>
                <w:szCs w:val="21"/>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tcPr>
          <w:p>
            <w:pPr>
              <w:pStyle w:val="22"/>
              <w:spacing w:after="0" w:line="320" w:lineRule="exact"/>
              <w:ind w:firstLineChars="200"/>
              <w:rPr>
                <w:rFonts w:ascii="宋体" w:hAnsi="宋体" w:eastAsia="宋体" w:cs="宋体"/>
                <w:sz w:val="21"/>
                <w:szCs w:val="21"/>
              </w:rPr>
            </w:pPr>
            <w:r>
              <w:rPr>
                <w:rFonts w:hint="eastAsia" w:ascii="宋体" w:hAnsi="宋体" w:eastAsia="宋体" w:cs="宋体"/>
                <w:sz w:val="21"/>
                <w:szCs w:val="21"/>
              </w:rPr>
              <w:t>所有有效投标报价分别与评标基准价相比较，等于基准价得</w:t>
            </w:r>
            <w:r>
              <w:rPr>
                <w:rFonts w:hint="eastAsia" w:ascii="宋体" w:hAnsi="宋体" w:eastAsia="宋体" w:cs="宋体"/>
                <w:sz w:val="21"/>
                <w:szCs w:val="21"/>
                <w:lang w:val="en-US" w:eastAsia="zh-CN"/>
              </w:rPr>
              <w:t>6</w:t>
            </w:r>
            <w:r>
              <w:rPr>
                <w:rFonts w:hint="eastAsia" w:ascii="宋体" w:hAnsi="宋体" w:eastAsia="宋体" w:cs="宋体"/>
                <w:sz w:val="21"/>
                <w:szCs w:val="21"/>
              </w:rPr>
              <w:t>0分，每增加1%扣0.5分；每减少1%扣0.2分，</w:t>
            </w:r>
            <w:r>
              <w:rPr>
                <w:rFonts w:ascii="宋体" w:hAnsi="宋体" w:eastAsia="宋体" w:cs="宋体"/>
                <w:sz w:val="21"/>
                <w:szCs w:val="21"/>
              </w:rPr>
              <w:t>最多扣10分</w:t>
            </w:r>
            <w:r>
              <w:rPr>
                <w:rFonts w:hint="eastAsia" w:ascii="宋体" w:hAnsi="宋体" w:eastAsia="宋体" w:cs="宋体"/>
                <w:sz w:val="21"/>
                <w:szCs w:val="21"/>
              </w:rPr>
              <w:t>。按插入法计算得分。</w:t>
            </w:r>
          </w:p>
          <w:p>
            <w:pPr>
              <w:spacing w:line="400" w:lineRule="exact"/>
              <w:ind w:firstLine="420" w:firstLineChars="200"/>
              <w:rPr>
                <w:rFonts w:ascii="宋体" w:hAnsi="宋体" w:cs="宋体"/>
                <w:szCs w:val="21"/>
              </w:rPr>
            </w:pPr>
            <w:r>
              <w:rPr>
                <w:rFonts w:hint="eastAsia" w:ascii="宋体" w:hAnsi="宋体" w:cs="宋体"/>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pPr>
              <w:widowControl/>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lang w:bidi="ar"/>
              </w:rPr>
              <w:t>项目团队（</w:t>
            </w:r>
            <w:r>
              <w:rPr>
                <w:rFonts w:ascii="宋体" w:hAnsi="宋体" w:cs="宋体"/>
                <w:kern w:val="0"/>
                <w:szCs w:val="21"/>
                <w:highlight w:val="none"/>
                <w:lang w:bidi="ar"/>
              </w:rPr>
              <w:t>6分）</w:t>
            </w:r>
          </w:p>
        </w:tc>
        <w:tc>
          <w:tcPr>
            <w:tcW w:w="5928" w:type="dxa"/>
            <w:vAlign w:val="center"/>
          </w:tcPr>
          <w:p>
            <w:pPr>
              <w:widowControl/>
              <w:snapToGrid w:val="0"/>
              <w:spacing w:line="40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1.满足资格条件的资质要求得2分；</w:t>
            </w:r>
          </w:p>
          <w:p>
            <w:pPr>
              <w:widowControl/>
              <w:snapToGrid w:val="0"/>
              <w:spacing w:line="400" w:lineRule="exact"/>
              <w:ind w:firstLine="420" w:firstLineChars="200"/>
              <w:jc w:val="left"/>
              <w:rPr>
                <w:rFonts w:hint="eastAsia" w:ascii="宋体" w:hAnsi="宋体" w:cs="宋体"/>
                <w:kern w:val="0"/>
                <w:szCs w:val="21"/>
                <w:highlight w:val="none"/>
                <w:lang w:eastAsia="zh-CN" w:bidi="ar"/>
              </w:rPr>
            </w:pPr>
            <w:r>
              <w:rPr>
                <w:rFonts w:ascii="宋体" w:hAnsi="宋体" w:cs="宋体"/>
                <w:kern w:val="0"/>
                <w:szCs w:val="21"/>
                <w:highlight w:val="none"/>
                <w:lang w:bidi="ar"/>
              </w:rPr>
              <w:t>2.在满足资格要求的基</w:t>
            </w:r>
            <w:r>
              <w:rPr>
                <w:rFonts w:hint="eastAsia" w:ascii="宋体" w:hAnsi="宋体" w:cs="宋体"/>
                <w:kern w:val="0"/>
                <w:szCs w:val="21"/>
                <w:highlight w:val="none"/>
                <w:lang w:bidi="ar"/>
              </w:rPr>
              <w:t>础上，报价人拟派的项目经理具备人力资源和社会保障部、工业和信息化部颁发的有效的中级及以上系统集成项目管理工程师（或信息技术支持工程师、信息系统项目管理师）的，得2分，本项最多得2分</w:t>
            </w:r>
            <w:r>
              <w:rPr>
                <w:rFonts w:hint="eastAsia" w:ascii="宋体" w:hAnsi="宋体" w:cs="宋体"/>
                <w:kern w:val="0"/>
                <w:szCs w:val="21"/>
                <w:highlight w:val="none"/>
                <w:lang w:eastAsia="zh-CN" w:bidi="ar"/>
              </w:rPr>
              <w:t>。</w:t>
            </w:r>
          </w:p>
          <w:p>
            <w:pPr>
              <w:widowControl/>
              <w:snapToGrid w:val="0"/>
              <w:spacing w:line="40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3. 报价人拟派的项目团队成员具备国家工业或信息化部，中国人力资源和社会保障部颁发的中级及以上职业资格或能力证书的，每人得2分，本项最多得2分。</w:t>
            </w:r>
          </w:p>
          <w:p>
            <w:pPr>
              <w:widowControl/>
              <w:snapToGrid w:val="0"/>
              <w:spacing w:line="400" w:lineRule="exact"/>
              <w:ind w:firstLine="420" w:firstLineChars="200"/>
              <w:jc w:val="left"/>
              <w:rPr>
                <w:rFonts w:ascii="宋体" w:hAnsi="宋体" w:cs="宋体"/>
                <w:kern w:val="0"/>
                <w:szCs w:val="21"/>
                <w:highlight w:val="none"/>
              </w:rPr>
            </w:pPr>
            <w:r>
              <w:rPr>
                <w:rFonts w:hint="eastAsia" w:ascii="宋体" w:hAnsi="宋体" w:cs="宋体"/>
                <w:szCs w:val="21"/>
                <w:highlight w:val="none"/>
              </w:rPr>
              <w:t>提供：证书复印件并加盖报价单位法人章。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widowControl/>
              <w:snapToGrid w:val="0"/>
              <w:spacing w:line="400" w:lineRule="exact"/>
              <w:jc w:val="center"/>
              <w:rPr>
                <w:rFonts w:ascii="宋体" w:hAnsi="宋体" w:cs="宋体"/>
                <w:kern w:val="0"/>
                <w:szCs w:val="21"/>
                <w:lang w:bidi="ar"/>
              </w:rPr>
            </w:pPr>
            <w:r>
              <w:rPr>
                <w:rFonts w:hint="eastAsia" w:ascii="宋体" w:hAnsi="宋体" w:cs="宋体"/>
                <w:kern w:val="0"/>
                <w:szCs w:val="21"/>
                <w:lang w:bidi="ar"/>
              </w:rPr>
              <w:t>企业实力（</w:t>
            </w:r>
            <w:r>
              <w:rPr>
                <w:rFonts w:ascii="宋体" w:hAnsi="宋体" w:cs="宋体"/>
                <w:kern w:val="0"/>
                <w:szCs w:val="21"/>
                <w:lang w:bidi="ar"/>
              </w:rPr>
              <w:t>2</w:t>
            </w:r>
            <w:r>
              <w:rPr>
                <w:rFonts w:hint="eastAsia" w:ascii="宋体" w:hAnsi="宋体" w:cs="宋体"/>
                <w:kern w:val="0"/>
                <w:szCs w:val="21"/>
                <w:lang w:bidi="ar"/>
              </w:rPr>
              <w:t>分）</w:t>
            </w:r>
          </w:p>
        </w:tc>
        <w:tc>
          <w:tcPr>
            <w:tcW w:w="5928" w:type="dxa"/>
            <w:vAlign w:val="center"/>
          </w:tcPr>
          <w:p>
            <w:pPr>
              <w:pStyle w:val="34"/>
              <w:numPr>
                <w:ilvl w:val="255"/>
                <w:numId w:val="0"/>
              </w:numPr>
              <w:autoSpaceDE w:val="0"/>
              <w:autoSpaceDN w:val="0"/>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1.报价人具备合格有效的</w:t>
            </w:r>
            <w:r>
              <w:rPr>
                <w:rFonts w:ascii="宋体" w:hAnsi="宋体" w:cs="宋体"/>
                <w:szCs w:val="21"/>
              </w:rPr>
              <w:t>ISO27001</w:t>
            </w:r>
            <w:r>
              <w:rPr>
                <w:rFonts w:hint="eastAsia" w:ascii="宋体" w:hAnsi="宋体" w:cs="宋体"/>
                <w:szCs w:val="21"/>
              </w:rPr>
              <w:t>信息安全管理体系认证证书的得</w:t>
            </w:r>
            <w:r>
              <w:rPr>
                <w:rFonts w:ascii="宋体" w:hAnsi="宋体" w:cs="宋体"/>
                <w:szCs w:val="21"/>
              </w:rPr>
              <w:t>1</w:t>
            </w:r>
            <w:r>
              <w:rPr>
                <w:rFonts w:hint="eastAsia" w:ascii="宋体" w:hAnsi="宋体" w:cs="宋体"/>
                <w:szCs w:val="21"/>
              </w:rPr>
              <w:t>分，本项最多得1分；</w:t>
            </w:r>
          </w:p>
          <w:p>
            <w:pPr>
              <w:pStyle w:val="34"/>
              <w:numPr>
                <w:ilvl w:val="255"/>
                <w:numId w:val="0"/>
              </w:numPr>
              <w:autoSpaceDE w:val="0"/>
              <w:autoSpaceDN w:val="0"/>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2.投标人具有合格有效的ISO9001质量管理体系认证证书，的得1分，本项最多得1分；</w:t>
            </w:r>
          </w:p>
          <w:p>
            <w:pPr>
              <w:widowControl/>
              <w:snapToGrid w:val="0"/>
              <w:spacing w:line="400" w:lineRule="exact"/>
              <w:ind w:firstLine="420" w:firstLineChars="200"/>
              <w:jc w:val="left"/>
              <w:rPr>
                <w:rFonts w:ascii="宋体" w:hAnsi="宋体" w:cs="宋体"/>
                <w:kern w:val="0"/>
                <w:szCs w:val="21"/>
                <w:lang w:bidi="ar"/>
              </w:rPr>
            </w:pPr>
            <w:r>
              <w:rPr>
                <w:rFonts w:hint="eastAsia" w:ascii="宋体" w:hAnsi="宋体" w:cs="宋体"/>
                <w:szCs w:val="21"/>
              </w:rPr>
              <w:t>提供：证书复印件、网上查询截图并加盖报价单位法人章。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widowControl/>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相关业绩（1</w:t>
            </w:r>
            <w:r>
              <w:rPr>
                <w:rFonts w:asciiTheme="minorEastAsia" w:hAnsiTheme="minorEastAsia" w:eastAsiaTheme="minorEastAsia" w:cstheme="minorEastAsia"/>
                <w:szCs w:val="21"/>
                <w:lang w:bidi="ar"/>
              </w:rPr>
              <w:t>2</w:t>
            </w:r>
            <w:r>
              <w:rPr>
                <w:rFonts w:hint="eastAsia" w:asciiTheme="minorEastAsia" w:hAnsiTheme="minorEastAsia" w:eastAsiaTheme="minorEastAsia" w:cstheme="minorEastAsia"/>
                <w:szCs w:val="21"/>
                <w:lang w:bidi="ar"/>
              </w:rPr>
              <w:t>分）</w:t>
            </w:r>
          </w:p>
        </w:tc>
        <w:tc>
          <w:tcPr>
            <w:tcW w:w="5928" w:type="dxa"/>
            <w:vAlign w:val="center"/>
          </w:tcPr>
          <w:p>
            <w:pPr>
              <w:widowControl/>
              <w:snapToGrid w:val="0"/>
              <w:spacing w:line="400" w:lineRule="exact"/>
              <w:ind w:firstLine="420" w:firstLineChars="200"/>
              <w:jc w:val="left"/>
              <w:rPr>
                <w:rFonts w:ascii="宋体" w:hAnsi="宋体" w:cs="宋体"/>
                <w:kern w:val="0"/>
                <w:szCs w:val="21"/>
                <w:lang w:bidi="ar"/>
              </w:rPr>
            </w:pPr>
            <w:r>
              <w:rPr>
                <w:rFonts w:ascii="宋体" w:hAnsi="宋体" w:cs="宋体"/>
                <w:kern w:val="0"/>
                <w:szCs w:val="21"/>
                <w:lang w:bidi="ar"/>
              </w:rPr>
              <w:t>1.满足资格条件的资质要求得</w:t>
            </w:r>
            <w:r>
              <w:rPr>
                <w:rFonts w:hint="eastAsia" w:ascii="宋体" w:hAnsi="宋体" w:cs="宋体"/>
                <w:kern w:val="0"/>
                <w:szCs w:val="21"/>
                <w:lang w:bidi="ar"/>
              </w:rPr>
              <w:t>6</w:t>
            </w:r>
            <w:r>
              <w:rPr>
                <w:rFonts w:ascii="宋体" w:hAnsi="宋体" w:cs="宋体"/>
                <w:kern w:val="0"/>
                <w:szCs w:val="21"/>
                <w:lang w:bidi="ar"/>
              </w:rPr>
              <w:t>分；</w:t>
            </w:r>
          </w:p>
          <w:p>
            <w:pPr>
              <w:widowControl/>
              <w:snapToGrid w:val="0"/>
              <w:spacing w:line="400" w:lineRule="exact"/>
              <w:ind w:firstLine="420" w:firstLineChars="200"/>
              <w:jc w:val="left"/>
              <w:rPr>
                <w:rFonts w:ascii="宋体" w:hAnsi="宋体" w:cs="宋体"/>
                <w:kern w:val="0"/>
                <w:szCs w:val="21"/>
                <w:lang w:bidi="ar"/>
              </w:rPr>
            </w:pPr>
            <w:r>
              <w:rPr>
                <w:rFonts w:ascii="宋体" w:hAnsi="宋体" w:cs="宋体"/>
                <w:kern w:val="0"/>
                <w:szCs w:val="21"/>
                <w:lang w:bidi="ar"/>
              </w:rPr>
              <w:t>2.在满足资格业绩要求的基础上，</w:t>
            </w:r>
            <w:r>
              <w:rPr>
                <w:rFonts w:hint="eastAsia" w:ascii="宋体" w:hAnsi="宋体" w:cs="宋体"/>
                <w:kern w:val="0"/>
                <w:szCs w:val="21"/>
                <w:lang w:bidi="ar"/>
              </w:rPr>
              <w:t>报价人在</w:t>
            </w:r>
            <w:r>
              <w:rPr>
                <w:rFonts w:ascii="宋体" w:hAnsi="宋体" w:cs="宋体"/>
                <w:kern w:val="0"/>
                <w:szCs w:val="21"/>
                <w:lang w:bidi="ar"/>
              </w:rPr>
              <w:t>2021年1月1日至报价截止日期（以合同签订时间为准）</w:t>
            </w:r>
            <w:r>
              <w:rPr>
                <w:rFonts w:hint="eastAsia" w:ascii="宋体" w:hAnsi="宋体" w:cs="宋体"/>
                <w:kern w:val="0"/>
                <w:szCs w:val="21"/>
                <w:lang w:bidi="ar"/>
              </w:rPr>
              <w:t>每增加</w:t>
            </w:r>
            <w:r>
              <w:rPr>
                <w:rFonts w:ascii="宋体" w:hAnsi="宋体" w:cs="宋体"/>
                <w:kern w:val="0"/>
                <w:szCs w:val="21"/>
                <w:lang w:bidi="ar"/>
              </w:rPr>
              <w:t>一项合同金额不低于50万元的软件服务或技术服务业绩</w:t>
            </w:r>
            <w:r>
              <w:rPr>
                <w:rFonts w:hint="eastAsia" w:ascii="宋体" w:hAnsi="宋体" w:cs="宋体"/>
                <w:kern w:val="0"/>
                <w:szCs w:val="21"/>
                <w:lang w:bidi="ar"/>
              </w:rPr>
              <w:t>的得2分，本项最多得</w:t>
            </w:r>
            <w:r>
              <w:rPr>
                <w:rFonts w:ascii="宋体" w:hAnsi="宋体" w:cs="宋体"/>
                <w:kern w:val="0"/>
                <w:szCs w:val="21"/>
                <w:lang w:bidi="ar"/>
              </w:rPr>
              <w:t>6</w:t>
            </w:r>
            <w:r>
              <w:rPr>
                <w:rFonts w:hint="eastAsia" w:ascii="宋体" w:hAnsi="宋体" w:cs="宋体"/>
                <w:kern w:val="0"/>
                <w:szCs w:val="21"/>
                <w:lang w:bidi="ar"/>
              </w:rPr>
              <w:t>分。</w:t>
            </w:r>
          </w:p>
          <w:p>
            <w:pPr>
              <w:widowControl/>
              <w:snapToGrid w:val="0"/>
              <w:spacing w:line="400" w:lineRule="exact"/>
              <w:ind w:firstLine="420" w:firstLineChars="200"/>
              <w:jc w:val="left"/>
              <w:rPr>
                <w:rFonts w:ascii="宋体" w:hAnsi="宋体" w:cs="宋体"/>
                <w:kern w:val="0"/>
                <w:szCs w:val="21"/>
              </w:rPr>
            </w:pPr>
            <w:r>
              <w:rPr>
                <w:rFonts w:hint="eastAsia" w:ascii="宋体" w:hAnsi="宋体" w:cs="宋体"/>
                <w:szCs w:val="21"/>
              </w:rPr>
              <w:t>提供：合同复印件并加盖投标单位法人章（合同需清晰反映上述业绩要求的主要内容，包括但不限于合同金额、工作内容及合同签订时间等）</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pPr>
              <w:adjustRightInd w:val="0"/>
              <w:snapToGrid w:val="0"/>
              <w:spacing w:line="400" w:lineRule="exact"/>
              <w:jc w:val="center"/>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kern w:val="0"/>
                <w:szCs w:val="21"/>
                <w:highlight w:val="none"/>
              </w:rPr>
              <w:t>项目技术方案（</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5928" w:type="dxa"/>
            <w:vAlign w:val="center"/>
          </w:tcPr>
          <w:p>
            <w:pPr>
              <w:adjustRightInd w:val="0"/>
              <w:snapToGrid w:val="0"/>
              <w:spacing w:line="40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投标人对“第五章 项目需求”中所列需求进行响应，所选用的软件开发架构和工具应具有先进性，功能齐全且具备扩展性；具有详细的设计；具备风险应对措施（如延期等）；关键性环节不步骤有详细的步骤描述；系统安全性保障考虑全面。</w:t>
            </w:r>
          </w:p>
          <w:p>
            <w:pPr>
              <w:adjustRightInd w:val="0"/>
              <w:snapToGrid w:val="0"/>
              <w:spacing w:line="40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注：以上性能满足要求得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分；以上性能较为满足要求得</w:t>
            </w:r>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分，以上性能不满足要求得</w:t>
            </w:r>
            <w:r>
              <w:rPr>
                <w:rFonts w:hint="eastAsia" w:ascii="宋体" w:hAnsi="宋体" w:cs="宋体"/>
                <w:color w:val="auto"/>
                <w:highlight w:val="none"/>
                <w:lang w:val="en-US" w:eastAsia="zh-CN"/>
              </w:rPr>
              <w:t>6</w:t>
            </w:r>
            <w:r>
              <w:rPr>
                <w:rFonts w:hint="eastAsia" w:ascii="宋体" w:hAnsi="宋体" w:eastAsia="宋体" w:cs="宋体"/>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adjustRightInd w:val="0"/>
              <w:snapToGrid w:val="0"/>
              <w:spacing w:line="400" w:lineRule="exact"/>
              <w:jc w:val="center"/>
              <w:textAlignment w:val="baseline"/>
              <w:rPr>
                <w:rFonts w:asciiTheme="minorEastAsia" w:hAnsiTheme="minorEastAsia" w:eastAsiaTheme="minorEastAsia" w:cstheme="minorEastAsia"/>
                <w:szCs w:val="21"/>
                <w:highlight w:val="none"/>
                <w:lang w:bidi="ar"/>
              </w:rPr>
            </w:pPr>
            <w:r>
              <w:rPr>
                <w:rFonts w:hint="eastAsia" w:ascii="宋体" w:hAnsi="宋体" w:cs="宋体"/>
                <w:bCs/>
                <w:szCs w:val="21"/>
                <w:highlight w:val="none"/>
                <w:lang w:bidi="ar"/>
              </w:rPr>
              <w:t>项目实施方案（5分）</w:t>
            </w:r>
          </w:p>
        </w:tc>
        <w:tc>
          <w:tcPr>
            <w:tcW w:w="5928" w:type="dxa"/>
            <w:vAlign w:val="center"/>
          </w:tcPr>
          <w:p>
            <w:pPr>
              <w:adjustRightInd w:val="0"/>
              <w:snapToGrid w:val="0"/>
              <w:spacing w:line="400" w:lineRule="exact"/>
              <w:ind w:firstLine="420" w:firstLineChars="200"/>
              <w:textAlignment w:val="baseline"/>
              <w:rPr>
                <w:rFonts w:ascii="宋体" w:hAnsi="宋体" w:cs="宋体"/>
                <w:bCs/>
                <w:szCs w:val="21"/>
                <w:highlight w:val="none"/>
                <w:lang w:bidi="ar"/>
              </w:rPr>
            </w:pPr>
            <w:r>
              <w:rPr>
                <w:rFonts w:hint="eastAsia" w:ascii="宋体" w:hAnsi="宋体" w:cs="宋体"/>
                <w:bCs/>
                <w:szCs w:val="21"/>
                <w:highlight w:val="none"/>
                <w:lang w:bidi="ar"/>
              </w:rPr>
              <w:t>投标人针对</w:t>
            </w:r>
            <w:r>
              <w:rPr>
                <w:rFonts w:hint="eastAsia" w:ascii="宋体" w:hAnsi="宋体" w:cs="宋体"/>
                <w:bCs/>
                <w:szCs w:val="21"/>
                <w:highlight w:val="none"/>
                <w:lang w:eastAsia="zh-CN" w:bidi="ar"/>
              </w:rPr>
              <w:t>国产技术体系下的供应链统计分析和系统开发服务</w:t>
            </w:r>
            <w:r>
              <w:rPr>
                <w:rFonts w:hint="eastAsia" w:ascii="宋体" w:hAnsi="宋体" w:cs="宋体"/>
                <w:bCs/>
                <w:szCs w:val="21"/>
                <w:highlight w:val="none"/>
                <w:lang w:bidi="ar"/>
              </w:rPr>
              <w:t>的软件代码过程提供合理可行的项目实施方案，方案至少包含项目实施的组织架构、实施计划、实施管理流程；实施方案内容全面、结构清晰；实施方案针对技术、资源、时间的安排合理。根据编制内容优劣给分：</w:t>
            </w:r>
          </w:p>
          <w:p>
            <w:pPr>
              <w:adjustRightInd w:val="0"/>
              <w:snapToGrid w:val="0"/>
              <w:spacing w:line="400" w:lineRule="exact"/>
              <w:ind w:firstLine="420" w:firstLineChars="200"/>
              <w:textAlignment w:val="baseline"/>
              <w:rPr>
                <w:rFonts w:ascii="宋体" w:hAnsi="宋体" w:cs="宋体"/>
                <w:kern w:val="0"/>
                <w:szCs w:val="21"/>
                <w:highlight w:val="none"/>
                <w:lang w:bidi="ar"/>
              </w:rPr>
            </w:pPr>
            <w:r>
              <w:rPr>
                <w:rFonts w:hint="eastAsia" w:ascii="宋体" w:hAnsi="宋体" w:cs="宋体"/>
                <w:bCs/>
                <w:szCs w:val="21"/>
                <w:highlight w:val="none"/>
                <w:lang w:bidi="ar"/>
              </w:rPr>
              <w:t>注：方案内容合理、可行性高、完整性好，内容全面结构清晰得</w:t>
            </w:r>
            <w:r>
              <w:rPr>
                <w:rFonts w:hint="eastAsia" w:ascii="宋体" w:hAnsi="宋体" w:cs="宋体"/>
                <w:bCs/>
                <w:szCs w:val="21"/>
                <w:highlight w:val="none"/>
                <w:lang w:val="en-US" w:eastAsia="zh-CN" w:bidi="ar"/>
              </w:rPr>
              <w:t>5</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4</w:t>
            </w:r>
            <w:r>
              <w:rPr>
                <w:rFonts w:hint="eastAsia" w:ascii="宋体" w:hAnsi="宋体" w:cs="宋体"/>
                <w:bCs/>
                <w:szCs w:val="21"/>
                <w:highlight w:val="none"/>
                <w:lang w:bidi="ar"/>
              </w:rPr>
              <w:t>分；方案内容较合理性、可行性较高、完整性一般、内容全面结构一般得</w:t>
            </w:r>
            <w:r>
              <w:rPr>
                <w:rFonts w:hint="eastAsia" w:ascii="宋体" w:hAnsi="宋体" w:cs="宋体"/>
                <w:bCs/>
                <w:szCs w:val="21"/>
                <w:highlight w:val="none"/>
                <w:lang w:val="en-US" w:eastAsia="zh-CN" w:bidi="ar"/>
              </w:rPr>
              <w:t>4</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3</w:t>
            </w:r>
            <w:r>
              <w:rPr>
                <w:rFonts w:hint="eastAsia" w:ascii="宋体" w:hAnsi="宋体" w:cs="宋体"/>
                <w:bCs/>
                <w:szCs w:val="21"/>
                <w:highlight w:val="none"/>
                <w:lang w:bidi="ar"/>
              </w:rPr>
              <w:t>分；方案内容应不合理性、不具有可行性、完整性较差、内容全面结构模糊得</w:t>
            </w:r>
            <w:r>
              <w:rPr>
                <w:rFonts w:hint="eastAsia" w:ascii="宋体" w:hAnsi="宋体" w:cs="宋体"/>
                <w:bCs/>
                <w:szCs w:val="21"/>
                <w:highlight w:val="none"/>
                <w:lang w:val="en-US" w:eastAsia="zh-CN" w:bidi="ar"/>
              </w:rPr>
              <w:t>3</w:t>
            </w:r>
            <w:r>
              <w:rPr>
                <w:rFonts w:hint="eastAsia" w:ascii="宋体" w:hAnsi="宋体" w:cs="宋体"/>
                <w:bCs/>
                <w:szCs w:val="21"/>
                <w:highlight w:val="none"/>
                <w:lang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adjustRightInd w:val="0"/>
              <w:snapToGrid w:val="0"/>
              <w:spacing w:line="400" w:lineRule="exact"/>
              <w:jc w:val="center"/>
              <w:textAlignment w:val="baseline"/>
              <w:rPr>
                <w:rFonts w:asciiTheme="minorEastAsia" w:hAnsiTheme="minorEastAsia" w:eastAsiaTheme="minorEastAsia" w:cstheme="minorEastAsia"/>
                <w:szCs w:val="21"/>
                <w:highlight w:val="none"/>
                <w:lang w:bidi="ar"/>
              </w:rPr>
            </w:pPr>
            <w:r>
              <w:rPr>
                <w:rFonts w:hint="eastAsia" w:ascii="宋体" w:hAnsi="宋体" w:cs="宋体"/>
                <w:bCs/>
                <w:szCs w:val="21"/>
                <w:highlight w:val="none"/>
                <w:lang w:bidi="ar"/>
              </w:rPr>
              <w:t>项目技术交底和缺陷责任保障服务方案（5分）</w:t>
            </w:r>
          </w:p>
        </w:tc>
        <w:tc>
          <w:tcPr>
            <w:tcW w:w="5928" w:type="dxa"/>
            <w:vAlign w:val="center"/>
          </w:tcPr>
          <w:p>
            <w:pPr>
              <w:adjustRightInd w:val="0"/>
              <w:snapToGrid w:val="0"/>
              <w:spacing w:line="400" w:lineRule="exact"/>
              <w:ind w:firstLine="420" w:firstLineChars="200"/>
              <w:textAlignment w:val="baseline"/>
              <w:rPr>
                <w:rFonts w:ascii="宋体" w:hAnsi="宋体" w:cs="宋体"/>
                <w:bCs/>
                <w:szCs w:val="21"/>
                <w:highlight w:val="none"/>
                <w:lang w:bidi="ar"/>
              </w:rPr>
            </w:pPr>
            <w:r>
              <w:rPr>
                <w:rFonts w:hint="eastAsia" w:ascii="宋体" w:hAnsi="宋体" w:cs="宋体"/>
                <w:bCs/>
                <w:szCs w:val="21"/>
                <w:highlight w:val="none"/>
                <w:lang w:bidi="ar"/>
              </w:rPr>
              <w:t>提供合理可行的项目售后服务技术支持及技术交底服务方案，方案至少包含开发过程文档、需求变更文档、最终版源代码移交，技术交底方式、计划、技术交底质量控制、缺陷责任期响应和修复保障等内容。</w:t>
            </w:r>
          </w:p>
          <w:p>
            <w:pPr>
              <w:adjustRightInd w:val="0"/>
              <w:snapToGrid w:val="0"/>
              <w:spacing w:line="400" w:lineRule="exact"/>
              <w:ind w:firstLine="420" w:firstLineChars="200"/>
              <w:textAlignment w:val="baseline"/>
              <w:rPr>
                <w:rFonts w:ascii="宋体" w:hAnsi="宋体" w:cs="宋体"/>
                <w:kern w:val="0"/>
                <w:szCs w:val="21"/>
                <w:highlight w:val="none"/>
              </w:rPr>
            </w:pPr>
            <w:r>
              <w:rPr>
                <w:rFonts w:hint="eastAsia" w:ascii="宋体" w:hAnsi="宋体" w:cs="宋体"/>
                <w:bCs/>
                <w:szCs w:val="21"/>
                <w:highlight w:val="none"/>
                <w:lang w:bidi="ar"/>
              </w:rPr>
              <w:t>注：方案内容合理性、可行性、完整性较好得5~4分，方案内容合理性、可行性、完整性一般得4~3分，方案内容不合理、可行性不好、完整性差得3~0分。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pPr>
              <w:pStyle w:val="35"/>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pPr>
              <w:pStyle w:val="35"/>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35"/>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35"/>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35"/>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报价人不足三个的，评标委员会应当否决所有投标。但是有效报价人的经济、技术等指标仍然具有市场竞争力，能够满足采购文件要求的，评标委员会可以继续评标并确定中标候选人。 </w:t>
            </w:r>
          </w:p>
          <w:p>
            <w:pPr>
              <w:pStyle w:val="35"/>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6.对技术部分、商务部分、投标总报价得分进行汇总，确定得分由高至低前2名报价人为中标候选人。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报价人得分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报价人得分=投标报价得分+商务部分得分+技术部分得分</w:t>
            </w:r>
          </w:p>
        </w:tc>
      </w:tr>
    </w:tbl>
    <w:p>
      <w:pPr>
        <w:pStyle w:val="9"/>
      </w:pPr>
    </w:p>
    <w:p>
      <w:pPr>
        <w:pStyle w:val="6"/>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pPr>
        <w:pStyle w:val="9"/>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低顺序推荐中标候选人，若出现报价人投标报价相同的，以评标办法前附表约定的原则确定排序。 </w:t>
      </w:r>
    </w:p>
    <w:p>
      <w:pPr>
        <w:pStyle w:val="6"/>
        <w:spacing w:before="56"/>
        <w:rPr>
          <w:rFonts w:ascii="宋体" w:hAnsi="宋体" w:eastAsia="宋体" w:cs="宋体"/>
          <w:kern w:val="2"/>
          <w:sz w:val="21"/>
          <w:szCs w:val="21"/>
        </w:rPr>
      </w:pPr>
      <w:bookmarkStart w:id="127" w:name="2._评审标准"/>
      <w:bookmarkEnd w:id="127"/>
      <w:r>
        <w:rPr>
          <w:rFonts w:hint="eastAsia" w:ascii="宋体" w:hAnsi="宋体" w:eastAsia="宋体" w:cs="宋体"/>
          <w:kern w:val="2"/>
          <w:sz w:val="21"/>
          <w:szCs w:val="21"/>
        </w:rPr>
        <w:t xml:space="preserve">2. 评审标准 </w:t>
      </w:r>
    </w:p>
    <w:p>
      <w:pPr>
        <w:spacing w:before="156"/>
        <w:ind w:left="106"/>
        <w:rPr>
          <w:rFonts w:ascii="宋体" w:hAnsi="宋体" w:cs="宋体"/>
          <w:szCs w:val="21"/>
        </w:rPr>
      </w:pPr>
      <w:bookmarkStart w:id="128" w:name="2.1_初步评审标准"/>
      <w:bookmarkEnd w:id="128"/>
      <w:r>
        <w:rPr>
          <w:rFonts w:hint="eastAsia" w:ascii="宋体" w:hAnsi="宋体" w:cs="宋体"/>
          <w:szCs w:val="21"/>
        </w:rPr>
        <w:t xml:space="preserve">2.1 初步评审标准 </w:t>
      </w:r>
    </w:p>
    <w:p>
      <w:pPr>
        <w:pStyle w:val="9"/>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29" w:name="2.2_分值构成与评分标准"/>
      <w:bookmarkEnd w:id="129"/>
      <w:r>
        <w:rPr>
          <w:rFonts w:hint="eastAsia" w:ascii="宋体" w:hAnsi="宋体" w:cs="宋体"/>
          <w:caps/>
          <w:szCs w:val="21"/>
        </w:rPr>
        <w:t xml:space="preserve">2.2 分值构成与评分标准 </w:t>
      </w:r>
    </w:p>
    <w:p>
      <w:pPr>
        <w:pStyle w:val="9"/>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9"/>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pPr>
        <w:pStyle w:val="9"/>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pPr>
        <w:pStyle w:val="9"/>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6"/>
        <w:spacing w:before="54"/>
        <w:rPr>
          <w:rFonts w:ascii="宋体" w:hAnsi="宋体" w:eastAsia="宋体" w:cs="宋体"/>
          <w:caps/>
          <w:kern w:val="2"/>
          <w:sz w:val="21"/>
          <w:szCs w:val="21"/>
        </w:rPr>
      </w:pPr>
      <w:bookmarkStart w:id="130" w:name="3._评标程序"/>
      <w:bookmarkEnd w:id="130"/>
      <w:r>
        <w:rPr>
          <w:rFonts w:hint="eastAsia" w:ascii="宋体" w:hAnsi="宋体" w:eastAsia="宋体" w:cs="宋体"/>
          <w:caps/>
          <w:kern w:val="2"/>
          <w:sz w:val="21"/>
          <w:szCs w:val="21"/>
        </w:rPr>
        <w:t xml:space="preserve">3. 评标程序 </w:t>
      </w:r>
    </w:p>
    <w:p>
      <w:pPr>
        <w:spacing w:before="157"/>
        <w:ind w:left="106"/>
        <w:rPr>
          <w:rFonts w:ascii="宋体" w:hAnsi="宋体" w:cs="宋体"/>
          <w:caps/>
          <w:szCs w:val="21"/>
        </w:rPr>
      </w:pPr>
      <w:bookmarkStart w:id="131" w:name="3.1_初步评审"/>
      <w:bookmarkEnd w:id="131"/>
      <w:r>
        <w:rPr>
          <w:rFonts w:hint="eastAsia" w:ascii="宋体" w:hAnsi="宋体" w:cs="宋体"/>
          <w:caps/>
          <w:szCs w:val="21"/>
        </w:rPr>
        <w:t xml:space="preserve">3.1 初步评审 </w:t>
      </w:r>
    </w:p>
    <w:p>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pPr>
        <w:pStyle w:val="9"/>
        <w:spacing w:before="32"/>
        <w:ind w:left="526"/>
        <w:rPr>
          <w:rFonts w:ascii="宋体" w:hAnsi="宋体" w:cs="宋体"/>
          <w:caps/>
          <w:kern w:val="2"/>
          <w:sz w:val="21"/>
          <w:szCs w:val="21"/>
        </w:rPr>
      </w:pPr>
      <w:r>
        <w:rPr>
          <w:rFonts w:hint="eastAsia" w:ascii="宋体" w:hAnsi="宋体" w:cs="宋体"/>
          <w:caps/>
          <w:kern w:val="2"/>
          <w:sz w:val="21"/>
          <w:szCs w:val="21"/>
        </w:rPr>
        <w:t xml:space="preserve">3.1.2 报价人有以下情形之一的，其投标作否决投标处理： </w:t>
      </w:r>
    </w:p>
    <w:p>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（1）第二章“报价人须知”第1.4.3项规定的任何一种情形的；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pPr>
        <w:pStyle w:val="9"/>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投标报价有算术错误的，评标委员会按以下原则对投标报价进行修正，修正的价格经报价人 书面确认后具有约束力，修正原则如下： </w:t>
      </w:r>
    </w:p>
    <w:p>
      <w:pPr>
        <w:pStyle w:val="9"/>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9"/>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pPr>
        <w:spacing w:before="169"/>
        <w:ind w:left="106"/>
        <w:rPr>
          <w:rFonts w:ascii="宋体" w:hAnsi="宋体" w:cs="宋体"/>
          <w:caps/>
          <w:szCs w:val="21"/>
        </w:rPr>
      </w:pPr>
      <w:bookmarkStart w:id="132" w:name="3.2_详细评审"/>
      <w:bookmarkEnd w:id="132"/>
      <w:r>
        <w:rPr>
          <w:rFonts w:hint="eastAsia" w:ascii="宋体" w:hAnsi="宋体" w:cs="宋体"/>
          <w:caps/>
          <w:szCs w:val="21"/>
        </w:rPr>
        <w:t xml:space="preserve">3.2 详细评审 </w:t>
      </w:r>
    </w:p>
    <w:p>
      <w:pPr>
        <w:pStyle w:val="9"/>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pPr>
        <w:pStyle w:val="9"/>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（1）按本章第3.3目规定的评审因素和分值对技术部分计算出得分A（所有评委打分中去掉一个最高和一个最低分，余下评委打分取算术平均值为该报价人技术部分得分。） </w:t>
      </w:r>
    </w:p>
    <w:p>
      <w:pPr>
        <w:pStyle w:val="9"/>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3.2.3  报价人得分=A+B+C。 </w:t>
      </w:r>
    </w:p>
    <w:p>
      <w:pPr>
        <w:spacing w:before="1"/>
        <w:rPr>
          <w:rFonts w:ascii="宋体" w:hAnsi="宋体" w:cs="宋体"/>
          <w:caps/>
          <w:szCs w:val="21"/>
        </w:rPr>
      </w:pPr>
    </w:p>
    <w:p>
      <w:pPr>
        <w:ind w:left="106"/>
        <w:rPr>
          <w:rFonts w:ascii="宋体" w:hAnsi="宋体" w:cs="宋体"/>
          <w:caps/>
          <w:szCs w:val="21"/>
        </w:rPr>
      </w:pPr>
      <w:bookmarkStart w:id="133" w:name="3.3_投标文件的澄清和补正"/>
      <w:bookmarkEnd w:id="133"/>
      <w:r>
        <w:rPr>
          <w:rFonts w:hint="eastAsia" w:ascii="宋体" w:hAnsi="宋体" w:cs="宋体"/>
          <w:caps/>
          <w:szCs w:val="21"/>
        </w:rPr>
        <w:t xml:space="preserve">3.3 投标文件的澄清和补正 </w:t>
      </w:r>
    </w:p>
    <w:p>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在评标过程中，评标委员会可以书面形式要求报价人对所提交投标文件中不明确的内容进行 书面澄清或说明，或者对细微偏差进行补正。评标委员会不接受报价人主动提出的澄清、说明或补正。 </w:t>
      </w:r>
    </w:p>
    <w:p>
      <w:pPr>
        <w:pStyle w:val="9"/>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澄清、说明和补正不得改变投标文件的实质性内容（算术性错误修正的除外）。报价人的书 面澄清、说明和补正属于投标文件的组成部分。 </w:t>
      </w:r>
    </w:p>
    <w:p>
      <w:pPr>
        <w:pStyle w:val="9"/>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评标委员会对报价人提交的澄清、说明或补正有疑问的，可以要求报价人进一步澄清、说明或补正，直至满足评标委员会的要求。 </w:t>
      </w:r>
    </w:p>
    <w:p>
      <w:pPr>
        <w:spacing w:before="68"/>
        <w:ind w:left="106"/>
        <w:rPr>
          <w:rFonts w:ascii="宋体" w:hAnsi="宋体" w:cs="宋体"/>
          <w:caps/>
          <w:szCs w:val="21"/>
        </w:rPr>
      </w:pPr>
      <w:bookmarkStart w:id="134" w:name="3.4_评标结果"/>
      <w:bookmarkEnd w:id="134"/>
      <w:r>
        <w:rPr>
          <w:rFonts w:hint="eastAsia" w:ascii="宋体" w:hAnsi="宋体" w:cs="宋体"/>
          <w:caps/>
          <w:szCs w:val="21"/>
        </w:rPr>
        <w:t xml:space="preserve">3.4 评标结果 </w:t>
      </w:r>
    </w:p>
    <w:p>
      <w:pPr>
        <w:pStyle w:val="9"/>
        <w:spacing w:before="76" w:line="355" w:lineRule="auto"/>
        <w:ind w:firstLine="420"/>
        <w:rPr>
          <w:rFonts w:ascii="宋体" w:hAnsi="宋体" w:cs="宋体"/>
          <w:caps/>
          <w:kern w:val="2"/>
          <w:sz w:val="21"/>
          <w:szCs w:val="21"/>
        </w:rPr>
      </w:pPr>
      <w:r>
        <w:rPr>
          <w:rFonts w:hint="eastAsia" w:ascii="宋体" w:hAnsi="宋体" w:cs="宋体"/>
          <w:caps/>
          <w:kern w:val="2"/>
          <w:sz w:val="21"/>
          <w:szCs w:val="21"/>
        </w:rPr>
        <w:t xml:space="preserve">3.4.1 除第二章“报价人须知”前附表授权直接确定中标人外，评标委员会按照得分由高到低的顺 序推荐中标候选人。 </w:t>
      </w:r>
    </w:p>
    <w:p>
      <w:pPr>
        <w:rPr>
          <w:color w:val="000000" w:themeColor="text1"/>
          <w14:textFill>
            <w14:solidFill>
              <w14:schemeClr w14:val="tx1"/>
            </w14:solidFill>
          </w14:textFill>
        </w:rPr>
      </w:pPr>
      <w:r>
        <w:rPr>
          <w:rFonts w:hint="eastAsia" w:ascii="宋体" w:hAnsi="宋体" w:cs="宋体"/>
          <w:szCs w:val="21"/>
        </w:rPr>
        <w:t>3.4.2 评标委员会完成评标后，应当向采购人提交书面评标报告。</w:t>
      </w:r>
    </w:p>
    <w:p>
      <w:pPr>
        <w:rPr>
          <w:rFonts w:ascii="宋体" w:hAnsi="宋体" w:cs="宋体"/>
          <w:color w:val="000000" w:themeColor="text1"/>
          <w14:textFill>
            <w14:solidFill>
              <w14:schemeClr w14:val="tx1"/>
            </w14:solidFill>
          </w14:textFill>
        </w:rPr>
      </w:pPr>
    </w:p>
    <w:p>
      <w:pPr>
        <w:pStyle w:val="1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5" w:name="_Toc13787"/>
      <w:r>
        <w:rPr>
          <w:rStyle w:val="33"/>
          <w:rFonts w:hint="eastAsia"/>
          <w:b/>
          <w:bCs/>
          <w:color w:val="000000" w:themeColor="text1"/>
          <w14:textFill>
            <w14:solidFill>
              <w14:schemeClr w14:val="tx1"/>
            </w14:solidFill>
          </w14:textFill>
        </w:rPr>
        <w:t>第四章 报价说明</w:t>
      </w:r>
      <w:bookmarkEnd w:id="135"/>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1、工程量清单应与本项目竞争性比选文件、技术标准和要求等文件结合起来查阅与理解。</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税率为6%）等完成本项目的一切费用（即人工费、材料设备、安装和调试费、差旅费、交通费、车辆通行费、、竣工资料编制、竣工验收、保险、综合费等），以及竞争性比选文件中明示或暗示的的所有责任、义务和一般风险。</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3、报价人应结合现场实际和现在的市场情况、自身技术及管理水平、经营状况、机械设备及制定的方案的要求自行报价，该报价不低于报价人完成该项目的成本。</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5、工程量清单中所列工程量的变动，丝毫不会降低或影响合同条款的效力，也不免除报价人按规定的标准进行作业和修复缺陷的责任。</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项目费用的汇总。</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14、报价人应严格按照工程量清单进行报价，不得随意修改采购人发布的工程量清单数量、公式及相关内容。</w:t>
      </w:r>
    </w:p>
    <w:p>
      <w:pPr>
        <w:pStyle w:val="16"/>
        <w:spacing w:line="440" w:lineRule="exact"/>
        <w:ind w:firstLine="420" w:firstLineChars="200"/>
        <w:rPr>
          <w:rFonts w:ascii="Times New Roman" w:hAnsi="Times New Roman"/>
          <w:b w:val="0"/>
          <w:bCs w:val="0"/>
          <w:caps w:val="0"/>
          <w:color w:val="000000" w:themeColor="text1"/>
          <w:sz w:val="21"/>
          <w:szCs w:val="24"/>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ascii="宋体" w:hAnsi="宋体" w:cs="宋体"/>
          <w:color w:val="000000" w:themeColor="text1"/>
          <w14:textFill>
            <w14:solidFill>
              <w14:schemeClr w14:val="tx1"/>
            </w14:solidFill>
          </w14:textFill>
        </w:rPr>
      </w:pPr>
      <w:bookmarkStart w:id="136" w:name="_Toc514858705"/>
      <w:bookmarkStart w:id="137" w:name="_Toc144974834"/>
      <w:bookmarkStart w:id="138" w:name="_Toc24503"/>
      <w:bookmarkStart w:id="139" w:name="_Toc179632789"/>
      <w:bookmarkStart w:id="140" w:name="_Toc246996340"/>
      <w:bookmarkStart w:id="141" w:name="_Toc247085855"/>
      <w:bookmarkStart w:id="142" w:name="_Toc152042554"/>
      <w:bookmarkStart w:id="143" w:name="_Toc246997083"/>
      <w:bookmarkStart w:id="144" w:name="_Toc152045772"/>
      <w:bookmarkStart w:id="145" w:name="_Toc2000409"/>
      <w:bookmarkStart w:id="146" w:name="_Toc144974855"/>
      <w:bookmarkStart w:id="147" w:name="_Toc246997097"/>
      <w:bookmarkStart w:id="148" w:name="_Toc152045786"/>
      <w:bookmarkStart w:id="149" w:name="_Toc246996354"/>
      <w:bookmarkStart w:id="150" w:name="_Toc179632806"/>
      <w:bookmarkStart w:id="151" w:name="_Toc152042575"/>
      <w:bookmarkStart w:id="152" w:name="_Toc247085872"/>
      <w:r>
        <w:rPr>
          <w:rFonts w:hint="eastAsia" w:ascii="宋体" w:hAnsi="宋体" w:cs="宋体"/>
          <w:color w:val="000000" w:themeColor="text1"/>
          <w14:textFill>
            <w14:solidFill>
              <w14:schemeClr w14:val="tx1"/>
            </w14:solidFill>
          </w14:textFill>
        </w:rPr>
        <w:t>第五章  工程量清单</w:t>
      </w:r>
      <w:bookmarkEnd w:id="136"/>
      <w:bookmarkEnd w:id="137"/>
      <w:bookmarkEnd w:id="138"/>
      <w:bookmarkEnd w:id="139"/>
      <w:bookmarkEnd w:id="140"/>
      <w:bookmarkEnd w:id="141"/>
      <w:bookmarkEnd w:id="142"/>
      <w:bookmarkEnd w:id="143"/>
      <w:bookmarkEnd w:id="144"/>
      <w:bookmarkEnd w:id="145"/>
    </w:p>
    <w:p>
      <w:pPr>
        <w:ind w:firstLine="420"/>
        <w:jc w:val="left"/>
        <w:rPr>
          <w:rFonts w:ascii="宋体" w:hAnsi="宋体" w:cs="宋体"/>
          <w:b/>
          <w:color w:val="000000" w:themeColor="text1"/>
          <w14:textFill>
            <w14:solidFill>
              <w14:schemeClr w14:val="tx1"/>
            </w14:solidFill>
          </w14:textFill>
        </w:rPr>
      </w:pPr>
      <w:bookmarkStart w:id="153" w:name="_Toc247085866"/>
      <w:bookmarkStart w:id="154" w:name="_Toc246997093"/>
      <w:bookmarkStart w:id="155" w:name="_Toc246996350"/>
      <w:bookmarkStart w:id="156" w:name="_Toc152042571"/>
      <w:bookmarkStart w:id="157" w:name="_Toc144974851"/>
      <w:bookmarkStart w:id="158" w:name="_Toc152045782"/>
      <w:bookmarkStart w:id="159" w:name="_Toc247096438"/>
      <w:bookmarkStart w:id="160" w:name="_Toc179632800"/>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ascii="宋体" w:hAnsi="宋体" w:cs="宋体"/>
          <w:color w:val="000000" w:themeColor="text1"/>
          <w14:textFill>
            <w14:solidFill>
              <w14:schemeClr w14:val="tx1"/>
            </w14:solidFill>
          </w14:textFill>
        </w:rPr>
      </w:pPr>
      <w:bookmarkStart w:id="161" w:name="_Toc514858706"/>
      <w:bookmarkStart w:id="162" w:name="_Toc447827048"/>
      <w:bookmarkStart w:id="163" w:name="_Toc513633963"/>
      <w:bookmarkStart w:id="164" w:name="_Toc12440"/>
      <w:bookmarkStart w:id="165" w:name="_Toc2000410"/>
      <w:bookmarkStart w:id="166" w:name="_Toc503951042"/>
      <w:r>
        <w:rPr>
          <w:rFonts w:hint="eastAsia" w:ascii="宋体" w:hAnsi="宋体" w:cs="宋体"/>
          <w:color w:val="000000" w:themeColor="text1"/>
          <w14:textFill>
            <w14:solidFill>
              <w14:schemeClr w14:val="tx1"/>
            </w14:solidFill>
          </w14:textFill>
        </w:rPr>
        <w:t>第六章  图  纸</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jc w:val="center"/>
        <w:rPr>
          <w:rFonts w:ascii="宋体" w:hAnsi="宋体" w:cs="宋体"/>
          <w:b/>
          <w:color w:val="000000" w:themeColor="text1"/>
          <w14:textFill>
            <w14:solidFill>
              <w14:schemeClr w14:val="tx1"/>
            </w14:solidFill>
          </w14:textFill>
        </w:rPr>
      </w:pPr>
      <w:r>
        <w:rPr>
          <w:rFonts w:hint="eastAsia" w:ascii="宋体" w:hAnsi="宋体" w:cs="宋体"/>
          <w:b/>
          <w:kern w:val="0"/>
          <w:sz w:val="24"/>
        </w:rPr>
        <w:t>无。</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7" w:name="_Toc152045785"/>
      <w:bookmarkStart w:id="168" w:name="_Toc144974854"/>
      <w:bookmarkStart w:id="169" w:name="_Toc152042574"/>
    </w:p>
    <w:p>
      <w:pPr>
        <w:pStyle w:val="2"/>
        <w:numPr>
          <w:ilvl w:val="0"/>
          <w:numId w:val="4"/>
        </w:numPr>
        <w:spacing w:before="0" w:after="0" w:line="360" w:lineRule="auto"/>
        <w:jc w:val="center"/>
        <w:rPr>
          <w:rFonts w:ascii="宋体" w:hAnsi="宋体" w:cs="宋体"/>
          <w:color w:val="000000" w:themeColor="text1"/>
          <w:highlight w:val="none"/>
          <w14:textFill>
            <w14:solidFill>
              <w14:schemeClr w14:val="tx1"/>
            </w14:solidFill>
          </w14:textFill>
        </w:rPr>
      </w:pPr>
      <w:bookmarkStart w:id="170" w:name="_Toc179632804"/>
      <w:bookmarkStart w:id="171" w:name="_Toc447827049"/>
      <w:bookmarkStart w:id="172" w:name="_Toc514858707"/>
      <w:bookmarkStart w:id="173" w:name="_Toc246997096"/>
      <w:bookmarkStart w:id="174" w:name="_Toc503951043"/>
      <w:bookmarkStart w:id="175" w:name="_Toc246996353"/>
      <w:bookmarkStart w:id="176" w:name="_Toc2000411"/>
      <w:bookmarkStart w:id="177" w:name="_Toc247085870"/>
      <w:bookmarkStart w:id="178" w:name="_Toc513633964"/>
      <w:bookmarkStart w:id="179" w:name="_Toc10887"/>
      <w:r>
        <w:rPr>
          <w:rFonts w:hint="eastAsia" w:ascii="宋体" w:hAnsi="宋体" w:cs="宋体"/>
          <w:color w:val="000000" w:themeColor="text1"/>
          <w:highlight w:val="none"/>
          <w14:textFill>
            <w14:solidFill>
              <w14:schemeClr w14:val="tx1"/>
            </w14:solidFill>
          </w14:textFill>
        </w:rPr>
        <w:t xml:space="preserve"> 技术标准和工作要求</w:t>
      </w:r>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3"/>
        <w:bidi w:val="0"/>
        <w:rPr>
          <w:rFonts w:hint="eastAsia"/>
          <w:lang w:val="en-US" w:eastAsia="zh-CN"/>
        </w:rPr>
      </w:pPr>
      <w:r>
        <w:rPr>
          <w:rFonts w:hint="eastAsia"/>
          <w:lang w:val="en-US" w:eastAsia="zh-CN"/>
        </w:rPr>
        <w:t>1技术标准：</w:t>
      </w:r>
    </w:p>
    <w:p>
      <w:pPr>
        <w:pStyle w:val="42"/>
        <w:numPr>
          <w:ilvl w:val="1"/>
          <w:numId w:val="1"/>
        </w:numPr>
        <w:bidi w:val="0"/>
        <w:ind w:left="0" w:leftChars="0" w:firstLine="0" w:firstLineChars="0"/>
      </w:pPr>
      <w:r>
        <w:rPr>
          <w:rFonts w:hint="eastAsia"/>
          <w:lang w:val="en-US" w:eastAsia="zh-CN"/>
        </w:rPr>
        <w:t>H5手机端</w:t>
      </w:r>
    </w:p>
    <w:p>
      <w:pPr>
        <w:pStyle w:val="34"/>
        <w:numPr>
          <w:ilvl w:val="0"/>
          <w:numId w:val="0"/>
        </w:numPr>
        <w:rPr>
          <w:rFonts w:hint="default"/>
          <w:lang w:val="en-US" w:eastAsia="zh-CN"/>
        </w:rPr>
      </w:pPr>
      <w:r>
        <w:rPr>
          <w:rFonts w:hint="eastAsia"/>
          <w:lang w:val="en-US" w:eastAsia="zh-CN"/>
        </w:rPr>
        <w:t>随着办公的移动化，因此物资采购平台需要将部分功能实现手机上审阅，需要开发手机端可用H5页面，并嵌入集团办公app。</w:t>
      </w:r>
    </w:p>
    <w:p>
      <w:pPr>
        <w:pStyle w:val="42"/>
        <w:numPr>
          <w:ilvl w:val="1"/>
          <w:numId w:val="1"/>
        </w:numPr>
        <w:bidi w:val="0"/>
        <w:ind w:left="0" w:leftChars="0" w:firstLine="0" w:firstLineChars="0"/>
      </w:pPr>
      <w:r>
        <w:rPr>
          <w:rFonts w:hint="eastAsia"/>
          <w:lang w:val="en-US" w:eastAsia="zh-CN"/>
        </w:rPr>
        <w:t>系统对接</w:t>
      </w:r>
    </w:p>
    <w:p>
      <w:pPr>
        <w:pStyle w:val="34"/>
        <w:numPr>
          <w:ilvl w:val="0"/>
          <w:numId w:val="0"/>
        </w:numPr>
        <w:rPr>
          <w:rFonts w:hint="eastAsia"/>
          <w:lang w:val="en-US" w:eastAsia="zh-CN"/>
        </w:rPr>
      </w:pPr>
      <w:r>
        <w:rPr>
          <w:rFonts w:hint="eastAsia"/>
          <w:lang w:val="en-US" w:eastAsia="zh-CN"/>
        </w:rPr>
        <w:t>随着物资采购平台推广使用的范围扩大，需要将物资管理平台同上级管理部门的系统进行对接及同集团公司内相关子公司的业务系统进行对接，对接具体信息如下：数字监督系统、</w:t>
      </w:r>
      <w:r>
        <w:rPr>
          <w:rFonts w:hint="default"/>
          <w:lang w:val="en-US" w:eastAsia="zh-CN"/>
        </w:rPr>
        <w:t>资产管理系统</w:t>
      </w:r>
      <w:r>
        <w:rPr>
          <w:rFonts w:hint="eastAsia"/>
          <w:lang w:val="en-US" w:eastAsia="zh-CN"/>
        </w:rPr>
        <w:t>、</w:t>
      </w:r>
      <w:r>
        <w:rPr>
          <w:rFonts w:hint="default"/>
          <w:lang w:val="en-US" w:eastAsia="zh-CN"/>
        </w:rPr>
        <w:t>通力项目管理系统</w:t>
      </w:r>
      <w:r>
        <w:rPr>
          <w:rFonts w:hint="eastAsia"/>
          <w:lang w:val="en-US" w:eastAsia="zh-CN"/>
        </w:rPr>
        <w:t>、</w:t>
      </w:r>
      <w:r>
        <w:rPr>
          <w:rFonts w:hint="default"/>
          <w:lang w:val="en-US" w:eastAsia="zh-CN"/>
        </w:rPr>
        <w:t>首讯项目管理系统</w:t>
      </w:r>
      <w:r>
        <w:rPr>
          <w:rFonts w:hint="eastAsia"/>
          <w:lang w:val="en-US" w:eastAsia="zh-CN"/>
        </w:rPr>
        <w:t>、通力数字养护站系统、国资监管系统、合同相关系统等。</w:t>
      </w:r>
    </w:p>
    <w:p>
      <w:pPr>
        <w:pStyle w:val="34"/>
        <w:numPr>
          <w:ilvl w:val="0"/>
          <w:numId w:val="0"/>
        </w:numPr>
        <w:rPr>
          <w:rFonts w:hint="eastAsia"/>
          <w:lang w:val="en-US" w:eastAsia="zh-CN"/>
        </w:rPr>
      </w:pPr>
      <w:r>
        <w:rPr>
          <w:rFonts w:hint="eastAsia"/>
          <w:lang w:val="en-US" w:eastAsia="zh-CN"/>
        </w:rPr>
        <w:t>资产系统：物资采购平台获取资产管理系统中的【需用申请】数据，选择该数据在物资采购平台进行下单，通过需用申请采购量与物资采购平台下单量进行对比，直至该申请量用完位为止；物资采购平台下单后在资产管理系统中自动生成【采购申请】数据，后续资产管理系统中【开箱验收】后物资采购平台【订单收货】才能进行收货。</w:t>
      </w:r>
    </w:p>
    <w:p>
      <w:pPr>
        <w:pStyle w:val="34"/>
        <w:numPr>
          <w:ilvl w:val="0"/>
          <w:numId w:val="0"/>
        </w:numPr>
        <w:rPr>
          <w:rFonts w:hint="eastAsia"/>
          <w:lang w:val="en-US" w:eastAsia="zh-CN"/>
        </w:rPr>
      </w:pPr>
      <w:r>
        <w:rPr>
          <w:rFonts w:hint="eastAsia"/>
          <w:lang w:val="en-US" w:eastAsia="zh-CN"/>
        </w:rPr>
        <w:t>项目管理系统对接：采购过程数据共享；</w:t>
      </w:r>
    </w:p>
    <w:p>
      <w:pPr>
        <w:pStyle w:val="34"/>
        <w:numPr>
          <w:ilvl w:val="0"/>
          <w:numId w:val="0"/>
        </w:numPr>
        <w:rPr>
          <w:rFonts w:hint="eastAsia"/>
          <w:lang w:val="en-US" w:eastAsia="zh-CN"/>
        </w:rPr>
      </w:pPr>
      <w:r>
        <w:rPr>
          <w:rFonts w:hint="eastAsia"/>
          <w:lang w:val="en-US" w:eastAsia="zh-CN"/>
        </w:rPr>
        <w:t>数字监督系统：集团要求风险点预警功能展示和推送；</w:t>
      </w:r>
    </w:p>
    <w:p>
      <w:pPr>
        <w:pStyle w:val="34"/>
        <w:numPr>
          <w:ilvl w:val="0"/>
          <w:numId w:val="0"/>
        </w:numPr>
        <w:rPr>
          <w:rFonts w:hint="eastAsia"/>
          <w:lang w:val="en-US" w:eastAsia="zh-CN"/>
        </w:rPr>
      </w:pPr>
      <w:r>
        <w:rPr>
          <w:rFonts w:hint="eastAsia"/>
          <w:lang w:val="en-US" w:eastAsia="zh-CN"/>
        </w:rPr>
        <w:t>合同相关：关联采购合同并支持手动录入合同进行关联。</w:t>
      </w:r>
    </w:p>
    <w:p>
      <w:pPr>
        <w:pStyle w:val="34"/>
        <w:numPr>
          <w:ilvl w:val="0"/>
          <w:numId w:val="0"/>
        </w:numPr>
        <w:rPr>
          <w:rFonts w:hint="eastAsia"/>
          <w:lang w:val="en-US" w:eastAsia="zh-CN"/>
        </w:rPr>
      </w:pPr>
      <w:r>
        <w:rPr>
          <w:rFonts w:hint="eastAsia"/>
          <w:lang w:val="en-US" w:eastAsia="zh-CN"/>
        </w:rPr>
        <w:t>国资监管系统对接：根据国资接口按规则推送采购全过程数据至国资系统。</w:t>
      </w:r>
    </w:p>
    <w:p>
      <w:pPr>
        <w:pStyle w:val="34"/>
        <w:numPr>
          <w:ilvl w:val="0"/>
          <w:numId w:val="0"/>
        </w:numPr>
        <w:rPr>
          <w:rFonts w:hint="default"/>
          <w:lang w:val="en-US" w:eastAsia="zh-CN"/>
        </w:rPr>
      </w:pPr>
    </w:p>
    <w:p>
      <w:pPr>
        <w:pStyle w:val="42"/>
        <w:numPr>
          <w:ilvl w:val="1"/>
          <w:numId w:val="1"/>
        </w:numPr>
        <w:bidi w:val="0"/>
        <w:ind w:left="0" w:leftChars="0" w:firstLine="0" w:firstLineChars="0"/>
      </w:pPr>
      <w:r>
        <w:rPr>
          <w:rFonts w:hint="eastAsia"/>
          <w:lang w:val="en-US" w:eastAsia="zh-CN"/>
        </w:rPr>
        <w:t>统计报表</w:t>
      </w:r>
    </w:p>
    <w:p>
      <w:pPr>
        <w:pStyle w:val="34"/>
        <w:numPr>
          <w:ilvl w:val="0"/>
          <w:numId w:val="0"/>
        </w:numPr>
        <w:ind w:firstLine="210" w:firstLineChars="100"/>
        <w:rPr>
          <w:rFonts w:hint="default"/>
          <w:lang w:val="en-US" w:eastAsia="zh-CN"/>
        </w:rPr>
      </w:pPr>
      <w:r>
        <w:rPr>
          <w:rFonts w:hint="eastAsia"/>
          <w:lang w:val="en-US" w:eastAsia="zh-CN"/>
        </w:rPr>
        <w:t xml:space="preserve">  根据管理要求，需要在一期报表的基础上，新增建设如下报表：物资采购情况统计表、物资采购明细汇总表、单笔5万以上明细表、同一供应商年度累计5万以上明细表、非平台采购明细表、平台采购明细表。</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统计报表优化：</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（1）物资采购情况统计表：每个公司看自己的表，集团看总表见备注。</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（2）物资采购明细汇总表：集团+公司</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（3）单笔5万以上明细表</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（4）同一供应商年度累计5万以上明细表</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（5）非平台采购明细表</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（6）平台采购明细表</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*组织树，集团—集团本部/各个公司</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*总表（1）可下穿</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*表23456均要有合计行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*表1 采购总额列=表 2、3、4 合计金额</w:t>
      </w:r>
    </w:p>
    <w:p>
      <w:pPr>
        <w:pStyle w:val="34"/>
        <w:numPr>
          <w:ilvl w:val="0"/>
          <w:numId w:val="0"/>
        </w:numPr>
        <w:ind w:firstLine="210" w:firstLineChars="100"/>
        <w:rPr>
          <w:rFonts w:hint="eastAsia"/>
          <w:lang w:val="en-US" w:eastAsia="zh-CN"/>
        </w:rPr>
      </w:pPr>
      <w:r>
        <w:rPr>
          <w:rFonts w:hint="eastAsia" w:ascii="宋体" w:hAnsi="宋体" w:eastAsia="宋体" w:cs="宋体"/>
          <w:b w:val="0"/>
          <w:bCs w:val="0"/>
          <w:lang w:val="en-US" w:eastAsia="zh-CN"/>
        </w:rPr>
        <w:t>*采购次数默认填1</w:t>
      </w:r>
    </w:p>
    <w:p>
      <w:pPr>
        <w:pStyle w:val="34"/>
        <w:numPr>
          <w:ilvl w:val="0"/>
          <w:numId w:val="0"/>
        </w:numPr>
        <w:ind w:firstLine="210" w:firstLineChars="100"/>
        <w:rPr>
          <w:rFonts w:hint="default"/>
          <w:lang w:val="en-US" w:eastAsia="zh-CN"/>
        </w:rPr>
      </w:pPr>
      <w:r>
        <w:rPr>
          <w:rFonts w:hint="eastAsia"/>
          <w:lang w:val="en-US" w:eastAsia="zh-CN"/>
        </w:rPr>
        <w:t>此外，还需开发静态数据统计表录入展示，改造统计菜单。</w:t>
      </w:r>
    </w:p>
    <w:p>
      <w:pPr>
        <w:rPr>
          <w:rFonts w:hint="eastAsia" w:ascii="宋体" w:hAnsi="宋体" w:eastAsia="宋体" w:cs="宋体"/>
          <w:b w:val="0"/>
          <w:bCs w:val="0"/>
          <w:lang w:val="en-US" w:eastAsia="zh-CN"/>
        </w:rPr>
      </w:pPr>
    </w:p>
    <w:p>
      <w:pPr>
        <w:pStyle w:val="3"/>
        <w:numPr>
          <w:ilvl w:val="0"/>
          <w:numId w:val="0"/>
        </w:numPr>
        <w:bidi w:val="0"/>
        <w:rPr>
          <w:rFonts w:hint="eastAsia"/>
          <w:lang w:val="en-US" w:eastAsia="zh-CN"/>
        </w:rPr>
      </w:pPr>
      <w:r>
        <w:rPr>
          <w:rFonts w:hint="eastAsia"/>
          <w:lang w:val="en-US" w:eastAsia="zh-CN"/>
        </w:rPr>
        <w:t>2工作要求：</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kern w:val="2"/>
          <w:sz w:val="21"/>
          <w:szCs w:val="21"/>
        </w:rPr>
        <w:tab/>
      </w:r>
      <w:r>
        <w:rPr>
          <w:rFonts w:hint="eastAsia" w:ascii="宋体" w:hAnsi="宋体" w:eastAsia="宋体" w:cs="宋体"/>
          <w:kern w:val="2"/>
          <w:sz w:val="21"/>
          <w:szCs w:val="21"/>
        </w:rPr>
        <w:t>身份认证应根据信息系统的重要程度按照网络安全等级保护制度合理使用认证方式。</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rPr>
        <w:tab/>
      </w:r>
      <w:r>
        <w:rPr>
          <w:rFonts w:hint="eastAsia" w:ascii="宋体" w:hAnsi="宋体" w:eastAsia="宋体" w:cs="宋体"/>
          <w:kern w:val="2"/>
          <w:sz w:val="21"/>
          <w:szCs w:val="21"/>
        </w:rPr>
        <w:t>系统应具有防密码爆破功能。</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(3)</w:t>
      </w:r>
      <w:r>
        <w:rPr>
          <w:rFonts w:hint="eastAsia" w:ascii="宋体" w:hAnsi="宋体" w:eastAsia="宋体" w:cs="宋体"/>
          <w:kern w:val="2"/>
          <w:sz w:val="21"/>
          <w:szCs w:val="21"/>
        </w:rPr>
        <w:tab/>
      </w:r>
      <w:r>
        <w:rPr>
          <w:rFonts w:hint="eastAsia" w:ascii="宋体" w:hAnsi="宋体" w:eastAsia="宋体" w:cs="宋体"/>
          <w:kern w:val="2"/>
          <w:sz w:val="21"/>
          <w:szCs w:val="21"/>
        </w:rPr>
        <w:t>信息系统应具有弱密码检查和禁用功能。</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(4)</w:t>
      </w:r>
      <w:r>
        <w:rPr>
          <w:rFonts w:hint="eastAsia" w:ascii="宋体" w:hAnsi="宋体" w:eastAsia="宋体" w:cs="宋体"/>
          <w:kern w:val="2"/>
          <w:sz w:val="21"/>
          <w:szCs w:val="21"/>
        </w:rPr>
        <w:tab/>
      </w:r>
      <w:r>
        <w:rPr>
          <w:rFonts w:hint="eastAsia" w:ascii="宋体" w:hAnsi="宋体" w:eastAsia="宋体" w:cs="宋体"/>
          <w:kern w:val="2"/>
          <w:sz w:val="21"/>
          <w:szCs w:val="21"/>
        </w:rPr>
        <w:t>信息系统权限授权颗粒度应遵循最小化授权原则。</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(5)</w:t>
      </w:r>
      <w:r>
        <w:rPr>
          <w:rFonts w:hint="eastAsia" w:ascii="宋体" w:hAnsi="宋体" w:eastAsia="宋体" w:cs="宋体"/>
          <w:kern w:val="2"/>
          <w:sz w:val="21"/>
          <w:szCs w:val="21"/>
        </w:rPr>
        <w:tab/>
      </w:r>
      <w:r>
        <w:rPr>
          <w:rFonts w:hint="eastAsia" w:ascii="宋体" w:hAnsi="宋体" w:eastAsia="宋体" w:cs="宋体"/>
          <w:kern w:val="2"/>
          <w:sz w:val="21"/>
          <w:szCs w:val="21"/>
        </w:rPr>
        <w:t>系统应具备输入输出验证以及SQL注入防护功能。</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(6)</w:t>
      </w:r>
      <w:r>
        <w:rPr>
          <w:rFonts w:hint="eastAsia" w:ascii="宋体" w:hAnsi="宋体" w:eastAsia="宋体" w:cs="宋体"/>
          <w:kern w:val="2"/>
          <w:sz w:val="21"/>
          <w:szCs w:val="21"/>
        </w:rPr>
        <w:tab/>
      </w:r>
      <w:r>
        <w:rPr>
          <w:rFonts w:hint="eastAsia" w:ascii="宋体" w:hAnsi="宋体" w:eastAsia="宋体" w:cs="宋体"/>
          <w:kern w:val="2"/>
          <w:sz w:val="21"/>
          <w:szCs w:val="21"/>
        </w:rPr>
        <w:t>配置管理应禁止未授权访问。</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(7)</w:t>
      </w:r>
      <w:r>
        <w:rPr>
          <w:rFonts w:hint="eastAsia" w:ascii="宋体" w:hAnsi="宋体" w:eastAsia="宋体" w:cs="宋体"/>
          <w:kern w:val="2"/>
          <w:sz w:val="21"/>
          <w:szCs w:val="21"/>
        </w:rPr>
        <w:tab/>
      </w:r>
      <w:r>
        <w:rPr>
          <w:rFonts w:hint="eastAsia" w:ascii="宋体" w:hAnsi="宋体" w:eastAsia="宋体" w:cs="宋体"/>
          <w:kern w:val="2"/>
          <w:sz w:val="21"/>
          <w:szCs w:val="21"/>
        </w:rPr>
        <w:t>文件上传应限制文件类型、文件大小，并进行安全处理。</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(8)</w:t>
      </w:r>
      <w:r>
        <w:rPr>
          <w:rFonts w:hint="eastAsia" w:ascii="宋体" w:hAnsi="宋体" w:eastAsia="宋体" w:cs="宋体"/>
          <w:kern w:val="2"/>
          <w:sz w:val="21"/>
          <w:szCs w:val="21"/>
        </w:rPr>
        <w:tab/>
      </w:r>
      <w:r>
        <w:rPr>
          <w:rFonts w:hint="eastAsia" w:ascii="宋体" w:hAnsi="宋体" w:eastAsia="宋体" w:cs="宋体"/>
          <w:kern w:val="2"/>
          <w:sz w:val="21"/>
          <w:szCs w:val="21"/>
        </w:rPr>
        <w:t>敏感数据存储和处理应进行特殊处理。</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(9)</w:t>
      </w:r>
      <w:r>
        <w:rPr>
          <w:rFonts w:hint="eastAsia" w:ascii="宋体" w:hAnsi="宋体" w:eastAsia="宋体" w:cs="宋体"/>
          <w:kern w:val="2"/>
          <w:sz w:val="21"/>
          <w:szCs w:val="21"/>
        </w:rPr>
        <w:tab/>
      </w:r>
      <w:r>
        <w:rPr>
          <w:rFonts w:hint="eastAsia" w:ascii="宋体" w:hAnsi="宋体" w:eastAsia="宋体" w:cs="宋体"/>
          <w:kern w:val="2"/>
          <w:sz w:val="21"/>
          <w:szCs w:val="21"/>
        </w:rPr>
        <w:t>系统会话管理应该根据信息系统重要性设置在限定的时间内。</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(10)系统不应使用Cookie保存敏感信息并且做到加密。</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(11)发生故障时，异常报错应能够显示。</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(12)在开发环境中，应提供对项目文档和代码版本管理和访问控制。</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(13</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敏感信息和数据，应进行加密存储。</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(14)信息系统模块中禁止嵌入固定的用户名、密码。</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(15)应根据数据的类型、数据的处理方式、数据的安全性要求、与其它接口有关的敏感等级、数据相关业务应用的重要性程度来进行数据处理过程的安全性设计。</w:t>
      </w:r>
    </w:p>
    <w:p>
      <w:pPr>
        <w:pStyle w:val="12"/>
        <w:widowControl/>
        <w:rPr>
          <w:rFonts w:hint="eastAsia" w:ascii="宋体" w:hAnsi="宋体" w:eastAsia="宋体" w:cs="宋体"/>
          <w:kern w:val="2"/>
          <w:sz w:val="21"/>
          <w:szCs w:val="21"/>
        </w:rPr>
      </w:pPr>
      <w:r>
        <w:rPr>
          <w:rFonts w:hint="eastAsia" w:ascii="宋体" w:hAnsi="宋体" w:eastAsia="宋体" w:cs="宋体"/>
          <w:kern w:val="2"/>
          <w:sz w:val="21"/>
          <w:szCs w:val="21"/>
        </w:rPr>
        <w:t>(16)系统应具备日志管理要求，确保可溯源。</w:t>
      </w:r>
    </w:p>
    <w:p>
      <w:pPr>
        <w:jc w:val="center"/>
        <w:rPr>
          <w:rFonts w:ascii="宋体" w:hAnsi="宋体" w:cs="宋体"/>
          <w:color w:val="000000" w:themeColor="text1"/>
          <w14:textFill>
            <w14:solidFill>
              <w14:schemeClr w14:val="tx1"/>
            </w14:solidFill>
          </w14:textFill>
        </w:rPr>
      </w:pPr>
    </w:p>
    <w:p/>
    <w:bookmarkEnd w:id="146"/>
    <w:bookmarkEnd w:id="147"/>
    <w:bookmarkEnd w:id="148"/>
    <w:bookmarkEnd w:id="149"/>
    <w:bookmarkEnd w:id="150"/>
    <w:bookmarkEnd w:id="151"/>
    <w:bookmarkEnd w:id="152"/>
    <w:p>
      <w:pPr>
        <w:pStyle w:val="23"/>
        <w:rPr>
          <w:rFonts w:ascii="宋体" w:hAnsi="宋体" w:cs="宋体"/>
          <w:color w:val="000000" w:themeColor="text1"/>
          <w14:textFill>
            <w14:solidFill>
              <w14:schemeClr w14:val="tx1"/>
            </w14:solidFill>
          </w14:textFill>
        </w:rPr>
      </w:pPr>
      <w:bookmarkStart w:id="180" w:name="_Toc514858708"/>
      <w:bookmarkStart w:id="181" w:name="_Toc12089"/>
      <w:bookmarkStart w:id="182" w:name="_Toc2000412"/>
      <w:bookmarkStart w:id="183" w:name="_Toc514430114"/>
      <w:bookmarkStart w:id="184" w:name="_Toc246996355"/>
      <w:bookmarkStart w:id="185" w:name="_Toc246997098"/>
      <w:bookmarkStart w:id="186" w:name="_Toc179632807"/>
      <w:bookmarkStart w:id="187" w:name="_Toc507320039"/>
      <w:bookmarkStart w:id="188" w:name="_Toc152042576"/>
      <w:bookmarkStart w:id="189" w:name="_Toc152045787"/>
      <w:bookmarkStart w:id="190" w:name="_Toc144974856"/>
      <w:bookmarkStart w:id="191" w:name="_Toc247085873"/>
    </w:p>
    <w:p>
      <w:pPr>
        <w:pStyle w:val="23"/>
        <w:rPr>
          <w:rFonts w:ascii="宋体" w:hAnsi="宋体" w:cs="宋体"/>
          <w:color w:val="000000" w:themeColor="text1"/>
          <w14:textFill>
            <w14:solidFill>
              <w14:schemeClr w14:val="tx1"/>
            </w14:solidFill>
          </w14:textFill>
        </w:rPr>
      </w:pPr>
    </w:p>
    <w:p>
      <w:pPr>
        <w:pStyle w:val="23"/>
        <w:rPr>
          <w:rFonts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80"/>
      <w:bookmarkEnd w:id="181"/>
      <w:bookmarkEnd w:id="182"/>
      <w:bookmarkEnd w:id="183"/>
      <w:r>
        <w:rPr>
          <w:rFonts w:hint="eastAsia" w:ascii="宋体" w:hAnsi="宋体" w:cs="宋体"/>
          <w:color w:val="000000" w:themeColor="text1"/>
          <w14:textFill>
            <w14:solidFill>
              <w14:schemeClr w14:val="tx1"/>
            </w14:solidFill>
          </w14:textFill>
        </w:rPr>
        <w:t>合同范本</w:t>
      </w:r>
    </w:p>
    <w:p>
      <w:pPr>
        <w:jc w:val="center"/>
        <w:rPr>
          <w:rFonts w:ascii="宋体" w:hAnsi="宋体" w:cs="宋体"/>
          <w:color w:val="000000" w:themeColor="text1"/>
          <w14:textFill>
            <w14:solidFill>
              <w14:schemeClr w14:val="tx1"/>
            </w14:solidFill>
          </w14:textFill>
        </w:rPr>
      </w:pPr>
      <w:r>
        <w:rPr>
          <w:rFonts w:hint="eastAsia" w:ascii="宋体" w:hAnsi="宋体" w:cs="宋体"/>
          <w:b/>
          <w:kern w:val="0"/>
          <w:sz w:val="24"/>
        </w:rPr>
        <w:t>详见竞争性比选文件附件。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92" w:name="_Toc513633965"/>
    </w:p>
    <w:p>
      <w:pPr>
        <w:pStyle w:val="2"/>
        <w:spacing w:before="0" w:after="0" w:line="360" w:lineRule="auto"/>
        <w:jc w:val="center"/>
        <w:rPr>
          <w:rFonts w:ascii="宋体" w:hAnsi="宋体" w:cs="宋体"/>
          <w:color w:val="000000" w:themeColor="text1"/>
          <w14:textFill>
            <w14:solidFill>
              <w14:schemeClr w14:val="tx1"/>
            </w14:solidFill>
          </w14:textFill>
        </w:rPr>
      </w:pPr>
      <w:bookmarkStart w:id="193" w:name="_Toc2000413"/>
      <w:bookmarkStart w:id="194" w:name="_Toc24853"/>
      <w:bookmarkStart w:id="195" w:name="_Toc514858709"/>
      <w:r>
        <w:rPr>
          <w:rFonts w:hint="eastAsia" w:ascii="宋体" w:hAnsi="宋体" w:cs="宋体"/>
          <w:color w:val="000000" w:themeColor="text1"/>
          <w14:textFill>
            <w14:solidFill>
              <w14:schemeClr w14:val="tx1"/>
            </w14:solidFill>
          </w14:textFill>
        </w:rPr>
        <w:t>第九章  竞争性比选响应文件格式</w:t>
      </w:r>
      <w:bookmarkEnd w:id="192"/>
      <w:bookmarkEnd w:id="193"/>
      <w:bookmarkEnd w:id="194"/>
      <w:bookmarkEnd w:id="195"/>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6" w:name="_Toc514858710"/>
      <w:bookmarkStart w:id="197" w:name="_Toc513633967"/>
      <w:bookmarkStart w:id="198" w:name="_Toc503971829"/>
      <w:bookmarkStart w:id="199" w:name="_Toc513646738"/>
      <w:bookmarkStart w:id="200" w:name="_Toc503951046"/>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6"/>
      <w:bookmarkEnd w:id="197"/>
      <w:bookmarkEnd w:id="198"/>
      <w:bookmarkEnd w:id="199"/>
      <w:bookmarkEnd w:id="200"/>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jc w:val="center"/>
        <w:rPr>
          <w:rFonts w:ascii="宋体" w:hAnsi="宋体" w:eastAsia="宋体" w:cs="宋体"/>
          <w:color w:val="000000" w:themeColor="text1"/>
          <w14:textFill>
            <w14:solidFill>
              <w14:schemeClr w14:val="tx1"/>
            </w14:solidFill>
          </w14:textFill>
        </w:rPr>
      </w:pPr>
      <w:bookmarkStart w:id="201" w:name="_Toc28780"/>
      <w:bookmarkStart w:id="202" w:name="_Toc1368"/>
      <w:bookmarkStart w:id="203" w:name="_Toc5459"/>
      <w:bookmarkStart w:id="204" w:name="_Toc11329273"/>
      <w:r>
        <w:rPr>
          <w:rFonts w:hint="eastAsia" w:ascii="宋体" w:hAnsi="宋体" w:eastAsia="宋体" w:cs="宋体"/>
          <w:color w:val="000000" w:themeColor="text1"/>
          <w14:textFill>
            <w14:solidFill>
              <w14:schemeClr w14:val="tx1"/>
            </w14:solidFill>
          </w14:textFill>
        </w:rPr>
        <w:t>目    录</w:t>
      </w:r>
      <w:bookmarkEnd w:id="184"/>
      <w:bookmarkEnd w:id="185"/>
      <w:bookmarkEnd w:id="186"/>
      <w:bookmarkEnd w:id="187"/>
      <w:bookmarkEnd w:id="188"/>
      <w:bookmarkEnd w:id="189"/>
      <w:bookmarkEnd w:id="190"/>
      <w:bookmarkEnd w:id="191"/>
      <w:bookmarkEnd w:id="201"/>
      <w:bookmarkEnd w:id="202"/>
      <w:bookmarkEnd w:id="203"/>
      <w:bookmarkEnd w:id="204"/>
    </w:p>
    <w:p>
      <w:pPr>
        <w:numPr>
          <w:ilvl w:val="0"/>
          <w:numId w:val="5"/>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5"/>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七、工程量清单</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9"/>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05" w:name="_Toc8870"/>
      <w:bookmarkStart w:id="206" w:name="_Toc11329274"/>
      <w:bookmarkStart w:id="207" w:name="_Toc25874"/>
      <w:bookmarkStart w:id="208" w:name="_Toc29547"/>
      <w:bookmarkStart w:id="209" w:name="_Toc15863"/>
      <w:bookmarkStart w:id="210" w:name="_Toc513633969"/>
      <w:bookmarkStart w:id="211" w:name="_Toc447827053"/>
      <w:bookmarkStart w:id="212" w:name="_Toc503951048"/>
      <w:r>
        <w:rPr>
          <w:rFonts w:hint="eastAsia" w:ascii="宋体" w:hAnsi="宋体" w:eastAsia="宋体" w:cs="宋体"/>
          <w:color w:val="000000" w:themeColor="text1"/>
          <w:sz w:val="28"/>
          <w14:textFill>
            <w14:solidFill>
              <w14:schemeClr w14:val="tx1"/>
            </w14:solidFill>
          </w14:textFill>
        </w:rPr>
        <w:t>一、</w:t>
      </w:r>
      <w:bookmarkEnd w:id="205"/>
      <w:bookmarkEnd w:id="206"/>
      <w:r>
        <w:rPr>
          <w:rFonts w:hint="eastAsia" w:ascii="宋体" w:hAnsi="宋体" w:eastAsia="宋体" w:cs="宋体"/>
          <w:color w:val="000000" w:themeColor="text1"/>
          <w:sz w:val="28"/>
          <w14:textFill>
            <w14:solidFill>
              <w14:schemeClr w14:val="tx1"/>
            </w14:solidFill>
          </w14:textFill>
        </w:rPr>
        <w:t>竞争比选响应声明书</w:t>
      </w:r>
      <w:bookmarkEnd w:id="207"/>
      <w:bookmarkEnd w:id="208"/>
      <w:bookmarkEnd w:id="209"/>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eastAsia="zh-CN"/>
          <w14:textFill>
            <w14:solidFill>
              <w14:schemeClr w14:val="tx1"/>
            </w14:solidFill>
          </w14:textFill>
        </w:rPr>
        <w:t>国产技术体系下的供应链统计分析和系统开发服务</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元，按照竞争比选文件的要求，承担本次竞争性比选文件要求的任务。</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9"/>
      </w:pPr>
    </w:p>
    <w:p/>
    <w:p>
      <w:pPr>
        <w:pStyle w:val="3"/>
        <w:jc w:val="center"/>
        <w:rPr>
          <w:rFonts w:ascii="宋体" w:hAnsi="宋体" w:eastAsia="宋体" w:cs="宋体"/>
          <w:color w:val="000000" w:themeColor="text1"/>
          <w:sz w:val="28"/>
          <w:szCs w:val="28"/>
          <w14:textFill>
            <w14:solidFill>
              <w14:schemeClr w14:val="tx1"/>
            </w14:solidFill>
          </w14:textFill>
        </w:rPr>
      </w:pPr>
      <w:bookmarkStart w:id="213" w:name="_Toc27815"/>
      <w:bookmarkStart w:id="214"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13"/>
    </w:p>
    <w:p>
      <w:pPr>
        <w:pStyle w:val="3"/>
        <w:jc w:val="center"/>
        <w:rPr>
          <w:rFonts w:ascii="宋体" w:hAnsi="宋体" w:eastAsia="宋体" w:cs="宋体"/>
          <w:color w:val="000000" w:themeColor="text1"/>
          <w:sz w:val="24"/>
          <w:szCs w:val="24"/>
          <w14:textFill>
            <w14:solidFill>
              <w14:schemeClr w14:val="tx1"/>
            </w14:solidFill>
          </w14:textFill>
        </w:rPr>
      </w:pPr>
      <w:bookmarkStart w:id="215"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4"/>
      <w:bookmarkEnd w:id="215"/>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6" w:name="_Toc352691662"/>
      <w:bookmarkStart w:id="217" w:name="_Toc27897"/>
      <w:bookmarkStart w:id="218" w:name="_Toc369531698"/>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6"/>
      <w:bookmarkEnd w:id="217"/>
      <w:bookmarkEnd w:id="218"/>
      <w:r>
        <w:rPr>
          <w:rFonts w:ascii="宋体" w:hAnsi="宋体"/>
          <w:color w:val="000000" w:themeColor="text1"/>
          <w14:textFill>
            <w14:solidFill>
              <w14:schemeClr w14:val="tx1"/>
            </w14:solidFill>
          </w14:textFill>
        </w:rPr>
        <w:t>龄</w:t>
      </w:r>
      <w:bookmarkStart w:id="219" w:name="_Toc384308377"/>
      <w:bookmarkStart w:id="220" w:name="_Toc300835211"/>
      <w:bookmarkStart w:id="221" w:name="_Toc152042578"/>
      <w:bookmarkStart w:id="222" w:name="_Toc369531699"/>
      <w:bookmarkStart w:id="223" w:name="_Toc144974858"/>
      <w:bookmarkStart w:id="224" w:name="_Toc352691663"/>
      <w:bookmarkStart w:id="225" w:name="_Toc361508754"/>
      <w:bookmarkStart w:id="226" w:name="_Toc247527829"/>
      <w:bookmarkStart w:id="227" w:name="_Toc247514248"/>
      <w:bookmarkStart w:id="228" w:name="_Toc152045789"/>
      <w:bookmarkStart w:id="229" w:name="_Toc15573"/>
      <w:r>
        <w:rPr>
          <w:rFonts w:ascii="宋体" w:hAnsi="宋体"/>
          <w:color w:val="000000" w:themeColor="text1"/>
          <w14:textFill>
            <w14:solidFill>
              <w14:schemeClr w14:val="tx1"/>
            </w14:solidFill>
          </w14:textFill>
        </w:rPr>
        <w:t>：</w:t>
      </w:r>
      <w:bookmarkEnd w:id="219"/>
      <w:bookmarkEnd w:id="220"/>
      <w:bookmarkEnd w:id="221"/>
      <w:bookmarkEnd w:id="222"/>
      <w:bookmarkEnd w:id="223"/>
      <w:bookmarkEnd w:id="224"/>
      <w:bookmarkEnd w:id="225"/>
      <w:bookmarkEnd w:id="226"/>
      <w:bookmarkEnd w:id="227"/>
      <w:bookmarkEnd w:id="228"/>
      <w:bookmarkEnd w:id="229"/>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3"/>
        <w:jc w:val="center"/>
        <w:rPr>
          <w:rFonts w:ascii="宋体" w:hAnsi="宋体"/>
          <w:color w:val="000000" w:themeColor="text1"/>
          <w:sz w:val="28"/>
          <w:szCs w:val="28"/>
          <w14:textFill>
            <w14:solidFill>
              <w14:schemeClr w14:val="tx1"/>
            </w14:solidFill>
          </w14:textFill>
        </w:rPr>
      </w:pPr>
      <w:bookmarkStart w:id="230" w:name="_Toc491883233"/>
      <w:bookmarkStart w:id="231" w:name="_Toc58"/>
      <w:r>
        <w:rPr>
          <w:rFonts w:hint="eastAsia" w:ascii="宋体" w:hAnsi="宋体" w:eastAsia="宋体" w:cs="宋体"/>
          <w:color w:val="000000" w:themeColor="text1"/>
          <w:sz w:val="24"/>
          <w:szCs w:val="24"/>
          <w14:textFill>
            <w14:solidFill>
              <w14:schemeClr w14:val="tx1"/>
            </w14:solidFill>
          </w14:textFill>
        </w:rPr>
        <w:t>（二）</w:t>
      </w:r>
      <w:bookmarkEnd w:id="230"/>
      <w:r>
        <w:rPr>
          <w:rFonts w:hint="eastAsia" w:ascii="宋体" w:hAnsi="宋体" w:eastAsia="宋体" w:cs="宋体"/>
          <w:color w:val="000000" w:themeColor="text1"/>
          <w:sz w:val="24"/>
          <w:szCs w:val="24"/>
          <w14:textFill>
            <w14:solidFill>
              <w14:schemeClr w14:val="tx1"/>
            </w14:solidFill>
          </w14:textFill>
        </w:rPr>
        <w:t>法定代表人授权委托书</w:t>
      </w:r>
      <w:bookmarkEnd w:id="231"/>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32" w:name="_Toc11329275"/>
      <w:r>
        <w:rPr>
          <w:rFonts w:hint="eastAsia" w:ascii="宋体" w:hAnsi="宋体" w:cs="宋体"/>
          <w:b/>
          <w:bCs/>
          <w:color w:val="000000" w:themeColor="text1"/>
          <w:kern w:val="0"/>
          <w:sz w:val="28"/>
          <w:szCs w:val="32"/>
          <w14:textFill>
            <w14:solidFill>
              <w14:schemeClr w14:val="tx1"/>
            </w14:solidFill>
          </w14:textFill>
        </w:rPr>
        <w:t>三、</w:t>
      </w:r>
      <w:bookmarkEnd w:id="210"/>
      <w:bookmarkEnd w:id="211"/>
      <w:bookmarkEnd w:id="212"/>
      <w:bookmarkEnd w:id="232"/>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2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u w:val="single"/>
          <w:lang w:eastAsia="zh-CN"/>
          <w14:textFill>
            <w14:solidFill>
              <w14:schemeClr w14:val="tx1"/>
            </w14:solidFill>
          </w14:textFill>
        </w:rPr>
        <w:t>国产技术体系下的供应链统计分析和系统开发服务</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pPr>
        <w:tabs>
          <w:tab w:val="left" w:pos="1680"/>
          <w:tab w:val="left" w:pos="4215"/>
          <w:tab w:val="left" w:pos="4305"/>
          <w:tab w:val="left" w:pos="8000"/>
        </w:tabs>
        <w:autoSpaceDE w:val="0"/>
        <w:autoSpaceDN w:val="0"/>
        <w:adjustRightInd w:val="0"/>
        <w:snapToGrid w:val="0"/>
        <w:spacing w:line="360" w:lineRule="auto"/>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b/>
          <w:bCs/>
        </w:rPr>
        <w:t>报价采用表格形式，见“工程量清单”。</w:t>
      </w: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33" w:name="_Toc503951050"/>
      <w:bookmarkStart w:id="234" w:name="_Toc513633971"/>
      <w:bookmarkStart w:id="235" w:name="_Toc11329278"/>
      <w:bookmarkStart w:id="236" w:name="_Toc152045803"/>
      <w:bookmarkStart w:id="237" w:name="_Toc144974871"/>
      <w:bookmarkStart w:id="238" w:name="_Toc246996369"/>
      <w:bookmarkStart w:id="239" w:name="_Toc247085887"/>
      <w:bookmarkStart w:id="240" w:name="_Toc152042592"/>
      <w:bookmarkStart w:id="241" w:name="_Toc246997112"/>
      <w:bookmarkStart w:id="242" w:name="_Toc179632823"/>
      <w:bookmarkStart w:id="243" w:name="_Toc447827058"/>
      <w:r>
        <w:rPr>
          <w:rFonts w:hint="eastAsia" w:ascii="宋体" w:hAnsi="宋体" w:eastAsia="宋体" w:cs="宋体"/>
          <w:color w:val="000000" w:themeColor="text1"/>
          <w:sz w:val="28"/>
          <w14:textFill>
            <w14:solidFill>
              <w14:schemeClr w14:val="tx1"/>
            </w14:solidFill>
          </w14:textFill>
        </w:rPr>
        <w:br w:type="page"/>
      </w:r>
      <w:bookmarkStart w:id="244" w:name="_Toc12910"/>
      <w:bookmarkStart w:id="245" w:name="_Toc11961"/>
      <w:bookmarkStart w:id="246" w:name="_Toc18757"/>
      <w:r>
        <w:rPr>
          <w:rFonts w:hint="eastAsia" w:ascii="宋体" w:hAnsi="宋体" w:eastAsia="宋体" w:cs="宋体"/>
          <w:color w:val="000000" w:themeColor="text1"/>
          <w:sz w:val="28"/>
          <w14:textFill>
            <w14:solidFill>
              <w14:schemeClr w14:val="tx1"/>
            </w14:solidFill>
          </w14:textFill>
        </w:rPr>
        <w:t>四、资格审查资料</w:t>
      </w:r>
      <w:bookmarkEnd w:id="233"/>
      <w:bookmarkEnd w:id="234"/>
      <w:bookmarkEnd w:id="235"/>
      <w:bookmarkEnd w:id="244"/>
      <w:bookmarkEnd w:id="245"/>
      <w:bookmarkEnd w:id="246"/>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47" w:name="_Toc17915"/>
      <w:bookmarkStart w:id="248" w:name="_Toc32456"/>
      <w:bookmarkStart w:id="249" w:name="_Toc22003"/>
      <w:r>
        <w:rPr>
          <w:rFonts w:hint="eastAsia" w:ascii="宋体" w:hAnsi="宋体" w:eastAsia="宋体" w:cs="宋体"/>
          <w:color w:val="000000" w:themeColor="text1"/>
          <w:sz w:val="28"/>
          <w14:textFill>
            <w14:solidFill>
              <w14:schemeClr w14:val="tx1"/>
            </w14:solidFill>
          </w14:textFill>
        </w:rPr>
        <w:t>（营业执照、资质证书、项目人员资料等）</w:t>
      </w:r>
      <w:bookmarkEnd w:id="247"/>
      <w:bookmarkEnd w:id="248"/>
      <w:bookmarkEnd w:id="249"/>
    </w:p>
    <w:bookmarkEnd w:id="236"/>
    <w:bookmarkEnd w:id="237"/>
    <w:bookmarkEnd w:id="238"/>
    <w:bookmarkEnd w:id="239"/>
    <w:bookmarkEnd w:id="240"/>
    <w:bookmarkEnd w:id="241"/>
    <w:bookmarkEnd w:id="242"/>
    <w:bookmarkEnd w:id="243"/>
    <w:p>
      <w:pPr>
        <w:pStyle w:val="3"/>
        <w:jc w:val="center"/>
        <w:rPr>
          <w:rFonts w:ascii="宋体" w:hAnsi="宋体" w:eastAsia="宋体" w:cs="宋体"/>
          <w:bCs w:val="0"/>
          <w:sz w:val="28"/>
          <w:szCs w:val="28"/>
        </w:rPr>
      </w:pPr>
      <w:bookmarkStart w:id="250" w:name="_Toc513633973"/>
      <w:bookmarkStart w:id="251" w:name="_Toc447827068"/>
      <w:bookmarkStart w:id="252" w:name="_Toc503951055"/>
      <w:bookmarkStart w:id="253" w:name="_Toc29559"/>
      <w:bookmarkStart w:id="254" w:name="_Toc11329281"/>
      <w:bookmarkStart w:id="255" w:name="_Toc11243"/>
      <w:bookmarkStart w:id="256" w:name="_Toc11672"/>
      <w:r>
        <w:rPr>
          <w:rFonts w:hint="eastAsia" w:ascii="宋体" w:hAnsi="宋体" w:eastAsia="宋体" w:cs="宋体"/>
          <w:sz w:val="28"/>
        </w:rPr>
        <w:t>（一）资格审查资料</w:t>
      </w:r>
      <w:r>
        <w:rPr>
          <w:rFonts w:hint="eastAsia" w:ascii="宋体" w:hAnsi="宋体" w:cs="宋体"/>
          <w:szCs w:val="21"/>
        </w:rPr>
        <w:t xml:space="preserve"> </w:t>
      </w:r>
    </w:p>
    <w:tbl>
      <w:tblPr>
        <w:tblStyle w:val="2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color w:val="000000" w:themeColor="text1"/>
                <w:szCs w:val="21"/>
                <w:shd w:val="clear" w:color="auto" w:fill="FFFFFF"/>
                <w14:textFill>
                  <w14:solidFill>
                    <w14:schemeClr w14:val="tx1"/>
                  </w14:solidFill>
                </w14:textFill>
              </w:rPr>
              <w:t>具有独立法人资格及有效的营业执照；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color w:val="000000" w:themeColor="text1"/>
                <w:szCs w:val="21"/>
                <w:shd w:val="clear" w:color="auto" w:fill="FFFFFF"/>
                <w14:textFill>
                  <w14:solidFill>
                    <w14:schemeClr w14:val="tx1"/>
                  </w14:solidFill>
                </w14:textFill>
              </w:rPr>
              <w:t>2021年1月1日至报价截止日期（以合同签订时间为准）至少独立完成一项合同金额不低于50万元的软件服务或技术服务业绩（提供合同扫描件）</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注：1.提供公司营业执照复印件，</w:t>
      </w:r>
      <w:r>
        <w:rPr>
          <w:rFonts w:hint="eastAsia" w:ascii="宋体" w:hAnsi="宋体" w:cs="宋体"/>
          <w:color w:val="000000" w:themeColor="text1"/>
          <w:szCs w:val="21"/>
          <w14:textFill>
            <w14:solidFill>
              <w14:schemeClr w14:val="tx1"/>
            </w14:solidFill>
          </w14:textFill>
        </w:rPr>
        <w:t>并加盖报价人公章</w:t>
      </w:r>
      <w:r>
        <w:rPr>
          <w:rFonts w:hint="eastAsia" w:hAnsi="宋体"/>
          <w:kern w:val="0"/>
          <w:szCs w:val="21"/>
        </w:rPr>
        <w:t>。</w:t>
      </w:r>
    </w:p>
    <w:p>
      <w:pPr>
        <w:numPr>
          <w:ilvl w:val="0"/>
          <w:numId w:val="6"/>
        </w:numPr>
      </w:pPr>
      <w:r>
        <w:rPr>
          <w:rFonts w:hint="eastAsia" w:asciiTheme="minorEastAsia" w:hAnsiTheme="minorEastAsia" w:eastAsiaTheme="minorEastAsia" w:cstheme="minorEastAsia"/>
          <w:bCs/>
          <w:szCs w:val="21"/>
        </w:rPr>
        <w:t>提供项目合同书（相关证明材料须能反映出相关数据和内容，否则一律视为未提供）复印件，并加盖投标单位公章。</w:t>
      </w:r>
    </w:p>
    <w:p>
      <w:pPr>
        <w:numPr>
          <w:ilvl w:val="0"/>
          <w:numId w:val="6"/>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50"/>
      <w:bookmarkEnd w:id="251"/>
      <w:bookmarkEnd w:id="252"/>
      <w:r>
        <w:rPr>
          <w:rFonts w:hint="eastAsia" w:ascii="宋体" w:hAnsi="宋体" w:eastAsia="宋体" w:cs="宋体"/>
          <w:color w:val="000000" w:themeColor="text1"/>
          <w:sz w:val="28"/>
          <w14:textFill>
            <w14:solidFill>
              <w14:schemeClr w14:val="tx1"/>
            </w14:solidFill>
          </w14:textFill>
        </w:rPr>
        <w:t>报价人须知前附表规定的材料</w:t>
      </w:r>
      <w:bookmarkEnd w:id="253"/>
      <w:bookmarkEnd w:id="254"/>
      <w:bookmarkEnd w:id="255"/>
      <w:bookmarkEnd w:id="256"/>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57" w:name="_Toc8299"/>
      <w:bookmarkStart w:id="258" w:name="_Toc15805"/>
      <w:bookmarkStart w:id="259" w:name="bookmark81"/>
      <w:bookmarkStart w:id="260" w:name="_Toc513633974"/>
      <w:bookmarkStart w:id="261" w:name="_Toc503951058"/>
      <w:r>
        <w:rPr>
          <w:rFonts w:hint="eastAsia" w:ascii="宋体" w:hAnsi="宋体" w:cs="宋体"/>
          <w:b/>
          <w:bCs/>
          <w:kern w:val="0"/>
          <w:sz w:val="28"/>
          <w:szCs w:val="32"/>
        </w:rPr>
        <w:t>（一）商务评分资料</w:t>
      </w:r>
      <w:bookmarkEnd w:id="257"/>
      <w:bookmarkEnd w:id="258"/>
    </w:p>
    <w:p>
      <w:pPr>
        <w:pStyle w:val="36"/>
        <w:ind w:firstLine="420"/>
        <w:jc w:val="center"/>
        <w:rPr>
          <w:rFonts w:ascii="宋体" w:hAnsi="宋体" w:eastAsia="宋体" w:cs="Times New Roman"/>
          <w:sz w:val="21"/>
          <w:szCs w:val="24"/>
        </w:rPr>
      </w:pPr>
      <w:bookmarkStart w:id="262" w:name="OLE_LINK34"/>
      <w:r>
        <w:rPr>
          <w:rFonts w:hint="eastAsia" w:ascii="宋体" w:hAnsi="宋体" w:eastAsia="宋体" w:cs="Times New Roman"/>
          <w:sz w:val="21"/>
          <w:szCs w:val="24"/>
        </w:rPr>
        <w:t>商务及技术部分</w:t>
      </w:r>
      <w:bookmarkEnd w:id="262"/>
      <w:r>
        <w:rPr>
          <w:rFonts w:hint="eastAsia" w:ascii="宋体" w:hAnsi="宋体" w:eastAsia="宋体" w:cs="Times New Roman"/>
          <w:sz w:val="21"/>
          <w:szCs w:val="24"/>
        </w:rPr>
        <w:t>资料目录</w:t>
      </w:r>
    </w:p>
    <w:tbl>
      <w:tblPr>
        <w:tblStyle w:val="24"/>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pPr>
              <w:spacing w:line="360" w:lineRule="auto"/>
              <w:jc w:val="center"/>
              <w:rPr>
                <w:rFonts w:asciiTheme="minorEastAsia" w:hAnsiTheme="minorEastAsia" w:eastAsiaTheme="minorEastAsia" w:cstheme="minorEastAsia"/>
                <w:b/>
                <w:sz w:val="18"/>
                <w:szCs w:val="18"/>
              </w:rPr>
            </w:pPr>
          </w:p>
        </w:tc>
        <w:tc>
          <w:tcPr>
            <w:tcW w:w="2492" w:type="dxa"/>
            <w:vAlign w:val="center"/>
          </w:tcPr>
          <w:p>
            <w:pPr>
              <w:spacing w:line="360" w:lineRule="auto"/>
              <w:jc w:val="center"/>
              <w:rPr>
                <w:rFonts w:asciiTheme="minorEastAsia" w:hAnsiTheme="minorEastAsia" w:eastAsiaTheme="minorEastAsia" w:cstheme="minorEastAsia"/>
                <w:b/>
                <w:sz w:val="18"/>
                <w:szCs w:val="18"/>
              </w:rPr>
            </w:pPr>
          </w:p>
        </w:tc>
        <w:tc>
          <w:tcPr>
            <w:tcW w:w="1736" w:type="dxa"/>
            <w:vAlign w:val="center"/>
          </w:tcPr>
          <w:p>
            <w:pPr>
              <w:spacing w:line="360" w:lineRule="auto"/>
              <w:jc w:val="center"/>
              <w:rPr>
                <w:rFonts w:asciiTheme="minorEastAsia" w:hAnsiTheme="minorEastAsia" w:eastAsiaTheme="minorEastAsia" w:cstheme="minorEastAsia"/>
                <w:b/>
                <w:sz w:val="18"/>
                <w:szCs w:val="18"/>
              </w:rPr>
            </w:pPr>
          </w:p>
        </w:tc>
        <w:tc>
          <w:tcPr>
            <w:tcW w:w="1395" w:type="dxa"/>
            <w:vAlign w:val="center"/>
          </w:tcPr>
          <w:p>
            <w:pPr>
              <w:spacing w:line="360" w:lineRule="auto"/>
              <w:jc w:val="center"/>
              <w:rPr>
                <w:rFonts w:asciiTheme="minorEastAsia" w:hAnsiTheme="minorEastAsia" w:eastAsiaTheme="minorEastAsia" w:cstheme="minorEastAsia"/>
                <w:b/>
                <w:sz w:val="18"/>
                <w:szCs w:val="18"/>
              </w:rPr>
            </w:pPr>
          </w:p>
        </w:tc>
        <w:tc>
          <w:tcPr>
            <w:tcW w:w="1052" w:type="dxa"/>
            <w:vAlign w:val="center"/>
          </w:tcPr>
          <w:p>
            <w:pPr>
              <w:spacing w:line="360" w:lineRule="auto"/>
              <w:jc w:val="center"/>
              <w:rPr>
                <w:rFonts w:asciiTheme="minorEastAsia" w:hAnsiTheme="minorEastAsia" w:eastAsiaTheme="minorEastAsia" w:cstheme="minorEastAsia"/>
                <w:b/>
                <w:sz w:val="18"/>
                <w:szCs w:val="18"/>
              </w:rPr>
            </w:pPr>
          </w:p>
        </w:tc>
        <w:tc>
          <w:tcPr>
            <w:tcW w:w="998" w:type="dxa"/>
            <w:vAlign w:val="center"/>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证明材料2</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29" w:type="dxa"/>
            <w:vAlign w:val="center"/>
          </w:tcPr>
          <w:p>
            <w:pPr>
              <w:snapToGrid w:val="0"/>
              <w:spacing w:line="400" w:lineRule="exact"/>
              <w:rPr>
                <w:rFonts w:asciiTheme="minorEastAsia" w:hAnsiTheme="minorEastAsia" w:eastAsiaTheme="minorEastAsia" w:cstheme="minorEastAsia"/>
                <w:sz w:val="18"/>
                <w:szCs w:val="18"/>
              </w:rPr>
            </w:pP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XX证书</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证明材料3</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XX年财务审计报告</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证明材料4</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bl>
    <w:p>
      <w:pPr>
        <w:pStyle w:val="23"/>
        <w:ind w:left="0" w:leftChars="0" w:firstLine="0"/>
      </w:pPr>
      <w:bookmarkStart w:id="263" w:name="_Toc30564"/>
    </w:p>
    <w:p>
      <w:pPr>
        <w:spacing w:line="360" w:lineRule="auto"/>
        <w:jc w:val="center"/>
        <w:outlineLvl w:val="1"/>
        <w:rPr>
          <w:rFonts w:ascii="宋体" w:hAnsi="宋体" w:cs="宋体"/>
          <w:b/>
          <w:bCs/>
          <w:kern w:val="0"/>
          <w:sz w:val="28"/>
          <w:szCs w:val="32"/>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hint="eastAsia" w:ascii="宋体" w:hAnsi="宋体" w:cs="宋体"/>
          <w:b/>
          <w:bCs/>
          <w:kern w:val="0"/>
          <w:sz w:val="28"/>
          <w:szCs w:val="32"/>
        </w:rPr>
      </w:pPr>
    </w:p>
    <w:p>
      <w:pPr>
        <w:rPr>
          <w:rFonts w:hint="eastAsia" w:ascii="Times New Roman" w:hAnsi="Times New Roman" w:eastAsia="宋体" w:cs="Times New Roman"/>
          <w:kern w:val="2"/>
          <w:sz w:val="21"/>
          <w:szCs w:val="24"/>
          <w:lang w:val="en-US" w:eastAsia="zh-CN" w:bidi="ar-SA"/>
        </w:rPr>
      </w:pPr>
      <w:r>
        <w:rPr>
          <w:rFonts w:hint="eastAsia" w:ascii="宋体" w:hAnsi="宋体" w:cs="宋体"/>
          <w:b/>
          <w:bCs/>
          <w:kern w:val="0"/>
          <w:sz w:val="28"/>
          <w:szCs w:val="32"/>
        </w:rPr>
        <w:br w:type="page"/>
      </w:r>
      <w:bookmarkEnd w:id="263"/>
    </w:p>
    <w:p>
      <w:pPr>
        <w:pStyle w:val="4"/>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w:t>
      </w:r>
      <w:bookmarkEnd w:id="259"/>
      <w:bookmarkStart w:id="264" w:name="_Toc507681488"/>
      <w:bookmarkStart w:id="265" w:name="_Toc507681700"/>
      <w:bookmarkStart w:id="266" w:name="_Toc504639215"/>
      <w:r>
        <w:rPr>
          <w:rFonts w:hint="eastAsia" w:ascii="宋体" w:hAnsi="宋体" w:cs="宋体"/>
          <w:color w:val="000000" w:themeColor="text1"/>
          <w:sz w:val="28"/>
          <w14:textFill>
            <w14:solidFill>
              <w14:schemeClr w14:val="tx1"/>
            </w14:solidFill>
          </w14:textFill>
        </w:rPr>
        <w:t>报价人自行承诺部分</w:t>
      </w:r>
      <w:bookmarkEnd w:id="264"/>
      <w:bookmarkEnd w:id="265"/>
      <w:bookmarkEnd w:id="266"/>
    </w:p>
    <w:p>
      <w:pPr>
        <w:pStyle w:val="20"/>
        <w:spacing w:line="480" w:lineRule="auto"/>
        <w:jc w:val="both"/>
        <w:rPr>
          <w:rFonts w:hAnsi="宋体"/>
          <w:color w:val="auto"/>
        </w:rPr>
      </w:pPr>
      <w:r>
        <w:rPr>
          <w:rFonts w:hint="eastAsia" w:hAnsi="宋体"/>
          <w:color w:val="auto"/>
        </w:rPr>
        <w:t>致：</w:t>
      </w:r>
      <w:r>
        <w:rPr>
          <w:rFonts w:hint="eastAsia" w:hAnsi="宋体"/>
          <w:color w:val="auto"/>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rPr>
      </w:pPr>
      <w:r>
        <w:rPr>
          <w:rFonts w:hint="eastAsia" w:ascii="宋体" w:hAnsi="宋体"/>
          <w:sz w:val="24"/>
        </w:rPr>
        <w:t>在研究</w:t>
      </w:r>
      <w:r>
        <w:rPr>
          <w:rFonts w:hint="eastAsia" w:ascii="宋体" w:hAnsi="宋体" w:cs="宋体"/>
          <w:sz w:val="24"/>
          <w:u w:val="single"/>
          <w:lang w:eastAsia="zh-CN"/>
        </w:rPr>
        <w:t>国产技术体系下的供应链统计分析和系统开发服务</w:t>
      </w:r>
      <w:r>
        <w:rPr>
          <w:rFonts w:hint="eastAsia" w:ascii="宋体" w:hAnsi="宋体"/>
          <w:sz w:val="24"/>
          <w:u w:val="single"/>
        </w:rPr>
        <w:t>项目</w:t>
      </w:r>
      <w:r>
        <w:rPr>
          <w:rFonts w:hint="eastAsia" w:ascii="宋体" w:hAnsi="宋体"/>
          <w:sz w:val="24"/>
        </w:rPr>
        <w:t>竞争比选文件后，在此郑重承诺我司满足本项目一切报价内容、报价、工期要求及质量标准等相关要求，响应比选函的一切内容，同时申明将按照甲方要求组建服务团队、履行服务义务。若我司中标本项目且无法满足业主相关需求，我司愿承担由此给采购人造成的一切损失。</w:t>
      </w:r>
    </w:p>
    <w:p>
      <w:pPr>
        <w:pStyle w:val="9"/>
        <w:spacing w:line="480" w:lineRule="auto"/>
        <w:rPr>
          <w:rFonts w:ascii="宋体" w:hAnsi="宋体"/>
          <w:sz w:val="24"/>
        </w:rPr>
      </w:pPr>
    </w:p>
    <w:p>
      <w:pPr>
        <w:spacing w:line="480" w:lineRule="auto"/>
        <w:rPr>
          <w:rFonts w:ascii="宋体" w:hAnsi="宋体"/>
          <w:sz w:val="24"/>
        </w:rPr>
      </w:pPr>
      <w:r>
        <w:rPr>
          <w:rFonts w:hint="eastAsia" w:ascii="宋体" w:hAnsi="宋体"/>
          <w:sz w:val="24"/>
        </w:rPr>
        <w:t xml:space="preserve">                                        承诺人：XX公司</w:t>
      </w:r>
    </w:p>
    <w:p>
      <w:pPr>
        <w:pStyle w:val="9"/>
        <w:spacing w:line="480" w:lineRule="auto"/>
      </w:pPr>
      <w:r>
        <w:rPr>
          <w:rFonts w:hint="eastAsia" w:ascii="宋体" w:hAnsi="宋体"/>
          <w:sz w:val="24"/>
        </w:rPr>
        <w:t xml:space="preserve">                                        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pStyle w:val="4"/>
        <w:jc w:val="center"/>
        <w:rPr>
          <w:rFonts w:ascii="宋体" w:hAnsi="宋体" w:cs="宋体"/>
          <w:color w:val="000000" w:themeColor="text1"/>
          <w:sz w:val="28"/>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4"/>
        <w:jc w:val="center"/>
        <w:rPr>
          <w:rFonts w:ascii="宋体" w:hAnsi="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4"/>
        <w:spacing w:before="0" w:after="0" w:line="360" w:lineRule="auto"/>
        <w:jc w:val="center"/>
        <w:rPr>
          <w:color w:val="000000" w:themeColor="text1"/>
          <w:sz w:val="28"/>
          <w:szCs w:val="28"/>
          <w14:textFill>
            <w14:solidFill>
              <w14:schemeClr w14:val="tx1"/>
            </w14:solidFill>
          </w14:textFill>
        </w:rPr>
      </w:pPr>
      <w:bookmarkStart w:id="267" w:name="_Toc452107137"/>
      <w:bookmarkStart w:id="268" w:name="_Toc4375"/>
      <w:bookmarkStart w:id="269" w:name="_Toc508110857"/>
      <w:r>
        <w:rPr>
          <w:rFonts w:hint="eastAsia"/>
          <w:color w:val="000000" w:themeColor="text1"/>
          <w:sz w:val="28"/>
          <w:szCs w:val="28"/>
          <w14:textFill>
            <w14:solidFill>
              <w14:schemeClr w14:val="tx1"/>
            </w14:solidFill>
          </w14:textFill>
        </w:rPr>
        <w:t>（一）报价人基本信息表</w:t>
      </w:r>
      <w:bookmarkEnd w:id="267"/>
      <w:bookmarkEnd w:id="268"/>
      <w:bookmarkEnd w:id="269"/>
    </w:p>
    <w:p>
      <w:pPr>
        <w:pStyle w:val="14"/>
        <w:rPr>
          <w:color w:val="000000" w:themeColor="text1"/>
          <w14:textFill>
            <w14:solidFill>
              <w14:schemeClr w14:val="tx1"/>
            </w14:solidFill>
          </w14:textFill>
        </w:rPr>
      </w:pPr>
    </w:p>
    <w:tbl>
      <w:tblPr>
        <w:tblStyle w:val="2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4"/>
        <w:rPr>
          <w:rFonts w:ascii="宋体" w:hAnsi="宋体" w:cs="宋体"/>
          <w:color w:val="000000" w:themeColor="text1"/>
          <w:sz w:val="28"/>
          <w14:textFill>
            <w14:solidFill>
              <w14:schemeClr w14:val="tx1"/>
            </w14:solidFill>
          </w14:textFill>
        </w:rPr>
      </w:pPr>
    </w:p>
    <w:p>
      <w:pPr>
        <w:pStyle w:val="4"/>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1、投标保证金银行回执等附件。</w:t>
      </w:r>
    </w:p>
    <w:bookmarkEnd w:id="260"/>
    <w:bookmarkEnd w:id="261"/>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2、其他内容。</w:t>
      </w: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outlineLvl w:val="1"/>
        <w:rPr>
          <w:color w:val="000000" w:themeColor="text1"/>
          <w14:textFill>
            <w14:solidFill>
              <w14:schemeClr w14:val="tx1"/>
            </w14:solidFill>
          </w14:textFill>
        </w:rPr>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21</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10</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73</w:t>
    </w:r>
    <w:r>
      <w:fldChar w:fldCharType="end"/>
    </w:r>
  </w:p>
  <w:p>
    <w:pPr>
      <w:pStyle w:val="14"/>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19</w:t>
    </w:r>
    <w:r>
      <w:fldChar w:fldCharType="end"/>
    </w:r>
  </w:p>
  <w:p>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23</w:t>
    </w:r>
    <w:r>
      <w:fldChar w:fldCharType="end"/>
    </w:r>
  </w:p>
  <w:p>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35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48B3"/>
    <w:multiLevelType w:val="singleLevel"/>
    <w:tmpl w:val="C43A48B3"/>
    <w:lvl w:ilvl="0" w:tentative="0">
      <w:start w:val="7"/>
      <w:numFmt w:val="chineseCounting"/>
      <w:suff w:val="space"/>
      <w:lvlText w:val="第%1章"/>
      <w:lvlJc w:val="left"/>
      <w:rPr>
        <w:rFonts w:hint="eastAsia"/>
      </w:rPr>
    </w:lvl>
  </w:abstractNum>
  <w:abstractNum w:abstractNumId="1">
    <w:nsid w:val="0AA38CF7"/>
    <w:multiLevelType w:val="singleLevel"/>
    <w:tmpl w:val="0AA38CF7"/>
    <w:lvl w:ilvl="0" w:tentative="0">
      <w:start w:val="2"/>
      <w:numFmt w:val="decimal"/>
      <w:lvlText w:val="%1."/>
      <w:lvlJc w:val="left"/>
      <w:pPr>
        <w:tabs>
          <w:tab w:val="left" w:pos="312"/>
        </w:tabs>
        <w:ind w:left="735" w:firstLine="0"/>
      </w:pPr>
    </w:lvl>
  </w:abstractNum>
  <w:abstractNum w:abstractNumId="2">
    <w:nsid w:val="0FF842B9"/>
    <w:multiLevelType w:val="singleLevel"/>
    <w:tmpl w:val="0FF842B9"/>
    <w:lvl w:ilvl="0" w:tentative="0">
      <w:start w:val="1"/>
      <w:numFmt w:val="decimal"/>
      <w:suff w:val="nothing"/>
      <w:lvlText w:val="%1、"/>
      <w:lvlJc w:val="left"/>
    </w:lvl>
  </w:abstractNum>
  <w:abstractNum w:abstractNumId="3">
    <w:nsid w:val="13A543D5"/>
    <w:multiLevelType w:val="multilevel"/>
    <w:tmpl w:val="13A543D5"/>
    <w:lvl w:ilvl="0" w:tentative="0">
      <w:start w:val="1"/>
      <w:numFmt w:val="decimal"/>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42"/>
      <w:suff w:val="space"/>
      <w:lvlText w:val="%1.%2.%3"/>
      <w:lvlJc w:val="left"/>
      <w:pPr>
        <w:ind w:left="0" w:firstLine="0"/>
      </w:pPr>
      <w:rPr>
        <w:rFonts w:hint="eastAsia"/>
      </w:rPr>
    </w:lvl>
    <w:lvl w:ilvl="3" w:tentative="0">
      <w:start w:val="1"/>
      <w:numFmt w:val="decimal"/>
      <w:pStyle w:val="43"/>
      <w:suff w:val="space"/>
      <w:lvlText w:val="%1.%2.%3.%4"/>
      <w:lvlJc w:val="left"/>
      <w:pPr>
        <w:ind w:left="0" w:firstLine="0"/>
      </w:pPr>
      <w:rPr>
        <w:rFonts w:hint="eastAsia"/>
      </w:rPr>
    </w:lvl>
    <w:lvl w:ilvl="4" w:tentative="0">
      <w:start w:val="1"/>
      <w:numFmt w:val="decimal"/>
      <w:pStyle w:val="44"/>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E0ABCA6"/>
    <w:multiLevelType w:val="singleLevel"/>
    <w:tmpl w:val="3E0ABCA6"/>
    <w:lvl w:ilvl="0" w:tentative="0">
      <w:start w:val="1"/>
      <w:numFmt w:val="decimal"/>
      <w:suff w:val="nothing"/>
      <w:lvlText w:val="（%1）"/>
      <w:lvlJc w:val="left"/>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s>
  <w:rsids>
    <w:rsidRoot w:val="40562453"/>
    <w:rsid w:val="000F3CE7"/>
    <w:rsid w:val="000F5386"/>
    <w:rsid w:val="002677EA"/>
    <w:rsid w:val="00274C14"/>
    <w:rsid w:val="00290864"/>
    <w:rsid w:val="002E6658"/>
    <w:rsid w:val="003D09CF"/>
    <w:rsid w:val="003E4238"/>
    <w:rsid w:val="00432083"/>
    <w:rsid w:val="0045037C"/>
    <w:rsid w:val="005216E6"/>
    <w:rsid w:val="0054033C"/>
    <w:rsid w:val="00574C5F"/>
    <w:rsid w:val="006E6474"/>
    <w:rsid w:val="007A23C3"/>
    <w:rsid w:val="009740D1"/>
    <w:rsid w:val="009836D5"/>
    <w:rsid w:val="00AD5DF3"/>
    <w:rsid w:val="00C85330"/>
    <w:rsid w:val="00CD7F32"/>
    <w:rsid w:val="00CF4C8F"/>
    <w:rsid w:val="00D3747E"/>
    <w:rsid w:val="00D5013D"/>
    <w:rsid w:val="00E47480"/>
    <w:rsid w:val="00E53ABC"/>
    <w:rsid w:val="00F33B80"/>
    <w:rsid w:val="00F546A3"/>
    <w:rsid w:val="00F63456"/>
    <w:rsid w:val="01B74972"/>
    <w:rsid w:val="022F40C5"/>
    <w:rsid w:val="02DC3F04"/>
    <w:rsid w:val="02FA0434"/>
    <w:rsid w:val="033216A2"/>
    <w:rsid w:val="03CF0748"/>
    <w:rsid w:val="048F2C39"/>
    <w:rsid w:val="05506B2F"/>
    <w:rsid w:val="055C337C"/>
    <w:rsid w:val="05745986"/>
    <w:rsid w:val="060D37AF"/>
    <w:rsid w:val="070E32F3"/>
    <w:rsid w:val="071E6E0A"/>
    <w:rsid w:val="077D719C"/>
    <w:rsid w:val="07C52E34"/>
    <w:rsid w:val="08C663D4"/>
    <w:rsid w:val="090977DD"/>
    <w:rsid w:val="09447A34"/>
    <w:rsid w:val="0A1E5C91"/>
    <w:rsid w:val="0A5D3B7D"/>
    <w:rsid w:val="0A693330"/>
    <w:rsid w:val="0A7D16CE"/>
    <w:rsid w:val="0B1A4809"/>
    <w:rsid w:val="0B602F55"/>
    <w:rsid w:val="0B8C0001"/>
    <w:rsid w:val="0C132AFC"/>
    <w:rsid w:val="0C6F3F16"/>
    <w:rsid w:val="0CCE6579"/>
    <w:rsid w:val="0D993FB0"/>
    <w:rsid w:val="0E393859"/>
    <w:rsid w:val="0E3B58C3"/>
    <w:rsid w:val="0EA57CDD"/>
    <w:rsid w:val="0EC73541"/>
    <w:rsid w:val="0FF77E7B"/>
    <w:rsid w:val="10343BF8"/>
    <w:rsid w:val="10A44CAE"/>
    <w:rsid w:val="10E943BC"/>
    <w:rsid w:val="1250098C"/>
    <w:rsid w:val="125C66E7"/>
    <w:rsid w:val="13223B44"/>
    <w:rsid w:val="13573D7A"/>
    <w:rsid w:val="141A6BA3"/>
    <w:rsid w:val="1433393F"/>
    <w:rsid w:val="14896D52"/>
    <w:rsid w:val="14F51F77"/>
    <w:rsid w:val="15EA5356"/>
    <w:rsid w:val="17AC5EFC"/>
    <w:rsid w:val="18331236"/>
    <w:rsid w:val="187C5B16"/>
    <w:rsid w:val="187D6761"/>
    <w:rsid w:val="18873EC2"/>
    <w:rsid w:val="18A35434"/>
    <w:rsid w:val="18C96881"/>
    <w:rsid w:val="18FB3376"/>
    <w:rsid w:val="191A60FB"/>
    <w:rsid w:val="197E141A"/>
    <w:rsid w:val="19C679E0"/>
    <w:rsid w:val="1A1717FA"/>
    <w:rsid w:val="1A8C400A"/>
    <w:rsid w:val="1AFD0644"/>
    <w:rsid w:val="1B246D19"/>
    <w:rsid w:val="1BD357CC"/>
    <w:rsid w:val="1CAB253E"/>
    <w:rsid w:val="1CB25FAA"/>
    <w:rsid w:val="1CBE3220"/>
    <w:rsid w:val="1CEE24ED"/>
    <w:rsid w:val="1CFD7C36"/>
    <w:rsid w:val="1D8B5B65"/>
    <w:rsid w:val="1D8B5DDE"/>
    <w:rsid w:val="1DAF6D5D"/>
    <w:rsid w:val="1DBB4B97"/>
    <w:rsid w:val="1F0614F2"/>
    <w:rsid w:val="1F4934E4"/>
    <w:rsid w:val="1F6752DC"/>
    <w:rsid w:val="1F7C313E"/>
    <w:rsid w:val="1FBF03F0"/>
    <w:rsid w:val="1FCB7587"/>
    <w:rsid w:val="200221CB"/>
    <w:rsid w:val="20031B05"/>
    <w:rsid w:val="216D4BF6"/>
    <w:rsid w:val="218C0355"/>
    <w:rsid w:val="21D97A24"/>
    <w:rsid w:val="221B2A67"/>
    <w:rsid w:val="22A86A88"/>
    <w:rsid w:val="22BC4191"/>
    <w:rsid w:val="22E44999"/>
    <w:rsid w:val="22E87B5F"/>
    <w:rsid w:val="23805560"/>
    <w:rsid w:val="23F67C94"/>
    <w:rsid w:val="243B2F6E"/>
    <w:rsid w:val="248C70E1"/>
    <w:rsid w:val="26317FF4"/>
    <w:rsid w:val="2641214D"/>
    <w:rsid w:val="268C6184"/>
    <w:rsid w:val="26D63897"/>
    <w:rsid w:val="27814E36"/>
    <w:rsid w:val="2796529A"/>
    <w:rsid w:val="28845C8E"/>
    <w:rsid w:val="289861F3"/>
    <w:rsid w:val="299C149B"/>
    <w:rsid w:val="29C42E79"/>
    <w:rsid w:val="29D51C23"/>
    <w:rsid w:val="29D62BAC"/>
    <w:rsid w:val="29D873B1"/>
    <w:rsid w:val="2A103287"/>
    <w:rsid w:val="2A9144DF"/>
    <w:rsid w:val="2AC50370"/>
    <w:rsid w:val="2AF05EFB"/>
    <w:rsid w:val="2B013C59"/>
    <w:rsid w:val="2B7F1563"/>
    <w:rsid w:val="2BA8559F"/>
    <w:rsid w:val="2C552E35"/>
    <w:rsid w:val="2DF53829"/>
    <w:rsid w:val="2E463ABE"/>
    <w:rsid w:val="2F072CF9"/>
    <w:rsid w:val="2F927AAF"/>
    <w:rsid w:val="302047D7"/>
    <w:rsid w:val="30815042"/>
    <w:rsid w:val="318206FC"/>
    <w:rsid w:val="31C64AB1"/>
    <w:rsid w:val="31FB7654"/>
    <w:rsid w:val="325356E2"/>
    <w:rsid w:val="3254265B"/>
    <w:rsid w:val="32764679"/>
    <w:rsid w:val="32CB318E"/>
    <w:rsid w:val="33182487"/>
    <w:rsid w:val="338C1033"/>
    <w:rsid w:val="339441CF"/>
    <w:rsid w:val="33AF0723"/>
    <w:rsid w:val="33C6271F"/>
    <w:rsid w:val="33CD5020"/>
    <w:rsid w:val="33FB61D0"/>
    <w:rsid w:val="343E5272"/>
    <w:rsid w:val="34473D81"/>
    <w:rsid w:val="345179FF"/>
    <w:rsid w:val="34607C42"/>
    <w:rsid w:val="35472BB0"/>
    <w:rsid w:val="35705DCF"/>
    <w:rsid w:val="360B60DB"/>
    <w:rsid w:val="36687AF9"/>
    <w:rsid w:val="369C3A80"/>
    <w:rsid w:val="36F60F68"/>
    <w:rsid w:val="371116F1"/>
    <w:rsid w:val="377313B5"/>
    <w:rsid w:val="37A14E61"/>
    <w:rsid w:val="37C7B50B"/>
    <w:rsid w:val="37D026C8"/>
    <w:rsid w:val="37F214F9"/>
    <w:rsid w:val="382805C6"/>
    <w:rsid w:val="38EB5754"/>
    <w:rsid w:val="38FD0B34"/>
    <w:rsid w:val="3911775D"/>
    <w:rsid w:val="39277C8A"/>
    <w:rsid w:val="392A1279"/>
    <w:rsid w:val="39952550"/>
    <w:rsid w:val="3B1E244D"/>
    <w:rsid w:val="3BA2510C"/>
    <w:rsid w:val="3BAE2F93"/>
    <w:rsid w:val="3C065E33"/>
    <w:rsid w:val="3C3145CE"/>
    <w:rsid w:val="3C443027"/>
    <w:rsid w:val="3C8C7AEE"/>
    <w:rsid w:val="3D686E3F"/>
    <w:rsid w:val="3E8679F3"/>
    <w:rsid w:val="3EB82ED9"/>
    <w:rsid w:val="3F640884"/>
    <w:rsid w:val="3FED6E84"/>
    <w:rsid w:val="3FF973F4"/>
    <w:rsid w:val="40207DC4"/>
    <w:rsid w:val="40562453"/>
    <w:rsid w:val="40582115"/>
    <w:rsid w:val="40606BAD"/>
    <w:rsid w:val="40FD668D"/>
    <w:rsid w:val="410D1B10"/>
    <w:rsid w:val="410E3E10"/>
    <w:rsid w:val="41317ABC"/>
    <w:rsid w:val="4153517C"/>
    <w:rsid w:val="41632342"/>
    <w:rsid w:val="41C841CE"/>
    <w:rsid w:val="42095CD1"/>
    <w:rsid w:val="421D53C4"/>
    <w:rsid w:val="427D5E63"/>
    <w:rsid w:val="42FA0482"/>
    <w:rsid w:val="431D401F"/>
    <w:rsid w:val="43F87E97"/>
    <w:rsid w:val="444C419C"/>
    <w:rsid w:val="44845974"/>
    <w:rsid w:val="449D5083"/>
    <w:rsid w:val="44AB792B"/>
    <w:rsid w:val="45032A73"/>
    <w:rsid w:val="45913036"/>
    <w:rsid w:val="46C2478C"/>
    <w:rsid w:val="46D1436F"/>
    <w:rsid w:val="47371FC7"/>
    <w:rsid w:val="478A6F17"/>
    <w:rsid w:val="48123D9C"/>
    <w:rsid w:val="48307A3B"/>
    <w:rsid w:val="483D78A3"/>
    <w:rsid w:val="486B440C"/>
    <w:rsid w:val="488665AE"/>
    <w:rsid w:val="498034A5"/>
    <w:rsid w:val="4A5219AA"/>
    <w:rsid w:val="4A5C7E85"/>
    <w:rsid w:val="4A6D0E1C"/>
    <w:rsid w:val="4A77137D"/>
    <w:rsid w:val="4A851F88"/>
    <w:rsid w:val="4ADF47D6"/>
    <w:rsid w:val="4B717EB6"/>
    <w:rsid w:val="4C074E5C"/>
    <w:rsid w:val="4C8524E4"/>
    <w:rsid w:val="4D2C5ABB"/>
    <w:rsid w:val="4D317F76"/>
    <w:rsid w:val="4D365C2A"/>
    <w:rsid w:val="4DB72E4A"/>
    <w:rsid w:val="4DEC0901"/>
    <w:rsid w:val="4DF51D19"/>
    <w:rsid w:val="4E01203E"/>
    <w:rsid w:val="4F2A68EE"/>
    <w:rsid w:val="4F2F3164"/>
    <w:rsid w:val="4F3D45A2"/>
    <w:rsid w:val="4F9E1ABE"/>
    <w:rsid w:val="4FAE3D60"/>
    <w:rsid w:val="4FDE875C"/>
    <w:rsid w:val="500135C9"/>
    <w:rsid w:val="500C6DC6"/>
    <w:rsid w:val="501A21FF"/>
    <w:rsid w:val="509E4783"/>
    <w:rsid w:val="50EA0B67"/>
    <w:rsid w:val="51244DF0"/>
    <w:rsid w:val="51765DA8"/>
    <w:rsid w:val="51A23DC6"/>
    <w:rsid w:val="51AE63EB"/>
    <w:rsid w:val="51BA67E3"/>
    <w:rsid w:val="51D51818"/>
    <w:rsid w:val="52DC6B37"/>
    <w:rsid w:val="53861634"/>
    <w:rsid w:val="53BC4FF0"/>
    <w:rsid w:val="541B7F5F"/>
    <w:rsid w:val="54B714B5"/>
    <w:rsid w:val="54D636F5"/>
    <w:rsid w:val="55261643"/>
    <w:rsid w:val="55B26AC6"/>
    <w:rsid w:val="55B65E31"/>
    <w:rsid w:val="565A6E77"/>
    <w:rsid w:val="569A4274"/>
    <w:rsid w:val="56AF2D09"/>
    <w:rsid w:val="58424522"/>
    <w:rsid w:val="587A1119"/>
    <w:rsid w:val="595606C3"/>
    <w:rsid w:val="5964211A"/>
    <w:rsid w:val="598C3505"/>
    <w:rsid w:val="59A228E3"/>
    <w:rsid w:val="5A5A0E8B"/>
    <w:rsid w:val="5A5C300D"/>
    <w:rsid w:val="5A5E54E9"/>
    <w:rsid w:val="5A623871"/>
    <w:rsid w:val="5AB056BB"/>
    <w:rsid w:val="5B0A122A"/>
    <w:rsid w:val="5B696055"/>
    <w:rsid w:val="5B9625EC"/>
    <w:rsid w:val="5C4A7315"/>
    <w:rsid w:val="5CEC43FE"/>
    <w:rsid w:val="5D693538"/>
    <w:rsid w:val="5D8F03E6"/>
    <w:rsid w:val="5E3E0745"/>
    <w:rsid w:val="5F497D13"/>
    <w:rsid w:val="5F667D46"/>
    <w:rsid w:val="5F9DB233"/>
    <w:rsid w:val="5FCC661E"/>
    <w:rsid w:val="5FD650D9"/>
    <w:rsid w:val="5FF27AE1"/>
    <w:rsid w:val="607B064C"/>
    <w:rsid w:val="60DE22A3"/>
    <w:rsid w:val="613735AE"/>
    <w:rsid w:val="61542052"/>
    <w:rsid w:val="61C62EC2"/>
    <w:rsid w:val="623A4BAB"/>
    <w:rsid w:val="6245633B"/>
    <w:rsid w:val="626530CB"/>
    <w:rsid w:val="627D665A"/>
    <w:rsid w:val="62AF64DB"/>
    <w:rsid w:val="62DD22DA"/>
    <w:rsid w:val="62FD557A"/>
    <w:rsid w:val="63485E56"/>
    <w:rsid w:val="63711DC9"/>
    <w:rsid w:val="63BB4D4F"/>
    <w:rsid w:val="63D95197"/>
    <w:rsid w:val="64671A02"/>
    <w:rsid w:val="64FC134F"/>
    <w:rsid w:val="65BA194B"/>
    <w:rsid w:val="65C22C06"/>
    <w:rsid w:val="66091FA1"/>
    <w:rsid w:val="661D040C"/>
    <w:rsid w:val="67E1553D"/>
    <w:rsid w:val="68ED60B6"/>
    <w:rsid w:val="690E546B"/>
    <w:rsid w:val="6AB53B3C"/>
    <w:rsid w:val="6AEF1CE7"/>
    <w:rsid w:val="6AF66C20"/>
    <w:rsid w:val="6B867CDB"/>
    <w:rsid w:val="6C172D01"/>
    <w:rsid w:val="6CAD1C5A"/>
    <w:rsid w:val="6CE73B06"/>
    <w:rsid w:val="6D9B1E51"/>
    <w:rsid w:val="6E382763"/>
    <w:rsid w:val="6E6A7525"/>
    <w:rsid w:val="6E9B0C60"/>
    <w:rsid w:val="6F35282D"/>
    <w:rsid w:val="6F7DAD4B"/>
    <w:rsid w:val="6FBDCD8A"/>
    <w:rsid w:val="6FD76303"/>
    <w:rsid w:val="700417EE"/>
    <w:rsid w:val="703E64E3"/>
    <w:rsid w:val="705A3C6F"/>
    <w:rsid w:val="707929C1"/>
    <w:rsid w:val="70BD7F95"/>
    <w:rsid w:val="70CE474E"/>
    <w:rsid w:val="7139707D"/>
    <w:rsid w:val="719A09DE"/>
    <w:rsid w:val="72170CD9"/>
    <w:rsid w:val="729456C5"/>
    <w:rsid w:val="730C0A49"/>
    <w:rsid w:val="73A81DB5"/>
    <w:rsid w:val="73CB47CA"/>
    <w:rsid w:val="73DB1524"/>
    <w:rsid w:val="73F46E1C"/>
    <w:rsid w:val="742B542B"/>
    <w:rsid w:val="744675ED"/>
    <w:rsid w:val="755748DA"/>
    <w:rsid w:val="755D644F"/>
    <w:rsid w:val="76467535"/>
    <w:rsid w:val="76770A05"/>
    <w:rsid w:val="767A0FBD"/>
    <w:rsid w:val="773504DF"/>
    <w:rsid w:val="77400C32"/>
    <w:rsid w:val="775A0916"/>
    <w:rsid w:val="775E42E6"/>
    <w:rsid w:val="77B741E6"/>
    <w:rsid w:val="780515CF"/>
    <w:rsid w:val="780C30AD"/>
    <w:rsid w:val="78182ECC"/>
    <w:rsid w:val="782B4CE1"/>
    <w:rsid w:val="783A040A"/>
    <w:rsid w:val="783D79DF"/>
    <w:rsid w:val="788D289B"/>
    <w:rsid w:val="789B398A"/>
    <w:rsid w:val="78D43970"/>
    <w:rsid w:val="78E1748A"/>
    <w:rsid w:val="793F2C89"/>
    <w:rsid w:val="79A24936"/>
    <w:rsid w:val="79BC2ED9"/>
    <w:rsid w:val="79D6185E"/>
    <w:rsid w:val="79F14E2C"/>
    <w:rsid w:val="79F4531C"/>
    <w:rsid w:val="7A192418"/>
    <w:rsid w:val="7A716688"/>
    <w:rsid w:val="7A731719"/>
    <w:rsid w:val="7AB6702C"/>
    <w:rsid w:val="7AC44CB6"/>
    <w:rsid w:val="7B875081"/>
    <w:rsid w:val="7BC10C4F"/>
    <w:rsid w:val="7BFF909C"/>
    <w:rsid w:val="7C36570A"/>
    <w:rsid w:val="7C3A66A0"/>
    <w:rsid w:val="7C4D5F14"/>
    <w:rsid w:val="7C8B0BA1"/>
    <w:rsid w:val="7CB00608"/>
    <w:rsid w:val="7CDC4FC8"/>
    <w:rsid w:val="7CF20F04"/>
    <w:rsid w:val="7D051F47"/>
    <w:rsid w:val="7D8C697F"/>
    <w:rsid w:val="7DC72008"/>
    <w:rsid w:val="7E1965C9"/>
    <w:rsid w:val="7E484F9C"/>
    <w:rsid w:val="7F604826"/>
    <w:rsid w:val="7FB7532B"/>
    <w:rsid w:val="7FEFBD74"/>
    <w:rsid w:val="9D7CDA8E"/>
    <w:rsid w:val="A59F2591"/>
    <w:rsid w:val="B3F4D9B8"/>
    <w:rsid w:val="B9BF98CF"/>
    <w:rsid w:val="BF7FC19B"/>
    <w:rsid w:val="D7BEE743"/>
    <w:rsid w:val="D7DA4CA0"/>
    <w:rsid w:val="DFBF94F1"/>
    <w:rsid w:val="EFC7ED95"/>
    <w:rsid w:val="F56ECEFA"/>
    <w:rsid w:val="FB7F469D"/>
    <w:rsid w:val="FBFF8863"/>
    <w:rsid w:val="FF3DD7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link w:val="40"/>
    <w:qFormat/>
    <w:uiPriority w:val="0"/>
    <w:pPr>
      <w:jc w:val="left"/>
    </w:pPr>
  </w:style>
  <w:style w:type="paragraph" w:styleId="9">
    <w:name w:val="Body Text"/>
    <w:basedOn w:val="1"/>
    <w:next w:val="1"/>
    <w:qFormat/>
    <w:uiPriority w:val="0"/>
    <w:pPr>
      <w:spacing w:after="120"/>
    </w:pPr>
    <w:rPr>
      <w:kern w:val="0"/>
      <w:sz w:val="20"/>
    </w:rPr>
  </w:style>
  <w:style w:type="paragraph" w:styleId="10">
    <w:name w:val="Body Text Indent"/>
    <w:basedOn w:val="1"/>
    <w:next w:val="11"/>
    <w:qFormat/>
    <w:uiPriority w:val="0"/>
    <w:pPr>
      <w:spacing w:after="120"/>
      <w:ind w:left="420" w:leftChars="200"/>
    </w:pPr>
    <w:rPr>
      <w:kern w:val="0"/>
      <w:sz w:val="20"/>
    </w:rPr>
  </w:style>
  <w:style w:type="paragraph" w:styleId="11">
    <w:name w:val="envelope return"/>
    <w:basedOn w:val="1"/>
    <w:unhideWhenUsed/>
    <w:qFormat/>
    <w:uiPriority w:val="99"/>
    <w:pPr>
      <w:snapToGrid w:val="0"/>
    </w:pPr>
    <w:rPr>
      <w:rFonts w:ascii="Arial" w:hAnsi="Arial" w:cs="Arial"/>
    </w:rPr>
  </w:style>
  <w:style w:type="paragraph" w:styleId="12">
    <w:name w:val="Plain Text"/>
    <w:basedOn w:val="1"/>
    <w:qFormat/>
    <w:uiPriority w:val="0"/>
    <w:rPr>
      <w:rFonts w:ascii="宋体" w:hAnsi="Courier New"/>
    </w:rPr>
  </w:style>
  <w:style w:type="paragraph" w:styleId="13">
    <w:name w:val="Balloon Text"/>
    <w:basedOn w:val="1"/>
    <w:link w:val="39"/>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39"/>
    <w:pPr>
      <w:ind w:left="210"/>
      <w:jc w:val="left"/>
    </w:pPr>
    <w:rPr>
      <w:rFonts w:ascii="Calibri" w:hAnsi="Calibri"/>
      <w:smallCaps/>
      <w:sz w:val="20"/>
      <w:szCs w:val="20"/>
    </w:rPr>
  </w:style>
  <w:style w:type="paragraph" w:styleId="18">
    <w:name w:val="Body Text 2"/>
    <w:basedOn w:val="1"/>
    <w:unhideWhenUsed/>
    <w:qFormat/>
    <w:uiPriority w:val="99"/>
    <w:pPr>
      <w:spacing w:after="120" w:line="480" w:lineRule="auto"/>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spacing w:line="360" w:lineRule="auto"/>
      <w:jc w:val="center"/>
    </w:pPr>
    <w:rPr>
      <w:rFonts w:ascii="宋体" w:hAnsi="Arial" w:cs="Arial"/>
      <w:b/>
      <w:color w:val="000000"/>
      <w:sz w:val="24"/>
    </w:rPr>
  </w:style>
  <w:style w:type="paragraph" w:styleId="21">
    <w:name w:val="annotation subject"/>
    <w:basedOn w:val="8"/>
    <w:next w:val="8"/>
    <w:link w:val="41"/>
    <w:qFormat/>
    <w:uiPriority w:val="0"/>
    <w:rPr>
      <w:b/>
      <w:bCs/>
    </w:rPr>
  </w:style>
  <w:style w:type="paragraph" w:styleId="22">
    <w:name w:val="Body Text First Indent"/>
    <w:basedOn w:val="9"/>
    <w:qFormat/>
    <w:uiPriority w:val="0"/>
    <w:pPr>
      <w:ind w:firstLine="420" w:firstLineChars="100"/>
    </w:pPr>
    <w:rPr>
      <w:rFonts w:ascii="Calibri" w:hAnsi="Calibri" w:eastAsia="方正仿宋_GBK"/>
      <w:sz w:val="32"/>
      <w:szCs w:val="20"/>
    </w:rPr>
  </w:style>
  <w:style w:type="paragraph" w:styleId="23">
    <w:name w:val="Body Text First Indent 2"/>
    <w:basedOn w:val="10"/>
    <w:next w:val="1"/>
    <w:unhideWhenUsed/>
    <w:qFormat/>
    <w:uiPriority w:val="0"/>
    <w:pPr>
      <w:ind w:firstLine="420"/>
    </w:pPr>
  </w:style>
  <w:style w:type="table" w:styleId="25">
    <w:name w:val="Table Grid"/>
    <w:basedOn w:val="2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font10"/>
    <w:basedOn w:val="1"/>
    <w:qFormat/>
    <w:uiPriority w:val="0"/>
    <w:pPr>
      <w:widowControl/>
      <w:spacing w:before="100" w:beforeAutospacing="1" w:after="100" w:afterAutospacing="1"/>
      <w:jc w:val="left"/>
    </w:pPr>
    <w:rPr>
      <w:kern w:val="0"/>
      <w:sz w:val="28"/>
      <w:szCs w:val="28"/>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标题 2 字符"/>
    <w:link w:val="3"/>
    <w:qFormat/>
    <w:uiPriority w:val="0"/>
    <w:rPr>
      <w:rFonts w:ascii="Arial" w:hAnsi="Arial" w:eastAsia="黑体"/>
      <w:b/>
      <w:bCs/>
      <w:kern w:val="0"/>
      <w:sz w:val="32"/>
      <w:szCs w:val="32"/>
    </w:rPr>
  </w:style>
  <w:style w:type="character" w:customStyle="1" w:styleId="33">
    <w:name w:val="标题 1 字符"/>
    <w:link w:val="2"/>
    <w:qFormat/>
    <w:uiPriority w:val="0"/>
    <w:rPr>
      <w:b/>
      <w:bCs/>
      <w:kern w:val="44"/>
      <w:sz w:val="44"/>
      <w:szCs w:val="44"/>
    </w:rPr>
  </w:style>
  <w:style w:type="paragraph" w:styleId="34">
    <w:name w:val="List Paragraph"/>
    <w:basedOn w:val="1"/>
    <w:qFormat/>
    <w:uiPriority w:val="99"/>
    <w:pPr>
      <w:ind w:firstLine="420" w:firstLineChars="200"/>
    </w:pPr>
  </w:style>
  <w:style w:type="paragraph" w:customStyle="1" w:styleId="35">
    <w:name w:val="Table Paragraph"/>
    <w:basedOn w:val="1"/>
    <w:qFormat/>
    <w:uiPriority w:val="1"/>
  </w:style>
  <w:style w:type="paragraph" w:customStyle="1" w:styleId="36">
    <w:name w:val="*正文"/>
    <w:basedOn w:val="1"/>
    <w:qFormat/>
    <w:uiPriority w:val="0"/>
    <w:pPr>
      <w:widowControl/>
      <w:ind w:firstLine="200" w:firstLineChars="200"/>
    </w:pPr>
    <w:rPr>
      <w:rFonts w:ascii="仿宋_GB2312" w:eastAsia="仿宋_GB2312" w:cstheme="minorBidi"/>
      <w:sz w:val="24"/>
      <w:szCs w:val="28"/>
    </w:rPr>
  </w:style>
  <w:style w:type="paragraph" w:customStyle="1" w:styleId="37">
    <w:name w:val="表体"/>
    <w:basedOn w:val="1"/>
    <w:next w:val="1"/>
    <w:qFormat/>
    <w:uiPriority w:val="0"/>
    <w:pPr>
      <w:snapToGrid w:val="0"/>
      <w:spacing w:line="0" w:lineRule="atLeast"/>
    </w:pPr>
    <w:rPr>
      <w:b/>
      <w:szCs w:val="20"/>
    </w:rPr>
  </w:style>
  <w:style w:type="paragraph" w:customStyle="1" w:styleId="38">
    <w:name w:val="文档正文"/>
    <w:basedOn w:val="1"/>
    <w:qFormat/>
    <w:uiPriority w:val="0"/>
    <w:pPr>
      <w:adjustRightInd w:val="0"/>
      <w:spacing w:line="480" w:lineRule="atLeast"/>
      <w:ind w:firstLine="567"/>
    </w:pPr>
    <w:rPr>
      <w:rFonts w:ascii="长城仿宋"/>
      <w:kern w:val="0"/>
      <w:sz w:val="24"/>
      <w:szCs w:val="20"/>
    </w:rPr>
  </w:style>
  <w:style w:type="character" w:customStyle="1" w:styleId="39">
    <w:name w:val="批注框文本 字符"/>
    <w:basedOn w:val="26"/>
    <w:link w:val="13"/>
    <w:qFormat/>
    <w:uiPriority w:val="0"/>
    <w:rPr>
      <w:kern w:val="2"/>
      <w:sz w:val="18"/>
      <w:szCs w:val="18"/>
    </w:rPr>
  </w:style>
  <w:style w:type="character" w:customStyle="1" w:styleId="40">
    <w:name w:val="批注文字 字符"/>
    <w:basedOn w:val="26"/>
    <w:link w:val="8"/>
    <w:qFormat/>
    <w:uiPriority w:val="0"/>
    <w:rPr>
      <w:kern w:val="2"/>
      <w:sz w:val="21"/>
      <w:szCs w:val="24"/>
    </w:rPr>
  </w:style>
  <w:style w:type="character" w:customStyle="1" w:styleId="41">
    <w:name w:val="批注主题 字符"/>
    <w:basedOn w:val="40"/>
    <w:link w:val="21"/>
    <w:qFormat/>
    <w:uiPriority w:val="0"/>
    <w:rPr>
      <w:b/>
      <w:bCs/>
      <w:kern w:val="2"/>
      <w:sz w:val="21"/>
      <w:szCs w:val="24"/>
    </w:rPr>
  </w:style>
  <w:style w:type="paragraph" w:customStyle="1" w:styleId="42">
    <w:name w:val="标题3"/>
    <w:basedOn w:val="1"/>
    <w:qFormat/>
    <w:uiPriority w:val="0"/>
    <w:pPr>
      <w:numPr>
        <w:ilvl w:val="2"/>
        <w:numId w:val="1"/>
      </w:numPr>
      <w:adjustRightInd w:val="0"/>
      <w:snapToGrid w:val="0"/>
      <w:ind w:firstLineChars="0"/>
      <w:outlineLvl w:val="2"/>
    </w:pPr>
    <w:rPr>
      <w:b/>
      <w:sz w:val="30"/>
    </w:rPr>
  </w:style>
  <w:style w:type="paragraph" w:customStyle="1" w:styleId="43">
    <w:name w:val="标题4"/>
    <w:basedOn w:val="1"/>
    <w:qFormat/>
    <w:uiPriority w:val="0"/>
    <w:pPr>
      <w:numPr>
        <w:ilvl w:val="3"/>
        <w:numId w:val="1"/>
      </w:numPr>
      <w:ind w:firstLineChars="0"/>
      <w:outlineLvl w:val="3"/>
    </w:pPr>
    <w:rPr>
      <w:b/>
      <w:sz w:val="28"/>
    </w:rPr>
  </w:style>
  <w:style w:type="paragraph" w:customStyle="1" w:styleId="44">
    <w:name w:val="标题5"/>
    <w:basedOn w:val="43"/>
    <w:qFormat/>
    <w:uiPriority w:val="0"/>
    <w:pPr>
      <w:numPr>
        <w:ilvl w:val="4"/>
      </w:numPr>
      <w:outlineLvl w:val="4"/>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16561</Words>
  <Characters>17345</Characters>
  <Lines>112</Lines>
  <Paragraphs>31</Paragraphs>
  <TotalTime>1</TotalTime>
  <ScaleCrop>false</ScaleCrop>
  <LinksUpToDate>false</LinksUpToDate>
  <CharactersWithSpaces>18351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2024-11-04T03:27:00Z</dcterms:created>
  <dc:creator>Kevin</dc:creator>
  <cp:lastModifiedBy>Kevin</cp:lastModifiedBy>
  <dcterms:modified xsi:type="dcterms:W3CDTF">2024-12-02T06:37:36Z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7ECF29CE477142FF810CD3E5C6CDE642_13</vt:lpwstr>
  </property>
</Properties>
</file>