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000000" w:themeColor="text1"/>
          <w:sz w:val="32"/>
          <w:szCs w:val="32"/>
          <w14:textFill>
            <w14:solidFill>
              <w14:schemeClr w14:val="tx1"/>
            </w14:solidFill>
          </w14:textFill>
        </w:rPr>
      </w:pPr>
    </w:p>
    <w:p>
      <w:pPr>
        <w:spacing w:line="400" w:lineRule="exact"/>
        <w:jc w:val="center"/>
        <w:rPr>
          <w:rFonts w:hint="eastAsia" w:ascii="宋体" w:hAnsi="宋体" w:eastAsia="宋体" w:cs="宋体"/>
          <w:b/>
          <w:color w:val="000000" w:themeColor="text1"/>
          <w:sz w:val="32"/>
          <w:szCs w:val="32"/>
          <w:highlight w:val="yellow"/>
          <w:lang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w:t>
      </w:r>
      <w:r>
        <w:rPr>
          <w:rFonts w:hint="eastAsia" w:ascii="宋体" w:hAnsi="宋体" w:cs="宋体"/>
          <w:b/>
          <w:color w:val="000000" w:themeColor="text1"/>
          <w:sz w:val="32"/>
          <w:szCs w:val="32"/>
          <w:lang w:eastAsia="zh-CN"/>
          <w14:textFill>
            <w14:solidFill>
              <w14:schemeClr w14:val="tx1"/>
            </w14:solidFill>
          </w14:textFill>
        </w:rPr>
        <w:t>国产技术体系下基于业务的财务共享系统开发服务</w:t>
      </w:r>
    </w:p>
    <w:p>
      <w:pPr>
        <w:pStyle w:val="23"/>
        <w:ind w:left="0" w:leftChars="0" w:firstLine="0"/>
        <w:rPr>
          <w:rFonts w:ascii="宋体" w:hAnsi="宋体" w:cs="宋体"/>
          <w:b/>
          <w:color w:val="000000" w:themeColor="text1"/>
          <w:sz w:val="32"/>
          <w:szCs w:val="32"/>
          <w:highlight w:val="yellow"/>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竞</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性</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比</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文</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96"/>
          <w:szCs w:val="72"/>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件</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采购人：重庆首讯科技股份有限公司</w:t>
      </w: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u w:val="single"/>
          <w14:textFill>
            <w14:solidFill>
              <w14:schemeClr w14:val="tx1"/>
            </w14:solidFill>
          </w14:textFill>
        </w:rPr>
        <w:t>202</w:t>
      </w:r>
      <w:r>
        <w:rPr>
          <w:rFonts w:ascii="宋体" w:hAnsi="宋体" w:cs="宋体"/>
          <w:b/>
          <w:color w:val="000000" w:themeColor="text1"/>
          <w:sz w:val="28"/>
          <w:szCs w:val="28"/>
          <w:u w:val="single"/>
          <w14:textFill>
            <w14:solidFill>
              <w14:schemeClr w14:val="tx1"/>
            </w14:solidFill>
          </w14:textFill>
        </w:rPr>
        <w:t>4</w:t>
      </w:r>
      <w:r>
        <w:rPr>
          <w:rFonts w:hint="eastAsia" w:ascii="宋体" w:hAnsi="宋体" w:cs="宋体"/>
          <w:b/>
          <w:color w:val="000000" w:themeColor="text1"/>
          <w:sz w:val="28"/>
          <w:szCs w:val="28"/>
          <w14:textFill>
            <w14:solidFill>
              <w14:schemeClr w14:val="tx1"/>
            </w14:solidFill>
          </w14:textFill>
        </w:rPr>
        <w:t>年</w:t>
      </w:r>
      <w:r>
        <w:rPr>
          <w:rFonts w:hint="eastAsia" w:ascii="宋体" w:hAnsi="宋体" w:cs="宋体"/>
          <w:b/>
          <w:color w:val="000000" w:themeColor="text1"/>
          <w:sz w:val="28"/>
          <w:szCs w:val="28"/>
          <w:u w:val="single"/>
          <w14:textFill>
            <w14:solidFill>
              <w14:schemeClr w14:val="tx1"/>
            </w14:solidFill>
          </w14:textFill>
        </w:rPr>
        <w:t xml:space="preserve"> 11 </w:t>
      </w:r>
      <w:r>
        <w:rPr>
          <w:rFonts w:hint="eastAsia" w:ascii="宋体" w:hAnsi="宋体" w:cs="宋体"/>
          <w:b/>
          <w:color w:val="000000" w:themeColor="text1"/>
          <w:sz w:val="28"/>
          <w:szCs w:val="28"/>
          <w14:textFill>
            <w14:solidFill>
              <w14:schemeClr w14:val="tx1"/>
            </w14:solidFill>
          </w14:textFill>
        </w:rPr>
        <w:t>月</w:t>
      </w:r>
    </w:p>
    <w:p>
      <w:pPr>
        <w:pStyle w:val="16"/>
        <w:jc w:val="cente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br w:type="page"/>
      </w:r>
      <w:bookmarkStart w:id="0" w:name="_Toc246996898"/>
      <w:bookmarkStart w:id="1" w:name="_Toc507428442"/>
      <w:bookmarkStart w:id="2" w:name="_Toc247085669"/>
      <w:bookmarkStart w:id="3" w:name="_Toc296602400"/>
      <w:bookmarkStart w:id="4" w:name="_Toc507319889"/>
      <w:r>
        <w:rPr>
          <w:rFonts w:hint="eastAsia" w:ascii="宋体" w:hAnsi="宋体" w:cs="宋体"/>
          <w:b w:val="0"/>
          <w:color w:val="000000" w:themeColor="text1"/>
          <w:sz w:val="32"/>
          <w14:textFill>
            <w14:solidFill>
              <w14:schemeClr w14:val="tx1"/>
            </w14:solidFill>
          </w14:textFill>
        </w:rPr>
        <w:t>目   录</w:t>
      </w:r>
      <w:bookmarkEnd w:id="0"/>
      <w:bookmarkEnd w:id="1"/>
      <w:bookmarkEnd w:id="2"/>
      <w:bookmarkEnd w:id="3"/>
      <w:bookmarkEnd w:id="4"/>
    </w:p>
    <w:p>
      <w:pPr>
        <w:pStyle w:val="17"/>
        <w:tabs>
          <w:tab w:val="right" w:leader="dot" w:pos="9628"/>
        </w:tabs>
        <w:ind w:left="0"/>
        <w:rPr>
          <w:b/>
          <w:bCs/>
          <w:caps/>
          <w:smallCaps w:val="0"/>
          <w:color w:val="000000" w:themeColor="text1"/>
          <w:highlight w:val="green"/>
          <w14:textFill>
            <w14:solidFill>
              <w14:schemeClr w14:val="tx1"/>
            </w14:solidFill>
          </w14:textFill>
        </w:rPr>
      </w:pPr>
    </w:p>
    <w:p>
      <w:pPr>
        <w:pStyle w:val="16"/>
        <w:tabs>
          <w:tab w:val="right" w:leader="dot" w:pos="9638"/>
        </w:tabs>
        <w:rPr>
          <w:rFonts w:ascii="宋体" w:hAnsi="宋体" w:cs="宋体"/>
          <w:color w:val="000000" w:themeColor="text1"/>
          <w14:textFill>
            <w14:solidFill>
              <w14:schemeClr w14:val="tx1"/>
            </w14:solidFill>
          </w14:textFill>
        </w:rPr>
      </w:pPr>
      <w:r>
        <w:rPr>
          <w:rFonts w:hint="eastAsia" w:ascii="宋体" w:hAnsi="宋体" w:cs="宋体"/>
          <w:b w:val="0"/>
          <w:bCs w:val="0"/>
          <w:caps w:val="0"/>
          <w:color w:val="000000" w:themeColor="text1"/>
          <w14:textFill>
            <w14:solidFill>
              <w14:schemeClr w14:val="tx1"/>
            </w14:solidFill>
          </w14:textFill>
        </w:rPr>
        <w:fldChar w:fldCharType="begin"/>
      </w:r>
      <w:r>
        <w:rPr>
          <w:rFonts w:hint="eastAsia" w:ascii="宋体" w:hAnsi="宋体" w:cs="宋体"/>
          <w:b w:val="0"/>
          <w:bCs w:val="0"/>
          <w:caps w:val="0"/>
          <w:color w:val="000000" w:themeColor="text1"/>
          <w14:textFill>
            <w14:solidFill>
              <w14:schemeClr w14:val="tx1"/>
            </w14:solidFill>
          </w14:textFill>
        </w:rPr>
        <w:instrText xml:space="preserve"> TOC \o "1-2" \h \z \u </w:instrText>
      </w:r>
      <w:r>
        <w:rPr>
          <w:rFonts w:hint="eastAsia" w:ascii="宋体" w:hAnsi="宋体" w:cs="宋体"/>
          <w:b w:val="0"/>
          <w:bCs w:val="0"/>
          <w:caps w:val="0"/>
          <w:color w:val="000000" w:themeColor="text1"/>
          <w14:textFill>
            <w14:solidFill>
              <w14:schemeClr w14:val="tx1"/>
            </w14:solidFill>
          </w14:textFill>
        </w:rPr>
        <w:fldChar w:fldCharType="separate"/>
      </w:r>
      <w:r>
        <w:fldChar w:fldCharType="begin"/>
      </w:r>
      <w:r>
        <w:instrText xml:space="preserve"> HYPERLINK \l "_Toc10533" </w:instrText>
      </w:r>
      <w:r>
        <w:fldChar w:fldCharType="separate"/>
      </w:r>
      <w:r>
        <w:rPr>
          <w:rFonts w:hint="eastAsia" w:ascii="宋体" w:hAnsi="宋体" w:cs="宋体"/>
          <w:color w:val="000000" w:themeColor="text1"/>
          <w14:textFill>
            <w14:solidFill>
              <w14:schemeClr w14:val="tx1"/>
            </w14:solidFill>
          </w14:textFill>
        </w:rPr>
        <w:t>第一章 比选公告</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"_Toc21719" </w:instrText>
      </w:r>
      <w:r>
        <w:fldChar w:fldCharType="separate"/>
      </w:r>
      <w:r>
        <w:rPr>
          <w:rFonts w:hint="eastAsia" w:ascii="宋体" w:hAnsi="宋体" w:cs="宋体"/>
          <w:color w:val="000000" w:themeColor="text1"/>
          <w14:textFill>
            <w14:solidFill>
              <w14:schemeClr w14:val="tx1"/>
            </w14:solidFill>
          </w14:textFill>
        </w:rPr>
        <w:t>第二章 报价人须知</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"_Toc7682" </w:instrText>
      </w:r>
      <w:r>
        <w:fldChar w:fldCharType="separate"/>
      </w:r>
      <w:r>
        <w:rPr>
          <w:rFonts w:hint="eastAsia" w:ascii="宋体" w:hAnsi="宋体" w:cs="宋体"/>
          <w:color w:val="000000" w:themeColor="text1"/>
          <w14:textFill>
            <w14:solidFill>
              <w14:schemeClr w14:val="tx1"/>
            </w14:solidFill>
          </w14:textFill>
        </w:rPr>
        <w:t>第三章 评标办法（综合评估法）</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"_Toc13787" </w:instrText>
      </w:r>
      <w:r>
        <w:fldChar w:fldCharType="separate"/>
      </w:r>
      <w:r>
        <w:rPr>
          <w:rFonts w:hint="eastAsia" w:ascii="宋体" w:hAnsi="宋体" w:cs="宋体"/>
          <w:color w:val="000000" w:themeColor="text1"/>
          <w14:textFill>
            <w14:solidFill>
              <w14:schemeClr w14:val="tx1"/>
            </w14:solidFill>
          </w14:textFill>
        </w:rPr>
        <w:t>第四章 报价说明</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"_Toc24503" </w:instrText>
      </w:r>
      <w:r>
        <w:fldChar w:fldCharType="separate"/>
      </w:r>
      <w:r>
        <w:rPr>
          <w:rFonts w:hint="eastAsia" w:ascii="宋体" w:hAnsi="宋体" w:cs="宋体"/>
          <w:color w:val="000000" w:themeColor="text1"/>
          <w14:textFill>
            <w14:solidFill>
              <w14:schemeClr w14:val="tx1"/>
            </w14:solidFill>
          </w14:textFill>
        </w:rPr>
        <w:t>第五章 工程量清单及计量规则</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"_Toc12440" </w:instrText>
      </w:r>
      <w:r>
        <w:fldChar w:fldCharType="separate"/>
      </w:r>
      <w:r>
        <w:rPr>
          <w:rFonts w:hint="eastAsia" w:ascii="宋体" w:hAnsi="宋体" w:cs="宋体"/>
          <w:color w:val="000000" w:themeColor="text1"/>
          <w14:textFill>
            <w14:solidFill>
              <w14:schemeClr w14:val="tx1"/>
            </w14:solidFill>
          </w14:textFill>
        </w:rPr>
        <w:t>第六章 图  纸</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"_Toc10887" </w:instrText>
      </w:r>
      <w:r>
        <w:fldChar w:fldCharType="separate"/>
      </w:r>
      <w:r>
        <w:rPr>
          <w:rFonts w:hint="eastAsia" w:ascii="宋体" w:hAnsi="宋体" w:cs="宋体"/>
          <w:color w:val="000000" w:themeColor="text1"/>
          <w14:textFill>
            <w14:solidFill>
              <w14:schemeClr w14:val="tx1"/>
            </w14:solidFill>
          </w14:textFill>
        </w:rPr>
        <w:t>第七章 技术标准和工作要求</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"_Toc12089" </w:instrText>
      </w:r>
      <w:r>
        <w:fldChar w:fldCharType="separate"/>
      </w:r>
      <w:r>
        <w:rPr>
          <w:rFonts w:hint="eastAsia" w:ascii="宋体" w:hAnsi="宋体" w:cs="宋体"/>
          <w:color w:val="000000" w:themeColor="text1"/>
          <w14:textFill>
            <w14:solidFill>
              <w14:schemeClr w14:val="tx1"/>
            </w14:solidFill>
          </w14:textFill>
        </w:rPr>
        <w:t>第八章 合同范本</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"_Toc24853" </w:instrText>
      </w:r>
      <w:r>
        <w:fldChar w:fldCharType="separate"/>
      </w:r>
      <w:r>
        <w:rPr>
          <w:rFonts w:hint="eastAsia" w:ascii="宋体" w:hAnsi="宋体" w:cs="宋体"/>
          <w:color w:val="000000" w:themeColor="text1"/>
          <w14:textFill>
            <w14:solidFill>
              <w14:schemeClr w14:val="tx1"/>
            </w14:solidFill>
          </w14:textFill>
        </w:rPr>
        <w:t>第九章 竞争性比选响应文件格式</w:t>
      </w:r>
      <w:r>
        <w:rPr>
          <w:rFonts w:hint="eastAsia" w:ascii="宋体" w:hAnsi="宋体" w:cs="宋体"/>
          <w:color w:val="000000" w:themeColor="text1"/>
          <w14:textFill>
            <w14:solidFill>
              <w14:schemeClr w14:val="tx1"/>
            </w14:solidFill>
          </w14:textFill>
        </w:rPr>
        <w:fldChar w:fldCharType="end"/>
      </w:r>
    </w:p>
    <w:p>
      <w:pPr>
        <w:rPr>
          <w:color w:val="000000" w:themeColor="text1"/>
          <w:highlight w:val="green"/>
          <w14:textFill>
            <w14:solidFill>
              <w14:schemeClr w14:val="tx1"/>
            </w14:solidFill>
          </w14:textFill>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000000" w:themeColor="text1"/>
          <w14:textFill>
            <w14:solidFill>
              <w14:schemeClr w14:val="tx1"/>
            </w14:solidFill>
          </w14:textFill>
        </w:rPr>
        <w:fldChar w:fldCharType="end"/>
      </w:r>
    </w:p>
    <w:p>
      <w:pPr>
        <w:pStyle w:val="2"/>
        <w:spacing w:before="0" w:after="0" w:line="360" w:lineRule="auto"/>
        <w:jc w:val="center"/>
        <w:rPr>
          <w:rFonts w:ascii="宋体" w:hAnsi="宋体" w:cs="宋体"/>
          <w:color w:val="000000" w:themeColor="text1"/>
          <w14:textFill>
            <w14:solidFill>
              <w14:schemeClr w14:val="tx1"/>
            </w14:solidFill>
          </w14:textFill>
        </w:rPr>
      </w:pPr>
      <w:bookmarkStart w:id="5" w:name="_Toc246996900"/>
      <w:bookmarkStart w:id="6" w:name="_Toc144974479"/>
      <w:bookmarkStart w:id="7" w:name="_Toc246996157"/>
      <w:bookmarkStart w:id="8" w:name="_Toc152045511"/>
      <w:bookmarkStart w:id="9" w:name="_Toc247085671"/>
      <w:bookmarkStart w:id="10" w:name="_Toc507319890"/>
      <w:bookmarkStart w:id="11" w:name="_Toc179632527"/>
      <w:bookmarkStart w:id="12" w:name="_Toc2000404"/>
      <w:bookmarkStart w:id="13" w:name="_Toc247096243"/>
      <w:bookmarkStart w:id="14" w:name="_Toc152042287"/>
      <w:bookmarkStart w:id="15" w:name="_Toc10533"/>
      <w:r>
        <w:rPr>
          <w:rFonts w:hint="eastAsia" w:ascii="宋体" w:hAnsi="宋体" w:cs="宋体"/>
          <w:color w:val="000000" w:themeColor="text1"/>
          <w14:textFill>
            <w14:solidFill>
              <w14:schemeClr w14:val="tx1"/>
            </w14:solidFill>
          </w14:textFill>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color w:val="000000" w:themeColor="text1"/>
          <w14:textFill>
            <w14:solidFill>
              <w14:schemeClr w14:val="tx1"/>
            </w14:solidFill>
          </w14:textFill>
        </w:rPr>
        <w:t>比选公告</w:t>
      </w:r>
      <w:bookmarkEnd w:id="15"/>
    </w:p>
    <w:p>
      <w:pPr>
        <w:spacing w:line="440" w:lineRule="exact"/>
        <w:jc w:val="center"/>
        <w:rPr>
          <w:rFonts w:ascii="宋体" w:hAnsi="宋体" w:cs="宋体"/>
          <w:b/>
          <w:color w:val="000000" w:themeColor="text1"/>
          <w:sz w:val="28"/>
          <w:szCs w:val="28"/>
          <w14:textFill>
            <w14:solidFill>
              <w14:schemeClr w14:val="tx1"/>
            </w14:solidFill>
          </w14:textFill>
        </w:rPr>
      </w:pPr>
      <w:bookmarkStart w:id="16" w:name="OLE_LINK3"/>
      <w:bookmarkStart w:id="17" w:name="OLE_LINK2"/>
    </w:p>
    <w:p>
      <w:pPr>
        <w:pStyle w:val="3"/>
        <w:spacing w:before="0" w:after="0" w:line="360" w:lineRule="auto"/>
        <w:rPr>
          <w:rFonts w:ascii="宋体" w:hAnsi="宋体" w:eastAsia="宋体" w:cs="宋体"/>
          <w:color w:val="000000" w:themeColor="text1"/>
          <w14:textFill>
            <w14:solidFill>
              <w14:schemeClr w14:val="tx1"/>
            </w14:solidFill>
          </w14:textFill>
        </w:rPr>
      </w:pPr>
      <w:bookmarkStart w:id="18" w:name="_Toc10076"/>
      <w:bookmarkStart w:id="19" w:name="_Toc179632528"/>
      <w:bookmarkStart w:id="20" w:name="_Toc152042288"/>
      <w:bookmarkStart w:id="21" w:name="_Toc507319891"/>
      <w:bookmarkStart w:id="22" w:name="_Toc246996158"/>
      <w:bookmarkStart w:id="23" w:name="_Toc247085672"/>
      <w:bookmarkStart w:id="24" w:name="_Toc246996901"/>
      <w:bookmarkStart w:id="25" w:name="_Toc11329213"/>
      <w:bookmarkStart w:id="26" w:name="_Toc152045512"/>
      <w:bookmarkStart w:id="27" w:name="_Toc24874"/>
      <w:bookmarkStart w:id="28" w:name="_Toc6549"/>
      <w:bookmarkStart w:id="29" w:name="_Toc144974480"/>
      <w:r>
        <w:rPr>
          <w:rFonts w:hint="eastAsia" w:ascii="宋体" w:hAnsi="宋体" w:eastAsia="宋体" w:cs="宋体"/>
          <w:color w:val="000000" w:themeColor="text1"/>
          <w14:textFill>
            <w14:solidFill>
              <w14:schemeClr w14:val="tx1"/>
            </w14:solidFill>
          </w14:textFill>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本竞争性比选项目</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eastAsia="zh-CN"/>
          <w14:textFill>
            <w14:solidFill>
              <w14:schemeClr w14:val="tx1"/>
            </w14:solidFill>
          </w14:textFill>
        </w:rPr>
        <w:t>国产技术体系下基于业务的财务共享系统开发服务</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，采购人为</w:t>
      </w:r>
      <w:r>
        <w:rPr>
          <w:rFonts w:hint="eastAsia" w:ascii="宋体" w:hAnsi="宋体" w:cs="宋体"/>
          <w:color w:val="000000" w:themeColor="text1"/>
          <w:szCs w:val="21"/>
          <w:u w:val="single"/>
          <w14:textFill>
            <w14:solidFill>
              <w14:schemeClr w14:val="tx1"/>
            </w14:solidFill>
          </w14:textFill>
        </w:rPr>
        <w:t xml:space="preserve"> 重庆首讯科技股份有限公司 </w:t>
      </w:r>
      <w:r>
        <w:rPr>
          <w:rFonts w:hint="eastAsia" w:ascii="宋体" w:hAnsi="宋体" w:cs="宋体"/>
          <w:color w:val="000000" w:themeColor="text1"/>
          <w:szCs w:val="21"/>
          <w14:textFill>
            <w14:solidFill>
              <w14:schemeClr w14:val="tx1"/>
            </w14:solidFill>
          </w14:textFill>
        </w:rPr>
        <w:t>，该项目已具备比选条件，现对该项目进行竞争性比选。</w:t>
      </w:r>
    </w:p>
    <w:p>
      <w:pPr>
        <w:pStyle w:val="3"/>
        <w:spacing w:before="120" w:after="0" w:line="360" w:lineRule="auto"/>
        <w:rPr>
          <w:rFonts w:ascii="宋体" w:hAnsi="宋体" w:eastAsia="宋体" w:cs="宋体"/>
          <w:color w:val="000000" w:themeColor="text1"/>
          <w14:textFill>
            <w14:solidFill>
              <w14:schemeClr w14:val="tx1"/>
            </w14:solidFill>
          </w14:textFill>
        </w:rPr>
      </w:pPr>
      <w:bookmarkStart w:id="30" w:name="_Toc10952"/>
      <w:bookmarkStart w:id="31" w:name="_Toc247085673"/>
      <w:bookmarkStart w:id="32" w:name="_Toc179632529"/>
      <w:bookmarkStart w:id="33" w:name="_Toc152042289"/>
      <w:bookmarkStart w:id="34" w:name="_Toc18109"/>
      <w:bookmarkStart w:id="35" w:name="_Toc21343"/>
      <w:bookmarkStart w:id="36" w:name="_Toc11329214"/>
      <w:bookmarkStart w:id="37" w:name="_Toc246996159"/>
      <w:bookmarkStart w:id="38" w:name="_Toc246996902"/>
      <w:bookmarkStart w:id="39" w:name="_Toc144974481"/>
      <w:bookmarkStart w:id="40" w:name="_Toc152045513"/>
      <w:bookmarkStart w:id="41" w:name="_Toc507319892"/>
      <w:r>
        <w:rPr>
          <w:rFonts w:hint="eastAsia" w:ascii="宋体" w:hAnsi="宋体" w:eastAsia="宋体" w:cs="宋体"/>
          <w:color w:val="000000" w:themeColor="text1"/>
          <w14:textFill>
            <w14:solidFill>
              <w14:schemeClr w14:val="tx1"/>
            </w14:solidFill>
          </w14:textFill>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color w:val="000000" w:themeColor="text1"/>
          <w14:textFill>
            <w14:solidFill>
              <w14:schemeClr w14:val="tx1"/>
            </w14:solidFill>
          </w14:textFill>
        </w:rPr>
      </w:pPr>
      <w:bookmarkStart w:id="42" w:name="_Toc446247226"/>
      <w:r>
        <w:rPr>
          <w:rFonts w:hint="eastAsia" w:ascii="宋体" w:hAnsi="宋体" w:cs="宋体"/>
          <w:color w:val="000000" w:themeColor="text1"/>
          <w14:textFill>
            <w14:solidFill>
              <w14:schemeClr w14:val="tx1"/>
            </w14:solidFill>
          </w14:textFill>
        </w:rPr>
        <w:t>2.1 项目地点：</w:t>
      </w:r>
      <w:bookmarkEnd w:id="42"/>
      <w:r>
        <w:rPr>
          <w:rFonts w:hint="eastAsia" w:ascii="宋体" w:hAnsi="宋体" w:cs="宋体"/>
          <w:color w:val="000000" w:themeColor="text1"/>
          <w14:textFill>
            <w14:solidFill>
              <w14:schemeClr w14:val="tx1"/>
            </w14:solidFill>
          </w14:textFill>
        </w:rPr>
        <w:t>重庆市。</w:t>
      </w:r>
    </w:p>
    <w:p>
      <w:pPr>
        <w:pStyle w:val="7"/>
        <w:adjustRightIn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项目概况：为进一步借助现代信息、物联网、移动互联网等技术，与传统业务融合发展，实现无纸化操作和数字化管理；建设财务共享系统，优化表单及流程设计，优化管理报表，共享系统表单及流程优化，实现单据自动判断科目辅助填写要求、凭证审核进共享，提升报账填写易用性与处理效率、降低各单位基础核算工作量，提升财务共享中心运营的成本和效益。以资产管理系统为基础，开发和优化资产管理大屏，以可视化技术助力集团资产经营管理和资产盘活；为进一步深化业财系统融合，打通项目管理系统与共享、预算系统数据通道，实现项目管理业务线上互联流程贯通的目标。建设内容基于共享处理要求及共享优化详细清单进行设计、编码和测试工作，计划工期2个月</w:t>
      </w:r>
      <w:r>
        <w:rPr>
          <w:rFonts w:hint="default" w:ascii="宋体" w:hAnsi="宋体" w:cs="宋体"/>
          <w:color w:val="000000" w:themeColor="text1"/>
          <w:szCs w:val="21"/>
          <w14:textFill>
            <w14:solidFill>
              <w14:schemeClr w14:val="tx1"/>
            </w14:solidFill>
          </w14:textFill>
        </w:rPr>
        <w:t>。</w:t>
      </w:r>
    </w:p>
    <w:p>
      <w:pPr>
        <w:adjustRightInd w:val="0"/>
        <w:spacing w:line="52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 预计采购金额：</w:t>
      </w:r>
      <w:r>
        <w:rPr>
          <w:rFonts w:hint="eastAsia" w:ascii="宋体" w:hAnsi="宋体" w:cs="宋体"/>
          <w:color w:val="000000" w:themeColor="text1"/>
          <w:lang w:val="en-US" w:eastAsia="zh-CN"/>
          <w14:textFill>
            <w14:solidFill>
              <w14:schemeClr w14:val="tx1"/>
            </w14:solidFill>
          </w14:textFill>
        </w:rPr>
        <w:t>82.54</w:t>
      </w:r>
      <w:r>
        <w:rPr>
          <w:rFonts w:hint="eastAsia" w:ascii="宋体" w:hAnsi="宋体" w:cs="宋体"/>
          <w:color w:val="000000" w:themeColor="text1"/>
          <w14:textFill>
            <w14:solidFill>
              <w14:schemeClr w14:val="tx1"/>
            </w14:solidFill>
          </w14:textFill>
        </w:rPr>
        <w:t>万元。</w:t>
      </w:r>
    </w:p>
    <w:p>
      <w:pPr>
        <w:adjustRightInd w:val="0"/>
        <w:spacing w:line="52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 采购内容：</w:t>
      </w:r>
      <w:r>
        <w:rPr>
          <w:rFonts w:hint="eastAsia" w:ascii="宋体" w:hAnsi="宋体" w:cs="宋体"/>
          <w:color w:val="000000" w:themeColor="text1"/>
          <w:szCs w:val="21"/>
          <w14:textFill>
            <w14:solidFill>
              <w14:schemeClr w14:val="tx1"/>
            </w14:solidFill>
          </w14:textFill>
        </w:rPr>
        <w:t>本次采购内容为</w:t>
      </w:r>
      <w:r>
        <w:rPr>
          <w:rFonts w:hint="eastAsia" w:ascii="宋体" w:hAnsi="宋体" w:cs="宋体"/>
          <w:color w:val="000000" w:themeColor="text1"/>
          <w:szCs w:val="21"/>
          <w:lang w:eastAsia="zh-CN"/>
          <w14:textFill>
            <w14:solidFill>
              <w14:schemeClr w14:val="tx1"/>
            </w14:solidFill>
          </w14:textFill>
        </w:rPr>
        <w:t>财务共享</w:t>
      </w:r>
      <w:r>
        <w:rPr>
          <w:rFonts w:hint="eastAsia" w:ascii="宋体" w:hAnsi="宋体" w:cs="宋体"/>
          <w:color w:val="000000" w:themeColor="text1"/>
          <w:szCs w:val="21"/>
          <w:highlight w:val="none"/>
          <w:lang w:eastAsia="zh-CN"/>
          <w14:textFill>
            <w14:solidFill>
              <w14:schemeClr w14:val="tx1"/>
            </w14:solidFill>
          </w14:textFill>
        </w:rPr>
        <w:t>系统</w:t>
      </w:r>
      <w:r>
        <w:rPr>
          <w:rFonts w:hint="eastAsia" w:ascii="宋体" w:hAnsi="宋体" w:cs="宋体"/>
          <w:color w:val="000000" w:themeColor="text1"/>
          <w:szCs w:val="21"/>
          <w:highlight w:val="none"/>
          <w:u w:val="none"/>
          <w14:textFill>
            <w14:solidFill>
              <w14:schemeClr w14:val="tx1"/>
            </w14:solidFill>
          </w14:textFill>
        </w:rPr>
        <w:t>开发工作</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详见工程量清单。</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 工期要求：</w:t>
      </w:r>
      <w:r>
        <w:rPr>
          <w:rFonts w:hint="eastAsia" w:ascii="宋体" w:hAnsi="宋体" w:cs="宋体"/>
        </w:rPr>
        <w:t>预计工期为</w:t>
      </w:r>
      <w:r>
        <w:rPr>
          <w:rFonts w:hint="eastAsia" w:ascii="宋体" w:hAnsi="宋体" w:cs="宋体"/>
          <w:lang w:val="en-US" w:eastAsia="zh-CN"/>
        </w:rPr>
        <w:t>2</w:t>
      </w:r>
      <w:r>
        <w:rPr>
          <w:rFonts w:hint="eastAsia" w:ascii="宋体" w:hAnsi="宋体" w:cs="宋体"/>
        </w:rPr>
        <w:t>个月，具体以项目部要求为准。</w:t>
      </w:r>
    </w:p>
    <w:p>
      <w:pPr>
        <w:pStyle w:val="3"/>
        <w:spacing w:before="120" w:after="0" w:line="360" w:lineRule="auto"/>
        <w:rPr>
          <w:rFonts w:ascii="宋体" w:hAnsi="宋体" w:eastAsia="宋体" w:cs="宋体"/>
          <w:color w:val="000000" w:themeColor="text1"/>
          <w14:textFill>
            <w14:solidFill>
              <w14:schemeClr w14:val="tx1"/>
            </w14:solidFill>
          </w14:textFill>
        </w:rPr>
      </w:pPr>
      <w:bookmarkStart w:id="43" w:name="_Toc152045514"/>
      <w:bookmarkStart w:id="44" w:name="_Toc7065"/>
      <w:bookmarkStart w:id="45" w:name="_Toc247085674"/>
      <w:bookmarkStart w:id="46" w:name="_Toc152042290"/>
      <w:bookmarkStart w:id="47" w:name="_Toc246996903"/>
      <w:bookmarkStart w:id="48" w:name="_Toc30356"/>
      <w:bookmarkStart w:id="49" w:name="_Toc10171"/>
      <w:bookmarkStart w:id="50" w:name="_Toc507319893"/>
      <w:bookmarkStart w:id="51" w:name="_Toc179632530"/>
      <w:bookmarkStart w:id="52" w:name="_Toc11329215"/>
      <w:bookmarkStart w:id="53" w:name="_Toc246996160"/>
      <w:bookmarkStart w:id="54" w:name="_Toc144974482"/>
      <w:r>
        <w:rPr>
          <w:rFonts w:hint="eastAsia" w:ascii="宋体" w:hAnsi="宋体" w:eastAsia="宋体" w:cs="宋体"/>
          <w:color w:val="000000" w:themeColor="text1"/>
          <w14:textFill>
            <w14:solidFill>
              <w14:schemeClr w14:val="tx1"/>
            </w14:solidFill>
          </w14:textFill>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bookmarkStart w:id="55" w:name="_Toc246996161"/>
      <w:bookmarkStart w:id="56" w:name="_Toc152042291"/>
      <w:bookmarkStart w:id="57" w:name="_Toc246996904"/>
      <w:bookmarkStart w:id="58" w:name="_Toc179632531"/>
      <w:bookmarkStart w:id="59" w:name="_Toc144974483"/>
      <w:bookmarkStart w:id="60" w:name="_Toc152045515"/>
      <w:bookmarkStart w:id="61" w:name="_Toc247085675"/>
      <w:r>
        <w:rPr>
          <w:rFonts w:hint="eastAsia" w:ascii="宋体" w:hAnsi="宋体" w:cs="宋体"/>
          <w:color w:val="000000" w:themeColor="text1"/>
          <w:szCs w:val="21"/>
          <w:shd w:val="clear" w:color="auto" w:fill="FFFFFF"/>
          <w14:textFill>
            <w14:solidFill>
              <w14:schemeClr w14:val="tx1"/>
            </w14:solidFill>
          </w14:textFill>
        </w:rPr>
        <w:t>3.1 资质要求：</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（1）报价人具有独立法人资格及有效的营业执照；</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3.2 业绩要求：2021年1月1日至报价截止日期（以合同签订时间为准）至少独立完成一项合同金额不低于50万元的软件</w:t>
      </w:r>
      <w:r>
        <w:rPr>
          <w:rFonts w:hint="eastAsia" w:ascii="宋体" w:hAnsi="宋体" w:cs="宋体"/>
          <w:color w:val="000000" w:themeColor="text1"/>
          <w:szCs w:val="21"/>
          <w:shd w:val="clear" w:color="auto" w:fill="FFFFFF"/>
          <w:lang w:val="en-US" w:eastAsia="zh-CN"/>
          <w14:textFill>
            <w14:solidFill>
              <w14:schemeClr w14:val="tx1"/>
            </w14:solidFill>
          </w14:textFill>
        </w:rPr>
        <w:t>开发</w:t>
      </w:r>
      <w:r>
        <w:rPr>
          <w:rFonts w:hint="eastAsia" w:ascii="宋体" w:hAnsi="宋体" w:cs="宋体"/>
          <w:color w:val="000000" w:themeColor="text1"/>
          <w:szCs w:val="21"/>
          <w:shd w:val="clear" w:color="auto" w:fill="FFFFFF"/>
          <w14:textFill>
            <w14:solidFill>
              <w14:schemeClr w14:val="tx1"/>
            </w14:solidFill>
          </w14:textFill>
        </w:rPr>
        <w:t>或技术服务业绩（提供合同扫描件）。</w:t>
      </w:r>
    </w:p>
    <w:p>
      <w:pPr>
        <w:wordWrap w:val="0"/>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3.3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3.4 报价人须提供采购人要求的所有资质要求、业绩要求、信誉要求的复印件并加盖单位鲜公章。</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3.5</w:t>
      </w:r>
      <w:r>
        <w:rPr>
          <w:rFonts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本次比选不接受联合体报价。</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3.6 单位负责人为同一人或者存在控股、管理关系的不同单位，不得同时参加本项目报价，否则均按无效报价处理。</w:t>
      </w:r>
    </w:p>
    <w:p>
      <w:pPr>
        <w:pStyle w:val="3"/>
        <w:spacing w:before="120" w:after="0"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评标办法</w:t>
      </w:r>
    </w:p>
    <w:p>
      <w:pPr>
        <w:pStyle w:val="9"/>
        <w:ind w:firstLine="420" w:firstLineChars="200"/>
        <w:rPr>
          <w:rFonts w:ascii="宋体" w:hAnsi="宋体"/>
          <w:kern w:val="2"/>
          <w:sz w:val="21"/>
          <w:szCs w:val="21"/>
        </w:rPr>
      </w:pPr>
      <w:r>
        <w:rPr>
          <w:rFonts w:hint="eastAsia" w:ascii="宋体" w:hAnsi="宋体"/>
          <w:kern w:val="2"/>
          <w:sz w:val="21"/>
          <w:szCs w:val="21"/>
        </w:rPr>
        <w:t>本项目采用综合评估法。</w:t>
      </w:r>
    </w:p>
    <w:p>
      <w:pPr>
        <w:pStyle w:val="3"/>
        <w:spacing w:before="120" w:after="0" w:line="400" w:lineRule="exact"/>
        <w:rPr>
          <w:rFonts w:ascii="宋体" w:hAnsi="宋体" w:eastAsia="宋体" w:cs="宋体"/>
          <w:color w:val="000000" w:themeColor="text1"/>
          <w14:textFill>
            <w14:solidFill>
              <w14:schemeClr w14:val="tx1"/>
            </w14:solidFill>
          </w14:textFill>
        </w:rPr>
      </w:pPr>
      <w:bookmarkStart w:id="62" w:name="_Toc11329216"/>
      <w:bookmarkStart w:id="63" w:name="_Toc25619"/>
      <w:bookmarkStart w:id="64" w:name="_Toc12460"/>
      <w:bookmarkStart w:id="65" w:name="_Toc14361"/>
      <w:bookmarkStart w:id="66" w:name="_Toc507319894"/>
      <w:r>
        <w:rPr>
          <w:rFonts w:hint="eastAsia" w:ascii="宋体" w:hAnsi="宋体" w:eastAsia="宋体" w:cs="宋体"/>
          <w:color w:val="000000" w:themeColor="text1"/>
          <w14:textFill>
            <w14:solidFill>
              <w14:schemeClr w14:val="tx1"/>
            </w14:solidFill>
          </w14:textFill>
        </w:rPr>
        <w:t>5. 比选文件的获取</w:t>
      </w:r>
      <w:bookmarkEnd w:id="55"/>
      <w:bookmarkEnd w:id="56"/>
      <w:bookmarkEnd w:id="57"/>
      <w:bookmarkEnd w:id="58"/>
      <w:bookmarkEnd w:id="59"/>
      <w:bookmarkEnd w:id="60"/>
      <w:bookmarkEnd w:id="61"/>
      <w:bookmarkEnd w:id="62"/>
      <w:bookmarkEnd w:id="63"/>
      <w:bookmarkEnd w:id="64"/>
      <w:bookmarkEnd w:id="65"/>
      <w:bookmarkEnd w:id="66"/>
    </w:p>
    <w:p>
      <w:pPr>
        <w:wordWrap w:val="0"/>
        <w:spacing w:line="360" w:lineRule="auto"/>
        <w:ind w:firstLine="420" w:firstLineChars="200"/>
        <w:rPr>
          <w:rFonts w:ascii="宋体" w:hAnsi="宋体"/>
          <w:szCs w:val="21"/>
        </w:rPr>
      </w:pPr>
      <w:bookmarkStart w:id="67" w:name="_Toc246996905"/>
      <w:bookmarkStart w:id="68" w:name="_Toc247085676"/>
      <w:bookmarkStart w:id="69" w:name="_Toc152045516"/>
      <w:bookmarkStart w:id="70" w:name="_Toc152042292"/>
      <w:bookmarkStart w:id="71" w:name="_Toc144974484"/>
      <w:bookmarkStart w:id="72" w:name="_Toc179632532"/>
      <w:bookmarkStart w:id="73" w:name="_Toc507319895"/>
      <w:bookmarkStart w:id="74" w:name="_Toc246996162"/>
      <w:bookmarkStart w:id="75" w:name="_Toc11329217"/>
      <w:bookmarkStart w:id="76" w:name="_Toc9131"/>
      <w:bookmarkStart w:id="77" w:name="_Toc16686"/>
      <w:bookmarkStart w:id="78" w:name="_Toc31493"/>
      <w:bookmarkStart w:id="79" w:name="_Toc18402"/>
      <w:bookmarkStart w:id="80" w:name="_Toc247085678"/>
      <w:bookmarkStart w:id="81" w:name="_Toc246996164"/>
      <w:bookmarkStart w:id="82" w:name="_Toc144974485"/>
      <w:bookmarkStart w:id="83" w:name="_Toc246996907"/>
      <w:bookmarkStart w:id="84" w:name="_Toc21615"/>
      <w:bookmarkStart w:id="85" w:name="_Toc11329219"/>
      <w:bookmarkStart w:id="86" w:name="_Toc152045517"/>
      <w:bookmarkStart w:id="87" w:name="_Toc393"/>
      <w:bookmarkStart w:id="88" w:name="_Toc152042293"/>
      <w:bookmarkStart w:id="89" w:name="_Toc179632534"/>
      <w:bookmarkStart w:id="90" w:name="_Toc507319897"/>
      <w:r>
        <w:rPr>
          <w:rFonts w:hint="eastAsia" w:ascii="宋体" w:hAnsi="宋体" w:cs="宋体"/>
        </w:rPr>
        <w:t>凡愿意参加的潜在报价人，在2024年1</w:t>
      </w:r>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9</w:t>
      </w:r>
      <w:r>
        <w:rPr>
          <w:rFonts w:hint="eastAsia" w:ascii="宋体" w:hAnsi="宋体" w:cs="宋体"/>
        </w:rPr>
        <w:t>日</w:t>
      </w:r>
      <w:r>
        <w:rPr>
          <w:rFonts w:hint="eastAsia" w:ascii="宋体" w:hAnsi="宋体"/>
          <w:szCs w:val="21"/>
        </w:rPr>
        <w:t>上午10：00</w:t>
      </w:r>
      <w:r>
        <w:rPr>
          <w:rFonts w:hint="eastAsia" w:ascii="宋体" w:hAnsi="宋体" w:cs="宋体"/>
        </w:rPr>
        <w:t>前在重庆高速集团官网（https://www.cegc.com.cn/html/col1810480.html）上获取竞争性比选文件，各报价人应随时关注网上发布的竞争性比选文件答疑、补遗、澄清等文件内容，不管报价人是否下载，均视为已知晓竞争性比选文件的全部内容和有关事宜。</w:t>
      </w:r>
    </w:p>
    <w:p>
      <w:pPr>
        <w:pStyle w:val="3"/>
        <w:spacing w:before="120" w:after="0" w:line="400" w:lineRule="exact"/>
        <w:rPr>
          <w:rFonts w:ascii="宋体" w:hAnsi="宋体" w:eastAsia="宋体" w:cs="宋体"/>
        </w:rPr>
      </w:pPr>
      <w:r>
        <w:rPr>
          <w:rFonts w:hint="eastAsia" w:ascii="宋体" w:hAnsi="宋体" w:eastAsia="宋体" w:cs="宋体"/>
        </w:rPr>
        <w:t>6.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p>
    <w:p>
      <w:pPr>
        <w:tabs>
          <w:tab w:val="left" w:pos="360"/>
        </w:tabs>
        <w:spacing w:line="400" w:lineRule="exact"/>
        <w:ind w:firstLine="420" w:firstLineChars="200"/>
        <w:rPr>
          <w:rFonts w:ascii="宋体" w:hAnsi="宋体" w:cs="宋体"/>
          <w:szCs w:val="21"/>
        </w:rPr>
      </w:pPr>
      <w:r>
        <w:rPr>
          <w:rFonts w:hint="eastAsia" w:ascii="宋体" w:hAnsi="宋体" w:cs="宋体"/>
          <w:szCs w:val="21"/>
        </w:rPr>
        <w:t>6.1报价截止时间和开标时间：</w:t>
      </w:r>
      <w:r>
        <w:rPr>
          <w:rFonts w:hint="eastAsia" w:ascii="宋体" w:hAnsi="宋体" w:cs="宋体"/>
        </w:rPr>
        <w:t>2024年1</w:t>
      </w:r>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9</w:t>
      </w:r>
      <w:r>
        <w:rPr>
          <w:rFonts w:hint="eastAsia" w:ascii="宋体" w:hAnsi="宋体" w:cs="宋体"/>
        </w:rPr>
        <w:t>日</w:t>
      </w:r>
      <w:r>
        <w:rPr>
          <w:rFonts w:hint="eastAsia" w:ascii="宋体" w:hAnsi="宋体"/>
          <w:szCs w:val="21"/>
        </w:rPr>
        <w:t>上午</w:t>
      </w:r>
      <w:r>
        <w:rPr>
          <w:rFonts w:hint="eastAsia" w:ascii="宋体" w:hAnsi="宋体" w:cs="宋体"/>
          <w:szCs w:val="21"/>
        </w:rPr>
        <w:t>10时00分（北京时间）。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2</w:t>
      </w:r>
      <w:r>
        <w:rPr>
          <w:rFonts w:ascii="宋体" w:hAnsi="宋体" w:cs="宋体"/>
          <w:szCs w:val="21"/>
        </w:rPr>
        <w:t xml:space="preserve">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.3 递交地址：重庆市渝北区新南路52号东界龙湖</w:t>
      </w:r>
      <w:r>
        <w:rPr>
          <w:rFonts w:hint="eastAsia" w:ascii="宋体" w:hAnsi="宋体" w:cs="宋体"/>
          <w:szCs w:val="21"/>
        </w:rPr>
        <w:t>一</w:t>
      </w:r>
      <w:r>
        <w:rPr>
          <w:rFonts w:ascii="宋体" w:hAnsi="宋体" w:cs="宋体"/>
          <w:szCs w:val="21"/>
        </w:rPr>
        <w:t>楼。</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.4 逾期送达，或未送达指定地点，或未密封的竞争性比选响应文件，采购人不予受理。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6.5 采购人不组织项目现场踏勘，不召开报价预备会。</w:t>
      </w:r>
    </w:p>
    <w:p>
      <w:pPr>
        <w:pStyle w:val="3"/>
        <w:spacing w:before="120" w:after="0"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联系方式</w:t>
      </w:r>
      <w:bookmarkEnd w:id="79"/>
      <w:bookmarkEnd w:id="80"/>
      <w:bookmarkEnd w:id="81"/>
      <w:bookmarkEnd w:id="82"/>
      <w:bookmarkEnd w:id="83"/>
      <w:bookmarkEnd w:id="84"/>
      <w:bookmarkEnd w:id="85"/>
      <w:bookmarkEnd w:id="86"/>
      <w:bookmarkEnd w:id="87"/>
      <w:bookmarkEnd w:id="88"/>
      <w:bookmarkEnd w:id="89"/>
      <w:bookmarkEnd w:id="90"/>
    </w:p>
    <w:tbl>
      <w:tblPr>
        <w:tblStyle w:val="24"/>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30"/>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r>
              <w:rPr>
                <w:rFonts w:hint="eastAsia" w:ascii="宋体" w:hAnsi="宋体" w:cs="宋体"/>
                <w:kern w:val="2"/>
                <w:sz w:val="21"/>
                <w:szCs w:val="21"/>
              </w:rPr>
              <w:t>采购人：重庆首讯科技股份有限公司</w:t>
            </w:r>
          </w:p>
        </w:tc>
        <w:tc>
          <w:tcPr>
            <w:tcW w:w="1415" w:type="dxa"/>
            <w:vAlign w:val="center"/>
          </w:tcPr>
          <w:p>
            <w:pPr>
              <w:pStyle w:val="30"/>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color w:val="000000" w:themeColor="text1"/>
                <w:szCs w:val="21"/>
                <w14:textFill>
                  <w14:solidFill>
                    <w14:schemeClr w14:val="tx1"/>
                  </w14:solidFill>
                </w14:textFill>
              </w:rPr>
            </w:pPr>
            <w:r>
              <w:rPr>
                <w:rFonts w:hint="eastAsia" w:ascii="宋体" w:hAnsi="宋体" w:cs="宋体"/>
                <w:szCs w:val="21"/>
              </w:rPr>
              <w:t>地址：重庆市渝北区新南路52号东界龙湖三楼</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color w:val="000000" w:themeColor="text1"/>
                <w14:textFill>
                  <w14:solidFill>
                    <w14:schemeClr w14:val="tx1"/>
                  </w14:solidFill>
                </w14:textFill>
              </w:rPr>
            </w:pPr>
            <w:r>
              <w:rPr>
                <w:rFonts w:hint="eastAsia" w:ascii="宋体" w:hAnsi="宋体" w:cs="宋体"/>
                <w:szCs w:val="21"/>
              </w:rPr>
              <w:t>商务联系人：</w:t>
            </w:r>
            <w:r>
              <w:rPr>
                <w:rFonts w:hint="eastAsia" w:ascii="宋体" w:hAnsi="宋体" w:cs="宋体"/>
                <w:color w:val="000000" w:themeColor="text1"/>
                <w:szCs w:val="21"/>
                <w14:textFill>
                  <w14:solidFill>
                    <w14:schemeClr w14:val="tx1"/>
                  </w14:solidFill>
                </w14:textFill>
              </w:rPr>
              <w:t>刘  工</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 话：18623655450</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技术联系人：张老师  电 话：13364044449</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rPr>
          <w:color w:val="000000" w:themeColor="text1"/>
          <w14:textFill>
            <w14:solidFill>
              <w14:schemeClr w14:val="tx1"/>
            </w14:solidFill>
          </w14:textFill>
        </w:rPr>
      </w:pPr>
    </w:p>
    <w:bookmarkEnd w:id="16"/>
    <w:bookmarkEnd w:id="17"/>
    <w:p>
      <w:pPr>
        <w:pStyle w:val="2"/>
        <w:spacing w:before="0" w:after="0" w:line="360" w:lineRule="auto"/>
        <w:jc w:val="center"/>
        <w:rPr>
          <w:rFonts w:ascii="宋体" w:hAnsi="宋体" w:cs="宋体"/>
          <w:color w:val="000000" w:themeColor="text1"/>
          <w14:textFill>
            <w14:solidFill>
              <w14:schemeClr w14:val="tx1"/>
            </w14:solidFill>
          </w14:textFill>
        </w:rPr>
      </w:pPr>
      <w:bookmarkStart w:id="91" w:name="_Toc247085687"/>
      <w:bookmarkStart w:id="92" w:name="_Toc507319898"/>
      <w:bookmarkStart w:id="93" w:name="_Toc246996173"/>
      <w:bookmarkStart w:id="94" w:name="_Toc152042303"/>
      <w:bookmarkStart w:id="95" w:name="_Toc2000405"/>
      <w:bookmarkStart w:id="96" w:name="_Toc21719"/>
      <w:bookmarkStart w:id="97" w:name="_Toc246996916"/>
      <w:bookmarkStart w:id="98" w:name="_Toc152045527"/>
      <w:bookmarkStart w:id="99" w:name="_Toc144974495"/>
      <w:bookmarkStart w:id="100" w:name="_Toc179632544"/>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第二章 报价人须知</w:t>
      </w:r>
      <w:bookmarkEnd w:id="91"/>
      <w:bookmarkEnd w:id="92"/>
      <w:bookmarkEnd w:id="93"/>
      <w:bookmarkEnd w:id="94"/>
      <w:bookmarkEnd w:id="95"/>
      <w:bookmarkEnd w:id="96"/>
      <w:bookmarkEnd w:id="97"/>
      <w:bookmarkEnd w:id="98"/>
      <w:bookmarkEnd w:id="99"/>
      <w:bookmarkEnd w:id="100"/>
    </w:p>
    <w:p>
      <w:pPr>
        <w:rPr>
          <w:color w:val="000000" w:themeColor="text1"/>
          <w14:textFill>
            <w14:solidFill>
              <w14:schemeClr w14:val="tx1"/>
            </w14:solidFill>
          </w14:textFill>
        </w:rPr>
      </w:pPr>
    </w:p>
    <w:tbl>
      <w:tblPr>
        <w:tblStyle w:val="2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bookmarkStart w:id="101" w:name="_Toc326760840"/>
            <w:r>
              <w:rPr>
                <w:rFonts w:hint="eastAsia" w:ascii="宋体" w:hAnsi="宋体" w:cs="宋体"/>
                <w:b/>
                <w:color w:val="000000" w:themeColor="text1"/>
                <w:kern w:val="0"/>
                <w:szCs w:val="21"/>
                <w14:textFill>
                  <w14:solidFill>
                    <w14:schemeClr w14:val="tx1"/>
                  </w14:solidFill>
                </w14:textFill>
              </w:rPr>
              <w:t>序号</w:t>
            </w:r>
          </w:p>
        </w:tc>
        <w:tc>
          <w:tcPr>
            <w:tcW w:w="2106"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条款名称</w:t>
            </w:r>
          </w:p>
        </w:tc>
        <w:tc>
          <w:tcPr>
            <w:tcW w:w="7104" w:type="dxa"/>
            <w:vAlign w:val="center"/>
          </w:tcPr>
          <w:p>
            <w:pPr>
              <w:spacing w:line="400" w:lineRule="exact"/>
              <w:ind w:firstLine="422" w:firstLineChars="20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采购人：重庆首讯科技股份有限公司</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s="宋体"/>
                <w:szCs w:val="21"/>
              </w:rPr>
              <w:t>重庆市渝北区新南路52号东界龙湖三楼</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szCs w:val="21"/>
              </w:rPr>
              <w:t>刘老师</w:t>
            </w:r>
          </w:p>
          <w:p>
            <w:pPr>
              <w:topLinePunct/>
              <w:spacing w:line="42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hint="eastAsia" w:ascii="宋体" w:hAnsi="宋体" w:cs="宋体"/>
                <w:szCs w:val="21"/>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7104" w:type="dxa"/>
            <w:vAlign w:val="center"/>
          </w:tcPr>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国产技术体系下基于业务的财务共享系统开发服务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项目地点</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质量要求</w:t>
            </w:r>
          </w:p>
        </w:tc>
        <w:tc>
          <w:tcPr>
            <w:tcW w:w="7104" w:type="dxa"/>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达到国家和地方现行有关质量标准和比选文件第七章技术标准和工作要求，并且一次性验收合格。缺陷责任期：</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个月，自甲方验收合格之日起算。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安全目标</w:t>
            </w:r>
          </w:p>
        </w:tc>
        <w:tc>
          <w:tcPr>
            <w:tcW w:w="7104" w:type="dxa"/>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报价人资质条件、能力与信誉</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（1）资质条件：见比选公告3.1</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（2）业绩要求：见比选公告3.2</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（3）信誉要求：见比选公告3.3</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（4）项目主要人员要求：见附录1</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（5）其他要求：见附录2、见附录3</w:t>
            </w:r>
          </w:p>
          <w:p>
            <w:pPr>
              <w:pStyle w:val="31"/>
              <w:adjustRightInd/>
              <w:spacing w:line="400" w:lineRule="exact"/>
              <w:ind w:firstLine="422" w:firstLineChars="200"/>
              <w:jc w:val="both"/>
              <w:rPr>
                <w:rFonts w:hAnsi="宋体"/>
                <w:color w:val="000000" w:themeColor="text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以上（附录1-附录3中的资格审查）的要求均为强制性条件，其中任何一条不满足要求，则按否决报价处理。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是否接受</w:t>
            </w:r>
          </w:p>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联合体报价</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踏勘现场</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分包</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偏差</w:t>
            </w:r>
          </w:p>
        </w:tc>
        <w:tc>
          <w:tcPr>
            <w:tcW w:w="7104" w:type="dxa"/>
            <w:vAlign w:val="center"/>
          </w:tcPr>
          <w:p>
            <w:pPr>
              <w:spacing w:line="40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2106" w:type="dxa"/>
            <w:vAlign w:val="center"/>
          </w:tcPr>
          <w:p>
            <w:pPr>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构成比选文件的其他材料</w:t>
            </w:r>
          </w:p>
        </w:tc>
        <w:tc>
          <w:tcPr>
            <w:tcW w:w="7104" w:type="dxa"/>
            <w:vAlign w:val="center"/>
          </w:tcPr>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bookmarkStart w:id="102" w:name="_Hlt227984024"/>
            <w:bookmarkEnd w:id="102"/>
            <w:r>
              <w:rPr>
                <w:rFonts w:hint="eastAsia" w:ascii="宋体" w:hAnsi="宋体" w:cs="宋体"/>
                <w:color w:val="000000" w:themeColor="text1"/>
                <w:kern w:val="0"/>
                <w:szCs w:val="21"/>
                <w14:textFill>
                  <w14:solidFill>
                    <w14:schemeClr w14:val="tx1"/>
                  </w14:solidFill>
                </w14:textFill>
              </w:rPr>
              <w:t>14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构成竞争性比选响应文件的其他材料</w:t>
            </w:r>
          </w:p>
        </w:tc>
        <w:tc>
          <w:tcPr>
            <w:tcW w:w="7104" w:type="dxa"/>
            <w:vAlign w:val="center"/>
          </w:tcPr>
          <w:p>
            <w:pPr>
              <w:pStyle w:val="31"/>
              <w:spacing w:before="72" w:line="400" w:lineRule="exact"/>
              <w:ind w:firstLine="420" w:firstLineChars="200"/>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工程量清单的填写方式</w:t>
            </w:r>
          </w:p>
        </w:tc>
        <w:tc>
          <w:tcPr>
            <w:tcW w:w="7104" w:type="dxa"/>
            <w:tcBorders>
              <w:bottom w:val="single" w:color="auto" w:sz="4" w:space="0"/>
            </w:tcBorders>
          </w:tcPr>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报价人按照采购人提供的工程量清单填写工程量清单。</w:t>
            </w:r>
          </w:p>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综合单价取小数点后两位，小数点后第三位四舍五入。</w:t>
            </w:r>
          </w:p>
          <w:p>
            <w:pPr>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最高投标限价</w:t>
            </w:r>
          </w:p>
        </w:tc>
        <w:tc>
          <w:tcPr>
            <w:tcW w:w="7104" w:type="dxa"/>
            <w:tcBorders>
              <w:bottom w:val="single" w:color="auto" w:sz="4" w:space="0"/>
            </w:tcBorders>
          </w:tcPr>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b/>
                <w:bCs/>
                <w:szCs w:val="21"/>
                <w:lang w:eastAsia="zh-CN"/>
              </w:rPr>
              <w:t>国产技术体系下</w:t>
            </w:r>
            <w:bookmarkStart w:id="103" w:name="OLE_LINK1"/>
            <w:r>
              <w:rPr>
                <w:rFonts w:hint="eastAsia" w:ascii="宋体" w:hAnsi="宋体"/>
                <w:b/>
                <w:bCs/>
                <w:szCs w:val="21"/>
                <w:lang w:eastAsia="zh-CN"/>
              </w:rPr>
              <w:t>基于业务的财务共享系统开</w:t>
            </w:r>
            <w:bookmarkEnd w:id="103"/>
            <w:r>
              <w:rPr>
                <w:rFonts w:hint="eastAsia" w:ascii="宋体" w:hAnsi="宋体"/>
                <w:b/>
                <w:bCs/>
                <w:szCs w:val="21"/>
                <w:lang w:eastAsia="zh-CN"/>
              </w:rPr>
              <w:t>发服务</w:t>
            </w:r>
            <w:r>
              <w:rPr>
                <w:rFonts w:hint="eastAsia" w:ascii="宋体" w:hAnsi="宋体"/>
                <w:b/>
                <w:bCs/>
                <w:szCs w:val="21"/>
              </w:rPr>
              <w:t>项目最高限价：</w:t>
            </w:r>
            <w:r>
              <w:rPr>
                <w:rFonts w:hint="eastAsia" w:ascii="宋体" w:hAnsi="宋体"/>
                <w:b/>
                <w:bCs/>
                <w:szCs w:val="21"/>
                <w:u w:val="single"/>
                <w:lang w:val="en-US" w:eastAsia="zh-CN"/>
              </w:rPr>
              <w:t>8254</w:t>
            </w:r>
            <w:r>
              <w:rPr>
                <w:rFonts w:hint="eastAsia" w:ascii="宋体" w:hAnsi="宋体"/>
                <w:b/>
                <w:bCs/>
                <w:szCs w:val="21"/>
                <w:u w:val="single"/>
              </w:rPr>
              <w:t>00.00元。</w:t>
            </w:r>
          </w:p>
          <w:p>
            <w:pPr>
              <w:spacing w:line="40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b/>
                <w:bCs/>
                <w:szCs w:val="21"/>
              </w:rPr>
              <w:t>报价人所报价格不得超过采购人发布的限价，否则</w:t>
            </w:r>
            <w:r>
              <w:rPr>
                <w:rFonts w:hint="eastAsia" w:ascii="宋体" w:hAnsi="宋体" w:cs="宋体"/>
                <w:b/>
                <w:szCs w:val="21"/>
              </w:rPr>
              <w:t>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合同支付办法</w:t>
            </w:r>
          </w:p>
        </w:tc>
        <w:tc>
          <w:tcPr>
            <w:tcW w:w="7104" w:type="dxa"/>
            <w:tcBorders>
              <w:bottom w:val="single" w:color="auto" w:sz="4" w:space="0"/>
            </w:tcBorders>
          </w:tcPr>
          <w:p>
            <w:pPr>
              <w:numPr>
                <w:ilvl w:val="255"/>
                <w:numId w:val="0"/>
              </w:numPr>
              <w:spacing w:line="400" w:lineRule="exact"/>
              <w:ind w:firstLine="420" w:firstLineChars="200"/>
              <w:rPr>
                <w:color w:val="auto"/>
              </w:rPr>
            </w:pPr>
            <w:bookmarkStart w:id="104" w:name="_Hlk132637631"/>
            <w:r>
              <w:rPr>
                <w:rFonts w:hint="eastAsia"/>
                <w:color w:val="auto"/>
              </w:rPr>
              <w:t xml:space="preserve"> 每次支付前需由乙方提交书面支付申请、相关证明材料以及对应增值税专用发票经甲方审核无误后，按以下节点支付：</w:t>
            </w:r>
          </w:p>
          <w:bookmarkEnd w:id="104"/>
          <w:p>
            <w:pPr>
              <w:numPr>
                <w:ilvl w:val="0"/>
                <w:numId w:val="2"/>
              </w:numPr>
              <w:spacing w:line="400" w:lineRule="exact"/>
              <w:ind w:firstLine="420" w:firstLineChars="200"/>
              <w:rPr>
                <w:rFonts w:hint="eastAsia"/>
                <w:color w:val="auto"/>
                <w:lang w:eastAsia="zh-CN"/>
              </w:rPr>
            </w:pPr>
            <w:r>
              <w:rPr>
                <w:rFonts w:hint="eastAsia"/>
                <w:color w:val="auto"/>
                <w:lang w:eastAsia="zh-CN"/>
              </w:rPr>
              <w:t>完成需求调研及方案设计，通过评审后30日内支付合同金额的30%；</w:t>
            </w:r>
          </w:p>
          <w:p>
            <w:pPr>
              <w:numPr>
                <w:ilvl w:val="0"/>
                <w:numId w:val="2"/>
              </w:numPr>
              <w:spacing w:line="400" w:lineRule="exact"/>
              <w:ind w:firstLine="420" w:firstLineChars="200"/>
              <w:rPr>
                <w:rFonts w:hint="eastAsia"/>
                <w:color w:val="auto"/>
                <w:lang w:eastAsia="zh-CN"/>
              </w:rPr>
            </w:pPr>
            <w:r>
              <w:rPr>
                <w:rFonts w:hint="eastAsia"/>
                <w:color w:val="auto"/>
                <w:lang w:eastAsia="zh-CN"/>
              </w:rPr>
              <w:t>完成测试版本的代码开发，并完成软件初验收后30日内支付至合同金额的70%；</w:t>
            </w:r>
          </w:p>
          <w:p>
            <w:pPr>
              <w:numPr>
                <w:ilvl w:val="0"/>
                <w:numId w:val="2"/>
              </w:numPr>
              <w:spacing w:line="400" w:lineRule="exact"/>
              <w:ind w:firstLine="420" w:firstLineChars="200"/>
              <w:rPr>
                <w:rFonts w:hint="eastAsia" w:eastAsia="宋体"/>
                <w:color w:val="000000" w:themeColor="text1"/>
                <w:lang w:eastAsia="zh-CN"/>
                <w14:textFill>
                  <w14:solidFill>
                    <w14:schemeClr w14:val="tx1"/>
                  </w14:solidFill>
                </w14:textFill>
              </w:rPr>
            </w:pPr>
            <w:r>
              <w:rPr>
                <w:rFonts w:hint="eastAsia"/>
                <w:color w:val="auto"/>
                <w:lang w:eastAsia="zh-CN"/>
              </w:rPr>
              <w:t>完成正式版本的代码开发及交付，软件（硬件）运行正常，通过最终验收后30日内支付至结算总额的95%；</w:t>
            </w:r>
          </w:p>
          <w:p>
            <w:pPr>
              <w:numPr>
                <w:ilvl w:val="0"/>
                <w:numId w:val="2"/>
              </w:numPr>
              <w:spacing w:line="400" w:lineRule="exact"/>
              <w:ind w:firstLine="420" w:firstLineChars="200"/>
              <w:rPr>
                <w:rFonts w:hint="eastAsia" w:eastAsia="宋体"/>
                <w:color w:val="000000" w:themeColor="text1"/>
                <w:lang w:eastAsia="zh-CN"/>
                <w14:textFill>
                  <w14:solidFill>
                    <w14:schemeClr w14:val="tx1"/>
                  </w14:solidFill>
                </w14:textFill>
              </w:rPr>
            </w:pPr>
            <w:r>
              <w:rPr>
                <w:rFonts w:hint="eastAsia"/>
                <w:color w:val="auto"/>
                <w:lang w:eastAsia="zh-CN"/>
              </w:rPr>
              <w:t>剩余结算总额的5%为质量保证金，在缺陷责任期满并履行缺陷责任义务后30日内支付。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驻点要求</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根据项目部具体要求执行。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报价人须知</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报价人应认真阅读本比选函所有技术及服务要求后以确认在填报单价和价格之前，采购人要求的服务内容已被包括在每个项目内，报出的单价和价格应被认为包括所有劳务、工具、相关税费、利润和明示或隐含的风险、保险、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2106" w:type="dxa"/>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中标候选人的人数</w:t>
            </w:r>
          </w:p>
        </w:tc>
        <w:tc>
          <w:tcPr>
            <w:tcW w:w="7104" w:type="dxa"/>
            <w:vAlign w:val="center"/>
          </w:tcPr>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97"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1</w:t>
            </w:r>
          </w:p>
        </w:tc>
        <w:tc>
          <w:tcPr>
            <w:tcW w:w="2106"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保证金</w:t>
            </w:r>
          </w:p>
        </w:tc>
        <w:tc>
          <w:tcPr>
            <w:tcW w:w="7104" w:type="dxa"/>
            <w:vAlign w:val="center"/>
          </w:tcPr>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一、投标保证金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报价人是否提供投标保证金：</w:t>
            </w:r>
            <w:r>
              <w:rPr>
                <w:rFonts w:hint="eastAsia" w:ascii="宋体" w:hAnsi="宋体" w:cs="宋体"/>
                <w:b/>
                <w:bCs/>
                <w:color w:val="000000"/>
                <w:kern w:val="0"/>
                <w:szCs w:val="21"/>
                <w:u w:val="single"/>
                <w:lang w:bidi="ar"/>
              </w:rPr>
              <w:t>是</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1、报价人须缴纳投标保证金</w:t>
            </w:r>
            <w:r>
              <w:rPr>
                <w:rFonts w:hint="eastAsia" w:ascii="宋体" w:hAnsi="宋体" w:cs="宋体"/>
                <w:color w:val="000000"/>
                <w:kern w:val="0"/>
                <w:szCs w:val="21"/>
                <w:u w:val="single"/>
                <w:lang w:bidi="ar"/>
              </w:rPr>
              <w:t xml:space="preserve">  10000.00  </w:t>
            </w:r>
            <w:r>
              <w:rPr>
                <w:rFonts w:hint="eastAsia" w:ascii="宋体" w:hAnsi="宋体" w:cs="宋体"/>
                <w:color w:val="000000"/>
                <w:kern w:val="0"/>
                <w:szCs w:val="21"/>
                <w:lang w:bidi="ar"/>
              </w:rPr>
              <w:t>元，由报价人从公司基本账户将投标保证金汇至以下指定账户：</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保证金到账截止时间：2024年1</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月</w:t>
            </w: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日上午10时00分前；</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若竞争性比选响应文件内无投标保证金缴纳凭证，采购人有权作废标处理，若投标保证金存在虚假不实情况，采购人有权作废标处理。</w:t>
            </w:r>
          </w:p>
          <w:p>
            <w:pPr>
              <w:spacing w:line="360" w:lineRule="auto"/>
              <w:ind w:firstLine="420" w:firstLineChars="200"/>
              <w:rPr>
                <w:rFonts w:ascii="宋体" w:hAnsi="宋体" w:cs="宋体"/>
                <w:color w:val="000000"/>
                <w:kern w:val="0"/>
                <w:szCs w:val="21"/>
                <w:lang w:bidi="ar"/>
              </w:rPr>
            </w:pPr>
            <w:r>
              <w:rPr>
                <w:rFonts w:hint="eastAsia" w:hAnsi="宋体"/>
                <w:szCs w:val="21"/>
              </w:rPr>
              <w:t>若缴纳现金的，</w:t>
            </w:r>
            <w:r>
              <w:rPr>
                <w:rFonts w:hint="eastAsia" w:ascii="宋体" w:hAnsi="宋体" w:cs="宋体"/>
                <w:color w:val="000000"/>
                <w:szCs w:val="21"/>
              </w:rPr>
              <w:t>则需</w:t>
            </w:r>
            <w:r>
              <w:rPr>
                <w:rFonts w:hint="eastAsia" w:ascii="宋体" w:hAnsi="宋体" w:cs="宋体"/>
                <w:szCs w:val="21"/>
              </w:rPr>
              <w:t>备注，转款备注：</w:t>
            </w:r>
            <w:r>
              <w:rPr>
                <w:rFonts w:hint="eastAsia" w:ascii="宋体"/>
                <w:szCs w:val="21"/>
                <w:lang w:eastAsia="zh-CN"/>
              </w:rPr>
              <w:t>国产技术体系下基于业务的财务共享系统开发服务</w:t>
            </w:r>
            <w:r>
              <w:rPr>
                <w:rFonts w:hint="eastAsia" w:ascii="宋体" w:hAnsi="宋体" w:cs="宋体"/>
                <w:szCs w:val="21"/>
              </w:rPr>
              <w:t>投标保证金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2、投标保证金退还方式</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为便于及时退还，报价人在递交响应文件的同时，递交本项目保证金银行回单和公司的开户许可证复印件。</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未中标报价人的投标保证金，于该项目结果公示期结束后15个工作日内无息退还至报价人基本账户。</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中标人的投标保证金，自合同签订后15个工作日内无息退还至中标人基本账户。</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3、有下列情形之一的，投标保证金将不予退还：</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（1）报价人在投标有效期内撤销投标文件；</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（2）中标人在收到中标通知书后，无正当理由不与采购人订立合同，在签订合同时向采购人提出附加条件，或者不按照招标文件要求提交履约保证金；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（3）中标人（或拟中标人）拒不提供或者不按时提供低价风险担保（适用于经评审的最低投标价法）；</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（4）报价人被发现本次投标存在串通投标、弄虚造假、行贿等违法行为的；</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（5）发生报价人须知前附表规定的其他可以不予退还投标保证金的情形。</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二、履约保证金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报价人是否提供履约保证金：</w:t>
            </w:r>
            <w:r>
              <w:rPr>
                <w:rFonts w:hint="eastAsia" w:ascii="宋体" w:hAnsi="宋体" w:cs="宋体"/>
                <w:b/>
                <w:bCs/>
                <w:color w:val="000000"/>
                <w:kern w:val="0"/>
                <w:szCs w:val="21"/>
                <w:u w:val="single"/>
                <w:lang w:bidi="ar"/>
              </w:rPr>
              <w:t>是</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2、履约保证金的金额：中标合同额的10%。</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3、履约保证金有效期：自双方签订的合同文件生效之日起，至合同约定的工作验收完成止。</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4、履约保证金缴纳方式：现金或保函</w:t>
            </w:r>
          </w:p>
          <w:p>
            <w:pPr>
              <w:pStyle w:val="19"/>
              <w:spacing w:before="0" w:beforeAutospacing="0" w:after="0" w:afterAutospacing="0" w:line="360" w:lineRule="auto"/>
              <w:ind w:firstLine="420"/>
              <w:rPr>
                <w:kern w:val="2"/>
                <w:sz w:val="21"/>
                <w:szCs w:val="21"/>
              </w:rPr>
            </w:pPr>
            <w:r>
              <w:rPr>
                <w:rFonts w:hint="eastAsia"/>
                <w:kern w:val="2"/>
                <w:sz w:val="21"/>
                <w:szCs w:val="21"/>
              </w:rPr>
              <w:t>5、履约保证金的提交：在甲方发出中标通知书后5个工作日内，中标人向采购人提供履约保证金</w:t>
            </w:r>
            <w:r>
              <w:rPr>
                <w:kern w:val="2"/>
                <w:sz w:val="21"/>
                <w:szCs w:val="21"/>
              </w:rPr>
              <w:t>缴纳凭证</w:t>
            </w:r>
            <w:r>
              <w:rPr>
                <w:rFonts w:hint="eastAsia"/>
                <w:kern w:val="2"/>
                <w:sz w:val="21"/>
                <w:szCs w:val="21"/>
              </w:rPr>
              <w:t>。若缴纳现金的，</w:t>
            </w:r>
            <w:r>
              <w:rPr>
                <w:rFonts w:hint="eastAsia"/>
                <w:color w:val="000000"/>
                <w:sz w:val="21"/>
                <w:szCs w:val="21"/>
              </w:rPr>
              <w:t>则需</w:t>
            </w:r>
            <w:r>
              <w:rPr>
                <w:rFonts w:hint="eastAsia"/>
                <w:sz w:val="21"/>
                <w:szCs w:val="21"/>
              </w:rPr>
              <w:t>备注，转款备注：</w:t>
            </w:r>
            <w:r>
              <w:rPr>
                <w:rFonts w:hint="eastAsia"/>
                <w:sz w:val="21"/>
                <w:szCs w:val="21"/>
                <w:lang w:eastAsia="zh-CN"/>
              </w:rPr>
              <w:t>国产技术体系下基于业务的财务共享系统开发服务</w:t>
            </w:r>
            <w:r>
              <w:rPr>
                <w:rFonts w:hint="eastAsia"/>
                <w:sz w:val="21"/>
                <w:szCs w:val="21"/>
              </w:rPr>
              <w:t>履约保证金</w:t>
            </w:r>
          </w:p>
          <w:p>
            <w:pPr>
              <w:spacing w:line="360" w:lineRule="auto"/>
              <w:ind w:firstLine="420" w:firstLineChars="200"/>
              <w:rPr>
                <w:rFonts w:hAnsi="宋体"/>
                <w:szCs w:val="21"/>
              </w:rPr>
            </w:pPr>
            <w:r>
              <w:rPr>
                <w:rFonts w:hint="eastAsia" w:hAnsi="宋体"/>
                <w:szCs w:val="21"/>
              </w:rPr>
              <w:t>6、若提供保函的：</w:t>
            </w:r>
            <w:r>
              <w:rPr>
                <w:rFonts w:hint="eastAsia" w:ascii="宋体" w:hAnsi="宋体" w:cs="宋体"/>
                <w:kern w:val="0"/>
                <w:szCs w:val="21"/>
              </w:rPr>
              <w:t>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pPr>
              <w:spacing w:line="360" w:lineRule="auto"/>
              <w:ind w:firstLine="420" w:firstLineChars="200"/>
              <w:rPr>
                <w:rFonts w:ascii="宋体" w:hAnsi="宋体" w:cs="宋体"/>
                <w:color w:val="000000"/>
                <w:kern w:val="0"/>
                <w:szCs w:val="21"/>
                <w:lang w:bidi="ar"/>
              </w:rPr>
            </w:pPr>
            <w:r>
              <w:rPr>
                <w:rFonts w:hint="eastAsia" w:hAnsi="宋体"/>
                <w:szCs w:val="21"/>
              </w:rPr>
              <w:t>7、</w:t>
            </w:r>
            <w:r>
              <w:rPr>
                <w:rFonts w:ascii="宋体" w:hAnsi="宋体" w:cs="宋体"/>
                <w:szCs w:val="21"/>
              </w:rPr>
              <w:t>履约保证金退还：缴纳现金保函的，在完成合同约定的全部工作内容后28天后无息退还剩余部分。</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三、低价保证金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1．低价风险担保：中标价低于最高限价的85%时提供，如不按时足额提供，视为中标人放弃中标，采购人有权不退还其投标保证金。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2．中标人提供低价风险担保的形式、金额及期限：</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低价风险担保的形式：现金或保函或现金+保函的组合；采用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（2）低价风险担保的金额：（最高限价×85%-中标价）×3，且最高不超过最高限价的85%。</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（3）低价风险担保送达采购人的时间：从采购人中标通知书送达拟中标人之日起 20 个工作日内。</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中标人因自身原因未按中标通知书规定的时限与采购人签订合同的，其以现金形式提交低价风险担保的，采购人有权扣除其低价风险担保金并取消其中标资格；以保函形式提交低价风险担保的，采购人有权要求保函开立人支付保函担保的与低价风险担保金额等额的款项并取消中标人中标资格；中标人因自身原因未按中标通知书规定的时限与采购人签订合同，且未提交低价风险担保金或低价风险保函的，采购人有权要求中标人承担低价风险担保金等额的损失并取消中标人资格。</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（5）低价风险担保的期限：自低价风险担保生效之日起至合同设备验收证书或验收款支付函签署之日止。</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低价风险担保的退还时间：采用现金担保的，在现场工程师确认供货完成后28天内全额退还，合同履行期间允许乙方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（5）低价风险担保的扣减：</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①乙方在合同履行期间，以其投标时填报的价格过低为由拒绝履行合同义务；或因其自身其他原因导致项目暂停等，给甲方造成直接经济损失且拒绝承担的，按低价风险担保金额的50～100%扣减，直至解除合同；</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②因乙方违约被解除合同的，低价风险担保将全额扣除；</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③因乙方原因导致的其他情形。</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采用经评审最低投标价法的项目，拟中标人或者中标人放弃中标项目，无正当理由不与采购人签订合同，在签订合同时向采购人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采购人造成的损失超过投标保证金数额的，拟中标人或中标人应对超过部分予以赔偿。</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备注：当中标人或拟中标人未按时提交低价风险担保，且属于可以延长低价风险担保提交期限的特殊情形时，经采购人同意，可适当延长低价风险担保的提交期限。</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投标总报价低于最高限价85%的，报价人应在编制投标文件时，在投标函部分中递交低价风险担保提交承诺书。格式自拟。</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spacing w:line="360" w:lineRule="auto"/>
              <w:ind w:firstLine="420" w:firstLineChars="200"/>
              <w:rPr>
                <w:rFonts w:hAnsi="宋体"/>
                <w:szCs w:val="21"/>
              </w:rPr>
            </w:pPr>
            <w:r>
              <w:rPr>
                <w:rFonts w:hint="eastAsia" w:hAnsi="宋体"/>
                <w:szCs w:val="21"/>
              </w:rPr>
              <w:t>四、采购人指定的开户银行及账号如下：</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帐    号：3460 1010 0100 4791 14</w:t>
            </w:r>
          </w:p>
          <w:p>
            <w:pPr>
              <w:pStyle w:val="31"/>
              <w:spacing w:line="400" w:lineRule="exact"/>
              <w:ind w:firstLine="422" w:firstLineChars="200"/>
              <w:rPr>
                <w:rFonts w:hAnsi="宋体"/>
                <w:color w:val="auto"/>
                <w:kern w:val="2"/>
                <w:sz w:val="21"/>
                <w:szCs w:val="21"/>
              </w:rPr>
            </w:pPr>
            <w:r>
              <w:rPr>
                <w:rFonts w:hint="eastAsia" w:hAnsi="宋体"/>
                <w:b/>
                <w:bCs/>
                <w:color w:val="auto"/>
                <w:sz w:val="21"/>
                <w:szCs w:val="18"/>
              </w:rPr>
              <w:t>注：根据采购人《合格供方库管理办法》，符合免交投标保证金及履约保证金资格的报价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7"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2</w:t>
            </w:r>
          </w:p>
        </w:tc>
        <w:tc>
          <w:tcPr>
            <w:tcW w:w="2106"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合同签订方式</w:t>
            </w:r>
          </w:p>
        </w:tc>
        <w:tc>
          <w:tcPr>
            <w:tcW w:w="7104" w:type="dxa"/>
            <w:vAlign w:val="center"/>
          </w:tcPr>
          <w:p>
            <w:pPr>
              <w:pStyle w:val="31"/>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经评审确定中标人后签订采购合同。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7"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3</w:t>
            </w:r>
          </w:p>
        </w:tc>
        <w:tc>
          <w:tcPr>
            <w:tcW w:w="2106"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保险</w:t>
            </w:r>
          </w:p>
        </w:tc>
        <w:tc>
          <w:tcPr>
            <w:tcW w:w="7104" w:type="dxa"/>
            <w:vAlign w:val="center"/>
          </w:tcPr>
          <w:p>
            <w:pPr>
              <w:pStyle w:val="31"/>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4</w:t>
            </w:r>
          </w:p>
        </w:tc>
        <w:tc>
          <w:tcPr>
            <w:tcW w:w="2106"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w:t>
            </w:r>
          </w:p>
        </w:tc>
        <w:tc>
          <w:tcPr>
            <w:tcW w:w="7104" w:type="dxa"/>
            <w:vAlign w:val="center"/>
          </w:tcPr>
          <w:p>
            <w:pPr>
              <w:pStyle w:val="31"/>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监督部门：重庆首讯科技股份有限公司合规监管部</w:t>
            </w:r>
          </w:p>
          <w:p>
            <w:pPr>
              <w:pStyle w:val="31"/>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地    址：重庆市渝北区新南路52号东界龙湖三楼</w:t>
            </w:r>
          </w:p>
          <w:p>
            <w:pPr>
              <w:pStyle w:val="31"/>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auto"/>
                <w:sz w:val="21"/>
                <w:szCs w:val="21"/>
              </w:rPr>
              <w:t>25</w:t>
            </w:r>
          </w:p>
        </w:tc>
        <w:tc>
          <w:tcPr>
            <w:tcW w:w="2106"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auto"/>
                <w:kern w:val="2"/>
                <w:sz w:val="21"/>
                <w:szCs w:val="21"/>
              </w:rPr>
              <w:t>竞争性比选响应文件的组成</w:t>
            </w:r>
          </w:p>
        </w:tc>
        <w:tc>
          <w:tcPr>
            <w:tcW w:w="7104" w:type="dxa"/>
            <w:vAlign w:val="center"/>
          </w:tcPr>
          <w:p>
            <w:pPr>
              <w:pStyle w:val="31"/>
              <w:numPr>
                <w:ilvl w:val="255"/>
                <w:numId w:val="0"/>
              </w:numPr>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int="eastAsia" w:hAnsi="宋体"/>
                <w:b/>
                <w:bCs/>
                <w:color w:val="000000" w:themeColor="text1"/>
                <w:sz w:val="21"/>
                <w:szCs w:val="21"/>
                <w14:textFill>
                  <w14:solidFill>
                    <w14:schemeClr w14:val="tx1"/>
                  </w14:solidFill>
                </w14:textFill>
              </w:rPr>
              <w:t>竞争性比选文件需逐页加盖报价人的公章</w:t>
            </w:r>
            <w:r>
              <w:rPr>
                <w:rFonts w:hint="eastAsia" w:hAnsi="宋体"/>
                <w:color w:val="000000" w:themeColor="text1"/>
                <w:sz w:val="21"/>
                <w:szCs w:val="21"/>
                <w14:textFill>
                  <w14:solidFill>
                    <w14:schemeClr w14:val="tx1"/>
                  </w14:solidFill>
                </w14:textFill>
              </w:rPr>
              <w:t>，竞争性比选响应文件提交正本1份，副本1份，副本可为正本的复印件，竞争性比选响应文件需装订成册，</w:t>
            </w:r>
            <w:r>
              <w:rPr>
                <w:rFonts w:hint="eastAsia" w:hAnsi="宋体"/>
                <w:color w:val="auto"/>
                <w:kern w:val="2"/>
                <w:sz w:val="21"/>
                <w:szCs w:val="21"/>
              </w:rPr>
              <w:t>封面右上角需标注“正本”、“副本”加以区别，所有报价文件需密封到一个封袋中。</w:t>
            </w:r>
          </w:p>
          <w:p>
            <w:pPr>
              <w:pStyle w:val="31"/>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int="eastAsia" w:hAnsi="宋体"/>
                <w:color w:val="000000" w:themeColor="text1"/>
                <w:sz w:val="21"/>
                <w:szCs w:val="21"/>
                <w14:textFill>
                  <w14:solidFill>
                    <w14:schemeClr w14:val="tx1"/>
                  </w14:solidFill>
                </w14:textFill>
              </w:rPr>
              <w:t>报价人应提供竞争性比选响应文件</w:t>
            </w:r>
            <w:r>
              <w:rPr>
                <w:rFonts w:hint="eastAsia" w:hAnsi="宋体"/>
                <w:b/>
                <w:bCs/>
                <w:color w:val="000000" w:themeColor="text1"/>
                <w:sz w:val="21"/>
                <w:szCs w:val="21"/>
                <w14:textFill>
                  <w14:solidFill>
                    <w14:schemeClr w14:val="tx1"/>
                  </w14:solidFill>
                </w14:textFill>
              </w:rPr>
              <w:t>电子文件1份，</w:t>
            </w:r>
            <w:r>
              <w:rPr>
                <w:rFonts w:hint="eastAsia" w:hAnsi="宋体"/>
                <w:color w:val="auto"/>
                <w:kern w:val="2"/>
                <w:sz w:val="21"/>
                <w:szCs w:val="21"/>
              </w:rPr>
              <w:t>应提供竞争性比选响应文件（正本盖章版）扫描版PDF电子版本和excel版本报价清单（U盘1份，电子文件内容须包括竞争性比选响应文件全部内容）</w:t>
            </w:r>
            <w:r>
              <w:rPr>
                <w:rFonts w:hint="eastAsia" w:hAnsi="宋体"/>
                <w:color w:val="000000" w:themeColor="text1"/>
                <w:sz w:val="21"/>
                <w:szCs w:val="21"/>
                <w14:textFill>
                  <w14:solidFill>
                    <w14:schemeClr w14:val="tx1"/>
                  </w14:solidFill>
                </w14:textFill>
              </w:rPr>
              <w:t>。</w:t>
            </w:r>
            <w:r>
              <w:rPr>
                <w:rFonts w:hint="eastAsia" w:hAnsi="宋体"/>
                <w:color w:val="auto"/>
                <w:kern w:val="2"/>
                <w:sz w:val="21"/>
                <w:szCs w:val="21"/>
              </w:rPr>
              <w:t>当电子文件与纸质版竞争性比选响应文件不一致时，以纸质版竞争性比选响应文件为准，当正本与副本不一致时，以正本为准。</w:t>
            </w:r>
          </w:p>
          <w:p>
            <w:pPr>
              <w:pStyle w:val="31"/>
              <w:spacing w:line="400" w:lineRule="exact"/>
              <w:ind w:firstLine="420" w:firstLineChars="200"/>
              <w:rPr>
                <w:rFonts w:hAnsi="宋体"/>
                <w:color w:val="auto"/>
                <w:kern w:val="2"/>
                <w:sz w:val="21"/>
                <w:szCs w:val="21"/>
              </w:rPr>
            </w:pPr>
            <w:r>
              <w:rPr>
                <w:rFonts w:hint="eastAsia" w:hAnsi="宋体"/>
                <w:color w:val="auto"/>
                <w:kern w:val="2"/>
                <w:sz w:val="21"/>
                <w:szCs w:val="21"/>
              </w:rPr>
              <w:t>3.竞争性比选响应声明书、报价函、资格要求材料、报价人认为需要提供的其他相关文件（注：以</w:t>
            </w:r>
            <w:r>
              <w:rPr>
                <w:rFonts w:hint="eastAsia" w:hAnsi="宋体"/>
                <w:b/>
                <w:bCs/>
                <w:color w:val="auto"/>
                <w:kern w:val="2"/>
                <w:sz w:val="21"/>
                <w:szCs w:val="21"/>
              </w:rPr>
              <w:t>上所有文件均须逐页加盖报价人的公章</w:t>
            </w:r>
            <w:r>
              <w:rPr>
                <w:rFonts w:hint="eastAsia" w:hAnsi="宋体"/>
                <w:color w:val="auto"/>
                <w:kern w:val="2"/>
                <w:sz w:val="21"/>
                <w:szCs w:val="21"/>
              </w:rPr>
              <w:t>）。</w:t>
            </w:r>
          </w:p>
          <w:p>
            <w:pPr>
              <w:pStyle w:val="31"/>
              <w:spacing w:line="400" w:lineRule="exact"/>
              <w:ind w:firstLine="422" w:firstLineChars="200"/>
              <w:rPr>
                <w:rFonts w:hAnsi="宋体"/>
                <w:b/>
                <w:bCs/>
                <w:color w:val="auto"/>
                <w:kern w:val="2"/>
                <w:sz w:val="21"/>
                <w:szCs w:val="21"/>
              </w:rPr>
            </w:pPr>
            <w:r>
              <w:rPr>
                <w:rFonts w:hint="eastAsia" w:hAnsi="宋体"/>
                <w:b/>
                <w:bCs/>
                <w:color w:val="auto"/>
                <w:kern w:val="2"/>
                <w:sz w:val="21"/>
                <w:szCs w:val="21"/>
              </w:rPr>
              <w:t>3.密封要求：</w:t>
            </w:r>
          </w:p>
          <w:p>
            <w:pPr>
              <w:pStyle w:val="31"/>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31"/>
              <w:spacing w:line="400" w:lineRule="exact"/>
              <w:ind w:firstLine="420" w:firstLineChars="200"/>
              <w:rPr>
                <w:rFonts w:hAnsi="宋体"/>
                <w:color w:val="auto"/>
                <w:kern w:val="2"/>
                <w:sz w:val="21"/>
                <w:szCs w:val="21"/>
              </w:rPr>
            </w:pPr>
            <w:r>
              <w:rPr>
                <w:rFonts w:hint="eastAsia" w:hAnsi="宋体"/>
                <w:color w:val="auto"/>
                <w:kern w:val="2"/>
                <w:sz w:val="21"/>
                <w:szCs w:val="21"/>
                <w:lang w:eastAsia="zh-CN"/>
              </w:rPr>
              <w:t>国产技术体系下基于业务的财务共享系统开发服务</w:t>
            </w:r>
            <w:r>
              <w:rPr>
                <w:rFonts w:hint="eastAsia" w:hAnsi="宋体"/>
                <w:color w:val="auto"/>
                <w:kern w:val="2"/>
                <w:sz w:val="21"/>
                <w:szCs w:val="21"/>
              </w:rPr>
              <w:t>竞争性比选响应文件（加盖报价人的公章）</w:t>
            </w:r>
          </w:p>
          <w:p>
            <w:pPr>
              <w:pStyle w:val="31"/>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auto"/>
                <w:kern w:val="2"/>
                <w:sz w:val="21"/>
                <w:szCs w:val="21"/>
              </w:rPr>
              <w:t>在</w:t>
            </w:r>
            <w:r>
              <w:rPr>
                <w:rFonts w:hint="eastAsia" w:hAnsi="宋体"/>
                <w:color w:val="auto"/>
                <w:kern w:val="2"/>
                <w:sz w:val="21"/>
                <w:szCs w:val="21"/>
                <w:u w:val="single"/>
              </w:rPr>
              <w:t xml:space="preserve"> </w:t>
            </w:r>
            <w:r>
              <w:rPr>
                <w:rFonts w:hint="eastAsia" w:hAnsi="宋体"/>
                <w:sz w:val="21"/>
                <w:szCs w:val="18"/>
                <w:u w:val="single"/>
              </w:rPr>
              <w:t xml:space="preserve">2024 </w:t>
            </w:r>
            <w:r>
              <w:rPr>
                <w:rFonts w:hint="eastAsia" w:hAnsi="宋体"/>
                <w:sz w:val="21"/>
                <w:szCs w:val="18"/>
              </w:rPr>
              <w:t>年</w:t>
            </w:r>
            <w:r>
              <w:rPr>
                <w:rFonts w:hint="eastAsia" w:hAnsi="宋体"/>
                <w:sz w:val="21"/>
                <w:szCs w:val="18"/>
                <w:u w:val="single"/>
              </w:rPr>
              <w:t xml:space="preserve"> 1</w:t>
            </w:r>
            <w:r>
              <w:rPr>
                <w:rFonts w:hint="eastAsia" w:hAnsi="宋体"/>
                <w:sz w:val="21"/>
                <w:szCs w:val="18"/>
                <w:u w:val="single"/>
                <w:lang w:val="en-US" w:eastAsia="zh-CN"/>
              </w:rPr>
              <w:t>2</w:t>
            </w:r>
            <w:r>
              <w:rPr>
                <w:rFonts w:hint="eastAsia" w:hAnsi="宋体"/>
                <w:sz w:val="21"/>
                <w:szCs w:val="18"/>
                <w:u w:val="single"/>
              </w:rPr>
              <w:t xml:space="preserve"> </w:t>
            </w:r>
            <w:r>
              <w:rPr>
                <w:rFonts w:hint="eastAsia" w:hAnsi="宋体"/>
                <w:sz w:val="21"/>
                <w:szCs w:val="18"/>
              </w:rPr>
              <w:t>月</w:t>
            </w:r>
            <w:r>
              <w:rPr>
                <w:rFonts w:hint="eastAsia" w:hAnsi="宋体"/>
                <w:sz w:val="21"/>
                <w:szCs w:val="18"/>
                <w:u w:val="single"/>
              </w:rPr>
              <w:t xml:space="preserve"> </w:t>
            </w:r>
            <w:r>
              <w:rPr>
                <w:rFonts w:hint="eastAsia" w:hAnsi="宋体"/>
                <w:sz w:val="21"/>
                <w:szCs w:val="18"/>
                <w:u w:val="single"/>
                <w:lang w:val="en-US" w:eastAsia="zh-CN"/>
              </w:rPr>
              <w:t>9</w:t>
            </w:r>
            <w:bookmarkStart w:id="271" w:name="_GoBack"/>
            <w:bookmarkEnd w:id="271"/>
            <w:r>
              <w:rPr>
                <w:rFonts w:hAnsi="宋体"/>
                <w:sz w:val="21"/>
                <w:szCs w:val="18"/>
                <w:u w:val="single"/>
              </w:rPr>
              <w:t xml:space="preserve"> </w:t>
            </w:r>
            <w:r>
              <w:rPr>
                <w:rFonts w:hint="eastAsia" w:hAnsi="宋体"/>
                <w:sz w:val="21"/>
                <w:szCs w:val="18"/>
              </w:rPr>
              <w:t>日上</w:t>
            </w:r>
            <w:r>
              <w:rPr>
                <w:rFonts w:hint="eastAsia" w:hAnsi="宋体"/>
                <w:color w:val="auto"/>
                <w:kern w:val="2"/>
                <w:sz w:val="21"/>
                <w:szCs w:val="21"/>
              </w:rPr>
              <w:t>午10：00时前不得开启。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auto"/>
                <w:sz w:val="21"/>
                <w:szCs w:val="21"/>
              </w:rPr>
              <w:t>26</w:t>
            </w:r>
          </w:p>
        </w:tc>
        <w:tc>
          <w:tcPr>
            <w:tcW w:w="2106" w:type="dxa"/>
            <w:vAlign w:val="center"/>
          </w:tcPr>
          <w:p>
            <w:pPr>
              <w:spacing w:line="400" w:lineRule="exact"/>
              <w:jc w:val="center"/>
              <w:rPr>
                <w:rFonts w:hAnsi="宋体"/>
                <w:color w:val="000000" w:themeColor="text1"/>
                <w:szCs w:val="21"/>
                <w14:textFill>
                  <w14:solidFill>
                    <w14:schemeClr w14:val="tx1"/>
                  </w14:solidFill>
                </w14:textFill>
              </w:rPr>
            </w:pPr>
            <w:r>
              <w:rPr>
                <w:rFonts w:hint="eastAsia"/>
              </w:rPr>
              <w:t>中标候选人公示</w:t>
            </w:r>
          </w:p>
        </w:tc>
        <w:tc>
          <w:tcPr>
            <w:tcW w:w="7104" w:type="dxa"/>
            <w:vAlign w:val="center"/>
          </w:tcPr>
          <w:p>
            <w:pPr>
              <w:spacing w:line="400" w:lineRule="exact"/>
              <w:ind w:firstLine="420" w:firstLineChars="200"/>
              <w:rPr>
                <w:rFonts w:hAnsi="宋体"/>
                <w:color w:val="000000" w:themeColor="text1"/>
                <w:szCs w:val="21"/>
                <w14:textFill>
                  <w14:solidFill>
                    <w14:schemeClr w14:val="tx1"/>
                  </w14:solidFill>
                </w14:textFill>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w:t>
            </w:r>
          </w:p>
        </w:tc>
        <w:tc>
          <w:tcPr>
            <w:tcW w:w="9210" w:type="dxa"/>
            <w:gridSpan w:val="2"/>
            <w:vAlign w:val="center"/>
          </w:tcPr>
          <w:p>
            <w:pPr>
              <w:pStyle w:val="31"/>
              <w:spacing w:line="400" w:lineRule="exact"/>
              <w:ind w:firstLine="482" w:firstLineChars="200"/>
              <w:jc w:val="center"/>
              <w:rPr>
                <w:rFonts w:hAnsi="宋体"/>
                <w:color w:val="000000" w:themeColor="text1"/>
                <w:kern w:val="2"/>
                <w:sz w:val="21"/>
                <w:szCs w:val="21"/>
                <w14:textFill>
                  <w14:solidFill>
                    <w14:schemeClr w14:val="tx1"/>
                  </w14:solidFill>
                </w14:textFill>
              </w:rPr>
            </w:pPr>
            <w:r>
              <w:rPr>
                <w:rFonts w:hAnsi="宋体"/>
                <w:b/>
                <w:bCs/>
                <w:color w:val="000000" w:themeColor="text1"/>
                <w:szCs w:val="2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27.1</w:t>
            </w:r>
          </w:p>
        </w:tc>
        <w:tc>
          <w:tcPr>
            <w:tcW w:w="9210" w:type="dxa"/>
            <w:gridSpan w:val="2"/>
            <w:vAlign w:val="center"/>
          </w:tcPr>
          <w:p>
            <w:pPr>
              <w:pStyle w:val="31"/>
              <w:spacing w:line="400" w:lineRule="exact"/>
              <w:ind w:firstLine="420" w:firstLineChars="200"/>
              <w:rPr>
                <w:rFonts w:hAnsi="宋体"/>
                <w:b/>
                <w:bCs/>
                <w:color w:val="000000" w:themeColor="text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27.2</w:t>
            </w:r>
          </w:p>
        </w:tc>
        <w:tc>
          <w:tcPr>
            <w:tcW w:w="9210" w:type="dxa"/>
            <w:gridSpan w:val="2"/>
            <w:vAlign w:val="center"/>
          </w:tcPr>
          <w:p>
            <w:pPr>
              <w:pStyle w:val="31"/>
              <w:numPr>
                <w:ilvl w:val="0"/>
                <w:numId w:val="3"/>
              </w:numPr>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如中标人无法满足工程量清单中任一参数要求，采购人有权退货、终止合同，并扣除合同总金额的10%。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27.3</w:t>
            </w:r>
          </w:p>
        </w:tc>
        <w:tc>
          <w:tcPr>
            <w:tcW w:w="9210" w:type="dxa"/>
            <w:gridSpan w:val="2"/>
            <w:vAlign w:val="center"/>
          </w:tcPr>
          <w:p>
            <w:pPr>
              <w:pStyle w:val="31"/>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1、需提供投标保证金银行回执。</w:t>
            </w:r>
          </w:p>
        </w:tc>
      </w:tr>
      <w:bookmarkEnd w:id="101"/>
    </w:tbl>
    <w:p>
      <w:pPr>
        <w:spacing w:line="360" w:lineRule="auto"/>
        <w:jc w:val="center"/>
        <w:rPr>
          <w:rFonts w:ascii="宋体" w:hAnsi="宋体" w:cs="宋体"/>
          <w:b/>
          <w:color w:val="000000" w:themeColor="text1"/>
          <w:sz w:val="28"/>
          <w:szCs w:val="28"/>
          <w14:textFill>
            <w14:solidFill>
              <w14:schemeClr w14:val="tx1"/>
            </w14:solidFill>
          </w14:textFill>
        </w:rPr>
        <w:sectPr>
          <w:footerReference r:id="rId7" w:type="default"/>
          <w:pgSz w:w="11906" w:h="16838"/>
          <w:pgMar w:top="1418" w:right="1134" w:bottom="1418" w:left="1134" w:header="851" w:footer="992" w:gutter="0"/>
          <w:pgNumType w:start="1"/>
          <w:cols w:space="720" w:num="1"/>
          <w:docGrid w:type="lines" w:linePitch="312" w:charSpace="0"/>
        </w:sectPr>
      </w:pPr>
    </w:p>
    <w:p>
      <w:pPr>
        <w:pStyle w:val="3"/>
        <w:jc w:val="center"/>
        <w:rPr>
          <w:rFonts w:ascii="宋体" w:hAnsi="宋体" w:eastAsia="宋体" w:cs="宋体"/>
          <w:bCs w:val="0"/>
          <w:sz w:val="28"/>
          <w:szCs w:val="28"/>
        </w:rPr>
      </w:pPr>
      <w:bookmarkStart w:id="105" w:name="_Toc28820"/>
      <w:bookmarkStart w:id="106" w:name="_Toc11284"/>
      <w:bookmarkStart w:id="107" w:name="_Toc32070"/>
      <w:bookmarkStart w:id="108" w:name="_Toc17532"/>
      <w:bookmarkStart w:id="109" w:name="_Toc30198"/>
      <w:bookmarkStart w:id="110" w:name="_Toc11329222"/>
      <w:r>
        <w:rPr>
          <w:rFonts w:hint="eastAsia" w:ascii="宋体" w:hAnsi="宋体" w:eastAsia="宋体" w:cs="宋体"/>
          <w:sz w:val="28"/>
          <w:szCs w:val="28"/>
        </w:rPr>
        <w:t xml:space="preserve">附录1  </w:t>
      </w:r>
      <w:r>
        <w:rPr>
          <w:rFonts w:hint="eastAsia" w:ascii="宋体" w:hAnsi="宋体" w:eastAsia="宋体" w:cs="宋体"/>
          <w:bCs w:val="0"/>
          <w:sz w:val="28"/>
          <w:szCs w:val="28"/>
        </w:rPr>
        <w:t>资格审查文件（项目主要管理人员最低要求）</w:t>
      </w:r>
      <w:bookmarkEnd w:id="105"/>
    </w:p>
    <w:p>
      <w:pPr>
        <w:spacing w:line="400" w:lineRule="exact"/>
        <w:jc w:val="center"/>
      </w:pPr>
      <w:r>
        <w:rPr>
          <w:rFonts w:hint="eastAsia" w:ascii="宋体" w:hAnsi="宋体" w:cs="宋体"/>
          <w:b/>
          <w:szCs w:val="21"/>
        </w:rPr>
        <w:t>主要管理人员最低要求</w:t>
      </w:r>
    </w:p>
    <w:tbl>
      <w:tblPr>
        <w:tblStyle w:val="24"/>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序号</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人  员</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数量</w:t>
            </w:r>
          </w:p>
        </w:tc>
        <w:tc>
          <w:tcPr>
            <w:tcW w:w="602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项目负责人</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602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rPr>
              <w:t>具有3年以上工作经验，计算机、通信、数据处理相关专业。</w:t>
            </w:r>
          </w:p>
        </w:tc>
      </w:tr>
    </w:tbl>
    <w:p>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bidi="ar"/>
        </w:rPr>
        <w:t xml:space="preserve"> 注：</w:t>
      </w:r>
      <w:r>
        <w:rPr>
          <w:rFonts w:hint="eastAsia" w:ascii="宋体" w:hAnsi="宋体" w:cs="宋体"/>
          <w:bCs/>
          <w:kern w:val="0"/>
          <w:sz w:val="22"/>
          <w:szCs w:val="20"/>
        </w:rPr>
        <w:t>以上人员</w:t>
      </w:r>
      <w:r>
        <w:rPr>
          <w:rFonts w:hint="eastAsia" w:ascii="宋体" w:hAnsi="宋体" w:cs="宋体"/>
          <w:kern w:val="0"/>
          <w:sz w:val="22"/>
          <w:szCs w:val="22"/>
        </w:rPr>
        <w:t>由报价人</w:t>
      </w:r>
      <w:r>
        <w:rPr>
          <w:rFonts w:hint="eastAsia" w:ascii="宋体" w:hAnsi="宋体" w:cs="宋体"/>
          <w:b/>
          <w:kern w:val="0"/>
          <w:sz w:val="22"/>
          <w:szCs w:val="22"/>
        </w:rPr>
        <w:t>自行承诺</w:t>
      </w:r>
      <w:r>
        <w:rPr>
          <w:rFonts w:hint="eastAsia" w:ascii="宋体" w:hAnsi="宋体" w:cs="宋体"/>
          <w:kern w:val="0"/>
          <w:sz w:val="22"/>
          <w:szCs w:val="22"/>
        </w:rPr>
        <w:t>，</w:t>
      </w:r>
      <w:r>
        <w:rPr>
          <w:rFonts w:hint="eastAsia" w:ascii="宋体" w:hAnsi="宋体" w:cs="宋体"/>
          <w:kern w:val="0"/>
          <w:sz w:val="22"/>
          <w:szCs w:val="20"/>
        </w:rPr>
        <w:t>并加盖单位鲜公章</w:t>
      </w:r>
      <w:r>
        <w:rPr>
          <w:rFonts w:hint="eastAsia" w:hAnsi="宋体"/>
          <w:sz w:val="20"/>
          <w:szCs w:val="20"/>
        </w:rPr>
        <w:t>。</w:t>
      </w:r>
    </w:p>
    <w:p>
      <w:pPr>
        <w:pStyle w:val="16"/>
      </w:pPr>
    </w:p>
    <w:p>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pPr>
        <w:pStyle w:val="3"/>
        <w:jc w:val="center"/>
        <w:rPr>
          <w:rFonts w:ascii="宋体" w:hAnsi="宋体" w:eastAsia="宋体" w:cs="宋体"/>
          <w:bCs w:val="0"/>
          <w:sz w:val="28"/>
          <w:szCs w:val="28"/>
        </w:rPr>
      </w:pPr>
      <w:bookmarkStart w:id="111" w:name="_Toc12685"/>
      <w:bookmarkStart w:id="112" w:name="_Toc22513"/>
      <w:r>
        <w:rPr>
          <w:rFonts w:hint="eastAsia" w:ascii="宋体" w:hAnsi="宋体" w:eastAsia="宋体" w:cs="宋体"/>
          <w:bCs w:val="0"/>
          <w:sz w:val="28"/>
          <w:szCs w:val="28"/>
        </w:rPr>
        <w:t>附录2 资格审查文件（项目其他人员最低要求）</w:t>
      </w:r>
      <w:bookmarkEnd w:id="111"/>
      <w:bookmarkEnd w:id="112"/>
    </w:p>
    <w:tbl>
      <w:tblPr>
        <w:tblStyle w:val="2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bookmarkStart w:id="113" w:name="_Toc413241584"/>
            <w:bookmarkStart w:id="114" w:name="_Toc507319900"/>
            <w:bookmarkStart w:id="115" w:name="_Toc23696"/>
            <w:r>
              <w:rPr>
                <w:rFonts w:hint="eastAsia" w:ascii="宋体" w:hAnsi="宋体" w:cs="宋体"/>
                <w:szCs w:val="21"/>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160" w:type="dxa"/>
          </w:tcPr>
          <w:p>
            <w:pPr>
              <w:ind w:firstLine="420" w:firstLineChars="200"/>
            </w:pPr>
            <w:r>
              <w:rPr>
                <w:rFonts w:hint="eastAsia"/>
              </w:rPr>
              <w:t>根据项目实际进度情况及时增加人员。</w:t>
            </w:r>
          </w:p>
        </w:tc>
      </w:tr>
    </w:tbl>
    <w:p>
      <w:pPr>
        <w:pStyle w:val="31"/>
        <w:adjustRightInd/>
        <w:spacing w:line="360" w:lineRule="auto"/>
        <w:jc w:val="both"/>
        <w:rPr>
          <w:rFonts w:hAnsi="宋体"/>
          <w:color w:val="FF0000"/>
          <w:sz w:val="21"/>
          <w:szCs w:val="21"/>
        </w:rPr>
      </w:pPr>
      <w:r>
        <w:rPr>
          <w:rFonts w:hint="eastAsia" w:hAnsi="宋体"/>
          <w:bCs/>
          <w:sz w:val="22"/>
          <w:szCs w:val="20"/>
        </w:rPr>
        <w:t>注：以上人员</w:t>
      </w:r>
      <w:r>
        <w:rPr>
          <w:rFonts w:hint="eastAsia" w:hAnsi="宋体"/>
          <w:sz w:val="22"/>
          <w:szCs w:val="22"/>
        </w:rPr>
        <w:t>由报价人</w:t>
      </w:r>
      <w:r>
        <w:rPr>
          <w:rFonts w:hint="eastAsia" w:hAnsi="宋体"/>
          <w:b/>
          <w:sz w:val="22"/>
          <w:szCs w:val="22"/>
        </w:rPr>
        <w:t>自行承诺</w:t>
      </w:r>
      <w:r>
        <w:rPr>
          <w:rFonts w:hint="eastAsia" w:hAnsi="宋体"/>
          <w:sz w:val="22"/>
          <w:szCs w:val="22"/>
        </w:rPr>
        <w:t>，</w:t>
      </w:r>
      <w:r>
        <w:rPr>
          <w:rFonts w:hint="eastAsia" w:hAnsi="宋体"/>
          <w:sz w:val="22"/>
          <w:szCs w:val="20"/>
        </w:rPr>
        <w:t>并加盖单位鲜公章</w:t>
      </w:r>
      <w:r>
        <w:rPr>
          <w:rFonts w:hint="eastAsia" w:hAnsi="宋体"/>
          <w:color w:val="auto"/>
          <w:sz w:val="20"/>
          <w:szCs w:val="20"/>
        </w:rPr>
        <w:t>。</w:t>
      </w:r>
    </w:p>
    <w:bookmarkEnd w:id="113"/>
    <w:bookmarkEnd w:id="114"/>
    <w:bookmarkEnd w:id="115"/>
    <w:p>
      <w:pPr>
        <w:pStyle w:val="3"/>
        <w:rPr>
          <w:rStyle w:val="32"/>
          <w:rFonts w:ascii="宋体" w:hAnsi="宋体" w:eastAsia="宋体" w:cs="宋体"/>
          <w:b w:val="0"/>
          <w:bCs w:val="0"/>
          <w:sz w:val="28"/>
          <w:szCs w:val="28"/>
        </w:rPr>
      </w:pPr>
    </w:p>
    <w:p>
      <w:pPr>
        <w:pStyle w:val="3"/>
        <w:rPr>
          <w:rFonts w:hAnsi="宋体"/>
          <w:b w:val="0"/>
          <w:sz w:val="28"/>
          <w:szCs w:val="28"/>
        </w:rPr>
      </w:pPr>
      <w:bookmarkStart w:id="116" w:name="_Toc23610"/>
      <w:bookmarkStart w:id="117" w:name="_Toc12175"/>
      <w:r>
        <w:rPr>
          <w:rFonts w:hint="eastAsia" w:ascii="宋体" w:hAnsi="宋体" w:eastAsia="宋体" w:cs="宋体"/>
          <w:bCs w:val="0"/>
          <w:sz w:val="28"/>
          <w:szCs w:val="28"/>
        </w:rPr>
        <w:t>附录3 资格审查文件（主要机械设备和试验检测设备最低要求）</w:t>
      </w:r>
      <w:bookmarkEnd w:id="116"/>
      <w:bookmarkEnd w:id="117"/>
    </w:p>
    <w:tbl>
      <w:tblPr>
        <w:tblStyle w:val="2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rPr>
              <w:t>无</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hAnsi="宋体"/>
          <w:szCs w:val="21"/>
        </w:rPr>
        <w:t>，提供承诺资料并加盖单位公章</w:t>
      </w:r>
      <w:r>
        <w:rPr>
          <w:rFonts w:hint="eastAsia" w:ascii="宋体" w:hAnsi="宋体" w:cs="宋体"/>
          <w:kern w:val="0"/>
          <w:szCs w:val="21"/>
        </w:rPr>
        <w:t>。</w:t>
      </w:r>
    </w:p>
    <w:p>
      <w:pPr>
        <w:spacing w:line="440" w:lineRule="exact"/>
        <w:jc w:val="center"/>
        <w:rPr>
          <w:rFonts w:ascii="宋体" w:hAnsi="宋体" w:cs="宋体"/>
          <w:color w:val="000000" w:themeColor="text1"/>
          <w:szCs w:val="21"/>
          <w14:textFill>
            <w14:solidFill>
              <w14:schemeClr w14:val="tx1"/>
            </w14:solidFill>
          </w14:textFill>
        </w:rPr>
        <w:sectPr>
          <w:footerReference r:id="rId8" w:type="default"/>
          <w:pgSz w:w="11906" w:h="16838"/>
          <w:pgMar w:top="1440" w:right="1800" w:bottom="1440" w:left="1800" w:header="851" w:footer="992" w:gutter="0"/>
          <w:cols w:space="720" w:num="1"/>
          <w:titlePg/>
          <w:docGrid w:type="lines" w:linePitch="312" w:charSpace="0"/>
        </w:sectPr>
      </w:pPr>
      <w:r>
        <w:rPr>
          <w:rFonts w:hint="eastAsia" w:hAnsi="宋体"/>
          <w:b/>
          <w:bCs/>
          <w:szCs w:val="21"/>
        </w:rPr>
        <w:t>以上（附录1-附录3中的资格审查）的要求均为强制性条件，其中任何一条不满足要求，则按否决报价处理。</w:t>
      </w:r>
      <w:bookmarkEnd w:id="106"/>
      <w:bookmarkEnd w:id="107"/>
      <w:bookmarkEnd w:id="108"/>
      <w:bookmarkEnd w:id="109"/>
      <w:bookmarkEnd w:id="110"/>
    </w:p>
    <w:p>
      <w:pPr>
        <w:pStyle w:val="2"/>
        <w:spacing w:before="0" w:after="0" w:line="360" w:lineRule="auto"/>
        <w:jc w:val="center"/>
        <w:rPr>
          <w:rFonts w:ascii="宋体" w:hAnsi="宋体" w:cs="宋体"/>
          <w:color w:val="000000" w:themeColor="text1"/>
          <w14:textFill>
            <w14:solidFill>
              <w14:schemeClr w14:val="tx1"/>
            </w14:solidFill>
          </w14:textFill>
        </w:rPr>
      </w:pPr>
      <w:bookmarkStart w:id="118" w:name="_Toc246996973"/>
      <w:bookmarkStart w:id="119" w:name="_Toc246996230"/>
      <w:bookmarkStart w:id="120" w:name="_Toc152045587"/>
      <w:bookmarkStart w:id="121" w:name="_Toc507319957"/>
      <w:bookmarkStart w:id="122" w:name="_Toc144974554"/>
      <w:bookmarkStart w:id="123" w:name="_Toc179632605"/>
      <w:bookmarkStart w:id="124" w:name="_Toc152042364"/>
      <w:bookmarkStart w:id="125" w:name="_Toc7682"/>
      <w:bookmarkStart w:id="126" w:name="_Toc2000406"/>
      <w:bookmarkStart w:id="127" w:name="_Toc247085745"/>
      <w:r>
        <w:rPr>
          <w:rFonts w:hint="eastAsia" w:ascii="宋体" w:hAnsi="宋体" w:cs="宋体"/>
          <w:color w:val="000000" w:themeColor="text1"/>
          <w14:textFill>
            <w14:solidFill>
              <w14:schemeClr w14:val="tx1"/>
            </w14:solidFill>
          </w14:textFill>
        </w:rPr>
        <w:t xml:space="preserve">第三章 </w:t>
      </w:r>
      <w:r>
        <w:rPr>
          <w:rFonts w:hint="eastAsia" w:ascii="宋体" w:hAnsi="宋体" w:cs="宋体"/>
        </w:rPr>
        <w:t>评标办法（综合评估法）</w:t>
      </w:r>
      <w:bookmarkEnd w:id="118"/>
      <w:bookmarkEnd w:id="119"/>
      <w:bookmarkEnd w:id="120"/>
      <w:bookmarkEnd w:id="121"/>
      <w:bookmarkEnd w:id="122"/>
      <w:bookmarkEnd w:id="123"/>
      <w:bookmarkEnd w:id="124"/>
      <w:bookmarkEnd w:id="125"/>
      <w:bookmarkEnd w:id="126"/>
      <w:bookmarkEnd w:id="127"/>
    </w:p>
    <w:p>
      <w:pPr>
        <w:rPr>
          <w:b/>
          <w:bCs/>
        </w:rPr>
      </w:pPr>
      <w:r>
        <w:rPr>
          <w:rFonts w:hint="eastAsia"/>
          <w:b/>
          <w:bCs/>
        </w:rPr>
        <w:t>评标办法前附表</w:t>
      </w:r>
    </w:p>
    <w:tbl>
      <w:tblPr>
        <w:tblStyle w:val="24"/>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59"/>
        <w:gridCol w:w="2022"/>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条款名称</w:t>
            </w:r>
          </w:p>
        </w:tc>
        <w:tc>
          <w:tcPr>
            <w:tcW w:w="2022"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评审因素与评审标准</w:t>
            </w:r>
          </w:p>
        </w:tc>
        <w:tc>
          <w:tcPr>
            <w:tcW w:w="592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Cs/>
                <w:kern w:val="0"/>
                <w:szCs w:val="21"/>
              </w:rPr>
              <w:t>1</w:t>
            </w:r>
          </w:p>
        </w:tc>
        <w:tc>
          <w:tcPr>
            <w:tcW w:w="1159"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评标办</w:t>
            </w:r>
            <w:r>
              <w:rPr>
                <w:rFonts w:hint="eastAsia" w:asciiTheme="minorEastAsia" w:hAnsiTheme="minorEastAsia" w:eastAsiaTheme="minorEastAsia" w:cstheme="minorEastAsia"/>
                <w:spacing w:val="-1"/>
                <w:szCs w:val="21"/>
              </w:rPr>
              <w:t>法</w:t>
            </w:r>
          </w:p>
        </w:tc>
        <w:tc>
          <w:tcPr>
            <w:tcW w:w="2022"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宋体" w:hAnsi="宋体" w:cs="宋体"/>
                <w:szCs w:val="21"/>
              </w:rPr>
              <w:t>中标候选人排序方法</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本次评标采用综合评分法，如出现得分(精确到小数点后两位)相等时，按以下原则确定第一中标候选人：</w:t>
            </w:r>
          </w:p>
          <w:p>
            <w:pPr>
              <w:spacing w:line="400" w:lineRule="exact"/>
              <w:ind w:firstLine="420" w:firstLineChars="200"/>
              <w:rPr>
                <w:rFonts w:ascii="宋体" w:hAnsi="宋体" w:cs="宋体"/>
                <w:szCs w:val="21"/>
              </w:rPr>
            </w:pPr>
            <w:r>
              <w:rPr>
                <w:rFonts w:hint="eastAsia" w:ascii="宋体" w:hAnsi="宋体" w:cs="宋体"/>
                <w:szCs w:val="21"/>
              </w:rPr>
              <w:t>（1）以评标价低的报价人优先；</w:t>
            </w:r>
          </w:p>
          <w:p>
            <w:pPr>
              <w:spacing w:line="400" w:lineRule="exact"/>
              <w:ind w:firstLine="420" w:firstLineChars="200"/>
              <w:rPr>
                <w:rFonts w:ascii="宋体" w:hAnsi="宋体" w:cs="宋体"/>
                <w:szCs w:val="21"/>
              </w:rPr>
            </w:pPr>
            <w:r>
              <w:rPr>
                <w:rFonts w:hint="eastAsia" w:ascii="宋体" w:hAnsi="宋体" w:cs="宋体"/>
                <w:szCs w:val="21"/>
              </w:rPr>
              <w:t>（2）如评标价也相同时，以技术得分较高的报价人优先；</w:t>
            </w:r>
          </w:p>
          <w:p>
            <w:pPr>
              <w:spacing w:line="400" w:lineRule="exact"/>
              <w:ind w:firstLine="420" w:firstLineChars="200"/>
              <w:rPr>
                <w:rFonts w:ascii="宋体" w:hAnsi="宋体" w:cs="宋体"/>
                <w:szCs w:val="21"/>
              </w:rPr>
            </w:pPr>
            <w:r>
              <w:rPr>
                <w:rFonts w:hint="eastAsia" w:ascii="宋体" w:hAnsi="宋体" w:cs="宋体"/>
                <w:szCs w:val="21"/>
              </w:rPr>
              <w:t>（3）如技术得分也相同时，以商务得分高的优先；</w:t>
            </w:r>
          </w:p>
          <w:p>
            <w:pPr>
              <w:spacing w:line="400" w:lineRule="exact"/>
              <w:ind w:firstLine="420" w:firstLineChars="200"/>
              <w:rPr>
                <w:rFonts w:asciiTheme="minorEastAsia" w:hAnsiTheme="minorEastAsia" w:eastAsiaTheme="minorEastAsia" w:cstheme="minorEastAsia"/>
                <w:b/>
                <w:kern w:val="0"/>
                <w:szCs w:val="21"/>
              </w:rPr>
            </w:pPr>
            <w:r>
              <w:rPr>
                <w:rFonts w:hint="eastAsia" w:ascii="宋体" w:hAnsi="宋体" w:cs="宋体"/>
                <w:szCs w:val="21"/>
              </w:rPr>
              <w:t>（4）如商务得分也相同时，由评标委员会投票决定。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评审因素</w:t>
            </w:r>
          </w:p>
        </w:tc>
        <w:tc>
          <w:tcPr>
            <w:tcW w:w="2022"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评审标准</w:t>
            </w:r>
          </w:p>
        </w:tc>
        <w:tc>
          <w:tcPr>
            <w:tcW w:w="5928"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资格评审标准</w:t>
            </w: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营业执照</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资质要求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业绩要求</w:t>
            </w:r>
          </w:p>
        </w:tc>
        <w:tc>
          <w:tcPr>
            <w:tcW w:w="5928" w:type="dxa"/>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信誉要求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项目主要管理人员最低要求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其他人员最低要求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主要机械设备和试验检测设备最低要求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报价人名称</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报价函签字盖章</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竞争性比选响应文件格式</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符合第九章“竞争性比选响应文件格式”的要求，字迹清晰可辨。</w:t>
            </w:r>
          </w:p>
          <w:p>
            <w:pPr>
              <w:spacing w:line="400" w:lineRule="exact"/>
              <w:ind w:firstLine="420" w:firstLineChars="200"/>
              <w:rPr>
                <w:rFonts w:ascii="宋体" w:hAnsi="宋体" w:cs="宋体"/>
                <w:szCs w:val="21"/>
              </w:rPr>
            </w:pPr>
            <w:r>
              <w:rPr>
                <w:rFonts w:hint="eastAsia" w:ascii="宋体" w:hAnsi="宋体" w:cs="宋体"/>
                <w:szCs w:val="21"/>
              </w:rPr>
              <w:t>1.竞争性比选响应声明书的所有数据均符合比选文件的规定；</w:t>
            </w:r>
          </w:p>
          <w:p>
            <w:pPr>
              <w:spacing w:line="400" w:lineRule="exact"/>
              <w:ind w:firstLine="420" w:firstLineChars="200"/>
              <w:rPr>
                <w:rFonts w:ascii="宋体" w:hAnsi="宋体" w:cs="宋体"/>
                <w:szCs w:val="21"/>
              </w:rPr>
            </w:pPr>
            <w:r>
              <w:rPr>
                <w:rFonts w:hint="eastAsia" w:ascii="宋体" w:hAnsi="宋体" w:cs="宋体"/>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已标价工程量清单</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报价其它要求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竞争性比选响应文件正本中法定代表人或其授权代理人签署</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其它材料</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响应性评审标准</w:t>
            </w: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投标内容</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质量标准</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安全目标</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59"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分值构</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（总分 100 分） </w:t>
            </w:r>
          </w:p>
        </w:tc>
        <w:tc>
          <w:tcPr>
            <w:tcW w:w="7950" w:type="dxa"/>
            <w:gridSpan w:val="2"/>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投标报价6</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分；</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商务部分2</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分；</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投标报价（60分）</w:t>
            </w:r>
          </w:p>
        </w:tc>
        <w:tc>
          <w:tcPr>
            <w:tcW w:w="2022" w:type="dxa"/>
            <w:vAlign w:val="center"/>
          </w:tcPr>
          <w:p>
            <w:pPr>
              <w:snapToGrid w:val="0"/>
              <w:spacing w:line="400" w:lineRule="exact"/>
              <w:jc w:val="center"/>
              <w:rPr>
                <w:rFonts w:asciiTheme="minorEastAsia" w:hAnsiTheme="minorEastAsia" w:eastAsiaTheme="minorEastAsia" w:cstheme="minorEastAsia"/>
                <w:szCs w:val="21"/>
              </w:rPr>
            </w:pPr>
            <w:r>
              <w:rPr>
                <w:rFonts w:hint="eastAsia" w:ascii="宋体" w:hAnsi="宋体" w:cs="宋体"/>
                <w:kern w:val="0"/>
                <w:szCs w:val="21"/>
              </w:rPr>
              <w:t>评标基准价计算方法</w:t>
            </w:r>
          </w:p>
        </w:tc>
        <w:tc>
          <w:tcPr>
            <w:tcW w:w="5928" w:type="dxa"/>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由评标委员会计算评标基准价：</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（1）评标价的确定：评标价＝投标函文字报价</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（2）评标基准价的确定：</w:t>
            </w:r>
          </w:p>
          <w:p>
            <w:pPr>
              <w:snapToGrid w:val="0"/>
              <w:spacing w:line="400" w:lineRule="exact"/>
              <w:ind w:firstLine="420" w:firstLineChars="200"/>
              <w:rPr>
                <w:rFonts w:ascii="宋体" w:hAnsi="宋体" w:cs="宋体"/>
                <w:szCs w:val="21"/>
              </w:rPr>
            </w:pPr>
            <w:r>
              <w:rPr>
                <w:rFonts w:hint="eastAsia" w:ascii="宋体" w:hAnsi="宋体" w:cs="宋体"/>
                <w:kern w:val="0"/>
                <w:szCs w:val="21"/>
              </w:rPr>
              <w:t>在通过初步评审后且不高于最高限价和不低于最高限价85%的投标报价中去掉六分之一（不能整除的按小数前整数取整，不足六家报价则不去掉）的最低价和相同家数的最高价后的算术平均值为评标基准价。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napToGrid w:val="0"/>
              <w:spacing w:line="400" w:lineRule="exact"/>
              <w:jc w:val="center"/>
              <w:rPr>
                <w:rFonts w:asciiTheme="minorEastAsia" w:hAnsiTheme="minorEastAsia" w:eastAsiaTheme="minorEastAsia" w:cstheme="minorEastAsia"/>
                <w:szCs w:val="21"/>
              </w:rPr>
            </w:pPr>
            <w:r>
              <w:rPr>
                <w:rFonts w:hint="eastAsia" w:ascii="宋体" w:hAnsi="宋体" w:cs="宋体"/>
                <w:kern w:val="0"/>
                <w:szCs w:val="21"/>
              </w:rPr>
              <w:t>评标价的偏差率计算公式</w:t>
            </w:r>
          </w:p>
        </w:tc>
        <w:tc>
          <w:tcPr>
            <w:tcW w:w="5928" w:type="dxa"/>
            <w:vAlign w:val="center"/>
          </w:tcPr>
          <w:p>
            <w:pPr>
              <w:spacing w:line="320" w:lineRule="exact"/>
              <w:jc w:val="left"/>
              <w:rPr>
                <w:rFonts w:ascii="宋体" w:hAnsi="宋体" w:cs="宋体"/>
                <w:szCs w:val="21"/>
              </w:rPr>
            </w:pPr>
            <w:r>
              <w:rPr>
                <w:rFonts w:hint="eastAsia" w:ascii="宋体" w:hAnsi="宋体" w:cs="宋体"/>
                <w:b/>
                <w:bCs/>
                <w:szCs w:val="21"/>
              </w:rPr>
              <w:t>偏差率＝100%×（投标价-评标基准价）/评标基准价，偏差率为百分率（示例：xx.xx%)，偏差率计算保留小数点后两位，小数点后第三位“四舍五入”。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5928" w:type="dxa"/>
          </w:tcPr>
          <w:p>
            <w:pPr>
              <w:pStyle w:val="22"/>
              <w:spacing w:after="0" w:line="320" w:lineRule="exact"/>
              <w:ind w:firstLineChars="200"/>
              <w:rPr>
                <w:rFonts w:ascii="宋体" w:hAnsi="宋体" w:eastAsia="宋体" w:cs="宋体"/>
                <w:sz w:val="21"/>
                <w:szCs w:val="21"/>
              </w:rPr>
            </w:pPr>
            <w:r>
              <w:rPr>
                <w:rFonts w:hint="eastAsia" w:ascii="宋体" w:hAnsi="宋体" w:eastAsia="宋体" w:cs="宋体"/>
                <w:sz w:val="21"/>
                <w:szCs w:val="21"/>
              </w:rPr>
              <w:t>所有有效投标报价分别与评标基准价相比较，等于基准价得</w:t>
            </w:r>
            <w:r>
              <w:rPr>
                <w:rFonts w:hint="eastAsia" w:ascii="宋体" w:hAnsi="宋体" w:eastAsia="宋体" w:cs="宋体"/>
                <w:sz w:val="21"/>
                <w:szCs w:val="21"/>
                <w:lang w:val="en-US" w:eastAsia="zh-CN"/>
              </w:rPr>
              <w:t>6</w:t>
            </w:r>
            <w:r>
              <w:rPr>
                <w:rFonts w:hint="eastAsia" w:ascii="宋体" w:hAnsi="宋体" w:eastAsia="宋体" w:cs="宋体"/>
                <w:sz w:val="21"/>
                <w:szCs w:val="21"/>
              </w:rPr>
              <w:t>0分，每增加1%扣0.5分；每减少1%扣0.2分，</w:t>
            </w:r>
            <w:r>
              <w:rPr>
                <w:rFonts w:ascii="宋体" w:hAnsi="宋体" w:eastAsia="宋体" w:cs="宋体"/>
                <w:sz w:val="21"/>
                <w:szCs w:val="21"/>
              </w:rPr>
              <w:t>最多扣10分</w:t>
            </w:r>
            <w:r>
              <w:rPr>
                <w:rFonts w:hint="eastAsia" w:ascii="宋体" w:hAnsi="宋体" w:eastAsia="宋体" w:cs="宋体"/>
                <w:sz w:val="21"/>
                <w:szCs w:val="21"/>
              </w:rPr>
              <w:t>。按插入法计算得分。</w:t>
            </w:r>
          </w:p>
          <w:p>
            <w:pPr>
              <w:spacing w:line="400" w:lineRule="exact"/>
              <w:ind w:firstLine="420" w:firstLineChars="200"/>
              <w:rPr>
                <w:rFonts w:ascii="宋体" w:hAnsi="宋体" w:cs="宋体"/>
                <w:szCs w:val="21"/>
              </w:rPr>
            </w:pPr>
            <w:r>
              <w:rPr>
                <w:rFonts w:hint="eastAsia" w:ascii="宋体" w:hAnsi="宋体" w:cs="宋体"/>
                <w:kern w:val="0"/>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w:t>
            </w:r>
            <w:r>
              <w:rPr>
                <w:rFonts w:hint="eastAsia" w:ascii="宋体" w:hAnsi="宋体" w:cs="宋体"/>
                <w:szCs w:val="21"/>
              </w:rPr>
              <w:t>评分标准</w:t>
            </w:r>
            <w:r>
              <w:rPr>
                <w:rFonts w:hint="eastAsia" w:asciiTheme="minorEastAsia" w:hAnsiTheme="minorEastAsia" w:eastAsiaTheme="minorEastAsia" w:cstheme="minorEastAsia"/>
                <w:szCs w:val="21"/>
              </w:rPr>
              <w:t>（20分）</w:t>
            </w:r>
          </w:p>
        </w:tc>
        <w:tc>
          <w:tcPr>
            <w:tcW w:w="2022" w:type="dxa"/>
            <w:vAlign w:val="center"/>
          </w:tcPr>
          <w:p>
            <w:pPr>
              <w:widowControl/>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lang w:bidi="ar"/>
              </w:rPr>
              <w:t>项目团队（</w:t>
            </w:r>
            <w:r>
              <w:rPr>
                <w:rFonts w:ascii="宋体" w:hAnsi="宋体" w:cs="宋体"/>
                <w:kern w:val="0"/>
                <w:szCs w:val="21"/>
                <w:highlight w:val="none"/>
                <w:lang w:bidi="ar"/>
              </w:rPr>
              <w:t>6分）</w:t>
            </w:r>
          </w:p>
        </w:tc>
        <w:tc>
          <w:tcPr>
            <w:tcW w:w="5928" w:type="dxa"/>
            <w:vAlign w:val="center"/>
          </w:tcPr>
          <w:p>
            <w:pPr>
              <w:widowControl/>
              <w:snapToGrid w:val="0"/>
              <w:spacing w:line="400" w:lineRule="exact"/>
              <w:ind w:firstLine="420" w:firstLineChars="200"/>
              <w:jc w:val="left"/>
              <w:rPr>
                <w:rFonts w:ascii="宋体" w:hAnsi="宋体" w:cs="宋体"/>
                <w:kern w:val="0"/>
                <w:szCs w:val="21"/>
                <w:highlight w:val="none"/>
                <w:lang w:bidi="ar"/>
              </w:rPr>
            </w:pPr>
            <w:r>
              <w:rPr>
                <w:rFonts w:ascii="宋体" w:hAnsi="宋体" w:cs="宋体"/>
                <w:kern w:val="0"/>
                <w:szCs w:val="21"/>
                <w:highlight w:val="none"/>
                <w:lang w:bidi="ar"/>
              </w:rPr>
              <w:t>1.满足资格条件的资质要求得2分；</w:t>
            </w:r>
          </w:p>
          <w:p>
            <w:pPr>
              <w:widowControl/>
              <w:snapToGrid w:val="0"/>
              <w:spacing w:line="400" w:lineRule="exact"/>
              <w:ind w:firstLine="420" w:firstLineChars="200"/>
              <w:jc w:val="left"/>
              <w:rPr>
                <w:rFonts w:hint="eastAsia" w:ascii="宋体" w:hAnsi="宋体" w:cs="宋体"/>
                <w:kern w:val="0"/>
                <w:szCs w:val="21"/>
                <w:highlight w:val="none"/>
                <w:lang w:eastAsia="zh-CN" w:bidi="ar"/>
              </w:rPr>
            </w:pPr>
            <w:r>
              <w:rPr>
                <w:rFonts w:ascii="宋体" w:hAnsi="宋体" w:cs="宋体"/>
                <w:kern w:val="0"/>
                <w:szCs w:val="21"/>
                <w:highlight w:val="none"/>
                <w:lang w:bidi="ar"/>
              </w:rPr>
              <w:t>2.在满足资格要求的基</w:t>
            </w:r>
            <w:r>
              <w:rPr>
                <w:rFonts w:hint="eastAsia" w:ascii="宋体" w:hAnsi="宋体" w:cs="宋体"/>
                <w:kern w:val="0"/>
                <w:szCs w:val="21"/>
                <w:highlight w:val="none"/>
                <w:lang w:bidi="ar"/>
              </w:rPr>
              <w:t>础上，报价人拟派的项目经理具备人力资源和社会保障部、工业和信息化部颁发的有效的中级及以上系统集成项目管理工程师（或信息技术支持工程师、信息系统项目管理师）的，得2分，本项最多得2分</w:t>
            </w:r>
            <w:r>
              <w:rPr>
                <w:rFonts w:hint="eastAsia" w:ascii="宋体" w:hAnsi="宋体" w:cs="宋体"/>
                <w:kern w:val="0"/>
                <w:szCs w:val="21"/>
                <w:highlight w:val="none"/>
                <w:lang w:eastAsia="zh-CN" w:bidi="ar"/>
              </w:rPr>
              <w:t>。</w:t>
            </w:r>
          </w:p>
          <w:p>
            <w:pPr>
              <w:widowControl/>
              <w:snapToGrid w:val="0"/>
              <w:spacing w:line="400" w:lineRule="exact"/>
              <w:ind w:firstLine="420" w:firstLineChars="200"/>
              <w:jc w:val="left"/>
              <w:rPr>
                <w:rFonts w:hint="eastAsia" w:ascii="宋体" w:hAnsi="宋体" w:cs="宋体"/>
                <w:kern w:val="0"/>
                <w:szCs w:val="21"/>
                <w:highlight w:val="none"/>
                <w:lang w:bidi="ar"/>
              </w:rPr>
            </w:pPr>
            <w:r>
              <w:rPr>
                <w:rFonts w:hint="eastAsia" w:ascii="宋体" w:hAnsi="宋体" w:cs="宋体"/>
                <w:kern w:val="0"/>
                <w:szCs w:val="21"/>
                <w:highlight w:val="none"/>
                <w:lang w:bidi="ar"/>
              </w:rPr>
              <w:t>3. 报价人拟派的项目团队成员具备国家工业或信息化部，中国人力资源和社会保障部颁发的中级及以上职业资格或能力证书的，每人得2分，本项最多得2分。</w:t>
            </w:r>
          </w:p>
          <w:p>
            <w:pPr>
              <w:widowControl/>
              <w:snapToGrid w:val="0"/>
              <w:spacing w:line="400" w:lineRule="exact"/>
              <w:ind w:firstLine="420" w:firstLineChars="200"/>
              <w:jc w:val="left"/>
              <w:rPr>
                <w:rFonts w:ascii="宋体" w:hAnsi="宋体" w:cs="宋体"/>
                <w:kern w:val="0"/>
                <w:szCs w:val="21"/>
                <w:highlight w:val="none"/>
              </w:rPr>
            </w:pPr>
            <w:r>
              <w:rPr>
                <w:rFonts w:hint="eastAsia" w:ascii="宋体" w:hAnsi="宋体" w:cs="宋体"/>
                <w:szCs w:val="21"/>
                <w:highlight w:val="none"/>
              </w:rPr>
              <w:t>提供：证书复印件并加盖报价单位法人章。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widowControl/>
              <w:snapToGrid w:val="0"/>
              <w:spacing w:line="400" w:lineRule="exact"/>
              <w:jc w:val="center"/>
              <w:rPr>
                <w:rFonts w:ascii="宋体" w:hAnsi="宋体" w:cs="宋体"/>
                <w:kern w:val="0"/>
                <w:szCs w:val="21"/>
                <w:lang w:bidi="ar"/>
              </w:rPr>
            </w:pPr>
            <w:r>
              <w:rPr>
                <w:rFonts w:hint="eastAsia" w:ascii="宋体" w:hAnsi="宋体" w:cs="宋体"/>
                <w:kern w:val="0"/>
                <w:szCs w:val="21"/>
                <w:lang w:bidi="ar"/>
              </w:rPr>
              <w:t>企业实力（</w:t>
            </w:r>
            <w:r>
              <w:rPr>
                <w:rFonts w:ascii="宋体" w:hAnsi="宋体" w:cs="宋体"/>
                <w:kern w:val="0"/>
                <w:szCs w:val="21"/>
                <w:lang w:bidi="ar"/>
              </w:rPr>
              <w:t>2</w:t>
            </w:r>
            <w:r>
              <w:rPr>
                <w:rFonts w:hint="eastAsia" w:ascii="宋体" w:hAnsi="宋体" w:cs="宋体"/>
                <w:kern w:val="0"/>
                <w:szCs w:val="21"/>
                <w:lang w:bidi="ar"/>
              </w:rPr>
              <w:t>分）</w:t>
            </w:r>
          </w:p>
        </w:tc>
        <w:tc>
          <w:tcPr>
            <w:tcW w:w="5928" w:type="dxa"/>
            <w:vAlign w:val="center"/>
          </w:tcPr>
          <w:p>
            <w:pPr>
              <w:pStyle w:val="34"/>
              <w:numPr>
                <w:ilvl w:val="255"/>
                <w:numId w:val="0"/>
              </w:numPr>
              <w:autoSpaceDE w:val="0"/>
              <w:autoSpaceDN w:val="0"/>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1.报价人具备合格有效的</w:t>
            </w:r>
            <w:r>
              <w:rPr>
                <w:rFonts w:ascii="宋体" w:hAnsi="宋体" w:cs="宋体"/>
                <w:szCs w:val="21"/>
              </w:rPr>
              <w:t>ISO27001</w:t>
            </w:r>
            <w:r>
              <w:rPr>
                <w:rFonts w:hint="eastAsia" w:ascii="宋体" w:hAnsi="宋体" w:cs="宋体"/>
                <w:szCs w:val="21"/>
              </w:rPr>
              <w:t>信息安全管理体系认证证书的得</w:t>
            </w:r>
            <w:r>
              <w:rPr>
                <w:rFonts w:ascii="宋体" w:hAnsi="宋体" w:cs="宋体"/>
                <w:szCs w:val="21"/>
              </w:rPr>
              <w:t>1</w:t>
            </w:r>
            <w:r>
              <w:rPr>
                <w:rFonts w:hint="eastAsia" w:ascii="宋体" w:hAnsi="宋体" w:cs="宋体"/>
                <w:szCs w:val="21"/>
              </w:rPr>
              <w:t>分，本项最多得1分；</w:t>
            </w:r>
          </w:p>
          <w:p>
            <w:pPr>
              <w:pStyle w:val="34"/>
              <w:numPr>
                <w:ilvl w:val="255"/>
                <w:numId w:val="0"/>
              </w:numPr>
              <w:autoSpaceDE w:val="0"/>
              <w:autoSpaceDN w:val="0"/>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2.投标人具有合格有效的ISO9001质量管理体系认证证书，的得1分，本项最多得1分；</w:t>
            </w:r>
          </w:p>
          <w:p>
            <w:pPr>
              <w:widowControl/>
              <w:snapToGrid w:val="0"/>
              <w:spacing w:line="400" w:lineRule="exact"/>
              <w:ind w:firstLine="420" w:firstLineChars="200"/>
              <w:jc w:val="left"/>
              <w:rPr>
                <w:rFonts w:ascii="宋体" w:hAnsi="宋体" w:cs="宋体"/>
                <w:kern w:val="0"/>
                <w:szCs w:val="21"/>
                <w:lang w:bidi="ar"/>
              </w:rPr>
            </w:pPr>
            <w:r>
              <w:rPr>
                <w:rFonts w:hint="eastAsia" w:ascii="宋体" w:hAnsi="宋体" w:cs="宋体"/>
                <w:szCs w:val="21"/>
              </w:rPr>
              <w:t>提供：证书复印件、网上查询截图并加盖报价单位法人章。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widowControl/>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相关业绩（1</w:t>
            </w:r>
            <w:r>
              <w:rPr>
                <w:rFonts w:asciiTheme="minorEastAsia" w:hAnsiTheme="minorEastAsia" w:eastAsiaTheme="minorEastAsia" w:cstheme="minorEastAsia"/>
                <w:szCs w:val="21"/>
                <w:lang w:bidi="ar"/>
              </w:rPr>
              <w:t>2</w:t>
            </w:r>
            <w:r>
              <w:rPr>
                <w:rFonts w:hint="eastAsia" w:asciiTheme="minorEastAsia" w:hAnsiTheme="minorEastAsia" w:eastAsiaTheme="minorEastAsia" w:cstheme="minorEastAsia"/>
                <w:szCs w:val="21"/>
                <w:lang w:bidi="ar"/>
              </w:rPr>
              <w:t>分）</w:t>
            </w:r>
          </w:p>
        </w:tc>
        <w:tc>
          <w:tcPr>
            <w:tcW w:w="5928" w:type="dxa"/>
            <w:vAlign w:val="center"/>
          </w:tcPr>
          <w:p>
            <w:pPr>
              <w:widowControl/>
              <w:snapToGrid w:val="0"/>
              <w:spacing w:line="400" w:lineRule="exact"/>
              <w:ind w:firstLine="420" w:firstLineChars="200"/>
              <w:jc w:val="left"/>
              <w:rPr>
                <w:rFonts w:ascii="宋体" w:hAnsi="宋体" w:cs="宋体"/>
                <w:kern w:val="0"/>
                <w:szCs w:val="21"/>
                <w:lang w:bidi="ar"/>
              </w:rPr>
            </w:pPr>
            <w:r>
              <w:rPr>
                <w:rFonts w:ascii="宋体" w:hAnsi="宋体" w:cs="宋体"/>
                <w:kern w:val="0"/>
                <w:szCs w:val="21"/>
                <w:lang w:bidi="ar"/>
              </w:rPr>
              <w:t>1.满足资格条件的资质要求得</w:t>
            </w:r>
            <w:r>
              <w:rPr>
                <w:rFonts w:hint="eastAsia" w:ascii="宋体" w:hAnsi="宋体" w:cs="宋体"/>
                <w:kern w:val="0"/>
                <w:szCs w:val="21"/>
                <w:lang w:bidi="ar"/>
              </w:rPr>
              <w:t>6</w:t>
            </w:r>
            <w:r>
              <w:rPr>
                <w:rFonts w:ascii="宋体" w:hAnsi="宋体" w:cs="宋体"/>
                <w:kern w:val="0"/>
                <w:szCs w:val="21"/>
                <w:lang w:bidi="ar"/>
              </w:rPr>
              <w:t>分；</w:t>
            </w:r>
          </w:p>
          <w:p>
            <w:pPr>
              <w:widowControl/>
              <w:snapToGrid w:val="0"/>
              <w:spacing w:line="400" w:lineRule="exact"/>
              <w:ind w:firstLine="420" w:firstLineChars="200"/>
              <w:jc w:val="left"/>
              <w:rPr>
                <w:rFonts w:ascii="宋体" w:hAnsi="宋体" w:cs="宋体"/>
                <w:kern w:val="0"/>
                <w:szCs w:val="21"/>
                <w:lang w:bidi="ar"/>
              </w:rPr>
            </w:pPr>
            <w:r>
              <w:rPr>
                <w:rFonts w:ascii="宋体" w:hAnsi="宋体" w:cs="宋体"/>
                <w:kern w:val="0"/>
                <w:szCs w:val="21"/>
                <w:lang w:bidi="ar"/>
              </w:rPr>
              <w:t>2.在满足资格业绩要求的基础上，</w:t>
            </w:r>
            <w:r>
              <w:rPr>
                <w:rFonts w:hint="eastAsia" w:ascii="宋体" w:hAnsi="宋体" w:cs="宋体"/>
                <w:kern w:val="0"/>
                <w:szCs w:val="21"/>
                <w:lang w:bidi="ar"/>
              </w:rPr>
              <w:t>报价人在</w:t>
            </w:r>
            <w:r>
              <w:rPr>
                <w:rFonts w:ascii="宋体" w:hAnsi="宋体" w:cs="宋体"/>
                <w:kern w:val="0"/>
                <w:szCs w:val="21"/>
                <w:lang w:bidi="ar"/>
              </w:rPr>
              <w:t>2021年1月1日至报价截止日期（以合同签订时间为准）</w:t>
            </w:r>
            <w:r>
              <w:rPr>
                <w:rFonts w:hint="eastAsia" w:ascii="宋体" w:hAnsi="宋体" w:cs="宋体"/>
                <w:kern w:val="0"/>
                <w:szCs w:val="21"/>
                <w:lang w:bidi="ar"/>
              </w:rPr>
              <w:t>每增加</w:t>
            </w:r>
            <w:r>
              <w:rPr>
                <w:rFonts w:ascii="宋体" w:hAnsi="宋体" w:cs="宋体"/>
                <w:kern w:val="0"/>
                <w:szCs w:val="21"/>
                <w:lang w:bidi="ar"/>
              </w:rPr>
              <w:t>一项合同金额不低于50万元的软件服务或技术服务业绩</w:t>
            </w:r>
            <w:r>
              <w:rPr>
                <w:rFonts w:hint="eastAsia" w:ascii="宋体" w:hAnsi="宋体" w:cs="宋体"/>
                <w:kern w:val="0"/>
                <w:szCs w:val="21"/>
                <w:lang w:bidi="ar"/>
              </w:rPr>
              <w:t>的得2分，本项最多得</w:t>
            </w:r>
            <w:r>
              <w:rPr>
                <w:rFonts w:ascii="宋体" w:hAnsi="宋体" w:cs="宋体"/>
                <w:kern w:val="0"/>
                <w:szCs w:val="21"/>
                <w:lang w:bidi="ar"/>
              </w:rPr>
              <w:t>6</w:t>
            </w:r>
            <w:r>
              <w:rPr>
                <w:rFonts w:hint="eastAsia" w:ascii="宋体" w:hAnsi="宋体" w:cs="宋体"/>
                <w:kern w:val="0"/>
                <w:szCs w:val="21"/>
                <w:lang w:bidi="ar"/>
              </w:rPr>
              <w:t>分。</w:t>
            </w:r>
          </w:p>
          <w:p>
            <w:pPr>
              <w:widowControl/>
              <w:snapToGrid w:val="0"/>
              <w:spacing w:line="400" w:lineRule="exact"/>
              <w:ind w:firstLine="420" w:firstLineChars="200"/>
              <w:jc w:val="left"/>
              <w:rPr>
                <w:rFonts w:ascii="宋体" w:hAnsi="宋体" w:cs="宋体"/>
                <w:kern w:val="0"/>
                <w:szCs w:val="21"/>
              </w:rPr>
            </w:pPr>
            <w:r>
              <w:rPr>
                <w:rFonts w:hint="eastAsia" w:ascii="宋体" w:hAnsi="宋体" w:cs="宋体"/>
                <w:szCs w:val="21"/>
              </w:rPr>
              <w:t>提供：合同复印件并加盖投标单位法人章（合同需清晰反映上述业绩要求的主要内容，包括但不限于合同金额、工作内容及合同签订时间等）</w:t>
            </w:r>
            <w:r>
              <w:rPr>
                <w:rFonts w:hint="eastAsia" w:ascii="宋体" w:hAnsi="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w:t>
            </w:r>
            <w:r>
              <w:rPr>
                <w:rFonts w:hint="eastAsia" w:ascii="宋体" w:hAnsi="宋体" w:cs="宋体"/>
                <w:szCs w:val="21"/>
              </w:rPr>
              <w:t>评分标准</w:t>
            </w:r>
            <w:r>
              <w:rPr>
                <w:rFonts w:hint="eastAsia" w:asciiTheme="minorEastAsia" w:hAnsiTheme="minorEastAsia" w:eastAsiaTheme="minorEastAsia" w:cstheme="minorEastAsia"/>
                <w:szCs w:val="21"/>
              </w:rPr>
              <w:t>（20分）</w:t>
            </w:r>
          </w:p>
        </w:tc>
        <w:tc>
          <w:tcPr>
            <w:tcW w:w="2022" w:type="dxa"/>
            <w:vAlign w:val="center"/>
          </w:tcPr>
          <w:p>
            <w:pPr>
              <w:adjustRightInd w:val="0"/>
              <w:snapToGrid w:val="0"/>
              <w:spacing w:line="400" w:lineRule="exact"/>
              <w:jc w:val="center"/>
              <w:textAlignment w:val="baseline"/>
              <w:rPr>
                <w:rFonts w:hint="eastAsia" w:ascii="宋体" w:hAnsi="宋体" w:eastAsia="宋体" w:cs="宋体"/>
                <w:color w:val="auto"/>
                <w:szCs w:val="21"/>
                <w:highlight w:val="none"/>
                <w:lang w:bidi="ar"/>
              </w:rPr>
            </w:pPr>
            <w:r>
              <w:rPr>
                <w:rFonts w:hint="eastAsia" w:ascii="宋体" w:hAnsi="宋体" w:eastAsia="宋体" w:cs="宋体"/>
                <w:color w:val="auto"/>
                <w:kern w:val="0"/>
                <w:szCs w:val="21"/>
                <w:highlight w:val="none"/>
              </w:rPr>
              <w:t>项目技术方案（</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c>
          <w:tcPr>
            <w:tcW w:w="5928" w:type="dxa"/>
            <w:vAlign w:val="center"/>
          </w:tcPr>
          <w:p>
            <w:pPr>
              <w:adjustRightInd w:val="0"/>
              <w:snapToGrid w:val="0"/>
              <w:spacing w:line="400" w:lineRule="exact"/>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投标人对“第五章 项目需求”中所列需求进行响应，所选用的软件开发架构和工具应具有先进性，功能齐全且具备扩展性；具有详细的设计；具备风险应对措施（如延期等）；关键性环节不步骤有详细的步骤描述；系统安全性保障考虑全面。</w:t>
            </w:r>
          </w:p>
          <w:p>
            <w:pPr>
              <w:adjustRightInd w:val="0"/>
              <w:snapToGrid w:val="0"/>
              <w:spacing w:line="400" w:lineRule="exact"/>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注：以上性能满足要求得</w:t>
            </w:r>
            <w:r>
              <w:rPr>
                <w:rFonts w:hint="eastAsia" w:ascii="宋体" w:hAnsi="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cs="宋体"/>
                <w:color w:val="auto"/>
                <w:highlight w:val="none"/>
                <w:lang w:val="en-US" w:eastAsia="zh-CN"/>
              </w:rPr>
              <w:t>8</w:t>
            </w:r>
            <w:r>
              <w:rPr>
                <w:rFonts w:hint="eastAsia" w:ascii="宋体" w:hAnsi="宋体" w:eastAsia="宋体" w:cs="宋体"/>
                <w:color w:val="auto"/>
                <w:highlight w:val="none"/>
              </w:rPr>
              <w:t>分；以上性能较为满足要求得</w:t>
            </w:r>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6</w:t>
            </w:r>
            <w:r>
              <w:rPr>
                <w:rFonts w:hint="eastAsia" w:ascii="宋体" w:hAnsi="宋体" w:eastAsia="宋体" w:cs="宋体"/>
                <w:color w:val="auto"/>
                <w:highlight w:val="none"/>
              </w:rPr>
              <w:t>分，以上性能不满足要求得</w:t>
            </w:r>
            <w:r>
              <w:rPr>
                <w:rFonts w:hint="eastAsia" w:ascii="宋体" w:hAnsi="宋体" w:cs="宋体"/>
                <w:color w:val="auto"/>
                <w:highlight w:val="none"/>
                <w:lang w:val="en-US" w:eastAsia="zh-CN"/>
              </w:rPr>
              <w:t>6</w:t>
            </w:r>
            <w:r>
              <w:rPr>
                <w:rFonts w:hint="eastAsia" w:ascii="宋体" w:hAnsi="宋体" w:eastAsia="宋体" w:cs="宋体"/>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adjustRightInd w:val="0"/>
              <w:snapToGrid w:val="0"/>
              <w:spacing w:line="400" w:lineRule="exact"/>
              <w:jc w:val="center"/>
              <w:textAlignment w:val="baseline"/>
              <w:rPr>
                <w:rFonts w:asciiTheme="minorEastAsia" w:hAnsiTheme="minorEastAsia" w:eastAsiaTheme="minorEastAsia" w:cstheme="minorEastAsia"/>
                <w:szCs w:val="21"/>
                <w:highlight w:val="none"/>
                <w:lang w:bidi="ar"/>
              </w:rPr>
            </w:pPr>
            <w:r>
              <w:rPr>
                <w:rFonts w:hint="eastAsia" w:ascii="宋体" w:hAnsi="宋体" w:cs="宋体"/>
                <w:bCs/>
                <w:szCs w:val="21"/>
                <w:highlight w:val="none"/>
                <w:lang w:bidi="ar"/>
              </w:rPr>
              <w:t>项目实施方案（5分）</w:t>
            </w:r>
          </w:p>
        </w:tc>
        <w:tc>
          <w:tcPr>
            <w:tcW w:w="5928" w:type="dxa"/>
            <w:vAlign w:val="center"/>
          </w:tcPr>
          <w:p>
            <w:pPr>
              <w:adjustRightInd w:val="0"/>
              <w:snapToGrid w:val="0"/>
              <w:spacing w:line="400" w:lineRule="exact"/>
              <w:ind w:firstLine="420" w:firstLineChars="200"/>
              <w:textAlignment w:val="baseline"/>
              <w:rPr>
                <w:rFonts w:ascii="宋体" w:hAnsi="宋体" w:cs="宋体"/>
                <w:bCs/>
                <w:szCs w:val="21"/>
                <w:highlight w:val="none"/>
                <w:lang w:bidi="ar"/>
              </w:rPr>
            </w:pPr>
            <w:r>
              <w:rPr>
                <w:rFonts w:hint="eastAsia" w:ascii="宋体" w:hAnsi="宋体" w:cs="宋体"/>
                <w:bCs/>
                <w:szCs w:val="21"/>
                <w:highlight w:val="none"/>
                <w:lang w:bidi="ar"/>
              </w:rPr>
              <w:t>投标人针对</w:t>
            </w:r>
            <w:r>
              <w:rPr>
                <w:rFonts w:hint="eastAsia" w:ascii="宋体" w:hAnsi="宋体" w:cs="宋体"/>
                <w:bCs/>
                <w:szCs w:val="21"/>
                <w:highlight w:val="none"/>
                <w:lang w:eastAsia="zh-CN" w:bidi="ar"/>
              </w:rPr>
              <w:t>国产技术体系下基于业务的财务共享系统开发服务</w:t>
            </w:r>
            <w:r>
              <w:rPr>
                <w:rFonts w:hint="eastAsia" w:ascii="宋体" w:hAnsi="宋体" w:cs="宋体"/>
                <w:bCs/>
                <w:szCs w:val="21"/>
                <w:highlight w:val="none"/>
                <w:lang w:bidi="ar"/>
              </w:rPr>
              <w:t>的软件代码过程提供合理可行的项目实施方案，方案至少包含项目实施的组织架构、实施计划、实施管理流程；实施方案内容全面、结构清晰；实施方案针对技术、资源、时间的安排合理。根据编制内容优劣给分：</w:t>
            </w:r>
          </w:p>
          <w:p>
            <w:pPr>
              <w:adjustRightInd w:val="0"/>
              <w:snapToGrid w:val="0"/>
              <w:spacing w:line="400" w:lineRule="exact"/>
              <w:ind w:firstLine="420" w:firstLineChars="200"/>
              <w:textAlignment w:val="baseline"/>
              <w:rPr>
                <w:rFonts w:ascii="宋体" w:hAnsi="宋体" w:cs="宋体"/>
                <w:kern w:val="0"/>
                <w:szCs w:val="21"/>
                <w:highlight w:val="none"/>
                <w:lang w:bidi="ar"/>
              </w:rPr>
            </w:pPr>
            <w:r>
              <w:rPr>
                <w:rFonts w:hint="eastAsia" w:ascii="宋体" w:hAnsi="宋体" w:cs="宋体"/>
                <w:bCs/>
                <w:szCs w:val="21"/>
                <w:highlight w:val="none"/>
                <w:lang w:bidi="ar"/>
              </w:rPr>
              <w:t>注：方案内容合理、可行性高、完整性好，内容全面结构清晰得</w:t>
            </w:r>
            <w:r>
              <w:rPr>
                <w:rFonts w:hint="eastAsia" w:ascii="宋体" w:hAnsi="宋体" w:cs="宋体"/>
                <w:bCs/>
                <w:szCs w:val="21"/>
                <w:highlight w:val="none"/>
                <w:lang w:val="en-US" w:eastAsia="zh-CN" w:bidi="ar"/>
              </w:rPr>
              <w:t>5</w:t>
            </w:r>
            <w:r>
              <w:rPr>
                <w:rFonts w:hint="eastAsia" w:ascii="宋体" w:hAnsi="宋体" w:cs="宋体"/>
                <w:bCs/>
                <w:szCs w:val="21"/>
                <w:highlight w:val="none"/>
                <w:lang w:bidi="ar"/>
              </w:rPr>
              <w:t>~</w:t>
            </w:r>
            <w:r>
              <w:rPr>
                <w:rFonts w:hint="eastAsia" w:ascii="宋体" w:hAnsi="宋体" w:cs="宋体"/>
                <w:bCs/>
                <w:szCs w:val="21"/>
                <w:highlight w:val="none"/>
                <w:lang w:val="en-US" w:eastAsia="zh-CN" w:bidi="ar"/>
              </w:rPr>
              <w:t>4</w:t>
            </w:r>
            <w:r>
              <w:rPr>
                <w:rFonts w:hint="eastAsia" w:ascii="宋体" w:hAnsi="宋体" w:cs="宋体"/>
                <w:bCs/>
                <w:szCs w:val="21"/>
                <w:highlight w:val="none"/>
                <w:lang w:bidi="ar"/>
              </w:rPr>
              <w:t>分；方案内容较合理性、可行性较高、完整性一般、内容全面结构一般得</w:t>
            </w:r>
            <w:r>
              <w:rPr>
                <w:rFonts w:hint="eastAsia" w:ascii="宋体" w:hAnsi="宋体" w:cs="宋体"/>
                <w:bCs/>
                <w:szCs w:val="21"/>
                <w:highlight w:val="none"/>
                <w:lang w:val="en-US" w:eastAsia="zh-CN" w:bidi="ar"/>
              </w:rPr>
              <w:t>4</w:t>
            </w:r>
            <w:r>
              <w:rPr>
                <w:rFonts w:hint="eastAsia" w:ascii="宋体" w:hAnsi="宋体" w:cs="宋体"/>
                <w:bCs/>
                <w:szCs w:val="21"/>
                <w:highlight w:val="none"/>
                <w:lang w:bidi="ar"/>
              </w:rPr>
              <w:t>~</w:t>
            </w:r>
            <w:r>
              <w:rPr>
                <w:rFonts w:hint="eastAsia" w:ascii="宋体" w:hAnsi="宋体" w:cs="宋体"/>
                <w:bCs/>
                <w:szCs w:val="21"/>
                <w:highlight w:val="none"/>
                <w:lang w:val="en-US" w:eastAsia="zh-CN" w:bidi="ar"/>
              </w:rPr>
              <w:t>3</w:t>
            </w:r>
            <w:r>
              <w:rPr>
                <w:rFonts w:hint="eastAsia" w:ascii="宋体" w:hAnsi="宋体" w:cs="宋体"/>
                <w:bCs/>
                <w:szCs w:val="21"/>
                <w:highlight w:val="none"/>
                <w:lang w:bidi="ar"/>
              </w:rPr>
              <w:t>分；方案内容应不合理性、不具有可行性、完整性较差、内容全面结构模糊得</w:t>
            </w:r>
            <w:r>
              <w:rPr>
                <w:rFonts w:hint="eastAsia" w:ascii="宋体" w:hAnsi="宋体" w:cs="宋体"/>
                <w:bCs/>
                <w:szCs w:val="21"/>
                <w:highlight w:val="none"/>
                <w:lang w:val="en-US" w:eastAsia="zh-CN" w:bidi="ar"/>
              </w:rPr>
              <w:t>3</w:t>
            </w:r>
            <w:r>
              <w:rPr>
                <w:rFonts w:hint="eastAsia" w:ascii="宋体" w:hAnsi="宋体" w:cs="宋体"/>
                <w:bCs/>
                <w:szCs w:val="21"/>
                <w:highlight w:val="none"/>
                <w:lang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adjustRightInd w:val="0"/>
              <w:snapToGrid w:val="0"/>
              <w:spacing w:line="400" w:lineRule="exact"/>
              <w:jc w:val="center"/>
              <w:textAlignment w:val="baseline"/>
              <w:rPr>
                <w:rFonts w:asciiTheme="minorEastAsia" w:hAnsiTheme="minorEastAsia" w:eastAsiaTheme="minorEastAsia" w:cstheme="minorEastAsia"/>
                <w:szCs w:val="21"/>
                <w:highlight w:val="none"/>
                <w:lang w:bidi="ar"/>
              </w:rPr>
            </w:pPr>
            <w:r>
              <w:rPr>
                <w:rFonts w:hint="eastAsia" w:ascii="宋体" w:hAnsi="宋体" w:cs="宋体"/>
                <w:bCs/>
                <w:szCs w:val="21"/>
                <w:highlight w:val="none"/>
                <w:lang w:bidi="ar"/>
              </w:rPr>
              <w:t>项目技术交底和缺陷责任保障服务方案（5分）</w:t>
            </w:r>
          </w:p>
        </w:tc>
        <w:tc>
          <w:tcPr>
            <w:tcW w:w="5928" w:type="dxa"/>
            <w:vAlign w:val="center"/>
          </w:tcPr>
          <w:p>
            <w:pPr>
              <w:adjustRightInd w:val="0"/>
              <w:snapToGrid w:val="0"/>
              <w:spacing w:line="400" w:lineRule="exact"/>
              <w:ind w:firstLine="420" w:firstLineChars="200"/>
              <w:textAlignment w:val="baseline"/>
              <w:rPr>
                <w:rFonts w:ascii="宋体" w:hAnsi="宋体" w:cs="宋体"/>
                <w:bCs/>
                <w:szCs w:val="21"/>
                <w:highlight w:val="none"/>
                <w:lang w:bidi="ar"/>
              </w:rPr>
            </w:pPr>
            <w:r>
              <w:rPr>
                <w:rFonts w:hint="eastAsia" w:ascii="宋体" w:hAnsi="宋体" w:cs="宋体"/>
                <w:bCs/>
                <w:szCs w:val="21"/>
                <w:highlight w:val="none"/>
                <w:lang w:bidi="ar"/>
              </w:rPr>
              <w:t>项目售后服务技术支持及技术交底服务方案，方案至少包含开发过程文档、需求变更文档、最终版源代码移交，技术交底方式、计划、技术交底质量控制、缺陷责任期响应和修复保障等内容。</w:t>
            </w:r>
          </w:p>
          <w:p>
            <w:pPr>
              <w:adjustRightInd w:val="0"/>
              <w:snapToGrid w:val="0"/>
              <w:spacing w:line="400" w:lineRule="exact"/>
              <w:ind w:firstLine="420" w:firstLineChars="200"/>
              <w:textAlignment w:val="baseline"/>
              <w:rPr>
                <w:rFonts w:ascii="宋体" w:hAnsi="宋体" w:cs="宋体"/>
                <w:kern w:val="0"/>
                <w:szCs w:val="21"/>
                <w:highlight w:val="none"/>
              </w:rPr>
            </w:pPr>
            <w:r>
              <w:rPr>
                <w:rFonts w:hint="eastAsia" w:ascii="宋体" w:hAnsi="宋体" w:cs="宋体"/>
                <w:bCs/>
                <w:szCs w:val="21"/>
                <w:highlight w:val="none"/>
                <w:lang w:bidi="ar"/>
              </w:rPr>
              <w:t>注：方案内容合理性、可行性、完整性较好得5~4分，方案内容合理性、可行性、完整性一般得4~3分，方案内容不合理、可行性不好、完整性差得3~0分。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条款名称</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评标程序</w:t>
            </w:r>
          </w:p>
        </w:tc>
        <w:tc>
          <w:tcPr>
            <w:tcW w:w="5928" w:type="dxa"/>
            <w:vAlign w:val="center"/>
          </w:tcPr>
          <w:p>
            <w:pPr>
              <w:pStyle w:val="35"/>
              <w:spacing w:before="70" w:line="320" w:lineRule="exact"/>
              <w:ind w:left="119" w:right="83" w:firstLine="420"/>
              <w:rPr>
                <w:rFonts w:ascii="宋体" w:hAnsi="宋体" w:cs="宋体"/>
                <w:szCs w:val="21"/>
              </w:rPr>
            </w:pPr>
            <w:r>
              <w:rPr>
                <w:rFonts w:hint="eastAsia" w:ascii="宋体" w:hAnsi="宋体" w:cs="宋体"/>
                <w:szCs w:val="21"/>
              </w:rPr>
              <w:t xml:space="preserve">1.按本章评标办法第2.1款、2.2款及2.3款进行初步评审，未通过初步评审或评标委员会认定为无效的投标文件的不再进行后续评审。 </w:t>
            </w:r>
          </w:p>
          <w:p>
            <w:pPr>
              <w:pStyle w:val="35"/>
              <w:spacing w:before="42" w:line="320" w:lineRule="exact"/>
              <w:ind w:left="119" w:right="72" w:firstLine="420"/>
              <w:rPr>
                <w:rFonts w:ascii="宋体" w:hAnsi="宋体" w:cs="宋体"/>
                <w:szCs w:val="21"/>
              </w:rPr>
            </w:pPr>
            <w:r>
              <w:rPr>
                <w:rFonts w:hint="eastAsia" w:ascii="宋体" w:hAnsi="宋体" w:cs="宋体"/>
                <w:szCs w:val="21"/>
              </w:rPr>
              <w:t>2.按本章评标办法前附表第3.1款的规定进行报价投标报价部分评审；</w:t>
            </w:r>
          </w:p>
          <w:p>
            <w:pPr>
              <w:pStyle w:val="35"/>
              <w:spacing w:before="15" w:line="320" w:lineRule="exact"/>
              <w:ind w:left="119" w:right="72" w:firstLine="420"/>
              <w:rPr>
                <w:rFonts w:ascii="宋体" w:hAnsi="宋体" w:cs="宋体"/>
                <w:szCs w:val="21"/>
              </w:rPr>
            </w:pPr>
            <w:r>
              <w:rPr>
                <w:rFonts w:hint="eastAsia" w:ascii="宋体" w:hAnsi="宋体" w:cs="宋体"/>
                <w:szCs w:val="21"/>
              </w:rPr>
              <w:t>3.按本章评标办法前附表第3.2款的规定进行商务部分的评审；</w:t>
            </w:r>
          </w:p>
          <w:p>
            <w:pPr>
              <w:pStyle w:val="35"/>
              <w:spacing w:before="15" w:line="320" w:lineRule="exact"/>
              <w:ind w:left="119" w:right="72" w:firstLine="420"/>
              <w:rPr>
                <w:rFonts w:ascii="宋体" w:hAnsi="宋体" w:cs="宋体"/>
                <w:szCs w:val="21"/>
              </w:rPr>
            </w:pPr>
            <w:r>
              <w:rPr>
                <w:rFonts w:hint="eastAsia" w:ascii="宋体" w:hAnsi="宋体" w:cs="宋体"/>
                <w:szCs w:val="21"/>
              </w:rPr>
              <w:t>4.按本章评标办法前附表第 3.3款的规定进行技术部分的评审；</w:t>
            </w:r>
          </w:p>
          <w:p>
            <w:pPr>
              <w:pStyle w:val="35"/>
              <w:spacing w:before="42" w:line="320" w:lineRule="exact"/>
              <w:ind w:left="119" w:right="-23" w:firstLine="420"/>
              <w:rPr>
                <w:rFonts w:ascii="宋体" w:hAnsi="宋体" w:cs="宋体"/>
                <w:szCs w:val="21"/>
              </w:rPr>
            </w:pPr>
            <w:r>
              <w:rPr>
                <w:rFonts w:hint="eastAsia" w:ascii="宋体" w:hAnsi="宋体" w:cs="宋体"/>
                <w:szCs w:val="21"/>
              </w:rPr>
              <w:t xml:space="preserve">5.因评标委员会作否决投标处理导致有效报价人不足三个的，评标委员会应当否决所有投标。但是有效报价人的经济、技术等指标仍然具有市场竞争力，能够满足采购文件要求的，评标委员会可以继续评标并确定中标候选人。 </w:t>
            </w:r>
          </w:p>
          <w:p>
            <w:pPr>
              <w:pStyle w:val="35"/>
              <w:spacing w:before="47" w:line="320" w:lineRule="exact"/>
              <w:ind w:left="119" w:firstLine="420"/>
              <w:rPr>
                <w:rFonts w:ascii="宋体" w:hAnsi="宋体" w:cs="宋体"/>
                <w:szCs w:val="21"/>
              </w:rPr>
            </w:pPr>
            <w:r>
              <w:rPr>
                <w:rFonts w:hint="eastAsia" w:ascii="宋体" w:hAnsi="宋体" w:cs="宋体"/>
                <w:szCs w:val="21"/>
              </w:rPr>
              <w:t xml:space="preserve">6.对技术部分、商务部分、投标总报价得分进行汇总，确定得分由高至低前2名报价人为中标候选人。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报价人得分</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报价人得分=投标报价得分+商务部分得分+技术部分得分</w:t>
            </w:r>
          </w:p>
        </w:tc>
      </w:tr>
    </w:tbl>
    <w:p>
      <w:pPr>
        <w:pStyle w:val="9"/>
      </w:pPr>
    </w:p>
    <w:p>
      <w:pPr>
        <w:pStyle w:val="6"/>
        <w:spacing w:line="418" w:lineRule="exact"/>
        <w:rPr>
          <w:rFonts w:ascii="宋体" w:hAnsi="宋体" w:eastAsia="宋体" w:cs="宋体"/>
          <w:kern w:val="2"/>
          <w:sz w:val="21"/>
          <w:szCs w:val="21"/>
        </w:rPr>
      </w:pPr>
      <w:r>
        <w:rPr>
          <w:rFonts w:hint="eastAsia" w:ascii="宋体" w:hAnsi="宋体" w:eastAsia="宋体" w:cs="宋体"/>
          <w:kern w:val="2"/>
          <w:sz w:val="21"/>
          <w:szCs w:val="21"/>
        </w:rPr>
        <w:t xml:space="preserve">1. 评标方法 </w:t>
      </w:r>
    </w:p>
    <w:p>
      <w:pPr>
        <w:pStyle w:val="9"/>
        <w:spacing w:before="119" w:line="352" w:lineRule="auto"/>
        <w:ind w:firstLine="420" w:firstLineChars="200"/>
        <w:rPr>
          <w:rFonts w:ascii="宋体" w:hAnsi="宋体" w:cs="宋体"/>
          <w:kern w:val="2"/>
          <w:sz w:val="21"/>
          <w:szCs w:val="21"/>
        </w:rPr>
      </w:pPr>
      <w:r>
        <w:rPr>
          <w:rFonts w:hint="eastAsia" w:ascii="宋体" w:hAnsi="宋体" w:cs="宋体"/>
          <w:kern w:val="2"/>
          <w:sz w:val="21"/>
          <w:szCs w:val="21"/>
        </w:rPr>
        <w:t xml:space="preserve">本次评标采用综合评分法。评标委员会按照本章评标办法前附表规定的评分标准进行打分，按得分由高到 低顺序推荐中标候选人，若出现报价人投标报价相同的，以评标办法前附表约定的原则确定排序。 </w:t>
      </w:r>
    </w:p>
    <w:p>
      <w:pPr>
        <w:pStyle w:val="6"/>
        <w:spacing w:before="56"/>
        <w:rPr>
          <w:rFonts w:ascii="宋体" w:hAnsi="宋体" w:eastAsia="宋体" w:cs="宋体"/>
          <w:kern w:val="2"/>
          <w:sz w:val="21"/>
          <w:szCs w:val="21"/>
        </w:rPr>
      </w:pPr>
      <w:bookmarkStart w:id="128" w:name="2._评审标准"/>
      <w:bookmarkEnd w:id="128"/>
      <w:r>
        <w:rPr>
          <w:rFonts w:hint="eastAsia" w:ascii="宋体" w:hAnsi="宋体" w:eastAsia="宋体" w:cs="宋体"/>
          <w:kern w:val="2"/>
          <w:sz w:val="21"/>
          <w:szCs w:val="21"/>
        </w:rPr>
        <w:t xml:space="preserve">2. 评审标准 </w:t>
      </w:r>
    </w:p>
    <w:p>
      <w:pPr>
        <w:spacing w:before="156"/>
        <w:ind w:left="106"/>
        <w:rPr>
          <w:rFonts w:ascii="宋体" w:hAnsi="宋体" w:cs="宋体"/>
          <w:szCs w:val="21"/>
        </w:rPr>
      </w:pPr>
      <w:bookmarkStart w:id="129" w:name="2.1_初步评审标准"/>
      <w:bookmarkEnd w:id="129"/>
      <w:r>
        <w:rPr>
          <w:rFonts w:hint="eastAsia" w:ascii="宋体" w:hAnsi="宋体" w:cs="宋体"/>
          <w:szCs w:val="21"/>
        </w:rPr>
        <w:t xml:space="preserve">2.1 初步评审标准 </w:t>
      </w:r>
    </w:p>
    <w:p>
      <w:pPr>
        <w:pStyle w:val="9"/>
        <w:spacing w:before="61"/>
        <w:ind w:left="647"/>
        <w:rPr>
          <w:rFonts w:ascii="宋体" w:hAnsi="宋体" w:cs="宋体"/>
          <w:caps/>
          <w:kern w:val="2"/>
          <w:sz w:val="21"/>
          <w:szCs w:val="21"/>
        </w:rPr>
      </w:pPr>
      <w:r>
        <w:rPr>
          <w:rFonts w:hint="eastAsia" w:ascii="宋体" w:hAnsi="宋体" w:cs="宋体"/>
          <w:caps/>
          <w:kern w:val="2"/>
          <w:sz w:val="21"/>
          <w:szCs w:val="21"/>
        </w:rPr>
        <w:t xml:space="preserve">2.1.1 资格评审标准：见评标办法前附表。 </w:t>
      </w:r>
    </w:p>
    <w:p>
      <w:pPr>
        <w:pStyle w:val="9"/>
        <w:spacing w:before="130"/>
        <w:ind w:left="647"/>
        <w:rPr>
          <w:rFonts w:ascii="宋体" w:hAnsi="宋体" w:cs="宋体"/>
          <w:caps/>
          <w:kern w:val="2"/>
          <w:sz w:val="21"/>
          <w:szCs w:val="21"/>
        </w:rPr>
      </w:pPr>
      <w:r>
        <w:rPr>
          <w:rFonts w:hint="eastAsia" w:ascii="宋体" w:hAnsi="宋体" w:cs="宋体"/>
          <w:caps/>
          <w:kern w:val="2"/>
          <w:sz w:val="21"/>
          <w:szCs w:val="21"/>
        </w:rPr>
        <w:t xml:space="preserve">2.1.2 形式评审标准：见评标办法前附表。 </w:t>
      </w:r>
    </w:p>
    <w:p>
      <w:pPr>
        <w:pStyle w:val="9"/>
        <w:spacing w:before="130"/>
        <w:ind w:left="647"/>
        <w:rPr>
          <w:rFonts w:ascii="宋体" w:hAnsi="宋体" w:cs="宋体"/>
          <w:caps/>
          <w:kern w:val="2"/>
          <w:sz w:val="21"/>
          <w:szCs w:val="21"/>
        </w:rPr>
      </w:pPr>
      <w:r>
        <w:rPr>
          <w:rFonts w:hint="eastAsia" w:ascii="宋体" w:hAnsi="宋体" w:cs="宋体"/>
          <w:caps/>
          <w:kern w:val="2"/>
          <w:sz w:val="21"/>
          <w:szCs w:val="21"/>
        </w:rPr>
        <w:t xml:space="preserve">2.1.3 响应性评审标准：见评标办法前附表。 </w:t>
      </w:r>
    </w:p>
    <w:p>
      <w:pPr>
        <w:rPr>
          <w:rFonts w:ascii="宋体" w:hAnsi="宋体" w:cs="宋体"/>
          <w:caps/>
          <w:szCs w:val="21"/>
        </w:rPr>
      </w:pPr>
    </w:p>
    <w:p>
      <w:pPr>
        <w:ind w:left="106"/>
        <w:rPr>
          <w:rFonts w:ascii="宋体" w:hAnsi="宋体" w:cs="宋体"/>
          <w:caps/>
          <w:szCs w:val="21"/>
        </w:rPr>
      </w:pPr>
      <w:bookmarkStart w:id="130" w:name="2.2_分值构成与评分标准"/>
      <w:bookmarkEnd w:id="130"/>
      <w:r>
        <w:rPr>
          <w:rFonts w:hint="eastAsia" w:ascii="宋体" w:hAnsi="宋体" w:cs="宋体"/>
          <w:caps/>
          <w:szCs w:val="21"/>
        </w:rPr>
        <w:t xml:space="preserve">2.2 分值构成与评分标准 </w:t>
      </w:r>
    </w:p>
    <w:p>
      <w:pPr>
        <w:pStyle w:val="9"/>
        <w:spacing w:before="62"/>
        <w:ind w:left="632"/>
        <w:rPr>
          <w:rFonts w:ascii="宋体" w:hAnsi="宋体" w:cs="宋体"/>
          <w:caps/>
          <w:kern w:val="2"/>
          <w:sz w:val="21"/>
          <w:szCs w:val="21"/>
        </w:rPr>
      </w:pPr>
      <w:r>
        <w:rPr>
          <w:rFonts w:hint="eastAsia" w:ascii="宋体" w:hAnsi="宋体" w:cs="宋体"/>
          <w:caps/>
          <w:kern w:val="2"/>
          <w:sz w:val="21"/>
          <w:szCs w:val="21"/>
        </w:rPr>
        <w:t xml:space="preserve">2.2.1 分值构成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（1）技术部分：见评标办法前附表； </w:t>
      </w:r>
    </w:p>
    <w:p>
      <w:pPr>
        <w:pStyle w:val="9"/>
        <w:spacing w:before="145"/>
        <w:ind w:left="526"/>
        <w:rPr>
          <w:rFonts w:ascii="宋体" w:hAnsi="宋体" w:cs="宋体"/>
          <w:caps/>
          <w:kern w:val="2"/>
          <w:sz w:val="21"/>
          <w:szCs w:val="21"/>
        </w:rPr>
      </w:pPr>
      <w:r>
        <w:rPr>
          <w:rFonts w:hint="eastAsia" w:ascii="宋体" w:hAnsi="宋体" w:cs="宋体"/>
          <w:caps/>
          <w:kern w:val="2"/>
          <w:sz w:val="21"/>
          <w:szCs w:val="21"/>
        </w:rPr>
        <w:t xml:space="preserve">（2）商务部分：见评标办法前附表； </w:t>
      </w:r>
    </w:p>
    <w:p>
      <w:pPr>
        <w:pStyle w:val="9"/>
        <w:spacing w:before="29" w:line="367" w:lineRule="auto"/>
        <w:ind w:firstLine="526"/>
        <w:rPr>
          <w:rFonts w:ascii="宋体" w:hAnsi="宋体" w:cs="宋体"/>
          <w:caps/>
          <w:kern w:val="2"/>
          <w:sz w:val="21"/>
          <w:szCs w:val="21"/>
        </w:rPr>
      </w:pPr>
      <w:r>
        <w:rPr>
          <w:rFonts w:hint="eastAsia" w:ascii="宋体" w:hAnsi="宋体" w:cs="宋体"/>
          <w:caps/>
          <w:kern w:val="2"/>
          <w:sz w:val="21"/>
          <w:szCs w:val="21"/>
        </w:rPr>
        <w:t>（3）投标总报价：见评标办法前附表。</w:t>
      </w:r>
    </w:p>
    <w:p>
      <w:pPr>
        <w:pStyle w:val="9"/>
        <w:spacing w:before="145" w:line="355" w:lineRule="auto"/>
        <w:ind w:left="632" w:right="5004" w:hanging="106"/>
        <w:rPr>
          <w:rFonts w:ascii="宋体" w:hAnsi="宋体" w:cs="宋体"/>
          <w:caps/>
          <w:kern w:val="2"/>
          <w:sz w:val="21"/>
          <w:szCs w:val="21"/>
        </w:rPr>
      </w:pPr>
      <w:r>
        <w:rPr>
          <w:rFonts w:hint="eastAsia" w:ascii="宋体" w:hAnsi="宋体" w:cs="宋体"/>
          <w:caps/>
          <w:kern w:val="2"/>
          <w:sz w:val="21"/>
          <w:szCs w:val="21"/>
        </w:rPr>
        <w:t xml:space="preserve"> 2.2.2 评审标准 </w:t>
      </w:r>
    </w:p>
    <w:p>
      <w:pPr>
        <w:pStyle w:val="9"/>
        <w:spacing w:before="29" w:line="367" w:lineRule="auto"/>
        <w:ind w:firstLine="526"/>
        <w:rPr>
          <w:rFonts w:ascii="宋体" w:hAnsi="宋体" w:cs="宋体"/>
          <w:caps/>
          <w:kern w:val="2"/>
          <w:sz w:val="21"/>
          <w:szCs w:val="21"/>
        </w:rPr>
      </w:pPr>
      <w:r>
        <w:rPr>
          <w:rFonts w:hint="eastAsia" w:ascii="宋体" w:hAnsi="宋体" w:cs="宋体"/>
          <w:caps/>
          <w:kern w:val="2"/>
          <w:sz w:val="21"/>
          <w:szCs w:val="21"/>
        </w:rPr>
        <w:t xml:space="preserve">（1）技术部分评分标准：见评标办法前附表； </w:t>
      </w:r>
    </w:p>
    <w:p>
      <w:pPr>
        <w:pStyle w:val="9"/>
        <w:spacing w:before="19"/>
        <w:ind w:left="647"/>
        <w:rPr>
          <w:rFonts w:ascii="宋体" w:hAnsi="宋体" w:cs="宋体"/>
          <w:caps/>
          <w:kern w:val="2"/>
          <w:sz w:val="21"/>
          <w:szCs w:val="21"/>
        </w:rPr>
      </w:pPr>
      <w:r>
        <w:rPr>
          <w:rFonts w:hint="eastAsia" w:ascii="宋体" w:hAnsi="宋体" w:cs="宋体"/>
          <w:caps/>
          <w:kern w:val="2"/>
          <w:sz w:val="21"/>
          <w:szCs w:val="21"/>
        </w:rPr>
        <w:t xml:space="preserve">（2） 商务部分评分标准：见评标办法前附表； </w:t>
      </w:r>
    </w:p>
    <w:p>
      <w:pPr>
        <w:pStyle w:val="9"/>
        <w:spacing w:before="130" w:line="360" w:lineRule="auto"/>
        <w:ind w:left="647" w:right="2891"/>
        <w:rPr>
          <w:rFonts w:ascii="宋体" w:hAnsi="宋体" w:cs="宋体"/>
          <w:caps/>
          <w:kern w:val="2"/>
          <w:sz w:val="21"/>
          <w:szCs w:val="21"/>
        </w:rPr>
      </w:pPr>
      <w:r>
        <w:rPr>
          <w:rFonts w:hint="eastAsia" w:ascii="宋体" w:hAnsi="宋体" w:cs="宋体"/>
          <w:caps/>
          <w:kern w:val="2"/>
          <w:sz w:val="21"/>
          <w:szCs w:val="21"/>
        </w:rPr>
        <w:t xml:space="preserve">（3） 报价评审标准：见评标办法前附表； </w:t>
      </w:r>
    </w:p>
    <w:p>
      <w:pPr>
        <w:pStyle w:val="9"/>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2.2.3 评标基准价计算 评标基准价的计算方法：见评标办法前附表。 </w:t>
      </w:r>
    </w:p>
    <w:p>
      <w:pPr>
        <w:pStyle w:val="9"/>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2.2.4 投标报价的偏差率计算 投标报价的偏差率计算公式：见评标办法前附表。 </w:t>
      </w:r>
    </w:p>
    <w:p>
      <w:pPr>
        <w:pStyle w:val="6"/>
        <w:spacing w:before="54"/>
        <w:rPr>
          <w:rFonts w:ascii="宋体" w:hAnsi="宋体" w:eastAsia="宋体" w:cs="宋体"/>
          <w:caps/>
          <w:kern w:val="2"/>
          <w:sz w:val="21"/>
          <w:szCs w:val="21"/>
        </w:rPr>
      </w:pPr>
      <w:bookmarkStart w:id="131" w:name="3._评标程序"/>
      <w:bookmarkEnd w:id="131"/>
      <w:r>
        <w:rPr>
          <w:rFonts w:hint="eastAsia" w:ascii="宋体" w:hAnsi="宋体" w:eastAsia="宋体" w:cs="宋体"/>
          <w:caps/>
          <w:kern w:val="2"/>
          <w:sz w:val="21"/>
          <w:szCs w:val="21"/>
        </w:rPr>
        <w:t xml:space="preserve">3. 评标程序 </w:t>
      </w:r>
    </w:p>
    <w:p>
      <w:pPr>
        <w:spacing w:before="157"/>
        <w:ind w:left="106"/>
        <w:rPr>
          <w:rFonts w:ascii="宋体" w:hAnsi="宋体" w:cs="宋体"/>
          <w:caps/>
          <w:szCs w:val="21"/>
        </w:rPr>
      </w:pPr>
      <w:bookmarkStart w:id="132" w:name="3.1_初步评审"/>
      <w:bookmarkEnd w:id="132"/>
      <w:r>
        <w:rPr>
          <w:rFonts w:hint="eastAsia" w:ascii="宋体" w:hAnsi="宋体" w:cs="宋体"/>
          <w:caps/>
          <w:szCs w:val="21"/>
        </w:rPr>
        <w:t xml:space="preserve">3.1 初步评审 </w:t>
      </w:r>
    </w:p>
    <w:p>
      <w:pPr>
        <w:pStyle w:val="9"/>
        <w:spacing w:before="61" w:line="355" w:lineRule="auto"/>
        <w:ind w:firstLine="420"/>
        <w:rPr>
          <w:rFonts w:ascii="宋体" w:hAnsi="宋体" w:cs="宋体"/>
          <w:caps/>
          <w:kern w:val="2"/>
          <w:sz w:val="21"/>
          <w:szCs w:val="21"/>
        </w:rPr>
      </w:pPr>
      <w:r>
        <w:rPr>
          <w:rFonts w:hint="eastAsia" w:ascii="宋体" w:hAnsi="宋体" w:cs="宋体"/>
          <w:caps/>
          <w:kern w:val="2"/>
          <w:sz w:val="21"/>
          <w:szCs w:val="21"/>
        </w:rPr>
        <w:t>3.1.1 评标委员会依据本章第2.1款、2.2款及2.3款规定的标准对投标文件进行初步评审。有一项不符合评审标准的，作否决投标处理。</w:t>
      </w:r>
    </w:p>
    <w:p>
      <w:pPr>
        <w:pStyle w:val="9"/>
        <w:spacing w:before="32"/>
        <w:ind w:left="526"/>
        <w:rPr>
          <w:rFonts w:ascii="宋体" w:hAnsi="宋体" w:cs="宋体"/>
          <w:caps/>
          <w:kern w:val="2"/>
          <w:sz w:val="21"/>
          <w:szCs w:val="21"/>
        </w:rPr>
      </w:pPr>
      <w:r>
        <w:rPr>
          <w:rFonts w:hint="eastAsia" w:ascii="宋体" w:hAnsi="宋体" w:cs="宋体"/>
          <w:caps/>
          <w:kern w:val="2"/>
          <w:sz w:val="21"/>
          <w:szCs w:val="21"/>
        </w:rPr>
        <w:t xml:space="preserve">3.1.2 报价人有以下情形之一的，其投标作否决投标处理： </w:t>
      </w:r>
    </w:p>
    <w:p>
      <w:pPr>
        <w:pStyle w:val="9"/>
        <w:spacing w:before="145"/>
        <w:ind w:left="526"/>
        <w:rPr>
          <w:rFonts w:ascii="宋体" w:hAnsi="宋体" w:cs="宋体"/>
          <w:caps/>
          <w:kern w:val="2"/>
          <w:sz w:val="21"/>
          <w:szCs w:val="21"/>
        </w:rPr>
      </w:pPr>
      <w:r>
        <w:rPr>
          <w:rFonts w:hint="eastAsia" w:ascii="宋体" w:hAnsi="宋体" w:cs="宋体"/>
          <w:caps/>
          <w:kern w:val="2"/>
          <w:sz w:val="21"/>
          <w:szCs w:val="21"/>
        </w:rPr>
        <w:t xml:space="preserve">（1）第二章“报价人须知”第1.4.3项规定的任何一种情形的；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（2）本次投标有串通投标、弄虚作假等其他违反招投标相关法律、法规行为的；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（3）拒绝按评标委员会要求澄清、说明或补正的。 </w:t>
      </w:r>
    </w:p>
    <w:p>
      <w:pPr>
        <w:pStyle w:val="9"/>
        <w:spacing w:before="6" w:line="352" w:lineRule="auto"/>
        <w:ind w:firstLine="630" w:firstLineChars="300"/>
        <w:rPr>
          <w:rFonts w:ascii="宋体" w:hAnsi="宋体" w:cs="宋体"/>
          <w:caps/>
          <w:kern w:val="2"/>
          <w:sz w:val="21"/>
          <w:szCs w:val="21"/>
        </w:rPr>
      </w:pPr>
      <w:r>
        <w:rPr>
          <w:rFonts w:hint="eastAsia" w:ascii="宋体" w:hAnsi="宋体" w:cs="宋体"/>
          <w:caps/>
          <w:kern w:val="2"/>
          <w:sz w:val="21"/>
          <w:szCs w:val="21"/>
        </w:rPr>
        <w:t xml:space="preserve">3.1.3 投标报价有算术错误的，评标委员会按以下原则对投标报价进行修正，修正的价格经报价人 书面确认后具有约束力，修正原则如下： </w:t>
      </w:r>
    </w:p>
    <w:p>
      <w:pPr>
        <w:pStyle w:val="9"/>
        <w:spacing w:before="32"/>
        <w:ind w:firstLine="420" w:firstLineChars="200"/>
        <w:rPr>
          <w:rFonts w:ascii="宋体" w:hAnsi="宋体" w:cs="宋体"/>
          <w:caps/>
          <w:kern w:val="2"/>
          <w:sz w:val="21"/>
          <w:szCs w:val="21"/>
        </w:rPr>
      </w:pPr>
      <w:r>
        <w:rPr>
          <w:rFonts w:hint="eastAsia" w:ascii="宋体" w:hAnsi="宋体" w:cs="宋体"/>
          <w:caps/>
          <w:kern w:val="2"/>
          <w:sz w:val="21"/>
          <w:szCs w:val="21"/>
        </w:rPr>
        <w:t xml:space="preserve">（1）投标文件中的大写金额与小写金额不一致的，以大写金额为准； </w:t>
      </w:r>
    </w:p>
    <w:p>
      <w:pPr>
        <w:pStyle w:val="9"/>
        <w:spacing w:before="145"/>
        <w:ind w:firstLine="420"/>
        <w:rPr>
          <w:rFonts w:ascii="宋体" w:hAnsi="宋体" w:cs="宋体"/>
          <w:caps/>
          <w:kern w:val="2"/>
          <w:sz w:val="21"/>
          <w:szCs w:val="21"/>
        </w:rPr>
      </w:pPr>
      <w:r>
        <w:rPr>
          <w:rFonts w:hint="eastAsia" w:ascii="宋体" w:hAnsi="宋体" w:cs="宋体"/>
          <w:caps/>
          <w:kern w:val="2"/>
          <w:sz w:val="21"/>
          <w:szCs w:val="21"/>
        </w:rPr>
        <w:t xml:space="preserve">（2）竞争性比选响应声明书的总报价与已标价工程量清单总报价不一致的，由评标委员会作否决投标处理。 </w:t>
      </w:r>
    </w:p>
    <w:p>
      <w:pPr>
        <w:spacing w:before="169"/>
        <w:ind w:left="106"/>
        <w:rPr>
          <w:rFonts w:ascii="宋体" w:hAnsi="宋体" w:cs="宋体"/>
          <w:caps/>
          <w:szCs w:val="21"/>
        </w:rPr>
      </w:pPr>
      <w:bookmarkStart w:id="133" w:name="3.2_详细评审"/>
      <w:bookmarkEnd w:id="133"/>
      <w:r>
        <w:rPr>
          <w:rFonts w:hint="eastAsia" w:ascii="宋体" w:hAnsi="宋体" w:cs="宋体"/>
          <w:caps/>
          <w:szCs w:val="21"/>
        </w:rPr>
        <w:t xml:space="preserve">3.2 详细评审 </w:t>
      </w:r>
    </w:p>
    <w:p>
      <w:pPr>
        <w:pStyle w:val="9"/>
        <w:spacing w:before="61"/>
        <w:ind w:left="526"/>
        <w:rPr>
          <w:rFonts w:ascii="宋体" w:hAnsi="宋体" w:cs="宋体"/>
          <w:caps/>
          <w:kern w:val="2"/>
          <w:sz w:val="21"/>
          <w:szCs w:val="21"/>
        </w:rPr>
      </w:pPr>
      <w:r>
        <w:rPr>
          <w:rFonts w:hint="eastAsia" w:ascii="宋体" w:hAnsi="宋体" w:cs="宋体"/>
          <w:caps/>
          <w:kern w:val="2"/>
          <w:sz w:val="21"/>
          <w:szCs w:val="21"/>
        </w:rPr>
        <w:t xml:space="preserve">3.2.1 评标委员会按本章第3.1款、3.2款及3.3款规定的量化因素和分值进行打分，并计算出综合评估得分。 </w:t>
      </w:r>
    </w:p>
    <w:p>
      <w:pPr>
        <w:pStyle w:val="9"/>
        <w:spacing w:before="130" w:line="367" w:lineRule="auto"/>
        <w:ind w:firstLine="420"/>
        <w:rPr>
          <w:rFonts w:ascii="宋体" w:hAnsi="宋体" w:cs="宋体"/>
          <w:caps/>
          <w:kern w:val="2"/>
          <w:sz w:val="21"/>
          <w:szCs w:val="21"/>
        </w:rPr>
      </w:pPr>
      <w:r>
        <w:rPr>
          <w:rFonts w:hint="eastAsia" w:ascii="宋体" w:hAnsi="宋体" w:cs="宋体"/>
          <w:caps/>
          <w:kern w:val="2"/>
          <w:sz w:val="21"/>
          <w:szCs w:val="21"/>
        </w:rPr>
        <w:t xml:space="preserve">（1）按本章第3.3目规定的评审因素和分值对技术部分计算出得分A（所有评委打分中去掉一个最高和一个最低分，余下评委打分取算术平均值为该报价人技术部分得分。） </w:t>
      </w:r>
    </w:p>
    <w:p>
      <w:pPr>
        <w:pStyle w:val="9"/>
        <w:spacing w:before="19"/>
        <w:ind w:left="526"/>
        <w:rPr>
          <w:rFonts w:ascii="宋体" w:hAnsi="宋体" w:cs="宋体"/>
          <w:caps/>
          <w:kern w:val="2"/>
          <w:sz w:val="21"/>
          <w:szCs w:val="21"/>
        </w:rPr>
      </w:pPr>
      <w:r>
        <w:rPr>
          <w:rFonts w:hint="eastAsia" w:ascii="宋体" w:hAnsi="宋体" w:cs="宋体"/>
          <w:caps/>
          <w:kern w:val="2"/>
          <w:sz w:val="21"/>
          <w:szCs w:val="21"/>
        </w:rPr>
        <w:t xml:space="preserve">（2）按本章第3.2目规定的评审因素和分值对商务部分计算出得分B。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（3）按本章第3.1目规定的评审因素和分值对投标总报价计算出得分C。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3.2.2 各类评分分值的最终计算结果保留小数点后两位，小数点后第三位“四舍五入”。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3.2.3  报价人得分=A+B+C。 </w:t>
      </w:r>
    </w:p>
    <w:p>
      <w:pPr>
        <w:spacing w:before="1"/>
        <w:rPr>
          <w:rFonts w:ascii="宋体" w:hAnsi="宋体" w:cs="宋体"/>
          <w:caps/>
          <w:szCs w:val="21"/>
        </w:rPr>
      </w:pPr>
    </w:p>
    <w:p>
      <w:pPr>
        <w:ind w:left="106"/>
        <w:rPr>
          <w:rFonts w:ascii="宋体" w:hAnsi="宋体" w:cs="宋体"/>
          <w:caps/>
          <w:szCs w:val="21"/>
        </w:rPr>
      </w:pPr>
      <w:bookmarkStart w:id="134" w:name="3.3_投标文件的澄清和补正"/>
      <w:bookmarkEnd w:id="134"/>
      <w:r>
        <w:rPr>
          <w:rFonts w:hint="eastAsia" w:ascii="宋体" w:hAnsi="宋体" w:cs="宋体"/>
          <w:caps/>
          <w:szCs w:val="21"/>
        </w:rPr>
        <w:t xml:space="preserve">3.3 投标文件的澄清和补正 </w:t>
      </w:r>
    </w:p>
    <w:p>
      <w:pPr>
        <w:pStyle w:val="9"/>
        <w:spacing w:before="61" w:line="355" w:lineRule="auto"/>
        <w:ind w:firstLine="420"/>
        <w:rPr>
          <w:rFonts w:ascii="宋体" w:hAnsi="宋体" w:cs="宋体"/>
          <w:caps/>
          <w:kern w:val="2"/>
          <w:sz w:val="21"/>
          <w:szCs w:val="21"/>
        </w:rPr>
      </w:pPr>
      <w:r>
        <w:rPr>
          <w:rFonts w:hint="eastAsia" w:ascii="宋体" w:hAnsi="宋体" w:cs="宋体"/>
          <w:caps/>
          <w:kern w:val="2"/>
          <w:sz w:val="21"/>
          <w:szCs w:val="21"/>
        </w:rPr>
        <w:t xml:space="preserve">3.3.1 在评标过程中，评标委员会可以书面形式要求报价人对所提交投标文件中不明确的内容进行 书面澄清或说明，或者对细微偏差进行补正。评标委员会不接受报价人主动提出的澄清、说明或补正。 </w:t>
      </w:r>
    </w:p>
    <w:p>
      <w:pPr>
        <w:pStyle w:val="9"/>
        <w:spacing w:before="29" w:line="367" w:lineRule="auto"/>
        <w:ind w:firstLine="420"/>
        <w:rPr>
          <w:rFonts w:ascii="宋体" w:hAnsi="宋体" w:cs="宋体"/>
          <w:caps/>
          <w:kern w:val="2"/>
          <w:sz w:val="21"/>
          <w:szCs w:val="21"/>
        </w:rPr>
      </w:pPr>
      <w:r>
        <w:rPr>
          <w:rFonts w:hint="eastAsia" w:ascii="宋体" w:hAnsi="宋体" w:cs="宋体"/>
          <w:caps/>
          <w:kern w:val="2"/>
          <w:sz w:val="21"/>
          <w:szCs w:val="21"/>
        </w:rPr>
        <w:t xml:space="preserve">3.3.2 澄清、说明和补正不得改变投标文件的实质性内容（算术性错误修正的除外）。报价人的书 面澄清、说明和补正属于投标文件的组成部分。 </w:t>
      </w:r>
    </w:p>
    <w:p>
      <w:pPr>
        <w:pStyle w:val="9"/>
        <w:spacing w:before="19" w:line="355" w:lineRule="auto"/>
        <w:ind w:firstLine="420"/>
        <w:rPr>
          <w:rFonts w:ascii="宋体" w:hAnsi="宋体" w:cs="宋体"/>
          <w:caps/>
          <w:kern w:val="2"/>
          <w:sz w:val="21"/>
          <w:szCs w:val="21"/>
        </w:rPr>
      </w:pPr>
      <w:r>
        <w:rPr>
          <w:rFonts w:hint="eastAsia" w:ascii="宋体" w:hAnsi="宋体" w:cs="宋体"/>
          <w:caps/>
          <w:kern w:val="2"/>
          <w:sz w:val="21"/>
          <w:szCs w:val="21"/>
        </w:rPr>
        <w:t xml:space="preserve">3.3.3 评标委员会对报价人提交的澄清、说明或补正有疑问的，可以要求报价人进一步澄清、说明或补正，直至满足评标委员会的要求。 </w:t>
      </w:r>
    </w:p>
    <w:p>
      <w:pPr>
        <w:spacing w:before="68"/>
        <w:ind w:left="106"/>
        <w:rPr>
          <w:rFonts w:ascii="宋体" w:hAnsi="宋体" w:cs="宋体"/>
          <w:caps/>
          <w:szCs w:val="21"/>
        </w:rPr>
      </w:pPr>
      <w:bookmarkStart w:id="135" w:name="3.4_评标结果"/>
      <w:bookmarkEnd w:id="135"/>
      <w:r>
        <w:rPr>
          <w:rFonts w:hint="eastAsia" w:ascii="宋体" w:hAnsi="宋体" w:cs="宋体"/>
          <w:caps/>
          <w:szCs w:val="21"/>
        </w:rPr>
        <w:t xml:space="preserve">3.4 评标结果 </w:t>
      </w:r>
    </w:p>
    <w:p>
      <w:pPr>
        <w:pStyle w:val="9"/>
        <w:spacing w:before="76" w:line="355" w:lineRule="auto"/>
        <w:ind w:firstLine="420"/>
        <w:rPr>
          <w:rFonts w:ascii="宋体" w:hAnsi="宋体" w:cs="宋体"/>
          <w:caps/>
          <w:kern w:val="2"/>
          <w:sz w:val="21"/>
          <w:szCs w:val="21"/>
        </w:rPr>
      </w:pPr>
      <w:r>
        <w:rPr>
          <w:rFonts w:hint="eastAsia" w:ascii="宋体" w:hAnsi="宋体" w:cs="宋体"/>
          <w:caps/>
          <w:kern w:val="2"/>
          <w:sz w:val="21"/>
          <w:szCs w:val="21"/>
        </w:rPr>
        <w:t xml:space="preserve">3.4.1 除第二章“报价人须知”前附表授权直接确定中标人外，评标委员会按照得分由高到低的顺 序推荐中标候选人。 </w:t>
      </w:r>
    </w:p>
    <w:p>
      <w:pPr>
        <w:rPr>
          <w:color w:val="000000" w:themeColor="text1"/>
          <w14:textFill>
            <w14:solidFill>
              <w14:schemeClr w14:val="tx1"/>
            </w14:solidFill>
          </w14:textFill>
        </w:rPr>
      </w:pPr>
      <w:r>
        <w:rPr>
          <w:rFonts w:hint="eastAsia" w:ascii="宋体" w:hAnsi="宋体" w:cs="宋体"/>
          <w:szCs w:val="21"/>
        </w:rPr>
        <w:t>3.4.2 评标委员会完成评标后，应当向采购人提交书面评标报告。</w:t>
      </w:r>
    </w:p>
    <w:p>
      <w:pPr>
        <w:rPr>
          <w:rFonts w:ascii="宋体" w:hAnsi="宋体" w:cs="宋体"/>
          <w:color w:val="000000" w:themeColor="text1"/>
          <w14:textFill>
            <w14:solidFill>
              <w14:schemeClr w14:val="tx1"/>
            </w14:solidFill>
          </w14:textFill>
        </w:rPr>
      </w:pPr>
    </w:p>
    <w:p>
      <w:pPr>
        <w:pStyle w:val="1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36" w:name="_Toc13787"/>
      <w:r>
        <w:rPr>
          <w:rStyle w:val="33"/>
          <w:rFonts w:hint="eastAsia"/>
          <w:b/>
          <w:bCs/>
          <w:color w:val="000000" w:themeColor="text1"/>
          <w14:textFill>
            <w14:solidFill>
              <w14:schemeClr w14:val="tx1"/>
            </w14:solidFill>
          </w14:textFill>
        </w:rPr>
        <w:t>第四章 报价说明</w:t>
      </w:r>
      <w:bookmarkEnd w:id="136"/>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1、工程量清单应与本项目竞争性比选文件、技术标准和要求等文件结合起来查阅与理解。</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工程量清单中一个规定计量单位的分部分项工程量清单费用、措施项目清单费用、其他项目清单费用、规费、税金（税率为6%）等完成本项目的一切费用（即人工费、材料设备、安装和调试费、差旅费、交通费、车辆通行费、、竣工资料编制、竣工验收、保险、综合费等），以及竞争性比选文件中明示或暗示的的所有责任、义务和一般风险。</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3、报价人应结合现场实际和现在的市场情况、自身技术及管理水平、经营状况、机械设备及制定的方案的要求自行报价，该报价不低于报价人完成该项目的成本。</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4、工程量清单中所列工程数量是估算的数量，仅作为报价的共同基础，不能作为最终结算与支付的依据。实际支付应按实际完成的工程量*工程量清单的单价来计算支付金额。</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5、工程量清单中所列工程量的变动，丝毫不会降低或影响合同条款的效力，也不免除报价人按规定的标准进行作业和修复缺陷的责任。</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项目费用的汇总。</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14、报价人应严格按照工程量清单进行报价，不得随意修改采购人发布的工程量清单数量、公式及相关内容。</w:t>
      </w:r>
    </w:p>
    <w:p>
      <w:pPr>
        <w:pStyle w:val="16"/>
        <w:spacing w:line="440" w:lineRule="exact"/>
        <w:ind w:firstLine="420" w:firstLineChars="200"/>
        <w:rPr>
          <w:rFonts w:ascii="Times New Roman" w:hAnsi="Times New Roman"/>
          <w:b w:val="0"/>
          <w:bCs w:val="0"/>
          <w:caps w:val="0"/>
          <w:color w:val="000000" w:themeColor="text1"/>
          <w:sz w:val="21"/>
          <w:szCs w:val="24"/>
          <w14:textFill>
            <w14:solidFill>
              <w14:schemeClr w14:val="tx1"/>
            </w14:solidFill>
          </w14:textFill>
        </w:rPr>
        <w:sectPr>
          <w:footerReference r:id="rId9" w:type="default"/>
          <w:pgSz w:w="11906" w:h="16838"/>
          <w:pgMar w:top="1440" w:right="1800" w:bottom="1440" w:left="1800" w:header="851" w:footer="992" w:gutter="0"/>
          <w:cols w:space="720" w:num="1"/>
          <w:titlePg/>
          <w:docGrid w:type="lines" w:linePitch="312" w:charSpace="0"/>
        </w:sectPr>
      </w:pPr>
    </w:p>
    <w:p>
      <w:pPr>
        <w:pStyle w:val="2"/>
        <w:spacing w:before="0" w:after="0" w:line="360" w:lineRule="auto"/>
        <w:jc w:val="center"/>
        <w:rPr>
          <w:rFonts w:hint="default" w:ascii="宋体" w:hAnsi="宋体" w:eastAsia="宋体" w:cs="宋体"/>
          <w:color w:val="000000" w:themeColor="text1"/>
          <w:lang w:val="en-US" w:eastAsia="zh-CN"/>
          <w14:textFill>
            <w14:solidFill>
              <w14:schemeClr w14:val="tx1"/>
            </w14:solidFill>
          </w14:textFill>
        </w:rPr>
      </w:pPr>
      <w:bookmarkStart w:id="137" w:name="_Toc24503"/>
      <w:bookmarkStart w:id="138" w:name="_Toc144974834"/>
      <w:bookmarkStart w:id="139" w:name="_Toc152042554"/>
      <w:bookmarkStart w:id="140" w:name="_Toc514858705"/>
      <w:bookmarkStart w:id="141" w:name="_Toc247085855"/>
      <w:bookmarkStart w:id="142" w:name="_Toc246997083"/>
      <w:bookmarkStart w:id="143" w:name="_Toc179632789"/>
      <w:bookmarkStart w:id="144" w:name="_Toc246996340"/>
      <w:bookmarkStart w:id="145" w:name="_Toc152045772"/>
      <w:bookmarkStart w:id="146" w:name="_Toc2000409"/>
      <w:bookmarkStart w:id="147" w:name="_Toc246996354"/>
      <w:bookmarkStart w:id="148" w:name="_Toc144974855"/>
      <w:bookmarkStart w:id="149" w:name="_Toc152045786"/>
      <w:bookmarkStart w:id="150" w:name="_Toc179632806"/>
      <w:bookmarkStart w:id="151" w:name="_Toc247085872"/>
      <w:bookmarkStart w:id="152" w:name="_Toc152042575"/>
      <w:bookmarkStart w:id="153" w:name="_Toc246997097"/>
      <w:r>
        <w:rPr>
          <w:rFonts w:hint="eastAsia" w:ascii="宋体" w:hAnsi="宋体" w:cs="宋体"/>
          <w:color w:val="000000" w:themeColor="text1"/>
          <w14:textFill>
            <w14:solidFill>
              <w14:schemeClr w14:val="tx1"/>
            </w14:solidFill>
          </w14:textFill>
        </w:rPr>
        <w:t xml:space="preserve">第五章  </w:t>
      </w:r>
      <w:bookmarkEnd w:id="137"/>
      <w:bookmarkEnd w:id="138"/>
      <w:bookmarkEnd w:id="139"/>
      <w:bookmarkEnd w:id="140"/>
      <w:bookmarkEnd w:id="141"/>
      <w:bookmarkEnd w:id="142"/>
      <w:bookmarkEnd w:id="143"/>
      <w:bookmarkEnd w:id="144"/>
      <w:bookmarkEnd w:id="145"/>
      <w:bookmarkEnd w:id="146"/>
      <w:r>
        <w:rPr>
          <w:rFonts w:hint="eastAsia" w:ascii="宋体" w:hAnsi="宋体" w:cs="宋体"/>
          <w:color w:val="000000" w:themeColor="text1"/>
          <w:lang w:val="en-US" w:eastAsia="zh-CN"/>
          <w14:textFill>
            <w14:solidFill>
              <w14:schemeClr w14:val="tx1"/>
            </w14:solidFill>
          </w14:textFill>
        </w:rPr>
        <w:t>项目需求</w:t>
      </w:r>
    </w:p>
    <w:p>
      <w:pPr>
        <w:ind w:firstLine="420"/>
        <w:jc w:val="left"/>
        <w:rPr>
          <w:rFonts w:ascii="宋体" w:hAnsi="宋体" w:cs="宋体"/>
          <w:b/>
          <w:color w:val="000000" w:themeColor="text1"/>
          <w14:textFill>
            <w14:solidFill>
              <w14:schemeClr w14:val="tx1"/>
            </w14:solidFill>
          </w14:textFill>
        </w:rPr>
      </w:pPr>
      <w:bookmarkStart w:id="154" w:name="_Toc179632800"/>
      <w:bookmarkStart w:id="155" w:name="_Toc144974851"/>
      <w:bookmarkStart w:id="156" w:name="_Toc247085866"/>
      <w:bookmarkStart w:id="157" w:name="_Toc152042571"/>
      <w:bookmarkStart w:id="158" w:name="_Toc246997093"/>
      <w:bookmarkStart w:id="159" w:name="_Toc247096438"/>
      <w:bookmarkStart w:id="160" w:name="_Toc152045782"/>
      <w:bookmarkStart w:id="161" w:name="_Toc246996350"/>
    </w:p>
    <w:p>
      <w:pPr>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详见竞争性比选文件附件。</w:t>
      </w:r>
    </w:p>
    <w:p>
      <w:pPr>
        <w:jc w:val="center"/>
        <w:rPr>
          <w:rFonts w:ascii="宋体" w:hAnsi="宋体" w:cs="宋体"/>
          <w:b/>
          <w:color w:val="000000" w:themeColor="text1"/>
          <w14:textFill>
            <w14:solidFill>
              <w14:schemeClr w14:val="tx1"/>
            </w14:solidFill>
          </w14:textFill>
        </w:rPr>
      </w:pPr>
    </w:p>
    <w:p>
      <w:pPr>
        <w:jc w:val="left"/>
        <w:rPr>
          <w:rFonts w:ascii="宋体" w:hAnsi="宋体" w:cs="宋体"/>
          <w:color w:val="000000" w:themeColor="text1"/>
          <w:szCs w:val="2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sectPr>
          <w:footerReference r:id="rId10" w:type="default"/>
          <w:pgSz w:w="11906" w:h="16838"/>
          <w:pgMar w:top="1440" w:right="1800" w:bottom="1440" w:left="1800" w:header="851" w:footer="992" w:gutter="0"/>
          <w:cols w:space="720" w:num="1"/>
          <w:titlePg/>
          <w:docGrid w:type="lines" w:linePitch="312" w:charSpace="0"/>
        </w:sectPr>
      </w:pPr>
    </w:p>
    <w:p>
      <w:pPr>
        <w:pStyle w:val="2"/>
        <w:spacing w:before="0" w:after="0" w:line="360" w:lineRule="auto"/>
        <w:jc w:val="center"/>
        <w:rPr>
          <w:rFonts w:ascii="宋体" w:hAnsi="宋体" w:cs="宋体"/>
          <w:color w:val="000000" w:themeColor="text1"/>
          <w14:textFill>
            <w14:solidFill>
              <w14:schemeClr w14:val="tx1"/>
            </w14:solidFill>
          </w14:textFill>
        </w:rPr>
      </w:pPr>
      <w:bookmarkStart w:id="162" w:name="_Toc503951042"/>
      <w:bookmarkStart w:id="163" w:name="_Toc2000410"/>
      <w:bookmarkStart w:id="164" w:name="_Toc513633963"/>
      <w:bookmarkStart w:id="165" w:name="_Toc12440"/>
      <w:bookmarkStart w:id="166" w:name="_Toc447827048"/>
      <w:bookmarkStart w:id="167" w:name="_Toc514858706"/>
      <w:r>
        <w:rPr>
          <w:rFonts w:hint="eastAsia" w:ascii="宋体" w:hAnsi="宋体" w:cs="宋体"/>
          <w:color w:val="000000" w:themeColor="text1"/>
          <w14:textFill>
            <w14:solidFill>
              <w14:schemeClr w14:val="tx1"/>
            </w14:solidFill>
          </w14:textFill>
        </w:rPr>
        <w:t>第六章  图  纸</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jc w:val="center"/>
        <w:rPr>
          <w:rFonts w:ascii="宋体" w:hAnsi="宋体" w:cs="宋体"/>
          <w:b/>
          <w:color w:val="000000" w:themeColor="text1"/>
          <w14:textFill>
            <w14:solidFill>
              <w14:schemeClr w14:val="tx1"/>
            </w14:solidFill>
          </w14:textFill>
        </w:rPr>
      </w:pPr>
      <w:r>
        <w:rPr>
          <w:rFonts w:hint="eastAsia" w:ascii="宋体" w:hAnsi="宋体" w:cs="宋体"/>
          <w:b/>
          <w:kern w:val="0"/>
          <w:sz w:val="24"/>
        </w:rPr>
        <w:t>无。</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68" w:name="_Toc144974854"/>
      <w:bookmarkStart w:id="169" w:name="_Toc152045785"/>
      <w:bookmarkStart w:id="170" w:name="_Toc152042574"/>
    </w:p>
    <w:p>
      <w:pPr>
        <w:pStyle w:val="2"/>
        <w:numPr>
          <w:ilvl w:val="0"/>
          <w:numId w:val="4"/>
        </w:numPr>
        <w:spacing w:before="0" w:after="0" w:line="360" w:lineRule="auto"/>
        <w:jc w:val="center"/>
        <w:rPr>
          <w:rFonts w:ascii="宋体" w:hAnsi="宋体" w:cs="宋体"/>
          <w:color w:val="000000" w:themeColor="text1"/>
          <w:highlight w:val="none"/>
          <w14:textFill>
            <w14:solidFill>
              <w14:schemeClr w14:val="tx1"/>
            </w14:solidFill>
          </w14:textFill>
        </w:rPr>
      </w:pPr>
      <w:bookmarkStart w:id="171" w:name="_Toc10887"/>
      <w:bookmarkStart w:id="172" w:name="_Toc2000411"/>
      <w:bookmarkStart w:id="173" w:name="_Toc513633964"/>
      <w:bookmarkStart w:id="174" w:name="_Toc179632804"/>
      <w:bookmarkStart w:id="175" w:name="_Toc447827049"/>
      <w:bookmarkStart w:id="176" w:name="_Toc514858707"/>
      <w:bookmarkStart w:id="177" w:name="_Toc503951043"/>
      <w:bookmarkStart w:id="178" w:name="_Toc246996353"/>
      <w:bookmarkStart w:id="179" w:name="_Toc247085870"/>
      <w:bookmarkStart w:id="180" w:name="_Toc246997096"/>
      <w:r>
        <w:rPr>
          <w:rFonts w:hint="eastAsia" w:ascii="宋体" w:hAnsi="宋体" w:cs="宋体"/>
          <w:color w:val="000000" w:themeColor="text1"/>
          <w:highlight w:val="none"/>
          <w14:textFill>
            <w14:solidFill>
              <w14:schemeClr w14:val="tx1"/>
            </w14:solidFill>
          </w14:textFill>
        </w:rPr>
        <w:t xml:space="preserve"> 技术标准和工作要求</w:t>
      </w:r>
      <w:bookmarkEnd w:id="168"/>
      <w:bookmarkEnd w:id="169"/>
      <w:bookmarkEnd w:id="170"/>
      <w:bookmarkEnd w:id="171"/>
      <w:bookmarkEnd w:id="172"/>
      <w:bookmarkEnd w:id="173"/>
      <w:bookmarkEnd w:id="174"/>
      <w:bookmarkEnd w:id="175"/>
      <w:bookmarkEnd w:id="176"/>
      <w:bookmarkEnd w:id="177"/>
      <w:bookmarkEnd w:id="178"/>
      <w:bookmarkEnd w:id="179"/>
      <w:bookmarkEnd w:id="180"/>
    </w:p>
    <w:p/>
    <w:bookmarkEnd w:id="147"/>
    <w:bookmarkEnd w:id="148"/>
    <w:bookmarkEnd w:id="149"/>
    <w:bookmarkEnd w:id="150"/>
    <w:bookmarkEnd w:id="151"/>
    <w:bookmarkEnd w:id="152"/>
    <w:bookmarkEnd w:id="153"/>
    <w:p>
      <w:pPr>
        <w:pStyle w:val="3"/>
        <w:numPr>
          <w:ilvl w:val="0"/>
          <w:numId w:val="0"/>
        </w:numPr>
        <w:bidi w:val="0"/>
        <w:ind w:leftChars="0"/>
        <w:rPr>
          <w:rFonts w:hint="eastAsia" w:ascii="宋体" w:hAnsi="宋体" w:eastAsia="宋体" w:cs="宋体"/>
          <w:sz w:val="21"/>
          <w:szCs w:val="21"/>
          <w:lang w:val="en-US" w:eastAsia="zh-CN"/>
        </w:rPr>
      </w:pPr>
      <w:bookmarkStart w:id="181" w:name="_Toc514858708"/>
      <w:bookmarkStart w:id="182" w:name="_Toc2000412"/>
      <w:bookmarkStart w:id="183" w:name="_Toc12089"/>
      <w:bookmarkStart w:id="184" w:name="_Toc514430114"/>
      <w:bookmarkStart w:id="185" w:name="_Toc152045787"/>
      <w:bookmarkStart w:id="186" w:name="_Toc152042576"/>
      <w:bookmarkStart w:id="187" w:name="_Toc179632807"/>
      <w:bookmarkStart w:id="188" w:name="_Toc246997098"/>
      <w:bookmarkStart w:id="189" w:name="_Toc246996355"/>
      <w:bookmarkStart w:id="190" w:name="_Toc144974856"/>
      <w:bookmarkStart w:id="191" w:name="_Toc507320039"/>
      <w:bookmarkStart w:id="192" w:name="_Toc247085873"/>
      <w:r>
        <w:rPr>
          <w:rFonts w:hint="eastAsia" w:ascii="宋体" w:hAnsi="宋体" w:eastAsia="宋体" w:cs="宋体"/>
          <w:sz w:val="21"/>
          <w:szCs w:val="21"/>
          <w:lang w:val="en-US" w:eastAsia="zh-CN"/>
        </w:rPr>
        <w:t>1技术标准：</w:t>
      </w:r>
    </w:p>
    <w:p>
      <w:pPr>
        <w:pStyle w:val="4"/>
        <w:rPr>
          <w:rFonts w:hint="eastAsia" w:ascii="宋体" w:hAnsi="宋体" w:eastAsia="宋体" w:cs="宋体"/>
          <w:sz w:val="21"/>
          <w:szCs w:val="21"/>
        </w:rPr>
      </w:pPr>
      <w:r>
        <w:rPr>
          <w:rFonts w:hint="eastAsia" w:ascii="宋体" w:hAnsi="宋体" w:eastAsia="宋体" w:cs="宋体"/>
          <w:sz w:val="21"/>
          <w:szCs w:val="21"/>
          <w:lang w:val="en-US" w:eastAsia="zh-CN"/>
        </w:rPr>
        <w:t xml:space="preserve">1.1 </w:t>
      </w:r>
      <w:r>
        <w:rPr>
          <w:rFonts w:hint="eastAsia" w:ascii="宋体" w:hAnsi="宋体" w:eastAsia="宋体" w:cs="宋体"/>
          <w:sz w:val="21"/>
          <w:szCs w:val="21"/>
        </w:rPr>
        <w:t>功能性需求</w:t>
      </w:r>
    </w:p>
    <w:p>
      <w:pPr>
        <w:pStyle w:val="42"/>
        <w:ind w:firstLine="480"/>
        <w:outlineLvl w:val="3"/>
        <w:rPr>
          <w:rFonts w:hint="eastAsia" w:ascii="宋体" w:hAnsi="宋体" w:eastAsia="宋体" w:cs="宋体"/>
          <w:sz w:val="21"/>
          <w:szCs w:val="21"/>
        </w:rPr>
      </w:pPr>
      <w:r>
        <w:rPr>
          <w:rFonts w:hint="eastAsia" w:ascii="宋体" w:hAnsi="宋体" w:eastAsia="宋体" w:cs="宋体"/>
          <w:sz w:val="21"/>
          <w:szCs w:val="21"/>
        </w:rPr>
        <w:t>OCR本地化</w:t>
      </w:r>
    </w:p>
    <w:p>
      <w:pPr>
        <w:ind w:firstLine="480"/>
        <w:rPr>
          <w:rFonts w:hint="eastAsia" w:ascii="宋体" w:hAnsi="宋体" w:eastAsia="宋体" w:cs="宋体"/>
          <w:sz w:val="21"/>
          <w:szCs w:val="21"/>
        </w:rPr>
      </w:pPr>
      <w:r>
        <w:rPr>
          <w:rFonts w:hint="eastAsia" w:ascii="宋体" w:hAnsi="宋体" w:eastAsia="宋体" w:cs="宋体"/>
          <w:sz w:val="21"/>
          <w:szCs w:val="21"/>
        </w:rPr>
        <w:t>独立OCR本地化应用，用于支撑集团发票内容、收据及其他票据信息的票面数据提取并自动写入信息系统。其OCR识别能力技术要求如下：</w:t>
      </w:r>
    </w:p>
    <w:p>
      <w:pPr>
        <w:ind w:firstLine="480"/>
        <w:rPr>
          <w:rFonts w:hint="eastAsia" w:ascii="宋体" w:hAnsi="宋体" w:eastAsia="宋体" w:cs="宋体"/>
          <w:sz w:val="21"/>
          <w:szCs w:val="21"/>
        </w:rPr>
      </w:pPr>
      <w:r>
        <w:rPr>
          <w:rFonts w:hint="eastAsia" w:ascii="宋体" w:hAnsi="宋体" w:eastAsia="宋体" w:cs="宋体"/>
          <w:sz w:val="21"/>
          <w:szCs w:val="21"/>
        </w:rPr>
        <w:t>（1）通用文字识别：支持常见语言及符号的自动识别，包括中文、英文、数字、常见符号的智能识别和检测；</w:t>
      </w:r>
    </w:p>
    <w:p>
      <w:pPr>
        <w:ind w:firstLine="480"/>
        <w:rPr>
          <w:rFonts w:hint="eastAsia" w:ascii="宋体" w:hAnsi="宋体" w:eastAsia="宋体" w:cs="宋体"/>
          <w:sz w:val="21"/>
          <w:szCs w:val="21"/>
        </w:rPr>
      </w:pPr>
      <w:r>
        <w:rPr>
          <w:rFonts w:hint="eastAsia" w:ascii="宋体" w:hAnsi="宋体" w:eastAsia="宋体" w:cs="宋体"/>
          <w:sz w:val="21"/>
          <w:szCs w:val="21"/>
        </w:rPr>
        <w:t>（2）文件格式范围：支撑常规格式文件的读取，包括但不限于doc、docx、pdf、ofd、xml、xlsx等文件格式；</w:t>
      </w:r>
    </w:p>
    <w:p>
      <w:pPr>
        <w:ind w:firstLine="480"/>
        <w:rPr>
          <w:rFonts w:hint="eastAsia" w:ascii="宋体" w:hAnsi="宋体" w:eastAsia="宋体" w:cs="宋体"/>
          <w:sz w:val="21"/>
          <w:szCs w:val="21"/>
        </w:rPr>
      </w:pPr>
      <w:r>
        <w:rPr>
          <w:rFonts w:hint="eastAsia" w:ascii="宋体" w:hAnsi="宋体" w:eastAsia="宋体" w:cs="宋体"/>
          <w:sz w:val="21"/>
          <w:szCs w:val="21"/>
        </w:rPr>
        <w:t>（3）数据自动写入：自动将已识别的文件内容，以结构化数据写入关系型数据库，应支持常规oracle、sqlserver、mysql、瀚高、达梦、人大金仓等关系型数据的写入。</w:t>
      </w:r>
    </w:p>
    <w:p>
      <w:pPr>
        <w:ind w:firstLine="480"/>
        <w:rPr>
          <w:rFonts w:hint="eastAsia" w:ascii="宋体" w:hAnsi="宋体" w:eastAsia="宋体" w:cs="宋体"/>
          <w:sz w:val="21"/>
          <w:szCs w:val="21"/>
        </w:rPr>
      </w:pPr>
    </w:p>
    <w:p>
      <w:pPr>
        <w:pStyle w:val="42"/>
        <w:ind w:firstLine="480"/>
        <w:outlineLvl w:val="3"/>
        <w:rPr>
          <w:rFonts w:hint="eastAsia" w:ascii="宋体" w:hAnsi="宋体" w:eastAsia="宋体" w:cs="宋体"/>
          <w:sz w:val="21"/>
          <w:szCs w:val="21"/>
        </w:rPr>
      </w:pPr>
      <w:r>
        <w:rPr>
          <w:rFonts w:hint="eastAsia" w:ascii="宋体" w:hAnsi="宋体" w:eastAsia="宋体" w:cs="宋体"/>
          <w:sz w:val="21"/>
          <w:szCs w:val="21"/>
        </w:rPr>
        <w:t>财务共享系统优化</w:t>
      </w:r>
    </w:p>
    <w:p>
      <w:pPr>
        <w:ind w:firstLine="480"/>
        <w:rPr>
          <w:rFonts w:hint="eastAsia" w:ascii="宋体" w:hAnsi="宋体" w:eastAsia="宋体" w:cs="宋体"/>
          <w:sz w:val="21"/>
          <w:szCs w:val="21"/>
        </w:rPr>
      </w:pPr>
      <w:r>
        <w:rPr>
          <w:rFonts w:hint="eastAsia" w:ascii="宋体" w:hAnsi="宋体" w:eastAsia="宋体" w:cs="宋体"/>
          <w:sz w:val="21"/>
          <w:szCs w:val="21"/>
        </w:rPr>
        <w:t>基于当前财务共享系统，对共享系统表单及流程优化，实现单据自动判断科目辅助填写要求、凭证审核进共享，提升报账填写易用性与处理效率、降低各单位基础核算工作量。核心优化需求如下：</w:t>
      </w:r>
    </w:p>
    <w:p>
      <w:pPr>
        <w:ind w:firstLine="480"/>
        <w:rPr>
          <w:rFonts w:hint="eastAsia" w:ascii="宋体" w:hAnsi="宋体" w:eastAsia="宋体" w:cs="宋体"/>
          <w:sz w:val="21"/>
          <w:szCs w:val="21"/>
        </w:rPr>
      </w:pPr>
      <w:r>
        <w:rPr>
          <w:rFonts w:hint="eastAsia" w:ascii="宋体" w:hAnsi="宋体" w:eastAsia="宋体" w:cs="宋体"/>
          <w:sz w:val="21"/>
          <w:szCs w:val="21"/>
        </w:rPr>
        <w:t>（1）服务二部服务单位凭证审核进共享</w:t>
      </w:r>
    </w:p>
    <w:p>
      <w:pPr>
        <w:ind w:firstLine="480"/>
        <w:rPr>
          <w:rFonts w:hint="eastAsia" w:ascii="宋体" w:hAnsi="宋体" w:eastAsia="宋体" w:cs="宋体"/>
          <w:sz w:val="21"/>
          <w:szCs w:val="21"/>
        </w:rPr>
      </w:pPr>
      <w:r>
        <w:rPr>
          <w:rFonts w:hint="eastAsia" w:ascii="宋体" w:hAnsi="宋体" w:eastAsia="宋体" w:cs="宋体"/>
          <w:sz w:val="21"/>
          <w:szCs w:val="21"/>
        </w:rPr>
        <w:t>（2）增加核销预收功能</w:t>
      </w:r>
    </w:p>
    <w:p>
      <w:pPr>
        <w:ind w:firstLine="480"/>
        <w:rPr>
          <w:rFonts w:hint="eastAsia" w:ascii="宋体" w:hAnsi="宋体" w:eastAsia="宋体" w:cs="宋体"/>
          <w:sz w:val="21"/>
          <w:szCs w:val="21"/>
        </w:rPr>
      </w:pPr>
      <w:r>
        <w:rPr>
          <w:rFonts w:hint="eastAsia" w:ascii="宋体" w:hAnsi="宋体" w:eastAsia="宋体" w:cs="宋体"/>
          <w:sz w:val="21"/>
          <w:szCs w:val="21"/>
        </w:rPr>
        <w:t>（3）增加承包合同号字段，凭证需要显示承包合同号</w:t>
      </w:r>
    </w:p>
    <w:p>
      <w:pPr>
        <w:ind w:firstLine="480"/>
        <w:rPr>
          <w:rFonts w:hint="eastAsia" w:ascii="宋体" w:hAnsi="宋体" w:eastAsia="宋体" w:cs="宋体"/>
          <w:sz w:val="21"/>
          <w:szCs w:val="21"/>
        </w:rPr>
      </w:pPr>
      <w:r>
        <w:rPr>
          <w:rFonts w:hint="eastAsia" w:ascii="宋体" w:hAnsi="宋体" w:eastAsia="宋体" w:cs="宋体"/>
          <w:sz w:val="21"/>
          <w:szCs w:val="21"/>
        </w:rPr>
        <w:t>（4）增加建筑工程类暂估收入的核算处理方式</w:t>
      </w:r>
    </w:p>
    <w:p>
      <w:pPr>
        <w:ind w:firstLine="480"/>
        <w:rPr>
          <w:rFonts w:hint="eastAsia" w:ascii="宋体" w:hAnsi="宋体" w:eastAsia="宋体" w:cs="宋体"/>
          <w:sz w:val="21"/>
          <w:szCs w:val="21"/>
        </w:rPr>
      </w:pPr>
      <w:r>
        <w:rPr>
          <w:rFonts w:hint="eastAsia" w:ascii="宋体" w:hAnsi="宋体" w:eastAsia="宋体" w:cs="宋体"/>
          <w:sz w:val="21"/>
          <w:szCs w:val="21"/>
        </w:rPr>
        <w:t>（5）分业务场景设置合同结算模板</w:t>
      </w:r>
    </w:p>
    <w:p>
      <w:pPr>
        <w:ind w:firstLine="480"/>
        <w:rPr>
          <w:rFonts w:hint="eastAsia" w:ascii="宋体" w:hAnsi="宋体" w:eastAsia="宋体" w:cs="宋体"/>
          <w:sz w:val="21"/>
          <w:szCs w:val="21"/>
        </w:rPr>
      </w:pPr>
      <w:r>
        <w:rPr>
          <w:rFonts w:hint="eastAsia" w:ascii="宋体" w:hAnsi="宋体" w:eastAsia="宋体" w:cs="宋体"/>
          <w:sz w:val="21"/>
          <w:szCs w:val="21"/>
        </w:rPr>
        <w:t>（6）增加流水“挂账”功能</w:t>
      </w:r>
    </w:p>
    <w:p>
      <w:pPr>
        <w:ind w:firstLine="480"/>
        <w:rPr>
          <w:rFonts w:hint="eastAsia" w:ascii="宋体" w:hAnsi="宋体" w:eastAsia="宋体" w:cs="宋体"/>
          <w:sz w:val="21"/>
          <w:szCs w:val="21"/>
        </w:rPr>
      </w:pPr>
      <w:r>
        <w:rPr>
          <w:rFonts w:hint="eastAsia" w:ascii="宋体" w:hAnsi="宋体" w:eastAsia="宋体" w:cs="宋体"/>
          <w:sz w:val="21"/>
          <w:szCs w:val="21"/>
        </w:rPr>
        <w:t>（7）开发一对多、多对一、多对多调拨功能</w:t>
      </w:r>
    </w:p>
    <w:p>
      <w:pPr>
        <w:ind w:firstLine="480"/>
        <w:rPr>
          <w:rFonts w:hint="eastAsia" w:ascii="宋体" w:hAnsi="宋体" w:eastAsia="宋体" w:cs="宋体"/>
          <w:sz w:val="21"/>
          <w:szCs w:val="21"/>
        </w:rPr>
      </w:pPr>
      <w:r>
        <w:rPr>
          <w:rFonts w:hint="eastAsia" w:ascii="宋体" w:hAnsi="宋体" w:eastAsia="宋体" w:cs="宋体"/>
          <w:sz w:val="21"/>
          <w:szCs w:val="21"/>
        </w:rPr>
        <w:t>（8）增加借款转移功能</w:t>
      </w:r>
    </w:p>
    <w:p>
      <w:pPr>
        <w:ind w:firstLine="480"/>
        <w:rPr>
          <w:rFonts w:hint="eastAsia" w:ascii="宋体" w:hAnsi="宋体" w:eastAsia="宋体" w:cs="宋体"/>
          <w:sz w:val="21"/>
          <w:szCs w:val="21"/>
        </w:rPr>
      </w:pPr>
      <w:r>
        <w:rPr>
          <w:rFonts w:hint="eastAsia" w:ascii="宋体" w:hAnsi="宋体" w:eastAsia="宋体" w:cs="宋体"/>
          <w:sz w:val="21"/>
          <w:szCs w:val="21"/>
        </w:rPr>
        <w:t>（9）增加资金调拨单复制功能</w:t>
      </w:r>
    </w:p>
    <w:p>
      <w:pPr>
        <w:ind w:firstLine="480"/>
        <w:rPr>
          <w:rFonts w:hint="eastAsia" w:ascii="宋体" w:hAnsi="宋体" w:eastAsia="宋体" w:cs="宋体"/>
          <w:sz w:val="21"/>
          <w:szCs w:val="21"/>
        </w:rPr>
      </w:pPr>
      <w:r>
        <w:rPr>
          <w:rFonts w:hint="eastAsia" w:ascii="宋体" w:hAnsi="宋体" w:eastAsia="宋体" w:cs="宋体"/>
          <w:sz w:val="21"/>
          <w:szCs w:val="21"/>
        </w:rPr>
        <w:t>（10）增加增值税计提方式字段，分为一般计税、简易计税，对应模板科目分别为“应交税费-应交增值税（进项税额）”、“应交税费-简易计税-分包抵减”</w:t>
      </w:r>
    </w:p>
    <w:p>
      <w:pPr>
        <w:ind w:firstLine="480"/>
        <w:rPr>
          <w:rFonts w:hint="eastAsia" w:ascii="宋体" w:hAnsi="宋体" w:eastAsia="宋体" w:cs="宋体"/>
          <w:sz w:val="21"/>
          <w:szCs w:val="21"/>
        </w:rPr>
      </w:pPr>
      <w:r>
        <w:rPr>
          <w:rFonts w:hint="eastAsia" w:ascii="宋体" w:hAnsi="宋体" w:eastAsia="宋体" w:cs="宋体"/>
          <w:sz w:val="21"/>
          <w:szCs w:val="21"/>
        </w:rPr>
        <w:t>（11）增加银行手续费字段，针对通渝等轧差收款的情况</w:t>
      </w:r>
    </w:p>
    <w:p>
      <w:pPr>
        <w:ind w:firstLine="480"/>
        <w:rPr>
          <w:rFonts w:hint="eastAsia" w:ascii="宋体" w:hAnsi="宋体" w:eastAsia="宋体" w:cs="宋体"/>
          <w:sz w:val="21"/>
          <w:szCs w:val="21"/>
        </w:rPr>
      </w:pPr>
      <w:r>
        <w:rPr>
          <w:rFonts w:hint="eastAsia" w:ascii="宋体" w:hAnsi="宋体" w:eastAsia="宋体" w:cs="宋体"/>
          <w:sz w:val="21"/>
          <w:szCs w:val="21"/>
        </w:rPr>
        <w:t>（12）辅助核算项目及会计科目单据界面需显示全称</w:t>
      </w:r>
    </w:p>
    <w:p>
      <w:pPr>
        <w:ind w:firstLine="480"/>
        <w:rPr>
          <w:rFonts w:hint="eastAsia" w:ascii="宋体" w:hAnsi="宋体" w:eastAsia="宋体" w:cs="宋体"/>
          <w:sz w:val="21"/>
          <w:szCs w:val="21"/>
        </w:rPr>
      </w:pPr>
      <w:r>
        <w:rPr>
          <w:rFonts w:hint="eastAsia" w:ascii="宋体" w:hAnsi="宋体" w:eastAsia="宋体" w:cs="宋体"/>
          <w:sz w:val="21"/>
          <w:szCs w:val="21"/>
        </w:rPr>
        <w:t>（13）业务分摊信息的辅助项目增加“土地储备项目”字段</w:t>
      </w:r>
    </w:p>
    <w:p>
      <w:pPr>
        <w:ind w:firstLine="480"/>
        <w:rPr>
          <w:rFonts w:hint="eastAsia" w:ascii="宋体" w:hAnsi="宋体" w:eastAsia="宋体" w:cs="宋体"/>
          <w:sz w:val="21"/>
          <w:szCs w:val="21"/>
        </w:rPr>
      </w:pPr>
      <w:r>
        <w:rPr>
          <w:rFonts w:hint="eastAsia" w:ascii="宋体" w:hAnsi="宋体" w:eastAsia="宋体" w:cs="宋体"/>
          <w:sz w:val="21"/>
          <w:szCs w:val="21"/>
        </w:rPr>
        <w:t>（14）解决企业付款单电子影像无法联查上游单据的问题</w:t>
      </w:r>
    </w:p>
    <w:p>
      <w:pPr>
        <w:ind w:firstLine="480"/>
        <w:rPr>
          <w:rFonts w:hint="eastAsia" w:ascii="宋体" w:hAnsi="宋体" w:eastAsia="宋体" w:cs="宋体"/>
          <w:sz w:val="21"/>
          <w:szCs w:val="21"/>
        </w:rPr>
      </w:pPr>
      <w:r>
        <w:rPr>
          <w:rFonts w:hint="eastAsia" w:ascii="宋体" w:hAnsi="宋体" w:eastAsia="宋体" w:cs="宋体"/>
          <w:sz w:val="21"/>
          <w:szCs w:val="21"/>
        </w:rPr>
        <w:t>（15）解决电子影像看不到关联的付款单的影像的问题</w:t>
      </w:r>
    </w:p>
    <w:p>
      <w:pPr>
        <w:ind w:firstLine="480"/>
        <w:rPr>
          <w:rFonts w:hint="eastAsia" w:ascii="宋体" w:hAnsi="宋体" w:eastAsia="宋体" w:cs="宋体"/>
          <w:sz w:val="21"/>
          <w:szCs w:val="21"/>
        </w:rPr>
      </w:pPr>
      <w:r>
        <w:rPr>
          <w:rFonts w:hint="eastAsia" w:ascii="宋体" w:hAnsi="宋体" w:eastAsia="宋体" w:cs="宋体"/>
          <w:sz w:val="21"/>
          <w:szCs w:val="21"/>
        </w:rPr>
        <w:t>（16）银行存款科目的辅助明细应根据支付明细生成，多条支付明细应有多条辅助</w:t>
      </w:r>
    </w:p>
    <w:p>
      <w:pPr>
        <w:ind w:firstLine="480"/>
        <w:rPr>
          <w:rFonts w:hint="eastAsia" w:ascii="宋体" w:hAnsi="宋体" w:eastAsia="宋体" w:cs="宋体"/>
          <w:sz w:val="21"/>
          <w:szCs w:val="21"/>
        </w:rPr>
      </w:pPr>
      <w:r>
        <w:rPr>
          <w:rFonts w:hint="eastAsia" w:ascii="宋体" w:hAnsi="宋体" w:eastAsia="宋体" w:cs="宋体"/>
          <w:sz w:val="21"/>
          <w:szCs w:val="21"/>
        </w:rPr>
        <w:t>（17）主表信息与“合同付款单”统一，显示合同总金额、已付、未付等信息</w:t>
      </w:r>
    </w:p>
    <w:p>
      <w:pPr>
        <w:ind w:firstLine="480"/>
        <w:rPr>
          <w:rFonts w:hint="eastAsia" w:ascii="宋体" w:hAnsi="宋体" w:eastAsia="宋体" w:cs="宋体"/>
          <w:sz w:val="21"/>
          <w:szCs w:val="21"/>
        </w:rPr>
      </w:pPr>
      <w:r>
        <w:rPr>
          <w:rFonts w:hint="eastAsia" w:ascii="宋体" w:hAnsi="宋体" w:eastAsia="宋体" w:cs="宋体"/>
          <w:sz w:val="21"/>
          <w:szCs w:val="21"/>
        </w:rPr>
        <w:t>（18）增加罚款字段，用于考核扣款，对应“营业外支出-赔偿金、违约金及罚款支出“科目</w:t>
      </w:r>
    </w:p>
    <w:p>
      <w:pPr>
        <w:ind w:firstLine="480"/>
        <w:rPr>
          <w:rFonts w:hint="eastAsia" w:ascii="宋体" w:hAnsi="宋体" w:eastAsia="宋体" w:cs="宋体"/>
          <w:sz w:val="21"/>
          <w:szCs w:val="21"/>
        </w:rPr>
      </w:pPr>
      <w:r>
        <w:rPr>
          <w:rFonts w:hint="eastAsia" w:ascii="宋体" w:hAnsi="宋体" w:eastAsia="宋体" w:cs="宋体"/>
          <w:sz w:val="21"/>
          <w:szCs w:val="21"/>
        </w:rPr>
        <w:t>（19）存货出库明细增加“进项税转出金额”字段</w:t>
      </w:r>
    </w:p>
    <w:p>
      <w:pPr>
        <w:ind w:firstLine="480"/>
        <w:rPr>
          <w:rFonts w:hint="eastAsia" w:ascii="宋体" w:hAnsi="宋体" w:eastAsia="宋体" w:cs="宋体"/>
          <w:sz w:val="21"/>
          <w:szCs w:val="21"/>
        </w:rPr>
      </w:pPr>
      <w:r>
        <w:rPr>
          <w:rFonts w:hint="eastAsia" w:ascii="宋体" w:hAnsi="宋体" w:eastAsia="宋体" w:cs="宋体"/>
          <w:sz w:val="21"/>
          <w:szCs w:val="21"/>
        </w:rPr>
        <w:t>（20）资产原值含税合计=原币金额（改后：业务明细“本次支付金额”）合计+核销预付金额合计+挂账金额合计</w:t>
      </w:r>
    </w:p>
    <w:p>
      <w:pPr>
        <w:ind w:firstLine="480"/>
        <w:rPr>
          <w:rFonts w:hint="eastAsia" w:ascii="宋体" w:hAnsi="宋体" w:eastAsia="宋体" w:cs="宋体"/>
          <w:sz w:val="21"/>
          <w:szCs w:val="21"/>
        </w:rPr>
      </w:pPr>
      <w:r>
        <w:rPr>
          <w:rFonts w:hint="eastAsia" w:ascii="宋体" w:hAnsi="宋体" w:eastAsia="宋体" w:cs="宋体"/>
          <w:sz w:val="21"/>
          <w:szCs w:val="21"/>
        </w:rPr>
        <w:t>（21）挂账之后应形成应付记录</w:t>
      </w:r>
    </w:p>
    <w:p>
      <w:pPr>
        <w:ind w:firstLine="480"/>
        <w:rPr>
          <w:rFonts w:hint="eastAsia" w:ascii="宋体" w:hAnsi="宋体" w:eastAsia="宋体" w:cs="宋体"/>
          <w:sz w:val="21"/>
          <w:szCs w:val="21"/>
        </w:rPr>
      </w:pPr>
      <w:r>
        <w:rPr>
          <w:rFonts w:hint="eastAsia" w:ascii="宋体" w:hAnsi="宋体" w:eastAsia="宋体" w:cs="宋体"/>
          <w:sz w:val="21"/>
          <w:szCs w:val="21"/>
        </w:rPr>
        <w:t>（22）单据中“员工姓名”现取数关联是系统中的“行政人员”，与“核算人员”可能存在差异，如有兼职人员，“行政人员”也不好调整，会导致无法处理</w:t>
      </w:r>
    </w:p>
    <w:p>
      <w:pPr>
        <w:ind w:firstLine="480"/>
        <w:rPr>
          <w:rFonts w:hint="eastAsia" w:ascii="宋体" w:hAnsi="宋体" w:eastAsia="宋体" w:cs="宋体"/>
          <w:sz w:val="21"/>
          <w:szCs w:val="21"/>
        </w:rPr>
      </w:pPr>
    </w:p>
    <w:p>
      <w:pPr>
        <w:pStyle w:val="42"/>
        <w:ind w:firstLine="480"/>
        <w:outlineLvl w:val="3"/>
        <w:rPr>
          <w:rFonts w:hint="eastAsia" w:ascii="宋体" w:hAnsi="宋体" w:eastAsia="宋体" w:cs="宋体"/>
          <w:sz w:val="21"/>
          <w:szCs w:val="21"/>
        </w:rPr>
      </w:pPr>
      <w:r>
        <w:rPr>
          <w:rFonts w:hint="eastAsia" w:ascii="宋体" w:hAnsi="宋体" w:eastAsia="宋体" w:cs="宋体"/>
          <w:sz w:val="21"/>
          <w:szCs w:val="21"/>
        </w:rPr>
        <w:t>管理报表</w:t>
      </w:r>
    </w:p>
    <w:p>
      <w:pPr>
        <w:ind w:firstLine="480"/>
        <w:rPr>
          <w:rFonts w:hint="eastAsia" w:ascii="宋体" w:hAnsi="宋体" w:eastAsia="宋体" w:cs="宋体"/>
          <w:sz w:val="21"/>
          <w:szCs w:val="21"/>
        </w:rPr>
      </w:pPr>
      <w:r>
        <w:rPr>
          <w:rFonts w:hint="eastAsia" w:ascii="宋体" w:hAnsi="宋体" w:eastAsia="宋体" w:cs="宋体"/>
          <w:sz w:val="21"/>
          <w:szCs w:val="21"/>
        </w:rPr>
        <w:t>基于现有业财一体化平台，按照管理部门要求，新建管理报表30张，包括但不限于：</w:t>
      </w:r>
    </w:p>
    <w:p>
      <w:pPr>
        <w:pStyle w:val="34"/>
        <w:numPr>
          <w:ilvl w:val="0"/>
          <w:numId w:val="5"/>
        </w:numPr>
        <w:ind w:firstLineChars="0"/>
        <w:rPr>
          <w:rFonts w:hint="eastAsia" w:ascii="宋体" w:hAnsi="宋体" w:eastAsia="宋体" w:cs="宋体"/>
          <w:sz w:val="21"/>
          <w:szCs w:val="21"/>
        </w:rPr>
      </w:pPr>
      <w:r>
        <w:rPr>
          <w:rFonts w:hint="eastAsia" w:ascii="宋体" w:hAnsi="宋体" w:eastAsia="宋体" w:cs="宋体"/>
          <w:sz w:val="21"/>
          <w:szCs w:val="21"/>
        </w:rPr>
        <w:t>应付职工薪酬（集团全级次）</w:t>
      </w:r>
    </w:p>
    <w:p>
      <w:pPr>
        <w:pStyle w:val="34"/>
        <w:numPr>
          <w:ilvl w:val="0"/>
          <w:numId w:val="5"/>
        </w:numPr>
        <w:ind w:firstLineChars="0"/>
        <w:rPr>
          <w:rFonts w:hint="eastAsia" w:ascii="宋体" w:hAnsi="宋体" w:eastAsia="宋体" w:cs="宋体"/>
          <w:sz w:val="21"/>
          <w:szCs w:val="21"/>
        </w:rPr>
      </w:pPr>
      <w:r>
        <w:rPr>
          <w:rFonts w:hint="eastAsia" w:ascii="宋体" w:hAnsi="宋体" w:eastAsia="宋体" w:cs="宋体"/>
          <w:sz w:val="21"/>
          <w:szCs w:val="21"/>
        </w:rPr>
        <w:t>人工成本情况表（集团全级次）</w:t>
      </w:r>
    </w:p>
    <w:p>
      <w:pPr>
        <w:pStyle w:val="34"/>
        <w:numPr>
          <w:ilvl w:val="0"/>
          <w:numId w:val="5"/>
        </w:numPr>
        <w:ind w:firstLineChars="0"/>
        <w:rPr>
          <w:rFonts w:hint="eastAsia" w:ascii="宋体" w:hAnsi="宋体" w:eastAsia="宋体" w:cs="宋体"/>
          <w:sz w:val="21"/>
          <w:szCs w:val="21"/>
        </w:rPr>
      </w:pPr>
      <w:r>
        <w:rPr>
          <w:rFonts w:hint="eastAsia" w:ascii="宋体" w:hAnsi="宋体" w:eastAsia="宋体" w:cs="宋体"/>
          <w:sz w:val="21"/>
          <w:szCs w:val="21"/>
        </w:rPr>
        <w:t>工资明细表（集团全级次）</w:t>
      </w:r>
    </w:p>
    <w:p>
      <w:pPr>
        <w:pStyle w:val="34"/>
        <w:numPr>
          <w:ilvl w:val="0"/>
          <w:numId w:val="5"/>
        </w:numPr>
        <w:ind w:firstLineChars="0"/>
        <w:rPr>
          <w:rFonts w:hint="eastAsia" w:ascii="宋体" w:hAnsi="宋体" w:eastAsia="宋体" w:cs="宋体"/>
          <w:sz w:val="21"/>
          <w:szCs w:val="21"/>
        </w:rPr>
      </w:pPr>
      <w:r>
        <w:rPr>
          <w:rFonts w:hint="eastAsia" w:ascii="宋体" w:hAnsi="宋体" w:eastAsia="宋体" w:cs="宋体"/>
          <w:sz w:val="21"/>
          <w:szCs w:val="21"/>
        </w:rPr>
        <w:t>固定资产累计折旧明细表（集团全级次）</w:t>
      </w:r>
    </w:p>
    <w:p>
      <w:pPr>
        <w:pStyle w:val="34"/>
        <w:numPr>
          <w:ilvl w:val="0"/>
          <w:numId w:val="5"/>
        </w:numPr>
        <w:ind w:firstLineChars="0"/>
        <w:rPr>
          <w:rFonts w:hint="eastAsia" w:ascii="宋体" w:hAnsi="宋体" w:eastAsia="宋体" w:cs="宋体"/>
          <w:sz w:val="21"/>
          <w:szCs w:val="21"/>
        </w:rPr>
      </w:pPr>
      <w:r>
        <w:rPr>
          <w:rFonts w:hint="eastAsia" w:ascii="宋体" w:hAnsi="宋体" w:eastAsia="宋体" w:cs="宋体"/>
          <w:sz w:val="21"/>
          <w:szCs w:val="21"/>
        </w:rPr>
        <w:t>成本费用月报表（集团全级次）</w:t>
      </w:r>
    </w:p>
    <w:p>
      <w:pPr>
        <w:pStyle w:val="34"/>
        <w:numPr>
          <w:ilvl w:val="0"/>
          <w:numId w:val="5"/>
        </w:numPr>
        <w:ind w:firstLineChars="0"/>
        <w:rPr>
          <w:rFonts w:hint="eastAsia" w:ascii="宋体" w:hAnsi="宋体" w:eastAsia="宋体" w:cs="宋体"/>
          <w:sz w:val="21"/>
          <w:szCs w:val="21"/>
        </w:rPr>
      </w:pPr>
      <w:r>
        <w:rPr>
          <w:rFonts w:hint="eastAsia" w:ascii="宋体" w:hAnsi="宋体" w:eastAsia="宋体" w:cs="宋体"/>
          <w:sz w:val="21"/>
          <w:szCs w:val="21"/>
        </w:rPr>
        <w:t>应交税费月报表（集团全级次）</w:t>
      </w:r>
    </w:p>
    <w:p>
      <w:pPr>
        <w:pStyle w:val="34"/>
        <w:numPr>
          <w:ilvl w:val="0"/>
          <w:numId w:val="5"/>
        </w:numPr>
        <w:ind w:firstLineChars="0"/>
        <w:rPr>
          <w:rFonts w:hint="eastAsia" w:ascii="宋体" w:hAnsi="宋体" w:eastAsia="宋体" w:cs="宋体"/>
          <w:sz w:val="21"/>
          <w:szCs w:val="21"/>
        </w:rPr>
      </w:pPr>
      <w:r>
        <w:rPr>
          <w:rFonts w:hint="eastAsia" w:ascii="宋体" w:hAnsi="宋体" w:eastAsia="宋体" w:cs="宋体"/>
          <w:sz w:val="21"/>
          <w:szCs w:val="21"/>
        </w:rPr>
        <w:t>负债情况套表（资金部）</w:t>
      </w:r>
    </w:p>
    <w:p>
      <w:pPr>
        <w:ind w:firstLine="480"/>
        <w:rPr>
          <w:rFonts w:hint="eastAsia" w:ascii="宋体" w:hAnsi="宋体" w:eastAsia="宋体" w:cs="宋体"/>
          <w:sz w:val="21"/>
          <w:szCs w:val="21"/>
        </w:rPr>
      </w:pPr>
      <w:r>
        <w:rPr>
          <w:rFonts w:hint="eastAsia" w:ascii="宋体" w:hAnsi="宋体" w:eastAsia="宋体" w:cs="宋体"/>
          <w:sz w:val="21"/>
          <w:szCs w:val="21"/>
        </w:rPr>
        <w:t>开发以上管理口径报表，满足各部门日常管理和账表查询的需求，支持账表自动取值、计算和归集，按照用户角色赋予不同的系统操作权限。</w:t>
      </w:r>
    </w:p>
    <w:p>
      <w:pPr>
        <w:pStyle w:val="42"/>
        <w:ind w:firstLine="480"/>
        <w:outlineLvl w:val="3"/>
        <w:rPr>
          <w:rFonts w:hint="eastAsia" w:ascii="宋体" w:hAnsi="宋体" w:eastAsia="宋体" w:cs="宋体"/>
          <w:sz w:val="21"/>
          <w:szCs w:val="21"/>
        </w:rPr>
      </w:pPr>
      <w:r>
        <w:rPr>
          <w:rFonts w:hint="eastAsia" w:ascii="宋体" w:hAnsi="宋体" w:eastAsia="宋体" w:cs="宋体"/>
          <w:sz w:val="21"/>
          <w:szCs w:val="21"/>
        </w:rPr>
        <w:t>资产管理大屏开发</w:t>
      </w:r>
    </w:p>
    <w:p>
      <w:pPr>
        <w:ind w:firstLine="480"/>
        <w:rPr>
          <w:rFonts w:hint="eastAsia" w:ascii="宋体" w:hAnsi="宋体" w:eastAsia="宋体" w:cs="宋体"/>
          <w:sz w:val="21"/>
          <w:szCs w:val="21"/>
        </w:rPr>
      </w:pPr>
      <w:r>
        <w:rPr>
          <w:rFonts w:hint="eastAsia" w:ascii="宋体" w:hAnsi="宋体" w:eastAsia="宋体" w:cs="宋体"/>
          <w:sz w:val="21"/>
          <w:szCs w:val="21"/>
        </w:rPr>
        <w:t>基于现有资产管理系统，设计和开发资产管理系统大屏页面，内容应覆盖公路资产、土地资产、房屋资产、设备资产，多维度分析资产的账面原值、面积、资产宗数、闲置情况、租赁情况、设备完好率等。</w:t>
      </w:r>
    </w:p>
    <w:p>
      <w:pPr>
        <w:ind w:firstLine="480"/>
        <w:rPr>
          <w:rFonts w:hint="eastAsia" w:ascii="宋体" w:hAnsi="宋体" w:eastAsia="宋体" w:cs="宋体"/>
          <w:sz w:val="21"/>
          <w:szCs w:val="21"/>
        </w:rPr>
      </w:pPr>
      <w:r>
        <w:rPr>
          <w:rFonts w:hint="eastAsia" w:ascii="宋体" w:hAnsi="宋体" w:eastAsia="宋体" w:cs="宋体"/>
          <w:sz w:val="21"/>
          <w:szCs w:val="21"/>
        </w:rPr>
        <w:t>产品须支持功能如下：</w:t>
      </w:r>
    </w:p>
    <w:p>
      <w:pPr>
        <w:ind w:firstLine="480"/>
        <w:rPr>
          <w:rFonts w:hint="eastAsia" w:ascii="宋体" w:hAnsi="宋体" w:eastAsia="宋体" w:cs="宋体"/>
          <w:sz w:val="21"/>
          <w:szCs w:val="21"/>
        </w:rPr>
      </w:pPr>
      <w:r>
        <w:rPr>
          <w:rFonts w:hint="eastAsia" w:ascii="宋体" w:hAnsi="宋体" w:eastAsia="宋体" w:cs="宋体"/>
          <w:sz w:val="21"/>
          <w:szCs w:val="21"/>
        </w:rPr>
        <w:t>（1）主题分析：按照资产业务管理需要，设计资产管理分析主题；</w:t>
      </w:r>
    </w:p>
    <w:p>
      <w:pPr>
        <w:ind w:firstLine="480"/>
        <w:rPr>
          <w:rFonts w:hint="eastAsia" w:ascii="宋体" w:hAnsi="宋体" w:eastAsia="宋体" w:cs="宋体"/>
          <w:sz w:val="21"/>
          <w:szCs w:val="21"/>
        </w:rPr>
      </w:pPr>
      <w:r>
        <w:rPr>
          <w:rFonts w:hint="eastAsia" w:ascii="宋体" w:hAnsi="宋体" w:eastAsia="宋体" w:cs="宋体"/>
          <w:sz w:val="21"/>
          <w:szCs w:val="21"/>
        </w:rPr>
        <w:t>（2）穿透分析：支持资产可视化界面三级穿透分析；</w:t>
      </w:r>
    </w:p>
    <w:p>
      <w:pPr>
        <w:ind w:firstLine="480"/>
        <w:rPr>
          <w:rFonts w:hint="eastAsia" w:ascii="宋体" w:hAnsi="宋体" w:eastAsia="宋体" w:cs="宋体"/>
          <w:sz w:val="21"/>
          <w:szCs w:val="21"/>
        </w:rPr>
      </w:pPr>
      <w:r>
        <w:rPr>
          <w:rFonts w:hint="eastAsia" w:ascii="宋体" w:hAnsi="宋体" w:eastAsia="宋体" w:cs="宋体"/>
          <w:sz w:val="21"/>
          <w:szCs w:val="21"/>
        </w:rPr>
        <w:t>（3）模型分析：支持多类分析模型，包括但不限于饼形图、柱状图、雷达图、折线图、地理位置等；</w:t>
      </w:r>
    </w:p>
    <w:p>
      <w:pPr>
        <w:ind w:firstLine="480"/>
        <w:rPr>
          <w:rFonts w:hint="eastAsia" w:ascii="宋体" w:hAnsi="宋体" w:eastAsia="宋体" w:cs="宋体"/>
          <w:snapToGrid w:val="0"/>
          <w:sz w:val="21"/>
          <w:szCs w:val="21"/>
        </w:rPr>
      </w:pPr>
      <w:r>
        <w:rPr>
          <w:rFonts w:hint="eastAsia" w:ascii="宋体" w:hAnsi="宋体" w:eastAsia="宋体" w:cs="宋体"/>
          <w:sz w:val="21"/>
          <w:szCs w:val="21"/>
        </w:rPr>
        <w:t>（4）分析维度：</w:t>
      </w:r>
      <w:r>
        <w:rPr>
          <w:rFonts w:hint="eastAsia" w:ascii="宋体" w:hAnsi="宋体" w:eastAsia="宋体" w:cs="宋体"/>
          <w:snapToGrid w:val="0"/>
          <w:sz w:val="21"/>
          <w:szCs w:val="21"/>
        </w:rPr>
        <w:t>支持自定义拖拽式构建业务分析，实现业务数据同比、环比、占比、排名、预警、预测、高级计算等功能，便于单位领导了解整体情况；</w:t>
      </w:r>
    </w:p>
    <w:p>
      <w:pPr>
        <w:ind w:firstLine="480"/>
        <w:rPr>
          <w:rFonts w:hint="eastAsia" w:ascii="宋体" w:hAnsi="宋体" w:eastAsia="宋体" w:cs="宋体"/>
          <w:sz w:val="21"/>
          <w:szCs w:val="21"/>
        </w:rPr>
      </w:pPr>
      <w:r>
        <w:rPr>
          <w:rFonts w:hint="eastAsia" w:ascii="宋体" w:hAnsi="宋体" w:eastAsia="宋体" w:cs="宋体"/>
          <w:snapToGrid w:val="0"/>
          <w:sz w:val="21"/>
          <w:szCs w:val="21"/>
        </w:rPr>
        <w:t>（5）灵活度：各套数据中屏的数据可以根据集团的数据要求随时进行调整，以适应集团的业务变化需求。</w:t>
      </w:r>
    </w:p>
    <w:p>
      <w:pPr>
        <w:ind w:firstLine="480"/>
        <w:rPr>
          <w:rFonts w:hint="eastAsia" w:ascii="宋体" w:hAnsi="宋体" w:eastAsia="宋体" w:cs="宋体"/>
          <w:sz w:val="21"/>
          <w:szCs w:val="21"/>
        </w:rPr>
      </w:pPr>
    </w:p>
    <w:p>
      <w:pPr>
        <w:pStyle w:val="42"/>
        <w:ind w:firstLine="480"/>
        <w:outlineLvl w:val="3"/>
        <w:rPr>
          <w:rFonts w:hint="eastAsia" w:ascii="宋体" w:hAnsi="宋体" w:eastAsia="宋体" w:cs="宋体"/>
          <w:sz w:val="21"/>
          <w:szCs w:val="21"/>
        </w:rPr>
      </w:pPr>
      <w:r>
        <w:rPr>
          <w:rFonts w:hint="eastAsia" w:ascii="宋体" w:hAnsi="宋体" w:eastAsia="宋体" w:cs="宋体"/>
          <w:sz w:val="21"/>
          <w:szCs w:val="21"/>
        </w:rPr>
        <w:t>系统集成</w:t>
      </w:r>
    </w:p>
    <w:p>
      <w:pPr>
        <w:ind w:firstLine="480"/>
        <w:rPr>
          <w:rFonts w:hint="eastAsia" w:ascii="宋体" w:hAnsi="宋体" w:eastAsia="宋体" w:cs="宋体"/>
          <w:sz w:val="21"/>
          <w:szCs w:val="21"/>
        </w:rPr>
      </w:pPr>
      <w:r>
        <w:rPr>
          <w:rFonts w:hint="eastAsia" w:ascii="宋体" w:hAnsi="宋体" w:eastAsia="宋体" w:cs="宋体"/>
          <w:sz w:val="21"/>
          <w:szCs w:val="21"/>
        </w:rPr>
        <w:t>按照业务部门需求，以ESB接口服务平台为基座，开发与项目管理系统数据接口，其接口明细如下：</w:t>
      </w:r>
    </w:p>
    <w:p>
      <w:pPr>
        <w:ind w:firstLine="480"/>
        <w:rPr>
          <w:rFonts w:hint="eastAsia" w:ascii="宋体" w:hAnsi="宋体" w:eastAsia="宋体" w:cs="宋体"/>
          <w:sz w:val="21"/>
          <w:szCs w:val="21"/>
        </w:rPr>
      </w:pPr>
      <w:r>
        <w:rPr>
          <w:rFonts w:hint="eastAsia" w:ascii="宋体" w:hAnsi="宋体" w:eastAsia="宋体" w:cs="宋体"/>
          <w:sz w:val="21"/>
          <w:szCs w:val="21"/>
        </w:rPr>
        <w:t>（1）借款单信息查询接口</w:t>
      </w:r>
    </w:p>
    <w:p>
      <w:pPr>
        <w:ind w:firstLine="480"/>
        <w:rPr>
          <w:rFonts w:hint="eastAsia" w:ascii="宋体" w:hAnsi="宋体" w:eastAsia="宋体" w:cs="宋体"/>
          <w:sz w:val="21"/>
          <w:szCs w:val="21"/>
        </w:rPr>
      </w:pPr>
      <w:r>
        <w:rPr>
          <w:rFonts w:hint="eastAsia" w:ascii="宋体" w:hAnsi="宋体" w:eastAsia="宋体" w:cs="宋体"/>
          <w:sz w:val="21"/>
          <w:szCs w:val="21"/>
        </w:rPr>
        <w:t>（2）事项申请单查询接口</w:t>
      </w:r>
    </w:p>
    <w:p>
      <w:pPr>
        <w:ind w:firstLine="480"/>
        <w:rPr>
          <w:rFonts w:hint="eastAsia" w:ascii="宋体" w:hAnsi="宋体" w:eastAsia="宋体" w:cs="宋体"/>
          <w:sz w:val="21"/>
          <w:szCs w:val="21"/>
        </w:rPr>
      </w:pPr>
      <w:r>
        <w:rPr>
          <w:rFonts w:hint="eastAsia" w:ascii="宋体" w:hAnsi="宋体" w:eastAsia="宋体" w:cs="宋体"/>
          <w:sz w:val="21"/>
          <w:szCs w:val="21"/>
        </w:rPr>
        <w:t>（3）差旅费报销单接口</w:t>
      </w:r>
    </w:p>
    <w:p>
      <w:pPr>
        <w:ind w:firstLine="480"/>
        <w:rPr>
          <w:rFonts w:hint="eastAsia" w:ascii="宋体" w:hAnsi="宋体" w:eastAsia="宋体" w:cs="宋体"/>
          <w:sz w:val="21"/>
          <w:szCs w:val="21"/>
        </w:rPr>
      </w:pPr>
      <w:r>
        <w:rPr>
          <w:rFonts w:hint="eastAsia" w:ascii="宋体" w:hAnsi="宋体" w:eastAsia="宋体" w:cs="宋体"/>
          <w:sz w:val="21"/>
          <w:szCs w:val="21"/>
        </w:rPr>
        <w:t>（4）车辆费报销单接口</w:t>
      </w:r>
    </w:p>
    <w:p>
      <w:pPr>
        <w:ind w:firstLine="480"/>
        <w:rPr>
          <w:rFonts w:hint="eastAsia" w:ascii="宋体" w:hAnsi="宋体" w:eastAsia="宋体" w:cs="宋体"/>
          <w:sz w:val="21"/>
          <w:szCs w:val="21"/>
        </w:rPr>
      </w:pPr>
      <w:r>
        <w:rPr>
          <w:rFonts w:hint="eastAsia" w:ascii="宋体" w:hAnsi="宋体" w:eastAsia="宋体" w:cs="宋体"/>
          <w:sz w:val="21"/>
          <w:szCs w:val="21"/>
        </w:rPr>
        <w:t>（5）会议费报销单接口</w:t>
      </w:r>
    </w:p>
    <w:p>
      <w:pPr>
        <w:widowControl/>
        <w:numPr>
          <w:ilvl w:val="0"/>
          <w:numId w:val="0"/>
        </w:numPr>
        <w:bidi w:val="0"/>
        <w:spacing w:line="360" w:lineRule="auto"/>
        <w:jc w:val="both"/>
        <w:rPr>
          <w:rFonts w:hint="eastAsia" w:ascii="宋体" w:hAnsi="宋体" w:eastAsia="宋体" w:cs="宋体"/>
          <w:sz w:val="21"/>
          <w:szCs w:val="21"/>
        </w:rPr>
      </w:pPr>
      <w:r>
        <w:rPr>
          <w:rFonts w:hint="eastAsia" w:ascii="宋体" w:hAnsi="宋体" w:eastAsia="宋体" w:cs="宋体"/>
          <w:sz w:val="21"/>
          <w:szCs w:val="21"/>
        </w:rPr>
        <w:t>（6）其他费用报销单接口</w:t>
      </w:r>
    </w:p>
    <w:p>
      <w:pPr>
        <w:widowControl/>
        <w:numPr>
          <w:ilvl w:val="0"/>
          <w:numId w:val="0"/>
        </w:numPr>
        <w:bidi w:val="0"/>
        <w:spacing w:line="360" w:lineRule="auto"/>
        <w:jc w:val="both"/>
        <w:rPr>
          <w:rFonts w:hint="eastAsia" w:ascii="宋体" w:hAnsi="宋体" w:eastAsia="宋体" w:cs="宋体"/>
          <w:sz w:val="21"/>
          <w:szCs w:val="21"/>
        </w:rPr>
      </w:pPr>
    </w:p>
    <w:p>
      <w:pPr>
        <w:widowControl/>
        <w:numPr>
          <w:ilvl w:val="0"/>
          <w:numId w:val="0"/>
        </w:numPr>
        <w:bidi w:val="0"/>
        <w:spacing w:line="360" w:lineRule="auto"/>
        <w:jc w:val="both"/>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2工作要求：</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ascii="宋体" w:hAnsi="宋体" w:eastAsia="宋体" w:cs="宋体"/>
          <w:kern w:val="2"/>
          <w:sz w:val="21"/>
          <w:szCs w:val="21"/>
        </w:rPr>
        <w:tab/>
      </w:r>
      <w:r>
        <w:rPr>
          <w:rFonts w:hint="eastAsia" w:ascii="宋体" w:hAnsi="宋体" w:eastAsia="宋体" w:cs="宋体"/>
          <w:kern w:val="2"/>
          <w:sz w:val="21"/>
          <w:szCs w:val="21"/>
        </w:rPr>
        <w:t>身份认证应根据信息系统的重要程度按照网络安全等级保护制度合理使用认证方式。</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(2)</w:t>
      </w:r>
      <w:r>
        <w:rPr>
          <w:rFonts w:hint="eastAsia" w:ascii="宋体" w:hAnsi="宋体" w:eastAsia="宋体" w:cs="宋体"/>
          <w:kern w:val="2"/>
          <w:sz w:val="21"/>
          <w:szCs w:val="21"/>
        </w:rPr>
        <w:tab/>
      </w:r>
      <w:r>
        <w:rPr>
          <w:rFonts w:hint="eastAsia" w:ascii="宋体" w:hAnsi="宋体" w:eastAsia="宋体" w:cs="宋体"/>
          <w:kern w:val="2"/>
          <w:sz w:val="21"/>
          <w:szCs w:val="21"/>
        </w:rPr>
        <w:t>系统应具有防密码爆破功能。</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(3)</w:t>
      </w:r>
      <w:r>
        <w:rPr>
          <w:rFonts w:hint="eastAsia" w:ascii="宋体" w:hAnsi="宋体" w:eastAsia="宋体" w:cs="宋体"/>
          <w:kern w:val="2"/>
          <w:sz w:val="21"/>
          <w:szCs w:val="21"/>
        </w:rPr>
        <w:tab/>
      </w:r>
      <w:r>
        <w:rPr>
          <w:rFonts w:hint="eastAsia" w:ascii="宋体" w:hAnsi="宋体" w:eastAsia="宋体" w:cs="宋体"/>
          <w:kern w:val="2"/>
          <w:sz w:val="21"/>
          <w:szCs w:val="21"/>
        </w:rPr>
        <w:t>信息系统应具有弱密码检查和禁用功能。</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(4)</w:t>
      </w:r>
      <w:r>
        <w:rPr>
          <w:rFonts w:hint="eastAsia" w:ascii="宋体" w:hAnsi="宋体" w:eastAsia="宋体" w:cs="宋体"/>
          <w:kern w:val="2"/>
          <w:sz w:val="21"/>
          <w:szCs w:val="21"/>
        </w:rPr>
        <w:tab/>
      </w:r>
      <w:r>
        <w:rPr>
          <w:rFonts w:hint="eastAsia" w:ascii="宋体" w:hAnsi="宋体" w:eastAsia="宋体" w:cs="宋体"/>
          <w:kern w:val="2"/>
          <w:sz w:val="21"/>
          <w:szCs w:val="21"/>
        </w:rPr>
        <w:t>信息系统权限授权颗粒度应遵循最小化授权原则。</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(5)</w:t>
      </w:r>
      <w:r>
        <w:rPr>
          <w:rFonts w:hint="eastAsia" w:ascii="宋体" w:hAnsi="宋体" w:eastAsia="宋体" w:cs="宋体"/>
          <w:kern w:val="2"/>
          <w:sz w:val="21"/>
          <w:szCs w:val="21"/>
        </w:rPr>
        <w:tab/>
      </w:r>
      <w:r>
        <w:rPr>
          <w:rFonts w:hint="eastAsia" w:ascii="宋体" w:hAnsi="宋体" w:eastAsia="宋体" w:cs="宋体"/>
          <w:kern w:val="2"/>
          <w:sz w:val="21"/>
          <w:szCs w:val="21"/>
        </w:rPr>
        <w:t>系统应具备输入输出验证以及SQL注入防护功能。</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(6)</w:t>
      </w:r>
      <w:r>
        <w:rPr>
          <w:rFonts w:hint="eastAsia" w:ascii="宋体" w:hAnsi="宋体" w:eastAsia="宋体" w:cs="宋体"/>
          <w:kern w:val="2"/>
          <w:sz w:val="21"/>
          <w:szCs w:val="21"/>
        </w:rPr>
        <w:tab/>
      </w:r>
      <w:r>
        <w:rPr>
          <w:rFonts w:hint="eastAsia" w:ascii="宋体" w:hAnsi="宋体" w:eastAsia="宋体" w:cs="宋体"/>
          <w:kern w:val="2"/>
          <w:sz w:val="21"/>
          <w:szCs w:val="21"/>
        </w:rPr>
        <w:t>配置管理应禁止未授权访问。</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(7)</w:t>
      </w:r>
      <w:r>
        <w:rPr>
          <w:rFonts w:hint="eastAsia" w:ascii="宋体" w:hAnsi="宋体" w:eastAsia="宋体" w:cs="宋体"/>
          <w:kern w:val="2"/>
          <w:sz w:val="21"/>
          <w:szCs w:val="21"/>
        </w:rPr>
        <w:tab/>
      </w:r>
      <w:r>
        <w:rPr>
          <w:rFonts w:hint="eastAsia" w:ascii="宋体" w:hAnsi="宋体" w:eastAsia="宋体" w:cs="宋体"/>
          <w:kern w:val="2"/>
          <w:sz w:val="21"/>
          <w:szCs w:val="21"/>
        </w:rPr>
        <w:t>文件上传应限制文件类型、文件大小，并进行安全处理。</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(8)</w:t>
      </w:r>
      <w:r>
        <w:rPr>
          <w:rFonts w:hint="eastAsia" w:ascii="宋体" w:hAnsi="宋体" w:eastAsia="宋体" w:cs="宋体"/>
          <w:kern w:val="2"/>
          <w:sz w:val="21"/>
          <w:szCs w:val="21"/>
        </w:rPr>
        <w:tab/>
      </w:r>
      <w:r>
        <w:rPr>
          <w:rFonts w:hint="eastAsia" w:ascii="宋体" w:hAnsi="宋体" w:eastAsia="宋体" w:cs="宋体"/>
          <w:kern w:val="2"/>
          <w:sz w:val="21"/>
          <w:szCs w:val="21"/>
        </w:rPr>
        <w:t>敏感数据存储和处理应进行特殊处理。</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(9)</w:t>
      </w:r>
      <w:r>
        <w:rPr>
          <w:rFonts w:hint="eastAsia" w:ascii="宋体" w:hAnsi="宋体" w:eastAsia="宋体" w:cs="宋体"/>
          <w:kern w:val="2"/>
          <w:sz w:val="21"/>
          <w:szCs w:val="21"/>
        </w:rPr>
        <w:tab/>
      </w:r>
      <w:r>
        <w:rPr>
          <w:rFonts w:hint="eastAsia" w:ascii="宋体" w:hAnsi="宋体" w:eastAsia="宋体" w:cs="宋体"/>
          <w:kern w:val="2"/>
          <w:sz w:val="21"/>
          <w:szCs w:val="21"/>
        </w:rPr>
        <w:t>系统会话管理应该根据信息系统重要性设置在限定的时间内。</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(10)系统不应使用Cookie保存敏感信息并且做到加密。</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(11)发生故障时，异常报错应能够显示。</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(12)在开发环境中，应提供对项目文档和代码版本管理和访问控制。</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(13</w:t>
      </w:r>
      <w:r>
        <w:rPr>
          <w:rFonts w:hint="eastAsia" w:ascii="宋体" w:hAnsi="宋体" w:eastAsia="宋体" w:cs="宋体"/>
          <w:kern w:val="2"/>
          <w:sz w:val="21"/>
          <w:szCs w:val="21"/>
          <w:lang w:val="en-US" w:eastAsia="zh-CN"/>
        </w:rPr>
        <w:t>)</w:t>
      </w:r>
      <w:r>
        <w:rPr>
          <w:rFonts w:hint="eastAsia" w:ascii="宋体" w:hAnsi="宋体" w:eastAsia="宋体" w:cs="宋体"/>
          <w:kern w:val="2"/>
          <w:sz w:val="21"/>
          <w:szCs w:val="21"/>
        </w:rPr>
        <w:t>敏感信息和数据，应进行加密存储。</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(14)信息系统模块中禁止嵌入固定的用户名、密码。</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(15)应根据数据的类型、数据的处理方式、数据的安全性要求、与其它接口有关的敏感等级、数据相关业务应用的重要性程度来进行数据处理过程的安全性设计。</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(16)系统应具备日志管理要求，确保可溯源。</w:t>
      </w:r>
    </w:p>
    <w:p>
      <w:pPr>
        <w:jc w:val="center"/>
        <w:rPr>
          <w:rFonts w:ascii="宋体" w:hAnsi="宋体" w:cs="宋体"/>
          <w:b/>
          <w:color w:val="000000" w:themeColor="text1"/>
          <w14:textFill>
            <w14:solidFill>
              <w14:schemeClr w14:val="tx1"/>
            </w14:solidFill>
          </w14:textFill>
        </w:rPr>
      </w:pPr>
    </w:p>
    <w:p>
      <w:pPr>
        <w:bidi w:val="0"/>
        <w:rPr>
          <w:rFonts w:hint="eastAsia"/>
          <w:lang w:val="en-US" w:eastAsia="zh-CN"/>
        </w:rPr>
      </w:pPr>
    </w:p>
    <w:p>
      <w:pPr>
        <w:pStyle w:val="23"/>
        <w:ind w:left="0" w:leftChars="0" w:firstLine="0" w:firstLineChars="0"/>
        <w:rPr>
          <w:rFonts w:ascii="宋体" w:hAnsi="宋体" w:cs="宋体"/>
          <w:color w:val="000000" w:themeColor="text1"/>
          <w14:textFill>
            <w14:solidFill>
              <w14:schemeClr w14:val="tx1"/>
            </w14:solidFill>
          </w14:textFill>
        </w:rPr>
      </w:pPr>
    </w:p>
    <w:p>
      <w:pPr>
        <w:pStyle w:val="23"/>
        <w:rPr>
          <w:rFonts w:ascii="宋体" w:hAnsi="宋体" w:cs="宋体"/>
          <w:color w:val="000000" w:themeColor="text1"/>
          <w14:textFill>
            <w14:solidFill>
              <w14:schemeClr w14:val="tx1"/>
            </w14:solidFill>
          </w14:textFill>
        </w:rPr>
      </w:pPr>
    </w:p>
    <w:p>
      <w:pPr>
        <w:pStyle w:val="23"/>
        <w:rPr>
          <w:rFonts w:ascii="宋体" w:hAnsi="宋体" w:cs="宋体"/>
          <w:color w:val="000000" w:themeColor="text1"/>
          <w14:textFill>
            <w14:solidFill>
              <w14:schemeClr w14:val="tx1"/>
            </w14:solidFill>
          </w14:textFill>
        </w:rPr>
      </w:pPr>
    </w:p>
    <w:p>
      <w:pPr>
        <w:pStyle w:val="23"/>
        <w:rPr>
          <w:rFonts w:ascii="宋体" w:hAnsi="宋体" w:cs="宋体"/>
          <w:color w:val="000000" w:themeColor="text1"/>
          <w14:textFill>
            <w14:solidFill>
              <w14:schemeClr w14:val="tx1"/>
            </w14:solidFill>
          </w14:textFill>
        </w:rPr>
      </w:pPr>
    </w:p>
    <w:p>
      <w:pPr>
        <w:pStyle w:val="23"/>
        <w:rPr>
          <w:rFonts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pStyle w:val="2"/>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第八章  </w:t>
      </w:r>
      <w:bookmarkEnd w:id="181"/>
      <w:bookmarkEnd w:id="182"/>
      <w:bookmarkEnd w:id="183"/>
      <w:bookmarkEnd w:id="184"/>
      <w:r>
        <w:rPr>
          <w:rFonts w:hint="eastAsia" w:ascii="宋体" w:hAnsi="宋体" w:cs="宋体"/>
          <w:color w:val="000000" w:themeColor="text1"/>
          <w14:textFill>
            <w14:solidFill>
              <w14:schemeClr w14:val="tx1"/>
            </w14:solidFill>
          </w14:textFill>
        </w:rPr>
        <w:t>合同范本</w:t>
      </w:r>
    </w:p>
    <w:p>
      <w:pPr>
        <w:jc w:val="center"/>
        <w:rPr>
          <w:rFonts w:ascii="宋体" w:hAnsi="宋体" w:cs="宋体"/>
          <w:color w:val="000000" w:themeColor="text1"/>
          <w14:textFill>
            <w14:solidFill>
              <w14:schemeClr w14:val="tx1"/>
            </w14:solidFill>
          </w14:textFill>
        </w:rPr>
      </w:pPr>
      <w:r>
        <w:rPr>
          <w:rFonts w:hint="eastAsia" w:ascii="宋体" w:hAnsi="宋体" w:cs="宋体"/>
          <w:b/>
          <w:kern w:val="0"/>
          <w:sz w:val="24"/>
        </w:rPr>
        <w:t>详见竞争性比选文件附件。</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bookmarkStart w:id="193" w:name="_Toc513633965"/>
    </w:p>
    <w:p>
      <w:pPr>
        <w:pStyle w:val="2"/>
        <w:spacing w:before="0" w:after="0" w:line="360" w:lineRule="auto"/>
        <w:jc w:val="center"/>
        <w:rPr>
          <w:rFonts w:ascii="宋体" w:hAnsi="宋体" w:cs="宋体"/>
          <w:color w:val="000000" w:themeColor="text1"/>
          <w14:textFill>
            <w14:solidFill>
              <w14:schemeClr w14:val="tx1"/>
            </w14:solidFill>
          </w14:textFill>
        </w:rPr>
      </w:pPr>
      <w:bookmarkStart w:id="194" w:name="_Toc24853"/>
      <w:bookmarkStart w:id="195" w:name="_Toc2000413"/>
      <w:bookmarkStart w:id="196" w:name="_Toc514858709"/>
      <w:r>
        <w:rPr>
          <w:rFonts w:hint="eastAsia" w:ascii="宋体" w:hAnsi="宋体" w:cs="宋体"/>
          <w:color w:val="000000" w:themeColor="text1"/>
          <w14:textFill>
            <w14:solidFill>
              <w14:schemeClr w14:val="tx1"/>
            </w14:solidFill>
          </w14:textFill>
        </w:rPr>
        <w:t>第九章  竞争性比选响应文件格式</w:t>
      </w:r>
      <w:bookmarkEnd w:id="193"/>
      <w:bookmarkEnd w:id="194"/>
      <w:bookmarkEnd w:id="195"/>
      <w:bookmarkEnd w:id="196"/>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p>
    <w:p>
      <w:pP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sz w:val="52"/>
          <w:szCs w:val="52"/>
          <w:u w:val="single"/>
          <w14:textFill>
            <w14:solidFill>
              <w14:schemeClr w14:val="tx1"/>
            </w14:solidFill>
          </w14:textFill>
        </w:rPr>
      </w:pPr>
      <w:bookmarkStart w:id="197" w:name="_Toc503951046"/>
      <w:bookmarkStart w:id="198" w:name="_Toc513646738"/>
      <w:bookmarkStart w:id="199" w:name="_Toc514858710"/>
      <w:bookmarkStart w:id="200" w:name="_Toc513633967"/>
      <w:bookmarkStart w:id="201" w:name="_Toc503971829"/>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52"/>
          <w:szCs w:val="52"/>
          <w:u w:val="single"/>
          <w14:textFill>
            <w14:solidFill>
              <w14:schemeClr w14:val="tx1"/>
            </w14:solidFill>
          </w14:textFill>
        </w:rPr>
        <w:t>（项目名称）</w:t>
      </w:r>
      <w:bookmarkEnd w:id="197"/>
      <w:bookmarkEnd w:id="198"/>
      <w:bookmarkEnd w:id="199"/>
      <w:bookmarkEnd w:id="200"/>
      <w:bookmarkEnd w:id="201"/>
      <w:r>
        <w:rPr>
          <w:rFonts w:hint="eastAsia" w:ascii="宋体" w:hAnsi="宋体" w:cs="宋体"/>
          <w:color w:val="000000" w:themeColor="text1"/>
          <w:sz w:val="52"/>
          <w:szCs w:val="52"/>
          <w:u w:val="single"/>
          <w14:textFill>
            <w14:solidFill>
              <w14:schemeClr w14:val="tx1"/>
            </w14:solidFill>
          </w14:textFill>
        </w:rPr>
        <w:t xml:space="preserve"> </w:t>
      </w:r>
    </w:p>
    <w:p>
      <w:pPr>
        <w:rPr>
          <w:rFonts w:ascii="宋体" w:hAnsi="宋体" w:cs="宋体"/>
          <w:color w:val="000000" w:themeColor="text1"/>
          <w:sz w:val="20"/>
          <w:szCs w:val="20"/>
          <w14:textFill>
            <w14:solidFill>
              <w14:schemeClr w14:val="tx1"/>
            </w14:solidFill>
          </w14:textFill>
        </w:rPr>
      </w:pPr>
    </w:p>
    <w:p>
      <w:pPr>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 xml:space="preserve"> </w:t>
      </w: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72"/>
          <w:szCs w:val="44"/>
          <w14:textFill>
            <w14:solidFill>
              <w14:schemeClr w14:val="tx1"/>
            </w14:solidFill>
          </w14:textFill>
        </w:rPr>
      </w:pPr>
      <w:r>
        <w:rPr>
          <w:rFonts w:hint="eastAsia" w:ascii="宋体" w:hAnsi="宋体" w:cs="宋体"/>
          <w:b/>
          <w:color w:val="000000" w:themeColor="text1"/>
          <w:sz w:val="72"/>
          <w:szCs w:val="44"/>
          <w14:textFill>
            <w14:solidFill>
              <w14:schemeClr w14:val="tx1"/>
            </w14:solidFill>
          </w14:textFill>
        </w:rPr>
        <w:t>竞争性比选响应文件</w:t>
      </w:r>
    </w:p>
    <w:p>
      <w:pPr>
        <w:jc w:val="center"/>
        <w:rPr>
          <w:rFonts w:ascii="宋体" w:hAnsi="宋体" w:cs="宋体"/>
          <w:b/>
          <w:color w:val="000000" w:themeColor="text1"/>
          <w:sz w:val="32"/>
          <w:szCs w:val="32"/>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pStyle w:val="1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（盖单位鲜公章）</w:t>
      </w: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法定代表人或其委托代理人：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（签字）</w:t>
      </w:r>
    </w:p>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3"/>
        <w:jc w:val="center"/>
        <w:rPr>
          <w:rFonts w:ascii="宋体" w:hAnsi="宋体" w:eastAsia="宋体" w:cs="宋体"/>
          <w:color w:val="000000" w:themeColor="text1"/>
          <w14:textFill>
            <w14:solidFill>
              <w14:schemeClr w14:val="tx1"/>
            </w14:solidFill>
          </w14:textFill>
        </w:rPr>
      </w:pPr>
      <w:bookmarkStart w:id="202" w:name="_Toc1368"/>
      <w:bookmarkStart w:id="203" w:name="_Toc28780"/>
      <w:bookmarkStart w:id="204" w:name="_Toc5459"/>
      <w:bookmarkStart w:id="205" w:name="_Toc11329273"/>
      <w:r>
        <w:rPr>
          <w:rFonts w:hint="eastAsia" w:ascii="宋体" w:hAnsi="宋体" w:eastAsia="宋体" w:cs="宋体"/>
          <w:color w:val="000000" w:themeColor="text1"/>
          <w14:textFill>
            <w14:solidFill>
              <w14:schemeClr w14:val="tx1"/>
            </w14:solidFill>
          </w14:textFill>
        </w:rPr>
        <w:t>目    录</w:t>
      </w:r>
      <w:bookmarkEnd w:id="185"/>
      <w:bookmarkEnd w:id="186"/>
      <w:bookmarkEnd w:id="187"/>
      <w:bookmarkEnd w:id="188"/>
      <w:bookmarkEnd w:id="189"/>
      <w:bookmarkEnd w:id="190"/>
      <w:bookmarkEnd w:id="191"/>
      <w:bookmarkEnd w:id="192"/>
      <w:bookmarkEnd w:id="202"/>
      <w:bookmarkEnd w:id="203"/>
      <w:bookmarkEnd w:id="204"/>
      <w:bookmarkEnd w:id="205"/>
    </w:p>
    <w:p>
      <w:pPr>
        <w:numPr>
          <w:ilvl w:val="0"/>
          <w:numId w:val="6"/>
        </w:num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竞争性响应声明书</w:t>
      </w:r>
    </w:p>
    <w:p>
      <w:pPr>
        <w:numPr>
          <w:ilvl w:val="0"/>
          <w:numId w:val="6"/>
        </w:numPr>
        <w:spacing w:line="40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法定代表人身份证明或法定代表人授权委托书</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三、报价一览表</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四、资格审查资料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报价人须知前附表规定要求的资料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六、报价人基本信息及其他材料</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七、工程量清单</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9"/>
        <w:rPr>
          <w:rFonts w:ascii="宋体" w:hAnsi="宋体" w:cs="宋体"/>
          <w:color w:val="000000" w:themeColor="text1"/>
          <w14:textFill>
            <w14:solidFill>
              <w14:schemeClr w14:val="tx1"/>
            </w14:solidFill>
          </w14:textFill>
        </w:rPr>
      </w:pPr>
    </w:p>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06" w:name="_Toc11329274"/>
      <w:bookmarkStart w:id="207" w:name="_Toc8870"/>
      <w:bookmarkStart w:id="208" w:name="_Toc15863"/>
      <w:bookmarkStart w:id="209" w:name="_Toc25874"/>
      <w:bookmarkStart w:id="210" w:name="_Toc29547"/>
      <w:bookmarkStart w:id="211" w:name="_Toc503951048"/>
      <w:bookmarkStart w:id="212" w:name="_Toc513633969"/>
      <w:bookmarkStart w:id="213" w:name="_Toc447827053"/>
      <w:r>
        <w:rPr>
          <w:rFonts w:hint="eastAsia" w:ascii="宋体" w:hAnsi="宋体" w:eastAsia="宋体" w:cs="宋体"/>
          <w:color w:val="000000" w:themeColor="text1"/>
          <w:sz w:val="28"/>
          <w14:textFill>
            <w14:solidFill>
              <w14:schemeClr w14:val="tx1"/>
            </w14:solidFill>
          </w14:textFill>
        </w:rPr>
        <w:t>一、</w:t>
      </w:r>
      <w:bookmarkEnd w:id="206"/>
      <w:bookmarkEnd w:id="207"/>
      <w:r>
        <w:rPr>
          <w:rFonts w:hint="eastAsia" w:ascii="宋体" w:hAnsi="宋体" w:eastAsia="宋体" w:cs="宋体"/>
          <w:color w:val="000000" w:themeColor="text1"/>
          <w:sz w:val="28"/>
          <w14:textFill>
            <w14:solidFill>
              <w14:schemeClr w14:val="tx1"/>
            </w14:solidFill>
          </w14:textFill>
        </w:rPr>
        <w:t>竞争比选响应声明书</w:t>
      </w:r>
      <w:bookmarkEnd w:id="208"/>
      <w:bookmarkEnd w:id="209"/>
      <w:bookmarkEnd w:id="210"/>
    </w:p>
    <w:p>
      <w:pPr>
        <w:tabs>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14:textFill>
            <w14:solidFill>
              <w14:schemeClr w14:val="tx1"/>
            </w14:solidFill>
          </w14:textFill>
        </w:rPr>
        <w:t>重庆首讯科技股份有限公司</w:t>
      </w:r>
    </w:p>
    <w:p>
      <w:pPr>
        <w:spacing w:line="700" w:lineRule="atLeast"/>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根据贵方为</w:t>
      </w:r>
      <w:r>
        <w:rPr>
          <w:rFonts w:hint="eastAsia" w:ascii="Arial" w:hAnsi="Arial" w:cs="Arial"/>
          <w:color w:val="000000" w:themeColor="text1"/>
          <w:sz w:val="24"/>
          <w:u w:val="single"/>
          <w:lang w:eastAsia="zh-CN"/>
          <w14:textFill>
            <w14:solidFill>
              <w14:schemeClr w14:val="tx1"/>
            </w14:solidFill>
          </w14:textFill>
        </w:rPr>
        <w:t>国产技术体系下基于业务的财务共享系统开发服务</w:t>
      </w:r>
      <w:r>
        <w:rPr>
          <w:rFonts w:hint="eastAsia" w:ascii="Arial" w:hAnsi="Arial" w:cs="Arial"/>
          <w:color w:val="000000" w:themeColor="text1"/>
          <w:sz w:val="24"/>
          <w14:textFill>
            <w14:solidFill>
              <w14:schemeClr w14:val="tx1"/>
            </w14:solidFill>
          </w14:textFill>
        </w:rPr>
        <w:t>竞争比选项目及服务的竞争比选邀请，签字代表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经正式授权并代表竞争比选响应单位</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（竞争比选响应单位名称）</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提交报价文件。</w:t>
      </w:r>
    </w:p>
    <w:p>
      <w:pPr>
        <w:spacing w:line="700" w:lineRule="atLeast"/>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我方愿以报价金额：</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元，按照竞争比选文件的要求，承担本次竞争性比选文件要求的任务。</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、竞争比选响应单位将按竞争比选文件规定履行合同责任和义务。</w:t>
      </w:r>
    </w:p>
    <w:p>
      <w:pPr>
        <w:tabs>
          <w:tab w:val="left" w:pos="900"/>
        </w:tabs>
        <w:spacing w:line="300" w:lineRule="auto"/>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4、与本竞争比选响应有关的一切正式往来通讯请寄：</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竞争比选响应单位法定代表人或授权代表人（签字）：</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竞争比选响应单位法定代表人或授权代表人职务：</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竞争比选响应单位名称（加盖公章）：</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pStyle w:val="9"/>
      </w:pPr>
    </w:p>
    <w:p/>
    <w:p>
      <w:pPr>
        <w:pStyle w:val="3"/>
        <w:jc w:val="center"/>
        <w:rPr>
          <w:rFonts w:ascii="宋体" w:hAnsi="宋体" w:eastAsia="宋体" w:cs="宋体"/>
          <w:color w:val="000000" w:themeColor="text1"/>
          <w:sz w:val="28"/>
          <w:szCs w:val="28"/>
          <w14:textFill>
            <w14:solidFill>
              <w14:schemeClr w14:val="tx1"/>
            </w14:solidFill>
          </w14:textFill>
        </w:rPr>
      </w:pPr>
      <w:bookmarkStart w:id="214" w:name="_Toc27815"/>
      <w:bookmarkStart w:id="215" w:name="_Toc491883232"/>
      <w:r>
        <w:rPr>
          <w:rFonts w:hint="eastAsia" w:ascii="宋体" w:hAnsi="宋体" w:eastAsia="宋体" w:cs="宋体"/>
          <w:color w:val="000000" w:themeColor="text1"/>
          <w:sz w:val="28"/>
          <w:szCs w:val="28"/>
          <w14:textFill>
            <w14:solidFill>
              <w14:schemeClr w14:val="tx1"/>
            </w14:solidFill>
          </w14:textFill>
        </w:rPr>
        <w:t>二、法定代表人身份证明或法定代表人授权委托书</w:t>
      </w:r>
      <w:bookmarkEnd w:id="214"/>
    </w:p>
    <w:p>
      <w:pPr>
        <w:pStyle w:val="3"/>
        <w:jc w:val="center"/>
        <w:rPr>
          <w:rFonts w:ascii="宋体" w:hAnsi="宋体" w:eastAsia="宋体" w:cs="宋体"/>
          <w:color w:val="000000" w:themeColor="text1"/>
          <w:sz w:val="24"/>
          <w:szCs w:val="24"/>
          <w14:textFill>
            <w14:solidFill>
              <w14:schemeClr w14:val="tx1"/>
            </w14:solidFill>
          </w14:textFill>
        </w:rPr>
      </w:pPr>
      <w:bookmarkStart w:id="216" w:name="_Toc14141"/>
      <w:r>
        <w:rPr>
          <w:rFonts w:hint="eastAsia" w:ascii="宋体" w:hAnsi="宋体" w:eastAsia="宋体" w:cs="宋体"/>
          <w:color w:val="000000" w:themeColor="text1"/>
          <w:sz w:val="24"/>
          <w:szCs w:val="24"/>
          <w14:textFill>
            <w14:solidFill>
              <w14:schemeClr w14:val="tx1"/>
            </w14:solidFill>
          </w14:textFill>
        </w:rPr>
        <w:t>（一）法定代表人身份证明</w:t>
      </w:r>
      <w:bookmarkEnd w:id="215"/>
      <w:bookmarkEnd w:id="216"/>
    </w:p>
    <w:p>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姓名：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性别：</w:t>
      </w:r>
      <w:bookmarkStart w:id="217" w:name="_Toc27897"/>
      <w:bookmarkStart w:id="218" w:name="_Toc369531698"/>
      <w:bookmarkStart w:id="219" w:name="_Toc352691662"/>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bookmarkEnd w:id="217"/>
      <w:bookmarkEnd w:id="218"/>
      <w:bookmarkEnd w:id="219"/>
      <w:r>
        <w:rPr>
          <w:rFonts w:ascii="宋体" w:hAnsi="宋体"/>
          <w:color w:val="000000" w:themeColor="text1"/>
          <w14:textFill>
            <w14:solidFill>
              <w14:schemeClr w14:val="tx1"/>
            </w14:solidFill>
          </w14:textFill>
        </w:rPr>
        <w:t>龄</w:t>
      </w:r>
      <w:bookmarkStart w:id="220" w:name="_Toc247514248"/>
      <w:bookmarkStart w:id="221" w:name="_Toc152042578"/>
      <w:bookmarkStart w:id="222" w:name="_Toc15573"/>
      <w:bookmarkStart w:id="223" w:name="_Toc384308377"/>
      <w:bookmarkStart w:id="224" w:name="_Toc361508754"/>
      <w:bookmarkStart w:id="225" w:name="_Toc247527829"/>
      <w:bookmarkStart w:id="226" w:name="_Toc152045789"/>
      <w:bookmarkStart w:id="227" w:name="_Toc369531699"/>
      <w:bookmarkStart w:id="228" w:name="_Toc352691663"/>
      <w:bookmarkStart w:id="229" w:name="_Toc144974858"/>
      <w:bookmarkStart w:id="230" w:name="_Toc300835211"/>
      <w:r>
        <w:rPr>
          <w:rFonts w:ascii="宋体" w:hAnsi="宋体"/>
          <w:color w:val="000000" w:themeColor="text1"/>
          <w14:textFill>
            <w14:solidFill>
              <w14:schemeClr w14:val="tx1"/>
            </w14:solidFill>
          </w14:textFill>
        </w:rPr>
        <w:t>：</w:t>
      </w:r>
      <w:bookmarkEnd w:id="220"/>
      <w:bookmarkEnd w:id="221"/>
      <w:bookmarkEnd w:id="222"/>
      <w:bookmarkEnd w:id="223"/>
      <w:bookmarkEnd w:id="224"/>
      <w:bookmarkEnd w:id="225"/>
      <w:bookmarkEnd w:id="226"/>
      <w:bookmarkEnd w:id="227"/>
      <w:bookmarkEnd w:id="228"/>
      <w:bookmarkEnd w:id="229"/>
      <w:bookmarkEnd w:id="230"/>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职务：</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特此证明。</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w:t>
      </w:r>
      <w:r>
        <w:rPr>
          <w:rFonts w:hint="eastAsia" w:ascii="宋体" w:hAnsi="宋体"/>
          <w:color w:val="000000" w:themeColor="text1"/>
          <w14:textFill>
            <w14:solidFill>
              <w14:schemeClr w14:val="tx1"/>
            </w14:solidFill>
          </w14:textFill>
        </w:rPr>
        <w:t>（正、反面）</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ind w:firstLine="4620" w:firstLineChars="2200"/>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注：本身份证明需由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sz w:val="20"/>
          <w14:textFill>
            <w14:solidFill>
              <w14:schemeClr w14:val="tx1"/>
            </w14:solidFill>
          </w14:textFill>
        </w:rPr>
      </w:pPr>
    </w:p>
    <w:p>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pPr>
        <w:pStyle w:val="3"/>
        <w:jc w:val="center"/>
        <w:rPr>
          <w:rFonts w:ascii="宋体" w:hAnsi="宋体"/>
          <w:color w:val="000000" w:themeColor="text1"/>
          <w:sz w:val="28"/>
          <w:szCs w:val="28"/>
          <w14:textFill>
            <w14:solidFill>
              <w14:schemeClr w14:val="tx1"/>
            </w14:solidFill>
          </w14:textFill>
        </w:rPr>
      </w:pPr>
      <w:bookmarkStart w:id="231" w:name="_Toc491883233"/>
      <w:bookmarkStart w:id="232" w:name="_Toc58"/>
      <w:r>
        <w:rPr>
          <w:rFonts w:hint="eastAsia" w:ascii="宋体" w:hAnsi="宋体" w:eastAsia="宋体" w:cs="宋体"/>
          <w:color w:val="000000" w:themeColor="text1"/>
          <w:sz w:val="24"/>
          <w:szCs w:val="24"/>
          <w14:textFill>
            <w14:solidFill>
              <w14:schemeClr w14:val="tx1"/>
            </w14:solidFill>
          </w14:textFill>
        </w:rPr>
        <w:t>（二）</w:t>
      </w:r>
      <w:bookmarkEnd w:id="231"/>
      <w:r>
        <w:rPr>
          <w:rFonts w:hint="eastAsia" w:ascii="宋体" w:hAnsi="宋体" w:eastAsia="宋体" w:cs="宋体"/>
          <w:color w:val="000000" w:themeColor="text1"/>
          <w:sz w:val="24"/>
          <w:szCs w:val="24"/>
          <w14:textFill>
            <w14:solidFill>
              <w14:schemeClr w14:val="tx1"/>
            </w14:solidFill>
          </w14:textFill>
        </w:rPr>
        <w:t>法定代表人授权委托书</w:t>
      </w:r>
      <w:bookmarkEnd w:id="232"/>
    </w:p>
    <w:p>
      <w:pPr>
        <w:topLinePunct/>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名称）的法定代表人，现委托</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（姓名）为我方代理人。代理人根据授权，以我方名义签署、澄清确认、递交、撤回、修改招标项目</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文件、签订合同和处理有关事宜，其法律后果由我方承担。</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pPr>
        <w:spacing w:line="440" w:lineRule="exact"/>
        <w:ind w:firstLine="420" w:firstLineChars="200"/>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附：法定代表人身份证复印件及委托代理人身份证复印件</w:t>
      </w:r>
      <w:r>
        <w:rPr>
          <w:rFonts w:hint="eastAsia" w:ascii="宋体" w:hAnsi="宋体"/>
          <w:color w:val="000000" w:themeColor="text1"/>
          <w14:textFill>
            <w14:solidFill>
              <w14:schemeClr w14:val="tx1"/>
            </w14:solidFill>
          </w14:textFill>
        </w:rPr>
        <w:t>（正、反面）</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ind w:firstLine="2692" w:firstLineChars="128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  价  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ind w:firstLine="2690" w:firstLineChars="1281"/>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委托代理人：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p>
    <w:p>
      <w:pPr>
        <w:spacing w:line="440" w:lineRule="exact"/>
        <w:ind w:firstLine="4057" w:firstLineChars="1932"/>
        <w:jc w:val="right"/>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r>
        <w:rPr>
          <w:rFonts w:ascii="宋体" w:hAnsi="宋体"/>
          <w:color w:val="000000" w:themeColor="text1"/>
          <w14:textFill>
            <w14:solidFill>
              <w14:schemeClr w14:val="tx1"/>
            </w14:solidFill>
          </w14:textFill>
        </w:rPr>
        <w:t>注：本授权委托书需由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并由其法定代表人和委托代理人签字。</w:t>
      </w:r>
    </w:p>
    <w:p>
      <w:pPr>
        <w:jc w:val="center"/>
        <w:rPr>
          <w:rFonts w:ascii="宋体" w:hAnsi="宋体" w:cs="宋体"/>
          <w:b/>
          <w:color w:val="000000" w:themeColor="text1"/>
          <w14:textFill>
            <w14:solidFill>
              <w14:schemeClr w14:val="tx1"/>
            </w14:solidFill>
          </w14:textFill>
        </w:rPr>
      </w:pPr>
      <w:bookmarkStart w:id="233" w:name="_Toc11329275"/>
      <w:r>
        <w:rPr>
          <w:rFonts w:hint="eastAsia" w:ascii="宋体" w:hAnsi="宋体" w:cs="宋体"/>
          <w:b/>
          <w:bCs/>
          <w:color w:val="000000" w:themeColor="text1"/>
          <w:kern w:val="0"/>
          <w:sz w:val="28"/>
          <w:szCs w:val="32"/>
          <w14:textFill>
            <w14:solidFill>
              <w14:schemeClr w14:val="tx1"/>
            </w14:solidFill>
          </w14:textFill>
        </w:rPr>
        <w:t>三、</w:t>
      </w:r>
      <w:bookmarkEnd w:id="211"/>
      <w:bookmarkEnd w:id="212"/>
      <w:bookmarkEnd w:id="213"/>
      <w:bookmarkEnd w:id="233"/>
      <w:r>
        <w:rPr>
          <w:rFonts w:hint="eastAsia" w:ascii="宋体" w:hAnsi="宋体" w:cs="宋体"/>
          <w:b/>
          <w:bCs/>
          <w:color w:val="000000" w:themeColor="text1"/>
          <w:kern w:val="0"/>
          <w:sz w:val="28"/>
          <w:szCs w:val="32"/>
          <w14:textFill>
            <w14:solidFill>
              <w14:schemeClr w14:val="tx1"/>
            </w14:solidFill>
          </w14:textFill>
        </w:rPr>
        <w:t>报价一览表</w:t>
      </w:r>
    </w:p>
    <w:p>
      <w:pPr>
        <w:ind w:left="765"/>
        <w:jc w:val="center"/>
        <w:rPr>
          <w:rFonts w:ascii="宋体" w:hAnsi="宋体" w:cs="宋体"/>
          <w:color w:val="000000" w:themeColor="text1"/>
          <w:szCs w:val="21"/>
          <w14:textFill>
            <w14:solidFill>
              <w14:schemeClr w14:val="tx1"/>
            </w14:solidFill>
          </w14:textFill>
        </w:rPr>
      </w:pPr>
    </w:p>
    <w:p>
      <w:pPr>
        <w:pStyle w:val="2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重庆首讯科技股份有限公司：</w:t>
      </w:r>
    </w:p>
    <w:p>
      <w:pPr>
        <w:tabs>
          <w:tab w:val="left" w:pos="1680"/>
          <w:tab w:val="left" w:pos="4215"/>
          <w:tab w:val="left" w:pos="4305"/>
          <w:tab w:val="left" w:pos="8000"/>
        </w:tabs>
        <w:autoSpaceDE w:val="0"/>
        <w:autoSpaceDN w:val="0"/>
        <w:adjustRightInd w:val="0"/>
        <w:snapToGrid w:val="0"/>
        <w:spacing w:line="360" w:lineRule="auto"/>
        <w:ind w:firstLine="480"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在研究了竞争比选文件中所有文件后，我司对</w:t>
      </w:r>
      <w:r>
        <w:rPr>
          <w:rFonts w:hint="eastAsia" w:ascii="宋体" w:hAnsi="宋体"/>
          <w:color w:val="000000" w:themeColor="text1"/>
          <w:sz w:val="24"/>
          <w:u w:val="single"/>
          <w:lang w:eastAsia="zh-CN"/>
          <w14:textFill>
            <w14:solidFill>
              <w14:schemeClr w14:val="tx1"/>
            </w14:solidFill>
          </w14:textFill>
        </w:rPr>
        <w:t>国产技术体系下基于业务的财务共享系统开发服务</w:t>
      </w:r>
      <w:r>
        <w:rPr>
          <w:rFonts w:hint="eastAsia" w:ascii="宋体" w:hAnsi="宋体"/>
          <w:color w:val="000000" w:themeColor="text1"/>
          <w:sz w:val="24"/>
          <w14:textFill>
            <w14:solidFill>
              <w14:schemeClr w14:val="tx1"/>
            </w14:solidFill>
          </w14:textFill>
        </w:rPr>
        <w:t>竞争比选响应报价如下：</w:t>
      </w:r>
      <w:r>
        <w:rPr>
          <w:rFonts w:hint="eastAsia" w:ascii="宋体" w:hAnsi="宋体" w:cs="宋体"/>
          <w:b/>
          <w:color w:val="000000" w:themeColor="text1"/>
          <w:kern w:val="0"/>
          <w:sz w:val="28"/>
          <w:szCs w:val="28"/>
          <w14:textFill>
            <w14:solidFill>
              <w14:schemeClr w14:val="tx1"/>
            </w14:solidFill>
          </w14:textFill>
        </w:rPr>
        <w:t xml:space="preserve"> </w:t>
      </w:r>
    </w:p>
    <w:p>
      <w:pPr>
        <w:tabs>
          <w:tab w:val="left" w:pos="1680"/>
          <w:tab w:val="left" w:pos="4215"/>
          <w:tab w:val="left" w:pos="4305"/>
          <w:tab w:val="left" w:pos="8000"/>
        </w:tabs>
        <w:autoSpaceDE w:val="0"/>
        <w:autoSpaceDN w:val="0"/>
        <w:adjustRightInd w:val="0"/>
        <w:snapToGrid w:val="0"/>
        <w:spacing w:line="360" w:lineRule="auto"/>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b/>
          <w:bCs/>
        </w:rPr>
        <w:t>报价采用表格形式，见“工程量清单”。</w:t>
      </w: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34" w:name="_Toc503951050"/>
      <w:bookmarkStart w:id="235" w:name="_Toc513633971"/>
      <w:bookmarkStart w:id="236" w:name="_Toc11329278"/>
      <w:bookmarkStart w:id="237" w:name="_Toc246996369"/>
      <w:bookmarkStart w:id="238" w:name="_Toc144974871"/>
      <w:bookmarkStart w:id="239" w:name="_Toc179632823"/>
      <w:bookmarkStart w:id="240" w:name="_Toc247085887"/>
      <w:bookmarkStart w:id="241" w:name="_Toc447827058"/>
      <w:bookmarkStart w:id="242" w:name="_Toc152045803"/>
      <w:bookmarkStart w:id="243" w:name="_Toc246997112"/>
      <w:bookmarkStart w:id="244" w:name="_Toc152042592"/>
      <w:r>
        <w:rPr>
          <w:rFonts w:hint="eastAsia" w:ascii="宋体" w:hAnsi="宋体" w:eastAsia="宋体" w:cs="宋体"/>
          <w:color w:val="000000" w:themeColor="text1"/>
          <w:sz w:val="28"/>
          <w14:textFill>
            <w14:solidFill>
              <w14:schemeClr w14:val="tx1"/>
            </w14:solidFill>
          </w14:textFill>
        </w:rPr>
        <w:br w:type="page"/>
      </w:r>
      <w:bookmarkStart w:id="245" w:name="_Toc12910"/>
      <w:bookmarkStart w:id="246" w:name="_Toc11961"/>
      <w:bookmarkStart w:id="247" w:name="_Toc18757"/>
      <w:r>
        <w:rPr>
          <w:rFonts w:hint="eastAsia" w:ascii="宋体" w:hAnsi="宋体" w:eastAsia="宋体" w:cs="宋体"/>
          <w:color w:val="000000" w:themeColor="text1"/>
          <w:sz w:val="28"/>
          <w14:textFill>
            <w14:solidFill>
              <w14:schemeClr w14:val="tx1"/>
            </w14:solidFill>
          </w14:textFill>
        </w:rPr>
        <w:t>四、资格审查资料</w:t>
      </w:r>
      <w:bookmarkEnd w:id="234"/>
      <w:bookmarkEnd w:id="235"/>
      <w:bookmarkEnd w:id="236"/>
      <w:bookmarkEnd w:id="245"/>
      <w:bookmarkEnd w:id="246"/>
      <w:bookmarkEnd w:id="247"/>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48" w:name="_Toc17915"/>
      <w:bookmarkStart w:id="249" w:name="_Toc32456"/>
      <w:bookmarkStart w:id="250" w:name="_Toc22003"/>
      <w:r>
        <w:rPr>
          <w:rFonts w:hint="eastAsia" w:ascii="宋体" w:hAnsi="宋体" w:eastAsia="宋体" w:cs="宋体"/>
          <w:color w:val="000000" w:themeColor="text1"/>
          <w:sz w:val="28"/>
          <w14:textFill>
            <w14:solidFill>
              <w14:schemeClr w14:val="tx1"/>
            </w14:solidFill>
          </w14:textFill>
        </w:rPr>
        <w:t>（营业执照、资质证书、项目人员资料等）</w:t>
      </w:r>
      <w:bookmarkEnd w:id="248"/>
      <w:bookmarkEnd w:id="249"/>
      <w:bookmarkEnd w:id="250"/>
    </w:p>
    <w:bookmarkEnd w:id="237"/>
    <w:bookmarkEnd w:id="238"/>
    <w:bookmarkEnd w:id="239"/>
    <w:bookmarkEnd w:id="240"/>
    <w:bookmarkEnd w:id="241"/>
    <w:bookmarkEnd w:id="242"/>
    <w:bookmarkEnd w:id="243"/>
    <w:bookmarkEnd w:id="244"/>
    <w:p>
      <w:pPr>
        <w:pStyle w:val="3"/>
        <w:jc w:val="center"/>
        <w:rPr>
          <w:rFonts w:ascii="宋体" w:hAnsi="宋体" w:eastAsia="宋体" w:cs="宋体"/>
          <w:bCs w:val="0"/>
          <w:sz w:val="28"/>
          <w:szCs w:val="28"/>
        </w:rPr>
      </w:pPr>
      <w:bookmarkStart w:id="251" w:name="_Toc513633973"/>
      <w:bookmarkStart w:id="252" w:name="_Toc503951055"/>
      <w:bookmarkStart w:id="253" w:name="_Toc447827068"/>
      <w:bookmarkStart w:id="254" w:name="_Toc11329281"/>
      <w:bookmarkStart w:id="255" w:name="_Toc11243"/>
      <w:bookmarkStart w:id="256" w:name="_Toc11672"/>
      <w:bookmarkStart w:id="257" w:name="_Toc29559"/>
      <w:r>
        <w:rPr>
          <w:rFonts w:hint="eastAsia" w:ascii="宋体" w:hAnsi="宋体" w:eastAsia="宋体" w:cs="宋体"/>
          <w:sz w:val="28"/>
        </w:rPr>
        <w:t>（一）资格审查资料</w:t>
      </w:r>
      <w:r>
        <w:rPr>
          <w:rFonts w:hint="eastAsia" w:ascii="宋体" w:hAnsi="宋体" w:cs="宋体"/>
          <w:szCs w:val="21"/>
        </w:rPr>
        <w:t xml:space="preserve"> </w:t>
      </w:r>
    </w:p>
    <w:tbl>
      <w:tblPr>
        <w:tblStyle w:val="2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color w:val="000000" w:themeColor="text1"/>
                <w:szCs w:val="21"/>
                <w:shd w:val="clear" w:color="auto" w:fill="FFFFFF"/>
                <w14:textFill>
                  <w14:solidFill>
                    <w14:schemeClr w14:val="tx1"/>
                  </w14:solidFill>
                </w14:textFill>
              </w:rPr>
              <w:t>具有独立法人资格及有效的营业执照；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color w:val="000000" w:themeColor="text1"/>
                <w:szCs w:val="21"/>
                <w:shd w:val="clear" w:color="auto" w:fill="FFFFFF"/>
                <w14:textFill>
                  <w14:solidFill>
                    <w14:schemeClr w14:val="tx1"/>
                  </w14:solidFill>
                </w14:textFill>
              </w:rPr>
              <w:t>2021年1月1日至报价截止日期（以合同签订时间为准）至少独立完成一项合同金额不低于50万元的软件服务或技术服务业绩（提供合同扫描件）</w:t>
            </w:r>
            <w:r>
              <w:rPr>
                <w:rFonts w:hint="eastAsia" w:ascii="宋体" w:hAnsi="宋体" w:cs="宋体"/>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spacing w:line="400" w:lineRule="exact"/>
        <w:jc w:val="left"/>
        <w:rPr>
          <w:rFonts w:hAnsi="宋体"/>
          <w:kern w:val="0"/>
          <w:szCs w:val="21"/>
        </w:rPr>
      </w:pPr>
      <w:r>
        <w:rPr>
          <w:rFonts w:hint="eastAsia" w:ascii="宋体" w:hAnsi="宋体" w:cs="宋体"/>
          <w:szCs w:val="21"/>
        </w:rPr>
        <w:t xml:space="preserve">  </w:t>
      </w:r>
      <w:r>
        <w:rPr>
          <w:rFonts w:hint="eastAsia" w:hAnsi="宋体"/>
          <w:kern w:val="0"/>
          <w:szCs w:val="21"/>
        </w:rPr>
        <w:t xml:space="preserve"> 注：1.提供公司营业执照复印件，</w:t>
      </w:r>
      <w:r>
        <w:rPr>
          <w:rFonts w:hint="eastAsia" w:ascii="宋体" w:hAnsi="宋体" w:cs="宋体"/>
          <w:color w:val="000000" w:themeColor="text1"/>
          <w:szCs w:val="21"/>
          <w14:textFill>
            <w14:solidFill>
              <w14:schemeClr w14:val="tx1"/>
            </w14:solidFill>
          </w14:textFill>
        </w:rPr>
        <w:t>并加盖报价人公章</w:t>
      </w:r>
      <w:r>
        <w:rPr>
          <w:rFonts w:hint="eastAsia" w:hAnsi="宋体"/>
          <w:kern w:val="0"/>
          <w:szCs w:val="21"/>
        </w:rPr>
        <w:t>。</w:t>
      </w:r>
    </w:p>
    <w:p>
      <w:pPr>
        <w:numPr>
          <w:ilvl w:val="0"/>
          <w:numId w:val="7"/>
        </w:numPr>
      </w:pPr>
      <w:r>
        <w:rPr>
          <w:rFonts w:hint="eastAsia" w:asciiTheme="minorEastAsia" w:hAnsiTheme="minorEastAsia" w:eastAsiaTheme="minorEastAsia" w:cstheme="minorEastAsia"/>
          <w:bCs/>
          <w:szCs w:val="21"/>
        </w:rPr>
        <w:t>提供项目合同书（相关证明材料须能反映出相关数据和内容，否则一律视为未提供）复印件，并加盖投标单位公章。</w:t>
      </w:r>
    </w:p>
    <w:p>
      <w:pPr>
        <w:numPr>
          <w:ilvl w:val="0"/>
          <w:numId w:val="7"/>
        </w:numPr>
      </w:pP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p>
      <w:pP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五、</w:t>
      </w:r>
      <w:bookmarkEnd w:id="251"/>
      <w:bookmarkEnd w:id="252"/>
      <w:bookmarkEnd w:id="253"/>
      <w:r>
        <w:rPr>
          <w:rFonts w:hint="eastAsia" w:ascii="宋体" w:hAnsi="宋体" w:eastAsia="宋体" w:cs="宋体"/>
          <w:color w:val="000000" w:themeColor="text1"/>
          <w:sz w:val="28"/>
          <w14:textFill>
            <w14:solidFill>
              <w14:schemeClr w14:val="tx1"/>
            </w14:solidFill>
          </w14:textFill>
        </w:rPr>
        <w:t>报价人须知前附表规定的材料</w:t>
      </w:r>
      <w:bookmarkEnd w:id="254"/>
      <w:bookmarkEnd w:id="255"/>
      <w:bookmarkEnd w:id="256"/>
      <w:bookmarkEnd w:id="257"/>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258" w:name="_Toc8299"/>
      <w:bookmarkStart w:id="259" w:name="_Toc15805"/>
      <w:bookmarkStart w:id="260" w:name="bookmark81"/>
      <w:bookmarkStart w:id="261" w:name="_Toc513633974"/>
      <w:bookmarkStart w:id="262" w:name="_Toc503951058"/>
      <w:r>
        <w:rPr>
          <w:rFonts w:hint="eastAsia" w:ascii="宋体" w:hAnsi="宋体" w:cs="宋体"/>
          <w:b/>
          <w:bCs/>
          <w:kern w:val="0"/>
          <w:sz w:val="28"/>
          <w:szCs w:val="32"/>
        </w:rPr>
        <w:t>（一）商务评分资料</w:t>
      </w:r>
      <w:bookmarkEnd w:id="258"/>
      <w:bookmarkEnd w:id="259"/>
    </w:p>
    <w:p>
      <w:pPr>
        <w:pStyle w:val="36"/>
        <w:ind w:firstLine="420"/>
        <w:jc w:val="center"/>
        <w:rPr>
          <w:rFonts w:ascii="宋体" w:hAnsi="宋体" w:eastAsia="宋体" w:cs="Times New Roman"/>
          <w:sz w:val="21"/>
          <w:szCs w:val="24"/>
        </w:rPr>
      </w:pPr>
      <w:bookmarkStart w:id="263" w:name="OLE_LINK34"/>
      <w:r>
        <w:rPr>
          <w:rFonts w:hint="eastAsia" w:ascii="宋体" w:hAnsi="宋体" w:eastAsia="宋体" w:cs="Times New Roman"/>
          <w:sz w:val="21"/>
          <w:szCs w:val="24"/>
        </w:rPr>
        <w:t>商务及技术部分</w:t>
      </w:r>
      <w:bookmarkEnd w:id="263"/>
      <w:r>
        <w:rPr>
          <w:rFonts w:hint="eastAsia" w:ascii="宋体" w:hAnsi="宋体" w:eastAsia="宋体" w:cs="Times New Roman"/>
          <w:sz w:val="21"/>
          <w:szCs w:val="24"/>
        </w:rPr>
        <w:t>资料目录</w:t>
      </w:r>
    </w:p>
    <w:tbl>
      <w:tblPr>
        <w:tblStyle w:val="24"/>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29"/>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5"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029"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2492"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1736"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395"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应加分数</w:t>
            </w:r>
          </w:p>
        </w:tc>
        <w:tc>
          <w:tcPr>
            <w:tcW w:w="1052"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证明材料对应编号</w:t>
            </w:r>
          </w:p>
        </w:tc>
        <w:tc>
          <w:tcPr>
            <w:tcW w:w="998"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029" w:type="dxa"/>
            <w:vAlign w:val="center"/>
          </w:tcPr>
          <w:p>
            <w:pPr>
              <w:spacing w:line="360" w:lineRule="auto"/>
              <w:jc w:val="center"/>
              <w:rPr>
                <w:rFonts w:asciiTheme="minorEastAsia" w:hAnsiTheme="minorEastAsia" w:eastAsiaTheme="minorEastAsia" w:cstheme="minorEastAsia"/>
                <w:b/>
                <w:sz w:val="18"/>
                <w:szCs w:val="18"/>
              </w:rPr>
            </w:pPr>
          </w:p>
        </w:tc>
        <w:tc>
          <w:tcPr>
            <w:tcW w:w="2492" w:type="dxa"/>
            <w:vAlign w:val="center"/>
          </w:tcPr>
          <w:p>
            <w:pPr>
              <w:spacing w:line="360" w:lineRule="auto"/>
              <w:jc w:val="center"/>
              <w:rPr>
                <w:rFonts w:asciiTheme="minorEastAsia" w:hAnsiTheme="minorEastAsia" w:eastAsiaTheme="minorEastAsia" w:cstheme="minorEastAsia"/>
                <w:b/>
                <w:sz w:val="18"/>
                <w:szCs w:val="18"/>
              </w:rPr>
            </w:pPr>
          </w:p>
        </w:tc>
        <w:tc>
          <w:tcPr>
            <w:tcW w:w="1736" w:type="dxa"/>
            <w:vAlign w:val="center"/>
          </w:tcPr>
          <w:p>
            <w:pPr>
              <w:spacing w:line="360" w:lineRule="auto"/>
              <w:jc w:val="center"/>
              <w:rPr>
                <w:rFonts w:asciiTheme="minorEastAsia" w:hAnsiTheme="minorEastAsia" w:eastAsiaTheme="minorEastAsia" w:cstheme="minorEastAsia"/>
                <w:b/>
                <w:sz w:val="18"/>
                <w:szCs w:val="18"/>
              </w:rPr>
            </w:pPr>
          </w:p>
        </w:tc>
        <w:tc>
          <w:tcPr>
            <w:tcW w:w="1395" w:type="dxa"/>
            <w:vAlign w:val="center"/>
          </w:tcPr>
          <w:p>
            <w:pPr>
              <w:spacing w:line="360" w:lineRule="auto"/>
              <w:jc w:val="center"/>
              <w:rPr>
                <w:rFonts w:asciiTheme="minorEastAsia" w:hAnsiTheme="minorEastAsia" w:eastAsiaTheme="minorEastAsia" w:cstheme="minorEastAsia"/>
                <w:b/>
                <w:sz w:val="18"/>
                <w:szCs w:val="18"/>
              </w:rPr>
            </w:pPr>
          </w:p>
        </w:tc>
        <w:tc>
          <w:tcPr>
            <w:tcW w:w="1052" w:type="dxa"/>
            <w:vAlign w:val="center"/>
          </w:tcPr>
          <w:p>
            <w:pPr>
              <w:spacing w:line="360" w:lineRule="auto"/>
              <w:jc w:val="center"/>
              <w:rPr>
                <w:rFonts w:asciiTheme="minorEastAsia" w:hAnsiTheme="minorEastAsia" w:eastAsiaTheme="minorEastAsia" w:cstheme="minorEastAsia"/>
                <w:b/>
                <w:sz w:val="18"/>
                <w:szCs w:val="18"/>
              </w:rPr>
            </w:pPr>
          </w:p>
        </w:tc>
        <w:tc>
          <w:tcPr>
            <w:tcW w:w="998" w:type="dxa"/>
            <w:vAlign w:val="center"/>
          </w:tcPr>
          <w:p>
            <w:pPr>
              <w:spacing w:line="360" w:lineRule="auto"/>
              <w:jc w:val="center"/>
              <w:rPr>
                <w:rFonts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业绩材料</w:t>
            </w:r>
          </w:p>
        </w:tc>
        <w:tc>
          <w:tcPr>
            <w:tcW w:w="2492" w:type="dxa"/>
            <w:vAlign w:val="center"/>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XX业绩复印件</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4分</w:t>
            </w: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证明材料1</w:t>
            </w: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业绩材料</w:t>
            </w:r>
          </w:p>
        </w:tc>
        <w:tc>
          <w:tcPr>
            <w:tcW w:w="2492" w:type="dxa"/>
            <w:vAlign w:val="center"/>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XX业绩复印件</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2分</w:t>
            </w: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证明材料2</w:t>
            </w: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029" w:type="dxa"/>
            <w:vAlign w:val="center"/>
          </w:tcPr>
          <w:p>
            <w:pPr>
              <w:snapToGrid w:val="0"/>
              <w:spacing w:line="400" w:lineRule="exact"/>
              <w:rPr>
                <w:rFonts w:asciiTheme="minorEastAsia" w:hAnsiTheme="minorEastAsia" w:eastAsiaTheme="minorEastAsia" w:cstheme="minorEastAsia"/>
                <w:sz w:val="18"/>
                <w:szCs w:val="18"/>
              </w:rPr>
            </w:pPr>
          </w:p>
        </w:tc>
        <w:tc>
          <w:tcPr>
            <w:tcW w:w="2492" w:type="dxa"/>
            <w:vAlign w:val="center"/>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XX证书</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证明材料3</w:t>
            </w: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92" w:type="dxa"/>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XX年财务审计报告</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2分</w:t>
            </w: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证明材料4</w:t>
            </w: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92" w:type="dxa"/>
          </w:tcPr>
          <w:p>
            <w:pPr>
              <w:spacing w:line="360" w:lineRule="auto"/>
              <w:jc w:val="center"/>
              <w:rPr>
                <w:b/>
                <w:sz w:val="28"/>
                <w:szCs w:val="28"/>
              </w:rPr>
            </w:pPr>
          </w:p>
        </w:tc>
        <w:tc>
          <w:tcPr>
            <w:tcW w:w="1736" w:type="dxa"/>
          </w:tcPr>
          <w:p>
            <w:pPr>
              <w:spacing w:line="360" w:lineRule="auto"/>
              <w:jc w:val="center"/>
              <w:rPr>
                <w:b/>
                <w:sz w:val="28"/>
                <w:szCs w:val="28"/>
              </w:rPr>
            </w:pPr>
          </w:p>
        </w:tc>
        <w:tc>
          <w:tcPr>
            <w:tcW w:w="1395" w:type="dxa"/>
          </w:tcPr>
          <w:p>
            <w:pPr>
              <w:spacing w:line="360" w:lineRule="auto"/>
              <w:jc w:val="center"/>
              <w:rPr>
                <w:b/>
                <w:sz w:val="28"/>
                <w:szCs w:val="28"/>
              </w:rPr>
            </w:pPr>
          </w:p>
        </w:tc>
        <w:tc>
          <w:tcPr>
            <w:tcW w:w="1052" w:type="dxa"/>
          </w:tcPr>
          <w:p>
            <w:pPr>
              <w:spacing w:line="360" w:lineRule="auto"/>
              <w:jc w:val="center"/>
              <w:rPr>
                <w:b/>
                <w:sz w:val="28"/>
                <w:szCs w:val="28"/>
              </w:rPr>
            </w:pPr>
          </w:p>
        </w:tc>
        <w:tc>
          <w:tcPr>
            <w:tcW w:w="998" w:type="dxa"/>
          </w:tcPr>
          <w:p>
            <w:pPr>
              <w:spacing w:line="360" w:lineRule="auto"/>
              <w:jc w:val="center"/>
              <w:rPr>
                <w:b/>
                <w:sz w:val="28"/>
                <w:szCs w:val="28"/>
              </w:rPr>
            </w:pPr>
          </w:p>
        </w:tc>
      </w:tr>
    </w:tbl>
    <w:p>
      <w:pPr>
        <w:pStyle w:val="23"/>
        <w:ind w:left="0" w:leftChars="0" w:firstLine="0"/>
      </w:pPr>
      <w:bookmarkStart w:id="264" w:name="_Toc30564"/>
    </w:p>
    <w:p>
      <w:pPr>
        <w:spacing w:line="360" w:lineRule="auto"/>
        <w:jc w:val="center"/>
        <w:outlineLvl w:val="1"/>
        <w:rPr>
          <w:rFonts w:ascii="宋体" w:hAnsi="宋体" w:cs="宋体"/>
          <w:b/>
          <w:bCs/>
          <w:kern w:val="0"/>
          <w:sz w:val="28"/>
          <w:szCs w:val="32"/>
        </w:rPr>
      </w:pPr>
    </w:p>
    <w:p>
      <w:pPr>
        <w:spacing w:line="360" w:lineRule="auto"/>
        <w:jc w:val="center"/>
        <w:outlineLvl w:val="1"/>
        <w:rPr>
          <w:rFonts w:hint="eastAsia" w:ascii="宋体" w:hAnsi="宋体" w:cs="宋体"/>
          <w:b/>
          <w:bCs/>
          <w:kern w:val="0"/>
          <w:sz w:val="28"/>
          <w:szCs w:val="32"/>
        </w:rPr>
      </w:pPr>
    </w:p>
    <w:p>
      <w:pPr>
        <w:spacing w:line="360" w:lineRule="auto"/>
        <w:jc w:val="center"/>
        <w:outlineLvl w:val="1"/>
        <w:rPr>
          <w:rFonts w:hint="eastAsia" w:ascii="宋体" w:hAnsi="宋体" w:cs="宋体"/>
          <w:b/>
          <w:bCs/>
          <w:kern w:val="0"/>
          <w:sz w:val="28"/>
          <w:szCs w:val="32"/>
        </w:rPr>
      </w:pPr>
    </w:p>
    <w:p>
      <w:pPr>
        <w:spacing w:line="360" w:lineRule="auto"/>
        <w:jc w:val="center"/>
        <w:outlineLvl w:val="1"/>
        <w:rPr>
          <w:rFonts w:hint="eastAsia" w:ascii="宋体" w:hAnsi="宋体" w:cs="宋体"/>
          <w:b/>
          <w:bCs/>
          <w:kern w:val="0"/>
          <w:sz w:val="28"/>
          <w:szCs w:val="32"/>
        </w:rPr>
      </w:pPr>
    </w:p>
    <w:p>
      <w:pPr>
        <w:rPr>
          <w:rFonts w:hint="eastAsia" w:ascii="Times New Roman" w:hAnsi="Times New Roman" w:eastAsia="宋体" w:cs="Times New Roman"/>
          <w:kern w:val="2"/>
          <w:sz w:val="21"/>
          <w:szCs w:val="24"/>
          <w:lang w:val="en-US" w:eastAsia="zh-CN" w:bidi="ar-SA"/>
        </w:rPr>
      </w:pPr>
      <w:r>
        <w:rPr>
          <w:rFonts w:hint="eastAsia" w:ascii="宋体" w:hAnsi="宋体" w:cs="宋体"/>
          <w:b/>
          <w:bCs/>
          <w:kern w:val="0"/>
          <w:sz w:val="28"/>
          <w:szCs w:val="32"/>
        </w:rPr>
        <w:br w:type="page"/>
      </w:r>
      <w:bookmarkEnd w:id="264"/>
    </w:p>
    <w:p>
      <w:pPr>
        <w:pStyle w:val="4"/>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（三）</w:t>
      </w:r>
      <w:bookmarkEnd w:id="260"/>
      <w:bookmarkStart w:id="265" w:name="_Toc504639215"/>
      <w:bookmarkStart w:id="266" w:name="_Toc507681700"/>
      <w:bookmarkStart w:id="267" w:name="_Toc507681488"/>
      <w:r>
        <w:rPr>
          <w:rFonts w:hint="eastAsia" w:ascii="宋体" w:hAnsi="宋体" w:cs="宋体"/>
          <w:color w:val="000000" w:themeColor="text1"/>
          <w:sz w:val="28"/>
          <w14:textFill>
            <w14:solidFill>
              <w14:schemeClr w14:val="tx1"/>
            </w14:solidFill>
          </w14:textFill>
        </w:rPr>
        <w:t>报价人自行承诺部分</w:t>
      </w:r>
      <w:bookmarkEnd w:id="265"/>
      <w:bookmarkEnd w:id="266"/>
      <w:bookmarkEnd w:id="267"/>
    </w:p>
    <w:p>
      <w:pPr>
        <w:pStyle w:val="20"/>
        <w:spacing w:line="480" w:lineRule="auto"/>
        <w:jc w:val="both"/>
        <w:rPr>
          <w:rFonts w:hAnsi="宋体"/>
          <w:color w:val="auto"/>
        </w:rPr>
      </w:pPr>
      <w:r>
        <w:rPr>
          <w:rFonts w:hint="eastAsia" w:hAnsi="宋体"/>
          <w:color w:val="auto"/>
        </w:rPr>
        <w:t>致：</w:t>
      </w:r>
      <w:r>
        <w:rPr>
          <w:rFonts w:hint="eastAsia" w:hAnsi="宋体"/>
          <w:color w:val="auto"/>
          <w:u w:val="single"/>
        </w:rPr>
        <w:t>重庆首讯科技股份有限公司</w:t>
      </w:r>
    </w:p>
    <w:p/>
    <w:p>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sz w:val="24"/>
        </w:rPr>
      </w:pPr>
      <w:r>
        <w:rPr>
          <w:rFonts w:hint="eastAsia" w:ascii="宋体" w:hAnsi="宋体"/>
          <w:sz w:val="24"/>
        </w:rPr>
        <w:t>在研究</w:t>
      </w:r>
      <w:r>
        <w:rPr>
          <w:rFonts w:hint="eastAsia" w:ascii="宋体" w:hAnsi="宋体" w:cs="宋体"/>
          <w:sz w:val="24"/>
          <w:u w:val="single"/>
          <w:lang w:eastAsia="zh-CN"/>
        </w:rPr>
        <w:t>国产技术体系下基于业务的财务共享系统开发服务</w:t>
      </w:r>
      <w:r>
        <w:rPr>
          <w:rFonts w:hint="eastAsia" w:ascii="宋体" w:hAnsi="宋体"/>
          <w:sz w:val="24"/>
          <w:u w:val="single"/>
        </w:rPr>
        <w:t>项目</w:t>
      </w:r>
      <w:r>
        <w:rPr>
          <w:rFonts w:hint="eastAsia" w:ascii="宋体" w:hAnsi="宋体"/>
          <w:sz w:val="24"/>
        </w:rPr>
        <w:t>竞争比选文件后，在此郑重承诺我司满足本项目一切报价内容、报价、工期要求及质量标准等相关要求，响应比选函的一切内容，同时申明将按照甲方要求组建服务团队、履行服务义务。若我司中标本项目且无法满足业主相关需求，我司愿承担由此给采购人造成的一切损失。</w:t>
      </w:r>
    </w:p>
    <w:p>
      <w:pPr>
        <w:pStyle w:val="9"/>
        <w:spacing w:line="480" w:lineRule="auto"/>
        <w:rPr>
          <w:rFonts w:ascii="宋体" w:hAnsi="宋体"/>
          <w:sz w:val="24"/>
        </w:rPr>
      </w:pPr>
    </w:p>
    <w:p>
      <w:pPr>
        <w:spacing w:line="480" w:lineRule="auto"/>
        <w:rPr>
          <w:rFonts w:ascii="宋体" w:hAnsi="宋体"/>
          <w:sz w:val="24"/>
        </w:rPr>
      </w:pPr>
      <w:r>
        <w:rPr>
          <w:rFonts w:hint="eastAsia" w:ascii="宋体" w:hAnsi="宋体"/>
          <w:sz w:val="24"/>
        </w:rPr>
        <w:t xml:space="preserve">                                        承诺人：XX公司</w:t>
      </w:r>
    </w:p>
    <w:p>
      <w:pPr>
        <w:pStyle w:val="9"/>
        <w:spacing w:line="480" w:lineRule="auto"/>
      </w:pPr>
      <w:r>
        <w:rPr>
          <w:rFonts w:hint="eastAsia" w:ascii="宋体" w:hAnsi="宋体"/>
          <w:sz w:val="24"/>
        </w:rPr>
        <w:t xml:space="preserve">                                        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pStyle w:val="4"/>
        <w:jc w:val="center"/>
        <w:rPr>
          <w:rFonts w:ascii="宋体" w:hAnsi="宋体" w:cs="宋体"/>
          <w:color w:val="000000" w:themeColor="text1"/>
          <w:sz w:val="28"/>
          <w14:textFill>
            <w14:solidFill>
              <w14:schemeClr w14:val="tx1"/>
            </w14:solidFill>
          </w14:textFill>
        </w:rPr>
      </w:pP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比选文件中要求报价人自行承诺的，由报价人按比选文件要求内容承诺，格式自拟。</w:t>
      </w:r>
    </w:p>
    <w:p>
      <w:pPr>
        <w:pStyle w:val="4"/>
        <w:jc w:val="center"/>
        <w:rPr>
          <w:rFonts w:ascii="宋体" w:hAnsi="宋体" w:cs="宋体"/>
          <w:color w:val="000000" w:themeColor="text1"/>
          <w:sz w:val="28"/>
          <w14:textFill>
            <w14:solidFill>
              <w14:schemeClr w14:val="tx1"/>
            </w14:solidFill>
          </w14:textFill>
        </w:rPr>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r>
        <w:rPr>
          <w:rFonts w:hint="eastAsia" w:ascii="宋体" w:hAnsi="宋体" w:eastAsia="宋体" w:cs="宋体"/>
          <w:color w:val="000000" w:themeColor="text1"/>
          <w:sz w:val="28"/>
          <w14:textFill>
            <w14:solidFill>
              <w14:schemeClr w14:val="tx1"/>
            </w14:solidFill>
          </w14:textFill>
        </w:rPr>
        <w:t>六、报价人基本信息及其他材料</w:t>
      </w:r>
    </w:p>
    <w:p>
      <w:pPr>
        <w:pStyle w:val="4"/>
        <w:spacing w:before="0" w:after="0" w:line="360" w:lineRule="auto"/>
        <w:jc w:val="center"/>
        <w:rPr>
          <w:color w:val="000000" w:themeColor="text1"/>
          <w:sz w:val="28"/>
          <w:szCs w:val="28"/>
          <w14:textFill>
            <w14:solidFill>
              <w14:schemeClr w14:val="tx1"/>
            </w14:solidFill>
          </w14:textFill>
        </w:rPr>
      </w:pPr>
      <w:bookmarkStart w:id="268" w:name="_Toc452107137"/>
      <w:bookmarkStart w:id="269" w:name="_Toc508110857"/>
      <w:bookmarkStart w:id="270" w:name="_Toc4375"/>
      <w:r>
        <w:rPr>
          <w:rFonts w:hint="eastAsia"/>
          <w:color w:val="000000" w:themeColor="text1"/>
          <w:sz w:val="28"/>
          <w:szCs w:val="28"/>
          <w14:textFill>
            <w14:solidFill>
              <w14:schemeClr w14:val="tx1"/>
            </w14:solidFill>
          </w14:textFill>
        </w:rPr>
        <w:t>（一）报价人基本信息表</w:t>
      </w:r>
      <w:bookmarkEnd w:id="268"/>
      <w:bookmarkEnd w:id="269"/>
      <w:bookmarkEnd w:id="270"/>
    </w:p>
    <w:p>
      <w:pPr>
        <w:pStyle w:val="14"/>
        <w:rPr>
          <w:color w:val="000000" w:themeColor="text1"/>
          <w14:textFill>
            <w14:solidFill>
              <w14:schemeClr w14:val="tx1"/>
            </w14:solidFill>
          </w14:textFill>
        </w:rPr>
      </w:pPr>
    </w:p>
    <w:tbl>
      <w:tblPr>
        <w:tblStyle w:val="24"/>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w:t>
            </w:r>
          </w:p>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bl>
    <w:p>
      <w:pPr>
        <w:pStyle w:val="4"/>
        <w:rPr>
          <w:rFonts w:ascii="宋体" w:hAnsi="宋体" w:cs="宋体"/>
          <w:color w:val="000000" w:themeColor="text1"/>
          <w:sz w:val="28"/>
          <w14:textFill>
            <w14:solidFill>
              <w14:schemeClr w14:val="tx1"/>
            </w14:solidFill>
          </w14:textFill>
        </w:rPr>
      </w:pPr>
    </w:p>
    <w:p>
      <w:pPr>
        <w:pStyle w:val="4"/>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（二）其他材料</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1、投标保证金银行回执等附件。</w:t>
      </w:r>
    </w:p>
    <w:bookmarkEnd w:id="261"/>
    <w:bookmarkEnd w:id="262"/>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2、其他内容。</w:t>
      </w: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outlineLvl w:val="1"/>
        <w:rPr>
          <w:color w:val="000000" w:themeColor="text1"/>
          <w14:textFill>
            <w14:solidFill>
              <w14:schemeClr w14:val="tx1"/>
            </w14:solidFill>
          </w14:textFill>
        </w:rPr>
      </w:pPr>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21</w: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10</w: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520" w:h="235" w:hRule="exact" w:wrap="around" w:vAnchor="text" w:hAnchor="page" w:x="6073" w:y="-2"/>
      <w:rPr>
        <w:rStyle w:val="27"/>
      </w:rPr>
    </w:pPr>
    <w:r>
      <w:fldChar w:fldCharType="begin"/>
    </w:r>
    <w:r>
      <w:rPr>
        <w:rStyle w:val="27"/>
      </w:rPr>
      <w:instrText xml:space="preserve">PAGE  </w:instrText>
    </w:r>
    <w:r>
      <w:fldChar w:fldCharType="separate"/>
    </w:r>
    <w:r>
      <w:rPr>
        <w:rStyle w:val="27"/>
      </w:rPr>
      <w:t>73</w:t>
    </w:r>
    <w:r>
      <w:fldChar w:fldCharType="end"/>
    </w:r>
  </w:p>
  <w:p>
    <w:pPr>
      <w:pStyle w:val="14"/>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520" w:h="235" w:hRule="exact" w:wrap="around" w:vAnchor="text" w:hAnchor="page" w:x="6073" w:y="-2"/>
      <w:rPr>
        <w:rStyle w:val="27"/>
      </w:rPr>
    </w:pPr>
    <w:r>
      <w:fldChar w:fldCharType="begin"/>
    </w:r>
    <w:r>
      <w:rPr>
        <w:rStyle w:val="27"/>
      </w:rPr>
      <w:instrText xml:space="preserve">PAGE  </w:instrText>
    </w:r>
    <w:r>
      <w:fldChar w:fldCharType="separate"/>
    </w:r>
    <w:r>
      <w:rPr>
        <w:rStyle w:val="27"/>
      </w:rPr>
      <w:t>19</w:t>
    </w:r>
    <w:r>
      <w:fldChar w:fldCharType="end"/>
    </w:r>
  </w:p>
  <w:p>
    <w:pPr>
      <w:pStyle w:val="14"/>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520" w:h="235" w:hRule="exact" w:wrap="around" w:vAnchor="text" w:hAnchor="page" w:x="6073" w:y="-2"/>
      <w:rPr>
        <w:rStyle w:val="27"/>
      </w:rPr>
    </w:pPr>
    <w:r>
      <w:fldChar w:fldCharType="begin"/>
    </w:r>
    <w:r>
      <w:rPr>
        <w:rStyle w:val="27"/>
      </w:rPr>
      <w:instrText xml:space="preserve">PAGE  </w:instrText>
    </w:r>
    <w:r>
      <w:fldChar w:fldCharType="separate"/>
    </w:r>
    <w:r>
      <w:rPr>
        <w:rStyle w:val="27"/>
      </w:rPr>
      <w:t>23</w:t>
    </w:r>
    <w:r>
      <w:fldChar w:fldCharType="end"/>
    </w:r>
  </w:p>
  <w:p>
    <w:pPr>
      <w:pStyle w:val="14"/>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7"/>
                            </w:rPr>
                          </w:pPr>
                          <w:r>
                            <w:fldChar w:fldCharType="begin"/>
                          </w:r>
                          <w:r>
                            <w:rPr>
                              <w:rStyle w:val="27"/>
                            </w:rPr>
                            <w:instrText xml:space="preserve">PAGE  </w:instrText>
                          </w:r>
                          <w:r>
                            <w:fldChar w:fldCharType="separate"/>
                          </w:r>
                          <w:r>
                            <w:rPr>
                              <w:rStyle w:val="27"/>
                            </w:rPr>
                            <w:t>35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14"/>
                      <w:rPr>
                        <w:rStyle w:val="27"/>
                      </w:rPr>
                    </w:pPr>
                    <w:r>
                      <w:fldChar w:fldCharType="begin"/>
                    </w:r>
                    <w:r>
                      <w:rPr>
                        <w:rStyle w:val="27"/>
                      </w:rPr>
                      <w:instrText xml:space="preserve">PAGE  </w:instrText>
                    </w:r>
                    <w:r>
                      <w:fldChar w:fldCharType="separate"/>
                    </w:r>
                    <w:r>
                      <w:rPr>
                        <w:rStyle w:val="27"/>
                      </w:rP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A48B3"/>
    <w:multiLevelType w:val="singleLevel"/>
    <w:tmpl w:val="C43A48B3"/>
    <w:lvl w:ilvl="0" w:tentative="0">
      <w:start w:val="7"/>
      <w:numFmt w:val="chineseCounting"/>
      <w:suff w:val="space"/>
      <w:lvlText w:val="第%1章"/>
      <w:lvlJc w:val="left"/>
      <w:rPr>
        <w:rFonts w:hint="eastAsia"/>
      </w:rPr>
    </w:lvl>
  </w:abstractNum>
  <w:abstractNum w:abstractNumId="1">
    <w:nsid w:val="0AA38CF7"/>
    <w:multiLevelType w:val="singleLevel"/>
    <w:tmpl w:val="0AA38CF7"/>
    <w:lvl w:ilvl="0" w:tentative="0">
      <w:start w:val="2"/>
      <w:numFmt w:val="decimal"/>
      <w:lvlText w:val="%1."/>
      <w:lvlJc w:val="left"/>
      <w:pPr>
        <w:tabs>
          <w:tab w:val="left" w:pos="312"/>
        </w:tabs>
        <w:ind w:left="735" w:firstLine="0"/>
      </w:pPr>
    </w:lvl>
  </w:abstractNum>
  <w:abstractNum w:abstractNumId="2">
    <w:nsid w:val="0FF842B9"/>
    <w:multiLevelType w:val="singleLevel"/>
    <w:tmpl w:val="0FF842B9"/>
    <w:lvl w:ilvl="0" w:tentative="0">
      <w:start w:val="1"/>
      <w:numFmt w:val="decimal"/>
      <w:suff w:val="nothing"/>
      <w:lvlText w:val="%1、"/>
      <w:lvlJc w:val="left"/>
    </w:lvl>
  </w:abstractNum>
  <w:abstractNum w:abstractNumId="3">
    <w:nsid w:val="13A543D5"/>
    <w:multiLevelType w:val="multilevel"/>
    <w:tmpl w:val="13A543D5"/>
    <w:lvl w:ilvl="0" w:tentative="0">
      <w:start w:val="1"/>
      <w:numFmt w:val="decimal"/>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42"/>
      <w:suff w:val="space"/>
      <w:lvlText w:val="%1.%2.%3"/>
      <w:lvlJc w:val="left"/>
      <w:pPr>
        <w:ind w:left="0" w:firstLine="0"/>
      </w:pPr>
      <w:rPr>
        <w:rFonts w:hint="eastAsia"/>
      </w:rPr>
    </w:lvl>
    <w:lvl w:ilvl="3" w:tentative="0">
      <w:start w:val="1"/>
      <w:numFmt w:val="decimal"/>
      <w:pStyle w:val="43"/>
      <w:suff w:val="space"/>
      <w:lvlText w:val="%1.%2.%3.%4"/>
      <w:lvlJc w:val="left"/>
      <w:pPr>
        <w:ind w:left="0" w:firstLine="0"/>
      </w:pPr>
      <w:rPr>
        <w:rFonts w:hint="eastAsia"/>
      </w:rPr>
    </w:lvl>
    <w:lvl w:ilvl="4" w:tentative="0">
      <w:start w:val="1"/>
      <w:numFmt w:val="decimal"/>
      <w:pStyle w:val="44"/>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5102" w:hanging="1700"/>
      </w:pPr>
      <w:rPr>
        <w:rFonts w:hint="eastAsia"/>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3E0ABCA6"/>
    <w:multiLevelType w:val="singleLevel"/>
    <w:tmpl w:val="3E0ABCA6"/>
    <w:lvl w:ilvl="0" w:tentative="0">
      <w:start w:val="1"/>
      <w:numFmt w:val="decimal"/>
      <w:suff w:val="nothing"/>
      <w:lvlText w:val="（%1）"/>
      <w:lvlJc w:val="left"/>
    </w:lvl>
  </w:abstractNum>
  <w:abstractNum w:abstractNumId="6">
    <w:nsid w:val="43BA7B6D"/>
    <w:multiLevelType w:val="multilevel"/>
    <w:tmpl w:val="43BA7B6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ZGY0ZTViYWQyN2I0ZGJhNDk0OThkMjNkNmQ2MDYifQ=="/>
  </w:docVars>
  <w:rsids>
    <w:rsidRoot w:val="40562453"/>
    <w:rsid w:val="000F3CE7"/>
    <w:rsid w:val="000F5386"/>
    <w:rsid w:val="002677EA"/>
    <w:rsid w:val="00274C14"/>
    <w:rsid w:val="00290864"/>
    <w:rsid w:val="002E6658"/>
    <w:rsid w:val="003D09CF"/>
    <w:rsid w:val="003E4238"/>
    <w:rsid w:val="00432083"/>
    <w:rsid w:val="0045037C"/>
    <w:rsid w:val="005216E6"/>
    <w:rsid w:val="0054033C"/>
    <w:rsid w:val="00574C5F"/>
    <w:rsid w:val="006E6474"/>
    <w:rsid w:val="007A23C3"/>
    <w:rsid w:val="009740D1"/>
    <w:rsid w:val="009836D5"/>
    <w:rsid w:val="00AD5DF3"/>
    <w:rsid w:val="00C85330"/>
    <w:rsid w:val="00CD7F32"/>
    <w:rsid w:val="00CF4C8F"/>
    <w:rsid w:val="00D3747E"/>
    <w:rsid w:val="00D5013D"/>
    <w:rsid w:val="00E47480"/>
    <w:rsid w:val="00E53ABC"/>
    <w:rsid w:val="00F33B80"/>
    <w:rsid w:val="00F546A3"/>
    <w:rsid w:val="00F63456"/>
    <w:rsid w:val="01B74972"/>
    <w:rsid w:val="022F40C5"/>
    <w:rsid w:val="02DC3F04"/>
    <w:rsid w:val="02FA0434"/>
    <w:rsid w:val="033216A2"/>
    <w:rsid w:val="03CF0748"/>
    <w:rsid w:val="048F2C39"/>
    <w:rsid w:val="05506B2F"/>
    <w:rsid w:val="055C337C"/>
    <w:rsid w:val="060D37AF"/>
    <w:rsid w:val="070E32F3"/>
    <w:rsid w:val="071E6E0A"/>
    <w:rsid w:val="077D719C"/>
    <w:rsid w:val="07C52E34"/>
    <w:rsid w:val="08C663D4"/>
    <w:rsid w:val="090977DD"/>
    <w:rsid w:val="09447A34"/>
    <w:rsid w:val="0A1E5C91"/>
    <w:rsid w:val="0A5D3B7D"/>
    <w:rsid w:val="0A693330"/>
    <w:rsid w:val="0A7D16CE"/>
    <w:rsid w:val="0B1A4809"/>
    <w:rsid w:val="0B602F55"/>
    <w:rsid w:val="0B8C0001"/>
    <w:rsid w:val="0C0078E7"/>
    <w:rsid w:val="0C132AFC"/>
    <w:rsid w:val="0C6F3F16"/>
    <w:rsid w:val="0CCE6579"/>
    <w:rsid w:val="0D993FB0"/>
    <w:rsid w:val="0E393859"/>
    <w:rsid w:val="0E3B58C3"/>
    <w:rsid w:val="0EA57CDD"/>
    <w:rsid w:val="0EC73541"/>
    <w:rsid w:val="0FF77E7B"/>
    <w:rsid w:val="10343BF8"/>
    <w:rsid w:val="10A44CAE"/>
    <w:rsid w:val="10E943BC"/>
    <w:rsid w:val="123A23F6"/>
    <w:rsid w:val="1250098C"/>
    <w:rsid w:val="125C66E7"/>
    <w:rsid w:val="13223B44"/>
    <w:rsid w:val="13573D7A"/>
    <w:rsid w:val="141A6BA3"/>
    <w:rsid w:val="1433393F"/>
    <w:rsid w:val="14896D52"/>
    <w:rsid w:val="14F51F77"/>
    <w:rsid w:val="15EA5356"/>
    <w:rsid w:val="1789066E"/>
    <w:rsid w:val="17AC5EFC"/>
    <w:rsid w:val="18331236"/>
    <w:rsid w:val="187C5B16"/>
    <w:rsid w:val="187D6761"/>
    <w:rsid w:val="18873EC2"/>
    <w:rsid w:val="18A35434"/>
    <w:rsid w:val="18C96881"/>
    <w:rsid w:val="18FB3376"/>
    <w:rsid w:val="191A60FB"/>
    <w:rsid w:val="197E141A"/>
    <w:rsid w:val="19C679E0"/>
    <w:rsid w:val="1A1717FA"/>
    <w:rsid w:val="1A8C400A"/>
    <w:rsid w:val="1AFD0644"/>
    <w:rsid w:val="1B246D19"/>
    <w:rsid w:val="1BD357CC"/>
    <w:rsid w:val="1CAB253E"/>
    <w:rsid w:val="1CB25FAA"/>
    <w:rsid w:val="1CBE3220"/>
    <w:rsid w:val="1CEE24ED"/>
    <w:rsid w:val="1CFD7C36"/>
    <w:rsid w:val="1D8B5B65"/>
    <w:rsid w:val="1D8B5DDE"/>
    <w:rsid w:val="1DAF6D5D"/>
    <w:rsid w:val="1DBB4B97"/>
    <w:rsid w:val="1F0614F2"/>
    <w:rsid w:val="1F4934E4"/>
    <w:rsid w:val="1F6752DC"/>
    <w:rsid w:val="1F7C313E"/>
    <w:rsid w:val="1FBF03F0"/>
    <w:rsid w:val="1FCB7587"/>
    <w:rsid w:val="200221CB"/>
    <w:rsid w:val="20031B05"/>
    <w:rsid w:val="216D4BF6"/>
    <w:rsid w:val="218C0355"/>
    <w:rsid w:val="21D97A24"/>
    <w:rsid w:val="221B2A67"/>
    <w:rsid w:val="22A86A88"/>
    <w:rsid w:val="22BC4191"/>
    <w:rsid w:val="22E44999"/>
    <w:rsid w:val="22E87B5F"/>
    <w:rsid w:val="23805560"/>
    <w:rsid w:val="23F67C94"/>
    <w:rsid w:val="243B2F6E"/>
    <w:rsid w:val="248C70E1"/>
    <w:rsid w:val="26317FF4"/>
    <w:rsid w:val="2641214D"/>
    <w:rsid w:val="268C6184"/>
    <w:rsid w:val="26D63897"/>
    <w:rsid w:val="27814E36"/>
    <w:rsid w:val="2796529A"/>
    <w:rsid w:val="28845C8E"/>
    <w:rsid w:val="289861F3"/>
    <w:rsid w:val="299C149B"/>
    <w:rsid w:val="29C42E79"/>
    <w:rsid w:val="29D51C23"/>
    <w:rsid w:val="29D62BAC"/>
    <w:rsid w:val="29D873B1"/>
    <w:rsid w:val="2A103287"/>
    <w:rsid w:val="2A9144DF"/>
    <w:rsid w:val="2AC50370"/>
    <w:rsid w:val="2AF05EFB"/>
    <w:rsid w:val="2B013C59"/>
    <w:rsid w:val="2B7F1563"/>
    <w:rsid w:val="2BA8559F"/>
    <w:rsid w:val="2C552E35"/>
    <w:rsid w:val="2DF53829"/>
    <w:rsid w:val="2E463ABE"/>
    <w:rsid w:val="2F072CF9"/>
    <w:rsid w:val="2F927AAF"/>
    <w:rsid w:val="302047D7"/>
    <w:rsid w:val="30815042"/>
    <w:rsid w:val="318206FC"/>
    <w:rsid w:val="31C64AB1"/>
    <w:rsid w:val="31FB7654"/>
    <w:rsid w:val="325356E2"/>
    <w:rsid w:val="3254265B"/>
    <w:rsid w:val="32764679"/>
    <w:rsid w:val="32CB318E"/>
    <w:rsid w:val="33182487"/>
    <w:rsid w:val="338C1033"/>
    <w:rsid w:val="339441CF"/>
    <w:rsid w:val="33AF0723"/>
    <w:rsid w:val="33C6271F"/>
    <w:rsid w:val="33CD5020"/>
    <w:rsid w:val="33FB61D0"/>
    <w:rsid w:val="343E5272"/>
    <w:rsid w:val="34473D81"/>
    <w:rsid w:val="345179FF"/>
    <w:rsid w:val="34607C42"/>
    <w:rsid w:val="35472BB0"/>
    <w:rsid w:val="35705DCF"/>
    <w:rsid w:val="360B60DB"/>
    <w:rsid w:val="36687AF9"/>
    <w:rsid w:val="369C3A80"/>
    <w:rsid w:val="36F60F68"/>
    <w:rsid w:val="371116F1"/>
    <w:rsid w:val="377313B5"/>
    <w:rsid w:val="378F6F71"/>
    <w:rsid w:val="37A14E61"/>
    <w:rsid w:val="37C7B50B"/>
    <w:rsid w:val="37D026C8"/>
    <w:rsid w:val="37F214F9"/>
    <w:rsid w:val="382805C6"/>
    <w:rsid w:val="38EB5754"/>
    <w:rsid w:val="38FD0B34"/>
    <w:rsid w:val="3911775D"/>
    <w:rsid w:val="39277C8A"/>
    <w:rsid w:val="392A1279"/>
    <w:rsid w:val="39952550"/>
    <w:rsid w:val="3B1E244D"/>
    <w:rsid w:val="3BA2510C"/>
    <w:rsid w:val="3BAE2F93"/>
    <w:rsid w:val="3C065E33"/>
    <w:rsid w:val="3C3145CE"/>
    <w:rsid w:val="3C443027"/>
    <w:rsid w:val="3C8C7AEE"/>
    <w:rsid w:val="3D686E3F"/>
    <w:rsid w:val="3E8679F3"/>
    <w:rsid w:val="3EB82ED9"/>
    <w:rsid w:val="3F640884"/>
    <w:rsid w:val="3FED6E84"/>
    <w:rsid w:val="3FF973F4"/>
    <w:rsid w:val="40207DC4"/>
    <w:rsid w:val="40562453"/>
    <w:rsid w:val="40582115"/>
    <w:rsid w:val="40606BAD"/>
    <w:rsid w:val="40FD668D"/>
    <w:rsid w:val="410D1B10"/>
    <w:rsid w:val="410E3E10"/>
    <w:rsid w:val="41317ABC"/>
    <w:rsid w:val="4153517C"/>
    <w:rsid w:val="41632342"/>
    <w:rsid w:val="41C841CE"/>
    <w:rsid w:val="42095CD1"/>
    <w:rsid w:val="421D53C4"/>
    <w:rsid w:val="427D5E63"/>
    <w:rsid w:val="42FA0482"/>
    <w:rsid w:val="431D401F"/>
    <w:rsid w:val="43F87E97"/>
    <w:rsid w:val="444C419C"/>
    <w:rsid w:val="44845974"/>
    <w:rsid w:val="449D5083"/>
    <w:rsid w:val="44AB792B"/>
    <w:rsid w:val="45032A73"/>
    <w:rsid w:val="45913036"/>
    <w:rsid w:val="46C2478C"/>
    <w:rsid w:val="46D1436F"/>
    <w:rsid w:val="47371FC7"/>
    <w:rsid w:val="478A6F17"/>
    <w:rsid w:val="48123D9C"/>
    <w:rsid w:val="48307A3B"/>
    <w:rsid w:val="483D78A3"/>
    <w:rsid w:val="486B440C"/>
    <w:rsid w:val="498034A5"/>
    <w:rsid w:val="49CE2672"/>
    <w:rsid w:val="4A5219AA"/>
    <w:rsid w:val="4A5C7E85"/>
    <w:rsid w:val="4A6D0E1C"/>
    <w:rsid w:val="4A77137D"/>
    <w:rsid w:val="4A851F88"/>
    <w:rsid w:val="4ADF47D6"/>
    <w:rsid w:val="4B717EB6"/>
    <w:rsid w:val="4C074E5C"/>
    <w:rsid w:val="4C8524E4"/>
    <w:rsid w:val="4D2C5ABB"/>
    <w:rsid w:val="4D317F76"/>
    <w:rsid w:val="4D365C2A"/>
    <w:rsid w:val="4DB72E4A"/>
    <w:rsid w:val="4DEC0901"/>
    <w:rsid w:val="4DF51D19"/>
    <w:rsid w:val="4E01203E"/>
    <w:rsid w:val="4F2A68EE"/>
    <w:rsid w:val="4F2F3164"/>
    <w:rsid w:val="4F9E1ABE"/>
    <w:rsid w:val="4FAE3D60"/>
    <w:rsid w:val="4FDE875C"/>
    <w:rsid w:val="500135C9"/>
    <w:rsid w:val="500C6DC6"/>
    <w:rsid w:val="501A21FF"/>
    <w:rsid w:val="509E4783"/>
    <w:rsid w:val="50EA0B67"/>
    <w:rsid w:val="51244DF0"/>
    <w:rsid w:val="51765DA8"/>
    <w:rsid w:val="51A23DC6"/>
    <w:rsid w:val="51AE63EB"/>
    <w:rsid w:val="51BA67E3"/>
    <w:rsid w:val="51D51818"/>
    <w:rsid w:val="52DC6B37"/>
    <w:rsid w:val="53861634"/>
    <w:rsid w:val="53BC4FF0"/>
    <w:rsid w:val="541B7F5F"/>
    <w:rsid w:val="54B714B5"/>
    <w:rsid w:val="54D636F5"/>
    <w:rsid w:val="55261643"/>
    <w:rsid w:val="55B26AC6"/>
    <w:rsid w:val="55B65E31"/>
    <w:rsid w:val="565A6E77"/>
    <w:rsid w:val="569A4274"/>
    <w:rsid w:val="56AF2D09"/>
    <w:rsid w:val="58424522"/>
    <w:rsid w:val="587A1119"/>
    <w:rsid w:val="595606C3"/>
    <w:rsid w:val="5964211A"/>
    <w:rsid w:val="598C3505"/>
    <w:rsid w:val="59A228E3"/>
    <w:rsid w:val="5A5A0E8B"/>
    <w:rsid w:val="5A5C300D"/>
    <w:rsid w:val="5A5E54E9"/>
    <w:rsid w:val="5A623871"/>
    <w:rsid w:val="5AB056BB"/>
    <w:rsid w:val="5B0A122A"/>
    <w:rsid w:val="5B696055"/>
    <w:rsid w:val="5B9625EC"/>
    <w:rsid w:val="5C4A7315"/>
    <w:rsid w:val="5CEC43FE"/>
    <w:rsid w:val="5D693538"/>
    <w:rsid w:val="5D8F03E6"/>
    <w:rsid w:val="5E3E0745"/>
    <w:rsid w:val="5F497D13"/>
    <w:rsid w:val="5F667D46"/>
    <w:rsid w:val="5F9DB233"/>
    <w:rsid w:val="5FCC661E"/>
    <w:rsid w:val="5FD650D9"/>
    <w:rsid w:val="5FF27AE1"/>
    <w:rsid w:val="607B064C"/>
    <w:rsid w:val="60DE22A3"/>
    <w:rsid w:val="613735AE"/>
    <w:rsid w:val="61542052"/>
    <w:rsid w:val="61C62EC2"/>
    <w:rsid w:val="623A4BAB"/>
    <w:rsid w:val="6245633B"/>
    <w:rsid w:val="627D665A"/>
    <w:rsid w:val="62AF64DB"/>
    <w:rsid w:val="62DD22DA"/>
    <w:rsid w:val="62FD557A"/>
    <w:rsid w:val="63485E56"/>
    <w:rsid w:val="63711DC9"/>
    <w:rsid w:val="63BB4D4F"/>
    <w:rsid w:val="63D95197"/>
    <w:rsid w:val="64671A02"/>
    <w:rsid w:val="64FC134F"/>
    <w:rsid w:val="65BA194B"/>
    <w:rsid w:val="65C22C06"/>
    <w:rsid w:val="66091FA1"/>
    <w:rsid w:val="661D040C"/>
    <w:rsid w:val="67D945F1"/>
    <w:rsid w:val="67E1553D"/>
    <w:rsid w:val="68ED60B6"/>
    <w:rsid w:val="690E546B"/>
    <w:rsid w:val="6AB53B3C"/>
    <w:rsid w:val="6AEF1CE7"/>
    <w:rsid w:val="6AF66C20"/>
    <w:rsid w:val="6B867CDB"/>
    <w:rsid w:val="6C172D01"/>
    <w:rsid w:val="6CAD1C5A"/>
    <w:rsid w:val="6CE73B06"/>
    <w:rsid w:val="6D9B1E51"/>
    <w:rsid w:val="6DF37AD6"/>
    <w:rsid w:val="6E382763"/>
    <w:rsid w:val="6E6A7525"/>
    <w:rsid w:val="6E9B0C60"/>
    <w:rsid w:val="6F35282D"/>
    <w:rsid w:val="6F7DAD4B"/>
    <w:rsid w:val="6FBDCD8A"/>
    <w:rsid w:val="6FD76303"/>
    <w:rsid w:val="700417EE"/>
    <w:rsid w:val="703E64E3"/>
    <w:rsid w:val="705A3C6F"/>
    <w:rsid w:val="707929C1"/>
    <w:rsid w:val="70BD7F95"/>
    <w:rsid w:val="70CE474E"/>
    <w:rsid w:val="7139707D"/>
    <w:rsid w:val="719A09DE"/>
    <w:rsid w:val="72170CD9"/>
    <w:rsid w:val="729456C5"/>
    <w:rsid w:val="730C0A49"/>
    <w:rsid w:val="73A81DB5"/>
    <w:rsid w:val="73CB47CA"/>
    <w:rsid w:val="73DB1524"/>
    <w:rsid w:val="73F46E1C"/>
    <w:rsid w:val="742B542B"/>
    <w:rsid w:val="744675ED"/>
    <w:rsid w:val="7556147F"/>
    <w:rsid w:val="755748DA"/>
    <w:rsid w:val="755D644F"/>
    <w:rsid w:val="76467535"/>
    <w:rsid w:val="76770A05"/>
    <w:rsid w:val="767A0FBD"/>
    <w:rsid w:val="773504DF"/>
    <w:rsid w:val="77400C32"/>
    <w:rsid w:val="775A0916"/>
    <w:rsid w:val="775E42E6"/>
    <w:rsid w:val="77B741E6"/>
    <w:rsid w:val="780515CF"/>
    <w:rsid w:val="780C30AD"/>
    <w:rsid w:val="78182ECC"/>
    <w:rsid w:val="782B4CE1"/>
    <w:rsid w:val="783A040A"/>
    <w:rsid w:val="783D79DF"/>
    <w:rsid w:val="788D289B"/>
    <w:rsid w:val="789B398A"/>
    <w:rsid w:val="78D43970"/>
    <w:rsid w:val="78E1748A"/>
    <w:rsid w:val="793F2C89"/>
    <w:rsid w:val="79A24936"/>
    <w:rsid w:val="79BC2ED9"/>
    <w:rsid w:val="79D6185E"/>
    <w:rsid w:val="79F14E2C"/>
    <w:rsid w:val="79F4531C"/>
    <w:rsid w:val="7A192418"/>
    <w:rsid w:val="7A716688"/>
    <w:rsid w:val="7A731719"/>
    <w:rsid w:val="7AB6702C"/>
    <w:rsid w:val="7AC44CB6"/>
    <w:rsid w:val="7B875081"/>
    <w:rsid w:val="7BC10C4F"/>
    <w:rsid w:val="7BFF909C"/>
    <w:rsid w:val="7C36570A"/>
    <w:rsid w:val="7C3A66A0"/>
    <w:rsid w:val="7C4D5F14"/>
    <w:rsid w:val="7C8B0BA1"/>
    <w:rsid w:val="7CB00608"/>
    <w:rsid w:val="7CDC4FC8"/>
    <w:rsid w:val="7CF20F04"/>
    <w:rsid w:val="7D051F47"/>
    <w:rsid w:val="7D8C697F"/>
    <w:rsid w:val="7DC72008"/>
    <w:rsid w:val="7E1965C9"/>
    <w:rsid w:val="7E484F9C"/>
    <w:rsid w:val="7F604826"/>
    <w:rsid w:val="7FB7532B"/>
    <w:rsid w:val="7FEFBD74"/>
    <w:rsid w:val="9D7CDA8E"/>
    <w:rsid w:val="A59F2591"/>
    <w:rsid w:val="B3F4D9B8"/>
    <w:rsid w:val="B9BF98CF"/>
    <w:rsid w:val="BF7FC19B"/>
    <w:rsid w:val="D7BEE743"/>
    <w:rsid w:val="D7DA4CA0"/>
    <w:rsid w:val="DFBF94F1"/>
    <w:rsid w:val="EFC7ED95"/>
    <w:rsid w:val="F56ECEFA"/>
    <w:rsid w:val="FB7F469D"/>
    <w:rsid w:val="FBFF8863"/>
    <w:rsid w:val="FF3DD7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5" w:lineRule="auto"/>
      <w:outlineLvl w:val="2"/>
    </w:pPr>
    <w:rPr>
      <w:b/>
      <w:bCs/>
      <w:kern w:val="0"/>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annotation text"/>
    <w:basedOn w:val="1"/>
    <w:link w:val="40"/>
    <w:qFormat/>
    <w:uiPriority w:val="0"/>
    <w:pPr>
      <w:jc w:val="left"/>
    </w:pPr>
  </w:style>
  <w:style w:type="paragraph" w:styleId="9">
    <w:name w:val="Body Text"/>
    <w:basedOn w:val="1"/>
    <w:next w:val="1"/>
    <w:qFormat/>
    <w:uiPriority w:val="0"/>
    <w:pPr>
      <w:spacing w:after="120"/>
    </w:pPr>
    <w:rPr>
      <w:kern w:val="0"/>
      <w:sz w:val="20"/>
    </w:rPr>
  </w:style>
  <w:style w:type="paragraph" w:styleId="10">
    <w:name w:val="Body Text Indent"/>
    <w:basedOn w:val="1"/>
    <w:next w:val="11"/>
    <w:qFormat/>
    <w:uiPriority w:val="0"/>
    <w:pPr>
      <w:spacing w:after="120"/>
      <w:ind w:left="420" w:leftChars="200"/>
    </w:pPr>
    <w:rPr>
      <w:kern w:val="0"/>
      <w:sz w:val="20"/>
    </w:rPr>
  </w:style>
  <w:style w:type="paragraph" w:styleId="11">
    <w:name w:val="envelope return"/>
    <w:basedOn w:val="1"/>
    <w:unhideWhenUsed/>
    <w:qFormat/>
    <w:uiPriority w:val="99"/>
    <w:pPr>
      <w:snapToGrid w:val="0"/>
    </w:pPr>
    <w:rPr>
      <w:rFonts w:ascii="Arial" w:hAnsi="Arial" w:cs="Arial"/>
    </w:rPr>
  </w:style>
  <w:style w:type="paragraph" w:styleId="12">
    <w:name w:val="Plain Text"/>
    <w:basedOn w:val="1"/>
    <w:qFormat/>
    <w:uiPriority w:val="0"/>
    <w:rPr>
      <w:rFonts w:ascii="宋体" w:hAnsi="Courier New"/>
    </w:rPr>
  </w:style>
  <w:style w:type="paragraph" w:styleId="13">
    <w:name w:val="Balloon Text"/>
    <w:basedOn w:val="1"/>
    <w:link w:val="39"/>
    <w:qFormat/>
    <w:uiPriority w:val="0"/>
    <w:rPr>
      <w:sz w:val="18"/>
      <w:szCs w:val="18"/>
    </w:rPr>
  </w:style>
  <w:style w:type="paragraph" w:styleId="14">
    <w:name w:val="footer"/>
    <w:basedOn w:val="1"/>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toc 2"/>
    <w:basedOn w:val="1"/>
    <w:next w:val="1"/>
    <w:qFormat/>
    <w:uiPriority w:val="39"/>
    <w:pPr>
      <w:ind w:left="210"/>
      <w:jc w:val="left"/>
    </w:pPr>
    <w:rPr>
      <w:rFonts w:ascii="Calibri" w:hAnsi="Calibri"/>
      <w:smallCaps/>
      <w:sz w:val="20"/>
      <w:szCs w:val="20"/>
    </w:rPr>
  </w:style>
  <w:style w:type="paragraph" w:styleId="18">
    <w:name w:val="Body Text 2"/>
    <w:basedOn w:val="1"/>
    <w:unhideWhenUsed/>
    <w:qFormat/>
    <w:uiPriority w:val="99"/>
    <w:pPr>
      <w:spacing w:after="120" w:line="480" w:lineRule="auto"/>
    </w:p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semiHidden/>
    <w:qFormat/>
    <w:uiPriority w:val="0"/>
    <w:pPr>
      <w:spacing w:line="360" w:lineRule="auto"/>
      <w:jc w:val="center"/>
    </w:pPr>
    <w:rPr>
      <w:rFonts w:ascii="宋体" w:hAnsi="Arial" w:cs="Arial"/>
      <w:b/>
      <w:color w:val="000000"/>
      <w:sz w:val="24"/>
    </w:rPr>
  </w:style>
  <w:style w:type="paragraph" w:styleId="21">
    <w:name w:val="annotation subject"/>
    <w:basedOn w:val="8"/>
    <w:next w:val="8"/>
    <w:link w:val="41"/>
    <w:qFormat/>
    <w:uiPriority w:val="0"/>
    <w:rPr>
      <w:b/>
      <w:bCs/>
    </w:rPr>
  </w:style>
  <w:style w:type="paragraph" w:styleId="22">
    <w:name w:val="Body Text First Indent"/>
    <w:basedOn w:val="9"/>
    <w:qFormat/>
    <w:uiPriority w:val="0"/>
    <w:pPr>
      <w:ind w:firstLine="420" w:firstLineChars="100"/>
    </w:pPr>
    <w:rPr>
      <w:rFonts w:ascii="Calibri" w:hAnsi="Calibri" w:eastAsia="方正仿宋_GBK"/>
      <w:sz w:val="32"/>
      <w:szCs w:val="20"/>
    </w:rPr>
  </w:style>
  <w:style w:type="paragraph" w:styleId="23">
    <w:name w:val="Body Text First Indent 2"/>
    <w:basedOn w:val="10"/>
    <w:next w:val="1"/>
    <w:unhideWhenUsed/>
    <w:qFormat/>
    <w:uiPriority w:val="0"/>
    <w:pPr>
      <w:ind w:firstLine="420"/>
    </w:pPr>
  </w:style>
  <w:style w:type="table" w:styleId="25">
    <w:name w:val="Table Grid"/>
    <w:basedOn w:val="2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Hyperlink"/>
    <w:basedOn w:val="26"/>
    <w:qFormat/>
    <w:uiPriority w:val="0"/>
    <w:rPr>
      <w:color w:val="0000FF"/>
      <w:u w:val="single"/>
    </w:rPr>
  </w:style>
  <w:style w:type="character" w:styleId="29">
    <w:name w:val="annotation reference"/>
    <w:basedOn w:val="26"/>
    <w:qFormat/>
    <w:uiPriority w:val="0"/>
    <w:rPr>
      <w:sz w:val="21"/>
      <w:szCs w:val="21"/>
    </w:rPr>
  </w:style>
  <w:style w:type="paragraph" w:customStyle="1" w:styleId="30">
    <w:name w:val="font10"/>
    <w:basedOn w:val="1"/>
    <w:qFormat/>
    <w:uiPriority w:val="0"/>
    <w:pPr>
      <w:widowControl/>
      <w:spacing w:before="100" w:beforeAutospacing="1" w:after="100" w:afterAutospacing="1"/>
      <w:jc w:val="left"/>
    </w:pPr>
    <w:rPr>
      <w:kern w:val="0"/>
      <w:sz w:val="28"/>
      <w:szCs w:val="28"/>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标题 2 字符"/>
    <w:link w:val="3"/>
    <w:qFormat/>
    <w:uiPriority w:val="0"/>
    <w:rPr>
      <w:rFonts w:ascii="Arial" w:hAnsi="Arial" w:eastAsia="黑体"/>
      <w:b/>
      <w:bCs/>
      <w:kern w:val="0"/>
      <w:sz w:val="32"/>
      <w:szCs w:val="32"/>
    </w:rPr>
  </w:style>
  <w:style w:type="character" w:customStyle="1" w:styleId="33">
    <w:name w:val="标题 1 字符"/>
    <w:link w:val="2"/>
    <w:qFormat/>
    <w:uiPriority w:val="0"/>
    <w:rPr>
      <w:b/>
      <w:bCs/>
      <w:kern w:val="44"/>
      <w:sz w:val="44"/>
      <w:szCs w:val="44"/>
    </w:rPr>
  </w:style>
  <w:style w:type="paragraph" w:styleId="34">
    <w:name w:val="List Paragraph"/>
    <w:basedOn w:val="1"/>
    <w:qFormat/>
    <w:uiPriority w:val="99"/>
    <w:pPr>
      <w:ind w:firstLine="420" w:firstLineChars="200"/>
    </w:pPr>
  </w:style>
  <w:style w:type="paragraph" w:customStyle="1" w:styleId="35">
    <w:name w:val="Table Paragraph"/>
    <w:basedOn w:val="1"/>
    <w:qFormat/>
    <w:uiPriority w:val="1"/>
  </w:style>
  <w:style w:type="paragraph" w:customStyle="1" w:styleId="36">
    <w:name w:val="*正文"/>
    <w:basedOn w:val="1"/>
    <w:qFormat/>
    <w:uiPriority w:val="0"/>
    <w:pPr>
      <w:widowControl/>
      <w:ind w:firstLine="200" w:firstLineChars="200"/>
    </w:pPr>
    <w:rPr>
      <w:rFonts w:ascii="仿宋_GB2312" w:eastAsia="仿宋_GB2312" w:cstheme="minorBidi"/>
      <w:sz w:val="24"/>
      <w:szCs w:val="28"/>
    </w:rPr>
  </w:style>
  <w:style w:type="paragraph" w:customStyle="1" w:styleId="37">
    <w:name w:val="表体"/>
    <w:basedOn w:val="1"/>
    <w:next w:val="1"/>
    <w:qFormat/>
    <w:uiPriority w:val="0"/>
    <w:pPr>
      <w:snapToGrid w:val="0"/>
      <w:spacing w:line="0" w:lineRule="atLeast"/>
    </w:pPr>
    <w:rPr>
      <w:b/>
      <w:szCs w:val="20"/>
    </w:rPr>
  </w:style>
  <w:style w:type="paragraph" w:customStyle="1" w:styleId="38">
    <w:name w:val="文档正文"/>
    <w:basedOn w:val="1"/>
    <w:qFormat/>
    <w:uiPriority w:val="0"/>
    <w:pPr>
      <w:adjustRightInd w:val="0"/>
      <w:spacing w:line="480" w:lineRule="atLeast"/>
      <w:ind w:firstLine="567"/>
    </w:pPr>
    <w:rPr>
      <w:rFonts w:ascii="长城仿宋"/>
      <w:kern w:val="0"/>
      <w:sz w:val="24"/>
      <w:szCs w:val="20"/>
    </w:rPr>
  </w:style>
  <w:style w:type="character" w:customStyle="1" w:styleId="39">
    <w:name w:val="批注框文本 字符"/>
    <w:basedOn w:val="26"/>
    <w:link w:val="13"/>
    <w:qFormat/>
    <w:uiPriority w:val="0"/>
    <w:rPr>
      <w:kern w:val="2"/>
      <w:sz w:val="18"/>
      <w:szCs w:val="18"/>
    </w:rPr>
  </w:style>
  <w:style w:type="character" w:customStyle="1" w:styleId="40">
    <w:name w:val="批注文字 字符"/>
    <w:basedOn w:val="26"/>
    <w:link w:val="8"/>
    <w:qFormat/>
    <w:uiPriority w:val="0"/>
    <w:rPr>
      <w:kern w:val="2"/>
      <w:sz w:val="21"/>
      <w:szCs w:val="24"/>
    </w:rPr>
  </w:style>
  <w:style w:type="character" w:customStyle="1" w:styleId="41">
    <w:name w:val="批注主题 字符"/>
    <w:basedOn w:val="40"/>
    <w:link w:val="21"/>
    <w:qFormat/>
    <w:uiPriority w:val="0"/>
    <w:rPr>
      <w:b/>
      <w:bCs/>
      <w:kern w:val="2"/>
      <w:sz w:val="21"/>
      <w:szCs w:val="24"/>
    </w:rPr>
  </w:style>
  <w:style w:type="paragraph" w:customStyle="1" w:styleId="42">
    <w:name w:val="标题3"/>
    <w:basedOn w:val="1"/>
    <w:qFormat/>
    <w:uiPriority w:val="0"/>
    <w:pPr>
      <w:numPr>
        <w:ilvl w:val="2"/>
        <w:numId w:val="1"/>
      </w:numPr>
      <w:adjustRightInd w:val="0"/>
      <w:snapToGrid w:val="0"/>
      <w:ind w:firstLineChars="0"/>
      <w:outlineLvl w:val="2"/>
    </w:pPr>
    <w:rPr>
      <w:b/>
      <w:sz w:val="30"/>
    </w:rPr>
  </w:style>
  <w:style w:type="paragraph" w:customStyle="1" w:styleId="43">
    <w:name w:val="标题4"/>
    <w:basedOn w:val="1"/>
    <w:qFormat/>
    <w:uiPriority w:val="0"/>
    <w:pPr>
      <w:numPr>
        <w:ilvl w:val="3"/>
        <w:numId w:val="1"/>
      </w:numPr>
      <w:ind w:firstLineChars="0"/>
      <w:outlineLvl w:val="3"/>
    </w:pPr>
    <w:rPr>
      <w:b/>
      <w:sz w:val="28"/>
    </w:rPr>
  </w:style>
  <w:style w:type="paragraph" w:customStyle="1" w:styleId="44">
    <w:name w:val="标题5"/>
    <w:basedOn w:val="43"/>
    <w:qFormat/>
    <w:uiPriority w:val="0"/>
    <w:pPr>
      <w:numPr>
        <w:ilvl w:val="4"/>
      </w:numPr>
      <w:outlineLvl w:val="4"/>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16561</Words>
  <Characters>17345</Characters>
  <Lines>112</Lines>
  <Paragraphs>31</Paragraphs>
  <TotalTime>15</TotalTime>
  <ScaleCrop>false</ScaleCrop>
  <LinksUpToDate>false</LinksUpToDate>
  <CharactersWithSpaces>18351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2024-11-04T03:27:00Z</dcterms:created>
  <dc:creator>Kevin</dc:creator>
  <cp:lastModifiedBy>Kevin</cp:lastModifiedBy>
  <dcterms:modified xsi:type="dcterms:W3CDTF">2024-12-02T06:40:08Z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7ECF29CE477142FF810CD3E5C6CDE642_13</vt:lpwstr>
  </property>
</Properties>
</file>