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color w:val="auto"/>
          <w:kern w:val="0"/>
          <w:sz w:val="32"/>
          <w:szCs w:val="32"/>
          <w:highlight w:val="none"/>
          <w:u w:val="none"/>
          <w:lang w:eastAsia="zh-CN"/>
        </w:rPr>
      </w:pPr>
      <w:bookmarkStart w:id="0" w:name="_Toc536781693"/>
      <w:bookmarkStart w:id="1" w:name="_Toc37531048"/>
      <w:bookmarkStart w:id="2" w:name="_Toc536628229"/>
      <w:bookmarkStart w:id="3" w:name="_Toc28400"/>
      <w:bookmarkStart w:id="4" w:name="_Toc536621766"/>
      <w:bookmarkStart w:id="5" w:name="_Toc509218549"/>
      <w:bookmarkStart w:id="6" w:name="_Toc536782092"/>
      <w:bookmarkStart w:id="7" w:name="_Toc43278824"/>
      <w:bookmarkStart w:id="8" w:name="_Toc536800622"/>
      <w:bookmarkStart w:id="9" w:name="_Toc287620665"/>
      <w:bookmarkStart w:id="486" w:name="_GoBack"/>
      <w:bookmarkEnd w:id="486"/>
      <w:r>
        <w:rPr>
          <w:rFonts w:hint="eastAsia" w:ascii="宋体" w:hAnsi="宋体" w:eastAsia="宋体" w:cs="宋体"/>
          <w:color w:val="auto"/>
          <w:kern w:val="0"/>
          <w:sz w:val="32"/>
          <w:szCs w:val="32"/>
          <w:highlight w:val="none"/>
          <w:u w:val="none"/>
          <w:lang w:eastAsia="zh-CN"/>
        </w:rPr>
        <w:t>三环高速公路陈食至油溪段项目供配电系统工程专项分包采购</w:t>
      </w:r>
    </w:p>
    <w:p>
      <w:pPr>
        <w:spacing w:line="360" w:lineRule="auto"/>
        <w:jc w:val="both"/>
        <w:rPr>
          <w:rFonts w:hint="eastAsia" w:ascii="宋体" w:hAnsi="宋体" w:eastAsia="宋体" w:cs="宋体"/>
          <w:color w:val="auto"/>
          <w:kern w:val="0"/>
          <w:sz w:val="32"/>
          <w:szCs w:val="32"/>
          <w:highlight w:val="none"/>
          <w:u w:val="single"/>
          <w:lang w:val="en-US" w:eastAsia="zh-CN"/>
        </w:rPr>
      </w:pPr>
      <w:r>
        <w:rPr>
          <w:rFonts w:hint="eastAsia" w:ascii="宋体" w:hAnsi="宋体" w:eastAsia="宋体" w:cs="宋体"/>
          <w:color w:val="auto"/>
          <w:kern w:val="0"/>
          <w:sz w:val="32"/>
          <w:szCs w:val="32"/>
          <w:highlight w:val="none"/>
          <w:u w:val="none"/>
          <w:lang w:eastAsia="zh-CN"/>
        </w:rPr>
        <w:t>招标编号：0611-2400780205A</w:t>
      </w: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招 标 文 件</w:t>
      </w:r>
    </w:p>
    <w:p>
      <w:pPr>
        <w:autoSpaceDE w:val="0"/>
        <w:autoSpaceDN w:val="0"/>
        <w:adjustRightInd w:val="0"/>
        <w:snapToGrid w:val="0"/>
        <w:spacing w:line="360" w:lineRule="auto"/>
        <w:jc w:val="left"/>
        <w:rPr>
          <w:rFonts w:hint="eastAsia" w:ascii="宋体" w:hAnsi="宋体" w:eastAsia="宋体" w:cs="宋体"/>
          <w:color w:val="auto"/>
          <w:kern w:val="0"/>
          <w:sz w:val="10"/>
          <w:szCs w:val="1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color w:val="auto"/>
          <w:kern w:val="0"/>
          <w:sz w:val="20"/>
          <w:szCs w:val="20"/>
          <w:highlight w:val="none"/>
        </w:rPr>
      </w:pPr>
    </w:p>
    <w:p>
      <w:pPr>
        <w:rPr>
          <w:rFonts w:hint="eastAsia" w:ascii="宋体" w:hAnsi="宋体" w:eastAsia="宋体" w:cs="宋体"/>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tabs>
          <w:tab w:val="left" w:pos="6219"/>
        </w:tabs>
        <w:autoSpaceDE w:val="0"/>
        <w:autoSpaceDN w:val="0"/>
        <w:adjustRightInd w:val="0"/>
        <w:snapToGrid w:val="0"/>
        <w:spacing w:line="360" w:lineRule="auto"/>
        <w:jc w:val="center"/>
        <w:rPr>
          <w:rFonts w:hint="eastAsia" w:ascii="宋体" w:hAnsi="宋体" w:eastAsia="宋体" w:cs="宋体"/>
          <w:b/>
          <w:color w:val="auto"/>
          <w:w w:val="99"/>
          <w:kern w:val="0"/>
          <w:sz w:val="28"/>
          <w:szCs w:val="28"/>
          <w:highlight w:val="none"/>
        </w:rPr>
      </w:pPr>
      <w:r>
        <w:rPr>
          <w:rFonts w:hint="eastAsia" w:ascii="宋体" w:hAnsi="宋体" w:eastAsia="宋体" w:cs="宋体"/>
          <w:b/>
          <w:color w:val="auto"/>
          <w:w w:val="99"/>
          <w:kern w:val="0"/>
          <w:sz w:val="28"/>
          <w:szCs w:val="28"/>
          <w:highlight w:val="none"/>
        </w:rPr>
        <w:t>招　　标　 人：</w:t>
      </w:r>
      <w:r>
        <w:rPr>
          <w:rFonts w:hint="eastAsia" w:ascii="宋体" w:hAnsi="宋体" w:eastAsia="宋体" w:cs="宋体"/>
          <w:b/>
          <w:color w:val="auto"/>
          <w:w w:val="99"/>
          <w:kern w:val="0"/>
          <w:sz w:val="28"/>
          <w:szCs w:val="28"/>
          <w:highlight w:val="none"/>
          <w:u w:val="single"/>
          <w:lang w:val="en-US" w:eastAsia="zh-CN"/>
        </w:rPr>
        <w:t>重庆首讯科技股份有限公司</w:t>
      </w:r>
      <w:r>
        <w:rPr>
          <w:rFonts w:hint="eastAsia" w:ascii="宋体" w:hAnsi="宋体" w:eastAsia="宋体" w:cs="宋体"/>
          <w:b/>
          <w:color w:val="auto"/>
          <w:w w:val="99"/>
          <w:kern w:val="0"/>
          <w:sz w:val="28"/>
          <w:szCs w:val="28"/>
          <w:highlight w:val="none"/>
        </w:rPr>
        <w:t>（盖单位法人章）</w:t>
      </w:r>
    </w:p>
    <w:p>
      <w:pPr>
        <w:keepNext w:val="0"/>
        <w:keepLines w:val="0"/>
        <w:widowControl w:val="0"/>
        <w:suppressLineNumbers w:val="0"/>
        <w:tabs>
          <w:tab w:val="left" w:pos="6252"/>
        </w:tabs>
        <w:autoSpaceDE w:val="0"/>
        <w:autoSpaceDN w:val="0"/>
        <w:adjustRightInd w:val="0"/>
        <w:snapToGrid w:val="0"/>
        <w:spacing w:before="0" w:beforeAutospacing="0" w:after="0" w:afterAutospacing="0" w:line="360" w:lineRule="auto"/>
        <w:ind w:left="0" w:right="0"/>
        <w:jc w:val="both"/>
        <w:rPr>
          <w:rFonts w:hint="eastAsia" w:ascii="宋体" w:hAnsi="宋体" w:eastAsia="宋体" w:cs="宋体"/>
          <w:b/>
          <w:color w:val="auto"/>
          <w:w w:val="99"/>
          <w:kern w:val="0"/>
          <w:sz w:val="28"/>
          <w:szCs w:val="28"/>
          <w:highlight w:val="none"/>
        </w:rPr>
      </w:pPr>
      <w:r>
        <w:rPr>
          <w:rFonts w:hint="eastAsia" w:ascii="宋体" w:hAnsi="宋体" w:eastAsia="宋体" w:cs="宋体"/>
          <w:b/>
          <w:color w:val="auto"/>
          <w:spacing w:val="8"/>
          <w:kern w:val="0"/>
          <w:sz w:val="28"/>
          <w:szCs w:val="28"/>
          <w:highlight w:val="none"/>
        </w:rPr>
        <w:t xml:space="preserve"> </w:t>
      </w:r>
      <w:r>
        <w:rPr>
          <w:rFonts w:hint="eastAsia" w:ascii="宋体" w:hAnsi="宋体" w:eastAsia="宋体" w:cs="宋体"/>
          <w:b/>
          <w:color w:val="auto"/>
          <w:spacing w:val="8"/>
          <w:kern w:val="0"/>
          <w:sz w:val="28"/>
          <w:szCs w:val="28"/>
          <w:highlight w:val="none"/>
          <w:lang w:val="en-US" w:eastAsia="zh-CN"/>
        </w:rPr>
        <w:t xml:space="preserve">    </w:t>
      </w:r>
      <w:r>
        <w:rPr>
          <w:rFonts w:hint="eastAsia" w:ascii="宋体" w:hAnsi="宋体" w:eastAsia="宋体" w:cs="宋体"/>
          <w:b/>
          <w:color w:val="auto"/>
          <w:spacing w:val="8"/>
          <w:kern w:val="0"/>
          <w:sz w:val="28"/>
          <w:szCs w:val="28"/>
          <w:highlight w:val="none"/>
        </w:rPr>
        <w:t xml:space="preserve"> 招标代理机构：</w:t>
      </w:r>
      <w:r>
        <w:rPr>
          <w:rFonts w:hint="eastAsia" w:ascii="宋体" w:hAnsi="宋体" w:eastAsia="宋体" w:cs="宋体"/>
          <w:b/>
          <w:color w:val="auto"/>
          <w:spacing w:val="8"/>
          <w:kern w:val="0"/>
          <w:sz w:val="28"/>
          <w:szCs w:val="28"/>
          <w:highlight w:val="none"/>
          <w:u w:val="single"/>
          <w:lang w:val="en-US" w:eastAsia="zh-CN"/>
        </w:rPr>
        <w:t>重庆市投资咨询有限公司</w:t>
      </w:r>
      <w:r>
        <w:rPr>
          <w:rFonts w:hint="eastAsia" w:ascii="宋体" w:hAnsi="宋体" w:eastAsia="宋体" w:cs="宋体"/>
          <w:b/>
          <w:color w:val="auto"/>
          <w:w w:val="99"/>
          <w:kern w:val="0"/>
          <w:sz w:val="28"/>
          <w:szCs w:val="28"/>
          <w:highlight w:val="none"/>
        </w:rPr>
        <w:t>（盖单位法人章）</w:t>
      </w:r>
    </w:p>
    <w:p>
      <w:pPr>
        <w:autoSpaceDE w:val="0"/>
        <w:autoSpaceDN w:val="0"/>
        <w:adjustRightInd w:val="0"/>
        <w:snapToGrid w:val="0"/>
        <w:spacing w:line="360" w:lineRule="auto"/>
        <w:jc w:val="center"/>
        <w:rPr>
          <w:rFonts w:hint="eastAsia" w:ascii="宋体" w:hAnsi="宋体" w:eastAsia="宋体" w:cs="宋体"/>
          <w:b/>
          <w:color w:val="auto"/>
          <w:kern w:val="0"/>
          <w:sz w:val="28"/>
          <w:szCs w:val="28"/>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u w:val="single"/>
          <w:lang w:val="en-US" w:eastAsia="zh-CN"/>
        </w:rPr>
        <w:t>2024</w:t>
      </w:r>
      <w:r>
        <w:rPr>
          <w:rFonts w:hint="eastAsia" w:ascii="宋体" w:hAnsi="宋体" w:eastAsia="宋体" w:cs="宋体"/>
          <w:b/>
          <w:bCs/>
          <w:color w:val="auto"/>
          <w:sz w:val="24"/>
          <w:highlight w:val="none"/>
        </w:rPr>
        <w:t>年</w:t>
      </w:r>
      <w:r>
        <w:rPr>
          <w:rFonts w:hint="eastAsia" w:ascii="宋体" w:hAnsi="宋体" w:eastAsia="宋体" w:cs="宋体"/>
          <w:b/>
          <w:bCs/>
          <w:color w:val="auto"/>
          <w:sz w:val="24"/>
          <w:highlight w:val="none"/>
          <w:u w:val="single"/>
          <w:lang w:val="en-US" w:eastAsia="zh-CN"/>
        </w:rPr>
        <w:t>3</w:t>
      </w:r>
      <w:r>
        <w:rPr>
          <w:rFonts w:hint="eastAsia" w:ascii="宋体" w:hAnsi="宋体" w:eastAsia="宋体" w:cs="宋体"/>
          <w:b/>
          <w:bCs/>
          <w:color w:val="auto"/>
          <w:sz w:val="24"/>
          <w:highlight w:val="none"/>
        </w:rPr>
        <w:t>月</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jc w:val="center"/>
        <w:rPr>
          <w:rFonts w:hint="eastAsia" w:ascii="宋体" w:hAnsi="宋体" w:eastAsia="宋体" w:cs="宋体"/>
          <w:b/>
          <w:color w:val="auto"/>
          <w:kern w:val="0"/>
          <w:sz w:val="20"/>
          <w:szCs w:val="20"/>
          <w:highlight w:val="none"/>
        </w:rPr>
      </w:pPr>
    </w:p>
    <w:p>
      <w:pPr>
        <w:pStyle w:val="3"/>
        <w:spacing w:line="360" w:lineRule="auto"/>
        <w:rPr>
          <w:rFonts w:hint="eastAsia" w:ascii="宋体" w:hAnsi="宋体" w:eastAsia="宋体" w:cs="宋体"/>
          <w:color w:val="auto"/>
          <w:spacing w:val="8"/>
          <w:kern w:val="0"/>
          <w:sz w:val="28"/>
          <w:szCs w:val="28"/>
          <w:highlight w:val="none"/>
          <w:u w:val="single"/>
        </w:rPr>
        <w:sectPr>
          <w:headerReference r:id="rId3" w:type="default"/>
          <w:pgSz w:w="11907" w:h="16840"/>
          <w:pgMar w:top="1304" w:right="1134" w:bottom="1304" w:left="1304" w:header="851" w:footer="992" w:gutter="0"/>
          <w:pgNumType w:start="1"/>
          <w:cols w:space="720" w:num="1"/>
          <w:docGrid w:linePitch="312" w:charSpace="0"/>
        </w:sectPr>
      </w:pPr>
    </w:p>
    <w:bookmarkEnd w:id="9"/>
    <w:p>
      <w:pPr>
        <w:pStyle w:val="45"/>
        <w:jc w:val="center"/>
        <w:rPr>
          <w:rFonts w:hint="eastAsia" w:ascii="宋体" w:hAnsi="宋体" w:eastAsia="宋体" w:cs="宋体"/>
          <w:color w:val="auto"/>
          <w:sz w:val="44"/>
          <w:szCs w:val="44"/>
          <w:highlight w:val="none"/>
        </w:rPr>
      </w:pPr>
      <w:bookmarkStart w:id="10" w:name="_Toc430530414"/>
      <w:r>
        <w:rPr>
          <w:rFonts w:hint="eastAsia" w:ascii="宋体" w:hAnsi="宋体" w:eastAsia="宋体" w:cs="宋体"/>
          <w:color w:val="auto"/>
          <w:sz w:val="44"/>
          <w:szCs w:val="44"/>
          <w:highlight w:val="none"/>
          <w:lang w:val="zh-CN"/>
        </w:rPr>
        <w:t>目</w:t>
      </w:r>
      <w:r>
        <w:rPr>
          <w:rFonts w:hint="eastAsia" w:ascii="宋体" w:hAnsi="宋体" w:eastAsia="宋体" w:cs="宋体"/>
          <w:color w:val="auto"/>
          <w:sz w:val="44"/>
          <w:szCs w:val="44"/>
          <w:highlight w:val="none"/>
        </w:rPr>
        <w:t xml:space="preserve"> </w:t>
      </w:r>
      <w:r>
        <w:rPr>
          <w:rFonts w:hint="eastAsia" w:ascii="宋体" w:hAnsi="宋体" w:eastAsia="宋体" w:cs="宋体"/>
          <w:color w:val="auto"/>
          <w:sz w:val="44"/>
          <w:szCs w:val="44"/>
          <w:highlight w:val="none"/>
          <w:lang w:val="zh-CN"/>
        </w:rPr>
        <w:t>录</w:t>
      </w:r>
    </w:p>
    <w:p>
      <w:pPr>
        <w:pStyle w:val="24"/>
        <w:tabs>
          <w:tab w:val="right" w:leader="dot" w:pos="9469"/>
        </w:tabs>
        <w:rPr>
          <w:rFonts w:hint="eastAsia" w:ascii="宋体" w:hAnsi="宋体" w:eastAsia="宋体" w:cs="宋体"/>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_Toc5207 </w:instrText>
      </w:r>
      <w:r>
        <w:rPr>
          <w:rFonts w:hint="eastAsia" w:ascii="宋体" w:hAnsi="宋体" w:eastAsia="宋体" w:cs="宋体"/>
          <w:szCs w:val="21"/>
          <w:highlight w:val="none"/>
        </w:rPr>
        <w:fldChar w:fldCharType="separate"/>
      </w:r>
      <w:r>
        <w:rPr>
          <w:rFonts w:hint="eastAsia" w:ascii="宋体" w:hAnsi="宋体" w:eastAsia="宋体" w:cs="宋体"/>
          <w:szCs w:val="52"/>
          <w:highlight w:val="none"/>
        </w:rPr>
        <w:t>第 一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_Toc5207 \h </w:instrText>
      </w:r>
      <w:r>
        <w:rPr>
          <w:rFonts w:hint="eastAsia" w:ascii="宋体" w:hAnsi="宋体" w:eastAsia="宋体" w:cs="宋体"/>
          <w:highlight w:val="none"/>
        </w:rPr>
        <w:fldChar w:fldCharType="separate"/>
      </w:r>
      <w:r>
        <w:rPr>
          <w:rFonts w:hint="eastAsia" w:ascii="宋体" w:hAnsi="宋体" w:eastAsia="宋体" w:cs="宋体"/>
          <w:highlight w:val="none"/>
        </w:rPr>
        <w:t>4</w:t>
      </w:r>
      <w:r>
        <w:rPr>
          <w:rFonts w:hint="eastAsia" w:ascii="宋体" w:hAnsi="宋体" w:eastAsia="宋体" w:cs="宋体"/>
          <w:highlight w:val="none"/>
        </w:rPr>
        <w:fldChar w:fldCharType="end"/>
      </w:r>
      <w:r>
        <w:rPr>
          <w:rFonts w:hint="eastAsia" w:ascii="宋体" w:hAnsi="宋体" w:eastAsia="宋体" w:cs="宋体"/>
          <w:color w:val="auto"/>
          <w:szCs w:val="21"/>
          <w:highlight w:val="none"/>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_Toc25106 </w:instrText>
      </w:r>
      <w:r>
        <w:rPr>
          <w:rFonts w:hint="eastAsia" w:ascii="宋体" w:hAnsi="宋体" w:eastAsia="宋体" w:cs="宋体"/>
          <w:bCs/>
          <w:szCs w:val="21"/>
          <w:highlight w:val="none"/>
          <w:lang w:val="zh-CN"/>
        </w:rPr>
        <w:fldChar w:fldCharType="separate"/>
      </w:r>
      <w:r>
        <w:rPr>
          <w:rFonts w:hint="eastAsia" w:ascii="宋体" w:hAnsi="宋体" w:eastAsia="宋体" w:cs="宋体"/>
          <w:snapToGrid w:val="0"/>
          <w:kern w:val="0"/>
          <w:highlight w:val="none"/>
        </w:rPr>
        <w:t>第一章  招标公告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_Toc25106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_Toc14110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1. 招标条件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_Toc14110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_Toc14641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2. 项目概况与招标范围</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_Toc14641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_Toc15239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3. 投标人资格要求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_Toc15239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_Toc13892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4.评标办法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_Toc13892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5.</w:t>
      </w:r>
      <w:r>
        <w:rPr>
          <w:rFonts w:hint="eastAsia" w:ascii="宋体" w:hAnsi="宋体" w:eastAsia="宋体" w:cs="宋体"/>
          <w:bCs w:val="0"/>
          <w:snapToGrid w:val="0"/>
          <w:szCs w:val="24"/>
          <w:highlight w:val="none"/>
        </w:rPr>
        <w:t>招标文件的获取</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_Toc11902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_Toc878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6</w:t>
      </w:r>
      <w:r>
        <w:rPr>
          <w:rFonts w:hint="eastAsia" w:ascii="宋体" w:hAnsi="宋体" w:eastAsia="宋体" w:cs="宋体"/>
          <w:bCs w:val="0"/>
          <w:snapToGrid w:val="0"/>
          <w:szCs w:val="24"/>
          <w:highlight w:val="none"/>
        </w:rPr>
        <w:t>. 投标文件的递交</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_Toc878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_Toc9976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7</w:t>
      </w:r>
      <w:r>
        <w:rPr>
          <w:rFonts w:hint="eastAsia" w:ascii="宋体" w:hAnsi="宋体" w:eastAsia="宋体" w:cs="宋体"/>
          <w:bCs w:val="0"/>
          <w:snapToGrid w:val="0"/>
          <w:szCs w:val="24"/>
          <w:highlight w:val="none"/>
        </w:rPr>
        <w:t>. 发布公告的媒介</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_Toc9976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_Toc959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8.联系方式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_Toc959 \h </w:instrText>
      </w:r>
      <w:r>
        <w:rPr>
          <w:rFonts w:hint="eastAsia" w:ascii="宋体" w:hAnsi="宋体" w:eastAsia="宋体" w:cs="宋体"/>
          <w:highlight w:val="none"/>
        </w:rPr>
        <w:fldChar w:fldCharType="separate"/>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_Toc19432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第二章  投标人须知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_Toc19432 \h </w:instrText>
      </w:r>
      <w:r>
        <w:rPr>
          <w:rFonts w:hint="eastAsia" w:ascii="宋体" w:hAnsi="宋体" w:eastAsia="宋体" w:cs="宋体"/>
          <w:highlight w:val="none"/>
        </w:rPr>
        <w:fldChar w:fldCharType="separate"/>
      </w:r>
      <w:r>
        <w:rPr>
          <w:rFonts w:hint="eastAsia" w:ascii="宋体" w:hAnsi="宋体" w:eastAsia="宋体" w:cs="宋体"/>
          <w:highlight w:val="none"/>
        </w:rPr>
        <w:t>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_Toc31199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投标人须知前附表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_Toc31199 \h </w:instrText>
      </w:r>
      <w:r>
        <w:rPr>
          <w:rFonts w:hint="eastAsia" w:ascii="宋体" w:hAnsi="宋体" w:eastAsia="宋体" w:cs="宋体"/>
          <w:highlight w:val="none"/>
        </w:rPr>
        <w:fldChar w:fldCharType="separate"/>
      </w:r>
      <w:r>
        <w:rPr>
          <w:rFonts w:hint="eastAsia" w:ascii="宋体" w:hAnsi="宋体" w:eastAsia="宋体" w:cs="宋体"/>
          <w:highlight w:val="none"/>
        </w:rPr>
        <w:t>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_Toc14038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总则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_Toc14038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_Toc23752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 项目概况</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_Toc23752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1.2 招标项目的资金来源和落实情况</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_Toc5007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1.3 招标范围、计划工期、质量要求和安全目标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_Toc5007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_Toc27158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投标人资格要求（适用于已进行资格预审的）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_Toc27158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_Toc22615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投标人资格要求（适用于未进行资格预审的）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_Toc22615 \h </w:instrText>
      </w:r>
      <w:r>
        <w:rPr>
          <w:rFonts w:hint="eastAsia" w:ascii="宋体" w:hAnsi="宋体" w:eastAsia="宋体" w:cs="宋体"/>
          <w:highlight w:val="none"/>
        </w:rPr>
        <w:fldChar w:fldCharType="separate"/>
      </w:r>
      <w:r>
        <w:rPr>
          <w:rFonts w:hint="eastAsia" w:ascii="宋体" w:hAnsi="宋体" w:eastAsia="宋体" w:cs="宋体"/>
          <w:highlight w:val="none"/>
        </w:rPr>
        <w:t>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1.5 费用承担</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_Toc2758 \h </w:instrText>
      </w:r>
      <w:r>
        <w:rPr>
          <w:rFonts w:hint="eastAsia" w:ascii="宋体" w:hAnsi="宋体" w:eastAsia="宋体" w:cs="宋体"/>
          <w:highlight w:val="none"/>
        </w:rPr>
        <w:fldChar w:fldCharType="separate"/>
      </w:r>
      <w:r>
        <w:rPr>
          <w:rFonts w:hint="eastAsia" w:ascii="宋体" w:hAnsi="宋体" w:eastAsia="宋体" w:cs="宋体"/>
          <w:highlight w:val="none"/>
        </w:rPr>
        <w:t>24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_Toc17365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1.6 保密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_Toc17365 \h </w:instrText>
      </w:r>
      <w:r>
        <w:rPr>
          <w:rFonts w:hint="eastAsia" w:ascii="宋体" w:hAnsi="宋体" w:eastAsia="宋体" w:cs="宋体"/>
          <w:highlight w:val="none"/>
        </w:rPr>
        <w:fldChar w:fldCharType="separate"/>
      </w:r>
      <w:r>
        <w:rPr>
          <w:rFonts w:hint="eastAsia" w:ascii="宋体" w:hAnsi="宋体" w:eastAsia="宋体" w:cs="宋体"/>
          <w:highlight w:val="none"/>
        </w:rPr>
        <w:t>24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_Toc4034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1.7 语言文字</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_Toc4034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_Toc19995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1.8 计量单位</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_Toc19995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_Toc22117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1.9 踏勘现场</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_Toc22117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_Toc13945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1.10 投标预备会</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_Toc13945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1.11 分包</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_Toc8849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1.12 响应和偏差</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_Toc5053 \h </w:instrText>
      </w:r>
      <w:r>
        <w:rPr>
          <w:rFonts w:hint="eastAsia" w:ascii="宋体" w:hAnsi="宋体" w:eastAsia="宋体" w:cs="宋体"/>
          <w:highlight w:val="none"/>
        </w:rPr>
        <w:fldChar w:fldCharType="separate"/>
      </w:r>
      <w:r>
        <w:rPr>
          <w:rFonts w:hint="eastAsia" w:ascii="宋体" w:hAnsi="宋体" w:eastAsia="宋体" w:cs="宋体"/>
          <w:highlight w:val="none"/>
        </w:rPr>
        <w:t>26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_Toc20620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招标文件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_Toc20620 \h </w:instrText>
      </w:r>
      <w:r>
        <w:rPr>
          <w:rFonts w:hint="eastAsia" w:ascii="宋体" w:hAnsi="宋体" w:eastAsia="宋体" w:cs="宋体"/>
          <w:highlight w:val="none"/>
        </w:rPr>
        <w:fldChar w:fldCharType="separate"/>
      </w:r>
      <w:r>
        <w:rPr>
          <w:rFonts w:hint="eastAsia" w:ascii="宋体" w:hAnsi="宋体" w:eastAsia="宋体" w:cs="宋体"/>
          <w:highlight w:val="none"/>
        </w:rPr>
        <w:t>26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_Toc5912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招标文件的组成</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_Toc5912 \h </w:instrText>
      </w:r>
      <w:r>
        <w:rPr>
          <w:rFonts w:hint="eastAsia" w:ascii="宋体" w:hAnsi="宋体" w:eastAsia="宋体" w:cs="宋体"/>
          <w:highlight w:val="none"/>
        </w:rPr>
        <w:fldChar w:fldCharType="separate"/>
      </w:r>
      <w:r>
        <w:rPr>
          <w:rFonts w:hint="eastAsia" w:ascii="宋体" w:hAnsi="宋体" w:eastAsia="宋体" w:cs="宋体"/>
          <w:highlight w:val="none"/>
        </w:rPr>
        <w:t>26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招标文件的澄清</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_Toc699 \h </w:instrText>
      </w:r>
      <w:r>
        <w:rPr>
          <w:rFonts w:hint="eastAsia" w:ascii="宋体" w:hAnsi="宋体" w:eastAsia="宋体" w:cs="宋体"/>
          <w:highlight w:val="none"/>
        </w:rPr>
        <w:fldChar w:fldCharType="separate"/>
      </w:r>
      <w:r>
        <w:rPr>
          <w:rFonts w:hint="eastAsia" w:ascii="宋体" w:hAnsi="宋体" w:eastAsia="宋体" w:cs="宋体"/>
          <w:highlight w:val="none"/>
        </w:rPr>
        <w:t>27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_Toc8041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2.3 招标文件的修改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_Toc8041 \h </w:instrText>
      </w:r>
      <w:r>
        <w:rPr>
          <w:rFonts w:hint="eastAsia" w:ascii="宋体" w:hAnsi="宋体" w:eastAsia="宋体" w:cs="宋体"/>
          <w:highlight w:val="none"/>
        </w:rPr>
        <w:fldChar w:fldCharType="separate"/>
      </w:r>
      <w:r>
        <w:rPr>
          <w:rFonts w:hint="eastAsia" w:ascii="宋体" w:hAnsi="宋体" w:eastAsia="宋体" w:cs="宋体"/>
          <w:highlight w:val="none"/>
        </w:rPr>
        <w:t>27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_Toc4685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投标文件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_Toc4685 \h </w:instrText>
      </w:r>
      <w:r>
        <w:rPr>
          <w:rFonts w:hint="eastAsia" w:ascii="宋体" w:hAnsi="宋体" w:eastAsia="宋体" w:cs="宋体"/>
          <w:highlight w:val="none"/>
        </w:rPr>
        <w:fldChar w:fldCharType="separate"/>
      </w:r>
      <w:r>
        <w:rPr>
          <w:rFonts w:hint="eastAsia" w:ascii="宋体" w:hAnsi="宋体" w:eastAsia="宋体" w:cs="宋体"/>
          <w:highlight w:val="none"/>
        </w:rPr>
        <w:t>27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_Toc26570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3.1投标文件的组成</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_Toc26570 \h </w:instrText>
      </w:r>
      <w:r>
        <w:rPr>
          <w:rFonts w:hint="eastAsia" w:ascii="宋体" w:hAnsi="宋体" w:eastAsia="宋体" w:cs="宋体"/>
          <w:highlight w:val="none"/>
        </w:rPr>
        <w:fldChar w:fldCharType="separate"/>
      </w:r>
      <w:r>
        <w:rPr>
          <w:rFonts w:hint="eastAsia" w:ascii="宋体" w:hAnsi="宋体" w:eastAsia="宋体" w:cs="宋体"/>
          <w:highlight w:val="none"/>
        </w:rPr>
        <w:t>27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_Toc523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投标报价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_Toc523 \h </w:instrText>
      </w:r>
      <w:r>
        <w:rPr>
          <w:rFonts w:hint="eastAsia" w:ascii="宋体" w:hAnsi="宋体" w:eastAsia="宋体" w:cs="宋体"/>
          <w:highlight w:val="none"/>
        </w:rPr>
        <w:fldChar w:fldCharType="separate"/>
      </w:r>
      <w:r>
        <w:rPr>
          <w:rFonts w:hint="eastAsia" w:ascii="宋体" w:hAnsi="宋体" w:eastAsia="宋体" w:cs="宋体"/>
          <w:highlight w:val="none"/>
        </w:rPr>
        <w:t>28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_Toc13195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3.3投标有效期</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_Toc13195 \h </w:instrText>
      </w:r>
      <w:r>
        <w:rPr>
          <w:rFonts w:hint="eastAsia" w:ascii="宋体" w:hAnsi="宋体" w:eastAsia="宋体" w:cs="宋体"/>
          <w:highlight w:val="none"/>
        </w:rPr>
        <w:fldChar w:fldCharType="separate"/>
      </w:r>
      <w:r>
        <w:rPr>
          <w:rFonts w:hint="eastAsia" w:ascii="宋体" w:hAnsi="宋体" w:eastAsia="宋体" w:cs="宋体"/>
          <w:highlight w:val="none"/>
        </w:rPr>
        <w:t>28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_Toc27889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投标保证金</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_Toc27889 \h </w:instrText>
      </w:r>
      <w:r>
        <w:rPr>
          <w:rFonts w:hint="eastAsia" w:ascii="宋体" w:hAnsi="宋体" w:eastAsia="宋体" w:cs="宋体"/>
          <w:highlight w:val="none"/>
        </w:rPr>
        <w:fldChar w:fldCharType="separate"/>
      </w:r>
      <w:r>
        <w:rPr>
          <w:rFonts w:hint="eastAsia" w:ascii="宋体" w:hAnsi="宋体" w:eastAsia="宋体" w:cs="宋体"/>
          <w:highlight w:val="none"/>
        </w:rPr>
        <w:t>29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_Toc11009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 资格审查资料（适用于已进行资格预审的）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_Toc11009 \h </w:instrText>
      </w:r>
      <w:r>
        <w:rPr>
          <w:rFonts w:hint="eastAsia" w:ascii="宋体" w:hAnsi="宋体" w:eastAsia="宋体" w:cs="宋体"/>
          <w:highlight w:val="none"/>
        </w:rPr>
        <w:fldChar w:fldCharType="separate"/>
      </w:r>
      <w:r>
        <w:rPr>
          <w:rFonts w:hint="eastAsia" w:ascii="宋体" w:hAnsi="宋体" w:eastAsia="宋体" w:cs="宋体"/>
          <w:highlight w:val="none"/>
        </w:rPr>
        <w:t>29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_Toc30678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3.5资格审查资料（适用于</w:t>
      </w:r>
      <w:r>
        <w:rPr>
          <w:rFonts w:hint="eastAsia" w:ascii="宋体" w:hAnsi="宋体" w:eastAsia="宋体" w:cs="宋体"/>
          <w:szCs w:val="21"/>
          <w:highlight w:val="none"/>
          <w:lang w:val="en-US" w:eastAsia="zh-CN"/>
        </w:rPr>
        <w:t>未</w:t>
      </w:r>
      <w:r>
        <w:rPr>
          <w:rFonts w:hint="eastAsia" w:ascii="宋体" w:hAnsi="宋体" w:eastAsia="宋体" w:cs="宋体"/>
          <w:szCs w:val="21"/>
          <w:highlight w:val="none"/>
        </w:rPr>
        <w:t>进行资格预审的）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_Toc30678 \h </w:instrText>
      </w:r>
      <w:r>
        <w:rPr>
          <w:rFonts w:hint="eastAsia" w:ascii="宋体" w:hAnsi="宋体" w:eastAsia="宋体" w:cs="宋体"/>
          <w:highlight w:val="none"/>
        </w:rPr>
        <w:fldChar w:fldCharType="separate"/>
      </w:r>
      <w:r>
        <w:rPr>
          <w:rFonts w:hint="eastAsia" w:ascii="宋体" w:hAnsi="宋体" w:eastAsia="宋体" w:cs="宋体"/>
          <w:highlight w:val="none"/>
        </w:rPr>
        <w:t>30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_Toc12012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3.6 备选投标方案</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_Toc12012 \h </w:instrText>
      </w:r>
      <w:r>
        <w:rPr>
          <w:rFonts w:hint="eastAsia" w:ascii="宋体" w:hAnsi="宋体" w:eastAsia="宋体" w:cs="宋体"/>
          <w:highlight w:val="none"/>
        </w:rPr>
        <w:fldChar w:fldCharType="separate"/>
      </w:r>
      <w:r>
        <w:rPr>
          <w:rFonts w:hint="eastAsia" w:ascii="宋体" w:hAnsi="宋体" w:eastAsia="宋体" w:cs="宋体"/>
          <w:highlight w:val="none"/>
        </w:rPr>
        <w:t>31</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_Toc25781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3.7 投标文件的编制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_Toc25781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4. 投标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_Toc17771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_Toc9099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4.1 投标文件的密封和标识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_Toc9099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4.2投标文件的递交</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_Toc13585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4.3 投标文件的修改与撤回</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_Toc14014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_Toc8491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5. 开标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_Toc8491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_Toc7416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5.1 开标时间和地点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_Toc7416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_Toc7171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5.2开标程序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_Toc7171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_Toc7297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5.3 开标异议</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_Toc7297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_Toc25435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6. 评标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_Toc25435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_Toc12863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6.1 评标委员会</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_Toc12863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_Toc9708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6.2 评标原则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_Toc9708 \h </w:instrText>
      </w:r>
      <w:r>
        <w:rPr>
          <w:rFonts w:hint="eastAsia" w:ascii="宋体" w:hAnsi="宋体" w:eastAsia="宋体" w:cs="宋体"/>
          <w:highlight w:val="none"/>
        </w:rPr>
        <w:fldChar w:fldCharType="separate"/>
      </w:r>
      <w:r>
        <w:rPr>
          <w:rFonts w:hint="eastAsia" w:ascii="宋体" w:hAnsi="宋体" w:eastAsia="宋体" w:cs="宋体"/>
          <w:highlight w:val="none"/>
        </w:rPr>
        <w:t>33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6.3 评标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_Toc2510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_Toc16792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7. 合同授予</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_Toc16792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_Toc20312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7.1 中标候选人公示</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_Toc20312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_Toc10353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7.2 评标结果异议</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_Toc10353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7.3 中标候选人履约能力审查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_Toc28937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_Toc19146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7.4 定标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_Toc19146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_Toc21849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7.5 中标通知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_Toc21849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7.6 中标结果公告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_Toc5861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_Toc29832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7.7 履约保证金</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_Toc29832 \h </w:instrText>
      </w:r>
      <w:r>
        <w:rPr>
          <w:rFonts w:hint="eastAsia" w:ascii="宋体" w:hAnsi="宋体" w:eastAsia="宋体" w:cs="宋体"/>
          <w:highlight w:val="none"/>
        </w:rPr>
        <w:fldChar w:fldCharType="separate"/>
      </w:r>
      <w:r>
        <w:rPr>
          <w:rFonts w:hint="eastAsia" w:ascii="宋体" w:hAnsi="宋体" w:eastAsia="宋体" w:cs="宋体"/>
          <w:highlight w:val="none"/>
        </w:rPr>
        <w:t>34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_Toc25340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7.8 签订合同</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_Toc25340 \h </w:instrText>
      </w:r>
      <w:r>
        <w:rPr>
          <w:rFonts w:hint="eastAsia" w:ascii="宋体" w:hAnsi="宋体" w:eastAsia="宋体" w:cs="宋体"/>
          <w:highlight w:val="none"/>
        </w:rPr>
        <w:fldChar w:fldCharType="separate"/>
      </w:r>
      <w:r>
        <w:rPr>
          <w:rFonts w:hint="eastAsia" w:ascii="宋体" w:hAnsi="宋体" w:eastAsia="宋体" w:cs="宋体"/>
          <w:highlight w:val="none"/>
        </w:rPr>
        <w:t>35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_Toc30453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8. 纪律和监督</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_Toc30453 \h </w:instrText>
      </w:r>
      <w:r>
        <w:rPr>
          <w:rFonts w:hint="eastAsia" w:ascii="宋体" w:hAnsi="宋体" w:eastAsia="宋体" w:cs="宋体"/>
          <w:highlight w:val="none"/>
        </w:rPr>
        <w:fldChar w:fldCharType="separate"/>
      </w:r>
      <w:r>
        <w:rPr>
          <w:rFonts w:hint="eastAsia" w:ascii="宋体" w:hAnsi="宋体" w:eastAsia="宋体" w:cs="宋体"/>
          <w:highlight w:val="none"/>
        </w:rPr>
        <w:t>35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8.1 对招标人的纪律要求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_Toc31932 \h </w:instrText>
      </w:r>
      <w:r>
        <w:rPr>
          <w:rFonts w:hint="eastAsia" w:ascii="宋体" w:hAnsi="宋体" w:eastAsia="宋体" w:cs="宋体"/>
          <w:highlight w:val="none"/>
        </w:rPr>
        <w:fldChar w:fldCharType="separate"/>
      </w:r>
      <w:r>
        <w:rPr>
          <w:rFonts w:hint="eastAsia" w:ascii="宋体" w:hAnsi="宋体" w:eastAsia="宋体" w:cs="宋体"/>
          <w:highlight w:val="none"/>
        </w:rPr>
        <w:t>35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_Toc18237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8.2 对投标人的纪律要求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_Toc18237 \h </w:instrText>
      </w:r>
      <w:r>
        <w:rPr>
          <w:rFonts w:hint="eastAsia" w:ascii="宋体" w:hAnsi="宋体" w:eastAsia="宋体" w:cs="宋体"/>
          <w:highlight w:val="none"/>
        </w:rPr>
        <w:fldChar w:fldCharType="separate"/>
      </w:r>
      <w:r>
        <w:rPr>
          <w:rFonts w:hint="eastAsia" w:ascii="宋体" w:hAnsi="宋体" w:eastAsia="宋体" w:cs="宋体"/>
          <w:highlight w:val="none"/>
        </w:rPr>
        <w:t>36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_Toc12651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8.3 对评标委员会成员的纪律要求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_Toc12651 \h </w:instrText>
      </w:r>
      <w:r>
        <w:rPr>
          <w:rFonts w:hint="eastAsia" w:ascii="宋体" w:hAnsi="宋体" w:eastAsia="宋体" w:cs="宋体"/>
          <w:highlight w:val="none"/>
        </w:rPr>
        <w:fldChar w:fldCharType="separate"/>
      </w:r>
      <w:r>
        <w:rPr>
          <w:rFonts w:hint="eastAsia" w:ascii="宋体" w:hAnsi="宋体" w:eastAsia="宋体" w:cs="宋体"/>
          <w:highlight w:val="none"/>
        </w:rPr>
        <w:t>36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_Toc15939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8.4 对与评标活动有关的工作人员的纪律要求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_Toc15939 \h </w:instrText>
      </w:r>
      <w:r>
        <w:rPr>
          <w:rFonts w:hint="eastAsia" w:ascii="宋体" w:hAnsi="宋体" w:eastAsia="宋体" w:cs="宋体"/>
          <w:highlight w:val="none"/>
        </w:rPr>
        <w:fldChar w:fldCharType="separate"/>
      </w:r>
      <w:r>
        <w:rPr>
          <w:rFonts w:hint="eastAsia" w:ascii="宋体" w:hAnsi="宋体" w:eastAsia="宋体" w:cs="宋体"/>
          <w:highlight w:val="none"/>
        </w:rPr>
        <w:t>37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_Toc31811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8.5 投诉</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_Toc31811 \h </w:instrText>
      </w:r>
      <w:r>
        <w:rPr>
          <w:rFonts w:hint="eastAsia" w:ascii="宋体" w:hAnsi="宋体" w:eastAsia="宋体" w:cs="宋体"/>
          <w:highlight w:val="none"/>
        </w:rPr>
        <w:fldChar w:fldCharType="separate"/>
      </w:r>
      <w:r>
        <w:rPr>
          <w:rFonts w:hint="eastAsia" w:ascii="宋体" w:hAnsi="宋体" w:eastAsia="宋体" w:cs="宋体"/>
          <w:highlight w:val="none"/>
        </w:rPr>
        <w:t>37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9. 是否采用电子招标投标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_Toc149 \h </w:instrText>
      </w:r>
      <w:r>
        <w:rPr>
          <w:rFonts w:hint="eastAsia" w:ascii="宋体" w:hAnsi="宋体" w:eastAsia="宋体" w:cs="宋体"/>
          <w:highlight w:val="none"/>
        </w:rPr>
        <w:fldChar w:fldCharType="separate"/>
      </w:r>
      <w:r>
        <w:rPr>
          <w:rFonts w:hint="eastAsia" w:ascii="宋体" w:hAnsi="宋体" w:eastAsia="宋体" w:cs="宋体"/>
          <w:highlight w:val="none"/>
        </w:rPr>
        <w:t>37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10. 需要补充的其他内容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_Toc13532 \h </w:instrText>
      </w:r>
      <w:r>
        <w:rPr>
          <w:rFonts w:hint="eastAsia" w:ascii="宋体" w:hAnsi="宋体" w:eastAsia="宋体" w:cs="宋体"/>
          <w:highlight w:val="none"/>
        </w:rPr>
        <w:fldChar w:fldCharType="separate"/>
      </w:r>
      <w:r>
        <w:rPr>
          <w:rFonts w:hint="eastAsia" w:ascii="宋体" w:hAnsi="宋体" w:eastAsia="宋体" w:cs="宋体"/>
          <w:highlight w:val="none"/>
        </w:rPr>
        <w:t>37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_Toc8129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第三章  评标办法（综合评估法）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_Toc8129 \h </w:instrText>
      </w:r>
      <w:r>
        <w:rPr>
          <w:rFonts w:hint="eastAsia" w:ascii="宋体" w:hAnsi="宋体" w:eastAsia="宋体" w:cs="宋体"/>
          <w:highlight w:val="none"/>
        </w:rPr>
        <w:fldChar w:fldCharType="separate"/>
      </w:r>
      <w:r>
        <w:rPr>
          <w:rFonts w:hint="eastAsia" w:ascii="宋体" w:hAnsi="宋体" w:eastAsia="宋体" w:cs="宋体"/>
          <w:highlight w:val="none"/>
        </w:rPr>
        <w:t>43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_Toc9615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评标办法前附表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_Toc9615 \h </w:instrText>
      </w:r>
      <w:r>
        <w:rPr>
          <w:rFonts w:hint="eastAsia" w:ascii="宋体" w:hAnsi="宋体" w:eastAsia="宋体" w:cs="宋体"/>
          <w:highlight w:val="none"/>
        </w:rPr>
        <w:fldChar w:fldCharType="separate"/>
      </w:r>
      <w:r>
        <w:rPr>
          <w:rFonts w:hint="eastAsia" w:ascii="宋体" w:hAnsi="宋体" w:eastAsia="宋体" w:cs="宋体"/>
          <w:highlight w:val="none"/>
        </w:rPr>
        <w:t>43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_Toc26527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评标方法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_Toc26527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_Toc29235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评审标准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_Toc29235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_Toc16025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初步评审标准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_Toc16025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分值构成与评分标准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_Toc14771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_Toc31089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评标程序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_Toc31089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_Toc28994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 初步评审</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_Toc28994 \h </w:instrText>
      </w:r>
      <w:r>
        <w:rPr>
          <w:rFonts w:hint="eastAsia" w:ascii="宋体" w:hAnsi="宋体" w:eastAsia="宋体" w:cs="宋体"/>
          <w:highlight w:val="none"/>
        </w:rPr>
        <w:fldChar w:fldCharType="separate"/>
      </w:r>
      <w:r>
        <w:rPr>
          <w:rFonts w:hint="eastAsia" w:ascii="宋体" w:hAnsi="宋体" w:eastAsia="宋体" w:cs="宋体"/>
          <w:highlight w:val="none"/>
        </w:rPr>
        <w:t>49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_Toc17955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详细评审</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_Toc17955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_Toc11831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 投标文件的澄清和补正</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_Toc11831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评标结果</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_Toc11976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_Toc31711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第四章  合同条款及格式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_Toc31711 \h </w:instrText>
      </w:r>
      <w:r>
        <w:rPr>
          <w:rFonts w:hint="eastAsia" w:ascii="宋体" w:hAnsi="宋体" w:eastAsia="宋体" w:cs="宋体"/>
          <w:highlight w:val="none"/>
        </w:rPr>
        <w:fldChar w:fldCharType="separate"/>
      </w:r>
      <w:r>
        <w:rPr>
          <w:rFonts w:hint="eastAsia" w:ascii="宋体" w:hAnsi="宋体" w:eastAsia="宋体" w:cs="宋体"/>
          <w:highlight w:val="none"/>
        </w:rPr>
        <w:t>54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第一部分 合同协议书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_Toc31914 \h </w:instrText>
      </w:r>
      <w:r>
        <w:rPr>
          <w:rFonts w:hint="eastAsia" w:ascii="宋体" w:hAnsi="宋体" w:eastAsia="宋体" w:cs="宋体"/>
          <w:highlight w:val="none"/>
        </w:rPr>
        <w:fldChar w:fldCharType="separate"/>
      </w:r>
      <w:r>
        <w:rPr>
          <w:rFonts w:hint="eastAsia" w:ascii="宋体" w:hAnsi="宋体" w:eastAsia="宋体" w:cs="宋体"/>
          <w:highlight w:val="none"/>
        </w:rPr>
        <w:t>56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_Toc1221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第二部分 通用合同条款</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_Toc1221 \h </w:instrText>
      </w:r>
      <w:r>
        <w:rPr>
          <w:rFonts w:hint="eastAsia" w:ascii="宋体" w:hAnsi="宋体" w:eastAsia="宋体" w:cs="宋体"/>
          <w:highlight w:val="none"/>
        </w:rPr>
        <w:fldChar w:fldCharType="separate"/>
      </w:r>
      <w:r>
        <w:rPr>
          <w:rFonts w:hint="eastAsia" w:ascii="宋体" w:hAnsi="宋体" w:eastAsia="宋体" w:cs="宋体"/>
          <w:highlight w:val="none"/>
        </w:rPr>
        <w:t>59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_Toc17646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第三部分 专用合同条款</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_Toc17646 \h </w:instrText>
      </w:r>
      <w:r>
        <w:rPr>
          <w:rFonts w:hint="eastAsia" w:ascii="宋体" w:hAnsi="宋体" w:eastAsia="宋体" w:cs="宋体"/>
          <w:highlight w:val="none"/>
        </w:rPr>
        <w:fldChar w:fldCharType="separate"/>
      </w:r>
      <w:r>
        <w:rPr>
          <w:rFonts w:hint="eastAsia" w:ascii="宋体" w:hAnsi="宋体" w:eastAsia="宋体" w:cs="宋体"/>
          <w:highlight w:val="none"/>
        </w:rPr>
        <w:t>60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_Toc9230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第五章  工程量清单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_Toc9230 \h </w:instrText>
      </w:r>
      <w:r>
        <w:rPr>
          <w:rFonts w:hint="eastAsia" w:ascii="宋体" w:hAnsi="宋体" w:eastAsia="宋体" w:cs="宋体"/>
          <w:highlight w:val="none"/>
        </w:rPr>
        <w:fldChar w:fldCharType="separate"/>
      </w:r>
      <w:r>
        <w:rPr>
          <w:rFonts w:hint="eastAsia" w:ascii="宋体" w:hAnsi="宋体" w:eastAsia="宋体" w:cs="宋体"/>
          <w:highlight w:val="none"/>
        </w:rPr>
        <w:t>94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_Toc20558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二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_Toc20558 \h </w:instrText>
      </w:r>
      <w:r>
        <w:rPr>
          <w:rFonts w:hint="eastAsia" w:ascii="宋体" w:hAnsi="宋体" w:eastAsia="宋体" w:cs="宋体"/>
          <w:highlight w:val="none"/>
        </w:rPr>
        <w:fldChar w:fldCharType="separate"/>
      </w:r>
      <w:r>
        <w:rPr>
          <w:rFonts w:hint="eastAsia" w:ascii="宋体" w:hAnsi="宋体" w:eastAsia="宋体" w:cs="宋体"/>
          <w:highlight w:val="none"/>
        </w:rPr>
        <w:t>95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_Toc29302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第六章  图纸</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_Toc29302 \h </w:instrText>
      </w:r>
      <w:r>
        <w:rPr>
          <w:rFonts w:hint="eastAsia" w:ascii="宋体" w:hAnsi="宋体" w:eastAsia="宋体" w:cs="宋体"/>
          <w:highlight w:val="none"/>
        </w:rPr>
        <w:fldChar w:fldCharType="separate"/>
      </w:r>
      <w:r>
        <w:rPr>
          <w:rFonts w:hint="eastAsia" w:ascii="宋体" w:hAnsi="宋体" w:eastAsia="宋体" w:cs="宋体"/>
          <w:highlight w:val="none"/>
        </w:rPr>
        <w:t>96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三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_Toc6776 \h </w:instrText>
      </w:r>
      <w:r>
        <w:rPr>
          <w:rFonts w:hint="eastAsia" w:ascii="宋体" w:hAnsi="宋体" w:eastAsia="宋体" w:cs="宋体"/>
          <w:highlight w:val="none"/>
        </w:rPr>
        <w:fldChar w:fldCharType="separate"/>
      </w:r>
      <w:r>
        <w:rPr>
          <w:rFonts w:hint="eastAsia" w:ascii="宋体" w:hAnsi="宋体" w:eastAsia="宋体" w:cs="宋体"/>
          <w:highlight w:val="none"/>
        </w:rPr>
        <w:t>97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_Toc11633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第七章  技术标准和要求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_Toc11633 \h </w:instrText>
      </w:r>
      <w:r>
        <w:rPr>
          <w:rFonts w:hint="eastAsia" w:ascii="宋体" w:hAnsi="宋体" w:eastAsia="宋体" w:cs="宋体"/>
          <w:highlight w:val="none"/>
        </w:rPr>
        <w:fldChar w:fldCharType="separate"/>
      </w:r>
      <w:r>
        <w:rPr>
          <w:rFonts w:hint="eastAsia" w:ascii="宋体" w:hAnsi="宋体" w:eastAsia="宋体" w:cs="宋体"/>
          <w:highlight w:val="none"/>
        </w:rPr>
        <w:t>98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_Toc28727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第八章  工程量清单计量规则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_Toc28727 \h </w:instrText>
      </w:r>
      <w:r>
        <w:rPr>
          <w:rFonts w:hint="eastAsia" w:ascii="宋体" w:hAnsi="宋体" w:eastAsia="宋体" w:cs="宋体"/>
          <w:highlight w:val="none"/>
        </w:rPr>
        <w:fldChar w:fldCharType="separate"/>
      </w:r>
      <w:r>
        <w:rPr>
          <w:rFonts w:hint="eastAsia" w:ascii="宋体" w:hAnsi="宋体" w:eastAsia="宋体" w:cs="宋体"/>
          <w:highlight w:val="none"/>
        </w:rPr>
        <w:t>99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_Toc7873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四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_Toc7873 \h </w:instrText>
      </w:r>
      <w:r>
        <w:rPr>
          <w:rFonts w:hint="eastAsia" w:ascii="宋体" w:hAnsi="宋体" w:eastAsia="宋体" w:cs="宋体"/>
          <w:highlight w:val="none"/>
        </w:rPr>
        <w:fldChar w:fldCharType="separate"/>
      </w:r>
      <w:r>
        <w:rPr>
          <w:rFonts w:hint="eastAsia" w:ascii="宋体" w:hAnsi="宋体" w:eastAsia="宋体" w:cs="宋体"/>
          <w:highlight w:val="none"/>
        </w:rPr>
        <w:t>100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_Toc12482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第九章  投标文件格式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_Toc12482 \h </w:instrText>
      </w:r>
      <w:r>
        <w:rPr>
          <w:rFonts w:hint="eastAsia" w:ascii="宋体" w:hAnsi="宋体" w:eastAsia="宋体" w:cs="宋体"/>
          <w:highlight w:val="none"/>
        </w:rPr>
        <w:fldChar w:fldCharType="separate"/>
      </w:r>
      <w:r>
        <w:rPr>
          <w:rFonts w:hint="eastAsia" w:ascii="宋体" w:hAnsi="宋体" w:eastAsia="宋体" w:cs="宋体"/>
          <w:highlight w:val="none"/>
        </w:rPr>
        <w:t>101</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_Toc22269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一、投标函部分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_Toc22269 \h </w:instrText>
      </w:r>
      <w:r>
        <w:rPr>
          <w:rFonts w:hint="eastAsia" w:ascii="宋体" w:hAnsi="宋体" w:eastAsia="宋体" w:cs="宋体"/>
          <w:highlight w:val="none"/>
        </w:rPr>
        <w:fldChar w:fldCharType="separate"/>
      </w:r>
      <w:r>
        <w:rPr>
          <w:rFonts w:hint="eastAsia" w:ascii="宋体" w:hAnsi="宋体" w:eastAsia="宋体" w:cs="宋体"/>
          <w:highlight w:val="none"/>
        </w:rPr>
        <w:t>104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_Toc16206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（一）投标函</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_Toc16206 \h </w:instrText>
      </w:r>
      <w:r>
        <w:rPr>
          <w:rFonts w:hint="eastAsia" w:ascii="宋体" w:hAnsi="宋体" w:eastAsia="宋体" w:cs="宋体"/>
          <w:highlight w:val="none"/>
        </w:rPr>
        <w:fldChar w:fldCharType="separate"/>
      </w:r>
      <w:r>
        <w:rPr>
          <w:rFonts w:hint="eastAsia" w:ascii="宋体" w:hAnsi="宋体" w:eastAsia="宋体" w:cs="宋体"/>
          <w:highlight w:val="none"/>
        </w:rPr>
        <w:t>106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_Toc27251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（二）投标函附录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_Toc27251 \h </w:instrText>
      </w:r>
      <w:r>
        <w:rPr>
          <w:rFonts w:hint="eastAsia" w:ascii="宋体" w:hAnsi="宋体" w:eastAsia="宋体" w:cs="宋体"/>
          <w:highlight w:val="none"/>
        </w:rPr>
        <w:fldChar w:fldCharType="separate"/>
      </w:r>
      <w:r>
        <w:rPr>
          <w:rFonts w:hint="eastAsia" w:ascii="宋体" w:hAnsi="宋体" w:eastAsia="宋体" w:cs="宋体"/>
          <w:highlight w:val="none"/>
        </w:rPr>
        <w:t>107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_Toc20072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（三）法定代表人身份证明或附有法定代表人身份证明的授权委托书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_Toc20072 \h </w:instrText>
      </w:r>
      <w:r>
        <w:rPr>
          <w:rFonts w:hint="eastAsia" w:ascii="宋体" w:hAnsi="宋体" w:eastAsia="宋体" w:cs="宋体"/>
          <w:highlight w:val="none"/>
        </w:rPr>
        <w:fldChar w:fldCharType="separate"/>
      </w:r>
      <w:r>
        <w:rPr>
          <w:rFonts w:hint="eastAsia" w:ascii="宋体" w:hAnsi="宋体" w:eastAsia="宋体" w:cs="宋体"/>
          <w:highlight w:val="none"/>
        </w:rPr>
        <w:t>108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_Toc11820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二、经济部分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_Toc11820 \h </w:instrText>
      </w:r>
      <w:r>
        <w:rPr>
          <w:rFonts w:hint="eastAsia" w:ascii="宋体" w:hAnsi="宋体" w:eastAsia="宋体" w:cs="宋体"/>
          <w:highlight w:val="none"/>
        </w:rPr>
        <w:fldChar w:fldCharType="separate"/>
      </w:r>
      <w:r>
        <w:rPr>
          <w:rFonts w:hint="eastAsia" w:ascii="宋体" w:hAnsi="宋体" w:eastAsia="宋体" w:cs="宋体"/>
          <w:highlight w:val="none"/>
        </w:rPr>
        <w:t>110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_Toc6790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（一）已标价工程量清单</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_Toc6790 \h </w:instrText>
      </w:r>
      <w:r>
        <w:rPr>
          <w:rFonts w:hint="eastAsia" w:ascii="宋体" w:hAnsi="宋体" w:eastAsia="宋体" w:cs="宋体"/>
          <w:highlight w:val="none"/>
        </w:rPr>
        <w:fldChar w:fldCharType="separate"/>
      </w:r>
      <w:r>
        <w:rPr>
          <w:rFonts w:hint="eastAsia" w:ascii="宋体" w:hAnsi="宋体" w:eastAsia="宋体" w:cs="宋体"/>
          <w:highlight w:val="none"/>
        </w:rPr>
        <w:t>112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_Toc15718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三、商务部分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_Toc15718 \h </w:instrText>
      </w:r>
      <w:r>
        <w:rPr>
          <w:rFonts w:hint="eastAsia" w:ascii="宋体" w:hAnsi="宋体" w:eastAsia="宋体" w:cs="宋体"/>
          <w:highlight w:val="none"/>
        </w:rPr>
        <w:fldChar w:fldCharType="separate"/>
      </w:r>
      <w:r>
        <w:rPr>
          <w:rFonts w:hint="eastAsia" w:ascii="宋体" w:hAnsi="宋体" w:eastAsia="宋体" w:cs="宋体"/>
          <w:highlight w:val="none"/>
        </w:rPr>
        <w:t>113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_Toc14100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四、</w:t>
      </w:r>
      <w:r>
        <w:rPr>
          <w:rFonts w:hint="eastAsia" w:ascii="宋体" w:hAnsi="宋体" w:eastAsia="宋体" w:cs="宋体"/>
          <w:bCs w:val="0"/>
          <w:szCs w:val="44"/>
          <w:highlight w:val="none"/>
        </w:rPr>
        <w:t>技术部分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_Toc14100 \h </w:instrText>
      </w:r>
      <w:r>
        <w:rPr>
          <w:rFonts w:hint="eastAsia" w:ascii="宋体" w:hAnsi="宋体" w:eastAsia="宋体" w:cs="宋体"/>
          <w:highlight w:val="none"/>
        </w:rPr>
        <w:fldChar w:fldCharType="separate"/>
      </w:r>
      <w:r>
        <w:rPr>
          <w:rFonts w:hint="eastAsia" w:ascii="宋体" w:hAnsi="宋体" w:eastAsia="宋体" w:cs="宋体"/>
          <w:highlight w:val="none"/>
        </w:rPr>
        <w:t>115</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36"/>
          <w:highlight w:val="none"/>
        </w:rPr>
        <w:t>（一）</w:t>
      </w:r>
      <w:r>
        <w:rPr>
          <w:rFonts w:hint="eastAsia" w:ascii="宋体" w:hAnsi="宋体" w:eastAsia="宋体" w:cs="宋体"/>
          <w:bCs w:val="0"/>
          <w:highlight w:val="none"/>
        </w:rPr>
        <w:t>技术方案</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_Toc586 \h </w:instrText>
      </w:r>
      <w:r>
        <w:rPr>
          <w:rFonts w:hint="eastAsia" w:ascii="宋体" w:hAnsi="宋体" w:eastAsia="宋体" w:cs="宋体"/>
          <w:highlight w:val="none"/>
        </w:rPr>
        <w:fldChar w:fldCharType="separate"/>
      </w:r>
      <w:r>
        <w:rPr>
          <w:rFonts w:hint="eastAsia" w:ascii="宋体" w:hAnsi="宋体" w:eastAsia="宋体" w:cs="宋体"/>
          <w:highlight w:val="none"/>
        </w:rPr>
        <w:t>117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_Toc18649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五、资格审查资料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_Toc18649 \h </w:instrText>
      </w:r>
      <w:r>
        <w:rPr>
          <w:rFonts w:hint="eastAsia" w:ascii="宋体" w:hAnsi="宋体" w:eastAsia="宋体" w:cs="宋体"/>
          <w:highlight w:val="none"/>
        </w:rPr>
        <w:fldChar w:fldCharType="separate"/>
      </w:r>
      <w:r>
        <w:rPr>
          <w:rFonts w:hint="eastAsia" w:ascii="宋体" w:hAnsi="宋体" w:eastAsia="宋体" w:cs="宋体"/>
          <w:highlight w:val="none"/>
        </w:rPr>
        <w:t>118</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_Toc18889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（一）法定代表人身份证明或附有法定代表人身份证明的授权委托书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_Toc18889 \h </w:instrText>
      </w:r>
      <w:r>
        <w:rPr>
          <w:rFonts w:hint="eastAsia" w:ascii="宋体" w:hAnsi="宋体" w:eastAsia="宋体" w:cs="宋体"/>
          <w:highlight w:val="none"/>
        </w:rPr>
        <w:fldChar w:fldCharType="separate"/>
      </w:r>
      <w:r>
        <w:rPr>
          <w:rFonts w:hint="eastAsia" w:ascii="宋体" w:hAnsi="宋体" w:eastAsia="宋体" w:cs="宋体"/>
          <w:highlight w:val="none"/>
        </w:rPr>
        <w:t>120</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_Toc8598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lang w:eastAsia="zh-CN"/>
        </w:rPr>
        <w:t>（</w:t>
      </w:r>
      <w:r>
        <w:rPr>
          <w:rFonts w:hint="eastAsia" w:ascii="宋体" w:hAnsi="宋体" w:eastAsia="宋体" w:cs="宋体"/>
          <w:bCs w:val="0"/>
          <w:highlight w:val="none"/>
          <w:lang w:val="en-US" w:eastAsia="zh-CN"/>
        </w:rPr>
        <w:t>二</w:t>
      </w:r>
      <w:r>
        <w:rPr>
          <w:rFonts w:hint="eastAsia" w:ascii="宋体" w:hAnsi="宋体" w:eastAsia="宋体" w:cs="宋体"/>
          <w:bCs w:val="0"/>
          <w:highlight w:val="none"/>
          <w:lang w:eastAsia="zh-CN"/>
        </w:rPr>
        <w:t>）</w:t>
      </w:r>
      <w:r>
        <w:rPr>
          <w:rFonts w:hint="eastAsia" w:ascii="宋体" w:hAnsi="宋体" w:eastAsia="宋体" w:cs="宋体"/>
          <w:bCs w:val="0"/>
          <w:highlight w:val="none"/>
        </w:rPr>
        <w:t>制造商授权书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_Toc8598 \h </w:instrText>
      </w:r>
      <w:r>
        <w:rPr>
          <w:rFonts w:hint="eastAsia" w:ascii="宋体" w:hAnsi="宋体" w:eastAsia="宋体" w:cs="宋体"/>
          <w:highlight w:val="none"/>
        </w:rPr>
        <w:fldChar w:fldCharType="separate"/>
      </w:r>
      <w:r>
        <w:rPr>
          <w:rFonts w:hint="eastAsia" w:ascii="宋体" w:hAnsi="宋体" w:eastAsia="宋体" w:cs="宋体"/>
          <w:highlight w:val="none"/>
        </w:rPr>
        <w:t>122</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_Toc16645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（三）投标人基本情况表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_Toc16645 \h </w:instrText>
      </w:r>
      <w:r>
        <w:rPr>
          <w:rFonts w:hint="eastAsia" w:ascii="宋体" w:hAnsi="宋体" w:eastAsia="宋体" w:cs="宋体"/>
          <w:highlight w:val="none"/>
        </w:rPr>
        <w:fldChar w:fldCharType="separate"/>
      </w:r>
      <w:r>
        <w:rPr>
          <w:rFonts w:hint="eastAsia" w:ascii="宋体" w:hAnsi="宋体" w:eastAsia="宋体" w:cs="宋体"/>
          <w:highlight w:val="none"/>
        </w:rPr>
        <w:t>123</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_Toc2596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（四）项目管理机构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_Toc2596 \h </w:instrText>
      </w:r>
      <w:r>
        <w:rPr>
          <w:rFonts w:hint="eastAsia" w:ascii="宋体" w:hAnsi="宋体" w:eastAsia="宋体" w:cs="宋体"/>
          <w:highlight w:val="none"/>
        </w:rPr>
        <w:fldChar w:fldCharType="separate"/>
      </w:r>
      <w:r>
        <w:rPr>
          <w:rFonts w:hint="eastAsia" w:ascii="宋体" w:hAnsi="宋体" w:eastAsia="宋体" w:cs="宋体"/>
          <w:highlight w:val="none"/>
        </w:rPr>
        <w:t>124</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_Toc9392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五</w:t>
      </w:r>
      <w:r>
        <w:rPr>
          <w:rFonts w:hint="eastAsia" w:ascii="宋体" w:hAnsi="宋体" w:eastAsia="宋体" w:cs="宋体"/>
          <w:highlight w:val="none"/>
        </w:rPr>
        <w:t>）类似项目情况表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_Toc9392 \h </w:instrText>
      </w:r>
      <w:r>
        <w:rPr>
          <w:rFonts w:hint="eastAsia" w:ascii="宋体" w:hAnsi="宋体" w:eastAsia="宋体" w:cs="宋体"/>
          <w:highlight w:val="none"/>
        </w:rPr>
        <w:fldChar w:fldCharType="separate"/>
      </w:r>
      <w:r>
        <w:rPr>
          <w:rFonts w:hint="eastAsia" w:ascii="宋体" w:hAnsi="宋体" w:eastAsia="宋体" w:cs="宋体"/>
          <w:highlight w:val="none"/>
        </w:rPr>
        <w:t>126</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_Toc28356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六</w:t>
      </w:r>
      <w:r>
        <w:rPr>
          <w:rFonts w:hint="eastAsia" w:ascii="宋体" w:hAnsi="宋体" w:eastAsia="宋体" w:cs="宋体"/>
          <w:highlight w:val="none"/>
        </w:rPr>
        <w:t>）承诺</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_Toc28356 \h </w:instrText>
      </w:r>
      <w:r>
        <w:rPr>
          <w:rFonts w:hint="eastAsia" w:ascii="宋体" w:hAnsi="宋体" w:eastAsia="宋体" w:cs="宋体"/>
          <w:highlight w:val="none"/>
        </w:rPr>
        <w:fldChar w:fldCharType="separate"/>
      </w:r>
      <w:r>
        <w:rPr>
          <w:rFonts w:hint="eastAsia" w:ascii="宋体" w:hAnsi="宋体" w:eastAsia="宋体" w:cs="宋体"/>
          <w:highlight w:val="none"/>
        </w:rPr>
        <w:t>127</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pStyle w:val="16"/>
        <w:tabs>
          <w:tab w:val="right" w:leader="dot" w:pos="9469"/>
        </w:tabs>
        <w:rPr>
          <w:rFonts w:hint="eastAsia" w:ascii="宋体" w:hAnsi="宋体" w:eastAsia="宋体" w:cs="宋体"/>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_Toc4368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七</w:t>
      </w:r>
      <w:r>
        <w:rPr>
          <w:rFonts w:hint="eastAsia" w:ascii="宋体" w:hAnsi="宋体" w:eastAsia="宋体" w:cs="宋体"/>
          <w:highlight w:val="none"/>
        </w:rPr>
        <w:t>）其他资料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_Toc4368 \h </w:instrText>
      </w:r>
      <w:r>
        <w:rPr>
          <w:rFonts w:hint="eastAsia" w:ascii="宋体" w:hAnsi="宋体" w:eastAsia="宋体" w:cs="宋体"/>
          <w:highlight w:val="none"/>
        </w:rPr>
        <w:fldChar w:fldCharType="separate"/>
      </w:r>
      <w:r>
        <w:rPr>
          <w:rFonts w:hint="eastAsia" w:ascii="宋体" w:hAnsi="宋体" w:eastAsia="宋体" w:cs="宋体"/>
          <w:highlight w:val="none"/>
        </w:rPr>
        <w:t>129</w:t>
      </w:r>
      <w:r>
        <w:rPr>
          <w:rFonts w:hint="eastAsia" w:ascii="宋体" w:hAnsi="宋体" w:eastAsia="宋体" w:cs="宋体"/>
          <w:highlight w:val="none"/>
        </w:rPr>
        <w:fldChar w:fldCharType="end"/>
      </w:r>
      <w:r>
        <w:rPr>
          <w:rFonts w:hint="eastAsia" w:ascii="宋体" w:hAnsi="宋体" w:eastAsia="宋体" w:cs="宋体"/>
          <w:bCs/>
          <w:color w:val="auto"/>
          <w:szCs w:val="21"/>
          <w:highlight w:val="none"/>
          <w:lang w:val="zh-CN"/>
        </w:rPr>
        <w:fldChar w:fldCharType="end"/>
      </w:r>
    </w:p>
    <w:p>
      <w:pPr>
        <w:spacing w:line="400" w:lineRule="exact"/>
        <w:rPr>
          <w:rFonts w:hint="eastAsia" w:ascii="宋体" w:hAnsi="宋体" w:eastAsia="宋体" w:cs="宋体"/>
          <w:color w:val="auto"/>
          <w:highlight w:val="none"/>
        </w:rPr>
      </w:pPr>
      <w:r>
        <w:rPr>
          <w:rFonts w:hint="eastAsia" w:ascii="宋体" w:hAnsi="宋体" w:eastAsia="宋体" w:cs="宋体"/>
          <w:bCs/>
          <w:color w:val="auto"/>
          <w:szCs w:val="21"/>
          <w:highlight w:val="none"/>
          <w:lang w:val="zh-CN"/>
        </w:rPr>
        <w:fldChar w:fldCharType="end"/>
      </w:r>
    </w:p>
    <w:p>
      <w:pPr>
        <w:spacing w:line="20" w:lineRule="exact"/>
        <w:jc w:val="left"/>
        <w:rPr>
          <w:rFonts w:hint="eastAsia" w:ascii="宋体" w:hAnsi="宋体" w:eastAsia="宋体" w:cs="宋体"/>
          <w:color w:val="auto"/>
          <w:highlight w:val="none"/>
        </w:rPr>
        <w:sectPr>
          <w:footerReference r:id="rId4" w:type="default"/>
          <w:pgSz w:w="11907" w:h="16840"/>
          <w:pgMar w:top="1304" w:right="1134" w:bottom="1304" w:left="1304" w:header="851" w:footer="992" w:gutter="0"/>
          <w:pgNumType w:start="1"/>
          <w:cols w:space="720" w:num="1"/>
          <w:docGrid w:linePitch="312" w:charSpace="0"/>
        </w:sectPr>
      </w:pPr>
    </w:p>
    <w:bookmarkEnd w:id="10"/>
    <w:p>
      <w:pPr>
        <w:rPr>
          <w:rFonts w:hint="eastAsia" w:ascii="宋体" w:hAnsi="宋体" w:eastAsia="宋体" w:cs="宋体"/>
          <w:color w:val="auto"/>
          <w:highlight w:val="none"/>
        </w:rPr>
      </w:pPr>
      <w:bookmarkStart w:id="11" w:name="_Toc509218690"/>
    </w:p>
    <w:p>
      <w:pPr>
        <w:pStyle w:val="3"/>
        <w:spacing w:before="0" w:after="0" w:line="480" w:lineRule="auto"/>
        <w:jc w:val="center"/>
        <w:rPr>
          <w:rFonts w:hint="eastAsia" w:ascii="宋体" w:hAnsi="宋体" w:eastAsia="宋体" w:cs="宋体"/>
          <w:b w:val="0"/>
          <w:bCs w:val="0"/>
          <w:color w:val="auto"/>
          <w:sz w:val="56"/>
          <w:szCs w:val="56"/>
          <w:highlight w:val="none"/>
        </w:rPr>
      </w:pPr>
      <w:bookmarkStart w:id="12" w:name="_Toc5207"/>
      <w:r>
        <w:rPr>
          <w:rFonts w:hint="eastAsia" w:ascii="宋体" w:hAnsi="宋体" w:eastAsia="宋体" w:cs="宋体"/>
          <w:color w:val="auto"/>
          <w:sz w:val="52"/>
          <w:szCs w:val="52"/>
          <w:highlight w:val="none"/>
        </w:rPr>
        <w:t>第 一 卷</w:t>
      </w:r>
      <w:bookmarkEnd w:id="11"/>
      <w:bookmarkEnd w:id="12"/>
    </w:p>
    <w:p>
      <w:pPr>
        <w:pStyle w:val="3"/>
        <w:spacing w:line="360" w:lineRule="auto"/>
        <w:jc w:val="center"/>
        <w:rPr>
          <w:rFonts w:hint="eastAsia" w:ascii="宋体" w:hAnsi="宋体" w:eastAsia="宋体" w:cs="宋体"/>
          <w:b w:val="0"/>
          <w:bCs w:val="0"/>
          <w:snapToGrid w:val="0"/>
          <w:color w:val="auto"/>
          <w:kern w:val="0"/>
          <w:highlight w:val="none"/>
        </w:rPr>
      </w:pPr>
      <w:bookmarkStart w:id="13" w:name="_Toc430530415"/>
      <w:bookmarkStart w:id="14" w:name="_Toc287620666"/>
      <w:bookmarkStart w:id="15" w:name="_Toc509218691"/>
      <w:bookmarkStart w:id="16" w:name="_Toc224103298"/>
      <w:bookmarkStart w:id="17" w:name="_Toc287607727"/>
      <w:bookmarkStart w:id="18" w:name="_Toc277082535"/>
      <w:r>
        <w:rPr>
          <w:rFonts w:hint="eastAsia" w:ascii="宋体" w:hAnsi="宋体" w:eastAsia="宋体" w:cs="宋体"/>
          <w:snapToGrid w:val="0"/>
          <w:color w:val="auto"/>
          <w:kern w:val="0"/>
          <w:highlight w:val="none"/>
        </w:rPr>
        <w:br w:type="page"/>
      </w:r>
      <w:bookmarkStart w:id="19" w:name="_Toc25106"/>
      <w:r>
        <w:rPr>
          <w:rFonts w:hint="eastAsia" w:ascii="宋体" w:hAnsi="宋体" w:eastAsia="宋体" w:cs="宋体"/>
          <w:snapToGrid w:val="0"/>
          <w:color w:val="auto"/>
          <w:kern w:val="0"/>
          <w:highlight w:val="none"/>
        </w:rPr>
        <w:t>第一章  招标公告</w:t>
      </w:r>
      <w:bookmarkEnd w:id="13"/>
      <w:bookmarkEnd w:id="14"/>
      <w:bookmarkEnd w:id="15"/>
      <w:bookmarkEnd w:id="16"/>
      <w:bookmarkEnd w:id="17"/>
      <w:bookmarkEnd w:id="18"/>
      <w:bookmarkEnd w:id="19"/>
    </w:p>
    <w:p>
      <w:pPr>
        <w:pageBreakBefore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auto"/>
          <w:kern w:val="0"/>
          <w:sz w:val="28"/>
          <w:szCs w:val="28"/>
          <w:highlight w:val="none"/>
          <w:u w:val="single"/>
          <w:lang w:eastAsia="zh-CN"/>
        </w:rPr>
      </w:pPr>
      <w:r>
        <w:rPr>
          <w:rFonts w:hint="eastAsia" w:ascii="宋体" w:hAnsi="宋体" w:eastAsia="宋体" w:cs="宋体"/>
          <w:snapToGrid w:val="0"/>
          <w:color w:val="auto"/>
          <w:kern w:val="0"/>
          <w:sz w:val="28"/>
          <w:szCs w:val="28"/>
          <w:highlight w:val="none"/>
          <w:u w:val="single"/>
          <w:lang w:eastAsia="zh-CN"/>
        </w:rPr>
        <w:t>三环高速公路陈食至油溪段项目供配电系统工程专项分包采购</w:t>
      </w:r>
    </w:p>
    <w:p>
      <w:pPr>
        <w:pageBreakBefore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w w:val="99"/>
          <w:kern w:val="0"/>
          <w:sz w:val="28"/>
          <w:szCs w:val="28"/>
          <w:highlight w:val="none"/>
        </w:rPr>
        <w:t>招标公告</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20" w:name="_Toc277082536"/>
      <w:bookmarkStart w:id="21" w:name="_Toc224103299"/>
      <w:bookmarkStart w:id="22" w:name="_Toc430530416"/>
      <w:bookmarkStart w:id="23" w:name="_Toc14110"/>
      <w:bookmarkStart w:id="24" w:name="_Toc287607728"/>
      <w:bookmarkStart w:id="25" w:name="_Toc200359238"/>
      <w:bookmarkStart w:id="26" w:name="_Toc287620667"/>
      <w:bookmarkStart w:id="27" w:name="_Toc509218692"/>
      <w:bookmarkStart w:id="28" w:name="_Toc200359427"/>
      <w:r>
        <w:rPr>
          <w:rFonts w:hint="eastAsia" w:ascii="宋体" w:hAnsi="宋体" w:eastAsia="宋体" w:cs="宋体"/>
          <w:bCs w:val="0"/>
          <w:snapToGrid w:val="0"/>
          <w:color w:val="auto"/>
          <w:sz w:val="24"/>
          <w:szCs w:val="24"/>
          <w:highlight w:val="none"/>
        </w:rPr>
        <w:t>1. 招标条件</w:t>
      </w:r>
      <w:bookmarkEnd w:id="20"/>
      <w:bookmarkEnd w:id="21"/>
      <w:bookmarkEnd w:id="22"/>
      <w:bookmarkEnd w:id="23"/>
      <w:bookmarkEnd w:id="24"/>
      <w:bookmarkEnd w:id="25"/>
      <w:bookmarkEnd w:id="26"/>
      <w:bookmarkEnd w:id="27"/>
      <w:bookmarkEnd w:id="28"/>
    </w:p>
    <w:p>
      <w:pPr>
        <w:pageBreakBefore w:val="0"/>
        <w:tabs>
          <w:tab w:val="left" w:pos="3315"/>
          <w:tab w:val="left" w:pos="3390"/>
          <w:tab w:val="left" w:pos="6120"/>
          <w:tab w:val="left" w:pos="8850"/>
        </w:tabs>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szCs w:val="21"/>
          <w:highlight w:val="none"/>
        </w:rPr>
      </w:pPr>
      <w:bookmarkStart w:id="29" w:name="_Toc430530417"/>
      <w:bookmarkStart w:id="30" w:name="_Toc224103300"/>
      <w:bookmarkStart w:id="31" w:name="_Toc287620668"/>
      <w:bookmarkStart w:id="32" w:name="_Toc200359239"/>
      <w:bookmarkStart w:id="33" w:name="_Toc200359428"/>
      <w:bookmarkStart w:id="34" w:name="_Toc277082537"/>
      <w:bookmarkStart w:id="35" w:name="_Toc287607729"/>
      <w:bookmarkStart w:id="36" w:name="_Toc509218693"/>
      <w:r>
        <w:rPr>
          <w:rFonts w:hint="eastAsia" w:ascii="宋体" w:hAnsi="宋体" w:eastAsia="宋体" w:cs="宋体"/>
          <w:snapToGrid w:val="0"/>
          <w:color w:val="auto"/>
          <w:kern w:val="0"/>
          <w:szCs w:val="21"/>
          <w:highlight w:val="none"/>
        </w:rPr>
        <w:t>本招标项目</w:t>
      </w:r>
      <w:r>
        <w:rPr>
          <w:rFonts w:hint="eastAsia" w:ascii="宋体" w:hAnsi="宋体" w:eastAsia="宋体" w:cs="宋体"/>
          <w:snapToGrid w:val="0"/>
          <w:color w:val="auto"/>
          <w:kern w:val="0"/>
          <w:szCs w:val="21"/>
          <w:highlight w:val="none"/>
          <w:lang w:eastAsia="zh-CN"/>
        </w:rPr>
        <w:t>三环高速公路陈食至油溪段项目</w:t>
      </w:r>
      <w:r>
        <w:rPr>
          <w:rFonts w:hint="eastAsia" w:ascii="宋体" w:hAnsi="宋体" w:eastAsia="宋体" w:cs="宋体"/>
          <w:snapToGrid w:val="0"/>
          <w:color w:val="auto"/>
          <w:kern w:val="0"/>
          <w:sz w:val="21"/>
          <w:szCs w:val="21"/>
          <w:highlight w:val="none"/>
          <w:u w:val="none"/>
          <w:lang w:eastAsia="zh-CN"/>
        </w:rPr>
        <w:t>机电工程项目</w:t>
      </w:r>
      <w:r>
        <w:rPr>
          <w:rFonts w:hint="eastAsia" w:ascii="宋体" w:hAnsi="宋体" w:eastAsia="宋体" w:cs="宋体"/>
          <w:snapToGrid w:val="0"/>
          <w:color w:val="auto"/>
          <w:kern w:val="0"/>
          <w:szCs w:val="21"/>
          <w:highlight w:val="none"/>
          <w:u w:val="none"/>
          <w:lang w:val="en-US" w:eastAsia="zh-CN"/>
        </w:rPr>
        <w:t>已具</w:t>
      </w:r>
      <w:r>
        <w:rPr>
          <w:rFonts w:hint="eastAsia" w:ascii="宋体" w:hAnsi="宋体" w:eastAsia="宋体" w:cs="宋体"/>
          <w:snapToGrid w:val="0"/>
          <w:color w:val="auto"/>
          <w:kern w:val="0"/>
          <w:szCs w:val="21"/>
          <w:highlight w:val="none"/>
          <w:lang w:val="en-US" w:eastAsia="zh-CN"/>
        </w:rPr>
        <w:t>备采购条件</w:t>
      </w:r>
      <w:r>
        <w:rPr>
          <w:rFonts w:hint="eastAsia" w:ascii="宋体" w:hAnsi="宋体" w:eastAsia="宋体" w:cs="宋体"/>
          <w:snapToGrid w:val="0"/>
          <w:color w:val="auto"/>
          <w:kern w:val="0"/>
          <w:szCs w:val="21"/>
          <w:highlight w:val="none"/>
        </w:rPr>
        <w:t>，项目</w:t>
      </w:r>
      <w:r>
        <w:rPr>
          <w:rFonts w:hint="eastAsia" w:ascii="宋体" w:hAnsi="宋体" w:eastAsia="宋体" w:cs="宋体"/>
          <w:snapToGrid w:val="0"/>
          <w:color w:val="auto"/>
          <w:kern w:val="0"/>
          <w:szCs w:val="21"/>
          <w:highlight w:val="none"/>
          <w:lang w:val="en-US" w:eastAsia="zh-CN"/>
        </w:rPr>
        <w:t>建设单位</w:t>
      </w:r>
      <w:r>
        <w:rPr>
          <w:rFonts w:hint="eastAsia" w:ascii="宋体" w:hAnsi="宋体" w:eastAsia="宋体" w:cs="宋体"/>
          <w:snapToGrid w:val="0"/>
          <w:color w:val="auto"/>
          <w:kern w:val="0"/>
          <w:szCs w:val="21"/>
          <w:highlight w:val="none"/>
        </w:rPr>
        <w:t>为</w:t>
      </w:r>
      <w:r>
        <w:rPr>
          <w:rFonts w:hint="eastAsia" w:ascii="宋体" w:hAnsi="宋体" w:eastAsia="宋体" w:cs="宋体"/>
          <w:snapToGrid w:val="0"/>
          <w:color w:val="auto"/>
          <w:kern w:val="0"/>
          <w:szCs w:val="21"/>
          <w:highlight w:val="none"/>
          <w:u w:val="single"/>
          <w:lang w:val="en-US" w:eastAsia="zh-CN"/>
        </w:rPr>
        <w:t>重庆永璧永津高速公路有限公司</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val="en-US" w:eastAsia="zh-CN"/>
        </w:rPr>
        <w:t>招标项目</w:t>
      </w:r>
      <w:r>
        <w:rPr>
          <w:rFonts w:hint="eastAsia" w:ascii="宋体" w:hAnsi="宋体" w:eastAsia="宋体" w:cs="宋体"/>
          <w:snapToGrid w:val="0"/>
          <w:color w:val="auto"/>
          <w:kern w:val="0"/>
          <w:szCs w:val="21"/>
          <w:highlight w:val="none"/>
        </w:rPr>
        <w:t>资金</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已落实</w:t>
      </w:r>
      <w:r>
        <w:rPr>
          <w:rFonts w:hint="eastAsia" w:ascii="宋体" w:hAnsi="宋体" w:eastAsia="宋体" w:cs="宋体"/>
          <w:snapToGrid w:val="0"/>
          <w:color w:val="auto"/>
          <w:kern w:val="0"/>
          <w:szCs w:val="21"/>
          <w:highlight w:val="none"/>
        </w:rPr>
        <w:t>，招标人</w:t>
      </w:r>
      <w:r>
        <w:rPr>
          <w:rFonts w:hint="eastAsia" w:ascii="宋体" w:hAnsi="宋体" w:eastAsia="宋体" w:cs="宋体"/>
          <w:snapToGrid w:val="0"/>
          <w:color w:val="auto"/>
          <w:kern w:val="0"/>
          <w:position w:val="-2"/>
          <w:szCs w:val="21"/>
          <w:highlight w:val="none"/>
        </w:rPr>
        <w:t>为</w:t>
      </w:r>
      <w:r>
        <w:rPr>
          <w:rFonts w:hint="eastAsia" w:ascii="宋体" w:hAnsi="宋体" w:eastAsia="宋体" w:cs="宋体"/>
          <w:snapToGrid w:val="0"/>
          <w:color w:val="auto"/>
          <w:kern w:val="0"/>
          <w:position w:val="-2"/>
          <w:szCs w:val="21"/>
          <w:highlight w:val="none"/>
          <w:lang w:eastAsia="zh-CN"/>
        </w:rPr>
        <w:t>三环高速公路陈食至油溪段项目</w:t>
      </w:r>
      <w:r>
        <w:rPr>
          <w:rFonts w:hint="eastAsia" w:ascii="宋体" w:hAnsi="宋体" w:eastAsia="宋体" w:cs="宋体"/>
          <w:snapToGrid w:val="0"/>
          <w:color w:val="auto"/>
          <w:kern w:val="0"/>
          <w:szCs w:val="21"/>
          <w:highlight w:val="none"/>
          <w:u w:val="none"/>
          <w:lang w:val="en-US" w:eastAsia="zh-CN"/>
        </w:rPr>
        <w:t>工程承包单位</w:t>
      </w:r>
      <w:r>
        <w:rPr>
          <w:rFonts w:hint="eastAsia" w:ascii="宋体" w:hAnsi="宋体" w:eastAsia="宋体" w:cs="宋体"/>
          <w:snapToGrid w:val="0"/>
          <w:color w:val="auto"/>
          <w:kern w:val="0"/>
          <w:szCs w:val="21"/>
          <w:highlight w:val="none"/>
          <w:u w:val="single"/>
          <w:lang w:val="en-US" w:eastAsia="zh-CN"/>
        </w:rPr>
        <w:t>重庆首讯科技股份有限公司</w:t>
      </w:r>
      <w:r>
        <w:rPr>
          <w:rFonts w:hint="eastAsia" w:ascii="宋体" w:hAnsi="宋体" w:eastAsia="宋体" w:cs="宋体"/>
          <w:snapToGrid w:val="0"/>
          <w:color w:val="auto"/>
          <w:kern w:val="0"/>
          <w:position w:val="-2"/>
          <w:szCs w:val="21"/>
          <w:highlight w:val="none"/>
        </w:rPr>
        <w:t>。项目已具备招标条件，现对</w:t>
      </w:r>
      <w:r>
        <w:rPr>
          <w:rFonts w:hint="eastAsia" w:ascii="宋体" w:hAnsi="宋体" w:eastAsia="宋体" w:cs="宋体"/>
          <w:snapToGrid w:val="0"/>
          <w:color w:val="auto"/>
          <w:kern w:val="0"/>
          <w:position w:val="-2"/>
          <w:szCs w:val="21"/>
          <w:highlight w:val="none"/>
          <w:lang w:eastAsia="zh-CN"/>
        </w:rPr>
        <w:t>该项目的</w:t>
      </w:r>
      <w:r>
        <w:rPr>
          <w:rFonts w:hint="eastAsia" w:ascii="宋体" w:hAnsi="宋体" w:eastAsia="宋体" w:cs="宋体"/>
          <w:snapToGrid w:val="0"/>
          <w:color w:val="auto"/>
          <w:kern w:val="0"/>
          <w:position w:val="-2"/>
          <w:szCs w:val="21"/>
          <w:highlight w:val="none"/>
          <w:u w:val="single"/>
          <w:lang w:val="en-US" w:eastAsia="zh-CN"/>
        </w:rPr>
        <w:t>供配电系统工程专项分包采购</w:t>
      </w:r>
      <w:r>
        <w:rPr>
          <w:rFonts w:hint="eastAsia" w:ascii="宋体" w:hAnsi="宋体" w:eastAsia="宋体" w:cs="宋体"/>
          <w:snapToGrid w:val="0"/>
          <w:color w:val="auto"/>
          <w:kern w:val="0"/>
          <w:position w:val="-2"/>
          <w:szCs w:val="21"/>
          <w:highlight w:val="none"/>
        </w:rPr>
        <w:t>进行公开</w:t>
      </w:r>
      <w:r>
        <w:rPr>
          <w:rFonts w:hint="eastAsia" w:ascii="宋体" w:hAnsi="宋体" w:eastAsia="宋体" w:cs="宋体"/>
          <w:snapToGrid w:val="0"/>
          <w:color w:val="auto"/>
          <w:kern w:val="0"/>
          <w:position w:val="-2"/>
          <w:szCs w:val="21"/>
          <w:highlight w:val="none"/>
          <w:lang w:eastAsia="zh-CN"/>
        </w:rPr>
        <w:t>招标</w:t>
      </w:r>
      <w:r>
        <w:rPr>
          <w:rFonts w:hint="eastAsia" w:ascii="宋体" w:hAnsi="宋体" w:eastAsia="宋体" w:cs="宋体"/>
          <w:snapToGrid w:val="0"/>
          <w:color w:val="auto"/>
          <w:kern w:val="0"/>
          <w:position w:val="-2"/>
          <w:szCs w:val="21"/>
          <w:highlight w:val="none"/>
        </w:rPr>
        <w:t>。</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37" w:name="_Toc14641"/>
      <w:r>
        <w:rPr>
          <w:rFonts w:hint="eastAsia" w:ascii="宋体" w:hAnsi="宋体" w:eastAsia="宋体" w:cs="宋体"/>
          <w:bCs w:val="0"/>
          <w:snapToGrid w:val="0"/>
          <w:color w:val="auto"/>
          <w:sz w:val="24"/>
          <w:szCs w:val="24"/>
          <w:highlight w:val="none"/>
        </w:rPr>
        <w:t>2. 项目概况与招标范围</w:t>
      </w:r>
      <w:bookmarkEnd w:id="29"/>
      <w:bookmarkEnd w:id="30"/>
      <w:bookmarkEnd w:id="31"/>
      <w:bookmarkEnd w:id="32"/>
      <w:bookmarkEnd w:id="33"/>
      <w:bookmarkEnd w:id="34"/>
      <w:bookmarkEnd w:id="35"/>
      <w:bookmarkEnd w:id="36"/>
      <w:bookmarkEnd w:id="37"/>
      <w:bookmarkStart w:id="38" w:name="_Toc200359429"/>
      <w:bookmarkStart w:id="39" w:name="_Toc509218694"/>
      <w:bookmarkStart w:id="40" w:name="_Toc277082538"/>
      <w:bookmarkStart w:id="41" w:name="_Toc430530418"/>
      <w:bookmarkStart w:id="42" w:name="_Toc224103301"/>
      <w:bookmarkStart w:id="43" w:name="_Toc287620669"/>
      <w:bookmarkStart w:id="44" w:name="_Toc287607730"/>
      <w:bookmarkStart w:id="45" w:name="_Toc200359240"/>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2.1 建设地点：</w:t>
      </w:r>
      <w:r>
        <w:rPr>
          <w:rFonts w:hint="eastAsia" w:ascii="宋体" w:hAnsi="宋体" w:eastAsia="宋体" w:cs="宋体"/>
          <w:snapToGrid w:val="0"/>
          <w:color w:val="auto"/>
          <w:kern w:val="0"/>
          <w:szCs w:val="21"/>
          <w:highlight w:val="none"/>
          <w:u w:val="single"/>
          <w:lang w:val="en-US" w:eastAsia="zh-CN"/>
        </w:rPr>
        <w:t>重庆市。</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kern w:val="0"/>
          <w:szCs w:val="21"/>
          <w:highlight w:val="none"/>
        </w:rPr>
      </w:pPr>
      <w:r>
        <w:rPr>
          <w:rFonts w:hint="eastAsia" w:ascii="宋体" w:hAnsi="宋体" w:eastAsia="宋体" w:cs="宋体"/>
          <w:snapToGrid w:val="0"/>
          <w:color w:val="auto"/>
          <w:kern w:val="0"/>
          <w:szCs w:val="21"/>
          <w:highlight w:val="none"/>
        </w:rPr>
        <w:t>2.2 项目概况与建设规模</w:t>
      </w:r>
      <w:r>
        <w:rPr>
          <w:rFonts w:hint="eastAsia" w:ascii="宋体" w:hAnsi="宋体" w:eastAsia="宋体" w:cs="宋体"/>
          <w:snapToGrid w:val="0"/>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napToGrid w:val="0"/>
          <w:kern w:val="0"/>
          <w:szCs w:val="21"/>
          <w:highlight w:val="none"/>
          <w:u w:val="single"/>
        </w:rPr>
      </w:pPr>
      <w:r>
        <w:rPr>
          <w:rFonts w:hint="eastAsia" w:ascii="宋体" w:hAnsi="宋体" w:eastAsia="宋体" w:cs="宋体"/>
          <w:color w:val="auto"/>
          <w:highlight w:val="none"/>
          <w:u w:val="single"/>
          <w:lang w:val="en-US" w:eastAsia="zh-CN"/>
        </w:rPr>
        <w:t>三环高速公路陈食至油溪段项目：本项目起点桩号 K0+725.9，终点桩号LK16+196.534,全长15.500Km。起于九永高速永川环线，通过改造既有陈食互通为四路交叉枢纽互通，对接永川规划城市快速路，路线向东布线，设隧道穿云雾山后经吴滩镇西侧通过，止于油溪镇，与渝泸高速公路相接，并设置枢纽兼下道立交。共设监控分中心1处，主线收费站1处，匝道收费站1处：隧道1座，隧道里程数2.014Km（双洞）。本项目陈食收费站计划通车时间2024年4月，其余除陈食互通外计划通车时间2024年9月，陈食互通2024年11月。</w:t>
      </w:r>
      <w:r>
        <w:rPr>
          <w:rFonts w:hint="eastAsia" w:ascii="宋体" w:hAnsi="宋体" w:eastAsia="宋体" w:cs="宋体"/>
          <w:snapToGrid w:val="0"/>
          <w:kern w:val="0"/>
          <w:szCs w:val="21"/>
          <w:highlight w:val="none"/>
          <w:u w:val="single"/>
        </w:rPr>
        <w:t>具体以项目实际进度为准。</w:t>
      </w:r>
    </w:p>
    <w:p>
      <w:pPr>
        <w:pageBreakBefore w:val="0"/>
        <w:widowControl/>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2.3 本次招标项目合同估算金额：</w:t>
      </w:r>
      <w:r>
        <w:rPr>
          <w:rFonts w:hint="eastAsia" w:ascii="宋体" w:hAnsi="宋体" w:eastAsia="宋体" w:cs="宋体"/>
          <w:snapToGrid w:val="0"/>
          <w:color w:val="auto"/>
          <w:kern w:val="0"/>
          <w:szCs w:val="21"/>
          <w:highlight w:val="none"/>
          <w:u w:val="single"/>
          <w:lang w:val="en-US" w:eastAsia="zh-CN"/>
        </w:rPr>
        <w:t>1493.91</w:t>
      </w:r>
      <w:r>
        <w:rPr>
          <w:rFonts w:hint="eastAsia" w:ascii="宋体" w:hAnsi="宋体" w:eastAsia="宋体" w:cs="宋体"/>
          <w:snapToGrid w:val="0"/>
          <w:color w:val="auto"/>
          <w:kern w:val="0"/>
          <w:szCs w:val="21"/>
          <w:highlight w:val="none"/>
          <w:u w:val="single"/>
        </w:rPr>
        <w:t>万元</w:t>
      </w:r>
      <w:r>
        <w:rPr>
          <w:rFonts w:hint="eastAsia" w:ascii="宋体" w:hAnsi="宋体" w:eastAsia="宋体" w:cs="宋体"/>
          <w:snapToGrid w:val="0"/>
          <w:color w:val="auto"/>
          <w:kern w:val="0"/>
          <w:szCs w:val="21"/>
          <w:highlight w:val="none"/>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2.4 招标范围：</w:t>
      </w:r>
      <w:r>
        <w:rPr>
          <w:rFonts w:hint="eastAsia" w:ascii="宋体" w:hAnsi="宋体" w:eastAsia="宋体" w:cs="宋体"/>
          <w:snapToGrid w:val="0"/>
          <w:color w:val="auto"/>
          <w:kern w:val="0"/>
          <w:sz w:val="21"/>
          <w:szCs w:val="21"/>
          <w:highlight w:val="none"/>
          <w:u w:val="none"/>
          <w:lang w:val="en-US" w:eastAsia="zh-CN"/>
        </w:rPr>
        <w:t>包括变压器、高低压配电柜、母线槽及配套辅材、柴油发电机、电气火灾设备、电缆沟盖板等的供货、安装及调试，相关电缆、镀锌钢管的供货及敷设，以及低压供配电系统的调试；里程范围内服务区、收费站以及隧道的外线接入施工、以及配电房内供配电设备调试、检测、确保通电验收等一切相关工作。</w:t>
      </w:r>
    </w:p>
    <w:p>
      <w:pPr>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rPr>
        <w:t>2.5 工期要求：</w:t>
      </w:r>
      <w:r>
        <w:rPr>
          <w:rFonts w:hint="eastAsia" w:ascii="宋体" w:hAnsi="宋体" w:eastAsia="宋体" w:cs="宋体"/>
          <w:snapToGrid w:val="0"/>
          <w:color w:val="auto"/>
          <w:kern w:val="0"/>
          <w:szCs w:val="21"/>
          <w:highlight w:val="none"/>
          <w:u w:val="single"/>
          <w:lang w:val="en-US" w:eastAsia="zh-CN"/>
        </w:rPr>
        <w:t>预计为6个月，</w:t>
      </w:r>
      <w:r>
        <w:rPr>
          <w:rFonts w:hint="eastAsia" w:ascii="宋体" w:hAnsi="宋体" w:eastAsia="宋体" w:cs="宋体"/>
          <w:color w:val="auto"/>
          <w:kern w:val="0"/>
          <w:szCs w:val="21"/>
          <w:highlight w:val="none"/>
          <w:u w:val="single"/>
        </w:rPr>
        <w:t>计划</w:t>
      </w:r>
      <w:r>
        <w:rPr>
          <w:rFonts w:hint="eastAsia" w:ascii="宋体" w:hAnsi="宋体" w:eastAsia="宋体" w:cs="宋体"/>
          <w:snapToGrid w:val="0"/>
          <w:color w:val="auto"/>
          <w:kern w:val="0"/>
          <w:szCs w:val="21"/>
          <w:highlight w:val="none"/>
          <w:u w:val="single"/>
        </w:rPr>
        <w:t>开工日期：以甲方实际下达的开工通知为准</w:t>
      </w:r>
      <w:r>
        <w:rPr>
          <w:rFonts w:hint="eastAsia" w:ascii="宋体" w:hAnsi="宋体" w:eastAsia="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lang w:val="en-US" w:eastAsia="zh-CN"/>
        </w:rPr>
        <w:t>计划完工日期：2024年9月，具体以项目实际进度为准</w:t>
      </w:r>
      <w:r>
        <w:rPr>
          <w:rFonts w:hint="eastAsia" w:ascii="宋体" w:hAnsi="宋体" w:eastAsia="宋体" w:cs="宋体"/>
          <w:snapToGrid w:val="0"/>
          <w:color w:val="auto"/>
          <w:kern w:val="0"/>
          <w:szCs w:val="21"/>
          <w:highlight w:val="none"/>
          <w:u w:val="single"/>
          <w:lang w:eastAsia="zh-CN"/>
        </w:rPr>
        <w:t>。</w:t>
      </w:r>
    </w:p>
    <w:p>
      <w:pPr>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Cs w:val="21"/>
          <w:highlight w:val="none"/>
          <w:u w:val="single"/>
          <w:lang w:eastAsia="zh-CN"/>
        </w:rPr>
      </w:pPr>
      <w:r>
        <w:rPr>
          <w:rFonts w:hint="eastAsia" w:ascii="宋体" w:hAnsi="宋体" w:eastAsia="宋体" w:cs="宋体"/>
          <w:snapToGrid w:val="0"/>
          <w:color w:val="auto"/>
          <w:kern w:val="0"/>
          <w:szCs w:val="21"/>
          <w:highlight w:val="none"/>
          <w:lang w:val="en-US" w:eastAsia="zh-CN"/>
        </w:rPr>
        <w:t xml:space="preserve">2.6 </w:t>
      </w:r>
      <w:r>
        <w:rPr>
          <w:rFonts w:hint="eastAsia" w:ascii="宋体" w:hAnsi="宋体" w:eastAsia="宋体" w:cs="宋体"/>
          <w:snapToGrid w:val="0"/>
          <w:color w:val="auto"/>
          <w:kern w:val="0"/>
          <w:szCs w:val="21"/>
          <w:highlight w:val="none"/>
        </w:rPr>
        <w:t>缺陷责任期要求：</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24</w:t>
      </w:r>
      <w:r>
        <w:rPr>
          <w:rFonts w:hint="eastAsia" w:ascii="宋体" w:hAnsi="宋体" w:eastAsia="宋体" w:cs="宋体"/>
          <w:snapToGrid w:val="0"/>
          <w:color w:val="auto"/>
          <w:kern w:val="0"/>
          <w:szCs w:val="21"/>
          <w:highlight w:val="none"/>
          <w:u w:val="single"/>
        </w:rPr>
        <w:t>个月</w:t>
      </w:r>
      <w:r>
        <w:rPr>
          <w:rFonts w:hint="eastAsia" w:ascii="宋体" w:hAnsi="宋体" w:eastAsia="宋体" w:cs="宋体"/>
          <w:snapToGrid w:val="0"/>
          <w:color w:val="auto"/>
          <w:kern w:val="0"/>
          <w:szCs w:val="21"/>
          <w:highlight w:val="none"/>
          <w:u w:val="single"/>
          <w:lang w:eastAsia="zh-CN"/>
        </w:rPr>
        <w:t>；</w:t>
      </w:r>
    </w:p>
    <w:p>
      <w:pPr>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napToGrid w:val="0"/>
          <w:color w:val="auto"/>
          <w:kern w:val="0"/>
          <w:szCs w:val="21"/>
          <w:highlight w:val="none"/>
          <w:u w:val="single"/>
          <w:lang w:val="en-US" w:eastAsia="zh-CN"/>
        </w:rPr>
      </w:pPr>
      <w:r>
        <w:rPr>
          <w:rFonts w:hint="eastAsia" w:ascii="宋体" w:hAnsi="宋体" w:eastAsia="宋体" w:cs="宋体"/>
          <w:snapToGrid w:val="0"/>
          <w:color w:val="auto"/>
          <w:kern w:val="0"/>
          <w:szCs w:val="21"/>
          <w:highlight w:val="none"/>
          <w:u w:val="none"/>
          <w:lang w:val="en-US" w:eastAsia="zh-CN"/>
        </w:rPr>
        <w:t>2.7 标段划分：</w:t>
      </w:r>
      <w:r>
        <w:rPr>
          <w:rFonts w:hint="eastAsia" w:ascii="宋体" w:hAnsi="宋体" w:eastAsia="宋体" w:cs="宋体"/>
          <w:snapToGrid w:val="0"/>
          <w:color w:val="auto"/>
          <w:kern w:val="0"/>
          <w:szCs w:val="21"/>
          <w:highlight w:val="none"/>
          <w:u w:val="single"/>
          <w:lang w:val="en-US" w:eastAsia="zh-CN"/>
        </w:rPr>
        <w:t>划分为1个招标段。</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46" w:name="_Toc15239"/>
      <w:r>
        <w:rPr>
          <w:rFonts w:hint="eastAsia" w:ascii="宋体" w:hAnsi="宋体" w:eastAsia="宋体" w:cs="宋体"/>
          <w:bCs w:val="0"/>
          <w:snapToGrid w:val="0"/>
          <w:color w:val="auto"/>
          <w:sz w:val="24"/>
          <w:szCs w:val="24"/>
          <w:highlight w:val="none"/>
        </w:rPr>
        <w:t>3. 投标人资格要求</w:t>
      </w:r>
      <w:bookmarkEnd w:id="38"/>
      <w:bookmarkEnd w:id="39"/>
      <w:bookmarkEnd w:id="40"/>
      <w:bookmarkEnd w:id="41"/>
      <w:bookmarkEnd w:id="42"/>
      <w:bookmarkEnd w:id="43"/>
      <w:bookmarkEnd w:id="44"/>
      <w:bookmarkEnd w:id="45"/>
      <w:bookmarkEnd w:id="46"/>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 本次招标要求投标人须具备以下条件：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3.1.1 本次招标要求投标人具备的资质条件：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none"/>
          <w:lang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1）</w:t>
      </w:r>
      <w:r>
        <w:rPr>
          <w:rFonts w:hint="eastAsia" w:ascii="宋体" w:hAnsi="宋体" w:eastAsia="宋体" w:cs="宋体"/>
          <w:snapToGrid w:val="0"/>
          <w:color w:val="auto"/>
          <w:kern w:val="0"/>
          <w:szCs w:val="21"/>
          <w:highlight w:val="none"/>
          <w:u w:val="none"/>
        </w:rPr>
        <w:t>具有独立法人资格</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rPr>
        <w:t>具有有效的营业执照</w:t>
      </w:r>
      <w:r>
        <w:rPr>
          <w:rFonts w:hint="eastAsia" w:ascii="宋体" w:hAnsi="宋体" w:eastAsia="宋体" w:cs="宋体"/>
          <w:snapToGrid w:val="0"/>
          <w:color w:val="auto"/>
          <w:kern w:val="0"/>
          <w:szCs w:val="21"/>
          <w:highlight w:val="none"/>
          <w:u w:val="none"/>
          <w:lang w:eastAsia="zh-CN"/>
        </w:rPr>
        <w:t>；</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2）具有有效的四级及以上级别的承装(修、试）电力设施许可证。</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kern w:val="0"/>
          <w:szCs w:val="21"/>
          <w:highlight w:val="none"/>
          <w:u w:val="none"/>
          <w:lang w:val="en-US" w:eastAsia="zh-CN"/>
        </w:rPr>
        <w:t>（3）具有建设行政主管部门颁发的有效的电力工程施工总承包三级及以上资质或输变电工程专业承包三级及以上资质。</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none"/>
          <w:lang w:val="en-US" w:eastAsia="zh-CN"/>
        </w:rPr>
        <w:t>（4）具备建设行政主管部门颁发的有效的安全生产许可证。</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3.1.2 本次招标要求投标人</w:t>
      </w:r>
      <w:r>
        <w:rPr>
          <w:rFonts w:hint="eastAsia" w:ascii="宋体" w:hAnsi="宋体" w:eastAsia="宋体" w:cs="宋体"/>
          <w:snapToGrid w:val="0"/>
          <w:color w:val="auto"/>
          <w:kern w:val="0"/>
          <w:szCs w:val="21"/>
          <w:highlight w:val="none"/>
          <w:lang w:val="en-US" w:eastAsia="zh-CN"/>
        </w:rPr>
        <w:t>同时</w:t>
      </w:r>
      <w:r>
        <w:rPr>
          <w:rFonts w:hint="eastAsia" w:ascii="宋体" w:hAnsi="宋体" w:eastAsia="宋体" w:cs="宋体"/>
          <w:snapToGrid w:val="0"/>
          <w:color w:val="auto"/>
          <w:kern w:val="0"/>
          <w:szCs w:val="21"/>
          <w:highlight w:val="none"/>
        </w:rPr>
        <w:t>具备的业绩条件：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none"/>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1</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 w:val="21"/>
          <w:szCs w:val="21"/>
          <w:highlight w:val="none"/>
          <w:lang w:val="en-US" w:eastAsia="zh-CN"/>
        </w:rPr>
        <w:t>2019年1月1日至投标截止日（以合同签订时间为准），投标人至少完成一个合同额900万元以上的电力安装工程或机电安装工程（需为含供配电工程相关内容的市政、房建、公路等领域的机电安装工程）业绩。</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snapToGrid w:val="0"/>
          <w:color w:val="auto"/>
          <w:kern w:val="0"/>
          <w:szCs w:val="21"/>
          <w:highlight w:val="none"/>
          <w:u w:val="none"/>
        </w:rPr>
      </w:pPr>
      <w:r>
        <w:rPr>
          <w:rFonts w:hint="eastAsia" w:ascii="宋体" w:hAnsi="宋体" w:eastAsia="宋体" w:cs="宋体"/>
          <w:snapToGrid w:val="0"/>
          <w:color w:val="auto"/>
          <w:kern w:val="0"/>
          <w:szCs w:val="21"/>
          <w:highlight w:val="none"/>
          <w:u w:val="none"/>
        </w:rPr>
        <w:t>（2）</w:t>
      </w:r>
      <w:r>
        <w:rPr>
          <w:rFonts w:hint="eastAsia" w:ascii="宋体" w:hAnsi="宋体" w:eastAsia="宋体" w:cs="宋体"/>
          <w:snapToGrid w:val="0"/>
          <w:color w:val="auto"/>
          <w:kern w:val="0"/>
          <w:sz w:val="21"/>
          <w:szCs w:val="21"/>
          <w:highlight w:val="none"/>
          <w:lang w:val="en-US" w:eastAsia="zh-CN"/>
        </w:rPr>
        <w:t>2019年1月1日至投标截止日（以合同签订时间为准），所投变压器生产厂家至少完成一个合同额50万元以上的变压器供货业绩。</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20" w:firstLineChars="200"/>
        <w:jc w:val="left"/>
        <w:textAlignment w:val="auto"/>
        <w:rPr>
          <w:rFonts w:hint="eastAsia" w:ascii="宋体" w:hAnsi="宋体" w:eastAsia="宋体" w:cs="宋体"/>
          <w:i/>
          <w:color w:val="auto"/>
          <w:szCs w:val="21"/>
          <w:highlight w:val="none"/>
        </w:rPr>
      </w:pPr>
      <w:r>
        <w:rPr>
          <w:rFonts w:hint="eastAsia" w:ascii="宋体" w:hAnsi="宋体" w:eastAsia="宋体" w:cs="宋体"/>
          <w:snapToGrid w:val="0"/>
          <w:color w:val="auto"/>
          <w:kern w:val="0"/>
          <w:szCs w:val="21"/>
          <w:highlight w:val="none"/>
          <w:u w:val="none"/>
        </w:rPr>
        <w:t>（3）</w:t>
      </w:r>
      <w:r>
        <w:rPr>
          <w:rFonts w:hint="eastAsia" w:ascii="宋体" w:hAnsi="宋体" w:eastAsia="宋体" w:cs="宋体"/>
          <w:snapToGrid w:val="0"/>
          <w:color w:val="auto"/>
          <w:kern w:val="0"/>
          <w:sz w:val="21"/>
          <w:szCs w:val="21"/>
          <w:highlight w:val="none"/>
          <w:u w:val="none"/>
          <w:lang w:val="en-US" w:eastAsia="zh-CN"/>
        </w:rPr>
        <w:t>2019年1月1日至投标截止日（以合同签订时间为准），所投高低压开关柜生产厂家至少完成一个合同额150万元以上的高低柜设备供货业绩。</w:t>
      </w:r>
      <w:r>
        <w:rPr>
          <w:rFonts w:hint="eastAsia" w:ascii="宋体" w:hAnsi="宋体" w:eastAsia="宋体" w:cs="宋体"/>
          <w:snapToGrid w:val="0"/>
          <w:color w:val="auto"/>
          <w:kern w:val="0"/>
          <w:szCs w:val="21"/>
          <w:highlight w:val="none"/>
          <w:u w:val="none"/>
        </w:rPr>
        <w:t xml:space="preserve"> </w:t>
      </w:r>
    </w:p>
    <w:p>
      <w:pPr>
        <w:pStyle w:val="2"/>
        <w:pageBreakBefore w:val="0"/>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3.1.3 投标人还应在人员、设备、资金等方面具有相应的施工能力，详见招标文件第二章投标人须知前附表第1.4.1项内容。</w:t>
      </w:r>
    </w:p>
    <w:p>
      <w:pPr>
        <w:pStyle w:val="2"/>
        <w:pageBreakBefore w:val="0"/>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 本次招标不接受联合体投标。</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47" w:name="_Toc13892"/>
      <w:bookmarkStart w:id="48" w:name="_Toc200359241"/>
      <w:bookmarkStart w:id="49" w:name="_Toc200359430"/>
      <w:bookmarkStart w:id="50" w:name="_Toc430530419"/>
      <w:bookmarkStart w:id="51" w:name="_Toc277082539"/>
      <w:bookmarkStart w:id="52" w:name="_Toc287620670"/>
      <w:bookmarkStart w:id="53" w:name="_Toc224103302"/>
      <w:bookmarkStart w:id="54" w:name="_Toc509218695"/>
      <w:bookmarkStart w:id="55" w:name="_Toc287607731"/>
      <w:r>
        <w:rPr>
          <w:rFonts w:hint="eastAsia" w:ascii="宋体" w:hAnsi="宋体" w:eastAsia="宋体" w:cs="宋体"/>
          <w:bCs w:val="0"/>
          <w:snapToGrid w:val="0"/>
          <w:color w:val="auto"/>
          <w:sz w:val="24"/>
          <w:szCs w:val="24"/>
          <w:highlight w:val="none"/>
        </w:rPr>
        <w:t>4.评标办法</w:t>
      </w:r>
      <w:bookmarkEnd w:id="47"/>
    </w:p>
    <w:p>
      <w:pPr>
        <w:pStyle w:val="2"/>
        <w:pageBreakBefore w:val="0"/>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综合评估法。</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56" w:name="_Toc11902"/>
      <w:r>
        <w:rPr>
          <w:rFonts w:hint="eastAsia" w:ascii="宋体" w:hAnsi="宋体" w:eastAsia="宋体" w:cs="宋体"/>
          <w:bCs w:val="0"/>
          <w:snapToGrid w:val="0"/>
          <w:color w:val="auto"/>
          <w:sz w:val="24"/>
          <w:szCs w:val="24"/>
          <w:highlight w:val="none"/>
          <w:lang w:val="en-US" w:eastAsia="zh-CN"/>
        </w:rPr>
        <w:t>5.</w:t>
      </w:r>
      <w:r>
        <w:rPr>
          <w:rFonts w:hint="eastAsia" w:ascii="宋体" w:hAnsi="宋体" w:eastAsia="宋体" w:cs="宋体"/>
          <w:bCs w:val="0"/>
          <w:snapToGrid w:val="0"/>
          <w:color w:val="auto"/>
          <w:sz w:val="24"/>
          <w:szCs w:val="24"/>
          <w:highlight w:val="none"/>
        </w:rPr>
        <w:t>招标文件的获取</w:t>
      </w:r>
      <w:bookmarkEnd w:id="48"/>
      <w:bookmarkEnd w:id="49"/>
      <w:bookmarkEnd w:id="50"/>
      <w:bookmarkEnd w:id="51"/>
      <w:bookmarkEnd w:id="52"/>
      <w:bookmarkEnd w:id="53"/>
      <w:bookmarkEnd w:id="54"/>
      <w:bookmarkEnd w:id="55"/>
      <w:bookmarkEnd w:id="56"/>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kern w:val="0"/>
          <w:sz w:val="21"/>
          <w:szCs w:val="21"/>
          <w:highlight w:val="none"/>
        </w:rPr>
      </w:pPr>
      <w:bookmarkStart w:id="57" w:name="_Toc200359431"/>
      <w:bookmarkStart w:id="58" w:name="_Toc509218696"/>
      <w:bookmarkStart w:id="59" w:name="_Toc430530420"/>
      <w:bookmarkStart w:id="60" w:name="_Toc224103303"/>
      <w:bookmarkStart w:id="61" w:name="_Toc277082540"/>
      <w:bookmarkStart w:id="62" w:name="_Toc200359242"/>
      <w:bookmarkStart w:id="63" w:name="_Toc287607732"/>
      <w:bookmarkStart w:id="64" w:name="_Toc287620671"/>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.1  凡有意参加投标者，请于</w:t>
      </w:r>
      <w:r>
        <w:rPr>
          <w:rFonts w:hint="eastAsia" w:ascii="宋体" w:hAnsi="宋体" w:eastAsia="宋体" w:cs="宋体"/>
          <w:b/>
          <w:bCs w:val="0"/>
          <w:kern w:val="0"/>
          <w:sz w:val="21"/>
          <w:szCs w:val="21"/>
          <w:highlight w:val="none"/>
          <w:u w:val="single"/>
          <w:lang w:val="en-US" w:eastAsia="zh-CN" w:bidi="ar"/>
        </w:rPr>
        <w:t>2024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28</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kern w:val="0"/>
          <w:sz w:val="21"/>
          <w:szCs w:val="21"/>
          <w:highlight w:val="none"/>
          <w:lang w:val="en-US" w:eastAsia="zh-CN" w:bidi="ar"/>
        </w:rPr>
        <w:t>（北京时间，下同）前起在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下载招标文件、清单、澄清、修改、补充通知、最高限价通知等全部内容。不管下载与否都视为潜在投标人全部知晓有关招投标过程和全部内容。</w:t>
      </w:r>
      <w:r>
        <w:rPr>
          <w:rFonts w:hint="eastAsia" w:ascii="宋体" w:hAnsi="宋体" w:eastAsia="宋体" w:cs="宋体"/>
          <w:kern w:val="2"/>
          <w:sz w:val="21"/>
          <w:szCs w:val="21"/>
          <w:highlight w:val="none"/>
          <w:lang w:val="en-US" w:eastAsia="zh-CN" w:bidi="ar"/>
        </w:rPr>
        <w:t>本项目不需要报名，直接投标。</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.2  投标人可以电子邮件形式对本项目提出疑问，提问方式为向招标代理机构及招标人邮箱发送提问文件扫描件</w:t>
      </w:r>
      <w:r>
        <w:rPr>
          <w:rFonts w:hint="eastAsia" w:ascii="宋体" w:hAnsi="宋体" w:eastAsia="宋体" w:cs="宋体"/>
          <w:bCs w:val="0"/>
          <w:kern w:val="0"/>
          <w:sz w:val="21"/>
          <w:szCs w:val="21"/>
          <w:highlight w:val="none"/>
          <w:lang w:val="en-US" w:eastAsia="zh-CN" w:bidi="ar"/>
        </w:rPr>
        <w:t>（需盖单位法人章）和可编辑电子文档，</w:t>
      </w:r>
      <w:r>
        <w:rPr>
          <w:rFonts w:hint="eastAsia" w:ascii="宋体" w:hAnsi="宋体" w:eastAsia="宋体" w:cs="宋体"/>
          <w:kern w:val="0"/>
          <w:sz w:val="21"/>
          <w:szCs w:val="21"/>
          <w:highlight w:val="none"/>
          <w:lang w:val="en-US" w:eastAsia="zh-CN" w:bidi="ar"/>
        </w:rPr>
        <w:t>提问时间从本公告发布至</w:t>
      </w:r>
      <w:r>
        <w:rPr>
          <w:rFonts w:hint="eastAsia" w:ascii="宋体" w:hAnsi="宋体" w:eastAsia="宋体" w:cs="宋体"/>
          <w:b/>
          <w:bCs w:val="0"/>
          <w:kern w:val="0"/>
          <w:sz w:val="21"/>
          <w:szCs w:val="21"/>
          <w:highlight w:val="none"/>
          <w:u w:val="single"/>
          <w:lang w:val="en-US" w:eastAsia="zh-CN" w:bidi="ar"/>
        </w:rPr>
        <w:t>2024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24</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b/>
          <w:bCs w:val="0"/>
          <w:kern w:val="0"/>
          <w:sz w:val="21"/>
          <w:szCs w:val="21"/>
          <w:highlight w:val="none"/>
          <w:u w:val="single"/>
          <w:lang w:val="en-US" w:eastAsia="zh-CN" w:bidi="ar"/>
        </w:rPr>
        <w:t>17</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.3  招标人应于</w:t>
      </w:r>
      <w:r>
        <w:rPr>
          <w:rFonts w:hint="eastAsia" w:ascii="宋体" w:hAnsi="宋体" w:eastAsia="宋体" w:cs="宋体"/>
          <w:b/>
          <w:bCs w:val="0"/>
          <w:kern w:val="0"/>
          <w:sz w:val="21"/>
          <w:szCs w:val="21"/>
          <w:highlight w:val="none"/>
          <w:u w:val="single"/>
          <w:lang w:val="en-US" w:eastAsia="zh-CN" w:bidi="ar"/>
        </w:rPr>
        <w:t>2024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25</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b/>
          <w:bCs w:val="0"/>
          <w:kern w:val="0"/>
          <w:sz w:val="21"/>
          <w:szCs w:val="21"/>
          <w:highlight w:val="none"/>
          <w:u w:val="single"/>
          <w:lang w:val="en-US" w:eastAsia="zh-CN" w:bidi="ar"/>
        </w:rPr>
        <w:t>17</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发布澄清。</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65" w:name="_Toc878"/>
      <w:r>
        <w:rPr>
          <w:rFonts w:hint="eastAsia" w:ascii="宋体" w:hAnsi="宋体" w:eastAsia="宋体" w:cs="宋体"/>
          <w:bCs w:val="0"/>
          <w:snapToGrid w:val="0"/>
          <w:color w:val="auto"/>
          <w:sz w:val="24"/>
          <w:szCs w:val="24"/>
          <w:highlight w:val="none"/>
          <w:lang w:val="en-US" w:eastAsia="zh-CN"/>
        </w:rPr>
        <w:t>6</w:t>
      </w:r>
      <w:r>
        <w:rPr>
          <w:rFonts w:hint="eastAsia" w:ascii="宋体" w:hAnsi="宋体" w:eastAsia="宋体" w:cs="宋体"/>
          <w:bCs w:val="0"/>
          <w:snapToGrid w:val="0"/>
          <w:color w:val="auto"/>
          <w:sz w:val="24"/>
          <w:szCs w:val="24"/>
          <w:highlight w:val="none"/>
        </w:rPr>
        <w:t>. 投标文件的递交</w:t>
      </w:r>
      <w:bookmarkEnd w:id="57"/>
      <w:bookmarkEnd w:id="58"/>
      <w:bookmarkEnd w:id="59"/>
      <w:bookmarkEnd w:id="60"/>
      <w:bookmarkEnd w:id="61"/>
      <w:bookmarkEnd w:id="62"/>
      <w:bookmarkEnd w:id="63"/>
      <w:bookmarkEnd w:id="64"/>
      <w:bookmarkEnd w:id="65"/>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kern w:val="2"/>
          <w:sz w:val="21"/>
          <w:szCs w:val="21"/>
          <w:highlight w:val="none"/>
        </w:rPr>
      </w:pPr>
      <w:bookmarkStart w:id="66" w:name="_Toc509218697"/>
      <w:bookmarkStart w:id="67" w:name="_Toc200359432"/>
      <w:bookmarkStart w:id="68" w:name="_Toc287620672"/>
      <w:bookmarkStart w:id="69" w:name="_Toc277082541"/>
      <w:bookmarkStart w:id="70" w:name="_Toc200359243"/>
      <w:bookmarkStart w:id="71" w:name="_Toc287607733"/>
      <w:bookmarkStart w:id="72" w:name="_Toc430530421"/>
      <w:bookmarkStart w:id="73" w:name="_Toc224103304"/>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.1投标截止时间和开标时间：</w:t>
      </w:r>
      <w:r>
        <w:rPr>
          <w:rFonts w:hint="eastAsia" w:ascii="宋体" w:hAnsi="宋体" w:eastAsia="宋体" w:cs="宋体"/>
          <w:b/>
          <w:bCs/>
          <w:kern w:val="2"/>
          <w:sz w:val="21"/>
          <w:szCs w:val="21"/>
          <w:highlight w:val="none"/>
          <w:u w:val="single"/>
          <w:lang w:val="en-US" w:eastAsia="zh-CN" w:bidi="ar"/>
        </w:rPr>
        <w:t>2024</w:t>
      </w:r>
      <w:r>
        <w:rPr>
          <w:rFonts w:hint="eastAsia" w:ascii="宋体" w:hAnsi="宋体" w:eastAsia="宋体" w:cs="宋体"/>
          <w:b/>
          <w:bCs/>
          <w:kern w:val="2"/>
          <w:sz w:val="21"/>
          <w:szCs w:val="21"/>
          <w:highlight w:val="none"/>
          <w:lang w:val="en-US" w:eastAsia="zh-CN" w:bidi="ar"/>
        </w:rPr>
        <w:t>年</w:t>
      </w:r>
      <w:r>
        <w:rPr>
          <w:rFonts w:hint="eastAsia" w:ascii="宋体" w:hAnsi="宋体" w:cs="宋体"/>
          <w:b/>
          <w:bCs/>
          <w:kern w:val="2"/>
          <w:sz w:val="21"/>
          <w:szCs w:val="21"/>
          <w:highlight w:val="none"/>
          <w:u w:val="single"/>
          <w:lang w:val="en-US" w:eastAsia="zh-CN" w:bidi="ar"/>
        </w:rPr>
        <w:t>3</w:t>
      </w:r>
      <w:r>
        <w:rPr>
          <w:rFonts w:hint="eastAsia" w:ascii="宋体" w:hAnsi="宋体" w:eastAsia="宋体" w:cs="宋体"/>
          <w:b/>
          <w:bCs/>
          <w:kern w:val="2"/>
          <w:sz w:val="21"/>
          <w:szCs w:val="21"/>
          <w:highlight w:val="none"/>
          <w:lang w:val="en-US" w:eastAsia="zh-CN" w:bidi="ar"/>
        </w:rPr>
        <w:t>月</w:t>
      </w:r>
      <w:r>
        <w:rPr>
          <w:rFonts w:hint="eastAsia" w:ascii="宋体" w:hAnsi="宋体" w:cs="宋体"/>
          <w:b/>
          <w:bCs/>
          <w:kern w:val="2"/>
          <w:sz w:val="21"/>
          <w:szCs w:val="21"/>
          <w:highlight w:val="none"/>
          <w:u w:val="single"/>
          <w:lang w:val="en-US" w:eastAsia="zh-CN" w:bidi="ar"/>
        </w:rPr>
        <w:t>28</w:t>
      </w:r>
      <w:r>
        <w:rPr>
          <w:rFonts w:hint="eastAsia" w:ascii="宋体" w:hAnsi="宋体" w:eastAsia="宋体" w:cs="宋体"/>
          <w:b/>
          <w:bCs/>
          <w:kern w:val="2"/>
          <w:sz w:val="21"/>
          <w:szCs w:val="21"/>
          <w:highlight w:val="none"/>
          <w:lang w:val="en-US" w:eastAsia="zh-CN" w:bidi="ar"/>
        </w:rPr>
        <w:t>日</w:t>
      </w:r>
      <w:r>
        <w:rPr>
          <w:rFonts w:hint="eastAsia" w:ascii="宋体" w:hAnsi="宋体" w:eastAsia="宋体" w:cs="宋体"/>
          <w:b/>
          <w:bCs/>
          <w:kern w:val="2"/>
          <w:sz w:val="21"/>
          <w:szCs w:val="21"/>
          <w:highlight w:val="none"/>
          <w:u w:val="single"/>
          <w:lang w:val="en-US" w:eastAsia="zh-CN" w:bidi="ar"/>
        </w:rPr>
        <w:t xml:space="preserve"> 10 </w:t>
      </w:r>
      <w:r>
        <w:rPr>
          <w:rFonts w:hint="eastAsia" w:ascii="宋体" w:hAnsi="宋体" w:eastAsia="宋体" w:cs="宋体"/>
          <w:b/>
          <w:bCs/>
          <w:kern w:val="2"/>
          <w:sz w:val="21"/>
          <w:szCs w:val="21"/>
          <w:highlight w:val="none"/>
          <w:lang w:val="en-US" w:eastAsia="zh-CN" w:bidi="ar"/>
        </w:rPr>
        <w:t>时</w:t>
      </w:r>
      <w:r>
        <w:rPr>
          <w:rFonts w:hint="eastAsia" w:ascii="宋体" w:hAnsi="宋体" w:eastAsia="宋体" w:cs="宋体"/>
          <w:b/>
          <w:bCs/>
          <w:kern w:val="2"/>
          <w:sz w:val="21"/>
          <w:szCs w:val="21"/>
          <w:highlight w:val="none"/>
          <w:u w:val="single"/>
          <w:lang w:val="en-US" w:eastAsia="zh-CN" w:bidi="ar"/>
        </w:rPr>
        <w:t xml:space="preserve"> 00 </w:t>
      </w:r>
      <w:r>
        <w:rPr>
          <w:rFonts w:hint="eastAsia" w:ascii="宋体" w:hAnsi="宋体" w:eastAsia="宋体" w:cs="宋体"/>
          <w:b/>
          <w:bCs/>
          <w:kern w:val="2"/>
          <w:sz w:val="21"/>
          <w:szCs w:val="21"/>
          <w:highlight w:val="none"/>
          <w:lang w:val="en-US" w:eastAsia="zh-CN" w:bidi="ar"/>
        </w:rPr>
        <w:t>分</w:t>
      </w:r>
      <w:r>
        <w:rPr>
          <w:rFonts w:hint="eastAsia" w:ascii="宋体" w:hAnsi="宋体" w:eastAsia="宋体" w:cs="宋体"/>
          <w:kern w:val="2"/>
          <w:sz w:val="21"/>
          <w:szCs w:val="21"/>
          <w:highlight w:val="none"/>
          <w:lang w:val="en-US" w:eastAsia="zh-CN" w:bidi="ar"/>
        </w:rPr>
        <w:t>（北京时间）。</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.2投标地点和开标地点：重庆市江北区五简路2号重庆咨询大厦A座负一楼开标厅(重咨大厦车库入口旁的原工商银行网点位置)，可见开标当日开标厅指示牌。</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.3逾期送达、或未送达指定地点、或未按招标文件要求密封的投标文件，招标人将予以拒收。</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rPr>
      </w:pPr>
      <w:bookmarkStart w:id="74" w:name="_Toc9976"/>
      <w:r>
        <w:rPr>
          <w:rFonts w:hint="eastAsia" w:ascii="宋体" w:hAnsi="宋体" w:eastAsia="宋体" w:cs="宋体"/>
          <w:bCs w:val="0"/>
          <w:snapToGrid w:val="0"/>
          <w:color w:val="auto"/>
          <w:sz w:val="24"/>
          <w:szCs w:val="24"/>
          <w:highlight w:val="none"/>
          <w:lang w:val="en-US" w:eastAsia="zh-CN"/>
        </w:rPr>
        <w:t>7</w:t>
      </w:r>
      <w:r>
        <w:rPr>
          <w:rFonts w:hint="eastAsia" w:ascii="宋体" w:hAnsi="宋体" w:eastAsia="宋体" w:cs="宋体"/>
          <w:bCs w:val="0"/>
          <w:snapToGrid w:val="0"/>
          <w:color w:val="auto"/>
          <w:sz w:val="24"/>
          <w:szCs w:val="24"/>
          <w:highlight w:val="none"/>
        </w:rPr>
        <w:t>. 发布公告的媒介</w:t>
      </w:r>
      <w:bookmarkEnd w:id="66"/>
      <w:bookmarkEnd w:id="67"/>
      <w:bookmarkEnd w:id="68"/>
      <w:bookmarkEnd w:id="69"/>
      <w:bookmarkEnd w:id="70"/>
      <w:bookmarkEnd w:id="71"/>
      <w:bookmarkEnd w:id="72"/>
      <w:bookmarkEnd w:id="73"/>
      <w:bookmarkEnd w:id="74"/>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both"/>
        <w:textAlignment w:val="auto"/>
        <w:rPr>
          <w:rFonts w:hint="eastAsia" w:ascii="宋体" w:hAnsi="宋体" w:eastAsia="宋体" w:cs="宋体"/>
          <w:color w:val="000000"/>
          <w:kern w:val="0"/>
          <w:sz w:val="21"/>
          <w:szCs w:val="21"/>
          <w:highlight w:val="none"/>
        </w:rPr>
      </w:pPr>
      <w:bookmarkStart w:id="75" w:name="_Toc23858"/>
      <w:bookmarkEnd w:id="75"/>
      <w:bookmarkStart w:id="76" w:name="_Toc31214"/>
      <w:bookmarkEnd w:id="76"/>
      <w:bookmarkStart w:id="77" w:name="_Toc287620674"/>
      <w:bookmarkStart w:id="78" w:name="_Toc430530423"/>
      <w:bookmarkStart w:id="79" w:name="_Toc224103306"/>
      <w:bookmarkStart w:id="80" w:name="_Toc287607735"/>
      <w:r>
        <w:rPr>
          <w:rFonts w:hint="eastAsia" w:ascii="宋体" w:hAnsi="宋体" w:eastAsia="宋体" w:cs="宋体"/>
          <w:color w:val="000000"/>
          <w:kern w:val="0"/>
          <w:sz w:val="21"/>
          <w:szCs w:val="21"/>
          <w:highlight w:val="none"/>
          <w:lang w:val="en-US" w:eastAsia="zh-CN" w:bidi="ar"/>
        </w:rPr>
        <w:t>本次招标公告同时在</w:t>
      </w:r>
      <w:r>
        <w:rPr>
          <w:rFonts w:hint="eastAsia" w:ascii="宋体" w:hAnsi="宋体" w:eastAsia="宋体" w:cs="宋体"/>
          <w:color w:val="000000"/>
          <w:kern w:val="0"/>
          <w:sz w:val="21"/>
          <w:szCs w:val="21"/>
          <w:highlight w:val="none"/>
          <w:u w:val="single"/>
          <w:lang w:val="en-US" w:eastAsia="zh-CN" w:bidi="ar"/>
        </w:rPr>
        <w:t>中国招标投标公共服务平台（http://www.cebpubservice.com/）</w:t>
      </w:r>
      <w:r>
        <w:rPr>
          <w:rFonts w:hint="eastAsia" w:ascii="宋体" w:hAnsi="宋体" w:eastAsia="宋体" w:cs="宋体"/>
          <w:color w:val="000000"/>
          <w:kern w:val="2"/>
          <w:sz w:val="21"/>
          <w:szCs w:val="21"/>
          <w:highlight w:val="none"/>
          <w:u w:val="single"/>
          <w:lang w:val="en-US" w:eastAsia="zh-CN" w:bidi="ar"/>
        </w:rPr>
        <w:t>和重庆高速集团官网（https://www.cegc.com.cn/html/col1810480.html）</w:t>
      </w:r>
      <w:r>
        <w:rPr>
          <w:rFonts w:hint="eastAsia" w:ascii="宋体" w:hAnsi="宋体" w:eastAsia="宋体" w:cs="宋体"/>
          <w:color w:val="000000"/>
          <w:kern w:val="0"/>
          <w:sz w:val="21"/>
          <w:szCs w:val="21"/>
          <w:highlight w:val="none"/>
          <w:lang w:val="en-US" w:eastAsia="zh-CN" w:bidi="ar"/>
        </w:rPr>
        <w:t>上发布。</w:t>
      </w:r>
    </w:p>
    <w:p>
      <w:pPr>
        <w:pStyle w:val="4"/>
        <w:pageBreakBefore w:val="0"/>
        <w:kinsoku/>
        <w:wordWrap/>
        <w:overflowPunct/>
        <w:topLinePunct w:val="0"/>
        <w:bidi w:val="0"/>
        <w:adjustRightInd w:val="0"/>
        <w:snapToGrid w:val="0"/>
        <w:spacing w:before="0" w:beforeLines="0" w:after="0" w:afterLines="0" w:line="360" w:lineRule="auto"/>
        <w:textAlignment w:val="auto"/>
        <w:rPr>
          <w:rFonts w:hint="eastAsia" w:ascii="宋体" w:hAnsi="宋体" w:eastAsia="宋体" w:cs="宋体"/>
          <w:bCs w:val="0"/>
          <w:snapToGrid w:val="0"/>
          <w:color w:val="auto"/>
          <w:sz w:val="24"/>
          <w:szCs w:val="24"/>
          <w:highlight w:val="none"/>
          <w:lang w:val="en-US" w:eastAsia="zh-CN"/>
        </w:rPr>
      </w:pPr>
      <w:bookmarkStart w:id="81" w:name="_Toc959"/>
      <w:r>
        <w:rPr>
          <w:rFonts w:hint="eastAsia" w:ascii="宋体" w:hAnsi="宋体" w:eastAsia="宋体" w:cs="宋体"/>
          <w:bCs w:val="0"/>
          <w:snapToGrid w:val="0"/>
          <w:color w:val="auto"/>
          <w:sz w:val="24"/>
          <w:szCs w:val="24"/>
          <w:highlight w:val="none"/>
          <w:lang w:val="en-US" w:eastAsia="zh-CN"/>
        </w:rPr>
        <w:t>8.联系方式</w:t>
      </w:r>
      <w:bookmarkEnd w:id="81"/>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招 标 人： 重庆首讯科技股份有限公司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left"/>
        <w:textAlignment w:val="auto"/>
        <w:rPr>
          <w:rFonts w:hint="eastAsia" w:ascii="宋体" w:hAnsi="宋体" w:eastAsia="宋体" w:cs="宋体"/>
          <w:kern w:val="0"/>
          <w:position w:val="-3"/>
          <w:sz w:val="21"/>
          <w:szCs w:val="21"/>
          <w:highlight w:val="none"/>
        </w:rPr>
      </w:pPr>
      <w:r>
        <w:rPr>
          <w:rFonts w:hint="eastAsia" w:ascii="宋体" w:hAnsi="宋体" w:eastAsia="宋体" w:cs="宋体"/>
          <w:kern w:val="0"/>
          <w:sz w:val="21"/>
          <w:szCs w:val="21"/>
          <w:highlight w:val="none"/>
          <w:lang w:val="en-US" w:eastAsia="zh-CN" w:bidi="ar"/>
        </w:rPr>
        <w:t xml:space="preserve">地    址： 重庆市渝北区龙溪街道新南路52号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联 系 人： 刘先生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    话： 023-63131274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left="0" w:right="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电子邮件： sxliudong@cegc.com.cn           </w:t>
      </w:r>
    </w:p>
    <w:p>
      <w:pPr>
        <w:pStyle w:val="2"/>
        <w:pageBreakBefore w:val="0"/>
        <w:widowControl/>
        <w:kinsoku/>
        <w:wordWrap/>
        <w:overflowPunct/>
        <w:topLinePunct w:val="0"/>
        <w:bidi w:val="0"/>
        <w:adjustRightInd w:val="0"/>
        <w:snapToGrid w:val="0"/>
        <w:spacing w:beforeAutospacing="0" w:after="0" w:afterAutospacing="0" w:line="360" w:lineRule="auto"/>
        <w:ind w:left="0" w:right="0"/>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 </w:t>
      </w:r>
    </w:p>
    <w:p>
      <w:pPr>
        <w:pStyle w:val="17"/>
        <w:keepNext w:val="0"/>
        <w:keepLines w:val="0"/>
        <w:pageBreakBefore w:val="0"/>
        <w:widowControl w:val="0"/>
        <w:suppressLineNumbers w:val="0"/>
        <w:kinsoku/>
        <w:wordWrap/>
        <w:overflowPunct/>
        <w:topLinePunct w:val="0"/>
        <w:bidi w:val="0"/>
        <w:adjustRightInd w:val="0"/>
        <w:snapToGrid w:val="0"/>
        <w:spacing w:before="0" w:beforeAutospacing="0" w:after="0" w:line="360" w:lineRule="auto"/>
        <w:ind w:left="0" w:firstLine="420" w:firstLineChars="200"/>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招标代理机构：重庆市投资咨询有限公司</w:t>
      </w:r>
    </w:p>
    <w:p>
      <w:pPr>
        <w:pStyle w:val="17"/>
        <w:keepNext w:val="0"/>
        <w:keepLines w:val="0"/>
        <w:pageBreakBefore w:val="0"/>
        <w:widowControl w:val="0"/>
        <w:suppressLineNumbers w:val="0"/>
        <w:kinsoku/>
        <w:wordWrap/>
        <w:overflowPunct/>
        <w:topLinePunct w:val="0"/>
        <w:bidi w:val="0"/>
        <w:adjustRightInd w:val="0"/>
        <w:snapToGrid w:val="0"/>
        <w:spacing w:before="0" w:beforeAutospacing="0" w:after="0" w:line="360" w:lineRule="auto"/>
        <w:ind w:left="0" w:firstLine="420" w:firstLineChars="200"/>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地    址：重庆市江北区五里店五简路2号重庆咨询大厦</w:t>
      </w:r>
    </w:p>
    <w:p>
      <w:pPr>
        <w:pStyle w:val="17"/>
        <w:keepNext w:val="0"/>
        <w:keepLines w:val="0"/>
        <w:pageBreakBefore w:val="0"/>
        <w:widowControl w:val="0"/>
        <w:suppressLineNumbers w:val="0"/>
        <w:kinsoku/>
        <w:wordWrap/>
        <w:overflowPunct/>
        <w:topLinePunct w:val="0"/>
        <w:bidi w:val="0"/>
        <w:adjustRightInd w:val="0"/>
        <w:snapToGrid w:val="0"/>
        <w:spacing w:before="0" w:beforeAutospacing="0" w:after="0" w:line="360" w:lineRule="auto"/>
        <w:ind w:left="0" w:firstLine="420" w:firstLineChars="200"/>
        <w:textAlignment w:val="auto"/>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联 系 人：</w:t>
      </w:r>
      <w:r>
        <w:rPr>
          <w:rFonts w:hint="eastAsia" w:ascii="宋体" w:hAnsi="宋体" w:eastAsia="宋体" w:cs="宋体"/>
          <w:kern w:val="2"/>
          <w:sz w:val="21"/>
          <w:szCs w:val="21"/>
          <w:highlight w:val="none"/>
          <w:lang w:eastAsia="zh-CN"/>
        </w:rPr>
        <w:t>杨女士</w:t>
      </w:r>
    </w:p>
    <w:p>
      <w:pPr>
        <w:pStyle w:val="17"/>
        <w:keepNext w:val="0"/>
        <w:keepLines w:val="0"/>
        <w:pageBreakBefore w:val="0"/>
        <w:widowControl w:val="0"/>
        <w:suppressLineNumbers w:val="0"/>
        <w:kinsoku/>
        <w:wordWrap/>
        <w:overflowPunct/>
        <w:topLinePunct w:val="0"/>
        <w:bidi w:val="0"/>
        <w:adjustRightInd w:val="0"/>
        <w:snapToGrid w:val="0"/>
        <w:spacing w:before="0" w:beforeAutospacing="0" w:after="0" w:line="360" w:lineRule="auto"/>
        <w:ind w:left="0" w:firstLine="420" w:firstLineChars="200"/>
        <w:textAlignment w:val="auto"/>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电    话：023-</w:t>
      </w:r>
      <w:r>
        <w:rPr>
          <w:rFonts w:hint="eastAsia" w:ascii="宋体" w:hAnsi="宋体" w:eastAsia="宋体" w:cs="宋体"/>
          <w:kern w:val="2"/>
          <w:sz w:val="21"/>
          <w:szCs w:val="21"/>
          <w:highlight w:val="none"/>
          <w:lang w:val="en-US" w:eastAsia="zh-CN"/>
        </w:rPr>
        <w:t>63875872</w:t>
      </w:r>
    </w:p>
    <w:p>
      <w:pPr>
        <w:pStyle w:val="17"/>
        <w:keepNext w:val="0"/>
        <w:keepLines w:val="0"/>
        <w:pageBreakBefore w:val="0"/>
        <w:widowControl w:val="0"/>
        <w:suppressLineNumbers w:val="0"/>
        <w:kinsoku/>
        <w:wordWrap/>
        <w:overflowPunct/>
        <w:topLinePunct w:val="0"/>
        <w:bidi w:val="0"/>
        <w:adjustRightInd w:val="0"/>
        <w:snapToGrid w:val="0"/>
        <w:spacing w:before="0" w:beforeAutospacing="0" w:after="0" w:line="360" w:lineRule="auto"/>
        <w:ind w:left="0" w:firstLine="420" w:firstLineChars="200"/>
        <w:textAlignment w:val="auto"/>
        <w:rPr>
          <w:rFonts w:hint="eastAsia" w:ascii="宋体" w:hAnsi="宋体" w:eastAsia="宋体" w:cs="宋体"/>
          <w:kern w:val="2"/>
          <w:sz w:val="21"/>
          <w:szCs w:val="21"/>
          <w:highlight w:val="none"/>
        </w:rPr>
      </w:pPr>
      <w:r>
        <w:rPr>
          <w:rFonts w:hint="eastAsia" w:ascii="宋体" w:hAnsi="宋体" w:eastAsia="宋体" w:cs="宋体"/>
          <w:kern w:val="0"/>
          <w:sz w:val="21"/>
          <w:szCs w:val="21"/>
          <w:highlight w:val="none"/>
        </w:rPr>
        <w:t>电子邮件：</w:t>
      </w:r>
      <w:r>
        <w:rPr>
          <w:rFonts w:hint="eastAsia" w:ascii="宋体" w:hAnsi="宋体" w:eastAsia="宋体" w:cs="宋体"/>
          <w:kern w:val="0"/>
          <w:sz w:val="21"/>
          <w:szCs w:val="21"/>
          <w:highlight w:val="none"/>
          <w:lang w:val="en-US" w:eastAsia="zh-CN"/>
        </w:rPr>
        <w:t>541479255</w:t>
      </w:r>
      <w:r>
        <w:rPr>
          <w:rFonts w:hint="eastAsia" w:ascii="宋体" w:hAnsi="宋体" w:eastAsia="宋体" w:cs="宋体"/>
          <w:kern w:val="0"/>
          <w:sz w:val="21"/>
          <w:szCs w:val="21"/>
          <w:highlight w:val="none"/>
        </w:rPr>
        <w:t>@qq.com</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both"/>
        <w:rPr>
          <w:rFonts w:hint="eastAsia" w:ascii="宋体" w:hAnsi="宋体" w:eastAsia="宋体" w:cs="宋体"/>
          <w:kern w:val="2"/>
          <w:sz w:val="21"/>
          <w:szCs w:val="21"/>
          <w:highlight w:val="none"/>
        </w:rPr>
      </w:pPr>
    </w:p>
    <w:p>
      <w:pPr>
        <w:autoSpaceDE w:val="0"/>
        <w:autoSpaceDN w:val="0"/>
        <w:adjustRightInd w:val="0"/>
        <w:snapToGrid w:val="0"/>
        <w:spacing w:line="440" w:lineRule="exact"/>
        <w:ind w:firstLine="3906" w:firstLineChars="1860"/>
        <w:jc w:val="right"/>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77"/>
    <w:bookmarkEnd w:id="78"/>
    <w:bookmarkEnd w:id="79"/>
    <w:bookmarkEnd w:id="80"/>
    <w:p>
      <w:pPr>
        <w:pStyle w:val="3"/>
        <w:spacing w:line="360" w:lineRule="auto"/>
        <w:ind w:firstLine="883"/>
        <w:jc w:val="center"/>
        <w:rPr>
          <w:rFonts w:hint="eastAsia" w:ascii="宋体" w:hAnsi="宋体" w:eastAsia="宋体" w:cs="宋体"/>
          <w:bCs w:val="0"/>
          <w:snapToGrid w:val="0"/>
          <w:color w:val="auto"/>
          <w:kern w:val="0"/>
          <w:highlight w:val="none"/>
        </w:rPr>
      </w:pPr>
      <w:bookmarkStart w:id="82" w:name="_Toc287607744"/>
      <w:bookmarkStart w:id="83" w:name="_Toc224103315"/>
      <w:bookmarkStart w:id="84" w:name="_Toc19432"/>
      <w:bookmarkStart w:id="85" w:name="_Toc430530432"/>
      <w:bookmarkStart w:id="86" w:name="_Toc287620683"/>
      <w:r>
        <w:rPr>
          <w:rFonts w:hint="eastAsia" w:ascii="宋体" w:hAnsi="宋体" w:eastAsia="宋体" w:cs="宋体"/>
          <w:bCs w:val="0"/>
          <w:snapToGrid w:val="0"/>
          <w:color w:val="auto"/>
          <w:highlight w:val="none"/>
        </w:rPr>
        <w:t>第二章  投标人须知</w:t>
      </w:r>
      <w:bookmarkEnd w:id="82"/>
      <w:bookmarkEnd w:id="83"/>
      <w:bookmarkEnd w:id="84"/>
      <w:bookmarkEnd w:id="85"/>
      <w:bookmarkEnd w:id="86"/>
      <w:bookmarkStart w:id="87" w:name="_Toc287607745"/>
      <w:bookmarkStart w:id="88" w:name="_Toc430530433"/>
      <w:bookmarkStart w:id="89" w:name="_Toc224103316"/>
      <w:bookmarkStart w:id="90" w:name="_Toc287620684"/>
      <w:bookmarkStart w:id="91" w:name="_Toc277082551"/>
    </w:p>
    <w:p>
      <w:pPr>
        <w:pStyle w:val="4"/>
        <w:spacing w:before="100" w:after="100" w:line="360" w:lineRule="auto"/>
        <w:rPr>
          <w:rFonts w:hint="eastAsia" w:ascii="宋体" w:hAnsi="宋体" w:eastAsia="宋体" w:cs="宋体"/>
          <w:bCs w:val="0"/>
          <w:color w:val="auto"/>
          <w:sz w:val="28"/>
          <w:szCs w:val="28"/>
          <w:highlight w:val="none"/>
        </w:rPr>
      </w:pPr>
      <w:bookmarkStart w:id="92" w:name="_Toc31199"/>
      <w:bookmarkStart w:id="93" w:name="_Toc509218708"/>
      <w:r>
        <w:rPr>
          <w:rFonts w:hint="eastAsia" w:ascii="宋体" w:hAnsi="宋体" w:eastAsia="宋体" w:cs="宋体"/>
          <w:bCs w:val="0"/>
          <w:color w:val="auto"/>
          <w:sz w:val="28"/>
          <w:szCs w:val="28"/>
          <w:highlight w:val="none"/>
        </w:rPr>
        <w:t>投标人须知前附表</w:t>
      </w:r>
      <w:bookmarkEnd w:id="87"/>
      <w:bookmarkEnd w:id="88"/>
      <w:bookmarkEnd w:id="89"/>
      <w:bookmarkEnd w:id="90"/>
      <w:bookmarkEnd w:id="91"/>
      <w:bookmarkEnd w:id="92"/>
      <w:bookmarkEnd w:id="9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正文内容不允许修改。若投标人须知前附表与正文不一致的地方，以投标人须知前附表为准。</w:t>
      </w:r>
    </w:p>
    <w:tbl>
      <w:tblPr>
        <w:tblStyle w:val="34"/>
        <w:tblW w:w="49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60"/>
        <w:gridCol w:w="1646"/>
        <w:gridCol w:w="6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blHeade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 款 号</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条款名称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招 标 人： 重庆首讯科技股份有限公司</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地    址： 重庆市渝北区龙溪街道新南路52号</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联 系 人： 刘老师</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电    话： 023-63131274</w:t>
            </w:r>
          </w:p>
          <w:p>
            <w:pPr>
              <w:keepNext w:val="0"/>
              <w:keepLines w:val="0"/>
              <w:widowControl w:val="0"/>
              <w:suppressLineNumbers w:val="0"/>
              <w:adjustRightInd w:val="0"/>
              <w:snapToGrid w:val="0"/>
              <w:spacing w:before="0" w:beforeLines="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 xml:space="preserve">电子邮件： sxliudong@cegc.com.cn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招标代理机构</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招标代理机构：重庆市投资咨询有限公司</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地    址：重庆市江北区五里店五简路2号重庆咨询大厦</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联 系 人：杨女士</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电    话：023-63875872</w:t>
            </w:r>
          </w:p>
          <w:p>
            <w:pPr>
              <w:keepNext w:val="0"/>
              <w:keepLines w:val="0"/>
              <w:widowControl w:val="0"/>
              <w:suppressLineNumbers w:val="0"/>
              <w:adjustRightInd w:val="0"/>
              <w:snapToGrid w:val="0"/>
              <w:spacing w:before="0" w:beforeLines="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2"/>
                <w:sz w:val="21"/>
                <w:szCs w:val="21"/>
                <w:highlight w:val="none"/>
                <w:lang w:val="en-US" w:eastAsia="zh-CN" w:bidi="ar"/>
              </w:rPr>
              <w:t>电子邮件：541479255@qq.com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1.1.4</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招标项目名称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kern w:val="2"/>
                <w:sz w:val="21"/>
                <w:szCs w:val="21"/>
                <w:highlight w:val="none"/>
                <w:lang w:val="en-US" w:eastAsia="zh-CN" w:bidi="ar"/>
              </w:rPr>
              <w:t>三环高速公路陈食至油溪段项目供配电系统工程专项分包采购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重庆市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资金来源及比例</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kern w:val="0"/>
                <w:sz w:val="21"/>
                <w:szCs w:val="21"/>
                <w:highlight w:val="none"/>
                <w:lang w:val="en-US" w:eastAsia="zh-CN" w:bidi="ar"/>
              </w:rPr>
              <w:t>业主自筹，100%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资金落实情况</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招标范围</w:t>
            </w:r>
          </w:p>
        </w:tc>
        <w:tc>
          <w:tcPr>
            <w:tcW w:w="3445" w:type="pct"/>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400" w:lineRule="exact"/>
              <w:ind w:left="0" w:right="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napToGrid w:val="0"/>
                <w:color w:val="auto"/>
                <w:kern w:val="0"/>
                <w:sz w:val="21"/>
                <w:szCs w:val="21"/>
                <w:highlight w:val="none"/>
                <w:u w:val="none"/>
                <w:lang w:val="en-US" w:eastAsia="zh-CN"/>
              </w:rPr>
              <w:t>包括变压器、高低压配电柜、母线槽及配套辅材、柴油发电机、电气火灾设备、电缆沟盖板等的供货、安装及调试，相关电缆、镀锌钢管的供货及敷设，以及低压供配电系统的调试；里程范围内服务区、收费站以及隧道的外线接入施工、以及配电房内供配电设备调试、检测、确保通电验收等一切相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计划工期</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缺陷责任期</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none"/>
                <w:lang w:val="en-US" w:eastAsia="zh-CN"/>
              </w:rPr>
            </w:pPr>
            <w:r>
              <w:rPr>
                <w:rFonts w:hint="eastAsia" w:ascii="宋体" w:hAnsi="宋体" w:eastAsia="宋体" w:cs="宋体"/>
                <w:color w:val="auto"/>
                <w:kern w:val="0"/>
                <w:szCs w:val="21"/>
                <w:highlight w:val="none"/>
                <w:u w:val="none"/>
              </w:rPr>
              <w:t>工期：</w:t>
            </w:r>
            <w:r>
              <w:rPr>
                <w:rFonts w:hint="eastAsia" w:ascii="宋体" w:hAnsi="宋体" w:eastAsia="宋体" w:cs="宋体"/>
                <w:color w:val="auto"/>
                <w:kern w:val="0"/>
                <w:szCs w:val="21"/>
                <w:highlight w:val="none"/>
                <w:u w:val="none"/>
                <w:lang w:val="en-US" w:eastAsia="zh-CN"/>
              </w:rPr>
              <w:t>预计为6个月；</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color w:val="auto"/>
                <w:kern w:val="0"/>
                <w:szCs w:val="21"/>
                <w:highlight w:val="none"/>
                <w:u w:val="none"/>
              </w:rPr>
              <w:t>计划开工日期：</w:t>
            </w:r>
            <w:r>
              <w:rPr>
                <w:rFonts w:hint="eastAsia" w:ascii="宋体" w:hAnsi="宋体" w:eastAsia="宋体" w:cs="宋体"/>
                <w:color w:val="auto"/>
                <w:kern w:val="0"/>
                <w:szCs w:val="21"/>
                <w:highlight w:val="none"/>
                <w:u w:val="none"/>
                <w:lang w:val="en-US" w:eastAsia="zh-CN"/>
              </w:rPr>
              <w:t>具体</w:t>
            </w:r>
            <w:r>
              <w:rPr>
                <w:rFonts w:hint="eastAsia" w:ascii="宋体" w:hAnsi="宋体" w:eastAsia="宋体" w:cs="宋体"/>
                <w:snapToGrid/>
                <w:color w:val="auto"/>
                <w:kern w:val="0"/>
                <w:szCs w:val="21"/>
                <w:highlight w:val="none"/>
                <w:u w:val="none"/>
              </w:rPr>
              <w:t>以甲方实际下达的开工通知为准；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snapToGrid/>
                <w:color w:val="auto"/>
                <w:kern w:val="0"/>
                <w:szCs w:val="21"/>
                <w:highlight w:val="none"/>
                <w:u w:val="none"/>
                <w:lang w:val="en-US" w:eastAsia="zh-CN"/>
              </w:rPr>
              <w:t>计划完工日期：2024年11月，具体以项目实际进度为准；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u w:val="none"/>
              </w:rPr>
              <w:t xml:space="preserve">缺陷责任期： </w:t>
            </w:r>
            <w:r>
              <w:rPr>
                <w:rFonts w:hint="eastAsia" w:ascii="宋体" w:hAnsi="宋体" w:eastAsia="宋体" w:cs="宋体"/>
                <w:color w:val="auto"/>
                <w:kern w:val="0"/>
                <w:szCs w:val="21"/>
                <w:highlight w:val="none"/>
                <w:u w:val="none"/>
                <w:lang w:val="en-US" w:eastAsia="zh-CN"/>
              </w:rPr>
              <w:t>24</w:t>
            </w:r>
            <w:r>
              <w:rPr>
                <w:rFonts w:hint="eastAsia" w:ascii="宋体" w:hAnsi="宋体" w:eastAsia="宋体" w:cs="宋体"/>
                <w:color w:val="auto"/>
                <w:kern w:val="0"/>
                <w:szCs w:val="21"/>
                <w:highlight w:val="none"/>
                <w:u w:val="none"/>
              </w:rPr>
              <w:t>个月</w:t>
            </w:r>
            <w:r>
              <w:rPr>
                <w:rFonts w:hint="eastAsia" w:ascii="宋体" w:hAnsi="宋体" w:eastAsia="宋体" w:cs="宋体"/>
                <w:color w:val="auto"/>
                <w:kern w:val="0"/>
                <w:szCs w:val="21"/>
                <w:highlight w:val="none"/>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工程交工验收的质量评定：</w:t>
            </w:r>
            <w:r>
              <w:rPr>
                <w:rFonts w:hint="eastAsia" w:ascii="宋体" w:hAnsi="宋体" w:eastAsia="宋体" w:cs="宋体"/>
                <w:color w:val="auto"/>
                <w:szCs w:val="21"/>
                <w:highlight w:val="none"/>
                <w:u w:val="single"/>
                <w:lang w:val="en-US" w:eastAsia="zh-CN"/>
              </w:rPr>
              <w:t>合格，年度一次性抽检合格率不低于97%。</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i/>
                <w:color w:val="auto"/>
                <w:szCs w:val="21"/>
                <w:highlight w:val="none"/>
              </w:rPr>
            </w:pPr>
            <w:r>
              <w:rPr>
                <w:rFonts w:hint="eastAsia" w:ascii="宋体" w:hAnsi="宋体" w:eastAsia="宋体" w:cs="宋体"/>
                <w:color w:val="auto"/>
                <w:szCs w:val="21"/>
                <w:highlight w:val="none"/>
              </w:rPr>
              <w:t>工程竣工验收的质量评定：</w:t>
            </w:r>
            <w:r>
              <w:rPr>
                <w:rFonts w:hint="eastAsia" w:ascii="宋体" w:hAnsi="宋体" w:eastAsia="宋体" w:cs="宋体"/>
                <w:color w:val="auto"/>
                <w:szCs w:val="21"/>
                <w:highlight w:val="none"/>
                <w:u w:val="single"/>
                <w:lang w:val="en-US" w:eastAsia="zh-CN"/>
              </w:rPr>
              <w:t>合格，年度一次性抽检合格率不低于97%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安全目标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不发生较大及以上安全生产责任事故，项目责任事故死亡指标为0。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投标人资质条件、能力和信誉</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1、资质条件、营业执照及安全生产条件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具有独立法人资格，</w:t>
            </w:r>
            <w:r>
              <w:rPr>
                <w:rFonts w:hint="eastAsia" w:ascii="宋体" w:hAnsi="宋体" w:eastAsia="宋体" w:cs="宋体"/>
                <w:color w:val="auto"/>
                <w:szCs w:val="21"/>
                <w:highlight w:val="none"/>
              </w:rPr>
              <w:t>具备有效的营业执照。</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投标人须在投标文件资格审查部分提供有效的营业执照</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u w:val="none"/>
                <w:lang w:val="en-US" w:eastAsia="zh-CN"/>
              </w:rPr>
              <w:t>具有有效的四级及以上级别的承装(修、试）电力设施许可证。</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u w:val="none"/>
                <w:lang w:val="en-US" w:eastAsia="zh-CN"/>
              </w:rPr>
              <w:t>具有建设行政主管部门颁发的有效的电力工程施工总承包三级及以上资质或输变电工程专业承包三级及以上资质。</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）具备建设行政主管部门颁发的</w:t>
            </w:r>
            <w:r>
              <w:rPr>
                <w:rFonts w:hint="eastAsia" w:ascii="宋体" w:hAnsi="宋体" w:eastAsia="宋体" w:cs="宋体"/>
                <w:color w:val="auto"/>
                <w:szCs w:val="21"/>
                <w:highlight w:val="none"/>
                <w:lang w:eastAsia="zh-CN"/>
              </w:rPr>
              <w:t>有效的</w:t>
            </w:r>
            <w:r>
              <w:rPr>
                <w:rFonts w:hint="eastAsia" w:ascii="宋体" w:hAnsi="宋体" w:eastAsia="宋体" w:cs="宋体"/>
                <w:color w:val="auto"/>
                <w:szCs w:val="21"/>
                <w:highlight w:val="none"/>
              </w:rPr>
              <w:t>安全生产许可证。</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8"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投标人须在投标文件资格审查部分提供有效的安全生产许可证</w:t>
            </w:r>
            <w:r>
              <w:rPr>
                <w:rFonts w:hint="eastAsia" w:ascii="宋体" w:hAnsi="宋体" w:eastAsia="宋体" w:cs="宋体"/>
                <w:color w:val="auto"/>
                <w:szCs w:val="21"/>
                <w:highlight w:val="none"/>
                <w:lang w:eastAsia="zh-CN"/>
              </w:rPr>
              <w:t>复印件</w:t>
            </w:r>
            <w:r>
              <w:rPr>
                <w:rFonts w:hint="eastAsia" w:ascii="宋体" w:hAnsi="宋体" w:eastAsia="宋体" w:cs="宋体"/>
                <w:color w:val="auto"/>
                <w:spacing w:val="2"/>
                <w:szCs w:val="21"/>
                <w:highlight w:val="none"/>
              </w:rPr>
              <w:t>。</w:t>
            </w:r>
          </w:p>
          <w:p>
            <w:pPr>
              <w:keepNext w:val="0"/>
              <w:keepLines w:val="0"/>
              <w:numPr>
                <w:ilvl w:val="0"/>
                <w:numId w:val="1"/>
              </w:numPr>
              <w:suppressLineNumbers w:val="0"/>
              <w:autoSpaceDE w:val="0"/>
              <w:autoSpaceDN w:val="0"/>
              <w:adjustRightInd w:val="0"/>
              <w:snapToGrid w:val="0"/>
              <w:spacing w:before="0" w:beforeLines="0" w:beforeAutospacing="0" w:after="0" w:afterLines="0" w:afterAutospacing="0" w:line="400" w:lineRule="exact"/>
              <w:ind w:left="0" w:leftChars="0" w:right="0" w:firstLine="422" w:firstLineChars="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关键设备授权要求</w:t>
            </w:r>
          </w:p>
          <w:p>
            <w:pPr>
              <w:keepNext w:val="0"/>
              <w:keepLines w:val="0"/>
              <w:numPr>
                <w:ilvl w:val="-1"/>
                <w:numId w:val="0"/>
              </w:numPr>
              <w:suppressLineNumbers w:val="0"/>
              <w:autoSpaceDE w:val="0"/>
              <w:autoSpaceDN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snapToGrid w:val="0"/>
                <w:color w:val="auto"/>
                <w:spacing w:val="0"/>
                <w:kern w:val="0"/>
                <w:szCs w:val="21"/>
                <w:highlight w:val="none"/>
                <w:u w:val="none"/>
                <w:lang w:eastAsia="zh-CN"/>
              </w:rPr>
            </w:pPr>
            <w:r>
              <w:rPr>
                <w:rFonts w:hint="eastAsia" w:ascii="宋体" w:hAnsi="宋体" w:eastAsia="宋体" w:cs="宋体"/>
                <w:snapToGrid w:val="0"/>
                <w:color w:val="auto"/>
                <w:spacing w:val="0"/>
                <w:kern w:val="0"/>
                <w:szCs w:val="21"/>
                <w:highlight w:val="none"/>
                <w:u w:val="none"/>
                <w:lang w:eastAsia="zh-CN"/>
              </w:rPr>
              <w:t>投标人</w:t>
            </w:r>
            <w:r>
              <w:rPr>
                <w:rFonts w:hint="eastAsia" w:ascii="宋体" w:hAnsi="宋体" w:eastAsia="宋体" w:cs="宋体"/>
                <w:snapToGrid w:val="0"/>
                <w:color w:val="auto"/>
                <w:kern w:val="0"/>
                <w:sz w:val="21"/>
                <w:szCs w:val="21"/>
                <w:highlight w:val="none"/>
                <w:u w:val="none"/>
              </w:rPr>
              <w:t>须取得</w:t>
            </w:r>
            <w:r>
              <w:rPr>
                <w:rFonts w:hint="eastAsia" w:ascii="宋体" w:hAnsi="宋体" w:eastAsia="宋体" w:cs="宋体"/>
                <w:snapToGrid w:val="0"/>
                <w:color w:val="auto"/>
                <w:kern w:val="0"/>
                <w:sz w:val="21"/>
                <w:szCs w:val="21"/>
                <w:highlight w:val="none"/>
                <w:u w:val="none"/>
                <w:lang w:val="en-US" w:eastAsia="zh-CN"/>
              </w:rPr>
              <w:t>变压器及高低压开关柜</w:t>
            </w:r>
            <w:r>
              <w:rPr>
                <w:rFonts w:hint="eastAsia" w:ascii="宋体" w:hAnsi="宋体" w:eastAsia="宋体" w:cs="宋体"/>
                <w:snapToGrid w:val="0"/>
                <w:color w:val="auto"/>
                <w:kern w:val="0"/>
                <w:sz w:val="21"/>
                <w:szCs w:val="21"/>
                <w:highlight w:val="none"/>
                <w:u w:val="none"/>
              </w:rPr>
              <w:t>生产厂家项目授权书。</w:t>
            </w:r>
          </w:p>
          <w:p>
            <w:pPr>
              <w:keepNext w:val="0"/>
              <w:keepLines w:val="0"/>
              <w:numPr>
                <w:ilvl w:val="-1"/>
                <w:numId w:val="0"/>
              </w:numPr>
              <w:suppressLineNumbers w:val="0"/>
              <w:autoSpaceDE w:val="0"/>
              <w:autoSpaceDN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spacing w:val="0"/>
                <w:kern w:val="0"/>
                <w:szCs w:val="21"/>
                <w:highlight w:val="none"/>
                <w:u w:val="none"/>
              </w:rPr>
              <w:t>投标人须在投标文件资格审查部分提供</w:t>
            </w:r>
            <w:r>
              <w:rPr>
                <w:rFonts w:hint="eastAsia" w:ascii="宋体" w:hAnsi="宋体" w:eastAsia="宋体" w:cs="宋体"/>
                <w:snapToGrid w:val="0"/>
                <w:color w:val="auto"/>
                <w:spacing w:val="0"/>
                <w:kern w:val="0"/>
                <w:szCs w:val="21"/>
                <w:highlight w:val="none"/>
                <w:u w:val="none"/>
                <w:lang w:eastAsia="zh-CN"/>
              </w:rPr>
              <w:t>以下资料：（</w:t>
            </w:r>
            <w:r>
              <w:rPr>
                <w:rFonts w:hint="eastAsia" w:ascii="宋体" w:hAnsi="宋体" w:eastAsia="宋体" w:cs="宋体"/>
                <w:snapToGrid w:val="0"/>
                <w:color w:val="auto"/>
                <w:spacing w:val="0"/>
                <w:kern w:val="0"/>
                <w:szCs w:val="21"/>
                <w:highlight w:val="none"/>
                <w:u w:val="none"/>
                <w:lang w:val="en-US" w:eastAsia="zh-CN"/>
              </w:rPr>
              <w:t>1</w:t>
            </w:r>
            <w:r>
              <w:rPr>
                <w:rFonts w:hint="eastAsia" w:ascii="宋体" w:hAnsi="宋体" w:eastAsia="宋体" w:cs="宋体"/>
                <w:snapToGrid w:val="0"/>
                <w:color w:val="auto"/>
                <w:spacing w:val="0"/>
                <w:kern w:val="0"/>
                <w:szCs w:val="21"/>
                <w:highlight w:val="none"/>
                <w:u w:val="none"/>
                <w:lang w:eastAsia="zh-CN"/>
              </w:rPr>
              <w:t>）变压器及高低压开关柜</w:t>
            </w:r>
            <w:r>
              <w:rPr>
                <w:rFonts w:hint="eastAsia" w:ascii="宋体" w:hAnsi="宋体" w:eastAsia="宋体" w:cs="宋体"/>
                <w:snapToGrid w:val="0"/>
                <w:color w:val="auto"/>
                <w:spacing w:val="0"/>
                <w:kern w:val="0"/>
                <w:szCs w:val="21"/>
                <w:highlight w:val="none"/>
                <w:u w:val="none"/>
                <w:lang w:val="en-US" w:eastAsia="zh-CN"/>
              </w:rPr>
              <w:t>制造商的营业执照复印件并加盖制造商公章。</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2</w:t>
            </w:r>
            <w:r>
              <w:rPr>
                <w:rFonts w:hint="eastAsia" w:ascii="宋体" w:hAnsi="宋体" w:eastAsia="宋体" w:cs="宋体"/>
                <w:snapToGrid w:val="0"/>
                <w:color w:val="auto"/>
                <w:kern w:val="0"/>
                <w:szCs w:val="21"/>
                <w:highlight w:val="none"/>
                <w:u w:val="none"/>
                <w:lang w:eastAsia="zh-CN"/>
              </w:rPr>
              <w:t>）制造商向投标人出具的授权书</w:t>
            </w:r>
            <w:r>
              <w:rPr>
                <w:rFonts w:hint="eastAsia" w:ascii="宋体" w:hAnsi="宋体" w:eastAsia="宋体" w:cs="宋体"/>
                <w:b w:val="0"/>
                <w:bCs w:val="0"/>
                <w:snapToGrid w:val="0"/>
                <w:color w:val="auto"/>
                <w:kern w:val="0"/>
                <w:szCs w:val="21"/>
                <w:highlight w:val="none"/>
                <w:u w:val="none"/>
                <w:lang w:eastAsia="zh-CN"/>
              </w:rPr>
              <w:t>原件</w:t>
            </w:r>
            <w:r>
              <w:rPr>
                <w:rFonts w:hint="eastAsia" w:ascii="宋体" w:hAnsi="宋体" w:eastAsia="宋体" w:cs="宋体"/>
                <w:snapToGrid w:val="0"/>
                <w:color w:val="auto"/>
                <w:kern w:val="0"/>
                <w:szCs w:val="21"/>
                <w:highlight w:val="none"/>
                <w:u w:val="none"/>
              </w:rPr>
              <w:t>（格式见第</w:t>
            </w:r>
            <w:r>
              <w:rPr>
                <w:rFonts w:hint="eastAsia" w:ascii="宋体" w:hAnsi="宋体" w:eastAsia="宋体" w:cs="宋体"/>
                <w:snapToGrid w:val="0"/>
                <w:color w:val="auto"/>
                <w:kern w:val="0"/>
                <w:szCs w:val="21"/>
                <w:highlight w:val="none"/>
                <w:u w:val="none"/>
                <w:lang w:eastAsia="zh-CN"/>
              </w:rPr>
              <w:t>九</w:t>
            </w:r>
            <w:r>
              <w:rPr>
                <w:rFonts w:hint="eastAsia" w:ascii="宋体" w:hAnsi="宋体" w:eastAsia="宋体" w:cs="宋体"/>
                <w:snapToGrid w:val="0"/>
                <w:color w:val="auto"/>
                <w:kern w:val="0"/>
                <w:szCs w:val="21"/>
                <w:highlight w:val="none"/>
                <w:u w:val="none"/>
              </w:rPr>
              <w:t>章投标文件格式）</w:t>
            </w:r>
            <w:r>
              <w:rPr>
                <w:rFonts w:hint="eastAsia" w:ascii="宋体" w:hAnsi="宋体" w:eastAsia="宋体" w:cs="宋体"/>
                <w:snapToGrid w:val="0"/>
                <w:color w:val="auto"/>
                <w:spacing w:val="0"/>
                <w:kern w:val="0"/>
                <w:szCs w:val="21"/>
                <w:highlight w:val="none"/>
                <w:u w:val="none"/>
                <w:lang w:val="en-US" w:eastAsia="zh-CN"/>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kern w:val="0"/>
                <w:szCs w:val="21"/>
                <w:highlight w:val="none"/>
                <w:lang w:bidi="ar"/>
              </w:rPr>
              <w:t>、业绩要求</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 w:val="21"/>
                <w:szCs w:val="21"/>
                <w:highlight w:val="none"/>
                <w:u w:val="none"/>
                <w:lang w:val="en-US" w:eastAsia="zh-CN"/>
              </w:rPr>
              <w:t>(1)</w:t>
            </w:r>
            <w:r>
              <w:rPr>
                <w:rFonts w:hint="eastAsia" w:ascii="宋体" w:hAnsi="宋体" w:eastAsia="宋体" w:cs="宋体"/>
                <w:snapToGrid w:val="0"/>
                <w:color w:val="auto"/>
                <w:kern w:val="0"/>
                <w:sz w:val="21"/>
                <w:szCs w:val="21"/>
                <w:highlight w:val="none"/>
                <w:lang w:val="en-US" w:eastAsia="zh-CN"/>
              </w:rPr>
              <w:t>2019年1月1日至投标截止日（以合同签订时间为准），投标人至少完成一个合同额900万元以上的电力安装工程或机电安装工程（需为含供配电工程相关内容的市政、房建、公路等领域的机电安装工程）业绩。</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 w:val="21"/>
                <w:szCs w:val="21"/>
                <w:highlight w:val="none"/>
                <w:u w:val="none"/>
                <w:lang w:val="en-US" w:eastAsia="zh-CN"/>
              </w:rPr>
            </w:pPr>
            <w:r>
              <w:rPr>
                <w:rFonts w:hint="eastAsia" w:ascii="宋体" w:hAnsi="宋体" w:eastAsia="宋体" w:cs="宋体"/>
                <w:color w:val="auto"/>
                <w:szCs w:val="21"/>
                <w:highlight w:val="none"/>
              </w:rPr>
              <w:t>投标人须在投标文件资格审查部分提供</w:t>
            </w:r>
            <w:r>
              <w:rPr>
                <w:rFonts w:hint="eastAsia" w:ascii="宋体" w:hAnsi="宋体" w:eastAsia="宋体" w:cs="宋体"/>
                <w:color w:val="auto"/>
                <w:szCs w:val="21"/>
                <w:highlight w:val="none"/>
                <w:lang w:val="en-US" w:eastAsia="zh-CN"/>
              </w:rPr>
              <w:t>该</w:t>
            </w:r>
            <w:r>
              <w:rPr>
                <w:rFonts w:hint="eastAsia" w:ascii="宋体" w:hAnsi="宋体" w:eastAsia="宋体" w:cs="宋体"/>
                <w:color w:val="auto"/>
                <w:szCs w:val="21"/>
                <w:highlight w:val="none"/>
              </w:rPr>
              <w:t>业绩在“全国公路建设市场信用信息管理系统”或“全国建筑市场监管公共服务平台”查询到的相关项目网页截图。提供的网页截图能够完全反映业绩要求对应的业绩信息的，无须再提供其他业绩证明材料；若网页截图不能完全反映业绩要求对应的业绩信息的，可以补充提供合同协议书</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工程交工（或竣工）验收合格的证明材料</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rPr>
                <w:rFonts w:hint="eastAsia" w:ascii="宋体" w:hAnsi="宋体" w:eastAsia="宋体" w:cs="宋体"/>
                <w:b w:val="0"/>
                <w:bCs w:val="0"/>
                <w:snapToGrid w:val="0"/>
                <w:color w:val="auto"/>
                <w:kern w:val="0"/>
                <w:sz w:val="21"/>
                <w:szCs w:val="21"/>
                <w:highlight w:val="none"/>
                <w:u w:val="none"/>
                <w:lang w:val="en-US" w:eastAsia="zh-CN"/>
              </w:rPr>
            </w:pPr>
            <w:r>
              <w:rPr>
                <w:rFonts w:hint="eastAsia" w:ascii="宋体" w:hAnsi="宋体" w:eastAsia="宋体" w:cs="宋体"/>
                <w:b w:val="0"/>
                <w:bCs w:val="0"/>
                <w:snapToGrid w:val="0"/>
                <w:color w:val="auto"/>
                <w:kern w:val="0"/>
                <w:sz w:val="21"/>
                <w:szCs w:val="21"/>
                <w:highlight w:val="none"/>
                <w:u w:val="none"/>
                <w:lang w:val="en-US" w:eastAsia="zh-CN"/>
              </w:rPr>
              <w:t>（2）</w:t>
            </w:r>
            <w:r>
              <w:rPr>
                <w:rFonts w:hint="eastAsia" w:ascii="宋体" w:hAnsi="宋体" w:eastAsia="宋体" w:cs="宋体"/>
                <w:snapToGrid w:val="0"/>
                <w:color w:val="auto"/>
                <w:kern w:val="0"/>
                <w:sz w:val="21"/>
                <w:szCs w:val="21"/>
                <w:highlight w:val="none"/>
                <w:lang w:val="en-US" w:eastAsia="zh-CN"/>
              </w:rPr>
              <w:t>2019年1月1日至投标截止日（以合同签订时间为准），所投变压器生产厂家至少完成一个合同额50万元以上的变压器供货业绩。</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rPr>
                <w:rFonts w:hint="eastAsia" w:ascii="宋体" w:hAnsi="宋体" w:eastAsia="宋体" w:cs="宋体"/>
                <w:b w:val="0"/>
                <w:bCs w:val="0"/>
                <w:snapToGrid w:val="0"/>
                <w:color w:val="auto"/>
                <w:kern w:val="0"/>
                <w:sz w:val="21"/>
                <w:szCs w:val="21"/>
                <w:highlight w:val="none"/>
                <w:u w:val="none"/>
                <w:lang w:val="en-US" w:eastAsia="zh-CN"/>
              </w:rPr>
            </w:pPr>
            <w:r>
              <w:rPr>
                <w:rFonts w:hint="eastAsia" w:ascii="宋体" w:hAnsi="宋体" w:eastAsia="宋体" w:cs="宋体"/>
                <w:color w:val="auto"/>
                <w:szCs w:val="21"/>
                <w:highlight w:val="none"/>
              </w:rPr>
              <w:t>投标人须在投标文件资格审查部分提供</w:t>
            </w:r>
            <w:r>
              <w:rPr>
                <w:rFonts w:hint="eastAsia" w:ascii="宋体" w:hAnsi="宋体" w:eastAsia="宋体" w:cs="宋体"/>
                <w:color w:val="auto"/>
                <w:szCs w:val="21"/>
                <w:highlight w:val="none"/>
                <w:lang w:val="en-US" w:eastAsia="zh-CN"/>
              </w:rPr>
              <w:t>所投变压器生产厂家</w:t>
            </w:r>
            <w:r>
              <w:rPr>
                <w:rFonts w:hint="eastAsia" w:ascii="宋体" w:hAnsi="宋体" w:eastAsia="宋体" w:cs="宋体"/>
                <w:color w:val="auto"/>
                <w:szCs w:val="21"/>
                <w:highlight w:val="none"/>
              </w:rPr>
              <w:t>业绩</w:t>
            </w:r>
            <w:r>
              <w:rPr>
                <w:rFonts w:hint="eastAsia" w:ascii="宋体" w:hAnsi="宋体" w:eastAsia="宋体" w:cs="宋体"/>
                <w:color w:val="auto"/>
                <w:szCs w:val="21"/>
                <w:highlight w:val="none"/>
                <w:lang w:val="en-US" w:eastAsia="zh-CN"/>
              </w:rPr>
              <w:t>的</w:t>
            </w:r>
            <w:r>
              <w:rPr>
                <w:rFonts w:hint="eastAsia" w:ascii="宋体" w:hAnsi="宋体" w:eastAsia="宋体" w:cs="宋体"/>
                <w:b w:val="0"/>
                <w:bCs w:val="0"/>
                <w:snapToGrid w:val="0"/>
                <w:color w:val="auto"/>
                <w:kern w:val="0"/>
                <w:sz w:val="21"/>
                <w:szCs w:val="21"/>
                <w:highlight w:val="none"/>
                <w:u w:val="none"/>
                <w:lang w:val="en-US" w:eastAsia="zh-CN"/>
              </w:rPr>
              <w:t>合同复印件及对应供货的增值税专用发票。</w:t>
            </w:r>
          </w:p>
          <w:p>
            <w:pPr>
              <w:keepNext w:val="0"/>
              <w:keepLines w:val="0"/>
              <w:suppressLineNumbers w:val="0"/>
              <w:tabs>
                <w:tab w:val="left" w:pos="3840"/>
                <w:tab w:val="left" w:pos="5300"/>
              </w:tabs>
              <w:autoSpaceDE w:val="0"/>
              <w:autoSpaceDN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i/>
                <w:color w:val="auto"/>
                <w:szCs w:val="21"/>
                <w:highlight w:val="none"/>
              </w:rPr>
            </w:pPr>
            <w:r>
              <w:rPr>
                <w:rFonts w:hint="eastAsia" w:ascii="宋体" w:hAnsi="宋体" w:eastAsia="宋体" w:cs="宋体"/>
                <w:b w:val="0"/>
                <w:bCs w:val="0"/>
                <w:snapToGrid w:val="0"/>
                <w:color w:val="auto"/>
                <w:kern w:val="0"/>
                <w:sz w:val="21"/>
                <w:szCs w:val="21"/>
                <w:highlight w:val="none"/>
                <w:u w:val="none"/>
                <w:lang w:val="en-US" w:eastAsia="zh-CN"/>
              </w:rPr>
              <w:t>（3）</w:t>
            </w:r>
            <w:r>
              <w:rPr>
                <w:rFonts w:hint="eastAsia" w:ascii="宋体" w:hAnsi="宋体" w:eastAsia="宋体" w:cs="宋体"/>
                <w:snapToGrid w:val="0"/>
                <w:color w:val="auto"/>
                <w:kern w:val="0"/>
                <w:sz w:val="21"/>
                <w:szCs w:val="21"/>
                <w:highlight w:val="none"/>
                <w:u w:val="none"/>
                <w:lang w:val="en-US" w:eastAsia="zh-CN"/>
              </w:rPr>
              <w:t>2019年1月1日至投标截止日（以合同签订时间为准），所投高低压开关柜生产厂家至少完成一个合同额150万元以上的高低柜设备供货业绩。</w:t>
            </w:r>
            <w:r>
              <w:rPr>
                <w:rFonts w:hint="eastAsia" w:ascii="宋体" w:hAnsi="宋体" w:eastAsia="宋体" w:cs="宋体"/>
                <w:snapToGrid w:val="0"/>
                <w:color w:val="auto"/>
                <w:kern w:val="0"/>
                <w:szCs w:val="21"/>
                <w:highlight w:val="none"/>
                <w:u w:val="none"/>
              </w:rPr>
              <w:t xml:space="preserve"> </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0"/>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rPr>
              <w:t>投标人须在投标文件资格审查部分提供</w:t>
            </w:r>
            <w:r>
              <w:rPr>
                <w:rFonts w:hint="eastAsia" w:ascii="宋体" w:hAnsi="宋体" w:eastAsia="宋体" w:cs="宋体"/>
                <w:color w:val="auto"/>
                <w:szCs w:val="21"/>
                <w:highlight w:val="none"/>
                <w:lang w:val="en-US" w:eastAsia="zh-CN"/>
              </w:rPr>
              <w:t>所投高低压开关柜生产厂家</w:t>
            </w:r>
            <w:r>
              <w:rPr>
                <w:rFonts w:hint="eastAsia" w:ascii="宋体" w:hAnsi="宋体" w:eastAsia="宋体" w:cs="宋体"/>
                <w:color w:val="auto"/>
                <w:szCs w:val="21"/>
                <w:highlight w:val="none"/>
              </w:rPr>
              <w:t>业绩</w:t>
            </w:r>
            <w:r>
              <w:rPr>
                <w:rFonts w:hint="eastAsia" w:ascii="宋体" w:hAnsi="宋体" w:eastAsia="宋体" w:cs="宋体"/>
                <w:b w:val="0"/>
                <w:bCs w:val="0"/>
                <w:snapToGrid w:val="0"/>
                <w:color w:val="auto"/>
                <w:kern w:val="0"/>
                <w:sz w:val="21"/>
                <w:szCs w:val="21"/>
                <w:highlight w:val="none"/>
                <w:u w:val="none"/>
                <w:lang w:val="en-US" w:eastAsia="zh-CN"/>
              </w:rPr>
              <w:t>的合同复印件及对应供货的增值税专用发票。</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注：投标人应对其提供的业绩证明材料（含截图）的真实性负责。当上述资料中针对同一指标存在不一致时，以相关项目网页截图为准。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4、投标截止日投标资格情况要求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投标人自行承诺（格式见第九章投标文件格式）不得存在下列情形之一：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主管部门暂停在渝承揽新业务且在暂停期内；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w:t>
            </w:r>
            <w:r>
              <w:rPr>
                <w:rFonts w:hint="eastAsia" w:ascii="宋体" w:hAnsi="宋体" w:eastAsia="宋体" w:cs="宋体"/>
                <w:szCs w:val="21"/>
                <w:highlight w:val="none"/>
              </w:rPr>
              <w:t>（格式见第</w:t>
            </w:r>
            <w:r>
              <w:rPr>
                <w:rFonts w:hint="eastAsia" w:ascii="宋体" w:hAnsi="宋体" w:eastAsia="宋体" w:cs="宋体"/>
                <w:szCs w:val="21"/>
                <w:highlight w:val="none"/>
                <w:lang w:eastAsia="zh-CN"/>
              </w:rPr>
              <w:t>九</w:t>
            </w:r>
            <w:r>
              <w:rPr>
                <w:rFonts w:hint="eastAsia" w:ascii="宋体" w:hAnsi="宋体" w:eastAsia="宋体" w:cs="宋体"/>
                <w:szCs w:val="21"/>
                <w:highlight w:val="none"/>
              </w:rPr>
              <w:t>章投标文件格式）</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5、项目经理和项目总工资格</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snapToGrid w:val="0"/>
                <w:color w:val="auto"/>
                <w:szCs w:val="21"/>
                <w:highlight w:val="none"/>
              </w:rPr>
            </w:pPr>
            <w:r>
              <w:rPr>
                <w:rFonts w:hint="eastAsia" w:ascii="宋体" w:hAnsi="宋体" w:eastAsia="宋体" w:cs="宋体"/>
                <w:color w:val="auto"/>
                <w:szCs w:val="21"/>
                <w:highlight w:val="none"/>
              </w:rPr>
              <w:t>5.1</w:t>
            </w:r>
            <w:r>
              <w:rPr>
                <w:rFonts w:hint="eastAsia" w:ascii="宋体" w:hAnsi="宋体" w:eastAsia="宋体" w:cs="宋体"/>
                <w:bCs/>
                <w:snapToGrid w:val="0"/>
                <w:color w:val="auto"/>
                <w:szCs w:val="21"/>
                <w:highlight w:val="none"/>
              </w:rPr>
              <w:t>项目经理：1 人。</w:t>
            </w:r>
          </w:p>
          <w:p>
            <w:pPr>
              <w:keepNext w:val="0"/>
              <w:keepLines w:val="0"/>
              <w:suppressLineNumbers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5.1.1投标人拟派的项目经理必须已在投标人本单位注册并应具有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u w:val="none"/>
              </w:rPr>
              <w:t>机电工程专业一级注册建造师</w:t>
            </w:r>
            <w:r>
              <w:rPr>
                <w:rFonts w:hint="eastAsia" w:ascii="宋体" w:hAnsi="宋体" w:eastAsia="宋体" w:cs="宋体"/>
                <w:color w:val="auto"/>
                <w:szCs w:val="21"/>
                <w:highlight w:val="none"/>
              </w:rPr>
              <w:t>执业资格</w:t>
            </w:r>
            <w:r>
              <w:rPr>
                <w:rFonts w:hint="eastAsia" w:ascii="宋体" w:hAnsi="宋体" w:eastAsia="宋体" w:cs="宋体"/>
                <w:color w:val="auto"/>
                <w:szCs w:val="21"/>
                <w:highlight w:val="none"/>
                <w:lang w:eastAsia="zh-CN"/>
              </w:rPr>
              <w:t>；和（</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省级</w:t>
            </w:r>
            <w:r>
              <w:rPr>
                <w:rFonts w:hint="eastAsia" w:ascii="宋体" w:hAnsi="宋体" w:eastAsia="宋体" w:cs="宋体"/>
                <w:color w:val="auto"/>
                <w:szCs w:val="21"/>
                <w:highlight w:val="none"/>
                <w:lang w:eastAsia="zh-CN"/>
              </w:rPr>
              <w:t>及以上</w:t>
            </w:r>
            <w:r>
              <w:rPr>
                <w:rFonts w:hint="eastAsia" w:ascii="宋体" w:hAnsi="宋体" w:eastAsia="宋体" w:cs="宋体"/>
                <w:color w:val="auto"/>
                <w:szCs w:val="21"/>
                <w:highlight w:val="none"/>
              </w:rPr>
              <w:t>交通</w:t>
            </w:r>
            <w:r>
              <w:rPr>
                <w:rFonts w:hint="eastAsia" w:ascii="宋体" w:hAnsi="宋体" w:eastAsia="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或者省级及以上建设主管部门</w:t>
            </w:r>
            <w:r>
              <w:rPr>
                <w:rFonts w:hint="eastAsia" w:ascii="宋体" w:hAnsi="宋体" w:eastAsia="宋体" w:cs="宋体"/>
                <w:color w:val="auto"/>
                <w:szCs w:val="21"/>
                <w:highlight w:val="none"/>
              </w:rPr>
              <w:t>颁发的</w:t>
            </w:r>
            <w:r>
              <w:rPr>
                <w:rFonts w:hint="eastAsia" w:ascii="宋体" w:hAnsi="宋体" w:eastAsia="宋体" w:cs="宋体"/>
                <w:color w:val="auto"/>
                <w:szCs w:val="21"/>
                <w:highlight w:val="none"/>
                <w:u w:val="none"/>
              </w:rPr>
              <w:t>安全生产考核合格证书（B类）</w:t>
            </w:r>
            <w:r>
              <w:rPr>
                <w:rFonts w:hint="eastAsia" w:ascii="宋体" w:hAnsi="宋体" w:eastAsia="宋体" w:cs="宋体"/>
                <w:color w:val="auto"/>
                <w:szCs w:val="21"/>
                <w:highlight w:val="none"/>
                <w:lang w:val="en-US"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5.1.2项目经理承诺要求：投标人须承诺拟派项目经理按注册建造师的相关规定到岗履职和未被禁止参与投标。</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5.1.2.2未被禁止参与投标承诺要求：承诺拟派项目经理未被重庆市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auto"/>
                <w:szCs w:val="21"/>
                <w:highlight w:val="none"/>
              </w:rPr>
              <w:t>5.1.2.3</w:t>
            </w:r>
            <w:r>
              <w:rPr>
                <w:rFonts w:hint="eastAsia" w:ascii="宋体" w:hAnsi="宋体" w:eastAsia="宋体" w:cs="宋体"/>
                <w:color w:val="000000"/>
                <w:szCs w:val="21"/>
                <w:highlight w:val="none"/>
              </w:rPr>
              <w:t>项目经理的其它承诺要求：为保证</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拟派的项目经理到本项目到岗履职，</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还需承诺：</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若</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拟派本项目的项目经理有在其他项目任职的情形的（或有在其他项目中标或拟中标的情形的），应在收到中标通知书后</w:t>
            </w:r>
            <w:r>
              <w:rPr>
                <w:rFonts w:hint="eastAsia" w:ascii="宋体" w:hAnsi="宋体" w:eastAsia="宋体" w:cs="宋体"/>
                <w:color w:val="000000"/>
                <w:szCs w:val="21"/>
                <w:highlight w:val="none"/>
                <w:u w:val="single"/>
              </w:rPr>
              <w:t xml:space="preserve"> 14 </w:t>
            </w:r>
            <w:r>
              <w:rPr>
                <w:rFonts w:hint="eastAsia" w:ascii="宋体" w:hAnsi="宋体" w:eastAsia="宋体" w:cs="宋体"/>
                <w:color w:val="000000"/>
                <w:szCs w:val="21"/>
                <w:highlight w:val="none"/>
              </w:rPr>
              <w:t>日内，办理完成放弃在其他项目任职的手续（或办理完成放弃在其他项目中标或拟中标的手续），招标人在合同签订前有权对</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拟派项目经理在其他项目的任职情形（或在其他项目的中标或拟中标情形）进行核查，若与</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承诺内容不符或</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未在上述时间内按照招标文件规定递交放弃在其他项目任职、中标或拟中标的相关资料，视为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放弃中标资格，招标人不退还其投标保证金。在合同签订时，</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需确保拟派项目经理符合《建筑施工企业项目经理资质管理办法》规定的项目经理任职条件，否则视为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放弃在其他项目任职的需提供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w:t>
            </w:r>
            <w:r>
              <w:rPr>
                <w:rFonts w:hint="eastAsia" w:ascii="宋体" w:hAnsi="宋体" w:eastAsia="宋体" w:cs="宋体"/>
                <w:color w:val="000000"/>
                <w:szCs w:val="21"/>
                <w:highlight w:val="none"/>
                <w:lang w:val="en-US" w:eastAsia="zh-CN"/>
              </w:rPr>
              <w:t>经</w:t>
            </w:r>
            <w:r>
              <w:rPr>
                <w:rFonts w:hint="eastAsia" w:ascii="宋体" w:hAnsi="宋体" w:eastAsia="宋体" w:cs="宋体"/>
                <w:color w:val="000000"/>
                <w:szCs w:val="21"/>
                <w:highlight w:val="none"/>
              </w:rPr>
              <w:t>业主或建设单位同意任职变更的文件；②负责项目监管的行业行政主管部门出具同意任职变更的证明材料。</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000000"/>
                <w:szCs w:val="21"/>
                <w:highlight w:val="none"/>
              </w:rPr>
              <w:t>放弃在其他项目中标或拟中标的需提供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①经中标或拟中标的其他项目建设单位同意的放弃中标函</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5.1.2.4未提供上述承诺或承诺内容不符合要求的，由评标委员会作否决投标处理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投标人须在投标文件资格审查部分提供拟派项目经理有效的身份证、建造师注册证、安全生产考核合格证书（B类）、投标人为其交纳的养老保险证明材料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，拟派项目经理到岗履职和未被禁止参与投标的承诺（承诺格式见第九章投标文件格式）</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注：</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1</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提供拟派的项目经理为一级建造师注册人员的，必须提供建造师电子注册证书，且该建造师电子注册证书须由建造师本人在个人签名处手写本人签名。</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2</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建造师电子注册证书本人手写签名与签名图像笔迹是否一致不作为否决投标的情形。</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5.1.3</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项目经理业绩</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Cs w:val="21"/>
                <w:highlight w:val="none"/>
                <w:lang w:val="en-US" w:eastAsia="zh-CN"/>
              </w:rPr>
              <w:t>投标人拟派的项目经理具有在1个机电工程或电力安装工程施工项目中担任项目经理的业绩（若为机电工程项目则该项目工作内容需</w:t>
            </w:r>
            <w:r>
              <w:rPr>
                <w:rFonts w:hint="eastAsia" w:ascii="宋体" w:hAnsi="宋体" w:eastAsia="宋体" w:cs="宋体"/>
                <w:color w:val="auto"/>
                <w:kern w:val="0"/>
                <w:sz w:val="21"/>
                <w:szCs w:val="21"/>
                <w:highlight w:val="none"/>
                <w:lang w:val="en-US" w:eastAsia="zh-CN"/>
              </w:rPr>
              <w:t>含供配电系统工程等相关内容</w:t>
            </w:r>
            <w:r>
              <w:rPr>
                <w:rFonts w:hint="eastAsia" w:ascii="宋体" w:hAnsi="宋体" w:eastAsia="宋体" w:cs="宋体"/>
                <w:color w:val="auto"/>
                <w:kern w:val="0"/>
                <w:szCs w:val="21"/>
                <w:highlight w:val="none"/>
                <w:lang w:val="en-US" w:eastAsia="zh-CN"/>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在投标文件资格审查部分提供该项目经理业绩在“全国公路建设市场信用信息管理系统”或“全国建筑市场监管公共服务平台”查询到相关项目网页截图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提供的网页截图能够完全反映项目经理业绩信息的，无须再提供其他业绩证明材料</w:t>
            </w:r>
            <w:r>
              <w:rPr>
                <w:rFonts w:hint="eastAsia" w:ascii="宋体" w:hAnsi="宋体" w:eastAsia="宋体" w:cs="宋体"/>
                <w:color w:val="auto"/>
                <w:szCs w:val="21"/>
                <w:highlight w:val="none"/>
                <w:lang w:eastAsia="zh-CN"/>
              </w:rPr>
              <w:t>；若网页截图不能完全反映业绩要求对应的业绩信息的，可以补充提供合同协议书及工程交工（或竣工）验收合格的证明材料复印件。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w:t>
            </w:r>
            <w:r>
              <w:rPr>
                <w:rFonts w:hint="eastAsia" w:ascii="宋体" w:hAnsi="宋体" w:eastAsia="宋体" w:cs="宋体"/>
                <w:color w:val="auto"/>
                <w:szCs w:val="21"/>
                <w:highlight w:val="none"/>
                <w:lang w:eastAsia="zh-CN"/>
              </w:rPr>
              <w:t>以相关项目网页截图</w:t>
            </w:r>
            <w:r>
              <w:rPr>
                <w:rFonts w:hint="eastAsia" w:ascii="宋体" w:hAnsi="宋体" w:eastAsia="宋体" w:cs="宋体"/>
                <w:color w:val="auto"/>
                <w:szCs w:val="21"/>
                <w:highlight w:val="none"/>
              </w:rPr>
              <w:t>为准。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bCs/>
                <w:snapToGrid w:val="0"/>
                <w:color w:val="auto"/>
                <w:szCs w:val="21"/>
                <w:highlight w:val="none"/>
              </w:rPr>
              <w:t>5.2项目总工：1人。</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5.2.1投标人拟派的项目总工必须已在投标人本单位注册并应具有</w:t>
            </w:r>
            <w:r>
              <w:rPr>
                <w:rFonts w:hint="eastAsia" w:ascii="宋体" w:hAnsi="宋体" w:eastAsia="宋体" w:cs="宋体"/>
                <w:color w:val="auto"/>
                <w:sz w:val="21"/>
                <w:szCs w:val="21"/>
                <w:highlight w:val="none"/>
                <w:lang w:val="en-US" w:eastAsia="zh-CN"/>
              </w:rPr>
              <w:t>高级工程师职称</w:t>
            </w:r>
            <w:r>
              <w:rPr>
                <w:rFonts w:hint="eastAsia" w:ascii="宋体" w:hAnsi="宋体" w:eastAsia="宋体" w:cs="宋体"/>
                <w:color w:val="auto"/>
                <w:szCs w:val="21"/>
                <w:highlight w:val="none"/>
              </w:rPr>
              <w:t>，并具有省级</w:t>
            </w:r>
            <w:r>
              <w:rPr>
                <w:rFonts w:hint="eastAsia" w:ascii="宋体" w:hAnsi="宋体" w:eastAsia="宋体" w:cs="宋体"/>
                <w:color w:val="auto"/>
                <w:szCs w:val="21"/>
                <w:highlight w:val="none"/>
                <w:lang w:eastAsia="zh-CN"/>
              </w:rPr>
              <w:t>及以上</w:t>
            </w:r>
            <w:r>
              <w:rPr>
                <w:rFonts w:hint="eastAsia" w:ascii="宋体" w:hAnsi="宋体" w:eastAsia="宋体" w:cs="宋体"/>
                <w:color w:val="auto"/>
                <w:szCs w:val="21"/>
                <w:highlight w:val="none"/>
              </w:rPr>
              <w:t>交通</w:t>
            </w:r>
            <w:r>
              <w:rPr>
                <w:rFonts w:hint="eastAsia" w:ascii="宋体" w:hAnsi="宋体" w:eastAsia="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或者省级及以上建设主管部门</w:t>
            </w:r>
            <w:r>
              <w:rPr>
                <w:rFonts w:hint="eastAsia" w:ascii="宋体" w:hAnsi="宋体" w:eastAsia="宋体" w:cs="宋体"/>
                <w:color w:val="auto"/>
                <w:szCs w:val="21"/>
                <w:highlight w:val="none"/>
              </w:rPr>
              <w:t>颁发的安全生产考核合格证书（B类）。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5.2.2项目总工承诺要求：投标人须承诺拟派项目总工按相关规定到岗履职和未被禁止参与投标。</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5.2.2.1到岗履职承诺要求：承诺拟派项目总工中标后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招标人造成损失的，投标人依法承担违约赔偿责任。拟派项目总工中标后不得随意更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5.2.2.2未被禁止参与投标承诺要求：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在投标文件资格审查部分提供拟派项目总工有效的身份证、</w:t>
            </w:r>
            <w:r>
              <w:rPr>
                <w:rFonts w:hint="eastAsia" w:ascii="宋体" w:hAnsi="宋体" w:eastAsia="宋体" w:cs="宋体"/>
                <w:color w:val="auto"/>
                <w:szCs w:val="21"/>
                <w:highlight w:val="none"/>
                <w:lang w:val="en-US" w:eastAsia="zh-CN"/>
              </w:rPr>
              <w:t>职称证</w:t>
            </w:r>
            <w:r>
              <w:rPr>
                <w:rFonts w:hint="eastAsia" w:ascii="宋体" w:hAnsi="宋体" w:eastAsia="宋体" w:cs="宋体"/>
                <w:color w:val="auto"/>
                <w:szCs w:val="21"/>
                <w:highlight w:val="none"/>
              </w:rPr>
              <w:t>、安全生产考核合格证书（B类）、投标人为其交纳的养老保险证明材料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，拟派项目总工到岗履职和未被禁止参与投标的承诺（承诺格式见第九章投标文件格式）。</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5.2.3</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项目总工业绩</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lang w:val="en-US" w:eastAsia="zh-CN"/>
              </w:rPr>
              <w:t>投标人拟派的项目总工</w:t>
            </w:r>
            <w:r>
              <w:rPr>
                <w:rFonts w:hint="eastAsia" w:ascii="宋体" w:hAnsi="宋体" w:eastAsia="宋体" w:cs="宋体"/>
                <w:color w:val="auto"/>
                <w:kern w:val="0"/>
                <w:szCs w:val="21"/>
                <w:highlight w:val="none"/>
              </w:rPr>
              <w:t>具有</w:t>
            </w:r>
            <w:r>
              <w:rPr>
                <w:rFonts w:hint="eastAsia" w:ascii="宋体" w:hAnsi="宋体" w:eastAsia="宋体" w:cs="宋体"/>
                <w:color w:val="auto"/>
                <w:kern w:val="0"/>
                <w:szCs w:val="21"/>
                <w:highlight w:val="none"/>
                <w:lang w:eastAsia="zh-CN"/>
              </w:rPr>
              <w:t>在</w:t>
            </w:r>
            <w:r>
              <w:rPr>
                <w:rFonts w:hint="eastAsia" w:ascii="宋体" w:hAnsi="宋体" w:eastAsia="宋体" w:cs="宋体"/>
                <w:color w:val="auto"/>
                <w:kern w:val="0"/>
                <w:szCs w:val="21"/>
                <w:highlight w:val="none"/>
              </w:rPr>
              <w:t>1个机电工程</w:t>
            </w:r>
            <w:r>
              <w:rPr>
                <w:rFonts w:hint="eastAsia" w:ascii="宋体" w:hAnsi="宋体" w:eastAsia="宋体" w:cs="宋体"/>
                <w:color w:val="auto"/>
                <w:kern w:val="0"/>
                <w:szCs w:val="21"/>
                <w:highlight w:val="none"/>
                <w:lang w:val="en-US" w:eastAsia="zh-CN"/>
              </w:rPr>
              <w:t>或电力安装工程</w:t>
            </w:r>
            <w:r>
              <w:rPr>
                <w:rFonts w:hint="eastAsia" w:ascii="宋体" w:hAnsi="宋体" w:eastAsia="宋体" w:cs="宋体"/>
                <w:color w:val="auto"/>
                <w:kern w:val="0"/>
                <w:szCs w:val="21"/>
                <w:highlight w:val="none"/>
              </w:rPr>
              <w:t>施工项目</w:t>
            </w:r>
            <w:r>
              <w:rPr>
                <w:rFonts w:hint="eastAsia" w:ascii="宋体" w:hAnsi="宋体" w:eastAsia="宋体" w:cs="宋体"/>
                <w:color w:val="auto"/>
                <w:kern w:val="0"/>
                <w:szCs w:val="21"/>
                <w:highlight w:val="none"/>
                <w:lang w:eastAsia="zh-CN"/>
              </w:rPr>
              <w:t>中担任</w:t>
            </w:r>
            <w:r>
              <w:rPr>
                <w:rFonts w:hint="eastAsia" w:ascii="宋体" w:hAnsi="宋体" w:eastAsia="宋体" w:cs="宋体"/>
                <w:color w:val="auto"/>
                <w:kern w:val="0"/>
                <w:szCs w:val="21"/>
                <w:highlight w:val="none"/>
              </w:rPr>
              <w:t>项目总工</w:t>
            </w:r>
            <w:r>
              <w:rPr>
                <w:rFonts w:hint="eastAsia" w:ascii="宋体" w:hAnsi="宋体" w:eastAsia="宋体" w:cs="宋体"/>
                <w:color w:val="auto"/>
                <w:kern w:val="0"/>
                <w:szCs w:val="21"/>
                <w:highlight w:val="none"/>
                <w:lang w:eastAsia="zh-CN"/>
              </w:rPr>
              <w:t>业绩（</w:t>
            </w:r>
            <w:r>
              <w:rPr>
                <w:rFonts w:hint="eastAsia" w:ascii="宋体" w:hAnsi="宋体" w:eastAsia="宋体" w:cs="宋体"/>
                <w:color w:val="auto"/>
                <w:kern w:val="0"/>
                <w:szCs w:val="21"/>
                <w:highlight w:val="none"/>
                <w:lang w:val="en-US" w:eastAsia="zh-CN"/>
              </w:rPr>
              <w:t>若为机电工程项目则</w:t>
            </w:r>
            <w:r>
              <w:rPr>
                <w:rFonts w:hint="eastAsia" w:ascii="宋体" w:hAnsi="宋体" w:eastAsia="宋体" w:cs="宋体"/>
                <w:color w:val="auto"/>
                <w:kern w:val="0"/>
                <w:szCs w:val="21"/>
                <w:highlight w:val="none"/>
              </w:rPr>
              <w:t>该项目工作内容</w:t>
            </w:r>
            <w:r>
              <w:rPr>
                <w:rFonts w:hint="eastAsia" w:ascii="宋体" w:hAnsi="宋体" w:eastAsia="宋体" w:cs="宋体"/>
                <w:color w:val="auto"/>
                <w:kern w:val="0"/>
                <w:szCs w:val="21"/>
                <w:highlight w:val="none"/>
                <w:lang w:val="en-US" w:eastAsia="zh-CN"/>
              </w:rPr>
              <w:t>需</w:t>
            </w:r>
            <w:r>
              <w:rPr>
                <w:rFonts w:hint="eastAsia" w:ascii="宋体" w:hAnsi="宋体" w:eastAsia="宋体" w:cs="宋体"/>
                <w:color w:val="auto"/>
                <w:kern w:val="0"/>
                <w:sz w:val="21"/>
                <w:szCs w:val="21"/>
                <w:highlight w:val="none"/>
                <w:lang w:val="en-US" w:eastAsia="zh-CN"/>
              </w:rPr>
              <w:t>含供配电系统工程等相关内容</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在投标文件资格审查部分提供该项目</w:t>
            </w:r>
            <w:r>
              <w:rPr>
                <w:rFonts w:hint="eastAsia" w:ascii="宋体" w:hAnsi="宋体" w:eastAsia="宋体" w:cs="宋体"/>
                <w:color w:val="auto"/>
                <w:szCs w:val="21"/>
                <w:highlight w:val="none"/>
                <w:lang w:eastAsia="zh-CN"/>
              </w:rPr>
              <w:t>总工</w:t>
            </w:r>
            <w:r>
              <w:rPr>
                <w:rFonts w:hint="eastAsia" w:ascii="宋体" w:hAnsi="宋体" w:eastAsia="宋体" w:cs="宋体"/>
                <w:color w:val="auto"/>
                <w:szCs w:val="21"/>
                <w:highlight w:val="none"/>
              </w:rPr>
              <w:t>业绩在“全国公路建设市场信用信息管理系统”或“全国建筑市场监管公共服务平台”查询到相关项目网页截图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提供的网页截图能够完全反映项目</w:t>
            </w:r>
            <w:r>
              <w:rPr>
                <w:rFonts w:hint="eastAsia" w:ascii="宋体" w:hAnsi="宋体" w:eastAsia="宋体" w:cs="宋体"/>
                <w:color w:val="auto"/>
                <w:szCs w:val="21"/>
                <w:highlight w:val="none"/>
                <w:lang w:eastAsia="zh-CN"/>
              </w:rPr>
              <w:t>总工</w:t>
            </w:r>
            <w:r>
              <w:rPr>
                <w:rFonts w:hint="eastAsia" w:ascii="宋体" w:hAnsi="宋体" w:eastAsia="宋体" w:cs="宋体"/>
                <w:color w:val="auto"/>
                <w:szCs w:val="21"/>
                <w:highlight w:val="none"/>
              </w:rPr>
              <w:t>业绩信息的，无须再提供其他业绩证明材料</w:t>
            </w:r>
            <w:r>
              <w:rPr>
                <w:rFonts w:hint="eastAsia" w:ascii="宋体" w:hAnsi="宋体" w:eastAsia="宋体" w:cs="宋体"/>
                <w:color w:val="auto"/>
                <w:szCs w:val="21"/>
                <w:highlight w:val="none"/>
                <w:lang w:eastAsia="zh-CN"/>
              </w:rPr>
              <w:t>；若网页截图不能完全反映业绩要求对应的业绩信息的，可以补充提供合同协议书及工程交工（或竣工）验收合格的证明材料复印件。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w:t>
            </w:r>
            <w:r>
              <w:rPr>
                <w:rFonts w:hint="eastAsia" w:ascii="宋体" w:hAnsi="宋体" w:eastAsia="宋体" w:cs="宋体"/>
                <w:color w:val="auto"/>
                <w:szCs w:val="21"/>
                <w:highlight w:val="none"/>
                <w:lang w:eastAsia="zh-CN"/>
              </w:rPr>
              <w:t>以相关项目网页截图</w:t>
            </w:r>
            <w:r>
              <w:rPr>
                <w:rFonts w:hint="eastAsia" w:ascii="宋体" w:hAnsi="宋体" w:eastAsia="宋体" w:cs="宋体"/>
                <w:color w:val="auto"/>
                <w:szCs w:val="21"/>
                <w:highlight w:val="none"/>
              </w:rPr>
              <w:t>为准。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color w:val="auto"/>
                <w:szCs w:val="21"/>
                <w:highlight w:val="none"/>
                <w:lang w:eastAsia="zh-CN"/>
              </w:rPr>
            </w:pPr>
            <w:r>
              <w:rPr>
                <w:rFonts w:hint="eastAsia" w:ascii="宋体" w:hAnsi="宋体" w:eastAsia="宋体" w:cs="宋体"/>
                <w:b/>
                <w:color w:val="auto"/>
                <w:kern w:val="0"/>
                <w:szCs w:val="21"/>
                <w:highlight w:val="none"/>
                <w:lang w:bidi="ar"/>
              </w:rPr>
              <w:t>6、</w:t>
            </w:r>
            <w:r>
              <w:rPr>
                <w:rFonts w:hint="eastAsia" w:ascii="宋体" w:hAnsi="宋体" w:eastAsia="宋体" w:cs="宋体"/>
                <w:b/>
                <w:color w:val="auto"/>
                <w:kern w:val="0"/>
                <w:szCs w:val="21"/>
                <w:highlight w:val="none"/>
                <w:lang w:eastAsia="zh-CN" w:bidi="ar"/>
              </w:rPr>
              <w:t>专职安全员</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投标人拟派的专职安全员须</w:t>
            </w:r>
            <w:r>
              <w:rPr>
                <w:rFonts w:hint="eastAsia" w:ascii="宋体" w:hAnsi="宋体" w:eastAsia="宋体" w:cs="宋体"/>
                <w:color w:val="auto"/>
                <w:szCs w:val="21"/>
                <w:highlight w:val="none"/>
              </w:rPr>
              <w:t>持有有效的省级</w:t>
            </w:r>
            <w:r>
              <w:rPr>
                <w:rFonts w:hint="eastAsia" w:ascii="宋体" w:hAnsi="宋体" w:eastAsia="宋体" w:cs="宋体"/>
                <w:color w:val="auto"/>
                <w:szCs w:val="21"/>
                <w:highlight w:val="none"/>
                <w:lang w:eastAsia="zh-CN"/>
              </w:rPr>
              <w:t>及以上</w:t>
            </w:r>
            <w:r>
              <w:rPr>
                <w:rFonts w:hint="eastAsia" w:ascii="宋体" w:hAnsi="宋体" w:eastAsia="宋体" w:cs="宋体"/>
                <w:color w:val="auto"/>
                <w:szCs w:val="21"/>
                <w:highlight w:val="none"/>
              </w:rPr>
              <w:t>交通运输主管部门或</w:t>
            </w:r>
            <w:r>
              <w:rPr>
                <w:rFonts w:hint="eastAsia" w:ascii="宋体" w:hAnsi="宋体" w:eastAsia="宋体" w:cs="宋体"/>
                <w:color w:val="auto"/>
                <w:szCs w:val="21"/>
                <w:highlight w:val="none"/>
                <w:lang w:val="en-US" w:eastAsia="zh-CN"/>
              </w:rPr>
              <w:t>省级及以上</w:t>
            </w:r>
            <w:r>
              <w:rPr>
                <w:rFonts w:hint="eastAsia" w:ascii="宋体" w:hAnsi="宋体" w:eastAsia="宋体" w:cs="宋体"/>
                <w:color w:val="auto"/>
                <w:szCs w:val="21"/>
                <w:highlight w:val="none"/>
              </w:rPr>
              <w:t>建设主管部门颁发的安全生产考核合格证C证</w:t>
            </w:r>
            <w:r>
              <w:rPr>
                <w:rFonts w:hint="eastAsia" w:ascii="宋体" w:hAnsi="宋体" w:eastAsia="宋体" w:cs="宋体"/>
                <w:color w:val="auto"/>
                <w:szCs w:val="21"/>
                <w:highlight w:val="none"/>
                <w:lang w:eastAsia="zh-CN"/>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 w:val="0"/>
                <w:color w:val="auto"/>
                <w:kern w:val="2"/>
                <w:szCs w:val="21"/>
                <w:highlight w:val="none"/>
                <w:lang w:bidi="ar"/>
              </w:rPr>
            </w:pPr>
            <w:r>
              <w:rPr>
                <w:rFonts w:hint="eastAsia" w:ascii="宋体" w:hAnsi="宋体" w:eastAsia="宋体" w:cs="宋体"/>
                <w:b w:val="0"/>
                <w:color w:val="auto"/>
                <w:kern w:val="2"/>
                <w:szCs w:val="21"/>
                <w:highlight w:val="none"/>
                <w:lang w:bidi="ar"/>
              </w:rPr>
              <w:t>投标人须在投标文件资格审查部分提供拟派专职安全员有效的身份证、安全生产考核合格证书（</w:t>
            </w:r>
            <w:r>
              <w:rPr>
                <w:rFonts w:hint="eastAsia" w:ascii="宋体" w:hAnsi="宋体" w:eastAsia="宋体" w:cs="宋体"/>
                <w:b w:val="0"/>
                <w:color w:val="auto"/>
                <w:kern w:val="2"/>
                <w:szCs w:val="21"/>
                <w:highlight w:val="none"/>
                <w:lang w:eastAsia="zh-CN" w:bidi="ar"/>
              </w:rPr>
              <w:t>C</w:t>
            </w:r>
            <w:r>
              <w:rPr>
                <w:rFonts w:hint="eastAsia" w:ascii="宋体" w:hAnsi="宋体" w:eastAsia="宋体" w:cs="宋体"/>
                <w:b w:val="0"/>
                <w:color w:val="auto"/>
                <w:kern w:val="2"/>
                <w:szCs w:val="21"/>
                <w:highlight w:val="none"/>
                <w:lang w:bidi="ar"/>
              </w:rPr>
              <w:t>类）、投标人为其交纳的养老保险证明材料复印件。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i/>
                <w:color w:val="auto"/>
                <w:szCs w:val="21"/>
                <w:highlight w:val="none"/>
              </w:rPr>
            </w:pPr>
            <w:r>
              <w:rPr>
                <w:rFonts w:hint="eastAsia" w:ascii="宋体" w:hAnsi="宋体" w:eastAsia="宋体" w:cs="宋体"/>
                <w:b/>
                <w:color w:val="auto"/>
                <w:kern w:val="0"/>
                <w:szCs w:val="21"/>
                <w:highlight w:val="none"/>
                <w:lang w:val="en-US" w:eastAsia="zh-CN" w:bidi="ar"/>
              </w:rPr>
              <w:t>7</w:t>
            </w:r>
            <w:r>
              <w:rPr>
                <w:rFonts w:hint="eastAsia" w:ascii="宋体" w:hAnsi="宋体" w:eastAsia="宋体" w:cs="宋体"/>
                <w:b/>
                <w:color w:val="auto"/>
                <w:kern w:val="0"/>
                <w:szCs w:val="21"/>
                <w:highlight w:val="none"/>
                <w:lang w:bidi="ar"/>
              </w:rPr>
              <w:t>、委托代理人：</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委托代理人必须为投标人本单位人员。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投标人须在投标文件资格审查部分提供投标人为该委托代理人缴纳的养老保险证明。否则，将由评标委员会作否决投标处理。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17" w:firstLineChars="198"/>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特别说明：</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szCs w:val="21"/>
                <w:highlight w:val="none"/>
              </w:rPr>
              <w:t>上述要求须提交的相关证明材料复印件须清晰可辨</w:t>
            </w:r>
            <w:r>
              <w:rPr>
                <w:rFonts w:hint="eastAsia" w:ascii="宋体" w:hAnsi="宋体" w:eastAsia="宋体" w:cs="宋体"/>
                <w:szCs w:val="21"/>
                <w:highlight w:val="none"/>
                <w:lang w:eastAsia="zh-CN"/>
              </w:rPr>
              <w:t>，且</w:t>
            </w:r>
            <w:r>
              <w:rPr>
                <w:rFonts w:hint="eastAsia" w:ascii="宋体" w:hAnsi="宋体" w:eastAsia="宋体" w:cs="宋体"/>
                <w:szCs w:val="21"/>
                <w:highlight w:val="none"/>
              </w:rPr>
              <w:t>均应加盖投标单位法人章并装入投标文件资格审查部分。上述要求，有一条不满足则投标文件由评标委员会作否决投标处理</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（2）投标人须自行承诺其提供的上述相关证明材料真实有效，不存在弄虚作假情形（格式见第九章投标文件格式）。</w:t>
            </w:r>
            <w:r>
              <w:rPr>
                <w:rFonts w:hint="eastAsia" w:ascii="宋体" w:hAnsi="宋体" w:eastAsia="宋体" w:cs="宋体"/>
                <w:color w:val="auto"/>
                <w:szCs w:val="21"/>
                <w:highlight w:val="none"/>
                <w:u w:val="single"/>
              </w:rPr>
              <w:t>招标人在合同签订前均有权对投标人提供的资料进行核实，若发现弄虚作假，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取消其中标资格，并按相关法律法规报招标投标监督部门，其投标保证金不予退还，投标人承担因此造成的相关责任并赔偿相应损失</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（3）本招标文件中所要求的人员养老保险证明要求如下：</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①</w:t>
            </w:r>
            <w:r>
              <w:rPr>
                <w:rFonts w:hint="eastAsia" w:ascii="宋体" w:hAnsi="宋体" w:eastAsia="宋体" w:cs="宋体"/>
                <w:bCs/>
                <w:color w:val="auto"/>
                <w:kern w:val="0"/>
                <w:szCs w:val="21"/>
                <w:highlight w:val="none"/>
                <w:lang w:val="en-US" w:eastAsia="zh-CN"/>
              </w:rPr>
              <w:t>企业</w:t>
            </w:r>
            <w:r>
              <w:rPr>
                <w:rFonts w:hint="eastAsia" w:ascii="宋体" w:hAnsi="宋体" w:eastAsia="宋体" w:cs="宋体"/>
                <w:bCs/>
                <w:color w:val="auto"/>
                <w:kern w:val="0"/>
                <w:szCs w:val="21"/>
                <w:highlight w:val="none"/>
              </w:rPr>
              <w:t>提供养老保险证明，事业单位提供养老保险证明或行政主管部门在编证明。</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Cs/>
                <w:color w:val="auto"/>
                <w:kern w:val="0"/>
                <w:szCs w:val="21"/>
                <w:highlight w:val="none"/>
              </w:rPr>
              <w:t>②</w:t>
            </w:r>
            <w:r>
              <w:rPr>
                <w:rFonts w:hint="eastAsia" w:ascii="宋体" w:hAnsi="宋体" w:eastAsia="宋体" w:cs="宋体"/>
                <w:bCs/>
                <w:snapToGrid w:val="0"/>
                <w:color w:val="auto"/>
                <w:kern w:val="0"/>
                <w:szCs w:val="21"/>
                <w:highlight w:val="none"/>
              </w:rPr>
              <w:t>项目经理、项目总工</w:t>
            </w:r>
            <w:r>
              <w:rPr>
                <w:rFonts w:hint="eastAsia" w:ascii="宋体" w:hAnsi="宋体" w:eastAsia="宋体" w:cs="宋体"/>
                <w:bCs/>
                <w:snapToGrid w:val="0"/>
                <w:color w:val="auto"/>
                <w:kern w:val="0"/>
                <w:szCs w:val="21"/>
                <w:highlight w:val="none"/>
                <w:lang w:eastAsia="zh-CN"/>
              </w:rPr>
              <w:t>、专职安全员</w:t>
            </w:r>
            <w:r>
              <w:rPr>
                <w:rFonts w:hint="eastAsia" w:ascii="宋体" w:hAnsi="宋体" w:eastAsia="宋体" w:cs="宋体"/>
                <w:bCs/>
                <w:snapToGrid w:val="0"/>
                <w:color w:val="auto"/>
                <w:kern w:val="0"/>
                <w:szCs w:val="21"/>
                <w:highlight w:val="none"/>
              </w:rPr>
              <w:t>和委托代理人的</w:t>
            </w:r>
            <w:r>
              <w:rPr>
                <w:rFonts w:hint="eastAsia" w:ascii="宋体" w:hAnsi="宋体" w:eastAsia="宋体" w:cs="宋体"/>
                <w:bCs/>
                <w:snapToGrid w:val="0"/>
                <w:color w:val="auto"/>
                <w:kern w:val="0"/>
                <w:szCs w:val="21"/>
                <w:highlight w:val="none"/>
                <w:lang w:val="en-US" w:eastAsia="zh-CN"/>
              </w:rPr>
              <w:t>连续</w:t>
            </w:r>
            <w:r>
              <w:rPr>
                <w:rFonts w:hint="eastAsia" w:ascii="宋体" w:hAnsi="宋体" w:eastAsia="宋体" w:cs="宋体"/>
                <w:bCs/>
                <w:snapToGrid w:val="0"/>
                <w:color w:val="auto"/>
                <w:kern w:val="0"/>
                <w:szCs w:val="21"/>
                <w:highlight w:val="none"/>
              </w:rPr>
              <w:t>养老保险证明期限</w:t>
            </w:r>
            <w:r>
              <w:rPr>
                <w:rFonts w:hint="eastAsia" w:ascii="宋体" w:hAnsi="宋体" w:eastAsia="宋体" w:cs="宋体"/>
                <w:bCs/>
                <w:snapToGrid w:val="0"/>
                <w:color w:val="auto"/>
                <w:kern w:val="0"/>
                <w:szCs w:val="21"/>
                <w:highlight w:val="none"/>
                <w:lang w:val="en-US" w:eastAsia="zh-CN"/>
              </w:rPr>
              <w:t>须包含</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2023</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eastAsia="宋体" w:cs="宋体"/>
                <w:bCs/>
                <w:snapToGrid w:val="0"/>
                <w:color w:val="auto"/>
                <w:kern w:val="0"/>
                <w:szCs w:val="21"/>
                <w:highlight w:val="none"/>
                <w:u w:val="single"/>
                <w:lang w:val="en-US" w:eastAsia="zh-CN"/>
              </w:rPr>
              <w:t>9</w:t>
            </w:r>
            <w:r>
              <w:rPr>
                <w:rFonts w:hint="eastAsia" w:ascii="宋体" w:hAnsi="宋体" w:eastAsia="宋体" w:cs="宋体"/>
                <w:bCs/>
                <w:snapToGrid w:val="0"/>
                <w:color w:val="auto"/>
                <w:kern w:val="0"/>
                <w:szCs w:val="21"/>
                <w:highlight w:val="none"/>
              </w:rPr>
              <w:t>月至</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2024</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eastAsia="宋体" w:cs="宋体"/>
                <w:bCs/>
                <w:snapToGrid w:val="0"/>
                <w:color w:val="auto"/>
                <w:kern w:val="0"/>
                <w:szCs w:val="21"/>
                <w:highlight w:val="none"/>
                <w:u w:val="single"/>
                <w:lang w:val="en-US" w:eastAsia="zh-CN"/>
              </w:rPr>
              <w:t>2</w:t>
            </w:r>
            <w:r>
              <w:rPr>
                <w:rFonts w:hint="eastAsia" w:ascii="宋体" w:hAnsi="宋体" w:eastAsia="宋体" w:cs="宋体"/>
                <w:bCs/>
                <w:snapToGrid w:val="0"/>
                <w:color w:val="auto"/>
                <w:kern w:val="0"/>
                <w:szCs w:val="21"/>
                <w:highlight w:val="none"/>
              </w:rPr>
              <w:t>月</w:t>
            </w:r>
            <w:r>
              <w:rPr>
                <w:rFonts w:hint="eastAsia" w:ascii="宋体" w:hAnsi="宋体" w:eastAsia="宋体" w:cs="宋体"/>
                <w:bCs/>
                <w:color w:val="auto"/>
                <w:szCs w:val="21"/>
                <w:highlight w:val="none"/>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是否接受联合体投标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投标人不得存在的其他关联情形</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kern w:val="0"/>
                <w:szCs w:val="21"/>
                <w:highlight w:val="none"/>
                <w:lang w:eastAsia="zh-CN"/>
              </w:rPr>
            </w:pPr>
            <w:r>
              <w:rPr>
                <w:rFonts w:hint="eastAsia" w:ascii="宋体" w:hAnsi="宋体" w:eastAsia="宋体" w:cs="宋体"/>
                <w:kern w:val="2"/>
                <w:sz w:val="21"/>
                <w:szCs w:val="21"/>
                <w:highlight w:val="none"/>
                <w:lang w:val="en-US" w:eastAsia="zh-CN" w:bidi="ar"/>
              </w:rPr>
              <w:t>单位负责人为同一人或者存在控股、管理关系的不同单位，不得同时参加报价，否则相关报价均无效。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分包</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u w:val="single"/>
              </w:rPr>
              <w:t>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构成招标文件的其他材料</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招标人发出的澄清及修改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投标人对招标文件提出疑问的截止时间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color w:val="auto"/>
                <w:kern w:val="0"/>
                <w:szCs w:val="21"/>
                <w:highlight w:val="none"/>
                <w:lang w:eastAsia="zh-CN"/>
              </w:rPr>
              <w:t>以电子邮件形式</w:t>
            </w:r>
            <w:r>
              <w:rPr>
                <w:rFonts w:hint="eastAsia" w:ascii="宋体" w:hAnsi="宋体" w:eastAsia="宋体" w:cs="宋体"/>
                <w:color w:val="auto"/>
                <w:kern w:val="0"/>
                <w:szCs w:val="21"/>
                <w:highlight w:val="none"/>
              </w:rPr>
              <w:t>提交</w:t>
            </w:r>
            <w:r>
              <w:rPr>
                <w:rFonts w:hint="eastAsia" w:ascii="宋体" w:hAnsi="宋体" w:eastAsia="宋体" w:cs="宋体"/>
                <w:color w:val="auto"/>
                <w:kern w:val="0"/>
                <w:szCs w:val="21"/>
                <w:highlight w:val="none"/>
                <w:lang w:eastAsia="zh-CN"/>
              </w:rPr>
              <w:t>提问</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restar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招标人对招标文件澄清的截止时间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szCs w:val="21"/>
                <w:highlight w:val="none"/>
              </w:rPr>
              <w:t>招标人应在招标公告规定的时间前，</w:t>
            </w:r>
            <w:r>
              <w:rPr>
                <w:rFonts w:hint="eastAsia" w:ascii="宋体" w:hAnsi="宋体" w:eastAsia="宋体" w:cs="宋体"/>
                <w:color w:val="auto"/>
                <w:kern w:val="0"/>
                <w:szCs w:val="21"/>
                <w:highlight w:val="none"/>
              </w:rPr>
              <w:t>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kern w:val="0"/>
                <w:szCs w:val="21"/>
                <w:highlight w:val="none"/>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continue"/>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szCs w:val="21"/>
                <w:highlight w:val="none"/>
                <w:u w:val="single"/>
              </w:rPr>
              <w:t>详见招标公告规定的投标截止时间。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招标人对招标文件进行修改的时间</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u w:val="none"/>
              </w:rPr>
              <w:t>招标人应在招标公告规定的时间前，在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none"/>
              </w:rPr>
              <w:t>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spacing w:val="-1"/>
                <w:szCs w:val="21"/>
                <w:highlight w:val="none"/>
              </w:rPr>
              <w:t>构成投标文件的其他资料</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增值税税金的计算方法</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一般计税法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税率9%。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3.2.3</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报价方式</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lang w:bidi="ar"/>
              </w:rPr>
              <w:t>单价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安全生产费</w:t>
            </w:r>
          </w:p>
        </w:tc>
        <w:tc>
          <w:tcPr>
            <w:tcW w:w="3445" w:type="pct"/>
            <w:shd w:val="clear" w:color="auto" w:fill="auto"/>
            <w:vAlign w:val="center"/>
          </w:tcPr>
          <w:p>
            <w:pPr>
              <w:pStyle w:val="44"/>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1.按建筑安装工程费的2%计算</w:t>
            </w:r>
            <w:r>
              <w:rPr>
                <w:rFonts w:hint="eastAsia" w:ascii="宋体" w:hAnsi="宋体" w:eastAsia="宋体" w:cs="宋体"/>
                <w:color w:val="auto"/>
                <w:kern w:val="2"/>
                <w:sz w:val="21"/>
                <w:szCs w:val="21"/>
                <w:highlight w:val="none"/>
                <w:lang w:val="en-US" w:eastAsia="zh-CN" w:bidi="ar-SA"/>
              </w:rPr>
              <w:t>；</w:t>
            </w:r>
          </w:p>
          <w:p>
            <w:pPr>
              <w:pStyle w:val="44"/>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2.结算时据实结算</w:t>
            </w:r>
            <w:r>
              <w:rPr>
                <w:rFonts w:hint="eastAsia" w:ascii="宋体" w:hAnsi="宋体" w:eastAsia="宋体" w:cs="宋体"/>
                <w:color w:val="auto"/>
                <w:kern w:val="2"/>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3.2.6</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是否接受调价函</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3.2.8</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最高投标限价</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u w:val="single"/>
                <w:lang w:bidi="ar"/>
              </w:rPr>
            </w:pPr>
            <w:r>
              <w:rPr>
                <w:rFonts w:hint="eastAsia" w:ascii="宋体" w:hAnsi="宋体" w:eastAsia="宋体" w:cs="宋体"/>
                <w:color w:val="auto"/>
                <w:kern w:val="0"/>
                <w:szCs w:val="21"/>
                <w:highlight w:val="none"/>
                <w:lang w:bidi="ar"/>
              </w:rPr>
              <w:t>有，最高投标限价：14939167.5</w:t>
            </w:r>
            <w:r>
              <w:rPr>
                <w:rFonts w:hint="eastAsia" w:ascii="宋体" w:hAnsi="宋体" w:eastAsia="宋体" w:cs="宋体"/>
                <w:color w:val="auto"/>
                <w:kern w:val="0"/>
                <w:szCs w:val="21"/>
                <w:highlight w:val="none"/>
                <w:lang w:val="en-US" w:eastAsia="zh-CN" w:bidi="ar"/>
              </w:rPr>
              <w:t>5元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3.2.9</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投标报价的其他要求</w:t>
            </w:r>
          </w:p>
        </w:tc>
        <w:tc>
          <w:tcPr>
            <w:tcW w:w="3445" w:type="pct"/>
            <w:shd w:val="clear" w:color="auto" w:fill="auto"/>
            <w:vAlign w:val="center"/>
          </w:tcPr>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有，具体要求为：</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招标人将公布投标总报价最高限价及各清单子目单价最高限价。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投标人的投标总报价不应高于投标总报价最高限价，否则由评标委员会作否决投标处理；</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投标人投标报价中的各清单子目单价不应高于各清单子目单价最高限价。招标人在合同签订前将对中标人“已标价工程量清单”进行复核，若出现差错则按以下原则进行处理（或结算）：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分部分项工程量清单报价汇总计算结果与投标函总报价不一致时，按就低不就高原则进行修正，即：汇总计算结果高于投标函总报价则以投标函总报价为准，按汇总计算结果与投标函总报价相比的降低幅度同比例修正分项报价和各清单子目单价； 汇总计算结果低于投标函总报价则以分部分项工程量清单报价汇总计算结果为准进行签约或结算；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（2）依据单价和数量计算结果与其合价不符的，按不利于投标人原则（就低不就高）对其单价和合价进行修正。</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（3）单价报价超过工程量清单综合单价最高限价的，以工程量清单综合单价最高限价为基础，按照中标总报价与总价最高限价的下浮比例进行同比例下调修正其单价和合价。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工程量清单漏项的，按该项单价为0进行修正（即视为该项工作内容的报价已包括在其他项目报价内），超出招标人提供的工程量清单范围的清单项目报价不予认可，按该清单项目报价为0对其单价和合价进行修正。</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投标人须在投标文件资格审查部分提供承诺（格式详见第九章投标文件格式），并包括以下内容：</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（1）按照第五章“工程量清单”、第八章“工程量清单计量规则”的规定进行报价。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（2）招标文件中规定工程量清单不允许修改的内容不得修改。</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（3）投标总报价不高于招标人公布的投标总报价最高限价。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（4）各清单子目单价不高于招标人公布的各清单子目单价最高限价的。</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rPr>
              <w:t>）若出现差错，按招标文件第二章投标人须知前附表第3.2.9项规定的原则进行处理（或结算）。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投标人未按上述要求提供承诺函的，由评标委员会作否决投标处理。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3.3.1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投标有效期</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kern w:val="2"/>
                <w:sz w:val="21"/>
                <w:szCs w:val="21"/>
                <w:highlight w:val="none"/>
                <w:u w:val="single"/>
                <w:lang w:val="en-US" w:eastAsia="zh-CN" w:bidi="ar"/>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3.4.1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投标保证金</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投标保证金的交纳方式：投标人可选择以下二种方式之一。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一、以转账支票或电汇形式交纳投标保证金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1.本项目投标保证金为:</w:t>
            </w:r>
            <w:r>
              <w:rPr>
                <w:rFonts w:hint="eastAsia" w:ascii="宋体" w:hAnsi="宋体" w:cs="宋体"/>
                <w:color w:val="auto"/>
                <w:szCs w:val="21"/>
                <w:highlight w:val="none"/>
                <w:u w:val="single"/>
                <w:lang w:val="en-US" w:eastAsia="zh-CN"/>
              </w:rPr>
              <w:t>10</w:t>
            </w:r>
            <w:r>
              <w:rPr>
                <w:rFonts w:hint="eastAsia" w:ascii="宋体" w:hAnsi="宋体" w:eastAsia="宋体" w:cs="宋体"/>
                <w:color w:val="auto"/>
                <w:szCs w:val="21"/>
                <w:highlight w:val="none"/>
                <w:lang w:eastAsia="zh-CN"/>
              </w:rPr>
              <w:t>万元（大写：</w:t>
            </w:r>
            <w:r>
              <w:rPr>
                <w:rFonts w:hint="eastAsia" w:ascii="宋体" w:hAnsi="宋体" w:cs="宋体"/>
                <w:color w:val="auto"/>
                <w:szCs w:val="21"/>
                <w:highlight w:val="none"/>
                <w:u w:val="single"/>
                <w:lang w:val="en-US" w:eastAsia="zh-CN"/>
              </w:rPr>
              <w:t>壹拾万</w:t>
            </w:r>
            <w:r>
              <w:rPr>
                <w:rFonts w:hint="eastAsia" w:ascii="宋体" w:hAnsi="宋体" w:eastAsia="宋体" w:cs="宋体"/>
                <w:color w:val="auto"/>
                <w:szCs w:val="21"/>
                <w:highlight w:val="none"/>
                <w:u w:val="single"/>
                <w:lang w:val="en-US" w:eastAsia="zh-CN"/>
              </w:rPr>
              <w:t>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2.投标保证金提交方式：以银行转账或银行电汇形式提交，投标可任选一种。</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3.提交时间和方式：投标保证金必须从投标人单位基本账户直接转（汇）入重庆市投资咨询有限公司指定的专用银行账户，其转（汇）款到账截止时间为投标截止时间前</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lang w:eastAsia="zh-CN"/>
              </w:rPr>
              <w:t>个小时，若本招标文件规定的投标文件递交截止时间顺延，则投标保证金到账截止时间相应顺延。迟到的投标保证金将导致评委会对其作否决处理。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各投标人递交的投标保证金，如果不是从其基本账户汇出，或者不是汇到上述指定专用账户；将导致评审委员会对其作否决处理。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投标保证金指定账户如下：</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单位全称：重庆市投资咨询有限公司</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 xml:space="preserve">开 户 行：兴业银行重庆分行营业部 </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账    号：346010100105354662</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4.特别提示：请投标人务必仔细阅读下列条款：</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（1）投标人必须在付款凭证备注栏中注明“项目名称”（可简写）保证金；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各投标人在银行转账（电汇）时，须充分考虑银行转账（电汇）的时间差风险，如同城转账、异地转账、跨行转账或电汇等所需的时间。投标保证金未在到账截止时间前汇入招标文件指定账户的风险由投标人自行承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5. 投标保证金的退还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非中标候选人的投标保证金的退还：招标人应当在规定时间内确定中标人，通报代理机构并向中标人发出中标通知书，同时代理机构5日内将中标候选人以外的投标人投标保证金退还至其银行基本账户。</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中标人和中标候选人的投标保证金的退还：中标人和其他中标候选人在招标人与中标人签订合同后5日内，由代理机构将投标保证金退还至其银行基本账户。</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方式二</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一、以纸质投标保函形式交纳投标保证金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 纸质投标保函交纳形式及要求：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（1）缴纳形式：</w:t>
            </w:r>
            <w:r>
              <w:rPr>
                <w:rFonts w:hint="eastAsia" w:ascii="宋体" w:hAnsi="宋体" w:eastAsia="宋体" w:cs="宋体"/>
                <w:kern w:val="0"/>
                <w:szCs w:val="21"/>
                <w:highlight w:val="none"/>
                <w:lang w:val="en-US" w:eastAsia="zh-CN"/>
              </w:rPr>
              <w:t>纸质投标保函</w:t>
            </w:r>
            <w:r>
              <w:rPr>
                <w:rFonts w:hint="eastAsia" w:ascii="宋体" w:hAnsi="宋体" w:eastAsia="宋体" w:cs="宋体"/>
                <w:kern w:val="0"/>
                <w:szCs w:val="21"/>
                <w:highlight w:val="none"/>
              </w:rPr>
              <w:t>包括银行保函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保证保险和担保保函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其示范文本详见第九章投标文件格式。投标人提交的纸质投标保函应</w:t>
            </w:r>
            <w:r>
              <w:rPr>
                <w:rFonts w:hint="eastAsia" w:ascii="宋体" w:hAnsi="宋体" w:eastAsia="宋体" w:cs="宋体"/>
                <w:kern w:val="0"/>
                <w:szCs w:val="21"/>
                <w:highlight w:val="none"/>
              </w:rPr>
              <w:t>严格执行</w:t>
            </w:r>
            <w:r>
              <w:rPr>
                <w:rFonts w:hint="eastAsia" w:ascii="宋体" w:hAnsi="宋体" w:eastAsia="宋体" w:cs="宋体"/>
                <w:kern w:val="0"/>
                <w:szCs w:val="21"/>
                <w:highlight w:val="none"/>
                <w:lang w:val="en-US" w:eastAsia="zh-CN"/>
              </w:rPr>
              <w:t>其</w:t>
            </w:r>
            <w:r>
              <w:rPr>
                <w:rFonts w:hint="eastAsia" w:ascii="宋体" w:hAnsi="宋体" w:eastAsia="宋体" w:cs="宋体"/>
                <w:kern w:val="0"/>
                <w:szCs w:val="21"/>
                <w:highlight w:val="none"/>
              </w:rPr>
              <w:t>示范文本，不得对示范文本中的实质性内容进行修改</w:t>
            </w:r>
            <w:r>
              <w:rPr>
                <w:rFonts w:hint="eastAsia" w:ascii="宋体" w:hAnsi="宋体" w:eastAsia="宋体" w:cs="宋体"/>
                <w:kern w:val="0"/>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（2）具体要求：</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保函的开立人应当是具有相应资格的银行、保险机构、融资担保公司，其信用资质、履约能力、担保能力、赔付流程、安全保密等应符合工程保函业务条件</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lang w:eastAsia="zh-CN"/>
              </w:rPr>
              <w:t>保函应合法合规，符合招投标行政监督部门、行业主管部门和金融监管部门的相关规定，满足招标文件约定要求。</w:t>
            </w:r>
            <w:r>
              <w:rPr>
                <w:rFonts w:hint="eastAsia" w:ascii="宋体" w:hAnsi="宋体" w:eastAsia="宋体" w:cs="宋体"/>
                <w:kern w:val="0"/>
                <w:szCs w:val="21"/>
                <w:highlight w:val="none"/>
                <w:lang w:val="en-US" w:eastAsia="zh-CN"/>
              </w:rPr>
              <w:t>投标人</w:t>
            </w:r>
            <w:r>
              <w:rPr>
                <w:rFonts w:hint="eastAsia" w:ascii="宋体" w:hAnsi="宋体" w:eastAsia="宋体" w:cs="宋体"/>
                <w:kern w:val="0"/>
                <w:szCs w:val="21"/>
                <w:highlight w:val="none"/>
              </w:rPr>
              <w:t>应选择在渝依法设立总部或者设有分支机构的金融机构开具</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投标人对所提交的纸质投标保函的真实性、合法性、有效性负责。</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投标人须在投标文件资格审查资料提供</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投标保函复印件，</w:t>
            </w:r>
            <w:r>
              <w:rPr>
                <w:rFonts w:hint="eastAsia" w:ascii="宋体" w:hAnsi="宋体" w:eastAsia="宋体" w:cs="宋体"/>
                <w:kern w:val="0"/>
                <w:szCs w:val="21"/>
                <w:highlight w:val="none"/>
                <w:lang w:val="en-US" w:eastAsia="zh-CN"/>
              </w:rPr>
              <w:t>纸质投标保函原件应当于投标截止时间前在开标现场递交招标人保管</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投标保函原件不退还。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highlight w:val="none"/>
              </w:rPr>
              <w:t>若投标截止时间延期，则纸质投标保函递交的截止时间和投标截止时间保持一致。</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不满足上述要求的纸质投标保函无效。</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 xml:space="preserve">2. </w:t>
            </w:r>
            <w:r>
              <w:rPr>
                <w:rFonts w:hint="eastAsia" w:ascii="宋体" w:hAnsi="宋体" w:eastAsia="宋体" w:cs="宋体"/>
                <w:highlight w:val="none"/>
              </w:rPr>
              <w:t>以纸质投标保函形式担保的投标保证金的金额</w:t>
            </w:r>
            <w:r>
              <w:rPr>
                <w:rFonts w:hint="eastAsia" w:ascii="宋体" w:hAnsi="宋体" w:eastAsia="宋体" w:cs="宋体"/>
                <w:kern w:val="0"/>
                <w:szCs w:val="21"/>
                <w:highlight w:val="none"/>
              </w:rPr>
              <w:t>：</w:t>
            </w:r>
            <w:r>
              <w:rPr>
                <w:rFonts w:hint="eastAsia" w:ascii="宋体" w:hAnsi="宋体" w:cs="宋体"/>
                <w:color w:val="auto"/>
                <w:szCs w:val="21"/>
                <w:highlight w:val="none"/>
                <w:u w:val="single"/>
                <w:lang w:val="en-US" w:eastAsia="zh-CN"/>
              </w:rPr>
              <w:t>10</w:t>
            </w:r>
            <w:r>
              <w:rPr>
                <w:rFonts w:hint="eastAsia" w:ascii="宋体" w:hAnsi="宋体" w:eastAsia="宋体" w:cs="宋体"/>
                <w:color w:val="auto"/>
                <w:szCs w:val="21"/>
                <w:highlight w:val="none"/>
                <w:lang w:eastAsia="zh-CN"/>
              </w:rPr>
              <w:t>万元（大写：</w:t>
            </w:r>
            <w:r>
              <w:rPr>
                <w:rFonts w:hint="eastAsia" w:ascii="宋体" w:hAnsi="宋体" w:eastAsia="宋体" w:cs="宋体"/>
                <w:color w:val="auto"/>
                <w:szCs w:val="21"/>
                <w:highlight w:val="none"/>
                <w:u w:val="single"/>
                <w:lang w:val="en-US" w:eastAsia="zh-CN"/>
              </w:rPr>
              <w:t>壹拾万</w:t>
            </w:r>
            <w:r>
              <w:rPr>
                <w:rFonts w:hint="eastAsia" w:ascii="宋体" w:hAnsi="宋体" w:cs="宋体"/>
                <w:color w:val="auto"/>
                <w:szCs w:val="21"/>
                <w:highlight w:val="none"/>
                <w:u w:val="single"/>
                <w:lang w:val="en-US" w:eastAsia="zh-CN"/>
              </w:rPr>
              <w:t>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 投标人须</w:t>
            </w:r>
            <w:r>
              <w:rPr>
                <w:rFonts w:hint="eastAsia" w:ascii="宋体" w:hAnsi="宋体" w:eastAsia="宋体" w:cs="宋体"/>
                <w:highlight w:val="none"/>
              </w:rPr>
              <w:t>在</w:t>
            </w:r>
            <w:r>
              <w:rPr>
                <w:rFonts w:hint="eastAsia" w:ascii="宋体" w:hAnsi="宋体" w:eastAsia="宋体" w:cs="宋体"/>
                <w:kern w:val="0"/>
                <w:szCs w:val="21"/>
                <w:highlight w:val="none"/>
              </w:rPr>
              <w:t>纸质投标保函</w:t>
            </w:r>
            <w:r>
              <w:rPr>
                <w:rFonts w:hint="eastAsia" w:ascii="宋体" w:hAnsi="宋体" w:eastAsia="宋体" w:cs="宋体"/>
                <w:kern w:val="0"/>
                <w:szCs w:val="21"/>
                <w:highlight w:val="none"/>
                <w:lang w:val="en-US" w:eastAsia="zh-CN"/>
              </w:rPr>
              <w:t>中注明</w:t>
            </w:r>
            <w:r>
              <w:rPr>
                <w:rFonts w:hint="eastAsia" w:ascii="宋体" w:hAnsi="宋体" w:eastAsia="宋体" w:cs="宋体"/>
                <w:kern w:val="0"/>
                <w:szCs w:val="21"/>
                <w:highlight w:val="none"/>
              </w:rPr>
              <w:t>在重庆市辖区范围内的核验</w:t>
            </w:r>
            <w:r>
              <w:rPr>
                <w:rFonts w:hint="eastAsia" w:ascii="宋体" w:hAnsi="宋体" w:eastAsia="宋体" w:cs="宋体"/>
                <w:kern w:val="0"/>
                <w:szCs w:val="21"/>
                <w:highlight w:val="none"/>
                <w:lang w:val="en-US" w:eastAsia="zh-CN"/>
              </w:rPr>
              <w:t>地址和核验方式，并</w:t>
            </w:r>
            <w:r>
              <w:rPr>
                <w:rFonts w:hint="eastAsia" w:ascii="宋体" w:hAnsi="宋体" w:eastAsia="宋体" w:cs="宋体"/>
                <w:kern w:val="0"/>
                <w:szCs w:val="21"/>
                <w:highlight w:val="none"/>
              </w:rPr>
              <w:t>确保其递交的纸质投标保函能在</w:t>
            </w:r>
            <w:r>
              <w:rPr>
                <w:rFonts w:hint="eastAsia" w:ascii="宋体" w:hAnsi="宋体" w:eastAsia="宋体" w:cs="宋体"/>
                <w:kern w:val="0"/>
                <w:szCs w:val="21"/>
                <w:highlight w:val="none"/>
                <w:lang w:val="en-US" w:eastAsia="zh-CN"/>
              </w:rPr>
              <w:t>开立人</w:t>
            </w:r>
            <w:r>
              <w:rPr>
                <w:rFonts w:hint="eastAsia" w:ascii="宋体" w:hAnsi="宋体" w:eastAsia="宋体" w:cs="宋体"/>
                <w:kern w:val="0"/>
                <w:szCs w:val="21"/>
                <w:highlight w:val="none"/>
              </w:rPr>
              <w:t>在渝</w:t>
            </w:r>
            <w:r>
              <w:rPr>
                <w:rFonts w:hint="eastAsia" w:ascii="宋体" w:hAnsi="宋体" w:eastAsia="宋体" w:cs="宋体"/>
                <w:kern w:val="0"/>
                <w:szCs w:val="21"/>
                <w:highlight w:val="none"/>
                <w:lang w:val="en-US" w:eastAsia="zh-CN"/>
              </w:rPr>
              <w:t>的</w:t>
            </w:r>
            <w:r>
              <w:rPr>
                <w:rFonts w:hint="eastAsia" w:ascii="宋体" w:hAnsi="宋体" w:eastAsia="宋体" w:cs="宋体"/>
                <w:kern w:val="0"/>
                <w:szCs w:val="21"/>
                <w:highlight w:val="none"/>
              </w:rPr>
              <w:t>总部或者分支机构</w:t>
            </w:r>
            <w:r>
              <w:rPr>
                <w:rFonts w:hint="eastAsia" w:ascii="宋体" w:hAnsi="宋体" w:eastAsia="宋体" w:cs="宋体"/>
                <w:kern w:val="0"/>
                <w:szCs w:val="21"/>
                <w:highlight w:val="none"/>
                <w:lang w:val="en-US" w:eastAsia="zh-CN"/>
              </w:rPr>
              <w:t>进行</w:t>
            </w:r>
            <w:r>
              <w:rPr>
                <w:rFonts w:hint="eastAsia" w:ascii="宋体" w:hAnsi="宋体" w:eastAsia="宋体" w:cs="宋体"/>
                <w:kern w:val="0"/>
                <w:szCs w:val="21"/>
                <w:highlight w:val="none"/>
              </w:rPr>
              <w:t>核验。</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4. 投标人递交的纸质投标保函原件应与投标文件中提供的纸质投标保函</w:t>
            </w:r>
            <w:r>
              <w:rPr>
                <w:rFonts w:hint="eastAsia" w:ascii="宋体" w:hAnsi="宋体" w:eastAsia="宋体" w:cs="宋体"/>
                <w:kern w:val="0"/>
                <w:szCs w:val="21"/>
                <w:highlight w:val="none"/>
                <w:lang w:val="en-US" w:eastAsia="zh-CN"/>
              </w:rPr>
              <w:t>复印件</w:t>
            </w:r>
            <w:r>
              <w:rPr>
                <w:rFonts w:hint="eastAsia" w:ascii="宋体" w:hAnsi="宋体" w:eastAsia="宋体" w:cs="宋体"/>
                <w:kern w:val="0"/>
                <w:szCs w:val="21"/>
                <w:highlight w:val="none"/>
              </w:rPr>
              <w:t>一致，否则由评标委员会作否决投标处理。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5. 在发出中标通知书前，招标人应当对投标人（至少中标候选人或中标人）</w:t>
            </w:r>
            <w:r>
              <w:rPr>
                <w:rFonts w:hint="eastAsia" w:ascii="宋体" w:hAnsi="宋体" w:eastAsia="宋体" w:cs="宋体"/>
                <w:kern w:val="0"/>
                <w:szCs w:val="21"/>
                <w:highlight w:val="none"/>
                <w:lang w:val="en-US" w:eastAsia="zh-CN"/>
              </w:rPr>
              <w:t>递交</w:t>
            </w:r>
            <w:r>
              <w:rPr>
                <w:rFonts w:hint="eastAsia" w:ascii="宋体" w:hAnsi="宋体" w:eastAsia="宋体" w:cs="宋体"/>
                <w:kern w:val="0"/>
                <w:szCs w:val="21"/>
                <w:highlight w:val="none"/>
              </w:rPr>
              <w:t>的纸质投标保函</w:t>
            </w:r>
            <w:r>
              <w:rPr>
                <w:rFonts w:hint="eastAsia" w:ascii="宋体" w:hAnsi="宋体" w:eastAsia="宋体" w:cs="宋体"/>
                <w:kern w:val="0"/>
                <w:szCs w:val="21"/>
                <w:highlight w:val="none"/>
                <w:lang w:val="en-US" w:eastAsia="zh-CN"/>
              </w:rPr>
              <w:t>的真实性、合法性、有效性进行核验，对核验不合格或无法按纸质投标保函注明的核验地点、核验方式进行核验的，视为投标人未提交纸质投标保函</w:t>
            </w:r>
            <w:r>
              <w:rPr>
                <w:rFonts w:hint="eastAsia" w:ascii="宋体" w:hAnsi="宋体" w:eastAsia="宋体" w:cs="宋体"/>
                <w:kern w:val="0"/>
                <w:szCs w:val="21"/>
                <w:highlight w:val="none"/>
              </w:rPr>
              <w:t>，对</w:t>
            </w:r>
            <w:r>
              <w:rPr>
                <w:rFonts w:hint="eastAsia" w:ascii="宋体" w:hAnsi="宋体" w:eastAsia="宋体" w:cs="宋体"/>
                <w:szCs w:val="21"/>
                <w:highlight w:val="none"/>
              </w:rPr>
              <w:t>已取得中标候选人资格或中标资格的投标人，</w:t>
            </w:r>
            <w:r>
              <w:rPr>
                <w:rFonts w:hint="eastAsia" w:ascii="宋体" w:hAnsi="宋体" w:eastAsia="宋体" w:cs="宋体"/>
                <w:szCs w:val="21"/>
                <w:highlight w:val="none"/>
                <w:lang w:val="en-US" w:eastAsia="zh-CN"/>
              </w:rPr>
              <w:t>按相关规定</w:t>
            </w:r>
            <w:r>
              <w:rPr>
                <w:rFonts w:hint="eastAsia" w:ascii="宋体" w:hAnsi="宋体" w:eastAsia="宋体" w:cs="宋体"/>
                <w:szCs w:val="21"/>
                <w:highlight w:val="none"/>
              </w:rPr>
              <w:t>取消中标候选人资格或中标资格</w:t>
            </w:r>
            <w:r>
              <w:rPr>
                <w:rFonts w:hint="eastAsia" w:ascii="宋体" w:hAnsi="宋体" w:eastAsia="宋体" w:cs="宋体"/>
                <w:kern w:val="0"/>
                <w:szCs w:val="21"/>
                <w:highlight w:val="none"/>
              </w:rPr>
              <w:t>，</w:t>
            </w:r>
            <w:r>
              <w:rPr>
                <w:rFonts w:hint="eastAsia" w:ascii="宋体" w:hAnsi="宋体" w:eastAsia="宋体" w:cs="宋体"/>
                <w:szCs w:val="21"/>
                <w:highlight w:val="none"/>
              </w:rPr>
              <w:t>给招标人造成损失的，投标人依法承担赔偿责任。</w:t>
            </w:r>
            <w:r>
              <w:rPr>
                <w:rFonts w:hint="eastAsia" w:ascii="宋体" w:hAnsi="宋体" w:eastAsia="宋体" w:cs="宋体"/>
                <w:kern w:val="0"/>
                <w:szCs w:val="21"/>
                <w:highlight w:val="none"/>
                <w:lang w:val="en-US" w:eastAsia="zh-CN"/>
              </w:rPr>
              <w:t>投标人提交的纸质投标</w:t>
            </w:r>
            <w:r>
              <w:rPr>
                <w:rFonts w:hint="eastAsia" w:ascii="宋体" w:hAnsi="宋体" w:eastAsia="宋体" w:cs="宋体"/>
                <w:szCs w:val="21"/>
                <w:highlight w:val="none"/>
              </w:rPr>
              <w:t>保函涉及弄虚作假或其他违法违规</w:t>
            </w:r>
            <w:r>
              <w:rPr>
                <w:rFonts w:hint="eastAsia" w:ascii="宋体" w:hAnsi="宋体" w:eastAsia="宋体" w:cs="宋体"/>
                <w:szCs w:val="21"/>
                <w:highlight w:val="none"/>
                <w:lang w:val="en-US" w:eastAsia="zh-CN"/>
              </w:rPr>
              <w:t>情形</w:t>
            </w:r>
            <w:r>
              <w:rPr>
                <w:rFonts w:hint="eastAsia" w:ascii="宋体" w:hAnsi="宋体" w:eastAsia="宋体" w:cs="宋体"/>
                <w:szCs w:val="21"/>
                <w:highlight w:val="none"/>
              </w:rPr>
              <w:t>的，移送相关部门处理</w:t>
            </w:r>
            <w:r>
              <w:rPr>
                <w:rFonts w:hint="eastAsia" w:ascii="宋体" w:hAnsi="宋体" w:eastAsia="宋体" w:cs="宋体"/>
                <w:kern w:val="0"/>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二、纸质投标保函的退还、注销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招标人应当在法定时间内确定中标人，向中标人发出中标通知书，同时向除中标候选人以外的其他投标人退还纸质投标保函并书面通知相关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本项目准予提前注销纸质投标保函。具体注销事宜由投标人与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lang w:eastAsia="zh-CN"/>
              </w:rPr>
            </w:pPr>
            <w:r>
              <w:rPr>
                <w:rFonts w:hint="eastAsia" w:ascii="宋体" w:hAnsi="宋体" w:eastAsia="宋体" w:cs="宋体"/>
                <w:kern w:val="0"/>
                <w:szCs w:val="21"/>
                <w:highlight w:val="none"/>
              </w:rPr>
              <w:t>招标人应在法定时间内和中标人签订合同，并同时书面通知相关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向中标人和其他中标候选人注销纸质投标保函。具体注销事宜由投标人与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pStyle w:val="2"/>
              <w:adjustRightInd w:val="0"/>
              <w:snapToGrid w:val="0"/>
              <w:spacing w:before="0" w:beforeLines="0" w:beforeAutospacing="0" w:afterLines="0" w:line="400" w:lineRule="exact"/>
              <w:ind w:left="0" w:right="0"/>
              <w:rPr>
                <w:rFonts w:hint="eastAsia" w:ascii="宋体" w:hAnsi="宋体" w:eastAsia="宋体" w:cs="宋体"/>
                <w:highlight w:val="none"/>
                <w:lang w:eastAsia="zh-CN"/>
              </w:rPr>
            </w:pP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根据</w:t>
            </w:r>
            <w:r>
              <w:rPr>
                <w:rFonts w:hint="eastAsia" w:ascii="宋体" w:hAnsi="宋体" w:eastAsia="宋体" w:cs="宋体"/>
                <w:b/>
                <w:bCs/>
                <w:color w:val="auto"/>
                <w:szCs w:val="21"/>
                <w:highlight w:val="none"/>
                <w:lang w:eastAsia="zh-CN"/>
              </w:rPr>
              <w:t>招标人</w:t>
            </w:r>
            <w:r>
              <w:rPr>
                <w:rFonts w:hint="eastAsia" w:ascii="宋体" w:hAnsi="宋体" w:eastAsia="宋体" w:cs="宋体"/>
                <w:b/>
                <w:bCs/>
                <w:color w:val="auto"/>
                <w:szCs w:val="21"/>
                <w:highlight w:val="none"/>
              </w:rPr>
              <w:t>《合格供方库管理办法》，符合免交投标</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及履约</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资格的</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人，可提交经</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人审批通过并加盖</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人单位公章的《免交投标担保及履约担保审批表》代替相关</w:t>
            </w:r>
            <w:r>
              <w:rPr>
                <w:rFonts w:hint="eastAsia" w:ascii="宋体" w:hAnsi="宋体" w:eastAsia="宋体" w:cs="宋体"/>
                <w:b/>
                <w:bCs/>
                <w:color w:val="auto"/>
                <w:szCs w:val="21"/>
                <w:highlight w:val="none"/>
                <w:lang w:eastAsia="zh-CN"/>
              </w:rPr>
              <w:t>投标（或履约）</w:t>
            </w:r>
            <w:r>
              <w:rPr>
                <w:rFonts w:hint="eastAsia" w:ascii="宋体" w:hAnsi="宋体" w:eastAsia="宋体" w:cs="宋体"/>
                <w:b/>
                <w:bCs/>
                <w:color w:val="auto"/>
                <w:szCs w:val="21"/>
                <w:highlight w:val="none"/>
              </w:rPr>
              <w:t>保证金凭证。《免交投标担保及履约担保审批表》须在有效期内</w:t>
            </w:r>
            <w:r>
              <w:rPr>
                <w:rFonts w:hint="eastAsia" w:ascii="宋体" w:hAnsi="宋体" w:eastAsia="宋体" w:cs="宋体"/>
                <w:b/>
                <w:bCs/>
                <w:color w:val="auto"/>
                <w:szCs w:val="21"/>
                <w:highlight w:val="none"/>
                <w:lang w:eastAsia="zh-CN"/>
              </w:rPr>
              <w:t>，资料复印件</w:t>
            </w:r>
            <w:r>
              <w:rPr>
                <w:rFonts w:hint="eastAsia" w:ascii="宋体" w:hAnsi="宋体" w:eastAsia="宋体" w:cs="宋体"/>
                <w:b/>
                <w:bCs/>
                <w:color w:val="auto"/>
                <w:szCs w:val="21"/>
                <w:highlight w:val="none"/>
              </w:rPr>
              <w:t>加盖投标单位法人章并装入投标文件</w:t>
            </w:r>
            <w:r>
              <w:rPr>
                <w:rFonts w:hint="eastAsia" w:ascii="宋体" w:hAnsi="宋体" w:eastAsia="宋体" w:cs="宋体"/>
                <w:b/>
                <w:bCs/>
                <w:color w:val="auto"/>
                <w:szCs w:val="21"/>
                <w:highlight w:val="none"/>
                <w:lang w:eastAsia="zh-CN"/>
              </w:rPr>
              <w:t>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zCs w:val="21"/>
                <w:highlight w:val="none"/>
              </w:rPr>
              <w:t>3.4.4</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pacing w:val="-1"/>
                <w:szCs w:val="21"/>
                <w:highlight w:val="none"/>
              </w:rPr>
            </w:pPr>
            <w:r>
              <w:rPr>
                <w:rFonts w:hint="eastAsia" w:ascii="宋体" w:hAnsi="宋体" w:eastAsia="宋体" w:cs="宋体"/>
                <w:color w:val="auto"/>
                <w:kern w:val="0"/>
                <w:szCs w:val="21"/>
                <w:highlight w:val="none"/>
                <w:lang w:bidi="ar"/>
              </w:rPr>
              <w:t>其他可以不予退还投标保证金的情形</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i w:val="0"/>
                <w:iCs/>
                <w:color w:val="auto"/>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3.5</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资格审查资料的特殊要求</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是否允许递交</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备选投标方案</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投标文件格式要求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编制投标文件时不得对第九章“投标文件格式”的相应要素作实质性修改，否则视为重大偏差，由评标委员会作否决投标处理。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5"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盖章要求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应用不褪色的材料书写或打印，并由投标人的法定代表人或其委托代理人在招标文件规定的位置按招标文件要求签名或盖章、盖单位法人章。委托代理人签名的，投标文件应附法定代表人签署的授权委托书。投标文件应尽量避免涂改、行间插字或删除。如果出现上述情况，改动之处应加盖单位法人章或由投标人的法定代表人或其授权的代理人签名确认。</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投标文件的份数</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投标文件正本1份、副本</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份，</w:t>
            </w:r>
            <w:r>
              <w:rPr>
                <w:rFonts w:hint="eastAsia" w:ascii="宋体" w:hAnsi="宋体" w:eastAsia="宋体" w:cs="宋体"/>
                <w:color w:val="auto"/>
                <w:szCs w:val="21"/>
                <w:highlight w:val="none"/>
                <w:u w:val="none"/>
              </w:rPr>
              <w:t>电子文档</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U盘</w:t>
            </w:r>
            <w:r>
              <w:rPr>
                <w:rFonts w:hint="eastAsia" w:ascii="宋体" w:hAnsi="宋体" w:eastAsia="宋体" w:cs="宋体"/>
                <w:color w:val="auto"/>
                <w:kern w:val="0"/>
                <w:szCs w:val="21"/>
                <w:highlight w:val="none"/>
              </w:rPr>
              <w:t>）1份。当副本和正本不一致时，以正本为准。否则由评标委员会作否决投标处理。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投标函部分、经济部分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资格审查部分（含商务部分）、技术部分</w:t>
            </w:r>
            <w:r>
              <w:rPr>
                <w:rFonts w:hint="eastAsia" w:ascii="宋体" w:hAnsi="宋体" w:eastAsia="宋体" w:cs="宋体"/>
                <w:color w:val="auto"/>
                <w:szCs w:val="21"/>
                <w:highlight w:val="none"/>
                <w:lang w:eastAsia="zh-CN"/>
              </w:rPr>
              <w:t>（如有）可以共同装订成一册，也可</w:t>
            </w:r>
            <w:r>
              <w:rPr>
                <w:rFonts w:hint="eastAsia" w:ascii="宋体" w:hAnsi="宋体" w:eastAsia="宋体" w:cs="宋体"/>
                <w:color w:val="auto"/>
                <w:szCs w:val="21"/>
                <w:highlight w:val="none"/>
              </w:rPr>
              <w:t>各自分别装订成册。所有投标文件不论使用任何方式进行装订，必须保证投标书装订牢固，否则，招标人对由于投标文件装订松散而造成的丢失或其他后果不承担任何责任。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2、装订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（1）投标函部分的装订要求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应按照第九章规定格式装订成册，原则上并应编制目录（但不得将目录编制作为评审因素），标注页码。</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（2）经济部分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应按照第九章规定格式排版，原则上应编制目录，但不得将目录编制作为评审因素。</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）资格审查部分（含商务部分）的装订要求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应按照第九章规定格式装订成册，并原则上并应编制目录（但不得将目录编制作为评审因素），标注页码。</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）技术部分</w:t>
            </w:r>
            <w:r>
              <w:rPr>
                <w:rFonts w:hint="eastAsia" w:ascii="宋体" w:hAnsi="宋体" w:eastAsia="宋体" w:cs="宋体"/>
                <w:color w:val="auto"/>
                <w:szCs w:val="21"/>
                <w:highlight w:val="none"/>
                <w:lang w:eastAsia="zh-CN"/>
              </w:rPr>
              <w:t>（如有）</w:t>
            </w:r>
            <w:r>
              <w:rPr>
                <w:rFonts w:hint="eastAsia" w:ascii="宋体" w:hAnsi="宋体" w:eastAsia="宋体" w:cs="宋体"/>
                <w:color w:val="auto"/>
                <w:szCs w:val="21"/>
                <w:highlight w:val="none"/>
              </w:rPr>
              <w:t>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本项目技术部分采用明标，</w:t>
            </w:r>
            <w:r>
              <w:rPr>
                <w:rFonts w:hint="eastAsia" w:ascii="宋体" w:hAnsi="宋体" w:eastAsia="宋体" w:cs="宋体"/>
                <w:color w:val="auto"/>
                <w:szCs w:val="21"/>
                <w:highlight w:val="none"/>
              </w:rPr>
              <w:t>应按照第九章规定格式装订成册，原则上并应编制目录（但不得将目录编制作为评审因素），标注页码。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spacing w:val="-6"/>
                <w:kern w:val="0"/>
                <w:szCs w:val="21"/>
                <w:highlight w:val="none"/>
              </w:rPr>
              <w:t>投标文件的密封</w:t>
            </w:r>
          </w:p>
        </w:tc>
        <w:tc>
          <w:tcPr>
            <w:tcW w:w="3445" w:type="pct"/>
            <w:shd w:val="clear" w:color="auto" w:fill="auto"/>
            <w:vAlign w:val="center"/>
          </w:tcPr>
          <w:p>
            <w:pPr>
              <w:pStyle w:val="44"/>
              <w:keepNext w:val="0"/>
              <w:keepLines w:val="0"/>
              <w:suppressLineNumbers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1、电子文档</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U盘</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份，U盘上注明项目名称和投标单位名称并加盖投标人单位法人章，装入“电子</w:t>
            </w:r>
            <w:r>
              <w:rPr>
                <w:rFonts w:hint="eastAsia" w:ascii="宋体" w:hAnsi="宋体" w:eastAsia="宋体" w:cs="宋体"/>
                <w:color w:val="auto"/>
                <w:sz w:val="21"/>
                <w:szCs w:val="21"/>
                <w:highlight w:val="none"/>
                <w:u w:val="none"/>
                <w:lang w:eastAsia="zh-CN"/>
              </w:rPr>
              <w:t>文档袋</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none"/>
                <w:lang w:val="en-US" w:eastAsia="zh-CN"/>
              </w:rPr>
              <w:t>2</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eastAsia="zh-CN"/>
              </w:rPr>
              <w:t>所有投标文件（含</w:t>
            </w:r>
            <w:r>
              <w:rPr>
                <w:rFonts w:hint="eastAsia" w:ascii="宋体" w:hAnsi="宋体" w:eastAsia="宋体" w:cs="宋体"/>
                <w:color w:val="auto"/>
                <w:szCs w:val="21"/>
                <w:highlight w:val="none"/>
                <w:u w:val="none"/>
              </w:rPr>
              <w:t>电子</w:t>
            </w:r>
            <w:r>
              <w:rPr>
                <w:rFonts w:hint="eastAsia" w:ascii="宋体" w:hAnsi="宋体" w:eastAsia="宋体" w:cs="宋体"/>
                <w:color w:val="auto"/>
                <w:szCs w:val="21"/>
                <w:highlight w:val="none"/>
                <w:u w:val="none"/>
                <w:lang w:eastAsia="zh-CN"/>
              </w:rPr>
              <w:t>文档）</w:t>
            </w:r>
            <w:r>
              <w:rPr>
                <w:rFonts w:hint="eastAsia" w:ascii="宋体" w:hAnsi="宋体" w:eastAsia="宋体" w:cs="宋体"/>
                <w:color w:val="auto"/>
                <w:szCs w:val="21"/>
                <w:highlight w:val="none"/>
                <w:u w:val="none"/>
              </w:rPr>
              <w:t>等装入“投标文件”大袋中，密封并在大袋上加盖投标人单位法人章，同时“投标文件”袋应按本表第4.1.2项的规定写明相应内容。一个大袋装不下的，可使用多个大袋分册封装。大袋未按要求密封的，招标人或代理机构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封套上写明</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应在</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“投标文件”袋封套上写明如下内容：</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招标人名称：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项目名称</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投标文件</w:t>
            </w:r>
          </w:p>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时</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snapToGrid w:val="0"/>
                <w:color w:val="auto"/>
                <w:kern w:val="0"/>
                <w:szCs w:val="21"/>
                <w:highlight w:val="none"/>
              </w:rPr>
              <w:t>投标人递交投标文件的地点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是否退还投标文件</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开标时间和</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开标时间：同投标截止时间。 </w:t>
            </w:r>
          </w:p>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bCs/>
                <w:color w:val="auto"/>
                <w:sz w:val="21"/>
                <w:szCs w:val="21"/>
                <w:highlight w:val="none"/>
              </w:rPr>
              <w:t>开标地点：</w:t>
            </w: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开标程序</w:t>
            </w:r>
          </w:p>
        </w:tc>
        <w:tc>
          <w:tcPr>
            <w:tcW w:w="3445" w:type="pct"/>
            <w:shd w:val="clear" w:color="auto" w:fill="auto"/>
            <w:vAlign w:val="center"/>
          </w:tcPr>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主持人按下列程序进行开标：</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法定代表人或委托代理人可自行选择是否参加开标会，不参加开标会的视为默认开标结果。</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（2）宣布开标纪律；</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（3）宣布开标人、唱标人、记录人、监标人等有关人员姓名；</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（4）公布在投标截止时间前递交投标文件的投标人名称。</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（5）投标文件的密封检查：投标人可对自己的投标文件封装情况进行检查，以确认其投标文件密封完好。</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（6）汇总投标保证金缴纳情况</w:t>
            </w:r>
            <w:r>
              <w:rPr>
                <w:rFonts w:hint="eastAsia" w:ascii="宋体" w:hAnsi="宋体" w:eastAsia="宋体" w:cs="宋体"/>
                <w:color w:val="auto"/>
                <w:sz w:val="21"/>
                <w:szCs w:val="21"/>
                <w:highlight w:val="none"/>
                <w:lang w:eastAsia="zh-CN"/>
              </w:rPr>
              <w:t>。</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（7）设有最高限价的，公布最高限价。</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（8）逐单位随机开启投标文件。公布投标人名称、投标报价、质量要求、工期及其他内容并记录在案。</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（9）投标人对开标有异议的，应当场提出，由招标人或代理机构当场答复，并记录到开标记录表中。异议处理完毕后，汇总开标情况，打印开标记录表。</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（10）投标人代表、招标人代表、监标人、主持人、记录人等有关人员在开标记录上签名确认。因其他原因未能签名的，视为默认开标结果。</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评标委员会的组建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36"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4"/>
                <w:kern w:val="0"/>
                <w:szCs w:val="21"/>
                <w:highlight w:val="none"/>
              </w:rPr>
              <w:t>由招标人按法律法规及相关规定依法组建评标委员会</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6.3.2</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评标委员会推荐中标候选人的</w:t>
            </w:r>
            <w:r>
              <w:rPr>
                <w:rFonts w:hint="eastAsia" w:ascii="宋体" w:hAnsi="宋体" w:eastAsia="宋体" w:cs="宋体"/>
                <w:color w:val="auto"/>
                <w:kern w:val="0"/>
                <w:szCs w:val="21"/>
                <w:highlight w:val="none"/>
              </w:rPr>
              <w:t>人数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36"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pacing w:val="4"/>
                <w:kern w:val="0"/>
                <w:szCs w:val="21"/>
                <w:highlight w:val="none"/>
                <w:lang w:val="en-US" w:eastAsia="zh-CN"/>
              </w:rPr>
              <w:t>2</w:t>
            </w:r>
            <w:r>
              <w:rPr>
                <w:rFonts w:hint="eastAsia" w:ascii="宋体" w:hAnsi="宋体" w:eastAsia="宋体" w:cs="宋体"/>
                <w:color w:val="auto"/>
                <w:spacing w:val="4"/>
                <w:kern w:val="0"/>
                <w:szCs w:val="21"/>
                <w:highlight w:val="none"/>
              </w:rPr>
              <w:t>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中标候选人公示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36" w:firstLineChars="200"/>
              <w:rPr>
                <w:rFonts w:hint="eastAsia" w:ascii="宋体" w:hAnsi="宋体" w:eastAsia="宋体" w:cs="宋体"/>
                <w:color w:val="auto"/>
                <w:spacing w:val="4"/>
                <w:kern w:val="0"/>
                <w:sz w:val="21"/>
                <w:szCs w:val="21"/>
                <w:highlight w:val="none"/>
                <w:lang w:val="en-US" w:eastAsia="zh-CN" w:bidi="ar-SA"/>
              </w:rPr>
            </w:pPr>
            <w:r>
              <w:rPr>
                <w:rFonts w:hint="eastAsia" w:ascii="宋体" w:hAnsi="宋体" w:eastAsia="宋体" w:cs="宋体"/>
                <w:color w:val="auto"/>
                <w:spacing w:val="4"/>
                <w:kern w:val="0"/>
                <w:szCs w:val="21"/>
                <w:highlight w:val="none"/>
              </w:rPr>
              <w:t>招标人在收到评标报告后3日内将评标结果在</w:t>
            </w:r>
            <w:r>
              <w:rPr>
                <w:rFonts w:hint="eastAsia" w:ascii="宋体" w:hAnsi="宋体" w:eastAsia="宋体" w:cs="宋体"/>
                <w:color w:val="auto"/>
                <w:spacing w:val="4"/>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中国招标投标公共服务平台（http://www.cebpubservice.com/）、重庆高速集团官网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spacing w:val="4"/>
                <w:kern w:val="0"/>
                <w:szCs w:val="21"/>
                <w:highlight w:val="none"/>
              </w:rPr>
              <w:t>上进行公示，公示期</w:t>
            </w:r>
            <w:r>
              <w:rPr>
                <w:rFonts w:hint="eastAsia" w:ascii="宋体" w:hAnsi="宋体" w:eastAsia="宋体" w:cs="宋体"/>
                <w:color w:val="auto"/>
                <w:spacing w:val="4"/>
                <w:kern w:val="0"/>
                <w:szCs w:val="21"/>
                <w:highlight w:val="none"/>
                <w:lang w:val="en-US" w:eastAsia="zh-CN"/>
              </w:rPr>
              <w:t>不少于</w:t>
            </w:r>
            <w:r>
              <w:rPr>
                <w:rFonts w:hint="eastAsia" w:ascii="宋体" w:hAnsi="宋体" w:eastAsia="宋体" w:cs="宋体"/>
                <w:color w:val="auto"/>
                <w:spacing w:val="4"/>
                <w:kern w:val="0"/>
                <w:szCs w:val="21"/>
                <w:highlight w:val="none"/>
              </w:rPr>
              <w:t>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是否授权评标委员会确定中标人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推荐经评审综合得分由高到低排名前</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名为中标候选人</w:t>
            </w:r>
            <w:r>
              <w:rPr>
                <w:rFonts w:hint="eastAsia" w:ascii="宋体" w:hAnsi="宋体" w:eastAsia="宋体" w:cs="宋体"/>
                <w:color w:val="auto"/>
                <w:kern w:val="0"/>
                <w:szCs w:val="21"/>
                <w:highlight w:val="none"/>
                <w:lang w:eastAsia="zh-CN"/>
              </w:rPr>
              <w:t>，不足</w:t>
            </w:r>
            <w:r>
              <w:rPr>
                <w:rFonts w:hint="eastAsia" w:ascii="宋体" w:hAnsi="宋体" w:eastAsia="宋体" w:cs="宋体"/>
                <w:color w:val="auto"/>
                <w:kern w:val="0"/>
                <w:szCs w:val="21"/>
                <w:highlight w:val="none"/>
                <w:lang w:val="en-US" w:eastAsia="zh-CN"/>
              </w:rPr>
              <w:t>2名按实际数量推荐</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7.5</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中标通知书和中标结果通知发出的形式</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以书面的形式发出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7.7.1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履约保证金</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1、中标人是否提供履约保证金：提供。</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2、中标人提供履约担保的形式、金额及期限：</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（1）履约担保的形式：</w:t>
            </w:r>
            <w:r>
              <w:rPr>
                <w:rFonts w:hint="eastAsia" w:ascii="宋体" w:hAnsi="宋体" w:eastAsia="宋体" w:cs="宋体"/>
                <w:color w:val="auto"/>
                <w:kern w:val="0"/>
                <w:szCs w:val="21"/>
                <w:highlight w:val="none"/>
                <w:u w:val="none"/>
              </w:rPr>
              <w:t>现金或银行保函或现金+银行保函的组合；采用银行保函形式的，保函必须为不可撤销且见索即付；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（2）履约担保的金额：</w:t>
            </w:r>
            <w:r>
              <w:rPr>
                <w:rFonts w:hint="eastAsia" w:ascii="宋体" w:hAnsi="宋体" w:eastAsia="宋体" w:cs="宋体"/>
                <w:color w:val="auto"/>
                <w:kern w:val="0"/>
                <w:szCs w:val="21"/>
                <w:highlight w:val="none"/>
                <w:u w:val="single"/>
              </w:rPr>
              <w:t xml:space="preserve">中标合同金额的10% </w:t>
            </w:r>
            <w:r>
              <w:rPr>
                <w:rFonts w:hint="eastAsia" w:ascii="宋体" w:hAnsi="宋体" w:eastAsia="宋体" w:cs="宋体"/>
                <w:color w:val="auto"/>
                <w:kern w:val="0"/>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（3）履约担保的提交时间：</w:t>
            </w:r>
            <w:r>
              <w:rPr>
                <w:rFonts w:hint="eastAsia" w:ascii="宋体" w:hAnsi="宋体" w:eastAsia="宋体" w:cs="宋体"/>
                <w:color w:val="auto"/>
                <w:kern w:val="0"/>
                <w:szCs w:val="21"/>
                <w:highlight w:val="none"/>
                <w:u w:val="single"/>
              </w:rPr>
              <w:t xml:space="preserve">中标人收到中标通知书后 </w:t>
            </w:r>
            <w:r>
              <w:rPr>
                <w:rFonts w:hint="eastAsia" w:ascii="宋体" w:hAnsi="宋体" w:eastAsia="宋体" w:cs="宋体"/>
                <w:color w:val="auto"/>
                <w:kern w:val="0"/>
                <w:szCs w:val="21"/>
                <w:highlight w:val="none"/>
                <w:u w:val="single"/>
                <w:lang w:val="en-US" w:eastAsia="zh-CN"/>
              </w:rPr>
              <w:t>30</w:t>
            </w:r>
            <w:r>
              <w:rPr>
                <w:rFonts w:hint="eastAsia" w:ascii="宋体" w:hAnsi="宋体" w:eastAsia="宋体" w:cs="宋体"/>
                <w:color w:val="auto"/>
                <w:kern w:val="0"/>
                <w:szCs w:val="21"/>
                <w:highlight w:val="none"/>
                <w:u w:val="single"/>
              </w:rPr>
              <w:t xml:space="preserve"> 日内提交。</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（4）履约担保的期限：</w:t>
            </w:r>
            <w:r>
              <w:rPr>
                <w:rFonts w:hint="eastAsia" w:ascii="宋体" w:hAnsi="宋体" w:eastAsia="宋体" w:cs="宋体"/>
                <w:color w:val="auto"/>
                <w:kern w:val="0"/>
                <w:szCs w:val="21"/>
                <w:highlight w:val="none"/>
                <w:u w:val="single"/>
              </w:rPr>
              <w:t>自提交履约担保之日起至</w:t>
            </w:r>
            <w:r>
              <w:rPr>
                <w:rFonts w:hint="eastAsia" w:ascii="宋体" w:hAnsi="宋体" w:eastAsia="宋体" w:cs="宋体"/>
                <w:color w:val="auto"/>
                <w:kern w:val="0"/>
                <w:szCs w:val="21"/>
                <w:highlight w:val="none"/>
                <w:u w:val="single"/>
                <w:lang w:val="en-US" w:eastAsia="zh-CN"/>
              </w:rPr>
              <w:t>项目完工</w:t>
            </w:r>
            <w:r>
              <w:rPr>
                <w:rFonts w:hint="eastAsia" w:ascii="宋体" w:hAnsi="宋体" w:eastAsia="宋体" w:cs="宋体"/>
                <w:color w:val="auto"/>
                <w:kern w:val="0"/>
                <w:szCs w:val="21"/>
                <w:highlight w:val="none"/>
                <w:u w:val="single"/>
              </w:rPr>
              <w:t>之日止。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（5）履约担保的退还时间：</w:t>
            </w:r>
            <w:r>
              <w:rPr>
                <w:rFonts w:hint="eastAsia" w:ascii="宋体" w:hAnsi="宋体" w:eastAsia="宋体" w:cs="宋体"/>
                <w:color w:val="auto"/>
                <w:kern w:val="0"/>
                <w:szCs w:val="21"/>
                <w:highlight w:val="none"/>
                <w:u w:val="single"/>
              </w:rPr>
              <w:t>采用现金担保的，合同工程完工证书颁发后28天内一次性退还；采用银行保函的，合同工程完工证书颁发后28天内内退还</w:t>
            </w:r>
            <w:r>
              <w:rPr>
                <w:rFonts w:hint="eastAsia" w:ascii="宋体" w:hAnsi="宋体" w:eastAsia="宋体" w:cs="宋体"/>
                <w:color w:val="auto"/>
                <w:kern w:val="0"/>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7.8.1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中标人有《中华人民共和国招标投标法实施条例》第七十四条规定行为的，按中标项目金额10‰罚款上限予以行政处罚，纳入招标人黑名单管理。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是否采用电子招标投标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4296" w:type="pct"/>
            <w:gridSpan w:val="2"/>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异议、投诉处理</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 投标人或者其他利害关系人就本项目的招标文件（含澄清修改）、开标情况、评标结果等事项提出投诉的，应当先向招标人采购部门提出异议；招标人应当在规定时间内答复；对招标人的答复不满意，可向招标人监督部门投诉。</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提出异议或投诉时应当包括下列内容：</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（1）异议人或投诉人的姓名/名称、地址及有效联系方式；</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（2）被异议人或被投诉人的名称、地址及有效联系方式；</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（3）异议或投诉事项的基本事实；</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（4）请求及主张；</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（5）涉及事项的证据、证明材料。</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 根据《重庆市工程建设领域招标投标信用管理暂行办法》的规定，投标人捏造事实、伪造材料，或者以非法手段获取证明材料进行质疑或者投诉的，将被列入黑名单管理；给他人造成损失的，依法承担赔偿责任。</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w:t>
            </w:r>
            <w:r>
              <w:rPr>
                <w:rFonts w:hint="eastAsia" w:ascii="宋体" w:hAnsi="宋体" w:eastAsia="宋体" w:cs="宋体"/>
                <w:kern w:val="2"/>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异议受理单位：重庆首讯科技股份有限公司供应链管理部</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联系电话：023-63131274</w:t>
            </w:r>
          </w:p>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投诉受理部门：重庆首讯科技股份有限公司合规监管部</w:t>
            </w:r>
          </w:p>
          <w:p>
            <w:pPr>
              <w:keepNext w:val="0"/>
              <w:keepLines w:val="0"/>
              <w:widowControl w:val="0"/>
              <w:suppressLineNumbers w:val="0"/>
              <w:adjustRightInd w:val="0"/>
              <w:snapToGrid w:val="0"/>
              <w:spacing w:before="0" w:beforeLines="0" w:beforeAutospacing="0" w:after="0" w:afterLines="0" w:afterAutospacing="0" w:line="400" w:lineRule="exact"/>
              <w:ind w:left="0" w:leftChars="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联系电话：023-63132246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工程量清单</w:t>
            </w:r>
          </w:p>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编制说明</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详见清单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关于对招标文件及投标争议的解释</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对资格预审文件或者招标文件的评标标准和方法，以及资格审查和否决投标条款理解有争议的，应当作出不利于招标人的解释，但违背国家利益、社会公共利益的除外。</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重新招标</w:t>
            </w:r>
            <w:r>
              <w:rPr>
                <w:rFonts w:hint="eastAsia" w:ascii="宋体" w:hAnsi="宋体" w:eastAsia="宋体" w:cs="宋体"/>
                <w:color w:val="auto"/>
                <w:kern w:val="0"/>
                <w:szCs w:val="21"/>
                <w:highlight w:val="none"/>
                <w:lang w:val="en-US" w:eastAsia="zh-CN"/>
              </w:rPr>
              <w:t>的情形</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有下列情形之一的，招标人将重新招标：</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（1）投标截止时间止，投标人少于 3 个的；</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（2）经评标委员会评审后否决所有投标的；</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（3）经评标委员会评审后部分投标被否决，导致有效投标人不足</w:t>
            </w:r>
            <w:r>
              <w:rPr>
                <w:rFonts w:hint="eastAsia" w:ascii="宋体" w:hAnsi="宋体" w:eastAsia="宋体" w:cs="宋体"/>
                <w:snapToGrid w:val="0"/>
                <w:color w:val="auto"/>
                <w:kern w:val="0"/>
                <w:szCs w:val="21"/>
                <w:highlight w:val="none"/>
                <w:lang w:val="en-US" w:eastAsia="zh-CN"/>
              </w:rPr>
              <w:t>三</w:t>
            </w:r>
            <w:r>
              <w:rPr>
                <w:rFonts w:hint="eastAsia" w:ascii="宋体" w:hAnsi="宋体" w:eastAsia="宋体" w:cs="宋体"/>
                <w:snapToGrid w:val="0"/>
                <w:color w:val="auto"/>
                <w:kern w:val="0"/>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（4）法律法规规定的其他情形。</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重新</w:t>
            </w:r>
            <w:r>
              <w:rPr>
                <w:rFonts w:hint="eastAsia" w:ascii="宋体" w:hAnsi="宋体" w:eastAsia="宋体" w:cs="宋体"/>
                <w:color w:val="auto"/>
                <w:kern w:val="0"/>
                <w:szCs w:val="21"/>
                <w:highlight w:val="none"/>
              </w:rPr>
              <w:t>招标和不再招标</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kern w:val="0"/>
                <w:szCs w:val="21"/>
                <w:highlight w:val="none"/>
                <w:lang w:val="en-US" w:eastAsia="zh-CN"/>
              </w:rPr>
            </w:pPr>
            <w:r>
              <w:rPr>
                <w:rFonts w:hint="eastAsia" w:ascii="宋体" w:hAnsi="宋体" w:eastAsia="宋体" w:cs="宋体"/>
                <w:color w:val="auto"/>
                <w:kern w:val="0"/>
                <w:szCs w:val="21"/>
                <w:highlight w:val="none"/>
                <w:lang w:val="en-US" w:eastAsia="zh-CN"/>
              </w:rPr>
              <w:t>10.6</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kern w:val="0"/>
                <w:szCs w:val="21"/>
                <w:highlight w:val="none"/>
                <w:lang w:val="en-US" w:eastAsia="zh-CN"/>
              </w:rPr>
              <w:t>不允许负数报价</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u w:val="single"/>
              </w:rPr>
            </w:pPr>
            <w:r>
              <w:rPr>
                <w:rFonts w:hint="eastAsia" w:ascii="宋体" w:hAnsi="宋体" w:eastAsia="宋体" w:cs="宋体"/>
                <w:kern w:val="0"/>
                <w:szCs w:val="21"/>
                <w:highlight w:val="none"/>
                <w:u w:val="single"/>
              </w:rPr>
              <w:t>投标人的</w:t>
            </w:r>
            <w:r>
              <w:rPr>
                <w:rFonts w:hint="eastAsia" w:ascii="宋体" w:hAnsi="宋体" w:eastAsia="宋体" w:cs="宋体"/>
                <w:kern w:val="0"/>
                <w:szCs w:val="21"/>
                <w:highlight w:val="none"/>
                <w:u w:val="single"/>
                <w:lang w:val="en-US" w:eastAsia="zh-CN"/>
              </w:rPr>
              <w:t>各项</w:t>
            </w:r>
            <w:r>
              <w:rPr>
                <w:rFonts w:hint="eastAsia" w:ascii="宋体" w:hAnsi="宋体" w:eastAsia="宋体" w:cs="宋体"/>
                <w:kern w:val="0"/>
                <w:szCs w:val="21"/>
                <w:highlight w:val="none"/>
                <w:u w:val="single"/>
              </w:rPr>
              <w:t>报价不得</w:t>
            </w:r>
            <w:r>
              <w:rPr>
                <w:rFonts w:hint="eastAsia" w:ascii="宋体" w:hAnsi="宋体" w:eastAsia="宋体" w:cs="宋体"/>
                <w:kern w:val="0"/>
                <w:szCs w:val="21"/>
                <w:highlight w:val="none"/>
                <w:u w:val="single"/>
                <w:lang w:val="en-US" w:eastAsia="zh-CN"/>
              </w:rPr>
              <w:t>为负数</w:t>
            </w:r>
            <w:r>
              <w:rPr>
                <w:rFonts w:hint="eastAsia" w:ascii="宋体" w:hAnsi="宋体" w:eastAsia="宋体" w:cs="宋体"/>
                <w:kern w:val="0"/>
                <w:szCs w:val="21"/>
                <w:highlight w:val="none"/>
                <w:u w:val="single"/>
              </w:rPr>
              <w:t>。招标人在发出中标通知书前将对中标人</w:t>
            </w:r>
            <w:r>
              <w:rPr>
                <w:rFonts w:hint="eastAsia" w:ascii="宋体" w:hAnsi="宋体" w:eastAsia="宋体" w:cs="宋体"/>
                <w:kern w:val="0"/>
                <w:szCs w:val="21"/>
                <w:highlight w:val="none"/>
                <w:u w:val="single"/>
                <w:lang w:val="en-US" w:eastAsia="zh-CN"/>
              </w:rPr>
              <w:t>的各项报价</w:t>
            </w:r>
            <w:r>
              <w:rPr>
                <w:rFonts w:hint="eastAsia" w:ascii="宋体" w:hAnsi="宋体" w:eastAsia="宋体" w:cs="宋体"/>
                <w:kern w:val="0"/>
                <w:szCs w:val="21"/>
                <w:highlight w:val="none"/>
                <w:u w:val="single"/>
              </w:rPr>
              <w:t>进行复核，若发现中标人</w:t>
            </w:r>
            <w:r>
              <w:rPr>
                <w:rFonts w:hint="eastAsia" w:ascii="宋体" w:hAnsi="宋体" w:eastAsia="宋体" w:cs="宋体"/>
                <w:kern w:val="0"/>
                <w:szCs w:val="21"/>
                <w:highlight w:val="none"/>
                <w:u w:val="single"/>
                <w:lang w:val="en-US" w:eastAsia="zh-CN"/>
              </w:rPr>
              <w:t>各项报价</w:t>
            </w:r>
            <w:r>
              <w:rPr>
                <w:rFonts w:hint="eastAsia" w:ascii="宋体" w:hAnsi="宋体" w:eastAsia="宋体" w:cs="宋体"/>
                <w:kern w:val="0"/>
                <w:szCs w:val="21"/>
                <w:highlight w:val="none"/>
                <w:u w:val="single"/>
              </w:rPr>
              <w:t>中存在</w:t>
            </w:r>
            <w:r>
              <w:rPr>
                <w:rFonts w:hint="eastAsia" w:ascii="宋体" w:hAnsi="宋体" w:eastAsia="宋体" w:cs="宋体"/>
                <w:kern w:val="0"/>
                <w:szCs w:val="21"/>
                <w:highlight w:val="none"/>
                <w:u w:val="single"/>
                <w:lang w:val="en-US" w:eastAsia="zh-CN"/>
              </w:rPr>
              <w:t>负数报价</w:t>
            </w:r>
            <w:r>
              <w:rPr>
                <w:rFonts w:hint="eastAsia" w:ascii="宋体" w:hAnsi="宋体" w:eastAsia="宋体" w:cs="宋体"/>
                <w:kern w:val="0"/>
                <w:szCs w:val="21"/>
                <w:highlight w:val="none"/>
                <w:u w:val="single"/>
              </w:rPr>
              <w:t>的情形，招标人按相关规定取消其中标资格，其投标保证金不予退还，中标人承担因此造成的相关责任并赔偿相应损失。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60" w:type="dxa"/>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7</w:t>
            </w:r>
          </w:p>
        </w:tc>
        <w:tc>
          <w:tcPr>
            <w:tcW w:w="1646" w:type="dxa"/>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lang w:eastAsia="zh-CN"/>
              </w:rPr>
              <w:t>招标代理服务费</w:t>
            </w:r>
          </w:p>
        </w:tc>
        <w:tc>
          <w:tcPr>
            <w:tcW w:w="6663" w:type="dxa"/>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 w:val="21"/>
                <w:szCs w:val="21"/>
                <w:highlight w:val="none"/>
                <w:lang w:eastAsia="zh-CN"/>
              </w:rPr>
              <w:t>招标代理服务费</w:t>
            </w:r>
            <w:r>
              <w:rPr>
                <w:rFonts w:hint="eastAsia" w:ascii="宋体" w:hAnsi="宋体" w:eastAsia="宋体" w:cs="宋体"/>
                <w:color w:val="auto"/>
                <w:szCs w:val="21"/>
                <w:highlight w:val="none"/>
              </w:rPr>
              <w:t>由中标人在领取中标通知书时向招标代理机构缴纳招标代理服务费</w:t>
            </w:r>
            <w:r>
              <w:rPr>
                <w:rFonts w:hint="eastAsia" w:ascii="宋体" w:hAnsi="宋体" w:eastAsia="宋体" w:cs="宋体"/>
                <w:color w:val="auto"/>
                <w:szCs w:val="21"/>
                <w:highlight w:val="none"/>
                <w:lang w:eastAsia="zh-CN"/>
              </w:rPr>
              <w:t>。</w:t>
            </w:r>
            <w:r>
              <w:rPr>
                <w:rFonts w:hint="eastAsia" w:ascii="宋体" w:hAnsi="宋体" w:eastAsia="宋体" w:cs="宋体"/>
                <w:color w:val="auto"/>
                <w:sz w:val="21"/>
                <w:szCs w:val="21"/>
                <w:highlight w:val="none"/>
                <w:lang w:eastAsia="zh-CN"/>
              </w:rPr>
              <w:t>招标</w:t>
            </w:r>
            <w:r>
              <w:rPr>
                <w:rFonts w:hint="eastAsia" w:ascii="宋体" w:hAnsi="宋体" w:eastAsia="宋体" w:cs="宋体"/>
                <w:i w:val="0"/>
                <w:iCs w:val="0"/>
                <w:color w:val="auto"/>
                <w:spacing w:val="0"/>
                <w:kern w:val="2"/>
                <w:sz w:val="21"/>
                <w:szCs w:val="21"/>
                <w:highlight w:val="none"/>
                <w:u w:val="none"/>
                <w:lang w:val="en-US" w:eastAsia="zh-CN" w:bidi="ar"/>
              </w:rPr>
              <w:t>代理费定额</w:t>
            </w:r>
            <w:r>
              <w:rPr>
                <w:rFonts w:hint="eastAsia" w:ascii="宋体" w:hAnsi="宋体" w:eastAsia="宋体" w:cs="宋体"/>
                <w:i w:val="0"/>
                <w:iCs w:val="0"/>
                <w:color w:val="auto"/>
                <w:sz w:val="21"/>
                <w:szCs w:val="21"/>
                <w:highlight w:val="none"/>
                <w:u w:val="none"/>
                <w:lang w:val="en-US" w:eastAsia="zh-CN"/>
              </w:rPr>
              <w:t>5.51万元。</w:t>
            </w:r>
          </w:p>
        </w:tc>
      </w:tr>
    </w:tbl>
    <w:p>
      <w:pPr>
        <w:spacing w:line="360" w:lineRule="auto"/>
        <w:jc w:val="left"/>
        <w:rPr>
          <w:rFonts w:hint="eastAsia" w:ascii="宋体" w:hAnsi="宋体" w:eastAsia="宋体" w:cs="宋体"/>
          <w:color w:val="auto"/>
          <w:szCs w:val="21"/>
          <w:highlight w:val="none"/>
        </w:rPr>
      </w:pPr>
      <w:bookmarkStart w:id="94" w:name="_Toc277082552"/>
      <w:bookmarkStart w:id="95" w:name="_Toc430530435"/>
      <w:bookmarkStart w:id="96" w:name="_Toc287607746"/>
      <w:bookmarkStart w:id="97" w:name="_Toc287620685"/>
      <w:bookmarkStart w:id="98" w:name="_Toc200513126"/>
      <w:bookmarkStart w:id="99" w:name="_Toc224103317"/>
      <w:r>
        <w:rPr>
          <w:rFonts w:hint="eastAsia" w:ascii="宋体" w:hAnsi="宋体" w:eastAsia="宋体" w:cs="宋体"/>
          <w:b/>
          <w:bCs/>
          <w:color w:val="auto"/>
          <w:sz w:val="28"/>
          <w:szCs w:val="28"/>
          <w:highlight w:val="none"/>
        </w:rPr>
        <w:t xml:space="preserve"> </w:t>
      </w:r>
      <w:bookmarkEnd w:id="94"/>
      <w:bookmarkEnd w:id="95"/>
      <w:bookmarkEnd w:id="96"/>
      <w:bookmarkEnd w:id="97"/>
      <w:bookmarkEnd w:id="98"/>
      <w:bookmarkEnd w:id="99"/>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以下部分为投标人须知正文。</w:t>
      </w:r>
    </w:p>
    <w:p>
      <w:pPr>
        <w:pStyle w:val="4"/>
        <w:spacing w:before="0" w:after="0" w:line="360" w:lineRule="auto"/>
        <w:rPr>
          <w:rFonts w:hint="eastAsia" w:ascii="宋体" w:hAnsi="宋体" w:eastAsia="宋体" w:cs="宋体"/>
          <w:color w:val="auto"/>
          <w:sz w:val="28"/>
          <w:szCs w:val="28"/>
          <w:highlight w:val="none"/>
        </w:rPr>
      </w:pPr>
      <w:bookmarkStart w:id="100" w:name="_Toc14038"/>
      <w:r>
        <w:rPr>
          <w:rFonts w:hint="eastAsia" w:ascii="宋体" w:hAnsi="宋体" w:eastAsia="宋体" w:cs="宋体"/>
          <w:color w:val="auto"/>
          <w:sz w:val="28"/>
          <w:szCs w:val="28"/>
          <w:highlight w:val="none"/>
        </w:rPr>
        <w:t>1. 总则</w:t>
      </w:r>
      <w:bookmarkEnd w:id="100"/>
    </w:p>
    <w:p>
      <w:pPr>
        <w:pStyle w:val="5"/>
        <w:spacing w:before="0" w:after="0" w:line="360" w:lineRule="auto"/>
        <w:rPr>
          <w:rFonts w:hint="eastAsia" w:ascii="宋体" w:hAnsi="宋体" w:eastAsia="宋体" w:cs="宋体"/>
          <w:color w:val="auto"/>
          <w:sz w:val="21"/>
          <w:szCs w:val="21"/>
          <w:highlight w:val="none"/>
        </w:rPr>
      </w:pPr>
      <w:bookmarkStart w:id="101" w:name="_Toc23752"/>
      <w:r>
        <w:rPr>
          <w:rFonts w:hint="eastAsia" w:ascii="宋体" w:hAnsi="宋体" w:eastAsia="宋体" w:cs="宋体"/>
          <w:color w:val="auto"/>
          <w:sz w:val="21"/>
          <w:szCs w:val="21"/>
          <w:highlight w:val="none"/>
        </w:rPr>
        <w:t>1.1 项目概况</w:t>
      </w:r>
      <w:bookmarkEnd w:id="10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1"/>
          <w:sz w:val="21"/>
          <w:szCs w:val="21"/>
          <w:highlight w:val="none"/>
          <w:lang w:eastAsia="zh-CN"/>
        </w:rPr>
        <w:t>根据《中华人民</w:t>
      </w:r>
      <w:r>
        <w:rPr>
          <w:rFonts w:hint="eastAsia" w:ascii="宋体" w:hAnsi="宋体" w:eastAsia="宋体" w:cs="宋体"/>
          <w:color w:val="auto"/>
          <w:sz w:val="21"/>
          <w:szCs w:val="21"/>
          <w:highlight w:val="none"/>
          <w:lang w:eastAsia="zh-CN"/>
        </w:rPr>
        <w:t>共和国招标投标法》《中华人民共和国招标投标法实施条例》《公路工程建设项目招标投标管理办法》等有关法律、法规和规章的规定，本招标项目已具备的招标条件见投标人须知前附表，现对本标段施工进行招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本招标项目招标人：见投标人须知前附表。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招标代理机构：见投标人须知前附表。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本招标项目名称：见投标人须知前附表。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建设地点：见投标人须知前附表。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eastAsia="zh-CN"/>
        </w:rPr>
        <w:t>项目相关单位：见投标人须知前附表。</w:t>
      </w:r>
    </w:p>
    <w:p>
      <w:pPr>
        <w:pStyle w:val="5"/>
        <w:spacing w:before="0" w:after="0" w:line="360" w:lineRule="auto"/>
        <w:rPr>
          <w:rFonts w:hint="eastAsia" w:ascii="宋体" w:hAnsi="宋体" w:eastAsia="宋体" w:cs="宋体"/>
          <w:color w:val="auto"/>
          <w:sz w:val="21"/>
          <w:szCs w:val="21"/>
          <w:highlight w:val="none"/>
        </w:rPr>
      </w:pPr>
      <w:bookmarkStart w:id="102" w:name="_Toc29"/>
      <w:r>
        <w:rPr>
          <w:rFonts w:hint="eastAsia" w:ascii="宋体" w:hAnsi="宋体" w:eastAsia="宋体" w:cs="宋体"/>
          <w:color w:val="auto"/>
          <w:sz w:val="21"/>
          <w:szCs w:val="21"/>
          <w:highlight w:val="none"/>
        </w:rPr>
        <w:t>1.2 招标项目的资金来源和落实情况</w:t>
      </w:r>
      <w:bookmarkEnd w:id="10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spacing w:before="0" w:after="0" w:line="360" w:lineRule="auto"/>
        <w:rPr>
          <w:rFonts w:hint="eastAsia" w:ascii="宋体" w:hAnsi="宋体" w:eastAsia="宋体" w:cs="宋体"/>
          <w:color w:val="auto"/>
          <w:sz w:val="21"/>
          <w:szCs w:val="21"/>
          <w:highlight w:val="none"/>
        </w:rPr>
      </w:pPr>
      <w:bookmarkStart w:id="103" w:name="_Toc5007"/>
      <w:r>
        <w:rPr>
          <w:rFonts w:hint="eastAsia" w:ascii="宋体" w:hAnsi="宋体" w:eastAsia="宋体" w:cs="宋体"/>
          <w:color w:val="auto"/>
          <w:sz w:val="21"/>
          <w:szCs w:val="21"/>
          <w:highlight w:val="none"/>
        </w:rPr>
        <w:t>1.3 招标范围、计划工期、质量要求和安全目标</w:t>
      </w:r>
      <w:bookmarkEnd w:id="10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计划工期：见投标人须知前附表。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1.3.3 质量要求：</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1.3.4 安全目标：</w:t>
      </w:r>
      <w:r>
        <w:rPr>
          <w:rFonts w:hint="eastAsia" w:ascii="宋体" w:hAnsi="宋体" w:eastAsia="宋体" w:cs="宋体"/>
          <w:color w:val="auto"/>
          <w:sz w:val="21"/>
          <w:szCs w:val="21"/>
          <w:highlight w:val="none"/>
          <w:lang w:eastAsia="zh-CN"/>
        </w:rPr>
        <w:t>见投标人须知前附表。</w:t>
      </w:r>
    </w:p>
    <w:p>
      <w:pPr>
        <w:pStyle w:val="5"/>
        <w:spacing w:before="0" w:after="0" w:line="360" w:lineRule="auto"/>
        <w:rPr>
          <w:rFonts w:hint="eastAsia" w:ascii="宋体" w:hAnsi="宋体" w:eastAsia="宋体" w:cs="宋体"/>
          <w:color w:val="auto"/>
          <w:sz w:val="21"/>
          <w:szCs w:val="21"/>
          <w:highlight w:val="none"/>
        </w:rPr>
      </w:pPr>
      <w:bookmarkStart w:id="104" w:name="_Toc27158"/>
      <w:r>
        <w:rPr>
          <w:rFonts w:hint="eastAsia" w:ascii="宋体" w:hAnsi="宋体" w:eastAsia="宋体" w:cs="宋体"/>
          <w:color w:val="auto"/>
          <w:sz w:val="21"/>
          <w:szCs w:val="21"/>
          <w:highlight w:val="none"/>
        </w:rPr>
        <w:t>1.4 投标人资格要求（适用于已进行资格预审的）</w:t>
      </w:r>
      <w:bookmarkEnd w:id="10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投标人应当是收到招标人发出投标邀请书的单位。</w:t>
      </w:r>
    </w:p>
    <w:p>
      <w:pPr>
        <w:pStyle w:val="5"/>
        <w:spacing w:before="0" w:after="0" w:line="360" w:lineRule="auto"/>
        <w:rPr>
          <w:rFonts w:hint="eastAsia" w:ascii="宋体" w:hAnsi="宋体" w:eastAsia="宋体" w:cs="宋体"/>
          <w:color w:val="auto"/>
          <w:sz w:val="21"/>
          <w:szCs w:val="21"/>
          <w:highlight w:val="none"/>
        </w:rPr>
      </w:pPr>
      <w:bookmarkStart w:id="105" w:name="_Toc22615"/>
      <w:r>
        <w:rPr>
          <w:rFonts w:hint="eastAsia" w:ascii="宋体" w:hAnsi="宋体" w:eastAsia="宋体" w:cs="宋体"/>
          <w:color w:val="auto"/>
          <w:sz w:val="21"/>
          <w:szCs w:val="21"/>
          <w:highlight w:val="none"/>
        </w:rPr>
        <w:t>1.4 投标人资格要求（适用于未进行资格预审的）</w:t>
      </w:r>
      <w:bookmarkEnd w:id="10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投标人应具备承担本项目施工的资质条件、能力和信誉。</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（1）资质条件、营业执照及安全生产条件：见投标人须知前附表；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（2）财务要求：见投标人须知前附表；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eastAsia="zh-CN" w:bidi="ar"/>
        </w:rPr>
        <w:t>投标截止日投标资格情况要求</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（5）项目经理和项目总工资格：见投标人须知前附表；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（6）其他管理和技术人员要求：见投标人须知前附表；</w:t>
      </w:r>
    </w:p>
    <w:p>
      <w:pPr>
        <w:pStyle w:val="57"/>
        <w:tabs>
          <w:tab w:val="left" w:pos="1647"/>
        </w:tabs>
        <w:spacing w:line="360" w:lineRule="auto"/>
        <w:ind w:left="0" w:firstLineChars="200"/>
        <w:rPr>
          <w:rFonts w:hint="eastAsia" w:ascii="宋体" w:hAnsi="宋体" w:eastAsia="宋体" w:cs="宋体"/>
          <w:color w:val="auto"/>
          <w:sz w:val="21"/>
          <w:szCs w:val="21"/>
          <w:highlight w:val="none"/>
          <w:lang w:val="ru-RU" w:bidi="ar-SA"/>
        </w:rPr>
      </w:pPr>
      <w:r>
        <w:rPr>
          <w:rFonts w:hint="eastAsia" w:ascii="宋体" w:hAnsi="宋体" w:eastAsia="宋体" w:cs="宋体"/>
          <w:color w:val="auto"/>
          <w:sz w:val="21"/>
          <w:szCs w:val="21"/>
          <w:highlight w:val="none"/>
          <w:lang w:val="ru-RU" w:bidi="ar-SA"/>
        </w:rPr>
        <w:t>（7）主要机械设备和试验检测设备要求：见投标人须知前附表；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（8）其他要求：见投标人须知前附表。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投标人须知前附表规定接受联合体投标的，联合体应当符合本</w:t>
      </w:r>
      <w:r>
        <w:rPr>
          <w:rFonts w:hint="eastAsia" w:ascii="宋体" w:hAnsi="宋体" w:eastAsia="宋体" w:cs="宋体"/>
          <w:color w:val="auto"/>
          <w:sz w:val="21"/>
          <w:szCs w:val="21"/>
          <w:highlight w:val="none"/>
          <w:lang w:val="en-US" w:eastAsia="zh-CN"/>
        </w:rPr>
        <w:t>章第</w:t>
      </w:r>
      <w:r>
        <w:rPr>
          <w:rFonts w:hint="eastAsia" w:ascii="宋体" w:hAnsi="宋体" w:eastAsia="宋体" w:cs="宋体"/>
          <w:color w:val="auto"/>
          <w:sz w:val="21"/>
          <w:szCs w:val="21"/>
          <w:highlight w:val="none"/>
          <w:lang w:eastAsia="zh-CN"/>
        </w:rPr>
        <w:t>1.4.1 项和投标人须知前附表的要求外，还应遵守以下规定：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 ，并承诺就中标项目向招标人承担连带责任；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（3）联合体各方不得再以自己名义单独或参加其他联合体在同一标段中投标；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（5）尽管委任了联合体牵头人，但联合体各成员在投标、签约与履约合同过程中，仍负有连带的和各自的法律责任。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1.4.3 </w:t>
      </w:r>
      <w:r>
        <w:rPr>
          <w:rFonts w:hint="eastAsia" w:ascii="宋体" w:hAnsi="宋体" w:eastAsia="宋体" w:cs="宋体"/>
          <w:color w:val="auto"/>
          <w:sz w:val="21"/>
          <w:szCs w:val="21"/>
          <w:highlight w:val="none"/>
          <w:lang w:eastAsia="zh-CN"/>
        </w:rPr>
        <w:t>投标人（包括联合体各成员）不得与本标段相关单位存在下列关联关系：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（1）为招标人不具有独立法人资格的附属机构（单位）；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（3）与本标段的其他投标人同为一个单位负责人；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（4）与本标段的其他投标人存在控股、管理关系；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（5）为本标段前期准备提供设计或咨询服务的法人或其任何附属机构（单位）；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（6）为本标段的监理人；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（7）为本标段的代建人；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（8）为本标段的招标代理机构；</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）与本标段的监理人或代建人或招标代理机构同为一个法定代表人；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（10）与本标段的监理人或代建人或招标代理机构存在控股或参股关系；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）法律法规或投标人须知前附表规定的其他情形。</w:t>
      </w:r>
    </w:p>
    <w:p>
      <w:pPr>
        <w:pStyle w:val="5"/>
        <w:spacing w:before="0" w:after="0" w:line="360" w:lineRule="auto"/>
        <w:rPr>
          <w:rFonts w:hint="eastAsia" w:ascii="宋体" w:hAnsi="宋体" w:eastAsia="宋体" w:cs="宋体"/>
          <w:color w:val="auto"/>
          <w:sz w:val="21"/>
          <w:szCs w:val="21"/>
          <w:highlight w:val="none"/>
        </w:rPr>
      </w:pPr>
      <w:bookmarkStart w:id="106" w:name="_Toc2758"/>
      <w:r>
        <w:rPr>
          <w:rFonts w:hint="eastAsia" w:ascii="宋体" w:hAnsi="宋体" w:eastAsia="宋体" w:cs="宋体"/>
          <w:color w:val="auto"/>
          <w:sz w:val="21"/>
          <w:szCs w:val="21"/>
          <w:highlight w:val="none"/>
        </w:rPr>
        <w:t>1.5 费用承担</w:t>
      </w:r>
      <w:bookmarkEnd w:id="10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spacing w:before="0" w:after="0" w:line="360" w:lineRule="auto"/>
        <w:rPr>
          <w:rFonts w:hint="eastAsia" w:ascii="宋体" w:hAnsi="宋体" w:eastAsia="宋体" w:cs="宋体"/>
          <w:color w:val="auto"/>
          <w:sz w:val="21"/>
          <w:szCs w:val="21"/>
          <w:highlight w:val="none"/>
        </w:rPr>
      </w:pPr>
      <w:bookmarkStart w:id="107" w:name="_Toc17365"/>
      <w:r>
        <w:rPr>
          <w:rFonts w:hint="eastAsia" w:ascii="宋体" w:hAnsi="宋体" w:eastAsia="宋体" w:cs="宋体"/>
          <w:color w:val="auto"/>
          <w:sz w:val="21"/>
          <w:szCs w:val="21"/>
          <w:highlight w:val="none"/>
        </w:rPr>
        <w:t>1.6 保密</w:t>
      </w:r>
      <w:bookmarkEnd w:id="10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spacing w:before="0" w:after="0" w:line="360" w:lineRule="auto"/>
        <w:rPr>
          <w:rFonts w:hint="eastAsia" w:ascii="宋体" w:hAnsi="宋体" w:eastAsia="宋体" w:cs="宋体"/>
          <w:color w:val="auto"/>
          <w:sz w:val="21"/>
          <w:szCs w:val="21"/>
          <w:highlight w:val="none"/>
        </w:rPr>
      </w:pPr>
      <w:bookmarkStart w:id="108" w:name="_Toc4034"/>
      <w:r>
        <w:rPr>
          <w:rFonts w:hint="eastAsia" w:ascii="宋体" w:hAnsi="宋体" w:eastAsia="宋体" w:cs="宋体"/>
          <w:color w:val="auto"/>
          <w:sz w:val="21"/>
          <w:szCs w:val="21"/>
          <w:highlight w:val="none"/>
        </w:rPr>
        <w:t>1.7 语言文字</w:t>
      </w:r>
      <w:bookmarkEnd w:id="10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spacing w:before="0" w:after="0" w:line="360" w:lineRule="auto"/>
        <w:rPr>
          <w:rFonts w:hint="eastAsia" w:ascii="宋体" w:hAnsi="宋体" w:eastAsia="宋体" w:cs="宋体"/>
          <w:color w:val="auto"/>
          <w:sz w:val="21"/>
          <w:szCs w:val="21"/>
          <w:highlight w:val="none"/>
        </w:rPr>
      </w:pPr>
      <w:bookmarkStart w:id="109" w:name="_Toc19995"/>
      <w:r>
        <w:rPr>
          <w:rFonts w:hint="eastAsia" w:ascii="宋体" w:hAnsi="宋体" w:eastAsia="宋体" w:cs="宋体"/>
          <w:color w:val="auto"/>
          <w:sz w:val="21"/>
          <w:szCs w:val="21"/>
          <w:highlight w:val="none"/>
        </w:rPr>
        <w:t>1.8 计量单位</w:t>
      </w:r>
      <w:bookmarkEnd w:id="10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spacing w:before="0" w:after="0" w:line="360" w:lineRule="auto"/>
        <w:rPr>
          <w:rFonts w:hint="eastAsia" w:ascii="宋体" w:hAnsi="宋体" w:eastAsia="宋体" w:cs="宋体"/>
          <w:color w:val="auto"/>
          <w:sz w:val="21"/>
          <w:szCs w:val="21"/>
          <w:highlight w:val="none"/>
        </w:rPr>
      </w:pPr>
      <w:bookmarkStart w:id="110" w:name="_Toc22117"/>
      <w:r>
        <w:rPr>
          <w:rFonts w:hint="eastAsia" w:ascii="宋体" w:hAnsi="宋体" w:eastAsia="宋体" w:cs="宋体"/>
          <w:color w:val="auto"/>
          <w:sz w:val="21"/>
          <w:szCs w:val="21"/>
          <w:highlight w:val="none"/>
        </w:rPr>
        <w:t>1.9 踏勘现场</w:t>
      </w:r>
      <w:bookmarkEnd w:id="11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1.9.1投标人须知前附表规定组织踏勘现场的，招标人按投标人须知前附表规定的时间、地点组织投标人踏勘项目现场。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1.9.2投标人踏勘现场发生的费用自理。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1.9.3除招标人的原因外，投标人自行负责在踏勘现场中所发生的人员伤亡和财产损失。</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5"/>
        <w:spacing w:before="0" w:after="0" w:line="360" w:lineRule="auto"/>
        <w:rPr>
          <w:rFonts w:hint="eastAsia" w:ascii="宋体" w:hAnsi="宋体" w:eastAsia="宋体" w:cs="宋体"/>
          <w:color w:val="auto"/>
          <w:sz w:val="21"/>
          <w:szCs w:val="21"/>
          <w:highlight w:val="none"/>
        </w:rPr>
      </w:pPr>
      <w:bookmarkStart w:id="111" w:name="_Toc13945"/>
      <w:r>
        <w:rPr>
          <w:rFonts w:hint="eastAsia" w:ascii="宋体" w:hAnsi="宋体" w:eastAsia="宋体" w:cs="宋体"/>
          <w:color w:val="auto"/>
          <w:sz w:val="21"/>
          <w:szCs w:val="21"/>
          <w:highlight w:val="none"/>
        </w:rPr>
        <w:t>1.10 投标预备会</w:t>
      </w:r>
      <w:bookmarkEnd w:id="11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投标人应在投标人须知前附表规定的时间前，以书面形式将提出的问题送达招标人，以便招标人在会议期间澄清。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投标预备会后，招标人在投标人须知前附表规定的时间内，将对投标人所提问题的澄清，以投标人须知前附表规定的形式通知所有投标人。该澄清内容为招标文件的组成部分。</w:t>
      </w:r>
    </w:p>
    <w:p>
      <w:pPr>
        <w:pStyle w:val="5"/>
        <w:spacing w:before="0" w:after="0" w:line="360" w:lineRule="auto"/>
        <w:rPr>
          <w:rFonts w:hint="eastAsia" w:ascii="宋体" w:hAnsi="宋体" w:eastAsia="宋体" w:cs="宋体"/>
          <w:color w:val="auto"/>
          <w:sz w:val="21"/>
          <w:szCs w:val="21"/>
          <w:highlight w:val="none"/>
        </w:rPr>
      </w:pPr>
      <w:bookmarkStart w:id="112" w:name="_Toc8849"/>
      <w:r>
        <w:rPr>
          <w:rFonts w:hint="eastAsia" w:ascii="宋体" w:hAnsi="宋体" w:eastAsia="宋体" w:cs="宋体"/>
          <w:color w:val="auto"/>
          <w:sz w:val="21"/>
          <w:szCs w:val="21"/>
          <w:highlight w:val="none"/>
        </w:rPr>
        <w:t>1.11 分包</w:t>
      </w:r>
      <w:bookmarkEnd w:id="11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投标人拟在中标后将中标项目的部分非主体、非关键性工作进行分包的，应符合以下规定：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（1）分包内容要求：允许分包的工程范围仅限于非关键性工程或适合专业化队伍施工的专项工程。招标人允许分包或不允许分包的专项工程（如有）应在投标人须知前附表中载明。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（2）接受分包的第三人资格要求：分包人的资格能力应与其分包工程的标准和规模相适应，且具备投标人须知前附表中规定的资格条件。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（3）其他要求：投标人如有分包计划，应按第九章“投标文件格式”的要求填写“拟分包项目情况表”，明确拟分包的工程及规模，且投标人中标后的分包应满足合同条款第 4.3 款的相关要求。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中标人不得向他人转让中标项目，接受分包的人不得再次分包。中标人应就分包项目向招标人负责，接受分包的人就分包项目承担连带责任。</w:t>
      </w:r>
    </w:p>
    <w:p>
      <w:pPr>
        <w:pStyle w:val="5"/>
        <w:spacing w:before="0" w:after="0" w:line="360" w:lineRule="auto"/>
        <w:rPr>
          <w:rFonts w:hint="eastAsia" w:ascii="宋体" w:hAnsi="宋体" w:eastAsia="宋体" w:cs="宋体"/>
          <w:color w:val="auto"/>
          <w:sz w:val="21"/>
          <w:szCs w:val="21"/>
          <w:highlight w:val="none"/>
        </w:rPr>
      </w:pPr>
      <w:bookmarkStart w:id="113" w:name="_Toc5053"/>
      <w:r>
        <w:rPr>
          <w:rFonts w:hint="eastAsia" w:ascii="宋体" w:hAnsi="宋体" w:eastAsia="宋体" w:cs="宋体"/>
          <w:color w:val="auto"/>
          <w:sz w:val="21"/>
          <w:szCs w:val="21"/>
          <w:highlight w:val="none"/>
        </w:rPr>
        <w:t>1.12 响应和偏差</w:t>
      </w:r>
      <w:bookmarkEnd w:id="11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投标文件偏离招标文件某些要求，视为投标文件存在偏差。偏差包括重大偏差和细微偏差。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投标文件应对招标文件的实质性要求和条件作出满足性或更有利于招标人的响应，否则，视为投标文件存在重大偏差，投标人的投标将被否决。</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投标文件存在第三章“评标办法”中所列任一否决投标情形的，均属于存在重大偏差。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投标文件中的下列偏差为细微偏差：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1.12.4 评标委员会对投标文件中的细微偏差按如下规定处理：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对于本章第 1.12.3 项所述的细微偏差，按照第三章“评标办法”的规定予以修正并要求投标人进行澄清；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1.12.5 投标人应根据招标文件的要求提供施工组织设计等内容以对招标文件作出响应。</w:t>
      </w:r>
    </w:p>
    <w:p>
      <w:pPr>
        <w:pStyle w:val="4"/>
        <w:spacing w:before="0" w:after="0" w:line="360" w:lineRule="auto"/>
        <w:rPr>
          <w:rFonts w:hint="eastAsia" w:ascii="宋体" w:hAnsi="宋体" w:eastAsia="宋体" w:cs="宋体"/>
          <w:color w:val="auto"/>
          <w:sz w:val="28"/>
          <w:szCs w:val="28"/>
          <w:highlight w:val="none"/>
        </w:rPr>
      </w:pPr>
      <w:bookmarkStart w:id="114" w:name="_Toc20620"/>
      <w:r>
        <w:rPr>
          <w:rFonts w:hint="eastAsia" w:ascii="宋体" w:hAnsi="宋体" w:eastAsia="宋体" w:cs="宋体"/>
          <w:color w:val="auto"/>
          <w:sz w:val="28"/>
          <w:szCs w:val="28"/>
          <w:highlight w:val="none"/>
        </w:rPr>
        <w:t>2. 招标文件</w:t>
      </w:r>
      <w:bookmarkEnd w:id="114"/>
    </w:p>
    <w:p>
      <w:pPr>
        <w:pStyle w:val="5"/>
        <w:spacing w:before="0" w:after="0" w:line="360" w:lineRule="auto"/>
        <w:rPr>
          <w:rFonts w:hint="eastAsia" w:ascii="宋体" w:hAnsi="宋体" w:eastAsia="宋体" w:cs="宋体"/>
          <w:color w:val="auto"/>
          <w:sz w:val="21"/>
          <w:szCs w:val="21"/>
          <w:highlight w:val="none"/>
        </w:rPr>
      </w:pPr>
      <w:bookmarkStart w:id="115" w:name="_Toc5912"/>
      <w:r>
        <w:rPr>
          <w:rFonts w:hint="eastAsia" w:ascii="宋体" w:hAnsi="宋体" w:eastAsia="宋体" w:cs="宋体"/>
          <w:color w:val="auto"/>
          <w:sz w:val="21"/>
          <w:szCs w:val="21"/>
          <w:highlight w:val="none"/>
        </w:rPr>
        <w:t>2.1 招标文件的组成</w:t>
      </w:r>
      <w:bookmarkEnd w:id="11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（1）招标公告（或投标邀请书）；</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（5）工程量清单；</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（6）图纸；</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（7）技术规范；</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（8）工程量清单计量规则；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（9）投标文件格式；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（10）投标人须知前附表规定的其他资料。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 款、第2.2 款和第2.3 款对招标文件所作的澄清、修改，构成招标文件的组成部分。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当招标文件、招标文件的澄清或修改等在同一内容的表述上不一致时，以最后发出的书面文件为准。当对招标文件的理解有争议的，应当作出不利于招标人的解释，但违背国家利益、社会公共利益的除外。</w:t>
      </w:r>
    </w:p>
    <w:p>
      <w:pPr>
        <w:pStyle w:val="5"/>
        <w:spacing w:before="0" w:after="0" w:line="360" w:lineRule="auto"/>
        <w:rPr>
          <w:rFonts w:hint="eastAsia" w:ascii="宋体" w:hAnsi="宋体" w:eastAsia="宋体" w:cs="宋体"/>
          <w:color w:val="auto"/>
          <w:sz w:val="21"/>
          <w:szCs w:val="21"/>
          <w:highlight w:val="none"/>
        </w:rPr>
      </w:pPr>
      <w:bookmarkStart w:id="116" w:name="_Toc699"/>
      <w:r>
        <w:rPr>
          <w:rFonts w:hint="eastAsia" w:ascii="宋体" w:hAnsi="宋体" w:eastAsia="宋体" w:cs="宋体"/>
          <w:color w:val="auto"/>
          <w:sz w:val="21"/>
          <w:szCs w:val="21"/>
          <w:highlight w:val="none"/>
        </w:rPr>
        <w:t>2.2 招标文件的澄清</w:t>
      </w:r>
      <w:bookmarkEnd w:id="116"/>
    </w:p>
    <w:p>
      <w:pPr>
        <w:pStyle w:val="72"/>
        <w:spacing w:before="0" w:after="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2.2.1 投标人应仔细阅读和检查招标文件的全部内容。如发现缺页或附件不全，应及时向招标人提出，以便补齐。如有疑问，应在投标人须知前附表规定的时间前</w:t>
      </w:r>
      <w:r>
        <w:rPr>
          <w:rFonts w:hint="eastAsia" w:ascii="宋体" w:hAnsi="宋体" w:eastAsia="宋体" w:cs="宋体"/>
          <w:color w:val="auto"/>
          <w:sz w:val="21"/>
          <w:szCs w:val="21"/>
          <w:highlight w:val="none"/>
          <w:lang w:eastAsia="zh-CN"/>
        </w:rPr>
        <w:t>在相应法定网站提问</w:t>
      </w:r>
      <w:r>
        <w:rPr>
          <w:rFonts w:hint="eastAsia" w:ascii="宋体" w:hAnsi="宋体" w:eastAsia="宋体" w:cs="宋体"/>
          <w:snapToGrid w:val="0"/>
          <w:color w:val="auto"/>
          <w:sz w:val="21"/>
          <w:szCs w:val="21"/>
          <w:highlight w:val="none"/>
          <w:lang w:eastAsia="zh-CN"/>
        </w:rPr>
        <w:t>，要求招标人对招标文件予以澄清。</w:t>
      </w:r>
    </w:p>
    <w:p>
      <w:pPr>
        <w:pStyle w:val="5"/>
        <w:spacing w:before="0" w:after="0" w:line="360" w:lineRule="auto"/>
        <w:rPr>
          <w:rFonts w:hint="eastAsia" w:ascii="宋体" w:hAnsi="宋体" w:eastAsia="宋体" w:cs="宋体"/>
          <w:color w:val="auto"/>
          <w:sz w:val="21"/>
          <w:szCs w:val="21"/>
          <w:highlight w:val="none"/>
        </w:rPr>
      </w:pPr>
      <w:bookmarkStart w:id="117" w:name="_Toc8041"/>
      <w:r>
        <w:rPr>
          <w:rFonts w:hint="eastAsia" w:ascii="宋体" w:hAnsi="宋体" w:eastAsia="宋体" w:cs="宋体"/>
          <w:color w:val="auto"/>
          <w:sz w:val="21"/>
          <w:szCs w:val="21"/>
          <w:highlight w:val="none"/>
        </w:rPr>
        <w:t>2.3 招标文件的修改</w:t>
      </w:r>
      <w:bookmarkEnd w:id="11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按照本章第2.2款招标文件的澄清相关内容及方式执行。</w:t>
      </w:r>
    </w:p>
    <w:p>
      <w:pPr>
        <w:pStyle w:val="4"/>
        <w:spacing w:before="0" w:after="0" w:line="360" w:lineRule="auto"/>
        <w:rPr>
          <w:rFonts w:hint="eastAsia" w:ascii="宋体" w:hAnsi="宋体" w:eastAsia="宋体" w:cs="宋体"/>
          <w:color w:val="auto"/>
          <w:sz w:val="28"/>
          <w:szCs w:val="28"/>
          <w:highlight w:val="none"/>
        </w:rPr>
      </w:pPr>
      <w:bookmarkStart w:id="118" w:name="_Toc4685"/>
      <w:r>
        <w:rPr>
          <w:rFonts w:hint="eastAsia" w:ascii="宋体" w:hAnsi="宋体" w:eastAsia="宋体" w:cs="宋体"/>
          <w:color w:val="auto"/>
          <w:sz w:val="28"/>
          <w:szCs w:val="28"/>
          <w:highlight w:val="none"/>
        </w:rPr>
        <w:t>3. 投标文件</w:t>
      </w:r>
      <w:bookmarkEnd w:id="118"/>
    </w:p>
    <w:p>
      <w:pPr>
        <w:pStyle w:val="5"/>
        <w:spacing w:before="0" w:after="0" w:line="360" w:lineRule="auto"/>
        <w:rPr>
          <w:rFonts w:hint="eastAsia" w:ascii="宋体" w:hAnsi="宋体" w:eastAsia="宋体" w:cs="宋体"/>
          <w:color w:val="auto"/>
          <w:sz w:val="21"/>
          <w:szCs w:val="21"/>
          <w:highlight w:val="none"/>
        </w:rPr>
      </w:pPr>
      <w:bookmarkStart w:id="119" w:name="_Toc26570"/>
      <w:r>
        <w:rPr>
          <w:rFonts w:hint="eastAsia" w:ascii="宋体" w:hAnsi="宋体" w:eastAsia="宋体" w:cs="宋体"/>
          <w:color w:val="auto"/>
          <w:sz w:val="21"/>
          <w:szCs w:val="21"/>
          <w:highlight w:val="none"/>
        </w:rPr>
        <w:t>3.1投标文件的组成</w:t>
      </w:r>
      <w:bookmarkEnd w:id="11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3.1.1.1投标函部分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（1）投标函</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（2）投标函附录</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（4）低价风险担保</w:t>
      </w:r>
      <w:r>
        <w:rPr>
          <w:rFonts w:hint="eastAsia" w:ascii="宋体" w:hAnsi="宋体" w:eastAsia="宋体" w:cs="宋体"/>
          <w:color w:val="auto"/>
          <w:kern w:val="0"/>
          <w:szCs w:val="21"/>
          <w:highlight w:val="none"/>
          <w:lang w:val="en-US" w:eastAsia="zh-CN"/>
        </w:rPr>
        <w:t>提交</w:t>
      </w:r>
      <w:r>
        <w:rPr>
          <w:rFonts w:hint="eastAsia" w:ascii="宋体" w:hAnsi="宋体" w:eastAsia="宋体" w:cs="宋体"/>
          <w:color w:val="auto"/>
          <w:kern w:val="0"/>
          <w:szCs w:val="21"/>
          <w:highlight w:val="none"/>
          <w:lang w:val="ru-RU"/>
        </w:rPr>
        <w:t>承诺书（如有）</w:t>
      </w:r>
    </w:p>
    <w:p>
      <w:pPr>
        <w:spacing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2经济</w:t>
      </w:r>
      <w:r>
        <w:rPr>
          <w:rFonts w:hint="eastAsia" w:ascii="宋体" w:hAnsi="宋体" w:eastAsia="宋体" w:cs="宋体"/>
          <w:color w:val="auto"/>
          <w:kern w:val="0"/>
          <w:szCs w:val="21"/>
          <w:highlight w:val="none"/>
          <w:lang w:val="ru-RU"/>
        </w:rPr>
        <w:t>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ru-RU"/>
        </w:rPr>
        <w:t>）已标价工程量清单</w:t>
      </w:r>
    </w:p>
    <w:p>
      <w:pPr>
        <w:spacing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3商务</w:t>
      </w:r>
      <w:r>
        <w:rPr>
          <w:rFonts w:hint="eastAsia" w:ascii="宋体" w:hAnsi="宋体" w:eastAsia="宋体" w:cs="宋体"/>
          <w:color w:val="auto"/>
          <w:kern w:val="0"/>
          <w:szCs w:val="21"/>
          <w:highlight w:val="none"/>
          <w:lang w:val="ru-RU"/>
        </w:rPr>
        <w:t>部分（不设置商务部分评审的不设此部分）</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ru-RU" w:eastAsia="zh-CN"/>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val="ru-RU" w:eastAsia="zh-CN"/>
        </w:rPr>
        <w:t>）</w:t>
      </w:r>
      <w:r>
        <w:rPr>
          <w:rFonts w:hint="eastAsia" w:ascii="宋体" w:hAnsi="宋体" w:eastAsia="宋体" w:cs="宋体"/>
          <w:color w:val="auto"/>
          <w:kern w:val="0"/>
          <w:szCs w:val="21"/>
          <w:highlight w:val="none"/>
          <w:lang w:val="en-US" w:eastAsia="zh-CN"/>
        </w:rPr>
        <w:t>业绩</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val="ru-RU"/>
        </w:rPr>
        <w:t>财务能力</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val="ru-RU"/>
        </w:rPr>
        <w:t>技术部分（不设置技术方案评审的不设此部分）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val="ru-RU"/>
        </w:rPr>
        <w:t>资格审查部分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（3）投标人基本情况表</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（4）项目管理机构</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（5）类似项目情况表</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承诺</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val="ru-RU"/>
        </w:rPr>
        <w:t>）其他资料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3.1.2投标人须知前附表规定不接受联合体投标的，或投标人没有组成联合体的，投标文件不包括联合体协议书。</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投标人须知前附表未要求提交投标保证金的，投标文件不包括投标保证金。</w:t>
      </w:r>
    </w:p>
    <w:p>
      <w:pPr>
        <w:pStyle w:val="5"/>
        <w:spacing w:before="0" w:after="0" w:line="360" w:lineRule="auto"/>
        <w:rPr>
          <w:rFonts w:hint="eastAsia" w:ascii="宋体" w:hAnsi="宋体" w:eastAsia="宋体" w:cs="宋体"/>
          <w:color w:val="auto"/>
          <w:sz w:val="21"/>
          <w:szCs w:val="21"/>
          <w:highlight w:val="none"/>
        </w:rPr>
      </w:pPr>
      <w:bookmarkStart w:id="120" w:name="_Toc523"/>
      <w:r>
        <w:rPr>
          <w:rFonts w:hint="eastAsia" w:ascii="宋体" w:hAnsi="宋体" w:eastAsia="宋体" w:cs="宋体"/>
          <w:color w:val="auto"/>
          <w:sz w:val="21"/>
          <w:szCs w:val="21"/>
          <w:highlight w:val="none"/>
        </w:rPr>
        <w:t>3.2 投标报价</w:t>
      </w:r>
      <w:bookmarkEnd w:id="12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3.2.1 投标报价应包括国家规定的增值税税金，除投标人须知前附表另有规定外，增值税税金按一般计税方法计算。投标人应按第九章“投标文件格式”的要求在投标函中进行报价并填写工程量清单相应表格。</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3.2.2 投标人应充分了解本项目的总体情况以及影响投标报价的其他要素。</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3.2.3 本项目的报价方式见投标人须知前附表。投标人在投标截止时间前修改投标函中的投标总报价，应同时修改投标文件“已标价工程量清单”中的相应报价。此修改须符合本章第 4.3 款的有关要求。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3.2.4 投标人如果发现工程量清单中的数量与图纸中数量不一致时，应立即通知招标人核查，除非招标人按照本章第2.2 款或2.3 款的有关要求，以招标文件澄清或修改的方式予以更正，否则，应以工程量清单中列出的数量为准。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3.2.5 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3.2.6 除投标人须知前附表另有规定外，招标人不接受调价函。</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3.2.7 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3.2.8 招标人设有最高投标限价的，投标人的投标报价不得超过最高投标限价，最高投标限价在投标人须知前附表中载明。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3.2.9 投标报价的其他要求见投标人须知前附表。</w:t>
      </w:r>
    </w:p>
    <w:p>
      <w:pPr>
        <w:pStyle w:val="5"/>
        <w:spacing w:before="0" w:after="0" w:line="360" w:lineRule="auto"/>
        <w:rPr>
          <w:rFonts w:hint="eastAsia" w:ascii="宋体" w:hAnsi="宋体" w:eastAsia="宋体" w:cs="宋体"/>
          <w:color w:val="auto"/>
          <w:sz w:val="21"/>
          <w:szCs w:val="21"/>
          <w:highlight w:val="none"/>
        </w:rPr>
      </w:pPr>
      <w:bookmarkStart w:id="121" w:name="_Toc13195"/>
      <w:r>
        <w:rPr>
          <w:rFonts w:hint="eastAsia" w:ascii="宋体" w:hAnsi="宋体" w:eastAsia="宋体" w:cs="宋体"/>
          <w:color w:val="auto"/>
          <w:sz w:val="21"/>
          <w:szCs w:val="21"/>
          <w:highlight w:val="none"/>
        </w:rPr>
        <w:t>3.3投标有效期</w:t>
      </w:r>
      <w:bookmarkEnd w:id="12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 90 日。</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出现特殊情况需要延长投标有效期的，招标人在投标人须知前附表载明的网站，以公告形式通知所有投标人延长投标有效期。在公告发布的 24 小时内， 若招标人未接到投标人拒绝延长的书面答复，就视为所有投标人都同意延长，投标人应当相应延长其投标保证金的有效期，但不得要求或被允许修改其投标文件；投标人拒绝延长的，其投标失效，但投标人有权收回其投标保证金及以现金或支票形式递交的投标保证金的银 行同期活期存款利息。</w:t>
      </w:r>
    </w:p>
    <w:p>
      <w:pPr>
        <w:pStyle w:val="5"/>
        <w:spacing w:before="0" w:after="0" w:line="360" w:lineRule="auto"/>
        <w:rPr>
          <w:rFonts w:hint="eastAsia" w:ascii="宋体" w:hAnsi="宋体" w:eastAsia="宋体" w:cs="宋体"/>
          <w:color w:val="auto"/>
          <w:sz w:val="21"/>
          <w:szCs w:val="21"/>
          <w:highlight w:val="none"/>
        </w:rPr>
      </w:pPr>
      <w:bookmarkStart w:id="122" w:name="_Toc27889"/>
      <w:r>
        <w:rPr>
          <w:rFonts w:hint="eastAsia" w:ascii="宋体" w:hAnsi="宋体" w:eastAsia="宋体" w:cs="宋体"/>
          <w:color w:val="auto"/>
          <w:sz w:val="21"/>
          <w:szCs w:val="21"/>
          <w:highlight w:val="none"/>
        </w:rPr>
        <w:t>3.4 投标保证金</w:t>
      </w:r>
      <w:bookmarkEnd w:id="12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投标人在递交投标文件的同时，应按投标人须知前附表规定的金额、担保形式和</w:t>
      </w:r>
      <w:r>
        <w:rPr>
          <w:rFonts w:hint="eastAsia" w:ascii="宋体" w:hAnsi="宋体" w:eastAsia="宋体" w:cs="宋体"/>
          <w:color w:val="auto"/>
          <w:sz w:val="21"/>
          <w:szCs w:val="21"/>
          <w:highlight w:val="none"/>
          <w:lang w:val="en-US" w:eastAsia="zh-CN"/>
        </w:rPr>
        <w:t>其他</w:t>
      </w:r>
      <w:r>
        <w:rPr>
          <w:rFonts w:hint="eastAsia" w:ascii="宋体" w:hAnsi="宋体" w:eastAsia="宋体" w:cs="宋体"/>
          <w:color w:val="auto"/>
          <w:sz w:val="21"/>
          <w:szCs w:val="21"/>
          <w:highlight w:val="none"/>
          <w:lang w:eastAsia="zh-CN"/>
        </w:rPr>
        <w:t>要求递交投标保证金，并作为其投标文件的组成部分。联合体投标的，其投标保证金由牵头人递交，并应符合投标人须知前附表的规定。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投标保证金应采用现金、支票、银行保函或招标人在投标人须知前附表规定的其他形式。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无论采取何种形式的投标保证金，投标保证金有效期均应与投标有效期一致。招标人如果按本章第 3.3.3 项的规定延长了投标有效期，则投标保证金的有效期也相应延长。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 3.4.1 项要求提交投标保证金的，评标委员会将否决其投标。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利息计算原则见投标人须知前附表。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kern w:val="0"/>
          <w:sz w:val="21"/>
          <w:szCs w:val="21"/>
          <w:highlight w:val="none"/>
        </w:rPr>
        <w:t>中标人在收到中标通知书后，无正当理由不与招标人订立合同，在签订合同时向招标人提出附加条件，或者不按照招标文件要求提交履约保证金</w:t>
      </w:r>
      <w:r>
        <w:rPr>
          <w:rFonts w:hint="eastAsia" w:ascii="宋体" w:hAnsi="宋体" w:eastAsia="宋体" w:cs="宋体"/>
          <w:color w:val="auto"/>
          <w:sz w:val="21"/>
          <w:szCs w:val="21"/>
          <w:highlight w:val="none"/>
          <w:lang w:eastAsia="zh-CN"/>
        </w:rPr>
        <w:t>；</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kern w:val="0"/>
          <w:sz w:val="21"/>
          <w:szCs w:val="21"/>
          <w:highlight w:val="none"/>
        </w:rPr>
        <w:t>中标人</w:t>
      </w:r>
      <w:r>
        <w:rPr>
          <w:rFonts w:hint="eastAsia" w:ascii="宋体" w:hAnsi="宋体" w:eastAsia="宋体" w:cs="宋体"/>
          <w:kern w:val="0"/>
          <w:sz w:val="21"/>
          <w:szCs w:val="21"/>
          <w:highlight w:val="none"/>
          <w:lang w:eastAsia="zh-CN"/>
        </w:rPr>
        <w:t>（或拟中标人）</w:t>
      </w:r>
      <w:r>
        <w:rPr>
          <w:rFonts w:hint="eastAsia" w:ascii="宋体" w:hAnsi="宋体" w:eastAsia="宋体" w:cs="宋体"/>
          <w:kern w:val="0"/>
          <w:sz w:val="21"/>
          <w:szCs w:val="21"/>
          <w:highlight w:val="none"/>
        </w:rPr>
        <w:t>拒不提供或者不按时提供低价风险担保（适用于经评审的最低投标价法）</w:t>
      </w:r>
      <w:r>
        <w:rPr>
          <w:rFonts w:hint="eastAsia" w:ascii="宋体" w:hAnsi="宋体" w:eastAsia="宋体" w:cs="宋体"/>
          <w:kern w:val="0"/>
          <w:sz w:val="21"/>
          <w:szCs w:val="21"/>
          <w:highlight w:val="none"/>
          <w:lang w:eastAsia="zh-CN"/>
        </w:rPr>
        <w:t>；</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）投标人被发现</w:t>
      </w:r>
      <w:r>
        <w:rPr>
          <w:rFonts w:hint="eastAsia" w:ascii="宋体" w:hAnsi="宋体" w:eastAsia="宋体" w:cs="宋体"/>
          <w:color w:val="auto"/>
          <w:sz w:val="21"/>
          <w:szCs w:val="21"/>
          <w:highlight w:val="none"/>
          <w:lang w:val="en-US" w:eastAsia="zh-CN"/>
        </w:rPr>
        <w:t>本次投标</w:t>
      </w:r>
      <w:r>
        <w:rPr>
          <w:rFonts w:hint="eastAsia" w:ascii="宋体" w:hAnsi="宋体" w:eastAsia="宋体" w:cs="宋体"/>
          <w:color w:val="auto"/>
          <w:sz w:val="21"/>
          <w:szCs w:val="21"/>
          <w:highlight w:val="none"/>
          <w:lang w:eastAsia="zh-CN"/>
        </w:rPr>
        <w:t>存在串通投标、弄虚造假、行贿等违法行为的；</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）发生投标人须知前附表规定的其他可以不予退还投标保证金的情形。</w:t>
      </w:r>
    </w:p>
    <w:p>
      <w:pPr>
        <w:pStyle w:val="5"/>
        <w:spacing w:before="0" w:after="0" w:line="360" w:lineRule="auto"/>
        <w:rPr>
          <w:rFonts w:hint="eastAsia" w:ascii="宋体" w:hAnsi="宋体" w:eastAsia="宋体" w:cs="宋体"/>
          <w:color w:val="auto"/>
          <w:sz w:val="21"/>
          <w:szCs w:val="21"/>
          <w:highlight w:val="none"/>
        </w:rPr>
      </w:pPr>
      <w:bookmarkStart w:id="123" w:name="_Toc11009"/>
      <w:r>
        <w:rPr>
          <w:rFonts w:hint="eastAsia" w:ascii="宋体" w:hAnsi="宋体" w:eastAsia="宋体" w:cs="宋体"/>
          <w:color w:val="auto"/>
          <w:sz w:val="21"/>
          <w:szCs w:val="21"/>
          <w:highlight w:val="none"/>
        </w:rPr>
        <w:t>3.5 资格审查资料（适用于已进行资格预审的）</w:t>
      </w:r>
      <w:bookmarkEnd w:id="12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 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（1）财务状况方面的变化，新近取得银行信贷额度（如有必要）的证明和（或）获得其他资金来源的证据，以及现已接受（中标或签约）的新合同工程对财务状况的影响；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（2）投标人名称的变化及有关批件。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 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pStyle w:val="5"/>
        <w:spacing w:before="0" w:after="0" w:line="360" w:lineRule="auto"/>
        <w:ind w:firstLine="420" w:firstLineChars="200"/>
        <w:rPr>
          <w:rFonts w:hint="eastAsia" w:ascii="宋体" w:hAnsi="宋体" w:eastAsia="宋体" w:cs="宋体"/>
          <w:b w:val="0"/>
          <w:bCs w:val="0"/>
          <w:color w:val="auto"/>
          <w:sz w:val="21"/>
          <w:szCs w:val="21"/>
          <w:highlight w:val="none"/>
        </w:rPr>
      </w:pPr>
      <w:bookmarkStart w:id="124" w:name="_Toc30262"/>
      <w:bookmarkStart w:id="125" w:name="_Toc489"/>
      <w:r>
        <w:rPr>
          <w:rFonts w:hint="eastAsia" w:ascii="宋体" w:hAnsi="宋体" w:eastAsia="宋体" w:cs="宋体"/>
          <w:b w:val="0"/>
          <w:bCs w:val="0"/>
          <w:color w:val="auto"/>
          <w:sz w:val="21"/>
          <w:szCs w:val="21"/>
          <w:highlight w:val="none"/>
          <w:lang w:eastAsia="zh-CN"/>
        </w:rPr>
        <w:t>3.5.3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bookmarkEnd w:id="124"/>
      <w:bookmarkEnd w:id="125"/>
    </w:p>
    <w:p>
      <w:pPr>
        <w:pStyle w:val="5"/>
        <w:spacing w:before="0" w:after="0" w:line="360" w:lineRule="auto"/>
        <w:rPr>
          <w:rFonts w:hint="eastAsia" w:ascii="宋体" w:hAnsi="宋体" w:eastAsia="宋体" w:cs="宋体"/>
          <w:color w:val="auto"/>
          <w:sz w:val="21"/>
          <w:szCs w:val="21"/>
          <w:highlight w:val="none"/>
        </w:rPr>
      </w:pPr>
      <w:bookmarkStart w:id="126" w:name="_Toc30678"/>
      <w:r>
        <w:rPr>
          <w:rFonts w:hint="eastAsia" w:ascii="宋体" w:hAnsi="宋体" w:eastAsia="宋体" w:cs="宋体"/>
          <w:color w:val="auto"/>
          <w:sz w:val="21"/>
          <w:szCs w:val="21"/>
          <w:highlight w:val="none"/>
        </w:rPr>
        <w:t>3.5资格审查资料（适用于</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进行资格预审的）</w:t>
      </w:r>
      <w:bookmarkEnd w:id="12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除投标人须知前附表另有规定外，投标人应按下列规定提供资格审查资料，以证明其满足本章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 1.4 款规定的资质、财务、业绩、信誉等要求。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3.5.1“投标人基本情况表”应附企业法人营业执照副本、施工资质证书副本（带二维码）、安全生产许可证副本的扫描件。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法人营业执照副本、施工资质证书副本、安全生产许可证副本的扫描件应提供全本（证书封面、封底、空白页除外），应包括投标人名称、投标人其他相关信息、颁发机构名称、投标人信息变更情况等关键页在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3.5.2“财务状况表”应附经会计师事务所或审计机构</w:t>
      </w:r>
      <w:r>
        <w:rPr>
          <w:rFonts w:hint="eastAsia" w:ascii="宋体" w:hAnsi="宋体" w:eastAsia="宋体" w:cs="宋体"/>
          <w:color w:val="auto"/>
          <w:sz w:val="21"/>
          <w:szCs w:val="21"/>
          <w:highlight w:val="none"/>
          <w:lang w:val="en-US" w:eastAsia="zh-CN"/>
        </w:rPr>
        <w:t>出具</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合法有效的</w:t>
      </w:r>
      <w:r>
        <w:rPr>
          <w:rFonts w:hint="eastAsia" w:ascii="宋体" w:hAnsi="宋体" w:eastAsia="宋体" w:cs="宋体"/>
          <w:color w:val="auto"/>
          <w:sz w:val="21"/>
          <w:szCs w:val="21"/>
          <w:highlight w:val="none"/>
          <w:lang w:eastAsia="zh-CN"/>
        </w:rPr>
        <w:t>财务审计报表扫描件，包括资产负债表、现金流量表、利润表和财务情况说明书，具体年份要求见投标人须知前附表。投标人的成立时间少于投标人须知前附表规定年份的，应提供成立以来的财务状况表。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3.5.3 “类似项目”应是已列入交通运输主管部门“公路建设市场信用信息管理系统”并公开的主包已建业绩或分包已建业绩，具体时间要求见投标人须知前附表。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类似项目情况表”应附在交通运输部“全国公路建设市场信用信息管理系统”中查询到的企业“业绩信息”相关项目网页截图复印件，即包括“项目名称”“标段类型”“合同价”“主要工程量”“项目主要管理人员”等栏目在内的项目详细信息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外，投标人无须再提供任何业绩证明材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如投标人未提供相关项目网页截图或相关项目网页截图中的信息无法证实投标人满足招标文件规定的资格审查条件（业绩最低要求），则该项目业绩不予认定。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3.5.4“投标人的信誉情况表”应附投标人在国家企业信用信息公示系统中未被列入严重违法失信企业名单，在“信用中国”网站未被列入失信惩戒对象名单的网页截图。</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3.5.5“拟委任的项目经理和项目总工资历表”应附项目经理和项目总工的身份证、职称资格证书以及资格审查条件所要求的其他相关证书扫描件，其中，建造师注册证书和安全生产考核合格证书如有要求，还应附其在政府相关部门网站上公开信息的网页截图，以及在社保系统打印的拟委任项目经理和项目总工的缴费明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拟委任的项目经理和项目总工资历表”还应附交通运输部“全国公路建设市场信用信息管理系统”中载明的、能够证明项目经理和项目总工具有相关业绩的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复印件外，投标人无须再提供任何业绩证明材料。如投标人未提供相关业绩网页截图或相关业绩网页截图中的信息无法证实投标人满足招标文件规定的资格审查条件（项目经理和项目总工最低要求），则该业绩不予认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3.5.6“拟委任的其他管理和技术人员汇总表”（如有）应按前附表规定填报满足本章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1.4.1</w:t>
      </w:r>
      <w:r>
        <w:rPr>
          <w:rFonts w:hint="eastAsia" w:ascii="宋体" w:hAnsi="宋体" w:eastAsia="宋体" w:cs="宋体"/>
          <w:color w:val="auto"/>
          <w:sz w:val="21"/>
          <w:szCs w:val="21"/>
          <w:highlight w:val="none"/>
          <w:lang w:val="en-US" w:eastAsia="zh-CN"/>
        </w:rPr>
        <w:t xml:space="preserve"> 项</w:t>
      </w:r>
      <w:r>
        <w:rPr>
          <w:rFonts w:hint="eastAsia" w:ascii="宋体" w:hAnsi="宋体" w:eastAsia="宋体" w:cs="宋体"/>
          <w:color w:val="auto"/>
          <w:sz w:val="21"/>
          <w:szCs w:val="21"/>
          <w:highlight w:val="none"/>
          <w:lang w:eastAsia="zh-CN"/>
        </w:rPr>
        <w:t>规定的其他人员的相关信息。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3.5.7“拟投入本标段的主要施工机械表”“拟配备本标段的主要材料试验、测量、质检仪器设备表”（如有））应按前附表规定填报满足本章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1.4.1 </w:t>
      </w:r>
      <w:r>
        <w:rPr>
          <w:rFonts w:hint="eastAsia" w:ascii="宋体" w:hAnsi="宋体" w:eastAsia="宋体" w:cs="宋体"/>
          <w:color w:val="auto"/>
          <w:sz w:val="21"/>
          <w:szCs w:val="21"/>
          <w:highlight w:val="none"/>
          <w:lang w:val="en-US" w:eastAsia="zh-CN"/>
        </w:rPr>
        <w:t>项</w:t>
      </w:r>
      <w:r>
        <w:rPr>
          <w:rFonts w:hint="eastAsia" w:ascii="宋体" w:hAnsi="宋体" w:eastAsia="宋体" w:cs="宋体"/>
          <w:color w:val="auto"/>
          <w:sz w:val="21"/>
          <w:szCs w:val="21"/>
          <w:highlight w:val="none"/>
          <w:lang w:eastAsia="zh-CN"/>
        </w:rPr>
        <w:t>规定的机械设备和试验检测设备。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3.5.8 投标人须知前附表规定接受联合体投标的，本章第3.5.1 项至第3.5.7 项规定的表格和资料应包括联合体各方相关情况。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3.5.9 除合同条款约定的特殊情形外，投标人在投标文件中填报的项目经理和项目总工不允许更换，否则将按合同条款的约定予以处罚。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3.5.10 投标人在投标文件中填报的资质、业绩、主要人员资历和目前在岗情况、信用等级等信息，应与其在交通运输部或</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交通行政主管部门“公路建设市场信用信息管理系统”上填报并发布的相关信息一致。投标人应根据本单位实际情况及时完成相关信息的申报、录入和动态更新，并对相关信息的真实性、完整性和准确性负责。</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3.5.11 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交通行政主管部门，作为不良记录纳入公路建设市场信用信息管理系统。</w:t>
      </w:r>
    </w:p>
    <w:p>
      <w:pPr>
        <w:pStyle w:val="5"/>
        <w:spacing w:before="0" w:after="0" w:line="360" w:lineRule="auto"/>
        <w:rPr>
          <w:rFonts w:hint="eastAsia" w:ascii="宋体" w:hAnsi="宋体" w:eastAsia="宋体" w:cs="宋体"/>
          <w:color w:val="auto"/>
          <w:sz w:val="21"/>
          <w:szCs w:val="21"/>
          <w:highlight w:val="none"/>
        </w:rPr>
      </w:pPr>
      <w:bookmarkStart w:id="127" w:name="_Toc12012"/>
      <w:r>
        <w:rPr>
          <w:rFonts w:hint="eastAsia" w:ascii="宋体" w:hAnsi="宋体" w:eastAsia="宋体" w:cs="宋体"/>
          <w:color w:val="auto"/>
          <w:sz w:val="21"/>
          <w:szCs w:val="21"/>
          <w:highlight w:val="none"/>
        </w:rPr>
        <w:t>3.6 备选投标方案</w:t>
      </w:r>
      <w:bookmarkEnd w:id="12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投标人提供两个或两个以上投标报价，或在投标文件中提供一个报价，但同时提供两个或两个以上施工组织设计的，视为提供备选方案。</w:t>
      </w:r>
    </w:p>
    <w:p>
      <w:pPr>
        <w:pStyle w:val="5"/>
        <w:spacing w:before="0" w:after="0" w:line="360" w:lineRule="auto"/>
        <w:rPr>
          <w:rFonts w:hint="eastAsia" w:ascii="宋体" w:hAnsi="宋体" w:eastAsia="宋体" w:cs="宋体"/>
          <w:color w:val="auto"/>
          <w:sz w:val="21"/>
          <w:szCs w:val="21"/>
          <w:highlight w:val="none"/>
        </w:rPr>
      </w:pPr>
      <w:bookmarkStart w:id="128" w:name="_Toc25781"/>
      <w:r>
        <w:rPr>
          <w:rFonts w:hint="eastAsia" w:ascii="宋体" w:hAnsi="宋体" w:eastAsia="宋体" w:cs="宋体"/>
          <w:color w:val="auto"/>
          <w:sz w:val="21"/>
          <w:szCs w:val="21"/>
          <w:highlight w:val="none"/>
        </w:rPr>
        <w:t>3.7 投标文件的编制</w:t>
      </w:r>
      <w:bookmarkEnd w:id="12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 投标文件应对招标文件有关工期、投标有效期、质量要求、安全目标、技术标准和要求、招标范围等实质性内容作出响应。</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 投标文件的签名盖章要求：按本章投标人须知前附表第3.7.3项执行。</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3.7.4 投标文件份数：见投标人须知前附表。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3.7.5 投标文件应按规定格式排版，并编制目录，具体编制要求见投标人须知前附表规定。</w:t>
      </w:r>
    </w:p>
    <w:p>
      <w:pPr>
        <w:pStyle w:val="4"/>
        <w:spacing w:before="0" w:after="0" w:line="360" w:lineRule="auto"/>
        <w:rPr>
          <w:rFonts w:hint="eastAsia" w:ascii="宋体" w:hAnsi="宋体" w:eastAsia="宋体" w:cs="宋体"/>
          <w:color w:val="auto"/>
          <w:sz w:val="28"/>
          <w:szCs w:val="28"/>
          <w:highlight w:val="none"/>
        </w:rPr>
      </w:pPr>
      <w:bookmarkStart w:id="129" w:name="_Toc17771"/>
      <w:r>
        <w:rPr>
          <w:rFonts w:hint="eastAsia" w:ascii="宋体" w:hAnsi="宋体" w:eastAsia="宋体" w:cs="宋体"/>
          <w:color w:val="auto"/>
          <w:sz w:val="28"/>
          <w:szCs w:val="28"/>
          <w:highlight w:val="none"/>
        </w:rPr>
        <w:t>4. 投标</w:t>
      </w:r>
      <w:bookmarkEnd w:id="129"/>
    </w:p>
    <w:p>
      <w:pPr>
        <w:pStyle w:val="5"/>
        <w:spacing w:before="0" w:after="0" w:line="360" w:lineRule="auto"/>
        <w:rPr>
          <w:rFonts w:hint="eastAsia" w:ascii="宋体" w:hAnsi="宋体" w:eastAsia="宋体" w:cs="宋体"/>
          <w:color w:val="auto"/>
          <w:sz w:val="21"/>
          <w:szCs w:val="21"/>
          <w:highlight w:val="none"/>
        </w:rPr>
      </w:pPr>
      <w:bookmarkStart w:id="130" w:name="_Toc9099"/>
      <w:r>
        <w:rPr>
          <w:rFonts w:hint="eastAsia" w:ascii="宋体" w:hAnsi="宋体" w:eastAsia="宋体" w:cs="宋体"/>
          <w:color w:val="auto"/>
          <w:sz w:val="21"/>
          <w:szCs w:val="21"/>
          <w:highlight w:val="none"/>
        </w:rPr>
        <w:t>4.1 投标文件的密封和标识</w:t>
      </w:r>
      <w:bookmarkEnd w:id="13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4.1.1 投标文件的密封：见投标人须知前附表。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4.1.2 投标文件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封套上应写明的内容：见投标人须知前附表。</w:t>
      </w:r>
    </w:p>
    <w:p>
      <w:pPr>
        <w:pStyle w:val="5"/>
        <w:spacing w:before="0" w:after="0" w:line="360" w:lineRule="auto"/>
        <w:rPr>
          <w:rFonts w:hint="eastAsia" w:ascii="宋体" w:hAnsi="宋体" w:eastAsia="宋体" w:cs="宋体"/>
          <w:color w:val="auto"/>
          <w:sz w:val="21"/>
          <w:szCs w:val="21"/>
          <w:highlight w:val="none"/>
        </w:rPr>
      </w:pPr>
      <w:bookmarkStart w:id="131" w:name="_Toc13585"/>
      <w:r>
        <w:rPr>
          <w:rFonts w:hint="eastAsia" w:ascii="宋体" w:hAnsi="宋体" w:eastAsia="宋体" w:cs="宋体"/>
          <w:color w:val="auto"/>
          <w:sz w:val="21"/>
          <w:szCs w:val="21"/>
          <w:highlight w:val="none"/>
        </w:rPr>
        <w:t>4.2投标文件的递交</w:t>
      </w:r>
      <w:bookmarkEnd w:id="13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4.2.1 投标人应在投标人须知前附表第 2.2.2 项规定的投标截止时间前递交投标文件。。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4.2.2 投标人递交投标文件的地点：见投标人须知前附表。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4.2.3 除投标人须知前附表另有规定外，投标人所递交的投标文件不予退还。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4.2.4逾期送达的或者未送达指定地点的投标文件，招标人不予受理。</w:t>
      </w:r>
    </w:p>
    <w:p>
      <w:pPr>
        <w:pStyle w:val="5"/>
        <w:spacing w:before="0" w:after="0" w:line="360" w:lineRule="auto"/>
        <w:rPr>
          <w:rFonts w:hint="eastAsia" w:ascii="宋体" w:hAnsi="宋体" w:eastAsia="宋体" w:cs="宋体"/>
          <w:color w:val="auto"/>
          <w:sz w:val="21"/>
          <w:szCs w:val="21"/>
          <w:highlight w:val="none"/>
        </w:rPr>
      </w:pPr>
      <w:bookmarkStart w:id="132" w:name="_Toc14014"/>
      <w:r>
        <w:rPr>
          <w:rFonts w:hint="eastAsia" w:ascii="宋体" w:hAnsi="宋体" w:eastAsia="宋体" w:cs="宋体"/>
          <w:color w:val="auto"/>
          <w:sz w:val="21"/>
          <w:szCs w:val="21"/>
          <w:highlight w:val="none"/>
        </w:rPr>
        <w:t>4.3 投标文件的修改与撤回</w:t>
      </w:r>
      <w:bookmarkEnd w:id="13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4.3.1 </w:t>
      </w:r>
      <w:r>
        <w:rPr>
          <w:rFonts w:hint="eastAsia" w:ascii="宋体" w:hAnsi="宋体" w:eastAsia="宋体" w:cs="宋体"/>
          <w:snapToGrid w:val="0"/>
          <w:color w:val="auto"/>
          <w:sz w:val="21"/>
          <w:szCs w:val="21"/>
          <w:highlight w:val="none"/>
          <w:lang w:eastAsia="zh-CN"/>
        </w:rPr>
        <w:t>在投标人须知前附表第2.2.2项规定的投标截止时间前</w:t>
      </w:r>
      <w:r>
        <w:rPr>
          <w:rFonts w:hint="eastAsia" w:ascii="宋体" w:hAnsi="宋体" w:eastAsia="宋体" w:cs="宋体"/>
          <w:color w:val="auto"/>
          <w:sz w:val="21"/>
          <w:szCs w:val="21"/>
          <w:highlight w:val="none"/>
          <w:lang w:eastAsia="zh-CN"/>
        </w:rPr>
        <w:t>，投标人可以修改或撤回已递交的投标文件。</w:t>
      </w:r>
    </w:p>
    <w:p>
      <w:pPr>
        <w:pStyle w:val="4"/>
        <w:spacing w:before="0" w:after="0" w:line="360" w:lineRule="auto"/>
        <w:rPr>
          <w:rFonts w:hint="eastAsia" w:ascii="宋体" w:hAnsi="宋体" w:eastAsia="宋体" w:cs="宋体"/>
          <w:color w:val="auto"/>
          <w:sz w:val="28"/>
          <w:szCs w:val="28"/>
          <w:highlight w:val="none"/>
        </w:rPr>
      </w:pPr>
      <w:bookmarkStart w:id="133" w:name="_Toc8491"/>
      <w:r>
        <w:rPr>
          <w:rFonts w:hint="eastAsia" w:ascii="宋体" w:hAnsi="宋体" w:eastAsia="宋体" w:cs="宋体"/>
          <w:color w:val="auto"/>
          <w:sz w:val="28"/>
          <w:szCs w:val="28"/>
          <w:highlight w:val="none"/>
        </w:rPr>
        <w:t>5. 开标</w:t>
      </w:r>
      <w:bookmarkEnd w:id="133"/>
    </w:p>
    <w:p>
      <w:pPr>
        <w:pStyle w:val="5"/>
        <w:spacing w:before="0" w:after="0" w:line="360" w:lineRule="auto"/>
        <w:rPr>
          <w:rFonts w:hint="eastAsia" w:ascii="宋体" w:hAnsi="宋体" w:eastAsia="宋体" w:cs="宋体"/>
          <w:color w:val="auto"/>
          <w:sz w:val="21"/>
          <w:szCs w:val="21"/>
          <w:highlight w:val="none"/>
        </w:rPr>
      </w:pPr>
      <w:bookmarkStart w:id="134" w:name="_Toc7416"/>
      <w:r>
        <w:rPr>
          <w:rFonts w:hint="eastAsia" w:ascii="宋体" w:hAnsi="宋体" w:eastAsia="宋体" w:cs="宋体"/>
          <w:color w:val="auto"/>
          <w:sz w:val="21"/>
          <w:szCs w:val="21"/>
          <w:highlight w:val="none"/>
        </w:rPr>
        <w:t>5.1 开标时间和地点</w:t>
      </w:r>
      <w:bookmarkEnd w:id="13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5.1.1</w:t>
      </w:r>
      <w:r>
        <w:rPr>
          <w:rFonts w:hint="eastAsia" w:ascii="宋体" w:hAnsi="宋体" w:eastAsia="宋体" w:cs="宋体"/>
          <w:color w:val="auto"/>
          <w:sz w:val="21"/>
          <w:szCs w:val="21"/>
          <w:highlight w:val="none"/>
          <w:lang w:eastAsia="zh-CN"/>
        </w:rPr>
        <w:t>招标人在本章第 4.2.1 项规定的投标截止时间（开标时间）和投标人须知前附表规定的地点对收到的投标文件公开开标，并邀请所有投标人的法定代表人或其委托代理人准时参加。</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投标人若未派法定代表人或委托代理人出席开标活动，视为该投标人默认开标结果。</w:t>
      </w:r>
    </w:p>
    <w:p>
      <w:pPr>
        <w:pStyle w:val="5"/>
        <w:spacing w:before="0" w:after="0" w:line="360" w:lineRule="auto"/>
        <w:rPr>
          <w:rFonts w:hint="eastAsia" w:ascii="宋体" w:hAnsi="宋体" w:eastAsia="宋体" w:cs="宋体"/>
          <w:color w:val="auto"/>
          <w:sz w:val="21"/>
          <w:szCs w:val="21"/>
          <w:highlight w:val="none"/>
        </w:rPr>
      </w:pPr>
      <w:bookmarkStart w:id="135" w:name="_Toc7171"/>
      <w:r>
        <w:rPr>
          <w:rFonts w:hint="eastAsia" w:ascii="宋体" w:hAnsi="宋体" w:eastAsia="宋体" w:cs="宋体"/>
          <w:color w:val="auto"/>
          <w:sz w:val="21"/>
          <w:szCs w:val="21"/>
          <w:highlight w:val="none"/>
        </w:rPr>
        <w:t>5.2开标程序</w:t>
      </w:r>
      <w:bookmarkEnd w:id="13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详见投标人须知前附表第5.2款开标程序。</w:t>
      </w:r>
    </w:p>
    <w:p>
      <w:pPr>
        <w:pStyle w:val="5"/>
        <w:spacing w:before="0" w:after="0" w:line="360" w:lineRule="auto"/>
        <w:rPr>
          <w:rFonts w:hint="eastAsia" w:ascii="宋体" w:hAnsi="宋体" w:eastAsia="宋体" w:cs="宋体"/>
          <w:color w:val="auto"/>
          <w:sz w:val="21"/>
          <w:szCs w:val="21"/>
          <w:highlight w:val="none"/>
        </w:rPr>
      </w:pPr>
      <w:bookmarkStart w:id="136" w:name="_Toc7297"/>
      <w:r>
        <w:rPr>
          <w:rFonts w:hint="eastAsia" w:ascii="宋体" w:hAnsi="宋体" w:eastAsia="宋体" w:cs="宋体"/>
          <w:color w:val="auto"/>
          <w:sz w:val="21"/>
          <w:szCs w:val="21"/>
          <w:highlight w:val="none"/>
        </w:rPr>
        <w:t>5.3 开标异议</w:t>
      </w:r>
      <w:bookmarkEnd w:id="13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对开标有异议的，应在开标现场提出，开标现场提出异议的，应出示法定代表人身份证明或附有法定代表人身份证明的授权委托书。招标人当场作出答复，并制作记录，有异议的投标人代表、招标人代表、记录人等有关人员在记录上签名确认。</w:t>
      </w:r>
    </w:p>
    <w:p>
      <w:pPr>
        <w:pStyle w:val="4"/>
        <w:spacing w:before="0" w:after="0" w:line="360" w:lineRule="auto"/>
        <w:rPr>
          <w:rFonts w:hint="eastAsia" w:ascii="宋体" w:hAnsi="宋体" w:eastAsia="宋体" w:cs="宋体"/>
          <w:color w:val="auto"/>
          <w:sz w:val="28"/>
          <w:szCs w:val="28"/>
          <w:highlight w:val="none"/>
        </w:rPr>
      </w:pPr>
      <w:bookmarkStart w:id="137" w:name="_Toc25435"/>
      <w:r>
        <w:rPr>
          <w:rFonts w:hint="eastAsia" w:ascii="宋体" w:hAnsi="宋体" w:eastAsia="宋体" w:cs="宋体"/>
          <w:color w:val="auto"/>
          <w:sz w:val="28"/>
          <w:szCs w:val="28"/>
          <w:highlight w:val="none"/>
        </w:rPr>
        <w:t>6. 评标</w:t>
      </w:r>
      <w:bookmarkEnd w:id="137"/>
    </w:p>
    <w:p>
      <w:pPr>
        <w:pStyle w:val="5"/>
        <w:spacing w:before="0" w:after="0" w:line="360" w:lineRule="auto"/>
        <w:rPr>
          <w:rFonts w:hint="eastAsia" w:ascii="宋体" w:hAnsi="宋体" w:eastAsia="宋体" w:cs="宋体"/>
          <w:color w:val="auto"/>
          <w:sz w:val="21"/>
          <w:szCs w:val="21"/>
          <w:highlight w:val="none"/>
        </w:rPr>
      </w:pPr>
      <w:bookmarkStart w:id="138" w:name="_Toc12863"/>
      <w:r>
        <w:rPr>
          <w:rFonts w:hint="eastAsia" w:ascii="宋体" w:hAnsi="宋体" w:eastAsia="宋体" w:cs="宋体"/>
          <w:color w:val="auto"/>
          <w:sz w:val="21"/>
          <w:szCs w:val="21"/>
          <w:highlight w:val="none"/>
        </w:rPr>
        <w:t>6.1 评标委员会</w:t>
      </w:r>
      <w:bookmarkEnd w:id="13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w:t>
      </w:r>
      <w:r>
        <w:rPr>
          <w:rFonts w:hint="eastAsia" w:ascii="宋体" w:hAnsi="宋体" w:eastAsia="宋体" w:cs="宋体"/>
          <w:color w:val="auto"/>
          <w:sz w:val="21"/>
          <w:szCs w:val="21"/>
          <w:highlight w:val="none"/>
          <w:lang w:val="en-US" w:eastAsia="zh-CN"/>
        </w:rPr>
        <w:t>评标委员会的组建：</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评标委员会成员有下列情形之一的，应主动提出回避：</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（2）招标人或招标代理机构主要负责人的近亲属，或与投标人法定代表人或其委托代理人有近亲属关系；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（3）为投标人的工作人员或退休人员；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（4）与投标人有其他利害关系，可能影响评标活动公正性；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（5）在与招标投标有关的活动中有过违法违规行为、曾受过行政处罚或刑事处罚；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（6）招标人及其子公司、招标人的上级主管部门或者控股公司、招标代理机构的工作人员或者退休人员；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（7）近3年在招标人、投标人或招标代理机构工作过的人员。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6.1.3评标过程中，评标委员会成员有回避事由、擅离职守或者因健康等原因不能继续评标的，应当及时更换。被更换的评标委员会成员作出的评审结论无效，由更换后的评标委员会成员重新进行评审。</w:t>
      </w:r>
    </w:p>
    <w:p>
      <w:pPr>
        <w:pStyle w:val="5"/>
        <w:spacing w:before="0" w:after="0" w:line="360" w:lineRule="auto"/>
        <w:rPr>
          <w:rFonts w:hint="eastAsia" w:ascii="宋体" w:hAnsi="宋体" w:eastAsia="宋体" w:cs="宋体"/>
          <w:color w:val="auto"/>
          <w:sz w:val="21"/>
          <w:szCs w:val="21"/>
          <w:highlight w:val="none"/>
        </w:rPr>
      </w:pPr>
      <w:bookmarkStart w:id="139" w:name="_Toc9708"/>
      <w:r>
        <w:rPr>
          <w:rFonts w:hint="eastAsia" w:ascii="宋体" w:hAnsi="宋体" w:eastAsia="宋体" w:cs="宋体"/>
          <w:color w:val="auto"/>
          <w:sz w:val="21"/>
          <w:szCs w:val="21"/>
          <w:highlight w:val="none"/>
        </w:rPr>
        <w:t>6.2 评标原则</w:t>
      </w:r>
      <w:bookmarkEnd w:id="13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spacing w:before="0" w:after="0" w:line="360" w:lineRule="auto"/>
        <w:rPr>
          <w:rFonts w:hint="eastAsia" w:ascii="宋体" w:hAnsi="宋体" w:eastAsia="宋体" w:cs="宋体"/>
          <w:color w:val="auto"/>
          <w:sz w:val="21"/>
          <w:szCs w:val="21"/>
          <w:highlight w:val="none"/>
        </w:rPr>
      </w:pPr>
      <w:bookmarkStart w:id="140" w:name="_Toc2510"/>
      <w:r>
        <w:rPr>
          <w:rFonts w:hint="eastAsia" w:ascii="宋体" w:hAnsi="宋体" w:eastAsia="宋体" w:cs="宋体"/>
          <w:color w:val="auto"/>
          <w:sz w:val="21"/>
          <w:szCs w:val="21"/>
          <w:highlight w:val="none"/>
        </w:rPr>
        <w:t>6.3 评标</w:t>
      </w:r>
      <w:bookmarkEnd w:id="14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6.3.1</w:t>
      </w:r>
      <w:r>
        <w:rPr>
          <w:rFonts w:hint="eastAsia" w:ascii="宋体" w:hAnsi="宋体" w:eastAsia="宋体" w:cs="宋体"/>
          <w:color w:val="auto"/>
          <w:sz w:val="21"/>
          <w:szCs w:val="21"/>
          <w:highlight w:val="none"/>
          <w:lang w:eastAsia="zh-CN"/>
        </w:rPr>
        <w:t>评标委员会按照第三章“评标办法”规定的方法、评审因素、标准和程序对投标文件进行评审。第三章“评标办法”没有规定的方法、评审因素和标准，不作为评标依据。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6.3.2</w:t>
      </w:r>
      <w:r>
        <w:rPr>
          <w:rFonts w:hint="eastAsia" w:ascii="宋体" w:hAnsi="宋体" w:eastAsia="宋体" w:cs="宋体"/>
          <w:color w:val="auto"/>
          <w:sz w:val="21"/>
          <w:szCs w:val="21"/>
          <w:highlight w:val="none"/>
          <w:lang w:eastAsia="zh-CN"/>
        </w:rPr>
        <w:t>评标完成后，评标委员会应向招标人提交书面评标报告和中标候选人名单。评标委员会推荐中标候选人的人数见投标人须知前附表。</w:t>
      </w:r>
    </w:p>
    <w:p>
      <w:pPr>
        <w:pStyle w:val="4"/>
        <w:spacing w:before="0" w:after="0" w:line="360" w:lineRule="auto"/>
        <w:rPr>
          <w:rFonts w:hint="eastAsia" w:ascii="宋体" w:hAnsi="宋体" w:eastAsia="宋体" w:cs="宋体"/>
          <w:color w:val="auto"/>
          <w:sz w:val="28"/>
          <w:szCs w:val="28"/>
          <w:highlight w:val="none"/>
        </w:rPr>
      </w:pPr>
      <w:bookmarkStart w:id="141" w:name="_Toc16792"/>
      <w:r>
        <w:rPr>
          <w:rFonts w:hint="eastAsia" w:ascii="宋体" w:hAnsi="宋体" w:eastAsia="宋体" w:cs="宋体"/>
          <w:color w:val="auto"/>
          <w:sz w:val="28"/>
          <w:szCs w:val="28"/>
          <w:highlight w:val="none"/>
        </w:rPr>
        <w:t>7. 合同授予</w:t>
      </w:r>
      <w:bookmarkEnd w:id="141"/>
    </w:p>
    <w:p>
      <w:pPr>
        <w:pStyle w:val="5"/>
        <w:spacing w:before="0" w:after="0" w:line="360" w:lineRule="auto"/>
        <w:rPr>
          <w:rFonts w:hint="eastAsia" w:ascii="宋体" w:hAnsi="宋体" w:eastAsia="宋体" w:cs="宋体"/>
          <w:color w:val="auto"/>
          <w:sz w:val="21"/>
          <w:szCs w:val="21"/>
          <w:highlight w:val="none"/>
        </w:rPr>
      </w:pPr>
      <w:bookmarkStart w:id="142" w:name="_Toc20312"/>
      <w:r>
        <w:rPr>
          <w:rFonts w:hint="eastAsia" w:ascii="宋体" w:hAnsi="宋体" w:eastAsia="宋体" w:cs="宋体"/>
          <w:color w:val="auto"/>
          <w:sz w:val="21"/>
          <w:szCs w:val="21"/>
          <w:highlight w:val="none"/>
        </w:rPr>
        <w:t>7.1 中标候选人公示</w:t>
      </w:r>
      <w:bookmarkEnd w:id="14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 3 日内，按照投标人须知前附表规定的公示媒介和期限公示中标候选人，公示期不得少于 3 日。</w:t>
      </w:r>
    </w:p>
    <w:p>
      <w:pPr>
        <w:pStyle w:val="5"/>
        <w:spacing w:before="0" w:after="0" w:line="360" w:lineRule="auto"/>
        <w:rPr>
          <w:rFonts w:hint="eastAsia" w:ascii="宋体" w:hAnsi="宋体" w:eastAsia="宋体" w:cs="宋体"/>
          <w:color w:val="auto"/>
          <w:sz w:val="21"/>
          <w:szCs w:val="21"/>
          <w:highlight w:val="none"/>
        </w:rPr>
      </w:pPr>
      <w:bookmarkStart w:id="143" w:name="_Toc10353"/>
      <w:r>
        <w:rPr>
          <w:rFonts w:hint="eastAsia" w:ascii="宋体" w:hAnsi="宋体" w:eastAsia="宋体" w:cs="宋体"/>
          <w:color w:val="auto"/>
          <w:sz w:val="21"/>
          <w:szCs w:val="21"/>
          <w:highlight w:val="none"/>
        </w:rPr>
        <w:t>7.2 评标结果异议</w:t>
      </w:r>
      <w:bookmarkEnd w:id="14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投标人或其他利害关系人对依法必须进行招标的项目的评标结果有异议的，应在中标候选人公示期间提出。招标人将在收到异议之日起 3 日内作出答复；作出答复前，将暂停招标投标活动。</w:t>
      </w:r>
    </w:p>
    <w:p>
      <w:pPr>
        <w:pStyle w:val="5"/>
        <w:spacing w:before="0" w:after="0" w:line="360" w:lineRule="auto"/>
        <w:rPr>
          <w:rFonts w:hint="eastAsia" w:ascii="宋体" w:hAnsi="宋体" w:eastAsia="宋体" w:cs="宋体"/>
          <w:color w:val="auto"/>
          <w:sz w:val="21"/>
          <w:szCs w:val="21"/>
          <w:highlight w:val="none"/>
        </w:rPr>
      </w:pPr>
      <w:bookmarkStart w:id="144" w:name="_Toc28937"/>
      <w:r>
        <w:rPr>
          <w:rFonts w:hint="eastAsia" w:ascii="宋体" w:hAnsi="宋体" w:eastAsia="宋体" w:cs="宋体"/>
          <w:color w:val="auto"/>
          <w:sz w:val="21"/>
          <w:szCs w:val="21"/>
          <w:highlight w:val="none"/>
        </w:rPr>
        <w:t>7.3 中标候选人履约能力审查</w:t>
      </w:r>
      <w:bookmarkEnd w:id="14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before="0" w:after="0" w:line="360" w:lineRule="auto"/>
        <w:rPr>
          <w:rFonts w:hint="eastAsia" w:ascii="宋体" w:hAnsi="宋体" w:eastAsia="宋体" w:cs="宋体"/>
          <w:color w:val="auto"/>
          <w:sz w:val="21"/>
          <w:szCs w:val="21"/>
          <w:highlight w:val="none"/>
        </w:rPr>
      </w:pPr>
      <w:bookmarkStart w:id="145" w:name="_Toc19146"/>
      <w:r>
        <w:rPr>
          <w:rFonts w:hint="eastAsia" w:ascii="宋体" w:hAnsi="宋体" w:eastAsia="宋体" w:cs="宋体"/>
          <w:color w:val="auto"/>
          <w:sz w:val="21"/>
          <w:szCs w:val="21"/>
          <w:highlight w:val="none"/>
        </w:rPr>
        <w:t>7.4 定标</w:t>
      </w:r>
      <w:bookmarkEnd w:id="14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spacing w:before="0" w:after="0" w:line="360" w:lineRule="auto"/>
        <w:rPr>
          <w:rFonts w:hint="eastAsia" w:ascii="宋体" w:hAnsi="宋体" w:eastAsia="宋体" w:cs="宋体"/>
          <w:color w:val="auto"/>
          <w:sz w:val="21"/>
          <w:szCs w:val="21"/>
          <w:highlight w:val="none"/>
        </w:rPr>
      </w:pPr>
      <w:bookmarkStart w:id="146" w:name="_Toc21849"/>
      <w:r>
        <w:rPr>
          <w:rFonts w:hint="eastAsia" w:ascii="宋体" w:hAnsi="宋体" w:eastAsia="宋体" w:cs="宋体"/>
          <w:color w:val="auto"/>
          <w:sz w:val="21"/>
          <w:szCs w:val="21"/>
          <w:highlight w:val="none"/>
        </w:rPr>
        <w:t>7.5 中标通知</w:t>
      </w:r>
      <w:bookmarkEnd w:id="14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 3.3 款规定的投标有效期内，招标人以投标人须知前附表规定的形式向中标人发出中标通知书，同时将中标结果通知未中标的投标人。</w:t>
      </w:r>
    </w:p>
    <w:p>
      <w:pPr>
        <w:pStyle w:val="5"/>
        <w:spacing w:before="0" w:after="0" w:line="360" w:lineRule="auto"/>
        <w:rPr>
          <w:rFonts w:hint="eastAsia" w:ascii="宋体" w:hAnsi="宋体" w:eastAsia="宋体" w:cs="宋体"/>
          <w:color w:val="auto"/>
          <w:sz w:val="21"/>
          <w:szCs w:val="21"/>
          <w:highlight w:val="none"/>
        </w:rPr>
      </w:pPr>
      <w:bookmarkStart w:id="147" w:name="_Toc5861"/>
      <w:r>
        <w:rPr>
          <w:rFonts w:hint="eastAsia" w:ascii="宋体" w:hAnsi="宋体" w:eastAsia="宋体" w:cs="宋体"/>
          <w:color w:val="auto"/>
          <w:sz w:val="21"/>
          <w:szCs w:val="21"/>
          <w:highlight w:val="none"/>
        </w:rPr>
        <w:t>7.6 中标结果公告</w:t>
      </w:r>
      <w:bookmarkEnd w:id="14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招标人在确定中标人之日起 3 日内，按照投标人须知前附表规定的公告媒介和期限公告中标结果，公告期不得少于 3 日。公告内容包括中标人名称、中标价。</w:t>
      </w:r>
    </w:p>
    <w:p>
      <w:pPr>
        <w:pStyle w:val="5"/>
        <w:spacing w:before="0" w:after="0" w:line="360" w:lineRule="auto"/>
        <w:rPr>
          <w:rFonts w:hint="eastAsia" w:ascii="宋体" w:hAnsi="宋体" w:eastAsia="宋体" w:cs="宋体"/>
          <w:color w:val="auto"/>
          <w:sz w:val="21"/>
          <w:szCs w:val="21"/>
          <w:highlight w:val="none"/>
        </w:rPr>
      </w:pPr>
      <w:bookmarkStart w:id="148" w:name="_Toc29832"/>
      <w:r>
        <w:rPr>
          <w:rFonts w:hint="eastAsia" w:ascii="宋体" w:hAnsi="宋体" w:eastAsia="宋体" w:cs="宋体"/>
          <w:color w:val="auto"/>
          <w:sz w:val="21"/>
          <w:szCs w:val="21"/>
          <w:highlight w:val="none"/>
        </w:rPr>
        <w:t>7.7 履约保证金</w:t>
      </w:r>
      <w:bookmarkEnd w:id="14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%。联合体中标的，其履约保证金以联合体各方或联合体中牵头人的名义提交。</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采用银行保函时，应由符合投标人须知前附表规定级别的银行开具，所需的费用由中标人承担，中标人应保证银行保函有效。</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中标人不能按本章第 7.7.1 项要求提交履约保证金的，视为放弃中标，其投标保证金不予退还，给招标人造成的损失超过投标保证金数额的，中标人还应对超过部分予以赔偿。</w:t>
      </w:r>
    </w:p>
    <w:p>
      <w:pPr>
        <w:pStyle w:val="5"/>
        <w:spacing w:before="0" w:after="0" w:line="360" w:lineRule="auto"/>
        <w:rPr>
          <w:rFonts w:hint="eastAsia" w:ascii="宋体" w:hAnsi="宋体" w:eastAsia="宋体" w:cs="宋体"/>
          <w:color w:val="auto"/>
          <w:sz w:val="21"/>
          <w:szCs w:val="21"/>
          <w:highlight w:val="none"/>
        </w:rPr>
      </w:pPr>
      <w:bookmarkStart w:id="149" w:name="_Toc25340"/>
      <w:r>
        <w:rPr>
          <w:rFonts w:hint="eastAsia" w:ascii="宋体" w:hAnsi="宋体" w:eastAsia="宋体" w:cs="宋体"/>
          <w:color w:val="auto"/>
          <w:sz w:val="21"/>
          <w:szCs w:val="21"/>
          <w:highlight w:val="none"/>
        </w:rPr>
        <w:t>7.8 签订合同</w:t>
      </w:r>
      <w:bookmarkEnd w:id="14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7.8.1 招标人和中标人应在中标通知书发出之日起 30 日内，根据招标文件和中标人的投标文件订立书面合同。中标人放弃中标项目，无正当理由拒签合同，在签订合同时向招标人提出附加条件或者更改合同实质性内容，或不按照招标文件要求提交低价风险担保（适用于经评审最低投标价法）或履约保证金的，招标人取消其中标资格，其投标保证金不予退还；给招标人造成的损失超过投标保证金数额的，中标人还应对超过部分予以赔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7.8.2 发出中标通知书后，招标人无正当理由拒签合同，或在签订合同时向中标人提出附加条件的，招标人向中标人退还投标保证金；给中标人造成损失的，还应赔偿损失。</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7.8.3 签约合同价的确定原则如下：</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（1）按照评标办法规定对投标报价进行修正后，若修正后的最终投标报价小于开标时的投标函大写金额报价，则签订合同时以修正后的最终投标报价为准；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7.8.4 联合体中标的，联合体各方应共同与招标人签订合同，就中标项目向招标人承担连带责任。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7.8.5 招标人和中标人在签订合同协议书的同时，须按照本招标文件规定的格式和要求签订廉政合同及安全生产合同，明确双方在廉政建设和安全生产方面的权利和义务以及应承担的违约责任。</w:t>
      </w:r>
    </w:p>
    <w:p>
      <w:pPr>
        <w:pStyle w:val="4"/>
        <w:spacing w:before="0" w:after="0" w:line="360" w:lineRule="auto"/>
        <w:rPr>
          <w:rFonts w:hint="eastAsia" w:ascii="宋体" w:hAnsi="宋体" w:eastAsia="宋体" w:cs="宋体"/>
          <w:color w:val="auto"/>
          <w:sz w:val="28"/>
          <w:szCs w:val="28"/>
          <w:highlight w:val="none"/>
        </w:rPr>
      </w:pPr>
      <w:bookmarkStart w:id="150" w:name="_Toc30453"/>
      <w:r>
        <w:rPr>
          <w:rFonts w:hint="eastAsia" w:ascii="宋体" w:hAnsi="宋体" w:eastAsia="宋体" w:cs="宋体"/>
          <w:color w:val="auto"/>
          <w:sz w:val="28"/>
          <w:szCs w:val="28"/>
          <w:highlight w:val="none"/>
        </w:rPr>
        <w:t>8. 纪律和监督</w:t>
      </w:r>
      <w:bookmarkEnd w:id="150"/>
    </w:p>
    <w:p>
      <w:pPr>
        <w:pStyle w:val="5"/>
        <w:spacing w:before="0" w:after="0" w:line="360" w:lineRule="auto"/>
        <w:rPr>
          <w:rFonts w:hint="eastAsia" w:ascii="宋体" w:hAnsi="宋体" w:eastAsia="宋体" w:cs="宋体"/>
          <w:color w:val="auto"/>
          <w:sz w:val="21"/>
          <w:szCs w:val="21"/>
          <w:highlight w:val="none"/>
        </w:rPr>
      </w:pPr>
      <w:bookmarkStart w:id="151" w:name="_Toc31932"/>
      <w:r>
        <w:rPr>
          <w:rFonts w:hint="eastAsia" w:ascii="宋体" w:hAnsi="宋体" w:eastAsia="宋体" w:cs="宋体"/>
          <w:color w:val="auto"/>
          <w:sz w:val="21"/>
          <w:szCs w:val="21"/>
          <w:highlight w:val="none"/>
        </w:rPr>
        <w:t>8.1 对招标人的纪律要求</w:t>
      </w:r>
      <w:bookmarkEnd w:id="15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招标人不得泄露招标投标活动中应保密的情况和资料，不得与投标人串通损害国家利益、社会公共利益或他人合法权益。</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有下列情形之一的，属于招标人与投标人串通投标：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（1）招标人在开标前开启投标文件并将有关信息泄露给其他投标人；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（2）招标人直接或者间接向投标人泄露标底、评标委员会成员等信息；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（3）招标人明示或者暗示投标人压低或者抬高投标报价；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（4）招标人授意投标人撤换、修改投标文件；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（5）招标人明示或者暗示投标人为特定投标人中标提供方便；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（6）招标人与投标人为谋求特定投标人中标而采取的其他串通行为。</w:t>
      </w:r>
    </w:p>
    <w:p>
      <w:pPr>
        <w:pStyle w:val="5"/>
        <w:spacing w:before="0" w:after="0" w:line="360" w:lineRule="auto"/>
        <w:rPr>
          <w:rFonts w:hint="eastAsia" w:ascii="宋体" w:hAnsi="宋体" w:eastAsia="宋体" w:cs="宋体"/>
          <w:color w:val="auto"/>
          <w:sz w:val="21"/>
          <w:szCs w:val="21"/>
          <w:highlight w:val="none"/>
        </w:rPr>
      </w:pPr>
      <w:bookmarkStart w:id="152" w:name="_Toc18237"/>
      <w:r>
        <w:rPr>
          <w:rFonts w:hint="eastAsia" w:ascii="宋体" w:hAnsi="宋体" w:eastAsia="宋体" w:cs="宋体"/>
          <w:color w:val="auto"/>
          <w:sz w:val="21"/>
          <w:szCs w:val="21"/>
          <w:highlight w:val="none"/>
        </w:rPr>
        <w:t>8.2 对投标人的纪律要求</w:t>
      </w:r>
      <w:bookmarkEnd w:id="15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8.2.1 有下列情形之一的，属于投标人相互串通投标：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（1）投标人之间协商投标报价等投标文件的实质性内容；</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（2）投标人之间约定中标人；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（3）投标人之间约定部分投标人放弃投标或者中标；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（4）属于同一集团、协会、商会等组织成员的投标人按照该组织要求协同投标；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（5）投标人之间为谋取中标或者排斥特定投标人而采取的其他联合行动。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8.2.2 有下列情形之一的，视为投标人相互串通投标：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（1）不同投标人的投标文件由同一单位或者个人编制；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（2）不同投标人委托同一单位或者个人办理投标事宜；</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（3）不同投标人的投标文件载明的项目管理成员为同一人；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（4）不同投标人的投标文件异常一致或者投标报价呈规律性差异；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（5）不同投标人的投标文件相互混装；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（6）不同投标人的投标保证金从同一单位或者个人的账户转出；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（7）不同投标人的电子投标文件MAC地址相同。</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8.2.3 使用通过受让或者租借等方式获取的资格、资质证书投标的，属于以他人名义投标。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8.2.4 投标人有下列情形之一的，属于以其他方式弄虚作假的行为：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（1）使用伪造、变造的许可证件；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（2）提供虚假的财务状况或者业绩；</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（3）提供虚假的项目负责人或者主要技术人员简历、劳动关系证明；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（4）提供虚假的信用状况；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（5）其他弄虚作假的行为。</w:t>
      </w:r>
    </w:p>
    <w:p>
      <w:pPr>
        <w:pStyle w:val="5"/>
        <w:spacing w:before="0" w:after="0" w:line="360" w:lineRule="auto"/>
        <w:rPr>
          <w:rFonts w:hint="eastAsia" w:ascii="宋体" w:hAnsi="宋体" w:eastAsia="宋体" w:cs="宋体"/>
          <w:color w:val="auto"/>
          <w:sz w:val="21"/>
          <w:szCs w:val="21"/>
          <w:highlight w:val="none"/>
        </w:rPr>
      </w:pPr>
      <w:bookmarkStart w:id="153" w:name="_Toc12651"/>
      <w:r>
        <w:rPr>
          <w:rFonts w:hint="eastAsia" w:ascii="宋体" w:hAnsi="宋体" w:eastAsia="宋体" w:cs="宋体"/>
          <w:color w:val="auto"/>
          <w:sz w:val="21"/>
          <w:szCs w:val="21"/>
          <w:highlight w:val="none"/>
        </w:rPr>
        <w:t>8.3 对评标委员会成员的纪律要求</w:t>
      </w:r>
      <w:bookmarkEnd w:id="15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spacing w:before="0" w:after="0" w:line="360" w:lineRule="auto"/>
        <w:rPr>
          <w:rFonts w:hint="eastAsia" w:ascii="宋体" w:hAnsi="宋体" w:eastAsia="宋体" w:cs="宋体"/>
          <w:color w:val="auto"/>
          <w:sz w:val="21"/>
          <w:szCs w:val="21"/>
          <w:highlight w:val="none"/>
        </w:rPr>
      </w:pPr>
      <w:bookmarkStart w:id="154" w:name="_Toc15939"/>
      <w:r>
        <w:rPr>
          <w:rFonts w:hint="eastAsia" w:ascii="宋体" w:hAnsi="宋体" w:eastAsia="宋体" w:cs="宋体"/>
          <w:color w:val="auto"/>
          <w:sz w:val="21"/>
          <w:szCs w:val="21"/>
          <w:highlight w:val="none"/>
        </w:rPr>
        <w:t>8.4 对与评标活动有关的工作人员的纪律要求</w:t>
      </w:r>
      <w:bookmarkEnd w:id="15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5"/>
        <w:spacing w:before="0" w:after="0" w:line="360" w:lineRule="auto"/>
        <w:rPr>
          <w:rFonts w:hint="eastAsia" w:ascii="宋体" w:hAnsi="宋体" w:eastAsia="宋体" w:cs="宋体"/>
          <w:color w:val="auto"/>
          <w:sz w:val="21"/>
          <w:szCs w:val="21"/>
          <w:highlight w:val="none"/>
        </w:rPr>
      </w:pPr>
      <w:bookmarkStart w:id="155" w:name="_Toc31811"/>
      <w:r>
        <w:rPr>
          <w:rFonts w:hint="eastAsia" w:ascii="宋体" w:hAnsi="宋体" w:eastAsia="宋体" w:cs="宋体"/>
          <w:color w:val="auto"/>
          <w:sz w:val="21"/>
          <w:szCs w:val="21"/>
          <w:highlight w:val="none"/>
        </w:rPr>
        <w:t>8.5 投诉</w:t>
      </w:r>
      <w:bookmarkEnd w:id="15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投标人或其他利害关系人认为招标投标活动不符合法律、行政法规规定的，可以自知道或应当知道之日起 10 日内向有关行政监督部门投诉。投诉应有明确的请求和必要的证明材料。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监督部门的联系方式见投标人须知前附表。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投标人或其他利害关系人对招标文件、开标和评标结果提出投诉的，应按照本章第 2.2 款、第 5.3 款和第 7.2 款的规定先向招标人提出异议。异议答复期间不计算在第 8.5.1 项规定的期限内。</w:t>
      </w:r>
    </w:p>
    <w:p>
      <w:pPr>
        <w:pStyle w:val="4"/>
        <w:spacing w:before="0" w:after="0" w:line="360" w:lineRule="auto"/>
        <w:rPr>
          <w:rFonts w:hint="eastAsia" w:ascii="宋体" w:hAnsi="宋体" w:eastAsia="宋体" w:cs="宋体"/>
          <w:color w:val="auto"/>
          <w:sz w:val="28"/>
          <w:szCs w:val="28"/>
          <w:highlight w:val="none"/>
        </w:rPr>
      </w:pPr>
      <w:bookmarkStart w:id="156" w:name="_Toc149"/>
      <w:r>
        <w:rPr>
          <w:rFonts w:hint="eastAsia" w:ascii="宋体" w:hAnsi="宋体" w:eastAsia="宋体" w:cs="宋体"/>
          <w:color w:val="auto"/>
          <w:sz w:val="28"/>
          <w:szCs w:val="28"/>
          <w:highlight w:val="none"/>
        </w:rPr>
        <w:t>9. 是否采用电子招标投标</w:t>
      </w:r>
      <w:bookmarkEnd w:id="15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spacing w:before="0" w:after="0" w:line="360" w:lineRule="auto"/>
        <w:rPr>
          <w:rFonts w:hint="eastAsia" w:ascii="宋体" w:hAnsi="宋体" w:eastAsia="宋体" w:cs="宋体"/>
          <w:color w:val="auto"/>
          <w:sz w:val="28"/>
          <w:szCs w:val="28"/>
          <w:highlight w:val="none"/>
        </w:rPr>
      </w:pPr>
      <w:bookmarkStart w:id="157" w:name="_Toc13532"/>
      <w:r>
        <w:rPr>
          <w:rFonts w:hint="eastAsia" w:ascii="宋体" w:hAnsi="宋体" w:eastAsia="宋体" w:cs="宋体"/>
          <w:color w:val="auto"/>
          <w:sz w:val="28"/>
          <w:szCs w:val="28"/>
          <w:highlight w:val="none"/>
        </w:rPr>
        <w:t>10. 需要补充的其他内容</w:t>
      </w:r>
      <w:bookmarkEnd w:id="15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需要补充的其他内容：见投标人须知前附表。</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lang w:val="ru-RU"/>
        </w:rPr>
        <w:sectPr>
          <w:footerReference r:id="rId5" w:type="default"/>
          <w:pgSz w:w="11906" w:h="16838"/>
          <w:pgMar w:top="1304" w:right="1134" w:bottom="1304" w:left="1304" w:header="851" w:footer="992" w:gutter="0"/>
          <w:cols w:space="720" w:num="1"/>
          <w:docGrid w:type="lines" w:linePitch="312" w:charSpace="0"/>
        </w:sectPr>
      </w:pP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lang w:val="ru-RU"/>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附表一：开标记录表</w:t>
      </w:r>
      <w:r>
        <w:rPr>
          <w:rFonts w:hint="eastAsia" w:ascii="宋体" w:hAnsi="宋体" w:eastAsia="宋体" w:cs="宋体"/>
          <w:b/>
          <w:snapToGrid w:val="0"/>
          <w:color w:val="auto"/>
          <w:kern w:val="0"/>
          <w:highlight w:val="none"/>
          <w:lang w:eastAsia="zh-CN"/>
        </w:rPr>
        <w:t>（</w:t>
      </w:r>
      <w:r>
        <w:rPr>
          <w:rFonts w:hint="eastAsia" w:ascii="宋体" w:hAnsi="宋体" w:eastAsia="宋体" w:cs="宋体"/>
          <w:b/>
          <w:snapToGrid w:val="0"/>
          <w:color w:val="auto"/>
          <w:kern w:val="0"/>
          <w:highlight w:val="none"/>
          <w:lang w:val="en-US" w:eastAsia="zh-CN"/>
        </w:rPr>
        <w:t>仅供参考</w:t>
      </w:r>
      <w:r>
        <w:rPr>
          <w:rFonts w:hint="eastAsia" w:ascii="宋体" w:hAnsi="宋体" w:eastAsia="宋体" w:cs="宋体"/>
          <w:b/>
          <w:snapToGrid w:val="0"/>
          <w:color w:val="auto"/>
          <w:kern w:val="0"/>
          <w:highlight w:val="none"/>
          <w:lang w:eastAsia="zh-CN"/>
        </w:rPr>
        <w:t>）</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p>
    <w:p>
      <w:pPr>
        <w:tabs>
          <w:tab w:val="left" w:pos="3529"/>
          <w:tab w:val="left" w:pos="5060"/>
        </w:tabs>
        <w:autoSpaceDE w:val="0"/>
        <w:autoSpaceDN w:val="0"/>
        <w:adjustRightInd w:val="0"/>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u w:val="single"/>
          <w:lang w:val="en-US" w:eastAsia="zh-CN"/>
        </w:rPr>
        <w:t>项目名称</w:t>
      </w:r>
      <w:r>
        <w:rPr>
          <w:rFonts w:hint="eastAsia" w:ascii="宋体" w:hAnsi="宋体" w:eastAsia="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rPr>
        <w:t>开标记录表</w:t>
      </w:r>
    </w:p>
    <w:p>
      <w:pPr>
        <w:tabs>
          <w:tab w:val="left" w:pos="2260"/>
          <w:tab w:val="left" w:pos="506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b/>
          <w:snapToGrid w:val="0"/>
          <w:color w:val="auto"/>
          <w:kern w:val="0"/>
          <w:sz w:val="28"/>
          <w:szCs w:val="28"/>
          <w:highlight w:val="none"/>
        </w:rPr>
        <w:t xml:space="preserve">                             </w:t>
      </w:r>
      <w:r>
        <w:rPr>
          <w:rFonts w:hint="eastAsia" w:ascii="宋体" w:hAnsi="宋体" w:eastAsia="宋体" w:cs="宋体"/>
          <w:snapToGrid w:val="0"/>
          <w:color w:val="auto"/>
          <w:kern w:val="0"/>
          <w:szCs w:val="21"/>
          <w:highlight w:val="none"/>
        </w:rPr>
        <w:t>开标时间：</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372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97"/>
        <w:gridCol w:w="3827"/>
        <w:gridCol w:w="1134"/>
        <w:gridCol w:w="1418"/>
        <w:gridCol w:w="1275"/>
        <w:gridCol w:w="1276"/>
        <w:gridCol w:w="1134"/>
        <w:gridCol w:w="1134"/>
        <w:gridCol w:w="906"/>
        <w:gridCol w:w="102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序号</w:t>
            </w: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eastAsia="zh-CN"/>
              </w:rPr>
              <w:t>密封情况</w:t>
            </w: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投标总报价</w:t>
            </w: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质量目标</w:t>
            </w: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工期</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项目经理</w:t>
            </w: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项目总工</w:t>
            </w: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备注</w:t>
            </w: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最高限价</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异常情况</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rFonts w:hint="eastAsia" w:ascii="宋体" w:hAnsi="宋体" w:eastAsia="宋体" w:cs="宋体"/>
                <w:i/>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招标人代表：</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监标人：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主持人：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记录人：</w:t>
      </w:r>
      <w:r>
        <w:rPr>
          <w:rFonts w:hint="eastAsia" w:ascii="宋体" w:hAnsi="宋体" w:eastAsia="宋体" w:cs="宋体"/>
          <w:snapToGrid w:val="0"/>
          <w:color w:val="auto"/>
          <w:w w:val="200"/>
          <w:kern w:val="0"/>
          <w:szCs w:val="21"/>
          <w:highlight w:val="none"/>
          <w:u w:val="single"/>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Cs w:val="21"/>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二</w:t>
      </w:r>
      <w:r>
        <w:rPr>
          <w:rFonts w:hint="eastAsia" w:ascii="宋体" w:hAnsi="宋体" w:eastAsia="宋体" w:cs="宋体"/>
          <w:b/>
          <w:snapToGrid w:val="0"/>
          <w:color w:val="auto"/>
          <w:kern w:val="0"/>
          <w:highlight w:val="none"/>
        </w:rPr>
        <w:t>：</w:t>
      </w:r>
      <w:r>
        <w:rPr>
          <w:rFonts w:hint="eastAsia" w:ascii="宋体" w:hAnsi="宋体" w:eastAsia="宋体" w:cs="宋体"/>
          <w:b/>
          <w:snapToGrid w:val="0"/>
          <w:color w:val="auto"/>
          <w:w w:val="100"/>
          <w:kern w:val="0"/>
          <w:sz w:val="21"/>
          <w:szCs w:val="24"/>
          <w:highlight w:val="none"/>
          <w:u w:val="none"/>
          <w:lang w:val="en-US" w:eastAsia="zh-CN"/>
        </w:rPr>
        <w:t>纸质投标保函递交情况一览表（如有）</w:t>
      </w:r>
    </w:p>
    <w:p>
      <w:pPr>
        <w:autoSpaceDE w:val="0"/>
        <w:autoSpaceDN w:val="0"/>
        <w:adjustRightInd w:val="0"/>
        <w:snapToGrid w:val="0"/>
        <w:spacing w:before="62" w:beforeLines="20"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u w:val="single"/>
          <w:lang w:val="en-US" w:eastAsia="zh-CN"/>
        </w:rPr>
        <w:t>项目名称</w:t>
      </w:r>
      <w:r>
        <w:rPr>
          <w:rFonts w:hint="eastAsia" w:ascii="宋体" w:hAnsi="宋体" w:eastAsia="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u w:val="single"/>
          <w:lang w:val="en-US" w:eastAsia="zh-CN"/>
        </w:rPr>
        <w:t>纸质投标保函递交情况一览表</w:t>
      </w:r>
    </w:p>
    <w:p>
      <w:pPr>
        <w:autoSpaceDE w:val="0"/>
        <w:autoSpaceDN w:val="0"/>
        <w:adjustRightInd w:val="0"/>
        <w:snapToGrid w:val="0"/>
        <w:spacing w:before="62" w:beforeLines="20" w:line="360" w:lineRule="auto"/>
        <w:ind w:firstLine="8610" w:firstLineChars="4100"/>
        <w:jc w:val="both"/>
        <w:rPr>
          <w:rFonts w:hint="eastAsia" w:ascii="宋体" w:hAnsi="宋体" w:eastAsia="宋体" w:cs="宋体"/>
          <w:color w:val="auto"/>
          <w:szCs w:val="21"/>
          <w:highlight w:val="none"/>
          <w:lang w:val="en-US" w:eastAsia="zh-CN"/>
        </w:rPr>
      </w:pPr>
      <w:r>
        <w:rPr>
          <w:rFonts w:hint="eastAsia" w:ascii="宋体" w:hAnsi="宋体" w:eastAsia="宋体" w:cs="宋体"/>
          <w:snapToGrid w:val="0"/>
          <w:color w:val="auto"/>
          <w:kern w:val="0"/>
          <w:szCs w:val="21"/>
          <w:highlight w:val="none"/>
          <w:lang w:val="en-US" w:eastAsia="zh-CN"/>
        </w:rPr>
        <w:t>投标截止时间</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序号</w:t>
            </w: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投标人</w:t>
            </w: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金额（元）</w:t>
            </w: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递交时间</w:t>
            </w: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bl>
    <w:p>
      <w:pPr>
        <w:tabs>
          <w:tab w:val="left" w:pos="2740"/>
          <w:tab w:val="left" w:pos="4940"/>
          <w:tab w:val="left" w:pos="6930"/>
        </w:tabs>
        <w:autoSpaceDE w:val="0"/>
        <w:autoSpaceDN w:val="0"/>
        <w:adjustRightInd w:val="0"/>
        <w:snapToGrid w:val="0"/>
        <w:spacing w:line="360" w:lineRule="auto"/>
        <w:jc w:val="left"/>
        <w:rPr>
          <w:rFonts w:hint="eastAsia" w:ascii="宋体" w:hAnsi="宋体" w:eastAsia="宋体" w:cs="宋体"/>
          <w:snapToGrid w:val="0"/>
          <w:color w:val="auto"/>
          <w:w w:val="200"/>
          <w:kern w:val="0"/>
          <w:szCs w:val="21"/>
          <w:highlight w:val="none"/>
          <w:u w:val="single"/>
          <w:lang w:val="en-US"/>
        </w:rPr>
      </w:pP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sectPr>
          <w:pgSz w:w="16838" w:h="11906" w:orient="landscape"/>
          <w:pgMar w:top="1304" w:right="1304" w:bottom="1134" w:left="1304" w:header="851" w:footer="992" w:gutter="0"/>
          <w:cols w:space="720" w:num="1"/>
          <w:docGrid w:type="lines" w:linePitch="312" w:charSpace="0"/>
        </w:sectPr>
      </w:pP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三</w:t>
      </w:r>
      <w:r>
        <w:rPr>
          <w:rFonts w:hint="eastAsia" w:ascii="宋体" w:hAnsi="宋体" w:eastAsia="宋体" w:cs="宋体"/>
          <w:b/>
          <w:snapToGrid w:val="0"/>
          <w:color w:val="auto"/>
          <w:kern w:val="0"/>
          <w:highlight w:val="none"/>
        </w:rPr>
        <w:t>：问题澄清通知</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问题澄清通知</w:t>
      </w: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b/>
          <w:snapToGrid w:val="0"/>
          <w:color w:val="auto"/>
          <w:kern w:val="0"/>
          <w:sz w:val="24"/>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（投标人名称）</w:t>
      </w:r>
      <w:r>
        <w:rPr>
          <w:rFonts w:hint="eastAsia" w:ascii="宋体" w:hAnsi="宋体" w:eastAsia="宋体" w:cs="宋体"/>
          <w:snapToGrid w:val="0"/>
          <w:color w:val="auto"/>
          <w:kern w:val="0"/>
          <w:szCs w:val="21"/>
          <w:highlight w:val="none"/>
        </w:rPr>
        <w:t>：</w:t>
      </w:r>
    </w:p>
    <w:p>
      <w:pPr>
        <w:tabs>
          <w:tab w:val="left" w:pos="2320"/>
          <w:tab w:val="left" w:pos="4460"/>
        </w:tabs>
        <w:autoSpaceDE w:val="0"/>
        <w:autoSpaceDN w:val="0"/>
        <w:adjustRightInd w:val="0"/>
        <w:snapToGrid w:val="0"/>
        <w:spacing w:line="480" w:lineRule="auto"/>
        <w:ind w:firstLine="424" w:firstLineChars="101"/>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lang w:val="en-US" w:eastAsia="zh-CN"/>
        </w:rPr>
        <w:t>项目名称</w:t>
      </w:r>
      <w:r>
        <w:rPr>
          <w:rFonts w:hint="eastAsia" w:ascii="宋体" w:hAnsi="宋体" w:eastAsia="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rPr>
        <w:t>招标的评标委员会，对你方的投标文件进行了仔细的审查，现需你方对下列问题予以澄清：</w:t>
      </w:r>
    </w:p>
    <w:p>
      <w:pPr>
        <w:autoSpaceDE w:val="0"/>
        <w:autoSpaceDN w:val="0"/>
        <w:adjustRightInd w:val="0"/>
        <w:snapToGrid w:val="0"/>
        <w:spacing w:line="360" w:lineRule="auto"/>
        <w:jc w:val="left"/>
        <w:rPr>
          <w:rFonts w:hint="eastAsia" w:ascii="宋体" w:hAnsi="宋体" w:eastAsia="宋体" w:cs="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请将上述问题的澄清于</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时前提交。</w:t>
      </w:r>
    </w:p>
    <w:p>
      <w:pPr>
        <w:pStyle w:val="2"/>
        <w:rPr>
          <w:rFonts w:hint="eastAsia" w:ascii="宋体" w:hAnsi="宋体" w:eastAsia="宋体" w:cs="宋体"/>
          <w:color w:val="auto"/>
          <w:highlight w:val="none"/>
        </w:rPr>
      </w:pPr>
    </w:p>
    <w:p>
      <w:pPr>
        <w:tabs>
          <w:tab w:val="left" w:pos="640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评标委员会：</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p>
    <w:p>
      <w:pPr>
        <w:wordWrap w:val="0"/>
        <w:autoSpaceDE w:val="0"/>
        <w:autoSpaceDN w:val="0"/>
        <w:adjustRightInd w:val="0"/>
        <w:snapToGrid w:val="0"/>
        <w:spacing w:line="360" w:lineRule="auto"/>
        <w:ind w:firstLine="850" w:firstLineChars="40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四</w:t>
      </w:r>
      <w:r>
        <w:rPr>
          <w:rFonts w:hint="eastAsia" w:ascii="宋体" w:hAnsi="宋体" w:eastAsia="宋体" w:cs="宋体"/>
          <w:b/>
          <w:snapToGrid w:val="0"/>
          <w:color w:val="auto"/>
          <w:kern w:val="0"/>
          <w:highlight w:val="none"/>
        </w:rPr>
        <w:t>：问题的澄清</w:t>
      </w:r>
    </w:p>
    <w:p>
      <w:pPr>
        <w:autoSpaceDE w:val="0"/>
        <w:autoSpaceDN w:val="0"/>
        <w:adjustRightInd w:val="0"/>
        <w:snapToGrid w:val="0"/>
        <w:spacing w:line="360" w:lineRule="auto"/>
        <w:jc w:val="left"/>
        <w:rPr>
          <w:rFonts w:hint="eastAsia" w:ascii="宋体" w:hAnsi="宋体" w:eastAsia="宋体" w:cs="宋体"/>
          <w:b/>
          <w:snapToGrid w:val="0"/>
          <w:color w:val="auto"/>
          <w:kern w:val="0"/>
          <w:sz w:val="10"/>
          <w:szCs w:val="10"/>
          <w:highlight w:val="none"/>
        </w:rPr>
      </w:pPr>
    </w:p>
    <w:p>
      <w:pPr>
        <w:autoSpaceDE w:val="0"/>
        <w:autoSpaceDN w:val="0"/>
        <w:adjustRightInd w:val="0"/>
        <w:snapToGrid w:val="0"/>
        <w:spacing w:line="360" w:lineRule="auto"/>
        <w:rPr>
          <w:rFonts w:hint="eastAsia" w:ascii="宋体" w:hAnsi="宋体" w:eastAsia="宋体" w:cs="宋体"/>
          <w:b/>
          <w:snapToGrid w:val="0"/>
          <w:color w:val="auto"/>
          <w:w w:val="99"/>
          <w:kern w:val="0"/>
          <w:sz w:val="32"/>
          <w:szCs w:val="32"/>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问题的澄清</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lang w:val="en-US" w:eastAsia="zh-CN"/>
        </w:rPr>
        <w:t>项目名称</w:t>
      </w:r>
      <w:r>
        <w:rPr>
          <w:rFonts w:hint="eastAsia" w:ascii="宋体" w:hAnsi="宋体" w:eastAsia="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招标评标委员会：</w:t>
      </w:r>
    </w:p>
    <w:p>
      <w:pPr>
        <w:tabs>
          <w:tab w:val="left" w:pos="2000"/>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问题澄清通知（编号：</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2"/>
          <w:szCs w:val="22"/>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p>
    <w:p>
      <w:pPr>
        <w:tabs>
          <w:tab w:val="left" w:pos="6620"/>
          <w:tab w:val="left" w:pos="7040"/>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autoSpaceDE w:val="0"/>
        <w:autoSpaceDN w:val="0"/>
        <w:adjustRightInd w:val="0"/>
        <w:snapToGrid w:val="0"/>
        <w:spacing w:line="360" w:lineRule="auto"/>
        <w:jc w:val="right"/>
        <w:rPr>
          <w:rFonts w:hint="eastAsia" w:ascii="宋体" w:hAnsi="宋体" w:eastAsia="宋体" w:cs="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五</w:t>
      </w:r>
      <w:r>
        <w:rPr>
          <w:rFonts w:hint="eastAsia" w:ascii="宋体" w:hAnsi="宋体" w:eastAsia="宋体" w:cs="宋体"/>
          <w:b/>
          <w:snapToGrid w:val="0"/>
          <w:color w:val="auto"/>
          <w:kern w:val="0"/>
          <w:highlight w:val="none"/>
        </w:rPr>
        <w:t>：中标通知书</w:t>
      </w:r>
      <w:r>
        <w:rPr>
          <w:rFonts w:hint="eastAsia" w:ascii="宋体" w:hAnsi="宋体" w:eastAsia="宋体" w:cs="宋体"/>
          <w:b/>
          <w:snapToGrid w:val="0"/>
          <w:color w:val="auto"/>
          <w:kern w:val="0"/>
          <w:highlight w:val="none"/>
          <w:lang w:eastAsia="zh-CN"/>
        </w:rPr>
        <w:t>（</w:t>
      </w:r>
      <w:r>
        <w:rPr>
          <w:rFonts w:hint="eastAsia" w:ascii="宋体" w:hAnsi="宋体" w:eastAsia="宋体" w:cs="宋体"/>
          <w:b/>
          <w:snapToGrid w:val="0"/>
          <w:color w:val="auto"/>
          <w:kern w:val="0"/>
          <w:highlight w:val="none"/>
          <w:lang w:val="en-US" w:eastAsia="zh-CN"/>
        </w:rPr>
        <w:t>仅供参考</w:t>
      </w:r>
      <w:r>
        <w:rPr>
          <w:rFonts w:hint="eastAsia" w:ascii="宋体" w:hAnsi="宋体" w:eastAsia="宋体" w:cs="宋体"/>
          <w:b/>
          <w:snapToGrid w:val="0"/>
          <w:color w:val="auto"/>
          <w:kern w:val="0"/>
          <w:highlight w:val="none"/>
          <w:lang w:eastAsia="zh-CN"/>
        </w:rPr>
        <w:t>）</w:t>
      </w:r>
    </w:p>
    <w:p>
      <w:pPr>
        <w:autoSpaceDE w:val="0"/>
        <w:autoSpaceDN w:val="0"/>
        <w:adjustRightInd w:val="0"/>
        <w:spacing w:line="360" w:lineRule="auto"/>
        <w:jc w:val="left"/>
        <w:rPr>
          <w:rFonts w:hint="eastAsia" w:ascii="宋体" w:hAnsi="宋体" w:eastAsia="宋体" w:cs="宋体"/>
          <w:snapToGrid w:val="0"/>
          <w:color w:val="auto"/>
          <w:kern w:val="0"/>
          <w:sz w:val="20"/>
          <w:szCs w:val="20"/>
          <w:highlight w:val="none"/>
        </w:rPr>
      </w:pPr>
    </w:p>
    <w:p>
      <w:pPr>
        <w:widowControl/>
        <w:spacing w:before="100" w:beforeAutospacing="1" w:after="100" w:afterAutospacing="1"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kern w:val="0"/>
          <w:sz w:val="32"/>
          <w:szCs w:val="32"/>
          <w:highlight w:val="none"/>
        </w:rPr>
        <w:t>重庆市公路工程中标通知书</w:t>
      </w:r>
    </w:p>
    <w:p>
      <w:pPr>
        <w:spacing w:line="360" w:lineRule="auto"/>
        <w:rPr>
          <w:rFonts w:hint="eastAsia" w:ascii="宋体" w:hAnsi="宋体" w:eastAsia="宋体" w:cs="宋体"/>
          <w:bCs/>
          <w:color w:val="auto"/>
          <w:kern w:val="0"/>
          <w:szCs w:val="21"/>
          <w:highlight w:val="none"/>
          <w:u w:val="single"/>
        </w:rPr>
      </w:pP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中标单位</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我单位拟建的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u w:val="single"/>
          <w:lang w:eastAsia="zh-CN"/>
        </w:rPr>
        <w:t>（</w:t>
      </w:r>
      <w:r>
        <w:rPr>
          <w:rFonts w:hint="eastAsia" w:ascii="宋体" w:hAnsi="宋体" w:eastAsia="宋体" w:cs="宋体"/>
          <w:bCs/>
          <w:color w:val="auto"/>
          <w:kern w:val="0"/>
          <w:szCs w:val="21"/>
          <w:highlight w:val="none"/>
          <w:u w:val="single"/>
          <w:lang w:val="en-US" w:eastAsia="zh-CN"/>
        </w:rPr>
        <w:t>项目名称</w:t>
      </w:r>
      <w:r>
        <w:rPr>
          <w:rFonts w:hint="eastAsia" w:ascii="宋体" w:hAnsi="宋体" w:eastAsia="宋体" w:cs="宋体"/>
          <w:bCs/>
          <w:color w:val="auto"/>
          <w:kern w:val="0"/>
          <w:szCs w:val="21"/>
          <w:highlight w:val="none"/>
          <w:u w:val="single"/>
          <w:lang w:eastAsia="zh-CN"/>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于</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日开标，经评标委员会评定，确定你单位为中标人，中标额为（大写）</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。中标工程范围：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，工程规模为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，中标工期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日历天</w:t>
      </w:r>
      <w:r>
        <w:rPr>
          <w:rFonts w:hint="eastAsia" w:ascii="宋体" w:hAnsi="宋体" w:eastAsia="宋体" w:cs="宋体"/>
          <w:color w:val="auto"/>
          <w:kern w:val="0"/>
          <w:szCs w:val="21"/>
          <w:highlight w:val="none"/>
        </w:rPr>
        <w:t>，工程质量要求：</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，工程安全目标：</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，项目经理由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担任，项目总工由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你单位收到中标通知书后，在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日内到我单位签订承发包合同。</w:t>
      </w:r>
      <w:r>
        <w:rPr>
          <w:rFonts w:hint="eastAsia" w:ascii="宋体" w:hAnsi="宋体" w:eastAsia="宋体" w:cs="宋体"/>
          <w:color w:val="auto"/>
          <w:szCs w:val="21"/>
          <w:highlight w:val="none"/>
        </w:rPr>
        <w:t>在此之前按招标文件第二章“投标人须知”第7.7款规定向我方提交履约担保。</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特此通知。</w:t>
      </w:r>
    </w:p>
    <w:p>
      <w:pPr>
        <w:spacing w:line="480" w:lineRule="auto"/>
        <w:rPr>
          <w:rFonts w:hint="eastAsia" w:ascii="宋体" w:hAnsi="宋体" w:eastAsia="宋体" w:cs="宋体"/>
          <w:color w:val="auto"/>
          <w:kern w:val="0"/>
          <w:szCs w:val="21"/>
          <w:highlight w:val="none"/>
        </w:rPr>
      </w:pPr>
    </w:p>
    <w:p>
      <w:pPr>
        <w:spacing w:line="480" w:lineRule="auto"/>
        <w:rPr>
          <w:rFonts w:hint="eastAsia" w:ascii="宋体" w:hAnsi="宋体" w:eastAsia="宋体" w:cs="宋体"/>
          <w:color w:val="auto"/>
          <w:kern w:val="0"/>
          <w:sz w:val="24"/>
          <w:highlight w:val="none"/>
        </w:rPr>
      </w:pPr>
    </w:p>
    <w:p>
      <w:pPr>
        <w:spacing w:line="480" w:lineRule="auto"/>
        <w:rPr>
          <w:rFonts w:hint="eastAsia" w:ascii="宋体" w:hAnsi="宋体" w:eastAsia="宋体" w:cs="宋体"/>
          <w:color w:val="auto"/>
          <w:kern w:val="0"/>
          <w:sz w:val="24"/>
          <w:highlight w:val="none"/>
        </w:rPr>
      </w:pP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Cs w:val="21"/>
          <w:highlight w:val="none"/>
        </w:rPr>
        <w:t>招标人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snapToGrid w:val="0"/>
          <w:color w:val="auto"/>
          <w:kern w:val="0"/>
          <w:szCs w:val="21"/>
          <w:highlight w:val="none"/>
        </w:rPr>
        <w:t>盖单位法人章</w:t>
      </w:r>
      <w:r>
        <w:rPr>
          <w:rFonts w:hint="eastAsia" w:ascii="宋体" w:hAnsi="宋体" w:eastAsia="宋体" w:cs="宋体"/>
          <w:color w:val="auto"/>
          <w:kern w:val="0"/>
          <w:szCs w:val="21"/>
          <w:highlight w:val="none"/>
        </w:rPr>
        <w:t>）</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法定代表人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联系人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联系电话</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签发日期</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200" w:lineRule="exact"/>
        <w:rPr>
          <w:rFonts w:hint="eastAsia" w:ascii="宋体" w:hAnsi="宋体" w:eastAsia="宋体" w:cs="宋体"/>
          <w:color w:val="auto"/>
          <w:kern w:val="0"/>
          <w:highlight w:val="none"/>
        </w:rPr>
      </w:pPr>
      <w:r>
        <w:rPr>
          <w:rFonts w:hint="eastAsia" w:ascii="宋体" w:hAnsi="宋体" w:eastAsia="宋体" w:cs="宋体"/>
          <w:snapToGrid w:val="0"/>
          <w:color w:val="auto"/>
          <w:kern w:val="0"/>
          <w:highlight w:val="none"/>
        </w:rPr>
        <w:br w:type="page"/>
      </w:r>
      <w:bookmarkStart w:id="158" w:name="_Toc224103370"/>
    </w:p>
    <w:bookmarkEnd w:id="158"/>
    <w:p>
      <w:pPr>
        <w:pStyle w:val="3"/>
        <w:spacing w:line="360" w:lineRule="auto"/>
        <w:jc w:val="center"/>
        <w:rPr>
          <w:rFonts w:hint="eastAsia" w:ascii="宋体" w:hAnsi="宋体" w:eastAsia="宋体" w:cs="宋体"/>
          <w:b w:val="0"/>
          <w:bCs w:val="0"/>
          <w:color w:val="auto"/>
          <w:highlight w:val="none"/>
        </w:rPr>
      </w:pPr>
      <w:bookmarkStart w:id="159" w:name="招标文件03章02评标办法综合评估法00"/>
      <w:bookmarkEnd w:id="159"/>
      <w:bookmarkStart w:id="160" w:name="招标文件03章02评标办法综合评估法"/>
      <w:bookmarkEnd w:id="160"/>
      <w:bookmarkStart w:id="161" w:name="_Toc8129"/>
      <w:bookmarkStart w:id="162" w:name="_Toc509218774"/>
      <w:bookmarkStart w:id="163" w:name="_Toc200513198"/>
      <w:bookmarkStart w:id="164" w:name="_Toc287620751"/>
      <w:bookmarkStart w:id="165" w:name="_Toc277082618"/>
      <w:bookmarkStart w:id="166" w:name="_Toc287607812"/>
      <w:bookmarkStart w:id="167" w:name="_Toc430530500"/>
      <w:bookmarkStart w:id="168" w:name="_Toc224103384"/>
      <w:r>
        <w:rPr>
          <w:rFonts w:hint="eastAsia" w:ascii="宋体" w:hAnsi="宋体" w:eastAsia="宋体" w:cs="宋体"/>
          <w:color w:val="auto"/>
          <w:highlight w:val="none"/>
        </w:rPr>
        <w:t>第三章  评标办法（综合评估法）</w:t>
      </w:r>
      <w:bookmarkEnd w:id="161"/>
      <w:bookmarkEnd w:id="162"/>
      <w:bookmarkStart w:id="169" w:name="_Toc277082617"/>
      <w:bookmarkStart w:id="170" w:name="_Toc287620750"/>
      <w:bookmarkStart w:id="171" w:name="_Toc224103383"/>
      <w:bookmarkStart w:id="172" w:name="_Toc287607811"/>
      <w:bookmarkStart w:id="173" w:name="_Toc430530499"/>
    </w:p>
    <w:bookmarkEnd w:id="163"/>
    <w:bookmarkEnd w:id="164"/>
    <w:bookmarkEnd w:id="165"/>
    <w:bookmarkEnd w:id="166"/>
    <w:bookmarkEnd w:id="167"/>
    <w:bookmarkEnd w:id="168"/>
    <w:bookmarkEnd w:id="169"/>
    <w:bookmarkEnd w:id="170"/>
    <w:bookmarkEnd w:id="171"/>
    <w:bookmarkEnd w:id="172"/>
    <w:bookmarkEnd w:id="173"/>
    <w:p>
      <w:pPr>
        <w:pStyle w:val="4"/>
        <w:spacing w:before="100" w:after="100" w:line="360" w:lineRule="auto"/>
        <w:rPr>
          <w:rFonts w:hint="eastAsia" w:ascii="宋体" w:hAnsi="宋体" w:eastAsia="宋体" w:cs="宋体"/>
          <w:bCs w:val="0"/>
          <w:color w:val="auto"/>
          <w:sz w:val="28"/>
          <w:szCs w:val="28"/>
          <w:highlight w:val="none"/>
        </w:rPr>
      </w:pPr>
      <w:bookmarkStart w:id="174" w:name="_Toc9615"/>
      <w:r>
        <w:rPr>
          <w:rFonts w:hint="eastAsia" w:ascii="宋体" w:hAnsi="宋体" w:eastAsia="宋体" w:cs="宋体"/>
          <w:bCs w:val="0"/>
          <w:color w:val="auto"/>
          <w:sz w:val="28"/>
          <w:szCs w:val="28"/>
          <w:highlight w:val="none"/>
        </w:rPr>
        <w:t>评标办法前附表</w:t>
      </w:r>
      <w:bookmarkEnd w:id="174"/>
    </w:p>
    <w:p>
      <w:pPr>
        <w:spacing w:line="400" w:lineRule="exact"/>
        <w:ind w:firstLine="420"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zCs w:val="21"/>
          <w:highlight w:val="none"/>
        </w:rPr>
        <w:t>评标办法中的评审内容必须和投标人须知中的对应内容一致，若投标人须知中未作要求的内容，不得列入评标办法作为评定依据。</w:t>
      </w:r>
    </w:p>
    <w:tbl>
      <w:tblPr>
        <w:tblStyle w:val="34"/>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99"/>
        <w:gridCol w:w="705"/>
        <w:gridCol w:w="1650"/>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条款号</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评审因素</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jc w:val="center"/>
              <w:rPr>
                <w:rFonts w:hint="eastAsia" w:ascii="宋体" w:hAnsi="宋体" w:eastAsia="宋体" w:cs="宋体"/>
                <w:b/>
                <w:color w:val="auto"/>
                <w:highlight w:val="none"/>
              </w:rPr>
            </w:pPr>
            <w:r>
              <w:rPr>
                <w:rFonts w:hint="eastAsia" w:ascii="宋体" w:hAnsi="宋体" w:eastAsia="宋体" w:cs="宋体"/>
                <w:b/>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评标办法</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36" w:firstLineChars="200"/>
              <w:jc w:val="both"/>
              <w:rPr>
                <w:rFonts w:hint="eastAsia" w:ascii="宋体" w:hAnsi="宋体" w:eastAsia="宋体" w:cs="宋体"/>
                <w:i/>
                <w:color w:val="auto"/>
                <w:spacing w:val="4"/>
                <w:kern w:val="0"/>
                <w:szCs w:val="21"/>
                <w:highlight w:val="none"/>
              </w:rPr>
            </w:pPr>
            <w:r>
              <w:rPr>
                <w:rFonts w:hint="eastAsia" w:ascii="宋体" w:hAnsi="宋体" w:eastAsia="宋体" w:cs="宋体"/>
                <w:color w:val="auto"/>
                <w:spacing w:val="4"/>
                <w:kern w:val="0"/>
                <w:szCs w:val="21"/>
                <w:highlight w:val="none"/>
              </w:rPr>
              <w:t>本次评标采用综合评分法，若出现投标人综合评分相等时，评标委员会依次按照以下优先顺序推荐中标候选人：以评标价低的优先；若出现评标价相同的，</w:t>
            </w:r>
            <w:r>
              <w:rPr>
                <w:rFonts w:hint="eastAsia" w:ascii="宋体" w:hAnsi="宋体" w:eastAsia="宋体" w:cs="宋体"/>
                <w:spacing w:val="4"/>
                <w:kern w:val="0"/>
                <w:sz w:val="21"/>
                <w:szCs w:val="21"/>
                <w:highlight w:val="none"/>
                <w:lang w:val="en-US" w:eastAsia="zh-CN" w:bidi="ar"/>
              </w:rPr>
              <w:t>由评标委员会按照由评标委员会按照优先免缴投标担保和履约担保单位的原则排序，若均为免缴单位，则以递交投标文件先后顺序，若均不为免缴单位，则以缴纳投标保证金的先后顺序排列。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bookmarkStart w:id="175" w:name="OLE_LINK2" w:colFirst="2" w:colLast="2"/>
            <w:r>
              <w:rPr>
                <w:rFonts w:hint="eastAsia" w:ascii="宋体" w:hAnsi="宋体" w:eastAsia="宋体" w:cs="宋体"/>
                <w:color w:val="auto"/>
                <w:kern w:val="0"/>
                <w:highlight w:val="none"/>
              </w:rPr>
              <w:t>2.1.1</w:t>
            </w:r>
          </w:p>
        </w:tc>
        <w:tc>
          <w:tcPr>
            <w:tcW w:w="1599"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资格评审标准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资质条件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营业执照</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安全生产条件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关键设备授权要求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业绩要求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szCs w:val="21"/>
                <w:highlight w:val="none"/>
              </w:rPr>
              <w:t>投标截止日投标资格情况</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项目经理资格要求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项目总工资格要求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eastAsia="zh-CN"/>
              </w:rPr>
              <w:t>专职安全员资格要求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leftChars="0" w:right="0" w:right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其他要求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bookmarkEnd w:id="1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2.1.2</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形式评审标准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投标人名称</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与营业执照、资质证书、安全生产许可证一致，依法变更名称的应提交相应证明材料。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投标文件格式</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符合第二章“投标人须知”第3.7款的要求（不含投标函部分）。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eastAsia="zh-CN"/>
              </w:rPr>
              <w:t>投标文件份数</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投标文件的签署</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投标文件</w:t>
            </w:r>
            <w:r>
              <w:rPr>
                <w:rFonts w:hint="eastAsia" w:ascii="宋体" w:hAnsi="宋体" w:eastAsia="宋体" w:cs="宋体"/>
                <w:color w:val="auto"/>
                <w:kern w:val="0"/>
                <w:highlight w:val="none"/>
                <w:lang w:val="en-US" w:eastAsia="zh-CN"/>
              </w:rPr>
              <w:t>格式</w:t>
            </w:r>
            <w:r>
              <w:rPr>
                <w:rFonts w:hint="eastAsia" w:ascii="宋体" w:hAnsi="宋体" w:eastAsia="宋体" w:cs="宋体"/>
                <w:color w:val="auto"/>
                <w:kern w:val="0"/>
                <w:highlight w:val="none"/>
              </w:rPr>
              <w:t>（不含投标函部分）要求法定代表人或其委托代理人签名（或盖章）的须齐全</w:t>
            </w:r>
            <w:r>
              <w:rPr>
                <w:rFonts w:hint="eastAsia" w:ascii="宋体" w:hAnsi="宋体" w:eastAsia="宋体" w:cs="宋体"/>
                <w:color w:val="auto"/>
                <w:kern w:val="0"/>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投标文件</w:t>
            </w:r>
            <w:r>
              <w:rPr>
                <w:rFonts w:hint="eastAsia" w:ascii="宋体" w:hAnsi="宋体" w:eastAsia="宋体" w:cs="宋体"/>
                <w:color w:val="auto"/>
                <w:kern w:val="0"/>
                <w:highlight w:val="none"/>
                <w:lang w:val="en-US" w:eastAsia="zh-CN"/>
              </w:rPr>
              <w:t>格式</w:t>
            </w:r>
            <w:r>
              <w:rPr>
                <w:rFonts w:hint="eastAsia" w:ascii="宋体" w:hAnsi="宋体" w:eastAsia="宋体" w:cs="宋体"/>
                <w:color w:val="auto"/>
                <w:kern w:val="0"/>
                <w:highlight w:val="none"/>
              </w:rPr>
              <w:t>（不含投标函部分）要求</w:t>
            </w:r>
            <w:r>
              <w:rPr>
                <w:rFonts w:hint="eastAsia" w:ascii="宋体" w:hAnsi="宋体" w:eastAsia="宋体" w:cs="宋体"/>
                <w:color w:val="auto"/>
                <w:kern w:val="0"/>
                <w:highlight w:val="none"/>
                <w:lang w:val="en-US" w:eastAsia="zh-CN"/>
              </w:rPr>
              <w:t>加盖单位法人章的，应加盖投标人的单位法人章。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投标人法定代表人的委托代理人有法定代表人签署的授权委托书和投标人为其缴纳的养老保险。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2.1.3</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响应性评审标准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投标内容</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投标函附录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投标函附录的所有数据均符合招标文件规定</w:t>
            </w:r>
            <w:r>
              <w:rPr>
                <w:rFonts w:hint="eastAsia" w:ascii="宋体" w:hAnsi="宋体" w:eastAsia="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投标保证金</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01"/>
                <w:tab w:val="left" w:pos="669"/>
              </w:tabs>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符合第二章投标人须知前附表第3.4款</w:t>
            </w:r>
            <w:r>
              <w:rPr>
                <w:rFonts w:hint="eastAsia" w:ascii="宋体" w:hAnsi="宋体" w:eastAsia="宋体" w:cs="宋体"/>
                <w:color w:val="auto"/>
                <w:kern w:val="0"/>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权利义务</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符合第四章“合同条款及格式”规定，投标文件不应附有招标人不能接受的条件。（由投标人承诺，承诺书格式详见第九章投标文件格式。）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技术标准和要求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符合第七章“技术标准和要求”规定。（由投标人承诺，承诺书格式详见第九章投标文件格式。）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实质性要求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符合第二章“投标人须知”第1.4.3项规定。</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本次投标不得有串通投标、弄虚作假等其他违反招投标相关法律、法规行为。</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lang w:bidi="ar"/>
              </w:rPr>
              <w:t>分值构成（总分 100 分）</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1.技术部分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20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highlight w:val="none"/>
              </w:rPr>
              <w:t>商务部分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10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3.投标总报价</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70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（1）</w:t>
            </w:r>
          </w:p>
        </w:tc>
        <w:tc>
          <w:tcPr>
            <w:tcW w:w="159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技术部分评分标准</w:t>
            </w:r>
          </w:p>
        </w:tc>
        <w:tc>
          <w:tcPr>
            <w:tcW w:w="705" w:type="dxa"/>
            <w:vMerge w:val="restart"/>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术</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方</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案</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审</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lang w:val="en-US" w:eastAsia="zh-CN"/>
              </w:rPr>
              <w:t>关键设备（5分）</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0" w:afterAutospacing="0" w:line="400" w:lineRule="exact"/>
              <w:ind w:left="0" w:right="0" w:firstLine="420" w:firstLineChars="200"/>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1、变压器或高低压开关柜生产厂家每具有一个高速公路类似设备应用业绩且该业绩所供设备稳定运行时间超过10年的得1分，满分2分。</w:t>
            </w:r>
          </w:p>
          <w:p>
            <w:pPr>
              <w:keepNext w:val="0"/>
              <w:keepLines w:val="0"/>
              <w:suppressLineNumbers w:val="0"/>
              <w:spacing w:before="0" w:beforeAutospacing="0" w:after="0" w:afterLines="0" w:afterAutospacing="0" w:line="400" w:lineRule="exact"/>
              <w:ind w:left="0" w:right="0" w:firstLine="420" w:firstLineChars="200"/>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变压器及高低压开关柜等关键设备生产厂家在重庆有售后服务团队，能够提供良好的售后服务。提供售后服务方案，根据售后服务响应时间、售后服务团队配置等售后方案情况进行评分，售后响应及时性高、人员配备到位得2.4~3分，售后响应及时性较高、人员配备一般得1.8~2.4分，售后响应及时性不高、人员配备不到位，在重庆无售后服务团队得0~1.8分。</w:t>
            </w:r>
          </w:p>
          <w:p>
            <w:pPr>
              <w:keepNext w:val="0"/>
              <w:keepLines w:val="0"/>
              <w:suppressLineNumbers w:val="0"/>
              <w:spacing w:before="0" w:beforeAutospacing="0" w:after="0" w:afterLines="0" w:afterAutospacing="0" w:line="400" w:lineRule="exact"/>
              <w:ind w:left="0" w:right="0" w:firstLine="420" w:firstLineChars="200"/>
              <w:rPr>
                <w:rFonts w:hint="eastAsia" w:ascii="宋体" w:hAnsi="宋体" w:eastAsia="宋体" w:cs="宋体"/>
                <w:highlight w:val="none"/>
                <w:lang w:val="en-US"/>
              </w:rPr>
            </w:pPr>
            <w:r>
              <w:rPr>
                <w:rFonts w:hint="eastAsia" w:ascii="宋体" w:hAnsi="宋体" w:eastAsia="宋体" w:cs="宋体"/>
                <w:kern w:val="0"/>
                <w:sz w:val="21"/>
                <w:szCs w:val="21"/>
                <w:highlight w:val="none"/>
                <w:lang w:val="en-US" w:eastAsia="zh-CN" w:bidi="ar-SA"/>
              </w:rPr>
              <w:t>注：提供相应业主证明材料及售后服务方案并加盖投标单位法人章。</w:t>
            </w:r>
            <w:r>
              <w:rPr>
                <w:rFonts w:hint="eastAsia" w:ascii="宋体" w:hAnsi="宋体" w:eastAsia="宋体" w:cs="宋体"/>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705" w:type="dxa"/>
            <w:vMerge w:val="continue"/>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lang w:val="en-US" w:eastAsia="zh-CN"/>
              </w:rPr>
              <w:t>施工组织设计（15分）</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从总体施工组织布置及规划，主要工程项目的施工方案、方法与技术措施，工期（需包含设备供应计划、人员、机械安排计划等）和资金保证体系及保证措施，工程质量、安全、环保、水保管理体系及保证措施，项目风险预测与防范，事故应急预案，支付保障措施（有关民工工资等的按期支付保证措施），交通组织方案，缺陷责任期配合措施等各个方面进行施工组织设计编制。</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施工组织设计编制合理、可实施性高得15~12分；施工组织设计编制较合理、可实施性较高得12~9分；施工组织设计编制不合理、可实施性不高得9~0分。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0" w:type="dxa"/>
            <w:vMerge w:val="restart"/>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商务部分评分标准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lang w:bidi="ar"/>
              </w:rPr>
              <w:t>业绩</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u w:val="single"/>
                <w:lang w:val="en-US" w:eastAsia="zh-CN" w:bidi="ar"/>
              </w:rPr>
              <w:t>7</w:t>
            </w:r>
            <w:r>
              <w:rPr>
                <w:rFonts w:hint="eastAsia" w:ascii="宋体" w:hAnsi="宋体" w:eastAsia="宋体" w:cs="宋体"/>
                <w:color w:val="auto"/>
                <w:kern w:val="0"/>
                <w:szCs w:val="21"/>
                <w:highlight w:val="none"/>
                <w:lang w:bidi="ar"/>
              </w:rPr>
              <w:t>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1.满足资格条件的业绩要求得3分；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2.在满足资格要求基础上，2019年1月1日至投标截止日（以合同签订时间为准），投标人每额外完成一个合同额900万元以上的电力安装工程或机电安装工程</w:t>
            </w:r>
            <w:r>
              <w:rPr>
                <w:rFonts w:hint="eastAsia" w:ascii="宋体" w:hAnsi="宋体" w:eastAsia="宋体" w:cs="宋体"/>
                <w:color w:val="auto"/>
                <w:kern w:val="0"/>
                <w:highlight w:val="none"/>
                <w:u w:val="none"/>
                <w:lang w:val="en-US" w:eastAsia="zh-CN"/>
              </w:rPr>
              <w:t>（需为</w:t>
            </w:r>
            <w:r>
              <w:rPr>
                <w:rFonts w:hint="eastAsia" w:ascii="宋体" w:hAnsi="宋体" w:eastAsia="宋体" w:cs="宋体"/>
                <w:snapToGrid w:val="0"/>
                <w:color w:val="auto"/>
                <w:kern w:val="0"/>
                <w:szCs w:val="21"/>
                <w:highlight w:val="none"/>
                <w:u w:val="none"/>
              </w:rPr>
              <w:t>含</w:t>
            </w:r>
            <w:r>
              <w:rPr>
                <w:rFonts w:hint="eastAsia" w:ascii="宋体" w:hAnsi="宋体" w:eastAsia="宋体" w:cs="宋体"/>
                <w:snapToGrid w:val="0"/>
                <w:color w:val="auto"/>
                <w:kern w:val="0"/>
                <w:szCs w:val="21"/>
                <w:highlight w:val="none"/>
                <w:u w:val="none"/>
                <w:lang w:val="en-US" w:eastAsia="zh-CN"/>
              </w:rPr>
              <w:t>供配电工程相关内容的</w:t>
            </w:r>
            <w:r>
              <w:rPr>
                <w:rFonts w:hint="eastAsia" w:ascii="宋体" w:hAnsi="宋体" w:eastAsia="宋体" w:cs="宋体"/>
                <w:snapToGrid w:val="0"/>
                <w:color w:val="auto"/>
                <w:kern w:val="0"/>
                <w:szCs w:val="21"/>
                <w:highlight w:val="none"/>
                <w:u w:val="none"/>
              </w:rPr>
              <w:t>市政、房建、公路等领域</w:t>
            </w:r>
            <w:r>
              <w:rPr>
                <w:rFonts w:hint="eastAsia" w:ascii="宋体" w:hAnsi="宋体" w:eastAsia="宋体" w:cs="宋体"/>
                <w:snapToGrid w:val="0"/>
                <w:color w:val="auto"/>
                <w:kern w:val="0"/>
                <w:szCs w:val="21"/>
                <w:highlight w:val="none"/>
                <w:u w:val="none"/>
                <w:lang w:eastAsia="zh-CN"/>
              </w:rPr>
              <w:t>的</w:t>
            </w:r>
            <w:r>
              <w:rPr>
                <w:rFonts w:hint="eastAsia" w:ascii="宋体" w:hAnsi="宋体" w:eastAsia="宋体" w:cs="宋体"/>
                <w:snapToGrid w:val="0"/>
                <w:color w:val="auto"/>
                <w:kern w:val="0"/>
                <w:szCs w:val="21"/>
                <w:highlight w:val="none"/>
                <w:u w:val="none"/>
              </w:rPr>
              <w:t>机电安装工程</w:t>
            </w:r>
            <w:r>
              <w:rPr>
                <w:rFonts w:hint="eastAsia" w:ascii="宋体" w:hAnsi="宋体" w:eastAsia="宋体" w:cs="宋体"/>
                <w:color w:val="auto"/>
                <w:kern w:val="0"/>
                <w:highlight w:val="none"/>
                <w:u w:val="none"/>
                <w:lang w:val="en-US" w:eastAsia="zh-CN"/>
              </w:rPr>
              <w:t>）业绩</w:t>
            </w:r>
            <w:r>
              <w:rPr>
                <w:rFonts w:hint="eastAsia" w:ascii="宋体" w:hAnsi="宋体" w:eastAsia="宋体" w:cs="宋体"/>
                <w:color w:val="auto"/>
                <w:kern w:val="0"/>
                <w:highlight w:val="none"/>
                <w:lang w:val="en-US" w:eastAsia="zh-CN"/>
              </w:rPr>
              <w:t>的得1分，满分2分。</w:t>
            </w:r>
          </w:p>
          <w:p>
            <w:pPr>
              <w:keepNext w:val="0"/>
              <w:keepLines w:val="0"/>
              <w:numPr>
                <w:ilvl w:val="-1"/>
                <w:numId w:val="0"/>
              </w:numPr>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color w:val="auto"/>
                <w:kern w:val="0"/>
                <w:sz w:val="21"/>
                <w:szCs w:val="24"/>
                <w:highlight w:val="none"/>
                <w:lang w:val="en-US" w:eastAsia="zh-CN"/>
              </w:rPr>
            </w:pPr>
            <w:r>
              <w:rPr>
                <w:rFonts w:hint="eastAsia" w:ascii="宋体" w:hAnsi="宋体" w:eastAsia="宋体" w:cs="宋体"/>
                <w:color w:val="auto"/>
                <w:kern w:val="0"/>
                <w:sz w:val="21"/>
                <w:szCs w:val="24"/>
                <w:highlight w:val="none"/>
                <w:lang w:val="en-US" w:eastAsia="zh-CN"/>
              </w:rPr>
              <w:t>3.在满足资格要求基础上，2019年1月1日至投标截止日(以合同签订时间为准），所投变压器生产厂家每额外完成一个合同额50万元以上的变压器供货业绩的得1分，满分1分。</w:t>
            </w:r>
          </w:p>
          <w:p>
            <w:pPr>
              <w:keepNext w:val="0"/>
              <w:keepLines w:val="0"/>
              <w:numPr>
                <w:ilvl w:val="-1"/>
                <w:numId w:val="0"/>
              </w:numPr>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color w:val="auto"/>
                <w:kern w:val="0"/>
                <w:sz w:val="21"/>
                <w:szCs w:val="24"/>
                <w:highlight w:val="none"/>
              </w:rPr>
            </w:pPr>
            <w:r>
              <w:rPr>
                <w:rFonts w:hint="eastAsia" w:ascii="宋体" w:hAnsi="宋体" w:eastAsia="宋体" w:cs="宋体"/>
                <w:color w:val="auto"/>
                <w:kern w:val="0"/>
                <w:sz w:val="21"/>
                <w:szCs w:val="24"/>
                <w:highlight w:val="none"/>
                <w:lang w:val="en-US" w:eastAsia="zh-CN"/>
              </w:rPr>
              <w:t>4.在满足资格要求基础上，2019年1月1日至投标截止日（以合同签订时间为准），所投高低压开关柜生产厂家每额外完成一个合同额150万元以上的高低压柜供货业绩的得1分，满分1分。</w:t>
            </w:r>
          </w:p>
          <w:p>
            <w:pPr>
              <w:keepNext w:val="0"/>
              <w:keepLines w:val="0"/>
              <w:suppressLineNumbers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 w:val="21"/>
                <w:szCs w:val="24"/>
                <w:highlight w:val="none"/>
                <w:lang w:val="en-US" w:eastAsia="zh-CN"/>
              </w:rPr>
            </w:pPr>
            <w:r>
              <w:rPr>
                <w:rFonts w:hint="eastAsia" w:ascii="宋体" w:hAnsi="宋体" w:eastAsia="宋体" w:cs="宋体"/>
                <w:color w:val="auto"/>
                <w:kern w:val="0"/>
                <w:sz w:val="21"/>
                <w:szCs w:val="24"/>
                <w:highlight w:val="none"/>
              </w:rPr>
              <w:t>注：</w:t>
            </w:r>
            <w:r>
              <w:rPr>
                <w:rFonts w:hint="eastAsia" w:ascii="宋体" w:hAnsi="宋体" w:eastAsia="宋体" w:cs="宋体"/>
                <w:color w:val="auto"/>
                <w:kern w:val="0"/>
                <w:sz w:val="21"/>
                <w:szCs w:val="24"/>
                <w:highlight w:val="none"/>
                <w:lang w:val="en-US" w:eastAsia="zh-CN"/>
              </w:rPr>
              <w:t>（1）电力安装工程项目或机电安装工程项目业绩：</w:t>
            </w:r>
            <w:r>
              <w:rPr>
                <w:rFonts w:hint="eastAsia" w:ascii="宋体" w:hAnsi="宋体" w:cs="宋体"/>
                <w:color w:val="auto"/>
                <w:kern w:val="0"/>
                <w:sz w:val="21"/>
                <w:szCs w:val="24"/>
                <w:highlight w:val="none"/>
                <w:lang w:val="en-US" w:eastAsia="zh-CN"/>
              </w:rPr>
              <w:t>提供业绩</w:t>
            </w:r>
            <w:r>
              <w:rPr>
                <w:rFonts w:hint="eastAsia" w:ascii="宋体" w:hAnsi="宋体" w:eastAsia="宋体" w:cs="宋体"/>
                <w:color w:val="auto"/>
                <w:kern w:val="0"/>
                <w:sz w:val="21"/>
                <w:szCs w:val="24"/>
                <w:highlight w:val="none"/>
                <w:lang w:val="en-US" w:eastAsia="zh-CN"/>
              </w:rPr>
              <w:t>在“全国建筑市场监管公共服务平台”或“全国公路建设市场信用信息管理系统”的信息截图，截图内容至少需含项目名称、项目发包单位及施工单位名称；若截图能完全体现实施金额、工作内容、交竣工等全部信息，则无需提供其他资料，否则需提供合同及交工（</w:t>
            </w:r>
            <w:r>
              <w:rPr>
                <w:rFonts w:hint="eastAsia" w:ascii="宋体" w:hAnsi="宋体" w:cs="宋体"/>
                <w:color w:val="auto"/>
                <w:kern w:val="0"/>
                <w:sz w:val="21"/>
                <w:szCs w:val="24"/>
                <w:highlight w:val="none"/>
                <w:lang w:val="en-US" w:eastAsia="zh-CN"/>
              </w:rPr>
              <w:t>或</w:t>
            </w:r>
            <w:r>
              <w:rPr>
                <w:rFonts w:hint="eastAsia" w:ascii="宋体" w:hAnsi="宋体" w:eastAsia="宋体" w:cs="宋体"/>
                <w:color w:val="auto"/>
                <w:kern w:val="0"/>
                <w:sz w:val="21"/>
                <w:szCs w:val="24"/>
                <w:highlight w:val="none"/>
                <w:lang w:val="en-US" w:eastAsia="zh-CN"/>
              </w:rPr>
              <w:t>竣工）验收资料复印件并加盖投标单位法人章。</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sz w:val="21"/>
                <w:szCs w:val="24"/>
                <w:highlight w:val="none"/>
                <w:lang w:val="en-US" w:eastAsia="zh-CN"/>
              </w:rPr>
              <w:t>（2）变压器或高低压柜业绩：提供所投变压器或高低压柜生产厂家供货合同复印件、增值税专用发票复印件以及所对应发票的真伪查询结果并加盖投标单位法人章。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财务能力</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val="en-US" w:eastAsia="zh-CN" w:bidi="ar"/>
              </w:rPr>
              <w:t>3分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投标人2020年、2021年以及2022年经营状况良好，3年均不亏损得3分，仅有2年不亏损得2分，有1年不亏损得1分，3年均存在亏损不得分，满分3分。</w:t>
            </w:r>
          </w:p>
          <w:p>
            <w:pPr>
              <w:pStyle w:val="33"/>
              <w:keepNext w:val="0"/>
              <w:keepLines w:val="0"/>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highlight w:val="none"/>
                <w:lang w:val="en-US"/>
              </w:rPr>
            </w:pPr>
            <w:r>
              <w:rPr>
                <w:rFonts w:hint="eastAsia" w:ascii="宋体" w:hAnsi="宋体" w:eastAsia="宋体" w:cs="宋体"/>
                <w:color w:val="auto"/>
                <w:kern w:val="0"/>
                <w:highlight w:val="none"/>
                <w:lang w:val="en-US" w:eastAsia="zh-CN"/>
              </w:rPr>
              <w:t>注：提供第三方审计机构出具的财务报告复印件并加盖</w:t>
            </w:r>
            <w:r>
              <w:rPr>
                <w:rFonts w:hint="eastAsia" w:ascii="宋体" w:hAnsi="宋体" w:eastAsia="宋体" w:cs="宋体"/>
                <w:szCs w:val="21"/>
                <w:highlight w:val="none"/>
              </w:rPr>
              <w:t>投标单位法人章</w:t>
            </w:r>
            <w:r>
              <w:rPr>
                <w:rFonts w:hint="eastAsia" w:ascii="宋体" w:hAnsi="宋体" w:eastAsia="宋体" w:cs="宋体"/>
                <w:color w:val="auto"/>
                <w:kern w:val="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投标函部分及经济部分评审标准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投标函部分的</w:t>
            </w:r>
            <w:r>
              <w:rPr>
                <w:rFonts w:hint="eastAsia" w:ascii="宋体" w:hAnsi="宋体" w:eastAsia="宋体" w:cs="宋体"/>
                <w:color w:val="auto"/>
                <w:kern w:val="0"/>
                <w:highlight w:val="none"/>
                <w:lang w:eastAsia="zh-CN"/>
              </w:rPr>
              <w:t>签名</w:t>
            </w:r>
            <w:r>
              <w:rPr>
                <w:rFonts w:hint="eastAsia" w:ascii="宋体" w:hAnsi="宋体" w:eastAsia="宋体" w:cs="宋体"/>
                <w:color w:val="auto"/>
                <w:kern w:val="0"/>
                <w:highlight w:val="none"/>
              </w:rPr>
              <w:t>盖章</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default" w:ascii="宋体" w:hAnsi="宋体" w:eastAsia="宋体" w:cs="宋体"/>
                <w:highlight w:val="none"/>
              </w:rPr>
            </w:pPr>
            <w:r>
              <w:rPr>
                <w:rFonts w:hint="eastAsia" w:ascii="宋体" w:hAnsi="宋体" w:eastAsia="宋体" w:cs="宋体"/>
                <w:highlight w:val="none"/>
              </w:rPr>
              <w:t>投标函部分的格式要求法定代表人或其委托代理人签名（或盖章）的须齐全。</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default" w:ascii="宋体" w:hAnsi="宋体" w:eastAsia="宋体" w:cs="宋体"/>
                <w:highlight w:val="none"/>
              </w:rPr>
            </w:pPr>
            <w:r>
              <w:rPr>
                <w:rFonts w:hint="eastAsia" w:ascii="宋体" w:hAnsi="宋体" w:eastAsia="宋体" w:cs="宋体"/>
                <w:highlight w:val="none"/>
              </w:rPr>
              <w:t>投标</w:t>
            </w:r>
            <w:r>
              <w:rPr>
                <w:rFonts w:hint="eastAsia" w:ascii="宋体" w:hAnsi="宋体" w:eastAsia="宋体" w:cs="宋体"/>
                <w:highlight w:val="none"/>
                <w:lang w:val="en-US" w:eastAsia="zh-CN"/>
              </w:rPr>
              <w:t>函部分的格式中</w:t>
            </w:r>
            <w:r>
              <w:rPr>
                <w:rFonts w:hint="eastAsia" w:ascii="宋体" w:hAnsi="宋体" w:eastAsia="宋体" w:cs="宋体"/>
                <w:highlight w:val="none"/>
              </w:rPr>
              <w:t>要求</w:t>
            </w:r>
            <w:r>
              <w:rPr>
                <w:rFonts w:hint="eastAsia" w:ascii="宋体" w:hAnsi="宋体" w:eastAsia="宋体" w:cs="宋体"/>
                <w:highlight w:val="none"/>
                <w:lang w:val="en-US" w:eastAsia="zh-CN"/>
              </w:rPr>
              <w:t>投标人加盖单位法人章的，应加盖其单位法人章。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工程质量</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投标有效期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投标总报价</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报价唯一</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已标价工程量清单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投标人承诺满足以下内容：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1.按照第五章“工程量清单”、第八章“工程量清单计量规则”的规定进行报价。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2.招标文件中规定工程量清单不允许修改的内容不得修改。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3.投标总报价不高于招标人公布的投标总报价最高限价。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4.各清单子目单价不高于招标人公布的各清单子目单价最高限价的。</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rPr>
              <w:t>5</w:t>
            </w:r>
            <w:r>
              <w:rPr>
                <w:rFonts w:hint="eastAsia" w:ascii="宋体" w:hAnsi="宋体" w:eastAsia="宋体" w:cs="宋体"/>
                <w:color w:val="auto"/>
                <w:highlight w:val="none"/>
              </w:rPr>
              <w:t>.若出现差错，按招标文件第二章投标人须知前附表第3.2.9项规定的原则进行处理（或结算）。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投标报价算术错误修正</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评标基准价计算方法</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投标总报价</w:t>
            </w:r>
          </w:p>
        </w:tc>
        <w:tc>
          <w:tcPr>
            <w:tcW w:w="504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所有通过初步评审和本章第2.2.2（3）目评审合格的</w:t>
            </w:r>
            <w:r>
              <w:rPr>
                <w:rFonts w:hint="eastAsia" w:ascii="宋体" w:hAnsi="宋体" w:eastAsia="宋体" w:cs="宋体"/>
                <w:color w:val="auto"/>
                <w:kern w:val="0"/>
                <w:szCs w:val="21"/>
                <w:highlight w:val="none"/>
                <w:lang w:val="en-US" w:eastAsia="zh-CN"/>
              </w:rPr>
              <w:t>投标总价不高于最高限价和不低于最高限价85%的</w:t>
            </w:r>
            <w:r>
              <w:rPr>
                <w:rFonts w:hint="eastAsia" w:ascii="宋体" w:hAnsi="宋体" w:eastAsia="宋体" w:cs="宋体"/>
                <w:color w:val="auto"/>
                <w:szCs w:val="21"/>
                <w:highlight w:val="none"/>
              </w:rPr>
              <w:t>投标总报</w:t>
            </w:r>
            <w:r>
              <w:rPr>
                <w:rFonts w:hint="eastAsia" w:ascii="宋体" w:hAnsi="宋体" w:eastAsia="宋体" w:cs="宋体"/>
                <w:color w:val="auto"/>
                <w:kern w:val="0"/>
                <w:szCs w:val="21"/>
                <w:highlight w:val="none"/>
              </w:rPr>
              <w:t>价中去掉六分之一（不能整除的按小数点前整数取整，不足六家报价则不去掉）的最低价和相同家数的最高价后的算术平均值</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即为本项目的投标总报价的评标基准价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评标基准价计算的最终结果取小数点后两位，第三位四舍五入。</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2.2.4</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偏差率计算</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投标总报价的偏差率计算公式</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highlight w:val="none"/>
              </w:rPr>
              <w:t>100％×（投标人报价一评标基准价</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／评标基准价</w:t>
            </w:r>
          </w:p>
          <w:p>
            <w:pPr>
              <w:keepNext w:val="0"/>
              <w:keepLines w:val="0"/>
              <w:suppressLineNumbers w:val="0"/>
              <w:adjustRightInd w:val="0"/>
              <w:snapToGrid w:val="0"/>
              <w:spacing w:before="0" w:beforeAutospacing="0" w:after="0" w:afterLines="0" w:afterAutospacing="0" w:line="400" w:lineRule="exact"/>
              <w:ind w:left="0" w:right="0" w:firstLine="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偏差率计算的最终结果取小数点后两位</w:t>
            </w:r>
            <w:r>
              <w:rPr>
                <w:rFonts w:hint="eastAsia" w:ascii="宋体" w:hAnsi="宋体" w:eastAsia="宋体" w:cs="宋体"/>
                <w:color w:val="auto"/>
                <w:kern w:val="0"/>
                <w:szCs w:val="21"/>
                <w:highlight w:val="none"/>
              </w:rPr>
              <w:t>，小数点后第三位“四舍五入”。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评标程序</w:t>
            </w:r>
          </w:p>
        </w:tc>
        <w:tc>
          <w:tcPr>
            <w:tcW w:w="7403" w:type="dxa"/>
            <w:gridSpan w:val="3"/>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1.按本章评标办法第3.1款进行初步评审，未通过初步评审或评标委员会认定为无效的投标文件的不再进行后续评审。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2.按本章评标办法前附表第2.2.2（1）目及第3.2.1（1）目的规定对技术部分进行评审。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3.按本章评标办法前附表第2.2.2（2）目及第3.2.1（2）目的规定对商务部分进行评审。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4.按本章评标办法前附表第2.2.2（3）目的规定对投标函部分及经济部分部分进行评审，经评审不合格的投标文件不再参与后续评审。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5.因评标委员会作否决投标处理导致有效投标人不足</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6.经评审合格的投标人按照本章第2.2.3项计算方法计算评标基准价，并按本附表第3.2.1（3）目规定的评分方法对投标总报价进行评分。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7.对技术部分、商务部分、投标总报价得分进行汇总，确定得分由高至低前</w:t>
            </w:r>
            <w:r>
              <w:rPr>
                <w:rFonts w:hint="eastAsia" w:ascii="宋体" w:hAnsi="宋体" w:eastAsia="宋体" w:cs="宋体"/>
                <w:color w:val="auto"/>
                <w:szCs w:val="21"/>
                <w:highlight w:val="none"/>
                <w:lang w:eastAsia="zh-CN"/>
              </w:rPr>
              <w:t>二</w:t>
            </w:r>
            <w:r>
              <w:rPr>
                <w:rFonts w:hint="eastAsia" w:ascii="宋体" w:hAnsi="宋体" w:eastAsia="宋体" w:cs="宋体"/>
                <w:color w:val="auto"/>
                <w:szCs w:val="21"/>
                <w:highlight w:val="none"/>
              </w:rPr>
              <w:t>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0"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技术部分</w:t>
            </w:r>
            <w:r>
              <w:rPr>
                <w:rFonts w:hint="eastAsia" w:ascii="宋体" w:hAnsi="宋体" w:eastAsia="宋体" w:cs="宋体"/>
                <w:color w:val="auto"/>
                <w:kern w:val="0"/>
                <w:highlight w:val="none"/>
              </w:rPr>
              <w:t>得分</w:t>
            </w:r>
            <w:r>
              <w:rPr>
                <w:rFonts w:hint="eastAsia" w:ascii="宋体" w:hAnsi="宋体" w:eastAsia="宋体" w:cs="宋体"/>
                <w:color w:val="auto"/>
                <w:spacing w:val="-4"/>
                <w:highlight w:val="none"/>
              </w:rPr>
              <w:t>（A）</w:t>
            </w:r>
          </w:p>
        </w:tc>
        <w:tc>
          <w:tcPr>
            <w:tcW w:w="2355" w:type="dxa"/>
            <w:gridSpan w:val="2"/>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kern w:val="0"/>
                <w:highlight w:val="none"/>
              </w:rPr>
              <w:t>技术方案部分形式要求</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kern w:val="0"/>
                <w:highlight w:val="none"/>
              </w:rPr>
              <w:t>不符合第二章投标人须知前附表第3.7.5项要求的，技术方案得0分。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880"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lang w:val="en-US" w:eastAsia="zh-CN"/>
              </w:rPr>
              <w:t>关键设备（5分）</w:t>
            </w:r>
          </w:p>
        </w:tc>
        <w:tc>
          <w:tcPr>
            <w:tcW w:w="5048" w:type="dxa"/>
            <w:vMerge w:val="restart"/>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评标委员会按第2.2.2（1）目各评审因素设定的分值评分。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评标委员会成员为5人及以上时，所有评委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中去掉一个最高和一个最低分，余下评委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取算术平均值为该投标人技术方案得分。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技术方案得分的最终结果取小数点后两位，第三位四舍五入。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施工组织设计（15分）</w:t>
            </w:r>
          </w:p>
        </w:tc>
        <w:tc>
          <w:tcPr>
            <w:tcW w:w="5048" w:type="dxa"/>
            <w:vMerge w:val="continue"/>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3.2.1（2）</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商务部分得分（B）</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评标标准详见</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2.2.2（2）</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商务部分评分为客观评分，评标委员会按第2.2.2（2）目各评审因素设定的分值统一进行评分。商务评分的最终结果取小数点后两位，第三位四舍五入。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投标报价</w:t>
            </w:r>
            <w:r>
              <w:rPr>
                <w:rFonts w:hint="eastAsia" w:ascii="宋体" w:hAnsi="宋体" w:eastAsia="宋体" w:cs="宋体"/>
                <w:color w:val="auto"/>
                <w:kern w:val="0"/>
                <w:highlight w:val="none"/>
              </w:rPr>
              <w:t>得分</w:t>
            </w:r>
            <w:r>
              <w:rPr>
                <w:rFonts w:hint="eastAsia" w:ascii="宋体" w:hAnsi="宋体" w:eastAsia="宋体" w:cs="宋体"/>
                <w:color w:val="auto"/>
                <w:spacing w:val="-8"/>
                <w:highlight w:val="none"/>
              </w:rPr>
              <w:t>（C）</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投标总报价</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所有通过初步评审和本章第2.2.2（3）目评审合格的投标人</w:t>
            </w:r>
            <w:r>
              <w:rPr>
                <w:rFonts w:hint="eastAsia" w:ascii="宋体" w:hAnsi="宋体" w:eastAsia="宋体" w:cs="宋体"/>
                <w:color w:val="auto"/>
                <w:szCs w:val="21"/>
                <w:highlight w:val="none"/>
              </w:rPr>
              <w:t>的投标总报</w:t>
            </w:r>
            <w:r>
              <w:rPr>
                <w:rFonts w:hint="eastAsia" w:ascii="宋体" w:hAnsi="宋体" w:eastAsia="宋体" w:cs="宋体"/>
                <w:color w:val="auto"/>
                <w:kern w:val="0"/>
                <w:szCs w:val="21"/>
                <w:highlight w:val="none"/>
              </w:rPr>
              <w:t>价</w:t>
            </w:r>
            <w:r>
              <w:rPr>
                <w:rFonts w:hint="eastAsia" w:ascii="宋体" w:hAnsi="宋体" w:eastAsia="宋体" w:cs="宋体"/>
                <w:color w:val="auto"/>
                <w:szCs w:val="21"/>
                <w:highlight w:val="none"/>
              </w:rPr>
              <w:t>得</w:t>
            </w:r>
            <w:r>
              <w:rPr>
                <w:rFonts w:hint="eastAsia" w:ascii="宋体" w:hAnsi="宋体" w:eastAsia="宋体" w:cs="宋体"/>
                <w:bCs/>
                <w:color w:val="auto"/>
                <w:szCs w:val="28"/>
                <w:highlight w:val="none"/>
              </w:rPr>
              <w:t>本附表第2.2.1项规定分值的满分</w:t>
            </w:r>
            <w:r>
              <w:rPr>
                <w:rFonts w:hint="eastAsia" w:ascii="宋体" w:hAnsi="宋体" w:eastAsia="宋体" w:cs="宋体"/>
                <w:bCs/>
                <w:color w:val="auto"/>
                <w:szCs w:val="28"/>
                <w:highlight w:val="none"/>
                <w:u w:val="single"/>
                <w:lang w:val="en-US" w:eastAsia="zh-CN"/>
              </w:rPr>
              <w:t>70</w:t>
            </w:r>
            <w:r>
              <w:rPr>
                <w:rFonts w:hint="eastAsia" w:ascii="宋体" w:hAnsi="宋体" w:eastAsia="宋体" w:cs="宋体"/>
                <w:color w:val="auto"/>
                <w:szCs w:val="21"/>
                <w:highlight w:val="none"/>
              </w:rPr>
              <w:t>分。在此基础上，投标总报价与评标基准价相比，每增加1%扣</w:t>
            </w:r>
            <w:r>
              <w:rPr>
                <w:rFonts w:hint="eastAsia" w:ascii="宋体" w:hAnsi="宋体" w:eastAsia="宋体" w:cs="宋体"/>
                <w:color w:val="auto"/>
                <w:szCs w:val="21"/>
                <w:highlight w:val="none"/>
                <w:u w:val="single"/>
                <w:lang w:val="en-US" w:eastAsia="zh-CN"/>
              </w:rPr>
              <w:t>0.5</w:t>
            </w:r>
            <w:r>
              <w:rPr>
                <w:rFonts w:hint="eastAsia" w:ascii="宋体" w:hAnsi="宋体" w:eastAsia="宋体" w:cs="宋体"/>
                <w:color w:val="auto"/>
                <w:szCs w:val="21"/>
                <w:highlight w:val="none"/>
              </w:rPr>
              <w:t>分，每减少1%扣</w:t>
            </w:r>
            <w:r>
              <w:rPr>
                <w:rFonts w:hint="eastAsia" w:ascii="宋体" w:hAnsi="宋体" w:eastAsia="宋体" w:cs="宋体"/>
                <w:color w:val="auto"/>
                <w:szCs w:val="21"/>
                <w:highlight w:val="none"/>
                <w:u w:val="single"/>
                <w:lang w:val="en-US" w:eastAsia="zh-CN"/>
              </w:rPr>
              <w:t>0.3分</w:t>
            </w:r>
            <w:r>
              <w:rPr>
                <w:rFonts w:hint="eastAsia" w:ascii="宋体" w:hAnsi="宋体" w:eastAsia="宋体" w:cs="宋体"/>
                <w:color w:val="auto"/>
                <w:szCs w:val="21"/>
                <w:highlight w:val="none"/>
              </w:rPr>
              <w:t>，扣完为止。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按插入法计算得分。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未参与评标基准价计算的投标报价，仍应参加计算相应分值。</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投标总报价</w:t>
            </w:r>
            <w:r>
              <w:rPr>
                <w:rFonts w:hint="eastAsia" w:ascii="宋体" w:hAnsi="宋体" w:eastAsia="宋体" w:cs="宋体"/>
                <w:color w:val="auto"/>
                <w:kern w:val="0"/>
                <w:szCs w:val="21"/>
                <w:highlight w:val="none"/>
                <w:lang w:val="en-US" w:eastAsia="zh-CN"/>
              </w:rPr>
              <w:t>得分</w:t>
            </w:r>
            <w:r>
              <w:rPr>
                <w:rFonts w:hint="eastAsia" w:ascii="宋体" w:hAnsi="宋体" w:eastAsia="宋体" w:cs="宋体"/>
                <w:color w:val="auto"/>
                <w:kern w:val="0"/>
                <w:szCs w:val="21"/>
                <w:highlight w:val="none"/>
              </w:rPr>
              <w:t>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highlight w:val="none"/>
              </w:rPr>
            </w:pPr>
            <w:r>
              <w:rPr>
                <w:rFonts w:hint="eastAsia" w:ascii="宋体" w:hAnsi="宋体" w:eastAsia="宋体" w:cs="宋体"/>
                <w:color w:val="auto"/>
                <w:szCs w:val="21"/>
                <w:highlight w:val="none"/>
              </w:rPr>
              <w:t>3.2.3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投标人得分</w:t>
            </w:r>
          </w:p>
        </w:tc>
        <w:tc>
          <w:tcPr>
            <w:tcW w:w="7403" w:type="dxa"/>
            <w:gridSpan w:val="3"/>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投标人得分=A+B+C</w:t>
            </w:r>
          </w:p>
        </w:tc>
      </w:tr>
    </w:tbl>
    <w:p>
      <w:pPr>
        <w:pStyle w:val="4"/>
        <w:spacing w:before="0" w:after="0" w:line="360" w:lineRule="auto"/>
        <w:rPr>
          <w:rFonts w:hint="eastAsia" w:ascii="宋体" w:hAnsi="宋体" w:eastAsia="宋体" w:cs="宋体"/>
          <w:b w:val="0"/>
          <w:snapToGrid w:val="0"/>
          <w:color w:val="auto"/>
          <w:highlight w:val="none"/>
        </w:rPr>
      </w:pPr>
      <w:bookmarkStart w:id="176" w:name="_Toc33106452"/>
      <w:r>
        <w:rPr>
          <w:rFonts w:hint="eastAsia" w:ascii="宋体" w:hAnsi="宋体" w:eastAsia="宋体" w:cs="宋体"/>
          <w:b w:val="0"/>
          <w:snapToGrid w:val="0"/>
          <w:color w:val="auto"/>
          <w:highlight w:val="none"/>
        </w:rPr>
        <w:br w:type="page"/>
      </w:r>
      <w:bookmarkStart w:id="177" w:name="_Toc26527"/>
      <w:r>
        <w:rPr>
          <w:rFonts w:hint="eastAsia" w:ascii="宋体" w:hAnsi="宋体" w:eastAsia="宋体" w:cs="宋体"/>
          <w:color w:val="auto"/>
          <w:sz w:val="28"/>
          <w:szCs w:val="28"/>
          <w:highlight w:val="none"/>
        </w:rPr>
        <w:t>1. 评标方法</w:t>
      </w:r>
      <w:bookmarkEnd w:id="176"/>
      <w:bookmarkEnd w:id="177"/>
    </w:p>
    <w:p>
      <w:pPr>
        <w:autoSpaceDE w:val="0"/>
        <w:autoSpaceDN w:val="0"/>
        <w:adjustRightInd w:val="0"/>
        <w:snapToGrid w:val="0"/>
        <w:spacing w:line="36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rPr>
        <w:t xml:space="preserve">评标委员会按照本章第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，按得分由高到低顺序推荐中标候选人</w:t>
      </w:r>
      <w:r>
        <w:rPr>
          <w:rFonts w:hint="eastAsia" w:ascii="宋体" w:hAnsi="宋体" w:eastAsia="宋体" w:cs="宋体"/>
          <w:color w:val="auto"/>
          <w:spacing w:val="-20"/>
          <w:kern w:val="0"/>
          <w:szCs w:val="21"/>
          <w:highlight w:val="none"/>
        </w:rPr>
        <w:t>，</w:t>
      </w:r>
      <w:r>
        <w:rPr>
          <w:rFonts w:hint="eastAsia" w:ascii="宋体" w:hAnsi="宋体" w:eastAsia="宋体" w:cs="宋体"/>
          <w:color w:val="auto"/>
          <w:kern w:val="0"/>
          <w:szCs w:val="21"/>
          <w:highlight w:val="none"/>
        </w:rPr>
        <w:t>或根据招标人授权直接确定中标人，若出现投标人投标报价相同的，以评标办法前附表约定的原则确定排序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color w:val="auto"/>
          <w:sz w:val="28"/>
          <w:szCs w:val="28"/>
          <w:highlight w:val="none"/>
        </w:rPr>
      </w:pPr>
      <w:bookmarkStart w:id="178" w:name="_Toc509218777"/>
      <w:bookmarkStart w:id="179" w:name="_Toc33106453"/>
      <w:bookmarkStart w:id="180" w:name="_Toc430530501"/>
      <w:bookmarkStart w:id="181" w:name="_Toc287620752"/>
      <w:bookmarkStart w:id="182" w:name="_Toc200513199"/>
      <w:bookmarkStart w:id="183" w:name="_Toc224103385"/>
      <w:bookmarkStart w:id="184" w:name="_Toc29235"/>
      <w:bookmarkStart w:id="185" w:name="_Toc287607813"/>
      <w:bookmarkStart w:id="186" w:name="_Toc277082619"/>
      <w:r>
        <w:rPr>
          <w:rFonts w:hint="eastAsia" w:ascii="宋体" w:hAnsi="宋体" w:eastAsia="宋体" w:cs="宋体"/>
          <w:color w:val="auto"/>
          <w:sz w:val="28"/>
          <w:szCs w:val="28"/>
          <w:highlight w:val="none"/>
        </w:rPr>
        <w:t>2. 评审标准</w:t>
      </w:r>
      <w:bookmarkEnd w:id="178"/>
      <w:bookmarkEnd w:id="179"/>
      <w:bookmarkEnd w:id="180"/>
      <w:bookmarkEnd w:id="181"/>
      <w:bookmarkEnd w:id="182"/>
      <w:bookmarkEnd w:id="183"/>
      <w:bookmarkEnd w:id="184"/>
      <w:bookmarkEnd w:id="185"/>
      <w:bookmarkEnd w:id="186"/>
    </w:p>
    <w:p>
      <w:pPr>
        <w:pStyle w:val="5"/>
        <w:spacing w:before="0" w:after="0" w:line="360" w:lineRule="auto"/>
        <w:rPr>
          <w:rFonts w:hint="eastAsia" w:ascii="宋体" w:hAnsi="宋体" w:eastAsia="宋体" w:cs="宋体"/>
          <w:color w:val="auto"/>
          <w:sz w:val="21"/>
          <w:szCs w:val="21"/>
          <w:highlight w:val="none"/>
        </w:rPr>
      </w:pPr>
      <w:bookmarkStart w:id="187" w:name="_Toc16025"/>
      <w:bookmarkStart w:id="188" w:name="_Toc277082620"/>
      <w:bookmarkStart w:id="189" w:name="_Toc287607814"/>
      <w:bookmarkStart w:id="190" w:name="_Toc287620753"/>
      <w:bookmarkStart w:id="191" w:name="_Toc33106454"/>
      <w:bookmarkStart w:id="192" w:name="_Toc430530502"/>
      <w:bookmarkStart w:id="193" w:name="_Toc224103386"/>
      <w:bookmarkStart w:id="194" w:name="_Toc200513200"/>
      <w:bookmarkStart w:id="195" w:name="_Toc509218778"/>
      <w:r>
        <w:rPr>
          <w:rFonts w:hint="eastAsia" w:ascii="宋体" w:hAnsi="宋体" w:eastAsia="宋体" w:cs="宋体"/>
          <w:color w:val="auto"/>
          <w:sz w:val="21"/>
          <w:szCs w:val="21"/>
          <w:highlight w:val="none"/>
        </w:rPr>
        <w:t>2.1 初步评审标准</w:t>
      </w:r>
      <w:bookmarkEnd w:id="187"/>
      <w:bookmarkEnd w:id="188"/>
      <w:bookmarkEnd w:id="189"/>
      <w:bookmarkEnd w:id="190"/>
      <w:bookmarkEnd w:id="191"/>
      <w:bookmarkEnd w:id="192"/>
      <w:bookmarkEnd w:id="193"/>
      <w:bookmarkEnd w:id="194"/>
      <w:bookmarkEnd w:id="195"/>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2.1.1A 资格评审标准：见评标办法前附表（适用于未进行资格预审的）。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2.1.1B 资格评审标准：见资格预审文件第三章“资格审查办法”详细审查标准（适用于已进行资格预审的）。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pacing w:before="0" w:after="0" w:line="360" w:lineRule="auto"/>
        <w:rPr>
          <w:rFonts w:hint="eastAsia" w:ascii="宋体" w:hAnsi="宋体" w:eastAsia="宋体" w:cs="宋体"/>
          <w:color w:val="auto"/>
          <w:sz w:val="21"/>
          <w:szCs w:val="21"/>
          <w:highlight w:val="none"/>
        </w:rPr>
      </w:pPr>
      <w:bookmarkStart w:id="196" w:name="_Toc287607815"/>
      <w:bookmarkStart w:id="197" w:name="_Toc509218779"/>
      <w:bookmarkStart w:id="198" w:name="_Toc14771"/>
      <w:bookmarkStart w:id="199" w:name="_Toc33106455"/>
      <w:bookmarkStart w:id="200" w:name="_Toc287620754"/>
      <w:bookmarkStart w:id="201" w:name="_Toc277082621"/>
      <w:bookmarkStart w:id="202" w:name="_Toc224103387"/>
      <w:bookmarkStart w:id="203" w:name="_Toc430530503"/>
      <w:bookmarkStart w:id="204" w:name="_Toc200513201"/>
      <w:r>
        <w:rPr>
          <w:rFonts w:hint="eastAsia" w:ascii="宋体" w:hAnsi="宋体" w:eastAsia="宋体" w:cs="宋体"/>
          <w:color w:val="auto"/>
          <w:sz w:val="21"/>
          <w:szCs w:val="21"/>
          <w:highlight w:val="none"/>
        </w:rPr>
        <w:t>2.2 分值构成与评分标准</w:t>
      </w:r>
      <w:bookmarkEnd w:id="196"/>
      <w:bookmarkEnd w:id="197"/>
      <w:bookmarkEnd w:id="198"/>
      <w:bookmarkEnd w:id="199"/>
      <w:bookmarkEnd w:id="200"/>
      <w:bookmarkEnd w:id="201"/>
      <w:bookmarkEnd w:id="202"/>
      <w:bookmarkEnd w:id="203"/>
      <w:bookmarkEnd w:id="204"/>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pStyle w:val="2"/>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（2）商务部分：见评标办法前附表；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评审标准</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（1）技术部分评分标准：见评标办法前附表；（对于施工难度大、专业技术复杂的项目，应由招标人会同设计单位提出技术方案方案编写要点，作为评分标准）。</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 商务部分评分标准：见评标办法前附表；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 投标函部分及经济部分评审标准：见评标办法前附表；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评标基准价的计算方法：见评标办法前附表。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投标报价的偏差率计算公式：见评标办法前附表。</w:t>
      </w:r>
    </w:p>
    <w:p>
      <w:pPr>
        <w:pStyle w:val="4"/>
        <w:spacing w:before="0" w:after="0" w:line="360" w:lineRule="auto"/>
        <w:rPr>
          <w:rFonts w:hint="eastAsia" w:ascii="宋体" w:hAnsi="宋体" w:eastAsia="宋体" w:cs="宋体"/>
          <w:color w:val="auto"/>
          <w:sz w:val="28"/>
          <w:szCs w:val="28"/>
          <w:highlight w:val="none"/>
        </w:rPr>
      </w:pPr>
      <w:bookmarkStart w:id="205" w:name="_Toc200513202"/>
      <w:bookmarkStart w:id="206" w:name="_Toc224103388"/>
      <w:bookmarkStart w:id="207" w:name="_Toc31089"/>
      <w:bookmarkStart w:id="208" w:name="_Toc509218780"/>
      <w:bookmarkStart w:id="209" w:name="_Toc287607816"/>
      <w:bookmarkStart w:id="210" w:name="_Toc33106456"/>
      <w:bookmarkStart w:id="211" w:name="_Toc287620755"/>
      <w:bookmarkStart w:id="212" w:name="_Toc277082622"/>
      <w:bookmarkStart w:id="213" w:name="_Toc430530504"/>
      <w:r>
        <w:rPr>
          <w:rFonts w:hint="eastAsia" w:ascii="宋体" w:hAnsi="宋体" w:eastAsia="宋体" w:cs="宋体"/>
          <w:color w:val="auto"/>
          <w:sz w:val="28"/>
          <w:szCs w:val="28"/>
          <w:highlight w:val="none"/>
        </w:rPr>
        <w:t>3. 评标程序</w:t>
      </w:r>
      <w:bookmarkEnd w:id="205"/>
      <w:bookmarkEnd w:id="206"/>
      <w:bookmarkEnd w:id="207"/>
      <w:bookmarkEnd w:id="208"/>
      <w:bookmarkEnd w:id="209"/>
      <w:bookmarkEnd w:id="210"/>
      <w:bookmarkEnd w:id="211"/>
      <w:bookmarkEnd w:id="212"/>
      <w:bookmarkEnd w:id="213"/>
    </w:p>
    <w:p>
      <w:pPr>
        <w:pStyle w:val="5"/>
        <w:spacing w:before="0" w:after="0" w:line="360" w:lineRule="auto"/>
        <w:rPr>
          <w:rFonts w:hint="eastAsia" w:ascii="宋体" w:hAnsi="宋体" w:eastAsia="宋体" w:cs="宋体"/>
          <w:color w:val="auto"/>
          <w:sz w:val="21"/>
          <w:szCs w:val="21"/>
          <w:highlight w:val="none"/>
        </w:rPr>
      </w:pPr>
      <w:bookmarkStart w:id="214" w:name="_Toc33106457"/>
      <w:bookmarkStart w:id="215" w:name="_Toc28994"/>
      <w:bookmarkStart w:id="216" w:name="_Toc277082623"/>
      <w:bookmarkStart w:id="217" w:name="_Toc430530505"/>
      <w:bookmarkStart w:id="218" w:name="_Toc287607817"/>
      <w:bookmarkStart w:id="219" w:name="_Toc509218781"/>
      <w:bookmarkStart w:id="220" w:name="_Toc287620756"/>
      <w:bookmarkStart w:id="221" w:name="_Toc200513203"/>
      <w:bookmarkStart w:id="222" w:name="_Toc224103389"/>
      <w:r>
        <w:rPr>
          <w:rFonts w:hint="eastAsia" w:ascii="宋体" w:hAnsi="宋体" w:eastAsia="宋体" w:cs="宋体"/>
          <w:color w:val="auto"/>
          <w:sz w:val="21"/>
          <w:szCs w:val="21"/>
          <w:highlight w:val="none"/>
        </w:rPr>
        <w:t>3.1 初步评审</w:t>
      </w:r>
      <w:bookmarkEnd w:id="214"/>
      <w:bookmarkEnd w:id="215"/>
      <w:bookmarkEnd w:id="216"/>
      <w:bookmarkEnd w:id="217"/>
      <w:bookmarkEnd w:id="218"/>
      <w:bookmarkEnd w:id="219"/>
      <w:bookmarkEnd w:id="220"/>
      <w:bookmarkEnd w:id="221"/>
      <w:bookmarkEnd w:id="222"/>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 2.1 款规定的标准对投标文件进行初步评审。有一项不符合评审标准的，作否决投标处理。（适用于未进行资格预审的）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2.1.1项至第2.1.3项规定的评审标准对投标文件进行初步评审。有一项不符合评审标准的，作否决投标处理。当投标人资格预审申请文件的内容发生重大变化时，评标委员会依据本章第2.1.2项规定的标准对其更新资料进行评审。（适用于已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）本次投标有串通投标、弄虚作假等其他违反招投标相关法律、法规行为的；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rPr>
        <w:t>评</w:t>
      </w:r>
      <w:r>
        <w:rPr>
          <w:rFonts w:hint="eastAsia" w:ascii="宋体" w:hAnsi="宋体" w:eastAsia="宋体" w:cs="宋体"/>
          <w:color w:val="auto"/>
          <w:kern w:val="0"/>
          <w:szCs w:val="21"/>
          <w:highlight w:val="none"/>
        </w:rPr>
        <w:t>标委员会要求澄清、说明或补正的。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投标报价有算术错误的，评标委员会按以下原则对投标报价进行修正，修正的价格经投标人书面确认后具有约束力</w:t>
      </w:r>
      <w:r>
        <w:rPr>
          <w:rFonts w:hint="eastAsia" w:ascii="宋体" w:hAnsi="宋体" w:eastAsia="宋体" w:cs="宋体"/>
          <w:color w:val="auto"/>
          <w:szCs w:val="21"/>
          <w:highlight w:val="none"/>
        </w:rPr>
        <w:t>，修正原则如下：</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（1）投标文件中的大写金额与小写金额不一致的，以大写金额为准；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（2）投标函中的总报价与已标价工程量清单总报价不一致的，由评标委员会作否决投标处理。</w:t>
      </w:r>
    </w:p>
    <w:p>
      <w:pPr>
        <w:pStyle w:val="5"/>
        <w:spacing w:before="0" w:after="0" w:line="360" w:lineRule="auto"/>
        <w:rPr>
          <w:rFonts w:hint="eastAsia" w:ascii="宋体" w:hAnsi="宋体" w:eastAsia="宋体" w:cs="宋体"/>
          <w:color w:val="auto"/>
          <w:sz w:val="21"/>
          <w:szCs w:val="21"/>
          <w:highlight w:val="none"/>
        </w:rPr>
      </w:pPr>
      <w:bookmarkStart w:id="223" w:name="_Toc287620757"/>
      <w:bookmarkStart w:id="224" w:name="_Toc17955"/>
      <w:bookmarkStart w:id="225" w:name="_Toc430530506"/>
      <w:bookmarkStart w:id="226" w:name="_Toc200513204"/>
      <w:bookmarkStart w:id="227" w:name="_Toc277082624"/>
      <w:bookmarkStart w:id="228" w:name="_Toc287607818"/>
      <w:bookmarkStart w:id="229" w:name="_Toc509218782"/>
      <w:bookmarkStart w:id="230" w:name="_Toc33106458"/>
      <w:bookmarkStart w:id="231" w:name="_Toc224103390"/>
      <w:r>
        <w:rPr>
          <w:rFonts w:hint="eastAsia" w:ascii="宋体" w:hAnsi="宋体" w:eastAsia="宋体" w:cs="宋体"/>
          <w:color w:val="auto"/>
          <w:sz w:val="21"/>
          <w:szCs w:val="21"/>
          <w:highlight w:val="none"/>
        </w:rPr>
        <w:t>3.2 详细评审</w:t>
      </w:r>
      <w:bookmarkEnd w:id="223"/>
      <w:bookmarkEnd w:id="224"/>
      <w:bookmarkEnd w:id="225"/>
      <w:bookmarkEnd w:id="226"/>
      <w:bookmarkEnd w:id="227"/>
      <w:bookmarkEnd w:id="228"/>
      <w:bookmarkEnd w:id="229"/>
      <w:bookmarkEnd w:id="230"/>
      <w:bookmarkEnd w:id="23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评标委员会按本章第2.2款规定的量化因素和分值进行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，并计算出综合评估得分。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（1）按本章第3.2.1（1）目规定的评审因素和分值对技术部分计算出得分A</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（2）按本章第3.2.1（2）目规定的评审因素和分值对商务部分计算出得分B。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（3）按本章第3.2.1（3）目规定的评审因素和分值对投标总报价计算出得分C。</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投标人得分=A+B+C。</w:t>
      </w:r>
    </w:p>
    <w:p>
      <w:pPr>
        <w:pStyle w:val="5"/>
        <w:spacing w:before="0" w:after="0" w:line="360" w:lineRule="auto"/>
        <w:rPr>
          <w:rFonts w:hint="eastAsia" w:ascii="宋体" w:hAnsi="宋体" w:eastAsia="宋体" w:cs="宋体"/>
          <w:color w:val="auto"/>
          <w:sz w:val="21"/>
          <w:szCs w:val="21"/>
          <w:highlight w:val="none"/>
        </w:rPr>
      </w:pPr>
      <w:bookmarkStart w:id="232" w:name="_Toc277082625"/>
      <w:bookmarkStart w:id="233" w:name="_Toc224103391"/>
      <w:bookmarkStart w:id="234" w:name="_Toc33106459"/>
      <w:bookmarkStart w:id="235" w:name="_Toc11831"/>
      <w:bookmarkStart w:id="236" w:name="_Toc430530507"/>
      <w:bookmarkStart w:id="237" w:name="_Toc287607819"/>
      <w:bookmarkStart w:id="238" w:name="_Toc287620758"/>
      <w:bookmarkStart w:id="239" w:name="_Toc200513205"/>
      <w:bookmarkStart w:id="240" w:name="_Toc509218783"/>
      <w:r>
        <w:rPr>
          <w:rFonts w:hint="eastAsia" w:ascii="宋体" w:hAnsi="宋体" w:eastAsia="宋体" w:cs="宋体"/>
          <w:color w:val="auto"/>
          <w:sz w:val="21"/>
          <w:szCs w:val="21"/>
          <w:highlight w:val="none"/>
        </w:rPr>
        <w:t>3.3 投标文件的澄清和补正</w:t>
      </w:r>
      <w:bookmarkEnd w:id="232"/>
      <w:bookmarkEnd w:id="233"/>
      <w:bookmarkEnd w:id="234"/>
      <w:bookmarkEnd w:id="235"/>
      <w:bookmarkEnd w:id="236"/>
      <w:bookmarkEnd w:id="237"/>
      <w:bookmarkEnd w:id="238"/>
      <w:bookmarkEnd w:id="239"/>
      <w:bookmarkEnd w:id="240"/>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3.3.3 评标委员会对投标人提交的澄清、说明或补正有疑问的，可以要求投标人进一步澄清、说明或补正，直至满足评标委员会的要求。</w:t>
      </w:r>
    </w:p>
    <w:p>
      <w:pPr>
        <w:pStyle w:val="5"/>
        <w:spacing w:before="0" w:after="0" w:line="360" w:lineRule="auto"/>
        <w:rPr>
          <w:rFonts w:hint="eastAsia" w:ascii="宋体" w:hAnsi="宋体" w:eastAsia="宋体" w:cs="宋体"/>
          <w:color w:val="auto"/>
          <w:sz w:val="21"/>
          <w:szCs w:val="21"/>
          <w:highlight w:val="none"/>
        </w:rPr>
      </w:pPr>
      <w:bookmarkStart w:id="241" w:name="_Toc277082626"/>
      <w:bookmarkStart w:id="242" w:name="_Toc200513206"/>
      <w:bookmarkStart w:id="243" w:name="_Toc287607820"/>
      <w:bookmarkStart w:id="244" w:name="_Toc430530508"/>
      <w:bookmarkStart w:id="245" w:name="_Toc11976"/>
      <w:bookmarkStart w:id="246" w:name="_Toc33106460"/>
      <w:bookmarkStart w:id="247" w:name="_Toc287620759"/>
      <w:bookmarkStart w:id="248" w:name="_Toc509218784"/>
      <w:bookmarkStart w:id="249" w:name="_Toc224103392"/>
      <w:r>
        <w:rPr>
          <w:rFonts w:hint="eastAsia" w:ascii="宋体" w:hAnsi="宋体" w:eastAsia="宋体" w:cs="宋体"/>
          <w:color w:val="auto"/>
          <w:sz w:val="21"/>
          <w:szCs w:val="21"/>
          <w:highlight w:val="none"/>
        </w:rPr>
        <w:t>3.4 评标结果</w:t>
      </w:r>
      <w:bookmarkEnd w:id="241"/>
      <w:bookmarkEnd w:id="242"/>
      <w:bookmarkEnd w:id="243"/>
      <w:bookmarkEnd w:id="244"/>
      <w:bookmarkEnd w:id="245"/>
      <w:bookmarkEnd w:id="246"/>
      <w:bookmarkEnd w:id="247"/>
      <w:bookmarkEnd w:id="248"/>
      <w:bookmarkEnd w:id="249"/>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.1 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 w:val="20"/>
          <w:szCs w:val="20"/>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.4.2 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员会完成评标后，应当向招标人提交书面评标报告。</w:t>
      </w:r>
    </w:p>
    <w:p>
      <w:pPr>
        <w:pStyle w:val="26"/>
        <w:spacing w:line="360" w:lineRule="auto"/>
        <w:rPr>
          <w:rFonts w:hint="eastAsia" w:ascii="宋体" w:hAnsi="宋体" w:eastAsia="宋体" w:cs="宋体"/>
          <w:b/>
          <w:color w:val="auto"/>
          <w:sz w:val="28"/>
          <w:szCs w:val="28"/>
          <w:highlight w:val="none"/>
          <w:lang w:eastAsia="zh-CN"/>
        </w:rPr>
      </w:pPr>
      <w:bookmarkStart w:id="250" w:name="_Toc230410480"/>
      <w:bookmarkStart w:id="251" w:name="_Toc277082627"/>
      <w:r>
        <w:rPr>
          <w:rFonts w:hint="eastAsia" w:ascii="宋体" w:hAnsi="宋体" w:eastAsia="宋体" w:cs="宋体"/>
          <w:b/>
          <w:color w:val="auto"/>
          <w:sz w:val="28"/>
          <w:szCs w:val="28"/>
          <w:highlight w:val="none"/>
          <w:u w:val="none"/>
          <w:lang w:eastAsia="zh-CN"/>
        </w:rPr>
        <w:br w:type="page"/>
      </w:r>
    </w:p>
    <w:p>
      <w:pPr>
        <w:pStyle w:val="26"/>
        <w:spacing w:line="360" w:lineRule="auto"/>
        <w:rPr>
          <w:rFonts w:hint="eastAsia" w:ascii="宋体" w:hAnsi="宋体" w:eastAsia="宋体" w:cs="宋体"/>
          <w:b/>
          <w:color w:val="auto"/>
          <w:sz w:val="28"/>
          <w:szCs w:val="28"/>
          <w:highlight w:val="none"/>
          <w:u w:val="none"/>
          <w:lang w:eastAsia="zh-CN"/>
        </w:rPr>
      </w:pPr>
      <w:r>
        <w:rPr>
          <w:rFonts w:hint="eastAsia" w:ascii="宋体" w:hAnsi="宋体" w:eastAsia="宋体" w:cs="宋体"/>
          <w:b/>
          <w:color w:val="auto"/>
          <w:sz w:val="28"/>
          <w:szCs w:val="28"/>
          <w:highlight w:val="none"/>
          <w:u w:val="none"/>
          <w:lang w:eastAsia="zh-CN"/>
        </w:rPr>
        <w:t>附件A：综合评估法否决投标情况一览表</w:t>
      </w:r>
    </w:p>
    <w:p>
      <w:pPr>
        <w:pStyle w:val="26"/>
        <w:spacing w:line="360" w:lineRule="auto"/>
        <w:ind w:firstLine="420" w:firstLineChars="200"/>
        <w:jc w:val="both"/>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p>
    <w:tbl>
      <w:tblPr>
        <w:tblStyle w:val="34"/>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章节号</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33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第三章</w:t>
            </w: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A-1投标人的资质条件、营业执照及安全生产条件须满足投标人须知前附表1.4.1项的要求，否则由评标委员会作否决投标处理。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投标人的关键设备授权要求须满足投标人须知前附表1.4.1项的要求，否则由评标委员会作否决投标处理。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A-3投标人的业绩须满足投标人须知前附表1.4.1项的要求，否则由评标委员会作否决投标处理。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A-4投标人的投标截止日投标资格情况须满足投标人须知前附表1.4.1项的要求，否则由评标委员会作否决投标处理。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A-5投标人的项目经理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项目总工</w:t>
            </w:r>
            <w:r>
              <w:rPr>
                <w:rFonts w:hint="eastAsia" w:ascii="宋体" w:hAnsi="宋体" w:eastAsia="宋体" w:cs="宋体"/>
                <w:color w:val="auto"/>
                <w:szCs w:val="21"/>
                <w:highlight w:val="none"/>
                <w:lang w:eastAsia="zh-CN"/>
              </w:rPr>
              <w:t>和专职安全员</w:t>
            </w:r>
            <w:r>
              <w:rPr>
                <w:rFonts w:hint="eastAsia" w:ascii="宋体" w:hAnsi="宋体" w:eastAsia="宋体" w:cs="宋体"/>
                <w:color w:val="auto"/>
                <w:szCs w:val="21"/>
                <w:highlight w:val="none"/>
              </w:rPr>
              <w:t>资格须满足投标人须知前附表1.4.1项的要求，否则由评标委员会作否决投标处理。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投标人的委托代理人须满足投标人须知前附表1.4.1项的要求，否则由评标委员会作否决投标处理。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投标人的其他要求须满足投标人须知前附表1.4.1项的要求，否则由评标委员会作否决投标处理。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形式评审</w:t>
            </w: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投标人名称必须与营业执照、资质证书、安全生产许可证一致，依法变更名称的应提交相应证明材料，否则由评标委员会作否决投标处理。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投标文件格式（不含投标函部分）符合第二章“投标人须知”第3.7款的要求，否则由评标委员会作否决投标处理。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编制投标文件时不得对第九章“投标文件格式”的相应要素作实质性修改，否则视为重大偏差，由评标委员会作否决投标处理。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投标文件份数第二章“投标人须知”第3.7.4项规定，否则由评标委员会作否决投标处理。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highlight w:val="none"/>
              </w:rPr>
              <w:t>投标文件格式要求</w:t>
            </w:r>
            <w:r>
              <w:rPr>
                <w:rFonts w:hint="eastAsia" w:ascii="宋体" w:hAnsi="宋体" w:eastAsia="宋体" w:cs="宋体"/>
                <w:color w:val="auto"/>
                <w:kern w:val="0"/>
                <w:highlight w:val="none"/>
              </w:rPr>
              <w:t>法定代表人或其委托代理人签名（或盖章）的须齐全</w:t>
            </w:r>
            <w:r>
              <w:rPr>
                <w:rFonts w:hint="eastAsia" w:ascii="宋体" w:hAnsi="宋体" w:eastAsia="宋体" w:cs="宋体"/>
                <w:color w:val="auto"/>
                <w:kern w:val="0"/>
                <w:highlight w:val="none"/>
                <w:lang w:eastAsia="zh-CN"/>
              </w:rPr>
              <w:t>，</w:t>
            </w:r>
            <w:r>
              <w:rPr>
                <w:rFonts w:hint="eastAsia" w:ascii="宋体" w:hAnsi="宋体" w:eastAsia="宋体" w:cs="宋体"/>
                <w:color w:val="auto"/>
                <w:szCs w:val="21"/>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投标文件格式（不含投标函部分）要求加盖单位法人章的，应加盖投标人的单位法人章</w:t>
            </w:r>
            <w:r>
              <w:rPr>
                <w:rFonts w:hint="eastAsia" w:ascii="宋体" w:hAnsi="宋体" w:eastAsia="宋体" w:cs="宋体"/>
                <w:color w:val="auto"/>
                <w:szCs w:val="21"/>
                <w:highlight w:val="none"/>
                <w:lang w:eastAsia="zh-CN"/>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响应性评审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A-14</w:t>
            </w:r>
            <w:r>
              <w:rPr>
                <w:rFonts w:hint="eastAsia" w:ascii="宋体" w:hAnsi="宋体" w:eastAsia="宋体" w:cs="宋体"/>
                <w:color w:val="auto"/>
                <w:szCs w:val="21"/>
                <w:highlight w:val="none"/>
              </w:rPr>
              <w:t>投标函附录的所有数据均符合招标文件规定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符合第四章“合同条款及格式”规定，投标文件不应附有招标人不能接受的条件。否则由评标委员会作否决投标处理。（由投标人承诺，承诺书格式详见第九章投标文件格式。）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17</w:t>
            </w:r>
            <w:r>
              <w:rPr>
                <w:rFonts w:hint="eastAsia" w:ascii="宋体" w:hAnsi="宋体" w:eastAsia="宋体" w:cs="宋体"/>
                <w:color w:val="auto"/>
                <w:szCs w:val="21"/>
                <w:highlight w:val="none"/>
              </w:rPr>
              <w:t>符合第七章“技术标准和要求”规定。否则由评标委员会作否决投标处理（如有）。（由投标人承诺，承诺书格式详见第九章投标文件格式。）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18</w:t>
            </w:r>
            <w:r>
              <w:rPr>
                <w:rFonts w:hint="eastAsia" w:ascii="宋体" w:hAnsi="宋体" w:eastAsia="宋体" w:cs="宋体"/>
                <w:color w:val="auto"/>
                <w:szCs w:val="21"/>
                <w:highlight w:val="none"/>
              </w:rPr>
              <w:t>投标人有以下情形之一的，其投标文件由评标委员会作否决投标处理：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1.第二章“投标人须知”第1.4.3项规定的任何一种情形的；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2.本次投标有串通投标、弄虚作假等违反招投标相关法律、法规的行为的；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投标函部分及经济部分评审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default" w:ascii="宋体" w:hAnsi="宋体" w:eastAsia="宋体" w:cs="宋体"/>
                <w:highlight w:val="none"/>
              </w:rPr>
            </w:pPr>
            <w:r>
              <w:rPr>
                <w:rFonts w:hint="eastAsia" w:ascii="宋体" w:hAnsi="宋体" w:eastAsia="宋体" w:cs="宋体"/>
                <w:highlight w:val="none"/>
              </w:rPr>
              <w:t>A-</w:t>
            </w:r>
            <w:r>
              <w:rPr>
                <w:rFonts w:hint="eastAsia" w:ascii="宋体" w:hAnsi="宋体" w:eastAsia="宋体" w:cs="宋体"/>
                <w:highlight w:val="none"/>
                <w:lang w:val="en-US" w:eastAsia="zh-CN"/>
              </w:rPr>
              <w:t>19</w:t>
            </w:r>
            <w:r>
              <w:rPr>
                <w:rFonts w:hint="eastAsia" w:ascii="宋体" w:hAnsi="宋体" w:eastAsia="宋体" w:cs="宋体"/>
                <w:highlight w:val="none"/>
              </w:rPr>
              <w:t>投标函部分的格式要求法定代表人或其委托代理人签名（或盖章）的须齐全</w:t>
            </w:r>
            <w:r>
              <w:rPr>
                <w:rFonts w:hint="eastAsia" w:ascii="宋体" w:hAnsi="宋体" w:eastAsia="宋体" w:cs="宋体"/>
                <w:highlight w:val="none"/>
                <w:lang w:eastAsia="zh-CN"/>
              </w:rPr>
              <w:t>，</w:t>
            </w:r>
            <w:r>
              <w:rPr>
                <w:rFonts w:hint="eastAsia" w:ascii="宋体" w:hAnsi="宋体" w:eastAsia="宋体" w:cs="宋体"/>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default" w:ascii="宋体" w:hAnsi="宋体" w:eastAsia="宋体" w:cs="宋体"/>
                <w:highlight w:val="none"/>
              </w:rPr>
            </w:pPr>
            <w:r>
              <w:rPr>
                <w:rFonts w:hint="eastAsia" w:ascii="宋体" w:hAnsi="宋体" w:eastAsia="宋体" w:cs="宋体"/>
                <w:highlight w:val="none"/>
              </w:rPr>
              <w:t>投标</w:t>
            </w:r>
            <w:r>
              <w:rPr>
                <w:rFonts w:hint="eastAsia" w:ascii="宋体" w:hAnsi="宋体" w:eastAsia="宋体" w:cs="宋体"/>
                <w:highlight w:val="none"/>
                <w:lang w:val="en-US" w:eastAsia="zh-CN"/>
              </w:rPr>
              <w:t>函部分的格式中</w:t>
            </w:r>
            <w:r>
              <w:rPr>
                <w:rFonts w:hint="eastAsia" w:ascii="宋体" w:hAnsi="宋体" w:eastAsia="宋体" w:cs="宋体"/>
                <w:highlight w:val="none"/>
              </w:rPr>
              <w:t>要求</w:t>
            </w:r>
            <w:r>
              <w:rPr>
                <w:rFonts w:hint="eastAsia" w:ascii="宋体" w:hAnsi="宋体" w:eastAsia="宋体" w:cs="宋体"/>
                <w:highlight w:val="none"/>
                <w:lang w:val="en-US" w:eastAsia="zh-CN"/>
              </w:rPr>
              <w:t>投标人加盖单位法人章的，应加盖其单位法人章</w:t>
            </w:r>
            <w:r>
              <w:rPr>
                <w:rFonts w:hint="eastAsia" w:ascii="宋体" w:hAnsi="宋体" w:eastAsia="宋体" w:cs="宋体"/>
                <w:highlight w:val="none"/>
                <w:lang w:eastAsia="zh-CN"/>
              </w:rPr>
              <w:t>，</w:t>
            </w:r>
            <w:r>
              <w:rPr>
                <w:rFonts w:hint="eastAsia" w:ascii="宋体" w:hAnsi="宋体" w:eastAsia="宋体" w:cs="宋体"/>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21</w:t>
            </w:r>
            <w:r>
              <w:rPr>
                <w:rFonts w:hint="eastAsia" w:ascii="宋体" w:hAnsi="宋体" w:eastAsia="宋体" w:cs="宋体"/>
                <w:color w:val="auto"/>
                <w:szCs w:val="21"/>
                <w:highlight w:val="none"/>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23</w:t>
            </w:r>
            <w:r>
              <w:rPr>
                <w:rFonts w:hint="eastAsia" w:ascii="宋体" w:hAnsi="宋体" w:eastAsia="宋体" w:cs="宋体"/>
                <w:color w:val="auto"/>
                <w:szCs w:val="21"/>
                <w:highlight w:val="none"/>
              </w:rPr>
              <w:t>投标人的投标总报价不得超过投标总报价最高限价，否则由评标委员会作否决投标处理。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25</w:t>
            </w:r>
            <w:r>
              <w:rPr>
                <w:rFonts w:hint="eastAsia" w:ascii="宋体" w:hAnsi="宋体" w:eastAsia="宋体" w:cs="宋体"/>
                <w:color w:val="auto"/>
                <w:szCs w:val="21"/>
                <w:highlight w:val="none"/>
              </w:rPr>
              <w:t>投标人对已标价工程量清单的承诺必须满足第二章“投标人须知前附表”第3.2.9项要求，否则由评标委员会作否决投标处理。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26</w:t>
            </w:r>
            <w:r>
              <w:rPr>
                <w:rFonts w:hint="eastAsia" w:ascii="宋体" w:hAnsi="宋体" w:eastAsia="宋体" w:cs="宋体"/>
                <w:color w:val="auto"/>
                <w:szCs w:val="21"/>
                <w:highlight w:val="none"/>
              </w:rPr>
              <w:t>投标报价有算术错误的，按照第三章3.评标程序第3.1.3项规定执行，否则由评标委员会作否决投标处理。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i/>
                <w:color w:val="auto"/>
                <w:szCs w:val="21"/>
                <w:highlight w:val="none"/>
                <w:lang w:eastAsia="zh-CN"/>
              </w:rPr>
            </w:pPr>
            <w:r>
              <w:rPr>
                <w:rFonts w:hint="eastAsia" w:ascii="宋体" w:hAnsi="宋体" w:eastAsia="宋体" w:cs="宋体"/>
                <w:i/>
                <w:color w:val="auto"/>
                <w:szCs w:val="21"/>
                <w:highlight w:val="none"/>
                <w:lang w:eastAsia="zh-CN"/>
              </w:rPr>
              <w:t>无</w:t>
            </w:r>
          </w:p>
        </w:tc>
      </w:tr>
    </w:tbl>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pStyle w:val="26"/>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250"/>
      <w:bookmarkEnd w:id="251"/>
      <w:r>
        <w:rPr>
          <w:rFonts w:hint="eastAsia" w:ascii="宋体" w:hAnsi="宋体" w:eastAsia="宋体" w:cs="宋体"/>
          <w:color w:val="auto"/>
          <w:highlight w:val="none"/>
          <w:u w:val="none"/>
        </w:rPr>
        <w:t xml:space="preserve"> </w:t>
      </w:r>
    </w:p>
    <w:p>
      <w:pPr>
        <w:pStyle w:val="3"/>
        <w:spacing w:line="360" w:lineRule="auto"/>
        <w:ind w:firstLine="883"/>
        <w:jc w:val="center"/>
        <w:rPr>
          <w:rFonts w:hint="eastAsia" w:ascii="宋体" w:hAnsi="宋体" w:eastAsia="宋体" w:cs="宋体"/>
          <w:bCs w:val="0"/>
          <w:snapToGrid w:val="0"/>
          <w:color w:val="auto"/>
          <w:highlight w:val="none"/>
          <w:lang w:val="zh-CN"/>
        </w:rPr>
      </w:pPr>
      <w:bookmarkStart w:id="252" w:name="_Toc430530509"/>
      <w:bookmarkStart w:id="253" w:name="_Toc31711"/>
      <w:bookmarkStart w:id="254" w:name="_Toc27983309"/>
      <w:bookmarkStart w:id="255" w:name="_Toc509218785"/>
      <w:r>
        <w:rPr>
          <w:rFonts w:hint="eastAsia" w:ascii="宋体" w:hAnsi="宋体" w:eastAsia="宋体" w:cs="宋体"/>
          <w:bCs w:val="0"/>
          <w:snapToGrid w:val="0"/>
          <w:color w:val="auto"/>
          <w:highlight w:val="none"/>
        </w:rPr>
        <w:t>第四章  合同条款及格式</w:t>
      </w:r>
      <w:bookmarkEnd w:id="252"/>
      <w:bookmarkEnd w:id="253"/>
      <w:bookmarkEnd w:id="254"/>
      <w:bookmarkEnd w:id="255"/>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 xml:space="preserve">   </w:t>
      </w:r>
    </w:p>
    <w:p>
      <w:pPr>
        <w:jc w:val="left"/>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br w:type="page"/>
      </w:r>
    </w:p>
    <w:p>
      <w:pPr>
        <w:jc w:val="left"/>
        <w:rPr>
          <w:rFonts w:hint="eastAsia" w:ascii="宋体" w:hAnsi="宋体" w:eastAsia="宋体" w:cs="宋体"/>
          <w:sz w:val="30"/>
          <w:szCs w:val="30"/>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r>
        <w:rPr>
          <w:rFonts w:hint="eastAsia" w:ascii="宋体" w:hAnsi="宋体" w:eastAsia="宋体" w:cs="宋体"/>
          <w:b/>
          <w:color w:val="000000"/>
          <w:sz w:val="72"/>
          <w:szCs w:val="52"/>
          <w:highlight w:val="none"/>
        </w:rPr>
        <w:t>XX工程施工合同</w:t>
      </w:r>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（示范文本）</w:t>
      </w:r>
    </w:p>
    <w:p>
      <w:pPr>
        <w:pStyle w:val="24"/>
        <w:tabs>
          <w:tab w:val="right" w:leader="dot" w:pos="8296"/>
        </w:tabs>
        <w:rPr>
          <w:rFonts w:hint="eastAsia" w:ascii="宋体" w:hAnsi="宋体" w:eastAsia="宋体" w:cs="宋体"/>
          <w:b w:val="0"/>
          <w:color w:val="000000"/>
          <w:sz w:val="52"/>
          <w:szCs w:val="52"/>
          <w:highlight w:val="none"/>
          <w:lang w:val="en-US" w:eastAsia="zh-CN"/>
        </w:rPr>
      </w:pPr>
      <w:r>
        <w:rPr>
          <w:rFonts w:hint="eastAsia" w:ascii="宋体" w:hAnsi="宋体" w:eastAsia="宋体" w:cs="宋体"/>
          <w:b w:val="0"/>
          <w:color w:val="000000"/>
          <w:sz w:val="52"/>
          <w:szCs w:val="52"/>
          <w:highlight w:val="none"/>
          <w:lang w:val="en-US" w:eastAsia="zh-CN"/>
        </w:rPr>
        <w:t xml:space="preserve">   </w:t>
      </w:r>
    </w:p>
    <w:p>
      <w:pPr>
        <w:rPr>
          <w:rFonts w:hint="eastAsia" w:ascii="宋体" w:hAnsi="宋体" w:eastAsia="宋体" w:cs="宋体"/>
          <w:b w:val="0"/>
          <w:color w:val="000000"/>
          <w:sz w:val="52"/>
          <w:szCs w:val="52"/>
          <w:highlight w:val="none"/>
          <w:lang w:val="en-US" w:eastAsia="zh-CN"/>
        </w:rPr>
      </w:pPr>
    </w:p>
    <w:p>
      <w:pPr>
        <w:spacing w:line="360" w:lineRule="auto"/>
        <w:ind w:firstLine="561"/>
        <w:jc w:val="center"/>
        <w:rPr>
          <w:rFonts w:hint="eastAsia" w:ascii="宋体" w:hAnsi="宋体" w:eastAsia="宋体" w:cs="宋体"/>
          <w:b/>
          <w:sz w:val="28"/>
          <w:highlight w:val="none"/>
          <w:lang w:val="en-US" w:eastAsia="zh-CN"/>
        </w:rPr>
      </w:pPr>
      <w:r>
        <w:rPr>
          <w:rFonts w:hint="eastAsia" w:ascii="宋体" w:hAnsi="宋体" w:eastAsia="宋体" w:cs="宋体"/>
          <w:b/>
          <w:sz w:val="28"/>
          <w:highlight w:val="none"/>
        </w:rPr>
        <w:t>合同</w:t>
      </w:r>
      <w:r>
        <w:rPr>
          <w:rFonts w:hint="eastAsia" w:ascii="宋体" w:hAnsi="宋体" w:eastAsia="宋体" w:cs="宋体"/>
          <w:b/>
          <w:sz w:val="28"/>
          <w:highlight w:val="none"/>
          <w:lang w:val="en-US" w:eastAsia="zh-CN"/>
        </w:rPr>
        <w:t>编</w:t>
      </w:r>
      <w:r>
        <w:rPr>
          <w:rFonts w:hint="eastAsia" w:ascii="宋体" w:hAnsi="宋体" w:eastAsia="宋体" w:cs="宋体"/>
          <w:b/>
          <w:sz w:val="28"/>
          <w:highlight w:val="none"/>
        </w:rPr>
        <w:t>号</w:t>
      </w:r>
      <w:r>
        <w:rPr>
          <w:rFonts w:hint="eastAsia" w:ascii="宋体" w:hAnsi="宋体" w:eastAsia="宋体" w:cs="宋体"/>
          <w:b/>
          <w:color w:val="auto"/>
          <w:sz w:val="28"/>
          <w:highlight w:val="none"/>
        </w:rPr>
        <w:t>：</w:t>
      </w:r>
      <w:r>
        <w:rPr>
          <w:rFonts w:hint="eastAsia" w:ascii="宋体" w:hAnsi="宋体" w:eastAsia="宋体" w:cs="宋体"/>
          <w:b/>
          <w:color w:val="auto"/>
          <w:sz w:val="28"/>
          <w:highlight w:val="none"/>
          <w:lang w:val="en-US" w:eastAsia="zh-CN"/>
        </w:rPr>
        <w:t xml:space="preserve">xxxx （x） s/x  x  xx  xxxx </w:t>
      </w:r>
    </w:p>
    <w:p>
      <w:pPr>
        <w:pStyle w:val="24"/>
        <w:tabs>
          <w:tab w:val="right" w:leader="dot" w:pos="8296"/>
        </w:tabs>
        <w:rPr>
          <w:rFonts w:hint="eastAsia" w:ascii="宋体" w:hAnsi="宋体" w:eastAsia="宋体" w:cs="宋体"/>
          <w:highlight w:val="none"/>
          <w:lang w:val="en-US" w:eastAsia="zh-CN"/>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52"/>
          <w:szCs w:val="52"/>
          <w:highlight w:val="none"/>
        </w:rPr>
      </w:pPr>
    </w:p>
    <w:p>
      <w:pPr>
        <w:pStyle w:val="5"/>
        <w:jc w:val="center"/>
        <w:rPr>
          <w:rFonts w:hint="eastAsia" w:ascii="宋体" w:hAnsi="宋体" w:eastAsia="宋体" w:cs="宋体"/>
          <w:b w:val="0"/>
          <w:color w:val="000000"/>
          <w:sz w:val="44"/>
          <w:szCs w:val="44"/>
          <w:highlight w:val="none"/>
        </w:rPr>
      </w:pPr>
      <w:bookmarkStart w:id="256" w:name="_Toc31914"/>
      <w:r>
        <w:rPr>
          <w:rFonts w:hint="eastAsia" w:ascii="宋体" w:hAnsi="宋体" w:eastAsia="宋体" w:cs="宋体"/>
          <w:sz w:val="44"/>
          <w:szCs w:val="44"/>
          <w:highlight w:val="none"/>
        </w:rPr>
        <w:t>第一部分 合同协议书</w:t>
      </w:r>
      <w:bookmarkEnd w:id="256"/>
    </w:p>
    <w:p>
      <w:pPr>
        <w:adjustRightInd w:val="0"/>
        <w:snapToGrid w:val="0"/>
        <w:spacing w:beforeLines="0" w:afterLines="0" w:line="360" w:lineRule="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rPr>
        <w:t>发包人（全称）：</w:t>
      </w:r>
      <w:r>
        <w:rPr>
          <w:rFonts w:hint="eastAsia" w:ascii="宋体" w:hAnsi="宋体" w:eastAsia="宋体" w:cs="宋体"/>
          <w:b/>
          <w:color w:val="000000"/>
          <w:sz w:val="21"/>
          <w:szCs w:val="21"/>
          <w:highlight w:val="none"/>
          <w:u w:val="single"/>
        </w:rPr>
        <w:t>                       </w:t>
      </w:r>
    </w:p>
    <w:p>
      <w:pPr>
        <w:adjustRightInd w:val="0"/>
        <w:snapToGrid w:val="0"/>
        <w:spacing w:beforeLines="0" w:afterLines="0" w:line="360" w:lineRule="auto"/>
        <w:rPr>
          <w:rFonts w:hint="eastAsia" w:ascii="宋体" w:hAnsi="宋体" w:eastAsia="宋体" w:cs="宋体"/>
          <w:b/>
          <w:color w:val="auto"/>
          <w:sz w:val="21"/>
          <w:szCs w:val="21"/>
          <w:highlight w:val="none"/>
          <w:u w:val="single"/>
        </w:rPr>
      </w:pPr>
      <w:r>
        <w:rPr>
          <w:rFonts w:hint="eastAsia" w:ascii="宋体" w:hAnsi="宋体" w:eastAsia="宋体" w:cs="宋体"/>
          <w:b/>
          <w:color w:val="000000"/>
          <w:sz w:val="21"/>
          <w:szCs w:val="21"/>
          <w:highlight w:val="none"/>
        </w:rPr>
        <w:t>承包人（全称）：</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auto"/>
          <w:sz w:val="21"/>
          <w:szCs w:val="21"/>
          <w:highlight w:val="none"/>
          <w:u w:val="single"/>
        </w:rPr>
        <w:t xml:space="preserve">                   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根据《中华人民共和国民法典》、《中华人民共和国建筑法》及有关法律规定，遵循平等、自愿、公平和诚实信用的原则，双方就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工程施工及有关事项协商一致，共同达成如下协议：</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57" w:name="_Toc351203481"/>
      <w:r>
        <w:rPr>
          <w:rFonts w:hint="eastAsia" w:ascii="宋体" w:hAnsi="宋体" w:eastAsia="宋体" w:cs="宋体"/>
          <w:b w:val="0"/>
          <w:color w:val="auto"/>
          <w:sz w:val="21"/>
          <w:szCs w:val="21"/>
          <w:highlight w:val="none"/>
        </w:rPr>
        <w:t>一、工程概况</w:t>
      </w:r>
      <w:bookmarkEnd w:id="257"/>
    </w:p>
    <w:p>
      <w:pPr>
        <w:adjustRightInd w:val="0"/>
        <w:snapToGrid w:val="0"/>
        <w:spacing w:beforeLines="0" w:afterLines="0" w:line="360" w:lineRule="auto"/>
        <w:ind w:firstLine="411" w:firstLineChars="196"/>
        <w:rPr>
          <w:rFonts w:hint="eastAsia" w:ascii="宋体" w:hAnsi="宋体" w:eastAsia="宋体" w:cs="宋体"/>
          <w:color w:val="auto"/>
          <w:sz w:val="21"/>
          <w:szCs w:val="21"/>
          <w:highlight w:val="none"/>
          <w:u w:val="single"/>
        </w:rPr>
      </w:pPr>
      <w:r>
        <w:rPr>
          <w:rFonts w:hint="eastAsia" w:ascii="宋体" w:hAnsi="宋体" w:eastAsia="宋体" w:cs="宋体"/>
          <w:bCs/>
          <w:color w:val="auto"/>
          <w:sz w:val="21"/>
          <w:szCs w:val="21"/>
          <w:highlight w:val="none"/>
        </w:rPr>
        <w:t>1.工程名称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2.工程地点：</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3.工程承包范围：</w:t>
      </w:r>
    </w:p>
    <w:p>
      <w:pPr>
        <w:adjustRightInd w:val="0"/>
        <w:snapToGrid w:val="0"/>
        <w:spacing w:beforeLines="0" w:afterLines="0" w:line="360" w:lineRule="auto"/>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bookmarkStart w:id="258" w:name="_Toc351203482"/>
      <w:r>
        <w:rPr>
          <w:rFonts w:hint="eastAsia" w:ascii="宋体" w:hAnsi="宋体" w:eastAsia="宋体" w:cs="宋体"/>
          <w:b w:val="0"/>
          <w:color w:val="auto"/>
          <w:sz w:val="21"/>
          <w:szCs w:val="21"/>
          <w:highlight w:val="none"/>
        </w:rPr>
        <w:t>二、合同工期</w:t>
      </w:r>
      <w:bookmarkEnd w:id="258"/>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天。工期总日历天数与根据前述计划开竣工日期计算的工期天数不一致的，以工期总日历天数为准。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59" w:name="_Toc351203483"/>
      <w:r>
        <w:rPr>
          <w:rFonts w:hint="eastAsia" w:ascii="宋体" w:hAnsi="宋体" w:eastAsia="宋体" w:cs="宋体"/>
          <w:b w:val="0"/>
          <w:color w:val="auto"/>
          <w:sz w:val="21"/>
          <w:szCs w:val="21"/>
          <w:highlight w:val="none"/>
        </w:rPr>
        <w:t>三、质量标准</w:t>
      </w:r>
      <w:bookmarkEnd w:id="259"/>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工程质量符合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标准。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0" w:name="_Toc351203484"/>
      <w:r>
        <w:rPr>
          <w:rFonts w:hint="eastAsia" w:ascii="宋体" w:hAnsi="宋体" w:eastAsia="宋体" w:cs="宋体"/>
          <w:b w:val="0"/>
          <w:color w:val="auto"/>
          <w:sz w:val="21"/>
          <w:szCs w:val="21"/>
          <w:highlight w:val="none"/>
        </w:rPr>
        <w:t>四、签约合同价与合同价格形式</w:t>
      </w:r>
      <w:bookmarkEnd w:id="260"/>
      <w:r>
        <w:rPr>
          <w:rFonts w:hint="eastAsia" w:ascii="宋体" w:hAnsi="宋体" w:eastAsia="宋体" w:cs="宋体"/>
          <w:b w:val="0"/>
          <w:color w:val="auto"/>
          <w:sz w:val="21"/>
          <w:szCs w:val="21"/>
          <w:highlight w:val="none"/>
        </w:rPr>
        <w:tab/>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1.签约合同价（含税）为：</w:t>
      </w:r>
    </w:p>
    <w:p>
      <w:pPr>
        <w:adjustRightInd w:val="0"/>
        <w:snapToGrid w:val="0"/>
        <w:spacing w:beforeLines="0" w:afterLines="0"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安全生产费/</w:t>
      </w:r>
      <w:r>
        <w:rPr>
          <w:rFonts w:hint="eastAsia" w:ascii="宋体" w:hAnsi="宋体" w:eastAsia="宋体" w:cs="宋体"/>
          <w:color w:val="auto"/>
          <w:sz w:val="21"/>
          <w:szCs w:val="21"/>
          <w:highlight w:val="none"/>
        </w:rPr>
        <w:t>安全文明施工费（含税）：</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2.合同价格形式：</w:t>
      </w:r>
      <w:r>
        <w:rPr>
          <w:rFonts w:hint="eastAsia" w:ascii="宋体" w:hAnsi="宋体" w:eastAsia="宋体" w:cs="宋体"/>
          <w:color w:val="auto"/>
          <w:sz w:val="21"/>
          <w:szCs w:val="21"/>
          <w:highlight w:val="none"/>
          <w:u w:val="single"/>
        </w:rPr>
        <w:t>                      </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 xml:space="preserve">   </w:t>
      </w:r>
      <w:r>
        <w:rPr>
          <w:rFonts w:hint="eastAsia" w:ascii="宋体" w:hAnsi="宋体" w:eastAsia="宋体" w:cs="宋体"/>
          <w:b/>
          <w:color w:val="auto"/>
          <w:sz w:val="21"/>
          <w:szCs w:val="21"/>
          <w:highlight w:val="none"/>
        </w:rPr>
        <w:t xml:space="preserve"> </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1" w:name="_Toc351203486"/>
      <w:r>
        <w:rPr>
          <w:rFonts w:hint="eastAsia" w:ascii="宋体" w:hAnsi="宋体" w:eastAsia="宋体" w:cs="宋体"/>
          <w:b w:val="0"/>
          <w:color w:val="auto"/>
          <w:sz w:val="21"/>
          <w:szCs w:val="21"/>
          <w:highlight w:val="none"/>
        </w:rPr>
        <w:t>五、合同文件构成</w:t>
      </w:r>
      <w:bookmarkEnd w:id="261"/>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本协议书与下列文件一起构成合同文件：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（1）中标通知书（如果有）；</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（2）投标函及其附录（如果有）；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（3）专用合同条款及其附件；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（5）技术标准和要求；</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（7）已标价工程量清单或预算书；</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6"/>
        <w:adjustRightInd w:val="0"/>
        <w:snapToGrid w:val="0"/>
        <w:spacing w:before="0" w:beforeAutospacing="0" w:after="0" w:afterAutospacing="0"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2" w:name="_Toc351203487"/>
      <w:r>
        <w:rPr>
          <w:rFonts w:hint="eastAsia" w:ascii="宋体" w:hAnsi="宋体" w:eastAsia="宋体" w:cs="宋体"/>
          <w:b w:val="0"/>
          <w:color w:val="auto"/>
          <w:sz w:val="21"/>
          <w:szCs w:val="21"/>
          <w:highlight w:val="none"/>
        </w:rPr>
        <w:t>六、承诺</w:t>
      </w:r>
      <w:bookmarkEnd w:id="262"/>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1.发包人承诺按照合同约定的期限和方式支付合同价款。</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3.发包人和承包人通过招投标形式签订合同的，双方理解并承诺不再就同一工程另行签订与合同实质性内容相背离的协议。</w:t>
      </w:r>
    </w:p>
    <w:p>
      <w:pPr>
        <w:adjustRightInd w:val="0"/>
        <w:snapToGrid w:val="0"/>
        <w:spacing w:beforeLines="0" w:afterLines="0" w:line="360" w:lineRule="auto"/>
        <w:rPr>
          <w:rFonts w:hint="eastAsia" w:ascii="宋体" w:hAnsi="宋体" w:eastAsia="宋体" w:cs="宋体"/>
          <w:bCs/>
          <w:color w:val="auto"/>
          <w:sz w:val="21"/>
          <w:szCs w:val="21"/>
          <w:highlight w:val="none"/>
        </w:rPr>
      </w:pPr>
      <w:bookmarkStart w:id="263" w:name="_Toc351203488"/>
      <w:r>
        <w:rPr>
          <w:rFonts w:hint="eastAsia" w:ascii="宋体" w:hAnsi="宋体" w:eastAsia="宋体" w:cs="宋体"/>
          <w:b/>
          <w:color w:val="auto"/>
          <w:sz w:val="21"/>
          <w:szCs w:val="21"/>
          <w:highlight w:val="none"/>
        </w:rPr>
        <w:t xml:space="preserve">    七、词语含义</w:t>
      </w:r>
      <w:bookmarkEnd w:id="263"/>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本协议书中词语含义与第二部分通用合同条款中赋予的含义相同。</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4" w:name="_Toc351203489"/>
      <w:r>
        <w:rPr>
          <w:rFonts w:hint="eastAsia" w:ascii="宋体" w:hAnsi="宋体" w:eastAsia="宋体" w:cs="宋体"/>
          <w:b w:val="0"/>
          <w:color w:val="auto"/>
          <w:sz w:val="21"/>
          <w:szCs w:val="21"/>
          <w:highlight w:val="none"/>
        </w:rPr>
        <w:t>八、签订时间</w:t>
      </w:r>
      <w:bookmarkEnd w:id="264"/>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5" w:name="_Toc351203490"/>
      <w:r>
        <w:rPr>
          <w:rFonts w:hint="eastAsia" w:ascii="宋体" w:hAnsi="宋体" w:eastAsia="宋体" w:cs="宋体"/>
          <w:b w:val="0"/>
          <w:color w:val="auto"/>
          <w:sz w:val="21"/>
          <w:szCs w:val="21"/>
          <w:highlight w:val="none"/>
        </w:rPr>
        <w:t>九、签订地点</w:t>
      </w:r>
      <w:bookmarkEnd w:id="265"/>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本合同在</w:t>
      </w:r>
      <w:r>
        <w:rPr>
          <w:rFonts w:hint="eastAsia" w:ascii="宋体" w:hAnsi="宋体" w:eastAsia="宋体" w:cs="宋体"/>
          <w:bCs/>
          <w:color w:val="auto"/>
          <w:sz w:val="21"/>
          <w:szCs w:val="21"/>
          <w:highlight w:val="none"/>
          <w:u w:val="single"/>
        </w:rPr>
        <w:t>重庆</w:t>
      </w:r>
      <w:r>
        <w:rPr>
          <w:rFonts w:hint="eastAsia" w:ascii="宋体" w:hAnsi="宋体" w:eastAsia="宋体" w:cs="宋体"/>
          <w:bCs/>
          <w:color w:val="auto"/>
          <w:sz w:val="21"/>
          <w:szCs w:val="21"/>
          <w:highlight w:val="none"/>
        </w:rPr>
        <w:t>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6" w:name="_Toc351203491"/>
      <w:r>
        <w:rPr>
          <w:rFonts w:hint="eastAsia" w:ascii="宋体" w:hAnsi="宋体" w:eastAsia="宋体" w:cs="宋体"/>
          <w:b w:val="0"/>
          <w:color w:val="auto"/>
          <w:sz w:val="21"/>
          <w:szCs w:val="21"/>
          <w:highlight w:val="none"/>
        </w:rPr>
        <w:t>十、补充协议</w:t>
      </w:r>
      <w:bookmarkEnd w:id="266"/>
    </w:p>
    <w:p>
      <w:pPr>
        <w:adjustRightInd w:val="0"/>
        <w:snapToGrid w:val="0"/>
        <w:spacing w:beforeLines="0" w:afterLines="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合同未尽事宜，合同当事人另行签订补充协议，补充协议是合同的组成部分。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7" w:name="_Toc351203492"/>
      <w:r>
        <w:rPr>
          <w:rFonts w:hint="eastAsia" w:ascii="宋体" w:hAnsi="宋体" w:eastAsia="宋体" w:cs="宋体"/>
          <w:b w:val="0"/>
          <w:color w:val="auto"/>
          <w:sz w:val="21"/>
          <w:szCs w:val="21"/>
          <w:highlight w:val="none"/>
        </w:rPr>
        <w:t>十一、合同生效</w:t>
      </w:r>
      <w:bookmarkEnd w:id="267"/>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w:t>
      </w:r>
      <w:r>
        <w:rPr>
          <w:rFonts w:hint="eastAsia" w:ascii="宋体" w:hAnsi="宋体" w:eastAsia="宋体" w:cs="宋体"/>
          <w:bCs/>
          <w:color w:val="auto"/>
          <w:sz w:val="21"/>
          <w:szCs w:val="21"/>
          <w:highlight w:val="none"/>
          <w:u w:val="single"/>
        </w:rPr>
        <w:t>双方盖章后</w:t>
      </w:r>
      <w:r>
        <w:rPr>
          <w:rFonts w:hint="eastAsia" w:ascii="宋体" w:hAnsi="宋体" w:eastAsia="宋体" w:cs="宋体"/>
          <w:bCs/>
          <w:color w:val="auto"/>
          <w:sz w:val="21"/>
          <w:szCs w:val="21"/>
          <w:highlight w:val="none"/>
        </w:rPr>
        <w:t>生效。</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8" w:name="_Toc351203493"/>
      <w:r>
        <w:rPr>
          <w:rFonts w:hint="eastAsia" w:ascii="宋体" w:hAnsi="宋体" w:eastAsia="宋体" w:cs="宋体"/>
          <w:b w:val="0"/>
          <w:color w:val="auto"/>
          <w:sz w:val="21"/>
          <w:szCs w:val="21"/>
          <w:highlight w:val="none"/>
        </w:rPr>
        <w:t>十二、合同份数</w:t>
      </w:r>
      <w:bookmarkEnd w:id="268"/>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本合同一式</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份，均具有同等法律效力，发包人执</w:t>
      </w:r>
      <w:r>
        <w:rPr>
          <w:rFonts w:hint="eastAsia" w:ascii="宋体" w:hAnsi="宋体" w:eastAsia="宋体" w:cs="宋体"/>
          <w:bCs/>
          <w:color w:val="auto"/>
          <w:sz w:val="21"/>
          <w:szCs w:val="21"/>
          <w:highlight w:val="none"/>
          <w:u w:val="single"/>
          <w:lang w:val="en-US" w:eastAsia="zh-CN"/>
        </w:rPr>
        <w:t>肆</w:t>
      </w:r>
      <w:r>
        <w:rPr>
          <w:rFonts w:hint="eastAsia" w:ascii="宋体" w:hAnsi="宋体" w:eastAsia="宋体" w:cs="宋体"/>
          <w:bCs/>
          <w:color w:val="auto"/>
          <w:sz w:val="21"/>
          <w:szCs w:val="21"/>
          <w:highlight w:val="none"/>
        </w:rPr>
        <w:t>份，承包人执</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w:t>
      </w:r>
    </w:p>
    <w:p>
      <w:pPr>
        <w:adjustRightInd w:val="0"/>
        <w:snapToGrid w:val="0"/>
        <w:spacing w:beforeLines="0" w:afterLines="0" w:line="360" w:lineRule="auto"/>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发包人：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承包人：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法定代表人或其委托代理人：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法定代表人或其委托代理人：</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（签字）</w:t>
      </w:r>
    </w:p>
    <w:p>
      <w:pPr>
        <w:tabs>
          <w:tab w:val="left" w:pos="4410"/>
        </w:tabs>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lang w:val="en-US" w:eastAsia="zh-CN"/>
        </w:rPr>
        <w:t xml:space="preserve">91500000586880999E    </w:t>
      </w: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重庆市渝北区余松西路</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   </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155号1幢7-5</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p>
    <w:p>
      <w:pPr>
        <w:pStyle w:val="6"/>
        <w:adjustRightInd w:val="0"/>
        <w:snapToGrid w:val="0"/>
        <w:spacing w:before="0" w:beforeAutospacing="0" w:after="0" w:afterAutospacing="0" w:line="360" w:lineRule="auto"/>
        <w:ind w:firstLine="420" w:firstLineChars="200"/>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u w:val="none"/>
          <w:lang w:val="en-US" w:eastAsia="zh-CN"/>
        </w:rPr>
        <w:t>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none"/>
          <w:lang w:val="en-US" w:eastAsia="zh-CN"/>
        </w:rPr>
        <w:t xml:space="preserve">          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023-86917860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中国光大银</w:t>
      </w:r>
      <w:r>
        <w:rPr>
          <w:rFonts w:hint="eastAsia" w:ascii="宋体" w:hAnsi="宋体" w:eastAsia="宋体" w:cs="宋体"/>
          <w:color w:val="000000"/>
          <w:sz w:val="21"/>
          <w:szCs w:val="21"/>
          <w:highlight w:val="none"/>
          <w:u w:val="single"/>
          <w:lang w:val="en-US" w:eastAsia="zh-CN"/>
        </w:rPr>
        <w:t xml:space="preserve">行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val="en-US" w:eastAsia="zh-CN"/>
        </w:rPr>
        <w:t>股份有限公司重庆冉家坝支行</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39530188000016968</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 xml:space="preserve">     </w:t>
      </w:r>
    </w:p>
    <w:p>
      <w:pPr>
        <w:pStyle w:val="5"/>
        <w:numPr>
          <w:ilvl w:val="0"/>
          <w:numId w:val="2"/>
        </w:numPr>
        <w:jc w:val="center"/>
        <w:rPr>
          <w:rFonts w:hint="eastAsia" w:ascii="宋体" w:hAnsi="宋体" w:eastAsia="宋体" w:cs="宋体"/>
          <w:color w:val="auto"/>
          <w:sz w:val="44"/>
          <w:szCs w:val="44"/>
          <w:highlight w:val="none"/>
        </w:rPr>
      </w:pPr>
      <w:r>
        <w:rPr>
          <w:rFonts w:hint="eastAsia" w:ascii="宋体" w:hAnsi="宋体" w:eastAsia="宋体" w:cs="宋体"/>
          <w:highlight w:val="none"/>
        </w:rPr>
        <w:br w:type="page"/>
      </w:r>
      <w:bookmarkStart w:id="269" w:name="_Toc351203494"/>
      <w:bookmarkStart w:id="270" w:name="_Toc1221"/>
      <w:r>
        <w:rPr>
          <w:rFonts w:hint="eastAsia" w:ascii="宋体" w:hAnsi="宋体" w:eastAsia="宋体" w:cs="宋体"/>
          <w:color w:val="auto"/>
          <w:sz w:val="44"/>
          <w:szCs w:val="44"/>
          <w:highlight w:val="none"/>
        </w:rPr>
        <w:t>通用合同条款</w:t>
      </w:r>
      <w:bookmarkEnd w:id="269"/>
      <w:bookmarkEnd w:id="270"/>
      <w:bookmarkStart w:id="271" w:name="_Toc337558727"/>
    </w:p>
    <w:p>
      <w:pPr>
        <w:tabs>
          <w:tab w:val="left" w:pos="4410"/>
        </w:tabs>
        <w:spacing w:line="360" w:lineRule="auto"/>
        <w:ind w:firstLine="480" w:firstLineChars="200"/>
        <w:rPr>
          <w:rFonts w:hint="eastAsia" w:ascii="宋体" w:hAnsi="宋体" w:eastAsia="宋体" w:cs="宋体"/>
          <w:color w:val="auto"/>
          <w:sz w:val="30"/>
          <w:szCs w:val="30"/>
          <w:highlight w:val="none"/>
        </w:rPr>
      </w:pPr>
      <w:r>
        <w:rPr>
          <w:rFonts w:hint="eastAsia" w:ascii="宋体" w:hAnsi="宋体" w:eastAsia="宋体" w:cs="宋体"/>
          <w:color w:val="auto"/>
          <w:sz w:val="24"/>
          <w:szCs w:val="24"/>
          <w:highlight w:val="none"/>
        </w:rPr>
        <w:t>（本部分内容同住房城乡建设部、工商总局印发的《建设工程施工合同示范文本（GF-2017-0201）》中通用合同条款一致，在此略，如与本合同协议书及专用条款矛盾，则以协议书及专用条款为准）</w:t>
      </w:r>
    </w:p>
    <w:bookmarkEnd w:id="271"/>
    <w:p>
      <w:pPr>
        <w:pStyle w:val="5"/>
        <w:jc w:val="center"/>
        <w:rPr>
          <w:rFonts w:hint="eastAsia" w:ascii="宋体" w:hAnsi="宋体" w:eastAsia="宋体" w:cs="宋体"/>
          <w:color w:val="auto"/>
          <w:sz w:val="44"/>
          <w:szCs w:val="44"/>
          <w:highlight w:val="none"/>
        </w:rPr>
      </w:pPr>
      <w:bookmarkStart w:id="272" w:name="_Toc351203632"/>
      <w:r>
        <w:rPr>
          <w:rFonts w:hint="eastAsia" w:ascii="宋体" w:hAnsi="宋体" w:eastAsia="宋体" w:cs="宋体"/>
          <w:color w:val="auto"/>
          <w:sz w:val="44"/>
          <w:szCs w:val="44"/>
          <w:highlight w:val="none"/>
        </w:rPr>
        <w:br w:type="page"/>
      </w:r>
      <w:bookmarkStart w:id="273" w:name="_Toc17646"/>
      <w:r>
        <w:rPr>
          <w:rFonts w:hint="eastAsia" w:ascii="宋体" w:hAnsi="宋体" w:eastAsia="宋体" w:cs="宋体"/>
          <w:color w:val="auto"/>
          <w:sz w:val="44"/>
          <w:szCs w:val="44"/>
          <w:highlight w:val="none"/>
        </w:rPr>
        <w:t>第三部分 专用合同条款</w:t>
      </w:r>
      <w:bookmarkEnd w:id="272"/>
      <w:bookmarkEnd w:id="273"/>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bookmarkStart w:id="274" w:name="_Toc351203633"/>
      <w:r>
        <w:rPr>
          <w:rFonts w:hint="eastAsia" w:ascii="宋体" w:hAnsi="宋体" w:eastAsia="宋体" w:cs="宋体"/>
          <w:b w:val="0"/>
          <w:color w:val="auto"/>
          <w:sz w:val="24"/>
          <w:szCs w:val="24"/>
          <w:highlight w:val="none"/>
        </w:rPr>
        <w:t>1. 一般约定</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5" w:name="_Toc21305"/>
      <w:bookmarkStart w:id="276" w:name="_Toc7664"/>
      <w:bookmarkStart w:id="277" w:name="_Toc30784"/>
      <w:r>
        <w:rPr>
          <w:rFonts w:hint="eastAsia" w:ascii="宋体" w:hAnsi="宋体" w:eastAsia="宋体" w:cs="宋体"/>
          <w:color w:val="auto"/>
          <w:sz w:val="24"/>
          <w:szCs w:val="24"/>
          <w:highlight w:val="none"/>
        </w:rPr>
        <w:t>1.1 词语定义</w:t>
      </w:r>
      <w:bookmarkEnd w:id="275"/>
      <w:bookmarkEnd w:id="276"/>
      <w:bookmarkEnd w:id="277"/>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1.1.1合同</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1.1.1.10其他合同文件包括：</w:t>
      </w:r>
      <w:r>
        <w:rPr>
          <w:rFonts w:hint="eastAsia" w:ascii="宋体" w:hAnsi="宋体" w:eastAsia="宋体" w:cs="宋体"/>
          <w:color w:val="auto"/>
          <w:sz w:val="24"/>
          <w:szCs w:val="24"/>
          <w:highlight w:val="none"/>
          <w:u w:val="single"/>
        </w:rPr>
        <w:t xml:space="preserve">住房城乡建设部、工商总局印发的《建设工程施工合同示范文本（GF-2017-0201）》。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合同当事人及其他相关方</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    主（如有）：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监理人（如有）：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发包人：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承包人：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8" w:name="_Toc20099"/>
      <w:bookmarkStart w:id="279" w:name="_Toc29555"/>
      <w:bookmarkStart w:id="280" w:name="_Toc29767"/>
      <w:r>
        <w:rPr>
          <w:rFonts w:hint="eastAsia" w:ascii="宋体" w:hAnsi="宋体" w:eastAsia="宋体" w:cs="宋体"/>
          <w:color w:val="auto"/>
          <w:sz w:val="24"/>
          <w:szCs w:val="24"/>
          <w:highlight w:val="none"/>
        </w:rPr>
        <w:t>1.2 联络</w:t>
      </w:r>
      <w:bookmarkEnd w:id="278"/>
      <w:bookmarkEnd w:id="279"/>
      <w:bookmarkEnd w:id="280"/>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1.2.1承包人应当在</w:t>
      </w:r>
      <w:r>
        <w:rPr>
          <w:rFonts w:hint="eastAsia" w:ascii="宋体" w:hAnsi="宋体" w:eastAsia="宋体" w:cs="宋体"/>
          <w:color w:val="auto"/>
          <w:sz w:val="24"/>
          <w:szCs w:val="24"/>
          <w:highlight w:val="none"/>
          <w:u w:val="single"/>
        </w:rPr>
        <w:t xml:space="preserve">7 </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1.2.1.1双方确认以1.2.2条作为送达地址与受送达人，送达适用范围包括但不限于各类告知书、通知书、工作联系单、协议文件、诉讼或仲裁文书，送达主体可以是合同各方、人民法院、仲裁委员会及各行政机关。                      </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1.2.1.2送达主体按照以下送达地址进行送达，视为有效送达；采用邮寄送达的，以文书签收之日或退回之日视为送达之日；直接送达的，送达人当场在送达回证上记明情况之日视为送达之日。</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1.2.1.3以下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发包人接收文件的地点：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发包人指定的接收人为：</w:t>
      </w:r>
      <w:r>
        <w:rPr>
          <w:rFonts w:hint="eastAsia" w:ascii="宋体" w:hAnsi="宋体" w:eastAsia="宋体" w:cs="宋体"/>
          <w:color w:val="auto"/>
          <w:sz w:val="24"/>
          <w:szCs w:val="24"/>
          <w:highlight w:val="none"/>
          <w:u w:val="single"/>
        </w:rPr>
        <w:t> 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承包人接收文件的地点：</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承包人指定的接收人为：</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1" w:name="_Toc19236"/>
      <w:bookmarkStart w:id="282" w:name="_Toc17944"/>
      <w:bookmarkStart w:id="283" w:name="_Toc31794"/>
      <w:r>
        <w:rPr>
          <w:rFonts w:hint="eastAsia" w:ascii="宋体" w:hAnsi="宋体" w:eastAsia="宋体" w:cs="宋体"/>
          <w:color w:val="auto"/>
          <w:sz w:val="24"/>
          <w:szCs w:val="24"/>
          <w:highlight w:val="none"/>
        </w:rPr>
        <w:t>1.3 交通运输</w:t>
      </w:r>
      <w:bookmarkEnd w:id="281"/>
      <w:bookmarkEnd w:id="282"/>
      <w:bookmarkEnd w:id="283"/>
      <w:r>
        <w:rPr>
          <w:rFonts w:hint="eastAsia" w:ascii="宋体" w:hAnsi="宋体" w:eastAsia="宋体" w:cs="宋体"/>
          <w:color w:val="auto"/>
          <w:sz w:val="24"/>
          <w:szCs w:val="24"/>
          <w:highlight w:val="none"/>
        </w:rPr>
        <w:t xml:space="preserve">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1.3.1超大件和超重件的运输</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运输超大件或超重件所需的道路和桥梁临时加固改造费用和其他有关费用由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4" w:name="_Toc22110"/>
      <w:bookmarkStart w:id="285" w:name="_Toc3553"/>
      <w:bookmarkStart w:id="286" w:name="_Toc16223"/>
      <w:r>
        <w:rPr>
          <w:rFonts w:hint="eastAsia" w:ascii="宋体" w:hAnsi="宋体" w:eastAsia="宋体" w:cs="宋体"/>
          <w:color w:val="auto"/>
          <w:sz w:val="24"/>
          <w:szCs w:val="24"/>
          <w:highlight w:val="none"/>
        </w:rPr>
        <w:t>1.4 知识产权</w:t>
      </w:r>
      <w:bookmarkEnd w:id="284"/>
      <w:bookmarkEnd w:id="285"/>
      <w:bookmarkEnd w:id="286"/>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highlight w:val="none"/>
          <w:u w:val="single"/>
        </w:rPr>
        <w:t>发包人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关于承包人提供的上述文件的使用限制的要求：</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outlineLvl w:val="0"/>
        <w:rPr>
          <w:rFonts w:hint="eastAsia" w:ascii="宋体" w:hAnsi="宋体" w:eastAsia="宋体" w:cs="宋体"/>
          <w:color w:val="auto"/>
          <w:kern w:val="0"/>
          <w:sz w:val="24"/>
          <w:szCs w:val="24"/>
          <w:highlight w:val="none"/>
        </w:rPr>
      </w:pPr>
      <w:bookmarkStart w:id="287" w:name="_Toc64"/>
      <w:bookmarkStart w:id="288" w:name="_Toc32682"/>
      <w:bookmarkStart w:id="289" w:name="_Toc20332"/>
      <w:r>
        <w:rPr>
          <w:rFonts w:hint="eastAsia" w:ascii="宋体" w:hAnsi="宋体" w:eastAsia="宋体" w:cs="宋体"/>
          <w:color w:val="auto"/>
          <w:sz w:val="24"/>
          <w:szCs w:val="24"/>
          <w:highlight w:val="none"/>
        </w:rPr>
        <w:t>1.4.2 承包人在施工过程中所采用的专利、专有技术、技术秘密的使用费的承担方式：</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bookmarkEnd w:id="287"/>
      <w:bookmarkEnd w:id="288"/>
      <w:bookmarkEnd w:id="289"/>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1.5工程量清单错误的修正</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出现工程量清单错误时，经双方协商一致可以调整合同价格，协商不一致，合同价格不变更。</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 发包人</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0" w:name="_Toc30715"/>
      <w:bookmarkStart w:id="291" w:name="_Toc28375"/>
      <w:bookmarkStart w:id="292" w:name="_Toc5592"/>
      <w:r>
        <w:rPr>
          <w:rFonts w:hint="eastAsia" w:ascii="宋体" w:hAnsi="宋体" w:eastAsia="宋体" w:cs="宋体"/>
          <w:color w:val="auto"/>
          <w:sz w:val="24"/>
          <w:szCs w:val="24"/>
          <w:highlight w:val="none"/>
        </w:rPr>
        <w:t>2.1 发包人现场代表</w:t>
      </w:r>
      <w:bookmarkEnd w:id="290"/>
      <w:bookmarkEnd w:id="291"/>
      <w:bookmarkEnd w:id="292"/>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 承包人</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承包人的一般义务</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承包人提交的竣工资料的内容：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left="638" w:leftChars="30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承包人提交的竣工资料移交时间：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（2）承包人应履行的其他义务：</w:t>
      </w:r>
      <w:r>
        <w:rPr>
          <w:rFonts w:hint="eastAsia" w:ascii="宋体" w:hAnsi="宋体" w:eastAsia="宋体" w:cs="宋体"/>
          <w:color w:val="auto"/>
          <w:sz w:val="24"/>
          <w:szCs w:val="24"/>
          <w:highlight w:val="none"/>
          <w:u w:val="single"/>
        </w:rPr>
        <w:t>服从业主、监理人（如有）、发包人的管理要求及整改要求，及时报告施工进展及情况</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项目经理及技术负责人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承包人对项目经理的授权范围如下：</w:t>
      </w:r>
      <w:r>
        <w:rPr>
          <w:rFonts w:hint="eastAsia" w:ascii="宋体" w:hAnsi="宋体" w:eastAsia="宋体" w:cs="宋体"/>
          <w:color w:val="auto"/>
          <w:sz w:val="24"/>
          <w:szCs w:val="24"/>
          <w:highlight w:val="none"/>
          <w:u w:val="single"/>
        </w:rPr>
        <w:t>（由承包人填写，应当要求其全面填写）或详见附件项目经理任命书</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关于项目经理、技术负责人每月在施工现场的时间要求：</w:t>
      </w:r>
      <w:r>
        <w:rPr>
          <w:rFonts w:hint="eastAsia" w:ascii="宋体" w:hAnsi="宋体" w:eastAsia="宋体" w:cs="宋体"/>
          <w:color w:val="auto"/>
          <w:sz w:val="24"/>
          <w:szCs w:val="24"/>
          <w:highlight w:val="none"/>
          <w:u w:val="single"/>
        </w:rPr>
        <w:t>项目经理、技术负责人要求每月全勤/每月至少应当在施工现场考勤（28）天</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承包人未提交项目经理或技术负责人劳动合同，以及没有为项目经理或技术负责人缴纳社会保险证明的违约责任：</w:t>
      </w:r>
      <w:r>
        <w:rPr>
          <w:rFonts w:hint="eastAsia" w:ascii="宋体" w:hAnsi="宋体" w:eastAsia="宋体" w:cs="宋体"/>
          <w:color w:val="auto"/>
          <w:sz w:val="24"/>
          <w:szCs w:val="24"/>
          <w:highlight w:val="none"/>
          <w:u w:val="single"/>
        </w:rPr>
        <w:t>应在发包人要求时间内补足相关证明，若经提醒仍未整改，承包人应赔偿发包人20000元/人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项目经理或技术负责人未经批准，擅自离开施工现场的违约责任：</w:t>
      </w:r>
      <w:r>
        <w:rPr>
          <w:rFonts w:hint="eastAsia" w:ascii="宋体" w:hAnsi="宋体" w:eastAsia="宋体" w:cs="宋体"/>
          <w:color w:val="auto"/>
          <w:sz w:val="24"/>
          <w:szCs w:val="24"/>
          <w:highlight w:val="none"/>
          <w:u w:val="single"/>
        </w:rPr>
        <w:t>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 承包人擅自更换项目经理或技术负责人的违约责任：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293" w:name="_Toc24077"/>
      <w:bookmarkStart w:id="294" w:name="_Toc22379"/>
      <w:bookmarkStart w:id="295" w:name="_Toc31695"/>
      <w:r>
        <w:rPr>
          <w:rFonts w:hint="eastAsia" w:ascii="宋体" w:hAnsi="宋体" w:eastAsia="宋体" w:cs="宋体"/>
          <w:color w:val="auto"/>
          <w:sz w:val="24"/>
          <w:szCs w:val="24"/>
          <w:highlight w:val="none"/>
        </w:rPr>
        <w:t>3.2.4 承包人无正当理由拒绝更换项目经理或技术负责人的违约责任：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bookmarkEnd w:id="293"/>
      <w:bookmarkEnd w:id="294"/>
      <w:bookmarkEnd w:id="295"/>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承包人人员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承包人提交项目管理机构及施工现场管理人员安排报告的期限：</w:t>
      </w:r>
      <w:r>
        <w:rPr>
          <w:rFonts w:hint="eastAsia" w:ascii="宋体" w:hAnsi="宋体" w:eastAsia="宋体" w:cs="宋体"/>
          <w:color w:val="auto"/>
          <w:sz w:val="24"/>
          <w:szCs w:val="24"/>
          <w:highlight w:val="none"/>
          <w:u w:val="single"/>
        </w:rPr>
        <w:t>发包人提出要求后10天内提交相应报告。</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承包人无正当理由拒绝撤换主要施工管理人员的违约责任：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3.3.3 承包人主要施工管理人员离开施工现场的批准要求：   </w:t>
      </w:r>
      <w:r>
        <w:rPr>
          <w:rFonts w:hint="eastAsia" w:ascii="宋体" w:hAnsi="宋体" w:eastAsia="宋体" w:cs="宋体"/>
          <w:color w:val="auto"/>
          <w:sz w:val="24"/>
          <w:szCs w:val="24"/>
          <w:highlight w:val="none"/>
          <w:u w:val="single"/>
        </w:rPr>
        <w:t>向发包人书面提交申请并经批准</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3.3.4承包人擅自更换主要施工管理人员的违约责任：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3.3.5承包人主要施工管理人员擅自离开施工现场的违约责任：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3.3.5承包人未按照投标文件写明的要求提供劳务班组及劳务人员、施工机具的违约责任：给予5天整改期，整改期过拒不整改的，罚款5000元每人每天，10000元每一个机械每天。</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 工程照管与成品、半成品保护</w:t>
      </w:r>
    </w:p>
    <w:p>
      <w:pPr>
        <w:adjustRightInd w:val="0"/>
        <w:snapToGrid w:val="0"/>
        <w:spacing w:before="0" w:beforeLines="0" w:after="0" w:afterLines="0" w:line="360" w:lineRule="auto"/>
        <w:ind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承包人负责照管工程及工程相关的材料、工程设备的起始时间：</w:t>
      </w:r>
      <w:r>
        <w:rPr>
          <w:rFonts w:hint="eastAsia" w:ascii="宋体" w:hAnsi="宋体" w:eastAsia="宋体" w:cs="宋体"/>
          <w:color w:val="auto"/>
          <w:kern w:val="0"/>
          <w:sz w:val="24"/>
          <w:szCs w:val="24"/>
          <w:highlight w:val="none"/>
          <w:u w:val="single"/>
        </w:rPr>
        <w:t>入场后至竣工验收完毕退场</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 履约担保</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履约担保的方式：现金或银行保函或现金+银行保函的组合；采用银行保函形式的，保函必须为不可撤销且见索即付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履约担保的金额：中标合同金额的10%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履约担保的期限：自提交履约担保之日起至项目完工之日止。</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履约担保的退还时间：采用现金担保的，合同工程完工证书颁发后28天内一次性退还；采用银行保函的，合同工程完工证书颁发后28天内内退还。</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 工程质量</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6" w:name="_Toc8297"/>
      <w:bookmarkStart w:id="297" w:name="_Toc1878"/>
      <w:bookmarkStart w:id="298" w:name="_Toc2993"/>
      <w:r>
        <w:rPr>
          <w:rFonts w:hint="eastAsia" w:ascii="宋体" w:hAnsi="宋体" w:eastAsia="宋体" w:cs="宋体"/>
          <w:color w:val="auto"/>
          <w:sz w:val="24"/>
          <w:szCs w:val="24"/>
          <w:highlight w:val="none"/>
        </w:rPr>
        <w:t>4.1 质量要求</w:t>
      </w:r>
      <w:bookmarkEnd w:id="296"/>
      <w:bookmarkEnd w:id="297"/>
      <w:bookmarkEnd w:id="298"/>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 特殊质量标准和要求：</w:t>
      </w:r>
      <w:r>
        <w:rPr>
          <w:rFonts w:hint="eastAsia" w:ascii="宋体" w:hAnsi="宋体" w:eastAsia="宋体" w:cs="宋体"/>
          <w:color w:val="auto"/>
          <w:sz w:val="24"/>
          <w:szCs w:val="24"/>
          <w:highlight w:val="none"/>
          <w:u w:val="single"/>
        </w:rPr>
        <w:t>有，合格，年度一次性抽检合格率不低于97%</w:t>
      </w:r>
      <w:r>
        <w:rPr>
          <w:rFonts w:hint="eastAsia" w:ascii="宋体" w:hAnsi="宋体" w:eastAsia="宋体" w:cs="宋体"/>
          <w:color w:val="auto"/>
          <w:sz w:val="24"/>
          <w:szCs w:val="24"/>
          <w:highlight w:val="none"/>
          <w:u w:val="single"/>
          <w:lang w:eastAsia="zh-CN"/>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9" w:name="_Toc18347"/>
      <w:bookmarkStart w:id="300" w:name="_Toc7506"/>
      <w:bookmarkStart w:id="301" w:name="_Toc9869"/>
      <w:r>
        <w:rPr>
          <w:rFonts w:hint="eastAsia" w:ascii="宋体" w:hAnsi="宋体" w:eastAsia="宋体" w:cs="宋体"/>
          <w:color w:val="auto"/>
          <w:sz w:val="24"/>
          <w:szCs w:val="24"/>
          <w:highlight w:val="none"/>
        </w:rPr>
        <w:t>4.2 隐蔽工程检查</w:t>
      </w:r>
      <w:bookmarkEnd w:id="299"/>
      <w:bookmarkEnd w:id="300"/>
      <w:bookmarkEnd w:id="301"/>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承包人应提前</w:t>
      </w: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天通知发包人现场代表或监理人进行隐蔽工程检查。</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 安全文明施工与环境保护</w:t>
      </w:r>
    </w:p>
    <w:p>
      <w:pPr>
        <w:pStyle w:val="7"/>
        <w:adjustRightInd w:val="0"/>
        <w:snapToGrid w:val="0"/>
        <w:spacing w:before="0" w:beforeAutospacing="0" w:after="0" w:afterAutospacing="0"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5.1安全文明施工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 项目安全生产的达标目标及相应事项的约定：</w:t>
      </w:r>
      <w:r>
        <w:rPr>
          <w:rFonts w:hint="eastAsia" w:ascii="宋体" w:hAnsi="宋体" w:eastAsia="宋体" w:cs="宋体"/>
          <w:color w:val="auto"/>
          <w:sz w:val="24"/>
          <w:szCs w:val="24"/>
          <w:highlight w:val="none"/>
          <w:u w:val="single"/>
        </w:rPr>
        <w:t>不发生较大及以上安全生产责任事故，项目责任事故死亡指标为0。</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 关于安全文明施工费支付比例和支付期限的约定：（2）甲方收到业主的预付款后，工程开工一个月内向乙方支付至少50%安全生产费用。安全生产费按实结算，工程竣工结算后结余的安全生产费用，应当退回甲方。</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5.1.3安全文明施工费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5.1.4 事故处理</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施工过程中发生事故的，承包人应立即通知发包人和监理人（如有）。承包人应立即组织人员和设备进行紧急抢救和抢修，减少人员伤亡和财产损失，防止事故扩大，并保护事故现场。需要移动现场物品时，应作出标记和书面记录，妥善保管有关证据。承包人应及时如实地向发包人报告事故发生的情况，以及正在采取的紧急措施等。</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 工期和进度</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施工组织设计</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6.1.1 </w:t>
      </w:r>
      <w:r>
        <w:rPr>
          <w:rFonts w:hint="eastAsia" w:ascii="宋体" w:hAnsi="宋体" w:eastAsia="宋体" w:cs="宋体"/>
          <w:color w:val="auto"/>
          <w:kern w:val="0"/>
          <w:sz w:val="24"/>
          <w:szCs w:val="24"/>
          <w:highlight w:val="none"/>
        </w:rPr>
        <w:t>施工组织设计的提交和修改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承包人提交详细施工组织设计的期限的约定：</w:t>
      </w:r>
      <w:r>
        <w:rPr>
          <w:rFonts w:hint="eastAsia" w:ascii="宋体" w:hAnsi="宋体" w:eastAsia="宋体" w:cs="宋体"/>
          <w:color w:val="auto"/>
          <w:sz w:val="24"/>
          <w:szCs w:val="24"/>
          <w:highlight w:val="none"/>
          <w:u w:val="single"/>
        </w:rPr>
        <w:t>发包人提出要求后的15日内完成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业主、发包人、监理人在收到详细的施工组织设计后提出修改意见的，承包人应当在</w:t>
      </w:r>
      <w:r>
        <w:rPr>
          <w:rFonts w:hint="eastAsia" w:ascii="宋体" w:hAnsi="宋体" w:eastAsia="宋体" w:cs="宋体"/>
          <w:color w:val="auto"/>
          <w:sz w:val="24"/>
          <w:szCs w:val="24"/>
          <w:highlight w:val="none"/>
          <w:u w:val="single"/>
        </w:rPr>
        <w:t>7</w:t>
      </w:r>
      <w:r>
        <w:rPr>
          <w:rFonts w:hint="eastAsia" w:ascii="宋体" w:hAnsi="宋体" w:eastAsia="宋体" w:cs="宋体"/>
          <w:color w:val="auto"/>
          <w:sz w:val="24"/>
          <w:szCs w:val="24"/>
          <w:highlight w:val="none"/>
        </w:rPr>
        <w:t>日内修改。</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开工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开工准备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关于承包人提交</w:t>
      </w:r>
      <w:r>
        <w:rPr>
          <w:rFonts w:hint="eastAsia" w:ascii="宋体" w:hAnsi="宋体" w:eastAsia="宋体" w:cs="宋体"/>
          <w:color w:val="auto"/>
          <w:kern w:val="0"/>
          <w:sz w:val="24"/>
          <w:szCs w:val="24"/>
          <w:highlight w:val="none"/>
        </w:rPr>
        <w:t>工程开工报审表的期限：</w:t>
      </w:r>
      <w:r>
        <w:rPr>
          <w:rFonts w:hint="eastAsia" w:ascii="宋体" w:hAnsi="宋体" w:eastAsia="宋体" w:cs="宋体"/>
          <w:color w:val="auto"/>
          <w:sz w:val="24"/>
          <w:szCs w:val="24"/>
          <w:highlight w:val="none"/>
          <w:u w:val="single"/>
        </w:rPr>
        <w:t>发包人提出要求后的7日内完成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关于承包人应完成的其他开工准备工作及期限：</w:t>
      </w:r>
      <w:r>
        <w:rPr>
          <w:rFonts w:hint="eastAsia" w:ascii="宋体" w:hAnsi="宋体" w:eastAsia="宋体" w:cs="宋体"/>
          <w:color w:val="auto"/>
          <w:sz w:val="24"/>
          <w:szCs w:val="24"/>
          <w:highlight w:val="none"/>
          <w:u w:val="single"/>
        </w:rPr>
        <w:t>有，根据施工现场要求确定（填写具体工作），期限：发包人提出相关要求后的7日内完成</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 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因承包人原因导致工期延误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因承包人原因造成工期延误，逾期竣工违约金的计算方法为：</w:t>
      </w:r>
      <w:r>
        <w:rPr>
          <w:rFonts w:hint="eastAsia" w:ascii="宋体" w:hAnsi="宋体" w:eastAsia="宋体" w:cs="宋体"/>
          <w:color w:val="auto"/>
          <w:sz w:val="24"/>
          <w:szCs w:val="24"/>
          <w:highlight w:val="none"/>
          <w:u w:val="single"/>
        </w:rPr>
        <w:t>逾期总天数*合同总金额/约定工期</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7. 材料与设备</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7.1材料与工程设备的保管与使用</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7.1.1发包人供应的材料设备的保管费用由承包人承担。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2" w:name="_Toc10881"/>
      <w:bookmarkStart w:id="303" w:name="_Toc29931"/>
      <w:bookmarkStart w:id="304" w:name="_Toc19553"/>
      <w:r>
        <w:rPr>
          <w:rFonts w:hint="eastAsia" w:ascii="宋体" w:hAnsi="宋体" w:eastAsia="宋体" w:cs="宋体"/>
          <w:color w:val="auto"/>
          <w:sz w:val="24"/>
          <w:szCs w:val="24"/>
          <w:highlight w:val="none"/>
        </w:rPr>
        <w:t>7.2 施工设备和临时设施</w:t>
      </w:r>
      <w:bookmarkEnd w:id="302"/>
      <w:bookmarkEnd w:id="303"/>
      <w:bookmarkEnd w:id="304"/>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修建临时设施费用由承包人承担。</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8. 试验与检验（如需）</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8.1试验设备与试验人员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 试验设备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施工现场需要配置的试验场所及试验设备由承包人负责，试验人员安全由承包人负责。</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9. 变更</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5" w:name="_Toc5230"/>
      <w:bookmarkStart w:id="306" w:name="_Toc20003"/>
      <w:bookmarkStart w:id="307" w:name="_Toc25039"/>
      <w:r>
        <w:rPr>
          <w:rFonts w:hint="eastAsia" w:ascii="宋体" w:hAnsi="宋体" w:eastAsia="宋体" w:cs="宋体"/>
          <w:color w:val="auto"/>
          <w:sz w:val="24"/>
          <w:szCs w:val="24"/>
          <w:highlight w:val="none"/>
        </w:rPr>
        <w:t>9.1 暂估价</w:t>
      </w:r>
      <w:bookmarkEnd w:id="305"/>
      <w:bookmarkEnd w:id="306"/>
      <w:bookmarkEnd w:id="307"/>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9.1.1</w:t>
      </w:r>
      <w:r>
        <w:rPr>
          <w:rFonts w:hint="eastAsia" w:ascii="宋体" w:hAnsi="宋体" w:eastAsia="宋体" w:cs="宋体"/>
          <w:color w:val="auto"/>
          <w:kern w:val="0"/>
          <w:sz w:val="24"/>
          <w:szCs w:val="24"/>
          <w:highlight w:val="none"/>
        </w:rPr>
        <w:t>专业工程暂估价：10KV外电引入及洞口外电迁改，暂估价金额为2000000.00元</w:t>
      </w:r>
      <w:r>
        <w:rPr>
          <w:rFonts w:hint="eastAsia" w:ascii="宋体" w:hAnsi="宋体" w:cs="宋体"/>
          <w:color w:val="auto"/>
          <w:kern w:val="0"/>
          <w:sz w:val="24"/>
          <w:szCs w:val="24"/>
          <w:highlight w:val="none"/>
          <w:lang w:eastAsia="zh-CN"/>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结算时根据现场收方明细资料，由发包人按合同约定的计价原则计算审核总价，并在审核总价基础上乘以中标价/招标限价的折扣率后作为最终结算金额，即最终结算金额=（中标价/招标限价）*100%*审核总价。</w:t>
      </w:r>
    </w:p>
    <w:p>
      <w:pPr>
        <w:adjustRightInd w:val="0"/>
        <w:snapToGrid w:val="0"/>
        <w:spacing w:beforeLines="0" w:afterLines="0" w:line="360" w:lineRule="auto"/>
        <w:ind w:firstLine="480" w:firstLineChars="200"/>
        <w:jc w:val="left"/>
        <w:rPr>
          <w:rFonts w:hint="eastAsia"/>
        </w:rPr>
      </w:pPr>
      <w:r>
        <w:rPr>
          <w:rFonts w:hint="eastAsia" w:ascii="宋体" w:hAnsi="宋体" w:cs="宋体"/>
          <w:color w:val="auto"/>
          <w:kern w:val="0"/>
          <w:sz w:val="24"/>
          <w:szCs w:val="24"/>
          <w:highlight w:val="none"/>
          <w:lang w:val="en-US" w:eastAsia="zh-CN"/>
        </w:rPr>
        <w:t>9.1.2</w:t>
      </w:r>
      <w:r>
        <w:rPr>
          <w:rFonts w:hint="eastAsia" w:ascii="宋体" w:hAnsi="宋体" w:eastAsia="宋体" w:cs="宋体"/>
          <w:color w:val="auto"/>
          <w:kern w:val="0"/>
          <w:sz w:val="24"/>
          <w:szCs w:val="24"/>
          <w:highlight w:val="none"/>
        </w:rPr>
        <w:t>暂估价材料和工程设备的明细详见附件12：《</w:t>
      </w:r>
      <w:r>
        <w:rPr>
          <w:rFonts w:hint="eastAsia" w:ascii="宋体" w:hAnsi="宋体" w:eastAsia="宋体" w:cs="宋体"/>
          <w:color w:val="auto"/>
          <w:sz w:val="24"/>
          <w:szCs w:val="24"/>
          <w:highlight w:val="none"/>
        </w:rPr>
        <w:t>暂估价一览表》</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10. 价格调整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市场价格波动引起的调整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市场价格波动是否调整合同价格的约定：</w:t>
      </w:r>
      <w:r>
        <w:rPr>
          <w:rFonts w:hint="eastAsia" w:ascii="宋体" w:hAnsi="宋体" w:eastAsia="宋体" w:cs="宋体"/>
          <w:color w:val="auto"/>
          <w:sz w:val="24"/>
          <w:szCs w:val="24"/>
          <w:highlight w:val="none"/>
          <w:u w:val="single"/>
        </w:rPr>
        <w:t>无（包干）</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11. 合同价格、计量与支付</w:t>
      </w:r>
    </w:p>
    <w:p>
      <w:pPr>
        <w:adjustRightInd w:val="0"/>
        <w:snapToGrid w:val="0"/>
        <w:spacing w:beforeLines="0" w:after="0" w:afterLines="0" w:line="360" w:lineRule="auto"/>
        <w:ind w:firstLine="480" w:firstLineChars="200"/>
        <w:rPr>
          <w:rStyle w:val="4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本合同价款采用</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方式确定。</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（1）采用固定单价合同，合同价款中包括的风险范围： 执行期间一切遇国家政策性和市场性调整造成材料、人工、机械等价格上下浮动（合同另有约定的除外），承包人可以或者应该预见的风险以及招标文件明确的其他风险等均由承包人自行负担。</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风险费用的计算方法：以上风险费用已在投标报价时考虑，除合同中另有约定外不再另行计取。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风险范围以外合同价款调整方法：</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①工程量确定原则：分部分项工程量由项目经理与承包人进行现场计量确认，并如实填报计量资料。</w:t>
      </w:r>
    </w:p>
    <w:p>
      <w:pPr>
        <w:numPr>
          <w:ilvl w:val="0"/>
          <w:numId w:val="0"/>
        </w:num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单价的确定原则：投标书中有相同子目的，按相同子目的价格调整；有相似子目的，按相似子目换算后的价格调整（相似子目由甲方认定）；原投标书无相同或相似子目时，根据项目性质，本项目选择以下（A/B）计价原则并结合市场行情计算。（A/B计价原则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计价原则：35kv以下的架空线路、高压变配电工程、房屋装饰工程以及钢结构工程等执行《重庆市建设工程清单计价规则》（GQJJGZ-2013）、《重庆市房屋建筑与装饰工程计价定额》（2018）、《重庆市市政工程计价定额》（2018）、《重庆市通用安装工程计价定额》（2018）、《重庆市建设工程费用定额》（2018）、《重庆市房屋修缮工程计价定额》2018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人工单价：按合同签订当月重庆市建设工程造价管理总站发布《重庆工程造价信息》的人工信息价计算。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材料价：按合同签订当月《重庆工程造价信息》中的材料价格进行计算，如遇信息价中没有的价格，由发包人核定。</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安全文明施工费：按计价原则据实结算。</w:t>
      </w:r>
    </w:p>
    <w:p>
      <w:pPr>
        <w:adjustRightInd w:val="0"/>
        <w:snapToGrid w:val="0"/>
        <w:spacing w:beforeLines="0" w:afterLines="0"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措施费：包干计取（按实结算）。   （根据项目情况二选一）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计价原则：高速公路机电工程执行《重庆市公路工程量清单及计量规范》（2016）、交通部2019年5月1日实施的《公路工程基本建项目概算预算编制方法》（JTG3830-2018）、《公路工程预算定额》（JTG/T3831-2018）、《公路工程机械台班费用定额》（JTG/T3833-2018）、重庆市交通委员会关于执行交通部《公路工程基本建设项目概算预算编制方法》（JTG3830-2018）的通知（渝交委路[2019]29号文）及相关配套文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人工单价：按《重庆市交通局关于发布重庆市公路工程补充性造价依据（2019-1）的通知》（渝交路[2019]29号）文件规定，人工费按101元/工日计算；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材料价：按合同签订当月《重庆交通工程材料造价信息》中的材料价格进行计算，没有的参照当月《重庆工程造价信息》计算，如遇信息价中没有的价格，由发包人核定；</w:t>
      </w:r>
    </w:p>
    <w:p>
      <w:pPr>
        <w:adjustRightInd w:val="0"/>
        <w:snapToGrid w:val="0"/>
        <w:spacing w:beforeLines="0" w:afterLines="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安全生产费按实结算。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措施费：包干计取（按实结算）。（根据项目情况二选一）如有交通组织措施费发生，实施单位需提供交通组织措施相关资料，如锥标摆放长度、次数、交通管制方式（占道/封道），现场负责人签字确认、交通组织现场照片等。</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③在合同实施工程中，当单项工程量变化时，应先按《首讯公司工程变更及计量支付管理细则》规定进行合同变更流程或签订补充合同后据实结算。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④在借用相似清单（主要为材料的规格、型号等发生变化），发包人认为相似清单综合单价存在明显不合理报价时，发包人有权对新增清单项综合单价进行重新审核，审核办法按照第2）条执行。</w:t>
      </w:r>
    </w:p>
    <w:p>
      <w:pPr>
        <w:pStyle w:val="6"/>
        <w:numPr>
          <w:ilvl w:val="0"/>
          <w:numId w:val="0"/>
        </w:numPr>
        <w:adjustRightInd w:val="0"/>
        <w:snapToGrid w:val="0"/>
        <w:spacing w:before="0" w:beforeAutospacing="0" w:after="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备注：外省项目根据当地相关文件进行调整。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预付款</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11.3 工程进度款支付</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承包人提交专项安全防护措施及施工方案后，经业主、监理人（如有）、发包人批准通过，按以下方式支付乙方的对应款项：</w:t>
      </w:r>
    </w:p>
    <w:p>
      <w:pPr>
        <w:numPr>
          <w:ilvl w:val="0"/>
          <w:numId w:val="3"/>
        </w:num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工程费用：</w:t>
      </w:r>
    </w:p>
    <w:p>
      <w:pPr>
        <w:numPr>
          <w:ilvl w:val="-1"/>
          <w:numId w:val="0"/>
        </w:num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（1）按月支付，每月支付上月完成合格工程量的</w:t>
      </w:r>
      <w:r>
        <w:rPr>
          <w:rFonts w:hint="eastAsia" w:ascii="宋体" w:hAnsi="宋体" w:eastAsia="宋体" w:cs="宋体"/>
          <w:color w:val="000000"/>
          <w:sz w:val="24"/>
          <w:szCs w:val="24"/>
          <w:highlight w:val="none"/>
          <w:lang w:eastAsia="zh-CN"/>
        </w:rPr>
        <w:t>70</w:t>
      </w:r>
      <w:r>
        <w:rPr>
          <w:rFonts w:hint="eastAsia" w:ascii="宋体" w:hAnsi="宋体" w:eastAsia="宋体" w:cs="宋体"/>
          <w:color w:val="000000"/>
          <w:sz w:val="24"/>
          <w:szCs w:val="24"/>
          <w:highlight w:val="none"/>
          <w:lang w:val="en-US" w:eastAsia="zh-CN"/>
        </w:rPr>
        <w:t>%，项目机械完工验收合格后支付至已完工程量的</w:t>
      </w:r>
      <w:r>
        <w:rPr>
          <w:rFonts w:hint="eastAsia" w:ascii="宋体" w:hAnsi="宋体" w:eastAsia="宋体" w:cs="宋体"/>
          <w:color w:val="000000"/>
          <w:sz w:val="24"/>
          <w:szCs w:val="24"/>
          <w:highlight w:val="none"/>
          <w:lang w:eastAsia="zh-CN"/>
        </w:rPr>
        <w:t>85</w:t>
      </w:r>
      <w:r>
        <w:rPr>
          <w:rFonts w:hint="eastAsia" w:ascii="宋体" w:hAnsi="宋体" w:eastAsia="宋体" w:cs="宋体"/>
          <w:color w:val="000000"/>
          <w:sz w:val="24"/>
          <w:szCs w:val="24"/>
          <w:highlight w:val="none"/>
          <w:lang w:val="en-US" w:eastAsia="zh-CN"/>
        </w:rPr>
        <w:t>%，交工验收完成并结清所有农民工工资后支付至结算金额的97%，剩余3%作为质量保证金，缺陷责任期两年满后据实支付。</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）安全生产费：甲方收到业主的预付款后，工程开工一个月内向乙方支付至少50%</w:t>
      </w:r>
      <w:r>
        <w:rPr>
          <w:rFonts w:hint="eastAsia" w:ascii="宋体" w:hAnsi="宋体" w:eastAsia="宋体" w:cs="宋体"/>
          <w:color w:val="000000"/>
          <w:sz w:val="24"/>
          <w:szCs w:val="24"/>
          <w:highlight w:val="none"/>
          <w:lang w:val="en-US" w:eastAsia="zh-CN"/>
        </w:rPr>
        <w:t>的</w:t>
      </w:r>
      <w:r>
        <w:rPr>
          <w:rFonts w:hint="eastAsia" w:ascii="宋体" w:hAnsi="宋体" w:eastAsia="宋体" w:cs="宋体"/>
          <w:color w:val="000000"/>
          <w:sz w:val="24"/>
          <w:szCs w:val="24"/>
          <w:highlight w:val="none"/>
          <w:lang w:eastAsia="zh-CN"/>
        </w:rPr>
        <w:t>安全生产费用。安全生产费按实结算，工程竣工结算后结余的安全生产费用，应当退回甲方。</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设备费用：</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货到工地验收合格后3个月内支付到货金额的60%，项目机械完工验收合格后支付至已完工程量的85%，项目交工验收合格后支付至结算金额的95%，余下的5%缺陷责任期两年满后据实支付。</w:t>
      </w:r>
    </w:p>
    <w:p>
      <w:pPr>
        <w:numPr>
          <w:ilvl w:val="0"/>
          <w:numId w:val="0"/>
        </w:numPr>
        <w:adjustRightInd w:val="0"/>
        <w:snapToGrid w:val="0"/>
        <w:spacing w:beforeLines="0" w:after="0" w:afterLines="0" w:line="360" w:lineRule="auto"/>
        <w:ind w:left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3.材料费用：</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货到工地验收合格后1个月内支付到货金额的80%，项目通车后支付至已完工程量的97%，项目交工验收合格后支付至结算金额的100%。</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11.4 农民工工资的支付</w:t>
      </w:r>
    </w:p>
    <w:p>
      <w:pPr>
        <w:pStyle w:val="2"/>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lang w:bidi="ar-SA"/>
        </w:rPr>
      </w:pPr>
      <w:r>
        <w:rPr>
          <w:rFonts w:hint="eastAsia" w:ascii="宋体" w:hAnsi="宋体" w:eastAsia="宋体" w:cs="宋体"/>
          <w:color w:val="000000"/>
          <w:sz w:val="24"/>
          <w:szCs w:val="24"/>
          <w:highlight w:val="none"/>
          <w:lang w:bidi="ar-SA"/>
        </w:rPr>
        <w:t>农民工</w:t>
      </w:r>
      <w:r>
        <w:rPr>
          <w:rFonts w:hint="eastAsia" w:ascii="宋体" w:hAnsi="宋体" w:eastAsia="宋体" w:cs="宋体"/>
          <w:color w:val="auto"/>
          <w:sz w:val="24"/>
          <w:szCs w:val="24"/>
          <w:highlight w:val="none"/>
          <w:lang w:bidi="ar-SA"/>
        </w:rPr>
        <w:t>工资由发包人代为支付，发包人支付的农民工工资从承包人的进度款中扣除。</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12. 验收和工程调试</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交（竣）工验收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12.1.1移交、接收全部与部分工程</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承包人向发包人移交工程的期限：</w:t>
      </w:r>
      <w:r>
        <w:rPr>
          <w:rFonts w:hint="eastAsia" w:ascii="宋体" w:hAnsi="宋体" w:eastAsia="宋体" w:cs="宋体"/>
          <w:color w:val="auto"/>
          <w:sz w:val="24"/>
          <w:szCs w:val="24"/>
          <w:highlight w:val="none"/>
          <w:u w:val="single"/>
        </w:rPr>
        <w:t>交（竣）工验收后14日内</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承包人未按时移交工程的，违约金的计算方法为：</w:t>
      </w:r>
      <w:r>
        <w:rPr>
          <w:rFonts w:hint="eastAsia" w:ascii="宋体" w:hAnsi="宋体" w:eastAsia="宋体" w:cs="宋体"/>
          <w:color w:val="auto"/>
          <w:sz w:val="24"/>
          <w:szCs w:val="24"/>
          <w:highlight w:val="none"/>
          <w:u w:val="single"/>
        </w:rPr>
        <w:t>每逾期一日，支付合同总价款1%的违约金，逾期交工违约金限额：合同金额的30%。</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工程调试</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12.2.1 调试程序</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工程调试内容：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调试费用由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kern w:val="0"/>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8" w:name="_Toc372"/>
      <w:bookmarkStart w:id="309" w:name="_Toc23338"/>
      <w:bookmarkStart w:id="310" w:name="_Toc6341"/>
      <w:r>
        <w:rPr>
          <w:rFonts w:hint="eastAsia" w:ascii="宋体" w:hAnsi="宋体" w:eastAsia="宋体" w:cs="宋体"/>
          <w:color w:val="auto"/>
          <w:sz w:val="24"/>
          <w:szCs w:val="24"/>
          <w:highlight w:val="none"/>
        </w:rPr>
        <w:t>12.4 竣工退场</w:t>
      </w:r>
      <w:bookmarkEnd w:id="308"/>
      <w:bookmarkEnd w:id="309"/>
      <w:bookmarkEnd w:id="310"/>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12.4.1 竣工退场</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承包人完成竣工退场的期限：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13. 竣工结算</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竣工结算申请</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承包人提交竣工结算申请单的期限：</w:t>
      </w:r>
      <w:r>
        <w:rPr>
          <w:rFonts w:hint="eastAsia" w:ascii="宋体" w:hAnsi="宋体" w:eastAsia="宋体" w:cs="宋体"/>
          <w:color w:val="auto"/>
          <w:sz w:val="24"/>
          <w:szCs w:val="24"/>
          <w:highlight w:val="none"/>
          <w:u w:val="single"/>
        </w:rPr>
        <w:t>竣工验收后14日内</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13.2缺陷责任期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13.2.1 缺陷责任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工程缺陷责任期为2年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修复通知</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承包人收到通知应在10日内到达工程现场进行修复。</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13.3质量保修期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13.3.1 保修责任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质量保修期为5年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保修通知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承包人收到通知应在10日内到达工程现场进行维修。</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14. 违约</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1" w:name="_Toc10321"/>
      <w:bookmarkStart w:id="312" w:name="_Toc3740"/>
      <w:bookmarkStart w:id="313" w:name="_Toc18116"/>
      <w:r>
        <w:rPr>
          <w:rFonts w:hint="eastAsia" w:ascii="宋体" w:hAnsi="宋体" w:eastAsia="宋体" w:cs="宋体"/>
          <w:color w:val="auto"/>
          <w:sz w:val="24"/>
          <w:szCs w:val="24"/>
          <w:highlight w:val="none"/>
        </w:rPr>
        <w:t>14.1 发包人违约</w:t>
      </w:r>
      <w:bookmarkEnd w:id="311"/>
      <w:bookmarkEnd w:id="312"/>
      <w:bookmarkEnd w:id="313"/>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14.1.1发包人违约的情形</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4" w:name="_Toc17528"/>
      <w:bookmarkStart w:id="315" w:name="_Toc24004"/>
      <w:bookmarkStart w:id="316" w:name="_Toc19923"/>
      <w:r>
        <w:rPr>
          <w:rFonts w:hint="eastAsia" w:ascii="宋体" w:hAnsi="宋体" w:eastAsia="宋体" w:cs="宋体"/>
          <w:color w:val="auto"/>
          <w:kern w:val="0"/>
          <w:sz w:val="24"/>
          <w:szCs w:val="24"/>
          <w:highlight w:val="none"/>
        </w:rPr>
        <w:t>在承包人按约定履行所有相应义务后仍不支付合同款项。</w:t>
      </w:r>
      <w:bookmarkEnd w:id="314"/>
      <w:bookmarkEnd w:id="315"/>
      <w:bookmarkEnd w:id="316"/>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7" w:name="_Toc19594"/>
      <w:bookmarkStart w:id="318" w:name="_Toc24609"/>
      <w:bookmarkStart w:id="319" w:name="_Toc29309"/>
      <w:r>
        <w:rPr>
          <w:rFonts w:hint="eastAsia" w:ascii="宋体" w:hAnsi="宋体" w:eastAsia="宋体" w:cs="宋体"/>
          <w:color w:val="auto"/>
          <w:sz w:val="24"/>
          <w:szCs w:val="24"/>
          <w:highlight w:val="none"/>
        </w:rPr>
        <w:t>14.2 承包人违约</w:t>
      </w:r>
      <w:bookmarkEnd w:id="317"/>
      <w:bookmarkEnd w:id="318"/>
      <w:bookmarkEnd w:id="319"/>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 承包人违约的情形</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不服从业主、监理人（如有）、发包人的管理，不履行合同约定的义务。</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14.2.2承包人违约的责任</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承包人违约责任的承担方式：</w:t>
      </w:r>
      <w:r>
        <w:rPr>
          <w:rFonts w:hint="eastAsia" w:ascii="宋体" w:hAnsi="宋体" w:eastAsia="宋体" w:cs="宋体"/>
          <w:color w:val="auto"/>
          <w:kern w:val="0"/>
          <w:sz w:val="24"/>
          <w:szCs w:val="24"/>
          <w:highlight w:val="none"/>
          <w:u w:val="single"/>
        </w:rPr>
        <w:t>承包人应在收到发包人提出的支付违约金通知后14日内将相应违约金付至发包人指定账户。</w:t>
      </w:r>
    </w:p>
    <w:p>
      <w:pPr>
        <w:keepNext/>
        <w:keepLines/>
        <w:wordWrap w:val="0"/>
        <w:spacing w:beforeLines="0" w:afterLines="0" w:line="360" w:lineRule="auto"/>
        <w:ind w:firstLine="480" w:firstLineChars="200"/>
        <w:jc w:val="lef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15. 争议解决</w:t>
      </w:r>
    </w:p>
    <w:p>
      <w:pPr>
        <w:keepNext/>
        <w:keepLines/>
        <w:wordWrap w:val="0"/>
        <w:adjustRightInd w:val="0"/>
        <w:snapToGrid w:val="0"/>
        <w:spacing w:beforeLines="0" w:after="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因合同及合同有关事项发生的争议，双方应当先进行协商，协商不成按下列第</w:t>
      </w:r>
      <w:r>
        <w:rPr>
          <w:rFonts w:hint="eastAsia" w:ascii="宋体" w:hAnsi="宋体" w:eastAsia="宋体" w:cs="宋体"/>
          <w:color w:val="auto"/>
          <w:kern w:val="0"/>
          <w:sz w:val="24"/>
          <w:szCs w:val="24"/>
          <w:highlight w:val="none"/>
          <w:u w:val="none"/>
        </w:rPr>
        <w:t xml:space="preserve">   (1)  </w:t>
      </w:r>
      <w:r>
        <w:rPr>
          <w:rFonts w:hint="eastAsia" w:ascii="宋体" w:hAnsi="宋体" w:eastAsia="宋体" w:cs="宋体"/>
          <w:color w:val="auto"/>
          <w:sz w:val="24"/>
          <w:szCs w:val="24"/>
          <w:highlight w:val="none"/>
        </w:rPr>
        <w:t>种方式解决：</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重庆</w:t>
      </w:r>
      <w:r>
        <w:rPr>
          <w:rFonts w:hint="eastAsia" w:ascii="宋体" w:hAnsi="宋体" w:eastAsia="宋体" w:cs="宋体"/>
          <w:color w:val="auto"/>
          <w:sz w:val="24"/>
          <w:szCs w:val="24"/>
          <w:highlight w:val="none"/>
        </w:rPr>
        <w:t>仲裁委员会申请仲裁；</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工程所在地</w:t>
      </w:r>
      <w:r>
        <w:rPr>
          <w:rFonts w:hint="eastAsia" w:ascii="宋体" w:hAnsi="宋体" w:eastAsia="宋体" w:cs="宋体"/>
          <w:color w:val="auto"/>
          <w:sz w:val="24"/>
          <w:szCs w:val="24"/>
          <w:highlight w:val="none"/>
        </w:rPr>
        <w:t>人民法</w:t>
      </w:r>
      <w:r>
        <w:rPr>
          <w:rFonts w:hint="eastAsia" w:ascii="宋体" w:hAnsi="宋体" w:eastAsia="宋体" w:cs="宋体"/>
          <w:color w:val="000000"/>
          <w:sz w:val="24"/>
          <w:szCs w:val="24"/>
          <w:highlight w:val="none"/>
        </w:rPr>
        <w:t>院起诉。</w:t>
      </w:r>
      <w:bookmarkEnd w:id="274"/>
    </w:p>
    <w:p>
      <w:pPr>
        <w:adjustRightInd w:val="0"/>
        <w:snapToGrid w:val="0"/>
        <w:spacing w:beforeLines="0" w:afterLines="0" w:line="360" w:lineRule="auto"/>
        <w:jc w:val="left"/>
        <w:rPr>
          <w:rFonts w:hint="eastAsia" w:ascii="宋体" w:hAnsi="宋体" w:eastAsia="宋体" w:cs="宋体"/>
          <w:b/>
          <w:color w:val="000000"/>
          <w:sz w:val="32"/>
          <w:szCs w:val="32"/>
          <w:highlight w:val="none"/>
        </w:rPr>
      </w:pPr>
      <w:r>
        <w:rPr>
          <w:rFonts w:hint="eastAsia" w:ascii="宋体" w:hAnsi="宋体" w:eastAsia="宋体" w:cs="宋体"/>
          <w:color w:val="000000"/>
          <w:sz w:val="30"/>
          <w:szCs w:val="32"/>
          <w:highlight w:val="none"/>
        </w:rPr>
        <w:br w:type="page"/>
      </w:r>
      <w:bookmarkStart w:id="320" w:name="_Toc351203652"/>
      <w:r>
        <w:rPr>
          <w:rFonts w:hint="eastAsia" w:ascii="宋体" w:hAnsi="宋体" w:eastAsia="宋体" w:cs="宋体"/>
          <w:b/>
          <w:color w:val="000000"/>
          <w:sz w:val="32"/>
          <w:szCs w:val="32"/>
          <w:highlight w:val="none"/>
        </w:rPr>
        <w:t>附件</w:t>
      </w:r>
      <w:bookmarkEnd w:id="320"/>
    </w:p>
    <w:p>
      <w:pPr>
        <w:adjustRightInd w:val="0"/>
        <w:snapToGrid w:val="0"/>
        <w:spacing w:beforeLines="0" w:afterLines="0" w:line="360" w:lineRule="auto"/>
        <w:jc w:val="left"/>
        <w:rPr>
          <w:rFonts w:hint="eastAsia" w:ascii="宋体" w:hAnsi="宋体" w:eastAsia="宋体" w:cs="宋体"/>
          <w:color w:val="000000"/>
          <w:sz w:val="30"/>
          <w:szCs w:val="32"/>
          <w:highlight w:val="none"/>
        </w:rPr>
      </w:pPr>
      <w:r>
        <w:rPr>
          <w:rFonts w:hint="eastAsia" w:ascii="宋体" w:hAnsi="宋体" w:eastAsia="宋体" w:cs="宋体"/>
          <w:color w:val="000000"/>
          <w:sz w:val="30"/>
          <w:szCs w:val="32"/>
          <w:highlight w:val="none"/>
        </w:rPr>
        <w:t>协议书附件：</w:t>
      </w:r>
    </w:p>
    <w:p>
      <w:pPr>
        <w:adjustRightInd w:val="0"/>
        <w:snapToGrid w:val="0"/>
        <w:spacing w:beforeLines="0" w:afterLines="0" w:line="360" w:lineRule="auto"/>
        <w:jc w:val="left"/>
        <w:rPr>
          <w:rFonts w:hint="eastAsia" w:ascii="宋体" w:hAnsi="宋体" w:eastAsia="宋体" w:cs="宋体"/>
          <w:color w:val="000000"/>
          <w:sz w:val="30"/>
          <w:szCs w:val="32"/>
          <w:highlight w:val="none"/>
        </w:rPr>
      </w:pPr>
      <w:r>
        <w:rPr>
          <w:rFonts w:hint="eastAsia" w:ascii="宋体" w:hAnsi="宋体" w:eastAsia="宋体" w:cs="宋体"/>
          <w:color w:val="000000"/>
          <w:sz w:val="30"/>
          <w:szCs w:val="32"/>
          <w:highlight w:val="none"/>
        </w:rPr>
        <w:t>附件1：工程量清单</w:t>
      </w:r>
    </w:p>
    <w:p>
      <w:pPr>
        <w:adjustRightInd w:val="0"/>
        <w:snapToGrid w:val="0"/>
        <w:spacing w:beforeLines="0" w:afterLines="0" w:line="360" w:lineRule="auto"/>
        <w:jc w:val="left"/>
        <w:rPr>
          <w:rFonts w:hint="eastAsia" w:ascii="宋体" w:hAnsi="宋体" w:eastAsia="宋体" w:cs="宋体"/>
          <w:color w:val="000000"/>
          <w:sz w:val="30"/>
          <w:szCs w:val="32"/>
          <w:highlight w:val="none"/>
          <w:lang w:val="en-US" w:eastAsia="zh-CN"/>
        </w:rPr>
      </w:pPr>
      <w:r>
        <w:rPr>
          <w:rFonts w:hint="eastAsia" w:ascii="宋体" w:hAnsi="宋体" w:eastAsia="宋体" w:cs="宋体"/>
          <w:color w:val="000000"/>
          <w:sz w:val="30"/>
          <w:szCs w:val="32"/>
          <w:highlight w:val="none"/>
        </w:rPr>
        <w:t>附件2：</w:t>
      </w:r>
      <w:r>
        <w:rPr>
          <w:rFonts w:hint="eastAsia" w:ascii="宋体" w:hAnsi="宋体" w:eastAsia="宋体" w:cs="宋体"/>
          <w:color w:val="000000"/>
          <w:sz w:val="30"/>
          <w:szCs w:val="30"/>
          <w:highlight w:val="none"/>
        </w:rPr>
        <w:t>安全生产</w:t>
      </w:r>
      <w:r>
        <w:rPr>
          <w:rFonts w:hint="eastAsia" w:ascii="宋体" w:hAnsi="宋体" w:eastAsia="宋体" w:cs="宋体"/>
          <w:color w:val="000000"/>
          <w:sz w:val="30"/>
          <w:szCs w:val="30"/>
          <w:highlight w:val="none"/>
          <w:lang w:val="en-US" w:eastAsia="zh-CN"/>
        </w:rPr>
        <w:t>协议</w:t>
      </w:r>
    </w:p>
    <w:p>
      <w:pPr>
        <w:pStyle w:val="10"/>
        <w:adjustRightInd w:val="0"/>
        <w:snapToGrid w:val="0"/>
        <w:spacing w:beforeLines="0" w:afterLines="0" w:line="360" w:lineRule="auto"/>
        <w:ind w:left="0" w:leftChars="0"/>
        <w:rPr>
          <w:rFonts w:hint="eastAsia" w:ascii="宋体" w:hAnsi="宋体" w:eastAsia="宋体" w:cs="宋体"/>
          <w:color w:val="000000"/>
          <w:sz w:val="30"/>
          <w:szCs w:val="30"/>
          <w:highlight w:val="none"/>
        </w:rPr>
      </w:pPr>
      <w:r>
        <w:rPr>
          <w:rFonts w:hint="eastAsia" w:ascii="宋体" w:hAnsi="宋体" w:eastAsia="宋体" w:cs="宋体"/>
          <w:color w:val="000000"/>
          <w:sz w:val="30"/>
          <w:szCs w:val="32"/>
          <w:highlight w:val="none"/>
        </w:rPr>
        <w:t>附件</w:t>
      </w:r>
      <w:r>
        <w:rPr>
          <w:rFonts w:hint="eastAsia" w:ascii="宋体" w:hAnsi="宋体" w:eastAsia="宋体" w:cs="宋体"/>
          <w:color w:val="000000"/>
          <w:sz w:val="30"/>
          <w:szCs w:val="32"/>
          <w:highlight w:val="none"/>
          <w:lang w:val="en-US" w:eastAsia="zh-CN"/>
        </w:rPr>
        <w:t>3</w:t>
      </w:r>
      <w:r>
        <w:rPr>
          <w:rFonts w:hint="eastAsia" w:ascii="宋体" w:hAnsi="宋体" w:eastAsia="宋体" w:cs="宋体"/>
          <w:color w:val="000000"/>
          <w:sz w:val="30"/>
          <w:szCs w:val="32"/>
          <w:highlight w:val="none"/>
        </w:rPr>
        <w:t>：</w:t>
      </w:r>
      <w:r>
        <w:rPr>
          <w:rFonts w:hint="eastAsia" w:ascii="宋体" w:hAnsi="宋体" w:eastAsia="宋体" w:cs="宋体"/>
          <w:color w:val="000000"/>
          <w:sz w:val="30"/>
          <w:szCs w:val="30"/>
          <w:highlight w:val="none"/>
        </w:rPr>
        <w:t>廉政合同</w:t>
      </w:r>
    </w:p>
    <w:p>
      <w:pPr>
        <w:adjustRightInd w:val="0"/>
        <w:snapToGrid w:val="0"/>
        <w:spacing w:beforeLines="0" w:afterLines="0" w:line="360" w:lineRule="auto"/>
        <w:jc w:val="left"/>
        <w:rPr>
          <w:rFonts w:hint="eastAsia" w:ascii="宋体" w:hAnsi="宋体" w:eastAsia="宋体" w:cs="宋体"/>
          <w:highlight w:val="none"/>
        </w:rPr>
      </w:pPr>
      <w:r>
        <w:rPr>
          <w:rFonts w:hint="eastAsia" w:ascii="宋体" w:hAnsi="宋体" w:eastAsia="宋体" w:cs="宋体"/>
          <w:b w:val="0"/>
          <w:color w:val="000000"/>
          <w:kern w:val="2"/>
          <w:sz w:val="30"/>
          <w:szCs w:val="30"/>
          <w:highlight w:val="none"/>
          <w:lang w:bidi="ar-SA"/>
        </w:rPr>
        <w:t>附件</w:t>
      </w:r>
      <w:r>
        <w:rPr>
          <w:rFonts w:hint="eastAsia" w:ascii="宋体" w:hAnsi="宋体" w:eastAsia="宋体" w:cs="宋体"/>
          <w:b w:val="0"/>
          <w:bCs w:val="0"/>
          <w:color w:val="000000"/>
          <w:kern w:val="2"/>
          <w:sz w:val="30"/>
          <w:szCs w:val="30"/>
          <w:highlight w:val="none"/>
          <w:lang w:val="en-US" w:eastAsia="zh-CN" w:bidi="ar-SA"/>
        </w:rPr>
        <w:t>4</w:t>
      </w:r>
      <w:r>
        <w:rPr>
          <w:rFonts w:hint="eastAsia" w:ascii="宋体" w:hAnsi="宋体" w:eastAsia="宋体" w:cs="宋体"/>
          <w:b w:val="0"/>
          <w:color w:val="000000"/>
          <w:kern w:val="2"/>
          <w:sz w:val="30"/>
          <w:szCs w:val="30"/>
          <w:highlight w:val="none"/>
          <w:lang w:bidi="ar-SA"/>
        </w:rPr>
        <w:t>：环境保护</w:t>
      </w:r>
      <w:r>
        <w:rPr>
          <w:rFonts w:hint="eastAsia" w:ascii="宋体" w:hAnsi="宋体" w:eastAsia="宋体" w:cs="宋体"/>
          <w:b w:val="0"/>
          <w:color w:val="000000"/>
          <w:kern w:val="2"/>
          <w:sz w:val="30"/>
          <w:szCs w:val="30"/>
          <w:highlight w:val="none"/>
          <w:lang w:val="en-US" w:eastAsia="zh-CN" w:bidi="ar-SA"/>
        </w:rPr>
        <w:t>协议</w:t>
      </w:r>
    </w:p>
    <w:p>
      <w:pPr>
        <w:adjustRightInd w:val="0"/>
        <w:snapToGrid w:val="0"/>
        <w:spacing w:beforeLines="0" w:afterLines="0" w:line="360" w:lineRule="auto"/>
        <w:rPr>
          <w:rFonts w:hint="eastAsia" w:ascii="宋体" w:hAnsi="宋体" w:eastAsia="宋体" w:cs="宋体"/>
          <w:color w:val="000000"/>
          <w:kern w:val="2"/>
          <w:sz w:val="30"/>
          <w:szCs w:val="30"/>
          <w:highlight w:val="none"/>
          <w:lang w:val="en-US" w:eastAsia="zh-CN" w:bidi="ar-SA"/>
        </w:rPr>
      </w:pPr>
      <w:r>
        <w:rPr>
          <w:rFonts w:hint="eastAsia" w:ascii="宋体" w:hAnsi="宋体" w:eastAsia="宋体" w:cs="宋体"/>
          <w:color w:val="000000"/>
          <w:kern w:val="2"/>
          <w:sz w:val="30"/>
          <w:szCs w:val="30"/>
          <w:highlight w:val="none"/>
          <w:lang w:val="en-US" w:eastAsia="zh-CN" w:bidi="ar-SA"/>
        </w:rPr>
        <w:t>附件5：诚信合规协议(如有）</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b w:val="0"/>
          <w:color w:val="000000"/>
          <w:kern w:val="2"/>
          <w:sz w:val="30"/>
          <w:szCs w:val="30"/>
          <w:highlight w:val="none"/>
          <w:lang w:bidi="ar-SA"/>
        </w:rPr>
        <w:t>附件</w:t>
      </w:r>
      <w:r>
        <w:rPr>
          <w:rFonts w:hint="eastAsia" w:ascii="宋体" w:hAnsi="宋体" w:eastAsia="宋体" w:cs="宋体"/>
          <w:b w:val="0"/>
          <w:bCs w:val="0"/>
          <w:color w:val="000000"/>
          <w:kern w:val="2"/>
          <w:sz w:val="30"/>
          <w:szCs w:val="30"/>
          <w:highlight w:val="none"/>
          <w:lang w:val="en-US" w:eastAsia="zh-CN" w:bidi="ar-SA"/>
        </w:rPr>
        <w:t>6</w:t>
      </w:r>
      <w:r>
        <w:rPr>
          <w:rFonts w:hint="eastAsia" w:ascii="宋体" w:hAnsi="宋体" w:eastAsia="宋体" w:cs="宋体"/>
          <w:b w:val="0"/>
          <w:color w:val="000000"/>
          <w:kern w:val="2"/>
          <w:sz w:val="30"/>
          <w:szCs w:val="30"/>
          <w:highlight w:val="none"/>
          <w:lang w:bidi="ar-SA"/>
        </w:rPr>
        <w:t>：</w:t>
      </w:r>
      <w:r>
        <w:rPr>
          <w:rFonts w:hint="eastAsia" w:ascii="宋体" w:hAnsi="宋体" w:eastAsia="宋体" w:cs="宋体"/>
          <w:color w:val="000000"/>
          <w:sz w:val="30"/>
          <w:szCs w:val="32"/>
          <w:highlight w:val="none"/>
        </w:rPr>
        <w:t>项目经理任命书</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color w:val="000000"/>
          <w:sz w:val="30"/>
          <w:szCs w:val="32"/>
          <w:highlight w:val="none"/>
        </w:rPr>
        <w:t>附件</w:t>
      </w:r>
      <w:r>
        <w:rPr>
          <w:rFonts w:hint="eastAsia" w:ascii="宋体" w:hAnsi="宋体" w:eastAsia="宋体" w:cs="宋体"/>
          <w:color w:val="000000"/>
          <w:sz w:val="30"/>
          <w:szCs w:val="32"/>
          <w:highlight w:val="none"/>
          <w:lang w:val="en-US" w:eastAsia="zh-CN"/>
        </w:rPr>
        <w:t>7</w:t>
      </w:r>
      <w:r>
        <w:rPr>
          <w:rFonts w:hint="eastAsia" w:ascii="宋体" w:hAnsi="宋体" w:eastAsia="宋体" w:cs="宋体"/>
          <w:color w:val="000000"/>
          <w:sz w:val="30"/>
          <w:szCs w:val="32"/>
          <w:highlight w:val="none"/>
        </w:rPr>
        <w:t>：承包人用于本工程施工的机械设备表</w:t>
      </w:r>
      <w:r>
        <w:rPr>
          <w:rFonts w:hint="eastAsia" w:ascii="宋体" w:hAnsi="宋体" w:eastAsia="宋体" w:cs="宋体"/>
          <w:color w:val="000000"/>
          <w:sz w:val="30"/>
          <w:szCs w:val="32"/>
          <w:highlight w:val="none"/>
          <w:lang w:val="en-US" w:eastAsia="zh-CN"/>
        </w:rPr>
        <w:t>(如有）</w:t>
      </w:r>
    </w:p>
    <w:p>
      <w:pPr>
        <w:adjustRightInd w:val="0"/>
        <w:snapToGrid w:val="0"/>
        <w:spacing w:beforeLines="0" w:afterLines="0" w:line="360" w:lineRule="auto"/>
        <w:jc w:val="left"/>
        <w:rPr>
          <w:rFonts w:hint="eastAsia" w:ascii="宋体" w:hAnsi="宋体" w:eastAsia="宋体" w:cs="宋体"/>
          <w:color w:val="000000"/>
          <w:sz w:val="30"/>
          <w:szCs w:val="32"/>
          <w:highlight w:val="none"/>
          <w:lang w:val="en-US" w:eastAsia="zh-CN"/>
        </w:rPr>
      </w:pPr>
      <w:r>
        <w:rPr>
          <w:rFonts w:hint="eastAsia" w:ascii="宋体" w:hAnsi="宋体" w:eastAsia="宋体" w:cs="宋体"/>
          <w:color w:val="000000"/>
          <w:sz w:val="30"/>
          <w:szCs w:val="32"/>
          <w:highlight w:val="none"/>
        </w:rPr>
        <w:t>附件</w:t>
      </w:r>
      <w:r>
        <w:rPr>
          <w:rFonts w:hint="eastAsia" w:ascii="宋体" w:hAnsi="宋体" w:eastAsia="宋体" w:cs="宋体"/>
          <w:color w:val="000000"/>
          <w:sz w:val="30"/>
          <w:szCs w:val="32"/>
          <w:highlight w:val="none"/>
          <w:lang w:val="en-US" w:eastAsia="zh-CN"/>
        </w:rPr>
        <w:t>8</w:t>
      </w:r>
      <w:r>
        <w:rPr>
          <w:rFonts w:hint="eastAsia" w:ascii="宋体" w:hAnsi="宋体" w:eastAsia="宋体" w:cs="宋体"/>
          <w:color w:val="000000"/>
          <w:sz w:val="30"/>
          <w:szCs w:val="32"/>
          <w:highlight w:val="none"/>
        </w:rPr>
        <w:t>：承包人主要施工管理人员表</w:t>
      </w:r>
      <w:r>
        <w:rPr>
          <w:rFonts w:hint="eastAsia" w:ascii="宋体" w:hAnsi="宋体" w:eastAsia="宋体" w:cs="宋体"/>
          <w:color w:val="000000"/>
          <w:sz w:val="30"/>
          <w:szCs w:val="32"/>
          <w:highlight w:val="none"/>
          <w:lang w:eastAsia="zh-CN"/>
        </w:rPr>
        <w:t>（</w:t>
      </w:r>
      <w:r>
        <w:rPr>
          <w:rFonts w:hint="eastAsia" w:ascii="宋体" w:hAnsi="宋体" w:eastAsia="宋体" w:cs="宋体"/>
          <w:color w:val="000000"/>
          <w:sz w:val="30"/>
          <w:szCs w:val="32"/>
          <w:highlight w:val="none"/>
          <w:lang w:val="en-US" w:eastAsia="zh-CN"/>
        </w:rPr>
        <w:t>如有</w:t>
      </w:r>
      <w:r>
        <w:rPr>
          <w:rFonts w:hint="eastAsia" w:ascii="宋体" w:hAnsi="宋体" w:eastAsia="宋体" w:cs="宋体"/>
          <w:color w:val="000000"/>
          <w:sz w:val="30"/>
          <w:szCs w:val="32"/>
          <w:highlight w:val="none"/>
          <w:lang w:eastAsia="zh-CN"/>
        </w:rPr>
        <w:t>）</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color w:val="000000"/>
          <w:sz w:val="30"/>
          <w:szCs w:val="32"/>
          <w:highlight w:val="none"/>
        </w:rPr>
        <w:t>附件</w:t>
      </w:r>
      <w:r>
        <w:rPr>
          <w:rFonts w:hint="eastAsia" w:ascii="宋体" w:hAnsi="宋体" w:eastAsia="宋体" w:cs="宋体"/>
          <w:color w:val="000000"/>
          <w:sz w:val="30"/>
          <w:szCs w:val="32"/>
          <w:highlight w:val="none"/>
          <w:lang w:val="en-US" w:eastAsia="zh-CN"/>
        </w:rPr>
        <w:t>9</w:t>
      </w:r>
      <w:r>
        <w:rPr>
          <w:rFonts w:hint="eastAsia" w:ascii="宋体" w:hAnsi="宋体" w:eastAsia="宋体" w:cs="宋体"/>
          <w:color w:val="000000"/>
          <w:sz w:val="30"/>
          <w:szCs w:val="32"/>
          <w:highlight w:val="none"/>
        </w:rPr>
        <w:t>：履约担保</w:t>
      </w:r>
      <w:r>
        <w:rPr>
          <w:rFonts w:hint="eastAsia" w:ascii="宋体" w:hAnsi="宋体" w:eastAsia="宋体" w:cs="宋体"/>
          <w:color w:val="000000"/>
          <w:sz w:val="30"/>
          <w:szCs w:val="32"/>
          <w:highlight w:val="none"/>
          <w:lang w:eastAsia="zh-CN"/>
        </w:rPr>
        <w:t>（</w:t>
      </w:r>
      <w:r>
        <w:rPr>
          <w:rFonts w:hint="eastAsia" w:ascii="宋体" w:hAnsi="宋体" w:eastAsia="宋体" w:cs="宋体"/>
          <w:color w:val="000000"/>
          <w:sz w:val="30"/>
          <w:szCs w:val="32"/>
          <w:highlight w:val="none"/>
          <w:lang w:val="en-US" w:eastAsia="zh-CN"/>
        </w:rPr>
        <w:t>如有</w:t>
      </w:r>
      <w:r>
        <w:rPr>
          <w:rFonts w:hint="eastAsia" w:ascii="宋体" w:hAnsi="宋体" w:eastAsia="宋体" w:cs="宋体"/>
          <w:color w:val="000000"/>
          <w:sz w:val="30"/>
          <w:szCs w:val="32"/>
          <w:highlight w:val="none"/>
          <w:lang w:eastAsia="zh-CN"/>
        </w:rPr>
        <w:t>）</w:t>
      </w:r>
    </w:p>
    <w:p>
      <w:pPr>
        <w:pStyle w:val="2"/>
        <w:rPr>
          <w:rFonts w:hint="eastAsia" w:ascii="宋体" w:hAnsi="宋体" w:eastAsia="宋体" w:cs="宋体"/>
          <w:highlight w:val="none"/>
          <w:lang w:eastAsia="zh-CN"/>
        </w:rPr>
      </w:pPr>
    </w:p>
    <w:p>
      <w:pPr>
        <w:widowControl/>
        <w:spacing w:line="240" w:lineRule="auto"/>
        <w:jc w:val="left"/>
        <w:rPr>
          <w:rFonts w:hint="eastAsia" w:ascii="宋体" w:hAnsi="宋体" w:eastAsia="宋体" w:cs="宋体"/>
          <w:b/>
          <w:kern w:val="0"/>
          <w:sz w:val="32"/>
          <w:szCs w:val="32"/>
          <w:highlight w:val="none"/>
          <w:lang w:bidi="ar-SA"/>
        </w:rPr>
      </w:pPr>
      <w:bookmarkStart w:id="321" w:name="_Toc10272"/>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1</w:t>
      </w:r>
      <w:r>
        <w:rPr>
          <w:rFonts w:hint="eastAsia" w:ascii="宋体" w:hAnsi="宋体" w:eastAsia="宋体" w:cs="宋体"/>
          <w:b/>
          <w:kern w:val="0"/>
          <w:sz w:val="32"/>
          <w:szCs w:val="32"/>
          <w:highlight w:val="none"/>
          <w:lang w:bidi="ar-SA"/>
        </w:rPr>
        <w:t>：</w:t>
      </w:r>
      <w:bookmarkEnd w:id="321"/>
      <w:r>
        <w:rPr>
          <w:rFonts w:hint="eastAsia" w:ascii="宋体" w:hAnsi="宋体" w:eastAsia="宋体" w:cs="宋体"/>
          <w:b/>
          <w:kern w:val="0"/>
          <w:sz w:val="32"/>
          <w:szCs w:val="32"/>
          <w:highlight w:val="none"/>
        </w:rPr>
        <w:t>工程量清单</w:t>
      </w:r>
    </w:p>
    <w:p>
      <w:pPr>
        <w:pStyle w:val="10"/>
        <w:rPr>
          <w:rFonts w:hint="eastAsia" w:ascii="宋体" w:hAnsi="宋体" w:eastAsia="宋体" w:cs="宋体"/>
          <w:highlight w:val="none"/>
        </w:rPr>
      </w:pPr>
    </w:p>
    <w:p>
      <w:pPr>
        <w:pStyle w:val="10"/>
        <w:ind w:left="0" w:leftChars="0"/>
        <w:rPr>
          <w:rFonts w:hint="eastAsia" w:ascii="宋体" w:hAnsi="宋体" w:eastAsia="宋体" w:cs="宋体"/>
          <w:highlight w:val="none"/>
        </w:rPr>
      </w:pPr>
    </w:p>
    <w:tbl>
      <w:tblPr>
        <w:tblStyle w:val="34"/>
        <w:tblpPr w:leftFromText="180" w:rightFromText="180" w:vertAnchor="text" w:horzAnchor="page" w:tblpX="2060" w:tblpY="107"/>
        <w:tblOverlap w:val="never"/>
        <w:tblW w:w="0" w:type="auto"/>
        <w:jc w:val="center"/>
        <w:tblLayout w:type="fixed"/>
        <w:tblCellMar>
          <w:top w:w="0" w:type="dxa"/>
          <w:left w:w="108" w:type="dxa"/>
          <w:bottom w:w="0" w:type="dxa"/>
          <w:right w:w="108" w:type="dxa"/>
        </w:tblCellMar>
      </w:tblPr>
      <w:tblGrid>
        <w:gridCol w:w="607"/>
        <w:gridCol w:w="637"/>
        <w:gridCol w:w="1040"/>
        <w:gridCol w:w="930"/>
        <w:gridCol w:w="744"/>
        <w:gridCol w:w="990"/>
        <w:gridCol w:w="980"/>
        <w:gridCol w:w="762"/>
        <w:gridCol w:w="2091"/>
      </w:tblGrid>
      <w:tr>
        <w:tblPrEx>
          <w:tblCellMar>
            <w:top w:w="0" w:type="dxa"/>
            <w:left w:w="108" w:type="dxa"/>
            <w:bottom w:w="0" w:type="dxa"/>
            <w:right w:w="108" w:type="dxa"/>
          </w:tblCellMar>
        </w:tblPrEx>
        <w:trPr>
          <w:trHeight w:val="457" w:hRule="atLeast"/>
          <w:jc w:val="center"/>
        </w:trPr>
        <w:tc>
          <w:tcPr>
            <w:tcW w:w="3958" w:type="dxa"/>
            <w:gridSpan w:val="5"/>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单位及专业工程名称：安装工程- 第X册 XXXX</w:t>
            </w:r>
          </w:p>
        </w:tc>
        <w:tc>
          <w:tcPr>
            <w:tcW w:w="99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c>
          <w:tcPr>
            <w:tcW w:w="98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2091" w:type="dxa"/>
            <w:tcBorders>
              <w:top w:val="nil"/>
              <w:left w:val="nil"/>
              <w:bottom w:val="nil"/>
              <w:right w:val="nil"/>
            </w:tcBorders>
            <w:noWrap w:val="0"/>
            <w:vAlign w:val="bottom"/>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62"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序号</w:t>
            </w:r>
          </w:p>
        </w:tc>
        <w:tc>
          <w:tcPr>
            <w:tcW w:w="6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项目编码</w:t>
            </w: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项目名称</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项目特征</w:t>
            </w: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计量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工程量</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综合单价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合价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备注</w:t>
            </w:r>
          </w:p>
        </w:tc>
      </w:tr>
      <w:tr>
        <w:tblPrEx>
          <w:tblCellMar>
            <w:top w:w="0" w:type="dxa"/>
            <w:left w:w="108" w:type="dxa"/>
            <w:bottom w:w="0" w:type="dxa"/>
            <w:right w:w="108" w:type="dxa"/>
          </w:tblCellMar>
        </w:tblPrEx>
        <w:trPr>
          <w:trHeight w:val="36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6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1.XXX系统</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0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2</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3"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4</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4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5</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7</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7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8</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62" w:hRule="atLeast"/>
          <w:jc w:val="center"/>
        </w:trPr>
        <w:tc>
          <w:tcPr>
            <w:tcW w:w="592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合   计</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bl>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val="en-US" w:eastAsia="zh-CN"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2</w:t>
      </w:r>
      <w:r>
        <w:rPr>
          <w:rFonts w:hint="eastAsia" w:ascii="宋体" w:hAnsi="宋体" w:eastAsia="宋体" w:cs="宋体"/>
          <w:b/>
          <w:kern w:val="0"/>
          <w:sz w:val="32"/>
          <w:szCs w:val="32"/>
          <w:highlight w:val="none"/>
          <w:lang w:bidi="ar-SA"/>
        </w:rPr>
        <w:t>：</w:t>
      </w:r>
      <w:r>
        <w:rPr>
          <w:rFonts w:hint="eastAsia" w:ascii="宋体" w:hAnsi="宋体" w:eastAsia="宋体" w:cs="宋体"/>
          <w:b/>
          <w:kern w:val="0"/>
          <w:sz w:val="32"/>
          <w:szCs w:val="32"/>
          <w:highlight w:val="none"/>
          <w:lang w:val="en-US" w:eastAsia="zh-CN" w:bidi="ar-SA"/>
        </w:rPr>
        <w:t>安全生产协议</w:t>
      </w:r>
    </w:p>
    <w:p>
      <w:pPr>
        <w:widowControl/>
        <w:spacing w:line="360" w:lineRule="auto"/>
        <w:ind w:firstLine="2400" w:firstLineChars="1000"/>
        <w:jc w:val="left"/>
        <w:textAlignment w:val="auto"/>
        <w:rPr>
          <w:rFonts w:hint="eastAsia" w:ascii="宋体" w:hAnsi="宋体" w:eastAsia="宋体" w:cs="宋体"/>
          <w:b/>
          <w:bCs/>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spacing w:line="360" w:lineRule="auto"/>
        <w:ind w:firstLine="3213" w:firstLineChars="1000"/>
        <w:textAlignment w:val="baseline"/>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之</w:t>
      </w:r>
      <w:r>
        <w:rPr>
          <w:rFonts w:hint="eastAsia" w:ascii="宋体" w:hAnsi="宋体" w:eastAsia="宋体" w:cs="宋体"/>
          <w:b/>
          <w:bCs/>
          <w:sz w:val="32"/>
          <w:szCs w:val="32"/>
          <w:highlight w:val="none"/>
        </w:rPr>
        <w:t>安全生产协议</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为在</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sz w:val="24"/>
          <w:highlight w:val="none"/>
        </w:rPr>
        <w:t>实施过程中创造安全、高效的施工环境，切实做好本项目的安全管理工作，本项目发包人</w:t>
      </w:r>
      <w:r>
        <w:rPr>
          <w:rFonts w:hint="eastAsia" w:ascii="宋体" w:hAnsi="宋体" w:eastAsia="宋体" w:cs="宋体"/>
          <w:sz w:val="24"/>
          <w:highlight w:val="none"/>
          <w:u w:val="single"/>
        </w:rPr>
        <w:t>重庆首讯科技股份公司</w:t>
      </w:r>
      <w:r>
        <w:rPr>
          <w:rFonts w:hint="eastAsia" w:ascii="宋体" w:hAnsi="宋体" w:eastAsia="宋体" w:cs="宋体"/>
          <w:sz w:val="24"/>
          <w:highlight w:val="none"/>
        </w:rPr>
        <w:t xml:space="preserve">（以下简称“甲方”）与乙方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（以下简称“乙方”）特此签订安全生产协议：</w:t>
      </w:r>
    </w:p>
    <w:p>
      <w:pPr>
        <w:pStyle w:val="49"/>
        <w:adjustRightInd w:val="0"/>
        <w:snapToGrid w:val="0"/>
        <w:spacing w:line="360" w:lineRule="auto"/>
        <w:ind w:firstLine="0" w:firstLineChars="0"/>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一、此项工程甲乙双方安全责任人</w:t>
      </w:r>
    </w:p>
    <w:p>
      <w:pPr>
        <w:pStyle w:val="49"/>
        <w:adjustRightInd w:val="0"/>
        <w:snapToGrid w:val="0"/>
        <w:spacing w:line="360" w:lineRule="auto"/>
        <w:ind w:firstLine="0" w:firstLineChars="0"/>
        <w:rPr>
          <w:rFonts w:hint="eastAsia" w:ascii="宋体" w:hAnsi="宋体" w:eastAsia="宋体" w:cs="宋体"/>
          <w:color w:val="auto"/>
          <w:sz w:val="24"/>
          <w:highlight w:val="none"/>
          <w:u w:val="single"/>
          <w:lang w:val="en-US" w:eastAsia="zh-CN"/>
        </w:rPr>
      </w:pPr>
      <w:r>
        <w:rPr>
          <w:rFonts w:hint="eastAsia" w:ascii="宋体" w:hAnsi="宋体" w:eastAsia="宋体" w:cs="宋体"/>
          <w:sz w:val="24"/>
          <w:highlight w:val="none"/>
        </w:rPr>
        <w:t>甲方（</w:t>
      </w:r>
      <w:r>
        <w:rPr>
          <w:rFonts w:hint="eastAsia" w:ascii="宋体" w:hAnsi="宋体" w:eastAsia="宋体" w:cs="宋体"/>
          <w:color w:val="auto"/>
          <w:sz w:val="24"/>
          <w:highlight w:val="none"/>
        </w:rPr>
        <w:t>此工程项目负责人</w:t>
      </w:r>
      <w:r>
        <w:rPr>
          <w:rFonts w:hint="eastAsia" w:ascii="宋体" w:hAnsi="宋体" w:eastAsia="宋体" w:cs="宋体"/>
          <w:sz w:val="24"/>
          <w:highlight w:val="none"/>
        </w:rPr>
        <w:t>）：</w:t>
      </w:r>
      <w:r>
        <w:rPr>
          <w:rFonts w:hint="eastAsia" w:ascii="宋体" w:hAnsi="宋体" w:eastAsia="宋体" w:cs="宋体"/>
          <w:color w:val="auto"/>
          <w:sz w:val="24"/>
          <w:highlight w:val="none"/>
          <w:u w:val="single"/>
          <w:lang w:val="en-US" w:eastAsia="zh-CN"/>
        </w:rPr>
        <w:t xml:space="preserve">                   </w:t>
      </w:r>
    </w:p>
    <w:p>
      <w:pPr>
        <w:pStyle w:val="49"/>
        <w:adjustRightInd w:val="0"/>
        <w:snapToGrid w:val="0"/>
        <w:spacing w:line="360" w:lineRule="auto"/>
        <w:ind w:firstLine="0" w:firstLineChars="0"/>
        <w:rPr>
          <w:rFonts w:hint="eastAsia" w:ascii="宋体" w:hAnsi="宋体" w:eastAsia="宋体" w:cs="宋体"/>
          <w:sz w:val="24"/>
          <w:highlight w:val="none"/>
          <w:u w:val="single"/>
          <w:lang w:val="en-US" w:eastAsia="zh-CN"/>
        </w:rPr>
      </w:pPr>
      <w:r>
        <w:rPr>
          <w:rFonts w:hint="eastAsia" w:ascii="宋体" w:hAnsi="宋体" w:eastAsia="宋体" w:cs="宋体"/>
          <w:color w:val="auto"/>
          <w:sz w:val="24"/>
          <w:highlight w:val="none"/>
        </w:rPr>
        <w:t>乙方（此工程项目负责人）：</w:t>
      </w:r>
      <w:r>
        <w:rPr>
          <w:rFonts w:hint="eastAsia" w:ascii="宋体" w:hAnsi="宋体" w:eastAsia="宋体" w:cs="宋体"/>
          <w:color w:val="auto"/>
          <w:sz w:val="24"/>
          <w:highlight w:val="none"/>
          <w:u w:val="single"/>
          <w:lang w:val="en-US" w:eastAsia="zh-CN"/>
        </w:rPr>
        <w:t xml:space="preserve">                   </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1、严格遵守国家有关安全生产的法律法规，认真执行工程施工合同中的有关安全要求。</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2、按照“安全第一、预防为主”和坚持“管生产必须管安全”的原则进行安全生产管理，做到生产与安全工作同时计划、布置、检查、总结和评比。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3、重要的安全设施必须坚持与主体工程“三同时”的原则，即：同时设计、审批，同时施工，同时验收，投入使用。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、组织对乙方施工现场安全生产检查，监督乙方及时处理发现的各种安全隐患。</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1、严格遵守国家有关安全生产的法律法规、交通部颁发的《公路养护安全作业规程》(JTGH30—2015）、《重庆市营运高速公路施工管理规范》DB50/T 959-2019及《首讯公司工程安全生产的违约处理细则》渝高速首讯文〔2019〕40 号等有关安全生产的规定，认真执行工程承包合同中的有关安全要求。（相关文件乙方应在施工前从甲方处取得）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负责所有员工的安全和治安保卫工作及预防事故的发生。安全机构人员有权按有关规定发布指令，并采取保护性措施防止事故发生。</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4、安全生产费用实行专款专用。施工单位应当在规定范围安排使用安全生产费用，不得挪用或挤占，并接受甲方项目经理及安全管理部门的检查。</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所有现场施工人员、管理人员必须投保“意外伤害医疗险”“人身意外伤害险”，且“人身意外伤害险”每人投保额度（占道工程不低于100万，非占道工程不低于80万），“意外伤害医疗险”每人投保额度不低于10万。</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6、施工前，应认真勘察现场，按甲方要求制订有针对性的安全技术措施，对管理人员和施工人员进行安全生产进场教育。</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7、在施工期间必须严格执行和遵守甲方的安全生产、防火管理的各项规定，接受甲方的督促、检查和指导，对于查出的隐患，乙方必须限期整改。</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8、乙方必须按照安全作业规程进行现场施工。对施工现场的各类安全防护设施、安全标志和警告牌，不得擅自拆除、更动。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9、乙方在施工中，应注意地下管线及高压架空线路的保护。如遇有情况，应及时向甲方和有关部门联系，采取保护措施。</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10、乙方在任何时候都应采取各种合理的预防措施，防止其员工发生任何违法、违禁、暴力或妨碍治安的行为。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11、乙方必须具有劳动安全管理部门颁发的安全生产证书，参加施工的人员，必须接受安全技术教育，熟知和遵守本工种的各项安全技术操作规程，定期进行安全技术考核，合格者方准上岗操作。对于从事电气、起重、登高架设作业、焊接、机动车船艇驾驶、等特殊工种的人员，经过专业培训，获得《安全操作合格证》后，方准持证上岗。施工现场如出现特种作业无证操作现象时，项目经理必须承担管理责任。</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12、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13、操作人员上岗，必须按规定穿戴防护用品。施工负责人和安全检查员应随时检查劳动防护用品的穿戴情况，不按规定穿戴防护用品的人员不得上岗。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14、所有施工机具设备和高空作业的设备均应定期检查，保证其经常处于完好状态；不合格的机具、设备和劳动保护用品严禁使用。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15、施工中采用新技术、新工艺、新设备、新材料时，必须制定相应的安全技术措施，施工现场必须具有相关的安全标志牌。</w:t>
      </w:r>
    </w:p>
    <w:p>
      <w:pPr>
        <w:pStyle w:val="24"/>
        <w:tabs>
          <w:tab w:val="left" w:pos="1200"/>
          <w:tab w:val="right" w:leader="dot" w:pos="9730"/>
        </w:tabs>
        <w:adjustRightInd w:val="0"/>
        <w:snapToGrid w:val="0"/>
        <w:spacing w:before="0" w:after="0" w:line="360" w:lineRule="auto"/>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 xml:space="preserve">    </w:t>
      </w:r>
      <w:r>
        <w:rPr>
          <w:rFonts w:hint="eastAsia" w:ascii="宋体" w:hAnsi="宋体" w:eastAsia="宋体" w:cs="宋体"/>
          <w:b w:val="0"/>
          <w:bCs w:val="0"/>
          <w:sz w:val="24"/>
          <w:highlight w:val="none"/>
          <w:lang w:val="en-US" w:eastAsia="zh-CN"/>
        </w:rPr>
        <w:t>16.乙方需根据自身业务量需求配置布控球，涉及占道施工或危险性较大作业时，按相应施工组织计划分别配置，施工期间按我公司要求接入相应系统，确保图像传输稳定、运行正常，使用期间受我公司安全环保监督办公室、信创工程中心及各运维中心及下属机电站的安全监督。</w:t>
      </w:r>
    </w:p>
    <w:p>
      <w:pPr>
        <w:widowControl/>
        <w:tabs>
          <w:tab w:val="left" w:pos="3936"/>
        </w:tabs>
        <w:adjustRightInd w:val="0"/>
        <w:snapToGrid w:val="0"/>
        <w:spacing w:line="360" w:lineRule="auto"/>
        <w:ind w:firstLine="480" w:firstLineChars="200"/>
        <w:jc w:val="left"/>
        <w:rPr>
          <w:rFonts w:hint="eastAsia" w:ascii="宋体" w:hAnsi="宋体" w:eastAsia="宋体" w:cs="宋体"/>
          <w:b/>
          <w:bCs/>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乙方必须按照本工程项目特点，组织制定本工程实施中的生产安全事故应急救援预案；如果发生安全事故，应迅速采取有效措施，组织抢救，防止事故扩大或次生事故发生；并按国家有关规定立即如实报告有关部门；另外，要积极配合事故调查，并坚持“三不放过”的原则，严肃处理相关责任人。</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1、乙方违反《公路养护安全作业规程》(JTGH30—2015）、《重庆市营运高速公路施工管理规范》DB50/T 959-2019有关安全生产的规定施工作业的，按《首讯公司工程安全生产的违约处理细则》渝高速首讯文〔2019〕40 号执行。</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2、乙方在施工现场存在安全隐患、未落实安全生产措施拒不改正的，甲方有权要求停工，并向公司领导报告，同时与施工单位的服务评价挂钩列入黑名单，由此产生的损失乙方自己承担。</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3、乙方在施工期间违反安全生产相关要求及乙方职责，造成安全事故或人身损害、财产损失的，乙方承担全部责任。</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1、本协议作为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的附件，与</w:t>
      </w:r>
      <w:r>
        <w:rPr>
          <w:rFonts w:hint="eastAsia" w:ascii="宋体" w:hAnsi="宋体" w:eastAsia="宋体" w:cs="宋体"/>
          <w:sz w:val="24"/>
          <w:highlight w:val="none"/>
          <w:lang w:val="en-US" w:eastAsia="zh-CN"/>
        </w:rPr>
        <w:t>主</w:t>
      </w:r>
      <w:r>
        <w:rPr>
          <w:rFonts w:hint="eastAsia" w:ascii="宋体" w:hAnsi="宋体" w:eastAsia="宋体" w:cs="宋体"/>
          <w:sz w:val="24"/>
          <w:highlight w:val="none"/>
        </w:rPr>
        <w:t>合同具有同等的法律效力。</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2、本协议一式贰份，甲方执壹份，乙方执壹份。由双方法定代表人或其授权的代理人签署盖章后生效，全部工程完工验收后终止。</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3、因协议在履行过程中所产生的争议，双方协商解决，协商不成的，提交甲方所在地有管辖权的人民法院管辖。</w:t>
      </w:r>
    </w:p>
    <w:p>
      <w:pPr>
        <w:pStyle w:val="24"/>
        <w:tabs>
          <w:tab w:val="left" w:pos="1200"/>
          <w:tab w:val="right" w:leader="dot" w:pos="9730"/>
        </w:tabs>
        <w:adjustRightInd w:val="0"/>
        <w:snapToGrid w:val="0"/>
        <w:spacing w:before="0" w:after="0" w:line="360" w:lineRule="auto"/>
        <w:rPr>
          <w:rFonts w:hint="eastAsia" w:ascii="宋体" w:hAnsi="宋体" w:eastAsia="宋体" w:cs="宋体"/>
          <w:b w:val="0"/>
          <w:bCs w:val="0"/>
          <w:sz w:val="24"/>
          <w:highlight w:val="none"/>
        </w:rPr>
      </w:pPr>
      <w:r>
        <w:rPr>
          <w:rFonts w:hint="eastAsia" w:ascii="宋体" w:hAnsi="宋体" w:eastAsia="宋体" w:cs="宋体"/>
          <w:b w:val="0"/>
          <w:bCs w:val="0"/>
          <w:color w:val="auto"/>
          <w:sz w:val="24"/>
          <w:szCs w:val="24"/>
          <w:highlight w:val="none"/>
          <w:lang w:val="en-US" w:eastAsia="zh-CN"/>
        </w:rPr>
        <w:t>附件：</w:t>
      </w:r>
      <w:r>
        <w:rPr>
          <w:rFonts w:hint="eastAsia" w:ascii="宋体" w:hAnsi="宋体" w:eastAsia="宋体" w:cs="宋体"/>
          <w:b w:val="0"/>
          <w:bCs w:val="0"/>
          <w:color w:val="auto"/>
          <w:sz w:val="24"/>
          <w:szCs w:val="24"/>
          <w:highlight w:val="none"/>
        </w:rPr>
        <w:t>《首讯公司工程安全生产的违约处理细则》</w:t>
      </w: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jc w:val="left"/>
        <w:rPr>
          <w:rFonts w:hint="eastAsia" w:ascii="宋体" w:hAnsi="宋体" w:eastAsia="宋体" w:cs="宋体"/>
          <w:color w:val="FF0000"/>
          <w:sz w:val="24"/>
          <w:highlight w:val="none"/>
          <w:lang w:val="en-US" w:eastAsia="zh-CN"/>
        </w:rPr>
      </w:pPr>
      <w:r>
        <w:rPr>
          <w:rFonts w:hint="eastAsia" w:ascii="宋体" w:hAnsi="宋体" w:eastAsia="宋体" w:cs="宋体"/>
          <w:sz w:val="24"/>
          <w:highlight w:val="none"/>
        </w:rPr>
        <w:t xml:space="preserve">甲方：重庆首讯科技股份有限公司            </w:t>
      </w: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lang w:val="en-US" w:eastAsia="zh-CN"/>
        </w:rPr>
        <w:t>XXXXXX</w:t>
      </w:r>
    </w:p>
    <w:p>
      <w:pPr>
        <w:widowControl/>
        <w:adjustRightInd w:val="0"/>
        <w:snapToGrid w:val="0"/>
        <w:spacing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line="360" w:lineRule="auto"/>
        <w:jc w:val="left"/>
        <w:rPr>
          <w:rFonts w:hint="eastAsia" w:ascii="宋体" w:hAnsi="宋体" w:eastAsia="宋体" w:cs="宋体"/>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line="360" w:lineRule="auto"/>
        <w:jc w:val="left"/>
        <w:rPr>
          <w:rFonts w:hint="eastAsia" w:ascii="宋体" w:hAnsi="宋体" w:eastAsia="宋体" w:cs="宋体"/>
          <w:b w:val="0"/>
          <w:bCs w:val="0"/>
          <w:sz w:val="24"/>
          <w:highlight w:val="none"/>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line="360" w:lineRule="auto"/>
        <w:jc w:val="left"/>
        <w:rPr>
          <w:rFonts w:hint="eastAsia" w:ascii="宋体" w:hAnsi="宋体" w:eastAsia="宋体" w:cs="宋体"/>
          <w:b w:val="0"/>
          <w:bCs w:val="0"/>
          <w:sz w:val="24"/>
          <w:highlight w:val="none"/>
        </w:rPr>
      </w:pPr>
    </w:p>
    <w:p>
      <w:pPr>
        <w:adjustRightInd w:val="0"/>
        <w:snapToGrid w:val="0"/>
        <w:spacing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widowControl/>
        <w:spacing w:line="360" w:lineRule="auto"/>
        <w:jc w:val="left"/>
        <w:rPr>
          <w:rFonts w:hint="eastAsia" w:ascii="宋体" w:hAnsi="宋体" w:eastAsia="宋体" w:cs="宋体"/>
          <w:b/>
          <w:kern w:val="0"/>
          <w:sz w:val="32"/>
          <w:szCs w:val="32"/>
          <w:highlight w:val="none"/>
          <w:lang w:bidi="ar-SA"/>
        </w:rPr>
      </w:pPr>
    </w:p>
    <w:p>
      <w:pPr>
        <w:spacing w:line="240" w:lineRule="auto"/>
        <w:ind w:firstLine="0"/>
        <w:jc w:val="left"/>
        <w:rPr>
          <w:rFonts w:hint="eastAsia" w:ascii="宋体" w:hAnsi="宋体" w:eastAsia="宋体" w:cs="宋体"/>
          <w:b/>
          <w:bCs/>
          <w:color w:val="auto"/>
          <w:sz w:val="32"/>
          <w:szCs w:val="32"/>
          <w:highlight w:val="none"/>
          <w:u w:val="none"/>
          <w:lang w:eastAsia="zh-CN"/>
        </w:rPr>
      </w:pPr>
      <w:r>
        <w:rPr>
          <w:rFonts w:hint="eastAsia" w:ascii="宋体" w:hAnsi="宋体" w:eastAsia="宋体" w:cs="宋体"/>
          <w:b/>
          <w:bCs/>
          <w:color w:val="auto"/>
          <w:sz w:val="32"/>
          <w:szCs w:val="32"/>
          <w:highlight w:val="none"/>
          <w:u w:val="none"/>
          <w:lang w:eastAsia="zh-CN"/>
        </w:rPr>
        <w:br w:type="page"/>
      </w:r>
    </w:p>
    <w:p>
      <w:pPr>
        <w:spacing w:line="240" w:lineRule="auto"/>
        <w:ind w:firstLine="0"/>
        <w:jc w:val="center"/>
        <w:rPr>
          <w:rFonts w:hint="eastAsia" w:ascii="宋体" w:hAnsi="宋体" w:eastAsia="宋体" w:cs="宋体"/>
          <w:b/>
          <w:bCs/>
          <w:sz w:val="32"/>
          <w:szCs w:val="32"/>
          <w:highlight w:val="none"/>
          <w:u w:val="none"/>
          <w:lang w:eastAsia="zh-CN"/>
        </w:rPr>
      </w:pPr>
      <w:r>
        <w:rPr>
          <w:rFonts w:hint="eastAsia" w:ascii="宋体" w:hAnsi="宋体" w:eastAsia="宋体" w:cs="宋体"/>
          <w:b/>
          <w:bCs/>
          <w:color w:val="auto"/>
          <w:sz w:val="32"/>
          <w:szCs w:val="32"/>
          <w:highlight w:val="none"/>
          <w:u w:val="none"/>
          <w:lang w:eastAsia="zh-CN"/>
        </w:rPr>
        <w:t>重庆首讯科技股份有限公司</w:t>
      </w:r>
    </w:p>
    <w:p>
      <w:pPr>
        <w:spacing w:line="360" w:lineRule="auto"/>
        <w:ind w:firstLine="0" w:firstLineChars="0"/>
        <w:jc w:val="center"/>
        <w:textAlignment w:val="baseline"/>
        <w:rPr>
          <w:rFonts w:hint="eastAsia" w:ascii="宋体" w:hAnsi="宋体" w:eastAsia="宋体" w:cs="宋体"/>
          <w:b/>
          <w:bCs/>
          <w:sz w:val="32"/>
          <w:szCs w:val="32"/>
          <w:highlight w:val="none"/>
          <w:u w:val="none"/>
        </w:rPr>
      </w:pPr>
      <w:r>
        <w:rPr>
          <w:rFonts w:hint="eastAsia" w:ascii="宋体" w:hAnsi="宋体" w:eastAsia="宋体" w:cs="宋体"/>
          <w:b/>
          <w:bCs/>
          <w:color w:val="auto"/>
          <w:sz w:val="32"/>
          <w:szCs w:val="32"/>
          <w:highlight w:val="none"/>
          <w:u w:val="none"/>
        </w:rPr>
        <w:t>工程安全生产的违约处理细则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b/>
          <w:bCs/>
          <w:color w:val="auto"/>
          <w:sz w:val="32"/>
          <w:szCs w:val="32"/>
          <w:highlight w:val="none"/>
          <w:u w:val="none"/>
          <w:lang w:val="en-US" w:eastAsia="zh-CN"/>
        </w:rPr>
        <w:t>SX（Ⅱ）/AH19026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目的与范围</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bookmarkStart w:id="322" w:name="OLE_LINK1"/>
      <w:r>
        <w:rPr>
          <w:rFonts w:hint="eastAsia" w:ascii="宋体" w:hAnsi="宋体" w:eastAsia="宋体" w:cs="宋体"/>
          <w:color w:val="auto"/>
          <w:kern w:val="0"/>
          <w:sz w:val="24"/>
          <w:szCs w:val="24"/>
          <w:highlight w:val="none"/>
        </w:rPr>
        <w:t>为确保工程安全得以有效控制，纠正和处理工程</w:t>
      </w:r>
      <w:r>
        <w:rPr>
          <w:rFonts w:hint="eastAsia" w:ascii="宋体" w:hAnsi="宋体" w:eastAsia="宋体" w:cs="宋体"/>
          <w:color w:val="auto"/>
          <w:kern w:val="0"/>
          <w:sz w:val="24"/>
          <w:szCs w:val="24"/>
          <w:highlight w:val="none"/>
          <w:lang w:eastAsia="zh-CN"/>
        </w:rPr>
        <w:t>过程</w:t>
      </w:r>
      <w:r>
        <w:rPr>
          <w:rFonts w:hint="eastAsia" w:ascii="宋体" w:hAnsi="宋体" w:eastAsia="宋体" w:cs="宋体"/>
          <w:color w:val="auto"/>
          <w:kern w:val="0"/>
          <w:sz w:val="24"/>
          <w:szCs w:val="24"/>
          <w:highlight w:val="none"/>
        </w:rPr>
        <w:t>中不规范的行为，</w:t>
      </w:r>
      <w:bookmarkEnd w:id="322"/>
      <w:r>
        <w:rPr>
          <w:rFonts w:hint="eastAsia" w:ascii="宋体" w:hAnsi="宋体" w:eastAsia="宋体" w:cs="宋体"/>
          <w:color w:val="auto"/>
          <w:kern w:val="0"/>
          <w:sz w:val="24"/>
          <w:szCs w:val="24"/>
          <w:highlight w:val="none"/>
        </w:rPr>
        <w:t>特制定本违约处理实施细则。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kern w:val="0"/>
          <w:sz w:val="24"/>
          <w:szCs w:val="24"/>
          <w:highlight w:val="none"/>
          <w:lang w:eastAsia="zh-CN"/>
        </w:rPr>
        <w:t>本细则适用于重庆首讯科技股份有限公司（以下简称发包人）发包的所有施工、维护、服务等项目的承包人。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2、原则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2.1告知原则：</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在与承包人签订合同</w:t>
      </w:r>
      <w:r>
        <w:rPr>
          <w:rFonts w:hint="eastAsia" w:ascii="宋体" w:hAnsi="宋体" w:eastAsia="宋体" w:cs="宋体"/>
          <w:color w:val="auto"/>
          <w:kern w:val="0"/>
          <w:sz w:val="24"/>
          <w:szCs w:val="24"/>
          <w:highlight w:val="none"/>
          <w:lang w:eastAsia="zh-CN"/>
        </w:rPr>
        <w:t>（或施工协议、任务书）</w:t>
      </w:r>
      <w:r>
        <w:rPr>
          <w:rFonts w:hint="eastAsia" w:ascii="宋体" w:hAnsi="宋体" w:eastAsia="宋体" w:cs="宋体"/>
          <w:color w:val="auto"/>
          <w:kern w:val="0"/>
          <w:sz w:val="24"/>
          <w:szCs w:val="24"/>
          <w:highlight w:val="none"/>
          <w:lang w:val="en-US" w:eastAsia="zh-CN"/>
        </w:rPr>
        <w:t>时，本细则</w:t>
      </w:r>
      <w:r>
        <w:rPr>
          <w:rFonts w:hint="eastAsia" w:ascii="宋体" w:hAnsi="宋体" w:eastAsia="宋体" w:cs="宋体"/>
          <w:color w:val="auto"/>
          <w:kern w:val="0"/>
          <w:sz w:val="24"/>
          <w:szCs w:val="24"/>
          <w:highlight w:val="none"/>
          <w:lang w:eastAsia="zh-CN"/>
        </w:rPr>
        <w:t>作为</w:t>
      </w:r>
      <w:r>
        <w:rPr>
          <w:rFonts w:hint="eastAsia" w:ascii="宋体" w:hAnsi="宋体" w:eastAsia="宋体" w:cs="宋体"/>
          <w:color w:val="auto"/>
          <w:kern w:val="0"/>
          <w:sz w:val="24"/>
          <w:szCs w:val="24"/>
          <w:highlight w:val="none"/>
        </w:rPr>
        <w:t>《合同协议书》</w:t>
      </w:r>
      <w:r>
        <w:rPr>
          <w:rFonts w:hint="eastAsia" w:ascii="宋体" w:hAnsi="宋体" w:eastAsia="宋体" w:cs="宋体"/>
          <w:color w:val="auto"/>
          <w:kern w:val="0"/>
          <w:sz w:val="24"/>
          <w:szCs w:val="24"/>
          <w:highlight w:val="none"/>
          <w:lang w:eastAsia="zh-CN"/>
        </w:rPr>
        <w:t>、《安全生产合同》附件。未与</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签订合同时，管理（维护中心）、项目部在进场前书面告知</w:t>
      </w:r>
      <w:r>
        <w:rPr>
          <w:rFonts w:hint="eastAsia" w:ascii="宋体" w:hAnsi="宋体" w:eastAsia="宋体" w:cs="宋体"/>
          <w:color w:val="auto"/>
          <w:kern w:val="0"/>
          <w:sz w:val="24"/>
          <w:szCs w:val="24"/>
          <w:highlight w:val="none"/>
          <w:lang w:val="en-US" w:eastAsia="zh-CN"/>
        </w:rPr>
        <w:t>,并经承包人签字或盖章确认</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处理原则：承包人</w:t>
      </w:r>
      <w:r>
        <w:rPr>
          <w:rFonts w:hint="eastAsia" w:ascii="宋体" w:hAnsi="宋体" w:eastAsia="宋体" w:cs="宋体"/>
          <w:color w:val="auto"/>
          <w:kern w:val="0"/>
          <w:sz w:val="24"/>
          <w:szCs w:val="24"/>
          <w:highlight w:val="none"/>
        </w:rPr>
        <w:t>应认真履行合同条款，凡是违反合同条款规定的，均按规定承担违约责任</w:t>
      </w:r>
      <w:r>
        <w:rPr>
          <w:rFonts w:hint="eastAsia" w:ascii="宋体" w:hAnsi="宋体" w:eastAsia="宋体" w:cs="宋体"/>
          <w:color w:val="auto"/>
          <w:kern w:val="0"/>
          <w:sz w:val="24"/>
          <w:szCs w:val="24"/>
          <w:highlight w:val="none"/>
          <w:lang w:eastAsia="zh-CN"/>
        </w:rPr>
        <w:t>，接受相应处理。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3、违约处理依据</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rPr>
        <w:t>中华人民共和国</w:t>
      </w:r>
      <w:r>
        <w:rPr>
          <w:rFonts w:hint="eastAsia" w:ascii="宋体" w:hAnsi="宋体" w:eastAsia="宋体" w:cs="宋体"/>
          <w:b w:val="0"/>
          <w:bCs w:val="0"/>
          <w:i w:val="0"/>
          <w:caps w:val="0"/>
          <w:color w:val="auto"/>
          <w:spacing w:val="0"/>
          <w:kern w:val="0"/>
          <w:sz w:val="24"/>
          <w:szCs w:val="24"/>
          <w:highlight w:val="none"/>
          <w:shd w:val="clear" w:color="auto" w:fill="auto"/>
          <w:lang w:eastAsia="zh-CN"/>
        </w:rPr>
        <w:t>民法典</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lang w:eastAsia="zh-CN"/>
        </w:rPr>
        <w:t xml:space="preserve">，第一百一十四条，违约金：当事人可以约定一方违约时应当根据违约情况向对方支付一定数额的违约金，也可以约定因违约产生的损失赔偿额的计算方法。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4、职责</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4.1安全监管职能部门（安全管理部、工程管理部、</w:t>
      </w:r>
      <w:r>
        <w:rPr>
          <w:rFonts w:hint="eastAsia" w:ascii="宋体" w:hAnsi="宋体" w:eastAsia="宋体" w:cs="宋体"/>
          <w:color w:val="auto"/>
          <w:kern w:val="0"/>
          <w:sz w:val="24"/>
          <w:szCs w:val="24"/>
          <w:highlight w:val="none"/>
          <w:lang w:eastAsia="zh-CN"/>
        </w:rPr>
        <w:t>智能交通研发中心</w:t>
      </w:r>
      <w:r>
        <w:rPr>
          <w:rFonts w:hint="eastAsia" w:ascii="宋体" w:hAnsi="宋体" w:eastAsia="宋体" w:cs="宋体"/>
          <w:color w:val="auto"/>
          <w:kern w:val="0"/>
          <w:sz w:val="24"/>
          <w:szCs w:val="24"/>
          <w:highlight w:val="none"/>
          <w:lang w:val="en-US" w:eastAsia="zh-CN"/>
        </w:rPr>
        <w:t>等职能部门包括项目部、维护管理中心）是安全生产的违约处理的执行部门，具体负责对违约处理。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4.2违约处理人员：机电站站长、中心专职兼职安全管理人员、中心负责人、项目部负责人、安全负责人、技术负责人。</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4.3施工单位必须严格执行国家、行业、主管部门、</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安全生产相关规定，管好项目相关作业人员，如被发现违约行为，则按本文规定接受相应的</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履约保证金交纳</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承包人在与公司签订施工、维护、服务合同后，按合同约定交纳</w:t>
      </w:r>
      <w:r>
        <w:rPr>
          <w:rFonts w:hint="eastAsia" w:ascii="宋体" w:hAnsi="宋体" w:eastAsia="宋体" w:cs="宋体"/>
          <w:color w:val="auto"/>
          <w:kern w:val="0"/>
          <w:sz w:val="24"/>
          <w:szCs w:val="24"/>
          <w:highlight w:val="none"/>
          <w:lang w:eastAsia="zh-CN"/>
        </w:rPr>
        <w:t>履约保证金，如未交纳履约保证金或履约保证金不足的，则违约处理在项目结算时扣减。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6、违约处理标准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必须重视安全生产，严格按照施工安全规范制订符合本工程实际的施工安全技术方案和安全保证措施，</w:t>
      </w:r>
      <w:r>
        <w:rPr>
          <w:rFonts w:hint="eastAsia" w:ascii="宋体" w:hAnsi="宋体" w:eastAsia="宋体" w:cs="宋体"/>
          <w:color w:val="auto"/>
          <w:kern w:val="0"/>
          <w:sz w:val="24"/>
          <w:szCs w:val="24"/>
          <w:highlight w:val="none"/>
          <w:lang w:val="en-US" w:eastAsia="zh-CN"/>
        </w:rPr>
        <w:t>若在项目实施工程中未按审批后的技术方案和保证措施执行的</w:t>
      </w:r>
      <w:r>
        <w:rPr>
          <w:rFonts w:hint="eastAsia" w:ascii="宋体" w:hAnsi="宋体" w:eastAsia="宋体" w:cs="宋体"/>
          <w:color w:val="auto"/>
          <w:kern w:val="0"/>
          <w:sz w:val="24"/>
          <w:szCs w:val="24"/>
          <w:highlight w:val="none"/>
        </w:rPr>
        <w:t>，将处以</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6.2</w:t>
      </w:r>
      <w:r>
        <w:rPr>
          <w:rFonts w:hint="eastAsia" w:ascii="宋体" w:hAnsi="宋体" w:eastAsia="宋体" w:cs="宋体"/>
          <w:color w:val="auto"/>
          <w:kern w:val="0"/>
          <w:sz w:val="24"/>
          <w:szCs w:val="24"/>
          <w:highlight w:val="none"/>
          <w:lang w:eastAsia="zh-CN"/>
        </w:rPr>
        <w:t>施工单位须</w:t>
      </w:r>
      <w:r>
        <w:rPr>
          <w:rFonts w:hint="eastAsia" w:ascii="宋体" w:hAnsi="宋体" w:eastAsia="宋体" w:cs="宋体"/>
          <w:color w:val="auto"/>
          <w:kern w:val="0"/>
          <w:sz w:val="24"/>
          <w:szCs w:val="24"/>
          <w:highlight w:val="none"/>
        </w:rPr>
        <w:t>建立安全管理机构</w:t>
      </w:r>
      <w:r>
        <w:rPr>
          <w:rFonts w:hint="eastAsia" w:ascii="宋体" w:hAnsi="宋体" w:eastAsia="宋体" w:cs="宋体"/>
          <w:color w:val="auto"/>
          <w:kern w:val="0"/>
          <w:sz w:val="24"/>
          <w:szCs w:val="24"/>
          <w:highlight w:val="none"/>
          <w:lang w:eastAsia="zh-CN"/>
        </w:rPr>
        <w:t>或设置安全管理人员，</w:t>
      </w:r>
      <w:r>
        <w:rPr>
          <w:rFonts w:hint="eastAsia" w:ascii="宋体" w:hAnsi="宋体" w:eastAsia="宋体" w:cs="宋体"/>
          <w:color w:val="auto"/>
          <w:kern w:val="0"/>
          <w:sz w:val="24"/>
          <w:szCs w:val="24"/>
          <w:highlight w:val="none"/>
        </w:rPr>
        <w:t>明确责任，</w:t>
      </w:r>
      <w:r>
        <w:rPr>
          <w:rFonts w:hint="eastAsia" w:ascii="宋体" w:hAnsi="宋体" w:eastAsia="宋体" w:cs="宋体"/>
          <w:color w:val="auto"/>
          <w:kern w:val="0"/>
          <w:sz w:val="24"/>
          <w:szCs w:val="24"/>
          <w:highlight w:val="none"/>
          <w:lang w:eastAsia="zh-CN"/>
        </w:rPr>
        <w:t>安全管理人员必须到岗，</w:t>
      </w:r>
      <w:r>
        <w:rPr>
          <w:rFonts w:hint="eastAsia" w:ascii="宋体" w:hAnsi="宋体" w:eastAsia="宋体" w:cs="宋体"/>
          <w:color w:val="auto"/>
          <w:kern w:val="0"/>
          <w:sz w:val="24"/>
          <w:szCs w:val="24"/>
          <w:highlight w:val="none"/>
        </w:rPr>
        <w:t>否则，将处以</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00元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次</w:t>
      </w:r>
      <w:r>
        <w:rPr>
          <w:rFonts w:hint="eastAsia" w:ascii="宋体" w:hAnsi="宋体" w:eastAsia="宋体" w:cs="宋体"/>
          <w:color w:val="auto"/>
          <w:kern w:val="0"/>
          <w:sz w:val="24"/>
          <w:szCs w:val="24"/>
          <w:highlight w:val="none"/>
        </w:rPr>
        <w:t>的违约金。</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6.3</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eastAsia="zh-CN"/>
        </w:rPr>
        <w:t>开展</w:t>
      </w:r>
      <w:r>
        <w:rPr>
          <w:rFonts w:hint="eastAsia" w:ascii="宋体" w:hAnsi="宋体" w:eastAsia="宋体" w:cs="宋体"/>
          <w:color w:val="auto"/>
          <w:kern w:val="0"/>
          <w:sz w:val="24"/>
          <w:szCs w:val="24"/>
          <w:highlight w:val="none"/>
        </w:rPr>
        <w:t>各种形式的安全检查，对施工现场有安全隐患的，</w:t>
      </w:r>
      <w:r>
        <w:rPr>
          <w:rFonts w:hint="eastAsia" w:ascii="宋体" w:hAnsi="宋体" w:eastAsia="宋体" w:cs="宋体"/>
          <w:color w:val="auto"/>
          <w:kern w:val="0"/>
          <w:sz w:val="24"/>
          <w:szCs w:val="24"/>
          <w:highlight w:val="none"/>
          <w:lang w:eastAsia="zh-CN"/>
        </w:rPr>
        <w:t>要立即整改</w:t>
      </w:r>
      <w:r>
        <w:rPr>
          <w:rFonts w:hint="eastAsia" w:ascii="宋体" w:hAnsi="宋体" w:eastAsia="宋体" w:cs="宋体"/>
          <w:color w:val="auto"/>
          <w:kern w:val="0"/>
          <w:sz w:val="24"/>
          <w:szCs w:val="24"/>
          <w:highlight w:val="none"/>
        </w:rPr>
        <w:t>；对现场已发现的安全隐患不及时排除或不采取必要的防护措施的，则处以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rPr>
        <w:t>500～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000（元/次）的违约金；</w:t>
      </w:r>
      <w:r>
        <w:rPr>
          <w:rFonts w:hint="eastAsia" w:ascii="宋体" w:hAnsi="宋体" w:eastAsia="宋体" w:cs="宋体"/>
          <w:color w:val="auto"/>
          <w:kern w:val="0"/>
          <w:sz w:val="24"/>
          <w:szCs w:val="24"/>
          <w:highlight w:val="none"/>
          <w:lang w:eastAsia="zh-CN"/>
        </w:rPr>
        <w:t>承包人要对安全隐患要零容忍，对隐患整改做到“五落实”。</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6.4</w:t>
      </w:r>
      <w:r>
        <w:rPr>
          <w:rFonts w:hint="eastAsia" w:ascii="宋体" w:hAnsi="宋体" w:eastAsia="宋体" w:cs="宋体"/>
          <w:color w:val="auto"/>
          <w:kern w:val="0"/>
          <w:sz w:val="24"/>
          <w:szCs w:val="24"/>
          <w:highlight w:val="none"/>
          <w:lang w:eastAsia="zh-CN"/>
        </w:rPr>
        <w:t>承包人发生安全生产责任事故的，除接受有关主管部门的处罚外，同时按照安全生产责任事故认定大小，并接受发包人处以合同金额的</w:t>
      </w:r>
      <w:r>
        <w:rPr>
          <w:rFonts w:hint="eastAsia" w:ascii="宋体" w:hAnsi="宋体" w:eastAsia="宋体" w:cs="宋体"/>
          <w:color w:val="auto"/>
          <w:kern w:val="0"/>
          <w:sz w:val="24"/>
          <w:szCs w:val="24"/>
          <w:highlight w:val="none"/>
          <w:lang w:val="en-US" w:eastAsia="zh-CN"/>
        </w:rPr>
        <w:t>10%-30%的违约处理。同时承包人应自行承担事故责任，发包人由此承担了责任的，有权向承包人追偿。</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6.5</w:t>
      </w:r>
      <w:r>
        <w:rPr>
          <w:rFonts w:hint="eastAsia" w:ascii="宋体" w:hAnsi="宋体" w:eastAsia="宋体" w:cs="宋体"/>
          <w:color w:val="auto"/>
          <w:kern w:val="0"/>
          <w:sz w:val="24"/>
          <w:szCs w:val="24"/>
          <w:highlight w:val="none"/>
        </w:rPr>
        <w:t>施工现场必须有明显的各种安全标识及安全保护措施，</w:t>
      </w:r>
      <w:r>
        <w:rPr>
          <w:rFonts w:hint="eastAsia" w:ascii="宋体" w:hAnsi="宋体" w:eastAsia="宋体" w:cs="宋体"/>
          <w:color w:val="auto"/>
          <w:kern w:val="0"/>
          <w:sz w:val="24"/>
          <w:szCs w:val="24"/>
          <w:highlight w:val="none"/>
          <w:lang w:eastAsia="zh-CN"/>
        </w:rPr>
        <w:t>涉路作业必须按照《公路养护安全作业规程》（</w:t>
      </w:r>
      <w:r>
        <w:rPr>
          <w:rFonts w:hint="eastAsia" w:ascii="宋体" w:hAnsi="宋体" w:eastAsia="宋体" w:cs="宋体"/>
          <w:color w:val="auto"/>
          <w:kern w:val="0"/>
          <w:sz w:val="24"/>
          <w:szCs w:val="24"/>
          <w:highlight w:val="none"/>
          <w:lang w:val="en-US" w:eastAsia="zh-CN"/>
        </w:rPr>
        <w:t>JTG H30-2015</w:t>
      </w:r>
      <w:r>
        <w:rPr>
          <w:rFonts w:hint="eastAsia" w:ascii="宋体" w:hAnsi="宋体" w:eastAsia="宋体" w:cs="宋体"/>
          <w:color w:val="auto"/>
          <w:kern w:val="0"/>
          <w:sz w:val="24"/>
          <w:szCs w:val="24"/>
          <w:highlight w:val="none"/>
          <w:lang w:eastAsia="zh-CN"/>
        </w:rPr>
        <w:t>）进行交通组织，</w:t>
      </w:r>
      <w:r>
        <w:rPr>
          <w:rFonts w:hint="eastAsia" w:ascii="宋体" w:hAnsi="宋体" w:eastAsia="宋体" w:cs="宋体"/>
          <w:color w:val="auto"/>
          <w:kern w:val="0"/>
          <w:sz w:val="24"/>
          <w:szCs w:val="24"/>
          <w:highlight w:val="none"/>
        </w:rPr>
        <w:t>否则，处以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每处</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6.6</w:t>
      </w:r>
      <w:r>
        <w:rPr>
          <w:rFonts w:hint="eastAsia" w:ascii="宋体" w:hAnsi="宋体" w:eastAsia="宋体" w:cs="宋体"/>
          <w:color w:val="auto"/>
          <w:kern w:val="0"/>
          <w:sz w:val="24"/>
          <w:szCs w:val="24"/>
          <w:highlight w:val="none"/>
        </w:rPr>
        <w:t>承包人必须文明施工，施工现场整齐规范，无乱堆乱放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xml:space="preserve">由于生产、生活原因破坏生态环境，每处违约金 </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00元/次，并限期整改。</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6.7</w:t>
      </w:r>
      <w:r>
        <w:rPr>
          <w:rFonts w:hint="eastAsia" w:ascii="宋体" w:hAnsi="宋体" w:eastAsia="宋体" w:cs="宋体"/>
          <w:color w:val="auto"/>
          <w:kern w:val="0"/>
          <w:sz w:val="24"/>
          <w:szCs w:val="24"/>
          <w:highlight w:val="none"/>
        </w:rPr>
        <w:t>特种工作人员，无证上岗的，则处以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00元/人的违约金，并责令更换无证人员。</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6.8</w:t>
      </w:r>
      <w:r>
        <w:rPr>
          <w:rFonts w:hint="eastAsia" w:ascii="宋体" w:hAnsi="宋体" w:eastAsia="宋体" w:cs="宋体"/>
          <w:color w:val="auto"/>
          <w:kern w:val="0"/>
          <w:sz w:val="24"/>
          <w:szCs w:val="24"/>
          <w:highlight w:val="none"/>
        </w:rPr>
        <w:t>未参加岗前培训</w:t>
      </w:r>
      <w:r>
        <w:rPr>
          <w:rFonts w:hint="eastAsia" w:ascii="宋体" w:hAnsi="宋体" w:eastAsia="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rPr>
        <w:t>未购买保险的</w:t>
      </w:r>
      <w:r>
        <w:rPr>
          <w:rFonts w:hint="eastAsia" w:ascii="宋体" w:hAnsi="宋体" w:eastAsia="宋体" w:cs="宋体"/>
          <w:color w:val="auto"/>
          <w:kern w:val="0"/>
          <w:sz w:val="24"/>
          <w:szCs w:val="24"/>
          <w:highlight w:val="none"/>
          <w:lang w:eastAsia="zh-CN"/>
        </w:rPr>
        <w:t>作业</w:t>
      </w:r>
      <w:r>
        <w:rPr>
          <w:rFonts w:hint="eastAsia" w:ascii="宋体" w:hAnsi="宋体" w:eastAsia="宋体" w:cs="宋体"/>
          <w:color w:val="auto"/>
          <w:kern w:val="0"/>
          <w:sz w:val="24"/>
          <w:szCs w:val="24"/>
          <w:highlight w:val="none"/>
        </w:rPr>
        <w:t>人员从事养护施工作业，则处以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00元/人的违约金，并责令更换人员。</w:t>
      </w:r>
    </w:p>
    <w:p>
      <w:pPr>
        <w:widowControl/>
        <w:numPr>
          <w:ilvl w:val="0"/>
          <w:numId w:val="0"/>
        </w:numPr>
        <w:tabs>
          <w:tab w:val="left" w:pos="2880"/>
          <w:tab w:val="left" w:pos="7020"/>
        </w:tabs>
        <w:spacing w:line="360" w:lineRule="auto"/>
        <w:ind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w:t>
      </w:r>
      <w:r>
        <w:rPr>
          <w:rFonts w:hint="eastAsia" w:ascii="宋体" w:hAnsi="宋体" w:eastAsia="宋体" w:cs="宋体"/>
          <w:color w:val="auto"/>
          <w:kern w:val="0"/>
          <w:sz w:val="24"/>
          <w:szCs w:val="24"/>
          <w:highlight w:val="none"/>
          <w:lang w:eastAsia="zh-CN"/>
        </w:rPr>
        <w:t>施工单位或施工现场</w:t>
      </w:r>
      <w:r>
        <w:rPr>
          <w:rFonts w:hint="eastAsia" w:ascii="宋体" w:hAnsi="宋体" w:eastAsia="宋体" w:cs="宋体"/>
          <w:color w:val="auto"/>
          <w:kern w:val="0"/>
          <w:sz w:val="24"/>
          <w:szCs w:val="24"/>
          <w:highlight w:val="none"/>
        </w:rPr>
        <w:t>有如下情况之一者，每人每次处以违约金</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w:t>
      </w:r>
      <w:r>
        <w:rPr>
          <w:rFonts w:hint="eastAsia" w:ascii="宋体" w:hAnsi="宋体" w:eastAsia="宋体" w:cs="宋体"/>
          <w:color w:val="auto"/>
          <w:kern w:val="0"/>
          <w:sz w:val="24"/>
          <w:szCs w:val="24"/>
          <w:highlight w:val="none"/>
        </w:rPr>
        <w:t>违章指挥，强令施工人员违章作业者。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6.9.2</w:t>
      </w:r>
      <w:r>
        <w:rPr>
          <w:rFonts w:hint="eastAsia" w:ascii="宋体" w:hAnsi="宋体" w:eastAsia="宋体" w:cs="宋体"/>
          <w:color w:val="auto"/>
          <w:kern w:val="0"/>
          <w:sz w:val="24"/>
          <w:szCs w:val="24"/>
          <w:highlight w:val="none"/>
        </w:rPr>
        <w:t>不遵守安全生产技术操作规程。</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6.9.3</w:t>
      </w:r>
      <w:r>
        <w:rPr>
          <w:rFonts w:hint="eastAsia" w:ascii="宋体" w:hAnsi="宋体" w:eastAsia="宋体" w:cs="宋体"/>
          <w:color w:val="auto"/>
          <w:kern w:val="0"/>
          <w:sz w:val="24"/>
          <w:szCs w:val="24"/>
          <w:highlight w:val="none"/>
        </w:rPr>
        <w:t>发现事故隐患苗头，未采取积极有效措施及时整改者。</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6.9.4</w:t>
      </w:r>
      <w:r>
        <w:rPr>
          <w:rFonts w:hint="eastAsia" w:ascii="宋体" w:hAnsi="宋体" w:eastAsia="宋体" w:cs="宋体"/>
          <w:color w:val="auto"/>
          <w:kern w:val="0"/>
          <w:sz w:val="24"/>
          <w:szCs w:val="24"/>
          <w:highlight w:val="none"/>
        </w:rPr>
        <w:t>发生事故隐患不报告，或隐瞒事故真相，或未保护好事故现场者。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6.9.5</w:t>
      </w:r>
      <w:r>
        <w:rPr>
          <w:rFonts w:hint="eastAsia" w:ascii="宋体" w:hAnsi="宋体" w:eastAsia="宋体" w:cs="宋体"/>
          <w:color w:val="auto"/>
          <w:kern w:val="0"/>
          <w:sz w:val="24"/>
          <w:szCs w:val="24"/>
          <w:highlight w:val="none"/>
          <w:lang w:eastAsia="zh-CN"/>
        </w:rPr>
        <w:t>使用</w:t>
      </w:r>
      <w:r>
        <w:rPr>
          <w:rFonts w:hint="eastAsia" w:ascii="宋体" w:hAnsi="宋体" w:eastAsia="宋体" w:cs="宋体"/>
          <w:color w:val="auto"/>
          <w:kern w:val="0"/>
          <w:sz w:val="24"/>
          <w:szCs w:val="24"/>
          <w:highlight w:val="none"/>
        </w:rPr>
        <w:t>安全生产用品不符合使用质量要求者。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6.9.6</w:t>
      </w:r>
      <w:r>
        <w:rPr>
          <w:rFonts w:hint="eastAsia" w:ascii="宋体" w:hAnsi="宋体" w:eastAsia="宋体" w:cs="宋体"/>
          <w:color w:val="auto"/>
          <w:kern w:val="0"/>
          <w:sz w:val="24"/>
          <w:szCs w:val="24"/>
          <w:highlight w:val="none"/>
        </w:rPr>
        <w:t>未配带安全防护器具者。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6.9.7</w:t>
      </w:r>
      <w:r>
        <w:rPr>
          <w:rFonts w:hint="eastAsia" w:ascii="宋体" w:hAnsi="宋体" w:eastAsia="宋体" w:cs="宋体"/>
          <w:color w:val="auto"/>
          <w:kern w:val="0"/>
          <w:sz w:val="24"/>
          <w:szCs w:val="24"/>
          <w:highlight w:val="none"/>
        </w:rPr>
        <w:t>在未摆放安全锥标</w:t>
      </w:r>
      <w:r>
        <w:rPr>
          <w:rFonts w:hint="eastAsia" w:ascii="宋体" w:hAnsi="宋体" w:eastAsia="宋体" w:cs="宋体"/>
          <w:color w:val="auto"/>
          <w:kern w:val="0"/>
          <w:sz w:val="24"/>
          <w:szCs w:val="24"/>
          <w:highlight w:val="none"/>
          <w:lang w:eastAsia="zh-CN"/>
        </w:rPr>
        <w:t>情况下在</w:t>
      </w:r>
      <w:r>
        <w:rPr>
          <w:rFonts w:hint="eastAsia" w:ascii="宋体" w:hAnsi="宋体" w:eastAsia="宋体" w:cs="宋体"/>
          <w:color w:val="auto"/>
          <w:kern w:val="0"/>
          <w:sz w:val="24"/>
          <w:szCs w:val="24"/>
          <w:highlight w:val="none"/>
        </w:rPr>
        <w:t>紧急停车带内临时停车</w:t>
      </w:r>
      <w:r>
        <w:rPr>
          <w:rFonts w:hint="eastAsia" w:ascii="宋体" w:hAnsi="宋体" w:eastAsia="宋体" w:cs="宋体"/>
          <w:color w:val="auto"/>
          <w:kern w:val="0"/>
          <w:sz w:val="24"/>
          <w:szCs w:val="24"/>
          <w:highlight w:val="none"/>
          <w:lang w:eastAsia="zh-CN"/>
        </w:rPr>
        <w:t>作业、较长时间停车情况下车内留人</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6.9.8</w:t>
      </w:r>
      <w:r>
        <w:rPr>
          <w:rFonts w:hint="eastAsia" w:ascii="宋体" w:hAnsi="宋体" w:eastAsia="宋体" w:cs="宋体"/>
          <w:color w:val="auto"/>
          <w:kern w:val="0"/>
          <w:sz w:val="24"/>
          <w:szCs w:val="24"/>
          <w:highlight w:val="none"/>
        </w:rPr>
        <w:t>在6级以上大风天气开展高处作业、吊装作业和能见度&lt;50米的气候条件下室外作业。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6.9.9</w:t>
      </w:r>
      <w:r>
        <w:rPr>
          <w:rFonts w:hint="eastAsia" w:ascii="宋体" w:hAnsi="宋体" w:eastAsia="宋体" w:cs="宋体"/>
          <w:color w:val="auto"/>
          <w:kern w:val="0"/>
          <w:sz w:val="24"/>
          <w:szCs w:val="24"/>
          <w:highlight w:val="none"/>
        </w:rPr>
        <w:t>在通车的道路内采用攀登脚手架、井字架、龙门架进行高处移动作业。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6.9.10</w:t>
      </w:r>
      <w:r>
        <w:rPr>
          <w:rFonts w:hint="eastAsia" w:ascii="宋体" w:hAnsi="宋体" w:eastAsia="宋体" w:cs="宋体"/>
          <w:color w:val="auto"/>
          <w:kern w:val="0"/>
          <w:sz w:val="24"/>
          <w:szCs w:val="24"/>
          <w:highlight w:val="none"/>
        </w:rPr>
        <w:t>开展高压外线巡检、供配电维护、高位水池检查</w:t>
      </w:r>
      <w:r>
        <w:rPr>
          <w:rFonts w:hint="eastAsia" w:ascii="宋体" w:hAnsi="宋体" w:eastAsia="宋体" w:cs="宋体"/>
          <w:color w:val="auto"/>
          <w:kern w:val="0"/>
          <w:sz w:val="24"/>
          <w:szCs w:val="24"/>
          <w:highlight w:val="none"/>
          <w:lang w:eastAsia="zh-CN"/>
        </w:rPr>
        <w:t>等作业，未按要求监护的。</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kern w:val="0"/>
          <w:sz w:val="24"/>
          <w:szCs w:val="24"/>
          <w:highlight w:val="none"/>
          <w:lang w:val="en-US" w:eastAsia="zh-CN"/>
        </w:rPr>
        <w:t>6.9.11施工单位未按规定办理相关施工手或施工手续不全、施工作业范围不在审批的手续范围内、擅自施工或未在维护中心、机电站报备的。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7、违约处理程序</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7.1违约发现：</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违约监督人员在履行发包人的监督检查工作中，发现承包人有违约行为，应现场及时制止、纠正、整改承包人的违约行为，作好记录，让承包人现场人员确认。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7.2违约处理：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具有处理权限人员根据监督人员记录的承包人违约行为，按本文件规定作出处理决定，填写《违约处理通知书》，与《监督检查记录表》一并交职能部门，由职能部门最终确认。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7.3</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执行</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承包人的项目完工后，在履约保障金在退还时，</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lang w:eastAsia="zh-CN"/>
        </w:rPr>
        <w:t>工程管理部、智能交通研发中心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根据</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在该项目实施过程中所获得的</w:t>
      </w:r>
      <w:r>
        <w:rPr>
          <w:rFonts w:hint="eastAsia" w:ascii="宋体" w:hAnsi="宋体" w:eastAsia="宋体" w:cs="宋体"/>
          <w:color w:val="auto"/>
          <w:kern w:val="0"/>
          <w:sz w:val="24"/>
          <w:szCs w:val="24"/>
          <w:highlight w:val="none"/>
          <w:lang w:val="en-US" w:eastAsia="zh-CN"/>
        </w:rPr>
        <w:t>《违约处理通知书》计算</w:t>
      </w:r>
      <w:r>
        <w:rPr>
          <w:rFonts w:hint="eastAsia" w:ascii="宋体" w:hAnsi="宋体" w:eastAsia="宋体" w:cs="宋体"/>
          <w:color w:val="auto"/>
          <w:kern w:val="0"/>
          <w:sz w:val="24"/>
          <w:szCs w:val="24"/>
          <w:highlight w:val="none"/>
          <w:lang w:eastAsia="zh-CN"/>
        </w:rPr>
        <w:t>累计处理金额，并在履约保障金中扣除，未缴纳履约保证金或履约保证金不足的，在结算支付款中扣除。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8、相关记录：</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8.1《监督检查记录表》</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kern w:val="0"/>
          <w:sz w:val="24"/>
          <w:szCs w:val="24"/>
          <w:highlight w:val="none"/>
          <w:lang w:val="en-US" w:eastAsia="zh-CN"/>
        </w:rPr>
        <w:t>8.2《违约处理通知书》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9、其它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.1本规定在使用过程中，应结合</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rPr>
        <w:t>实施的各项管理办法及规章制度等执行。</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9.2</w:t>
      </w:r>
      <w:r>
        <w:rPr>
          <w:rFonts w:hint="eastAsia" w:ascii="宋体" w:hAnsi="宋体" w:eastAsia="宋体" w:cs="宋体"/>
          <w:color w:val="auto"/>
          <w:kern w:val="0"/>
          <w:sz w:val="24"/>
          <w:szCs w:val="24"/>
          <w:highlight w:val="none"/>
        </w:rPr>
        <w:t>本规定对合同协议双方当事人具有约束力。若出现违约，须严格按以上规定进行违约处理，对严重违约或不履约者，</w:t>
      </w:r>
      <w:r>
        <w:rPr>
          <w:rFonts w:hint="eastAsia" w:ascii="宋体" w:hAnsi="宋体" w:eastAsia="宋体" w:cs="宋体"/>
          <w:color w:val="auto"/>
          <w:kern w:val="0"/>
          <w:sz w:val="24"/>
          <w:szCs w:val="24"/>
          <w:highlight w:val="none"/>
          <w:lang w:eastAsia="zh-CN"/>
        </w:rPr>
        <w:t>或有以上违约行为超过</w:t>
      </w:r>
      <w:r>
        <w:rPr>
          <w:rFonts w:hint="eastAsia" w:ascii="宋体" w:hAnsi="宋体" w:eastAsia="宋体" w:cs="宋体"/>
          <w:color w:val="auto"/>
          <w:kern w:val="0"/>
          <w:sz w:val="24"/>
          <w:szCs w:val="24"/>
          <w:highlight w:val="none"/>
          <w:lang w:val="en-US" w:eastAsia="zh-CN"/>
        </w:rPr>
        <w:t>2次的，</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有权</w:t>
      </w:r>
      <w:r>
        <w:rPr>
          <w:rFonts w:hint="eastAsia" w:ascii="宋体" w:hAnsi="宋体" w:eastAsia="宋体" w:cs="宋体"/>
          <w:color w:val="auto"/>
          <w:kern w:val="0"/>
          <w:sz w:val="24"/>
          <w:szCs w:val="24"/>
          <w:highlight w:val="none"/>
          <w:lang w:eastAsia="zh-CN"/>
        </w:rPr>
        <w:t>解除</w:t>
      </w:r>
      <w:r>
        <w:rPr>
          <w:rFonts w:hint="eastAsia" w:ascii="宋体" w:hAnsi="宋体" w:eastAsia="宋体" w:cs="宋体"/>
          <w:color w:val="auto"/>
          <w:kern w:val="0"/>
          <w:sz w:val="24"/>
          <w:szCs w:val="24"/>
          <w:highlight w:val="none"/>
        </w:rPr>
        <w:t>合同，并有权要求其赔偿损失。</w:t>
      </w:r>
    </w:p>
    <w:p>
      <w:pPr>
        <w:keepNext w:val="0"/>
        <w:keepLines w:val="0"/>
        <w:widowControl/>
        <w:numPr>
          <w:ilvl w:val="0"/>
          <w:numId w:val="0"/>
        </w:numPr>
        <w:tabs>
          <w:tab w:val="left" w:pos="2880"/>
          <w:tab w:val="left" w:pos="7020"/>
        </w:tabs>
        <w:ind w:right="178" w:rightChars="85" w:firstLine="480"/>
        <w:jc w:val="left"/>
        <w:outlineLvl w:val="9"/>
        <w:rPr>
          <w:rFonts w:hint="eastAsia" w:ascii="宋体" w:hAnsi="宋体" w:eastAsia="宋体" w:cs="宋体"/>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9.3</w:t>
      </w:r>
      <w:r>
        <w:rPr>
          <w:rFonts w:hint="eastAsia" w:ascii="宋体" w:hAnsi="宋体" w:eastAsia="宋体" w:cs="宋体"/>
          <w:color w:val="auto"/>
          <w:kern w:val="0"/>
          <w:sz w:val="24"/>
          <w:szCs w:val="24"/>
          <w:highlight w:val="none"/>
        </w:rPr>
        <w:t>本办法未尽事宜由</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在过程中另行补充完善和约定执行。</w:t>
      </w:r>
    </w:p>
    <w:p>
      <w:pPr>
        <w:spacing w:line="440" w:lineRule="exact"/>
        <w:rPr>
          <w:rFonts w:hint="eastAsia" w:ascii="宋体" w:hAnsi="宋体" w:eastAsia="宋体" w:cs="宋体"/>
          <w:color w:val="000000"/>
          <w:sz w:val="30"/>
          <w:szCs w:val="30"/>
          <w:highlight w:val="none"/>
        </w:rPr>
      </w:pPr>
    </w:p>
    <w:p>
      <w:pPr>
        <w:spacing w:line="240" w:lineRule="auto"/>
        <w:ind w:firstLine="0" w:firstLineChars="0"/>
        <w:jc w:val="lef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br w:type="page"/>
      </w:r>
    </w:p>
    <w:p>
      <w:pPr>
        <w:spacing w:line="360" w:lineRule="auto"/>
        <w:ind w:firstLine="3213" w:firstLineChars="1000"/>
        <w:jc w:val="left"/>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违约处理</w:t>
      </w:r>
      <w:r>
        <w:rPr>
          <w:rFonts w:hint="eastAsia" w:ascii="宋体" w:hAnsi="宋体" w:eastAsia="宋体" w:cs="宋体"/>
          <w:b/>
          <w:bCs/>
          <w:color w:val="auto"/>
          <w:sz w:val="32"/>
          <w:szCs w:val="32"/>
          <w:highlight w:val="none"/>
        </w:rPr>
        <w:t>通知书</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编号：</w:t>
      </w:r>
    </w:p>
    <w:tbl>
      <w:tblPr>
        <w:tblStyle w:val="34"/>
        <w:tblpPr w:leftFromText="180" w:rightFromText="180" w:vertAnchor="text" w:horzAnchor="page" w:tblpX="1723" w:tblpY="1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09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受处理单位名称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64"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施工项目名称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违章地点</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7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处理原因</w:t>
            </w: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7"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处理依据</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8"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处理决定</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9" w:hRule="atLeast"/>
          <w:jc w:val="center"/>
        </w:trPr>
        <w:tc>
          <w:tcPr>
            <w:tcW w:w="2090"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违约金</w:t>
            </w:r>
          </w:p>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金额</w:t>
            </w:r>
          </w:p>
        </w:tc>
        <w:tc>
          <w:tcPr>
            <w:tcW w:w="6769"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人民币大写：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9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开单</w:t>
            </w:r>
            <w:r>
              <w:rPr>
                <w:rFonts w:hint="eastAsia" w:ascii="宋体" w:hAnsi="宋体" w:eastAsia="宋体" w:cs="宋体"/>
                <w:color w:val="auto"/>
                <w:kern w:val="0"/>
                <w:sz w:val="24"/>
                <w:szCs w:val="24"/>
                <w:highlight w:val="none"/>
                <w:lang w:eastAsia="zh-CN"/>
              </w:rPr>
              <w:t>部门</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3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开单人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1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接收人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bl>
    <w:p>
      <w:pPr>
        <w:widowControl/>
        <w:numPr>
          <w:ilvl w:val="0"/>
          <w:numId w:val="0"/>
        </w:numPr>
        <w:tabs>
          <w:tab w:val="left" w:pos="2880"/>
          <w:tab w:val="left" w:pos="7020"/>
        </w:tabs>
        <w:spacing w:line="360" w:lineRule="auto"/>
        <w:ind w:left="0" w:leftChars="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注：本《违约处理通知书》一式三份，一份交违约施工单位，一份开具违约通知书部门留底，一份交职能部门。</w:t>
      </w: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3</w:t>
      </w:r>
      <w:r>
        <w:rPr>
          <w:rFonts w:hint="eastAsia" w:ascii="宋体" w:hAnsi="宋体" w:eastAsia="宋体" w:cs="宋体"/>
          <w:b/>
          <w:kern w:val="0"/>
          <w:sz w:val="32"/>
          <w:szCs w:val="32"/>
          <w:highlight w:val="none"/>
          <w:lang w:bidi="ar-SA"/>
        </w:rPr>
        <w:t>：廉政合同</w:t>
      </w:r>
    </w:p>
    <w:p>
      <w:pPr>
        <w:pStyle w:val="31"/>
        <w:spacing w:line="360" w:lineRule="auto"/>
        <w:jc w:val="center"/>
        <w:rPr>
          <w:rFonts w:hint="eastAsia" w:ascii="宋体" w:hAnsi="宋体" w:eastAsia="宋体" w:cs="宋体"/>
          <w:b/>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31"/>
        <w:jc w:val="center"/>
        <w:rPr>
          <w:rFonts w:hint="eastAsia" w:ascii="宋体" w:hAnsi="宋体" w:eastAsia="宋体" w:cs="宋体"/>
          <w:sz w:val="24"/>
          <w:highlight w:val="none"/>
        </w:rPr>
      </w:pPr>
      <w:r>
        <w:rPr>
          <w:rFonts w:hint="eastAsia" w:ascii="宋体" w:hAnsi="宋体" w:eastAsia="宋体" w:cs="宋体"/>
          <w:b/>
          <w:sz w:val="32"/>
          <w:szCs w:val="32"/>
          <w:highlight w:val="none"/>
          <w:lang w:val="en-US" w:eastAsia="zh-CN"/>
        </w:rPr>
        <w:t>之</w:t>
      </w:r>
      <w:r>
        <w:rPr>
          <w:rFonts w:hint="eastAsia" w:ascii="宋体" w:hAnsi="宋体" w:eastAsia="宋体" w:cs="宋体"/>
          <w:b/>
          <w:sz w:val="32"/>
          <w:szCs w:val="32"/>
          <w:highlight w:val="none"/>
        </w:rPr>
        <w:t>廉政合同</w:t>
      </w:r>
    </w:p>
    <w:p>
      <w:pPr>
        <w:adjustRightInd w:val="0"/>
        <w:snapToGrid w:val="0"/>
        <w:spacing w:beforeLines="0" w:afterLines="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w:t>
      </w:r>
      <w:r>
        <w:rPr>
          <w:rFonts w:hint="eastAsia" w:ascii="宋体" w:hAnsi="宋体" w:eastAsia="宋体" w:cs="宋体"/>
          <w:sz w:val="24"/>
          <w:highlight w:val="none"/>
          <w:u w:val="none"/>
        </w:rPr>
        <w:t>重庆首讯科技股份有限公司</w:t>
      </w:r>
      <w:r>
        <w:rPr>
          <w:rFonts w:hint="eastAsia" w:ascii="宋体" w:hAnsi="宋体" w:eastAsia="宋体" w:cs="宋体"/>
          <w:sz w:val="24"/>
          <w:highlight w:val="none"/>
        </w:rPr>
        <w:t>（以下称甲方）与</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公司（以下称乙方），特订立如下合同。</w:t>
      </w:r>
    </w:p>
    <w:p>
      <w:pPr>
        <w:widowControl/>
        <w:adjustRightInd w:val="0"/>
        <w:snapToGrid w:val="0"/>
        <w:spacing w:beforeLines="0" w:afterLines="0"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w:t>
      </w:r>
      <w:r>
        <w:rPr>
          <w:rFonts w:hint="eastAsia" w:ascii="宋体" w:hAnsi="宋体" w:eastAsia="宋体" w:cs="宋体"/>
          <w:b/>
          <w:bCs/>
          <w:sz w:val="24"/>
          <w:highlight w:val="none"/>
          <w:lang w:val="en-US" w:eastAsia="zh-CN"/>
        </w:rPr>
        <w:t>廉政</w:t>
      </w:r>
      <w:r>
        <w:rPr>
          <w:rFonts w:hint="eastAsia" w:ascii="宋体" w:hAnsi="宋体" w:eastAsia="宋体" w:cs="宋体"/>
          <w:b/>
          <w:bCs/>
          <w:sz w:val="24"/>
          <w:highlight w:val="none"/>
        </w:rPr>
        <w:t>责任人</w:t>
      </w:r>
    </w:p>
    <w:p>
      <w:pPr>
        <w:widowControl/>
        <w:adjustRightInd w:val="0"/>
        <w:snapToGrid w:val="0"/>
        <w:spacing w:beforeLines="0" w:afterLines="0"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甲方（信创或智慧中心项目负责人）：               </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highlight w:val="none"/>
        </w:rPr>
      </w:pPr>
      <w:r>
        <w:rPr>
          <w:rFonts w:hint="eastAsia" w:ascii="宋体" w:hAnsi="宋体" w:eastAsia="宋体" w:cs="宋体"/>
          <w:b w:val="0"/>
          <w:bCs w:val="0"/>
          <w:sz w:val="24"/>
          <w:highlight w:val="none"/>
        </w:rPr>
        <w:t xml:space="preserve">乙方（此工程项目负责人）： </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二</w:t>
      </w:r>
      <w:r>
        <w:rPr>
          <w:rFonts w:hint="eastAsia" w:ascii="宋体" w:hAnsi="宋体" w:eastAsia="宋体" w:cs="宋体"/>
          <w:b/>
          <w:bCs/>
          <w:sz w:val="24"/>
          <w:highlight w:val="none"/>
        </w:rPr>
        <w:t>、甲乙双方的权利和义务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（1）严格遵守党的政策规定和国家有关法律法规及交通部的有关规定。</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（2）双方的业务活动坚持公开、公正、诚信、透明的原则（除法律认定的商业秘密和合同文件另有规定之外），不得损害国家和集体利益，违反养护工程管理规章制度。</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（3）建立健全廉政制度，开展廉政教育，设立廉政告示牌，公布举报电话，监督并认真查处违法违纪行为。</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（4）发现对方在业务活动中有违反廉政规定的行为，有及时提醒对方纠正的权利和义务。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Cs w:val="21"/>
          <w:highlight w:val="none"/>
        </w:rPr>
      </w:pPr>
      <w:r>
        <w:rPr>
          <w:rFonts w:hint="eastAsia" w:ascii="宋体" w:hAnsi="宋体" w:eastAsia="宋体" w:cs="宋体"/>
          <w:sz w:val="24"/>
          <w:highlight w:val="none"/>
        </w:rPr>
        <w:t>（5）发现对方严重违反本合同义务条款的行为，有向上级有关部门举报、建议给予处理并要求告知处理结果的权利。</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三</w:t>
      </w:r>
      <w:r>
        <w:rPr>
          <w:rFonts w:hint="eastAsia" w:ascii="宋体" w:hAnsi="宋体" w:eastAsia="宋体" w:cs="宋体"/>
          <w:b/>
          <w:bCs/>
          <w:sz w:val="24"/>
          <w:highlight w:val="none"/>
        </w:rPr>
        <w:t>、甲方的义务</w:t>
      </w:r>
    </w:p>
    <w:p>
      <w:pPr>
        <w:widowControl/>
        <w:tabs>
          <w:tab w:val="left" w:pos="3936"/>
        </w:tabs>
        <w:adjustRightInd w:val="0"/>
        <w:snapToGrid w:val="0"/>
        <w:spacing w:beforeLines="0" w:afterLines="0" w:line="360" w:lineRule="auto"/>
        <w:ind w:firstLine="420" w:firstLineChars="200"/>
        <w:jc w:val="left"/>
        <w:rPr>
          <w:rFonts w:hint="eastAsia" w:ascii="宋体" w:hAnsi="宋体" w:eastAsia="宋体" w:cs="宋体"/>
          <w:sz w:val="24"/>
          <w:highlight w:val="none"/>
        </w:rPr>
      </w:pPr>
      <w:r>
        <w:rPr>
          <w:rFonts w:hint="eastAsia" w:ascii="宋体" w:hAnsi="宋体" w:eastAsia="宋体" w:cs="宋体"/>
          <w:szCs w:val="21"/>
          <w:highlight w:val="none"/>
        </w:rPr>
        <w:t>（</w:t>
      </w:r>
      <w:r>
        <w:rPr>
          <w:rFonts w:hint="eastAsia" w:ascii="宋体" w:hAnsi="宋体" w:eastAsia="宋体" w:cs="宋体"/>
          <w:sz w:val="24"/>
          <w:highlight w:val="none"/>
        </w:rPr>
        <w:t>1）甲方及其工作人员不得索要或接受乙方的礼金、有价证券和贵重物品，不得在乙方报销任何应由甲方或甲方工作人员个人支付的费用等。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（2）甲方工作人员不得参加乙方安排的超标准宴请和娱乐活动；不得接受乙方提供的通讯工具、交通工具和高档办公用品等。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（3）甲方及其工作人员不得要求或者接受乙方为其住房装修、婚丧嫁娶活动、配偶子女的工作安排以及出国出境、旅游等提供方便等。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（4）甲方工作人员及其配偶、子女不得从事与甲方工程有关部门的材料设备供应、工程分包、劳务等经济活动等。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（5）甲方及其工作人员不得以任何理由向乙方推荐分包单位或推销材料，不得要求乙方购买合同规定外的材料和设备。</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四</w:t>
      </w:r>
      <w:r>
        <w:rPr>
          <w:rFonts w:hint="eastAsia" w:ascii="宋体" w:hAnsi="宋体" w:eastAsia="宋体" w:cs="宋体"/>
          <w:b/>
          <w:bCs/>
          <w:sz w:val="24"/>
          <w:highlight w:val="none"/>
        </w:rPr>
        <w:t>、乙方义务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（1）乙方不得以任何理由向甲方及其工作人员行贿或馈赠礼金、有价证券、贵重物品。</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（2）乙方不得以任何名义为甲方及其工作人员报销应由甲方单位或个人支付的任何费用。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（3）乙方不得以任何理由邀请甲方工作人员外出旅游或安排甲方人员参加超标准宴请及娱乐活动。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（4）乙方不得为甲方单位和个人购置或提供通讯工具、交通工具和高档办公用品等。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五</w:t>
      </w:r>
      <w:r>
        <w:rPr>
          <w:rFonts w:hint="eastAsia" w:ascii="宋体" w:hAnsi="宋体" w:eastAsia="宋体" w:cs="宋体"/>
          <w:b/>
          <w:bCs/>
          <w:sz w:val="24"/>
          <w:highlight w:val="none"/>
        </w:rPr>
        <w:t>、违约责任</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、双方约定</w:t>
      </w:r>
      <w:r>
        <w:rPr>
          <w:rFonts w:hint="eastAsia" w:ascii="宋体" w:hAnsi="宋体" w:eastAsia="宋体" w:cs="宋体"/>
          <w:szCs w:val="21"/>
          <w:highlight w:val="none"/>
        </w:rPr>
        <w:t>：</w:t>
      </w:r>
      <w:r>
        <w:rPr>
          <w:rFonts w:hint="eastAsia" w:ascii="宋体" w:hAnsi="宋体" w:eastAsia="宋体" w:cs="宋体"/>
          <w:sz w:val="24"/>
          <w:highlight w:val="none"/>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七</w:t>
      </w:r>
      <w:r>
        <w:rPr>
          <w:rFonts w:hint="eastAsia" w:ascii="宋体" w:hAnsi="宋体" w:eastAsia="宋体" w:cs="宋体"/>
          <w:b/>
          <w:bCs/>
          <w:sz w:val="24"/>
          <w:highlight w:val="none"/>
        </w:rPr>
        <w:t>、</w:t>
      </w:r>
      <w:r>
        <w:rPr>
          <w:rFonts w:hint="eastAsia" w:ascii="宋体" w:hAnsi="宋体" w:eastAsia="宋体" w:cs="宋体"/>
          <w:sz w:val="24"/>
          <w:highlight w:val="none"/>
        </w:rPr>
        <w:t>本合同有效期为甲乙双方签署之日起至该工程项目竣工后止。</w:t>
      </w:r>
    </w:p>
    <w:p>
      <w:pPr>
        <w:widowControl/>
        <w:adjustRightInd w:val="0"/>
        <w:snapToGrid w:val="0"/>
        <w:spacing w:beforeLines="0" w:afterLines="0" w:line="360" w:lineRule="auto"/>
        <w:jc w:val="left"/>
        <w:rPr>
          <w:rFonts w:hint="eastAsia" w:ascii="宋体" w:hAnsi="宋体" w:eastAsia="宋体" w:cs="宋体"/>
          <w:szCs w:val="21"/>
          <w:highlight w:val="none"/>
        </w:rPr>
      </w:pPr>
      <w:r>
        <w:rPr>
          <w:rFonts w:hint="eastAsia" w:ascii="宋体" w:hAnsi="宋体" w:eastAsia="宋体" w:cs="宋体"/>
          <w:b/>
          <w:bCs/>
          <w:sz w:val="24"/>
          <w:highlight w:val="none"/>
          <w:lang w:val="en-US" w:eastAsia="zh-CN"/>
        </w:rPr>
        <w:t>八</w:t>
      </w:r>
      <w:r>
        <w:rPr>
          <w:rFonts w:hint="eastAsia" w:ascii="宋体" w:hAnsi="宋体" w:eastAsia="宋体" w:cs="宋体"/>
          <w:b/>
          <w:bCs/>
          <w:sz w:val="24"/>
          <w:highlight w:val="none"/>
        </w:rPr>
        <w:t>、</w:t>
      </w:r>
      <w:r>
        <w:rPr>
          <w:rFonts w:hint="eastAsia" w:ascii="宋体" w:hAnsi="宋体" w:eastAsia="宋体" w:cs="宋体"/>
          <w:sz w:val="24"/>
          <w:highlight w:val="none"/>
        </w:rPr>
        <w:t>本合同一式两份，甲、乙双方各执一份。</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adjustRightInd w:val="0"/>
        <w:snapToGrid w:val="0"/>
        <w:spacing w:beforeLines="0" w:afterLines="0"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beforeLines="0" w:afterLines="0" w:line="360" w:lineRule="auto"/>
        <w:jc w:val="left"/>
        <w:rPr>
          <w:rFonts w:hint="eastAsia" w:ascii="宋体" w:hAnsi="宋体" w:eastAsia="宋体" w:cs="宋体"/>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adjustRightInd w:val="0"/>
        <w:snapToGrid w:val="0"/>
        <w:spacing w:beforeLines="0" w:afterLines="0"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pStyle w:val="10"/>
        <w:ind w:left="0" w:leftChars="0"/>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spacing w:line="360" w:lineRule="auto"/>
        <w:jc w:val="left"/>
        <w:rPr>
          <w:rFonts w:hint="eastAsia" w:ascii="宋体" w:hAnsi="宋体" w:eastAsia="宋体" w:cs="宋体"/>
          <w:b/>
          <w:sz w:val="32"/>
          <w:szCs w:val="32"/>
          <w:highlight w:val="none"/>
          <w:lang w:eastAsia="zh-CN"/>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4</w:t>
      </w:r>
      <w:r>
        <w:rPr>
          <w:rFonts w:hint="eastAsia" w:ascii="宋体" w:hAnsi="宋体" w:eastAsia="宋体" w:cs="宋体"/>
          <w:b/>
          <w:kern w:val="0"/>
          <w:sz w:val="32"/>
          <w:szCs w:val="32"/>
          <w:highlight w:val="none"/>
          <w:lang w:bidi="ar-SA"/>
        </w:rPr>
        <w:t>：环境保护</w:t>
      </w:r>
      <w:r>
        <w:rPr>
          <w:rFonts w:hint="eastAsia" w:ascii="宋体" w:hAnsi="宋体" w:eastAsia="宋体" w:cs="宋体"/>
          <w:b/>
          <w:kern w:val="0"/>
          <w:sz w:val="32"/>
          <w:szCs w:val="32"/>
          <w:highlight w:val="none"/>
          <w:lang w:val="en-US" w:eastAsia="zh-CN" w:bidi="ar-SA"/>
        </w:rPr>
        <w:t>协议</w:t>
      </w:r>
    </w:p>
    <w:p>
      <w:pPr>
        <w:widowControl/>
        <w:spacing w:line="360" w:lineRule="auto"/>
        <w:jc w:val="left"/>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 xml:space="preserve">  </w:t>
      </w:r>
    </w:p>
    <w:p>
      <w:pPr>
        <w:widowControl/>
        <w:spacing w:line="360" w:lineRule="auto"/>
        <w:jc w:val="left"/>
        <w:rPr>
          <w:rFonts w:hint="eastAsia" w:ascii="宋体" w:hAnsi="宋体" w:eastAsia="宋体" w:cs="宋体"/>
          <w:b/>
          <w:bCs/>
          <w:sz w:val="32"/>
          <w:szCs w:val="32"/>
          <w:highlight w:val="none"/>
          <w:u w:val="none"/>
          <w:lang w:val="en-US" w:eastAsia="zh-CN"/>
        </w:rPr>
      </w:pP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24"/>
        <w:tabs>
          <w:tab w:val="left" w:pos="1200"/>
          <w:tab w:val="right" w:leader="dot" w:pos="9730"/>
        </w:tabs>
        <w:rPr>
          <w:rFonts w:hint="eastAsia" w:ascii="宋体" w:hAnsi="宋体" w:eastAsia="宋体" w:cs="宋体"/>
          <w:b/>
          <w:bCs/>
          <w:sz w:val="32"/>
          <w:szCs w:val="32"/>
          <w:highlight w:val="none"/>
        </w:rPr>
      </w:pPr>
      <w:r>
        <w:rPr>
          <w:rFonts w:hint="eastAsia" w:ascii="宋体" w:hAnsi="宋体" w:eastAsia="宋体" w:cs="宋体"/>
          <w:b/>
          <w:bCs/>
          <w:sz w:val="24"/>
          <w:highlight w:val="none"/>
          <w:u w:val="none"/>
          <w:lang w:val="en-US" w:eastAsia="zh-CN"/>
        </w:rPr>
        <w:t xml:space="preserve">                            </w:t>
      </w:r>
      <w:r>
        <w:rPr>
          <w:rFonts w:hint="eastAsia" w:ascii="宋体" w:hAnsi="宋体" w:eastAsia="宋体" w:cs="宋体"/>
          <w:b/>
          <w:bCs/>
          <w:sz w:val="32"/>
          <w:szCs w:val="32"/>
          <w:highlight w:val="none"/>
          <w:u w:val="none"/>
          <w:lang w:val="en-US" w:eastAsia="zh-CN"/>
        </w:rPr>
        <w:t>之环境保护协议</w:t>
      </w:r>
      <w:r>
        <w:rPr>
          <w:rFonts w:hint="eastAsia" w:ascii="宋体" w:hAnsi="宋体" w:eastAsia="宋体" w:cs="宋体"/>
          <w:b/>
          <w:bCs/>
          <w:sz w:val="24"/>
          <w:highlight w:val="none"/>
          <w:u w:val="none"/>
          <w:lang w:val="en-US" w:eastAsia="zh-CN"/>
        </w:rPr>
        <w:t xml:space="preserve">              </w:t>
      </w:r>
    </w:p>
    <w:p>
      <w:pPr>
        <w:widowControl/>
        <w:spacing w:line="360" w:lineRule="auto"/>
        <w:ind w:firstLine="420" w:firstLineChars="200"/>
        <w:jc w:val="left"/>
        <w:rPr>
          <w:rFonts w:hint="eastAsia" w:ascii="宋体" w:hAnsi="宋体" w:eastAsia="宋体" w:cs="宋体"/>
          <w:b w:val="0"/>
          <w:bCs w:val="0"/>
          <w:sz w:val="24"/>
          <w:highlight w:val="none"/>
        </w:rPr>
      </w:pPr>
      <w:r>
        <w:rPr>
          <w:rFonts w:hint="eastAsia" w:ascii="宋体" w:hAnsi="宋体" w:eastAsia="宋体" w:cs="宋体"/>
          <w:highlight w:val="none"/>
        </w:rPr>
        <w:t>为</w:t>
      </w:r>
      <w:r>
        <w:rPr>
          <w:rFonts w:hint="eastAsia" w:ascii="宋体" w:hAnsi="宋体" w:eastAsia="宋体" w:cs="宋体"/>
          <w:b w:val="0"/>
          <w:bCs w:val="0"/>
          <w:sz w:val="24"/>
          <w:highlight w:val="none"/>
        </w:rPr>
        <w:t>遵守《中华人民共和国环境保护法》《中华人民共和国安全生产法》及国家地方各项环境保护法律法规，保证施工生产符合环境管理要求，确保在实施过程中对周</w:t>
      </w:r>
      <w:r>
        <w:rPr>
          <w:rFonts w:hint="eastAsia" w:ascii="宋体" w:hAnsi="宋体" w:eastAsia="宋体" w:cs="宋体"/>
          <w:b w:val="0"/>
          <w:bCs w:val="0"/>
          <w:sz w:val="24"/>
          <w:highlight w:val="none"/>
          <w:lang w:val="en-US" w:eastAsia="zh-CN"/>
        </w:rPr>
        <w:t>边环境</w:t>
      </w:r>
      <w:r>
        <w:rPr>
          <w:rFonts w:hint="eastAsia" w:ascii="宋体" w:hAnsi="宋体" w:eastAsia="宋体" w:cs="宋体"/>
          <w:b w:val="0"/>
          <w:bCs w:val="0"/>
          <w:sz w:val="24"/>
          <w:highlight w:val="none"/>
        </w:rPr>
        <w:t>的保护，经甲乙双方协商，签订本协议。</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一、此项工程甲乙双方环保责任人</w:t>
      </w:r>
    </w:p>
    <w:p>
      <w:pPr>
        <w:widowControl/>
        <w:spacing w:line="360" w:lineRule="auto"/>
        <w:ind w:firstLine="480" w:firstLineChars="200"/>
        <w:jc w:val="left"/>
        <w:rPr>
          <w:rFonts w:hint="eastAsia" w:ascii="宋体" w:hAnsi="宋体" w:eastAsia="宋体" w:cs="宋体"/>
          <w:b w:val="0"/>
          <w:bCs w:val="0"/>
          <w:sz w:val="24"/>
          <w:highlight w:val="none"/>
          <w:u w:val="single"/>
        </w:rPr>
      </w:pPr>
      <w:r>
        <w:rPr>
          <w:rFonts w:hint="eastAsia" w:ascii="宋体" w:hAnsi="宋体" w:eastAsia="宋体" w:cs="宋体"/>
          <w:b w:val="0"/>
          <w:bCs w:val="0"/>
          <w:sz w:val="24"/>
          <w:highlight w:val="none"/>
        </w:rPr>
        <w:t>甲方（信创或智慧中心项目负责人）：</w:t>
      </w:r>
      <w:r>
        <w:rPr>
          <w:rFonts w:hint="eastAsia" w:ascii="宋体" w:hAnsi="宋体" w:eastAsia="宋体" w:cs="宋体"/>
          <w:b w:val="0"/>
          <w:bCs w:val="0"/>
          <w:sz w:val="24"/>
          <w:highlight w:val="none"/>
          <w:u w:val="single"/>
        </w:rPr>
        <w:t xml:space="preserve">               </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乙方（此工程项目负责人）：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 xml:space="preserve"> </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1.严格遵守国家有关环境保护的法律法规，认真执行工程施工合同中的有关环保要求。</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2.监督检查乙方，对乙方在施工和提供其他服务的过程中在环境保护是否进行有效控制。</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3.甲方发现施工环境问题，或乙方违反环境法律、法规及标准情况，有权责成乙方对发现的问题进行整改。乙方经整改合格后，方可再次进场作业。</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4.针对项目特点，甲方对乙方进行环保交底工作，施工过程中监督乙方按交底内容实施。</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1.乙方必须遵守《中华人民共和国环境保护法》《中华人民共和国安全生产法》及国家地方有关环境保护方案的法律法规及标准，遵守甲方的环境方针。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2.甲方对重大环境因素所提出的控制措施，乙方应负责进行有针对性的控制和实施。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3.乙方在施工作业和生活中所产生的废水、生活污水必须按照国家和地方排放标准达标排放，不得随意排入附近的天然水体。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4.乙方在施工活动中产生的固体废弃物，必须进行收集并转运至指定垃圾填埋场，不的随意丢到水体或土壤等周围环境中。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5.乙方在施工中产生的危险废弃物必须按照要求分类存放并移交给专业机构处理，不的随意丢到水体或土壤等周围环境中。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6.乙方对在施工中产生的噪音，应次啊去降噪或隔离措施，以符合国家和地方标准，不得扰乱施工区域附近居民的正常生活。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7.乙方对易燃、一包或有毒有害危险品，应采取防范措施，防止在储运过程中发生火灾、爆炸或泄露等事故，造成对环境的污染。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8.乙方进入施工现场前，必须接受甲方环境保护培训，以提高作业人员环境保护意识。</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9.乙方必须按照甲方环境方针要求，排查各作业点环境因素，并制定相应措施。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10.乙方在土方开挖、运输、回填土作业时，必须要有防尘措施。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11.乙方作业人员要做到工完料净场地清，避免造成环境污染。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12.乙方施工机械、车辆尾气排放必须符合国家规定，不的泄露油污。</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13.乙方必须按照本工程项目特点，组织制定本工程实施中的环保事故应急救援预案；如果发生环保事故，应迅速采取有效措施，组织抢救，最大限度降低事故对环境可能造成的污染危害；并按国家有关规定立即如实报告有关部门，环保事故控制住后，要做好人员安抚、现场恢复等善后工作，同时，要积极配合事故调查工作。</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1.乙方在施工现场存在环保隐患、未落实环保措施拒不改正的，甲方有权要求停工，并向公司领导报告，同时与施工单位的服务评价挂钩列入黑名单，由此产生的损失乙方自己承担。</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乙方不遵守环保法律法规及甲方环境的要求，发生环境违章事件导致甲方被上级单或政府执法部门处罚造成经济损失、影响甲方社会形象的，乙方承担全部责任。同时甲方有权对乙方给予上级经济处罚的基础上3-5倍经济处罚，违章情节严重的，甲方有权提前终止与乙方的工程合同。</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1.本协议作为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的附件，与工程施工合同具有同等的法律效力。</w:t>
      </w:r>
    </w:p>
    <w:p>
      <w:pPr>
        <w:widowControl/>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sz w:val="24"/>
          <w:highlight w:val="none"/>
        </w:rPr>
        <w:t>2.本协议一式贰份，甲方执壹份，乙方执壹份。</w:t>
      </w:r>
      <w:r>
        <w:rPr>
          <w:rFonts w:hint="eastAsia" w:ascii="宋体" w:hAnsi="宋体" w:eastAsia="宋体" w:cs="宋体"/>
          <w:b w:val="0"/>
          <w:bCs w:val="0"/>
          <w:color w:val="auto"/>
          <w:sz w:val="24"/>
          <w:highlight w:val="none"/>
        </w:rPr>
        <w:t>由双方法定代表人或其授权的代理人签署盖章后生效，全部工程完工验收后终止。</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3.因协议在履行过程中所产生的争议，双方协商解决，协商不成的，提交甲方所在地有管辖权的人民法院管辖。</w:t>
      </w: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spacing w:line="360" w:lineRule="auto"/>
        <w:jc w:val="left"/>
        <w:rPr>
          <w:rFonts w:hint="eastAsia" w:ascii="宋体" w:hAnsi="宋体" w:eastAsia="宋体" w:cs="宋体"/>
          <w:b w:val="0"/>
          <w:bCs w:val="0"/>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spacing w:line="360" w:lineRule="auto"/>
        <w:jc w:val="left"/>
        <w:rPr>
          <w:rFonts w:hint="eastAsia" w:ascii="宋体" w:hAnsi="宋体" w:eastAsia="宋体" w:cs="宋体"/>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spacing w:line="360" w:lineRule="auto"/>
        <w:jc w:val="left"/>
        <w:rPr>
          <w:rFonts w:hint="eastAsia" w:ascii="宋体" w:hAnsi="宋体" w:eastAsia="宋体" w:cs="宋体"/>
          <w:b w:val="0"/>
          <w:bCs w:val="0"/>
          <w:sz w:val="24"/>
          <w:highlight w:val="none"/>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spacing w:line="360" w:lineRule="auto"/>
        <w:jc w:val="left"/>
        <w:rPr>
          <w:rFonts w:hint="eastAsia" w:ascii="宋体" w:hAnsi="宋体" w:eastAsia="宋体" w:cs="宋体"/>
          <w:b w:val="0"/>
          <w:bCs w:val="0"/>
          <w:sz w:val="24"/>
          <w:highlight w:val="none"/>
        </w:rPr>
      </w:pPr>
    </w:p>
    <w:p>
      <w:pPr>
        <w:spacing w:line="440" w:lineRule="exact"/>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spacing w:line="440" w:lineRule="exact"/>
        <w:rPr>
          <w:rFonts w:hint="eastAsia" w:ascii="宋体" w:hAnsi="宋体" w:eastAsia="宋体" w:cs="宋体"/>
          <w:color w:val="000000"/>
          <w:sz w:val="30"/>
          <w:szCs w:val="30"/>
          <w:highlight w:val="none"/>
        </w:rPr>
      </w:pPr>
    </w:p>
    <w:p>
      <w:pPr>
        <w:pStyle w:val="24"/>
        <w:tabs>
          <w:tab w:val="right" w:leader="dot" w:pos="8296"/>
        </w:tabs>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color w:val="000000"/>
          <w:sz w:val="30"/>
          <w:szCs w:val="30"/>
          <w:highlight w:val="none"/>
          <w:lang w:val="en-US" w:eastAsia="zh-CN"/>
        </w:rPr>
      </w:pPr>
    </w:p>
    <w:p>
      <w:pPr>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highlight w:val="none"/>
          <w:lang w:val="en-US" w:eastAsia="zh-CN"/>
        </w:rPr>
      </w:pPr>
    </w:p>
    <w:p>
      <w:pPr>
        <w:spacing w:line="440" w:lineRule="exact"/>
        <w:jc w:val="left"/>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附件5:(适用于2000 万元以上的建设类项目合同</w:t>
      </w:r>
      <w:r>
        <w:rPr>
          <w:rFonts w:hint="eastAsia" w:ascii="宋体" w:hAnsi="宋体" w:eastAsia="宋体" w:cs="宋体"/>
          <w:b/>
          <w:bCs/>
          <w:color w:val="000000"/>
          <w:sz w:val="30"/>
          <w:szCs w:val="30"/>
          <w:highlight w:val="none"/>
          <w:lang w:eastAsia="zh-CN"/>
        </w:rPr>
        <w:t>）</w:t>
      </w:r>
    </w:p>
    <w:p>
      <w:pPr>
        <w:keepNext w:val="0"/>
        <w:keepLines w:val="0"/>
        <w:widowControl/>
        <w:suppressLineNumbers w:val="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bidi="ar-SA"/>
        </w:rPr>
        <w:t>诚信合规协议</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乙方：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本协议为各方签订的</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（以下简称“合同”）的重要组成部分，经各方协商一致，同意共同遵守。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一、遵守反腐败法律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各方保证和承诺，与合同约定的活动或交易相关的各方或各方的关联公司、子公司、董事、高级管理人员、员工、顾问、代理方、最终受益人和股东及所有直接或间接代表各方开展活动或 交易的个人及相关方，在过去或将来均不会违反或致使各方违反《联合国反腐败公约》《关于打击国际商业交易中行贿外国公职人员行为的公约》《中华人民共和国刑法》及所在国家的反腐败、反欺诈、反不正当竞争法律、法规及规则等（以下合称“反腐败法律”）</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过去或将来也不会发生以下行为：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（一）为以下目的给予或承诺给予公务人员、个人或法人任何利益：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 不当影响公务人员的行为或决定；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 诱使公务人员违反其法定职责从而作为或不作为；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3. 诱使公务人员直接通过其个人影响力，或通过其对国内外政府或政府部门的影响力，影响该政府或政府部门的行为或决定；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4. 协助各方不当获得或保持商业机会或使其获得不当优势。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（二）为以下目的给予或承诺给予个人任何利益，无论其是否为公务人员：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1、意图使该个人不当履行其应尽的职责或义务；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2、知晓该个人接受利益即构成不当履行其应尽的职责或义务。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二、持续义务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本协议有效期内均会遵守反腐败法律的相关规定。 </w:t>
      </w:r>
    </w:p>
    <w:p>
      <w:pPr>
        <w:widowControl/>
        <w:numPr>
          <w:ilvl w:val="0"/>
          <w:numId w:val="4"/>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公务人员参与</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除各方已披露的情形外，各方现有的董事、高级管理人员、股东（此处不包括上市公司的股东）、最终受益人均非公务人员，其直系亲属亦均非公务人员；若任何一方发现上述董事、高级管理人员、股东（此处不包括上市公司的股东）、最终受益人成为公务人员时，应在合理期限内通知其他方。 </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四、无私设资金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在本协议有效期内，各方不会因为受到反腐败法律禁止的支付、或者为便利反腐败法律所禁止的其他行为，而设立秘密或账外资金、账户或资产，且无论其是否与合同拟进行的活动或交易相关。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五、免责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各方及其股东、董事、高级管理人员及员工不承担因其他方违反本协议约定的反腐败保证和承诺而造成的损失，包括但不限于罚金、损失赔偿金、或上述个人或相关方的经济损失。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六、终止权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根据可靠消息来源，包括但不限于任意方自行陈述或有正当来源的新闻报道，如任意方已实质性违反其在本协议中的遵守反腐败法律的相关保证与承诺，则视为实质违反本协议。无论该方是否因为违反反腐败法律而获罪或受到其他惩罚，其他方都有权终止本协议，且无须为此承担罚金或支付赔偿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七、审核权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应保留所有必要记录以证明其遵守本协议的约定。各方同意，经事先通知，各方或各方指派的审计事务所可查阅或审核其他方与合同履行相关的会计账簿和记录。各方及其指派的审计事务所对前述会计账簿和记录的查阅或审核应严格限于本协议所述工作范围，且应仅为合规审核目的。本条所列审核产生的费用应由申请方自行承担。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八、调查通知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同意，如其发现其因与本协议相关的行为正被执法或监管机关、政府机构、国际组织、证券交易所或非政府组织调查，其应立即通知其他方；此外，如各方发现其因违反反腐败法律而正被执法或监管机关、政府机构、国际组织、证券交易所或非政府组织调查，无论被调查行为是否与本协议相关，应立即通知其他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咨询举报邮箱：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九、本协议有效期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本协议有效期与合同的有效期一致。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十、本协议生效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本协议一式X份，经各方盖章后生效，具有同等法律效力。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附：公务人员的定义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本协议中的“公务人员”应包括但不限于其他单位的下列人员：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（一）政府部门的官员、雇员、代表以及代表政府或者经公共权力机构授权的人员；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（二）国际组织的官员、雇员和代表;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（三）行使公共权力的政治组织的官员、雇员、代表，或皇室成员;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（四）政府直接或间接控制或施加决定性影响力的国有企业的人员。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（以下无正文）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甲方（盖章）                              乙方（盖章）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年 月 日                                   年 月 日</w:t>
      </w:r>
    </w:p>
    <w:p>
      <w:pPr>
        <w:pStyle w:val="24"/>
        <w:tabs>
          <w:tab w:val="right" w:leader="dot" w:pos="8296"/>
        </w:tabs>
        <w:rPr>
          <w:rFonts w:hint="eastAsia" w:ascii="宋体" w:hAnsi="宋体" w:eastAsia="宋体" w:cs="宋体"/>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jc w:val="left"/>
        <w:rPr>
          <w:rFonts w:hint="eastAsia" w:ascii="宋体" w:hAnsi="宋体" w:eastAsia="宋体" w:cs="宋体"/>
          <w:b/>
          <w:bCs/>
          <w:color w:val="000000"/>
          <w:kern w:val="2"/>
          <w:sz w:val="30"/>
          <w:szCs w:val="30"/>
          <w:highlight w:val="none"/>
          <w:lang w:bidi="ar-SA"/>
        </w:rPr>
      </w:pPr>
    </w:p>
    <w:p>
      <w:pPr>
        <w:spacing w:line="440" w:lineRule="exact"/>
        <w:jc w:val="left"/>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b/>
          <w:bCs/>
          <w:color w:val="000000"/>
          <w:kern w:val="2"/>
          <w:sz w:val="30"/>
          <w:szCs w:val="30"/>
          <w:highlight w:val="none"/>
          <w:lang w:bidi="ar-SA"/>
        </w:rPr>
      </w:pPr>
    </w:p>
    <w:p>
      <w:pPr>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highlight w:val="none"/>
        </w:rPr>
      </w:pPr>
    </w:p>
    <w:p>
      <w:pPr>
        <w:spacing w:line="240" w:lineRule="auto"/>
        <w:jc w:val="left"/>
        <w:rPr>
          <w:rFonts w:hint="eastAsia" w:ascii="宋体" w:hAnsi="宋体" w:eastAsia="宋体" w:cs="宋体"/>
          <w:b/>
          <w:bCs/>
          <w:color w:val="000000"/>
          <w:kern w:val="2"/>
          <w:sz w:val="30"/>
          <w:szCs w:val="30"/>
          <w:highlight w:val="none"/>
          <w:lang w:bidi="ar-SA"/>
        </w:rPr>
      </w:pPr>
      <w:r>
        <w:rPr>
          <w:rFonts w:hint="eastAsia" w:ascii="宋体" w:hAnsi="宋体" w:eastAsia="宋体" w:cs="宋体"/>
          <w:b/>
          <w:bCs/>
          <w:color w:val="000000"/>
          <w:kern w:val="2"/>
          <w:sz w:val="30"/>
          <w:szCs w:val="30"/>
          <w:highlight w:val="none"/>
          <w:lang w:bidi="ar-SA"/>
        </w:rPr>
        <w:br w:type="page"/>
      </w:r>
    </w:p>
    <w:p>
      <w:pPr>
        <w:spacing w:line="440" w:lineRule="exact"/>
        <w:jc w:val="left"/>
        <w:rPr>
          <w:rFonts w:hint="eastAsia" w:ascii="宋体" w:hAnsi="宋体" w:eastAsia="宋体" w:cs="宋体"/>
          <w:b/>
          <w:bCs/>
          <w:color w:val="000000"/>
          <w:kern w:val="2"/>
          <w:sz w:val="30"/>
          <w:szCs w:val="30"/>
          <w:highlight w:val="none"/>
          <w:lang w:eastAsia="zh-CN" w:bidi="ar-SA"/>
        </w:rPr>
      </w:pPr>
      <w:r>
        <w:rPr>
          <w:rFonts w:hint="eastAsia" w:ascii="宋体" w:hAnsi="宋体" w:eastAsia="宋体" w:cs="宋体"/>
          <w:b/>
          <w:bCs/>
          <w:color w:val="000000"/>
          <w:kern w:val="2"/>
          <w:sz w:val="30"/>
          <w:szCs w:val="30"/>
          <w:highlight w:val="none"/>
          <w:lang w:bidi="ar-SA"/>
        </w:rPr>
        <w:t>附件</w:t>
      </w:r>
      <w:r>
        <w:rPr>
          <w:rFonts w:hint="eastAsia" w:ascii="宋体" w:hAnsi="宋体" w:eastAsia="宋体" w:cs="宋体"/>
          <w:b/>
          <w:bCs/>
          <w:color w:val="000000"/>
          <w:kern w:val="2"/>
          <w:sz w:val="30"/>
          <w:szCs w:val="30"/>
          <w:highlight w:val="none"/>
          <w:lang w:val="en-US" w:eastAsia="zh-CN" w:bidi="ar-SA"/>
        </w:rPr>
        <w:t>6</w:t>
      </w:r>
      <w:r>
        <w:rPr>
          <w:rFonts w:hint="eastAsia" w:ascii="宋体" w:hAnsi="宋体" w:eastAsia="宋体" w:cs="宋体"/>
          <w:b/>
          <w:bCs/>
          <w:color w:val="000000"/>
          <w:kern w:val="2"/>
          <w:sz w:val="30"/>
          <w:szCs w:val="30"/>
          <w:highlight w:val="none"/>
          <w:lang w:bidi="ar-SA"/>
        </w:rPr>
        <w:t>：</w:t>
      </w: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项目经理任命书</w:t>
      </w:r>
      <w:r>
        <w:rPr>
          <w:rFonts w:hint="eastAsia" w:ascii="宋体" w:hAnsi="宋体" w:eastAsia="宋体" w:cs="宋体"/>
          <w:b/>
          <w:bCs/>
          <w:color w:val="000000"/>
          <w:sz w:val="30"/>
          <w:szCs w:val="30"/>
          <w:highlight w:val="none"/>
        </w:rPr>
        <w:tab/>
      </w: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auto"/>
          <w:sz w:val="30"/>
          <w:szCs w:val="30"/>
          <w:highlight w:val="none"/>
        </w:rPr>
      </w:pPr>
      <w:r>
        <w:rPr>
          <w:rFonts w:hint="eastAsia" w:ascii="宋体" w:hAnsi="宋体" w:eastAsia="宋体" w:cs="宋体"/>
          <w:color w:val="000000"/>
          <w:sz w:val="30"/>
          <w:szCs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b/>
          <w:bCs/>
          <w:color w:val="auto"/>
          <w:sz w:val="30"/>
          <w:szCs w:val="30"/>
          <w:highlight w:val="none"/>
        </w:rPr>
        <w:t>项目经理任命书</w:t>
      </w:r>
    </w:p>
    <w:p>
      <w:pPr>
        <w:spacing w:line="440" w:lineRule="exact"/>
        <w:rPr>
          <w:rFonts w:hint="eastAsia" w:ascii="宋体" w:hAnsi="宋体" w:eastAsia="宋体" w:cs="宋体"/>
          <w:color w:val="auto"/>
          <w:sz w:val="30"/>
          <w:szCs w:val="30"/>
          <w:highlight w:val="none"/>
        </w:rPr>
      </w:pP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经公司研究决定，任命</w:t>
      </w:r>
      <w:r>
        <w:rPr>
          <w:rFonts w:hint="eastAsia" w:ascii="宋体" w:hAnsi="宋体" w:eastAsia="宋体" w:cs="宋体"/>
          <w:color w:val="auto"/>
          <w:sz w:val="30"/>
          <w:szCs w:val="30"/>
          <w:highlight w:val="none"/>
          <w:u w:val="single"/>
        </w:rPr>
        <w:t xml:space="preserve"> XX </w:t>
      </w:r>
      <w:r>
        <w:rPr>
          <w:rFonts w:hint="eastAsia" w:ascii="宋体" w:hAnsi="宋体" w:eastAsia="宋体" w:cs="宋体"/>
          <w:color w:val="auto"/>
          <w:sz w:val="30"/>
          <w:szCs w:val="30"/>
          <w:highlight w:val="none"/>
        </w:rPr>
        <w:t xml:space="preserve">同志担任 </w:t>
      </w:r>
      <w:r>
        <w:rPr>
          <w:rFonts w:hint="eastAsia" w:ascii="宋体" w:hAnsi="宋体" w:eastAsia="宋体" w:cs="宋体"/>
          <w:color w:val="auto"/>
          <w:sz w:val="30"/>
          <w:szCs w:val="30"/>
          <w:highlight w:val="none"/>
          <w:u w:val="single"/>
        </w:rPr>
        <w:t>XXXXXX</w:t>
      </w:r>
      <w:r>
        <w:rPr>
          <w:rFonts w:hint="eastAsia" w:ascii="宋体" w:hAnsi="宋体" w:eastAsia="宋体" w:cs="宋体"/>
          <w:color w:val="auto"/>
          <w:sz w:val="30"/>
          <w:szCs w:val="30"/>
          <w:highlight w:val="none"/>
        </w:rPr>
        <w:t>项目的项目经理，负责该工程项目管理工作，并负责处理该工程项目的一切事务。</w:t>
      </w: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特此任命！</w:t>
      </w:r>
    </w:p>
    <w:p>
      <w:pPr>
        <w:spacing w:line="440" w:lineRule="exact"/>
        <w:rPr>
          <w:rFonts w:hint="eastAsia" w:ascii="宋体" w:hAnsi="宋体" w:eastAsia="宋体" w:cs="宋体"/>
          <w:color w:val="auto"/>
          <w:sz w:val="30"/>
          <w:szCs w:val="30"/>
          <w:highlight w:val="none"/>
        </w:rPr>
      </w:pPr>
    </w:p>
    <w:p>
      <w:pPr>
        <w:spacing w:line="440" w:lineRule="exact"/>
        <w:ind w:firstLine="5400" w:firstLineChars="18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XXXXXXXXXXXX公司  </w:t>
      </w:r>
    </w:p>
    <w:p>
      <w:pPr>
        <w:spacing w:line="440" w:lineRule="exact"/>
        <w:ind w:firstLine="6000" w:firstLineChars="20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20XX年 X月X 日</w:t>
      </w:r>
    </w:p>
    <w:p>
      <w:pPr>
        <w:spacing w:line="440" w:lineRule="exact"/>
        <w:rPr>
          <w:rFonts w:hint="eastAsia" w:ascii="宋体" w:hAnsi="宋体" w:eastAsia="宋体" w:cs="宋体"/>
          <w:color w:val="auto"/>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23" w:name="_Toc296891267"/>
      <w:bookmarkStart w:id="324" w:name="_Toc267261698"/>
      <w:bookmarkStart w:id="325" w:name="_Toc296891055"/>
      <w:bookmarkStart w:id="326" w:name="_Toc296346728"/>
      <w:bookmarkStart w:id="327" w:name="_Toc296347226"/>
      <w:bookmarkStart w:id="328" w:name="_Toc296944566"/>
      <w:bookmarkStart w:id="329" w:name="_Toc296503227"/>
      <w:r>
        <w:rPr>
          <w:rFonts w:hint="eastAsia" w:ascii="宋体" w:hAnsi="宋体" w:eastAsia="宋体" w:cs="宋体"/>
          <w:b/>
          <w:bCs/>
          <w:color w:val="000000"/>
          <w:sz w:val="30"/>
          <w:szCs w:val="30"/>
          <w:highlight w:val="none"/>
        </w:rPr>
        <w:t>件</w:t>
      </w:r>
      <w:r>
        <w:rPr>
          <w:rFonts w:hint="eastAsia" w:ascii="宋体" w:hAnsi="宋体" w:eastAsia="宋体" w:cs="宋体"/>
          <w:b/>
          <w:bCs/>
          <w:color w:val="000000"/>
          <w:sz w:val="30"/>
          <w:szCs w:val="30"/>
          <w:highlight w:val="none"/>
          <w:lang w:val="en-US" w:eastAsia="zh-CN"/>
        </w:rPr>
        <w:t>7</w:t>
      </w:r>
      <w:r>
        <w:rPr>
          <w:rFonts w:hint="eastAsia" w:ascii="宋体" w:hAnsi="宋体" w:eastAsia="宋体" w:cs="宋体"/>
          <w:b/>
          <w:bCs/>
          <w:color w:val="000000"/>
          <w:sz w:val="30"/>
          <w:szCs w:val="30"/>
          <w:highlight w:val="none"/>
        </w:rPr>
        <w:t>：</w:t>
      </w:r>
    </w:p>
    <w:bookmarkEnd w:id="323"/>
    <w:bookmarkEnd w:id="324"/>
    <w:bookmarkEnd w:id="325"/>
    <w:bookmarkEnd w:id="326"/>
    <w:bookmarkEnd w:id="327"/>
    <w:bookmarkEnd w:id="328"/>
    <w:bookmarkEnd w:id="329"/>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承包人用于本工程施工的机械设备表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序号</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机械或设备名称</w:t>
            </w:r>
          </w:p>
        </w:tc>
        <w:tc>
          <w:tcPr>
            <w:tcW w:w="85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规格型号</w:t>
            </w:r>
          </w:p>
        </w:tc>
        <w:tc>
          <w:tcPr>
            <w:tcW w:w="105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数量</w:t>
            </w:r>
          </w:p>
        </w:tc>
        <w:tc>
          <w:tcPr>
            <w:tcW w:w="8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产地</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制造年份</w:t>
            </w:r>
          </w:p>
        </w:tc>
        <w:tc>
          <w:tcPr>
            <w:tcW w:w="14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额定功率(kW)</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生产能力</w:t>
            </w:r>
          </w:p>
        </w:tc>
        <w:tc>
          <w:tcPr>
            <w:tcW w:w="92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bl>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spacing w:line="440" w:lineRule="exact"/>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30" w:name="_Toc296944567"/>
      <w:bookmarkStart w:id="331" w:name="_Toc296346729"/>
      <w:bookmarkStart w:id="332" w:name="_Toc296347227"/>
      <w:bookmarkStart w:id="333" w:name="_Toc296891056"/>
      <w:bookmarkStart w:id="334" w:name="_Toc296891268"/>
      <w:bookmarkStart w:id="335" w:name="_Toc267261699"/>
      <w:bookmarkStart w:id="336" w:name="_Toc296503228"/>
      <w:r>
        <w:rPr>
          <w:rFonts w:hint="eastAsia" w:ascii="宋体" w:hAnsi="宋体" w:eastAsia="宋体" w:cs="宋体"/>
          <w:b/>
          <w:bCs/>
          <w:color w:val="000000"/>
          <w:sz w:val="30"/>
          <w:szCs w:val="30"/>
          <w:highlight w:val="none"/>
        </w:rPr>
        <w:t>件</w:t>
      </w:r>
      <w:r>
        <w:rPr>
          <w:rFonts w:hint="eastAsia" w:ascii="宋体" w:hAnsi="宋体" w:eastAsia="宋体" w:cs="宋体"/>
          <w:b/>
          <w:bCs/>
          <w:color w:val="000000"/>
          <w:sz w:val="30"/>
          <w:szCs w:val="30"/>
          <w:highlight w:val="none"/>
          <w:lang w:val="en-US" w:eastAsia="zh-CN"/>
        </w:rPr>
        <w:t>8</w:t>
      </w:r>
      <w:r>
        <w:rPr>
          <w:rFonts w:hint="eastAsia" w:ascii="宋体" w:hAnsi="宋体" w:eastAsia="宋体" w:cs="宋体"/>
          <w:b/>
          <w:bCs/>
          <w:color w:val="000000"/>
          <w:sz w:val="30"/>
          <w:szCs w:val="30"/>
          <w:highlight w:val="none"/>
        </w:rPr>
        <w:t>：</w:t>
      </w:r>
    </w:p>
    <w:bookmarkEnd w:id="330"/>
    <w:bookmarkEnd w:id="331"/>
    <w:bookmarkEnd w:id="332"/>
    <w:bookmarkEnd w:id="333"/>
    <w:bookmarkEnd w:id="334"/>
    <w:bookmarkEnd w:id="335"/>
    <w:bookmarkEnd w:id="336"/>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承包人主要施工管理人员表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名    称</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姓名</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职务</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职称</w:t>
            </w:r>
          </w:p>
        </w:tc>
        <w:tc>
          <w:tcPr>
            <w:tcW w:w="425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项目主管</w:t>
            </w: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项目副经理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技术负责人</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造价管理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质量管理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材料管理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计划管理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安全管理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bl>
    <w:p>
      <w:pPr>
        <w:spacing w:line="360" w:lineRule="auto"/>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br w:type="page"/>
      </w:r>
      <w:bookmarkStart w:id="337" w:name="_Toc267261701"/>
      <w:r>
        <w:rPr>
          <w:rFonts w:hint="eastAsia" w:ascii="宋体" w:hAnsi="宋体" w:eastAsia="宋体" w:cs="宋体"/>
          <w:b/>
          <w:bCs/>
          <w:color w:val="000000"/>
          <w:sz w:val="30"/>
          <w:szCs w:val="30"/>
          <w:highlight w:val="none"/>
        </w:rPr>
        <w:t>附</w:t>
      </w:r>
      <w:bookmarkStart w:id="338" w:name="_Toc296891059"/>
      <w:bookmarkStart w:id="339" w:name="_Toc296891271"/>
      <w:bookmarkStart w:id="340" w:name="_Toc296347230"/>
      <w:bookmarkStart w:id="341" w:name="_Toc296346732"/>
      <w:bookmarkStart w:id="342" w:name="_Toc296503231"/>
      <w:bookmarkStart w:id="343" w:name="_Toc296944570"/>
      <w:r>
        <w:rPr>
          <w:rFonts w:hint="eastAsia" w:ascii="宋体" w:hAnsi="宋体" w:eastAsia="宋体" w:cs="宋体"/>
          <w:b/>
          <w:bCs/>
          <w:color w:val="000000"/>
          <w:sz w:val="30"/>
          <w:szCs w:val="30"/>
          <w:highlight w:val="none"/>
        </w:rPr>
        <w:t>件</w:t>
      </w:r>
      <w:r>
        <w:rPr>
          <w:rFonts w:hint="eastAsia" w:ascii="宋体" w:hAnsi="宋体" w:eastAsia="宋体" w:cs="宋体"/>
          <w:b/>
          <w:bCs/>
          <w:color w:val="000000"/>
          <w:sz w:val="30"/>
          <w:szCs w:val="30"/>
          <w:highlight w:val="none"/>
          <w:lang w:val="en-US" w:eastAsia="zh-CN"/>
        </w:rPr>
        <w:t>9</w:t>
      </w:r>
      <w:r>
        <w:rPr>
          <w:rFonts w:hint="eastAsia" w:ascii="宋体" w:hAnsi="宋体" w:eastAsia="宋体" w:cs="宋体"/>
          <w:b/>
          <w:bCs/>
          <w:color w:val="000000"/>
          <w:sz w:val="30"/>
          <w:szCs w:val="30"/>
          <w:highlight w:val="none"/>
        </w:rPr>
        <w:t>：</w:t>
      </w:r>
    </w:p>
    <w:bookmarkEnd w:id="337"/>
    <w:bookmarkEnd w:id="338"/>
    <w:bookmarkEnd w:id="339"/>
    <w:bookmarkEnd w:id="340"/>
    <w:bookmarkEnd w:id="341"/>
    <w:bookmarkEnd w:id="342"/>
    <w:bookmarkEnd w:id="343"/>
    <w:p>
      <w:pPr>
        <w:spacing w:before="156" w:beforeLines="50" w:after="156" w:afterLines="50" w:line="360" w:lineRule="auto"/>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履约担保</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rPr>
        <w:tab/>
      </w:r>
      <w:r>
        <w:rPr>
          <w:rFonts w:hint="eastAsia" w:ascii="宋体" w:hAnsi="宋体" w:eastAsia="宋体" w:cs="宋体"/>
          <w:color w:val="000000"/>
          <w:sz w:val="24"/>
          <w:szCs w:val="24"/>
          <w:highlight w:val="none"/>
        </w:rPr>
        <w:t>（发包人名称）：</w:t>
      </w:r>
    </w:p>
    <w:p>
      <w:pPr>
        <w:spacing w:line="360" w:lineRule="auto"/>
        <w:rPr>
          <w:rFonts w:hint="eastAsia" w:ascii="宋体" w:hAnsi="宋体" w:eastAsia="宋体" w:cs="宋体"/>
          <w:color w:val="000000"/>
          <w:sz w:val="24"/>
          <w:szCs w:val="24"/>
          <w:highlight w:val="none"/>
        </w:rPr>
      </w:pP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鉴于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（发包人名称，以下简称“发包人”）与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（承包人名称）（以下称“承包人”）于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日就</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担保金额人民币（大写）</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元（¥</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担保有效期自你方与承包人签订的合同生效之日起至你方签发或应签发工程接收证书之日止。</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 你方和承包人按合同约定变更合同时，我方承担本担保规定的义务不变。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 因本保函发生的纠纷，可由双方协商解决，协商不成的，任何一方均可提请</w:t>
      </w:r>
      <w:r>
        <w:rPr>
          <w:rFonts w:hint="eastAsia" w:ascii="宋体" w:hAnsi="宋体" w:eastAsia="宋体" w:cs="宋体"/>
          <w:color w:val="000000"/>
          <w:sz w:val="24"/>
          <w:szCs w:val="24"/>
          <w:highlight w:val="none"/>
          <w:u w:val="single"/>
        </w:rPr>
        <w:t xml:space="preserve"> 重庆   </w:t>
      </w:r>
      <w:r>
        <w:rPr>
          <w:rFonts w:hint="eastAsia" w:ascii="宋体" w:hAnsi="宋体" w:eastAsia="宋体" w:cs="宋体"/>
          <w:color w:val="000000"/>
          <w:sz w:val="24"/>
          <w:szCs w:val="24"/>
          <w:highlight w:val="none"/>
        </w:rPr>
        <w:t>仲裁委员会仲裁。</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 本保函自我方法定代表人（或其授权代理人）签字并盖章之日起生效。</w:t>
      </w:r>
    </w:p>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担 保 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（盖单位章）</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（签字）</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邮政编码：</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电    话：</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r>
        <w:rPr>
          <w:rFonts w:hint="eastAsia" w:ascii="宋体" w:hAnsi="宋体" w:eastAsia="宋体" w:cs="宋体"/>
          <w:color w:val="000000"/>
          <w:sz w:val="24"/>
          <w:szCs w:val="24"/>
          <w:highlight w:val="none"/>
          <w:u w:val="single"/>
        </w:rPr>
        <w:t xml:space="preserve">                                      </w:t>
      </w:r>
    </w:p>
    <w:p>
      <w:pPr>
        <w:spacing w:line="360" w:lineRule="auto"/>
        <w:jc w:val="left"/>
        <w:rPr>
          <w:rFonts w:hint="eastAsia" w:ascii="宋体" w:hAnsi="宋体" w:eastAsia="宋体" w:cs="宋体"/>
          <w:color w:val="000000"/>
          <w:sz w:val="24"/>
          <w:szCs w:val="24"/>
          <w:highlight w:val="none"/>
          <w:u w:val="single"/>
        </w:rPr>
      </w:pPr>
    </w:p>
    <w:p>
      <w:pPr>
        <w:spacing w:line="360" w:lineRule="auto"/>
        <w:ind w:left="1899" w:hanging="1519" w:hangingChars="633"/>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spacing w:line="360" w:lineRule="auto"/>
        <w:ind w:left="1899" w:hanging="1899" w:hangingChars="633"/>
        <w:rPr>
          <w:rFonts w:hint="eastAsia" w:ascii="宋体" w:hAnsi="宋体" w:eastAsia="宋体" w:cs="宋体"/>
          <w:color w:val="000000"/>
          <w:sz w:val="30"/>
          <w:szCs w:val="30"/>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pStyle w:val="3"/>
        <w:spacing w:before="0" w:after="0" w:line="360" w:lineRule="auto"/>
        <w:jc w:val="center"/>
        <w:rPr>
          <w:rFonts w:hint="eastAsia" w:ascii="宋体" w:hAnsi="宋体" w:eastAsia="宋体" w:cs="宋体"/>
          <w:b w:val="0"/>
          <w:color w:val="auto"/>
          <w:highlight w:val="none"/>
        </w:rPr>
      </w:pPr>
      <w:bookmarkStart w:id="344" w:name="_Toc9230"/>
      <w:bookmarkStart w:id="345" w:name="_Toc509218843"/>
      <w:bookmarkStart w:id="346" w:name="_Toc430530513"/>
      <w:bookmarkStart w:id="347" w:name="_Toc287620797"/>
      <w:bookmarkStart w:id="348" w:name="_Toc287607855"/>
      <w:bookmarkStart w:id="349" w:name="_Toc534185822"/>
      <w:bookmarkStart w:id="350" w:name="_Toc351203480"/>
      <w:bookmarkStart w:id="351" w:name="_Toc296890982"/>
      <w:bookmarkStart w:id="352" w:name="_Toc296503025"/>
      <w:r>
        <w:rPr>
          <w:rFonts w:hint="eastAsia" w:ascii="宋体" w:hAnsi="宋体" w:eastAsia="宋体" w:cs="宋体"/>
          <w:bCs w:val="0"/>
          <w:color w:val="auto"/>
          <w:highlight w:val="none"/>
        </w:rPr>
        <w:t>第五章  工程量清单</w:t>
      </w:r>
      <w:bookmarkEnd w:id="344"/>
      <w:bookmarkEnd w:id="345"/>
      <w:bookmarkEnd w:id="346"/>
      <w:bookmarkEnd w:id="347"/>
      <w:bookmarkEnd w:id="348"/>
      <w:bookmarkEnd w:id="349"/>
    </w:p>
    <w:p>
      <w:pPr>
        <w:snapToGrid w:val="0"/>
        <w:spacing w:line="360" w:lineRule="auto"/>
        <w:jc w:val="center"/>
        <w:rPr>
          <w:rFonts w:hint="eastAsia" w:ascii="宋体" w:hAnsi="宋体" w:eastAsia="宋体" w:cs="宋体"/>
          <w:color w:val="auto"/>
          <w:szCs w:val="21"/>
          <w:highlight w:val="none"/>
        </w:rPr>
      </w:pPr>
      <w:bookmarkStart w:id="353" w:name="招标文件05章工程量清单01"/>
      <w:bookmarkEnd w:id="353"/>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autoSpaceDE w:val="0"/>
        <w:autoSpaceDN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br w:type="page"/>
      </w:r>
    </w:p>
    <w:p>
      <w:pPr>
        <w:pStyle w:val="3"/>
        <w:spacing w:before="0" w:after="0" w:line="480" w:lineRule="auto"/>
        <w:jc w:val="center"/>
        <w:rPr>
          <w:rFonts w:hint="eastAsia" w:ascii="宋体" w:hAnsi="宋体" w:eastAsia="宋体" w:cs="宋体"/>
          <w:color w:val="auto"/>
          <w:sz w:val="52"/>
          <w:szCs w:val="52"/>
          <w:highlight w:val="none"/>
        </w:rPr>
      </w:pPr>
      <w:bookmarkStart w:id="354" w:name="_Toc20558"/>
      <w:bookmarkStart w:id="355" w:name="_Toc534185823"/>
      <w:bookmarkStart w:id="356" w:name="_Toc509218844"/>
      <w:r>
        <w:rPr>
          <w:rFonts w:hint="eastAsia" w:ascii="宋体" w:hAnsi="宋体" w:eastAsia="宋体" w:cs="宋体"/>
          <w:color w:val="auto"/>
          <w:sz w:val="52"/>
          <w:szCs w:val="52"/>
          <w:highlight w:val="none"/>
        </w:rPr>
        <w:t>第 二 卷</w:t>
      </w:r>
      <w:bookmarkEnd w:id="354"/>
      <w:bookmarkEnd w:id="355"/>
      <w:bookmarkEnd w:id="356"/>
    </w:p>
    <w:p>
      <w:pPr>
        <w:pStyle w:val="3"/>
        <w:spacing w:before="0" w:after="0"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Cs w:val="20"/>
          <w:highlight w:val="none"/>
        </w:rPr>
        <w:br w:type="page"/>
      </w:r>
      <w:bookmarkStart w:id="357" w:name="招标文件06章图纸"/>
      <w:bookmarkEnd w:id="357"/>
      <w:bookmarkStart w:id="358" w:name="_Toc534185825"/>
      <w:bookmarkStart w:id="359" w:name="_Toc287607861"/>
      <w:bookmarkStart w:id="360" w:name="_Toc29302"/>
      <w:bookmarkStart w:id="361" w:name="_Toc430530519"/>
      <w:bookmarkStart w:id="362" w:name="_Toc287620803"/>
      <w:bookmarkStart w:id="363" w:name="_Toc509218846"/>
      <w:r>
        <w:rPr>
          <w:rFonts w:hint="eastAsia" w:ascii="宋体" w:hAnsi="宋体" w:eastAsia="宋体" w:cs="宋体"/>
          <w:bCs w:val="0"/>
          <w:color w:val="auto"/>
          <w:highlight w:val="none"/>
        </w:rPr>
        <w:t>第六章  图纸</w:t>
      </w:r>
      <w:bookmarkEnd w:id="358"/>
      <w:bookmarkEnd w:id="359"/>
      <w:bookmarkEnd w:id="360"/>
      <w:bookmarkEnd w:id="361"/>
      <w:bookmarkEnd w:id="362"/>
      <w:bookmarkEnd w:id="363"/>
    </w:p>
    <w:p>
      <w:pPr>
        <w:spacing w:line="360" w:lineRule="auto"/>
        <w:jc w:val="center"/>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b w:val="0"/>
          <w:bCs w:val="0"/>
          <w:i w:val="0"/>
          <w:color w:val="auto"/>
          <w:kern w:val="2"/>
          <w:sz w:val="21"/>
          <w:szCs w:val="21"/>
          <w:highlight w:val="none"/>
          <w:lang w:val="en-US" w:eastAsia="zh-CN"/>
        </w:rPr>
      </w:pPr>
      <w:r>
        <w:rPr>
          <w:rFonts w:hint="eastAsia" w:ascii="宋体" w:hAnsi="宋体" w:eastAsia="宋体" w:cs="宋体"/>
          <w:b w:val="0"/>
          <w:bCs w:val="0"/>
          <w:i w:val="0"/>
          <w:color w:val="auto"/>
          <w:kern w:val="2"/>
          <w:sz w:val="21"/>
          <w:szCs w:val="21"/>
          <w:highlight w:val="none"/>
          <w:lang w:val="en-US" w:eastAsia="zh-CN"/>
        </w:rPr>
        <w:t>1.配电柜内断路器、双电源切换开关、交流接触器、软启动器、两进线一母联电源转换系统等元器件品牌应为ABB、施耐德、西门子或相当于以上品牌的产品；防雷浪涌应为中光防雷、上海雷迅、ABB、施耐德、西门子或相当于以上品牌的产品。所有配电柜均基于配置表及元器件品牌要求进行报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 w:val="0"/>
          <w:bCs w:val="0"/>
          <w:i w:val="0"/>
          <w:color w:val="auto"/>
          <w:kern w:val="2"/>
          <w:sz w:val="21"/>
          <w:szCs w:val="21"/>
          <w:highlight w:val="none"/>
          <w:lang w:val="en-US" w:eastAsia="zh-CN"/>
        </w:rPr>
        <w:t>2.详见图纸。</w:t>
      </w:r>
      <w:r>
        <w:rPr>
          <w:rFonts w:hint="eastAsia" w:ascii="宋体" w:hAnsi="宋体" w:eastAsia="宋体" w:cs="宋体"/>
          <w:color w:val="auto"/>
          <w:szCs w:val="20"/>
          <w:highlight w:val="none"/>
        </w:rPr>
        <w:br w:type="page"/>
      </w:r>
      <w:bookmarkStart w:id="364" w:name="招标文件06章图纸01"/>
      <w:bookmarkEnd w:id="364"/>
    </w:p>
    <w:p>
      <w:pPr>
        <w:pStyle w:val="3"/>
        <w:spacing w:before="0" w:after="0" w:line="480" w:lineRule="auto"/>
        <w:jc w:val="center"/>
        <w:rPr>
          <w:rFonts w:hint="eastAsia" w:ascii="宋体" w:hAnsi="宋体" w:eastAsia="宋体" w:cs="宋体"/>
          <w:color w:val="auto"/>
          <w:sz w:val="52"/>
          <w:szCs w:val="52"/>
          <w:highlight w:val="none"/>
        </w:rPr>
      </w:pPr>
      <w:bookmarkStart w:id="365" w:name="_Toc6776"/>
      <w:r>
        <w:rPr>
          <w:rFonts w:hint="eastAsia" w:ascii="宋体" w:hAnsi="宋体" w:eastAsia="宋体" w:cs="宋体"/>
          <w:color w:val="auto"/>
          <w:sz w:val="52"/>
          <w:szCs w:val="52"/>
          <w:highlight w:val="none"/>
        </w:rPr>
        <w:t>第 三 卷</w:t>
      </w:r>
      <w:bookmarkEnd w:id="365"/>
    </w:p>
    <w:p>
      <w:pPr>
        <w:pStyle w:val="3"/>
        <w:numPr>
          <w:ilvl w:val="0"/>
          <w:numId w:val="5"/>
        </w:numPr>
        <w:spacing w:before="0" w:after="0" w:line="360" w:lineRule="auto"/>
        <w:jc w:val="center"/>
        <w:rPr>
          <w:rFonts w:hint="eastAsia" w:ascii="宋体" w:hAnsi="宋体" w:eastAsia="宋体" w:cs="宋体"/>
          <w:bCs w:val="0"/>
          <w:color w:val="auto"/>
          <w:highlight w:val="none"/>
        </w:rPr>
      </w:pPr>
      <w:bookmarkStart w:id="366" w:name="_Toc536781805"/>
      <w:bookmarkStart w:id="367" w:name="_Toc536773650"/>
      <w:bookmarkStart w:id="368" w:name="_Toc43278921"/>
      <w:bookmarkStart w:id="369" w:name="_Toc536781937"/>
      <w:bookmarkStart w:id="370" w:name="_Toc37531145"/>
      <w:bookmarkStart w:id="371" w:name="_Toc30239"/>
      <w:bookmarkStart w:id="372" w:name="_Toc536800736"/>
      <w:bookmarkStart w:id="373" w:name="_Toc536782206"/>
      <w:bookmarkStart w:id="374" w:name="_Toc534185826"/>
      <w:bookmarkStart w:id="375" w:name="_Toc536782072"/>
      <w:r>
        <w:rPr>
          <w:rFonts w:hint="eastAsia" w:ascii="宋体" w:hAnsi="宋体" w:eastAsia="宋体" w:cs="宋体"/>
          <w:color w:val="auto"/>
          <w:sz w:val="56"/>
          <w:szCs w:val="56"/>
          <w:highlight w:val="none"/>
        </w:rPr>
        <w:br w:type="page"/>
      </w:r>
      <w:bookmarkEnd w:id="366"/>
      <w:bookmarkEnd w:id="367"/>
      <w:bookmarkEnd w:id="368"/>
      <w:bookmarkEnd w:id="369"/>
      <w:bookmarkEnd w:id="370"/>
      <w:bookmarkEnd w:id="371"/>
      <w:bookmarkEnd w:id="372"/>
      <w:bookmarkEnd w:id="373"/>
      <w:bookmarkEnd w:id="374"/>
      <w:bookmarkEnd w:id="375"/>
      <w:bookmarkStart w:id="376" w:name="招标文件07章技术标准和要求"/>
      <w:bookmarkEnd w:id="376"/>
      <w:bookmarkStart w:id="377" w:name="_Toc11633"/>
      <w:r>
        <w:rPr>
          <w:rFonts w:hint="eastAsia" w:ascii="宋体" w:hAnsi="宋体" w:eastAsia="宋体" w:cs="宋体"/>
          <w:bCs w:val="0"/>
          <w:color w:val="auto"/>
          <w:highlight w:val="none"/>
        </w:rPr>
        <w:t xml:space="preserve"> 技术标准和要求</w:t>
      </w:r>
      <w:bookmarkEnd w:id="377"/>
      <w:bookmarkStart w:id="378" w:name="招标文件07章技术标准和要求01"/>
      <w:bookmarkEnd w:id="378"/>
      <w:bookmarkStart w:id="379" w:name="_Toc430530524"/>
      <w:bookmarkStart w:id="380" w:name="_Toc287620808"/>
    </w:p>
    <w:p>
      <w:pPr>
        <w:numPr>
          <w:ilvl w:val="-1"/>
          <w:numId w:val="0"/>
        </w:numPr>
        <w:rPr>
          <w:rFonts w:hint="eastAsia" w:ascii="宋体" w:hAnsi="宋体" w:eastAsia="宋体" w:cs="宋体"/>
          <w:highlight w:val="none"/>
        </w:rPr>
      </w:pPr>
    </w:p>
    <w:bookmarkEnd w:id="379"/>
    <w:bookmarkEnd w:id="380"/>
    <w:p>
      <w:pPr>
        <w:spacing w:line="360" w:lineRule="auto"/>
        <w:ind w:firstLine="420" w:firstLineChars="200"/>
        <w:rPr>
          <w:rFonts w:hint="eastAsia" w:ascii="宋体" w:hAnsi="宋体" w:eastAsia="宋体" w:cs="宋体"/>
          <w:b w:val="0"/>
          <w:bCs w:val="0"/>
          <w:i w:val="0"/>
          <w:color w:val="auto"/>
          <w:kern w:val="2"/>
          <w:sz w:val="21"/>
          <w:szCs w:val="21"/>
          <w:highlight w:val="none"/>
          <w:lang w:val="en-US" w:eastAsia="zh-CN"/>
        </w:rPr>
      </w:pPr>
      <w:r>
        <w:rPr>
          <w:rFonts w:hint="eastAsia" w:ascii="宋体" w:hAnsi="宋体" w:eastAsia="宋体" w:cs="宋体"/>
          <w:b w:val="0"/>
          <w:bCs w:val="0"/>
          <w:i w:val="0"/>
          <w:color w:val="auto"/>
          <w:kern w:val="2"/>
          <w:sz w:val="21"/>
          <w:szCs w:val="21"/>
          <w:highlight w:val="none"/>
          <w:lang w:val="en-US" w:eastAsia="zh-CN"/>
        </w:rPr>
        <w:t>1.配电柜内断路器、双电源切换开关、交流接触器、软启动器、两进线一母联电源转换系统等元器件品牌应为ABB、施耐德、西门子或相当于以上品牌的产品；防雷浪涌应为中光防雷、上海雷迅、ABB、施耐德、西门子或相当于以上品牌的产品。所有配电柜均基于配置表及元器件品牌要求进行报价。</w:t>
      </w:r>
    </w:p>
    <w:p>
      <w:pPr>
        <w:spacing w:line="360" w:lineRule="auto"/>
        <w:ind w:firstLine="420" w:firstLineChars="200"/>
        <w:jc w:val="left"/>
        <w:rPr>
          <w:rFonts w:hint="eastAsia" w:ascii="宋体" w:hAnsi="宋体" w:eastAsia="宋体" w:cs="宋体"/>
          <w:i/>
          <w:color w:val="auto"/>
          <w:highlight w:val="none"/>
        </w:rPr>
      </w:pPr>
      <w:r>
        <w:rPr>
          <w:rFonts w:hint="eastAsia" w:ascii="宋体" w:hAnsi="宋体" w:eastAsia="宋体" w:cs="宋体"/>
          <w:b w:val="0"/>
          <w:bCs w:val="0"/>
          <w:i w:val="0"/>
          <w:color w:val="auto"/>
          <w:kern w:val="2"/>
          <w:sz w:val="21"/>
          <w:szCs w:val="21"/>
          <w:highlight w:val="none"/>
          <w:lang w:val="en-US" w:eastAsia="zh-CN"/>
        </w:rPr>
        <w:t>2.详见图纸。</w:t>
      </w:r>
    </w:p>
    <w:p>
      <w:pPr>
        <w:pStyle w:val="3"/>
        <w:spacing w:line="360" w:lineRule="auto"/>
        <w:jc w:val="center"/>
        <w:rPr>
          <w:rFonts w:hint="eastAsia" w:ascii="宋体" w:hAnsi="宋体" w:eastAsia="宋体" w:cs="宋体"/>
          <w:b w:val="0"/>
          <w:color w:val="auto"/>
          <w:sz w:val="48"/>
          <w:szCs w:val="48"/>
          <w:highlight w:val="none"/>
        </w:rPr>
      </w:pPr>
      <w:bookmarkStart w:id="381" w:name="_Toc28727"/>
      <w:r>
        <w:rPr>
          <w:rFonts w:hint="eastAsia" w:ascii="宋体" w:hAnsi="宋体" w:eastAsia="宋体" w:cs="宋体"/>
          <w:b w:val="0"/>
          <w:color w:val="auto"/>
          <w:sz w:val="48"/>
          <w:szCs w:val="48"/>
          <w:highlight w:val="none"/>
        </w:rPr>
        <w:br w:type="page"/>
      </w:r>
      <w:r>
        <w:rPr>
          <w:rFonts w:hint="eastAsia" w:ascii="宋体" w:hAnsi="宋体" w:eastAsia="宋体" w:cs="宋体"/>
          <w:bCs w:val="0"/>
          <w:color w:val="auto"/>
          <w:highlight w:val="none"/>
        </w:rPr>
        <w:t>第八章  工程量清单计量规则</w:t>
      </w:r>
      <w:bookmarkEnd w:id="381"/>
    </w:p>
    <w:p>
      <w:pPr>
        <w:spacing w:line="360" w:lineRule="auto"/>
        <w:jc w:val="center"/>
        <w:rPr>
          <w:rFonts w:hint="eastAsia" w:ascii="宋体" w:hAnsi="宋体" w:eastAsia="宋体" w:cs="宋体"/>
          <w:color w:val="auto"/>
          <w:szCs w:val="21"/>
          <w:highlight w:val="none"/>
        </w:rPr>
      </w:pPr>
      <w:bookmarkStart w:id="382" w:name="_Toc534185827"/>
      <w:bookmarkStart w:id="383" w:name="_Toc509218849"/>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spacing w:line="360" w:lineRule="auto"/>
        <w:jc w:val="center"/>
        <w:rPr>
          <w:rFonts w:hint="eastAsia" w:ascii="宋体" w:hAnsi="宋体" w:eastAsia="宋体" w:cs="宋体"/>
          <w:color w:val="auto"/>
          <w:szCs w:val="21"/>
          <w:highlight w:val="none"/>
        </w:rPr>
      </w:pPr>
    </w:p>
    <w:p>
      <w:pPr>
        <w:pStyle w:val="3"/>
        <w:spacing w:before="0" w:after="0" w:line="48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br w:type="page"/>
      </w:r>
      <w:bookmarkStart w:id="384" w:name="_Toc7873"/>
      <w:r>
        <w:rPr>
          <w:rFonts w:hint="eastAsia" w:ascii="宋体" w:hAnsi="宋体" w:eastAsia="宋体" w:cs="宋体"/>
          <w:color w:val="auto"/>
          <w:sz w:val="52"/>
          <w:szCs w:val="52"/>
          <w:highlight w:val="none"/>
        </w:rPr>
        <w:t>第 四 卷</w:t>
      </w:r>
      <w:bookmarkEnd w:id="382"/>
      <w:bookmarkEnd w:id="383"/>
      <w:bookmarkEnd w:id="384"/>
    </w:p>
    <w:p>
      <w:pPr>
        <w:pStyle w:val="3"/>
        <w:spacing w:before="0" w:after="0" w:line="360" w:lineRule="auto"/>
        <w:jc w:val="center"/>
        <w:rPr>
          <w:rFonts w:hint="eastAsia" w:ascii="宋体" w:hAnsi="宋体" w:eastAsia="宋体" w:cs="宋体"/>
          <w:b w:val="0"/>
          <w:color w:val="auto"/>
          <w:sz w:val="48"/>
          <w:szCs w:val="48"/>
          <w:highlight w:val="none"/>
        </w:rPr>
      </w:pPr>
      <w:bookmarkStart w:id="385" w:name="招标文件08章投标文件格式"/>
      <w:bookmarkEnd w:id="385"/>
      <w:bookmarkStart w:id="386" w:name="_Toc287620812"/>
      <w:bookmarkStart w:id="387" w:name="_Toc287607865"/>
      <w:bookmarkStart w:id="388" w:name="_Toc509218852"/>
      <w:bookmarkStart w:id="389" w:name="_Toc430530528"/>
      <w:bookmarkStart w:id="390" w:name="_Toc534185829"/>
      <w:r>
        <w:rPr>
          <w:rFonts w:hint="eastAsia" w:ascii="宋体" w:hAnsi="宋体" w:eastAsia="宋体" w:cs="宋体"/>
          <w:b w:val="0"/>
          <w:color w:val="auto"/>
          <w:sz w:val="48"/>
          <w:szCs w:val="48"/>
          <w:highlight w:val="none"/>
        </w:rPr>
        <w:br w:type="page"/>
      </w:r>
      <w:bookmarkStart w:id="391" w:name="_Toc12482"/>
      <w:r>
        <w:rPr>
          <w:rFonts w:hint="eastAsia" w:ascii="宋体" w:hAnsi="宋体" w:eastAsia="宋体" w:cs="宋体"/>
          <w:bCs w:val="0"/>
          <w:color w:val="auto"/>
          <w:highlight w:val="none"/>
        </w:rPr>
        <w:t>第九章  投标文件格式</w:t>
      </w:r>
      <w:bookmarkEnd w:id="386"/>
      <w:bookmarkEnd w:id="387"/>
      <w:bookmarkEnd w:id="388"/>
      <w:bookmarkEnd w:id="389"/>
      <w:bookmarkEnd w:id="390"/>
      <w:bookmarkEnd w:id="391"/>
    </w:p>
    <w:p>
      <w:pPr>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Cs w:val="20"/>
          <w:highlight w:val="none"/>
        </w:rPr>
        <w:br w:type="page"/>
      </w:r>
      <w:r>
        <w:rPr>
          <w:rFonts w:hint="eastAsia" w:ascii="宋体" w:hAnsi="宋体" w:eastAsia="宋体" w:cs="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投 标 文 件</w:t>
      </w:r>
    </w:p>
    <w:p>
      <w:pPr>
        <w:autoSpaceDE w:val="0"/>
        <w:autoSpaceDN w:val="0"/>
        <w:adjustRightInd w:val="0"/>
        <w:snapToGrid w:val="0"/>
        <w:spacing w:line="360" w:lineRule="auto"/>
        <w:jc w:val="left"/>
        <w:rPr>
          <w:rFonts w:hint="eastAsia" w:ascii="宋体" w:hAnsi="宋体" w:eastAsia="宋体" w:cs="宋体"/>
          <w:color w:val="auto"/>
          <w:kern w:val="0"/>
          <w:sz w:val="16"/>
          <w:szCs w:val="16"/>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w w:val="99"/>
          <w:kern w:val="0"/>
          <w:sz w:val="28"/>
          <w:szCs w:val="28"/>
          <w:highlight w:val="none"/>
        </w:rPr>
      </w:pPr>
      <w:r>
        <w:rPr>
          <w:rFonts w:hint="eastAsia" w:ascii="宋体" w:hAnsi="宋体" w:eastAsia="宋体" w:cs="宋体"/>
          <w:color w:val="auto"/>
          <w:w w:val="99"/>
          <w:kern w:val="0"/>
          <w:sz w:val="28"/>
          <w:szCs w:val="28"/>
          <w:highlight w:val="none"/>
        </w:rPr>
        <w:t>投标人</w:t>
      </w:r>
      <w:r>
        <w:rPr>
          <w:rFonts w:hint="eastAsia" w:ascii="宋体" w:hAnsi="宋体" w:eastAsia="宋体" w:cs="宋体"/>
          <w:color w:val="auto"/>
          <w:spacing w:val="1"/>
          <w:w w:val="99"/>
          <w:kern w:val="0"/>
          <w:sz w:val="28"/>
          <w:szCs w:val="28"/>
          <w:highlight w:val="none"/>
        </w:rPr>
        <w:t>：</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w w:val="99"/>
          <w:kern w:val="0"/>
          <w:sz w:val="28"/>
          <w:szCs w:val="28"/>
          <w:highlight w:val="none"/>
        </w:rPr>
        <w:t>法定代表人或其委托代理人：</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（签名或盖章）</w:t>
      </w:r>
    </w:p>
    <w:p>
      <w:pPr>
        <w:jc w:val="center"/>
        <w:rPr>
          <w:rFonts w:hint="eastAsia" w:ascii="宋体" w:hAnsi="宋体" w:eastAsia="宋体" w:cs="宋体"/>
          <w:color w:val="auto"/>
          <w:highlight w:val="none"/>
        </w:rPr>
      </w:pPr>
      <w:r>
        <w:rPr>
          <w:rFonts w:hint="eastAsia" w:ascii="宋体" w:hAnsi="宋体" w:eastAsia="宋体" w:cs="宋体"/>
          <w:color w:val="auto"/>
          <w:w w:val="99"/>
          <w:kern w:val="0"/>
          <w:sz w:val="28"/>
          <w:szCs w:val="28"/>
          <w:highlight w:val="none"/>
        </w:rPr>
        <w:t>年</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月</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日</w:t>
      </w:r>
    </w:p>
    <w:p>
      <w:pPr>
        <w:spacing w:line="360" w:lineRule="auto"/>
        <w:rPr>
          <w:rFonts w:hint="eastAsia" w:ascii="宋体" w:hAnsi="宋体" w:eastAsia="宋体" w:cs="宋体"/>
          <w:color w:val="auto"/>
          <w:sz w:val="32"/>
          <w:szCs w:val="32"/>
          <w:highlight w:val="none"/>
        </w:rPr>
      </w:pPr>
    </w:p>
    <w:p>
      <w:pPr>
        <w:spacing w:line="240" w:lineRule="auto"/>
        <w:jc w:val="left"/>
        <w:outlineLvl w:val="9"/>
        <w:rPr>
          <w:rFonts w:hint="eastAsia" w:ascii="宋体" w:hAnsi="宋体" w:eastAsia="宋体" w:cs="宋体"/>
          <w:color w:val="auto"/>
          <w:szCs w:val="20"/>
          <w:highlight w:val="none"/>
        </w:rPr>
      </w:pPr>
    </w:p>
    <w:p>
      <w:pPr>
        <w:spacing w:line="360" w:lineRule="auto"/>
        <w:jc w:val="center"/>
        <w:outlineLvl w:val="0"/>
        <w:rPr>
          <w:rFonts w:hint="eastAsia" w:ascii="宋体" w:hAnsi="宋体" w:eastAsia="宋体" w:cs="宋体"/>
          <w:color w:val="auto"/>
          <w:szCs w:val="20"/>
          <w:highlight w:val="none"/>
        </w:rPr>
      </w:pPr>
      <w:bookmarkStart w:id="392" w:name="_Toc23377"/>
      <w:r>
        <w:rPr>
          <w:rFonts w:hint="eastAsia" w:ascii="宋体" w:hAnsi="宋体" w:eastAsia="宋体" w:cs="宋体"/>
          <w:b/>
          <w:bCs/>
          <w:color w:val="auto"/>
          <w:sz w:val="36"/>
          <w:szCs w:val="36"/>
          <w:highlight w:val="none"/>
        </w:rPr>
        <w:t>目  录</w:t>
      </w:r>
      <w:bookmarkEnd w:id="392"/>
    </w:p>
    <w:p>
      <w:pPr>
        <w:spacing w:line="360" w:lineRule="auto"/>
        <w:outlineLvl w:val="0"/>
        <w:rPr>
          <w:rFonts w:hint="eastAsia" w:ascii="宋体" w:hAnsi="宋体" w:eastAsia="宋体" w:cs="宋体"/>
          <w:b/>
          <w:color w:val="auto"/>
          <w:highlight w:val="none"/>
        </w:rPr>
      </w:pPr>
      <w:bookmarkStart w:id="393" w:name="_Toc19872"/>
      <w:r>
        <w:rPr>
          <w:rFonts w:hint="eastAsia" w:ascii="宋体" w:hAnsi="宋体" w:eastAsia="宋体" w:cs="宋体"/>
          <w:b/>
          <w:color w:val="auto"/>
          <w:highlight w:val="none"/>
        </w:rPr>
        <w:t>一、投标函部分</w:t>
      </w:r>
      <w:bookmarkEnd w:id="393"/>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（一）投标函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（二）投标函附录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（三）法定代表人身份证明或附有法定代表人身份证明的授权委托书</w:t>
      </w:r>
    </w:p>
    <w:p>
      <w:pPr>
        <w:spacing w:line="360" w:lineRule="auto"/>
        <w:outlineLvl w:val="0"/>
        <w:rPr>
          <w:rFonts w:hint="eastAsia" w:ascii="宋体" w:hAnsi="宋体" w:eastAsia="宋体" w:cs="宋体"/>
          <w:b/>
          <w:color w:val="auto"/>
          <w:highlight w:val="none"/>
        </w:rPr>
      </w:pPr>
      <w:bookmarkStart w:id="394" w:name="_Toc9644"/>
      <w:r>
        <w:rPr>
          <w:rFonts w:hint="eastAsia" w:ascii="宋体" w:hAnsi="宋体" w:eastAsia="宋体" w:cs="宋体"/>
          <w:b/>
          <w:color w:val="auto"/>
          <w:highlight w:val="none"/>
        </w:rPr>
        <w:t>二、经济部分</w:t>
      </w:r>
      <w:bookmarkEnd w:id="394"/>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已标价工程量清单</w:t>
      </w:r>
    </w:p>
    <w:p>
      <w:pPr>
        <w:spacing w:line="360" w:lineRule="auto"/>
        <w:outlineLvl w:val="0"/>
        <w:rPr>
          <w:rFonts w:hint="eastAsia" w:ascii="宋体" w:hAnsi="宋体" w:eastAsia="宋体" w:cs="宋体"/>
          <w:b/>
          <w:color w:val="auto"/>
          <w:highlight w:val="none"/>
        </w:rPr>
      </w:pPr>
      <w:bookmarkStart w:id="395" w:name="_Toc16841"/>
      <w:r>
        <w:rPr>
          <w:rFonts w:hint="eastAsia" w:ascii="宋体" w:hAnsi="宋体" w:eastAsia="宋体" w:cs="宋体"/>
          <w:b/>
          <w:color w:val="auto"/>
          <w:highlight w:val="none"/>
        </w:rPr>
        <w:t>三、商务部分</w:t>
      </w:r>
      <w:bookmarkEnd w:id="395"/>
      <w:bookmarkStart w:id="396" w:name="_Toc11555"/>
    </w:p>
    <w:p>
      <w:pPr>
        <w:spacing w:line="360" w:lineRule="auto"/>
        <w:ind w:firstLine="420" w:firstLineChars="200"/>
        <w:outlineLvl w:val="9"/>
        <w:rPr>
          <w:rFonts w:hint="eastAsia" w:ascii="宋体" w:hAnsi="宋体" w:eastAsia="宋体" w:cs="宋体"/>
          <w:b w:val="0"/>
          <w:color w:val="auto"/>
          <w:highlight w:val="none"/>
          <w:lang w:val="en-US" w:eastAsia="zh-CN"/>
        </w:rPr>
      </w:pPr>
      <w:r>
        <w:rPr>
          <w:rFonts w:hint="eastAsia" w:ascii="宋体" w:hAnsi="宋体" w:eastAsia="宋体" w:cs="宋体"/>
          <w:b w:val="0"/>
          <w:color w:val="auto"/>
          <w:highlight w:val="none"/>
          <w:lang w:eastAsia="zh-CN"/>
        </w:rPr>
        <w:t>（</w:t>
      </w:r>
      <w:r>
        <w:rPr>
          <w:rFonts w:hint="eastAsia" w:ascii="宋体" w:hAnsi="宋体" w:eastAsia="宋体" w:cs="宋体"/>
          <w:b w:val="0"/>
          <w:color w:val="auto"/>
          <w:highlight w:val="none"/>
          <w:lang w:val="en-US" w:eastAsia="zh-CN"/>
        </w:rPr>
        <w:t>一</w:t>
      </w:r>
      <w:r>
        <w:rPr>
          <w:rFonts w:hint="eastAsia" w:ascii="宋体" w:hAnsi="宋体" w:eastAsia="宋体" w:cs="宋体"/>
          <w:b w:val="0"/>
          <w:color w:val="auto"/>
          <w:highlight w:val="none"/>
          <w:lang w:eastAsia="zh-CN"/>
        </w:rPr>
        <w:t>）</w:t>
      </w:r>
      <w:r>
        <w:rPr>
          <w:rFonts w:hint="eastAsia" w:ascii="宋体" w:hAnsi="宋体" w:eastAsia="宋体" w:cs="宋体"/>
          <w:b w:val="0"/>
          <w:color w:val="auto"/>
          <w:highlight w:val="none"/>
          <w:lang w:val="en-US" w:eastAsia="zh-CN"/>
        </w:rPr>
        <w:t>业绩</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spacing w:line="360" w:lineRule="auto"/>
        <w:outlineLvl w:val="0"/>
        <w:rPr>
          <w:rFonts w:hint="eastAsia" w:ascii="宋体" w:hAnsi="宋体" w:eastAsia="宋体" w:cs="宋体"/>
          <w:b/>
          <w:color w:val="auto"/>
          <w:highlight w:val="none"/>
        </w:rPr>
      </w:pPr>
      <w:r>
        <w:rPr>
          <w:rFonts w:hint="eastAsia" w:ascii="宋体" w:hAnsi="宋体" w:eastAsia="宋体" w:cs="宋体"/>
          <w:b/>
          <w:color w:val="auto"/>
          <w:highlight w:val="none"/>
        </w:rPr>
        <w:t>四、技术部分</w:t>
      </w:r>
      <w:bookmarkEnd w:id="396"/>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技术方案</w:t>
      </w:r>
    </w:p>
    <w:p>
      <w:pPr>
        <w:spacing w:line="360" w:lineRule="auto"/>
        <w:outlineLvl w:val="0"/>
        <w:rPr>
          <w:rFonts w:hint="eastAsia" w:ascii="宋体" w:hAnsi="宋体" w:eastAsia="宋体" w:cs="宋体"/>
          <w:b/>
          <w:color w:val="auto"/>
          <w:highlight w:val="none"/>
        </w:rPr>
      </w:pPr>
      <w:bookmarkStart w:id="397" w:name="_Toc26297"/>
      <w:r>
        <w:rPr>
          <w:rFonts w:hint="eastAsia" w:ascii="宋体" w:hAnsi="宋体" w:eastAsia="宋体" w:cs="宋体"/>
          <w:b/>
          <w:color w:val="auto"/>
          <w:highlight w:val="none"/>
        </w:rPr>
        <w:t>五、资格审查部分</w:t>
      </w:r>
      <w:bookmarkEnd w:id="397"/>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（六）承诺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（七）其他资料</w:t>
      </w:r>
    </w:p>
    <w:p>
      <w:pPr>
        <w:spacing w:line="360" w:lineRule="auto"/>
        <w:ind w:firstLine="420" w:firstLineChars="200"/>
        <w:rPr>
          <w:rFonts w:hint="eastAsia" w:ascii="宋体" w:hAnsi="宋体" w:eastAsia="宋体" w:cs="宋体"/>
          <w:color w:val="auto"/>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398" w:name="_Toc22269"/>
      <w:bookmarkStart w:id="399" w:name="_Toc33106472"/>
      <w:r>
        <w:rPr>
          <w:rFonts w:hint="eastAsia" w:ascii="宋体" w:hAnsi="宋体" w:eastAsia="宋体" w:cs="宋体"/>
          <w:b w:val="0"/>
          <w:bCs w:val="0"/>
          <w:color w:val="auto"/>
          <w:sz w:val="44"/>
          <w:szCs w:val="44"/>
          <w:highlight w:val="none"/>
        </w:rPr>
        <w:t>一、投标函部分</w:t>
      </w:r>
      <w:bookmarkEnd w:id="398"/>
      <w:bookmarkEnd w:id="399"/>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rPr>
          <w:rFonts w:hint="eastAsia" w:ascii="宋体" w:hAnsi="宋体" w:eastAsia="宋体" w:cs="宋体"/>
          <w:color w:val="auto"/>
          <w:highlight w:val="none"/>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36"/>
          <w:szCs w:val="36"/>
          <w:highlight w:val="none"/>
        </w:rPr>
      </w:pPr>
      <w:bookmarkStart w:id="400" w:name="_Toc536800771"/>
      <w:bookmarkStart w:id="401" w:name="_Toc534185830"/>
      <w:bookmarkStart w:id="402" w:name="_Toc509218853"/>
      <w:r>
        <w:rPr>
          <w:rFonts w:hint="eastAsia" w:ascii="宋体" w:hAnsi="宋体" w:eastAsia="宋体" w:cs="宋体"/>
          <w:b/>
          <w:color w:val="auto"/>
          <w:sz w:val="32"/>
          <w:szCs w:val="32"/>
          <w:highlight w:val="none"/>
        </w:rPr>
        <w:t xml:space="preserve"> </w:t>
      </w:r>
      <w:bookmarkEnd w:id="400"/>
      <w:bookmarkEnd w:id="401"/>
      <w:bookmarkEnd w:id="402"/>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highlight w:val="none"/>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（一）投标函</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（二）投标函附录</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（三）法定代表人身份证明或附有法定代表人身份证明的授权委托书</w:t>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宋体" w:hAnsi="宋体" w:eastAsia="宋体" w:cs="宋体"/>
          <w:b w:val="0"/>
          <w:color w:val="auto"/>
          <w:highlight w:val="none"/>
        </w:rPr>
      </w:pPr>
      <w:r>
        <w:rPr>
          <w:rFonts w:hint="eastAsia" w:ascii="宋体" w:hAnsi="宋体" w:eastAsia="宋体" w:cs="宋体"/>
          <w:color w:val="auto"/>
          <w:kern w:val="0"/>
          <w:sz w:val="28"/>
          <w:szCs w:val="28"/>
          <w:highlight w:val="none"/>
          <w:u w:val="single"/>
        </w:rPr>
        <w:br w:type="page"/>
      </w:r>
      <w:bookmarkStart w:id="403" w:name="_Toc21828"/>
      <w:bookmarkStart w:id="404" w:name="_Toc536800772"/>
      <w:bookmarkStart w:id="405" w:name="_Toc509218854"/>
      <w:bookmarkStart w:id="406" w:name="_Toc287607867"/>
      <w:bookmarkStart w:id="407" w:name="_Toc16206"/>
      <w:bookmarkStart w:id="408" w:name="_Toc277082643"/>
      <w:bookmarkStart w:id="409" w:name="_Toc430530530"/>
      <w:bookmarkStart w:id="410" w:name="_Toc287620814"/>
      <w:bookmarkStart w:id="411" w:name="_Toc534185831"/>
      <w:bookmarkStart w:id="412" w:name="_Toc224103495"/>
      <w:r>
        <w:rPr>
          <w:rFonts w:hint="eastAsia" w:ascii="宋体" w:hAnsi="宋体" w:eastAsia="宋体" w:cs="宋体"/>
          <w:b w:val="0"/>
          <w:bCs w:val="0"/>
          <w:color w:val="auto"/>
          <w:highlight w:val="none"/>
        </w:rPr>
        <w:t>（一）投标函</w:t>
      </w:r>
      <w:bookmarkEnd w:id="403"/>
      <w:bookmarkEnd w:id="404"/>
      <w:bookmarkEnd w:id="405"/>
      <w:bookmarkEnd w:id="406"/>
      <w:bookmarkEnd w:id="407"/>
      <w:bookmarkEnd w:id="408"/>
      <w:bookmarkEnd w:id="409"/>
      <w:bookmarkEnd w:id="410"/>
      <w:bookmarkEnd w:id="411"/>
      <w:bookmarkEnd w:id="412"/>
    </w:p>
    <w:p>
      <w:pPr>
        <w:keepNext w:val="0"/>
        <w:keepLines w:val="0"/>
        <w:pageBreakBefore w:val="0"/>
        <w:widowControl w:val="0"/>
        <w:tabs>
          <w:tab w:val="left" w:pos="264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（招标人名称）</w:t>
      </w:r>
      <w:r>
        <w:rPr>
          <w:rFonts w:hint="eastAsia" w:ascii="宋体" w:hAnsi="宋体" w:eastAsia="宋体" w:cs="宋体"/>
          <w:snapToGrid w:val="0"/>
          <w:color w:val="auto"/>
          <w:kern w:val="0"/>
          <w:szCs w:val="21"/>
          <w:highlight w:val="none"/>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 xml:space="preserve">1. </w:t>
      </w:r>
      <w:r>
        <w:rPr>
          <w:rFonts w:hint="eastAsia" w:ascii="宋体" w:hAnsi="宋体" w:eastAsia="宋体" w:cs="宋体"/>
          <w:color w:val="auto"/>
          <w:szCs w:val="21"/>
          <w:highlight w:val="none"/>
        </w:rPr>
        <w:t>我方已仔细研究了</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项目名称</w:t>
      </w:r>
      <w:r>
        <w:rPr>
          <w:rFonts w:hint="eastAsia" w:ascii="宋体" w:hAnsi="宋体" w:eastAsia="宋体" w:cs="宋体"/>
          <w:color w:val="auto"/>
          <w:highlight w:val="none"/>
          <w:u w:val="single"/>
          <w:lang w:eastAsia="zh-CN"/>
        </w:rPr>
        <w:t>）</w:t>
      </w:r>
      <w:r>
        <w:rPr>
          <w:rFonts w:hint="eastAsia" w:ascii="宋体" w:hAnsi="宋体" w:eastAsia="宋体" w:cs="宋体"/>
          <w:color w:val="auto"/>
          <w:szCs w:val="21"/>
          <w:highlight w:val="none"/>
        </w:rPr>
        <w:t>招标文件的全部内容，</w:t>
      </w:r>
      <w:r>
        <w:rPr>
          <w:rFonts w:hint="eastAsia" w:ascii="宋体" w:hAnsi="宋体" w:eastAsia="宋体" w:cs="宋体"/>
          <w:snapToGrid w:val="0"/>
          <w:color w:val="auto"/>
          <w:kern w:val="0"/>
          <w:szCs w:val="21"/>
          <w:highlight w:val="none"/>
        </w:rPr>
        <w:t>愿意以人民币（大写）</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）的投标总报价进行报价</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rPr>
        <w:t>该工程</w:t>
      </w:r>
      <w:r>
        <w:rPr>
          <w:rFonts w:hint="eastAsia" w:ascii="宋体" w:hAnsi="宋体" w:eastAsia="宋体" w:cs="宋体"/>
          <w:snapToGrid w:val="0"/>
          <w:color w:val="auto"/>
          <w:kern w:val="0"/>
          <w:highlight w:val="none"/>
        </w:rPr>
        <w:t>项目经理为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，项目总工为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szCs w:val="21"/>
          <w:highlight w:val="none"/>
        </w:rPr>
        <w:t>，委托代理人为：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rPr>
        <w:t>工期：</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，缺陷责任期：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，按合同约定实施和完成承包工程，修补工程中的任何缺陷， 工程质量：</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，安全目标：</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 我方承诺响应招标文件规定的投标有效期，在投标有效期内不修改、撤销投标文件。</w:t>
      </w:r>
    </w:p>
    <w:p>
      <w:pPr>
        <w:keepNext w:val="0"/>
        <w:keepLines w:val="0"/>
        <w:pageBreakBefore w:val="0"/>
        <w:widowControl w:val="0"/>
        <w:tabs>
          <w:tab w:val="left" w:pos="2730"/>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 随同本投标函提交投标保证金一份，金额为人民币（大写）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u w:val="single"/>
        </w:rPr>
        <w:t>　　　</w:t>
      </w:r>
      <w:r>
        <w:rPr>
          <w:rFonts w:hint="eastAsia" w:ascii="宋体" w:hAnsi="宋体" w:eastAsia="宋体" w:cs="宋体"/>
          <w:snapToGrid w:val="0"/>
          <w:color w:val="auto"/>
          <w:kern w:val="0"/>
          <w:szCs w:val="21"/>
          <w:highlight w:val="none"/>
        </w:rPr>
        <w:t>）。投标保证金有效期与投标有效期一致，在此期间，若我方违反招投标有关法律、法规及本招标文件的相关规定，投标保证金的受益人为招标人。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 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（3）我方承诺按照招标文件规定向你方递交履约担保。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5</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我方承诺以不低于招标文件</w:t>
      </w:r>
      <w:r>
        <w:rPr>
          <w:rFonts w:hint="eastAsia" w:ascii="宋体" w:hAnsi="宋体" w:eastAsia="宋体" w:cs="宋体"/>
          <w:snapToGrid w:val="0"/>
          <w:color w:val="auto"/>
          <w:kern w:val="0"/>
          <w:szCs w:val="21"/>
          <w:highlight w:val="none"/>
        </w:rPr>
        <w:t>第七章</w:t>
      </w:r>
      <w:r>
        <w:rPr>
          <w:rFonts w:hint="eastAsia" w:ascii="宋体" w:hAnsi="宋体" w:eastAsia="宋体" w:cs="宋体"/>
          <w:snapToGrid w:val="0"/>
          <w:color w:val="auto"/>
          <w:kern w:val="0"/>
          <w:szCs w:val="21"/>
          <w:highlight w:val="none"/>
          <w:lang w:val="en-US" w:eastAsia="zh-CN"/>
        </w:rPr>
        <w:t xml:space="preserve"> </w:t>
      </w:r>
      <w:r>
        <w:rPr>
          <w:rFonts w:hint="eastAsia" w:ascii="宋体" w:hAnsi="宋体" w:eastAsia="宋体" w:cs="宋体"/>
          <w:snapToGrid w:val="0"/>
          <w:color w:val="auto"/>
          <w:kern w:val="0"/>
          <w:szCs w:val="21"/>
          <w:highlight w:val="none"/>
        </w:rPr>
        <w:t>技术标准和要求</w:t>
      </w:r>
      <w:r>
        <w:rPr>
          <w:rFonts w:hint="eastAsia" w:ascii="宋体" w:hAnsi="宋体" w:eastAsia="宋体" w:cs="宋体"/>
          <w:snapToGrid w:val="0"/>
          <w:color w:val="auto"/>
          <w:kern w:val="0"/>
          <w:szCs w:val="21"/>
          <w:highlight w:val="none"/>
          <w:lang w:val="en-US" w:eastAsia="zh-CN"/>
        </w:rPr>
        <w:t>中所列的技术指标和参数要求完成全部合同工程。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u w:val="single"/>
          <w:lang w:val="en-US" w:eastAsia="zh-CN"/>
        </w:rPr>
      </w:pPr>
      <w:r>
        <w:rPr>
          <w:rFonts w:hint="eastAsia" w:ascii="宋体" w:hAnsi="宋体" w:eastAsia="宋体" w:cs="宋体"/>
          <w:snapToGrid w:val="0"/>
          <w:color w:val="auto"/>
          <w:kern w:val="0"/>
          <w:szCs w:val="21"/>
          <w:highlight w:val="none"/>
        </w:rPr>
        <w:t>5. 我方</w:t>
      </w:r>
      <w:r>
        <w:rPr>
          <w:rFonts w:hint="eastAsia" w:ascii="宋体" w:hAnsi="宋体" w:eastAsia="宋体" w:cs="宋体"/>
          <w:snapToGrid w:val="0"/>
          <w:color w:val="auto"/>
          <w:spacing w:val="-2"/>
          <w:kern w:val="0"/>
          <w:szCs w:val="21"/>
          <w:highlight w:val="none"/>
        </w:rPr>
        <w:t>在此声明，所递交的投标文件及有关资料内容完整、真实和准确，且不存在第二章“投标人</w:t>
      </w:r>
      <w:r>
        <w:rPr>
          <w:rFonts w:hint="eastAsia" w:ascii="宋体" w:hAnsi="宋体" w:eastAsia="宋体" w:cs="宋体"/>
          <w:snapToGrid w:val="0"/>
          <w:color w:val="auto"/>
          <w:kern w:val="0"/>
          <w:szCs w:val="21"/>
          <w:highlight w:val="none"/>
        </w:rPr>
        <w:t>须知”第 1.4.3 项规定的任何一种情形。同时我方承诺接受招标文件及附件、澄清及修改通知中所有的内容。</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rPr>
        <w:t>6</w:t>
      </w: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（其他补充说明）</w:t>
      </w:r>
      <w:r>
        <w:rPr>
          <w:rFonts w:hint="eastAsia" w:ascii="宋体" w:hAnsi="宋体" w:eastAsia="宋体" w:cs="宋体"/>
          <w:snapToGrid w:val="0"/>
          <w:color w:val="auto"/>
          <w:kern w:val="0"/>
          <w:szCs w:val="21"/>
          <w:highlight w:val="none"/>
        </w:rPr>
        <w:t>。</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地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网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单位电话（座机）：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委托代理人电话（手机）：</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传    真：</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邮政编码：</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right"/>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pStyle w:val="5"/>
        <w:spacing w:before="0" w:line="360" w:lineRule="auto"/>
        <w:jc w:val="center"/>
        <w:outlineLvl w:val="1"/>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highlight w:val="none"/>
        </w:rPr>
        <w:br w:type="page"/>
      </w:r>
      <w:bookmarkStart w:id="413" w:name="_Toc27251"/>
      <w:bookmarkStart w:id="414" w:name="_Toc534185832"/>
      <w:bookmarkStart w:id="415" w:name="_Toc6551"/>
      <w:bookmarkStart w:id="416" w:name="_Toc509218855"/>
      <w:bookmarkStart w:id="417" w:name="_Toc287620816"/>
      <w:bookmarkStart w:id="418" w:name="_Toc430530532"/>
      <w:bookmarkStart w:id="419" w:name="_Toc277082645"/>
      <w:bookmarkStart w:id="420" w:name="_Toc287607869"/>
      <w:bookmarkStart w:id="421" w:name="_Toc224103497"/>
      <w:r>
        <w:rPr>
          <w:rFonts w:hint="eastAsia" w:ascii="宋体" w:hAnsi="宋体" w:eastAsia="宋体" w:cs="宋体"/>
          <w:b w:val="0"/>
          <w:bCs w:val="0"/>
          <w:color w:val="auto"/>
          <w:highlight w:val="none"/>
        </w:rPr>
        <w:t>（二）投标函附录</w:t>
      </w:r>
      <w:bookmarkEnd w:id="413"/>
      <w:bookmarkEnd w:id="414"/>
      <w:bookmarkEnd w:id="415"/>
      <w:bookmarkEnd w:id="416"/>
    </w:p>
    <w:tbl>
      <w:tblPr>
        <w:tblStyle w:val="34"/>
        <w:tblW w:w="867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429"/>
        <w:gridCol w:w="1392"/>
        <w:gridCol w:w="3286"/>
        <w:gridCol w:w="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20"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序号</w:t>
            </w:r>
          </w:p>
        </w:tc>
        <w:tc>
          <w:tcPr>
            <w:tcW w:w="2429"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条款名称</w:t>
            </w:r>
          </w:p>
        </w:tc>
        <w:tc>
          <w:tcPr>
            <w:tcW w:w="1392"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rPr>
              <w:t>合同</w:t>
            </w:r>
            <w:r>
              <w:rPr>
                <w:rFonts w:hint="eastAsia" w:ascii="宋体" w:hAnsi="宋体" w:eastAsia="宋体" w:cs="宋体"/>
                <w:b/>
                <w:bCs/>
                <w:color w:val="auto"/>
                <w:spacing w:val="1"/>
                <w:szCs w:val="22"/>
                <w:highlight w:val="none"/>
                <w:lang w:eastAsia="en-US"/>
              </w:rPr>
              <w:t>条目号</w:t>
            </w:r>
          </w:p>
        </w:tc>
        <w:tc>
          <w:tcPr>
            <w:tcW w:w="3286"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约定内容</w:t>
            </w:r>
          </w:p>
        </w:tc>
        <w:tc>
          <w:tcPr>
            <w:tcW w:w="85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w:t>
            </w:r>
          </w:p>
        </w:tc>
        <w:tc>
          <w:tcPr>
            <w:tcW w:w="2429"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pacing w:val="1"/>
                <w:szCs w:val="22"/>
                <w:highlight w:val="none"/>
                <w:lang w:eastAsia="en-US"/>
              </w:rPr>
              <w:t>缺陷责任期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24</w:t>
            </w:r>
            <w:r>
              <w:rPr>
                <w:rFonts w:hint="eastAsia" w:ascii="宋体" w:hAnsi="宋体" w:eastAsia="宋体" w:cs="宋体"/>
                <w:color w:val="auto"/>
                <w:szCs w:val="22"/>
                <w:highlight w:val="none"/>
                <w:u w:val="single"/>
              </w:rPr>
              <w:t>月</w:t>
            </w:r>
          </w:p>
        </w:tc>
        <w:tc>
          <w:tcPr>
            <w:tcW w:w="850" w:type="dxa"/>
            <w:vAlign w:val="center"/>
          </w:tcPr>
          <w:p>
            <w:pPr>
              <w:keepNext w:val="0"/>
              <w:keepLines w:val="0"/>
              <w:suppressLineNumbers w:val="0"/>
              <w:tabs>
                <w:tab w:val="left" w:pos="2190"/>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val="en-US" w:eastAsia="zh-CN"/>
              </w:rPr>
              <w:t>2</w:t>
            </w:r>
          </w:p>
        </w:tc>
        <w:tc>
          <w:tcPr>
            <w:tcW w:w="2429"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color w:val="auto"/>
                <w:spacing w:val="1"/>
                <w:szCs w:val="22"/>
                <w:highlight w:val="none"/>
                <w:lang w:eastAsia="en-US"/>
              </w:rPr>
            </w:pPr>
            <w:r>
              <w:rPr>
                <w:rFonts w:hint="eastAsia" w:ascii="宋体" w:hAnsi="宋体" w:eastAsia="宋体" w:cs="宋体"/>
                <w:color w:val="auto"/>
                <w:spacing w:val="1"/>
                <w:szCs w:val="22"/>
                <w:highlight w:val="none"/>
                <w:lang w:eastAsia="en-US"/>
              </w:rPr>
              <w:t>保修期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5</w:t>
            </w:r>
            <w:r>
              <w:rPr>
                <w:rFonts w:hint="eastAsia" w:ascii="宋体" w:hAnsi="宋体" w:eastAsia="宋体" w:cs="宋体"/>
                <w:color w:val="auto"/>
                <w:szCs w:val="22"/>
                <w:highlight w:val="none"/>
              </w:rPr>
              <w:t>年</w:t>
            </w:r>
          </w:p>
        </w:tc>
        <w:tc>
          <w:tcPr>
            <w:tcW w:w="85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bl>
    <w:p>
      <w:pPr>
        <w:spacing w:line="360" w:lineRule="auto"/>
        <w:rPr>
          <w:rFonts w:hint="eastAsia" w:ascii="宋体" w:hAnsi="宋体" w:eastAsia="宋体" w:cs="宋体"/>
          <w:snapToGrid w:val="0"/>
          <w:color w:val="auto"/>
          <w:highlight w:val="none"/>
        </w:rPr>
      </w:pPr>
    </w:p>
    <w:p>
      <w:pPr>
        <w:tabs>
          <w:tab w:val="left" w:pos="7140"/>
          <w:tab w:val="left" w:pos="7560"/>
          <w:tab w:val="left" w:pos="8300"/>
        </w:tabs>
        <w:autoSpaceDE w:val="0"/>
        <w:autoSpaceDN w:val="0"/>
        <w:adjustRightInd w:val="0"/>
        <w:spacing w:line="360" w:lineRule="auto"/>
        <w:ind w:right="21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pStyle w:val="2"/>
        <w:rPr>
          <w:rFonts w:hint="eastAsia" w:ascii="宋体" w:hAnsi="宋体" w:eastAsia="宋体" w:cs="宋体"/>
          <w:snapToGrid w:val="0"/>
          <w:color w:val="auto"/>
          <w:kern w:val="0"/>
          <w:szCs w:val="21"/>
          <w:highlight w:val="none"/>
        </w:rPr>
      </w:pPr>
    </w:p>
    <w:p>
      <w:pPr>
        <w:pStyle w:val="2"/>
        <w:jc w:val="right"/>
        <w:rPr>
          <w:rFonts w:hint="eastAsia" w:ascii="宋体" w:hAnsi="宋体" w:eastAsia="宋体" w:cs="宋体"/>
          <w:color w:val="auto"/>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r>
        <w:rPr>
          <w:rFonts w:hint="eastAsia" w:ascii="宋体" w:hAnsi="宋体" w:eastAsia="宋体" w:cs="宋体"/>
          <w:color w:val="auto"/>
          <w:highlight w:val="none"/>
        </w:rPr>
        <w:br w:type="page"/>
      </w:r>
    </w:p>
    <w:p>
      <w:pPr>
        <w:pStyle w:val="5"/>
        <w:spacing w:before="0" w:line="360" w:lineRule="auto"/>
        <w:jc w:val="center"/>
        <w:outlineLvl w:val="1"/>
        <w:rPr>
          <w:rFonts w:hint="eastAsia" w:ascii="宋体" w:hAnsi="宋体" w:eastAsia="宋体" w:cs="宋体"/>
          <w:b w:val="0"/>
          <w:bCs w:val="0"/>
          <w:color w:val="auto"/>
          <w:highlight w:val="none"/>
        </w:rPr>
      </w:pPr>
      <w:bookmarkStart w:id="422" w:name="_Toc20072"/>
      <w:bookmarkStart w:id="423" w:name="_Toc29609"/>
      <w:r>
        <w:rPr>
          <w:rFonts w:hint="eastAsia" w:ascii="宋体" w:hAnsi="宋体" w:eastAsia="宋体" w:cs="宋体"/>
          <w:b w:val="0"/>
          <w:bCs w:val="0"/>
          <w:color w:val="auto"/>
          <w:highlight w:val="none"/>
        </w:rPr>
        <w:t>（三）法定代表人身份证明或附有法定代表人身份证明的授权委托书</w:t>
      </w:r>
      <w:bookmarkEnd w:id="417"/>
      <w:bookmarkEnd w:id="418"/>
      <w:bookmarkEnd w:id="419"/>
      <w:bookmarkEnd w:id="420"/>
      <w:bookmarkEnd w:id="421"/>
      <w:bookmarkEnd w:id="422"/>
      <w:bookmarkEnd w:id="423"/>
    </w:p>
    <w:p>
      <w:pPr>
        <w:spacing w:line="480" w:lineRule="auto"/>
        <w:jc w:val="center"/>
        <w:outlineLvl w:val="1"/>
        <w:rPr>
          <w:rFonts w:hint="eastAsia" w:ascii="宋体" w:hAnsi="宋体" w:eastAsia="宋体" w:cs="宋体"/>
          <w:color w:val="auto"/>
          <w:sz w:val="28"/>
          <w:highlight w:val="none"/>
        </w:rPr>
      </w:pPr>
      <w:bookmarkStart w:id="424" w:name="_Toc32072"/>
      <w:bookmarkStart w:id="425" w:name="_Toc25663"/>
      <w:r>
        <w:rPr>
          <w:rFonts w:hint="eastAsia" w:ascii="宋体" w:hAnsi="宋体" w:eastAsia="宋体" w:cs="宋体"/>
          <w:color w:val="auto"/>
          <w:sz w:val="28"/>
          <w:highlight w:val="none"/>
        </w:rPr>
        <w:t>法定代表人身份证明</w:t>
      </w:r>
      <w:bookmarkEnd w:id="424"/>
      <w:bookmarkEnd w:id="425"/>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5460"/>
        </w:tabs>
        <w:autoSpaceDE w:val="0"/>
        <w:autoSpaceDN w:val="0"/>
        <w:adjustRightInd w:val="0"/>
        <w:snapToGrid w:val="0"/>
        <w:spacing w:line="480" w:lineRule="auto"/>
        <w:ind w:firstLine="21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1"/>
        <w:rPr>
          <w:rFonts w:hint="eastAsia" w:ascii="宋体" w:hAnsi="宋体" w:eastAsia="宋体" w:cs="宋体"/>
          <w:color w:val="auto"/>
          <w:kern w:val="0"/>
          <w:sz w:val="12"/>
          <w:szCs w:val="12"/>
          <w:highlight w:val="none"/>
        </w:rPr>
      </w:pPr>
      <w:r>
        <w:rPr>
          <w:rFonts w:hint="eastAsia" w:ascii="宋体" w:hAnsi="宋体" w:eastAsia="宋体" w:cs="宋体"/>
          <w:b/>
          <w:color w:val="auto"/>
          <w:kern w:val="0"/>
          <w:sz w:val="28"/>
          <w:szCs w:val="28"/>
          <w:highlight w:val="none"/>
        </w:rPr>
        <w:br w:type="page"/>
      </w:r>
      <w:bookmarkStart w:id="426" w:name="_Toc31307"/>
      <w:bookmarkStart w:id="427" w:name="_Toc32670"/>
      <w:r>
        <w:rPr>
          <w:rFonts w:hint="eastAsia" w:ascii="宋体" w:hAnsi="宋体" w:eastAsia="宋体" w:cs="宋体"/>
          <w:snapToGrid w:val="0"/>
          <w:color w:val="auto"/>
          <w:kern w:val="0"/>
          <w:sz w:val="32"/>
          <w:szCs w:val="32"/>
          <w:highlight w:val="none"/>
        </w:rPr>
        <w:t>授权委托书</w:t>
      </w:r>
      <w:bookmarkEnd w:id="426"/>
      <w:bookmarkEnd w:id="427"/>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项目名称</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spacing w:line="360" w:lineRule="auto"/>
        <w:ind w:firstLine="420" w:firstLineChars="200"/>
        <w:jc w:val="center"/>
        <w:rPr>
          <w:rFonts w:hint="eastAsia" w:ascii="宋体" w:hAnsi="宋体" w:eastAsia="宋体" w:cs="宋体"/>
          <w:snapToGrid w:val="0"/>
          <w:color w:val="auto"/>
          <w:kern w:val="0"/>
          <w:sz w:val="32"/>
          <w:szCs w:val="32"/>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28" w:name="_Toc224103500"/>
      <w:r>
        <w:rPr>
          <w:rFonts w:hint="eastAsia" w:ascii="宋体" w:hAnsi="宋体" w:eastAsia="宋体" w:cs="宋体"/>
          <w:color w:val="auto"/>
          <w:highlight w:val="none"/>
        </w:rPr>
        <w:br w:type="page"/>
      </w:r>
      <w:bookmarkEnd w:id="428"/>
      <w:bookmarkStart w:id="429" w:name="_Toc7263"/>
      <w:bookmarkStart w:id="430" w:name="_Toc11820"/>
      <w:r>
        <w:rPr>
          <w:rFonts w:hint="eastAsia" w:ascii="宋体" w:hAnsi="宋体" w:eastAsia="宋体" w:cs="宋体"/>
          <w:b w:val="0"/>
          <w:bCs w:val="0"/>
          <w:color w:val="auto"/>
          <w:sz w:val="44"/>
          <w:szCs w:val="44"/>
          <w:highlight w:val="none"/>
        </w:rPr>
        <w:t>二、经济部分</w:t>
      </w:r>
      <w:bookmarkEnd w:id="429"/>
      <w:bookmarkEnd w:id="430"/>
    </w:p>
    <w:p>
      <w:pPr>
        <w:autoSpaceDE w:val="0"/>
        <w:autoSpaceDN w:val="0"/>
        <w:adjustRightInd w:val="0"/>
        <w:snapToGrid w:val="0"/>
        <w:spacing w:line="360" w:lineRule="auto"/>
        <w:jc w:val="center"/>
        <w:rPr>
          <w:rFonts w:hint="eastAsia" w:ascii="宋体" w:hAnsi="宋体" w:eastAsia="宋体" w:cs="宋体"/>
          <w:color w:val="auto"/>
          <w:sz w:val="32"/>
          <w:szCs w:val="32"/>
          <w:highlight w:val="none"/>
        </w:rPr>
      </w:pPr>
    </w:p>
    <w:p>
      <w:pPr>
        <w:tabs>
          <w:tab w:val="left" w:pos="3280"/>
          <w:tab w:val="left" w:pos="4680"/>
          <w:tab w:val="left" w:pos="6080"/>
        </w:tabs>
        <w:autoSpaceDE w:val="0"/>
        <w:autoSpaceDN w:val="0"/>
        <w:adjustRightInd w:val="0"/>
        <w:snapToGrid w:val="0"/>
        <w:spacing w:after="156" w:afterLines="50" w:line="360" w:lineRule="auto"/>
        <w:jc w:val="center"/>
        <w:rPr>
          <w:rFonts w:hint="eastAsia" w:ascii="宋体" w:hAnsi="宋体" w:eastAsia="宋体" w:cs="宋体"/>
          <w:color w:val="auto"/>
          <w:kern w:val="0"/>
          <w:sz w:val="24"/>
          <w:szCs w:val="21"/>
          <w:highlight w:val="none"/>
        </w:rPr>
      </w:pPr>
      <w:r>
        <w:rPr>
          <w:rFonts w:hint="eastAsia" w:ascii="宋体" w:hAnsi="宋体" w:eastAsia="宋体" w:cs="宋体"/>
          <w:color w:val="auto"/>
          <w:sz w:val="32"/>
          <w:szCs w:val="32"/>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pStyle w:val="5"/>
        <w:spacing w:before="0" w:after="0" w:line="240" w:lineRule="auto"/>
        <w:jc w:val="center"/>
        <w:rPr>
          <w:rFonts w:hint="eastAsia" w:ascii="宋体" w:hAnsi="宋体" w:eastAsia="宋体" w:cs="宋体"/>
          <w:b w:val="0"/>
          <w:bCs w:val="0"/>
          <w:color w:val="auto"/>
          <w:highlight w:val="none"/>
        </w:rPr>
      </w:pPr>
      <w:bookmarkStart w:id="431" w:name="_Toc277082648"/>
      <w:bookmarkStart w:id="432" w:name="_Toc224103501"/>
      <w:bookmarkStart w:id="433" w:name="_Toc287607873"/>
      <w:bookmarkStart w:id="434" w:name="_Toc287620820"/>
      <w:bookmarkStart w:id="435" w:name="_Toc430530535"/>
      <w:r>
        <w:rPr>
          <w:rFonts w:hint="eastAsia" w:ascii="宋体" w:hAnsi="宋体" w:eastAsia="宋体" w:cs="宋体"/>
          <w:b w:val="0"/>
          <w:bCs w:val="0"/>
          <w:color w:val="auto"/>
          <w:kern w:val="0"/>
          <w:sz w:val="21"/>
          <w:szCs w:val="21"/>
          <w:highlight w:val="none"/>
        </w:rPr>
        <w:br w:type="page"/>
      </w:r>
      <w:bookmarkStart w:id="436" w:name="_Toc10606"/>
      <w:bookmarkStart w:id="437" w:name="_Toc6790"/>
      <w:r>
        <w:rPr>
          <w:rFonts w:hint="eastAsia" w:ascii="宋体" w:hAnsi="宋体" w:eastAsia="宋体" w:cs="宋体"/>
          <w:b w:val="0"/>
          <w:bCs w:val="0"/>
          <w:color w:val="auto"/>
          <w:highlight w:val="none"/>
        </w:rPr>
        <w:t>（一）已标价工程量清单</w:t>
      </w:r>
      <w:bookmarkEnd w:id="431"/>
      <w:bookmarkEnd w:id="432"/>
      <w:bookmarkEnd w:id="433"/>
      <w:bookmarkEnd w:id="434"/>
      <w:bookmarkEnd w:id="435"/>
      <w:bookmarkEnd w:id="436"/>
      <w:bookmarkEnd w:id="437"/>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438" w:name="_Toc15718"/>
      <w:r>
        <w:rPr>
          <w:rFonts w:hint="eastAsia" w:ascii="宋体" w:hAnsi="宋体" w:eastAsia="宋体" w:cs="宋体"/>
          <w:b w:val="0"/>
          <w:bCs w:val="0"/>
          <w:color w:val="auto"/>
          <w:sz w:val="44"/>
          <w:szCs w:val="44"/>
          <w:highlight w:val="none"/>
        </w:rPr>
        <w:t>三、商务部分</w:t>
      </w:r>
      <w:bookmarkEnd w:id="438"/>
    </w:p>
    <w:p>
      <w:pPr>
        <w:tabs>
          <w:tab w:val="left" w:pos="3280"/>
          <w:tab w:val="left" w:pos="4680"/>
          <w:tab w:val="left" w:pos="6080"/>
        </w:tabs>
        <w:autoSpaceDE w:val="0"/>
        <w:autoSpaceDN w:val="0"/>
        <w:adjustRightInd w:val="0"/>
        <w:snapToGrid w:val="0"/>
        <w:spacing w:after="156" w:afterLines="50" w:line="360" w:lineRule="auto"/>
        <w:jc w:val="center"/>
        <w:outlineLvl w:val="1"/>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8"/>
          <w:szCs w:val="28"/>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spacing w:line="360" w:lineRule="auto"/>
        <w:ind w:firstLine="420" w:firstLineChars="200"/>
        <w:outlineLvl w:val="9"/>
        <w:rPr>
          <w:rFonts w:hint="eastAsia" w:ascii="宋体" w:hAnsi="宋体" w:eastAsia="宋体" w:cs="宋体"/>
          <w:b w:val="0"/>
          <w:color w:val="auto"/>
          <w:highlight w:val="none"/>
          <w:lang w:val="en-US" w:eastAsia="zh-CN"/>
        </w:rPr>
      </w:pPr>
      <w:r>
        <w:rPr>
          <w:rFonts w:hint="eastAsia" w:ascii="宋体" w:hAnsi="宋体" w:eastAsia="宋体" w:cs="宋体"/>
          <w:b w:val="0"/>
          <w:color w:val="auto"/>
          <w:highlight w:val="none"/>
          <w:lang w:eastAsia="zh-CN"/>
        </w:rPr>
        <w:t>（</w:t>
      </w:r>
      <w:r>
        <w:rPr>
          <w:rFonts w:hint="eastAsia" w:ascii="宋体" w:hAnsi="宋体" w:eastAsia="宋体" w:cs="宋体"/>
          <w:b w:val="0"/>
          <w:color w:val="auto"/>
          <w:highlight w:val="none"/>
          <w:lang w:val="en-US" w:eastAsia="zh-CN"/>
        </w:rPr>
        <w:t>一</w:t>
      </w:r>
      <w:r>
        <w:rPr>
          <w:rFonts w:hint="eastAsia" w:ascii="宋体" w:hAnsi="宋体" w:eastAsia="宋体" w:cs="宋体"/>
          <w:b w:val="0"/>
          <w:color w:val="auto"/>
          <w:highlight w:val="none"/>
          <w:lang w:eastAsia="zh-CN"/>
        </w:rPr>
        <w:t>）</w:t>
      </w:r>
      <w:r>
        <w:rPr>
          <w:rFonts w:hint="eastAsia" w:ascii="宋体" w:hAnsi="宋体" w:eastAsia="宋体" w:cs="宋体"/>
          <w:b w:val="0"/>
          <w:color w:val="auto"/>
          <w:highlight w:val="none"/>
          <w:lang w:val="en-US" w:eastAsia="zh-CN"/>
        </w:rPr>
        <w:t>业绩</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pStyle w:val="4"/>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39" w:name="_Toc14100"/>
      <w:r>
        <w:rPr>
          <w:rFonts w:hint="eastAsia" w:ascii="宋体" w:hAnsi="宋体" w:eastAsia="宋体" w:cs="宋体"/>
          <w:color w:val="auto"/>
          <w:sz w:val="44"/>
          <w:szCs w:val="44"/>
          <w:highlight w:val="none"/>
        </w:rPr>
        <w:t>四、</w:t>
      </w:r>
      <w:r>
        <w:rPr>
          <w:rFonts w:hint="eastAsia" w:ascii="宋体" w:hAnsi="宋体" w:eastAsia="宋体" w:cs="宋体"/>
          <w:b w:val="0"/>
          <w:bCs w:val="0"/>
          <w:color w:val="auto"/>
          <w:sz w:val="44"/>
          <w:szCs w:val="44"/>
          <w:highlight w:val="none"/>
        </w:rPr>
        <w:t>技术部分</w:t>
      </w:r>
      <w:bookmarkEnd w:id="439"/>
    </w:p>
    <w:p>
      <w:pPr>
        <w:jc w:val="center"/>
        <w:rPr>
          <w:rFonts w:hint="eastAsia" w:ascii="宋体" w:hAnsi="宋体" w:eastAsia="宋体" w:cs="宋体"/>
          <w:i/>
          <w:iCs/>
          <w:color w:val="auto"/>
          <w:highlight w:val="none"/>
        </w:rPr>
      </w:pPr>
      <w:bookmarkStart w:id="440" w:name="_Toc430530537"/>
      <w:bookmarkStart w:id="441" w:name="_Toc536628352"/>
      <w:bookmarkStart w:id="442" w:name="_Toc534185833"/>
      <w:bookmarkStart w:id="443" w:name="_Toc509218856"/>
    </w:p>
    <w:bookmarkEnd w:id="440"/>
    <w:bookmarkEnd w:id="441"/>
    <w:bookmarkEnd w:id="442"/>
    <w:bookmarkEnd w:id="443"/>
    <w:p>
      <w:pPr>
        <w:jc w:val="center"/>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sz w:val="44"/>
          <w:szCs w:val="44"/>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 w:val="44"/>
          <w:szCs w:val="44"/>
          <w:highlight w:val="none"/>
        </w:rPr>
        <w:br w:type="page"/>
      </w:r>
      <w:r>
        <w:rPr>
          <w:rFonts w:hint="eastAsia" w:ascii="宋体" w:hAnsi="宋体" w:eastAsia="宋体" w:cs="宋体"/>
          <w:color w:val="auto"/>
          <w:kern w:val="0"/>
          <w:sz w:val="36"/>
          <w:szCs w:val="36"/>
          <w:highlight w:val="none"/>
        </w:rPr>
        <w:t>目  录</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bookmarkStart w:id="444" w:name="_Toc586"/>
      <w:r>
        <w:rPr>
          <w:rFonts w:hint="eastAsia" w:ascii="宋体" w:hAnsi="宋体" w:eastAsia="宋体" w:cs="宋体"/>
          <w:b w:val="0"/>
          <w:bCs w:val="0"/>
          <w:color w:val="auto"/>
          <w:sz w:val="36"/>
          <w:szCs w:val="36"/>
          <w:highlight w:val="none"/>
        </w:rPr>
        <w:t>（一）</w:t>
      </w:r>
      <w:r>
        <w:rPr>
          <w:rFonts w:hint="eastAsia" w:ascii="宋体" w:hAnsi="宋体" w:eastAsia="宋体" w:cs="宋体"/>
          <w:b w:val="0"/>
          <w:bCs w:val="0"/>
          <w:color w:val="auto"/>
          <w:highlight w:val="none"/>
        </w:rPr>
        <w:t>技术方案</w:t>
      </w:r>
      <w:bookmarkEnd w:id="444"/>
    </w:p>
    <w:p>
      <w:pPr>
        <w:autoSpaceDE w:val="0"/>
        <w:autoSpaceDN w:val="0"/>
        <w:adjustRightInd w:val="0"/>
        <w:snapToGrid w:val="0"/>
        <w:spacing w:line="360" w:lineRule="auto"/>
        <w:jc w:val="left"/>
        <w:rPr>
          <w:rFonts w:hint="eastAsia" w:ascii="宋体" w:hAnsi="宋体" w:eastAsia="宋体" w:cs="宋体"/>
          <w:color w:val="auto"/>
          <w:kern w:val="0"/>
          <w:sz w:val="12"/>
          <w:szCs w:val="12"/>
          <w:highlight w:val="none"/>
        </w:rPr>
      </w:pPr>
    </w:p>
    <w:p>
      <w:pPr>
        <w:pStyle w:val="2"/>
        <w:spacing w:line="360" w:lineRule="auto"/>
        <w:ind w:firstLine="420" w:firstLineChars="200"/>
        <w:jc w:val="center"/>
        <w:rPr>
          <w:rFonts w:hint="eastAsia"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[投标人应根据招标文件的要求编制技术方案]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highlight w:val="none"/>
        </w:rPr>
        <w:t xml:space="preserve"> 投标人应按以下要点（如有）编制技术方案（文字宜精炼、内容具有针对性）：</w:t>
      </w:r>
    </w:p>
    <w:p>
      <w:pPr>
        <w:pStyle w:val="2"/>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1.1关键设备</w:t>
      </w:r>
    </w:p>
    <w:p>
      <w:pPr>
        <w:pStyle w:val="2"/>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1.2施工组织设计</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（1）总体施工组织布置及规划；</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（2）主要工程项目的施工方案、方法与技术措施（尤其对重点、关键和难点工程的施工方案、方法及措施）；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（3）工期</w:t>
      </w:r>
      <w:r>
        <w:rPr>
          <w:rFonts w:hint="eastAsia" w:ascii="宋体" w:hAnsi="宋体" w:eastAsia="宋体" w:cs="宋体"/>
          <w:color w:val="auto"/>
          <w:kern w:val="2"/>
          <w:sz w:val="21"/>
          <w:szCs w:val="21"/>
          <w:highlight w:val="none"/>
          <w:lang w:val="en-US" w:eastAsia="zh-CN" w:bidi="ar-SA"/>
        </w:rPr>
        <w:t>（需包含设备供应计划、人员、机械安排计划等）</w:t>
      </w:r>
      <w:r>
        <w:rPr>
          <w:rFonts w:hint="eastAsia" w:ascii="宋体" w:hAnsi="宋体" w:eastAsia="宋体" w:cs="宋体"/>
          <w:color w:val="auto"/>
          <w:highlight w:val="none"/>
          <w:lang w:eastAsia="zh-CN"/>
        </w:rPr>
        <w:t>和资金</w:t>
      </w:r>
      <w:r>
        <w:rPr>
          <w:rFonts w:hint="eastAsia" w:ascii="宋体" w:hAnsi="宋体" w:eastAsia="宋体" w:cs="宋体"/>
          <w:color w:val="auto"/>
          <w:highlight w:val="none"/>
        </w:rPr>
        <w:t>保证体系及保证措施；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（4）工程质量</w:t>
      </w:r>
      <w:r>
        <w:rPr>
          <w:rFonts w:hint="eastAsia" w:ascii="宋体" w:hAnsi="宋体" w:eastAsia="宋体" w:cs="宋体"/>
          <w:color w:val="auto"/>
          <w:highlight w:val="none"/>
          <w:lang w:eastAsia="zh-CN"/>
        </w:rPr>
        <w:t>、安全、环保、水保</w:t>
      </w:r>
      <w:r>
        <w:rPr>
          <w:rFonts w:hint="eastAsia" w:ascii="宋体" w:hAnsi="宋体" w:eastAsia="宋体" w:cs="宋体"/>
          <w:color w:val="auto"/>
          <w:highlight w:val="none"/>
        </w:rPr>
        <w:t>管理体系及保证措施；</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（5）项目风险预测与防范，事故应急预案</w:t>
      </w:r>
      <w:r>
        <w:rPr>
          <w:rFonts w:hint="eastAsia" w:ascii="宋体" w:hAnsi="宋体" w:eastAsia="宋体" w:cs="宋体"/>
          <w:color w:val="auto"/>
          <w:highlight w:val="none"/>
          <w:lang w:eastAsia="zh-CN"/>
        </w:rPr>
        <w:t>；</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）支付保障措施（有关民工工资等的按期支付保证措施）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）交通组织方案；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）缺陷责任期配合措施；</w:t>
      </w:r>
    </w:p>
    <w:p>
      <w:pPr>
        <w:pStyle w:val="2"/>
        <w:ind w:firstLine="420" w:firstLineChars="200"/>
        <w:rPr>
          <w:rFonts w:hint="eastAsia" w:ascii="宋体" w:hAnsi="宋体" w:eastAsia="宋体" w:cs="宋体"/>
          <w:highlight w:val="none"/>
          <w:lang w:val="en-US" w:eastAsia="zh-CN"/>
        </w:rPr>
      </w:pPr>
      <w:r>
        <w:rPr>
          <w:rFonts w:hint="eastAsia" w:ascii="宋体" w:hAnsi="宋体" w:eastAsia="宋体" w:cs="宋体"/>
          <w:color w:val="auto"/>
          <w:highlight w:val="none"/>
        </w:rPr>
        <w:t>（9）其他应说明的事项。</w:t>
      </w:r>
    </w:p>
    <w:p>
      <w:pPr>
        <w:pStyle w:val="4"/>
        <w:spacing w:line="360" w:lineRule="auto"/>
        <w:jc w:val="center"/>
        <w:outlineLvl w:val="0"/>
        <w:rPr>
          <w:rFonts w:hint="eastAsia" w:ascii="宋体" w:hAnsi="宋体" w:eastAsia="宋体" w:cs="宋体"/>
          <w:color w:val="auto"/>
          <w:sz w:val="44"/>
          <w:szCs w:val="44"/>
          <w:highlight w:val="none"/>
        </w:rPr>
      </w:pPr>
      <w:r>
        <w:rPr>
          <w:rFonts w:hint="eastAsia" w:ascii="宋体" w:hAnsi="宋体" w:eastAsia="宋体" w:cs="宋体"/>
          <w:color w:val="auto"/>
          <w:highlight w:val="none"/>
        </w:rPr>
        <w:br w:type="page"/>
      </w:r>
      <w:bookmarkStart w:id="445" w:name="_Toc18649"/>
      <w:bookmarkStart w:id="446" w:name="_Toc430530545"/>
      <w:bookmarkStart w:id="447" w:name="_Toc287620829"/>
      <w:bookmarkStart w:id="448" w:name="_Toc277082656"/>
      <w:bookmarkStart w:id="449" w:name="_Toc224103510"/>
      <w:bookmarkStart w:id="450" w:name="_Toc287607882"/>
      <w:r>
        <w:rPr>
          <w:rFonts w:hint="eastAsia" w:ascii="宋体" w:hAnsi="宋体" w:eastAsia="宋体" w:cs="宋体"/>
          <w:b w:val="0"/>
          <w:bCs w:val="0"/>
          <w:color w:val="auto"/>
          <w:sz w:val="44"/>
          <w:szCs w:val="44"/>
          <w:highlight w:val="none"/>
        </w:rPr>
        <w:t>五、资格审查资料</w:t>
      </w:r>
      <w:bookmarkEnd w:id="445"/>
      <w:bookmarkEnd w:id="446"/>
      <w:bookmarkEnd w:id="447"/>
      <w:bookmarkEnd w:id="448"/>
      <w:bookmarkEnd w:id="449"/>
      <w:bookmarkEnd w:id="450"/>
    </w:p>
    <w:bookmarkEnd w:id="350"/>
    <w:bookmarkEnd w:id="351"/>
    <w:bookmarkEnd w:id="352"/>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kern w:val="0"/>
          <w:sz w:val="28"/>
          <w:szCs w:val="28"/>
          <w:highlight w:val="none"/>
        </w:rPr>
      </w:pPr>
      <w:bookmarkStart w:id="451" w:name="_Toc27983327"/>
      <w:r>
        <w:rPr>
          <w:rFonts w:hint="eastAsia" w:ascii="宋体" w:hAnsi="宋体" w:eastAsia="宋体" w:cs="宋体"/>
          <w:color w:val="auto"/>
          <w:sz w:val="32"/>
          <w:szCs w:val="32"/>
          <w:highlight w:val="none"/>
        </w:rPr>
        <w:br w:type="page"/>
      </w:r>
    </w:p>
    <w:p>
      <w:pPr>
        <w:autoSpaceDE w:val="0"/>
        <w:autoSpaceDN w:val="0"/>
        <w:adjustRightInd w:val="0"/>
        <w:snapToGrid w:val="0"/>
        <w:jc w:val="center"/>
        <w:rPr>
          <w:rFonts w:hint="eastAsia" w:ascii="宋体" w:hAnsi="宋体" w:eastAsia="宋体" w:cs="宋体"/>
          <w:color w:val="auto"/>
          <w:kern w:val="0"/>
          <w:sz w:val="36"/>
          <w:szCs w:val="36"/>
          <w:highlight w:val="none"/>
        </w:rPr>
      </w:pPr>
    </w:p>
    <w:p>
      <w:pPr>
        <w:autoSpaceDE w:val="0"/>
        <w:autoSpaceDN w:val="0"/>
        <w:adjustRightInd w:val="0"/>
        <w:snapToGrid w:val="0"/>
        <w:jc w:val="center"/>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目  录</w:t>
      </w:r>
    </w:p>
    <w:p>
      <w:pPr>
        <w:spacing w:line="360" w:lineRule="auto"/>
        <w:jc w:val="center"/>
        <w:rPr>
          <w:rFonts w:hint="eastAsia" w:ascii="宋体" w:hAnsi="宋体" w:eastAsia="宋体" w:cs="宋体"/>
          <w:b/>
          <w:color w:val="auto"/>
          <w:kern w:val="0"/>
          <w:sz w:val="32"/>
          <w:szCs w:val="32"/>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（六）承诺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（七）其他资料</w:t>
      </w:r>
    </w:p>
    <w:p>
      <w:pPr>
        <w:spacing w:line="360" w:lineRule="auto"/>
        <w:ind w:firstLine="420" w:firstLineChars="200"/>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bookmarkStart w:id="452" w:name="_Toc33106476"/>
      <w:bookmarkStart w:id="453" w:name="_Toc224103511"/>
      <w:bookmarkStart w:id="454" w:name="_Toc277082657"/>
      <w:bookmarkStart w:id="455" w:name="_Toc287620830"/>
      <w:bookmarkStart w:id="456" w:name="_Toc287607883"/>
      <w:bookmarkStart w:id="457" w:name="_Toc430530546"/>
      <w:r>
        <w:rPr>
          <w:rFonts w:hint="eastAsia" w:ascii="宋体" w:hAnsi="宋体" w:eastAsia="宋体" w:cs="宋体"/>
          <w:b w:val="0"/>
          <w:bCs w:val="0"/>
          <w:color w:val="auto"/>
          <w:highlight w:val="none"/>
        </w:rPr>
        <w:br w:type="page"/>
      </w:r>
      <w:bookmarkStart w:id="458" w:name="_Toc18889"/>
      <w:r>
        <w:rPr>
          <w:rFonts w:hint="eastAsia" w:ascii="宋体" w:hAnsi="宋体" w:eastAsia="宋体" w:cs="宋体"/>
          <w:b w:val="0"/>
          <w:bCs w:val="0"/>
          <w:color w:val="auto"/>
          <w:highlight w:val="none"/>
        </w:rPr>
        <w:t>（一）法定代表人身份证明或附有法定代表人身份证明的授权委托书</w:t>
      </w:r>
      <w:bookmarkEnd w:id="452"/>
      <w:bookmarkEnd w:id="453"/>
      <w:bookmarkEnd w:id="454"/>
      <w:bookmarkEnd w:id="455"/>
      <w:bookmarkEnd w:id="456"/>
      <w:bookmarkEnd w:id="457"/>
      <w:bookmarkEnd w:id="458"/>
    </w:p>
    <w:p>
      <w:pPr>
        <w:spacing w:line="48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法定代表人身份证明</w:t>
      </w:r>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3360"/>
        </w:tabs>
        <w:autoSpaceDE w:val="0"/>
        <w:autoSpaceDN w:val="0"/>
        <w:adjustRightInd w:val="0"/>
        <w:snapToGrid w:val="0"/>
        <w:spacing w:line="480" w:lineRule="auto"/>
        <w:ind w:firstLine="390" w:firstLineChars="186"/>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r>
        <w:rPr>
          <w:rFonts w:hint="eastAsia" w:ascii="宋体" w:hAnsi="宋体" w:eastAsia="宋体" w:cs="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color w:val="auto"/>
          <w:kern w:val="0"/>
          <w:sz w:val="28"/>
          <w:szCs w:val="28"/>
          <w:highlight w:val="none"/>
        </w:rPr>
        <w:br w:type="page"/>
      </w:r>
      <w:r>
        <w:rPr>
          <w:rFonts w:hint="eastAsia" w:ascii="宋体" w:hAnsi="宋体" w:eastAsia="宋体" w:cs="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项目名称</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tabs>
          <w:tab w:val="left" w:pos="6825"/>
        </w:tabs>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2"/>
        <w:rPr>
          <w:rFonts w:hint="eastAsia" w:ascii="宋体" w:hAnsi="宋体" w:eastAsia="宋体" w:cs="宋体"/>
          <w:color w:val="auto"/>
          <w:highlight w:val="none"/>
        </w:rPr>
      </w:pPr>
    </w:p>
    <w:p>
      <w:pPr>
        <w:autoSpaceDE w:val="0"/>
        <w:autoSpaceDN w:val="0"/>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51"/>
    <w:p>
      <w:pPr>
        <w:pStyle w:val="5"/>
        <w:spacing w:before="0" w:after="0" w:line="240" w:lineRule="auto"/>
        <w:jc w:val="center"/>
        <w:rPr>
          <w:rFonts w:hint="eastAsia" w:ascii="宋体" w:hAnsi="宋体" w:eastAsia="宋体" w:cs="宋体"/>
          <w:b w:val="0"/>
          <w:bCs w:val="0"/>
          <w:color w:val="auto"/>
          <w:highlight w:val="none"/>
          <w:lang w:eastAsia="zh-CN"/>
        </w:rPr>
      </w:pPr>
      <w:bookmarkStart w:id="459" w:name="_Toc8598"/>
      <w:bookmarkStart w:id="460" w:name="_Toc16824"/>
      <w:bookmarkStart w:id="461" w:name="_Toc33106478"/>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制造商授权书</w:t>
      </w:r>
      <w:bookmarkEnd w:id="459"/>
      <w:bookmarkEnd w:id="460"/>
    </w:p>
    <w:p>
      <w:pPr>
        <w:pStyle w:val="2"/>
        <w:rPr>
          <w:rFonts w:hint="eastAsia" w:ascii="宋体" w:hAnsi="宋体" w:eastAsia="宋体" w:cs="宋体"/>
          <w:color w:val="auto"/>
          <w:highlight w:val="none"/>
          <w:lang w:eastAsia="zh-CN"/>
        </w:rPr>
      </w:pPr>
    </w:p>
    <w:p>
      <w:pPr>
        <w:spacing w:before="149"/>
        <w:ind w:left="3280" w:right="3393" w:firstLine="0"/>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制造商授权书</w:t>
      </w:r>
    </w:p>
    <w:p>
      <w:pPr>
        <w:pStyle w:val="2"/>
        <w:rPr>
          <w:rFonts w:hint="eastAsia" w:ascii="宋体" w:hAnsi="宋体" w:eastAsia="宋体" w:cs="宋体"/>
          <w:color w:val="auto"/>
          <w:sz w:val="20"/>
          <w:highlight w:val="none"/>
        </w:rPr>
      </w:pPr>
    </w:p>
    <w:p>
      <w:pPr>
        <w:pStyle w:val="2"/>
        <w:rPr>
          <w:rFonts w:hint="eastAsia" w:ascii="宋体" w:hAnsi="宋体" w:eastAsia="宋体" w:cs="宋体"/>
          <w:color w:val="auto"/>
          <w:sz w:val="20"/>
          <w:highlight w:val="none"/>
        </w:rPr>
      </w:pPr>
    </w:p>
    <w:p>
      <w:pPr>
        <w:autoSpaceDE w:val="0"/>
        <w:autoSpaceDN w:val="0"/>
        <w:adjustRightInd w:val="0"/>
        <w:snapToGrid w:val="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（招标人）</w:t>
      </w:r>
    </w:p>
    <w:p>
      <w:pPr>
        <w:pStyle w:val="2"/>
        <w:spacing w:before="3"/>
        <w:rPr>
          <w:rFonts w:hint="eastAsia" w:ascii="宋体" w:hAnsi="宋体" w:eastAsia="宋体" w:cs="宋体"/>
          <w:color w:val="auto"/>
          <w:sz w:val="9"/>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我单位</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（制造商名称）是按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（国家／地区名称）法律成立的一家制造商，主要营业地点设在</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（制造商地址）。兹授权按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（国家／地区</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名称）的法律正式成立的，主要营业地点设在</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（投标人的单位地址）的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（投标人名称）以我单位制造的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（设备名称）进行</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（项目名称）投标活动。我单位同意按照中标合同供货，并对产品质量承担责任。</w:t>
      </w:r>
      <w:r>
        <w:rPr>
          <w:rFonts w:hint="eastAsia" w:ascii="宋体" w:hAnsi="宋体" w:eastAsia="宋体" w:cs="宋体"/>
          <w:color w:val="auto"/>
          <w:kern w:val="0"/>
          <w:szCs w:val="21"/>
          <w:highlight w:val="none"/>
          <w:lang w:val="en-US" w:eastAsia="zh-CN"/>
        </w:rPr>
        <w:t xml:space="preserve"> </w:t>
      </w:r>
    </w:p>
    <w:p>
      <w:pPr>
        <w:autoSpaceDE w:val="0"/>
        <w:autoSpaceDN w:val="0"/>
        <w:adjustRightInd w:val="0"/>
        <w:snapToGrid w:val="0"/>
        <w:jc w:val="both"/>
        <w:rPr>
          <w:rFonts w:hint="eastAsia" w:ascii="宋体" w:hAnsi="宋体" w:eastAsia="宋体" w:cs="宋体"/>
          <w:color w:val="auto"/>
          <w:highlight w:val="none"/>
          <w:lang w:val="en-US" w:eastAsia="zh-CN"/>
        </w:rPr>
      </w:pPr>
      <w:r>
        <w:rPr>
          <w:rFonts w:hint="eastAsia" w:ascii="宋体" w:hAnsi="宋体" w:eastAsia="宋体" w:cs="宋体"/>
          <w:color w:val="auto"/>
          <w:kern w:val="0"/>
          <w:szCs w:val="21"/>
          <w:highlight w:val="none"/>
        </w:rPr>
        <w:t>授权期限：</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2"/>
        <w:rPr>
          <w:rFonts w:hint="eastAsia" w:ascii="宋体" w:hAnsi="宋体" w:eastAsia="宋体" w:cs="宋体"/>
          <w:color w:val="auto"/>
          <w:sz w:val="20"/>
          <w:highlight w:val="none"/>
        </w:rPr>
      </w:pPr>
    </w:p>
    <w:p>
      <w:pPr>
        <w:pStyle w:val="2"/>
        <w:rPr>
          <w:rFonts w:hint="eastAsia" w:ascii="宋体" w:hAnsi="宋体" w:eastAsia="宋体" w:cs="宋体"/>
          <w:color w:val="auto"/>
          <w:sz w:val="20"/>
          <w:highlight w:val="none"/>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26"/>
          <w:highlight w:val="none"/>
        </w:rPr>
      </w:pPr>
    </w:p>
    <w:p>
      <w:pPr>
        <w:pStyle w:val="2"/>
        <w:keepNext w:val="0"/>
        <w:keepLines w:val="0"/>
        <w:pageBreakBefore w:val="0"/>
        <w:widowControl w:val="0"/>
        <w:tabs>
          <w:tab w:val="left" w:pos="3040"/>
          <w:tab w:val="left" w:pos="4512"/>
          <w:tab w:val="left" w:pos="7572"/>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9"/>
          <w:highlight w:val="none"/>
        </w:rPr>
      </w:pPr>
      <w:r>
        <w:rPr>
          <w:rFonts w:hint="eastAsia" w:ascii="宋体" w:hAnsi="宋体" w:eastAsia="宋体" w:cs="宋体"/>
          <w:color w:val="auto"/>
          <w:highlight w:val="none"/>
        </w:rPr>
        <w:t>投标</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名</w:t>
      </w:r>
      <w:r>
        <w:rPr>
          <w:rFonts w:hint="eastAsia" w:ascii="宋体" w:hAnsi="宋体" w:eastAsia="宋体" w:cs="宋体"/>
          <w:color w:val="auto"/>
          <w:spacing w:val="-3"/>
          <w:highlight w:val="none"/>
        </w:rPr>
        <w:t>称</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rPr>
        <w:t>（</w:t>
      </w:r>
      <w:r>
        <w:rPr>
          <w:rFonts w:hint="eastAsia" w:ascii="宋体" w:hAnsi="宋体" w:eastAsia="宋体" w:cs="宋体"/>
          <w:color w:val="auto"/>
          <w:spacing w:val="-3"/>
          <w:highlight w:val="none"/>
        </w:rPr>
        <w:t>盖</w:t>
      </w:r>
      <w:r>
        <w:rPr>
          <w:rFonts w:hint="eastAsia" w:ascii="宋体" w:hAnsi="宋体" w:eastAsia="宋体" w:cs="宋体"/>
          <w:color w:val="auto"/>
          <w:highlight w:val="none"/>
        </w:rPr>
        <w:t>单</w:t>
      </w:r>
      <w:r>
        <w:rPr>
          <w:rFonts w:hint="eastAsia" w:ascii="宋体" w:hAnsi="宋体" w:eastAsia="宋体" w:cs="宋体"/>
          <w:color w:val="auto"/>
          <w:spacing w:val="-3"/>
          <w:highlight w:val="none"/>
        </w:rPr>
        <w:t>位</w:t>
      </w:r>
      <w:r>
        <w:rPr>
          <w:rFonts w:hint="eastAsia" w:ascii="宋体" w:hAnsi="宋体" w:eastAsia="宋体" w:cs="宋体"/>
          <w:color w:val="auto"/>
          <w:highlight w:val="none"/>
        </w:rPr>
        <w:t>章）</w:t>
      </w:r>
      <w:r>
        <w:rPr>
          <w:rFonts w:hint="eastAsia" w:ascii="宋体" w:hAnsi="宋体" w:eastAsia="宋体" w:cs="宋体"/>
          <w:color w:val="auto"/>
          <w:highlight w:val="none"/>
        </w:rPr>
        <w:tab/>
      </w:r>
      <w:r>
        <w:rPr>
          <w:rFonts w:hint="eastAsia" w:ascii="宋体" w:hAnsi="宋体" w:eastAsia="宋体" w:cs="宋体"/>
          <w:color w:val="auto"/>
          <w:spacing w:val="-3"/>
          <w:highlight w:val="none"/>
        </w:rPr>
        <w:t>制造</w:t>
      </w:r>
      <w:r>
        <w:rPr>
          <w:rFonts w:hint="eastAsia" w:ascii="宋体" w:hAnsi="宋体" w:eastAsia="宋体" w:cs="宋体"/>
          <w:color w:val="auto"/>
          <w:highlight w:val="none"/>
        </w:rPr>
        <w:t>商名</w:t>
      </w:r>
      <w:r>
        <w:rPr>
          <w:rFonts w:hint="eastAsia" w:ascii="宋体" w:hAnsi="宋体" w:eastAsia="宋体" w:cs="宋体"/>
          <w:color w:val="auto"/>
          <w:spacing w:val="-3"/>
          <w:highlight w:val="none"/>
        </w:rPr>
        <w:t>称</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rPr>
        <w:t>（盖单位章）</w:t>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10"/>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职</w:t>
      </w:r>
      <w:r>
        <w:rPr>
          <w:rFonts w:hint="eastAsia" w:ascii="宋体" w:hAnsi="宋体" w:eastAsia="宋体" w:cs="宋体"/>
          <w:color w:val="auto"/>
          <w:spacing w:val="-3"/>
          <w:highlight w:val="none"/>
        </w:rPr>
        <w:t>务</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人职</w:t>
      </w:r>
      <w:r>
        <w:rPr>
          <w:rFonts w:hint="eastAsia" w:ascii="宋体" w:hAnsi="宋体" w:eastAsia="宋体" w:cs="宋体"/>
          <w:color w:val="auto"/>
          <w:spacing w:val="-3"/>
          <w:highlight w:val="none"/>
        </w:rPr>
        <w:t>务</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11"/>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姓</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人姓</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签</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人签</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numPr>
          <w:ilvl w:val="0"/>
          <w:numId w:val="0"/>
        </w:numPr>
        <w:rPr>
          <w:rFonts w:hint="eastAsia" w:ascii="宋体" w:hAnsi="宋体" w:eastAsia="宋体" w:cs="宋体"/>
          <w:b w:val="0"/>
          <w:bCs w:val="0"/>
          <w:color w:val="auto"/>
          <w:highlight w:val="none"/>
        </w:rPr>
      </w:pPr>
    </w:p>
    <w:p>
      <w:pPr>
        <w:spacing w:before="0" w:after="0" w:line="240" w:lineRule="auto"/>
        <w:jc w:val="center"/>
        <w:rPr>
          <w:rFonts w:hint="eastAsia" w:ascii="宋体" w:hAnsi="宋体" w:eastAsia="宋体" w:cs="宋体"/>
          <w:b w:val="0"/>
          <w:bCs w:val="0"/>
          <w:color w:val="auto"/>
          <w:highlight w:val="none"/>
        </w:rPr>
      </w:pPr>
    </w:p>
    <w:p>
      <w:pPr>
        <w:spacing w:before="0" w:after="0" w:line="240" w:lineRule="auto"/>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p>
    <w:p>
      <w:pPr>
        <w:pStyle w:val="5"/>
        <w:spacing w:before="0" w:after="0" w:line="240" w:lineRule="auto"/>
        <w:jc w:val="center"/>
        <w:rPr>
          <w:rFonts w:hint="eastAsia" w:ascii="宋体" w:hAnsi="宋体" w:eastAsia="宋体" w:cs="宋体"/>
          <w:color w:val="auto"/>
          <w:highlight w:val="none"/>
        </w:rPr>
      </w:pPr>
      <w:bookmarkStart w:id="462" w:name="_Toc16645"/>
      <w:r>
        <w:rPr>
          <w:rFonts w:hint="eastAsia" w:ascii="宋体" w:hAnsi="宋体" w:eastAsia="宋体" w:cs="宋体"/>
          <w:b w:val="0"/>
          <w:bCs w:val="0"/>
          <w:color w:val="auto"/>
          <w:highlight w:val="none"/>
        </w:rPr>
        <w:t>（三）投标人基本情况表</w:t>
      </w:r>
      <w:bookmarkEnd w:id="461"/>
      <w:bookmarkEnd w:id="462"/>
    </w:p>
    <w:tbl>
      <w:tblPr>
        <w:tblStyle w:val="34"/>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45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67" w:type="dxa"/>
            <w:vAlign w:val="center"/>
          </w:tcPr>
          <w:p>
            <w:pPr>
              <w:keepNext w:val="0"/>
              <w:keepLines w:val="0"/>
              <w:suppressLineNumbers w:val="0"/>
              <w:tabs>
                <w:tab w:val="left" w:pos="5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  真</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网址</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组织结构</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5616" w:type="dxa"/>
            <w:gridSpan w:val="7"/>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企业资质等级</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其中</w:t>
            </w: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kern w:val="0"/>
                <w:szCs w:val="21"/>
                <w:highlight w:val="none"/>
              </w:rPr>
              <w:t>统一社会信用代码</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注册资金</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初级职称人员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tabs>
                <w:tab w:val="left" w:pos="12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工</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经营范围</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b w:val="0"/>
          <w:bCs w:val="0"/>
          <w:color w:val="auto"/>
          <w:highlight w:val="none"/>
        </w:rPr>
      </w:pPr>
      <w:bookmarkStart w:id="463" w:name="_Toc33106479"/>
      <w:bookmarkStart w:id="464" w:name="_Toc2596"/>
      <w:r>
        <w:rPr>
          <w:rFonts w:hint="eastAsia" w:ascii="宋体" w:hAnsi="宋体" w:eastAsia="宋体" w:cs="宋体"/>
          <w:b w:val="0"/>
          <w:bCs w:val="0"/>
          <w:color w:val="auto"/>
          <w:highlight w:val="none"/>
        </w:rPr>
        <w:t>（四）项目管理机构</w:t>
      </w:r>
      <w:bookmarkEnd w:id="463"/>
      <w:bookmarkEnd w:id="464"/>
    </w:p>
    <w:p>
      <w:pPr>
        <w:spacing w:line="360" w:lineRule="auto"/>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项目管理机构组成表</w:t>
      </w:r>
    </w:p>
    <w:tbl>
      <w:tblPr>
        <w:tblStyle w:val="34"/>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73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77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622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执业或职业资格证明</w:t>
            </w:r>
          </w:p>
        </w:tc>
        <w:tc>
          <w:tcPr>
            <w:tcW w:w="89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证书名称</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级别</w:t>
            </w:r>
          </w:p>
        </w:tc>
        <w:tc>
          <w:tcPr>
            <w:tcW w:w="77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证号</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专业</w:t>
            </w:r>
          </w:p>
        </w:tc>
        <w:tc>
          <w:tcPr>
            <w:tcW w:w="2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养老保险</w:t>
            </w: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专职安全员</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bl>
    <w:p>
      <w:pPr>
        <w:spacing w:line="20" w:lineRule="exact"/>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Cs w:val="21"/>
          <w:highlight w:val="none"/>
        </w:rPr>
        <w:t>注：本表仅填项目经理、项目总工</w:t>
      </w:r>
      <w:r>
        <w:rPr>
          <w:rFonts w:hint="eastAsia" w:ascii="宋体" w:hAnsi="宋体" w:eastAsia="宋体" w:cs="宋体"/>
          <w:color w:val="auto"/>
          <w:szCs w:val="21"/>
          <w:highlight w:val="none"/>
          <w:lang w:eastAsia="zh-CN"/>
        </w:rPr>
        <w:t>、专职安全员</w:t>
      </w:r>
      <w:r>
        <w:rPr>
          <w:rFonts w:hint="eastAsia" w:ascii="宋体" w:hAnsi="宋体" w:eastAsia="宋体" w:cs="宋体"/>
          <w:color w:val="auto"/>
          <w:szCs w:val="21"/>
          <w:highlight w:val="none"/>
        </w:rPr>
        <w:t>相关信息</w:t>
      </w:r>
      <w:r>
        <w:rPr>
          <w:rFonts w:hint="eastAsia" w:ascii="宋体" w:hAnsi="宋体" w:eastAsia="宋体" w:cs="宋体"/>
          <w:color w:val="auto"/>
          <w:szCs w:val="21"/>
          <w:highlight w:val="none"/>
        </w:rPr>
        <w:br w:type="page"/>
      </w:r>
      <w:r>
        <w:rPr>
          <w:rFonts w:hint="eastAsia" w:ascii="宋体" w:hAnsi="宋体" w:eastAsia="宋体" w:cs="宋体"/>
          <w:color w:val="auto"/>
          <w:kern w:val="0"/>
          <w:sz w:val="28"/>
          <w:szCs w:val="28"/>
          <w:highlight w:val="none"/>
        </w:rPr>
        <w:t>项目经理</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项目总工</w:t>
      </w:r>
      <w:r>
        <w:rPr>
          <w:rFonts w:hint="eastAsia" w:ascii="宋体" w:hAnsi="宋体" w:eastAsia="宋体" w:cs="宋体"/>
          <w:color w:val="auto"/>
          <w:kern w:val="0"/>
          <w:sz w:val="28"/>
          <w:szCs w:val="28"/>
          <w:highlight w:val="none"/>
          <w:lang w:eastAsia="zh-CN"/>
        </w:rPr>
        <w:t>及专职安全员</w:t>
      </w:r>
      <w:r>
        <w:rPr>
          <w:rFonts w:hint="eastAsia" w:ascii="宋体" w:hAnsi="宋体" w:eastAsia="宋体" w:cs="宋体"/>
          <w:color w:val="auto"/>
          <w:kern w:val="0"/>
          <w:sz w:val="28"/>
          <w:szCs w:val="28"/>
          <w:highlight w:val="none"/>
        </w:rPr>
        <w:t>简历表</w:t>
      </w:r>
    </w:p>
    <w:tbl>
      <w:tblPr>
        <w:tblStyle w:val="34"/>
        <w:tblW w:w="89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19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学历</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拟在本合同任职</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毕业学校</w:t>
            </w:r>
          </w:p>
        </w:tc>
        <w:tc>
          <w:tcPr>
            <w:tcW w:w="7688" w:type="dxa"/>
            <w:gridSpan w:val="8"/>
            <w:vAlign w:val="center"/>
          </w:tcPr>
          <w:p>
            <w:pPr>
              <w:keepNext w:val="0"/>
              <w:keepLines w:val="0"/>
              <w:suppressLineNumbers w:val="0"/>
              <w:tabs>
                <w:tab w:val="left" w:pos="2820"/>
                <w:tab w:val="left" w:pos="408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w:t>
            </w:r>
            <w:r>
              <w:rPr>
                <w:rFonts w:hint="eastAsia" w:ascii="宋体" w:hAnsi="宋体" w:eastAsia="宋体" w:cs="宋体"/>
                <w:color w:val="auto"/>
                <w:spacing w:val="-1"/>
                <w:kern w:val="0"/>
                <w:szCs w:val="21"/>
                <w:highlight w:val="none"/>
              </w:rPr>
              <w:t>毕</w:t>
            </w:r>
            <w:r>
              <w:rPr>
                <w:rFonts w:hint="eastAsia" w:ascii="宋体" w:hAnsi="宋体" w:eastAsia="宋体" w:cs="宋体"/>
                <w:color w:val="auto"/>
                <w:kern w:val="0"/>
                <w:szCs w:val="21"/>
                <w:highlight w:val="none"/>
              </w:rPr>
              <w:t>业于</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学校</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8994"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时间</w:t>
            </w: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参加过的类似项目</w:t>
            </w: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担任职务</w:t>
            </w: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highlight w:val="none"/>
        </w:rPr>
      </w:pPr>
      <w:bookmarkStart w:id="465" w:name="_Toc224103515"/>
    </w:p>
    <w:bookmarkEnd w:id="465"/>
    <w:p>
      <w:pPr>
        <w:pStyle w:val="5"/>
        <w:spacing w:before="0" w:line="240" w:lineRule="auto"/>
        <w:jc w:val="center"/>
        <w:rPr>
          <w:rFonts w:hint="eastAsia" w:ascii="宋体" w:hAnsi="宋体" w:eastAsia="宋体" w:cs="宋体"/>
          <w:b w:val="0"/>
          <w:color w:val="auto"/>
          <w:highlight w:val="none"/>
        </w:rPr>
      </w:pPr>
      <w:bookmarkStart w:id="466" w:name="_Toc27983330"/>
      <w:bookmarkStart w:id="467" w:name="_Toc287620835"/>
      <w:bookmarkStart w:id="468" w:name="_Toc277082661"/>
      <w:bookmarkStart w:id="469" w:name="_Toc224103516"/>
      <w:bookmarkStart w:id="470" w:name="_Toc430530551"/>
      <w:bookmarkStart w:id="471" w:name="_Toc287607889"/>
      <w:bookmarkStart w:id="472" w:name="_Toc509218865"/>
      <w:bookmarkStart w:id="473" w:name="_Toc534185842"/>
      <w:r>
        <w:rPr>
          <w:rFonts w:hint="eastAsia" w:ascii="宋体" w:hAnsi="宋体" w:eastAsia="宋体" w:cs="宋体"/>
          <w:bCs w:val="0"/>
          <w:color w:val="auto"/>
          <w:szCs w:val="28"/>
          <w:highlight w:val="none"/>
        </w:rPr>
        <w:br w:type="page"/>
      </w:r>
      <w:bookmarkStart w:id="474" w:name="_Toc9392"/>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五</w:t>
      </w:r>
      <w:r>
        <w:rPr>
          <w:rFonts w:hint="eastAsia" w:ascii="宋体" w:hAnsi="宋体" w:eastAsia="宋体" w:cs="宋体"/>
          <w:b w:val="0"/>
          <w:color w:val="auto"/>
          <w:highlight w:val="none"/>
        </w:rPr>
        <w:t>）类似项目情况表</w:t>
      </w:r>
      <w:bookmarkEnd w:id="466"/>
      <w:bookmarkEnd w:id="467"/>
      <w:bookmarkEnd w:id="468"/>
      <w:bookmarkEnd w:id="469"/>
      <w:bookmarkEnd w:id="470"/>
      <w:bookmarkEnd w:id="471"/>
      <w:bookmarkEnd w:id="472"/>
      <w:bookmarkEnd w:id="473"/>
      <w:bookmarkEnd w:id="474"/>
    </w:p>
    <w:tbl>
      <w:tblPr>
        <w:tblStyle w:val="34"/>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项目所在地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发包人地址</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合同价格</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交工（或竣工）日期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承担的工作</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工程质量</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总监理工程师及电话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项目描述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pStyle w:val="5"/>
        <w:spacing w:before="0" w:line="360" w:lineRule="auto"/>
        <w:jc w:val="center"/>
        <w:rPr>
          <w:rFonts w:hint="eastAsia" w:ascii="宋体" w:hAnsi="宋体" w:eastAsia="宋体" w:cs="宋体"/>
          <w:b w:val="0"/>
          <w:color w:val="auto"/>
          <w:highlight w:val="none"/>
        </w:rPr>
      </w:pPr>
      <w:bookmarkStart w:id="475" w:name="_Toc430530552"/>
      <w:bookmarkStart w:id="476" w:name="_Toc277082663"/>
      <w:bookmarkStart w:id="477" w:name="_Toc27983331"/>
      <w:bookmarkStart w:id="478" w:name="_Toc287607893"/>
      <w:bookmarkStart w:id="479" w:name="_Toc224103520"/>
      <w:bookmarkStart w:id="480" w:name="_Toc287620839"/>
      <w:bookmarkStart w:id="481" w:name="_Toc509218866"/>
      <w:bookmarkStart w:id="482" w:name="_Toc534185843"/>
      <w:bookmarkStart w:id="483" w:name="_Toc28356"/>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六</w:t>
      </w:r>
      <w:r>
        <w:rPr>
          <w:rFonts w:hint="eastAsia" w:ascii="宋体" w:hAnsi="宋体" w:eastAsia="宋体" w:cs="宋体"/>
          <w:b w:val="0"/>
          <w:color w:val="auto"/>
          <w:highlight w:val="none"/>
        </w:rPr>
        <w:t>）</w:t>
      </w:r>
      <w:bookmarkEnd w:id="475"/>
      <w:bookmarkEnd w:id="476"/>
      <w:bookmarkEnd w:id="477"/>
      <w:bookmarkEnd w:id="478"/>
      <w:bookmarkEnd w:id="479"/>
      <w:bookmarkEnd w:id="480"/>
      <w:bookmarkEnd w:id="481"/>
      <w:bookmarkEnd w:id="482"/>
      <w:r>
        <w:rPr>
          <w:rFonts w:hint="eastAsia" w:ascii="宋体" w:hAnsi="宋体" w:eastAsia="宋体" w:cs="宋体"/>
          <w:b w:val="0"/>
          <w:color w:val="auto"/>
          <w:highlight w:val="none"/>
        </w:rPr>
        <w:t>承诺</w:t>
      </w:r>
      <w:bookmarkEnd w:id="483"/>
    </w:p>
    <w:p>
      <w:pPr>
        <w:keepNext w:val="0"/>
        <w:keepLines w:val="0"/>
        <w:pageBreakBefore w:val="0"/>
        <w:widowControl w:val="0"/>
        <w:kinsoku/>
        <w:wordWrap/>
        <w:overflowPunct/>
        <w:topLinePunct w:val="0"/>
        <w:bidi w:val="0"/>
        <w:adjustRightInd w:val="0"/>
        <w:snapToGrid w:val="0"/>
        <w:spacing w:afterLines="0"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（招标人名称）</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w:t>
      </w:r>
      <w:r>
        <w:rPr>
          <w:rFonts w:hint="eastAsia" w:ascii="宋体" w:hAnsi="宋体" w:eastAsia="宋体" w:cs="宋体"/>
          <w:color w:val="auto"/>
          <w:szCs w:val="21"/>
          <w:highlight w:val="none"/>
          <w:u w:val="single"/>
        </w:rPr>
        <w:t xml:space="preserve">        （投标人名称）</w:t>
      </w:r>
      <w:r>
        <w:rPr>
          <w:rFonts w:hint="eastAsia" w:ascii="宋体" w:hAnsi="宋体" w:eastAsia="宋体" w:cs="宋体"/>
          <w:color w:val="auto"/>
          <w:szCs w:val="21"/>
          <w:highlight w:val="none"/>
        </w:rPr>
        <w:t>参加了贵单位</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项目名称</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szCs w:val="21"/>
          <w:highlight w:val="none"/>
        </w:rPr>
        <w:t>的投标，自愿作出以下承诺：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1、投标截止日投标资格情况不存在下列情形之一：</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2.1我公司拟派的项目经理按注册建造师的相关规定到岗履职和未被禁止参与投标。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2.1.2拟派的项目经理未被重庆市</w:t>
      </w:r>
      <w:r>
        <w:rPr>
          <w:rFonts w:hint="eastAsia" w:ascii="宋体" w:hAnsi="宋体" w:eastAsia="宋体" w:cs="宋体"/>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2.1.3</w:t>
      </w:r>
      <w:r>
        <w:rPr>
          <w:rFonts w:hint="eastAsia" w:ascii="宋体" w:hAnsi="宋体" w:eastAsia="宋体" w:cs="宋体"/>
          <w:color w:val="auto"/>
          <w:szCs w:val="21"/>
          <w:highlight w:val="none"/>
          <w:lang w:val="en-US" w:eastAsia="zh-CN"/>
        </w:rPr>
        <w:t>为保证我公司拟派的项目经理到本项目到岗履职，我公司还承诺：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若我公司拟派本项目的项目经理有在其他项目任职的情形的（或有在其他项目中标或拟中标的情形的），应在收到中标通知书后</w:t>
      </w:r>
      <w:r>
        <w:rPr>
          <w:rFonts w:hint="eastAsia" w:ascii="宋体" w:hAnsi="宋体" w:eastAsia="宋体" w:cs="宋体"/>
          <w:color w:val="auto"/>
          <w:szCs w:val="21"/>
          <w:highlight w:val="none"/>
          <w:u w:val="single"/>
          <w:lang w:val="en-US" w:eastAsia="zh-CN"/>
        </w:rPr>
        <w:t xml:space="preserve"> 14 </w:t>
      </w:r>
      <w:r>
        <w:rPr>
          <w:rFonts w:hint="eastAsia" w:ascii="宋体" w:hAnsi="宋体" w:eastAsia="宋体" w:cs="宋体"/>
          <w:color w:val="auto"/>
          <w:szCs w:val="21"/>
          <w:highlight w:val="none"/>
          <w:lang w:val="en-US" w:eastAsia="zh-CN"/>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若我公司拟派项目经理放弃在其他项目任职的将提供：①经业主或建设单位同意任职变更的文件；②负责项目监管的行业行政主管部门出具同意任职变更的证明材料。</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若我公司拟派项目经理放弃在其他项目中标或拟中标的将提供：①经中标或拟中标的其他项目建设单位同意的放弃中标函</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我公司拟派的项目总工按相关规定到岗履职和未被禁止参与投标。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.1拟派的项目总工中标后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贵单位造成损失的，我公司依法承担违约赔偿责任。拟派的项目总工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拟派的项目总工未被重庆市交通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、我公司严格按照第五章“工程量清单”、第八章“工程量清单计量规则”的规定进行报价。招标文件中规定工程量清单不允许修改的内容不得修改。投标总报价不高于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公布的投标总报价最高限价。各清单子目单价不高于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公布的各清单子目单价最高限价的。若出现差错，按招标文件第二章投标人须知前附表第3.2.9项规定的原则进行处理（或结算）。</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、我公司在</w:t>
      </w:r>
      <w:r>
        <w:rPr>
          <w:rFonts w:hint="eastAsia" w:ascii="宋体" w:hAnsi="宋体" w:eastAsia="宋体" w:cs="宋体"/>
          <w:color w:val="auto"/>
          <w:szCs w:val="21"/>
          <w:highlight w:val="none"/>
          <w:lang w:eastAsia="zh-CN"/>
        </w:rPr>
        <w:t>投标文件</w:t>
      </w:r>
      <w:r>
        <w:rPr>
          <w:rFonts w:hint="eastAsia" w:ascii="宋体" w:hAnsi="宋体" w:eastAsia="宋体" w:cs="宋体"/>
          <w:color w:val="auto"/>
          <w:szCs w:val="21"/>
          <w:highlight w:val="none"/>
        </w:rPr>
        <w:t>中提供的相关证明材料真实有效，不存在弄虚作假情形。</w:t>
      </w:r>
      <w:r>
        <w:rPr>
          <w:rFonts w:hint="eastAsia" w:ascii="宋体" w:hAnsi="宋体" w:eastAsia="宋体" w:cs="宋体"/>
          <w:color w:val="auto"/>
          <w:szCs w:val="21"/>
          <w:highlight w:val="none"/>
          <w:u w:val="single"/>
          <w:lang w:val="en-US" w:eastAsia="zh-CN"/>
        </w:rPr>
        <w:t>贵单位</w:t>
      </w:r>
      <w:r>
        <w:rPr>
          <w:rFonts w:hint="eastAsia" w:ascii="宋体" w:hAnsi="宋体" w:eastAsia="宋体" w:cs="宋体"/>
          <w:color w:val="auto"/>
          <w:szCs w:val="21"/>
          <w:highlight w:val="none"/>
          <w:u w:val="single"/>
        </w:rPr>
        <w:t>在合同签订前均有权对我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w:t>
      </w:r>
      <w:r>
        <w:rPr>
          <w:rFonts w:hint="eastAsia" w:ascii="宋体" w:hAnsi="宋体" w:eastAsia="宋体" w:cs="宋体"/>
          <w:color w:val="auto"/>
          <w:szCs w:val="21"/>
          <w:highlight w:val="none"/>
          <w:u w:val="single"/>
          <w:lang w:val="en-US" w:eastAsia="zh-CN"/>
        </w:rPr>
        <w:t>我公司</w:t>
      </w:r>
      <w:r>
        <w:rPr>
          <w:rFonts w:hint="eastAsia" w:ascii="宋体" w:hAnsi="宋体" w:eastAsia="宋体" w:cs="宋体"/>
          <w:color w:val="auto"/>
          <w:szCs w:val="21"/>
          <w:highlight w:val="none"/>
          <w:u w:val="single"/>
        </w:rPr>
        <w:t>中标资格，并按相关法律法规报招标投标监督部门，投标保证金不予退还，我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司自愿承担因此造成的相关责任并赔偿相应损失</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5、我公司</w:t>
      </w:r>
      <w:r>
        <w:rPr>
          <w:rFonts w:hint="eastAsia" w:ascii="宋体" w:hAnsi="宋体" w:eastAsia="宋体" w:cs="宋体"/>
          <w:color w:val="auto"/>
          <w:szCs w:val="21"/>
          <w:highlight w:val="none"/>
        </w:rPr>
        <w:t>不存在第二章</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投标人须知第 1.4.3 项规定的任何一种情形</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6、我公司的投标文件符合第二章 投标人须知第 1.3.1 项的规定。</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、我公司的投标文件符合第四章 合同条款及格式规定，投标文件中没有</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不能接受的条件。</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、我公司的投标文件符合第七章 技术标准和要求（如有）。</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zCs w:val="21"/>
          <w:highlight w:val="none"/>
          <w:lang w:val="en-US" w:eastAsia="zh-CN"/>
        </w:rPr>
        <w:t>9、我公司接受招标文件中关于“不允许负数报价”的相关要求（如有）。</w:t>
      </w: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keepNext w:val="0"/>
        <w:keepLines w:val="0"/>
        <w:pageBreakBefore w:val="0"/>
        <w:widowControl w:val="0"/>
        <w:kinsoku/>
        <w:wordWrap/>
        <w:overflowPunct/>
        <w:topLinePunct w:val="0"/>
        <w:bidi w:val="0"/>
        <w:snapToGrid w:val="0"/>
        <w:spacing w:line="380" w:lineRule="exact"/>
        <w:ind w:firstLine="420" w:firstLineChars="200"/>
        <w:jc w:val="righ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spacing w:before="0" w:line="360" w:lineRule="auto"/>
        <w:jc w:val="center"/>
        <w:rPr>
          <w:rFonts w:hint="eastAsia" w:ascii="宋体" w:hAnsi="宋体" w:eastAsia="宋体" w:cs="宋体"/>
          <w:b w:val="0"/>
          <w:color w:val="auto"/>
          <w:highlight w:val="none"/>
        </w:rPr>
      </w:pPr>
      <w:bookmarkStart w:id="484" w:name="_Toc27983333"/>
      <w:r>
        <w:rPr>
          <w:rFonts w:hint="eastAsia" w:ascii="宋体" w:hAnsi="宋体" w:eastAsia="宋体" w:cs="宋体"/>
          <w:b w:val="0"/>
          <w:bCs w:val="0"/>
          <w:color w:val="auto"/>
          <w:sz w:val="21"/>
          <w:szCs w:val="24"/>
          <w:highlight w:val="none"/>
        </w:rPr>
        <w:br w:type="page"/>
      </w:r>
      <w:bookmarkStart w:id="485" w:name="_Toc4368"/>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七</w:t>
      </w:r>
      <w:r>
        <w:rPr>
          <w:rFonts w:hint="eastAsia" w:ascii="宋体" w:hAnsi="宋体" w:eastAsia="宋体" w:cs="宋体"/>
          <w:b w:val="0"/>
          <w:color w:val="auto"/>
          <w:highlight w:val="none"/>
        </w:rPr>
        <w:t>）其他资料</w:t>
      </w:r>
      <w:bookmarkEnd w:id="484"/>
      <w:bookmarkEnd w:id="485"/>
    </w:p>
    <w:p>
      <w:pPr>
        <w:pStyle w:val="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投标保证金</w:t>
      </w:r>
    </w:p>
    <w:p>
      <w:pPr>
        <w:pStyle w:val="2"/>
        <w:ind w:firstLine="420" w:firstLineChars="20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t>[以转账支票或电汇形式交纳投标保证金的提供以下资料]</w:t>
      </w:r>
    </w:p>
    <w:p>
      <w:pPr>
        <w:pStyle w:val="2"/>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（1）企业基本账户开户证明文件。</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[以纸质投标保函形式交纳投标保证金的提供以下资料]</w:t>
      </w:r>
    </w:p>
    <w:p>
      <w:pPr>
        <w:spacing w:line="360" w:lineRule="auto"/>
        <w:ind w:firstLine="360" w:firstLineChars="200"/>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（1）纸质投标保函</w:t>
      </w:r>
      <w:r>
        <w:rPr>
          <w:rFonts w:hint="eastAsia" w:ascii="宋体" w:hAnsi="宋体" w:eastAsia="宋体" w:cs="宋体"/>
          <w:sz w:val="18"/>
          <w:szCs w:val="18"/>
          <w:highlight w:val="none"/>
          <w:lang w:eastAsia="zh-CN"/>
        </w:rPr>
        <w:t>（如有）</w:t>
      </w:r>
    </w:p>
    <w:p>
      <w:pPr>
        <w:keepNext w:val="0"/>
        <w:keepLines w:val="0"/>
        <w:pageBreakBefore w:val="0"/>
        <w:widowControl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投标保函示范文本</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righ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u w:val="singl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（受益人名称）</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396" w:firstLineChars="200"/>
        <w:jc w:val="both"/>
        <w:textAlignment w:val="auto"/>
        <w:outlineLvl w:val="9"/>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pacing w:val="-6"/>
          <w:kern w:val="0"/>
          <w:sz w:val="21"/>
          <w:szCs w:val="21"/>
          <w:highlight w:val="none"/>
          <w:lang w:val="en-US" w:eastAsia="zh-CN" w:bidi="ar-SA"/>
        </w:rPr>
        <w:t>我方（即“开立人”）已获得通知，本保函申请人（即“投标人”）已响应贵方于</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spacing w:val="-6"/>
          <w:kern w:val="0"/>
          <w:sz w:val="21"/>
          <w:szCs w:val="21"/>
          <w:highlight w:val="none"/>
          <w:lang w:val="en-US" w:eastAsia="zh-CN" w:bidi="ar-SA"/>
        </w:rPr>
        <w:t>就</w:t>
      </w:r>
      <w:r>
        <w:rPr>
          <w:rFonts w:hint="eastAsia" w:ascii="宋体" w:hAnsi="宋体" w:eastAsia="宋体" w:cs="宋体"/>
          <w:color w:val="auto"/>
          <w:spacing w:val="-6"/>
          <w:kern w:val="0"/>
          <w:sz w:val="21"/>
          <w:szCs w:val="21"/>
          <w:highlight w:val="none"/>
          <w:u w:val="single"/>
          <w:lang w:val="en-US" w:eastAsia="zh-CN" w:bidi="ar-SA"/>
        </w:rPr>
        <w:t xml:space="preserve">                   </w:t>
      </w:r>
      <w:r>
        <w:rPr>
          <w:rFonts w:hint="eastAsia" w:ascii="宋体" w:hAnsi="宋体" w:eastAsia="宋体" w:cs="宋体"/>
          <w:color w:val="auto"/>
          <w:spacing w:val="-6"/>
          <w:kern w:val="0"/>
          <w:sz w:val="21"/>
          <w:szCs w:val="21"/>
          <w:highlight w:val="none"/>
          <w:lang w:val="en-US" w:eastAsia="zh-CN" w:bidi="ar-SA"/>
        </w:rPr>
        <w:t>（以下简称“本工程”）发出的招标文件以及后续发布的答疑补遗文件，并拟向招标人（即“受益人”）提交投标文件（即“基础交易”）。</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元（¥</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二、我方在投标人发生以下情形时承担保证担保责任：</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left="0" w:leftChars="0"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（1）投标人在开标后至投标有效期满之前撤销投标的；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（2）投标人在收到中标通知后，不能或拒绝在中标通知书规定的时间内与贵方签订合同；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（3）投标人在与贵方签订合同前，未在规定的时间内提交符合招标文件要求的履约担保；</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（4）投标人违反招标文件规定的其他情形。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三、本保函为不可撤销、不可转让的见索即付保函。本保函有效期自开立之日起至投标有效期届满之日后的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止（提示：建议</w:t>
      </w:r>
      <w:r>
        <w:rPr>
          <w:rFonts w:hint="eastAsia" w:ascii="宋体" w:hAnsi="宋体" w:eastAsia="宋体" w:cs="宋体"/>
          <w:color w:val="auto"/>
          <w:kern w:val="2"/>
          <w:sz w:val="21"/>
          <w:szCs w:val="21"/>
          <w:highlight w:val="none"/>
          <w:lang w:val="en-US" w:eastAsia="zh-CN"/>
        </w:rPr>
        <w:t>30日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。投标有效期延长的，本保函有效期相应顺延，最迟不超过</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（提示：建议按保函有效期不超过</w:t>
      </w:r>
      <w:r>
        <w:rPr>
          <w:rFonts w:hint="eastAsia" w:ascii="宋体" w:hAnsi="宋体" w:eastAsia="宋体" w:cs="宋体"/>
          <w:color w:val="auto"/>
          <w:kern w:val="2"/>
          <w:sz w:val="21"/>
          <w:szCs w:val="21"/>
          <w:highlight w:val="none"/>
          <w:lang w:val="en-US" w:eastAsia="zh-CN"/>
        </w:rPr>
        <w:t>270日考虑</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四、</w:t>
      </w:r>
      <w:r>
        <w:rPr>
          <w:rFonts w:hint="eastAsia" w:ascii="宋体" w:hAnsi="宋体" w:eastAsia="宋体" w:cs="宋体"/>
          <w:color w:val="auto"/>
          <w:kern w:val="2"/>
          <w:sz w:val="21"/>
          <w:szCs w:val="21"/>
          <w:highlight w:val="none"/>
        </w:rPr>
        <w:t>我方承诺，在收到受益人发来的书面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个工作</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w:t>
      </w:r>
      <w:r>
        <w:rPr>
          <w:rFonts w:hint="eastAsia" w:ascii="宋体" w:hAnsi="宋体" w:eastAsia="宋体" w:cs="宋体"/>
          <w:color w:val="auto"/>
          <w:kern w:val="2"/>
          <w:sz w:val="21"/>
          <w:szCs w:val="21"/>
          <w:highlight w:val="none"/>
          <w:lang w:val="en-US" w:eastAsia="zh-CN"/>
        </w:rPr>
        <w:t>10—15个工作日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内无条件支付，前述书面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通知即为付款要求之单据，且应满足以下要求：</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通知到达的日期在本保函的有效期内；</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（2）载明要求支付的金额；</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（3）载明申请人违反招投标文件规定的义务内容和具体条款；</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（4）声明不存在招标文件规定免除申请人或我方支付责任的情形；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spacing w:val="0"/>
          <w:kern w:val="2"/>
          <w:sz w:val="21"/>
          <w:szCs w:val="21"/>
          <w:highlight w:val="none"/>
          <w:lang w:eastAsia="zh-CN"/>
        </w:rPr>
        <w:t>（</w:t>
      </w:r>
      <w:r>
        <w:rPr>
          <w:rFonts w:hint="eastAsia" w:ascii="宋体" w:hAnsi="宋体" w:eastAsia="宋体" w:cs="宋体"/>
          <w:color w:val="auto"/>
          <w:spacing w:val="0"/>
          <w:kern w:val="2"/>
          <w:sz w:val="21"/>
          <w:szCs w:val="21"/>
          <w:highlight w:val="none"/>
          <w:lang w:val="en-US" w:eastAsia="zh-CN"/>
        </w:rPr>
        <w:t>5</w:t>
      </w:r>
      <w:r>
        <w:rPr>
          <w:rFonts w:hint="eastAsia" w:ascii="宋体" w:hAnsi="宋体" w:eastAsia="宋体" w:cs="宋体"/>
          <w:color w:val="auto"/>
          <w:spacing w:val="0"/>
          <w:kern w:val="2"/>
          <w:sz w:val="21"/>
          <w:szCs w:val="21"/>
          <w:highlight w:val="none"/>
          <w:lang w:eastAsia="zh-CN"/>
        </w:rPr>
        <w:t>）索赔</w:t>
      </w:r>
      <w:r>
        <w:rPr>
          <w:rFonts w:hint="eastAsia" w:ascii="宋体" w:hAnsi="宋体" w:eastAsia="宋体" w:cs="宋体"/>
          <w:color w:val="auto"/>
          <w:spacing w:val="0"/>
          <w:kern w:val="2"/>
          <w:sz w:val="21"/>
          <w:szCs w:val="21"/>
          <w:highlight w:val="none"/>
        </w:rPr>
        <w:t>通知应在本保函有效期内到达的地址是：</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受益人发出的书面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通知应由其为鉴明受益人法定代表人或授权代理人签</w:t>
      </w:r>
      <w:r>
        <w:rPr>
          <w:rFonts w:hint="eastAsia" w:ascii="宋体" w:hAnsi="宋体" w:eastAsia="宋体" w:cs="宋体"/>
          <w:color w:val="auto"/>
          <w:kern w:val="2"/>
          <w:sz w:val="21"/>
          <w:szCs w:val="21"/>
          <w:highlight w:val="none"/>
          <w:lang w:eastAsia="zh-CN"/>
        </w:rPr>
        <w:t>名</w:t>
      </w:r>
      <w:r>
        <w:rPr>
          <w:rFonts w:hint="eastAsia" w:ascii="宋体" w:hAnsi="宋体" w:eastAsia="宋体" w:cs="宋体"/>
          <w:color w:val="auto"/>
          <w:kern w:val="2"/>
          <w:sz w:val="21"/>
          <w:szCs w:val="21"/>
          <w:highlight w:val="none"/>
        </w:rPr>
        <w:t>并加盖公章。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五、本保函项下的权利不得转让，不得设定担保。</w:t>
      </w:r>
      <w:r>
        <w:rPr>
          <w:rFonts w:hint="eastAsia" w:ascii="宋体" w:hAnsi="宋体" w:eastAsia="宋体" w:cs="宋体"/>
          <w:color w:val="auto"/>
          <w:kern w:val="2"/>
          <w:sz w:val="21"/>
          <w:szCs w:val="21"/>
          <w:highlight w:val="none"/>
          <w:lang w:eastAsia="zh-CN"/>
        </w:rPr>
        <w:t>贵方</w:t>
      </w:r>
      <w:r>
        <w:rPr>
          <w:rFonts w:hint="eastAsia" w:ascii="宋体" w:hAnsi="宋体" w:eastAsia="宋体" w:cs="宋体"/>
          <w:color w:val="auto"/>
          <w:kern w:val="2"/>
          <w:sz w:val="21"/>
          <w:szCs w:val="21"/>
          <w:highlight w:val="none"/>
        </w:rPr>
        <w:t>未经我方书面同意转让本保函或其项下任何权利，对我方不发生法律效力。</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六、本保函项下的基础交易不成立、不生效、无效、被撤销、被解除，不影响本保函的独立有效。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七、受益人应在本保函到期后的</w:t>
      </w:r>
      <w:r>
        <w:rPr>
          <w:rFonts w:hint="eastAsia" w:ascii="宋体" w:hAnsi="宋体" w:eastAsia="宋体" w:cs="宋体"/>
          <w:color w:val="auto"/>
          <w:kern w:val="2"/>
          <w:sz w:val="21"/>
          <w:szCs w:val="21"/>
          <w:highlight w:val="none"/>
          <w:lang w:val="en-US" w:eastAsia="zh-CN"/>
        </w:rPr>
        <w:t>七</w:t>
      </w:r>
      <w:r>
        <w:rPr>
          <w:rFonts w:hint="eastAsia" w:ascii="宋体" w:hAnsi="宋体" w:eastAsia="宋体" w:cs="宋体"/>
          <w:color w:val="auto"/>
          <w:kern w:val="2"/>
          <w:sz w:val="21"/>
          <w:szCs w:val="21"/>
          <w:highlight w:val="none"/>
          <w:lang w:eastAsia="zh-CN"/>
        </w:rPr>
        <w:t>个工作</w:t>
      </w:r>
      <w:r>
        <w:rPr>
          <w:rFonts w:hint="eastAsia" w:ascii="宋体" w:hAnsi="宋体" w:eastAsia="宋体" w:cs="宋体"/>
          <w:color w:val="auto"/>
          <w:kern w:val="2"/>
          <w:sz w:val="21"/>
          <w:szCs w:val="21"/>
          <w:highlight w:val="none"/>
        </w:rPr>
        <w:t>日内将本保函正本退回我方注销，但是不论受益人是否按此要求将本保函正本退回我方，我方在本保函项下的义务和责任均在保函有效期到期后自动消灭。</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八、</w:t>
      </w:r>
      <w:r>
        <w:rPr>
          <w:rFonts w:hint="eastAsia" w:ascii="宋体" w:hAnsi="宋体" w:eastAsia="宋体" w:cs="宋体"/>
          <w:color w:val="auto"/>
          <w:kern w:val="2"/>
          <w:sz w:val="21"/>
          <w:szCs w:val="21"/>
          <w:highlight w:val="none"/>
          <w:lang w:eastAsia="zh-CN"/>
        </w:rPr>
        <w:t>本保函的开具是我方真实意思表示，符合法律法规规定，我方同意遵守本保函约定并无条件承担担保责任。本保函与其他规定或条款不一致时，以本保函约定为准。</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九、</w:t>
      </w:r>
      <w:r>
        <w:rPr>
          <w:rFonts w:hint="eastAsia" w:ascii="宋体" w:hAnsi="宋体" w:eastAsia="宋体" w:cs="宋体"/>
          <w:color w:val="auto"/>
          <w:kern w:val="2"/>
          <w:sz w:val="21"/>
          <w:szCs w:val="21"/>
          <w:highlight w:val="none"/>
        </w:rPr>
        <w:t>本保函适用的法律为中华人民共和国法律，争议裁判管辖地为中华人民共和国</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十</w:t>
      </w:r>
      <w:r>
        <w:rPr>
          <w:rFonts w:hint="eastAsia" w:ascii="宋体" w:hAnsi="宋体" w:eastAsia="宋体" w:cs="宋体"/>
          <w:color w:val="auto"/>
          <w:kern w:val="2"/>
          <w:sz w:val="21"/>
          <w:szCs w:val="21"/>
          <w:highlight w:val="none"/>
        </w:rPr>
        <w:t>、本保函自我方法定代表人或授权代表</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并加盖公章之日起生效。</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color w:val="auto"/>
          <w:kern w:val="2"/>
          <w:sz w:val="21"/>
          <w:szCs w:val="21"/>
          <w:highlight w:val="none"/>
          <w:lang w:eastAsia="zh-CN"/>
        </w:rPr>
        <w:t>十一、本保函在重庆市辖区范围内的核验地点：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；核验方式：</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开 立 人：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法定代表人（或授权</w:t>
      </w:r>
      <w:r>
        <w:rPr>
          <w:rFonts w:hint="eastAsia" w:ascii="宋体" w:hAnsi="宋体" w:eastAsia="宋体" w:cs="宋体"/>
          <w:color w:val="auto"/>
          <w:kern w:val="2"/>
          <w:sz w:val="21"/>
          <w:szCs w:val="21"/>
          <w:highlight w:val="none"/>
          <w:lang w:eastAsia="zh-CN"/>
        </w:rPr>
        <w:t>代表</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    址：</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    话：</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    真：</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pStyle w:val="2"/>
        <w:ind w:firstLine="420" w:firstLineChars="200"/>
        <w:rPr>
          <w:rFonts w:hint="eastAsia" w:ascii="宋体" w:hAnsi="宋体" w:eastAsia="宋体" w:cs="宋体"/>
          <w:szCs w:val="21"/>
          <w:highlight w:val="none"/>
          <w:lang w:eastAsia="zh-CN"/>
        </w:rPr>
      </w:pPr>
      <w:r>
        <w:rPr>
          <w:rFonts w:hint="eastAsia" w:ascii="宋体" w:hAnsi="宋体" w:eastAsia="宋体" w:cs="宋体"/>
          <w:color w:val="auto"/>
          <w:kern w:val="2"/>
          <w:sz w:val="21"/>
          <w:szCs w:val="21"/>
          <w:highlight w:val="none"/>
        </w:rPr>
        <w:t xml:space="preserve">开立时间：    年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月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r>
        <w:rPr>
          <w:rFonts w:hint="eastAsia" w:ascii="宋体" w:hAnsi="宋体" w:eastAsia="宋体" w:cs="宋体"/>
          <w:color w:val="auto"/>
          <w:kern w:val="2"/>
          <w:sz w:val="21"/>
          <w:szCs w:val="21"/>
          <w:highlight w:val="none"/>
          <w:lang w:eastAsia="zh-CN"/>
        </w:rPr>
        <w:t>日</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w:t>
      </w:r>
    </w:p>
    <w:p>
      <w:pPr>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w:t>
      </w:r>
    </w:p>
    <w:p>
      <w:pPr>
        <w:spacing w:line="360" w:lineRule="auto"/>
        <w:ind w:firstLine="420" w:firstLineChars="200"/>
        <w:rPr>
          <w:rFonts w:hint="eastAsia" w:ascii="宋体" w:hAnsi="宋体" w:eastAsia="宋体" w:cs="宋体"/>
          <w:color w:val="auto"/>
          <w:szCs w:val="21"/>
          <w:highlight w:val="none"/>
        </w:rPr>
      </w:pPr>
    </w:p>
    <w:sectPr>
      <w:footerReference r:id="rId7" w:type="first"/>
      <w:footerReference r:id="rId6" w:type="default"/>
      <w:pgSz w:w="11906" w:h="16838"/>
      <w:pgMar w:top="1304" w:right="1134" w:bottom="1304" w:left="130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posOffset>2948940</wp:posOffset>
              </wp:positionH>
              <wp:positionV relativeFrom="paragraph">
                <wp:posOffset>0</wp:posOffset>
              </wp:positionV>
              <wp:extent cx="233680" cy="12065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233680" cy="12065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wps:txbx>
                    <wps:bodyPr wrap="square" lIns="0" tIns="0" rIns="0" bIns="0" upright="0">
                      <a:noAutofit/>
                    </wps:bodyPr>
                  </wps:wsp>
                </a:graphicData>
              </a:graphic>
            </wp:anchor>
          </w:drawing>
        </mc:Choice>
        <mc:Fallback>
          <w:pict>
            <v:shape id="文本框 14" o:spid="_x0000_s1026" o:spt="202" type="#_x0000_t202" style="position:absolute;left:0pt;margin-left:232.2pt;margin-top:0pt;height:9.5pt;width:18.4pt;mso-position-horizontal-relative:margin;z-index:251660288;mso-width-relative:page;mso-height-relative:page;" filled="f" stroked="f" coordsize="21600,21600" o:gfxdata="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KO991gAAAAcBAAAPAAAAAAAAAAEAIAAAACIAAABk&#10;cnMvZG93bnJldi54bWxQSwECFAAUAAAACACHTuJAXfJO5s8BAACaAwAADgAAAAAAAAABACAAAAAl&#10;AQAAZHJzL2Uyb0RvYy54bWxQSwUGAAAAAAYABgBZAQAAZgUAAAAA&#10;">
              <v:fill on="f" focussize="0,0"/>
              <v:stroke on="f"/>
              <v:imagedata o:title=""/>
              <o:lock v:ext="edit" aspectratio="f"/>
              <v:textbox inset="0mm,0mm,0mm,0mm">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58306"/>
    <w:multiLevelType w:val="singleLevel"/>
    <w:tmpl w:val="A6F58306"/>
    <w:lvl w:ilvl="0" w:tentative="0">
      <w:start w:val="1"/>
      <w:numFmt w:val="decimal"/>
      <w:lvlText w:val="%1."/>
      <w:lvlJc w:val="left"/>
      <w:pPr>
        <w:tabs>
          <w:tab w:val="left" w:pos="312"/>
        </w:tabs>
      </w:pPr>
    </w:lvl>
  </w:abstractNum>
  <w:abstractNum w:abstractNumId="1">
    <w:nsid w:val="2577B2F8"/>
    <w:multiLevelType w:val="singleLevel"/>
    <w:tmpl w:val="2577B2F8"/>
    <w:lvl w:ilvl="0" w:tentative="0">
      <w:start w:val="3"/>
      <w:numFmt w:val="chineseCounting"/>
      <w:suff w:val="nothing"/>
      <w:lvlText w:val="%1、"/>
      <w:lvlJc w:val="left"/>
      <w:rPr>
        <w:rFonts w:hint="eastAsia"/>
      </w:rPr>
    </w:lvl>
  </w:abstractNum>
  <w:abstractNum w:abstractNumId="2">
    <w:nsid w:val="4B2B2EF3"/>
    <w:multiLevelType w:val="singleLevel"/>
    <w:tmpl w:val="4B2B2EF3"/>
    <w:lvl w:ilvl="0" w:tentative="0">
      <w:start w:val="7"/>
      <w:numFmt w:val="chineseCounting"/>
      <w:suff w:val="space"/>
      <w:lvlText w:val="第%1章"/>
      <w:lvlJc w:val="left"/>
      <w:rPr>
        <w:rFonts w:hint="eastAsia"/>
      </w:rPr>
    </w:lvl>
  </w:abstractNum>
  <w:abstractNum w:abstractNumId="3">
    <w:nsid w:val="79C3249C"/>
    <w:multiLevelType w:val="singleLevel"/>
    <w:tmpl w:val="79C3249C"/>
    <w:lvl w:ilvl="0" w:tentative="0">
      <w:start w:val="2"/>
      <w:numFmt w:val="decimal"/>
      <w:suff w:val="nothing"/>
      <w:lvlText w:val="%1、"/>
      <w:lvlJc w:val="left"/>
      <w:pPr>
        <w:ind w:left="-422"/>
      </w:pPr>
    </w:lvl>
  </w:abstractNum>
  <w:abstractNum w:abstractNumId="4">
    <w:nsid w:val="7AF23F93"/>
    <w:multiLevelType w:val="singleLevel"/>
    <w:tmpl w:val="7AF23F93"/>
    <w:lvl w:ilvl="0" w:tentative="0">
      <w:start w:val="2"/>
      <w:numFmt w:val="chineseCounting"/>
      <w:suff w:val="space"/>
      <w:lvlText w:val="第%1部分"/>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MjQ4YzNlNzA4M2QyMjQyZThiNGY2MGVhNGZmNzYifQ=="/>
  </w:docVars>
  <w:rsids>
    <w:rsidRoot w:val="00172A27"/>
    <w:rsid w:val="00004E30"/>
    <w:rsid w:val="00011781"/>
    <w:rsid w:val="00016728"/>
    <w:rsid w:val="00020313"/>
    <w:rsid w:val="00026DD6"/>
    <w:rsid w:val="00032EA9"/>
    <w:rsid w:val="00033AFE"/>
    <w:rsid w:val="0004017D"/>
    <w:rsid w:val="000469AC"/>
    <w:rsid w:val="00050829"/>
    <w:rsid w:val="00050ABE"/>
    <w:rsid w:val="0005107E"/>
    <w:rsid w:val="00051AE9"/>
    <w:rsid w:val="00052D54"/>
    <w:rsid w:val="00055276"/>
    <w:rsid w:val="00056A3E"/>
    <w:rsid w:val="000627BA"/>
    <w:rsid w:val="000630BA"/>
    <w:rsid w:val="00084AE9"/>
    <w:rsid w:val="00090CB1"/>
    <w:rsid w:val="0009119A"/>
    <w:rsid w:val="0009147B"/>
    <w:rsid w:val="00093A3C"/>
    <w:rsid w:val="00093E5E"/>
    <w:rsid w:val="00093FC0"/>
    <w:rsid w:val="000A25F6"/>
    <w:rsid w:val="000A6654"/>
    <w:rsid w:val="000A6B23"/>
    <w:rsid w:val="000B351A"/>
    <w:rsid w:val="000B7F54"/>
    <w:rsid w:val="000C04B5"/>
    <w:rsid w:val="000C3532"/>
    <w:rsid w:val="000C3584"/>
    <w:rsid w:val="000C419B"/>
    <w:rsid w:val="000C5D3B"/>
    <w:rsid w:val="000C6B74"/>
    <w:rsid w:val="000C72E6"/>
    <w:rsid w:val="000D04CE"/>
    <w:rsid w:val="000D0569"/>
    <w:rsid w:val="000D0B07"/>
    <w:rsid w:val="000D156D"/>
    <w:rsid w:val="000D1CE2"/>
    <w:rsid w:val="000D572A"/>
    <w:rsid w:val="000D5770"/>
    <w:rsid w:val="000D598C"/>
    <w:rsid w:val="000D706D"/>
    <w:rsid w:val="000E2501"/>
    <w:rsid w:val="000E39FF"/>
    <w:rsid w:val="000E4805"/>
    <w:rsid w:val="000F16ED"/>
    <w:rsid w:val="000F29C7"/>
    <w:rsid w:val="000F6B02"/>
    <w:rsid w:val="000F6C40"/>
    <w:rsid w:val="0010468B"/>
    <w:rsid w:val="00110D79"/>
    <w:rsid w:val="001117DC"/>
    <w:rsid w:val="0011427F"/>
    <w:rsid w:val="001157DE"/>
    <w:rsid w:val="0011642D"/>
    <w:rsid w:val="00122604"/>
    <w:rsid w:val="00123244"/>
    <w:rsid w:val="00130B3B"/>
    <w:rsid w:val="00131232"/>
    <w:rsid w:val="001331FD"/>
    <w:rsid w:val="001337FB"/>
    <w:rsid w:val="00136206"/>
    <w:rsid w:val="001400A7"/>
    <w:rsid w:val="001416F0"/>
    <w:rsid w:val="00141E5B"/>
    <w:rsid w:val="00142D41"/>
    <w:rsid w:val="00143B5A"/>
    <w:rsid w:val="00154B46"/>
    <w:rsid w:val="00154B92"/>
    <w:rsid w:val="00155818"/>
    <w:rsid w:val="00157515"/>
    <w:rsid w:val="00160B3A"/>
    <w:rsid w:val="001620CF"/>
    <w:rsid w:val="00170350"/>
    <w:rsid w:val="00170EC1"/>
    <w:rsid w:val="00171011"/>
    <w:rsid w:val="00172FC8"/>
    <w:rsid w:val="0017458B"/>
    <w:rsid w:val="00175AC9"/>
    <w:rsid w:val="00175FFB"/>
    <w:rsid w:val="001763E8"/>
    <w:rsid w:val="001765B2"/>
    <w:rsid w:val="00181E55"/>
    <w:rsid w:val="001917A6"/>
    <w:rsid w:val="0019297B"/>
    <w:rsid w:val="00194AF8"/>
    <w:rsid w:val="0019575F"/>
    <w:rsid w:val="001A0EFE"/>
    <w:rsid w:val="001A2A9D"/>
    <w:rsid w:val="001A35DE"/>
    <w:rsid w:val="001A51BE"/>
    <w:rsid w:val="001B0B34"/>
    <w:rsid w:val="001C047F"/>
    <w:rsid w:val="001C0CCE"/>
    <w:rsid w:val="001C1521"/>
    <w:rsid w:val="001C1EA3"/>
    <w:rsid w:val="001C40F9"/>
    <w:rsid w:val="001C6AAC"/>
    <w:rsid w:val="001D16FB"/>
    <w:rsid w:val="001D2643"/>
    <w:rsid w:val="001D266A"/>
    <w:rsid w:val="001D2E77"/>
    <w:rsid w:val="001D31B2"/>
    <w:rsid w:val="001D356C"/>
    <w:rsid w:val="001D3800"/>
    <w:rsid w:val="001D3B25"/>
    <w:rsid w:val="001D6C85"/>
    <w:rsid w:val="001E2BFB"/>
    <w:rsid w:val="001E3A04"/>
    <w:rsid w:val="001E44BF"/>
    <w:rsid w:val="001F07B1"/>
    <w:rsid w:val="001F1EB1"/>
    <w:rsid w:val="001F2DE0"/>
    <w:rsid w:val="001F57BD"/>
    <w:rsid w:val="001F5BBB"/>
    <w:rsid w:val="00206472"/>
    <w:rsid w:val="00206AED"/>
    <w:rsid w:val="0021264E"/>
    <w:rsid w:val="00214719"/>
    <w:rsid w:val="0021787D"/>
    <w:rsid w:val="00220911"/>
    <w:rsid w:val="0022336A"/>
    <w:rsid w:val="0022570F"/>
    <w:rsid w:val="002277A7"/>
    <w:rsid w:val="00227F52"/>
    <w:rsid w:val="00231AD5"/>
    <w:rsid w:val="00231DD9"/>
    <w:rsid w:val="00235B2B"/>
    <w:rsid w:val="00242561"/>
    <w:rsid w:val="00243645"/>
    <w:rsid w:val="002437E4"/>
    <w:rsid w:val="00247E2F"/>
    <w:rsid w:val="00255021"/>
    <w:rsid w:val="002554B3"/>
    <w:rsid w:val="00257B7B"/>
    <w:rsid w:val="0026052D"/>
    <w:rsid w:val="002645FD"/>
    <w:rsid w:val="00270FB7"/>
    <w:rsid w:val="0027107C"/>
    <w:rsid w:val="00271883"/>
    <w:rsid w:val="00272CA8"/>
    <w:rsid w:val="002752A3"/>
    <w:rsid w:val="00280578"/>
    <w:rsid w:val="00281AE5"/>
    <w:rsid w:val="0028756C"/>
    <w:rsid w:val="00287844"/>
    <w:rsid w:val="002A497B"/>
    <w:rsid w:val="002A4A5F"/>
    <w:rsid w:val="002A5B7A"/>
    <w:rsid w:val="002B4786"/>
    <w:rsid w:val="002B6D5B"/>
    <w:rsid w:val="002B741E"/>
    <w:rsid w:val="002B74C3"/>
    <w:rsid w:val="002B7D73"/>
    <w:rsid w:val="002C0775"/>
    <w:rsid w:val="002D23CC"/>
    <w:rsid w:val="002D7EEA"/>
    <w:rsid w:val="002E0532"/>
    <w:rsid w:val="002E0A27"/>
    <w:rsid w:val="002E153F"/>
    <w:rsid w:val="002E2625"/>
    <w:rsid w:val="002E32C6"/>
    <w:rsid w:val="002F59A8"/>
    <w:rsid w:val="00302D15"/>
    <w:rsid w:val="00303BFC"/>
    <w:rsid w:val="00307376"/>
    <w:rsid w:val="0031271A"/>
    <w:rsid w:val="00313D18"/>
    <w:rsid w:val="00314B37"/>
    <w:rsid w:val="00315502"/>
    <w:rsid w:val="00323F0D"/>
    <w:rsid w:val="00324FE8"/>
    <w:rsid w:val="00326B68"/>
    <w:rsid w:val="00331C30"/>
    <w:rsid w:val="003321B7"/>
    <w:rsid w:val="003325EA"/>
    <w:rsid w:val="0033373E"/>
    <w:rsid w:val="0033429C"/>
    <w:rsid w:val="00343092"/>
    <w:rsid w:val="00350343"/>
    <w:rsid w:val="003557EB"/>
    <w:rsid w:val="00356952"/>
    <w:rsid w:val="00356B8F"/>
    <w:rsid w:val="00360052"/>
    <w:rsid w:val="00360ABA"/>
    <w:rsid w:val="003738A5"/>
    <w:rsid w:val="00381EB0"/>
    <w:rsid w:val="00387A16"/>
    <w:rsid w:val="00387D09"/>
    <w:rsid w:val="0039252B"/>
    <w:rsid w:val="00392FE1"/>
    <w:rsid w:val="0039557B"/>
    <w:rsid w:val="003A0052"/>
    <w:rsid w:val="003A3E7E"/>
    <w:rsid w:val="003A6CC2"/>
    <w:rsid w:val="003B7AC9"/>
    <w:rsid w:val="003C4E87"/>
    <w:rsid w:val="003D1C4A"/>
    <w:rsid w:val="003D2052"/>
    <w:rsid w:val="003D3400"/>
    <w:rsid w:val="003D471C"/>
    <w:rsid w:val="003D78D6"/>
    <w:rsid w:val="003E24AF"/>
    <w:rsid w:val="003E3418"/>
    <w:rsid w:val="003E35A0"/>
    <w:rsid w:val="003F2258"/>
    <w:rsid w:val="003F7811"/>
    <w:rsid w:val="00400C51"/>
    <w:rsid w:val="00402995"/>
    <w:rsid w:val="00403267"/>
    <w:rsid w:val="004038A9"/>
    <w:rsid w:val="00403C7B"/>
    <w:rsid w:val="00404997"/>
    <w:rsid w:val="004054E2"/>
    <w:rsid w:val="00411627"/>
    <w:rsid w:val="00412CFF"/>
    <w:rsid w:val="00423B51"/>
    <w:rsid w:val="004265F1"/>
    <w:rsid w:val="00427C6E"/>
    <w:rsid w:val="00430592"/>
    <w:rsid w:val="00430B33"/>
    <w:rsid w:val="00430D12"/>
    <w:rsid w:val="00437D1B"/>
    <w:rsid w:val="004639BE"/>
    <w:rsid w:val="004649E8"/>
    <w:rsid w:val="00464F66"/>
    <w:rsid w:val="0046512B"/>
    <w:rsid w:val="00466253"/>
    <w:rsid w:val="004678A0"/>
    <w:rsid w:val="00470214"/>
    <w:rsid w:val="004709CA"/>
    <w:rsid w:val="00486C9D"/>
    <w:rsid w:val="004912D7"/>
    <w:rsid w:val="00492D77"/>
    <w:rsid w:val="00492F62"/>
    <w:rsid w:val="00496797"/>
    <w:rsid w:val="004975FD"/>
    <w:rsid w:val="004A165A"/>
    <w:rsid w:val="004A6D98"/>
    <w:rsid w:val="004A750E"/>
    <w:rsid w:val="004B170B"/>
    <w:rsid w:val="004B1EE1"/>
    <w:rsid w:val="004B5075"/>
    <w:rsid w:val="004B5576"/>
    <w:rsid w:val="004B6FE3"/>
    <w:rsid w:val="004B7A07"/>
    <w:rsid w:val="004C23C6"/>
    <w:rsid w:val="004C2D2E"/>
    <w:rsid w:val="004C3C0B"/>
    <w:rsid w:val="004C6BE8"/>
    <w:rsid w:val="004D0415"/>
    <w:rsid w:val="004D0F3C"/>
    <w:rsid w:val="004D147A"/>
    <w:rsid w:val="004D3FA9"/>
    <w:rsid w:val="004D56D8"/>
    <w:rsid w:val="004D6495"/>
    <w:rsid w:val="004D7653"/>
    <w:rsid w:val="004D7E8A"/>
    <w:rsid w:val="004E2E89"/>
    <w:rsid w:val="004E44AA"/>
    <w:rsid w:val="004E4B72"/>
    <w:rsid w:val="004E574A"/>
    <w:rsid w:val="004E59CD"/>
    <w:rsid w:val="004F06A3"/>
    <w:rsid w:val="004F1377"/>
    <w:rsid w:val="004F171E"/>
    <w:rsid w:val="004F1F95"/>
    <w:rsid w:val="004F3309"/>
    <w:rsid w:val="004F74EF"/>
    <w:rsid w:val="004F766D"/>
    <w:rsid w:val="004F7A92"/>
    <w:rsid w:val="00507003"/>
    <w:rsid w:val="00507E2A"/>
    <w:rsid w:val="00507EF5"/>
    <w:rsid w:val="00517E37"/>
    <w:rsid w:val="00520AEE"/>
    <w:rsid w:val="00520C85"/>
    <w:rsid w:val="00522EA7"/>
    <w:rsid w:val="0052605F"/>
    <w:rsid w:val="005321D3"/>
    <w:rsid w:val="00532D34"/>
    <w:rsid w:val="00532FB4"/>
    <w:rsid w:val="00535AF0"/>
    <w:rsid w:val="00543C4F"/>
    <w:rsid w:val="00545354"/>
    <w:rsid w:val="00546D10"/>
    <w:rsid w:val="00546F80"/>
    <w:rsid w:val="0054717A"/>
    <w:rsid w:val="00551498"/>
    <w:rsid w:val="00551D50"/>
    <w:rsid w:val="00560E84"/>
    <w:rsid w:val="00562A62"/>
    <w:rsid w:val="005632B8"/>
    <w:rsid w:val="0056403F"/>
    <w:rsid w:val="00566911"/>
    <w:rsid w:val="0057003B"/>
    <w:rsid w:val="00590024"/>
    <w:rsid w:val="005900DD"/>
    <w:rsid w:val="005905D7"/>
    <w:rsid w:val="0059091A"/>
    <w:rsid w:val="005919A1"/>
    <w:rsid w:val="00594578"/>
    <w:rsid w:val="0059486D"/>
    <w:rsid w:val="00595454"/>
    <w:rsid w:val="0059704B"/>
    <w:rsid w:val="00597636"/>
    <w:rsid w:val="005A0996"/>
    <w:rsid w:val="005A2294"/>
    <w:rsid w:val="005A4452"/>
    <w:rsid w:val="005A5125"/>
    <w:rsid w:val="005A5D8E"/>
    <w:rsid w:val="005B0DF1"/>
    <w:rsid w:val="005B59A3"/>
    <w:rsid w:val="005B795B"/>
    <w:rsid w:val="005C4367"/>
    <w:rsid w:val="005C5B12"/>
    <w:rsid w:val="005D556F"/>
    <w:rsid w:val="005D68BA"/>
    <w:rsid w:val="005D6A7E"/>
    <w:rsid w:val="005E2F48"/>
    <w:rsid w:val="005E42A1"/>
    <w:rsid w:val="005E492E"/>
    <w:rsid w:val="005F0EC9"/>
    <w:rsid w:val="005F2415"/>
    <w:rsid w:val="005F5B7D"/>
    <w:rsid w:val="00605EF0"/>
    <w:rsid w:val="006116C8"/>
    <w:rsid w:val="006119B6"/>
    <w:rsid w:val="0061491F"/>
    <w:rsid w:val="00615A69"/>
    <w:rsid w:val="00615F67"/>
    <w:rsid w:val="00616345"/>
    <w:rsid w:val="006173A0"/>
    <w:rsid w:val="00617BA0"/>
    <w:rsid w:val="0062496B"/>
    <w:rsid w:val="006259A3"/>
    <w:rsid w:val="0062786C"/>
    <w:rsid w:val="00627C48"/>
    <w:rsid w:val="0063086C"/>
    <w:rsid w:val="00630BAC"/>
    <w:rsid w:val="00636680"/>
    <w:rsid w:val="0064026C"/>
    <w:rsid w:val="00644AF1"/>
    <w:rsid w:val="0064710E"/>
    <w:rsid w:val="00653D25"/>
    <w:rsid w:val="006549B8"/>
    <w:rsid w:val="006602F9"/>
    <w:rsid w:val="0066103C"/>
    <w:rsid w:val="00662913"/>
    <w:rsid w:val="006630E4"/>
    <w:rsid w:val="00663221"/>
    <w:rsid w:val="0067797E"/>
    <w:rsid w:val="00681700"/>
    <w:rsid w:val="00683B0E"/>
    <w:rsid w:val="00684FF2"/>
    <w:rsid w:val="00687033"/>
    <w:rsid w:val="006905D1"/>
    <w:rsid w:val="00693C78"/>
    <w:rsid w:val="00695252"/>
    <w:rsid w:val="00696076"/>
    <w:rsid w:val="0069722C"/>
    <w:rsid w:val="006A3B73"/>
    <w:rsid w:val="006A49D4"/>
    <w:rsid w:val="006B0775"/>
    <w:rsid w:val="006B0D35"/>
    <w:rsid w:val="006B12BC"/>
    <w:rsid w:val="006B47F1"/>
    <w:rsid w:val="006B6496"/>
    <w:rsid w:val="006C22D1"/>
    <w:rsid w:val="006D0373"/>
    <w:rsid w:val="006D3B14"/>
    <w:rsid w:val="006D6F0E"/>
    <w:rsid w:val="006E169A"/>
    <w:rsid w:val="006E2665"/>
    <w:rsid w:val="006E46CB"/>
    <w:rsid w:val="006F23D8"/>
    <w:rsid w:val="006F7DCC"/>
    <w:rsid w:val="00700CC0"/>
    <w:rsid w:val="007013CD"/>
    <w:rsid w:val="00702DD0"/>
    <w:rsid w:val="00704B9A"/>
    <w:rsid w:val="00706886"/>
    <w:rsid w:val="0070735D"/>
    <w:rsid w:val="007115D3"/>
    <w:rsid w:val="007147E3"/>
    <w:rsid w:val="00714D40"/>
    <w:rsid w:val="00716AAF"/>
    <w:rsid w:val="0072283E"/>
    <w:rsid w:val="00722B28"/>
    <w:rsid w:val="007305F4"/>
    <w:rsid w:val="0073457A"/>
    <w:rsid w:val="00735199"/>
    <w:rsid w:val="00735AD0"/>
    <w:rsid w:val="00736F40"/>
    <w:rsid w:val="00740C18"/>
    <w:rsid w:val="00741770"/>
    <w:rsid w:val="00746658"/>
    <w:rsid w:val="0075087C"/>
    <w:rsid w:val="007522C2"/>
    <w:rsid w:val="00753F34"/>
    <w:rsid w:val="007564A6"/>
    <w:rsid w:val="00756A64"/>
    <w:rsid w:val="00762290"/>
    <w:rsid w:val="00763573"/>
    <w:rsid w:val="00765640"/>
    <w:rsid w:val="00766B67"/>
    <w:rsid w:val="00770B58"/>
    <w:rsid w:val="0077617D"/>
    <w:rsid w:val="0077694F"/>
    <w:rsid w:val="00780227"/>
    <w:rsid w:val="0078221B"/>
    <w:rsid w:val="00782469"/>
    <w:rsid w:val="00784742"/>
    <w:rsid w:val="0078608F"/>
    <w:rsid w:val="00786581"/>
    <w:rsid w:val="00786FD1"/>
    <w:rsid w:val="00787394"/>
    <w:rsid w:val="0079067D"/>
    <w:rsid w:val="0079300F"/>
    <w:rsid w:val="0079352C"/>
    <w:rsid w:val="00794731"/>
    <w:rsid w:val="0079555B"/>
    <w:rsid w:val="00796DC8"/>
    <w:rsid w:val="007A2170"/>
    <w:rsid w:val="007A3176"/>
    <w:rsid w:val="007B3FDB"/>
    <w:rsid w:val="007B7651"/>
    <w:rsid w:val="007B7C7C"/>
    <w:rsid w:val="007C3F88"/>
    <w:rsid w:val="007C4228"/>
    <w:rsid w:val="007D0307"/>
    <w:rsid w:val="007D5067"/>
    <w:rsid w:val="007D69F9"/>
    <w:rsid w:val="007E1E6F"/>
    <w:rsid w:val="007E5981"/>
    <w:rsid w:val="007E6D61"/>
    <w:rsid w:val="007F1D54"/>
    <w:rsid w:val="007F3000"/>
    <w:rsid w:val="007F5652"/>
    <w:rsid w:val="008004F7"/>
    <w:rsid w:val="008028EC"/>
    <w:rsid w:val="00803E21"/>
    <w:rsid w:val="008060F2"/>
    <w:rsid w:val="008063C5"/>
    <w:rsid w:val="00806F22"/>
    <w:rsid w:val="0080703F"/>
    <w:rsid w:val="0081150E"/>
    <w:rsid w:val="00813CD2"/>
    <w:rsid w:val="00814925"/>
    <w:rsid w:val="00815D9F"/>
    <w:rsid w:val="008213F5"/>
    <w:rsid w:val="0082716F"/>
    <w:rsid w:val="008305F0"/>
    <w:rsid w:val="00831807"/>
    <w:rsid w:val="00831B52"/>
    <w:rsid w:val="0083494A"/>
    <w:rsid w:val="00837CA8"/>
    <w:rsid w:val="00840A44"/>
    <w:rsid w:val="008429F5"/>
    <w:rsid w:val="00843E28"/>
    <w:rsid w:val="0084438E"/>
    <w:rsid w:val="00847F28"/>
    <w:rsid w:val="008515FE"/>
    <w:rsid w:val="0085470A"/>
    <w:rsid w:val="00856607"/>
    <w:rsid w:val="0086175C"/>
    <w:rsid w:val="00862668"/>
    <w:rsid w:val="00863074"/>
    <w:rsid w:val="008718DD"/>
    <w:rsid w:val="008779A2"/>
    <w:rsid w:val="008831D7"/>
    <w:rsid w:val="00884350"/>
    <w:rsid w:val="00884A6A"/>
    <w:rsid w:val="00885592"/>
    <w:rsid w:val="00885F9C"/>
    <w:rsid w:val="00887982"/>
    <w:rsid w:val="00892E15"/>
    <w:rsid w:val="008948FE"/>
    <w:rsid w:val="008A39FF"/>
    <w:rsid w:val="008A78F5"/>
    <w:rsid w:val="008A7909"/>
    <w:rsid w:val="008B1327"/>
    <w:rsid w:val="008B3BCC"/>
    <w:rsid w:val="008B4192"/>
    <w:rsid w:val="008B6988"/>
    <w:rsid w:val="008C0765"/>
    <w:rsid w:val="008C3435"/>
    <w:rsid w:val="008C3DAC"/>
    <w:rsid w:val="008D0206"/>
    <w:rsid w:val="008D3E97"/>
    <w:rsid w:val="008D3F97"/>
    <w:rsid w:val="008D4341"/>
    <w:rsid w:val="008D5C11"/>
    <w:rsid w:val="008D7712"/>
    <w:rsid w:val="008E1810"/>
    <w:rsid w:val="008E30EB"/>
    <w:rsid w:val="008E3E29"/>
    <w:rsid w:val="008E5DC9"/>
    <w:rsid w:val="008E6007"/>
    <w:rsid w:val="008E615F"/>
    <w:rsid w:val="008E7C11"/>
    <w:rsid w:val="008F2924"/>
    <w:rsid w:val="008F3AE8"/>
    <w:rsid w:val="008F4C81"/>
    <w:rsid w:val="008F7D76"/>
    <w:rsid w:val="009006D4"/>
    <w:rsid w:val="00900897"/>
    <w:rsid w:val="009025D6"/>
    <w:rsid w:val="009061A8"/>
    <w:rsid w:val="00907B30"/>
    <w:rsid w:val="00911690"/>
    <w:rsid w:val="00912C5B"/>
    <w:rsid w:val="009174C7"/>
    <w:rsid w:val="009207F4"/>
    <w:rsid w:val="0092106D"/>
    <w:rsid w:val="00924A13"/>
    <w:rsid w:val="00935191"/>
    <w:rsid w:val="00943F40"/>
    <w:rsid w:val="00963BE8"/>
    <w:rsid w:val="009642A0"/>
    <w:rsid w:val="009642C7"/>
    <w:rsid w:val="009660B9"/>
    <w:rsid w:val="009673A8"/>
    <w:rsid w:val="0096795A"/>
    <w:rsid w:val="00967F51"/>
    <w:rsid w:val="00970A96"/>
    <w:rsid w:val="00973E47"/>
    <w:rsid w:val="009742D9"/>
    <w:rsid w:val="00974C92"/>
    <w:rsid w:val="00976F66"/>
    <w:rsid w:val="0098378E"/>
    <w:rsid w:val="00984059"/>
    <w:rsid w:val="00984248"/>
    <w:rsid w:val="00985033"/>
    <w:rsid w:val="00986E18"/>
    <w:rsid w:val="00992959"/>
    <w:rsid w:val="00993D83"/>
    <w:rsid w:val="0099584B"/>
    <w:rsid w:val="00997A63"/>
    <w:rsid w:val="009A1001"/>
    <w:rsid w:val="009A3E57"/>
    <w:rsid w:val="009A7BD9"/>
    <w:rsid w:val="009B017F"/>
    <w:rsid w:val="009B372E"/>
    <w:rsid w:val="009B56FA"/>
    <w:rsid w:val="009C0156"/>
    <w:rsid w:val="009C1BA8"/>
    <w:rsid w:val="009C22CC"/>
    <w:rsid w:val="009C32F7"/>
    <w:rsid w:val="009C3706"/>
    <w:rsid w:val="009C4F3B"/>
    <w:rsid w:val="009E1DF0"/>
    <w:rsid w:val="009F13D6"/>
    <w:rsid w:val="009F4A43"/>
    <w:rsid w:val="00A04584"/>
    <w:rsid w:val="00A0723B"/>
    <w:rsid w:val="00A12B8A"/>
    <w:rsid w:val="00A12C79"/>
    <w:rsid w:val="00A13975"/>
    <w:rsid w:val="00A15B86"/>
    <w:rsid w:val="00A166FA"/>
    <w:rsid w:val="00A22C1D"/>
    <w:rsid w:val="00A234B4"/>
    <w:rsid w:val="00A310DB"/>
    <w:rsid w:val="00A32CF3"/>
    <w:rsid w:val="00A33474"/>
    <w:rsid w:val="00A345D8"/>
    <w:rsid w:val="00A4123D"/>
    <w:rsid w:val="00A42A1D"/>
    <w:rsid w:val="00A43594"/>
    <w:rsid w:val="00A47BA3"/>
    <w:rsid w:val="00A50377"/>
    <w:rsid w:val="00A564D6"/>
    <w:rsid w:val="00A6048D"/>
    <w:rsid w:val="00A63203"/>
    <w:rsid w:val="00A65778"/>
    <w:rsid w:val="00A66FBD"/>
    <w:rsid w:val="00A773E2"/>
    <w:rsid w:val="00A82769"/>
    <w:rsid w:val="00A85010"/>
    <w:rsid w:val="00A85F0A"/>
    <w:rsid w:val="00A875F0"/>
    <w:rsid w:val="00A87945"/>
    <w:rsid w:val="00A90E67"/>
    <w:rsid w:val="00A92A85"/>
    <w:rsid w:val="00A94C2B"/>
    <w:rsid w:val="00A95A34"/>
    <w:rsid w:val="00AA0996"/>
    <w:rsid w:val="00AA1932"/>
    <w:rsid w:val="00AA1C23"/>
    <w:rsid w:val="00AA241C"/>
    <w:rsid w:val="00AA79CC"/>
    <w:rsid w:val="00AB626D"/>
    <w:rsid w:val="00AC2403"/>
    <w:rsid w:val="00AC37CA"/>
    <w:rsid w:val="00AC600F"/>
    <w:rsid w:val="00AC6713"/>
    <w:rsid w:val="00AD00C2"/>
    <w:rsid w:val="00AD1477"/>
    <w:rsid w:val="00AD1AE5"/>
    <w:rsid w:val="00AD1FFC"/>
    <w:rsid w:val="00AD4BBF"/>
    <w:rsid w:val="00AE0CFC"/>
    <w:rsid w:val="00AE0F94"/>
    <w:rsid w:val="00AE0FFC"/>
    <w:rsid w:val="00AE1978"/>
    <w:rsid w:val="00AE3E6C"/>
    <w:rsid w:val="00AE49F9"/>
    <w:rsid w:val="00AF2A17"/>
    <w:rsid w:val="00AF389A"/>
    <w:rsid w:val="00B01174"/>
    <w:rsid w:val="00B01708"/>
    <w:rsid w:val="00B02066"/>
    <w:rsid w:val="00B03679"/>
    <w:rsid w:val="00B108C7"/>
    <w:rsid w:val="00B1242E"/>
    <w:rsid w:val="00B15B72"/>
    <w:rsid w:val="00B1609E"/>
    <w:rsid w:val="00B21F97"/>
    <w:rsid w:val="00B23E49"/>
    <w:rsid w:val="00B27E5E"/>
    <w:rsid w:val="00B32F7B"/>
    <w:rsid w:val="00B3409E"/>
    <w:rsid w:val="00B34A73"/>
    <w:rsid w:val="00B355F2"/>
    <w:rsid w:val="00B361FA"/>
    <w:rsid w:val="00B41ECB"/>
    <w:rsid w:val="00B4289E"/>
    <w:rsid w:val="00B44B16"/>
    <w:rsid w:val="00B509CC"/>
    <w:rsid w:val="00B57172"/>
    <w:rsid w:val="00B708CE"/>
    <w:rsid w:val="00B71B0E"/>
    <w:rsid w:val="00B720B2"/>
    <w:rsid w:val="00B7724F"/>
    <w:rsid w:val="00B80173"/>
    <w:rsid w:val="00B80912"/>
    <w:rsid w:val="00B82042"/>
    <w:rsid w:val="00B85466"/>
    <w:rsid w:val="00B86A9D"/>
    <w:rsid w:val="00B86AFF"/>
    <w:rsid w:val="00B90314"/>
    <w:rsid w:val="00B943BB"/>
    <w:rsid w:val="00B9763B"/>
    <w:rsid w:val="00BA1E41"/>
    <w:rsid w:val="00BA61B5"/>
    <w:rsid w:val="00BB0539"/>
    <w:rsid w:val="00BB2F15"/>
    <w:rsid w:val="00BB3CF5"/>
    <w:rsid w:val="00BC04EE"/>
    <w:rsid w:val="00BC0A52"/>
    <w:rsid w:val="00BC36D8"/>
    <w:rsid w:val="00BC5C6B"/>
    <w:rsid w:val="00BC5F7A"/>
    <w:rsid w:val="00BD486F"/>
    <w:rsid w:val="00BE1030"/>
    <w:rsid w:val="00BE1D59"/>
    <w:rsid w:val="00BE477B"/>
    <w:rsid w:val="00BE689F"/>
    <w:rsid w:val="00BE6C32"/>
    <w:rsid w:val="00BF0D61"/>
    <w:rsid w:val="00BF0E29"/>
    <w:rsid w:val="00BF22CF"/>
    <w:rsid w:val="00BF39DE"/>
    <w:rsid w:val="00BF47E5"/>
    <w:rsid w:val="00C01F70"/>
    <w:rsid w:val="00C020DD"/>
    <w:rsid w:val="00C029DA"/>
    <w:rsid w:val="00C02B4B"/>
    <w:rsid w:val="00C04BBD"/>
    <w:rsid w:val="00C05920"/>
    <w:rsid w:val="00C0608E"/>
    <w:rsid w:val="00C060DB"/>
    <w:rsid w:val="00C11C75"/>
    <w:rsid w:val="00C12168"/>
    <w:rsid w:val="00C15A76"/>
    <w:rsid w:val="00C16A43"/>
    <w:rsid w:val="00C22375"/>
    <w:rsid w:val="00C36E17"/>
    <w:rsid w:val="00C51D01"/>
    <w:rsid w:val="00C53252"/>
    <w:rsid w:val="00C56F3D"/>
    <w:rsid w:val="00C60B52"/>
    <w:rsid w:val="00C652DF"/>
    <w:rsid w:val="00C65616"/>
    <w:rsid w:val="00C74E86"/>
    <w:rsid w:val="00C756CC"/>
    <w:rsid w:val="00C75ED1"/>
    <w:rsid w:val="00C76544"/>
    <w:rsid w:val="00C76D7B"/>
    <w:rsid w:val="00C83AB7"/>
    <w:rsid w:val="00C84009"/>
    <w:rsid w:val="00C84318"/>
    <w:rsid w:val="00C84D21"/>
    <w:rsid w:val="00C932E6"/>
    <w:rsid w:val="00C9683C"/>
    <w:rsid w:val="00CA3BE9"/>
    <w:rsid w:val="00CA69DF"/>
    <w:rsid w:val="00CB0D49"/>
    <w:rsid w:val="00CB1818"/>
    <w:rsid w:val="00CB3EAA"/>
    <w:rsid w:val="00CB680F"/>
    <w:rsid w:val="00CC3C54"/>
    <w:rsid w:val="00CC50FB"/>
    <w:rsid w:val="00CC748B"/>
    <w:rsid w:val="00CD0859"/>
    <w:rsid w:val="00CD2C9A"/>
    <w:rsid w:val="00CD34A5"/>
    <w:rsid w:val="00CD7D26"/>
    <w:rsid w:val="00CE0006"/>
    <w:rsid w:val="00CE0726"/>
    <w:rsid w:val="00CE3865"/>
    <w:rsid w:val="00CE3C3E"/>
    <w:rsid w:val="00CE69DB"/>
    <w:rsid w:val="00CF5728"/>
    <w:rsid w:val="00CF6388"/>
    <w:rsid w:val="00D01F4D"/>
    <w:rsid w:val="00D03344"/>
    <w:rsid w:val="00D05F15"/>
    <w:rsid w:val="00D1025C"/>
    <w:rsid w:val="00D10F49"/>
    <w:rsid w:val="00D15FED"/>
    <w:rsid w:val="00D245DE"/>
    <w:rsid w:val="00D24EBF"/>
    <w:rsid w:val="00D33C33"/>
    <w:rsid w:val="00D40F94"/>
    <w:rsid w:val="00D42CC1"/>
    <w:rsid w:val="00D50CCE"/>
    <w:rsid w:val="00D51A49"/>
    <w:rsid w:val="00D55576"/>
    <w:rsid w:val="00D60AE1"/>
    <w:rsid w:val="00D6103E"/>
    <w:rsid w:val="00D61529"/>
    <w:rsid w:val="00D70FB6"/>
    <w:rsid w:val="00D73030"/>
    <w:rsid w:val="00D744CE"/>
    <w:rsid w:val="00D748EB"/>
    <w:rsid w:val="00D75F5D"/>
    <w:rsid w:val="00D76503"/>
    <w:rsid w:val="00D77F2E"/>
    <w:rsid w:val="00D81ABC"/>
    <w:rsid w:val="00D8266A"/>
    <w:rsid w:val="00D831F5"/>
    <w:rsid w:val="00D85CFC"/>
    <w:rsid w:val="00D87FC9"/>
    <w:rsid w:val="00D96B0A"/>
    <w:rsid w:val="00D978CF"/>
    <w:rsid w:val="00D97CC2"/>
    <w:rsid w:val="00DA0744"/>
    <w:rsid w:val="00DA2537"/>
    <w:rsid w:val="00DA2721"/>
    <w:rsid w:val="00DA79DF"/>
    <w:rsid w:val="00DB0AD1"/>
    <w:rsid w:val="00DB2FC1"/>
    <w:rsid w:val="00DB6728"/>
    <w:rsid w:val="00DC01D7"/>
    <w:rsid w:val="00DC0956"/>
    <w:rsid w:val="00DC5C89"/>
    <w:rsid w:val="00DC5CB6"/>
    <w:rsid w:val="00DC6C9E"/>
    <w:rsid w:val="00DC6CBA"/>
    <w:rsid w:val="00DD257D"/>
    <w:rsid w:val="00DD3638"/>
    <w:rsid w:val="00DD5258"/>
    <w:rsid w:val="00DE32A2"/>
    <w:rsid w:val="00DE7418"/>
    <w:rsid w:val="00DE796C"/>
    <w:rsid w:val="00DF0A97"/>
    <w:rsid w:val="00DF2AE7"/>
    <w:rsid w:val="00DF4446"/>
    <w:rsid w:val="00DF5B41"/>
    <w:rsid w:val="00DF7885"/>
    <w:rsid w:val="00E0055E"/>
    <w:rsid w:val="00E03A73"/>
    <w:rsid w:val="00E04E62"/>
    <w:rsid w:val="00E05DAE"/>
    <w:rsid w:val="00E111BE"/>
    <w:rsid w:val="00E16CAC"/>
    <w:rsid w:val="00E17210"/>
    <w:rsid w:val="00E17299"/>
    <w:rsid w:val="00E1783C"/>
    <w:rsid w:val="00E20383"/>
    <w:rsid w:val="00E3303A"/>
    <w:rsid w:val="00E361F5"/>
    <w:rsid w:val="00E37699"/>
    <w:rsid w:val="00E40928"/>
    <w:rsid w:val="00E40E60"/>
    <w:rsid w:val="00E51350"/>
    <w:rsid w:val="00E51D86"/>
    <w:rsid w:val="00E51ED2"/>
    <w:rsid w:val="00E53479"/>
    <w:rsid w:val="00E55907"/>
    <w:rsid w:val="00E560FC"/>
    <w:rsid w:val="00E64F2F"/>
    <w:rsid w:val="00E669E4"/>
    <w:rsid w:val="00E75CDE"/>
    <w:rsid w:val="00E769C9"/>
    <w:rsid w:val="00E810F5"/>
    <w:rsid w:val="00E82A94"/>
    <w:rsid w:val="00E914D5"/>
    <w:rsid w:val="00E92F99"/>
    <w:rsid w:val="00E96CF4"/>
    <w:rsid w:val="00E9768A"/>
    <w:rsid w:val="00EA2132"/>
    <w:rsid w:val="00EA47A2"/>
    <w:rsid w:val="00EA5325"/>
    <w:rsid w:val="00EA53D3"/>
    <w:rsid w:val="00EA78F5"/>
    <w:rsid w:val="00EA7A1D"/>
    <w:rsid w:val="00EA7D8F"/>
    <w:rsid w:val="00EB2A4C"/>
    <w:rsid w:val="00EB3172"/>
    <w:rsid w:val="00EB56F7"/>
    <w:rsid w:val="00EB58DE"/>
    <w:rsid w:val="00EC0307"/>
    <w:rsid w:val="00EC42A9"/>
    <w:rsid w:val="00EC7D86"/>
    <w:rsid w:val="00ED055D"/>
    <w:rsid w:val="00ED16CF"/>
    <w:rsid w:val="00ED3C95"/>
    <w:rsid w:val="00ED6CC5"/>
    <w:rsid w:val="00ED7F97"/>
    <w:rsid w:val="00EE50BB"/>
    <w:rsid w:val="00EF142E"/>
    <w:rsid w:val="00EF1678"/>
    <w:rsid w:val="00F009F0"/>
    <w:rsid w:val="00F01A2C"/>
    <w:rsid w:val="00F027EF"/>
    <w:rsid w:val="00F04A7F"/>
    <w:rsid w:val="00F05431"/>
    <w:rsid w:val="00F10D38"/>
    <w:rsid w:val="00F22061"/>
    <w:rsid w:val="00F22A1C"/>
    <w:rsid w:val="00F25E7F"/>
    <w:rsid w:val="00F25F54"/>
    <w:rsid w:val="00F266BD"/>
    <w:rsid w:val="00F3026F"/>
    <w:rsid w:val="00F32057"/>
    <w:rsid w:val="00F34F46"/>
    <w:rsid w:val="00F43788"/>
    <w:rsid w:val="00F51178"/>
    <w:rsid w:val="00F517C8"/>
    <w:rsid w:val="00F52500"/>
    <w:rsid w:val="00F5606A"/>
    <w:rsid w:val="00F57924"/>
    <w:rsid w:val="00F61E07"/>
    <w:rsid w:val="00F61E65"/>
    <w:rsid w:val="00F62398"/>
    <w:rsid w:val="00F63D9A"/>
    <w:rsid w:val="00F64420"/>
    <w:rsid w:val="00F65076"/>
    <w:rsid w:val="00F725DF"/>
    <w:rsid w:val="00F73A4F"/>
    <w:rsid w:val="00F745ED"/>
    <w:rsid w:val="00F75DBF"/>
    <w:rsid w:val="00F80B54"/>
    <w:rsid w:val="00F82763"/>
    <w:rsid w:val="00F8351F"/>
    <w:rsid w:val="00F842A5"/>
    <w:rsid w:val="00F86A15"/>
    <w:rsid w:val="00F87954"/>
    <w:rsid w:val="00F9159B"/>
    <w:rsid w:val="00F91FE2"/>
    <w:rsid w:val="00F930D1"/>
    <w:rsid w:val="00F93D8C"/>
    <w:rsid w:val="00F94736"/>
    <w:rsid w:val="00FA2978"/>
    <w:rsid w:val="00FA68C6"/>
    <w:rsid w:val="00FA7C8E"/>
    <w:rsid w:val="00FA7D07"/>
    <w:rsid w:val="00FB0174"/>
    <w:rsid w:val="00FB1292"/>
    <w:rsid w:val="00FB1EF8"/>
    <w:rsid w:val="00FB6004"/>
    <w:rsid w:val="00FC061E"/>
    <w:rsid w:val="00FC4FD9"/>
    <w:rsid w:val="00FC7909"/>
    <w:rsid w:val="00FD4667"/>
    <w:rsid w:val="00FE0054"/>
    <w:rsid w:val="00FE0586"/>
    <w:rsid w:val="00FE0B63"/>
    <w:rsid w:val="00FE4676"/>
    <w:rsid w:val="00FF0ADE"/>
    <w:rsid w:val="00FF0C78"/>
    <w:rsid w:val="00FF1D8B"/>
    <w:rsid w:val="00FF3860"/>
    <w:rsid w:val="00FF4240"/>
    <w:rsid w:val="00FF54F5"/>
    <w:rsid w:val="00FF582D"/>
    <w:rsid w:val="014F77FD"/>
    <w:rsid w:val="01BD7155"/>
    <w:rsid w:val="01C8709F"/>
    <w:rsid w:val="01CB6AEA"/>
    <w:rsid w:val="01DD18A6"/>
    <w:rsid w:val="02B67D2C"/>
    <w:rsid w:val="0301441E"/>
    <w:rsid w:val="03030405"/>
    <w:rsid w:val="0449181A"/>
    <w:rsid w:val="044A1D23"/>
    <w:rsid w:val="047D65FE"/>
    <w:rsid w:val="048A5101"/>
    <w:rsid w:val="0491196B"/>
    <w:rsid w:val="04DA472B"/>
    <w:rsid w:val="05592D53"/>
    <w:rsid w:val="05697E55"/>
    <w:rsid w:val="0585676B"/>
    <w:rsid w:val="05EF7AF1"/>
    <w:rsid w:val="0620273A"/>
    <w:rsid w:val="064B0E32"/>
    <w:rsid w:val="067E64B8"/>
    <w:rsid w:val="06C07E9C"/>
    <w:rsid w:val="073D68E0"/>
    <w:rsid w:val="07B622BE"/>
    <w:rsid w:val="07BE618B"/>
    <w:rsid w:val="081F724D"/>
    <w:rsid w:val="08257C0A"/>
    <w:rsid w:val="083B1C9D"/>
    <w:rsid w:val="083C0673"/>
    <w:rsid w:val="084E094B"/>
    <w:rsid w:val="08705AD1"/>
    <w:rsid w:val="08756B3B"/>
    <w:rsid w:val="08910757"/>
    <w:rsid w:val="08FE575D"/>
    <w:rsid w:val="095D786F"/>
    <w:rsid w:val="09691011"/>
    <w:rsid w:val="097825B5"/>
    <w:rsid w:val="09784721"/>
    <w:rsid w:val="097C3834"/>
    <w:rsid w:val="097D43D3"/>
    <w:rsid w:val="09A12942"/>
    <w:rsid w:val="09B4167D"/>
    <w:rsid w:val="09EA17B6"/>
    <w:rsid w:val="0A1022FA"/>
    <w:rsid w:val="0A1259C1"/>
    <w:rsid w:val="0A59403A"/>
    <w:rsid w:val="0AA40F58"/>
    <w:rsid w:val="0AA6526E"/>
    <w:rsid w:val="0AC30814"/>
    <w:rsid w:val="0AE957B4"/>
    <w:rsid w:val="0B00739E"/>
    <w:rsid w:val="0B0F72C5"/>
    <w:rsid w:val="0B233575"/>
    <w:rsid w:val="0B453633"/>
    <w:rsid w:val="0B6D05B8"/>
    <w:rsid w:val="0B805DF3"/>
    <w:rsid w:val="0BDC0D39"/>
    <w:rsid w:val="0C10457E"/>
    <w:rsid w:val="0C2A5CE1"/>
    <w:rsid w:val="0C3A4C9D"/>
    <w:rsid w:val="0C411163"/>
    <w:rsid w:val="0C4A2238"/>
    <w:rsid w:val="0C601FA2"/>
    <w:rsid w:val="0C8F3B55"/>
    <w:rsid w:val="0D150B42"/>
    <w:rsid w:val="0D973D58"/>
    <w:rsid w:val="0D9F2BF4"/>
    <w:rsid w:val="0DB24751"/>
    <w:rsid w:val="0DB93D8E"/>
    <w:rsid w:val="0DE047BF"/>
    <w:rsid w:val="0E1B0C80"/>
    <w:rsid w:val="0E313CB2"/>
    <w:rsid w:val="0EAE5F16"/>
    <w:rsid w:val="0EBE2450"/>
    <w:rsid w:val="0EF176C1"/>
    <w:rsid w:val="0F20638A"/>
    <w:rsid w:val="0F3B2869"/>
    <w:rsid w:val="0F3E2235"/>
    <w:rsid w:val="0F4372C8"/>
    <w:rsid w:val="0F996FC7"/>
    <w:rsid w:val="0FAD4F92"/>
    <w:rsid w:val="0FD93D3D"/>
    <w:rsid w:val="0FDB683D"/>
    <w:rsid w:val="0FEB191A"/>
    <w:rsid w:val="0FEC0DA5"/>
    <w:rsid w:val="1130644C"/>
    <w:rsid w:val="113A5835"/>
    <w:rsid w:val="11672002"/>
    <w:rsid w:val="11A05939"/>
    <w:rsid w:val="11A36112"/>
    <w:rsid w:val="11A63E39"/>
    <w:rsid w:val="11EE7BE1"/>
    <w:rsid w:val="12D75E24"/>
    <w:rsid w:val="12E8751A"/>
    <w:rsid w:val="135F621C"/>
    <w:rsid w:val="141D7709"/>
    <w:rsid w:val="144309AF"/>
    <w:rsid w:val="145730A4"/>
    <w:rsid w:val="14764402"/>
    <w:rsid w:val="1476678A"/>
    <w:rsid w:val="14850D94"/>
    <w:rsid w:val="14A5693F"/>
    <w:rsid w:val="14A9258C"/>
    <w:rsid w:val="14AC5F02"/>
    <w:rsid w:val="14D86A5D"/>
    <w:rsid w:val="153D55BD"/>
    <w:rsid w:val="156654DA"/>
    <w:rsid w:val="15776D7E"/>
    <w:rsid w:val="157A0D68"/>
    <w:rsid w:val="158031FC"/>
    <w:rsid w:val="15983282"/>
    <w:rsid w:val="15EE3AB6"/>
    <w:rsid w:val="16250B5A"/>
    <w:rsid w:val="16630470"/>
    <w:rsid w:val="16647707"/>
    <w:rsid w:val="16A672C9"/>
    <w:rsid w:val="16AB01A4"/>
    <w:rsid w:val="16AE3F18"/>
    <w:rsid w:val="16B81603"/>
    <w:rsid w:val="16CF1CC6"/>
    <w:rsid w:val="17072BAB"/>
    <w:rsid w:val="1711696E"/>
    <w:rsid w:val="172E7810"/>
    <w:rsid w:val="17794346"/>
    <w:rsid w:val="18016D14"/>
    <w:rsid w:val="182E0082"/>
    <w:rsid w:val="18492666"/>
    <w:rsid w:val="185507A1"/>
    <w:rsid w:val="186D1005"/>
    <w:rsid w:val="187359FA"/>
    <w:rsid w:val="188E727B"/>
    <w:rsid w:val="193079D5"/>
    <w:rsid w:val="196462BA"/>
    <w:rsid w:val="1977632C"/>
    <w:rsid w:val="197C1FCE"/>
    <w:rsid w:val="19A20EDD"/>
    <w:rsid w:val="19A526C7"/>
    <w:rsid w:val="19FF64B5"/>
    <w:rsid w:val="1A23060D"/>
    <w:rsid w:val="1A3C0C0D"/>
    <w:rsid w:val="1A585BC2"/>
    <w:rsid w:val="1A5E6A00"/>
    <w:rsid w:val="1A8671EE"/>
    <w:rsid w:val="1A9262B2"/>
    <w:rsid w:val="1AEC42A8"/>
    <w:rsid w:val="1AEE6276"/>
    <w:rsid w:val="1AF323D8"/>
    <w:rsid w:val="1AF62C69"/>
    <w:rsid w:val="1BC20C24"/>
    <w:rsid w:val="1BD36076"/>
    <w:rsid w:val="1BFD27A2"/>
    <w:rsid w:val="1C011678"/>
    <w:rsid w:val="1C2A7E30"/>
    <w:rsid w:val="1C53323F"/>
    <w:rsid w:val="1C756A7F"/>
    <w:rsid w:val="1CE87118"/>
    <w:rsid w:val="1D92407B"/>
    <w:rsid w:val="1DED6AA9"/>
    <w:rsid w:val="1E587E3F"/>
    <w:rsid w:val="1E925EEC"/>
    <w:rsid w:val="1E9B5208"/>
    <w:rsid w:val="1EAA2E64"/>
    <w:rsid w:val="1EE25BAC"/>
    <w:rsid w:val="1F404FCB"/>
    <w:rsid w:val="1F5124D9"/>
    <w:rsid w:val="1F8654CC"/>
    <w:rsid w:val="1FA3010B"/>
    <w:rsid w:val="201B73DE"/>
    <w:rsid w:val="203043BA"/>
    <w:rsid w:val="203D6437"/>
    <w:rsid w:val="209605CD"/>
    <w:rsid w:val="20C032A2"/>
    <w:rsid w:val="211D336B"/>
    <w:rsid w:val="21224CAB"/>
    <w:rsid w:val="21590E3E"/>
    <w:rsid w:val="219A17D7"/>
    <w:rsid w:val="21A33D9D"/>
    <w:rsid w:val="21C26024"/>
    <w:rsid w:val="21DD798D"/>
    <w:rsid w:val="224D32E0"/>
    <w:rsid w:val="22630AD3"/>
    <w:rsid w:val="22A868C7"/>
    <w:rsid w:val="22E83C69"/>
    <w:rsid w:val="22F05CD0"/>
    <w:rsid w:val="235C1616"/>
    <w:rsid w:val="237310C5"/>
    <w:rsid w:val="23BE63FD"/>
    <w:rsid w:val="23DF56EE"/>
    <w:rsid w:val="23E87558"/>
    <w:rsid w:val="243D0021"/>
    <w:rsid w:val="24571916"/>
    <w:rsid w:val="245C346D"/>
    <w:rsid w:val="24D96407"/>
    <w:rsid w:val="24E413FB"/>
    <w:rsid w:val="25036463"/>
    <w:rsid w:val="262614E5"/>
    <w:rsid w:val="26730183"/>
    <w:rsid w:val="26730A93"/>
    <w:rsid w:val="26BC3ED1"/>
    <w:rsid w:val="26CF5E39"/>
    <w:rsid w:val="26E03B86"/>
    <w:rsid w:val="26E5714E"/>
    <w:rsid w:val="27641698"/>
    <w:rsid w:val="27817123"/>
    <w:rsid w:val="2796417F"/>
    <w:rsid w:val="27EE79E5"/>
    <w:rsid w:val="27F1596B"/>
    <w:rsid w:val="284D25CA"/>
    <w:rsid w:val="28966B51"/>
    <w:rsid w:val="28AA26C7"/>
    <w:rsid w:val="28CD0B68"/>
    <w:rsid w:val="29036481"/>
    <w:rsid w:val="294C6AD7"/>
    <w:rsid w:val="29D335AD"/>
    <w:rsid w:val="29FC6BA5"/>
    <w:rsid w:val="2A3335CD"/>
    <w:rsid w:val="2A42741A"/>
    <w:rsid w:val="2A7C433D"/>
    <w:rsid w:val="2AB657BB"/>
    <w:rsid w:val="2B2D30AD"/>
    <w:rsid w:val="2B4E1731"/>
    <w:rsid w:val="2B840CEF"/>
    <w:rsid w:val="2BA21714"/>
    <w:rsid w:val="2BC02804"/>
    <w:rsid w:val="2BC34B28"/>
    <w:rsid w:val="2BC7066A"/>
    <w:rsid w:val="2BF4566F"/>
    <w:rsid w:val="2C0223D5"/>
    <w:rsid w:val="2C734FA2"/>
    <w:rsid w:val="2D1F486A"/>
    <w:rsid w:val="2D3C672F"/>
    <w:rsid w:val="2D8C0CA9"/>
    <w:rsid w:val="2E211F3C"/>
    <w:rsid w:val="2E3C2B38"/>
    <w:rsid w:val="2E5E719D"/>
    <w:rsid w:val="2E6B568F"/>
    <w:rsid w:val="2E864028"/>
    <w:rsid w:val="2E952388"/>
    <w:rsid w:val="2E9A469C"/>
    <w:rsid w:val="2EA90039"/>
    <w:rsid w:val="2EE74166"/>
    <w:rsid w:val="2F1B3FB6"/>
    <w:rsid w:val="2F351546"/>
    <w:rsid w:val="2F6E50EF"/>
    <w:rsid w:val="302F2916"/>
    <w:rsid w:val="30680E2C"/>
    <w:rsid w:val="319B301C"/>
    <w:rsid w:val="31B4275E"/>
    <w:rsid w:val="31DA3FA2"/>
    <w:rsid w:val="32020E00"/>
    <w:rsid w:val="32064B97"/>
    <w:rsid w:val="32262AF8"/>
    <w:rsid w:val="322724E2"/>
    <w:rsid w:val="323B56EB"/>
    <w:rsid w:val="325516D3"/>
    <w:rsid w:val="326A1263"/>
    <w:rsid w:val="329B187C"/>
    <w:rsid w:val="32C93B11"/>
    <w:rsid w:val="32DD5CE2"/>
    <w:rsid w:val="32FA66E7"/>
    <w:rsid w:val="330453E1"/>
    <w:rsid w:val="33CA1B48"/>
    <w:rsid w:val="33D13477"/>
    <w:rsid w:val="33D23AE7"/>
    <w:rsid w:val="33E82C54"/>
    <w:rsid w:val="33E84C6F"/>
    <w:rsid w:val="33EE16C5"/>
    <w:rsid w:val="34094D01"/>
    <w:rsid w:val="344D638C"/>
    <w:rsid w:val="34623430"/>
    <w:rsid w:val="34A43D50"/>
    <w:rsid w:val="3522336A"/>
    <w:rsid w:val="356614A1"/>
    <w:rsid w:val="35991723"/>
    <w:rsid w:val="35A4308C"/>
    <w:rsid w:val="35BA3378"/>
    <w:rsid w:val="35D5640E"/>
    <w:rsid w:val="35E43AC5"/>
    <w:rsid w:val="365C138D"/>
    <w:rsid w:val="365D3297"/>
    <w:rsid w:val="365F2FA1"/>
    <w:rsid w:val="36A12F8B"/>
    <w:rsid w:val="36B75F37"/>
    <w:rsid w:val="370C6480"/>
    <w:rsid w:val="373B1965"/>
    <w:rsid w:val="37464D41"/>
    <w:rsid w:val="376B5470"/>
    <w:rsid w:val="377F0339"/>
    <w:rsid w:val="378576A4"/>
    <w:rsid w:val="378661DC"/>
    <w:rsid w:val="378D144C"/>
    <w:rsid w:val="37CE36AA"/>
    <w:rsid w:val="37D912AF"/>
    <w:rsid w:val="37F938E1"/>
    <w:rsid w:val="381A4397"/>
    <w:rsid w:val="384A1729"/>
    <w:rsid w:val="3893196D"/>
    <w:rsid w:val="38AE536D"/>
    <w:rsid w:val="38B246B6"/>
    <w:rsid w:val="38D70825"/>
    <w:rsid w:val="38F013CF"/>
    <w:rsid w:val="392873D2"/>
    <w:rsid w:val="393E267E"/>
    <w:rsid w:val="394936CA"/>
    <w:rsid w:val="394C7A4E"/>
    <w:rsid w:val="39DF5E7B"/>
    <w:rsid w:val="39FC031F"/>
    <w:rsid w:val="3A1563B6"/>
    <w:rsid w:val="3A4A20F0"/>
    <w:rsid w:val="3A9D5677"/>
    <w:rsid w:val="3ADE2055"/>
    <w:rsid w:val="3AF50D0F"/>
    <w:rsid w:val="3B0D436B"/>
    <w:rsid w:val="3B3D3804"/>
    <w:rsid w:val="3B626EEB"/>
    <w:rsid w:val="3B6D0393"/>
    <w:rsid w:val="3BA42917"/>
    <w:rsid w:val="3C6B3FB1"/>
    <w:rsid w:val="3CB54F9E"/>
    <w:rsid w:val="3CDE7AB5"/>
    <w:rsid w:val="3D9D3166"/>
    <w:rsid w:val="3DD83EEF"/>
    <w:rsid w:val="3DF4772F"/>
    <w:rsid w:val="3E0266DA"/>
    <w:rsid w:val="3E120575"/>
    <w:rsid w:val="3EB05AE8"/>
    <w:rsid w:val="3EDC1F4D"/>
    <w:rsid w:val="3EFD7513"/>
    <w:rsid w:val="3F1359D9"/>
    <w:rsid w:val="3F181114"/>
    <w:rsid w:val="3F736F49"/>
    <w:rsid w:val="3F936427"/>
    <w:rsid w:val="40294A41"/>
    <w:rsid w:val="40330355"/>
    <w:rsid w:val="4074430D"/>
    <w:rsid w:val="408332FD"/>
    <w:rsid w:val="409E72AD"/>
    <w:rsid w:val="40D06FF7"/>
    <w:rsid w:val="41173673"/>
    <w:rsid w:val="412D0429"/>
    <w:rsid w:val="41890F84"/>
    <w:rsid w:val="41935AA8"/>
    <w:rsid w:val="41A717F6"/>
    <w:rsid w:val="41AF06E5"/>
    <w:rsid w:val="420F5CD5"/>
    <w:rsid w:val="422D088A"/>
    <w:rsid w:val="42550C0C"/>
    <w:rsid w:val="42E626B8"/>
    <w:rsid w:val="42EA6151"/>
    <w:rsid w:val="4310260B"/>
    <w:rsid w:val="43960C56"/>
    <w:rsid w:val="43F6136F"/>
    <w:rsid w:val="43FD725B"/>
    <w:rsid w:val="441C0D10"/>
    <w:rsid w:val="445F05C2"/>
    <w:rsid w:val="44A67551"/>
    <w:rsid w:val="4522752F"/>
    <w:rsid w:val="45AD3746"/>
    <w:rsid w:val="45EA7CB3"/>
    <w:rsid w:val="45EB7527"/>
    <w:rsid w:val="4620416D"/>
    <w:rsid w:val="464D3E6C"/>
    <w:rsid w:val="46806F6C"/>
    <w:rsid w:val="46895B7E"/>
    <w:rsid w:val="46971B71"/>
    <w:rsid w:val="46B85657"/>
    <w:rsid w:val="46D54564"/>
    <w:rsid w:val="47230359"/>
    <w:rsid w:val="47976D64"/>
    <w:rsid w:val="47D56597"/>
    <w:rsid w:val="47E00AF1"/>
    <w:rsid w:val="47ED6C78"/>
    <w:rsid w:val="4815401C"/>
    <w:rsid w:val="483B43E5"/>
    <w:rsid w:val="48462738"/>
    <w:rsid w:val="48A81E74"/>
    <w:rsid w:val="48CB4707"/>
    <w:rsid w:val="48ED35B0"/>
    <w:rsid w:val="490555D0"/>
    <w:rsid w:val="49061368"/>
    <w:rsid w:val="491521B9"/>
    <w:rsid w:val="4950497F"/>
    <w:rsid w:val="49BA2155"/>
    <w:rsid w:val="49E6074E"/>
    <w:rsid w:val="4A187B73"/>
    <w:rsid w:val="4A8357D3"/>
    <w:rsid w:val="4AC95400"/>
    <w:rsid w:val="4ACC757D"/>
    <w:rsid w:val="4AD32AE0"/>
    <w:rsid w:val="4AD75231"/>
    <w:rsid w:val="4AF60CCB"/>
    <w:rsid w:val="4B017BC0"/>
    <w:rsid w:val="4B3D3E36"/>
    <w:rsid w:val="4B8A75F4"/>
    <w:rsid w:val="4BE5166F"/>
    <w:rsid w:val="4C0F41D3"/>
    <w:rsid w:val="4C4A6704"/>
    <w:rsid w:val="4C5335A6"/>
    <w:rsid w:val="4CCC055B"/>
    <w:rsid w:val="4CD413EB"/>
    <w:rsid w:val="4D645B95"/>
    <w:rsid w:val="4D840EA6"/>
    <w:rsid w:val="4E1C4F21"/>
    <w:rsid w:val="4E217075"/>
    <w:rsid w:val="4E2E13A4"/>
    <w:rsid w:val="4E4978FA"/>
    <w:rsid w:val="4E707357"/>
    <w:rsid w:val="4E811D9C"/>
    <w:rsid w:val="4E975A2F"/>
    <w:rsid w:val="4ECB62BD"/>
    <w:rsid w:val="4EFE032C"/>
    <w:rsid w:val="4F132D93"/>
    <w:rsid w:val="4F1E65B6"/>
    <w:rsid w:val="4F385F62"/>
    <w:rsid w:val="4F7C2662"/>
    <w:rsid w:val="4F8A7BC1"/>
    <w:rsid w:val="4F8B7540"/>
    <w:rsid w:val="4FC03BB7"/>
    <w:rsid w:val="4FFD4FA5"/>
    <w:rsid w:val="50010D18"/>
    <w:rsid w:val="50251EFD"/>
    <w:rsid w:val="5054412B"/>
    <w:rsid w:val="5070182A"/>
    <w:rsid w:val="509E60CE"/>
    <w:rsid w:val="51350182"/>
    <w:rsid w:val="514A7DDE"/>
    <w:rsid w:val="51D90B7F"/>
    <w:rsid w:val="521F5C14"/>
    <w:rsid w:val="5242311F"/>
    <w:rsid w:val="527A50A7"/>
    <w:rsid w:val="5284158D"/>
    <w:rsid w:val="52CD6292"/>
    <w:rsid w:val="53A72CFD"/>
    <w:rsid w:val="53B848D6"/>
    <w:rsid w:val="53CF0D45"/>
    <w:rsid w:val="53E51457"/>
    <w:rsid w:val="53F562ED"/>
    <w:rsid w:val="541A5C3D"/>
    <w:rsid w:val="54664225"/>
    <w:rsid w:val="54B34286"/>
    <w:rsid w:val="54B424A6"/>
    <w:rsid w:val="54BE1FF3"/>
    <w:rsid w:val="54D50B1E"/>
    <w:rsid w:val="54DD0B09"/>
    <w:rsid w:val="5527238A"/>
    <w:rsid w:val="553852FD"/>
    <w:rsid w:val="554F3275"/>
    <w:rsid w:val="558B7A82"/>
    <w:rsid w:val="55B84A33"/>
    <w:rsid w:val="55E157DD"/>
    <w:rsid w:val="566903B4"/>
    <w:rsid w:val="56CB31AF"/>
    <w:rsid w:val="57B86E53"/>
    <w:rsid w:val="57C97459"/>
    <w:rsid w:val="58407732"/>
    <w:rsid w:val="58851615"/>
    <w:rsid w:val="58B21DED"/>
    <w:rsid w:val="58BF552E"/>
    <w:rsid w:val="58F3018E"/>
    <w:rsid w:val="58F36D1A"/>
    <w:rsid w:val="59C559E9"/>
    <w:rsid w:val="5A107862"/>
    <w:rsid w:val="5A303418"/>
    <w:rsid w:val="5AD31898"/>
    <w:rsid w:val="5AF92E38"/>
    <w:rsid w:val="5B061EEA"/>
    <w:rsid w:val="5B0B5357"/>
    <w:rsid w:val="5B62467A"/>
    <w:rsid w:val="5BCB373A"/>
    <w:rsid w:val="5C09332D"/>
    <w:rsid w:val="5C2241EA"/>
    <w:rsid w:val="5C427612"/>
    <w:rsid w:val="5D0B72B7"/>
    <w:rsid w:val="5D22301E"/>
    <w:rsid w:val="5D2F3E81"/>
    <w:rsid w:val="5D3A3002"/>
    <w:rsid w:val="5D6B0FAB"/>
    <w:rsid w:val="5D9D650F"/>
    <w:rsid w:val="5DB541FC"/>
    <w:rsid w:val="5DC60B7B"/>
    <w:rsid w:val="5DD020DB"/>
    <w:rsid w:val="5DE75350"/>
    <w:rsid w:val="5DF632D6"/>
    <w:rsid w:val="5E226469"/>
    <w:rsid w:val="5EEA4405"/>
    <w:rsid w:val="5F117D0D"/>
    <w:rsid w:val="5F7807E8"/>
    <w:rsid w:val="5F8F1CCA"/>
    <w:rsid w:val="5FD567BC"/>
    <w:rsid w:val="5FD93481"/>
    <w:rsid w:val="5FF45A39"/>
    <w:rsid w:val="600A145C"/>
    <w:rsid w:val="605F3F66"/>
    <w:rsid w:val="60951E5E"/>
    <w:rsid w:val="60C61354"/>
    <w:rsid w:val="611B5A95"/>
    <w:rsid w:val="61637845"/>
    <w:rsid w:val="6167292D"/>
    <w:rsid w:val="61743132"/>
    <w:rsid w:val="619A3CD5"/>
    <w:rsid w:val="62590A51"/>
    <w:rsid w:val="627430E5"/>
    <w:rsid w:val="628840AC"/>
    <w:rsid w:val="62A14F38"/>
    <w:rsid w:val="62B4404D"/>
    <w:rsid w:val="62E4555A"/>
    <w:rsid w:val="635316CE"/>
    <w:rsid w:val="636662E6"/>
    <w:rsid w:val="639C4864"/>
    <w:rsid w:val="63B46F70"/>
    <w:rsid w:val="63CC7EC7"/>
    <w:rsid w:val="63DD2BD2"/>
    <w:rsid w:val="64744580"/>
    <w:rsid w:val="64AD63DA"/>
    <w:rsid w:val="64B2485B"/>
    <w:rsid w:val="655D18A4"/>
    <w:rsid w:val="65BA5ECB"/>
    <w:rsid w:val="65DC4FC3"/>
    <w:rsid w:val="661D1CBA"/>
    <w:rsid w:val="6699415C"/>
    <w:rsid w:val="66A345A3"/>
    <w:rsid w:val="66C74099"/>
    <w:rsid w:val="673E2FAD"/>
    <w:rsid w:val="677B2F49"/>
    <w:rsid w:val="6782583F"/>
    <w:rsid w:val="67973769"/>
    <w:rsid w:val="67A8253D"/>
    <w:rsid w:val="67DB9BAC"/>
    <w:rsid w:val="67EE6C5E"/>
    <w:rsid w:val="67F24BBA"/>
    <w:rsid w:val="6896659C"/>
    <w:rsid w:val="68BC47A6"/>
    <w:rsid w:val="68F22FB3"/>
    <w:rsid w:val="69040F22"/>
    <w:rsid w:val="690D529F"/>
    <w:rsid w:val="69404255"/>
    <w:rsid w:val="6983580F"/>
    <w:rsid w:val="69D55525"/>
    <w:rsid w:val="69F12C12"/>
    <w:rsid w:val="6A0B6749"/>
    <w:rsid w:val="6A941EE2"/>
    <w:rsid w:val="6B1406A0"/>
    <w:rsid w:val="6B191868"/>
    <w:rsid w:val="6B391FC4"/>
    <w:rsid w:val="6B6415CC"/>
    <w:rsid w:val="6B725C27"/>
    <w:rsid w:val="6BAF252C"/>
    <w:rsid w:val="6BC76EEF"/>
    <w:rsid w:val="6BF71620"/>
    <w:rsid w:val="6C511FF3"/>
    <w:rsid w:val="6CD07E03"/>
    <w:rsid w:val="6CDC1B25"/>
    <w:rsid w:val="6CF20C90"/>
    <w:rsid w:val="6D35349C"/>
    <w:rsid w:val="6DC2F6AF"/>
    <w:rsid w:val="6DD820EC"/>
    <w:rsid w:val="6E3B0A35"/>
    <w:rsid w:val="6E617936"/>
    <w:rsid w:val="6E64080E"/>
    <w:rsid w:val="6E8B3884"/>
    <w:rsid w:val="6EF374CD"/>
    <w:rsid w:val="6F363068"/>
    <w:rsid w:val="6F3F5BD9"/>
    <w:rsid w:val="6F7C126C"/>
    <w:rsid w:val="6F8B5AFA"/>
    <w:rsid w:val="6FB830E8"/>
    <w:rsid w:val="6FEA5E6C"/>
    <w:rsid w:val="70195AE2"/>
    <w:rsid w:val="70233379"/>
    <w:rsid w:val="70335D0F"/>
    <w:rsid w:val="70621F78"/>
    <w:rsid w:val="706D7EFF"/>
    <w:rsid w:val="7086484D"/>
    <w:rsid w:val="70900C9D"/>
    <w:rsid w:val="70D00331"/>
    <w:rsid w:val="71D97BD7"/>
    <w:rsid w:val="71DC5AD4"/>
    <w:rsid w:val="72817588"/>
    <w:rsid w:val="729565A6"/>
    <w:rsid w:val="72975FE7"/>
    <w:rsid w:val="72BB1C50"/>
    <w:rsid w:val="72BD1547"/>
    <w:rsid w:val="72CE59A2"/>
    <w:rsid w:val="72F71CE0"/>
    <w:rsid w:val="738F4C25"/>
    <w:rsid w:val="73954547"/>
    <w:rsid w:val="73C61AAF"/>
    <w:rsid w:val="73EC6901"/>
    <w:rsid w:val="73F42B4B"/>
    <w:rsid w:val="73FA1BF5"/>
    <w:rsid w:val="7405578E"/>
    <w:rsid w:val="740622E5"/>
    <w:rsid w:val="741428D2"/>
    <w:rsid w:val="74245921"/>
    <w:rsid w:val="74994F19"/>
    <w:rsid w:val="751B321C"/>
    <w:rsid w:val="752C5FCF"/>
    <w:rsid w:val="75332BD9"/>
    <w:rsid w:val="753D4A0D"/>
    <w:rsid w:val="75511F93"/>
    <w:rsid w:val="755702EC"/>
    <w:rsid w:val="755A18A0"/>
    <w:rsid w:val="756D3404"/>
    <w:rsid w:val="75A7007A"/>
    <w:rsid w:val="75A823AB"/>
    <w:rsid w:val="75F30DB1"/>
    <w:rsid w:val="76510E22"/>
    <w:rsid w:val="76576F7D"/>
    <w:rsid w:val="765D4BDE"/>
    <w:rsid w:val="76986522"/>
    <w:rsid w:val="76987597"/>
    <w:rsid w:val="76A36ECC"/>
    <w:rsid w:val="76CE02F2"/>
    <w:rsid w:val="76FB50AD"/>
    <w:rsid w:val="77053749"/>
    <w:rsid w:val="77247BB4"/>
    <w:rsid w:val="77B169C2"/>
    <w:rsid w:val="77E236CF"/>
    <w:rsid w:val="78F51F09"/>
    <w:rsid w:val="7902696A"/>
    <w:rsid w:val="791E38B3"/>
    <w:rsid w:val="79535D1B"/>
    <w:rsid w:val="795E3DD1"/>
    <w:rsid w:val="79B03E9D"/>
    <w:rsid w:val="79F06ECD"/>
    <w:rsid w:val="7A4714C9"/>
    <w:rsid w:val="7A9859BB"/>
    <w:rsid w:val="7B15385D"/>
    <w:rsid w:val="7B4A229F"/>
    <w:rsid w:val="7B784258"/>
    <w:rsid w:val="7BA01165"/>
    <w:rsid w:val="7BBA6ECC"/>
    <w:rsid w:val="7BD067C2"/>
    <w:rsid w:val="7BFF4C55"/>
    <w:rsid w:val="7C3D774D"/>
    <w:rsid w:val="7C72542F"/>
    <w:rsid w:val="7C8C4E16"/>
    <w:rsid w:val="7C9A0981"/>
    <w:rsid w:val="7CBF1C41"/>
    <w:rsid w:val="7CC9772B"/>
    <w:rsid w:val="7D17266A"/>
    <w:rsid w:val="7D7168E4"/>
    <w:rsid w:val="7D7F4EE0"/>
    <w:rsid w:val="7D943F20"/>
    <w:rsid w:val="7E932B20"/>
    <w:rsid w:val="7EA80065"/>
    <w:rsid w:val="7EF79F78"/>
    <w:rsid w:val="7F1F0BEB"/>
    <w:rsid w:val="7F210069"/>
    <w:rsid w:val="7F307FA6"/>
    <w:rsid w:val="7F587F69"/>
    <w:rsid w:val="7F996F32"/>
    <w:rsid w:val="7FBA2792"/>
    <w:rsid w:val="7FDD6B9E"/>
    <w:rsid w:val="EBDF181A"/>
    <w:rsid w:val="FDFF267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82"/>
    <w:qFormat/>
    <w:uiPriority w:val="0"/>
    <w:pPr>
      <w:keepNext/>
      <w:keepLines/>
      <w:spacing w:before="260" w:beforeLines="0" w:after="260" w:afterLines="0" w:line="416" w:lineRule="auto"/>
      <w:outlineLvl w:val="1"/>
    </w:pPr>
    <w:rPr>
      <w:rFonts w:ascii="Cambria" w:hAnsi="Cambria"/>
      <w:b/>
      <w:bCs/>
      <w:kern w:val="0"/>
      <w:sz w:val="32"/>
      <w:szCs w:val="32"/>
    </w:rPr>
  </w:style>
  <w:style w:type="paragraph" w:styleId="5">
    <w:name w:val="heading 3"/>
    <w:basedOn w:val="1"/>
    <w:next w:val="1"/>
    <w:link w:val="89"/>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7">
    <w:name w:val="heading 5"/>
    <w:basedOn w:val="1"/>
    <w:next w:val="1"/>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8">
    <w:name w:val="heading 9"/>
    <w:basedOn w:val="1"/>
    <w:next w:val="1"/>
    <w:link w:val="84"/>
    <w:qFormat/>
    <w:uiPriority w:val="0"/>
    <w:pPr>
      <w:keepNext/>
      <w:keepLines/>
      <w:spacing w:before="240" w:after="64" w:line="320" w:lineRule="auto"/>
      <w:outlineLvl w:val="8"/>
    </w:pPr>
    <w:rPr>
      <w:rFonts w:ascii="等线 Light" w:hAnsi="等线 Light" w:eastAsia="等线 Light"/>
      <w:szCs w:val="21"/>
    </w:rPr>
  </w:style>
  <w:style w:type="character" w:default="1" w:styleId="36">
    <w:name w:val="Default Paragraph Font"/>
    <w:semiHidden/>
    <w:qFormat/>
    <w:uiPriority w:val="0"/>
  </w:style>
  <w:style w:type="table" w:default="1" w:styleId="3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after="120" w:afterAutospacing="0"/>
      <w:jc w:val="both"/>
    </w:pPr>
    <w:rPr>
      <w:rFonts w:hint="default" w:ascii="Times New Roman" w:hAnsi="Times New Roman" w:eastAsia="宋体" w:cs="Times New Roman"/>
      <w:kern w:val="2"/>
      <w:sz w:val="21"/>
      <w:szCs w:val="21"/>
      <w:lang w:val="en-US" w:eastAsia="zh-CN" w:bidi="ar"/>
    </w:rPr>
  </w:style>
  <w:style w:type="paragraph" w:styleId="9">
    <w:name w:val="toc 7"/>
    <w:basedOn w:val="1"/>
    <w:next w:val="1"/>
    <w:unhideWhenUsed/>
    <w:qFormat/>
    <w:uiPriority w:val="39"/>
    <w:pPr>
      <w:ind w:left="2520" w:leftChars="1200"/>
    </w:pPr>
    <w:rPr>
      <w:rFonts w:ascii="等线" w:hAnsi="等线" w:eastAsia="等线" w:cs="Times New Roman"/>
      <w:szCs w:val="22"/>
    </w:rPr>
  </w:style>
  <w:style w:type="paragraph" w:styleId="10">
    <w:name w:val="table of authorities"/>
    <w:basedOn w:val="1"/>
    <w:next w:val="1"/>
    <w:qFormat/>
    <w:uiPriority w:val="99"/>
    <w:pPr>
      <w:ind w:left="420" w:leftChars="200"/>
    </w:pPr>
  </w:style>
  <w:style w:type="paragraph" w:styleId="11">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annotation text"/>
    <w:basedOn w:val="1"/>
    <w:link w:val="83"/>
    <w:qFormat/>
    <w:uiPriority w:val="99"/>
    <w:pPr>
      <w:jc w:val="left"/>
    </w:pPr>
  </w:style>
  <w:style w:type="paragraph" w:styleId="13">
    <w:name w:val="Body Text Indent"/>
    <w:basedOn w:val="1"/>
    <w:next w:val="1"/>
    <w:qFormat/>
    <w:uiPriority w:val="0"/>
    <w:pPr>
      <w:ind w:firstLine="407" w:firstLineChars="200"/>
    </w:pPr>
  </w:style>
  <w:style w:type="paragraph" w:styleId="14">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5">
    <w:name w:val="toc 5"/>
    <w:basedOn w:val="1"/>
    <w:next w:val="1"/>
    <w:unhideWhenUsed/>
    <w:qFormat/>
    <w:uiPriority w:val="39"/>
    <w:pPr>
      <w:ind w:left="1680" w:leftChars="800"/>
    </w:pPr>
    <w:rPr>
      <w:rFonts w:ascii="等线" w:hAnsi="等线" w:eastAsia="等线" w:cs="Times New Roman"/>
      <w:szCs w:val="22"/>
    </w:rPr>
  </w:style>
  <w:style w:type="paragraph" w:styleId="16">
    <w:name w:val="toc 3"/>
    <w:basedOn w:val="1"/>
    <w:next w:val="1"/>
    <w:qFormat/>
    <w:uiPriority w:val="39"/>
    <w:pPr>
      <w:keepNext w:val="0"/>
      <w:keepLines w:val="0"/>
      <w:spacing w:before="0" w:after="0" w:line="240" w:lineRule="auto"/>
      <w:ind w:left="420"/>
      <w:jc w:val="left"/>
      <w:outlineLvl w:val="9"/>
    </w:pPr>
    <w:rPr>
      <w:i/>
      <w:iCs/>
      <w:sz w:val="20"/>
      <w:szCs w:val="20"/>
    </w:rPr>
  </w:style>
  <w:style w:type="paragraph" w:styleId="17">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18">
    <w:name w:val="toc 8"/>
    <w:basedOn w:val="1"/>
    <w:next w:val="1"/>
    <w:unhideWhenUsed/>
    <w:qFormat/>
    <w:uiPriority w:val="39"/>
    <w:pPr>
      <w:ind w:left="2940" w:leftChars="1400"/>
    </w:pPr>
    <w:rPr>
      <w:rFonts w:ascii="等线" w:hAnsi="等线" w:eastAsia="等线" w:cs="Times New Roman"/>
      <w:szCs w:val="22"/>
    </w:rPr>
  </w:style>
  <w:style w:type="paragraph" w:styleId="19">
    <w:name w:val="Date"/>
    <w:basedOn w:val="1"/>
    <w:next w:val="1"/>
    <w:link w:val="78"/>
    <w:qFormat/>
    <w:uiPriority w:val="0"/>
    <w:pPr>
      <w:ind w:left="100" w:leftChars="2500"/>
    </w:pPr>
  </w:style>
  <w:style w:type="paragraph" w:styleId="20">
    <w:name w:val="Body Text Indent 2"/>
    <w:basedOn w:val="1"/>
    <w:qFormat/>
    <w:uiPriority w:val="0"/>
    <w:pPr>
      <w:widowControl/>
      <w:spacing w:line="480" w:lineRule="auto"/>
      <w:ind w:firstLine="560"/>
      <w:jc w:val="left"/>
    </w:pPr>
    <w:rPr>
      <w:kern w:val="0"/>
      <w:sz w:val="28"/>
    </w:rPr>
  </w:style>
  <w:style w:type="paragraph" w:styleId="21">
    <w:name w:val="Balloon Text"/>
    <w:basedOn w:val="2"/>
    <w:link w:val="88"/>
    <w:qFormat/>
    <w:uiPriority w:val="0"/>
    <w:rPr>
      <w:sz w:val="18"/>
      <w:szCs w:val="18"/>
    </w:rPr>
  </w:style>
  <w:style w:type="paragraph" w:styleId="22">
    <w:name w:val="footer"/>
    <w:basedOn w:val="1"/>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25">
    <w:name w:val="toc 4"/>
    <w:basedOn w:val="1"/>
    <w:next w:val="1"/>
    <w:unhideWhenUsed/>
    <w:qFormat/>
    <w:uiPriority w:val="39"/>
    <w:pPr>
      <w:ind w:left="1260" w:leftChars="600"/>
    </w:pPr>
    <w:rPr>
      <w:rFonts w:ascii="等线" w:hAnsi="等线" w:eastAsia="等线" w:cs="Times New Roman"/>
      <w:szCs w:val="22"/>
    </w:rPr>
  </w:style>
  <w:style w:type="paragraph" w:styleId="26">
    <w:name w:val="Subtitle"/>
    <w:basedOn w:val="1"/>
    <w:link w:val="81"/>
    <w:qFormat/>
    <w:uiPriority w:val="0"/>
    <w:pPr>
      <w:widowControl/>
      <w:jc w:val="center"/>
    </w:pPr>
    <w:rPr>
      <w:kern w:val="0"/>
      <w:sz w:val="20"/>
      <w:u w:val="single"/>
      <w:lang w:eastAsia="en-US"/>
    </w:rPr>
  </w:style>
  <w:style w:type="paragraph" w:styleId="27">
    <w:name w:val="toc 6"/>
    <w:basedOn w:val="1"/>
    <w:next w:val="1"/>
    <w:unhideWhenUsed/>
    <w:qFormat/>
    <w:uiPriority w:val="39"/>
    <w:pPr>
      <w:ind w:left="2100" w:leftChars="1000"/>
    </w:pPr>
    <w:rPr>
      <w:rFonts w:ascii="等线" w:hAnsi="等线" w:eastAsia="等线" w:cs="Times New Roman"/>
      <w:szCs w:val="22"/>
    </w:rPr>
  </w:style>
  <w:style w:type="paragraph" w:styleId="2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29">
    <w:name w:val="toc 9"/>
    <w:basedOn w:val="1"/>
    <w:next w:val="1"/>
    <w:unhideWhenUsed/>
    <w:qFormat/>
    <w:uiPriority w:val="39"/>
    <w:pPr>
      <w:ind w:left="3360" w:leftChars="1600"/>
    </w:pPr>
    <w:rPr>
      <w:rFonts w:ascii="等线" w:hAnsi="等线" w:eastAsia="等线" w:cs="Times New Roman"/>
      <w:szCs w:val="22"/>
    </w:rPr>
  </w:style>
  <w:style w:type="paragraph" w:styleId="30">
    <w:name w:val="Body Text 2"/>
    <w:basedOn w:val="1"/>
    <w:qFormat/>
    <w:uiPriority w:val="0"/>
    <w:rPr>
      <w:i/>
      <w:iCs/>
      <w:sz w:val="26"/>
    </w:rPr>
  </w:style>
  <w:style w:type="paragraph" w:styleId="31">
    <w:name w:val="Normal (Web)"/>
    <w:basedOn w:val="1"/>
    <w:qFormat/>
    <w:uiPriority w:val="0"/>
    <w:rPr>
      <w:sz w:val="24"/>
    </w:rPr>
  </w:style>
  <w:style w:type="paragraph" w:styleId="32">
    <w:name w:val="annotation subject"/>
    <w:basedOn w:val="12"/>
    <w:next w:val="12"/>
    <w:link w:val="80"/>
    <w:qFormat/>
    <w:uiPriority w:val="0"/>
    <w:rPr>
      <w:b/>
      <w:bCs/>
    </w:rPr>
  </w:style>
  <w:style w:type="paragraph" w:styleId="33">
    <w:name w:val="Body Text First Indent 2"/>
    <w:basedOn w:val="13"/>
    <w:next w:val="1"/>
    <w:qFormat/>
    <w:uiPriority w:val="0"/>
    <w:pPr>
      <w:spacing w:after="120"/>
      <w:ind w:left="420" w:leftChars="200" w:firstLine="420"/>
    </w:pPr>
    <w:rPr>
      <w:szCs w:val="20"/>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FollowedHyperlink"/>
    <w:basedOn w:val="36"/>
    <w:qFormat/>
    <w:uiPriority w:val="0"/>
    <w:rPr>
      <w:color w:val="333333"/>
      <w:u w:val="non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样式 标题 3 + (中文) 黑体 小四 非加粗 段前: 7.8 磅 段后: 0 磅 行距: 固定值 20 磅"/>
    <w:basedOn w:val="5"/>
    <w:qFormat/>
    <w:uiPriority w:val="0"/>
    <w:pPr>
      <w:numPr>
        <w:ilvl w:val="0"/>
        <w:numId w:val="0"/>
      </w:numPr>
      <w:spacing w:before="0" w:after="0" w:line="400" w:lineRule="exact"/>
    </w:pPr>
    <w:rPr>
      <w:rFonts w:eastAsia="黑体" w:cs="宋体"/>
      <w:b w:val="0"/>
      <w:sz w:val="24"/>
    </w:rPr>
  </w:style>
  <w:style w:type="paragraph" w:customStyle="1" w:styleId="42">
    <w:name w:val="Normal_4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3">
    <w:name w:val="_Style 37"/>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Table Paragraph"/>
    <w:basedOn w:val="1"/>
    <w:qFormat/>
    <w:uiPriority w:val="99"/>
    <w:pPr>
      <w:autoSpaceDE w:val="0"/>
      <w:autoSpaceDN w:val="0"/>
      <w:jc w:val="left"/>
    </w:pPr>
    <w:rPr>
      <w:rFonts w:ascii="微软雅黑" w:hAnsi="微软雅黑" w:eastAsia="微软雅黑" w:cs="微软雅黑"/>
      <w:kern w:val="0"/>
      <w:sz w:val="22"/>
      <w:szCs w:val="22"/>
      <w:lang w:val="zh-CN" w:bidi="zh-CN"/>
    </w:rPr>
  </w:style>
  <w:style w:type="paragraph" w:customStyle="1" w:styleId="45">
    <w:name w:val="_Style 10"/>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46">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7">
    <w:name w:val="Normal_12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8">
    <w:name w:val="Normal_3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9">
    <w:name w:val="列出段落1"/>
    <w:basedOn w:val="1"/>
    <w:qFormat/>
    <w:uiPriority w:val="0"/>
    <w:pPr>
      <w:ind w:firstLine="420" w:firstLineChars="200"/>
    </w:pPr>
    <w:rPr>
      <w:sz w:val="28"/>
      <w:szCs w:val="28"/>
    </w:rPr>
  </w:style>
  <w:style w:type="paragraph" w:customStyle="1" w:styleId="50">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51">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2">
    <w:name w:val="Normal_1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3">
    <w:name w:val="Normal_13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4">
    <w:name w:val="Normal_13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5">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6">
    <w:name w:val="Default"/>
    <w:next w:val="57"/>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7">
    <w:name w:val="List Paragraph"/>
    <w:basedOn w:val="58"/>
    <w:qFormat/>
    <w:uiPriority w:val="1"/>
    <w:pPr>
      <w:autoSpaceDE w:val="0"/>
      <w:autoSpaceDN w:val="0"/>
      <w:ind w:left="702" w:firstLine="420"/>
      <w:jc w:val="left"/>
    </w:pPr>
    <w:rPr>
      <w:rFonts w:ascii="宋体" w:hAnsi="宋体" w:cs="宋体"/>
      <w:kern w:val="0"/>
      <w:sz w:val="22"/>
      <w:szCs w:val="22"/>
      <w:lang w:val="zh-CN" w:bidi="zh-CN"/>
    </w:rPr>
  </w:style>
  <w:style w:type="paragraph" w:customStyle="1" w:styleId="58">
    <w:name w:val="五级条标题"/>
    <w:basedOn w:val="59"/>
    <w:next w:val="59"/>
    <w:qFormat/>
    <w:uiPriority w:val="0"/>
    <w:pPr>
      <w:outlineLvl w:val="6"/>
    </w:pPr>
  </w:style>
  <w:style w:type="paragraph" w:customStyle="1" w:styleId="59">
    <w:name w:val="章标题"/>
    <w:next w:val="60"/>
    <w:qFormat/>
    <w:uiPriority w:val="0"/>
    <w:pPr>
      <w:jc w:val="both"/>
      <w:outlineLvl w:val="1"/>
    </w:pPr>
    <w:rPr>
      <w:rFonts w:ascii="黑体" w:hAnsi="黑体" w:eastAsia="黑体" w:cs="Times New Roman"/>
      <w:kern w:val="1"/>
      <w:sz w:val="21"/>
      <w:lang w:val="en-US" w:eastAsia="zh-CN" w:bidi="ar-SA"/>
    </w:rPr>
  </w:style>
  <w:style w:type="paragraph" w:customStyle="1" w:styleId="60">
    <w:name w:val="目次、标准名称标题"/>
    <w:basedOn w:val="61"/>
    <w:next w:val="61"/>
    <w:qFormat/>
    <w:uiPriority w:val="0"/>
    <w:pPr>
      <w:keepNext/>
      <w:pageBreakBefore/>
      <w:pBdr>
        <w:top w:val="none" w:color="000000" w:sz="0" w:space="3"/>
        <w:left w:val="none" w:color="000000" w:sz="0" w:space="3"/>
        <w:bottom w:val="none" w:color="000000" w:sz="0" w:space="3"/>
        <w:right w:val="none" w:color="000000" w:sz="0" w:space="3"/>
        <w:between w:val="none" w:color="000000" w:sz="0" w:space="0"/>
      </w:pBdr>
      <w:shd w:val="clear" w:color="FFFFFF" w:fill="FFFFFF"/>
      <w:spacing w:before="640" w:after="560" w:line="460" w:lineRule="exact"/>
      <w:jc w:val="center"/>
      <w:outlineLvl w:val="0"/>
    </w:pPr>
  </w:style>
  <w:style w:type="paragraph" w:customStyle="1" w:styleId="61">
    <w:name w:val="投标正文"/>
    <w:basedOn w:val="62"/>
    <w:qFormat/>
    <w:uiPriority w:val="0"/>
    <w:pPr>
      <w:spacing w:line="360" w:lineRule="auto"/>
    </w:pPr>
    <w:rPr>
      <w:spacing w:val="15"/>
      <w:sz w:val="32"/>
      <w:szCs w:val="32"/>
    </w:rPr>
  </w:style>
  <w:style w:type="paragraph" w:customStyle="1" w:styleId="62">
    <w:name w:val="四级条标题"/>
    <w:basedOn w:val="63"/>
    <w:next w:val="63"/>
    <w:qFormat/>
    <w:uiPriority w:val="0"/>
    <w:pPr>
      <w:outlineLvl w:val="5"/>
    </w:pPr>
  </w:style>
  <w:style w:type="paragraph" w:customStyle="1" w:styleId="63">
    <w:name w:val="三级条标题"/>
    <w:basedOn w:val="64"/>
    <w:next w:val="64"/>
    <w:qFormat/>
    <w:uiPriority w:val="0"/>
    <w:pPr>
      <w:outlineLvl w:val="4"/>
    </w:pPr>
  </w:style>
  <w:style w:type="paragraph" w:customStyle="1" w:styleId="64">
    <w:name w:val="二级条标题"/>
    <w:basedOn w:val="65"/>
    <w:next w:val="65"/>
    <w:qFormat/>
    <w:uiPriority w:val="0"/>
    <w:pPr>
      <w:outlineLvl w:val="3"/>
    </w:pPr>
  </w:style>
  <w:style w:type="paragraph" w:customStyle="1" w:styleId="65">
    <w:name w:val="一级条标题"/>
    <w:next w:val="11"/>
    <w:qFormat/>
    <w:uiPriority w:val="0"/>
    <w:pPr>
      <w:outlineLvl w:val="2"/>
    </w:pPr>
    <w:rPr>
      <w:rFonts w:ascii="黑体" w:hAnsi="黑体" w:eastAsia="黑体" w:cs="Times New Roman"/>
      <w:kern w:val="1"/>
      <w:sz w:val="21"/>
      <w:szCs w:val="21"/>
      <w:lang w:val="en-US" w:eastAsia="zh-CN" w:bidi="ar-SA"/>
    </w:rPr>
  </w:style>
  <w:style w:type="paragraph" w:customStyle="1" w:styleId="66">
    <w:name w:val="Normal_13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Normal_12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正  文"/>
    <w:basedOn w:val="1"/>
    <w:qFormat/>
    <w:uiPriority w:val="0"/>
    <w:pPr>
      <w:spacing w:line="360" w:lineRule="auto"/>
      <w:ind w:firstLine="200" w:firstLineChars="200"/>
    </w:pPr>
    <w:rPr>
      <w:rFonts w:ascii="宋体" w:hAnsi="Calibri"/>
      <w:sz w:val="24"/>
    </w:rPr>
  </w:style>
  <w:style w:type="paragraph" w:customStyle="1" w:styleId="71">
    <w:name w:val="Normal_12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2">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3">
    <w:name w:val="header"/>
    <w:basedOn w:val="1"/>
    <w:qFormat/>
    <w:uiPriority w:val="0"/>
    <w:pPr>
      <w:pBdr>
        <w:bottom w:val="single" w:color="auto" w:sz="6" w:space="1"/>
      </w:pBdr>
      <w:tabs>
        <w:tab w:val="center" w:pos="4153"/>
        <w:tab w:val="right" w:pos="8306"/>
      </w:tabs>
      <w:snapToGrid w:val="0"/>
      <w:jc w:val="center"/>
    </w:pPr>
    <w:rPr>
      <w:rFonts w:eastAsia="等线"/>
      <w:sz w:val="18"/>
      <w:szCs w:val="20"/>
    </w:rPr>
  </w:style>
  <w:style w:type="paragraph" w:customStyle="1" w:styleId="74">
    <w:name w:val="Normal_1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5">
    <w:name w:val="Normal_12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6">
    <w:name w:val="Normal_131"/>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77">
    <w:name w:val="标题 1 Char"/>
    <w:link w:val="3"/>
    <w:qFormat/>
    <w:uiPriority w:val="0"/>
    <w:rPr>
      <w:b/>
      <w:bCs/>
      <w:kern w:val="44"/>
      <w:sz w:val="44"/>
      <w:szCs w:val="44"/>
    </w:rPr>
  </w:style>
  <w:style w:type="character" w:customStyle="1" w:styleId="78">
    <w:name w:val="日期 Char"/>
    <w:link w:val="19"/>
    <w:qFormat/>
    <w:uiPriority w:val="0"/>
    <w:rPr>
      <w:kern w:val="2"/>
      <w:sz w:val="21"/>
      <w:szCs w:val="24"/>
    </w:rPr>
  </w:style>
  <w:style w:type="character" w:customStyle="1" w:styleId="79">
    <w:name w:val="尾注文本 Char"/>
    <w:qFormat/>
    <w:uiPriority w:val="0"/>
    <w:rPr>
      <w:kern w:val="2"/>
      <w:sz w:val="21"/>
      <w:szCs w:val="24"/>
    </w:rPr>
  </w:style>
  <w:style w:type="character" w:customStyle="1" w:styleId="80">
    <w:name w:val="批注主题 Char"/>
    <w:link w:val="32"/>
    <w:qFormat/>
    <w:uiPriority w:val="0"/>
    <w:rPr>
      <w:b/>
      <w:bCs/>
      <w:kern w:val="2"/>
      <w:sz w:val="21"/>
      <w:szCs w:val="24"/>
    </w:rPr>
  </w:style>
  <w:style w:type="character" w:customStyle="1" w:styleId="81">
    <w:name w:val="副标题 Char"/>
    <w:link w:val="26"/>
    <w:qFormat/>
    <w:uiPriority w:val="0"/>
    <w:rPr>
      <w:szCs w:val="24"/>
      <w:u w:val="single"/>
      <w:lang w:eastAsia="en-US"/>
    </w:rPr>
  </w:style>
  <w:style w:type="character" w:customStyle="1" w:styleId="82">
    <w:name w:val="标题 2 Char"/>
    <w:link w:val="4"/>
    <w:qFormat/>
    <w:uiPriority w:val="0"/>
    <w:rPr>
      <w:rFonts w:ascii="Cambria" w:hAnsi="Cambria"/>
      <w:b/>
      <w:bCs/>
      <w:sz w:val="32"/>
      <w:szCs w:val="32"/>
    </w:rPr>
  </w:style>
  <w:style w:type="character" w:customStyle="1" w:styleId="83">
    <w:name w:val="批注文字 Char"/>
    <w:link w:val="12"/>
    <w:qFormat/>
    <w:uiPriority w:val="99"/>
    <w:rPr>
      <w:kern w:val="2"/>
      <w:sz w:val="21"/>
      <w:szCs w:val="24"/>
    </w:rPr>
  </w:style>
  <w:style w:type="character" w:customStyle="1" w:styleId="84">
    <w:name w:val="标题 9 Char"/>
    <w:link w:val="8"/>
    <w:semiHidden/>
    <w:qFormat/>
    <w:uiPriority w:val="0"/>
    <w:rPr>
      <w:rFonts w:ascii="等线 Light" w:hAnsi="等线 Light" w:eastAsia="等线 Light" w:cs="Times New Roman"/>
      <w:kern w:val="2"/>
      <w:sz w:val="21"/>
      <w:szCs w:val="21"/>
    </w:rPr>
  </w:style>
  <w:style w:type="character" w:customStyle="1" w:styleId="85">
    <w:name w:val="标题 2 Char2"/>
    <w:qFormat/>
    <w:uiPriority w:val="0"/>
    <w:rPr>
      <w:rFonts w:ascii="Cambria" w:hAnsi="Cambria" w:eastAsia="宋体"/>
      <w:b/>
      <w:bCs/>
      <w:kern w:val="2"/>
      <w:sz w:val="32"/>
      <w:szCs w:val="32"/>
      <w:lang w:val="en-US" w:eastAsia="zh-CN" w:bidi="ar-SA"/>
    </w:rPr>
  </w:style>
  <w:style w:type="character" w:customStyle="1" w:styleId="86">
    <w:name w:val="副标题 Char3"/>
    <w:qFormat/>
    <w:uiPriority w:val="0"/>
    <w:rPr>
      <w:rFonts w:eastAsia="宋体"/>
      <w:szCs w:val="24"/>
      <w:u w:val="single"/>
      <w:lang w:val="en-US" w:eastAsia="en-US" w:bidi="ar-SA"/>
    </w:rPr>
  </w:style>
  <w:style w:type="character" w:customStyle="1" w:styleId="87">
    <w:name w:val="批注文字 Char3"/>
    <w:qFormat/>
    <w:uiPriority w:val="99"/>
    <w:rPr>
      <w:rFonts w:eastAsia="宋体"/>
      <w:kern w:val="2"/>
      <w:sz w:val="21"/>
      <w:szCs w:val="24"/>
      <w:lang w:val="en-US" w:eastAsia="zh-CN" w:bidi="ar-SA"/>
    </w:rPr>
  </w:style>
  <w:style w:type="character" w:customStyle="1" w:styleId="88">
    <w:name w:val="批注框文本 Char"/>
    <w:link w:val="21"/>
    <w:qFormat/>
    <w:uiPriority w:val="0"/>
    <w:rPr>
      <w:kern w:val="2"/>
      <w:sz w:val="18"/>
      <w:szCs w:val="18"/>
    </w:rPr>
  </w:style>
  <w:style w:type="character" w:customStyle="1" w:styleId="89">
    <w:name w:val="标题 3 Char"/>
    <w:link w:val="5"/>
    <w:qFormat/>
    <w:uiPriority w:val="0"/>
    <w:rPr>
      <w:b/>
      <w:bCs/>
      <w:kern w:val="2"/>
      <w:sz w:val="32"/>
      <w:szCs w:val="32"/>
    </w:rPr>
  </w:style>
  <w:style w:type="character" w:customStyle="1" w:styleId="90">
    <w:name w:val="未处理的提及"/>
    <w:unhideWhenUsed/>
    <w:qFormat/>
    <w:uiPriority w:val="99"/>
    <w:rPr>
      <w:color w:val="605E5C"/>
      <w:shd w:val="clear" w:color="auto" w:fill="E1DFDD"/>
    </w:rPr>
  </w:style>
  <w:style w:type="character" w:customStyle="1" w:styleId="91">
    <w:name w:val="15"/>
    <w:basedOn w:val="36"/>
    <w:qFormat/>
    <w:uiPriority w:val="0"/>
    <w:rPr>
      <w:rFonts w:hint="default" w:ascii="Times New Roman" w:hAnsi="Times New Roman" w:cs="Times New Roman"/>
    </w:rPr>
  </w:style>
  <w:style w:type="character" w:customStyle="1" w:styleId="92">
    <w:name w:val="10"/>
    <w:basedOn w:val="36"/>
    <w:qFormat/>
    <w:uiPriority w:val="0"/>
    <w:rPr>
      <w:rFonts w:hint="default" w:ascii="Times New Roman" w:hAnsi="Times New Roman" w:cs="Times New Roman"/>
    </w:rPr>
  </w:style>
  <w:style w:type="paragraph" w:customStyle="1" w:styleId="93">
    <w:name w:val="_Style 7"/>
    <w:basedOn w:val="3"/>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69173</Words>
  <Characters>74012</Characters>
  <Lines>1</Lines>
  <Paragraphs>1</Paragraphs>
  <TotalTime>62</TotalTime>
  <ScaleCrop>false</ScaleCrop>
  <LinksUpToDate>false</LinksUpToDate>
  <CharactersWithSpaces>82419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2020-12-28T09:28:00Z</dcterms:created>
  <dc:creator>Lenovo E480</dc:creator>
  <cp:lastModifiedBy>百小小</cp:lastModifiedBy>
  <cp:lastPrinted>2020-12-23T09:27:00Z</cp:lastPrinted>
  <dcterms:modified xsi:type="dcterms:W3CDTF">2024-03-20T11:21:39Z</dcterms:modified>
  <dc:title>重庆市公路工程施工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F5F999574CD344F19E818A3F54913ACB</vt:lpwstr>
  </property>
</Properties>
</file>