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kern w:val="0"/>
          <w:sz w:val="48"/>
          <w:szCs w:val="48"/>
        </w:rPr>
      </w:pPr>
      <w:r>
        <w:rPr>
          <w:rFonts w:hint="eastAsia" w:cs="宋体" w:asciiTheme="minorEastAsia" w:hAnsiTheme="minorEastAsia"/>
          <w:b/>
          <w:bCs/>
          <w:kern w:val="0"/>
          <w:sz w:val="48"/>
          <w:szCs w:val="48"/>
        </w:rPr>
        <w:t>重庆尚速物流有限公司</w:t>
      </w:r>
    </w:p>
    <w:p>
      <w:pPr>
        <w:jc w:val="center"/>
        <w:rPr>
          <w:rFonts w:asciiTheme="minorEastAsia" w:hAnsiTheme="minorEastAsia"/>
          <w:sz w:val="48"/>
          <w:szCs w:val="48"/>
        </w:rPr>
      </w:pPr>
      <w:r>
        <w:rPr>
          <w:rFonts w:hint="eastAsia" w:cs="宋体" w:asciiTheme="minorEastAsia" w:hAnsiTheme="minorEastAsia"/>
          <w:b/>
          <w:bCs/>
          <w:kern w:val="0"/>
          <w:sz w:val="48"/>
          <w:szCs w:val="48"/>
        </w:rPr>
        <w:t>预装式移动充电桩设备采购</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jc w:val="center"/>
        <w:rPr>
          <w:rFonts w:asciiTheme="minorEastAsia" w:hAnsiTheme="minorEastAsia"/>
          <w:b/>
          <w:spacing w:val="20"/>
          <w:sz w:val="72"/>
          <w:szCs w:val="72"/>
        </w:rPr>
      </w:pPr>
      <w:r>
        <w:rPr>
          <w:rFonts w:hint="eastAsia" w:asciiTheme="minorEastAsia" w:hAnsiTheme="minorEastAsia"/>
          <w:b/>
          <w:spacing w:val="20"/>
          <w:sz w:val="72"/>
          <w:szCs w:val="72"/>
        </w:rPr>
        <w:t>竞</w:t>
      </w:r>
    </w:p>
    <w:p>
      <w:pPr>
        <w:jc w:val="center"/>
        <w:rPr>
          <w:rFonts w:asciiTheme="minorEastAsia" w:hAnsiTheme="minorEastAsia"/>
          <w:b/>
          <w:spacing w:val="20"/>
          <w:sz w:val="72"/>
          <w:szCs w:val="72"/>
        </w:rPr>
      </w:pPr>
      <w:r>
        <w:rPr>
          <w:rFonts w:hint="eastAsia" w:asciiTheme="minorEastAsia" w:hAnsiTheme="minorEastAsia"/>
          <w:b/>
          <w:spacing w:val="20"/>
          <w:sz w:val="72"/>
          <w:szCs w:val="72"/>
        </w:rPr>
        <w:t>争</w:t>
      </w:r>
    </w:p>
    <w:p>
      <w:pPr>
        <w:jc w:val="center"/>
        <w:rPr>
          <w:rFonts w:asciiTheme="minorEastAsia" w:hAnsiTheme="minorEastAsia"/>
          <w:b/>
          <w:spacing w:val="20"/>
          <w:sz w:val="72"/>
          <w:szCs w:val="72"/>
        </w:rPr>
      </w:pPr>
      <w:r>
        <w:rPr>
          <w:rFonts w:hint="eastAsia" w:asciiTheme="minorEastAsia" w:hAnsiTheme="minorEastAsia"/>
          <w:b/>
          <w:spacing w:val="20"/>
          <w:sz w:val="72"/>
          <w:szCs w:val="72"/>
        </w:rPr>
        <w:t>性</w:t>
      </w:r>
    </w:p>
    <w:p>
      <w:pPr>
        <w:jc w:val="center"/>
        <w:rPr>
          <w:rFonts w:asciiTheme="minorEastAsia" w:hAnsiTheme="minorEastAsia"/>
          <w:b/>
          <w:spacing w:val="20"/>
          <w:sz w:val="72"/>
          <w:szCs w:val="72"/>
        </w:rPr>
      </w:pPr>
      <w:r>
        <w:rPr>
          <w:rFonts w:hint="eastAsia" w:asciiTheme="minorEastAsia" w:hAnsiTheme="minorEastAsia"/>
          <w:b/>
          <w:spacing w:val="20"/>
          <w:sz w:val="72"/>
          <w:szCs w:val="72"/>
        </w:rPr>
        <w:t>比</w:t>
      </w:r>
    </w:p>
    <w:p>
      <w:pPr>
        <w:jc w:val="center"/>
        <w:rPr>
          <w:rFonts w:asciiTheme="minorEastAsia" w:hAnsiTheme="minorEastAsia"/>
          <w:b/>
          <w:spacing w:val="20"/>
          <w:sz w:val="72"/>
          <w:szCs w:val="72"/>
        </w:rPr>
      </w:pPr>
      <w:r>
        <w:rPr>
          <w:rFonts w:hint="eastAsia" w:asciiTheme="minorEastAsia" w:hAnsiTheme="minorEastAsia"/>
          <w:b/>
          <w:spacing w:val="20"/>
          <w:sz w:val="72"/>
          <w:szCs w:val="72"/>
        </w:rPr>
        <w:t>选</w:t>
      </w:r>
    </w:p>
    <w:p>
      <w:pPr>
        <w:jc w:val="center"/>
        <w:rPr>
          <w:rFonts w:asciiTheme="minorEastAsia" w:hAnsiTheme="minorEastAsia"/>
          <w:b/>
          <w:spacing w:val="20"/>
          <w:sz w:val="72"/>
          <w:szCs w:val="72"/>
        </w:rPr>
      </w:pPr>
      <w:r>
        <w:rPr>
          <w:rFonts w:hint="eastAsia" w:asciiTheme="minorEastAsia" w:hAnsiTheme="minorEastAsia"/>
          <w:b/>
          <w:spacing w:val="20"/>
          <w:sz w:val="72"/>
          <w:szCs w:val="72"/>
        </w:rPr>
        <w:t>文</w:t>
      </w:r>
      <w:r>
        <w:rPr>
          <w:rFonts w:hint="eastAsia" w:asciiTheme="minorEastAsia" w:hAnsiTheme="minorEastAsia"/>
          <w:b/>
          <w:spacing w:val="20"/>
          <w:sz w:val="72"/>
          <w:szCs w:val="72"/>
        </w:rPr>
        <w:br w:type="textWrapping"/>
      </w:r>
      <w:r>
        <w:rPr>
          <w:rFonts w:hint="eastAsia" w:asciiTheme="minorEastAsia" w:hAnsiTheme="minorEastAsia"/>
          <w:b/>
          <w:spacing w:val="20"/>
          <w:sz w:val="72"/>
          <w:szCs w:val="72"/>
        </w:rPr>
        <w:t>件</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jc w:val="center"/>
        <w:rPr>
          <w:rFonts w:asciiTheme="minorEastAsia" w:hAnsiTheme="minorEastAsia"/>
          <w:spacing w:val="100"/>
          <w:szCs w:val="21"/>
        </w:rPr>
      </w:pPr>
    </w:p>
    <w:p>
      <w:pPr>
        <w:jc w:val="center"/>
        <w:rPr>
          <w:rFonts w:asciiTheme="minorEastAsia" w:hAnsiTheme="minorEastAsia"/>
          <w:spacing w:val="100"/>
          <w:szCs w:val="21"/>
        </w:rPr>
      </w:pPr>
    </w:p>
    <w:p>
      <w:pPr>
        <w:pStyle w:val="7"/>
        <w:snapToGrid w:val="0"/>
        <w:ind w:left="0" w:leftChars="0"/>
        <w:jc w:val="center"/>
        <w:rPr>
          <w:rFonts w:asciiTheme="minorEastAsia" w:hAnsiTheme="minorEastAsia"/>
          <w:sz w:val="32"/>
          <w:szCs w:val="32"/>
        </w:rPr>
      </w:pPr>
      <w:r>
        <w:rPr>
          <w:rFonts w:hint="eastAsia" w:asciiTheme="minorEastAsia" w:hAnsiTheme="minorEastAsia"/>
          <w:sz w:val="32"/>
          <w:szCs w:val="32"/>
        </w:rPr>
        <w:t>比选人：重庆尚速物流有限公司</w:t>
      </w:r>
    </w:p>
    <w:p>
      <w:pPr>
        <w:pStyle w:val="7"/>
        <w:snapToGrid w:val="0"/>
        <w:ind w:left="0" w:leftChars="0"/>
        <w:jc w:val="center"/>
        <w:rPr>
          <w:rFonts w:asciiTheme="minorEastAsia" w:hAnsiTheme="minorEastAsia"/>
          <w:sz w:val="32"/>
          <w:szCs w:val="32"/>
        </w:rPr>
      </w:pPr>
      <w:r>
        <w:rPr>
          <w:rFonts w:hint="eastAsia" w:asciiTheme="minorEastAsia" w:hAnsiTheme="minorEastAsia"/>
          <w:sz w:val="32"/>
          <w:szCs w:val="32"/>
        </w:rPr>
        <w:t>2024年4月</w:t>
      </w:r>
    </w:p>
    <w:p>
      <w:pPr>
        <w:pStyle w:val="3"/>
        <w:spacing w:line="460" w:lineRule="exact"/>
        <w:rPr>
          <w:rFonts w:ascii="方正小标宋_GBK" w:hAnsiTheme="minorEastAsia"/>
          <w:spacing w:val="10"/>
          <w:szCs w:val="44"/>
        </w:rPr>
      </w:pPr>
      <w:r>
        <w:rPr>
          <w:rFonts w:asciiTheme="minorEastAsia" w:hAnsiTheme="minorEastAsia" w:eastAsiaTheme="minorEastAsia"/>
          <w:szCs w:val="44"/>
        </w:rPr>
        <w:br w:type="page"/>
      </w:r>
      <w:r>
        <w:rPr>
          <w:rFonts w:hint="eastAsia" w:ascii="方正小标宋_GBK" w:hAnsiTheme="minorEastAsia"/>
          <w:spacing w:val="10"/>
          <w:szCs w:val="44"/>
        </w:rPr>
        <w:t>竞争性比选公告</w:t>
      </w:r>
    </w:p>
    <w:p>
      <w:pPr>
        <w:spacing w:line="460" w:lineRule="exact"/>
        <w:rPr>
          <w:rFonts w:ascii="宋体" w:hAnsi="宋体"/>
          <w:b/>
          <w:sz w:val="32"/>
          <w:szCs w:val="32"/>
        </w:rPr>
      </w:pPr>
    </w:p>
    <w:p>
      <w:pPr>
        <w:spacing w:line="460" w:lineRule="exact"/>
        <w:rPr>
          <w:rFonts w:ascii="宋体" w:hAnsi="宋体"/>
          <w:b/>
          <w:sz w:val="32"/>
          <w:szCs w:val="32"/>
        </w:rPr>
      </w:pPr>
      <w:r>
        <w:rPr>
          <w:rFonts w:hint="eastAsia" w:ascii="宋体" w:hAnsi="宋体"/>
          <w:b/>
          <w:sz w:val="32"/>
          <w:szCs w:val="32"/>
        </w:rPr>
        <w:t>一、比选项目</w:t>
      </w:r>
    </w:p>
    <w:p>
      <w:pPr>
        <w:spacing w:line="460" w:lineRule="exact"/>
        <w:ind w:firstLine="420" w:firstLineChars="200"/>
        <w:outlineLvl w:val="0"/>
        <w:rPr>
          <w:rFonts w:ascii="宋体" w:hAnsi="宋体" w:cs="宋体"/>
          <w:szCs w:val="21"/>
        </w:rPr>
      </w:pPr>
      <w:r>
        <w:rPr>
          <w:rFonts w:hint="eastAsia" w:ascii="宋体" w:hAnsi="宋体" w:cs="宋体"/>
          <w:szCs w:val="21"/>
        </w:rPr>
        <w:t>本竞争性比选项目为</w:t>
      </w:r>
      <w:r>
        <w:rPr>
          <w:rFonts w:hint="eastAsia" w:ascii="宋体" w:hAnsi="宋体" w:cs="宋体"/>
          <w:szCs w:val="21"/>
          <w:lang w:val="en-US" w:eastAsia="zh-CN"/>
        </w:rPr>
        <w:t>巫云开高速</w:t>
      </w:r>
      <w:r>
        <w:rPr>
          <w:rFonts w:hint="eastAsia" w:ascii="宋体" w:hAnsi="宋体" w:cs="宋体"/>
          <w:szCs w:val="21"/>
        </w:rPr>
        <w:t>江口服务区临时充电站中预装式移动充电桩设备采购，比选人为重庆尚速物流有限公司，该项目已具备比选条件，现对该项目进行竞争性比选。</w:t>
      </w:r>
    </w:p>
    <w:p>
      <w:pPr>
        <w:spacing w:line="460" w:lineRule="exact"/>
        <w:rPr>
          <w:rFonts w:ascii="宋体" w:hAnsi="宋体"/>
          <w:b/>
          <w:sz w:val="32"/>
          <w:szCs w:val="32"/>
        </w:rPr>
      </w:pPr>
      <w:r>
        <w:rPr>
          <w:rFonts w:hint="eastAsia" w:ascii="宋体" w:hAnsi="宋体"/>
          <w:b/>
          <w:sz w:val="32"/>
          <w:szCs w:val="32"/>
        </w:rPr>
        <w:t>二、项目概况</w:t>
      </w:r>
    </w:p>
    <w:p>
      <w:pPr>
        <w:spacing w:line="460" w:lineRule="exact"/>
        <w:ind w:firstLine="420" w:firstLineChars="200"/>
        <w:outlineLvl w:val="0"/>
        <w:rPr>
          <w:rFonts w:ascii="宋体" w:hAnsi="宋体" w:cs="宋体"/>
          <w:szCs w:val="21"/>
        </w:rPr>
      </w:pPr>
      <w:r>
        <w:rPr>
          <w:rFonts w:hint="eastAsia" w:ascii="宋体" w:hAnsi="宋体" w:cs="宋体"/>
          <w:szCs w:val="21"/>
        </w:rPr>
        <w:t>（一）项目地点：重庆市巫云开高速江口服务区。</w:t>
      </w:r>
    </w:p>
    <w:p>
      <w:pPr>
        <w:spacing w:line="460" w:lineRule="exact"/>
        <w:ind w:firstLine="420" w:firstLineChars="200"/>
        <w:outlineLvl w:val="0"/>
        <w:rPr>
          <w:rFonts w:ascii="宋体" w:hAnsi="宋体" w:cs="宋体"/>
          <w:szCs w:val="21"/>
        </w:rPr>
      </w:pPr>
      <w:r>
        <w:rPr>
          <w:rFonts w:hint="eastAsia" w:ascii="宋体" w:hAnsi="宋体" w:cs="宋体"/>
          <w:szCs w:val="21"/>
        </w:rPr>
        <w:t>（二）项目概况：</w:t>
      </w:r>
    </w:p>
    <w:p>
      <w:pPr>
        <w:spacing w:line="460" w:lineRule="exact"/>
        <w:ind w:firstLine="420" w:firstLineChars="200"/>
        <w:outlineLvl w:val="0"/>
        <w:rPr>
          <w:rFonts w:ascii="宋体" w:hAnsi="宋体" w:cs="宋体"/>
          <w:szCs w:val="21"/>
        </w:rPr>
      </w:pPr>
      <w:r>
        <w:rPr>
          <w:rFonts w:hint="eastAsia" w:ascii="宋体" w:hAnsi="宋体" w:cs="宋体"/>
          <w:szCs w:val="21"/>
        </w:rPr>
        <w:t>江口服务区临时充电站作为尚速物流在新建高速公路</w:t>
      </w:r>
      <w:r>
        <w:rPr>
          <w:rFonts w:hint="eastAsia" w:ascii="宋体" w:hAnsi="宋体" w:cs="宋体"/>
          <w:szCs w:val="21"/>
          <w:lang w:val="en-US" w:eastAsia="zh-CN"/>
        </w:rPr>
        <w:t>施工</w:t>
      </w:r>
      <w:r>
        <w:rPr>
          <w:rFonts w:hint="eastAsia" w:ascii="宋体" w:hAnsi="宋体" w:cs="宋体"/>
          <w:szCs w:val="21"/>
        </w:rPr>
        <w:t>项目中</w:t>
      </w:r>
      <w:r>
        <w:rPr>
          <w:rFonts w:hint="eastAsia" w:ascii="宋体" w:hAnsi="宋体" w:cs="宋体"/>
          <w:szCs w:val="21"/>
          <w:lang w:eastAsia="zh-CN"/>
        </w:rPr>
        <w:t>，</w:t>
      </w:r>
      <w:r>
        <w:rPr>
          <w:rFonts w:hint="eastAsia" w:ascii="宋体" w:hAnsi="宋体" w:cs="宋体"/>
          <w:szCs w:val="21"/>
          <w:lang w:val="en-US" w:eastAsia="zh-CN"/>
        </w:rPr>
        <w:t>采用永临结合的方式布局新能源，</w:t>
      </w:r>
      <w:r>
        <w:rPr>
          <w:rFonts w:hint="eastAsia" w:ascii="宋体" w:hAnsi="宋体" w:cs="宋体"/>
          <w:szCs w:val="21"/>
        </w:rPr>
        <w:t>推进施工电动化，打造绿色运输示范项目。</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（三）采购内容：</w:t>
      </w:r>
      <w:bookmarkStart w:id="0" w:name="_Hlk150803974"/>
      <w:r>
        <w:rPr>
          <w:rFonts w:hint="eastAsia" w:ascii="宋体" w:hAnsi="宋体" w:cs="宋体"/>
          <w:szCs w:val="21"/>
          <w:highlight w:val="none"/>
        </w:rPr>
        <w:t>预装式移动充电桩设备</w:t>
      </w:r>
      <w:bookmarkEnd w:id="0"/>
      <w:r>
        <w:rPr>
          <w:rFonts w:hint="eastAsia" w:ascii="宋体" w:hAnsi="宋体" w:cs="宋体"/>
          <w:szCs w:val="21"/>
          <w:highlight w:val="none"/>
        </w:rPr>
        <w:t>1套（包含2台直流240kW双枪充电桩）运送至江口服务区比选人指定区域。</w:t>
      </w:r>
    </w:p>
    <w:p>
      <w:pPr>
        <w:spacing w:line="460" w:lineRule="exact"/>
        <w:rPr>
          <w:rFonts w:ascii="宋体" w:hAnsi="宋体"/>
          <w:b/>
          <w:sz w:val="32"/>
          <w:szCs w:val="32"/>
        </w:rPr>
      </w:pPr>
      <w:r>
        <w:rPr>
          <w:rFonts w:hint="eastAsia" w:ascii="宋体" w:hAnsi="宋体"/>
          <w:b/>
          <w:sz w:val="32"/>
          <w:szCs w:val="32"/>
        </w:rPr>
        <w:t>三、工作内容</w:t>
      </w:r>
    </w:p>
    <w:p>
      <w:pPr>
        <w:spacing w:line="460" w:lineRule="exact"/>
        <w:ind w:firstLine="420" w:firstLineChars="200"/>
        <w:outlineLvl w:val="0"/>
        <w:rPr>
          <w:rFonts w:hint="default" w:eastAsiaTheme="minorEastAsia"/>
          <w:lang w:val="en-US" w:eastAsia="zh-CN"/>
        </w:rPr>
      </w:pPr>
      <w:r>
        <w:rPr>
          <w:rFonts w:hint="eastAsia" w:ascii="宋体" w:hAnsi="宋体" w:cs="宋体"/>
          <w:szCs w:val="21"/>
          <w:lang w:val="en-US" w:eastAsia="zh-CN"/>
        </w:rPr>
        <w:t>1.</w:t>
      </w:r>
      <w:r>
        <w:rPr>
          <w:rFonts w:hint="eastAsia" w:ascii="宋体" w:hAnsi="宋体" w:cs="宋体"/>
          <w:szCs w:val="21"/>
        </w:rPr>
        <w:t>按照重庆尚速物流有限公司要求，在规定的时间和地点内供应预装式移动充电站设备一</w:t>
      </w:r>
      <w:r>
        <w:rPr>
          <w:rFonts w:hint="eastAsia" w:ascii="宋体" w:hAnsi="宋体" w:cs="宋体"/>
          <w:szCs w:val="21"/>
          <w:lang w:val="en-US" w:eastAsia="zh-CN"/>
        </w:rPr>
        <w:t>套</w:t>
      </w:r>
      <w:r>
        <w:rPr>
          <w:rFonts w:hint="eastAsia" w:ascii="宋体" w:hAnsi="宋体" w:cs="宋体"/>
          <w:szCs w:val="21"/>
        </w:rPr>
        <w:t>。</w:t>
      </w:r>
    </w:p>
    <w:p>
      <w:pPr>
        <w:spacing w:line="460" w:lineRule="exact"/>
        <w:rPr>
          <w:rFonts w:ascii="宋体" w:hAnsi="宋体"/>
          <w:b/>
          <w:sz w:val="32"/>
          <w:szCs w:val="32"/>
        </w:rPr>
      </w:pPr>
      <w:r>
        <w:rPr>
          <w:rFonts w:hint="eastAsia" w:ascii="宋体" w:hAnsi="宋体"/>
          <w:b/>
          <w:sz w:val="32"/>
          <w:szCs w:val="32"/>
        </w:rPr>
        <w:t>四、供货要求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rPr>
        <w:t>（一）供货期要求：</w:t>
      </w:r>
      <w:r>
        <w:rPr>
          <w:rFonts w:hint="eastAsia" w:ascii="宋体" w:hAnsi="宋体" w:cs="宋体"/>
          <w:szCs w:val="21"/>
          <w:highlight w:val="none"/>
          <w:lang w:val="en-US" w:eastAsia="zh-CN"/>
        </w:rPr>
        <w:t>按规定时间</w:t>
      </w:r>
      <w:r>
        <w:rPr>
          <w:rFonts w:hint="eastAsia" w:ascii="宋体" w:hAnsi="宋体" w:cs="宋体"/>
          <w:szCs w:val="21"/>
          <w:highlight w:val="none"/>
        </w:rPr>
        <w:t>运送至</w:t>
      </w:r>
      <w:r>
        <w:rPr>
          <w:rFonts w:hint="eastAsia" w:ascii="宋体" w:hAnsi="宋体" w:cs="宋体"/>
          <w:szCs w:val="21"/>
          <w:highlight w:val="none"/>
          <w:lang w:val="en-US" w:eastAsia="zh-CN"/>
        </w:rPr>
        <w:t>重庆市云阳县巫云开高速</w:t>
      </w:r>
      <w:r>
        <w:rPr>
          <w:rFonts w:hint="eastAsia" w:ascii="宋体" w:hAnsi="宋体" w:cs="宋体"/>
          <w:szCs w:val="21"/>
          <w:highlight w:val="none"/>
        </w:rPr>
        <w:t>江口服务区指定地点。</w:t>
      </w:r>
    </w:p>
    <w:p>
      <w:pPr>
        <w:spacing w:line="460" w:lineRule="exact"/>
        <w:ind w:firstLine="420" w:firstLineChars="200"/>
        <w:outlineLvl w:val="0"/>
        <w:rPr>
          <w:rFonts w:hint="default" w:ascii="宋体" w:hAnsi="宋体" w:cs="宋体" w:eastAsiaTheme="minorEastAsia"/>
          <w:szCs w:val="21"/>
          <w:highlight w:val="yellow"/>
          <w:lang w:val="en-US" w:eastAsia="zh-CN"/>
        </w:rPr>
      </w:pPr>
      <w:r>
        <w:rPr>
          <w:rFonts w:hint="eastAsia" w:ascii="宋体" w:hAnsi="宋体" w:cs="宋体"/>
          <w:szCs w:val="21"/>
        </w:rPr>
        <w:t>（二）货款结算：</w:t>
      </w:r>
      <w:r>
        <w:rPr>
          <w:rFonts w:hint="eastAsia" w:ascii="宋体" w:hAnsi="宋体" w:cs="宋体"/>
          <w:szCs w:val="21"/>
          <w:lang w:val="en-US" w:eastAsia="zh-CN"/>
        </w:rPr>
        <w:t>签订合同后支付2万货款，设备到货调试安装满足正常充电后，支付货款总额的60%（含已支付的2万货款），设备正常运行2个月后支付货款总额的35%，设备正常运行半年后支付货款总额的5%。</w:t>
      </w:r>
    </w:p>
    <w:p>
      <w:pPr>
        <w:pStyle w:val="2"/>
        <w:ind w:firstLine="420" w:firstLineChars="200"/>
        <w:jc w:val="both"/>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（三）充电桩工况要求：</w:t>
      </w:r>
    </w:p>
    <w:p>
      <w:pPr>
        <w:spacing w:line="460" w:lineRule="exact"/>
        <w:ind w:firstLine="420" w:firstLineChars="200"/>
        <w:outlineLvl w:val="0"/>
        <w:rPr>
          <w:rFonts w:hint="eastAsia" w:ascii="宋体" w:hAnsi="宋体" w:cs="宋体"/>
          <w:szCs w:val="21"/>
          <w:lang w:val="en-US" w:eastAsia="zh-CN"/>
        </w:rPr>
      </w:pPr>
      <w:r>
        <w:rPr>
          <w:rFonts w:hint="eastAsia" w:ascii="宋体" w:hAnsi="宋体" w:cs="宋体"/>
          <w:szCs w:val="21"/>
          <w:lang w:val="en-US" w:eastAsia="zh-CN"/>
        </w:rPr>
        <w:t>1.单桩双枪充电桩，满负荷工况下对700V/400A的282度动力电池充电效率，应达到35-55分钟补能100%；</w:t>
      </w:r>
    </w:p>
    <w:p>
      <w:pPr>
        <w:spacing w:line="460" w:lineRule="exact"/>
        <w:ind w:firstLine="420" w:firstLineChars="200"/>
        <w:outlineLvl w:val="0"/>
        <w:rPr>
          <w:rFonts w:hint="eastAsia" w:ascii="宋体" w:hAnsi="宋体" w:cs="宋体"/>
          <w:szCs w:val="21"/>
          <w:lang w:val="en-US" w:eastAsia="zh-CN"/>
        </w:rPr>
      </w:pPr>
      <w:r>
        <w:rPr>
          <w:rFonts w:hint="eastAsia" w:ascii="宋体" w:hAnsi="宋体" w:cs="宋体"/>
          <w:szCs w:val="21"/>
          <w:lang w:val="en-US" w:eastAsia="zh-CN"/>
        </w:rPr>
        <w:t>2.需适配800KVA及以下的箱式变压器；</w:t>
      </w:r>
    </w:p>
    <w:p>
      <w:pPr>
        <w:spacing w:line="460" w:lineRule="exact"/>
        <w:ind w:firstLine="420" w:firstLineChars="200"/>
        <w:outlineLvl w:val="0"/>
        <w:rPr>
          <w:rFonts w:hint="default" w:ascii="宋体" w:hAnsi="宋体" w:cs="宋体"/>
          <w:szCs w:val="21"/>
          <w:lang w:val="en-US" w:eastAsia="zh-CN"/>
        </w:rPr>
      </w:pPr>
      <w:r>
        <w:rPr>
          <w:rFonts w:hint="eastAsia" w:ascii="宋体" w:hAnsi="宋体" w:cs="宋体"/>
          <w:szCs w:val="21"/>
          <w:lang w:val="en-US" w:eastAsia="zh-CN"/>
        </w:rPr>
        <w:t>3.充电桩整套设备质保期应大于及等于2年。</w:t>
      </w:r>
    </w:p>
    <w:p>
      <w:pPr>
        <w:spacing w:line="460" w:lineRule="exact"/>
        <w:rPr>
          <w:rFonts w:ascii="宋体" w:hAnsi="宋体"/>
          <w:b/>
          <w:sz w:val="32"/>
          <w:szCs w:val="32"/>
        </w:rPr>
      </w:pPr>
      <w:r>
        <w:rPr>
          <w:rFonts w:hint="eastAsia" w:ascii="宋体" w:hAnsi="宋体"/>
          <w:b/>
          <w:sz w:val="32"/>
          <w:szCs w:val="32"/>
        </w:rPr>
        <w:t>五、竞选人资格要求</w:t>
      </w:r>
    </w:p>
    <w:p>
      <w:pPr>
        <w:spacing w:line="460" w:lineRule="exact"/>
        <w:ind w:firstLine="420" w:firstLineChars="200"/>
        <w:outlineLvl w:val="0"/>
        <w:rPr>
          <w:rFonts w:ascii="宋体" w:hAnsi="宋体" w:cs="宋体"/>
          <w:szCs w:val="21"/>
        </w:rPr>
      </w:pPr>
      <w:r>
        <w:rPr>
          <w:rFonts w:hint="eastAsia" w:ascii="宋体" w:hAnsi="宋体" w:cs="宋体"/>
          <w:szCs w:val="21"/>
        </w:rPr>
        <w:t>（一）资质、业绩要求：</w:t>
      </w:r>
    </w:p>
    <w:p>
      <w:pPr>
        <w:spacing w:line="460" w:lineRule="exact"/>
        <w:ind w:firstLine="420" w:firstLineChars="200"/>
        <w:outlineLvl w:val="0"/>
        <w:rPr>
          <w:rFonts w:ascii="宋体" w:hAnsi="宋体" w:cs="宋体"/>
          <w:szCs w:val="21"/>
        </w:rPr>
      </w:pPr>
      <w:r>
        <w:rPr>
          <w:rFonts w:hint="eastAsia" w:ascii="宋体" w:hAnsi="宋体" w:cs="宋体"/>
          <w:szCs w:val="21"/>
        </w:rPr>
        <w:t>1、具备独立法人资格，具备有效的营业执照。</w:t>
      </w:r>
    </w:p>
    <w:p>
      <w:pPr>
        <w:spacing w:line="460" w:lineRule="exact"/>
        <w:ind w:firstLine="420" w:firstLineChars="200"/>
        <w:outlineLvl w:val="0"/>
        <w:rPr>
          <w:rFonts w:ascii="宋体" w:hAnsi="宋体" w:cs="宋体"/>
          <w:szCs w:val="21"/>
        </w:rPr>
      </w:pPr>
      <w:r>
        <w:rPr>
          <w:rFonts w:hint="eastAsia" w:ascii="宋体" w:hAnsi="宋体" w:cs="宋体"/>
          <w:szCs w:val="21"/>
        </w:rPr>
        <w:t>2、经营状况良好，没有处于被责令停业，财产被接管，因账户冻结影响正常经营，或破产状态。</w:t>
      </w:r>
    </w:p>
    <w:p>
      <w:pPr>
        <w:spacing w:line="460" w:lineRule="exact"/>
        <w:ind w:firstLine="420" w:firstLineChars="200"/>
        <w:outlineLvl w:val="0"/>
        <w:rPr>
          <w:rFonts w:ascii="宋体" w:hAnsi="宋体" w:cs="宋体"/>
          <w:szCs w:val="21"/>
        </w:rPr>
      </w:pPr>
      <w:r>
        <w:rPr>
          <w:rFonts w:hint="eastAsia" w:ascii="宋体" w:hAnsi="宋体" w:cs="宋体"/>
          <w:szCs w:val="21"/>
        </w:rPr>
        <w:t>3、自投标截止之日起在近36个月内不存在骗取中标、严重违约或因自身的责任而使任何合同被解除的情形。</w:t>
      </w:r>
    </w:p>
    <w:p>
      <w:pPr>
        <w:spacing w:line="460" w:lineRule="exact"/>
        <w:ind w:firstLine="420" w:firstLineChars="200"/>
        <w:outlineLvl w:val="0"/>
        <w:rPr>
          <w:rFonts w:ascii="宋体" w:hAnsi="宋体" w:cs="宋体"/>
          <w:szCs w:val="21"/>
        </w:rPr>
      </w:pPr>
      <w:r>
        <w:rPr>
          <w:rFonts w:hint="eastAsia" w:ascii="宋体" w:hAnsi="宋体" w:cs="宋体"/>
          <w:szCs w:val="21"/>
        </w:rPr>
        <w:t>4、自投标截止之日起前18个月内不存在较大及以上安全事故。</w:t>
      </w:r>
    </w:p>
    <w:p>
      <w:pPr>
        <w:ind w:firstLine="422" w:firstLineChars="200"/>
      </w:pPr>
      <w:r>
        <w:rPr>
          <w:rFonts w:hint="eastAsia" w:ascii="宋体" w:hAnsi="宋体" w:cs="宋体"/>
          <w:b/>
          <w:bCs/>
          <w:szCs w:val="28"/>
        </w:rPr>
        <w:t>（2至4条提供承诺函加盖公章）</w:t>
      </w:r>
    </w:p>
    <w:p>
      <w:pPr>
        <w:spacing w:line="460" w:lineRule="exact"/>
        <w:ind w:firstLine="420" w:firstLineChars="200"/>
        <w:outlineLvl w:val="0"/>
        <w:rPr>
          <w:rFonts w:ascii="宋体" w:hAnsi="宋体" w:cs="宋体"/>
          <w:b/>
          <w:bCs/>
          <w:szCs w:val="21"/>
        </w:rPr>
      </w:pPr>
      <w:r>
        <w:rPr>
          <w:rFonts w:hint="eastAsia" w:ascii="宋体" w:hAnsi="宋体" w:cs="宋体"/>
          <w:szCs w:val="21"/>
        </w:rPr>
        <w:t>（二）信誉要求：在国家企业信用信息公示系统（http://www.gsxt.gov.cn/）中未被列入严重违法失信企业名单（黑名单）信息；在“信用中国”网站（http://www.creditchina.gov.cn/）中未被列入失信被执行人。</w:t>
      </w:r>
      <w:r>
        <w:rPr>
          <w:rFonts w:hint="eastAsia" w:ascii="宋体" w:hAnsi="宋体" w:cs="宋体"/>
          <w:b/>
          <w:bCs/>
          <w:szCs w:val="21"/>
        </w:rPr>
        <w:t>（截图并加盖公章）</w:t>
      </w:r>
    </w:p>
    <w:p>
      <w:pPr>
        <w:spacing w:line="460" w:lineRule="exact"/>
        <w:ind w:firstLine="420" w:firstLineChars="200"/>
        <w:outlineLvl w:val="0"/>
      </w:pPr>
      <w:r>
        <w:rPr>
          <w:rFonts w:hint="eastAsia" w:ascii="宋体" w:hAnsi="宋体" w:cs="宋体"/>
          <w:szCs w:val="21"/>
        </w:rPr>
        <w:t>（三）业绩要求：近一年（2023年4月1日至今）充电桩设备合同金额在</w:t>
      </w:r>
      <w:r>
        <w:rPr>
          <w:rFonts w:hint="eastAsia" w:ascii="宋体" w:hAnsi="宋体" w:cs="宋体"/>
          <w:szCs w:val="21"/>
          <w:lang w:val="en-US" w:eastAsia="zh-CN"/>
        </w:rPr>
        <w:t>20</w:t>
      </w:r>
      <w:r>
        <w:rPr>
          <w:rFonts w:hint="eastAsia" w:ascii="宋体" w:hAnsi="宋体" w:cs="宋体"/>
          <w:szCs w:val="21"/>
        </w:rPr>
        <w:t>万以上的至少有3个。提供复印件，关键页（合同首页、合同金额页、合同签章页）盖竞选人公章。</w:t>
      </w:r>
    </w:p>
    <w:p>
      <w:pPr>
        <w:spacing w:line="460" w:lineRule="exact"/>
        <w:rPr>
          <w:rFonts w:ascii="宋体" w:hAnsi="宋体"/>
          <w:b/>
          <w:sz w:val="32"/>
          <w:szCs w:val="32"/>
        </w:rPr>
      </w:pPr>
      <w:r>
        <w:rPr>
          <w:rFonts w:hint="eastAsia" w:ascii="宋体" w:hAnsi="宋体"/>
          <w:b/>
          <w:sz w:val="32"/>
          <w:szCs w:val="32"/>
        </w:rPr>
        <w:t>六、比选文件的获取</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竞争性比选文件发布时间：</w:t>
      </w:r>
      <w:r>
        <w:rPr>
          <w:rFonts w:hint="eastAsia" w:asciiTheme="minorEastAsia" w:hAnsiTheme="minorEastAsia" w:cstheme="minorEastAsia"/>
          <w:bCs/>
          <w:szCs w:val="21"/>
          <w:highlight w:val="none"/>
        </w:rPr>
        <w:t>2024年4月</w:t>
      </w:r>
      <w:r>
        <w:rPr>
          <w:rFonts w:hint="eastAsia" w:asciiTheme="minorEastAsia" w:hAnsiTheme="minorEastAsia" w:cstheme="minorEastAsia"/>
          <w:bCs/>
          <w:szCs w:val="21"/>
          <w:highlight w:val="none"/>
          <w:lang w:val="en-US" w:eastAsia="zh-CN"/>
        </w:rPr>
        <w:t>11</w:t>
      </w:r>
      <w:r>
        <w:rPr>
          <w:rFonts w:hint="eastAsia" w:asciiTheme="minorEastAsia" w:hAnsiTheme="minorEastAsia" w:cstheme="minorEastAsia"/>
          <w:bCs/>
          <w:szCs w:val="21"/>
          <w:highlight w:val="none"/>
        </w:rPr>
        <w:t>日-2024年4月1</w:t>
      </w:r>
      <w:r>
        <w:rPr>
          <w:rFonts w:hint="eastAsia" w:asciiTheme="minorEastAsia" w:hAnsiTheme="minorEastAsia" w:cstheme="minorEastAsia"/>
          <w:bCs/>
          <w:szCs w:val="21"/>
          <w:highlight w:val="none"/>
          <w:lang w:val="en-US" w:eastAsia="zh-CN"/>
        </w:rPr>
        <w:t>3</w:t>
      </w:r>
      <w:r>
        <w:rPr>
          <w:rFonts w:hint="eastAsia" w:asciiTheme="minorEastAsia" w:hAnsiTheme="minorEastAsia" w:cstheme="minorEastAsia"/>
          <w:bCs/>
          <w:szCs w:val="21"/>
          <w:highlight w:val="none"/>
        </w:rPr>
        <w:t>日</w:t>
      </w:r>
      <w:r>
        <w:rPr>
          <w:rFonts w:hint="eastAsia" w:asciiTheme="minorEastAsia" w:hAnsiTheme="minorEastAsia" w:cstheme="minorEastAsia"/>
          <w:bCs/>
          <w:szCs w:val="21"/>
        </w:rPr>
        <w:t>，过时不候。本次比选公告及比选结果公示在重庆高速集团官网</w:t>
      </w:r>
      <w:bookmarkStart w:id="1" w:name="_Hlk150808645"/>
      <w:r>
        <w:rPr>
          <w:rFonts w:hint="eastAsia" w:asciiTheme="minorEastAsia" w:hAnsiTheme="minorEastAsia" w:cstheme="minorEastAsia"/>
          <w:bCs/>
          <w:szCs w:val="21"/>
        </w:rPr>
        <w:t>（https://www.cegc.com.cn/html/col1810480.html）</w:t>
      </w:r>
      <w:bookmarkEnd w:id="1"/>
      <w:r>
        <w:rPr>
          <w:rFonts w:hint="eastAsia" w:asciiTheme="minorEastAsia" w:hAnsiTheme="minorEastAsia" w:cstheme="minorEastAsia"/>
          <w:bCs/>
          <w:szCs w:val="21"/>
        </w:rPr>
        <w:t>、重庆高速公路集团有限公司招投标管理平台（http://cqgsbid.cegc.com.cn:7900）上发布比选公告。竞选人自行下载比选文件。</w:t>
      </w:r>
      <w:bookmarkStart w:id="2" w:name="_GoBack"/>
      <w:bookmarkEnd w:id="2"/>
    </w:p>
    <w:p>
      <w:pPr>
        <w:spacing w:line="460" w:lineRule="exact"/>
        <w:ind w:firstLine="420" w:firstLineChars="200"/>
        <w:outlineLvl w:val="0"/>
        <w:rPr>
          <w:rFonts w:ascii="宋体" w:hAnsi="宋体" w:cs="宋体"/>
          <w:szCs w:val="21"/>
        </w:rPr>
      </w:pPr>
      <w:r>
        <w:rPr>
          <w:rFonts w:hint="eastAsia" w:ascii="宋体" w:hAnsi="宋体" w:cs="宋体"/>
          <w:szCs w:val="21"/>
        </w:rPr>
        <w:t>各竞选人应随时关注网上发布的竞争性比选文件答疑、补遗、澄清等文件内容，不管竞选人是否下载，均视为已知晓竞争性比选文件的全部内容和有关事宜。</w:t>
      </w:r>
    </w:p>
    <w:p>
      <w:pPr>
        <w:spacing w:line="460" w:lineRule="exact"/>
        <w:rPr>
          <w:rFonts w:ascii="宋体" w:hAnsi="宋体"/>
          <w:b/>
          <w:sz w:val="32"/>
          <w:szCs w:val="32"/>
        </w:rPr>
      </w:pPr>
      <w:r>
        <w:rPr>
          <w:rFonts w:hint="eastAsia" w:ascii="宋体" w:hAnsi="宋体"/>
          <w:b/>
          <w:sz w:val="32"/>
          <w:szCs w:val="32"/>
        </w:rPr>
        <w:t>七、评标办法</w:t>
      </w:r>
    </w:p>
    <w:p>
      <w:pPr>
        <w:spacing w:line="460" w:lineRule="exact"/>
        <w:ind w:firstLine="420" w:firstLineChars="200"/>
        <w:outlineLvl w:val="0"/>
        <w:rPr>
          <w:rFonts w:hint="eastAsia" w:ascii="宋体" w:hAnsi="宋体" w:cs="宋体"/>
          <w:szCs w:val="21"/>
        </w:rPr>
      </w:pPr>
      <w:r>
        <w:rPr>
          <w:rFonts w:hint="eastAsia" w:ascii="宋体" w:hAnsi="宋体" w:cs="宋体"/>
          <w:szCs w:val="21"/>
        </w:rPr>
        <w:t>本项目评标采用</w:t>
      </w:r>
      <w:r>
        <w:rPr>
          <w:rFonts w:hint="eastAsia" w:ascii="宋体" w:hAnsi="宋体" w:eastAsia="宋体" w:cs="宋体"/>
          <w:b/>
          <w:szCs w:val="21"/>
        </w:rPr>
        <w:t>综合评估法</w:t>
      </w:r>
      <w:r>
        <w:rPr>
          <w:rFonts w:hint="eastAsia" w:ascii="宋体" w:hAnsi="宋体" w:cs="宋体"/>
          <w:szCs w:val="21"/>
        </w:rPr>
        <w:t>，商务30分、技术20分、报价50分。对有效竞选人按照综合得分由高到低先后顺序，依次推荐3名成交候选人。若不足3名，则只选取相应的数量。</w:t>
      </w:r>
    </w:p>
    <w:p>
      <w:pPr>
        <w:pStyle w:val="2"/>
      </w:pPr>
    </w:p>
    <w:tbl>
      <w:tblPr>
        <w:tblStyle w:val="14"/>
        <w:tblW w:w="4855" w:type="pct"/>
        <w:tblInd w:w="0" w:type="dxa"/>
        <w:tblLayout w:type="autofit"/>
        <w:tblCellMar>
          <w:top w:w="0" w:type="dxa"/>
          <w:left w:w="108" w:type="dxa"/>
          <w:bottom w:w="0" w:type="dxa"/>
          <w:right w:w="108" w:type="dxa"/>
        </w:tblCellMar>
      </w:tblPr>
      <w:tblGrid>
        <w:gridCol w:w="1170"/>
        <w:gridCol w:w="1186"/>
        <w:gridCol w:w="1183"/>
        <w:gridCol w:w="1178"/>
        <w:gridCol w:w="2366"/>
        <w:gridCol w:w="1186"/>
      </w:tblGrid>
      <w:tr>
        <w:tblPrEx>
          <w:tblCellMar>
            <w:top w:w="0" w:type="dxa"/>
            <w:left w:w="108" w:type="dxa"/>
            <w:bottom w:w="0" w:type="dxa"/>
            <w:right w:w="108" w:type="dxa"/>
          </w:tblCellMar>
        </w:tblPrEx>
        <w:trPr>
          <w:trHeight w:val="310" w:hRule="atLeast"/>
        </w:trPr>
        <w:tc>
          <w:tcPr>
            <w:tcW w:w="2140"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条款号</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评审因素</w:t>
            </w:r>
          </w:p>
        </w:tc>
        <w:tc>
          <w:tcPr>
            <w:tcW w:w="214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评审标准</w:t>
            </w:r>
          </w:p>
        </w:tc>
      </w:tr>
      <w:tr>
        <w:tblPrEx>
          <w:tblCellMar>
            <w:top w:w="0" w:type="dxa"/>
            <w:left w:w="108" w:type="dxa"/>
            <w:bottom w:w="0" w:type="dxa"/>
            <w:right w:w="108" w:type="dxa"/>
          </w:tblCellMar>
        </w:tblPrEx>
        <w:trPr>
          <w:trHeight w:val="570" w:hRule="atLeast"/>
        </w:trPr>
        <w:tc>
          <w:tcPr>
            <w:tcW w:w="708" w:type="pct"/>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7.1</w:t>
            </w:r>
          </w:p>
        </w:tc>
        <w:tc>
          <w:tcPr>
            <w:tcW w:w="1432" w:type="pct"/>
            <w:gridSpan w:val="2"/>
            <w:vMerge w:val="restart"/>
            <w:tcBorders>
              <w:top w:val="single" w:color="auto" w:sz="4" w:space="0"/>
              <w:left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形式评审</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712"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kern w:val="0"/>
                <w:szCs w:val="21"/>
              </w:rPr>
              <w:t>竞选人</w:t>
            </w:r>
            <w:r>
              <w:rPr>
                <w:rFonts w:hint="eastAsia" w:ascii="宋体" w:hAnsi="宋体" w:eastAsia="宋体" w:cs="宋体"/>
                <w:color w:val="000000"/>
                <w:kern w:val="0"/>
                <w:szCs w:val="21"/>
              </w:rPr>
              <w:t>营业执照</w:t>
            </w:r>
          </w:p>
        </w:tc>
        <w:tc>
          <w:tcPr>
            <w:tcW w:w="2146" w:type="pct"/>
            <w:gridSpan w:val="2"/>
            <w:tcBorders>
              <w:top w:val="single" w:color="auto" w:sz="4" w:space="0"/>
              <w:left w:val="single" w:color="000000" w:sz="8" w:space="0"/>
              <w:bottom w:val="single" w:color="000000" w:sz="8"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cs="宋体"/>
                <w:color w:val="000000"/>
                <w:kern w:val="0"/>
                <w:szCs w:val="21"/>
              </w:rPr>
              <w:t>竞选人</w:t>
            </w:r>
            <w:r>
              <w:rPr>
                <w:rFonts w:hint="eastAsia" w:ascii="宋体" w:hAnsi="宋体" w:eastAsia="宋体" w:cs="宋体"/>
                <w:color w:val="000000"/>
                <w:kern w:val="0"/>
                <w:szCs w:val="21"/>
              </w:rPr>
              <w:t>名称与营业执照一致。</w:t>
            </w:r>
          </w:p>
        </w:tc>
      </w:tr>
      <w:tr>
        <w:tblPrEx>
          <w:tblCellMar>
            <w:top w:w="0" w:type="dxa"/>
            <w:left w:w="108" w:type="dxa"/>
            <w:bottom w:w="0" w:type="dxa"/>
            <w:right w:w="108" w:type="dxa"/>
          </w:tblCellMar>
        </w:tblPrEx>
        <w:trPr>
          <w:trHeight w:val="1095" w:hRule="atLeast"/>
        </w:trPr>
        <w:tc>
          <w:tcPr>
            <w:tcW w:w="708" w:type="pct"/>
            <w:vMerge w:val="continue"/>
            <w:tcBorders>
              <w:top w:val="nil"/>
              <w:left w:val="single" w:color="auto" w:sz="4"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left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比选申请文件签字盖章</w:t>
            </w:r>
          </w:p>
        </w:tc>
        <w:tc>
          <w:tcPr>
            <w:tcW w:w="2146" w:type="pct"/>
            <w:gridSpan w:val="2"/>
            <w:tcBorders>
              <w:top w:val="nil"/>
              <w:left w:val="single" w:color="000000" w:sz="8" w:space="0"/>
              <w:bottom w:val="single" w:color="000000" w:sz="8"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竞争性比选申请文件上法定代表人或其授权代理人的签字、</w:t>
            </w:r>
            <w:r>
              <w:rPr>
                <w:rFonts w:hint="eastAsia" w:ascii="宋体" w:hAnsi="宋体" w:cs="宋体"/>
                <w:color w:val="000000"/>
                <w:kern w:val="0"/>
                <w:szCs w:val="21"/>
              </w:rPr>
              <w:t>竞选人</w:t>
            </w:r>
            <w:r>
              <w:rPr>
                <w:rFonts w:hint="eastAsia" w:ascii="宋体" w:hAnsi="宋体" w:eastAsia="宋体" w:cs="宋体"/>
                <w:color w:val="000000"/>
                <w:kern w:val="0"/>
                <w:szCs w:val="21"/>
              </w:rPr>
              <w:t>的单位公章齐全，符合竞争性比选文件规定。</w:t>
            </w:r>
          </w:p>
        </w:tc>
      </w:tr>
      <w:tr>
        <w:tblPrEx>
          <w:tblCellMar>
            <w:top w:w="0" w:type="dxa"/>
            <w:left w:w="108" w:type="dxa"/>
            <w:bottom w:w="0" w:type="dxa"/>
            <w:right w:w="108" w:type="dxa"/>
          </w:tblCellMar>
        </w:tblPrEx>
        <w:trPr>
          <w:trHeight w:val="555" w:hRule="atLeast"/>
        </w:trPr>
        <w:tc>
          <w:tcPr>
            <w:tcW w:w="708" w:type="pct"/>
            <w:vMerge w:val="continue"/>
            <w:tcBorders>
              <w:top w:val="nil"/>
              <w:left w:val="single" w:color="auto" w:sz="4"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left w:val="single" w:color="auto" w:sz="4" w:space="0"/>
              <w:right w:val="single" w:color="000000" w:sz="8" w:space="0"/>
            </w:tcBorders>
            <w:shd w:val="clear" w:color="auto" w:fill="auto"/>
            <w:noWrap/>
            <w:vAlign w:val="center"/>
          </w:tcPr>
          <w:p>
            <w:pPr>
              <w:rPr>
                <w:rFonts w:ascii="宋体" w:hAnsi="宋体" w:eastAsia="宋体" w:cs="宋体"/>
                <w:color w:val="000000"/>
                <w:sz w:val="22"/>
                <w:szCs w:val="22"/>
              </w:rPr>
            </w:pPr>
          </w:p>
        </w:tc>
        <w:tc>
          <w:tcPr>
            <w:tcW w:w="712"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比选申请文件格式</w:t>
            </w:r>
          </w:p>
        </w:tc>
        <w:tc>
          <w:tcPr>
            <w:tcW w:w="2146" w:type="pct"/>
            <w:gridSpan w:val="2"/>
            <w:tcBorders>
              <w:top w:val="nil"/>
              <w:left w:val="single" w:color="000000" w:sz="8"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符合“比选申请文件格式”的要求，字迹清晰可辨。</w:t>
            </w:r>
          </w:p>
        </w:tc>
      </w:tr>
      <w:tr>
        <w:tblPrEx>
          <w:tblCellMar>
            <w:top w:w="0" w:type="dxa"/>
            <w:left w:w="108" w:type="dxa"/>
            <w:bottom w:w="0" w:type="dxa"/>
            <w:right w:w="108" w:type="dxa"/>
          </w:tblCellMar>
        </w:tblPrEx>
        <w:trPr>
          <w:trHeight w:val="555" w:hRule="atLeast"/>
        </w:trPr>
        <w:tc>
          <w:tcPr>
            <w:tcW w:w="708" w:type="pct"/>
            <w:vMerge w:val="continue"/>
            <w:tcBorders>
              <w:top w:val="nil"/>
              <w:left w:val="single" w:color="auto" w:sz="4"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left w:val="single" w:color="auto" w:sz="4" w:space="0"/>
              <w:right w:val="single" w:color="000000" w:sz="8" w:space="0"/>
            </w:tcBorders>
            <w:shd w:val="clear" w:color="auto" w:fill="auto"/>
            <w:noWrap/>
            <w:vAlign w:val="center"/>
          </w:tcPr>
          <w:p>
            <w:pPr>
              <w:rPr>
                <w:rFonts w:ascii="宋体" w:hAnsi="宋体" w:eastAsia="宋体" w:cs="宋体"/>
                <w:color w:val="000000"/>
                <w:sz w:val="22"/>
                <w:szCs w:val="22"/>
              </w:rPr>
            </w:pPr>
          </w:p>
        </w:tc>
        <w:tc>
          <w:tcPr>
            <w:tcW w:w="71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146" w:type="pct"/>
            <w:gridSpan w:val="2"/>
            <w:tcBorders>
              <w:top w:val="nil"/>
              <w:left w:val="single" w:color="000000" w:sz="8"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1.报价书的所有数据均符合比选文件的规定；</w:t>
            </w:r>
          </w:p>
        </w:tc>
      </w:tr>
      <w:tr>
        <w:tblPrEx>
          <w:tblCellMar>
            <w:top w:w="0" w:type="dxa"/>
            <w:left w:w="108" w:type="dxa"/>
            <w:bottom w:w="0" w:type="dxa"/>
            <w:right w:w="108" w:type="dxa"/>
          </w:tblCellMar>
        </w:tblPrEx>
        <w:trPr>
          <w:trHeight w:val="555" w:hRule="atLeast"/>
        </w:trPr>
        <w:tc>
          <w:tcPr>
            <w:tcW w:w="70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left w:val="single" w:color="auto" w:sz="4" w:space="0"/>
              <w:bottom w:val="single" w:color="auto" w:sz="4" w:space="0"/>
              <w:right w:val="single" w:color="000000" w:sz="8" w:space="0"/>
            </w:tcBorders>
            <w:shd w:val="clear" w:color="auto" w:fill="auto"/>
            <w:noWrap/>
            <w:vAlign w:val="center"/>
          </w:tcPr>
          <w:p>
            <w:pPr>
              <w:rPr>
                <w:rFonts w:ascii="宋体" w:hAnsi="宋体" w:eastAsia="宋体" w:cs="宋体"/>
                <w:color w:val="000000"/>
                <w:sz w:val="22"/>
                <w:szCs w:val="22"/>
              </w:rPr>
            </w:pPr>
          </w:p>
        </w:tc>
        <w:tc>
          <w:tcPr>
            <w:tcW w:w="712"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color w:val="000000"/>
                <w:szCs w:val="21"/>
              </w:rPr>
            </w:pPr>
          </w:p>
        </w:tc>
        <w:tc>
          <w:tcPr>
            <w:tcW w:w="2146" w:type="pct"/>
            <w:gridSpan w:val="2"/>
            <w:tcBorders>
              <w:top w:val="nil"/>
              <w:left w:val="single" w:color="000000"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2.比选申请文件附表齐全完整，内容均按规定填写；</w:t>
            </w:r>
          </w:p>
        </w:tc>
      </w:tr>
      <w:tr>
        <w:tblPrEx>
          <w:tblCellMar>
            <w:top w:w="0" w:type="dxa"/>
            <w:left w:w="108" w:type="dxa"/>
            <w:bottom w:w="0" w:type="dxa"/>
            <w:right w:w="108" w:type="dxa"/>
          </w:tblCellMar>
        </w:tblPrEx>
        <w:trPr>
          <w:trHeight w:val="555" w:hRule="atLeast"/>
        </w:trPr>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pPr>
              <w:rPr>
                <w:rFonts w:ascii="宋体" w:hAnsi="宋体" w:eastAsia="宋体" w:cs="宋体"/>
                <w:color w:val="000000"/>
                <w:sz w:val="22"/>
                <w:szCs w:val="22"/>
              </w:rPr>
            </w:pPr>
          </w:p>
        </w:tc>
        <w:tc>
          <w:tcPr>
            <w:tcW w:w="712" w:type="pct"/>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color w:val="000000"/>
                <w:szCs w:val="21"/>
              </w:rPr>
            </w:pPr>
          </w:p>
        </w:tc>
        <w:tc>
          <w:tcPr>
            <w:tcW w:w="2146" w:type="pct"/>
            <w:gridSpan w:val="2"/>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3.比选申请文件</w:t>
            </w:r>
            <w:r>
              <w:rPr>
                <w:rStyle w:val="35"/>
                <w:rFonts w:hint="default"/>
              </w:rPr>
              <w:t>正、副本份数符合比选文件规定。</w:t>
            </w:r>
          </w:p>
        </w:tc>
      </w:tr>
      <w:tr>
        <w:tblPrEx>
          <w:tblCellMar>
            <w:top w:w="0" w:type="dxa"/>
            <w:left w:w="108" w:type="dxa"/>
            <w:bottom w:w="0" w:type="dxa"/>
            <w:right w:w="108" w:type="dxa"/>
          </w:tblCellMar>
        </w:tblPrEx>
        <w:trPr>
          <w:trHeight w:val="840" w:hRule="atLeast"/>
        </w:trPr>
        <w:tc>
          <w:tcPr>
            <w:tcW w:w="708" w:type="pct"/>
            <w:vMerge w:val="continue"/>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single" w:color="auto" w:sz="4" w:space="0"/>
              <w:left w:val="single" w:color="auto" w:sz="4" w:space="0"/>
              <w:right w:val="single" w:color="000000" w:sz="8" w:space="0"/>
            </w:tcBorders>
            <w:shd w:val="clear" w:color="auto" w:fill="auto"/>
            <w:noWrap/>
            <w:vAlign w:val="center"/>
          </w:tcPr>
          <w:p>
            <w:pPr>
              <w:rPr>
                <w:rFonts w:ascii="宋体" w:hAnsi="宋体" w:eastAsia="宋体" w:cs="宋体"/>
                <w:color w:val="000000"/>
                <w:sz w:val="22"/>
                <w:szCs w:val="22"/>
              </w:rPr>
            </w:pPr>
          </w:p>
        </w:tc>
        <w:tc>
          <w:tcPr>
            <w:tcW w:w="712"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比选申请文件的签署</w:t>
            </w:r>
          </w:p>
        </w:tc>
        <w:tc>
          <w:tcPr>
            <w:tcW w:w="2146" w:type="pct"/>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比选申请文件上法定代表人或其授权代理人的签字齐全，符合比选文件规定。</w:t>
            </w:r>
          </w:p>
        </w:tc>
      </w:tr>
      <w:tr>
        <w:tblPrEx>
          <w:tblCellMar>
            <w:top w:w="0" w:type="dxa"/>
            <w:left w:w="108" w:type="dxa"/>
            <w:bottom w:w="0" w:type="dxa"/>
            <w:right w:w="108" w:type="dxa"/>
          </w:tblCellMar>
        </w:tblPrEx>
        <w:trPr>
          <w:trHeight w:val="825" w:hRule="atLeast"/>
        </w:trPr>
        <w:tc>
          <w:tcPr>
            <w:tcW w:w="708" w:type="pct"/>
            <w:vMerge w:val="continue"/>
            <w:tcBorders>
              <w:top w:val="nil"/>
              <w:left w:val="single" w:color="auto" w:sz="4"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left w:val="single" w:color="auto" w:sz="4" w:space="0"/>
              <w:bottom w:val="single" w:color="000000" w:sz="8" w:space="0"/>
              <w:right w:val="single" w:color="000000" w:sz="8" w:space="0"/>
            </w:tcBorders>
            <w:shd w:val="clear" w:color="auto" w:fill="auto"/>
            <w:noWrap/>
            <w:vAlign w:val="center"/>
          </w:tcPr>
          <w:p>
            <w:pPr>
              <w:rPr>
                <w:rFonts w:ascii="宋体" w:hAnsi="宋体" w:eastAsia="宋体" w:cs="宋体"/>
                <w:color w:val="000000"/>
                <w:sz w:val="22"/>
                <w:szCs w:val="22"/>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spacing w:line="280" w:lineRule="exact"/>
              <w:jc w:val="center"/>
              <w:rPr>
                <w:rFonts w:ascii="宋体" w:hAnsi="宋体" w:eastAsia="宋体" w:cs="宋体"/>
                <w:kern w:val="0"/>
                <w:szCs w:val="21"/>
              </w:rPr>
            </w:pPr>
            <w:r>
              <w:rPr>
                <w:rFonts w:hint="eastAsia" w:ascii="宋体" w:hAnsi="宋体" w:eastAsia="宋体" w:cs="宋体"/>
                <w:kern w:val="0"/>
                <w:szCs w:val="21"/>
              </w:rPr>
              <w:t>委托代理人</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spacing w:line="280" w:lineRule="exact"/>
              <w:jc w:val="left"/>
              <w:rPr>
                <w:rFonts w:ascii="宋体" w:hAnsi="宋体" w:eastAsia="宋体" w:cs="宋体"/>
                <w:kern w:val="0"/>
                <w:szCs w:val="21"/>
              </w:rPr>
            </w:pPr>
            <w:r>
              <w:rPr>
                <w:rFonts w:hint="eastAsia" w:ascii="宋体" w:hAnsi="宋体" w:eastAsia="宋体" w:cs="宋体"/>
                <w:kern w:val="0"/>
                <w:szCs w:val="21"/>
              </w:rPr>
              <w:t>比选申请人法定代表人的委托代理人有法定代表人签署的授权委托书。（如法人参加则不需提供）</w:t>
            </w:r>
          </w:p>
        </w:tc>
      </w:tr>
      <w:tr>
        <w:tblPrEx>
          <w:tblCellMar>
            <w:top w:w="0" w:type="dxa"/>
            <w:left w:w="108" w:type="dxa"/>
            <w:bottom w:w="0" w:type="dxa"/>
            <w:right w:w="108" w:type="dxa"/>
          </w:tblCellMar>
        </w:tblPrEx>
        <w:trPr>
          <w:trHeight w:val="555" w:hRule="atLeast"/>
        </w:trPr>
        <w:tc>
          <w:tcPr>
            <w:tcW w:w="7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w:t>
            </w:r>
          </w:p>
        </w:tc>
        <w:tc>
          <w:tcPr>
            <w:tcW w:w="1432"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资格评审标准</w:t>
            </w: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资质要求</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符合“</w:t>
            </w:r>
            <w:r>
              <w:rPr>
                <w:rFonts w:hint="eastAsia" w:ascii="宋体" w:hAnsi="宋体" w:cs="宋体"/>
                <w:color w:val="000000"/>
                <w:kern w:val="0"/>
                <w:szCs w:val="21"/>
              </w:rPr>
              <w:t>竞选人</w:t>
            </w:r>
            <w:r>
              <w:rPr>
                <w:rFonts w:hint="eastAsia" w:ascii="宋体" w:hAnsi="宋体" w:eastAsia="宋体" w:cs="宋体"/>
                <w:color w:val="000000"/>
                <w:kern w:val="0"/>
                <w:szCs w:val="21"/>
              </w:rPr>
              <w:t>资格要求”的规定。</w:t>
            </w:r>
          </w:p>
        </w:tc>
      </w:tr>
      <w:tr>
        <w:tblPrEx>
          <w:tblCellMar>
            <w:top w:w="0" w:type="dxa"/>
            <w:left w:w="108" w:type="dxa"/>
            <w:bottom w:w="0" w:type="dxa"/>
            <w:right w:w="108" w:type="dxa"/>
          </w:tblCellMar>
        </w:tblPrEx>
        <w:trPr>
          <w:trHeight w:val="555"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业绩要求</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符合“</w:t>
            </w:r>
            <w:r>
              <w:rPr>
                <w:rFonts w:hint="eastAsia" w:ascii="宋体" w:hAnsi="宋体" w:cs="宋体"/>
                <w:color w:val="000000"/>
                <w:kern w:val="0"/>
                <w:szCs w:val="21"/>
              </w:rPr>
              <w:t>竞选人</w:t>
            </w:r>
            <w:r>
              <w:rPr>
                <w:rFonts w:hint="eastAsia" w:ascii="宋体" w:hAnsi="宋体" w:eastAsia="宋体" w:cs="宋体"/>
                <w:color w:val="000000"/>
                <w:kern w:val="0"/>
                <w:szCs w:val="21"/>
              </w:rPr>
              <w:t>资格要求”的规定。</w:t>
            </w:r>
          </w:p>
        </w:tc>
      </w:tr>
      <w:tr>
        <w:tblPrEx>
          <w:tblCellMar>
            <w:top w:w="0" w:type="dxa"/>
            <w:left w:w="108" w:type="dxa"/>
            <w:bottom w:w="0" w:type="dxa"/>
            <w:right w:w="108" w:type="dxa"/>
          </w:tblCellMar>
        </w:tblPrEx>
        <w:trPr>
          <w:trHeight w:val="570"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信誉及其他要求</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符合“</w:t>
            </w:r>
            <w:r>
              <w:rPr>
                <w:rFonts w:hint="eastAsia" w:ascii="宋体" w:hAnsi="宋体" w:cs="宋体"/>
                <w:color w:val="000000"/>
                <w:kern w:val="0"/>
                <w:szCs w:val="21"/>
              </w:rPr>
              <w:t>竞选人</w:t>
            </w:r>
            <w:r>
              <w:rPr>
                <w:rFonts w:hint="eastAsia" w:ascii="宋体" w:hAnsi="宋体" w:eastAsia="宋体" w:cs="宋体"/>
                <w:color w:val="000000"/>
                <w:kern w:val="0"/>
                <w:szCs w:val="21"/>
              </w:rPr>
              <w:t>资格要求”的规定。</w:t>
            </w:r>
          </w:p>
        </w:tc>
      </w:tr>
      <w:tr>
        <w:tblPrEx>
          <w:tblCellMar>
            <w:top w:w="0" w:type="dxa"/>
            <w:left w:w="108" w:type="dxa"/>
            <w:bottom w:w="0" w:type="dxa"/>
            <w:right w:w="108" w:type="dxa"/>
          </w:tblCellMar>
        </w:tblPrEx>
        <w:trPr>
          <w:trHeight w:val="310" w:hRule="atLeast"/>
        </w:trPr>
        <w:tc>
          <w:tcPr>
            <w:tcW w:w="7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7.3</w:t>
            </w:r>
          </w:p>
        </w:tc>
        <w:tc>
          <w:tcPr>
            <w:tcW w:w="1432"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响应性评审标准</w:t>
            </w: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比选内容</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符合竞争性比选文件的规定。</w:t>
            </w:r>
          </w:p>
        </w:tc>
      </w:tr>
      <w:tr>
        <w:tblPrEx>
          <w:tblCellMar>
            <w:top w:w="0" w:type="dxa"/>
            <w:left w:w="108" w:type="dxa"/>
            <w:bottom w:w="0" w:type="dxa"/>
            <w:right w:w="108" w:type="dxa"/>
          </w:tblCellMar>
        </w:tblPrEx>
        <w:trPr>
          <w:trHeight w:val="310"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工期</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符合竞争性比选文件的规定。</w:t>
            </w:r>
          </w:p>
        </w:tc>
      </w:tr>
      <w:tr>
        <w:tblPrEx>
          <w:tblCellMar>
            <w:top w:w="0" w:type="dxa"/>
            <w:left w:w="108" w:type="dxa"/>
            <w:bottom w:w="0" w:type="dxa"/>
            <w:right w:w="108" w:type="dxa"/>
          </w:tblCellMar>
        </w:tblPrEx>
        <w:trPr>
          <w:trHeight w:val="2175"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竞标报价</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在报价函上填写了竞标总报价（包括大写金额和小写金额），且报价唯一，</w:t>
            </w:r>
            <w:r>
              <w:rPr>
                <w:rStyle w:val="35"/>
                <w:rFonts w:hint="default"/>
              </w:rPr>
              <w:t>竞选人的竞标总报价及单价报价均不得超过相应竞标总限价及单价限价，其中维护费为固定费用不得修改比选人给出的数据。</w:t>
            </w:r>
          </w:p>
        </w:tc>
      </w:tr>
      <w:tr>
        <w:tblPrEx>
          <w:tblCellMar>
            <w:top w:w="0" w:type="dxa"/>
            <w:left w:w="108" w:type="dxa"/>
            <w:bottom w:w="0" w:type="dxa"/>
            <w:right w:w="108" w:type="dxa"/>
          </w:tblCellMar>
        </w:tblPrEx>
        <w:trPr>
          <w:trHeight w:val="570"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实质性要求</w:t>
            </w:r>
          </w:p>
        </w:tc>
        <w:tc>
          <w:tcPr>
            <w:tcW w:w="2146" w:type="pct"/>
            <w:gridSpan w:val="2"/>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符合比选文件中规定的其他实质性要求。</w:t>
            </w:r>
          </w:p>
        </w:tc>
      </w:tr>
      <w:tr>
        <w:tblPrEx>
          <w:tblCellMar>
            <w:top w:w="0" w:type="dxa"/>
            <w:left w:w="108" w:type="dxa"/>
            <w:bottom w:w="0" w:type="dxa"/>
            <w:right w:w="108" w:type="dxa"/>
          </w:tblCellMar>
        </w:tblPrEx>
        <w:trPr>
          <w:trHeight w:val="310"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其他要求</w:t>
            </w:r>
          </w:p>
        </w:tc>
        <w:tc>
          <w:tcPr>
            <w:tcW w:w="2146" w:type="pct"/>
            <w:gridSpan w:val="2"/>
            <w:tcBorders>
              <w:top w:val="nil"/>
              <w:left w:val="single" w:color="000000" w:sz="8" w:space="0"/>
              <w:bottom w:val="single" w:color="auto"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cs="宋体"/>
                <w:color w:val="000000"/>
                <w:kern w:val="0"/>
                <w:szCs w:val="21"/>
              </w:rPr>
              <w:t>竞选人</w:t>
            </w:r>
            <w:r>
              <w:rPr>
                <w:rFonts w:hint="eastAsia" w:ascii="宋体" w:hAnsi="宋体" w:eastAsia="宋体" w:cs="宋体"/>
                <w:color w:val="000000"/>
                <w:kern w:val="0"/>
                <w:szCs w:val="21"/>
              </w:rPr>
              <w:t>未提供虚假资料。</w:t>
            </w:r>
          </w:p>
        </w:tc>
      </w:tr>
      <w:tr>
        <w:tblPrEx>
          <w:tblCellMar>
            <w:top w:w="0" w:type="dxa"/>
            <w:left w:w="108" w:type="dxa"/>
            <w:bottom w:w="0" w:type="dxa"/>
            <w:right w:w="108" w:type="dxa"/>
          </w:tblCellMar>
        </w:tblPrEx>
        <w:trPr>
          <w:trHeight w:val="555" w:hRule="atLeast"/>
        </w:trPr>
        <w:tc>
          <w:tcPr>
            <w:tcW w:w="7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7.4</w:t>
            </w:r>
          </w:p>
        </w:tc>
        <w:tc>
          <w:tcPr>
            <w:tcW w:w="1432"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详细评审标准</w:t>
            </w:r>
          </w:p>
        </w:tc>
        <w:tc>
          <w:tcPr>
            <w:tcW w:w="712" w:type="pct"/>
            <w:tcBorders>
              <w:top w:val="nil"/>
              <w:left w:val="single" w:color="000000" w:sz="8" w:space="0"/>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分值构成</w:t>
            </w:r>
          </w:p>
        </w:tc>
        <w:tc>
          <w:tcPr>
            <w:tcW w:w="2146" w:type="pct"/>
            <w:gridSpan w:val="2"/>
            <w:tcBorders>
              <w:top w:val="single" w:color="auto" w:sz="8" w:space="0"/>
              <w:left w:val="single" w:color="auto" w:sz="8" w:space="0"/>
              <w:bottom w:val="nil"/>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评审因素 </w:t>
            </w:r>
            <w:r>
              <w:rPr>
                <w:rStyle w:val="35"/>
                <w:rFonts w:hint="default"/>
              </w:rPr>
              <w:t xml:space="preserve">                               评分值</w:t>
            </w:r>
          </w:p>
        </w:tc>
      </w:tr>
      <w:tr>
        <w:tblPrEx>
          <w:tblCellMar>
            <w:top w:w="0" w:type="dxa"/>
            <w:left w:w="108" w:type="dxa"/>
            <w:bottom w:w="0" w:type="dxa"/>
            <w:right w:w="108" w:type="dxa"/>
          </w:tblCellMar>
        </w:tblPrEx>
        <w:trPr>
          <w:trHeight w:val="570"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（总分100分）</w:t>
            </w:r>
          </w:p>
        </w:tc>
        <w:tc>
          <w:tcPr>
            <w:tcW w:w="2146" w:type="pct"/>
            <w:gridSpan w:val="2"/>
            <w:tcBorders>
              <w:top w:val="nil"/>
              <w:left w:val="single" w:color="auto" w:sz="8" w:space="0"/>
              <w:bottom w:val="nil"/>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（一）竞标报价：                            </w:t>
            </w:r>
            <w:r>
              <w:rPr>
                <w:rFonts w:hint="eastAsia" w:ascii="宋体" w:hAnsi="宋体" w:cs="宋体"/>
                <w:color w:val="000000"/>
                <w:kern w:val="0"/>
                <w:szCs w:val="21"/>
              </w:rPr>
              <w:t>5</w:t>
            </w:r>
            <w:r>
              <w:rPr>
                <w:rStyle w:val="36"/>
                <w:rFonts w:hint="default"/>
              </w:rPr>
              <w:t>0分</w:t>
            </w:r>
          </w:p>
        </w:tc>
      </w:tr>
      <w:tr>
        <w:tblPrEx>
          <w:tblCellMar>
            <w:top w:w="0" w:type="dxa"/>
            <w:left w:w="108" w:type="dxa"/>
            <w:bottom w:w="0" w:type="dxa"/>
            <w:right w:w="108" w:type="dxa"/>
          </w:tblCellMar>
        </w:tblPrEx>
        <w:trPr>
          <w:trHeight w:val="570"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nil"/>
              <w:right w:val="single" w:color="auto" w:sz="8" w:space="0"/>
            </w:tcBorders>
            <w:shd w:val="clear" w:color="auto" w:fill="auto"/>
            <w:vAlign w:val="center"/>
          </w:tcPr>
          <w:p>
            <w:pPr>
              <w:jc w:val="center"/>
              <w:rPr>
                <w:rFonts w:ascii="宋体" w:hAnsi="宋体" w:eastAsia="宋体" w:cs="宋体"/>
                <w:color w:val="000000"/>
                <w:szCs w:val="21"/>
              </w:rPr>
            </w:pPr>
          </w:p>
        </w:tc>
        <w:tc>
          <w:tcPr>
            <w:tcW w:w="2146" w:type="pct"/>
            <w:gridSpan w:val="2"/>
            <w:tcBorders>
              <w:top w:val="nil"/>
              <w:left w:val="single" w:color="auto" w:sz="8" w:space="0"/>
              <w:bottom w:val="nil"/>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（二）技术得分：</w:t>
            </w:r>
            <w:r>
              <w:rPr>
                <w:rStyle w:val="38"/>
                <w:rFonts w:hint="default"/>
              </w:rPr>
              <w:t xml:space="preserve">                        2</w:t>
            </w:r>
            <w:r>
              <w:rPr>
                <w:rStyle w:val="39"/>
                <w:rFonts w:hint="default"/>
              </w:rPr>
              <w:t>0分</w:t>
            </w:r>
          </w:p>
        </w:tc>
      </w:tr>
      <w:tr>
        <w:tblPrEx>
          <w:tblCellMar>
            <w:top w:w="0" w:type="dxa"/>
            <w:left w:w="108" w:type="dxa"/>
            <w:bottom w:w="0" w:type="dxa"/>
            <w:right w:w="108" w:type="dxa"/>
          </w:tblCellMar>
        </w:tblPrEx>
        <w:trPr>
          <w:trHeight w:val="555" w:hRule="atLeast"/>
        </w:trPr>
        <w:tc>
          <w:tcPr>
            <w:tcW w:w="708"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43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2" w:type="pct"/>
            <w:tcBorders>
              <w:top w:val="nil"/>
              <w:left w:val="single" w:color="000000" w:sz="8" w:space="0"/>
              <w:bottom w:val="single" w:color="000000" w:sz="8" w:space="0"/>
              <w:right w:val="single" w:color="auto" w:sz="8" w:space="0"/>
            </w:tcBorders>
            <w:shd w:val="clear" w:color="auto" w:fill="auto"/>
            <w:noWrap/>
            <w:vAlign w:val="center"/>
          </w:tcPr>
          <w:p>
            <w:pPr>
              <w:rPr>
                <w:rFonts w:ascii="宋体" w:hAnsi="宋体" w:eastAsia="宋体" w:cs="宋体"/>
                <w:color w:val="000000"/>
                <w:sz w:val="22"/>
                <w:szCs w:val="22"/>
              </w:rPr>
            </w:pPr>
          </w:p>
        </w:tc>
        <w:tc>
          <w:tcPr>
            <w:tcW w:w="2146" w:type="pct"/>
            <w:gridSpan w:val="2"/>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（三）商务得分：</w:t>
            </w:r>
            <w:r>
              <w:rPr>
                <w:rStyle w:val="38"/>
                <w:rFonts w:hint="default"/>
              </w:rPr>
              <w:t xml:space="preserve">                        3</w:t>
            </w:r>
            <w:r>
              <w:rPr>
                <w:rStyle w:val="39"/>
                <w:rFonts w:hint="default"/>
              </w:rPr>
              <w:t>0分</w:t>
            </w:r>
          </w:p>
        </w:tc>
      </w:tr>
      <w:tr>
        <w:tblPrEx>
          <w:tblCellMar>
            <w:top w:w="0" w:type="dxa"/>
            <w:left w:w="108" w:type="dxa"/>
            <w:bottom w:w="0" w:type="dxa"/>
            <w:right w:w="108" w:type="dxa"/>
          </w:tblCellMar>
        </w:tblPrEx>
        <w:trPr>
          <w:trHeight w:val="555" w:hRule="atLeast"/>
        </w:trPr>
        <w:tc>
          <w:tcPr>
            <w:tcW w:w="2140" w:type="pct"/>
            <w:gridSpan w:val="3"/>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无效竞标条款</w:t>
            </w: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发生以下任意一情形的，作否决竞标处理：</w:t>
            </w: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hint="eastAsia" w:ascii="宋体" w:hAnsi="宋体" w:cs="宋体"/>
                <w:color w:val="000000"/>
                <w:kern w:val="0"/>
                <w:szCs w:val="21"/>
              </w:rPr>
              <w:t>竞选人</w:t>
            </w:r>
            <w:r>
              <w:rPr>
                <w:rFonts w:hint="eastAsia" w:ascii="宋体" w:hAnsi="宋体" w:eastAsia="宋体" w:cs="宋体"/>
                <w:color w:val="000000"/>
                <w:kern w:val="0"/>
                <w:szCs w:val="21"/>
              </w:rPr>
              <w:t>拒绝确认算术性修正后的报价；</w:t>
            </w:r>
          </w:p>
        </w:tc>
      </w:tr>
      <w:tr>
        <w:tblPrEx>
          <w:tblCellMar>
            <w:top w:w="0" w:type="dxa"/>
            <w:left w:w="108" w:type="dxa"/>
            <w:bottom w:w="0" w:type="dxa"/>
            <w:right w:w="108" w:type="dxa"/>
          </w:tblCellMar>
        </w:tblPrEx>
        <w:trPr>
          <w:trHeight w:val="310"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（2）竞标报价单价超过最高单价限价；</w:t>
            </w:r>
          </w:p>
        </w:tc>
      </w:tr>
      <w:tr>
        <w:tblPrEx>
          <w:tblCellMar>
            <w:top w:w="0" w:type="dxa"/>
            <w:left w:w="108" w:type="dxa"/>
            <w:bottom w:w="0" w:type="dxa"/>
            <w:right w:w="108" w:type="dxa"/>
          </w:tblCellMar>
        </w:tblPrEx>
        <w:trPr>
          <w:trHeight w:val="310"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（3）经修正后的最终竞标报价超过最高总价限价；</w:t>
            </w: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（4）未按照比选文件要求参加此次比选的；</w:t>
            </w:r>
          </w:p>
        </w:tc>
      </w:tr>
      <w:tr>
        <w:tblPrEx>
          <w:tblCellMar>
            <w:top w:w="0" w:type="dxa"/>
            <w:left w:w="108" w:type="dxa"/>
            <w:bottom w:w="0" w:type="dxa"/>
            <w:right w:w="108" w:type="dxa"/>
          </w:tblCellMar>
        </w:tblPrEx>
        <w:trPr>
          <w:trHeight w:val="310" w:hRule="atLeast"/>
        </w:trPr>
        <w:tc>
          <w:tcPr>
            <w:tcW w:w="2140" w:type="pct"/>
            <w:gridSpan w:val="3"/>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视为</w:t>
            </w:r>
            <w:r>
              <w:rPr>
                <w:rFonts w:hint="eastAsia" w:ascii="宋体" w:hAnsi="宋体" w:cs="宋体"/>
                <w:color w:val="000000"/>
                <w:kern w:val="0"/>
                <w:szCs w:val="21"/>
              </w:rPr>
              <w:t>竞选人</w:t>
            </w:r>
            <w:r>
              <w:rPr>
                <w:rFonts w:hint="eastAsia" w:ascii="宋体" w:hAnsi="宋体" w:eastAsia="宋体" w:cs="宋体"/>
                <w:color w:val="000000"/>
                <w:kern w:val="0"/>
                <w:szCs w:val="21"/>
              </w:rPr>
              <w:t>相互串通竞标的情形</w:t>
            </w: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有下列情况之一的，做否决竞标处理。</w:t>
            </w: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 </w:t>
            </w:r>
            <w:r>
              <w:rPr>
                <w:rStyle w:val="35"/>
                <w:rFonts w:hint="default"/>
              </w:rPr>
              <w:t>不同竞选人的竞争性比选申请文件由同一单位或者个人编制；</w:t>
            </w: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 </w:t>
            </w:r>
            <w:r>
              <w:rPr>
                <w:rStyle w:val="35"/>
                <w:rFonts w:hint="default"/>
              </w:rPr>
              <w:t>不同竞选人委托同一单位或者个人办理竞标事宜；</w:t>
            </w: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（3） </w:t>
            </w:r>
            <w:r>
              <w:rPr>
                <w:rStyle w:val="35"/>
                <w:rFonts w:hint="default"/>
              </w:rPr>
              <w:t>不同竞选人的竞争性比选申请文件载明的项目管理成员为同一人；</w:t>
            </w:r>
          </w:p>
        </w:tc>
      </w:tr>
      <w:tr>
        <w:tblPrEx>
          <w:tblCellMar>
            <w:top w:w="0" w:type="dxa"/>
            <w:left w:w="108" w:type="dxa"/>
            <w:bottom w:w="0" w:type="dxa"/>
            <w:right w:w="108" w:type="dxa"/>
          </w:tblCellMar>
        </w:tblPrEx>
        <w:trPr>
          <w:trHeight w:val="82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 </w:t>
            </w:r>
            <w:r>
              <w:rPr>
                <w:rStyle w:val="35"/>
                <w:rFonts w:hint="default"/>
              </w:rPr>
              <w:t>不同竞选人的竞争性比选申请文件异常一致或者竞标报价呈规律性差异；</w:t>
            </w:r>
          </w:p>
        </w:tc>
      </w:tr>
      <w:tr>
        <w:tblPrEx>
          <w:tblCellMar>
            <w:top w:w="0" w:type="dxa"/>
            <w:left w:w="108" w:type="dxa"/>
            <w:bottom w:w="0" w:type="dxa"/>
            <w:right w:w="108" w:type="dxa"/>
          </w:tblCellMar>
        </w:tblPrEx>
        <w:trPr>
          <w:trHeight w:val="555"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 </w:t>
            </w:r>
            <w:r>
              <w:rPr>
                <w:rStyle w:val="35"/>
                <w:rFonts w:hint="default"/>
              </w:rPr>
              <w:t>不同竞选人的竞争性比选申请文件相互混装；</w:t>
            </w:r>
          </w:p>
        </w:tc>
      </w:tr>
      <w:tr>
        <w:tblPrEx>
          <w:tblCellMar>
            <w:top w:w="0" w:type="dxa"/>
            <w:left w:w="108" w:type="dxa"/>
            <w:bottom w:w="0" w:type="dxa"/>
            <w:right w:w="108" w:type="dxa"/>
          </w:tblCellMar>
        </w:tblPrEx>
        <w:trPr>
          <w:trHeight w:val="310"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2140"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r>
      <w:tr>
        <w:tblPrEx>
          <w:tblCellMar>
            <w:top w:w="0" w:type="dxa"/>
            <w:left w:w="108" w:type="dxa"/>
            <w:bottom w:w="0" w:type="dxa"/>
            <w:right w:w="108" w:type="dxa"/>
          </w:tblCellMar>
        </w:tblPrEx>
        <w:trPr>
          <w:trHeight w:val="310" w:hRule="atLeast"/>
        </w:trPr>
        <w:tc>
          <w:tcPr>
            <w:tcW w:w="1425"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7.5.1</w:t>
            </w:r>
          </w:p>
        </w:tc>
        <w:tc>
          <w:tcPr>
            <w:tcW w:w="71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竞标报价得分（</w:t>
            </w:r>
            <w:r>
              <w:rPr>
                <w:rFonts w:hint="eastAsia" w:ascii="宋体" w:hAnsi="宋体" w:cs="宋体"/>
                <w:color w:val="000000"/>
                <w:kern w:val="0"/>
                <w:szCs w:val="21"/>
              </w:rPr>
              <w:t>5</w:t>
            </w:r>
            <w:r>
              <w:rPr>
                <w:rFonts w:hint="eastAsia" w:ascii="宋体" w:hAnsi="宋体" w:eastAsia="宋体" w:cs="宋体"/>
                <w:color w:val="000000"/>
                <w:kern w:val="0"/>
                <w:szCs w:val="21"/>
              </w:rPr>
              <w:t>0分）</w:t>
            </w:r>
          </w:p>
        </w:tc>
        <w:tc>
          <w:tcPr>
            <w:tcW w:w="2859" w:type="pct"/>
            <w:gridSpan w:val="3"/>
            <w:tcBorders>
              <w:top w:val="single" w:color="000000" w:sz="8" w:space="0"/>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A、</w:t>
            </w:r>
            <w:r>
              <w:rPr>
                <w:rStyle w:val="35"/>
                <w:rFonts w:hint="default"/>
              </w:rPr>
              <w:t>报价得分按照单价进行计算，计算程序如下：</w:t>
            </w:r>
          </w:p>
        </w:tc>
      </w:tr>
      <w:tr>
        <w:tblPrEx>
          <w:tblCellMar>
            <w:top w:w="0" w:type="dxa"/>
            <w:left w:w="108" w:type="dxa"/>
            <w:bottom w:w="0" w:type="dxa"/>
            <w:right w:w="108" w:type="dxa"/>
          </w:tblCellMar>
        </w:tblPrEx>
        <w:trPr>
          <w:trHeight w:val="109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（1）有效报价的确定：未通过初步评审的报价按否决竞标处理，不进行后续评审，并且不参与本项目评标基准价的计算。</w:t>
            </w: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（2）报价基准价（D）的计算：</w:t>
            </w:r>
          </w:p>
        </w:tc>
      </w:tr>
      <w:tr>
        <w:tblPrEx>
          <w:tblCellMar>
            <w:top w:w="0" w:type="dxa"/>
            <w:left w:w="108" w:type="dxa"/>
            <w:bottom w:w="0" w:type="dxa"/>
            <w:right w:w="108" w:type="dxa"/>
          </w:tblCellMar>
        </w:tblPrEx>
        <w:trPr>
          <w:trHeight w:val="136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a、有效报价大于5家时：所有被宣读报价（应为经修正后的）在有效报价范围内的竞标报价，去掉一个最高报价和一个最低报价的算术平均值即为报价基准价（D）；</w:t>
            </w:r>
          </w:p>
        </w:tc>
      </w:tr>
      <w:tr>
        <w:tblPrEx>
          <w:tblCellMar>
            <w:top w:w="0" w:type="dxa"/>
            <w:left w:w="108" w:type="dxa"/>
            <w:bottom w:w="0" w:type="dxa"/>
            <w:right w:w="108" w:type="dxa"/>
          </w:tblCellMar>
        </w:tblPrEx>
        <w:trPr>
          <w:trHeight w:val="82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b、有效报价小于或等于5家时：所有被宣读报价在有效报价范围内的竞标报价的算术平均值即为报价基准价（D）；</w:t>
            </w:r>
          </w:p>
        </w:tc>
      </w:tr>
      <w:tr>
        <w:tblPrEx>
          <w:tblCellMar>
            <w:top w:w="0" w:type="dxa"/>
            <w:left w:w="108" w:type="dxa"/>
            <w:bottom w:w="0" w:type="dxa"/>
            <w:right w:w="108" w:type="dxa"/>
          </w:tblCellMar>
        </w:tblPrEx>
        <w:trPr>
          <w:trHeight w:val="109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（3）当</w:t>
            </w:r>
            <w:r>
              <w:rPr>
                <w:rFonts w:hint="eastAsia" w:ascii="宋体" w:hAnsi="宋体" w:cs="宋体"/>
                <w:color w:val="000000"/>
                <w:kern w:val="0"/>
                <w:szCs w:val="21"/>
              </w:rPr>
              <w:t>竞选人</w:t>
            </w:r>
            <w:r>
              <w:rPr>
                <w:rFonts w:hint="eastAsia" w:ascii="宋体" w:hAnsi="宋体" w:eastAsia="宋体" w:cs="宋体"/>
                <w:color w:val="000000"/>
                <w:kern w:val="0"/>
                <w:szCs w:val="21"/>
              </w:rPr>
              <w:t>的竞标报价等于D时得满分（30分），每高于D一个百分点扣0.4分，每低于D一个百分点扣0.2分，中间值按比例内插。</w:t>
            </w: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报价得分用公式表示如下：</w:t>
            </w: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bdr w:val="single" w:color="000000" w:sz="8"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81100" cy="26670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6"/>
                          <a:stretch>
                            <a:fillRect/>
                          </a:stretch>
                        </pic:blipFill>
                        <pic:spPr>
                          <a:xfrm>
                            <a:off x="0" y="0"/>
                            <a:ext cx="1181100" cy="2667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33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ind w:firstLine="420" w:firstLineChars="200"/>
              <w:textAlignment w:val="top"/>
              <w:rPr>
                <w:rFonts w:ascii="宋体" w:hAnsi="宋体" w:eastAsia="宋体" w:cs="宋体"/>
                <w:color w:val="000000"/>
                <w:szCs w:val="21"/>
              </w:rPr>
            </w:pPr>
            <w:r>
              <w:rPr>
                <w:rFonts w:hint="eastAsia" w:ascii="宋体" w:hAnsi="宋体" w:eastAsia="宋体" w:cs="宋体"/>
                <w:color w:val="000000"/>
                <w:kern w:val="0"/>
                <w:szCs w:val="21"/>
              </w:rPr>
              <w:t>公式中：F</w:t>
            </w:r>
            <w:r>
              <w:rPr>
                <w:rStyle w:val="40"/>
                <w:rFonts w:hint="default"/>
              </w:rPr>
              <w:t>1</w:t>
            </w:r>
            <w:r>
              <w:rPr>
                <w:rStyle w:val="35"/>
                <w:rFonts w:hint="default"/>
              </w:rPr>
              <w:t>=报价得分；</w:t>
            </w: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F=</w:t>
            </w:r>
            <w:r>
              <w:rPr>
                <w:rFonts w:hint="eastAsia" w:ascii="宋体" w:hAnsi="宋体" w:cs="宋体"/>
                <w:color w:val="000000"/>
                <w:kern w:val="0"/>
                <w:szCs w:val="21"/>
              </w:rPr>
              <w:t>5</w:t>
            </w: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33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D</w:t>
            </w:r>
            <w:r>
              <w:rPr>
                <w:rStyle w:val="40"/>
                <w:rFonts w:hint="default"/>
              </w:rPr>
              <w:t>1</w:t>
            </w:r>
            <w:r>
              <w:rPr>
                <w:rStyle w:val="35"/>
                <w:rFonts w:hint="default"/>
              </w:rPr>
              <w:t>=竞选人的报价；</w:t>
            </w:r>
          </w:p>
        </w:tc>
      </w:tr>
      <w:tr>
        <w:tblPrEx>
          <w:tblCellMar>
            <w:top w:w="0" w:type="dxa"/>
            <w:left w:w="108" w:type="dxa"/>
            <w:bottom w:w="0" w:type="dxa"/>
            <w:right w:w="108" w:type="dxa"/>
          </w:tblCellMar>
        </w:tblPrEx>
        <w:trPr>
          <w:trHeight w:val="310"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D=报价基准价。</w:t>
            </w:r>
          </w:p>
        </w:tc>
      </w:tr>
      <w:tr>
        <w:tblPrEx>
          <w:tblCellMar>
            <w:top w:w="0" w:type="dxa"/>
            <w:left w:w="108" w:type="dxa"/>
            <w:bottom w:w="0" w:type="dxa"/>
            <w:right w:w="108" w:type="dxa"/>
          </w:tblCellMar>
        </w:tblPrEx>
        <w:trPr>
          <w:trHeight w:val="605" w:hRule="atLeast"/>
        </w:trPr>
        <w:tc>
          <w:tcPr>
            <w:tcW w:w="142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2859" w:type="pct"/>
            <w:gridSpan w:val="3"/>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b/>
                <w:bCs/>
                <w:color w:val="000000"/>
                <w:szCs w:val="21"/>
              </w:rPr>
            </w:pPr>
            <w:r>
              <w:rPr>
                <w:rFonts w:hint="eastAsia" w:ascii="宋体" w:hAnsi="宋体" w:eastAsia="宋体" w:cs="宋体"/>
                <w:b/>
                <w:bCs/>
                <w:color w:val="000000"/>
                <w:kern w:val="0"/>
                <w:szCs w:val="21"/>
              </w:rPr>
              <w:t>若D</w:t>
            </w:r>
            <w:r>
              <w:rPr>
                <w:rStyle w:val="41"/>
                <w:rFonts w:hint="default"/>
              </w:rPr>
              <w:t>1</w:t>
            </w:r>
            <w:r>
              <w:rPr>
                <w:rStyle w:val="42"/>
                <w:rFonts w:hint="default"/>
              </w:rPr>
              <w:t>³D，则E=0.4；若D</w:t>
            </w:r>
            <w:r>
              <w:rPr>
                <w:rStyle w:val="41"/>
                <w:rFonts w:hint="default"/>
              </w:rPr>
              <w:t>1</w:t>
            </w:r>
            <w:r>
              <w:rPr>
                <w:rStyle w:val="42"/>
                <w:rFonts w:hint="default"/>
              </w:rPr>
              <w:t>&lt;D，则E=0.2</w:t>
            </w:r>
            <w:r>
              <w:rPr>
                <w:rStyle w:val="35"/>
                <w:rFonts w:hint="default"/>
              </w:rPr>
              <w:t>。</w:t>
            </w:r>
          </w:p>
        </w:tc>
      </w:tr>
      <w:tr>
        <w:tblPrEx>
          <w:tblCellMar>
            <w:top w:w="0" w:type="dxa"/>
            <w:left w:w="108" w:type="dxa"/>
            <w:bottom w:w="0" w:type="dxa"/>
            <w:right w:w="108" w:type="dxa"/>
          </w:tblCellMar>
        </w:tblPrEx>
        <w:trPr>
          <w:trHeight w:val="310" w:hRule="atLeast"/>
        </w:trPr>
        <w:tc>
          <w:tcPr>
            <w:tcW w:w="1425" w:type="pct"/>
            <w:gridSpan w:val="2"/>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条款号</w:t>
            </w:r>
          </w:p>
        </w:tc>
        <w:tc>
          <w:tcPr>
            <w:tcW w:w="715"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评审因素</w:t>
            </w:r>
          </w:p>
        </w:tc>
        <w:tc>
          <w:tcPr>
            <w:tcW w:w="2142" w:type="pct"/>
            <w:gridSpan w:val="2"/>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评审标准</w:t>
            </w:r>
          </w:p>
        </w:tc>
        <w:tc>
          <w:tcPr>
            <w:tcW w:w="717" w:type="pct"/>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730" w:hRule="atLeast"/>
        </w:trPr>
        <w:tc>
          <w:tcPr>
            <w:tcW w:w="1425" w:type="pct"/>
            <w:gridSpan w:val="2"/>
            <w:vMerge w:val="restart"/>
            <w:tcBorders>
              <w:top w:val="single" w:color="auto" w:sz="4" w:space="0"/>
              <w:left w:val="single" w:color="auto" w:sz="4"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7.5.2</w:t>
            </w:r>
          </w:p>
        </w:tc>
        <w:tc>
          <w:tcPr>
            <w:tcW w:w="715" w:type="pct"/>
            <w:vMerge w:val="restart"/>
            <w:tcBorders>
              <w:top w:val="single" w:color="auto" w:sz="4" w:space="0"/>
              <w:left w:val="single" w:color="000000" w:sz="8"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技术得分</w:t>
            </w:r>
          </w:p>
          <w:p>
            <w:pPr>
              <w:widowControl/>
              <w:jc w:val="center"/>
              <w:textAlignment w:val="center"/>
              <w:rPr>
                <w:rFonts w:ascii="宋体" w:hAnsi="宋体" w:eastAsia="宋体" w:cs="宋体"/>
                <w:b/>
                <w:bCs/>
                <w:color w:val="000000"/>
                <w:szCs w:val="21"/>
              </w:rPr>
            </w:pPr>
            <w:r>
              <w:rPr>
                <w:rFonts w:hint="eastAsia" w:ascii="宋体" w:hAnsi="宋体" w:cs="宋体"/>
                <w:b/>
                <w:bCs/>
                <w:color w:val="000000"/>
                <w:kern w:val="0"/>
                <w:szCs w:val="21"/>
              </w:rPr>
              <w:t>（</w:t>
            </w:r>
            <w:r>
              <w:rPr>
                <w:rFonts w:hint="eastAsia" w:ascii="宋体" w:hAnsi="宋体" w:cs="宋体"/>
                <w:color w:val="000000"/>
                <w:kern w:val="0"/>
                <w:szCs w:val="21"/>
              </w:rPr>
              <w:t>2</w:t>
            </w:r>
            <w:r>
              <w:rPr>
                <w:rFonts w:hint="eastAsia" w:ascii="宋体" w:hAnsi="宋体" w:eastAsia="宋体" w:cs="宋体"/>
                <w:color w:val="000000"/>
                <w:kern w:val="0"/>
                <w:szCs w:val="21"/>
              </w:rPr>
              <w:t>0分</w:t>
            </w:r>
            <w:r>
              <w:rPr>
                <w:rFonts w:hint="eastAsia" w:ascii="宋体" w:hAnsi="宋体" w:cs="宋体"/>
                <w:color w:val="000000"/>
                <w:kern w:val="0"/>
                <w:szCs w:val="21"/>
              </w:rPr>
              <w:t>）</w:t>
            </w:r>
          </w:p>
        </w:tc>
        <w:tc>
          <w:tcPr>
            <w:tcW w:w="2142" w:type="pct"/>
            <w:gridSpan w:val="2"/>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1.供货保障及现场安装技术支持方案</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竞选人根据比选人要求的供货周期提供供货计划倒排及现场安装技术支持方案，满分10分。</w:t>
            </w:r>
          </w:p>
          <w:p>
            <w:pPr>
              <w:widowControl/>
              <w:jc w:val="left"/>
              <w:textAlignment w:val="center"/>
              <w:rPr>
                <w:rFonts w:ascii="宋体" w:hAnsi="宋体" w:eastAsia="宋体" w:cs="宋体"/>
                <w:color w:val="000000"/>
                <w:szCs w:val="21"/>
              </w:rPr>
            </w:pPr>
          </w:p>
        </w:tc>
        <w:tc>
          <w:tcPr>
            <w:tcW w:w="717" w:type="pct"/>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方案内容应具备合理性、可行性、完整性。优秀得10-7分；一般得4-6分，较差或无方案得0-3分。</w:t>
            </w:r>
          </w:p>
        </w:tc>
      </w:tr>
      <w:tr>
        <w:tblPrEx>
          <w:tblCellMar>
            <w:top w:w="0" w:type="dxa"/>
            <w:left w:w="108" w:type="dxa"/>
            <w:bottom w:w="0" w:type="dxa"/>
            <w:right w:w="108" w:type="dxa"/>
          </w:tblCellMar>
        </w:tblPrEx>
        <w:trPr>
          <w:trHeight w:val="2452" w:hRule="atLeast"/>
        </w:trPr>
        <w:tc>
          <w:tcPr>
            <w:tcW w:w="1425" w:type="pct"/>
            <w:gridSpan w:val="2"/>
            <w:vMerge w:val="continue"/>
            <w:tcBorders>
              <w:left w:val="single" w:color="auto" w:sz="4" w:space="0"/>
              <w:bottom w:val="single" w:color="auto" w:sz="4" w:space="0"/>
              <w:right w:val="single" w:color="000000" w:sz="8" w:space="0"/>
            </w:tcBorders>
            <w:shd w:val="clear" w:color="auto" w:fill="auto"/>
            <w:vAlign w:val="center"/>
          </w:tcPr>
          <w:p>
            <w:pPr>
              <w:widowControl/>
              <w:textAlignment w:val="center"/>
              <w:rPr>
                <w:rFonts w:ascii="宋体" w:hAnsi="宋体" w:eastAsia="宋体" w:cs="宋体"/>
                <w:color w:val="000000"/>
                <w:kern w:val="0"/>
                <w:szCs w:val="21"/>
              </w:rPr>
            </w:pPr>
          </w:p>
        </w:tc>
        <w:tc>
          <w:tcPr>
            <w:tcW w:w="715" w:type="pct"/>
            <w:vMerge w:val="continue"/>
            <w:tcBorders>
              <w:left w:val="single" w:color="000000" w:sz="8"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Cs w:val="21"/>
              </w:rPr>
            </w:pPr>
          </w:p>
        </w:tc>
        <w:tc>
          <w:tcPr>
            <w:tcW w:w="2142" w:type="pct"/>
            <w:gridSpan w:val="2"/>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1、质保及售后服务方案</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对储能系统提供合理可行的设备质保和售后服务方案，方案至少包含质保、故障响应速度等内容，满分10分。</w:t>
            </w:r>
          </w:p>
          <w:p>
            <w:pPr>
              <w:widowControl/>
              <w:jc w:val="left"/>
              <w:textAlignment w:val="center"/>
              <w:rPr>
                <w:rFonts w:ascii="宋体" w:hAnsi="宋体" w:eastAsia="宋体" w:cs="宋体"/>
                <w:color w:val="000000"/>
                <w:szCs w:val="21"/>
              </w:rPr>
            </w:pPr>
          </w:p>
        </w:tc>
        <w:tc>
          <w:tcPr>
            <w:tcW w:w="717" w:type="pct"/>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方案内容应具备合理性、可行性、完整性。优秀得10-7分；一般得4-6分，较差或无方案得0-3分。</w:t>
            </w:r>
          </w:p>
        </w:tc>
      </w:tr>
      <w:tr>
        <w:tblPrEx>
          <w:tblCellMar>
            <w:top w:w="0" w:type="dxa"/>
            <w:left w:w="108" w:type="dxa"/>
            <w:bottom w:w="0" w:type="dxa"/>
            <w:right w:w="108" w:type="dxa"/>
          </w:tblCellMar>
        </w:tblPrEx>
        <w:trPr>
          <w:trHeight w:val="2544" w:hRule="atLeast"/>
        </w:trPr>
        <w:tc>
          <w:tcPr>
            <w:tcW w:w="1425" w:type="pct"/>
            <w:gridSpan w:val="2"/>
            <w:vMerge w:val="restart"/>
            <w:tcBorders>
              <w:top w:val="single" w:color="auto" w:sz="4"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7.8.3</w:t>
            </w:r>
          </w:p>
        </w:tc>
        <w:tc>
          <w:tcPr>
            <w:tcW w:w="715" w:type="pct"/>
            <w:vMerge w:val="restart"/>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商务得分</w:t>
            </w:r>
            <w:r>
              <w:rPr>
                <w:rFonts w:hint="eastAsia" w:ascii="宋体" w:hAnsi="宋体" w:cs="宋体"/>
                <w:b/>
                <w:bCs/>
                <w:color w:val="000000"/>
                <w:kern w:val="0"/>
                <w:szCs w:val="21"/>
              </w:rPr>
              <w:t>（</w:t>
            </w:r>
            <w:r>
              <w:rPr>
                <w:rFonts w:hint="eastAsia" w:ascii="宋体" w:hAnsi="宋体" w:cs="宋体"/>
                <w:color w:val="000000"/>
                <w:kern w:val="0"/>
                <w:szCs w:val="21"/>
              </w:rPr>
              <w:t>3</w:t>
            </w:r>
            <w:r>
              <w:rPr>
                <w:rFonts w:hint="eastAsia" w:ascii="宋体" w:hAnsi="宋体" w:eastAsia="宋体" w:cs="宋体"/>
                <w:color w:val="000000"/>
                <w:kern w:val="0"/>
                <w:szCs w:val="21"/>
              </w:rPr>
              <w:t>0分</w:t>
            </w:r>
            <w:r>
              <w:rPr>
                <w:rFonts w:hint="eastAsia" w:ascii="宋体" w:hAnsi="宋体" w:cs="宋体"/>
                <w:color w:val="000000"/>
                <w:kern w:val="0"/>
                <w:szCs w:val="21"/>
              </w:rPr>
              <w:t>）</w:t>
            </w:r>
          </w:p>
        </w:tc>
        <w:tc>
          <w:tcPr>
            <w:tcW w:w="2142" w:type="pct"/>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能在本比选文件要求的供货时间范围内供货，且能满足</w:t>
            </w:r>
            <w:r>
              <w:rPr>
                <w:rFonts w:hint="eastAsia" w:ascii="宋体" w:hAnsi="宋体" w:cs="宋体"/>
                <w:szCs w:val="21"/>
              </w:rPr>
              <w:t>安装完成并验收合格后付款的要求</w:t>
            </w:r>
            <w:r>
              <w:rPr>
                <w:rFonts w:hint="eastAsia" w:ascii="宋体" w:hAnsi="宋体" w:eastAsia="宋体" w:cs="宋体"/>
                <w:color w:val="000000"/>
                <w:kern w:val="0"/>
                <w:szCs w:val="21"/>
              </w:rPr>
              <w:t>。得</w:t>
            </w:r>
            <w:r>
              <w:rPr>
                <w:rFonts w:hint="eastAsia" w:ascii="宋体" w:hAnsi="宋体" w:cs="宋体"/>
                <w:color w:val="000000"/>
                <w:kern w:val="0"/>
                <w:szCs w:val="21"/>
              </w:rPr>
              <w:t>3</w:t>
            </w:r>
            <w:r>
              <w:rPr>
                <w:rFonts w:hint="eastAsia" w:ascii="宋体" w:hAnsi="宋体" w:eastAsia="宋体" w:cs="宋体"/>
                <w:color w:val="000000"/>
                <w:kern w:val="0"/>
                <w:szCs w:val="21"/>
              </w:rPr>
              <w:t>0分。</w:t>
            </w:r>
          </w:p>
        </w:tc>
        <w:tc>
          <w:tcPr>
            <w:tcW w:w="717" w:type="pct"/>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给出承诺函格式自拟</w:t>
            </w:r>
          </w:p>
        </w:tc>
      </w:tr>
      <w:tr>
        <w:tblPrEx>
          <w:tblCellMar>
            <w:top w:w="0" w:type="dxa"/>
            <w:left w:w="108" w:type="dxa"/>
            <w:bottom w:w="0" w:type="dxa"/>
            <w:right w:w="108" w:type="dxa"/>
          </w:tblCellMar>
        </w:tblPrEx>
        <w:trPr>
          <w:trHeight w:val="555" w:hRule="atLeast"/>
        </w:trPr>
        <w:tc>
          <w:tcPr>
            <w:tcW w:w="1425" w:type="pct"/>
            <w:gridSpan w:val="2"/>
            <w:vMerge w:val="restart"/>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7.5.3</w:t>
            </w:r>
          </w:p>
        </w:tc>
        <w:tc>
          <w:tcPr>
            <w:tcW w:w="715" w:type="pct"/>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评标结果</w:t>
            </w:r>
          </w:p>
        </w:tc>
        <w:tc>
          <w:tcPr>
            <w:tcW w:w="2859" w:type="pct"/>
            <w:gridSpan w:val="3"/>
            <w:tcBorders>
              <w:top w:val="single" w:color="auto" w:sz="8" w:space="0"/>
              <w:left w:val="single" w:color="000000" w:sz="8" w:space="0"/>
              <w:bottom w:val="single" w:color="auto" w:sz="4"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1、</w:t>
            </w:r>
            <w:r>
              <w:rPr>
                <w:rStyle w:val="35"/>
                <w:rFonts w:hint="default"/>
              </w:rPr>
              <w:t>以上评分最终得分均保留2位小数，按四舍五入原则进行。</w:t>
            </w:r>
          </w:p>
        </w:tc>
      </w:tr>
      <w:tr>
        <w:tblPrEx>
          <w:tblCellMar>
            <w:top w:w="0" w:type="dxa"/>
            <w:left w:w="108" w:type="dxa"/>
            <w:bottom w:w="0" w:type="dxa"/>
            <w:right w:w="108" w:type="dxa"/>
          </w:tblCellMar>
        </w:tblPrEx>
        <w:trPr>
          <w:trHeight w:val="1365" w:hRule="atLeast"/>
        </w:trPr>
        <w:tc>
          <w:tcPr>
            <w:tcW w:w="1425" w:type="pct"/>
            <w:gridSpan w:val="2"/>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000000" w:sz="8" w:space="0"/>
              <w:right w:val="single" w:color="auto" w:sz="4" w:space="0"/>
            </w:tcBorders>
            <w:shd w:val="clear" w:color="auto" w:fill="auto"/>
            <w:vAlign w:val="center"/>
          </w:tcPr>
          <w:p>
            <w:pPr>
              <w:rPr>
                <w:rFonts w:ascii="宋体" w:hAnsi="宋体" w:eastAsia="宋体" w:cs="宋体"/>
                <w:color w:val="000000"/>
                <w:szCs w:val="21"/>
              </w:rPr>
            </w:pPr>
          </w:p>
        </w:tc>
        <w:tc>
          <w:tcPr>
            <w:tcW w:w="2859" w:type="pct"/>
            <w:gridSpan w:val="3"/>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w:t>
            </w:r>
            <w:r>
              <w:rPr>
                <w:rStyle w:val="35"/>
                <w:rFonts w:hint="default"/>
              </w:rPr>
              <w:t>本项目评标采用综合评分法，对通过初步评审、详细评审的有效竞选人按照综合得分（技术得分+报价得分）由高到低先后顺序，依次推荐3名成交候选人。若不足3名，则只选取相应的数量。</w:t>
            </w:r>
          </w:p>
        </w:tc>
      </w:tr>
      <w:tr>
        <w:tblPrEx>
          <w:tblCellMar>
            <w:top w:w="0" w:type="dxa"/>
            <w:left w:w="108" w:type="dxa"/>
            <w:bottom w:w="0" w:type="dxa"/>
            <w:right w:w="108" w:type="dxa"/>
          </w:tblCellMar>
        </w:tblPrEx>
        <w:trPr>
          <w:trHeight w:val="1905" w:hRule="atLeast"/>
        </w:trPr>
        <w:tc>
          <w:tcPr>
            <w:tcW w:w="1425" w:type="pct"/>
            <w:gridSpan w:val="2"/>
            <w:vMerge w:val="continue"/>
            <w:tcBorders>
              <w:top w:val="nil"/>
              <w:left w:val="single" w:color="auto" w:sz="4" w:space="0"/>
              <w:bottom w:val="single" w:color="auto" w:sz="4"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nil"/>
              <w:left w:val="single" w:color="000000" w:sz="8"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c>
          <w:tcPr>
            <w:tcW w:w="2859" w:type="pct"/>
            <w:gridSpan w:val="3"/>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3、</w:t>
            </w:r>
            <w:r>
              <w:rPr>
                <w:rStyle w:val="35"/>
                <w:rFonts w:hint="default"/>
              </w:rPr>
              <w:t>如经过对所有竞选人的比选申请文件进行初步评审，导致有效竞选人不足三个的，评标委员会应当否决所有投标。但是有效竞选人的经济、商务等指标仍然具有市场竞争力，能够满足比选文件要求的，评标委员会可以继续评标并确定成交候选人。</w:t>
            </w:r>
          </w:p>
        </w:tc>
      </w:tr>
      <w:tr>
        <w:tblPrEx>
          <w:tblCellMar>
            <w:top w:w="0" w:type="dxa"/>
            <w:left w:w="108" w:type="dxa"/>
            <w:bottom w:w="0" w:type="dxa"/>
            <w:right w:w="108" w:type="dxa"/>
          </w:tblCellMar>
        </w:tblPrEx>
        <w:trPr>
          <w:trHeight w:val="555" w:hRule="atLeast"/>
        </w:trPr>
        <w:tc>
          <w:tcPr>
            <w:tcW w:w="1425" w:type="pct"/>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p>
        </w:tc>
        <w:tc>
          <w:tcPr>
            <w:tcW w:w="2859" w:type="pct"/>
            <w:gridSpan w:val="3"/>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4、</w:t>
            </w:r>
            <w:r>
              <w:rPr>
                <w:rStyle w:val="35"/>
                <w:rFonts w:hint="default"/>
              </w:rPr>
              <w:t>评标委员会完成评标后，应当向比选人提交书面比选报告。</w:t>
            </w:r>
          </w:p>
        </w:tc>
      </w:tr>
      <w:tr>
        <w:tblPrEx>
          <w:tblCellMar>
            <w:top w:w="0" w:type="dxa"/>
            <w:left w:w="108" w:type="dxa"/>
            <w:bottom w:w="0" w:type="dxa"/>
            <w:right w:w="108" w:type="dxa"/>
          </w:tblCellMar>
        </w:tblPrEx>
        <w:trPr>
          <w:trHeight w:val="1095" w:hRule="atLeast"/>
        </w:trPr>
        <w:tc>
          <w:tcPr>
            <w:tcW w:w="1425" w:type="pct"/>
            <w:gridSpan w:val="2"/>
            <w:vMerge w:val="continue"/>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15"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rPr>
                <w:rFonts w:ascii="宋体" w:hAnsi="宋体" w:eastAsia="宋体" w:cs="宋体"/>
                <w:color w:val="000000"/>
                <w:szCs w:val="21"/>
              </w:rPr>
            </w:pPr>
          </w:p>
        </w:tc>
        <w:tc>
          <w:tcPr>
            <w:tcW w:w="2859" w:type="pct"/>
            <w:gridSpan w:val="3"/>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5、</w:t>
            </w:r>
            <w:r>
              <w:rPr>
                <w:rStyle w:val="35"/>
                <w:rFonts w:hint="default"/>
              </w:rPr>
              <w:t>评标结果公示后竞选人如果对评标结果有异议，可向比选人进行投诉，比选人将根据实际情况确定此次比选结果是否有效。</w:t>
            </w:r>
          </w:p>
        </w:tc>
      </w:tr>
    </w:tbl>
    <w:p>
      <w:pPr>
        <w:rPr>
          <w:rFonts w:ascii="宋体" w:hAnsi="宋体" w:cs="宋体"/>
          <w:szCs w:val="21"/>
        </w:rPr>
      </w:pPr>
      <w:r>
        <w:rPr>
          <w:rFonts w:ascii="宋体" w:hAnsi="宋体" w:cs="宋体"/>
          <w:szCs w:val="21"/>
        </w:rPr>
        <w:br w:type="page"/>
      </w:r>
    </w:p>
    <w:p>
      <w:pPr>
        <w:numPr>
          <w:ilvl w:val="0"/>
          <w:numId w:val="1"/>
        </w:numPr>
        <w:spacing w:line="460" w:lineRule="exact"/>
        <w:rPr>
          <w:rFonts w:ascii="宋体" w:hAnsi="宋体"/>
          <w:b/>
          <w:sz w:val="32"/>
          <w:szCs w:val="32"/>
        </w:rPr>
      </w:pPr>
      <w:r>
        <w:rPr>
          <w:rFonts w:hint="eastAsia" w:ascii="宋体" w:hAnsi="宋体"/>
          <w:b/>
          <w:sz w:val="32"/>
          <w:szCs w:val="32"/>
        </w:rPr>
        <w:t>技术参数要求</w:t>
      </w:r>
    </w:p>
    <w:tbl>
      <w:tblPr>
        <w:tblStyle w:val="14"/>
        <w:tblW w:w="4999" w:type="pct"/>
        <w:tblInd w:w="0" w:type="dxa"/>
        <w:tblLayout w:type="autofit"/>
        <w:tblCellMar>
          <w:top w:w="0" w:type="dxa"/>
          <w:left w:w="108" w:type="dxa"/>
          <w:bottom w:w="0" w:type="dxa"/>
          <w:right w:w="108" w:type="dxa"/>
        </w:tblCellMar>
      </w:tblPr>
      <w:tblGrid>
        <w:gridCol w:w="2162"/>
        <w:gridCol w:w="3292"/>
        <w:gridCol w:w="3060"/>
      </w:tblGrid>
      <w:tr>
        <w:tblPrEx>
          <w:tblCellMar>
            <w:top w:w="0" w:type="dxa"/>
            <w:left w:w="108" w:type="dxa"/>
            <w:bottom w:w="0" w:type="dxa"/>
            <w:right w:w="108" w:type="dxa"/>
          </w:tblCellMar>
        </w:tblPrEx>
        <w:trPr>
          <w:trHeight w:val="280" w:hRule="atLeast"/>
        </w:trPr>
        <w:tc>
          <w:tcPr>
            <w:tcW w:w="1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highlight w:val="none"/>
              </w:rPr>
            </w:pPr>
            <w:r>
              <w:rPr>
                <w:rFonts w:hint="eastAsia" w:ascii="等线" w:hAnsi="等线" w:eastAsia="等线" w:cs="宋体"/>
                <w:b/>
                <w:bCs/>
                <w:color w:val="000000"/>
                <w:kern w:val="0"/>
                <w:sz w:val="22"/>
                <w:highlight w:val="none"/>
              </w:rPr>
              <w:t>项目</w:t>
            </w:r>
          </w:p>
        </w:tc>
        <w:tc>
          <w:tcPr>
            <w:tcW w:w="19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highlight w:val="none"/>
              </w:rPr>
            </w:pPr>
            <w:r>
              <w:rPr>
                <w:rFonts w:hint="eastAsia" w:ascii="等线" w:hAnsi="等线" w:eastAsia="等线" w:cs="宋体"/>
                <w:b/>
                <w:bCs/>
                <w:color w:val="000000"/>
                <w:kern w:val="0"/>
                <w:sz w:val="22"/>
                <w:highlight w:val="none"/>
              </w:rPr>
              <w:t>参数</w:t>
            </w:r>
          </w:p>
        </w:tc>
        <w:tc>
          <w:tcPr>
            <w:tcW w:w="17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竞选人保证值</w:t>
            </w:r>
          </w:p>
        </w:tc>
      </w:tr>
      <w:tr>
        <w:tblPrEx>
          <w:tblCellMar>
            <w:top w:w="0" w:type="dxa"/>
            <w:left w:w="108" w:type="dxa"/>
            <w:bottom w:w="0" w:type="dxa"/>
            <w:right w:w="108" w:type="dxa"/>
          </w:tblCellMar>
        </w:tblPrEx>
        <w:trPr>
          <w:trHeight w:val="28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0"/>
                <w:szCs w:val="20"/>
                <w:highlight w:val="none"/>
              </w:rPr>
            </w:pPr>
            <w:r>
              <w:rPr>
                <w:rFonts w:hint="eastAsia" w:ascii="等线" w:hAnsi="等线" w:eastAsia="等线" w:cs="宋体"/>
                <w:b/>
                <w:bCs/>
                <w:color w:val="000000"/>
                <w:kern w:val="0"/>
                <w:sz w:val="20"/>
                <w:szCs w:val="20"/>
                <w:highlight w:val="none"/>
              </w:rPr>
              <w:t>一、交流侧</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电压范围（V）</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AC380V±10%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频率（Hz）</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50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电流总谐波失真</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≤3%（额定功率时）</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功率因数</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ascii="等线" w:hAnsi="等线" w:eastAsia="等线" w:cs="宋体"/>
                <w:color w:val="000000"/>
                <w:kern w:val="0"/>
                <w:sz w:val="20"/>
                <w:szCs w:val="20"/>
                <w:highlight w:val="none"/>
              </w:rPr>
              <w:t>-</w:t>
            </w:r>
            <w:r>
              <w:rPr>
                <w:rFonts w:hint="eastAsia" w:ascii="等线" w:hAnsi="等线" w:eastAsia="等线" w:cs="宋体"/>
                <w:color w:val="000000"/>
                <w:kern w:val="0"/>
                <w:sz w:val="20"/>
                <w:szCs w:val="20"/>
                <w:highlight w:val="none"/>
              </w:rPr>
              <w:t xml:space="preserve">0.9 ~ 0.9 </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2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额定充放电功率（kW）</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4</w:t>
            </w:r>
            <w:r>
              <w:rPr>
                <w:rFonts w:ascii="等线" w:hAnsi="等线" w:eastAsia="等线" w:cs="宋体"/>
                <w:color w:val="000000"/>
                <w:kern w:val="0"/>
                <w:sz w:val="20"/>
                <w:szCs w:val="20"/>
                <w:highlight w:val="none"/>
              </w:rPr>
              <w:t>80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2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最大充放电功率（kW）</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4</w:t>
            </w:r>
            <w:r>
              <w:rPr>
                <w:rFonts w:ascii="等线" w:hAnsi="等线" w:eastAsia="等线" w:cs="宋体"/>
                <w:color w:val="000000"/>
                <w:kern w:val="0"/>
                <w:sz w:val="20"/>
                <w:szCs w:val="20"/>
                <w:highlight w:val="none"/>
              </w:rPr>
              <w:t>80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0"/>
                <w:szCs w:val="20"/>
                <w:highlight w:val="none"/>
              </w:rPr>
            </w:pPr>
            <w:r>
              <w:rPr>
                <w:rFonts w:hint="eastAsia" w:ascii="等线" w:hAnsi="等线" w:eastAsia="等线" w:cs="宋体"/>
                <w:b/>
                <w:bCs/>
                <w:color w:val="000000"/>
                <w:kern w:val="0"/>
                <w:sz w:val="20"/>
                <w:szCs w:val="20"/>
                <w:highlight w:val="none"/>
              </w:rPr>
              <w:t>二、电池侧</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电压范围（V）</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600~950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额定容量（KWh）</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≥200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0"/>
                <w:szCs w:val="20"/>
                <w:highlight w:val="none"/>
              </w:rPr>
            </w:pPr>
            <w:r>
              <w:rPr>
                <w:rFonts w:hint="eastAsia" w:ascii="等线" w:hAnsi="等线" w:eastAsia="等线" w:cs="宋体"/>
                <w:b/>
                <w:bCs/>
                <w:color w:val="000000"/>
                <w:kern w:val="0"/>
                <w:sz w:val="20"/>
                <w:szCs w:val="20"/>
                <w:highlight w:val="none"/>
              </w:rPr>
              <w:t>三、效率</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系统最大效率</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≥84%</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0"/>
                <w:szCs w:val="20"/>
                <w:highlight w:val="none"/>
              </w:rPr>
            </w:pPr>
            <w:r>
              <w:rPr>
                <w:rFonts w:hint="eastAsia" w:ascii="等线" w:hAnsi="等线" w:eastAsia="等线" w:cs="宋体"/>
                <w:b/>
                <w:bCs/>
                <w:color w:val="000000"/>
                <w:kern w:val="0"/>
                <w:sz w:val="20"/>
                <w:szCs w:val="20"/>
                <w:highlight w:val="none"/>
              </w:rPr>
              <w:t>四、充电桩参数</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显示方式</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7 寸触摸屏</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输出电压范围（V）</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200-1000（恒功率3</w:t>
            </w:r>
            <w:r>
              <w:rPr>
                <w:rFonts w:ascii="等线" w:hAnsi="等线" w:eastAsia="等线" w:cs="宋体"/>
                <w:color w:val="000000"/>
                <w:kern w:val="0"/>
                <w:sz w:val="20"/>
                <w:szCs w:val="20"/>
                <w:highlight w:val="none"/>
              </w:rPr>
              <w:t>00-1000</w:t>
            </w:r>
            <w:r>
              <w:rPr>
                <w:rFonts w:hint="eastAsia" w:ascii="等线" w:hAnsi="等线" w:eastAsia="等线" w:cs="宋体"/>
                <w:color w:val="000000"/>
                <w:kern w:val="0"/>
                <w:sz w:val="20"/>
                <w:szCs w:val="20"/>
                <w:highlight w:val="none"/>
              </w:rPr>
              <w:t>）</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输出最大电流（</w:t>
            </w:r>
            <w:r>
              <w:rPr>
                <w:rFonts w:ascii="等线" w:hAnsi="等线" w:eastAsia="等线" w:cs="宋体"/>
                <w:color w:val="000000"/>
                <w:kern w:val="0"/>
                <w:sz w:val="20"/>
                <w:szCs w:val="20"/>
                <w:highlight w:val="none"/>
              </w:rPr>
              <w:t>A）</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单枪最大2</w:t>
            </w:r>
            <w:r>
              <w:rPr>
                <w:rFonts w:ascii="等线" w:hAnsi="等线" w:eastAsia="等线" w:cs="宋体"/>
                <w:color w:val="000000"/>
                <w:kern w:val="0"/>
                <w:sz w:val="20"/>
                <w:szCs w:val="20"/>
                <w:highlight w:val="none"/>
              </w:rPr>
              <w:t>50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单台充电桩额定功率（kW）</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2</w:t>
            </w:r>
            <w:r>
              <w:rPr>
                <w:rFonts w:ascii="等线" w:hAnsi="等线" w:eastAsia="等线" w:cs="宋体"/>
                <w:color w:val="000000"/>
                <w:kern w:val="0"/>
                <w:sz w:val="20"/>
                <w:szCs w:val="20"/>
                <w:highlight w:val="none"/>
              </w:rPr>
              <w:t>40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单台充电桩最大功率（kW）</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2</w:t>
            </w:r>
            <w:r>
              <w:rPr>
                <w:rFonts w:ascii="等线" w:hAnsi="等线" w:eastAsia="等线" w:cs="宋体"/>
                <w:color w:val="000000"/>
                <w:kern w:val="0"/>
                <w:sz w:val="20"/>
                <w:szCs w:val="20"/>
                <w:highlight w:val="none"/>
              </w:rPr>
              <w:t>40</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0" w:hRule="atLeast"/>
        </w:trPr>
        <w:tc>
          <w:tcPr>
            <w:tcW w:w="5000"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b/>
                <w:bCs/>
                <w:color w:val="000000"/>
                <w:kern w:val="0"/>
                <w:sz w:val="20"/>
                <w:szCs w:val="20"/>
                <w:highlight w:val="none"/>
              </w:rPr>
              <w:t>五、基本参数</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环境温度范围</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-20~50°C</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相对湿度</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0~95%</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2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最高工作海拔（米）</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≥2000（100%AC输出）</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防护等级</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IP54以上</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冷却方式</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风冷</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80" w:hRule="atLeast"/>
        </w:trPr>
        <w:tc>
          <w:tcPr>
            <w:tcW w:w="12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通讯方式</w:t>
            </w:r>
          </w:p>
        </w:tc>
        <w:tc>
          <w:tcPr>
            <w:tcW w:w="1933"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highlight w:val="none"/>
              </w:rPr>
            </w:pPr>
            <w:r>
              <w:rPr>
                <w:rFonts w:hint="eastAsia" w:ascii="等线" w:hAnsi="等线" w:eastAsia="等线" w:cs="宋体"/>
                <w:color w:val="000000"/>
                <w:kern w:val="0"/>
                <w:sz w:val="20"/>
                <w:szCs w:val="20"/>
                <w:highlight w:val="none"/>
              </w:rPr>
              <w:t>以太网/4G(选配)</w:t>
            </w:r>
          </w:p>
        </w:tc>
        <w:tc>
          <w:tcPr>
            <w:tcW w:w="1797"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spacing w:line="460" w:lineRule="exact"/>
        <w:ind w:firstLine="420" w:firstLineChars="200"/>
        <w:outlineLvl w:val="0"/>
        <w:rPr>
          <w:rFonts w:ascii="宋体" w:hAnsi="宋体" w:cs="宋体"/>
          <w:szCs w:val="21"/>
        </w:rPr>
      </w:pPr>
      <w:r>
        <w:rPr>
          <w:rFonts w:hint="eastAsia" w:ascii="宋体" w:hAnsi="宋体" w:cs="宋体"/>
          <w:szCs w:val="21"/>
        </w:rPr>
        <w:t>竞选人需就所</w:t>
      </w:r>
      <w:r>
        <w:rPr>
          <w:rFonts w:ascii="宋体" w:hAnsi="宋体" w:cs="宋体"/>
          <w:szCs w:val="21"/>
        </w:rPr>
        <w:t>提供</w:t>
      </w:r>
      <w:r>
        <w:rPr>
          <w:rFonts w:hint="eastAsia" w:ascii="宋体" w:hAnsi="宋体" w:cs="宋体"/>
          <w:szCs w:val="21"/>
        </w:rPr>
        <w:t>的</w:t>
      </w:r>
      <w:r>
        <w:rPr>
          <w:rFonts w:ascii="宋体" w:hAnsi="宋体" w:cs="宋体"/>
          <w:szCs w:val="21"/>
        </w:rPr>
        <w:t>设备对应上表技术参数</w:t>
      </w:r>
      <w:r>
        <w:rPr>
          <w:rFonts w:hint="eastAsia" w:ascii="宋体" w:hAnsi="宋体" w:cs="宋体"/>
          <w:szCs w:val="21"/>
        </w:rPr>
        <w:t>进行填写并作为竞争性比选申请文件的附件</w:t>
      </w:r>
      <w:r>
        <w:rPr>
          <w:rFonts w:ascii="宋体" w:hAnsi="宋体" w:cs="宋体"/>
          <w:szCs w:val="21"/>
        </w:rPr>
        <w:t>；上述参数均为为强制性</w:t>
      </w:r>
      <w:r>
        <w:rPr>
          <w:rFonts w:hint="eastAsia" w:ascii="宋体" w:hAnsi="宋体" w:cs="宋体"/>
          <w:szCs w:val="21"/>
        </w:rPr>
        <w:t>最低</w:t>
      </w:r>
      <w:r>
        <w:rPr>
          <w:rFonts w:ascii="宋体" w:hAnsi="宋体" w:cs="宋体"/>
          <w:szCs w:val="21"/>
        </w:rPr>
        <w:t>要求，</w:t>
      </w:r>
      <w:r>
        <w:rPr>
          <w:rFonts w:hint="eastAsia" w:ascii="宋体" w:hAnsi="宋体" w:cs="宋体"/>
          <w:szCs w:val="21"/>
        </w:rPr>
        <w:t>低于上述要求或未提供</w:t>
      </w:r>
      <w:r>
        <w:rPr>
          <w:rFonts w:ascii="宋体" w:hAnsi="宋体" w:cs="宋体"/>
          <w:szCs w:val="21"/>
        </w:rPr>
        <w:t>的作废标处理。</w:t>
      </w:r>
    </w:p>
    <w:p>
      <w:pPr>
        <w:spacing w:line="460" w:lineRule="exact"/>
        <w:rPr>
          <w:rFonts w:ascii="宋体" w:hAnsi="宋体"/>
          <w:b/>
          <w:sz w:val="32"/>
          <w:szCs w:val="32"/>
        </w:rPr>
      </w:pPr>
      <w:r>
        <w:rPr>
          <w:rFonts w:hint="eastAsia" w:ascii="宋体" w:hAnsi="宋体"/>
          <w:b/>
          <w:sz w:val="32"/>
          <w:szCs w:val="32"/>
        </w:rPr>
        <w:t>九、报价须知</w:t>
      </w:r>
    </w:p>
    <w:p>
      <w:pPr>
        <w:spacing w:line="460" w:lineRule="exact"/>
        <w:ind w:firstLine="420" w:firstLineChars="200"/>
        <w:outlineLvl w:val="0"/>
        <w:rPr>
          <w:rFonts w:ascii="宋体" w:hAnsi="宋体" w:cs="宋体"/>
          <w:szCs w:val="21"/>
        </w:rPr>
      </w:pPr>
      <w:r>
        <w:rPr>
          <w:rFonts w:hint="eastAsia" w:ascii="宋体" w:hAnsi="宋体" w:cs="宋体"/>
          <w:szCs w:val="21"/>
        </w:rPr>
        <w:t>（一）竞选人应充分考虑在对项目过程中的运输等费用。</w:t>
      </w:r>
    </w:p>
    <w:p>
      <w:pPr>
        <w:spacing w:line="460" w:lineRule="exact"/>
        <w:ind w:firstLine="420" w:firstLineChars="200"/>
        <w:outlineLvl w:val="0"/>
        <w:rPr>
          <w:rFonts w:ascii="宋体" w:hAnsi="宋体" w:cs="宋体"/>
          <w:szCs w:val="21"/>
        </w:rPr>
      </w:pPr>
      <w:r>
        <w:rPr>
          <w:rFonts w:hint="eastAsia" w:ascii="宋体" w:hAnsi="宋体" w:cs="宋体"/>
          <w:szCs w:val="21"/>
        </w:rPr>
        <w:t>（二）费用报价清单中各项金额均以人民币（元）结算。</w:t>
      </w:r>
    </w:p>
    <w:p>
      <w:pPr>
        <w:spacing w:line="460" w:lineRule="exact"/>
        <w:ind w:firstLine="420" w:firstLineChars="200"/>
        <w:outlineLvl w:val="0"/>
        <w:rPr>
          <w:rFonts w:ascii="宋体" w:hAnsi="宋体" w:cs="宋体"/>
          <w:szCs w:val="21"/>
        </w:rPr>
      </w:pPr>
      <w:r>
        <w:rPr>
          <w:rFonts w:hint="eastAsia" w:ascii="宋体" w:hAnsi="宋体" w:cs="宋体"/>
          <w:szCs w:val="21"/>
        </w:rPr>
        <w:t>（三）需缴纳的一切税费均由投标人承担。</w:t>
      </w:r>
    </w:p>
    <w:p>
      <w:pPr>
        <w:spacing w:line="460" w:lineRule="exact"/>
        <w:ind w:firstLine="420" w:firstLineChars="200"/>
        <w:outlineLvl w:val="0"/>
        <w:rPr>
          <w:rFonts w:ascii="宋体" w:hAnsi="宋体" w:eastAsia="宋体" w:cs="宋体"/>
          <w:szCs w:val="21"/>
          <w:highlight w:val="none"/>
        </w:rPr>
      </w:pPr>
      <w:r>
        <w:rPr>
          <w:rFonts w:hint="eastAsia" w:ascii="宋体" w:hAnsi="宋体" w:cs="宋体"/>
          <w:szCs w:val="21"/>
        </w:rPr>
        <w:t>（四）</w:t>
      </w:r>
      <w:r>
        <w:rPr>
          <w:rFonts w:hint="eastAsia" w:ascii="宋体" w:hAnsi="宋体" w:cs="宋体"/>
          <w:szCs w:val="21"/>
          <w:highlight w:val="none"/>
        </w:rPr>
        <w:t>该项目限价单价为140000元/</w:t>
      </w:r>
      <w:r>
        <w:rPr>
          <w:rFonts w:hint="eastAsia" w:ascii="宋体" w:hAnsi="宋体" w:cs="宋体"/>
          <w:szCs w:val="21"/>
          <w:highlight w:val="none"/>
          <w:lang w:val="en-US" w:eastAsia="zh-CN"/>
        </w:rPr>
        <w:t>套</w:t>
      </w:r>
      <w:r>
        <w:rPr>
          <w:rFonts w:hint="eastAsia" w:ascii="宋体" w:hAnsi="宋体" w:cs="宋体"/>
          <w:szCs w:val="21"/>
          <w:highlight w:val="none"/>
        </w:rPr>
        <w:t>，总价限价为14万元。</w:t>
      </w:r>
    </w:p>
    <w:p>
      <w:pPr>
        <w:spacing w:line="460" w:lineRule="exact"/>
        <w:ind w:firstLine="420" w:firstLineChars="200"/>
        <w:outlineLvl w:val="0"/>
        <w:rPr>
          <w:rFonts w:ascii="宋体" w:hAnsi="宋体" w:cs="宋体"/>
          <w:szCs w:val="21"/>
        </w:rPr>
      </w:pPr>
      <w:r>
        <w:rPr>
          <w:rFonts w:hint="eastAsia" w:ascii="宋体" w:hAnsi="宋体" w:cs="宋体"/>
          <w:szCs w:val="21"/>
        </w:rPr>
        <w:t>（五）项目费包干使用（包含但不限于货物采购、货运、利润等），业主不再支付其他费用。</w:t>
      </w:r>
    </w:p>
    <w:p>
      <w:pPr>
        <w:spacing w:line="460" w:lineRule="exact"/>
        <w:ind w:firstLine="420" w:firstLineChars="200"/>
        <w:outlineLvl w:val="0"/>
        <w:rPr>
          <w:rFonts w:ascii="宋体" w:hAnsi="宋体" w:cs="宋体"/>
          <w:szCs w:val="21"/>
        </w:rPr>
      </w:pPr>
      <w:r>
        <w:rPr>
          <w:rFonts w:hint="eastAsia" w:ascii="宋体" w:hAnsi="宋体" w:cs="宋体"/>
          <w:szCs w:val="21"/>
        </w:rPr>
        <w:t>（六）费用报价清单需加盖竞争比选响应单位的公章，报价文件一式两份（需装订成册），正副本各一份，正本需彩色打印，副本可为正本复印件。否则比选人有权拒收竞选人的报价文件。</w:t>
      </w:r>
    </w:p>
    <w:p>
      <w:pPr>
        <w:spacing w:line="460" w:lineRule="exact"/>
        <w:rPr>
          <w:rFonts w:ascii="宋体" w:hAnsi="宋体"/>
          <w:b/>
          <w:sz w:val="32"/>
          <w:szCs w:val="32"/>
        </w:rPr>
      </w:pPr>
      <w:r>
        <w:rPr>
          <w:rFonts w:hint="eastAsia" w:ascii="宋体" w:hAnsi="宋体"/>
          <w:b/>
          <w:sz w:val="32"/>
          <w:szCs w:val="32"/>
        </w:rPr>
        <w:t>十、竞争性比选响应文件的组成：</w:t>
      </w:r>
    </w:p>
    <w:p>
      <w:pPr>
        <w:spacing w:line="360" w:lineRule="auto"/>
        <w:ind w:firstLine="420" w:firstLineChars="200"/>
        <w:rPr>
          <w:rFonts w:ascii="宋体" w:hAnsi="宋体" w:cs="宋体"/>
          <w:szCs w:val="21"/>
        </w:rPr>
      </w:pPr>
      <w:r>
        <w:rPr>
          <w:rFonts w:hint="eastAsia" w:ascii="宋体" w:hAnsi="宋体" w:cs="宋体"/>
          <w:szCs w:val="21"/>
        </w:rPr>
        <w:t>（一）将竞争性比选响应文件的正本、副本密封到一个封套中，在封套上写明：</w:t>
      </w:r>
      <w:r>
        <w:rPr>
          <w:rFonts w:hint="eastAsia"/>
          <w:kern w:val="0"/>
          <w:szCs w:val="21"/>
        </w:rPr>
        <w:t>重庆尚速物流有限公司</w:t>
      </w:r>
      <w:r>
        <w:rPr>
          <w:rFonts w:hint="eastAsia" w:ascii="宋体" w:hAnsi="宋体" w:cs="宋体"/>
          <w:szCs w:val="21"/>
        </w:rPr>
        <w:t>预装式移动充电桩设备采购</w:t>
      </w:r>
      <w:r>
        <w:rPr>
          <w:rFonts w:hint="eastAsia" w:ascii="宋体" w:hAnsi="宋体" w:cs="宋体"/>
          <w:szCs w:val="21"/>
          <w:lang w:val="en-US" w:eastAsia="zh-CN"/>
        </w:rPr>
        <w:t>竞争性</w:t>
      </w:r>
      <w:r>
        <w:rPr>
          <w:rFonts w:hint="eastAsia" w:ascii="宋体" w:hAnsi="宋体" w:cs="宋体"/>
          <w:szCs w:val="21"/>
        </w:rPr>
        <w:t>比选响应文件（格式见附件1）；</w:t>
      </w:r>
    </w:p>
    <w:p>
      <w:pPr>
        <w:spacing w:line="460" w:lineRule="exact"/>
        <w:ind w:firstLine="420" w:firstLineChars="200"/>
        <w:outlineLvl w:val="0"/>
        <w:rPr>
          <w:rFonts w:ascii="宋体" w:hAnsi="宋体" w:cs="宋体"/>
          <w:szCs w:val="21"/>
        </w:rPr>
      </w:pPr>
      <w:r>
        <w:rPr>
          <w:rFonts w:hint="eastAsia" w:ascii="宋体" w:hAnsi="宋体" w:cs="宋体"/>
          <w:szCs w:val="21"/>
        </w:rPr>
        <w:t>（二）竞争性比选响应声明书（格式见附件2）；</w:t>
      </w:r>
    </w:p>
    <w:p>
      <w:pPr>
        <w:spacing w:line="460" w:lineRule="exact"/>
        <w:ind w:firstLine="420" w:firstLineChars="200"/>
        <w:outlineLvl w:val="0"/>
        <w:rPr>
          <w:rFonts w:ascii="宋体" w:hAnsi="宋体" w:cs="宋体"/>
          <w:szCs w:val="21"/>
        </w:rPr>
      </w:pPr>
      <w:r>
        <w:rPr>
          <w:rFonts w:hint="eastAsia" w:ascii="宋体" w:hAnsi="宋体" w:cs="宋体"/>
          <w:szCs w:val="21"/>
        </w:rPr>
        <w:t>（三）报价一览表（格式见附件3）；</w:t>
      </w:r>
    </w:p>
    <w:p>
      <w:pPr>
        <w:spacing w:line="460" w:lineRule="exact"/>
        <w:ind w:firstLine="420" w:firstLineChars="200"/>
        <w:outlineLvl w:val="0"/>
        <w:rPr>
          <w:rFonts w:ascii="宋体" w:hAnsi="宋体" w:cs="宋体"/>
          <w:szCs w:val="21"/>
        </w:rPr>
      </w:pPr>
      <w:r>
        <w:rPr>
          <w:rFonts w:hint="eastAsia" w:ascii="宋体" w:hAnsi="宋体" w:cs="宋体"/>
          <w:szCs w:val="21"/>
        </w:rPr>
        <w:t>（四）</w:t>
      </w:r>
      <w:r>
        <w:rPr>
          <w:rFonts w:ascii="宋体" w:hAnsi="宋体" w:cs="宋体"/>
          <w:szCs w:val="21"/>
        </w:rPr>
        <w:t>法定代表人身份证明</w:t>
      </w:r>
      <w:r>
        <w:rPr>
          <w:rFonts w:hint="eastAsia" w:ascii="宋体" w:hAnsi="宋体" w:cs="宋体"/>
          <w:szCs w:val="21"/>
        </w:rPr>
        <w:t>及经法人</w:t>
      </w:r>
      <w:r>
        <w:rPr>
          <w:rFonts w:ascii="宋体" w:hAnsi="宋体" w:cs="宋体"/>
          <w:szCs w:val="21"/>
        </w:rPr>
        <w:t>授权</w:t>
      </w:r>
      <w:r>
        <w:rPr>
          <w:rFonts w:hint="eastAsia" w:ascii="宋体" w:hAnsi="宋体" w:cs="宋体"/>
          <w:szCs w:val="21"/>
        </w:rPr>
        <w:t>的</w:t>
      </w:r>
      <w:r>
        <w:rPr>
          <w:rFonts w:ascii="宋体" w:hAnsi="宋体" w:cs="宋体"/>
          <w:szCs w:val="21"/>
        </w:rPr>
        <w:t>委托书及</w:t>
      </w:r>
      <w:r>
        <w:rPr>
          <w:rFonts w:hint="eastAsia" w:ascii="宋体" w:hAnsi="宋体" w:cs="宋体"/>
          <w:szCs w:val="21"/>
        </w:rPr>
        <w:t>委托人的</w:t>
      </w:r>
      <w:r>
        <w:rPr>
          <w:rFonts w:ascii="宋体" w:hAnsi="宋体" w:cs="宋体"/>
          <w:szCs w:val="21"/>
        </w:rPr>
        <w:t>身份证明</w:t>
      </w:r>
      <w:r>
        <w:rPr>
          <w:rFonts w:hint="eastAsia" w:ascii="宋体" w:hAnsi="宋体" w:cs="宋体"/>
          <w:szCs w:val="21"/>
        </w:rPr>
        <w:t>（格式见附件4）；</w:t>
      </w:r>
    </w:p>
    <w:p>
      <w:pPr>
        <w:spacing w:line="460" w:lineRule="exact"/>
        <w:ind w:firstLine="420" w:firstLineChars="200"/>
        <w:outlineLvl w:val="0"/>
        <w:rPr>
          <w:rFonts w:ascii="宋体" w:hAnsi="宋体" w:cs="宋体"/>
          <w:szCs w:val="21"/>
        </w:rPr>
      </w:pPr>
      <w:r>
        <w:rPr>
          <w:rFonts w:hint="eastAsia" w:ascii="宋体" w:hAnsi="宋体" w:cs="宋体"/>
          <w:szCs w:val="21"/>
        </w:rPr>
        <w:t>（四）竞争性比选响应单位三证合一的营业执照（副本）复印件；</w:t>
      </w:r>
    </w:p>
    <w:p>
      <w:pPr>
        <w:spacing w:line="460" w:lineRule="exact"/>
        <w:ind w:firstLine="420" w:firstLineChars="200"/>
        <w:outlineLvl w:val="0"/>
        <w:rPr>
          <w:rFonts w:ascii="宋体" w:hAnsi="宋体" w:cs="宋体"/>
          <w:szCs w:val="21"/>
        </w:rPr>
      </w:pPr>
      <w:r>
        <w:rPr>
          <w:rFonts w:hint="eastAsia" w:ascii="宋体" w:hAnsi="宋体" w:cs="宋体"/>
          <w:szCs w:val="21"/>
        </w:rPr>
        <w:t>（五）资质、业绩及商务评审要求的各类合同复印件；</w:t>
      </w:r>
    </w:p>
    <w:p>
      <w:pPr>
        <w:spacing w:line="460" w:lineRule="exact"/>
        <w:ind w:firstLine="420" w:firstLineChars="200"/>
        <w:outlineLvl w:val="0"/>
        <w:rPr>
          <w:rFonts w:ascii="宋体" w:hAnsi="宋体" w:cs="宋体"/>
          <w:szCs w:val="21"/>
        </w:rPr>
      </w:pPr>
      <w:r>
        <w:rPr>
          <w:rFonts w:hint="eastAsia" w:ascii="宋体" w:hAnsi="宋体" w:cs="宋体"/>
          <w:szCs w:val="21"/>
        </w:rPr>
        <w:t>（六）本竞争性比选文件其它条款要求提供的文件以及竞争性比选响应单位认为需要提供的其他相关文件（注：以上所有文件均须加盖竞争性比选响应单位的公章）。</w:t>
      </w:r>
    </w:p>
    <w:p>
      <w:pPr>
        <w:spacing w:line="460" w:lineRule="exact"/>
        <w:outlineLvl w:val="0"/>
        <w:rPr>
          <w:bCs/>
          <w:szCs w:val="21"/>
        </w:rPr>
      </w:pPr>
      <w:r>
        <w:rPr>
          <w:rFonts w:hint="eastAsia" w:ascii="宋体" w:hAnsi="宋体"/>
          <w:b/>
          <w:sz w:val="32"/>
          <w:szCs w:val="32"/>
        </w:rPr>
        <w:t>十一、竞争性比选须知</w:t>
      </w:r>
    </w:p>
    <w:p>
      <w:pPr>
        <w:pStyle w:val="20"/>
        <w:spacing w:line="400" w:lineRule="exact"/>
        <w:ind w:firstLine="420"/>
        <w:rPr>
          <w:rFonts w:hint="default" w:ascii="Times New Roman" w:eastAsia="宋体" w:cs="Times New Roman"/>
          <w:color w:val="auto"/>
          <w:sz w:val="21"/>
          <w:szCs w:val="21"/>
        </w:rPr>
      </w:pPr>
      <w:r>
        <w:rPr>
          <w:rFonts w:ascii="Times New Roman" w:eastAsia="宋体" w:cs="Times New Roman"/>
          <w:color w:val="auto"/>
          <w:sz w:val="21"/>
          <w:szCs w:val="21"/>
        </w:rPr>
        <w:t>（一）竞争性比选地点：重庆市渝北区财富园2号A幢2号门5楼。</w:t>
      </w:r>
    </w:p>
    <w:p>
      <w:pPr>
        <w:pStyle w:val="20"/>
        <w:spacing w:line="400" w:lineRule="exact"/>
        <w:ind w:firstLine="420"/>
        <w:rPr>
          <w:rFonts w:hint="default" w:ascii="Times New Roman" w:eastAsia="宋体" w:cs="Times New Roman"/>
          <w:color w:val="auto"/>
          <w:sz w:val="21"/>
          <w:szCs w:val="21"/>
        </w:rPr>
      </w:pPr>
      <w:r>
        <w:rPr>
          <w:rFonts w:ascii="Times New Roman" w:eastAsia="宋体" w:cs="Times New Roman"/>
          <w:color w:val="auto"/>
          <w:sz w:val="21"/>
          <w:szCs w:val="21"/>
        </w:rPr>
        <w:t>（二）竞争性比选截止及开标时间</w:t>
      </w:r>
      <w:r>
        <w:rPr>
          <w:rFonts w:ascii="Times New Roman" w:eastAsia="宋体" w:cs="Times New Roman"/>
          <w:color w:val="auto"/>
          <w:sz w:val="21"/>
          <w:szCs w:val="21"/>
          <w:highlight w:val="none"/>
        </w:rPr>
        <w:t>：2024年4月1</w:t>
      </w:r>
      <w:r>
        <w:rPr>
          <w:rFonts w:hint="eastAsia" w:ascii="Times New Roman" w:eastAsia="宋体" w:cs="Times New Roman"/>
          <w:color w:val="auto"/>
          <w:sz w:val="21"/>
          <w:szCs w:val="21"/>
          <w:highlight w:val="none"/>
          <w:lang w:val="en-US" w:eastAsia="zh-CN"/>
        </w:rPr>
        <w:t>3</w:t>
      </w:r>
      <w:r>
        <w:rPr>
          <w:rFonts w:ascii="Times New Roman" w:eastAsia="宋体" w:cs="Times New Roman"/>
          <w:color w:val="auto"/>
          <w:sz w:val="21"/>
          <w:szCs w:val="21"/>
          <w:highlight w:val="none"/>
        </w:rPr>
        <w:t>日14时00分</w:t>
      </w:r>
      <w:r>
        <w:rPr>
          <w:rFonts w:ascii="Times New Roman" w:eastAsia="宋体" w:cs="Times New Roman"/>
          <w:color w:val="auto"/>
          <w:sz w:val="21"/>
          <w:szCs w:val="21"/>
        </w:rPr>
        <w:t>（北京时间）。</w:t>
      </w:r>
    </w:p>
    <w:p>
      <w:pPr>
        <w:spacing w:line="400" w:lineRule="exact"/>
        <w:ind w:firstLine="420" w:firstLineChars="200"/>
        <w:rPr>
          <w:szCs w:val="21"/>
        </w:rPr>
      </w:pPr>
      <w:r>
        <w:rPr>
          <w:szCs w:val="21"/>
        </w:rPr>
        <w:t>（</w:t>
      </w:r>
      <w:r>
        <w:rPr>
          <w:rFonts w:hint="eastAsia"/>
          <w:szCs w:val="21"/>
        </w:rPr>
        <w:t>三</w:t>
      </w:r>
      <w:r>
        <w:rPr>
          <w:szCs w:val="21"/>
        </w:rPr>
        <w:t>）各</w:t>
      </w:r>
      <w:r>
        <w:rPr>
          <w:rFonts w:hint="eastAsia"/>
          <w:szCs w:val="21"/>
        </w:rPr>
        <w:t>竞选人</w:t>
      </w:r>
      <w:r>
        <w:rPr>
          <w:szCs w:val="21"/>
        </w:rPr>
        <w:t>应根据本次</w:t>
      </w:r>
      <w:r>
        <w:rPr>
          <w:rFonts w:hint="eastAsia"/>
          <w:szCs w:val="21"/>
        </w:rPr>
        <w:t>比选</w:t>
      </w:r>
      <w:r>
        <w:rPr>
          <w:szCs w:val="21"/>
        </w:rPr>
        <w:t>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szCs w:val="21"/>
        </w:rPr>
      </w:pPr>
      <w:r>
        <w:rPr>
          <w:szCs w:val="21"/>
        </w:rPr>
        <w:t>（</w:t>
      </w:r>
      <w:r>
        <w:rPr>
          <w:rFonts w:hint="eastAsia"/>
          <w:szCs w:val="21"/>
        </w:rPr>
        <w:t>四</w:t>
      </w:r>
      <w:r>
        <w:rPr>
          <w:szCs w:val="21"/>
        </w:rPr>
        <w:t>）密封要求：</w:t>
      </w:r>
    </w:p>
    <w:p>
      <w:pPr>
        <w:spacing w:line="400" w:lineRule="exact"/>
        <w:ind w:firstLine="420" w:firstLineChars="200"/>
        <w:rPr>
          <w:szCs w:val="21"/>
        </w:rPr>
      </w:pPr>
      <w:r>
        <w:rPr>
          <w:szCs w:val="21"/>
        </w:rPr>
        <w:t>将竞争性比选申请文件密封到一个封套中，再在封套上写明：</w:t>
      </w:r>
    </w:p>
    <w:p>
      <w:pPr>
        <w:spacing w:line="400" w:lineRule="exact"/>
        <w:ind w:firstLine="420" w:firstLineChars="200"/>
        <w:jc w:val="center"/>
        <w:rPr>
          <w:szCs w:val="21"/>
          <w:u w:val="single"/>
        </w:rPr>
      </w:pPr>
      <w:r>
        <w:rPr>
          <w:rFonts w:hint="eastAsia"/>
          <w:szCs w:val="21"/>
          <w:u w:val="single"/>
        </w:rPr>
        <w:t>重庆尚速物流有限公司预装式移动充电桩设备采购竞争性比选申请</w:t>
      </w:r>
      <w:r>
        <w:rPr>
          <w:szCs w:val="21"/>
          <w:u w:val="single"/>
        </w:rPr>
        <w:t>文件</w:t>
      </w:r>
    </w:p>
    <w:p>
      <w:pPr>
        <w:spacing w:line="400" w:lineRule="exact"/>
        <w:ind w:firstLine="420" w:firstLineChars="200"/>
        <w:jc w:val="center"/>
      </w:pPr>
      <w:r>
        <w:rPr>
          <w:szCs w:val="21"/>
          <w:u w:val="single"/>
        </w:rPr>
        <w:t>在</w:t>
      </w:r>
      <w:r>
        <w:rPr>
          <w:rFonts w:hint="eastAsia"/>
          <w:szCs w:val="21"/>
          <w:u w:val="single"/>
        </w:rPr>
        <w:t>2024</w:t>
      </w:r>
      <w:r>
        <w:rPr>
          <w:szCs w:val="21"/>
          <w:u w:val="single"/>
        </w:rPr>
        <w:t>年</w:t>
      </w:r>
      <w:r>
        <w:rPr>
          <w:rFonts w:hint="eastAsia"/>
          <w:szCs w:val="21"/>
          <w:u w:val="single"/>
        </w:rPr>
        <w:t>4</w:t>
      </w:r>
      <w:r>
        <w:rPr>
          <w:szCs w:val="21"/>
          <w:u w:val="single"/>
        </w:rPr>
        <w:t>月</w:t>
      </w:r>
      <w:r>
        <w:rPr>
          <w:rFonts w:hint="eastAsia"/>
          <w:szCs w:val="21"/>
          <w:u w:val="single"/>
          <w:lang w:val="en-US" w:eastAsia="zh-CN"/>
        </w:rPr>
        <w:t>13</w:t>
      </w:r>
      <w:r>
        <w:rPr>
          <w:szCs w:val="21"/>
          <w:u w:val="single"/>
        </w:rPr>
        <w:t>日</w:t>
      </w:r>
      <w:r>
        <w:rPr>
          <w:rFonts w:hint="eastAsia"/>
          <w:szCs w:val="21"/>
          <w:u w:val="single"/>
        </w:rPr>
        <w:t>14时</w:t>
      </w:r>
      <w:r>
        <w:rPr>
          <w:szCs w:val="21"/>
          <w:u w:val="single"/>
        </w:rPr>
        <w:t xml:space="preserve"> 00 </w:t>
      </w:r>
      <w:r>
        <w:rPr>
          <w:rFonts w:hint="eastAsia"/>
          <w:szCs w:val="21"/>
          <w:u w:val="single"/>
        </w:rPr>
        <w:t>分</w:t>
      </w:r>
      <w:r>
        <w:rPr>
          <w:szCs w:val="21"/>
          <w:u w:val="single"/>
        </w:rPr>
        <w:t>前不得开启</w:t>
      </w:r>
    </w:p>
    <w:p>
      <w:pPr>
        <w:spacing w:line="400" w:lineRule="exact"/>
        <w:ind w:firstLine="420" w:firstLineChars="200"/>
        <w:jc w:val="left"/>
        <w:rPr>
          <w:szCs w:val="21"/>
        </w:rPr>
      </w:pPr>
      <w:r>
        <w:rPr>
          <w:szCs w:val="21"/>
        </w:rPr>
        <w:t>比选人：</w:t>
      </w:r>
      <w:r>
        <w:rPr>
          <w:rFonts w:hint="eastAsia"/>
          <w:szCs w:val="21"/>
        </w:rPr>
        <w:t>重庆尚速物流有限公司</w:t>
      </w:r>
    </w:p>
    <w:p>
      <w:pPr>
        <w:spacing w:line="400" w:lineRule="exact"/>
        <w:ind w:left="420" w:leftChars="200"/>
        <w:jc w:val="left"/>
        <w:rPr>
          <w:rFonts w:ascii="Times New Roman" w:eastAsia="宋体" w:cs="Times New Roman"/>
          <w:szCs w:val="21"/>
        </w:rPr>
      </w:pPr>
      <w:r>
        <w:rPr>
          <w:szCs w:val="21"/>
        </w:rPr>
        <w:t>地址：</w:t>
      </w:r>
      <w:r>
        <w:rPr>
          <w:rFonts w:hint="eastAsia" w:ascii="Times New Roman" w:eastAsia="宋体" w:cs="Times New Roman"/>
          <w:szCs w:val="21"/>
        </w:rPr>
        <w:t>重庆市渝北区财富园2号A幢2号门5楼。</w:t>
      </w:r>
    </w:p>
    <w:p>
      <w:pPr>
        <w:spacing w:line="400" w:lineRule="exact"/>
        <w:ind w:left="420" w:leftChars="200"/>
        <w:jc w:val="left"/>
        <w:rPr>
          <w:rFonts w:ascii="方正仿宋_GBK" w:eastAsia="方正仿宋_GBK" w:hAnsiTheme="minorEastAsia"/>
          <w:b/>
          <w:sz w:val="32"/>
          <w:szCs w:val="32"/>
        </w:rPr>
      </w:pPr>
      <w:r>
        <w:rPr>
          <w:szCs w:val="21"/>
        </w:rPr>
        <w:t>联系人：</w:t>
      </w:r>
      <w:r>
        <w:rPr>
          <w:rFonts w:hint="eastAsia" w:ascii="宋体" w:hAnsi="宋体" w:cs="宋体"/>
          <w:szCs w:val="21"/>
        </w:rPr>
        <w:t>王老师</w:t>
      </w:r>
      <w:r>
        <w:rPr>
          <w:rFonts w:hint="eastAsia" w:ascii="宋体" w:hAnsi="宋体" w:cs="宋体"/>
          <w:szCs w:val="21"/>
          <w:lang w:val="en-US" w:eastAsia="zh-CN"/>
        </w:rPr>
        <w:t xml:space="preserve">  </w:t>
      </w:r>
      <w:r>
        <w:rPr>
          <w:szCs w:val="21"/>
        </w:rPr>
        <w:t>电话：</w:t>
      </w:r>
      <w:r>
        <w:rPr>
          <w:rFonts w:hint="eastAsia" w:ascii="宋体" w:hAnsi="宋体" w:cs="宋体"/>
          <w:szCs w:val="21"/>
        </w:rPr>
        <w:t>15923902096</w:t>
      </w:r>
      <w:r>
        <w:rPr>
          <w:rFonts w:hint="eastAsia" w:ascii="方正仿宋_GBK" w:eastAsia="方正仿宋_GBK" w:hAnsiTheme="minorEastAsia"/>
          <w:b/>
          <w:sz w:val="32"/>
          <w:szCs w:val="32"/>
        </w:rPr>
        <w:br w:type="page"/>
      </w:r>
    </w:p>
    <w:p>
      <w:pPr>
        <w:jc w:val="center"/>
        <w:rPr>
          <w:rFonts w:ascii="宋体" w:hAnsi="宋体" w:cs="宋体"/>
          <w:b/>
          <w:sz w:val="24"/>
        </w:rPr>
      </w:pPr>
      <w:r>
        <w:rPr>
          <w:rFonts w:hint="eastAsia" w:ascii="宋体" w:hAnsi="宋体" w:cs="宋体"/>
          <w:b/>
          <w:sz w:val="24"/>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Theme="minorEastAsia" w:hAnsiTheme="minorEastAsia"/>
          <w:b/>
          <w:sz w:val="24"/>
        </w:rPr>
      </w:pPr>
    </w:p>
    <w:p>
      <w:pPr>
        <w:outlineLvl w:val="0"/>
        <w:rPr>
          <w:rFonts w:asciiTheme="minorEastAsia" w:hAnsiTheme="minorEastAsia"/>
          <w:b/>
          <w:sz w:val="24"/>
        </w:rPr>
      </w:pPr>
    </w:p>
    <w:p>
      <w:pPr>
        <w:jc w:val="center"/>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rPr>
          <w:rFonts w:asciiTheme="minorEastAsia" w:hAnsiTheme="minorEastAsia"/>
          <w:b/>
          <w:sz w:val="24"/>
        </w:rPr>
      </w:pPr>
    </w:p>
    <w:p>
      <w:pPr>
        <w:jc w:val="right"/>
        <w:rPr>
          <w:rFonts w:asciiTheme="minorEastAsia" w:hAnsiTheme="minorEastAsia"/>
          <w:b/>
          <w:sz w:val="24"/>
        </w:rPr>
      </w:pPr>
    </w:p>
    <w:p>
      <w:pPr>
        <w:rPr>
          <w:rFonts w:asciiTheme="minorEastAsia" w:hAnsiTheme="minorEastAsia"/>
          <w:b/>
          <w:sz w:val="24"/>
        </w:rPr>
      </w:pPr>
    </w:p>
    <w:p>
      <w:pPr>
        <w:tabs>
          <w:tab w:val="left" w:pos="900"/>
          <w:tab w:val="left" w:pos="1080"/>
        </w:tabs>
        <w:spacing w:line="300" w:lineRule="auto"/>
        <w:jc w:val="left"/>
        <w:outlineLvl w:val="0"/>
        <w:rPr>
          <w:rFonts w:ascii="宋体" w:hAnsi="宋体" w:cs="Arial"/>
          <w:b/>
          <w:sz w:val="24"/>
        </w:rPr>
      </w:pPr>
    </w:p>
    <w:p>
      <w:pPr>
        <w:rPr>
          <w:rFonts w:asciiTheme="minorEastAsia" w:hAnsiTheme="minorEastAsia"/>
          <w:b/>
          <w:sz w:val="24"/>
        </w:rPr>
      </w:pPr>
      <w:r>
        <w:rPr>
          <w:rFonts w:hint="eastAsia" w:asciiTheme="minorEastAsia" w:hAnsiTheme="minorEastAsia"/>
          <w:b/>
          <w:sz w:val="24"/>
        </w:rPr>
        <w:br w:type="page"/>
      </w:r>
    </w:p>
    <w:p>
      <w:pPr>
        <w:jc w:val="left"/>
        <w:rPr>
          <w:rFonts w:asciiTheme="minorEastAsia" w:hAnsiTheme="minorEastAsia"/>
          <w:b/>
          <w:sz w:val="24"/>
        </w:rPr>
      </w:pPr>
      <w:r>
        <w:rPr>
          <w:rFonts w:hint="eastAsia" w:asciiTheme="minorEastAsia" w:hAnsiTheme="minorEastAsia"/>
          <w:b/>
          <w:sz w:val="24"/>
        </w:rPr>
        <w:t>附件1：</w:t>
      </w:r>
    </w:p>
    <w:p>
      <w:pPr>
        <w:jc w:val="right"/>
        <w:rPr>
          <w:rFonts w:asciiTheme="minorEastAsia" w:hAnsiTheme="minorEastAsia"/>
          <w:b/>
          <w:sz w:val="24"/>
        </w:rPr>
      </w:pPr>
      <w:r>
        <w:rPr>
          <w:rFonts w:hint="eastAsia" w:asciiTheme="minorEastAsia" w:hAnsiTheme="minorEastAsia"/>
          <w:b/>
          <w:sz w:val="24"/>
        </w:rPr>
        <w:t xml:space="preserve">   正本（或副本）</w:t>
      </w: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center"/>
        <w:rPr>
          <w:rFonts w:cs="宋体" w:asciiTheme="minorEastAsia" w:hAnsiTheme="minorEastAsia"/>
          <w:b/>
          <w:bCs/>
          <w:kern w:val="0"/>
          <w:sz w:val="48"/>
          <w:szCs w:val="48"/>
        </w:rPr>
      </w:pPr>
      <w:r>
        <w:rPr>
          <w:rFonts w:hint="eastAsia" w:cs="宋体" w:asciiTheme="minorEastAsia" w:hAnsiTheme="minorEastAsia"/>
          <w:b/>
          <w:bCs/>
          <w:kern w:val="0"/>
          <w:sz w:val="48"/>
          <w:szCs w:val="48"/>
        </w:rPr>
        <w:t>重庆尚速物流有限公司</w:t>
      </w:r>
    </w:p>
    <w:p>
      <w:pPr>
        <w:jc w:val="center"/>
        <w:rPr>
          <w:rFonts w:asciiTheme="minorEastAsia" w:hAnsiTheme="minorEastAsia"/>
          <w:b/>
          <w:sz w:val="48"/>
          <w:szCs w:val="48"/>
        </w:rPr>
      </w:pPr>
      <w:r>
        <w:rPr>
          <w:rFonts w:hint="eastAsia" w:cs="宋体" w:asciiTheme="minorEastAsia" w:hAnsiTheme="minorEastAsia"/>
          <w:b/>
          <w:bCs/>
          <w:kern w:val="0"/>
          <w:sz w:val="48"/>
          <w:szCs w:val="48"/>
        </w:rPr>
        <w:t>预装式移动充电桩</w:t>
      </w:r>
      <w:r>
        <w:rPr>
          <w:rFonts w:hint="eastAsia" w:cs="宋体" w:asciiTheme="minorEastAsia" w:hAnsiTheme="minorEastAsia"/>
          <w:b/>
          <w:bCs/>
          <w:kern w:val="0"/>
          <w:sz w:val="48"/>
          <w:szCs w:val="48"/>
          <w:lang w:val="en-US" w:eastAsia="zh-CN"/>
        </w:rPr>
        <w:t>设备</w:t>
      </w:r>
      <w:r>
        <w:rPr>
          <w:rFonts w:hint="eastAsia" w:cs="宋体" w:asciiTheme="minorEastAsia" w:hAnsiTheme="minorEastAsia"/>
          <w:b/>
          <w:bCs/>
          <w:kern w:val="0"/>
          <w:sz w:val="48"/>
          <w:szCs w:val="48"/>
        </w:rPr>
        <w:t>项目</w:t>
      </w:r>
    </w:p>
    <w:p>
      <w:pPr>
        <w:jc w:val="center"/>
        <w:rPr>
          <w:rFonts w:asciiTheme="minorEastAsia" w:hAnsiTheme="minorEastAsia"/>
          <w:b/>
          <w:sz w:val="32"/>
          <w:szCs w:val="32"/>
        </w:rPr>
      </w:pPr>
    </w:p>
    <w:p>
      <w:pPr>
        <w:jc w:val="center"/>
        <w:rPr>
          <w:rFonts w:asciiTheme="minorEastAsia" w:hAnsiTheme="minorEastAsia"/>
          <w:b/>
          <w:sz w:val="52"/>
          <w:szCs w:val="52"/>
        </w:rPr>
      </w:pPr>
      <w:r>
        <w:rPr>
          <w:rFonts w:hint="eastAsia" w:asciiTheme="minorEastAsia" w:hAnsiTheme="minorEastAsia"/>
          <w:b/>
          <w:sz w:val="52"/>
          <w:szCs w:val="52"/>
        </w:rPr>
        <w:t>竞争性比选响应文件</w:t>
      </w: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u w:val="single"/>
        </w:rPr>
      </w:pPr>
      <w:r>
        <w:rPr>
          <w:rFonts w:hint="eastAsia" w:asciiTheme="minorEastAsia" w:hAnsiTheme="minorEastAsia"/>
          <w:sz w:val="32"/>
          <w:szCs w:val="32"/>
          <w:u w:val="single"/>
        </w:rPr>
        <w:t>竞争性比选响应单位名称全称（盖单位公章）</w:t>
      </w:r>
    </w:p>
    <w:p>
      <w:pPr>
        <w:jc w:val="center"/>
        <w:rPr>
          <w:rFonts w:asciiTheme="minorEastAsia" w:hAnsiTheme="minorEastAsia"/>
          <w:sz w:val="32"/>
          <w:szCs w:val="32"/>
          <w:u w:val="single"/>
        </w:rPr>
      </w:pPr>
    </w:p>
    <w:p>
      <w:pPr>
        <w:tabs>
          <w:tab w:val="left" w:pos="900"/>
          <w:tab w:val="left" w:pos="1080"/>
        </w:tabs>
        <w:spacing w:line="300" w:lineRule="auto"/>
        <w:jc w:val="left"/>
        <w:outlineLvl w:val="0"/>
        <w:rPr>
          <w:rFonts w:cs="Arial" w:asciiTheme="minorEastAsia" w:hAnsiTheme="minorEastAsia"/>
          <w:b/>
          <w:sz w:val="24"/>
        </w:rPr>
      </w:pPr>
    </w:p>
    <w:p>
      <w:pPr>
        <w:pStyle w:val="4"/>
        <w:rPr>
          <w:rFonts w:cs="Arial" w:asciiTheme="minorEastAsia" w:hAnsiTheme="minorEastAsia"/>
          <w:sz w:val="24"/>
        </w:rPr>
      </w:pPr>
    </w:p>
    <w:p>
      <w:pPr>
        <w:rPr>
          <w:rFonts w:cs="Arial" w:asciiTheme="minorEastAsia" w:hAnsiTheme="minorEastAsia"/>
          <w:b/>
          <w:sz w:val="24"/>
        </w:rPr>
      </w:pPr>
    </w:p>
    <w:p>
      <w:pPr>
        <w:rPr>
          <w:rFonts w:cs="Arial" w:asciiTheme="minorEastAsia" w:hAnsiTheme="minorEastAsia"/>
          <w:b/>
          <w:sz w:val="24"/>
        </w:rPr>
      </w:pPr>
    </w:p>
    <w:p>
      <w:pPr>
        <w:rPr>
          <w:rFonts w:cs="Arial" w:asciiTheme="minorEastAsia" w:hAnsiTheme="minorEastAsia"/>
          <w:b/>
          <w:sz w:val="24"/>
        </w:rPr>
      </w:pPr>
    </w:p>
    <w:p>
      <w:pPr>
        <w:rPr>
          <w:rFonts w:cs="Arial" w:asciiTheme="minorEastAsia" w:hAnsiTheme="minorEastAsia"/>
          <w:b/>
          <w:sz w:val="24"/>
        </w:rPr>
      </w:pPr>
    </w:p>
    <w:p>
      <w:pPr>
        <w:rPr>
          <w:rFonts w:cs="Arial" w:asciiTheme="minorEastAsia" w:hAnsiTheme="minorEastAsia"/>
          <w:b/>
          <w:sz w:val="24"/>
        </w:rPr>
      </w:pPr>
    </w:p>
    <w:p>
      <w:pPr>
        <w:tabs>
          <w:tab w:val="left" w:pos="900"/>
          <w:tab w:val="left" w:pos="1080"/>
        </w:tabs>
        <w:spacing w:line="300" w:lineRule="auto"/>
        <w:jc w:val="left"/>
        <w:outlineLvl w:val="0"/>
        <w:rPr>
          <w:rFonts w:ascii="宋体" w:hAnsi="宋体" w:cs="Arial"/>
          <w:b/>
          <w:sz w:val="24"/>
        </w:rPr>
      </w:pPr>
    </w:p>
    <w:p>
      <w:pPr>
        <w:tabs>
          <w:tab w:val="left" w:pos="900"/>
          <w:tab w:val="left" w:pos="1080"/>
        </w:tabs>
        <w:spacing w:line="300" w:lineRule="auto"/>
        <w:jc w:val="left"/>
        <w:outlineLvl w:val="0"/>
        <w:rPr>
          <w:rFonts w:ascii="宋体" w:hAnsi="宋体" w:cs="Arial"/>
          <w:b/>
          <w:sz w:val="24"/>
        </w:rPr>
      </w:pPr>
    </w:p>
    <w:p>
      <w:pPr>
        <w:tabs>
          <w:tab w:val="left" w:pos="900"/>
          <w:tab w:val="left" w:pos="1080"/>
        </w:tabs>
        <w:spacing w:line="300" w:lineRule="auto"/>
        <w:jc w:val="left"/>
        <w:outlineLvl w:val="0"/>
        <w:rPr>
          <w:rFonts w:ascii="宋体" w:hAnsi="宋体" w:cs="Arial"/>
          <w:b/>
          <w:sz w:val="24"/>
        </w:rPr>
      </w:pPr>
    </w:p>
    <w:p>
      <w:pPr>
        <w:rPr>
          <w:rFonts w:ascii="宋体" w:hAnsi="宋体" w:cs="Arial"/>
          <w:b/>
          <w:sz w:val="24"/>
        </w:rPr>
      </w:pPr>
      <w:r>
        <w:rPr>
          <w:rFonts w:hint="eastAsia" w:ascii="宋体" w:hAnsi="宋体" w:cs="Arial"/>
          <w:b/>
          <w:sz w:val="24"/>
        </w:rPr>
        <w:br w:type="page"/>
      </w:r>
    </w:p>
    <w:p>
      <w:pPr>
        <w:tabs>
          <w:tab w:val="left" w:pos="900"/>
          <w:tab w:val="left" w:pos="1080"/>
        </w:tabs>
        <w:spacing w:line="300" w:lineRule="auto"/>
        <w:jc w:val="left"/>
        <w:outlineLvl w:val="0"/>
        <w:rPr>
          <w:rFonts w:ascii="宋体" w:hAnsi="宋体" w:cs="Arial"/>
          <w:b/>
          <w:sz w:val="24"/>
        </w:rPr>
      </w:pPr>
      <w:r>
        <w:rPr>
          <w:rFonts w:hint="eastAsia" w:ascii="宋体" w:hAnsi="宋体" w:cs="Arial"/>
          <w:b/>
          <w:sz w:val="24"/>
        </w:rPr>
        <w:t>附件2</w:t>
      </w:r>
    </w:p>
    <w:p>
      <w:pPr>
        <w:tabs>
          <w:tab w:val="left" w:pos="900"/>
          <w:tab w:val="left" w:pos="1080"/>
        </w:tabs>
        <w:spacing w:line="300" w:lineRule="auto"/>
        <w:jc w:val="center"/>
        <w:outlineLvl w:val="0"/>
        <w:rPr>
          <w:rFonts w:ascii="宋体" w:hAnsi="宋体" w:cs="Arial"/>
          <w:b/>
          <w:dstrike/>
          <w:sz w:val="32"/>
          <w:szCs w:val="32"/>
        </w:rPr>
      </w:pPr>
      <w:r>
        <w:rPr>
          <w:rFonts w:hint="eastAsia" w:ascii="宋体" w:hAnsi="宋体" w:cs="Arial"/>
          <w:b/>
          <w:sz w:val="32"/>
          <w:szCs w:val="32"/>
        </w:rPr>
        <w:t>竞争性比选响应声明书</w:t>
      </w:r>
    </w:p>
    <w:p>
      <w:pPr>
        <w:tabs>
          <w:tab w:val="left" w:pos="900"/>
        </w:tabs>
        <w:spacing w:line="300" w:lineRule="auto"/>
        <w:rPr>
          <w:rFonts w:ascii="宋体" w:hAnsi="宋体" w:cs="Arial"/>
          <w:b/>
          <w:sz w:val="24"/>
        </w:rPr>
      </w:pPr>
    </w:p>
    <w:p>
      <w:pPr>
        <w:tabs>
          <w:tab w:val="left" w:pos="900"/>
        </w:tabs>
        <w:spacing w:line="300" w:lineRule="auto"/>
        <w:rPr>
          <w:rFonts w:ascii="宋体" w:hAnsi="宋体" w:cs="Arial"/>
          <w:sz w:val="24"/>
        </w:rPr>
      </w:pPr>
      <w:r>
        <w:rPr>
          <w:rFonts w:hint="eastAsia" w:ascii="宋体" w:hAnsi="宋体" w:cs="Arial"/>
          <w:b/>
          <w:sz w:val="24"/>
        </w:rPr>
        <w:t>致：重庆尚速物流有限公司</w:t>
      </w:r>
    </w:p>
    <w:p>
      <w:pPr>
        <w:spacing w:line="540" w:lineRule="exact"/>
        <w:ind w:firstLine="480" w:firstLineChars="200"/>
        <w:rPr>
          <w:rFonts w:ascii="宋体" w:hAnsi="宋体" w:cs="Arial"/>
          <w:sz w:val="24"/>
        </w:rPr>
      </w:pPr>
      <w:r>
        <w:rPr>
          <w:rFonts w:hint="eastAsia" w:ascii="宋体" w:hAnsi="宋体" w:cs="Arial"/>
          <w:sz w:val="24"/>
        </w:rPr>
        <w:t>根据贵方</w:t>
      </w:r>
      <w:r>
        <w:rPr>
          <w:rFonts w:hint="eastAsia" w:ascii="宋体" w:hAnsi="宋体" w:cs="Arial"/>
          <w:sz w:val="24"/>
          <w:lang w:eastAsia="zh-CN"/>
        </w:rPr>
        <w:t>重庆尚速物流有限公司预装式移动充电桩设备采购项目</w:t>
      </w:r>
      <w:r>
        <w:rPr>
          <w:rFonts w:hint="eastAsia" w:ascii="宋体" w:hAnsi="宋体" w:cs="Arial"/>
          <w:sz w:val="24"/>
        </w:rPr>
        <w:t>竞争性比选项目的邀请，签字代表</w:t>
      </w:r>
      <w:r>
        <w:rPr>
          <w:rFonts w:hint="eastAsia" w:ascii="宋体" w:hAnsi="宋体" w:cs="Arial"/>
          <w:sz w:val="24"/>
          <w:u w:val="single"/>
        </w:rPr>
        <w:t>（全名、职务）</w:t>
      </w:r>
      <w:r>
        <w:rPr>
          <w:rFonts w:hint="eastAsia" w:ascii="宋体" w:hAnsi="宋体" w:cs="Arial"/>
          <w:sz w:val="24"/>
        </w:rPr>
        <w:t>经正式授权并代表竞争性比选响应单位</w:t>
      </w:r>
      <w:r>
        <w:rPr>
          <w:rFonts w:hint="eastAsia" w:ascii="宋体" w:hAnsi="宋体" w:cs="Arial"/>
          <w:sz w:val="24"/>
          <w:u w:val="single"/>
        </w:rPr>
        <w:t>（竞争性比选响应单位名称、地址）</w:t>
      </w:r>
      <w:r>
        <w:rPr>
          <w:rFonts w:hint="eastAsia" w:ascii="宋体" w:hAnsi="宋体" w:cs="Arial"/>
          <w:sz w:val="24"/>
        </w:rPr>
        <w:t>提交以下文件电子版一份。</w:t>
      </w:r>
    </w:p>
    <w:p>
      <w:pPr>
        <w:spacing w:line="540" w:lineRule="exact"/>
        <w:ind w:firstLine="480" w:firstLineChars="200"/>
        <w:rPr>
          <w:rFonts w:ascii="宋体" w:hAnsi="宋体" w:cs="Arial"/>
          <w:sz w:val="24"/>
          <w:u w:val="single"/>
        </w:rPr>
      </w:pPr>
      <w:r>
        <w:rPr>
          <w:rFonts w:hint="eastAsia" w:ascii="宋体" w:hAnsi="宋体" w:cs="Arial"/>
          <w:sz w:val="24"/>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ascii="宋体" w:hAnsi="宋体" w:cs="Arial"/>
          <w:sz w:val="24"/>
        </w:rPr>
      </w:pPr>
      <w:r>
        <w:rPr>
          <w:rFonts w:hint="eastAsia" w:ascii="宋体" w:hAnsi="宋体" w:cs="Arial"/>
          <w:sz w:val="24"/>
        </w:rPr>
        <w:t>据此函，签字代表宣布同意如下：</w:t>
      </w:r>
    </w:p>
    <w:p>
      <w:pPr>
        <w:tabs>
          <w:tab w:val="left" w:pos="540"/>
          <w:tab w:val="left" w:pos="900"/>
        </w:tabs>
        <w:spacing w:line="540" w:lineRule="exact"/>
        <w:ind w:firstLine="480" w:firstLineChars="200"/>
        <w:rPr>
          <w:rFonts w:ascii="宋体" w:hAnsi="宋体" w:cs="Arial"/>
          <w:sz w:val="24"/>
        </w:rPr>
      </w:pPr>
      <w:r>
        <w:rPr>
          <w:rFonts w:hint="eastAsia" w:ascii="宋体" w:hAnsi="宋体" w:cs="Arial"/>
          <w:sz w:val="24"/>
        </w:rPr>
        <w:t>1、竞争性比选响应单位将按竞争性比选文件规定履行合同责任和义务。</w:t>
      </w:r>
    </w:p>
    <w:p>
      <w:pPr>
        <w:tabs>
          <w:tab w:val="left" w:pos="900"/>
        </w:tabs>
        <w:spacing w:line="540" w:lineRule="exact"/>
        <w:ind w:firstLine="480" w:firstLineChars="200"/>
        <w:rPr>
          <w:rFonts w:ascii="宋体" w:hAnsi="宋体" w:cs="Arial"/>
          <w:b/>
          <w:sz w:val="24"/>
        </w:rPr>
      </w:pPr>
      <w:r>
        <w:rPr>
          <w:rFonts w:hint="eastAsia" w:ascii="宋体" w:hAnsi="宋体" w:cs="Arial"/>
          <w:sz w:val="24"/>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ascii="宋体" w:hAnsi="宋体" w:cs="Arial"/>
          <w:b/>
          <w:sz w:val="24"/>
        </w:rPr>
      </w:pPr>
      <w:r>
        <w:rPr>
          <w:rFonts w:hint="eastAsia" w:ascii="宋体" w:hAnsi="宋体" w:cs="Arial"/>
          <w:sz w:val="24"/>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ascii="宋体" w:hAnsi="宋体" w:cs="Arial"/>
          <w:sz w:val="24"/>
        </w:rPr>
      </w:pPr>
    </w:p>
    <w:p>
      <w:pPr>
        <w:pStyle w:val="2"/>
      </w:pPr>
    </w:p>
    <w:p>
      <w:pPr>
        <w:tabs>
          <w:tab w:val="left" w:pos="900"/>
        </w:tabs>
        <w:spacing w:line="540" w:lineRule="exact"/>
        <w:ind w:firstLine="482" w:firstLineChars="200"/>
        <w:rPr>
          <w:rFonts w:ascii="宋体" w:hAnsi="宋体" w:cs="Arial"/>
          <w:b/>
          <w:sz w:val="24"/>
        </w:rPr>
      </w:pPr>
      <w:r>
        <w:rPr>
          <w:rFonts w:hint="eastAsia" w:ascii="宋体" w:hAnsi="宋体" w:cs="Arial"/>
          <w:b/>
          <w:sz w:val="24"/>
        </w:rPr>
        <w:t>竞争性比选响应单位法定代表人或授权代表人（签字）：</w:t>
      </w:r>
    </w:p>
    <w:p>
      <w:pPr>
        <w:tabs>
          <w:tab w:val="left" w:pos="900"/>
        </w:tabs>
        <w:spacing w:line="540" w:lineRule="exact"/>
        <w:ind w:firstLine="482" w:firstLineChars="200"/>
        <w:rPr>
          <w:rFonts w:ascii="宋体" w:hAnsi="宋体" w:cs="Arial"/>
          <w:b/>
          <w:sz w:val="24"/>
        </w:rPr>
      </w:pPr>
      <w:r>
        <w:rPr>
          <w:rFonts w:hint="eastAsia" w:ascii="宋体" w:hAnsi="宋体" w:cs="Arial"/>
          <w:b/>
          <w:sz w:val="24"/>
        </w:rPr>
        <w:t>竞争性比选响应单位法定代表人或授权代表人职务：</w:t>
      </w:r>
    </w:p>
    <w:p>
      <w:pPr>
        <w:tabs>
          <w:tab w:val="left" w:pos="900"/>
        </w:tabs>
        <w:spacing w:line="540" w:lineRule="exact"/>
        <w:ind w:firstLine="482" w:firstLineChars="200"/>
        <w:rPr>
          <w:rFonts w:ascii="宋体" w:hAnsi="宋体" w:cs="Arial"/>
          <w:sz w:val="24"/>
        </w:rPr>
      </w:pPr>
      <w:r>
        <w:rPr>
          <w:rFonts w:hint="eastAsia" w:ascii="宋体" w:hAnsi="宋体" w:cs="Arial"/>
          <w:b/>
          <w:sz w:val="24"/>
        </w:rPr>
        <w:t>竞争性比选响应单位名称（加盖公章）：</w:t>
      </w:r>
    </w:p>
    <w:p>
      <w:pPr>
        <w:tabs>
          <w:tab w:val="left" w:pos="900"/>
        </w:tabs>
        <w:spacing w:line="540" w:lineRule="exact"/>
        <w:ind w:firstLine="480" w:firstLineChars="200"/>
        <w:rPr>
          <w:rFonts w:ascii="宋体" w:hAnsi="宋体" w:cs="Arial"/>
          <w:sz w:val="24"/>
        </w:rPr>
      </w:pPr>
      <w:r>
        <w:rPr>
          <w:rFonts w:hint="eastAsia" w:ascii="宋体" w:hAnsi="宋体" w:cs="Arial"/>
          <w:sz w:val="24"/>
        </w:rPr>
        <w:t>日期：   年   月   日</w:t>
      </w:r>
    </w:p>
    <w:p>
      <w:pPr>
        <w:outlineLvl w:val="0"/>
        <w:rPr>
          <w:rFonts w:ascii="宋体" w:hAnsi="宋体"/>
          <w:b/>
          <w:sz w:val="24"/>
        </w:rPr>
      </w:pPr>
    </w:p>
    <w:p>
      <w:pPr>
        <w:rPr>
          <w:rFonts w:ascii="宋体" w:hAnsi="宋体"/>
          <w:b/>
          <w:sz w:val="24"/>
        </w:rPr>
      </w:pPr>
    </w:p>
    <w:p>
      <w:pPr>
        <w:pStyle w:val="2"/>
      </w:pPr>
    </w:p>
    <w:p>
      <w:pPr>
        <w:outlineLvl w:val="0"/>
        <w:rPr>
          <w:rFonts w:ascii="宋体" w:hAnsi="宋体"/>
          <w:b/>
          <w:sz w:val="24"/>
        </w:rPr>
      </w:pPr>
    </w:p>
    <w:p>
      <w:pPr>
        <w:rPr>
          <w:rFonts w:ascii="宋体" w:hAnsi="宋体"/>
          <w:b/>
          <w:sz w:val="24"/>
        </w:rPr>
      </w:pPr>
      <w:r>
        <w:rPr>
          <w:rFonts w:hint="eastAsia" w:ascii="宋体" w:hAnsi="宋体"/>
          <w:b/>
          <w:sz w:val="24"/>
        </w:rPr>
        <w:br w:type="page"/>
      </w:r>
    </w:p>
    <w:p>
      <w:pPr>
        <w:outlineLvl w:val="0"/>
        <w:rPr>
          <w:rFonts w:ascii="宋体" w:hAnsi="宋体"/>
          <w:b/>
          <w:sz w:val="24"/>
        </w:rPr>
      </w:pPr>
      <w:r>
        <w:rPr>
          <w:rFonts w:hint="eastAsia" w:ascii="宋体" w:hAnsi="宋体"/>
          <w:b/>
          <w:sz w:val="24"/>
        </w:rPr>
        <w:t>附件3</w:t>
      </w:r>
    </w:p>
    <w:p>
      <w:pPr>
        <w:jc w:val="center"/>
        <w:outlineLvl w:val="0"/>
        <w:rPr>
          <w:rFonts w:ascii="宋体" w:hAnsi="宋体" w:cs="Arial"/>
          <w:b/>
          <w:sz w:val="32"/>
          <w:szCs w:val="32"/>
        </w:rPr>
      </w:pPr>
      <w:r>
        <w:rPr>
          <w:rFonts w:hint="eastAsia" w:ascii="宋体" w:hAnsi="宋体" w:cs="Arial"/>
          <w:b/>
          <w:sz w:val="32"/>
          <w:szCs w:val="32"/>
        </w:rPr>
        <w:t xml:space="preserve"> 报价一览表</w:t>
      </w:r>
    </w:p>
    <w:p>
      <w:pPr>
        <w:pStyle w:val="12"/>
        <w:spacing w:line="540" w:lineRule="exact"/>
        <w:jc w:val="both"/>
        <w:rPr>
          <w:rFonts w:hAnsi="宋体"/>
          <w:color w:val="auto"/>
        </w:rPr>
      </w:pPr>
      <w:r>
        <w:rPr>
          <w:rFonts w:hint="eastAsia" w:hAnsi="宋体"/>
          <w:color w:val="auto"/>
        </w:rPr>
        <w:t>重庆尚速物流有限公司：</w:t>
      </w:r>
    </w:p>
    <w:p>
      <w:pPr>
        <w:spacing w:line="540" w:lineRule="exact"/>
        <w:ind w:firstLine="480" w:firstLineChars="200"/>
        <w:jc w:val="left"/>
        <w:rPr>
          <w:rFonts w:ascii="宋体" w:hAnsi="宋体"/>
          <w:sz w:val="24"/>
        </w:rPr>
      </w:pPr>
      <w:r>
        <w:rPr>
          <w:rFonts w:hint="eastAsia" w:ascii="宋体" w:hAnsi="宋体"/>
          <w:sz w:val="24"/>
        </w:rPr>
        <w:t>在研究了竞争性比选文件中所有文件后，我司对</w:t>
      </w:r>
      <w:r>
        <w:rPr>
          <w:rFonts w:hint="eastAsia" w:ascii="宋体" w:hAnsi="宋体"/>
          <w:sz w:val="24"/>
          <w:lang w:eastAsia="zh-CN"/>
        </w:rPr>
        <w:t>重庆尚速物流有限公司预装式移动充电桩设备采购项目</w:t>
      </w:r>
      <w:r>
        <w:rPr>
          <w:rFonts w:hint="eastAsia" w:ascii="宋体" w:hAnsi="宋体"/>
          <w:sz w:val="24"/>
        </w:rPr>
        <w:t xml:space="preserve">竞争性比选响应报价如下： </w:t>
      </w:r>
    </w:p>
    <w:p>
      <w:pPr>
        <w:pStyle w:val="2"/>
        <w:jc w:val="left"/>
        <w:rPr>
          <w:rFonts w:ascii="宋体" w:hAnsi="宋体"/>
          <w:b w:val="0"/>
          <w:bCs w:val="0"/>
          <w:sz w:val="24"/>
        </w:rPr>
      </w:pPr>
    </w:p>
    <w:p>
      <w:pPr>
        <w:pStyle w:val="5"/>
        <w:ind w:firstLine="0" w:firstLineChars="0"/>
        <w:jc w:val="both"/>
        <w:rPr>
          <w:rFonts w:eastAsia="宋体"/>
          <w:sz w:val="24"/>
          <w:szCs w:val="24"/>
        </w:rPr>
      </w:pPr>
      <w:r>
        <w:rPr>
          <w:rFonts w:hint="eastAsia" w:eastAsia="宋体"/>
          <w:sz w:val="24"/>
          <w:szCs w:val="24"/>
        </w:rPr>
        <w:t>设备型号：</w:t>
      </w:r>
    </w:p>
    <w:p>
      <w:pPr>
        <w:pStyle w:val="5"/>
        <w:ind w:firstLine="0" w:firstLineChars="0"/>
        <w:jc w:val="right"/>
        <w:rPr>
          <w:rFonts w:eastAsia="宋体"/>
          <w:sz w:val="24"/>
          <w:szCs w:val="24"/>
        </w:rPr>
      </w:pPr>
      <w:r>
        <w:rPr>
          <w:rFonts w:hint="eastAsia" w:eastAsia="宋体"/>
          <w:sz w:val="24"/>
          <w:szCs w:val="24"/>
        </w:rPr>
        <w:t>币种：人民币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17"/>
        <w:gridCol w:w="1670"/>
        <w:gridCol w:w="170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71"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价目名称</w:t>
            </w:r>
          </w:p>
        </w:tc>
        <w:tc>
          <w:tcPr>
            <w:tcW w:w="1617"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含税单价</w:t>
            </w:r>
          </w:p>
          <w:p>
            <w:pPr>
              <w:pStyle w:val="2"/>
              <w:rPr>
                <w:rFonts w:ascii="宋体" w:hAnsi="宋体" w:cs="宋体"/>
                <w:b w:val="0"/>
                <w:bCs w:val="0"/>
                <w:kern w:val="0"/>
                <w:sz w:val="22"/>
                <w:szCs w:val="22"/>
              </w:rPr>
            </w:pPr>
            <w:r>
              <w:rPr>
                <w:rFonts w:hint="eastAsia"/>
                <w:b w:val="0"/>
                <w:bCs w:val="0"/>
                <w:sz w:val="22"/>
                <w:szCs w:val="22"/>
              </w:rPr>
              <w:t>（元/</w:t>
            </w:r>
            <w:r>
              <w:rPr>
                <w:rFonts w:hint="eastAsia"/>
                <w:b w:val="0"/>
                <w:bCs w:val="0"/>
                <w:sz w:val="22"/>
                <w:szCs w:val="22"/>
                <w:lang w:val="en-US" w:eastAsia="zh-CN"/>
              </w:rPr>
              <w:t>套</w:t>
            </w:r>
            <w:r>
              <w:rPr>
                <w:rFonts w:hint="eastAsia"/>
                <w:b w:val="0"/>
                <w:bCs w:val="0"/>
                <w:sz w:val="22"/>
                <w:szCs w:val="22"/>
              </w:rPr>
              <w:t>）</w:t>
            </w:r>
          </w:p>
        </w:tc>
        <w:tc>
          <w:tcPr>
            <w:tcW w:w="1670"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含税总价</w:t>
            </w:r>
          </w:p>
          <w:p>
            <w:pPr>
              <w:pStyle w:val="2"/>
              <w:rPr>
                <w:rFonts w:ascii="宋体" w:hAnsi="宋体" w:cs="宋体"/>
                <w:b w:val="0"/>
                <w:bCs w:val="0"/>
                <w:kern w:val="0"/>
                <w:sz w:val="22"/>
                <w:szCs w:val="22"/>
              </w:rPr>
            </w:pPr>
            <w:r>
              <w:rPr>
                <w:rFonts w:hint="eastAsia" w:eastAsia="宋体"/>
                <w:b w:val="0"/>
                <w:bCs w:val="0"/>
                <w:sz w:val="22"/>
                <w:szCs w:val="22"/>
              </w:rPr>
              <w:t>（元）</w:t>
            </w:r>
          </w:p>
        </w:tc>
        <w:tc>
          <w:tcPr>
            <w:tcW w:w="1702"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交货时间</w:t>
            </w:r>
          </w:p>
        </w:tc>
        <w:tc>
          <w:tcPr>
            <w:tcW w:w="1630"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货款结算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71"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设备本体价格</w:t>
            </w:r>
          </w:p>
        </w:tc>
        <w:tc>
          <w:tcPr>
            <w:tcW w:w="1617" w:type="dxa"/>
          </w:tcPr>
          <w:p>
            <w:pPr>
              <w:widowControl/>
              <w:spacing w:line="540" w:lineRule="exact"/>
              <w:jc w:val="center"/>
              <w:textAlignment w:val="center"/>
              <w:rPr>
                <w:rFonts w:ascii="宋体" w:hAnsi="宋体" w:cs="宋体"/>
                <w:kern w:val="0"/>
                <w:sz w:val="22"/>
                <w:szCs w:val="22"/>
              </w:rPr>
            </w:pPr>
          </w:p>
        </w:tc>
        <w:tc>
          <w:tcPr>
            <w:tcW w:w="1670" w:type="dxa"/>
          </w:tcPr>
          <w:p>
            <w:pPr>
              <w:widowControl/>
              <w:spacing w:line="540" w:lineRule="exact"/>
              <w:jc w:val="center"/>
              <w:textAlignment w:val="center"/>
              <w:rPr>
                <w:rFonts w:ascii="宋体" w:hAnsi="宋体" w:cs="宋体"/>
                <w:kern w:val="0"/>
                <w:sz w:val="22"/>
                <w:szCs w:val="22"/>
              </w:rPr>
            </w:pPr>
          </w:p>
        </w:tc>
        <w:tc>
          <w:tcPr>
            <w:tcW w:w="1702" w:type="dxa"/>
            <w:vMerge w:val="restart"/>
          </w:tcPr>
          <w:p>
            <w:pPr>
              <w:widowControl/>
              <w:spacing w:line="540" w:lineRule="exact"/>
              <w:jc w:val="center"/>
              <w:textAlignment w:val="center"/>
              <w:rPr>
                <w:rFonts w:ascii="宋体" w:hAnsi="宋体" w:cs="宋体"/>
                <w:kern w:val="0"/>
                <w:sz w:val="22"/>
                <w:szCs w:val="22"/>
              </w:rPr>
            </w:pPr>
          </w:p>
        </w:tc>
        <w:tc>
          <w:tcPr>
            <w:tcW w:w="1630" w:type="dxa"/>
            <w:vMerge w:val="restart"/>
          </w:tcPr>
          <w:p>
            <w:pPr>
              <w:widowControl/>
              <w:spacing w:line="540" w:lineRule="exact"/>
              <w:jc w:val="center"/>
              <w:textAlignment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71"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运费</w:t>
            </w:r>
          </w:p>
        </w:tc>
        <w:tc>
          <w:tcPr>
            <w:tcW w:w="1617" w:type="dxa"/>
          </w:tcPr>
          <w:p>
            <w:pPr>
              <w:widowControl/>
              <w:spacing w:line="540" w:lineRule="exact"/>
              <w:jc w:val="center"/>
              <w:textAlignment w:val="center"/>
              <w:rPr>
                <w:rFonts w:ascii="宋体" w:hAnsi="宋体" w:cs="宋体"/>
                <w:kern w:val="0"/>
                <w:sz w:val="22"/>
                <w:szCs w:val="22"/>
              </w:rPr>
            </w:pPr>
          </w:p>
        </w:tc>
        <w:tc>
          <w:tcPr>
            <w:tcW w:w="1670" w:type="dxa"/>
          </w:tcPr>
          <w:p>
            <w:pPr>
              <w:widowControl/>
              <w:spacing w:line="540" w:lineRule="exact"/>
              <w:jc w:val="center"/>
              <w:textAlignment w:val="center"/>
              <w:rPr>
                <w:rFonts w:ascii="宋体" w:hAnsi="宋体" w:cs="宋体"/>
                <w:kern w:val="0"/>
                <w:sz w:val="22"/>
                <w:szCs w:val="22"/>
              </w:rPr>
            </w:pPr>
          </w:p>
        </w:tc>
        <w:tc>
          <w:tcPr>
            <w:tcW w:w="1702" w:type="dxa"/>
            <w:vMerge w:val="continue"/>
          </w:tcPr>
          <w:p>
            <w:pPr>
              <w:widowControl/>
              <w:spacing w:line="540" w:lineRule="exact"/>
              <w:jc w:val="center"/>
              <w:textAlignment w:val="center"/>
              <w:rPr>
                <w:rFonts w:ascii="宋体" w:hAnsi="宋体" w:cs="宋体"/>
                <w:kern w:val="0"/>
                <w:sz w:val="22"/>
                <w:szCs w:val="22"/>
              </w:rPr>
            </w:pPr>
          </w:p>
        </w:tc>
        <w:tc>
          <w:tcPr>
            <w:tcW w:w="1630" w:type="dxa"/>
            <w:vMerge w:val="continue"/>
          </w:tcPr>
          <w:p>
            <w:pPr>
              <w:widowControl/>
              <w:spacing w:line="540" w:lineRule="exact"/>
              <w:jc w:val="center"/>
              <w:textAlignment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71" w:type="dxa"/>
          </w:tcPr>
          <w:p>
            <w:pPr>
              <w:widowControl/>
              <w:spacing w:line="540" w:lineRule="exact"/>
              <w:jc w:val="center"/>
              <w:textAlignment w:val="center"/>
              <w:rPr>
                <w:rFonts w:ascii="宋体" w:hAnsi="宋体" w:cs="宋体"/>
                <w:kern w:val="0"/>
                <w:sz w:val="22"/>
                <w:szCs w:val="22"/>
              </w:rPr>
            </w:pPr>
            <w:r>
              <w:rPr>
                <w:rFonts w:hint="eastAsia" w:ascii="宋体" w:hAnsi="宋体" w:cs="宋体"/>
                <w:kern w:val="0"/>
                <w:sz w:val="22"/>
                <w:szCs w:val="22"/>
              </w:rPr>
              <w:t>合计</w:t>
            </w:r>
          </w:p>
        </w:tc>
        <w:tc>
          <w:tcPr>
            <w:tcW w:w="1617" w:type="dxa"/>
          </w:tcPr>
          <w:p>
            <w:pPr>
              <w:widowControl/>
              <w:spacing w:line="540" w:lineRule="exact"/>
              <w:jc w:val="center"/>
              <w:textAlignment w:val="center"/>
              <w:rPr>
                <w:rFonts w:ascii="宋体" w:hAnsi="宋体" w:cs="宋体"/>
                <w:kern w:val="0"/>
                <w:sz w:val="22"/>
                <w:szCs w:val="22"/>
              </w:rPr>
            </w:pPr>
          </w:p>
        </w:tc>
        <w:tc>
          <w:tcPr>
            <w:tcW w:w="5002" w:type="dxa"/>
            <w:gridSpan w:val="3"/>
          </w:tcPr>
          <w:p>
            <w:pPr>
              <w:widowControl/>
              <w:spacing w:line="540" w:lineRule="exact"/>
              <w:jc w:val="left"/>
              <w:textAlignment w:val="center"/>
              <w:rPr>
                <w:rFonts w:ascii="宋体" w:hAnsi="宋体" w:cs="宋体"/>
                <w:kern w:val="0"/>
                <w:sz w:val="22"/>
                <w:szCs w:val="22"/>
              </w:rPr>
            </w:pPr>
          </w:p>
        </w:tc>
      </w:tr>
    </w:tbl>
    <w:p>
      <w:pPr>
        <w:pStyle w:val="33"/>
        <w:ind w:left="0" w:leftChars="0"/>
        <w:rPr>
          <w:rFonts w:ascii="宋体" w:hAnsi="宋体"/>
          <w:sz w:val="24"/>
          <w:szCs w:val="24"/>
        </w:rPr>
      </w:pPr>
      <w:r>
        <w:rPr>
          <w:rFonts w:hint="eastAsia" w:ascii="宋体" w:hAnsi="宋体"/>
          <w:sz w:val="24"/>
          <w:szCs w:val="24"/>
        </w:rPr>
        <w:t>注1：</w:t>
      </w:r>
      <w:r>
        <w:rPr>
          <w:rFonts w:hint="eastAsia" w:ascii="宋体" w:hAnsi="宋体" w:cs="宋体"/>
          <w:sz w:val="22"/>
          <w:szCs w:val="22"/>
        </w:rPr>
        <w:t>增值税率1</w:t>
      </w:r>
      <w:r>
        <w:rPr>
          <w:rFonts w:ascii="宋体" w:hAnsi="宋体" w:cs="宋体"/>
          <w:sz w:val="22"/>
          <w:szCs w:val="22"/>
        </w:rPr>
        <w:t>3%</w:t>
      </w:r>
      <w:r>
        <w:rPr>
          <w:rFonts w:hint="eastAsia" w:ascii="宋体" w:hAnsi="宋体"/>
          <w:sz w:val="24"/>
          <w:szCs w:val="24"/>
        </w:rPr>
        <w:t>。</w:t>
      </w:r>
    </w:p>
    <w:p>
      <w:pPr>
        <w:spacing w:line="540" w:lineRule="exact"/>
        <w:outlineLvl w:val="0"/>
        <w:rPr>
          <w:rFonts w:ascii="宋体" w:hAnsi="宋体"/>
          <w:sz w:val="24"/>
        </w:rPr>
      </w:pPr>
      <w:r>
        <w:rPr>
          <w:rFonts w:hint="eastAsia" w:ascii="宋体" w:hAnsi="宋体"/>
          <w:sz w:val="24"/>
        </w:rPr>
        <w:t>注</w:t>
      </w:r>
      <w:r>
        <w:rPr>
          <w:rFonts w:ascii="宋体" w:hAnsi="宋体"/>
          <w:sz w:val="24"/>
        </w:rPr>
        <w:t>2</w:t>
      </w:r>
      <w:r>
        <w:rPr>
          <w:rFonts w:hint="eastAsia" w:ascii="宋体" w:hAnsi="宋体"/>
          <w:sz w:val="24"/>
        </w:rPr>
        <w:t>：该表可扩展，并逐页签字或盖章。</w:t>
      </w:r>
    </w:p>
    <w:p>
      <w:pPr>
        <w:spacing w:line="540" w:lineRule="exact"/>
        <w:outlineLvl w:val="0"/>
        <w:rPr>
          <w:rFonts w:ascii="宋体" w:hAnsi="宋体"/>
          <w:sz w:val="24"/>
        </w:rPr>
      </w:pPr>
    </w:p>
    <w:p>
      <w:pPr>
        <w:spacing w:line="620" w:lineRule="exact"/>
        <w:outlineLvl w:val="0"/>
        <w:rPr>
          <w:rFonts w:ascii="宋体" w:hAnsi="宋体"/>
          <w:sz w:val="24"/>
        </w:rPr>
      </w:pPr>
      <w:r>
        <w:rPr>
          <w:rFonts w:hint="eastAsia" w:ascii="宋体" w:hAnsi="宋体"/>
          <w:sz w:val="24"/>
        </w:rPr>
        <w:t>竞选人名称（加盖公章）：</w:t>
      </w:r>
    </w:p>
    <w:p>
      <w:pPr>
        <w:spacing w:line="620" w:lineRule="exact"/>
        <w:outlineLvl w:val="0"/>
        <w:rPr>
          <w:rFonts w:ascii="宋体" w:hAnsi="宋体"/>
          <w:sz w:val="24"/>
        </w:rPr>
      </w:pPr>
      <w:r>
        <w:rPr>
          <w:rFonts w:hint="eastAsia" w:ascii="宋体" w:hAnsi="宋体"/>
          <w:sz w:val="24"/>
        </w:rPr>
        <w:t>竞选人法定代表人或授权代表人（签字）：</w:t>
      </w:r>
    </w:p>
    <w:p>
      <w:pPr>
        <w:spacing w:line="620" w:lineRule="exact"/>
        <w:outlineLvl w:val="0"/>
        <w:rPr>
          <w:rFonts w:ascii="宋体" w:hAnsi="宋体" w:cs="Arial"/>
          <w:sz w:val="24"/>
        </w:rPr>
      </w:pPr>
      <w:r>
        <w:rPr>
          <w:rFonts w:hint="eastAsia" w:ascii="宋体" w:hAnsi="宋体" w:cs="Arial"/>
          <w:sz w:val="24"/>
        </w:rPr>
        <w:t>日期：  年  月  日</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b/>
          <w:sz w:val="24"/>
        </w:rPr>
      </w:pPr>
    </w:p>
    <w:p>
      <w:pPr>
        <w:rPr>
          <w:rFonts w:ascii="宋体" w:hAnsi="宋体"/>
          <w:b/>
          <w:sz w:val="24"/>
        </w:rPr>
      </w:pPr>
      <w:r>
        <w:rPr>
          <w:rFonts w:hint="eastAsia" w:ascii="宋体" w:hAnsi="宋体"/>
          <w:b/>
          <w:sz w:val="24"/>
        </w:rPr>
        <w:br w:type="page"/>
      </w:r>
    </w:p>
    <w:p>
      <w:pPr>
        <w:outlineLvl w:val="0"/>
        <w:rPr>
          <w:rFonts w:ascii="宋体" w:hAnsi="宋体"/>
          <w:b/>
          <w:sz w:val="24"/>
        </w:rPr>
      </w:pPr>
      <w:r>
        <w:rPr>
          <w:rFonts w:hint="eastAsia" w:ascii="宋体" w:hAnsi="宋体"/>
          <w:b/>
          <w:sz w:val="24"/>
        </w:rPr>
        <w:t>附件4</w:t>
      </w:r>
    </w:p>
    <w:p>
      <w:pPr>
        <w:spacing w:line="360" w:lineRule="auto"/>
        <w:jc w:val="center"/>
        <w:rPr>
          <w:rFonts w:ascii="宋体" w:hAnsi="宋体"/>
          <w:b/>
          <w:bCs/>
          <w:color w:val="000000"/>
          <w:sz w:val="30"/>
          <w:szCs w:val="30"/>
        </w:rPr>
      </w:pPr>
      <w:r>
        <w:rPr>
          <w:rFonts w:hint="eastAsia" w:ascii="宋体" w:hAnsi="宋体"/>
          <w:b/>
          <w:bCs/>
          <w:color w:val="000000"/>
          <w:sz w:val="30"/>
          <w:szCs w:val="30"/>
        </w:rPr>
        <w:t>法定代表人身份证明</w:t>
      </w:r>
    </w:p>
    <w:p>
      <w:pPr>
        <w:spacing w:line="360" w:lineRule="auto"/>
        <w:rPr>
          <w:rFonts w:ascii="宋体" w:hAnsi="宋体"/>
          <w:color w:val="000000"/>
          <w:sz w:val="24"/>
        </w:rPr>
      </w:pPr>
    </w:p>
    <w:p>
      <w:pPr>
        <w:spacing w:line="360" w:lineRule="auto"/>
        <w:rPr>
          <w:rFonts w:hint="eastAsia" w:ascii="宋体" w:hAnsi="宋体" w:eastAsiaTheme="minorEastAsia"/>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重庆尚速物流有限公司预装式移动充电桩设备采购项目</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致： 重庆尚速物流有限公司</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（法定代表人姓名）</w:t>
      </w:r>
      <w:r>
        <w:rPr>
          <w:rFonts w:hint="eastAsia" w:ascii="宋体" w:hAnsi="宋体"/>
          <w:color w:val="000000"/>
          <w:sz w:val="24"/>
        </w:rPr>
        <w:t xml:space="preserve">是 </w:t>
      </w:r>
      <w:r>
        <w:rPr>
          <w:rFonts w:hint="eastAsia" w:ascii="宋体" w:hAnsi="宋体"/>
          <w:color w:val="000000"/>
          <w:sz w:val="24"/>
          <w:u w:val="single"/>
        </w:rPr>
        <w:t xml:space="preserve">               （比选响应单位名称）  </w:t>
      </w:r>
      <w:r>
        <w:rPr>
          <w:rFonts w:hint="eastAsia" w:ascii="宋体" w:hAnsi="宋体"/>
          <w:color w:val="000000"/>
          <w:sz w:val="24"/>
        </w:rPr>
        <w:t xml:space="preserve">  的法定代表人。</w:t>
      </w:r>
    </w:p>
    <w:p>
      <w:pPr>
        <w:spacing w:line="360" w:lineRule="auto"/>
        <w:rPr>
          <w:rFonts w:ascii="宋体" w:hAnsi="宋体"/>
          <w:color w:val="000000"/>
          <w:sz w:val="24"/>
        </w:rPr>
      </w:pPr>
    </w:p>
    <w:p>
      <w:pPr>
        <w:spacing w:line="360" w:lineRule="auto"/>
        <w:ind w:firstLine="600" w:firstLineChars="250"/>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5280" w:firstLineChars="2200"/>
        <w:rPr>
          <w:rFonts w:ascii="宋体" w:hAnsi="宋体"/>
          <w:color w:val="000000"/>
          <w:sz w:val="24"/>
        </w:rPr>
      </w:pPr>
      <w:r>
        <w:rPr>
          <w:rFonts w:hint="eastAsia" w:ascii="宋体" w:hAnsi="宋体"/>
          <w:color w:val="000000"/>
          <w:sz w:val="24"/>
        </w:rPr>
        <w:t xml:space="preserve"> （比选响应单位公章）</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 xml:space="preserve">                                                 年   月   日</w:t>
      </w:r>
    </w:p>
    <w:p>
      <w:pPr>
        <w:spacing w:line="360" w:lineRule="auto"/>
        <w:rPr>
          <w:rFonts w:ascii="宋体" w:hAnsi="宋体"/>
          <w:b/>
          <w:bCs/>
          <w:color w:val="000000"/>
          <w:sz w:val="24"/>
        </w:rPr>
      </w:pPr>
    </w:p>
    <w:p>
      <w:pPr>
        <w:spacing w:line="360" w:lineRule="auto"/>
        <w:rPr>
          <w:rFonts w:ascii="宋体" w:hAnsi="宋体"/>
          <w:b/>
          <w:bCs/>
          <w:color w:val="000000"/>
          <w:sz w:val="24"/>
        </w:rPr>
      </w:pPr>
    </w:p>
    <w:p>
      <w:pPr>
        <w:outlineLvl w:val="0"/>
        <w:rPr>
          <w:rFonts w:ascii="宋体" w:hAnsi="宋体" w:cs="Arial"/>
          <w:sz w:val="24"/>
        </w:rPr>
      </w:pPr>
      <w:r>
        <w:rPr>
          <w:rFonts w:hint="eastAsia" w:ascii="宋体" w:hAnsi="宋体" w:cs="Arial"/>
          <w:sz w:val="24"/>
        </w:rPr>
        <w:t>附报价单位法定代表人身份证复印件（正、反面，并加盖公章）</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r>
        <w:rPr>
          <w:rFonts w:hint="eastAsia" w:ascii="宋体" w:hAnsi="宋体" w:cs="Arial"/>
          <w:sz w:val="24"/>
        </w:rPr>
        <w:t>法定代表人身份证复印件（正面、反面）：</w:t>
      </w: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Style w:val="18"/>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rPr>
          <w:rFonts w:ascii="宋体" w:hAnsi="宋体"/>
          <w:b/>
          <w:bCs/>
          <w:color w:val="000000"/>
          <w:sz w:val="30"/>
          <w:szCs w:val="30"/>
        </w:rPr>
      </w:pPr>
      <w:r>
        <w:rPr>
          <w:rFonts w:hint="eastAsia" w:ascii="宋体" w:hAnsi="宋体"/>
          <w:b/>
          <w:bCs/>
          <w:color w:val="000000"/>
          <w:sz w:val="30"/>
          <w:szCs w:val="30"/>
        </w:rPr>
        <w:br w:type="page"/>
      </w:r>
    </w:p>
    <w:p>
      <w:pPr>
        <w:spacing w:line="360" w:lineRule="auto"/>
        <w:jc w:val="center"/>
        <w:rPr>
          <w:rFonts w:ascii="宋体" w:hAnsi="宋体"/>
          <w:b/>
          <w:bCs/>
          <w:color w:val="000000"/>
          <w:sz w:val="30"/>
          <w:szCs w:val="30"/>
        </w:rPr>
      </w:pPr>
      <w:r>
        <w:rPr>
          <w:rFonts w:hint="eastAsia" w:ascii="宋体" w:hAnsi="宋体"/>
          <w:b/>
          <w:bCs/>
          <w:color w:val="000000"/>
          <w:sz w:val="30"/>
          <w:szCs w:val="30"/>
        </w:rPr>
        <w:t>法定代表人授权委托书</w:t>
      </w:r>
    </w:p>
    <w:p>
      <w:pPr>
        <w:spacing w:line="360" w:lineRule="auto"/>
        <w:ind w:firstLine="2168" w:firstLineChars="900"/>
        <w:rPr>
          <w:rFonts w:ascii="宋体" w:hAnsi="宋体"/>
          <w:b/>
          <w:bCs/>
          <w:color w:val="000000"/>
          <w:sz w:val="24"/>
        </w:rPr>
      </w:pPr>
    </w:p>
    <w:p>
      <w:pPr>
        <w:spacing w:line="360" w:lineRule="auto"/>
        <w:rPr>
          <w:rFonts w:hint="eastAsia" w:ascii="宋体" w:hAnsi="宋体" w:eastAsiaTheme="minorEastAsia"/>
          <w:color w:val="000000"/>
          <w:sz w:val="24"/>
          <w:lang w:eastAsia="zh-CN"/>
        </w:rPr>
      </w:pPr>
      <w:r>
        <w:rPr>
          <w:rFonts w:hint="eastAsia" w:ascii="宋体" w:hAnsi="宋体"/>
          <w:color w:val="000000"/>
          <w:sz w:val="24"/>
        </w:rPr>
        <w:t>项目名称：</w:t>
      </w:r>
      <w:r>
        <w:rPr>
          <w:rFonts w:hint="eastAsia" w:ascii="宋体" w:hAnsi="宋体" w:cs="Arial"/>
          <w:sz w:val="24"/>
          <w:lang w:eastAsia="zh-CN"/>
        </w:rPr>
        <w:t>重庆尚速物流有限公司预装式移动充电桩设备采购项目</w:t>
      </w:r>
    </w:p>
    <w:p>
      <w:pPr>
        <w:spacing w:line="360" w:lineRule="auto"/>
        <w:rPr>
          <w:rFonts w:ascii="宋体" w:hAnsi="宋体"/>
          <w:color w:val="000000"/>
          <w:sz w:val="24"/>
        </w:rPr>
      </w:pPr>
      <w:r>
        <w:rPr>
          <w:rFonts w:hint="eastAsia" w:ascii="宋体" w:hAnsi="宋体"/>
          <w:color w:val="000000"/>
          <w:sz w:val="24"/>
        </w:rPr>
        <w:t>致：重庆尚速物流有限公司</w:t>
      </w:r>
    </w:p>
    <w:p>
      <w:pPr>
        <w:spacing w:line="360" w:lineRule="auto"/>
        <w:rPr>
          <w:rFonts w:ascii="宋体" w:hAnsi="宋体"/>
          <w:color w:val="000000"/>
          <w:sz w:val="24"/>
        </w:rPr>
      </w:pPr>
      <w:r>
        <w:rPr>
          <w:rFonts w:hint="eastAsia" w:ascii="宋体" w:hAnsi="宋体"/>
          <w:color w:val="000000"/>
          <w:sz w:val="24"/>
          <w:u w:val="single"/>
        </w:rPr>
        <w:t>（比选响应单位法定代表人名称）</w:t>
      </w:r>
      <w:r>
        <w:rPr>
          <w:rFonts w:hint="eastAsia" w:ascii="宋体" w:hAnsi="宋体"/>
          <w:color w:val="000000"/>
          <w:sz w:val="24"/>
        </w:rPr>
        <w:t>是</w:t>
      </w:r>
      <w:r>
        <w:rPr>
          <w:rFonts w:hint="eastAsia" w:ascii="宋体" w:hAnsi="宋体"/>
          <w:color w:val="000000"/>
          <w:sz w:val="24"/>
          <w:u w:val="single"/>
        </w:rPr>
        <w:t>（比选响应单位名称）</w:t>
      </w:r>
      <w:r>
        <w:rPr>
          <w:rFonts w:hint="eastAsia" w:ascii="宋体" w:hAnsi="宋体"/>
          <w:color w:val="000000"/>
          <w:sz w:val="24"/>
        </w:rPr>
        <w:t>的法定代表人，特授权</w:t>
      </w:r>
      <w:r>
        <w:rPr>
          <w:rFonts w:hint="eastAsia" w:ascii="宋体" w:hAnsi="宋体"/>
          <w:color w:val="000000"/>
          <w:sz w:val="24"/>
          <w:u w:val="single"/>
        </w:rPr>
        <w:t>（被授权人姓名）</w:t>
      </w:r>
      <w:r>
        <w:rPr>
          <w:rFonts w:hint="eastAsia" w:ascii="宋体" w:hAnsi="宋体"/>
          <w:color w:val="000000"/>
          <w:sz w:val="24"/>
        </w:rPr>
        <w:t>代表我单位全权办理上述项目的投标、谈判、签约等具体工作，并签署全部有关文件、协议及合同。我单位对被授权人的签名负全部责任。</w:t>
      </w:r>
    </w:p>
    <w:p>
      <w:pPr>
        <w:spacing w:line="360" w:lineRule="auto"/>
        <w:ind w:firstLine="480" w:firstLineChars="200"/>
        <w:rPr>
          <w:rFonts w:ascii="宋体" w:hAnsi="宋体"/>
          <w:color w:val="000000"/>
          <w:sz w:val="24"/>
        </w:rPr>
      </w:pPr>
      <w:r>
        <w:rPr>
          <w:rFonts w:hint="eastAsia" w:ascii="宋体" w:hAnsi="宋体"/>
          <w:color w:val="000000"/>
          <w:sz w:val="24"/>
        </w:rPr>
        <w:t>在撤消授权的书面通知以前，本授权书一直有效。被授权人在授权书有效期内签署的所有文件不因授权的撤消而失效。</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比选响应单位法定代表人签字/盖章：           被授权人签字：</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5880" w:firstLineChars="2450"/>
        <w:rPr>
          <w:rFonts w:ascii="宋体" w:hAnsi="宋体"/>
          <w:color w:val="000000"/>
          <w:sz w:val="24"/>
        </w:rPr>
      </w:pPr>
      <w:r>
        <w:rPr>
          <w:rFonts w:hint="eastAsia" w:ascii="宋体" w:hAnsi="宋体"/>
          <w:color w:val="000000"/>
          <w:sz w:val="24"/>
        </w:rPr>
        <w:t>（比选响应单位公章）</w:t>
      </w:r>
    </w:p>
    <w:p>
      <w:pPr>
        <w:spacing w:line="360" w:lineRule="auto"/>
        <w:ind w:firstLine="6120" w:firstLineChars="2550"/>
        <w:rPr>
          <w:rFonts w:ascii="宋体" w:hAnsi="宋体"/>
          <w:color w:val="000000"/>
          <w:sz w:val="24"/>
        </w:rPr>
      </w:pPr>
      <w:r>
        <w:rPr>
          <w:rFonts w:hint="eastAsia" w:ascii="宋体" w:hAnsi="宋体"/>
          <w:color w:val="000000"/>
          <w:sz w:val="24"/>
        </w:rPr>
        <w:t>年   月   日</w:t>
      </w:r>
    </w:p>
    <w:p>
      <w:pPr>
        <w:spacing w:line="360" w:lineRule="auto"/>
        <w:rPr>
          <w:rFonts w:ascii="宋体" w:hAnsi="宋体"/>
          <w:b/>
          <w:bCs/>
          <w:color w:val="000000"/>
          <w:sz w:val="24"/>
        </w:rPr>
      </w:pPr>
    </w:p>
    <w:p>
      <w:pPr>
        <w:outlineLvl w:val="0"/>
        <w:rPr>
          <w:rFonts w:ascii="宋体" w:hAnsi="宋体" w:cs="Arial"/>
          <w:sz w:val="24"/>
        </w:rPr>
      </w:pPr>
      <w:r>
        <w:rPr>
          <w:rFonts w:hint="eastAsia" w:ascii="宋体" w:hAnsi="宋体" w:cs="Arial"/>
          <w:sz w:val="24"/>
        </w:rPr>
        <w:t>附报价单位授权代表人身份证复印件（正、反面，并加盖公章）</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r>
        <w:rPr>
          <w:rFonts w:hint="eastAsia" w:ascii="宋体" w:hAnsi="宋体" w:cs="Arial"/>
          <w:sz w:val="24"/>
        </w:rPr>
        <w:t>授权代表人身份证复印件（正面、反面）：</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b/>
          <w:sz w:val="24"/>
        </w:rPr>
      </w:pPr>
    </w:p>
    <w:p>
      <w:pPr>
        <w:outlineLvl w:val="0"/>
        <w:rPr>
          <w:rFonts w:ascii="宋体" w:hAnsi="宋体"/>
          <w:b/>
          <w:sz w:val="24"/>
        </w:rPr>
      </w:pPr>
    </w:p>
    <w:p>
      <w:pPr>
        <w:outlineLvl w:val="0"/>
        <w:rPr>
          <w:rFonts w:ascii="宋体" w:hAnsi="宋体"/>
          <w:b/>
          <w:sz w:val="24"/>
        </w:rPr>
      </w:pPr>
    </w:p>
    <w:p>
      <w:pPr>
        <w:outlineLvl w:val="0"/>
        <w:rPr>
          <w:rFonts w:ascii="宋体" w:hAnsi="宋体"/>
          <w:b/>
          <w:sz w:val="24"/>
        </w:rPr>
      </w:pPr>
    </w:p>
    <w:p>
      <w:pPr>
        <w:outlineLvl w:val="0"/>
        <w:rPr>
          <w:rFonts w:ascii="宋体" w:hAnsi="宋体"/>
          <w:b/>
          <w:sz w:val="24"/>
        </w:rPr>
      </w:pPr>
    </w:p>
    <w:p>
      <w:pPr>
        <w:outlineLvl w:val="0"/>
        <w:rPr>
          <w:rFonts w:ascii="宋体" w:hAnsi="宋体"/>
          <w:b/>
          <w:sz w:val="24"/>
        </w:rPr>
      </w:pPr>
    </w:p>
    <w:p>
      <w:pPr>
        <w:outlineLvl w:val="0"/>
        <w:rPr>
          <w:rFonts w:ascii="宋体" w:hAnsi="宋体"/>
          <w:b/>
          <w:sz w:val="24"/>
        </w:rPr>
      </w:pPr>
    </w:p>
    <w:p>
      <w:pPr>
        <w:outlineLvl w:val="0"/>
        <w:rPr>
          <w:rFonts w:ascii="宋体" w:hAnsi="宋体"/>
          <w:b/>
          <w:sz w:val="24"/>
        </w:rPr>
      </w:pPr>
    </w:p>
    <w:p>
      <w:pPr>
        <w:rPr>
          <w:rFonts w:ascii="宋体" w:hAnsi="宋体"/>
          <w:b/>
          <w:sz w:val="24"/>
        </w:rPr>
      </w:pPr>
      <w:r>
        <w:rPr>
          <w:rFonts w:hint="eastAsia" w:ascii="宋体" w:hAnsi="宋体"/>
          <w:b/>
          <w:sz w:val="24"/>
        </w:rPr>
        <w:br w:type="page"/>
      </w:r>
    </w:p>
    <w:p>
      <w:pPr>
        <w:outlineLvl w:val="0"/>
        <w:rPr>
          <w:rFonts w:ascii="宋体" w:hAnsi="宋体"/>
          <w:b/>
          <w:sz w:val="24"/>
        </w:rPr>
      </w:pPr>
      <w:r>
        <w:rPr>
          <w:rFonts w:hint="eastAsia" w:ascii="宋体" w:hAnsi="宋体"/>
          <w:b/>
          <w:sz w:val="24"/>
        </w:rPr>
        <w:t>附件</w:t>
      </w:r>
      <w:r>
        <w:rPr>
          <w:rFonts w:ascii="宋体" w:hAnsi="宋体"/>
          <w:b/>
          <w:sz w:val="24"/>
        </w:rPr>
        <w:t>4</w:t>
      </w:r>
    </w:p>
    <w:p>
      <w:pPr>
        <w:jc w:val="center"/>
        <w:outlineLvl w:val="0"/>
        <w:rPr>
          <w:rFonts w:ascii="宋体" w:hAnsi="宋体" w:cs="Arial"/>
          <w:sz w:val="24"/>
        </w:rPr>
      </w:pPr>
      <w:r>
        <w:rPr>
          <w:rFonts w:hint="eastAsia" w:ascii="宋体" w:hAnsi="宋体" w:cs="Arial"/>
          <w:b/>
          <w:sz w:val="32"/>
          <w:szCs w:val="32"/>
        </w:rPr>
        <w:t>竞选人其他响应文件</w:t>
      </w:r>
    </w:p>
    <w:p>
      <w:pPr>
        <w:jc w:val="center"/>
        <w:outlineLvl w:val="0"/>
        <w:rPr>
          <w:rFonts w:ascii="宋体" w:hAnsi="宋体" w:cs="Arial"/>
          <w:sz w:val="24"/>
        </w:rPr>
      </w:pPr>
      <w:r>
        <w:rPr>
          <w:rFonts w:hint="eastAsia" w:ascii="宋体" w:hAnsi="宋体" w:cs="Arial"/>
          <w:sz w:val="24"/>
        </w:rPr>
        <w:t>（营业执照、承诺函、信誉证明、技术参数响应、技术方案等）</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spacing w:line="620" w:lineRule="exact"/>
        <w:outlineLvl w:val="0"/>
        <w:rPr>
          <w:rFonts w:ascii="宋体" w:hAnsi="宋体"/>
          <w:b/>
          <w:sz w:val="24"/>
        </w:rPr>
      </w:pPr>
    </w:p>
    <w:p/>
    <w:sectPr>
      <w:headerReference r:id="rId3" w:type="default"/>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2071B"/>
    <w:multiLevelType w:val="singleLevel"/>
    <w:tmpl w:val="7482071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mYmRjZTdjOTk5ODNjOTE3ZDlhYThhMDk1MDYyMzYifQ=="/>
  </w:docVars>
  <w:rsids>
    <w:rsidRoot w:val="47A05F66"/>
    <w:rsid w:val="00023D9A"/>
    <w:rsid w:val="00075157"/>
    <w:rsid w:val="000771BF"/>
    <w:rsid w:val="000E509C"/>
    <w:rsid w:val="00136AE3"/>
    <w:rsid w:val="00162A2A"/>
    <w:rsid w:val="00172B41"/>
    <w:rsid w:val="001B3D14"/>
    <w:rsid w:val="00297D80"/>
    <w:rsid w:val="003547FF"/>
    <w:rsid w:val="0036229C"/>
    <w:rsid w:val="00363CBE"/>
    <w:rsid w:val="00373709"/>
    <w:rsid w:val="003D6978"/>
    <w:rsid w:val="003F7733"/>
    <w:rsid w:val="0042033E"/>
    <w:rsid w:val="00434B9B"/>
    <w:rsid w:val="00497BB1"/>
    <w:rsid w:val="004A47B5"/>
    <w:rsid w:val="004B2047"/>
    <w:rsid w:val="004C1986"/>
    <w:rsid w:val="004D3798"/>
    <w:rsid w:val="004E41FF"/>
    <w:rsid w:val="004F4519"/>
    <w:rsid w:val="0053644A"/>
    <w:rsid w:val="00555CE7"/>
    <w:rsid w:val="005819DA"/>
    <w:rsid w:val="00582B54"/>
    <w:rsid w:val="005942BF"/>
    <w:rsid w:val="005E237F"/>
    <w:rsid w:val="005E7DA1"/>
    <w:rsid w:val="0062683A"/>
    <w:rsid w:val="006549FC"/>
    <w:rsid w:val="00662761"/>
    <w:rsid w:val="006A1BC9"/>
    <w:rsid w:val="00701B9B"/>
    <w:rsid w:val="00741326"/>
    <w:rsid w:val="00753405"/>
    <w:rsid w:val="00783350"/>
    <w:rsid w:val="007A068A"/>
    <w:rsid w:val="007B04F2"/>
    <w:rsid w:val="007D34E3"/>
    <w:rsid w:val="007D5B87"/>
    <w:rsid w:val="00802C24"/>
    <w:rsid w:val="00820B4D"/>
    <w:rsid w:val="00845C79"/>
    <w:rsid w:val="00851885"/>
    <w:rsid w:val="008E03B9"/>
    <w:rsid w:val="00925505"/>
    <w:rsid w:val="00947C22"/>
    <w:rsid w:val="00984F55"/>
    <w:rsid w:val="00990559"/>
    <w:rsid w:val="009D0314"/>
    <w:rsid w:val="00A346C1"/>
    <w:rsid w:val="00A51279"/>
    <w:rsid w:val="00A52C4D"/>
    <w:rsid w:val="00A55C4C"/>
    <w:rsid w:val="00A93E2C"/>
    <w:rsid w:val="00AD05C5"/>
    <w:rsid w:val="00B079CD"/>
    <w:rsid w:val="00B30FC3"/>
    <w:rsid w:val="00B427CD"/>
    <w:rsid w:val="00B51516"/>
    <w:rsid w:val="00B627A9"/>
    <w:rsid w:val="00B75712"/>
    <w:rsid w:val="00B844E8"/>
    <w:rsid w:val="00B92529"/>
    <w:rsid w:val="00BB08D7"/>
    <w:rsid w:val="00BC4239"/>
    <w:rsid w:val="00BD6BF8"/>
    <w:rsid w:val="00BE0B5F"/>
    <w:rsid w:val="00C56E8F"/>
    <w:rsid w:val="00D007E3"/>
    <w:rsid w:val="00D35AD5"/>
    <w:rsid w:val="00DC2EF3"/>
    <w:rsid w:val="00DD3B52"/>
    <w:rsid w:val="00E2576B"/>
    <w:rsid w:val="00E65C05"/>
    <w:rsid w:val="00E93065"/>
    <w:rsid w:val="00E94C27"/>
    <w:rsid w:val="00E966A8"/>
    <w:rsid w:val="00EC542D"/>
    <w:rsid w:val="00F40B68"/>
    <w:rsid w:val="00F76554"/>
    <w:rsid w:val="015E326E"/>
    <w:rsid w:val="01A36407"/>
    <w:rsid w:val="02921CBF"/>
    <w:rsid w:val="03302B3B"/>
    <w:rsid w:val="0356048A"/>
    <w:rsid w:val="03EE47CE"/>
    <w:rsid w:val="048B7AC1"/>
    <w:rsid w:val="04CC1D57"/>
    <w:rsid w:val="04FA19E1"/>
    <w:rsid w:val="051374DB"/>
    <w:rsid w:val="05E76E48"/>
    <w:rsid w:val="05EA3AC3"/>
    <w:rsid w:val="06A07090"/>
    <w:rsid w:val="08E218D8"/>
    <w:rsid w:val="09440A55"/>
    <w:rsid w:val="094A4134"/>
    <w:rsid w:val="09DD70BF"/>
    <w:rsid w:val="0ACD1925"/>
    <w:rsid w:val="0AFB6211"/>
    <w:rsid w:val="0B4A0F03"/>
    <w:rsid w:val="0B8870FA"/>
    <w:rsid w:val="0C48260B"/>
    <w:rsid w:val="0C7C04A3"/>
    <w:rsid w:val="0CA36A10"/>
    <w:rsid w:val="0D054530"/>
    <w:rsid w:val="0DCE6135"/>
    <w:rsid w:val="0DDA01ED"/>
    <w:rsid w:val="0DE91A30"/>
    <w:rsid w:val="0E0E0115"/>
    <w:rsid w:val="0EDD61A7"/>
    <w:rsid w:val="102B64CB"/>
    <w:rsid w:val="10600F92"/>
    <w:rsid w:val="113972AE"/>
    <w:rsid w:val="11E12814"/>
    <w:rsid w:val="12094E60"/>
    <w:rsid w:val="14DB04C0"/>
    <w:rsid w:val="150C68CB"/>
    <w:rsid w:val="1537193D"/>
    <w:rsid w:val="166B1750"/>
    <w:rsid w:val="166E06D7"/>
    <w:rsid w:val="16F45725"/>
    <w:rsid w:val="170D7882"/>
    <w:rsid w:val="187F1162"/>
    <w:rsid w:val="19C75564"/>
    <w:rsid w:val="1B131728"/>
    <w:rsid w:val="1B1F5F89"/>
    <w:rsid w:val="1BB14D1F"/>
    <w:rsid w:val="1BED348E"/>
    <w:rsid w:val="1D855DB2"/>
    <w:rsid w:val="1DB453D3"/>
    <w:rsid w:val="1E964260"/>
    <w:rsid w:val="202B06EE"/>
    <w:rsid w:val="21B854BB"/>
    <w:rsid w:val="21EC5A19"/>
    <w:rsid w:val="22E5250A"/>
    <w:rsid w:val="23D127CA"/>
    <w:rsid w:val="23F15106"/>
    <w:rsid w:val="24A7154A"/>
    <w:rsid w:val="254209A0"/>
    <w:rsid w:val="26001E52"/>
    <w:rsid w:val="2632026B"/>
    <w:rsid w:val="26760DC1"/>
    <w:rsid w:val="26FF1358"/>
    <w:rsid w:val="27365A2A"/>
    <w:rsid w:val="278877B6"/>
    <w:rsid w:val="27F13704"/>
    <w:rsid w:val="2A844AEE"/>
    <w:rsid w:val="2B715282"/>
    <w:rsid w:val="2B956B57"/>
    <w:rsid w:val="2C047618"/>
    <w:rsid w:val="2E06135A"/>
    <w:rsid w:val="2FB9606F"/>
    <w:rsid w:val="30265178"/>
    <w:rsid w:val="30797214"/>
    <w:rsid w:val="30F23330"/>
    <w:rsid w:val="31374E13"/>
    <w:rsid w:val="3438165E"/>
    <w:rsid w:val="3576338F"/>
    <w:rsid w:val="3694575B"/>
    <w:rsid w:val="369A712F"/>
    <w:rsid w:val="36C05257"/>
    <w:rsid w:val="37886F2C"/>
    <w:rsid w:val="37B24C58"/>
    <w:rsid w:val="38131CE5"/>
    <w:rsid w:val="385D7B76"/>
    <w:rsid w:val="389F0D83"/>
    <w:rsid w:val="38FA3185"/>
    <w:rsid w:val="39D013C6"/>
    <w:rsid w:val="3A8D5E5F"/>
    <w:rsid w:val="3B1039F4"/>
    <w:rsid w:val="3B8F143F"/>
    <w:rsid w:val="3D8573D6"/>
    <w:rsid w:val="3DD302DB"/>
    <w:rsid w:val="3DF51DA3"/>
    <w:rsid w:val="3EC80422"/>
    <w:rsid w:val="3F082DDB"/>
    <w:rsid w:val="3FB25AB9"/>
    <w:rsid w:val="413E57AF"/>
    <w:rsid w:val="41807818"/>
    <w:rsid w:val="41A437AB"/>
    <w:rsid w:val="423A47D1"/>
    <w:rsid w:val="43BA6EF0"/>
    <w:rsid w:val="45185F4E"/>
    <w:rsid w:val="45953499"/>
    <w:rsid w:val="45CE5891"/>
    <w:rsid w:val="462B5205"/>
    <w:rsid w:val="46AA5D04"/>
    <w:rsid w:val="47A05F66"/>
    <w:rsid w:val="47FA2D23"/>
    <w:rsid w:val="482340D5"/>
    <w:rsid w:val="49A709E7"/>
    <w:rsid w:val="49C528FC"/>
    <w:rsid w:val="4ACA524A"/>
    <w:rsid w:val="4AEE0660"/>
    <w:rsid w:val="4B475260"/>
    <w:rsid w:val="4BBB220E"/>
    <w:rsid w:val="4CC14F3D"/>
    <w:rsid w:val="4CCA1049"/>
    <w:rsid w:val="4CE43F14"/>
    <w:rsid w:val="4D44709E"/>
    <w:rsid w:val="51262A13"/>
    <w:rsid w:val="521B275E"/>
    <w:rsid w:val="523F3673"/>
    <w:rsid w:val="524D3F4A"/>
    <w:rsid w:val="53A21BCD"/>
    <w:rsid w:val="54955448"/>
    <w:rsid w:val="54AD00EB"/>
    <w:rsid w:val="55411942"/>
    <w:rsid w:val="55A71EAD"/>
    <w:rsid w:val="565A22EB"/>
    <w:rsid w:val="56880145"/>
    <w:rsid w:val="5693026B"/>
    <w:rsid w:val="56AD3814"/>
    <w:rsid w:val="57B54475"/>
    <w:rsid w:val="58480CE5"/>
    <w:rsid w:val="597E5292"/>
    <w:rsid w:val="59AF6218"/>
    <w:rsid w:val="5A134FD6"/>
    <w:rsid w:val="5AA37FD2"/>
    <w:rsid w:val="5BED535D"/>
    <w:rsid w:val="5E0D3125"/>
    <w:rsid w:val="5F107DE8"/>
    <w:rsid w:val="5FF84DBC"/>
    <w:rsid w:val="600E6D8A"/>
    <w:rsid w:val="61091396"/>
    <w:rsid w:val="61533EBB"/>
    <w:rsid w:val="6189502D"/>
    <w:rsid w:val="62127610"/>
    <w:rsid w:val="63A2336C"/>
    <w:rsid w:val="64846D56"/>
    <w:rsid w:val="64EA2395"/>
    <w:rsid w:val="64F53977"/>
    <w:rsid w:val="655D5D33"/>
    <w:rsid w:val="662A244F"/>
    <w:rsid w:val="665E205D"/>
    <w:rsid w:val="669D3637"/>
    <w:rsid w:val="66C31925"/>
    <w:rsid w:val="677E3EE0"/>
    <w:rsid w:val="67BF6452"/>
    <w:rsid w:val="67F9525D"/>
    <w:rsid w:val="680E5A27"/>
    <w:rsid w:val="684B531A"/>
    <w:rsid w:val="696503D1"/>
    <w:rsid w:val="6A1C2A35"/>
    <w:rsid w:val="6A3824EC"/>
    <w:rsid w:val="6D314290"/>
    <w:rsid w:val="6D3B6D41"/>
    <w:rsid w:val="6D51792F"/>
    <w:rsid w:val="6EA32BBA"/>
    <w:rsid w:val="6F05562B"/>
    <w:rsid w:val="6F441749"/>
    <w:rsid w:val="7076518D"/>
    <w:rsid w:val="70934F0E"/>
    <w:rsid w:val="70AF2081"/>
    <w:rsid w:val="71694579"/>
    <w:rsid w:val="71BD735E"/>
    <w:rsid w:val="71C74067"/>
    <w:rsid w:val="7231744C"/>
    <w:rsid w:val="72720576"/>
    <w:rsid w:val="73180529"/>
    <w:rsid w:val="73494404"/>
    <w:rsid w:val="73C80D84"/>
    <w:rsid w:val="748F004B"/>
    <w:rsid w:val="75170042"/>
    <w:rsid w:val="75C45305"/>
    <w:rsid w:val="76411D83"/>
    <w:rsid w:val="76424E1E"/>
    <w:rsid w:val="76FC10B2"/>
    <w:rsid w:val="77FB5EA5"/>
    <w:rsid w:val="78866EC3"/>
    <w:rsid w:val="79377D2F"/>
    <w:rsid w:val="7A231DF4"/>
    <w:rsid w:val="7ABC6D03"/>
    <w:rsid w:val="7ADA6647"/>
    <w:rsid w:val="7B346B4D"/>
    <w:rsid w:val="7B4C38D7"/>
    <w:rsid w:val="7B532CD3"/>
    <w:rsid w:val="7CBD4337"/>
    <w:rsid w:val="7CE85E00"/>
    <w:rsid w:val="7D4A2097"/>
    <w:rsid w:val="7EF95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napToGrid w:val="0"/>
      <w:spacing w:line="520" w:lineRule="exact"/>
      <w:jc w:val="center"/>
      <w:outlineLvl w:val="0"/>
    </w:pPr>
    <w:rPr>
      <w:rFonts w:eastAsia="方正小标宋_GBK" w:asciiTheme="minorHAnsi" w:hAnsiTheme="minorHAnsi"/>
      <w:kern w:val="44"/>
      <w:sz w:val="44"/>
    </w:rPr>
  </w:style>
  <w:style w:type="paragraph" w:styleId="4">
    <w:name w:val="heading 3"/>
    <w:basedOn w:val="1"/>
    <w:next w:val="1"/>
    <w:autoRedefine/>
    <w:qFormat/>
    <w:uiPriority w:val="0"/>
    <w:pPr>
      <w:keepNext/>
      <w:keepLines/>
      <w:spacing w:before="260" w:after="260" w:line="415" w:lineRule="auto"/>
      <w:outlineLvl w:val="2"/>
    </w:pPr>
    <w:rPr>
      <w:rFonts w:ascii="Times New Roman" w:hAnsi="Times New Roman"/>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仿宋_GB2312"/>
      <w:b/>
      <w:bCs/>
      <w:sz w:val="40"/>
    </w:rPr>
  </w:style>
  <w:style w:type="paragraph" w:styleId="5">
    <w:name w:val="Normal Indent"/>
    <w:basedOn w:val="1"/>
    <w:next w:val="1"/>
    <w:autoRedefine/>
    <w:unhideWhenUsed/>
    <w:qFormat/>
    <w:uiPriority w:val="99"/>
    <w:pPr>
      <w:widowControl/>
      <w:ind w:firstLine="420" w:firstLineChars="200"/>
      <w:jc w:val="left"/>
    </w:pPr>
    <w:rPr>
      <w:rFonts w:ascii="Arial" w:hAnsi="Arial" w:eastAsia="Arial" w:cs="Arial"/>
      <w:kern w:val="0"/>
      <w:sz w:val="20"/>
      <w:szCs w:val="20"/>
    </w:rPr>
  </w:style>
  <w:style w:type="paragraph" w:styleId="6">
    <w:name w:val="Plain Text"/>
    <w:basedOn w:val="1"/>
    <w:link w:val="25"/>
    <w:autoRedefine/>
    <w:unhideWhenUsed/>
    <w:qFormat/>
    <w:uiPriority w:val="99"/>
    <w:rPr>
      <w:rFonts w:ascii="宋体" w:hAnsi="Courier New"/>
      <w:szCs w:val="21"/>
    </w:rPr>
  </w:style>
  <w:style w:type="paragraph" w:styleId="7">
    <w:name w:val="Date"/>
    <w:basedOn w:val="1"/>
    <w:next w:val="1"/>
    <w:link w:val="26"/>
    <w:autoRedefine/>
    <w:qFormat/>
    <w:uiPriority w:val="0"/>
    <w:pPr>
      <w:ind w:left="100" w:leftChars="2500"/>
    </w:pPr>
    <w:rPr>
      <w:rFonts w:asciiTheme="minorHAnsi" w:hAnsiTheme="minorHAnsi"/>
      <w:szCs w:val="22"/>
    </w:rPr>
  </w:style>
  <w:style w:type="paragraph" w:styleId="8">
    <w:name w:val="Balloon Text"/>
    <w:basedOn w:val="1"/>
    <w:link w:val="24"/>
    <w:autoRedefine/>
    <w:qFormat/>
    <w:uiPriority w:val="0"/>
    <w:rPr>
      <w:sz w:val="18"/>
      <w:szCs w:val="18"/>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tabs>
        <w:tab w:val="right" w:leader="dot" w:pos="8805"/>
      </w:tabs>
      <w:spacing w:line="440" w:lineRule="exact"/>
      <w:jc w:val="center"/>
    </w:pPr>
    <w:rPr>
      <w:color w:val="000000"/>
      <w:sz w:val="20"/>
      <w:szCs w:val="20"/>
    </w:rPr>
  </w:style>
  <w:style w:type="paragraph" w:styleId="12">
    <w:name w:val="index 1"/>
    <w:basedOn w:val="1"/>
    <w:next w:val="1"/>
    <w:autoRedefine/>
    <w:semiHidden/>
    <w:qFormat/>
    <w:uiPriority w:val="0"/>
    <w:pPr>
      <w:spacing w:line="360" w:lineRule="auto"/>
      <w:jc w:val="center"/>
    </w:pPr>
    <w:rPr>
      <w:rFonts w:ascii="宋体" w:hAnsi="Arial" w:cs="Arial"/>
      <w:b/>
      <w:color w:val="000000"/>
      <w:sz w:val="24"/>
    </w:rPr>
  </w:style>
  <w:style w:type="paragraph" w:styleId="13">
    <w:name w:val="Body Text First Indent"/>
    <w:basedOn w:val="2"/>
    <w:next w:val="1"/>
    <w:autoRedefine/>
    <w:qFormat/>
    <w:uiPriority w:val="0"/>
    <w:pPr>
      <w:spacing w:after="120"/>
      <w:ind w:firstLine="420" w:firstLineChars="100"/>
    </w:pPr>
    <w:rPr>
      <w:rFonts w:eastAsia="宋体"/>
      <w:sz w:val="21"/>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Hyperlink"/>
    <w:autoRedefine/>
    <w:qFormat/>
    <w:uiPriority w:val="99"/>
    <w:rPr>
      <w:color w:val="0000FF"/>
      <w:u w:val="single"/>
    </w:rPr>
  </w:style>
  <w:style w:type="paragraph" w:customStyle="1" w:styleId="20">
    <w:name w:val="Default"/>
    <w:next w:val="1"/>
    <w:autoRedefine/>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1">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22">
    <w:name w:val="列出段落1"/>
    <w:basedOn w:val="1"/>
    <w:autoRedefine/>
    <w:qFormat/>
    <w:uiPriority w:val="34"/>
    <w:pPr>
      <w:ind w:firstLine="420" w:firstLineChars="200"/>
    </w:pPr>
  </w:style>
  <w:style w:type="character" w:customStyle="1" w:styleId="23">
    <w:name w:val="页眉 Char"/>
    <w:basedOn w:val="16"/>
    <w:link w:val="10"/>
    <w:autoRedefine/>
    <w:qFormat/>
    <w:uiPriority w:val="99"/>
    <w:rPr>
      <w:rFonts w:ascii="Calibri" w:hAnsi="Calibri" w:eastAsiaTheme="minorEastAsia" w:cstheme="minorBidi"/>
      <w:kern w:val="2"/>
      <w:sz w:val="18"/>
      <w:szCs w:val="18"/>
    </w:rPr>
  </w:style>
  <w:style w:type="character" w:customStyle="1" w:styleId="24">
    <w:name w:val="批注框文本 Char"/>
    <w:basedOn w:val="16"/>
    <w:link w:val="8"/>
    <w:autoRedefine/>
    <w:qFormat/>
    <w:uiPriority w:val="0"/>
    <w:rPr>
      <w:rFonts w:ascii="Calibri" w:hAnsi="Calibri" w:eastAsiaTheme="minorEastAsia" w:cstheme="minorBidi"/>
      <w:kern w:val="2"/>
      <w:sz w:val="18"/>
      <w:szCs w:val="18"/>
    </w:rPr>
  </w:style>
  <w:style w:type="character" w:customStyle="1" w:styleId="25">
    <w:name w:val="纯文本 Char"/>
    <w:basedOn w:val="16"/>
    <w:link w:val="6"/>
    <w:autoRedefine/>
    <w:qFormat/>
    <w:uiPriority w:val="99"/>
    <w:rPr>
      <w:rFonts w:ascii="宋体" w:hAnsi="Courier New" w:eastAsiaTheme="minorEastAsia" w:cstheme="minorBidi"/>
      <w:kern w:val="2"/>
      <w:sz w:val="21"/>
      <w:szCs w:val="21"/>
    </w:rPr>
  </w:style>
  <w:style w:type="character" w:customStyle="1" w:styleId="26">
    <w:name w:val="日期 Char"/>
    <w:basedOn w:val="16"/>
    <w:link w:val="7"/>
    <w:autoRedefine/>
    <w:qFormat/>
    <w:uiPriority w:val="0"/>
    <w:rPr>
      <w:rFonts w:asciiTheme="minorHAnsi" w:hAnsiTheme="minorHAnsi" w:eastAsiaTheme="minorEastAsia" w:cstheme="minorBidi"/>
      <w:kern w:val="2"/>
      <w:sz w:val="21"/>
      <w:szCs w:val="22"/>
    </w:rPr>
  </w:style>
  <w:style w:type="character" w:customStyle="1" w:styleId="27">
    <w:name w:val="页脚 Char"/>
    <w:basedOn w:val="16"/>
    <w:link w:val="9"/>
    <w:autoRedefine/>
    <w:qFormat/>
    <w:uiPriority w:val="99"/>
    <w:rPr>
      <w:rFonts w:ascii="Calibri" w:hAnsi="Calibri" w:eastAsiaTheme="minorEastAsia" w:cstheme="minorBidi"/>
      <w:kern w:val="2"/>
      <w:sz w:val="18"/>
      <w:szCs w:val="18"/>
    </w:rPr>
  </w:style>
  <w:style w:type="paragraph" w:customStyle="1" w:styleId="28">
    <w:name w:val="正文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列出段落2"/>
    <w:basedOn w:val="1"/>
    <w:autoRedefine/>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0">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UserStyle_187"/>
    <w:autoRedefine/>
    <w:qFormat/>
    <w:uiPriority w:val="0"/>
    <w:rPr>
      <w:kern w:val="2"/>
      <w:sz w:val="28"/>
      <w:lang w:val="en-US" w:eastAsia="zh-CN" w:bidi="ar-SA"/>
    </w:rPr>
  </w:style>
  <w:style w:type="paragraph" w:customStyle="1" w:styleId="32">
    <w:name w:val="Table Paragraph"/>
    <w:basedOn w:val="1"/>
    <w:autoRedefine/>
    <w:qFormat/>
    <w:uiPriority w:val="1"/>
    <w:pPr>
      <w:widowControl/>
      <w:jc w:val="left"/>
    </w:pPr>
    <w:rPr>
      <w:rFonts w:ascii="Arial" w:hAnsi="Arial" w:eastAsia="Arial" w:cs="Arial"/>
      <w:kern w:val="0"/>
      <w:sz w:val="20"/>
      <w:szCs w:val="20"/>
    </w:rPr>
  </w:style>
  <w:style w:type="paragraph" w:customStyle="1" w:styleId="33">
    <w:name w:val="TI-42.正文注释说明"/>
    <w:basedOn w:val="1"/>
    <w:autoRedefine/>
    <w:qFormat/>
    <w:uiPriority w:val="0"/>
    <w:pPr>
      <w:widowControl/>
      <w:spacing w:line="360" w:lineRule="auto"/>
      <w:ind w:left="200" w:leftChars="200"/>
      <w:jc w:val="left"/>
    </w:pPr>
    <w:rPr>
      <w:rFonts w:ascii="Arial" w:hAnsi="Arial" w:eastAsia="宋体" w:cs="Times New Roman"/>
      <w:kern w:val="0"/>
      <w:sz w:val="20"/>
      <w:szCs w:val="21"/>
    </w:rPr>
  </w:style>
  <w:style w:type="paragraph" w:styleId="34">
    <w:name w:val="List Paragraph"/>
    <w:basedOn w:val="1"/>
    <w:autoRedefine/>
    <w:unhideWhenUsed/>
    <w:qFormat/>
    <w:uiPriority w:val="99"/>
    <w:pPr>
      <w:ind w:firstLine="420" w:firstLineChars="200"/>
    </w:pPr>
  </w:style>
  <w:style w:type="character" w:customStyle="1" w:styleId="35">
    <w:name w:val="font31"/>
    <w:basedOn w:val="16"/>
    <w:autoRedefine/>
    <w:qFormat/>
    <w:uiPriority w:val="0"/>
    <w:rPr>
      <w:rFonts w:hint="eastAsia" w:ascii="宋体" w:hAnsi="宋体" w:eastAsia="宋体" w:cs="宋体"/>
      <w:color w:val="000000"/>
      <w:sz w:val="21"/>
      <w:szCs w:val="21"/>
      <w:u w:val="none"/>
    </w:rPr>
  </w:style>
  <w:style w:type="character" w:customStyle="1" w:styleId="36">
    <w:name w:val="font21"/>
    <w:basedOn w:val="16"/>
    <w:autoRedefine/>
    <w:qFormat/>
    <w:uiPriority w:val="0"/>
    <w:rPr>
      <w:rFonts w:hint="eastAsia" w:ascii="宋体" w:hAnsi="宋体" w:eastAsia="宋体" w:cs="宋体"/>
      <w:color w:val="000000"/>
      <w:sz w:val="21"/>
      <w:szCs w:val="21"/>
      <w:u w:val="single"/>
    </w:rPr>
  </w:style>
  <w:style w:type="character" w:customStyle="1" w:styleId="37">
    <w:name w:val="font51"/>
    <w:basedOn w:val="16"/>
    <w:autoRedefine/>
    <w:qFormat/>
    <w:uiPriority w:val="0"/>
    <w:rPr>
      <w:rFonts w:ascii="Arial" w:hAnsi="Arial" w:cs="Arial"/>
      <w:color w:val="000000"/>
      <w:sz w:val="21"/>
      <w:szCs w:val="21"/>
      <w:u w:val="none"/>
    </w:rPr>
  </w:style>
  <w:style w:type="character" w:customStyle="1" w:styleId="38">
    <w:name w:val="font41"/>
    <w:basedOn w:val="16"/>
    <w:autoRedefine/>
    <w:qFormat/>
    <w:uiPriority w:val="0"/>
    <w:rPr>
      <w:rFonts w:hint="eastAsia" w:ascii="宋体" w:hAnsi="宋体" w:eastAsia="宋体" w:cs="宋体"/>
      <w:color w:val="000000"/>
      <w:sz w:val="21"/>
      <w:szCs w:val="21"/>
      <w:u w:val="none"/>
    </w:rPr>
  </w:style>
  <w:style w:type="character" w:customStyle="1" w:styleId="39">
    <w:name w:val="font61"/>
    <w:basedOn w:val="16"/>
    <w:autoRedefine/>
    <w:qFormat/>
    <w:uiPriority w:val="0"/>
    <w:rPr>
      <w:rFonts w:hint="eastAsia" w:ascii="宋体" w:hAnsi="宋体" w:eastAsia="宋体" w:cs="宋体"/>
      <w:color w:val="000000"/>
      <w:sz w:val="21"/>
      <w:szCs w:val="21"/>
      <w:u w:val="single"/>
    </w:rPr>
  </w:style>
  <w:style w:type="character" w:customStyle="1" w:styleId="40">
    <w:name w:val="font71"/>
    <w:basedOn w:val="16"/>
    <w:autoRedefine/>
    <w:qFormat/>
    <w:uiPriority w:val="0"/>
    <w:rPr>
      <w:rFonts w:hint="eastAsia" w:ascii="宋体" w:hAnsi="宋体" w:eastAsia="宋体" w:cs="宋体"/>
      <w:color w:val="000000"/>
      <w:sz w:val="21"/>
      <w:szCs w:val="21"/>
      <w:u w:val="none"/>
      <w:vertAlign w:val="subscript"/>
    </w:rPr>
  </w:style>
  <w:style w:type="character" w:customStyle="1" w:styleId="41">
    <w:name w:val="font81"/>
    <w:basedOn w:val="16"/>
    <w:autoRedefine/>
    <w:qFormat/>
    <w:uiPriority w:val="0"/>
    <w:rPr>
      <w:rFonts w:hint="eastAsia" w:ascii="宋体" w:hAnsi="宋体" w:eastAsia="宋体" w:cs="宋体"/>
      <w:b/>
      <w:bCs/>
      <w:color w:val="000000"/>
      <w:sz w:val="21"/>
      <w:szCs w:val="21"/>
      <w:u w:val="none"/>
      <w:vertAlign w:val="subscript"/>
    </w:rPr>
  </w:style>
  <w:style w:type="character" w:customStyle="1" w:styleId="42">
    <w:name w:val="font11"/>
    <w:basedOn w:val="16"/>
    <w:autoRedefine/>
    <w:qFormat/>
    <w:uiPriority w:val="0"/>
    <w:rPr>
      <w:rFonts w:hint="eastAsia" w:ascii="宋体" w:hAnsi="宋体" w:eastAsia="宋体" w:cs="宋体"/>
      <w:b/>
      <w:bCs/>
      <w:color w:val="000000"/>
      <w:sz w:val="21"/>
      <w:szCs w:val="21"/>
      <w:u w:val="none"/>
    </w:rPr>
  </w:style>
  <w:style w:type="paragraph" w:customStyle="1" w:styleId="43">
    <w:name w:val="修订1"/>
    <w:autoRedefine/>
    <w:hidden/>
    <w:unhideWhenUsed/>
    <w:qFormat/>
    <w:uiPriority w:val="99"/>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955</Words>
  <Characters>5450</Characters>
  <Lines>45</Lines>
  <Paragraphs>12</Paragraphs>
  <TotalTime>59</TotalTime>
  <ScaleCrop>false</ScaleCrop>
  <LinksUpToDate>false</LinksUpToDate>
  <CharactersWithSpaces>6393</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2023-11-17T08:14:00Z</dcterms:created>
  <dc:creator>刘诗韵</dc:creator>
  <cp:lastModifiedBy>Administrator</cp:lastModifiedBy>
  <cp:lastPrinted>2023-11-24T07:05:00Z</cp:lastPrinted>
  <dcterms:modified xsi:type="dcterms:W3CDTF">2024-04-10T07:44:42Z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BF030B4482064AFFB6F383186C8EEE88</vt:lpwstr>
  </property>
  <property fmtid="{D5CDD505-2E9C-101B-9397-08002B2CF9AE}" pid="4" name="commondata">
    <vt:lpwstr>eyJoZGlkIjoiYjg4ODZjZTE0YjY5MzM5MzVlMzZlMTcxYjY2YmJiZjQifQ==</vt:lpwstr>
  </property>
</Properties>
</file>