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宋体" w:hAnsi="宋体" w:cs="宋体"/>
          <w:b/>
          <w:sz w:val="32"/>
          <w:szCs w:val="32"/>
        </w:rPr>
      </w:pPr>
    </w:p>
    <w:p>
      <w:pPr>
        <w:spacing w:line="400" w:lineRule="exact"/>
        <w:jc w:val="center"/>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2024年营运公司网络安全维护服务项目</w:t>
      </w:r>
      <w:r>
        <w:rPr>
          <w:rFonts w:hint="eastAsia" w:ascii="宋体" w:hAnsi="宋体" w:cs="宋体"/>
          <w:b/>
          <w:sz w:val="32"/>
          <w:szCs w:val="32"/>
        </w:rPr>
        <w:t xml:space="preserve"> </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lang w:eastAsia="zh-CN"/>
        </w:rPr>
        <w:t>2024</w:t>
      </w:r>
      <w:r>
        <w:rPr>
          <w:rFonts w:hint="eastAsia" w:ascii="宋体" w:hAnsi="宋体" w:cs="宋体"/>
          <w:b/>
          <w:sz w:val="28"/>
          <w:szCs w:val="28"/>
        </w:rPr>
        <w:t>年</w:t>
      </w:r>
      <w:r>
        <w:rPr>
          <w:rFonts w:hint="eastAsia" w:ascii="宋体" w:hAnsi="宋体" w:cs="宋体"/>
          <w:b/>
          <w:sz w:val="28"/>
          <w:szCs w:val="28"/>
          <w:u w:val="single"/>
          <w:lang w:val="en-US" w:eastAsia="zh-CN"/>
        </w:rPr>
        <w:t>6</w:t>
      </w:r>
      <w:r>
        <w:rPr>
          <w:rFonts w:hint="eastAsia" w:ascii="宋体" w:hAnsi="宋体" w:cs="宋体"/>
          <w:b/>
          <w:sz w:val="28"/>
          <w:szCs w:val="28"/>
        </w:rPr>
        <w:t>月</w:t>
      </w:r>
    </w:p>
    <w:p>
      <w:pPr>
        <w:jc w:val="center"/>
        <w:rPr>
          <w:rFonts w:ascii="宋体" w:hAnsi="宋体" w:cs="宋体"/>
          <w:szCs w:val="21"/>
        </w:rPr>
      </w:pPr>
      <w:r>
        <w:br w:type="page"/>
      </w:r>
      <w:bookmarkStart w:id="0" w:name="_Toc247085669"/>
      <w:bookmarkStart w:id="1" w:name="_Toc507428442"/>
      <w:bookmarkStart w:id="2" w:name="_Toc507319889"/>
      <w:bookmarkStart w:id="3" w:name="_Toc246996898"/>
      <w:bookmarkStart w:id="4" w:name="_Toc296602400"/>
      <w:r>
        <w:rPr>
          <w:rFonts w:hint="eastAsia" w:ascii="宋体" w:hAnsi="宋体" w:cs="宋体"/>
          <w:sz w:val="32"/>
        </w:rPr>
        <w:t>目   录</w:t>
      </w:r>
      <w:bookmarkEnd w:id="0"/>
      <w:bookmarkEnd w:id="1"/>
      <w:bookmarkEnd w:id="2"/>
      <w:bookmarkEnd w:id="3"/>
      <w:bookmarkEnd w:id="4"/>
    </w:p>
    <w:p>
      <w:pPr>
        <w:tabs>
          <w:tab w:val="right" w:leader="dot" w:pos="9638"/>
        </w:tabs>
      </w:pPr>
      <w:r>
        <w:rPr>
          <w:rFonts w:hint="eastAsia" w:ascii="宋体" w:hAnsi="宋体" w:cs="宋体"/>
          <w:b/>
        </w:rPr>
        <w:fldChar w:fldCharType="begin"/>
      </w:r>
      <w:r>
        <w:rPr>
          <w:rFonts w:hint="eastAsia" w:ascii="宋体" w:hAnsi="宋体" w:cs="宋体"/>
        </w:rPr>
        <w:instrText xml:space="preserve"> TOC \o "1-2" \h \z \u </w:instrText>
      </w:r>
      <w:r>
        <w:rPr>
          <w:rFonts w:hint="eastAsia" w:ascii="宋体" w:hAnsi="宋体" w:cs="宋体"/>
          <w:b/>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评标办法（经评审的最低投标价法）</w:t>
      </w:r>
      <w:r>
        <w:tab/>
      </w:r>
      <w:r>
        <w:fldChar w:fldCharType="end"/>
      </w:r>
    </w:p>
    <w:p>
      <w:pPr>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w:t>
      </w:r>
      <w:r>
        <w:tab/>
      </w:r>
      <w:r>
        <w:fldChar w:fldCharType="end"/>
      </w:r>
    </w:p>
    <w:p>
      <w:pPr>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tabs>
          <w:tab w:val="right" w:leader="dot" w:pos="9638"/>
        </w:tabs>
      </w:pPr>
      <w:r>
        <w:fldChar w:fldCharType="begin"/>
      </w:r>
      <w:r>
        <w:instrText xml:space="preserve"> HYPERLINK \l "_Toc12089" </w:instrText>
      </w:r>
      <w:r>
        <w:fldChar w:fldCharType="separate"/>
      </w:r>
      <w:r>
        <w:rPr>
          <w:rFonts w:hint="eastAsia" w:ascii="宋体" w:hAnsi="宋体" w:cs="宋体"/>
        </w:rPr>
        <w:t>第八章  合同范本</w:t>
      </w:r>
      <w:r>
        <w:tab/>
      </w:r>
      <w:r>
        <w:fldChar w:fldCharType="end"/>
      </w:r>
    </w:p>
    <w:p>
      <w:pPr>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
      <w:pPr>
        <w:tabs>
          <w:tab w:val="right" w:leader="dot" w:pos="9628"/>
        </w:tabs>
        <w:jc w:val="left"/>
        <w:rPr>
          <w:rFonts w:ascii="宋体" w:hAnsi="宋体" w:cs="宋体"/>
          <w:b/>
          <w:bCs/>
          <w:caps/>
          <w:smallCaps/>
          <w:sz w:val="20"/>
          <w:szCs w:val="20"/>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smallCaps/>
          <w:sz w:val="20"/>
          <w:szCs w:val="20"/>
        </w:rPr>
        <w:fldChar w:fldCharType="end"/>
      </w:r>
    </w:p>
    <w:p>
      <w:pPr>
        <w:keepNext/>
        <w:keepLines/>
        <w:spacing w:line="360" w:lineRule="auto"/>
        <w:jc w:val="center"/>
        <w:outlineLvl w:val="0"/>
        <w:rPr>
          <w:rFonts w:ascii="宋体" w:hAnsi="宋体" w:cs="宋体"/>
          <w:b/>
          <w:bCs/>
          <w:kern w:val="44"/>
          <w:sz w:val="44"/>
          <w:szCs w:val="44"/>
        </w:rPr>
      </w:pPr>
      <w:bookmarkStart w:id="5" w:name="_Toc507319890"/>
      <w:bookmarkStart w:id="6" w:name="_Toc2000404"/>
      <w:bookmarkStart w:id="7" w:name="_Toc247096243"/>
      <w:bookmarkStart w:id="8" w:name="_Toc144974479"/>
      <w:bookmarkStart w:id="9" w:name="_Toc246996900"/>
      <w:bookmarkStart w:id="10" w:name="_Toc246996157"/>
      <w:bookmarkStart w:id="11" w:name="_Toc152042287"/>
      <w:bookmarkStart w:id="12" w:name="_Toc152045511"/>
      <w:bookmarkStart w:id="13" w:name="_Toc179632527"/>
      <w:bookmarkStart w:id="14" w:name="_Toc247085671"/>
      <w:bookmarkStart w:id="15" w:name="_Toc10533"/>
      <w:r>
        <w:rPr>
          <w:rFonts w:hint="eastAsia" w:ascii="宋体" w:hAnsi="宋体" w:cs="宋体"/>
          <w:b/>
          <w:bCs/>
          <w:kern w:val="44"/>
          <w:sz w:val="44"/>
          <w:szCs w:val="44"/>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b/>
          <w:bCs/>
          <w:kern w:val="44"/>
          <w:sz w:val="44"/>
          <w:szCs w:val="44"/>
        </w:rPr>
        <w:t>比选公告</w:t>
      </w:r>
      <w:bookmarkEnd w:id="15"/>
    </w:p>
    <w:p>
      <w:pPr>
        <w:spacing w:line="440" w:lineRule="exact"/>
        <w:jc w:val="center"/>
        <w:rPr>
          <w:rFonts w:ascii="宋体" w:hAnsi="宋体" w:cs="宋体"/>
          <w:b/>
          <w:sz w:val="28"/>
          <w:szCs w:val="28"/>
        </w:rPr>
      </w:pPr>
      <w:bookmarkStart w:id="16" w:name="OLE_LINK3"/>
      <w:bookmarkStart w:id="17" w:name="OLE_LINK2"/>
    </w:p>
    <w:p>
      <w:pPr>
        <w:keepNext/>
        <w:keepLines/>
        <w:spacing w:line="360" w:lineRule="auto"/>
        <w:outlineLvl w:val="1"/>
        <w:rPr>
          <w:rFonts w:ascii="宋体" w:hAnsi="宋体" w:cs="宋体"/>
          <w:b/>
          <w:bCs/>
          <w:kern w:val="0"/>
          <w:sz w:val="32"/>
          <w:szCs w:val="32"/>
        </w:rPr>
      </w:pPr>
      <w:bookmarkStart w:id="18" w:name="_Toc24874"/>
      <w:bookmarkStart w:id="19" w:name="_Toc152045512"/>
      <w:bookmarkStart w:id="20" w:name="_Toc144974480"/>
      <w:bookmarkStart w:id="21" w:name="_Toc246996158"/>
      <w:bookmarkStart w:id="22" w:name="_Toc11329213"/>
      <w:bookmarkStart w:id="23" w:name="_Toc179632528"/>
      <w:bookmarkStart w:id="24" w:name="_Toc507319891"/>
      <w:bookmarkStart w:id="25" w:name="_Toc152042288"/>
      <w:bookmarkStart w:id="26" w:name="_Toc247085672"/>
      <w:bookmarkStart w:id="27" w:name="_Toc246996901"/>
      <w:bookmarkStart w:id="28" w:name="_Toc6549"/>
      <w:bookmarkStart w:id="29" w:name="_Toc10076"/>
      <w:r>
        <w:rPr>
          <w:rFonts w:hint="eastAsia" w:ascii="宋体" w:hAnsi="宋体" w:cs="宋体"/>
          <w:b/>
          <w:bCs/>
          <w:kern w:val="0"/>
          <w:sz w:val="32"/>
          <w:szCs w:val="32"/>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2024年营运公司网络安全维护服务项目</w:t>
      </w:r>
      <w:r>
        <w:rPr>
          <w:rFonts w:hint="eastAsia" w:ascii="宋体" w:hAnsi="宋体" w:cs="宋体"/>
          <w:szCs w:val="21"/>
          <w:u w:val="single"/>
        </w:rPr>
        <w:t xml:space="preserve"> </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keepNext/>
        <w:keepLines/>
        <w:spacing w:before="120" w:line="360" w:lineRule="auto"/>
        <w:outlineLvl w:val="1"/>
        <w:rPr>
          <w:rFonts w:ascii="宋体" w:hAnsi="宋体" w:cs="宋体"/>
          <w:b/>
          <w:bCs/>
          <w:kern w:val="0"/>
          <w:sz w:val="32"/>
          <w:szCs w:val="32"/>
        </w:rPr>
      </w:pPr>
      <w:bookmarkStart w:id="30" w:name="_Toc179632529"/>
      <w:bookmarkStart w:id="31" w:name="_Toc18109"/>
      <w:bookmarkStart w:id="32" w:name="_Toc246996902"/>
      <w:bookmarkStart w:id="33" w:name="_Toc152045513"/>
      <w:bookmarkStart w:id="34" w:name="_Toc507319892"/>
      <w:bookmarkStart w:id="35" w:name="_Toc11329214"/>
      <w:bookmarkStart w:id="36" w:name="_Toc247085673"/>
      <w:bookmarkStart w:id="37" w:name="_Toc144974481"/>
      <w:bookmarkStart w:id="38" w:name="_Toc152042289"/>
      <w:bookmarkStart w:id="39" w:name="_Toc10952"/>
      <w:bookmarkStart w:id="40" w:name="_Toc246996159"/>
      <w:bookmarkStart w:id="41" w:name="_Toc21343"/>
      <w:r>
        <w:rPr>
          <w:rFonts w:hint="eastAsia" w:ascii="宋体" w:hAnsi="宋体" w:cs="宋体"/>
          <w:b/>
          <w:bCs/>
          <w:kern w:val="0"/>
          <w:sz w:val="32"/>
          <w:szCs w:val="32"/>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u w:val="single"/>
        </w:rPr>
        <w:t>中西部、东北部、东南部所辖路段。</w:t>
      </w:r>
    </w:p>
    <w:p>
      <w:pPr>
        <w:adjustRightInd w:val="0"/>
        <w:spacing w:line="400" w:lineRule="exact"/>
        <w:ind w:firstLine="420" w:firstLineChars="200"/>
        <w:rPr>
          <w:rFonts w:ascii="宋体" w:hAnsi="宋体" w:cs="宋体"/>
        </w:rPr>
      </w:pPr>
      <w:r>
        <w:rPr>
          <w:rFonts w:hint="eastAsia" w:ascii="宋体" w:hAnsi="宋体" w:cs="宋体"/>
          <w:szCs w:val="21"/>
        </w:rPr>
        <w:t>2.2 项目概况：照国家及行业相关政策要求以及国内国际权威安全管理体系标准，结合工作实际，配合业主单位完善和修订网络安全制度、应急预案、个人信息管理办法等相关安全管理制度，完善安全管理体系，并对制度的可实施性、可操作性提出相关合理建议等服务。具体见技术标准和工作要求。</w:t>
      </w:r>
    </w:p>
    <w:p>
      <w:pPr>
        <w:adjustRightInd w:val="0"/>
        <w:spacing w:line="400" w:lineRule="exact"/>
        <w:ind w:firstLine="420" w:firstLineChars="200"/>
        <w:rPr>
          <w:rFonts w:ascii="宋体" w:hAnsi="宋体" w:cs="宋体"/>
          <w:szCs w:val="21"/>
        </w:rPr>
      </w:pPr>
      <w:r>
        <w:rPr>
          <w:rFonts w:hint="eastAsia" w:ascii="宋体" w:hAnsi="宋体" w:cs="宋体"/>
        </w:rPr>
        <w:t>2.3 比选范围：</w:t>
      </w:r>
      <w:r>
        <w:rPr>
          <w:rFonts w:hint="eastAsia" w:ascii="宋体" w:hAnsi="宋体" w:cs="宋体"/>
          <w:szCs w:val="21"/>
          <w:u w:val="single"/>
          <w:lang w:eastAsia="zh-CN"/>
        </w:rPr>
        <w:t>2024年营运公司网络安全维护服务项目</w:t>
      </w:r>
      <w:r>
        <w:rPr>
          <w:rFonts w:hint="eastAsia" w:ascii="宋体" w:hAnsi="宋体" w:cs="宋体"/>
          <w:szCs w:val="21"/>
          <w:u w:val="single"/>
        </w:rPr>
        <w:t>及技术支持相关工作</w:t>
      </w:r>
      <w:r>
        <w:rPr>
          <w:rFonts w:hint="eastAsia" w:ascii="宋体" w:hAnsi="宋体" w:cs="宋体"/>
          <w:szCs w:val="21"/>
        </w:rPr>
        <w:t xml:space="preserve"> </w:t>
      </w:r>
    </w:p>
    <w:p>
      <w:pPr>
        <w:spacing w:line="400" w:lineRule="exact"/>
        <w:ind w:firstLine="420" w:firstLineChars="200"/>
        <w:rPr>
          <w:rFonts w:ascii="宋体" w:hAnsi="宋体" w:cs="宋体"/>
        </w:rPr>
      </w:pPr>
      <w:r>
        <w:rPr>
          <w:rFonts w:hint="eastAsia" w:ascii="宋体" w:hAnsi="宋体" w:cs="宋体"/>
        </w:rPr>
        <w:t>2.4 工期要求：合同期限：</w:t>
      </w:r>
      <w:bookmarkStart w:id="43" w:name="_Hlk99356390"/>
      <w:r>
        <w:rPr>
          <w:rFonts w:hint="eastAsia" w:ascii="宋体" w:hAnsi="宋体" w:cs="宋体"/>
          <w:u w:val="single"/>
          <w:lang w:val="en-US" w:eastAsia="zh-CN"/>
        </w:rPr>
        <w:t>以甲方通知时间开始至2024年12月31日</w:t>
      </w:r>
      <w:r>
        <w:rPr>
          <w:rFonts w:hint="eastAsia" w:ascii="宋体" w:hAnsi="宋体" w:cs="宋体"/>
          <w:u w:val="single"/>
        </w:rPr>
        <w:t>，具体维护时间以采购人通知时间为准</w:t>
      </w:r>
      <w:r>
        <w:rPr>
          <w:rFonts w:hint="eastAsia" w:ascii="宋体" w:hAnsi="宋体" w:cs="宋体"/>
        </w:rPr>
        <w:t>。</w:t>
      </w:r>
      <w:bookmarkEnd w:id="43"/>
    </w:p>
    <w:p>
      <w:pPr>
        <w:spacing w:line="400" w:lineRule="exact"/>
        <w:ind w:firstLine="420" w:firstLineChars="200"/>
        <w:rPr>
          <w:rFonts w:ascii="宋体" w:hAnsi="宋体" w:cs="宋体"/>
        </w:rPr>
      </w:pPr>
      <w:r>
        <w:rPr>
          <w:rFonts w:hint="eastAsia" w:ascii="宋体" w:hAnsi="宋体" w:cs="宋体"/>
        </w:rPr>
        <w:t>2.5 标段划分：一标段中西部及东北部；</w:t>
      </w:r>
    </w:p>
    <w:p>
      <w:pPr>
        <w:spacing w:line="400" w:lineRule="exact"/>
        <w:ind w:firstLine="1890" w:firstLineChars="900"/>
        <w:rPr>
          <w:rFonts w:ascii="宋体" w:hAnsi="宋体" w:cs="宋体"/>
        </w:rPr>
      </w:pPr>
      <w:r>
        <w:rPr>
          <w:rFonts w:hint="eastAsia" w:ascii="宋体" w:hAnsi="宋体" w:cs="宋体"/>
        </w:rPr>
        <w:t>二标段东南部。</w:t>
      </w:r>
    </w:p>
    <w:p>
      <w:pPr>
        <w:pStyle w:val="2"/>
        <w:ind w:firstLine="420" w:firstLineChars="200"/>
        <w:rPr>
          <w:rFonts w:hint="default" w:ascii="宋体" w:hAnsi="宋体" w:eastAsia="宋体" w:cs="宋体"/>
          <w:b w:val="0"/>
          <w:bCs w:val="0"/>
          <w:caps w:val="0"/>
          <w:sz w:val="21"/>
          <w:szCs w:val="24"/>
          <w:lang w:val="en-US" w:eastAsia="zh-CN"/>
        </w:rPr>
      </w:pPr>
      <w:r>
        <w:rPr>
          <w:rFonts w:hint="eastAsia" w:ascii="宋体" w:hAnsi="宋体" w:cs="宋体"/>
          <w:b w:val="0"/>
          <w:bCs w:val="0"/>
          <w:caps w:val="0"/>
          <w:sz w:val="21"/>
          <w:szCs w:val="24"/>
        </w:rPr>
        <w:t>2</w:t>
      </w:r>
      <w:r>
        <w:rPr>
          <w:rFonts w:ascii="宋体" w:hAnsi="宋体" w:cs="宋体"/>
          <w:b w:val="0"/>
          <w:bCs w:val="0"/>
          <w:caps w:val="0"/>
          <w:sz w:val="21"/>
          <w:szCs w:val="24"/>
        </w:rPr>
        <w:t>.6</w:t>
      </w:r>
      <w:r>
        <w:rPr>
          <w:rFonts w:hint="eastAsia" w:ascii="宋体" w:hAnsi="宋体" w:cs="宋体"/>
          <w:b w:val="0"/>
          <w:bCs w:val="0"/>
          <w:caps w:val="0"/>
          <w:sz w:val="21"/>
          <w:szCs w:val="24"/>
          <w:lang w:val="en-US" w:eastAsia="zh-CN"/>
        </w:rPr>
        <w:t xml:space="preserve"> 预算金额:一标段预算金额：450000.00元，二标段预算金额：195000.00元</w:t>
      </w:r>
    </w:p>
    <w:p>
      <w:pPr>
        <w:pStyle w:val="2"/>
        <w:ind w:firstLine="420" w:firstLineChars="200"/>
        <w:rPr>
          <w:rFonts w:ascii="宋体" w:hAnsi="宋体" w:cs="宋体"/>
          <w:b w:val="0"/>
          <w:bCs w:val="0"/>
          <w:caps w:val="0"/>
          <w:sz w:val="21"/>
          <w:szCs w:val="24"/>
        </w:rPr>
      </w:pPr>
      <w:r>
        <w:rPr>
          <w:rFonts w:hint="eastAsia" w:ascii="宋体" w:hAnsi="宋体" w:cs="宋体"/>
          <w:b w:val="0"/>
          <w:bCs w:val="0"/>
          <w:caps w:val="0"/>
          <w:sz w:val="21"/>
          <w:szCs w:val="24"/>
          <w:lang w:val="en-US" w:eastAsia="zh-CN"/>
        </w:rPr>
        <w:t xml:space="preserve">2.7 </w:t>
      </w:r>
      <w:r>
        <w:rPr>
          <w:rFonts w:hint="eastAsia" w:ascii="宋体" w:hAnsi="宋体" w:cs="宋体"/>
          <w:b w:val="0"/>
          <w:bCs w:val="0"/>
          <w:caps w:val="0"/>
          <w:sz w:val="21"/>
          <w:szCs w:val="24"/>
        </w:rPr>
        <w:t>其他：本项目共分2个标段，报价单位可以投符合报价单位资格要求的所有标段。但最多只能中一个标段。开标顺序：一标段→二标段。已开出标段的第一中标候选人参与下一标段的评审，但不推荐第二标段的中标侯选人。</w:t>
      </w:r>
    </w:p>
    <w:p>
      <w:pPr>
        <w:keepNext/>
        <w:keepLines/>
        <w:spacing w:before="120" w:line="360" w:lineRule="auto"/>
        <w:outlineLvl w:val="1"/>
        <w:rPr>
          <w:rFonts w:ascii="宋体" w:hAnsi="宋体" w:cs="宋体"/>
          <w:b/>
          <w:bCs/>
          <w:kern w:val="0"/>
          <w:sz w:val="32"/>
          <w:szCs w:val="32"/>
        </w:rPr>
      </w:pPr>
      <w:bookmarkStart w:id="44" w:name="_Toc152045514"/>
      <w:bookmarkStart w:id="45" w:name="_Toc247085674"/>
      <w:bookmarkStart w:id="46" w:name="_Toc246996160"/>
      <w:bookmarkStart w:id="47" w:name="_Toc144974482"/>
      <w:bookmarkStart w:id="48" w:name="_Toc246996903"/>
      <w:bookmarkStart w:id="49" w:name="_Toc179632530"/>
      <w:bookmarkStart w:id="50" w:name="_Toc507319893"/>
      <w:bookmarkStart w:id="51" w:name="_Toc11329215"/>
      <w:bookmarkStart w:id="52" w:name="_Toc7065"/>
      <w:bookmarkStart w:id="53" w:name="_Toc30356"/>
      <w:bookmarkStart w:id="54" w:name="_Toc152042290"/>
      <w:bookmarkStart w:id="55" w:name="_Toc10171"/>
      <w:r>
        <w:rPr>
          <w:rFonts w:hint="eastAsia" w:ascii="宋体" w:hAnsi="宋体" w:cs="宋体"/>
          <w:b/>
          <w:bCs/>
          <w:kern w:val="0"/>
          <w:sz w:val="32"/>
          <w:szCs w:val="32"/>
        </w:rPr>
        <w:t>3. 报价人资格要求</w:t>
      </w:r>
      <w:bookmarkEnd w:id="44"/>
      <w:bookmarkEnd w:id="45"/>
      <w:bookmarkEnd w:id="46"/>
      <w:bookmarkEnd w:id="47"/>
      <w:bookmarkEnd w:id="48"/>
      <w:bookmarkEnd w:id="49"/>
      <w:bookmarkEnd w:id="50"/>
      <w:bookmarkEnd w:id="51"/>
      <w:bookmarkEnd w:id="52"/>
      <w:bookmarkEnd w:id="53"/>
      <w:bookmarkEnd w:id="54"/>
      <w:bookmarkEnd w:id="55"/>
    </w:p>
    <w:p>
      <w:pPr>
        <w:spacing w:line="400" w:lineRule="exact"/>
        <w:ind w:firstLine="420" w:firstLineChars="200"/>
        <w:rPr>
          <w:rFonts w:ascii="宋体" w:hAnsi="宋体" w:cs="宋体"/>
          <w:szCs w:val="21"/>
          <w:shd w:val="clear" w:color="auto" w:fill="FFFFFF"/>
        </w:rPr>
      </w:pPr>
      <w:bookmarkStart w:id="56" w:name="_Toc246996904"/>
      <w:bookmarkStart w:id="57" w:name="_Toc246996161"/>
      <w:bookmarkStart w:id="58" w:name="_Toc152045515"/>
      <w:bookmarkStart w:id="59" w:name="_Toc144974483"/>
      <w:bookmarkStart w:id="60" w:name="_Toc247085675"/>
      <w:bookmarkStart w:id="61" w:name="_Toc152042291"/>
      <w:bookmarkStart w:id="62" w:name="_Toc179632531"/>
      <w:r>
        <w:rPr>
          <w:rFonts w:hint="eastAsia" w:ascii="宋体" w:hAnsi="宋体" w:cs="宋体"/>
          <w:szCs w:val="21"/>
          <w:shd w:val="clear" w:color="auto" w:fill="FFFFFF"/>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（1）报价人具有独立法人资格；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hint="eastAsia" w:ascii="宋体" w:hAnsi="宋体" w:eastAsia="宋体" w:cs="宋体"/>
          <w:szCs w:val="21"/>
          <w:shd w:val="clear" w:color="auto" w:fill="FFFFFF"/>
          <w:lang w:eastAsia="zh-CN"/>
        </w:rPr>
      </w:pPr>
      <w:r>
        <w:rPr>
          <w:rFonts w:hint="eastAsia" w:ascii="宋体" w:hAnsi="宋体" w:cs="宋体"/>
          <w:szCs w:val="21"/>
          <w:shd w:val="clear" w:color="auto" w:fill="FFFFFF"/>
        </w:rPr>
        <w:t>（</w:t>
      </w:r>
      <w:r>
        <w:rPr>
          <w:rFonts w:ascii="宋体" w:hAnsi="宋体" w:cs="宋体"/>
          <w:szCs w:val="21"/>
          <w:shd w:val="clear" w:color="auto" w:fill="FFFFFF"/>
        </w:rPr>
        <w:t>3</w:t>
      </w:r>
      <w:r>
        <w:rPr>
          <w:rFonts w:hint="eastAsia" w:ascii="宋体" w:hAnsi="宋体" w:cs="宋体"/>
          <w:szCs w:val="21"/>
          <w:shd w:val="clear" w:color="auto" w:fill="FFFFFF"/>
        </w:rPr>
        <w:t>）资质要求：报价人需具备网络安全设备制造商或授权代理商，授权代理商需提供制造商出具的项目唯一授权证书</w:t>
      </w:r>
      <w:r>
        <w:rPr>
          <w:rFonts w:hint="eastAsia" w:ascii="宋体" w:hAnsi="宋体" w:cs="宋体"/>
          <w:szCs w:val="21"/>
          <w:shd w:val="clear" w:color="auto" w:fill="FFFFFF"/>
          <w:lang w:eastAsia="zh-CN"/>
        </w:rPr>
        <w:t>；</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说明：（1）本项目接受网络安全设备制造商和代理商参与报价；</w:t>
      </w:r>
    </w:p>
    <w:p>
      <w:pPr>
        <w:spacing w:line="400" w:lineRule="exact"/>
        <w:ind w:firstLine="1050" w:firstLineChars="500"/>
        <w:rPr>
          <w:rFonts w:hint="eastAsia" w:ascii="宋体" w:hAnsi="宋体" w:cs="宋体"/>
          <w:szCs w:val="21"/>
          <w:shd w:val="clear" w:color="auto" w:fill="FFFFFF"/>
        </w:rPr>
      </w:pPr>
      <w:r>
        <w:rPr>
          <w:rFonts w:hint="eastAsia" w:ascii="宋体" w:hAnsi="宋体" w:cs="宋体"/>
          <w:szCs w:val="21"/>
          <w:shd w:val="clear" w:color="auto" w:fill="FFFFFF"/>
        </w:rPr>
        <w:t>（2）如代理商参与投标，则需要提供网络安全设备制造商出具的唯一项目授权函和售后服务承诺函；</w:t>
      </w:r>
    </w:p>
    <w:p>
      <w:pPr>
        <w:spacing w:line="400" w:lineRule="exact"/>
        <w:ind w:firstLine="1050" w:firstLineChars="500"/>
        <w:rPr>
          <w:rFonts w:ascii="宋体" w:hAnsi="宋体" w:cs="宋体"/>
          <w:szCs w:val="21"/>
          <w:shd w:val="clear" w:color="auto" w:fill="FFFFFF"/>
        </w:rPr>
      </w:pPr>
      <w:r>
        <w:rPr>
          <w:rFonts w:hint="eastAsia" w:ascii="宋体" w:hAnsi="宋体" w:cs="宋体"/>
          <w:szCs w:val="21"/>
          <w:shd w:val="clear" w:color="auto" w:fill="FFFFFF"/>
        </w:rPr>
        <w:t>（3）若设备制造商参与投标，则不可授权代理商参与投标。</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业绩要求：2021年1月1日至本竞争性比选函发出之日之间独立承担过至少1项网络安全建设或者网络信息安全服务工作，单个合同金额不少于</w:t>
      </w:r>
      <w:r>
        <w:rPr>
          <w:rFonts w:hint="eastAsia" w:ascii="宋体" w:hAnsi="宋体" w:cs="宋体"/>
          <w:szCs w:val="21"/>
          <w:shd w:val="clear" w:color="auto" w:fill="FFFFFF"/>
          <w:lang w:val="en-US" w:eastAsia="zh-CN"/>
        </w:rPr>
        <w:t>1</w:t>
      </w:r>
      <w:r>
        <w:rPr>
          <w:rFonts w:hint="eastAsia" w:ascii="宋体" w:hAnsi="宋体" w:cs="宋体"/>
          <w:szCs w:val="21"/>
          <w:shd w:val="clear" w:color="auto" w:fill="FFFFFF"/>
        </w:rPr>
        <w:t>0万元（需提供合同扫描件）。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 信誉要求：报价人在国家企业信用信息公示系统（http://www.gsxt.gov.cn/）中未被列入严重违法失信企业名单（黑名单）信息；在“信用中国”网站（http://www.creditchina.gov.cn/）中未被列入失信惩戒执行人名单。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3.4 报价人须提供采购人要求的所有资质求、业绩要求、信誉要求的复印件并加盖单位鲜公章。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3.5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3.6单位负责人为同一人或者存在控股、管理关系的不同单位，不得同时参加本项目报价，否则均按无效报价处理。</w:t>
      </w:r>
    </w:p>
    <w:p>
      <w:pPr>
        <w:spacing w:line="400" w:lineRule="exact"/>
        <w:ind w:firstLine="420" w:firstLineChars="200"/>
      </w:pPr>
      <w:r>
        <w:rPr>
          <w:rFonts w:ascii="宋体" w:hAnsi="宋体" w:cs="宋体"/>
          <w:szCs w:val="21"/>
          <w:shd w:val="clear" w:color="auto" w:fill="FFFFFF"/>
        </w:rPr>
        <w:t>3.7</w:t>
      </w:r>
      <w:r>
        <w:rPr>
          <w:rFonts w:hint="eastAsia" w:ascii="宋体" w:hAnsi="宋体" w:cs="宋体"/>
          <w:szCs w:val="21"/>
          <w:shd w:val="clear" w:color="auto" w:fill="FFFFFF"/>
        </w:rPr>
        <w:t>为保障服务质量，要求投标人投标时提供所投标段项目工勘报告（加盖采购人对应标段运维中心公章）。</w:t>
      </w:r>
    </w:p>
    <w:p>
      <w:pPr>
        <w:keepNext/>
        <w:keepLines/>
        <w:spacing w:before="120" w:line="400" w:lineRule="exact"/>
        <w:outlineLvl w:val="1"/>
        <w:rPr>
          <w:rFonts w:ascii="宋体" w:hAnsi="宋体" w:cs="宋体"/>
          <w:b/>
          <w:bCs/>
          <w:kern w:val="0"/>
          <w:sz w:val="32"/>
          <w:szCs w:val="32"/>
        </w:rPr>
      </w:pPr>
      <w:bookmarkStart w:id="63" w:name="_Toc507319894"/>
      <w:bookmarkStart w:id="64" w:name="_Toc12460"/>
      <w:bookmarkStart w:id="65" w:name="_Toc14361"/>
      <w:bookmarkStart w:id="66" w:name="_Toc25619"/>
      <w:bookmarkStart w:id="67" w:name="_Toc11329216"/>
      <w:r>
        <w:rPr>
          <w:rFonts w:hint="eastAsia" w:ascii="宋体" w:hAnsi="宋体" w:cs="宋体"/>
          <w:b/>
          <w:bCs/>
          <w:kern w:val="0"/>
          <w:sz w:val="32"/>
          <w:szCs w:val="32"/>
        </w:rPr>
        <w:t>4. 比选文件的获取</w:t>
      </w:r>
      <w:bookmarkEnd w:id="56"/>
      <w:bookmarkEnd w:id="57"/>
      <w:bookmarkEnd w:id="58"/>
      <w:bookmarkEnd w:id="59"/>
      <w:bookmarkEnd w:id="60"/>
      <w:bookmarkEnd w:id="61"/>
      <w:bookmarkEnd w:id="62"/>
      <w:bookmarkEnd w:id="63"/>
      <w:bookmarkEnd w:id="64"/>
      <w:bookmarkEnd w:id="65"/>
      <w:bookmarkEnd w:id="66"/>
      <w:bookmarkEnd w:id="67"/>
    </w:p>
    <w:p>
      <w:pPr>
        <w:spacing w:line="360" w:lineRule="auto"/>
        <w:ind w:firstLine="420" w:firstLineChars="200"/>
        <w:rPr>
          <w:rFonts w:ascii="宋体" w:hAnsi="宋体"/>
          <w:szCs w:val="21"/>
        </w:rPr>
      </w:pPr>
      <w:bookmarkStart w:id="68" w:name="_Toc179632532"/>
      <w:bookmarkStart w:id="69" w:name="_Toc144974484"/>
      <w:bookmarkStart w:id="70" w:name="_Toc246996905"/>
      <w:bookmarkStart w:id="71" w:name="_Toc11329217"/>
      <w:bookmarkStart w:id="72" w:name="_Toc246996162"/>
      <w:bookmarkStart w:id="73" w:name="_Toc507319895"/>
      <w:bookmarkStart w:id="74" w:name="_Toc152045516"/>
      <w:bookmarkStart w:id="75" w:name="_Toc247085676"/>
      <w:bookmarkStart w:id="76" w:name="_Toc152042292"/>
      <w:r>
        <w:rPr>
          <w:rFonts w:hint="eastAsia" w:ascii="宋体" w:hAnsi="宋体"/>
          <w:szCs w:val="21"/>
        </w:rPr>
        <w:t>凡愿意参加的潜在报价人，在</w:t>
      </w:r>
      <w:r>
        <w:rPr>
          <w:rFonts w:hint="eastAsia" w:ascii="宋体" w:hAnsi="宋体"/>
          <w:szCs w:val="21"/>
          <w:u w:val="single"/>
          <w:lang w:eastAsia="zh-CN"/>
        </w:rPr>
        <w:t>2024</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6</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18</w:t>
      </w:r>
      <w:r>
        <w:rPr>
          <w:rFonts w:hint="eastAsia" w:ascii="宋体" w:hAnsi="宋体"/>
          <w:szCs w:val="21"/>
        </w:rPr>
        <w:t>日</w:t>
      </w:r>
      <w:r>
        <w:rPr>
          <w:rFonts w:hint="eastAsia" w:ascii="宋体" w:hAnsi="宋体"/>
          <w:szCs w:val="21"/>
          <w:u w:val="single"/>
        </w:rPr>
        <w:t>1</w:t>
      </w:r>
      <w:r>
        <w:rPr>
          <w:rFonts w:ascii="宋体" w:hAnsi="宋体"/>
          <w:szCs w:val="21"/>
          <w:u w:val="single"/>
        </w:rPr>
        <w:t>5</w:t>
      </w:r>
      <w:r>
        <w:rPr>
          <w:rFonts w:hint="eastAsia" w:ascii="宋体" w:hAnsi="宋体"/>
          <w:szCs w:val="21"/>
          <w:u w:val="single"/>
        </w:rPr>
        <w:t>:00</w:t>
      </w:r>
      <w:r>
        <w:rPr>
          <w:rFonts w:hint="eastAsia" w:ascii="宋体" w:hAnsi="宋体"/>
          <w:szCs w:val="21"/>
        </w:rPr>
        <w:t>前在重庆高速集团官网上获取比选文件。各报价人应随时关注网上发布的竞争性比选文件答疑、补遗、澄清等文件内容，不管报价人是否下载，均视为已知晓竞争性比选文件的全部内容和有关事宜。</w:t>
      </w:r>
    </w:p>
    <w:p>
      <w:pPr>
        <w:keepNext/>
        <w:keepLines/>
        <w:spacing w:before="120" w:line="400" w:lineRule="exact"/>
        <w:outlineLvl w:val="1"/>
        <w:rPr>
          <w:rFonts w:ascii="宋体" w:hAnsi="宋体" w:cs="宋体"/>
          <w:b/>
          <w:bCs/>
          <w:kern w:val="0"/>
          <w:sz w:val="32"/>
          <w:szCs w:val="32"/>
        </w:rPr>
      </w:pPr>
      <w:bookmarkStart w:id="77" w:name="_Toc9131"/>
      <w:bookmarkStart w:id="78" w:name="_Toc16686"/>
      <w:bookmarkStart w:id="79" w:name="_Toc31493"/>
      <w:r>
        <w:rPr>
          <w:rFonts w:hint="eastAsia" w:ascii="宋体" w:hAnsi="宋体" w:cs="宋体"/>
          <w:b/>
          <w:bCs/>
          <w:kern w:val="0"/>
          <w:sz w:val="32"/>
          <w:szCs w:val="32"/>
        </w:rPr>
        <w:t>5. 竞争性比选响应文件的递交</w:t>
      </w:r>
      <w:bookmarkEnd w:id="68"/>
      <w:bookmarkEnd w:id="69"/>
      <w:bookmarkEnd w:id="70"/>
      <w:bookmarkEnd w:id="71"/>
      <w:bookmarkEnd w:id="72"/>
      <w:bookmarkEnd w:id="73"/>
      <w:bookmarkEnd w:id="74"/>
      <w:bookmarkEnd w:id="75"/>
      <w:bookmarkEnd w:id="76"/>
      <w:r>
        <w:rPr>
          <w:rFonts w:hint="eastAsia" w:ascii="宋体" w:hAnsi="宋体" w:cs="宋体"/>
          <w:b/>
          <w:bCs/>
          <w:kern w:val="0"/>
          <w:sz w:val="32"/>
          <w:szCs w:val="32"/>
        </w:rPr>
        <w:t>及相关事宜</w:t>
      </w:r>
      <w:bookmarkEnd w:id="77"/>
      <w:bookmarkEnd w:id="78"/>
      <w:bookmarkEnd w:id="79"/>
    </w:p>
    <w:p>
      <w:pPr>
        <w:tabs>
          <w:tab w:val="left" w:pos="360"/>
        </w:tabs>
        <w:spacing w:line="360" w:lineRule="auto"/>
        <w:ind w:firstLine="420" w:firstLineChars="200"/>
        <w:rPr>
          <w:rFonts w:ascii="宋体" w:hAnsi="宋体" w:cs="宋体"/>
          <w:szCs w:val="21"/>
          <w:highlight w:val="yellow"/>
        </w:rPr>
      </w:pPr>
      <w:r>
        <w:rPr>
          <w:rFonts w:hint="eastAsia" w:ascii="宋体" w:hAnsi="宋体" w:cs="宋体"/>
          <w:szCs w:val="21"/>
        </w:rPr>
        <w:t>5.1报价截止时间和开标时间：</w:t>
      </w:r>
      <w:r>
        <w:rPr>
          <w:rFonts w:hint="eastAsia" w:ascii="宋体" w:hAnsi="宋体"/>
          <w:szCs w:val="21"/>
          <w:u w:val="single"/>
          <w:lang w:eastAsia="zh-CN"/>
        </w:rPr>
        <w:t>2024</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6</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18</w:t>
      </w:r>
      <w:r>
        <w:rPr>
          <w:rFonts w:hint="eastAsia" w:ascii="宋体" w:hAnsi="宋体"/>
          <w:szCs w:val="21"/>
        </w:rPr>
        <w:t>日下午</w:t>
      </w:r>
      <w:r>
        <w:rPr>
          <w:rFonts w:hint="eastAsia" w:ascii="宋体" w:hAnsi="宋体" w:cs="宋体"/>
          <w:szCs w:val="21"/>
          <w:u w:val="single"/>
        </w:rPr>
        <w:t xml:space="preserve"> 1</w:t>
      </w:r>
      <w:r>
        <w:rPr>
          <w:rFonts w:ascii="宋体" w:hAnsi="宋体" w:cs="宋体"/>
          <w:szCs w:val="21"/>
          <w:u w:val="single"/>
        </w:rPr>
        <w:t>5</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360" w:lineRule="auto"/>
        <w:ind w:firstLine="420" w:firstLineChars="200"/>
        <w:rPr>
          <w:rFonts w:ascii="宋体" w:hAnsi="宋体" w:cs="宋体"/>
          <w:szCs w:val="21"/>
        </w:rPr>
      </w:pPr>
      <w:r>
        <w:rPr>
          <w:rFonts w:hint="eastAsia" w:ascii="宋体" w:hAnsi="宋体" w:cs="宋体"/>
          <w:szCs w:val="21"/>
        </w:rPr>
        <w:t>5.2报价的递交：报价文件于</w:t>
      </w:r>
      <w:r>
        <w:rPr>
          <w:rFonts w:hint="eastAsia" w:ascii="宋体" w:hAnsi="宋体" w:cs="宋体"/>
          <w:szCs w:val="21"/>
          <w:u w:val="single"/>
          <w:lang w:eastAsia="zh-CN"/>
        </w:rPr>
        <w:t>2024</w:t>
      </w:r>
      <w:r>
        <w:rPr>
          <w:rFonts w:hint="eastAsia" w:ascii="宋体" w:hAnsi="宋体" w:cs="宋体"/>
          <w:szCs w:val="21"/>
        </w:rPr>
        <w:t>年</w:t>
      </w:r>
      <w:r>
        <w:rPr>
          <w:rFonts w:hint="eastAsia" w:ascii="宋体" w:hAnsi="宋体" w:cs="宋体"/>
          <w:szCs w:val="21"/>
          <w:u w:val="single"/>
          <w:lang w:val="en-US" w:eastAsia="zh-CN"/>
        </w:rPr>
        <w:t>6</w:t>
      </w:r>
      <w:r>
        <w:rPr>
          <w:rFonts w:hint="eastAsia" w:ascii="宋体" w:hAnsi="宋体" w:cs="宋体"/>
          <w:szCs w:val="21"/>
        </w:rPr>
        <w:t>月</w:t>
      </w:r>
      <w:r>
        <w:rPr>
          <w:rFonts w:hint="eastAsia" w:ascii="宋体" w:hAnsi="宋体" w:cs="宋体"/>
          <w:szCs w:val="21"/>
          <w:u w:val="single"/>
          <w:lang w:val="en-US" w:eastAsia="zh-CN"/>
        </w:rPr>
        <w:t>18</w:t>
      </w:r>
      <w:r>
        <w:rPr>
          <w:rFonts w:hint="eastAsia" w:ascii="宋体" w:hAnsi="宋体" w:cs="宋体"/>
          <w:szCs w:val="21"/>
        </w:rPr>
        <w:t>日</w:t>
      </w:r>
      <w:r>
        <w:rPr>
          <w:rFonts w:hint="eastAsia" w:ascii="宋体" w:hAnsi="宋体" w:cs="宋体"/>
          <w:szCs w:val="21"/>
          <w:u w:val="single"/>
        </w:rPr>
        <w:t>1</w:t>
      </w:r>
      <w:r>
        <w:rPr>
          <w:rFonts w:ascii="宋体" w:hAnsi="宋体" w:cs="宋体"/>
          <w:szCs w:val="21"/>
          <w:u w:val="single"/>
        </w:rPr>
        <w:t>5</w:t>
      </w:r>
      <w:r>
        <w:rPr>
          <w:rFonts w:hint="eastAsia" w:ascii="宋体" w:hAnsi="宋体" w:cs="宋体"/>
          <w:szCs w:val="21"/>
          <w:u w:val="single"/>
        </w:rPr>
        <w:t>：00</w:t>
      </w:r>
      <w:r>
        <w:rPr>
          <w:rFonts w:hint="eastAsia" w:ascii="宋体" w:hAnsi="宋体" w:cs="宋体"/>
          <w:szCs w:val="21"/>
        </w:rPr>
        <w:t>提交至重庆市渝北区龙溪街道新南路52号办公楼首讯公司（重庆首讯科技股份有限公司）</w:t>
      </w:r>
      <w:r>
        <w:rPr>
          <w:rFonts w:hint="eastAsia" w:ascii="宋体" w:hAnsi="宋体"/>
          <w:szCs w:val="21"/>
        </w:rPr>
        <w:t>。</w:t>
      </w:r>
    </w:p>
    <w:p>
      <w:pPr>
        <w:tabs>
          <w:tab w:val="left" w:pos="360"/>
        </w:tabs>
        <w:spacing w:line="360" w:lineRule="auto"/>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r>
        <w:rPr>
          <w:rFonts w:hint="eastAsia" w:ascii="宋体" w:hAnsi="宋体" w:cs="宋体"/>
          <w:szCs w:val="21"/>
        </w:rPr>
        <w:t>，</w:t>
      </w:r>
      <w:r>
        <w:rPr>
          <w:rFonts w:hint="eastAsia" w:ascii="宋体" w:hAnsi="宋体" w:cs="宋体"/>
          <w:szCs w:val="21"/>
        </w:rPr>
        <w:tab/>
      </w:r>
      <w:r>
        <w:rPr>
          <w:rFonts w:hint="eastAsia" w:ascii="宋体" w:hAnsi="宋体" w:cs="宋体"/>
          <w:szCs w:val="21"/>
        </w:rPr>
        <w:t>报价人在报价前应到项目所在地点了解我司所需要的工作内容和要求，并领取回执单，将回执单放置在报价文件里一起在开标截止时间前报送至重庆首讯科技股份有限公司</w:t>
      </w:r>
      <w:r>
        <w:rPr>
          <w:rFonts w:hint="eastAsia" w:ascii="宋体" w:hAnsi="宋体" w:cs="宋体"/>
          <w:szCs w:val="21"/>
          <w:lang w:eastAsia="zh-CN"/>
        </w:rPr>
        <w:t>，</w:t>
      </w:r>
      <w:r>
        <w:rPr>
          <w:rFonts w:hint="eastAsia" w:ascii="宋体" w:hAnsi="宋体" w:cs="宋体"/>
          <w:szCs w:val="21"/>
        </w:rPr>
        <w:t>如若报价文件里无回执单，我司有权做废标处理</w:t>
      </w:r>
      <w:r>
        <w:rPr>
          <w:rFonts w:ascii="宋体" w:hAnsi="宋体" w:cs="宋体"/>
          <w:szCs w:val="21"/>
        </w:rPr>
        <w:t>。</w:t>
      </w:r>
    </w:p>
    <w:p>
      <w:pPr>
        <w:spacing w:after="120" w:line="360" w:lineRule="auto"/>
        <w:ind w:firstLine="408"/>
        <w:rPr>
          <w:rFonts w:ascii="宋体" w:hAnsi="宋体" w:cs="宋体"/>
          <w:szCs w:val="21"/>
        </w:rPr>
      </w:pPr>
      <w:r>
        <w:rPr>
          <w:rFonts w:hint="eastAsia" w:ascii="宋体" w:hAnsi="宋体" w:cs="宋体"/>
          <w:szCs w:val="21"/>
        </w:rPr>
        <w:t>5.4竞争性比选响应文件提交正本1份，副本1份，副本可为正本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pPr>
        <w:spacing w:line="360" w:lineRule="auto"/>
        <w:ind w:firstLine="408"/>
        <w:rPr>
          <w:rFonts w:ascii="宋体" w:hAnsi="宋体" w:cs="宋体"/>
          <w:szCs w:val="21"/>
        </w:rPr>
      </w:pPr>
      <w:r>
        <w:rPr>
          <w:rFonts w:hint="eastAsia" w:ascii="宋体" w:hAnsi="宋体" w:cs="宋体"/>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pPr>
        <w:spacing w:after="120" w:line="360" w:lineRule="auto"/>
        <w:ind w:firstLine="408"/>
        <w:rPr>
          <w:rFonts w:ascii="宋体" w:hAnsi="宋体" w:cs="宋体"/>
          <w:szCs w:val="21"/>
        </w:rPr>
      </w:pPr>
      <w:r>
        <w:rPr>
          <w:rFonts w:hint="eastAsia" w:ascii="宋体" w:hAnsi="宋体" w:cs="宋体"/>
          <w:szCs w:val="21"/>
        </w:rPr>
        <w:t>5.6密封要求：竞争性比选响应文件密封到一个封袋中，在封套上写明：</w:t>
      </w:r>
      <w:r>
        <w:rPr>
          <w:rFonts w:hint="eastAsia" w:ascii="宋体" w:hAnsi="宋体" w:cs="宋体"/>
          <w:szCs w:val="21"/>
          <w:lang w:eastAsia="zh-CN"/>
        </w:rPr>
        <w:t>2024年营运公司网络安全维护服务项目</w:t>
      </w:r>
      <w:r>
        <w:rPr>
          <w:rFonts w:hint="eastAsia" w:ascii="宋体" w:hAnsi="宋体" w:cs="宋体"/>
          <w:szCs w:val="21"/>
        </w:rPr>
        <w:t>竞争性比选响应文件，在</w:t>
      </w:r>
      <w:r>
        <w:rPr>
          <w:rFonts w:hint="eastAsia" w:ascii="宋体" w:hAnsi="宋体" w:cs="宋体"/>
          <w:szCs w:val="21"/>
          <w:lang w:eastAsia="zh-CN"/>
        </w:rPr>
        <w:t>2024</w:t>
      </w:r>
      <w:r>
        <w:rPr>
          <w:rFonts w:hint="eastAsia" w:ascii="宋体" w:hAnsi="宋体" w:cs="宋体"/>
          <w:szCs w:val="21"/>
        </w:rPr>
        <w:t>年</w:t>
      </w:r>
      <w:r>
        <w:rPr>
          <w:rFonts w:hint="eastAsia" w:ascii="宋体" w:hAnsi="宋体" w:cs="宋体"/>
          <w:szCs w:val="21"/>
          <w:lang w:val="en-US" w:eastAsia="zh-CN"/>
        </w:rPr>
        <w:t>6</w:t>
      </w:r>
      <w:r>
        <w:rPr>
          <w:rFonts w:hint="eastAsia" w:ascii="宋体" w:hAnsi="宋体" w:cs="宋体"/>
          <w:szCs w:val="21"/>
        </w:rPr>
        <w:t>月</w:t>
      </w:r>
      <w:r>
        <w:rPr>
          <w:rFonts w:hint="eastAsia" w:ascii="宋体" w:hAnsi="宋体" w:cs="宋体"/>
          <w:szCs w:val="21"/>
          <w:lang w:val="en-US" w:eastAsia="zh-CN"/>
        </w:rPr>
        <w:t>18</w:t>
      </w:r>
      <w:r>
        <w:rPr>
          <w:rFonts w:hint="eastAsia" w:ascii="宋体" w:hAnsi="宋体" w:cs="宋体"/>
          <w:szCs w:val="21"/>
        </w:rPr>
        <w:t>日1</w:t>
      </w:r>
      <w:r>
        <w:rPr>
          <w:rFonts w:ascii="宋体" w:hAnsi="宋体" w:cs="宋体"/>
          <w:szCs w:val="21"/>
        </w:rPr>
        <w:t>5</w:t>
      </w:r>
      <w:r>
        <w:rPr>
          <w:rFonts w:hint="eastAsia" w:ascii="宋体" w:hAnsi="宋体" w:cs="宋体"/>
          <w:szCs w:val="21"/>
        </w:rPr>
        <w:t>：00时前不得开启。</w:t>
      </w:r>
    </w:p>
    <w:p>
      <w:pPr>
        <w:spacing w:after="120" w:line="360" w:lineRule="auto"/>
        <w:ind w:firstLine="408"/>
        <w:rPr>
          <w:rFonts w:ascii="宋体" w:hAnsi="宋体" w:cs="宋体"/>
          <w:szCs w:val="21"/>
        </w:rPr>
      </w:pPr>
      <w:r>
        <w:rPr>
          <w:rFonts w:hint="eastAsia" w:ascii="宋体" w:hAnsi="宋体" w:cs="宋体"/>
          <w:szCs w:val="21"/>
        </w:rPr>
        <w:t>5</w:t>
      </w:r>
      <w:r>
        <w:rPr>
          <w:rFonts w:ascii="宋体" w:hAnsi="宋体" w:cs="宋体"/>
          <w:szCs w:val="21"/>
        </w:rPr>
        <w:t>.7</w:t>
      </w:r>
      <w:r>
        <w:rPr>
          <w:rFonts w:hint="eastAsia" w:ascii="宋体" w:hAnsi="宋体" w:cs="宋体"/>
          <w:szCs w:val="21"/>
        </w:rPr>
        <w:t>逾期送达，或未送达指定地点，或未密封的竞争性比选响应文件，采购人不予受理。</w:t>
      </w:r>
    </w:p>
    <w:p>
      <w:pPr>
        <w:spacing w:after="120" w:line="360" w:lineRule="auto"/>
        <w:ind w:firstLine="408"/>
      </w:pPr>
      <w:r>
        <w:rPr>
          <w:rFonts w:hint="eastAsia" w:ascii="宋体" w:hAnsi="宋体" w:cs="宋体"/>
          <w:szCs w:val="21"/>
        </w:rPr>
        <w:t>5</w:t>
      </w:r>
      <w:r>
        <w:rPr>
          <w:rFonts w:ascii="宋体" w:hAnsi="宋体" w:cs="宋体"/>
          <w:szCs w:val="21"/>
        </w:rPr>
        <w:t>.8</w:t>
      </w:r>
      <w:r>
        <w:rPr>
          <w:rFonts w:hint="eastAsia" w:ascii="宋体" w:hAnsi="宋体" w:cs="宋体"/>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pPr>
        <w:keepNext/>
        <w:keepLines/>
        <w:spacing w:before="120" w:line="400" w:lineRule="exact"/>
        <w:outlineLvl w:val="1"/>
        <w:rPr>
          <w:rFonts w:ascii="宋体" w:hAnsi="宋体" w:cs="宋体"/>
          <w:b/>
          <w:bCs/>
          <w:kern w:val="0"/>
          <w:sz w:val="32"/>
          <w:szCs w:val="32"/>
        </w:rPr>
      </w:pPr>
      <w:bookmarkStart w:id="80" w:name="_Toc246996164"/>
      <w:bookmarkStart w:id="81" w:name="_Toc507319897"/>
      <w:bookmarkStart w:id="82" w:name="_Toc246996907"/>
      <w:bookmarkStart w:id="83" w:name="_Toc144974485"/>
      <w:bookmarkStart w:id="84" w:name="_Toc247085678"/>
      <w:bookmarkStart w:id="85" w:name="_Toc11329219"/>
      <w:bookmarkStart w:id="86" w:name="_Toc152045517"/>
      <w:bookmarkStart w:id="87" w:name="_Toc152042293"/>
      <w:bookmarkStart w:id="88" w:name="_Toc393"/>
      <w:bookmarkStart w:id="89" w:name="_Toc18402"/>
      <w:bookmarkStart w:id="90" w:name="_Toc179632534"/>
      <w:bookmarkStart w:id="91" w:name="_Toc21615"/>
      <w:r>
        <w:rPr>
          <w:rFonts w:hint="eastAsia" w:ascii="宋体" w:hAnsi="宋体" w:cs="宋体"/>
          <w:b/>
          <w:bCs/>
          <w:kern w:val="0"/>
          <w:sz w:val="32"/>
          <w:szCs w:val="32"/>
        </w:rPr>
        <w:t>6. 联系方式</w:t>
      </w:r>
      <w:bookmarkEnd w:id="80"/>
      <w:bookmarkEnd w:id="81"/>
      <w:bookmarkEnd w:id="82"/>
      <w:bookmarkEnd w:id="83"/>
      <w:bookmarkEnd w:id="84"/>
      <w:bookmarkEnd w:id="85"/>
      <w:bookmarkEnd w:id="86"/>
      <w:bookmarkEnd w:id="87"/>
      <w:bookmarkEnd w:id="88"/>
      <w:bookmarkEnd w:id="89"/>
      <w:bookmarkEnd w:id="90"/>
      <w:bookmarkEnd w:id="91"/>
    </w:p>
    <w:tbl>
      <w:tblPr>
        <w:tblStyle w:val="42"/>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widowControl/>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tc>
        <w:tc>
          <w:tcPr>
            <w:tcW w:w="1415" w:type="dxa"/>
            <w:vAlign w:val="center"/>
          </w:tcPr>
          <w:p>
            <w:pPr>
              <w:widowControl/>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地址：重庆市渝北区龙溪街道新南路52号办公楼首讯公司</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商务联系人：孙老师  电 话：</w:t>
            </w:r>
            <w:r>
              <w:rPr>
                <w:rFonts w:ascii="宋体" w:hAnsi="宋体" w:cs="宋体"/>
                <w:szCs w:val="21"/>
              </w:rPr>
              <w:t>15123685281</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pPr>
            <w:r>
              <w:rPr>
                <w:rFonts w:hint="eastAsia"/>
              </w:rPr>
              <w:t>中西部技术联系人：胡老师  电 话：</w:t>
            </w:r>
            <w:r>
              <w:t>15111818577</w:t>
            </w:r>
          </w:p>
          <w:p>
            <w:pPr>
              <w:pStyle w:val="2"/>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东北部技术联系人：邹老师  电 话：</w:t>
            </w:r>
            <w:r>
              <w:rPr>
                <w:rFonts w:ascii="Times New Roman" w:hAnsi="Times New Roman"/>
                <w:b w:val="0"/>
                <w:bCs w:val="0"/>
                <w:caps w:val="0"/>
                <w:sz w:val="21"/>
                <w:szCs w:val="24"/>
              </w:rPr>
              <w:t>13896221547</w:t>
            </w:r>
          </w:p>
          <w:p>
            <w:pPr>
              <w:pStyle w:val="2"/>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东南部技术联系人：杨老师  电 话：13330397595</w:t>
            </w:r>
          </w:p>
        </w:tc>
        <w:tc>
          <w:tcPr>
            <w:tcW w:w="1415" w:type="dxa"/>
            <w:vAlign w:val="center"/>
          </w:tcPr>
          <w:p>
            <w:pPr>
              <w:spacing w:line="400" w:lineRule="exact"/>
              <w:ind w:firstLine="420" w:firstLineChars="200"/>
              <w:rPr>
                <w:rFonts w:ascii="宋体" w:hAnsi="宋体" w:cs="宋体"/>
                <w:szCs w:val="21"/>
              </w:rPr>
            </w:pPr>
          </w:p>
        </w:tc>
      </w:tr>
    </w:tbl>
    <w:p/>
    <w:p/>
    <w:p/>
    <w:p/>
    <w:p>
      <w:pPr>
        <w:pStyle w:val="2"/>
      </w:pPr>
    </w:p>
    <w:bookmarkEnd w:id="16"/>
    <w:bookmarkEnd w:id="17"/>
    <w:p>
      <w:bookmarkStart w:id="92" w:name="_Toc144974495"/>
      <w:bookmarkStart w:id="93" w:name="_Toc247085687"/>
      <w:bookmarkStart w:id="94" w:name="_Toc246996916"/>
      <w:bookmarkStart w:id="95" w:name="_Toc152042303"/>
      <w:bookmarkStart w:id="96" w:name="_Toc2000405"/>
      <w:bookmarkStart w:id="97" w:name="_Toc152045527"/>
      <w:bookmarkStart w:id="98" w:name="_Toc507319898"/>
      <w:bookmarkStart w:id="99" w:name="_Toc246996173"/>
      <w:bookmarkStart w:id="100" w:name="_Toc179632544"/>
      <w:bookmarkStart w:id="101" w:name="_Toc21719"/>
    </w:p>
    <w:p>
      <w:pPr>
        <w:keepNext/>
        <w:keepLines/>
        <w:spacing w:line="360" w:lineRule="auto"/>
        <w:jc w:val="center"/>
        <w:outlineLvl w:val="0"/>
        <w:rPr>
          <w:rFonts w:ascii="宋体" w:hAnsi="宋体" w:cs="宋体"/>
          <w:b/>
          <w:bCs/>
          <w:kern w:val="44"/>
          <w:sz w:val="44"/>
          <w:szCs w:val="44"/>
        </w:rPr>
      </w:pPr>
      <w:r>
        <w:rPr>
          <w:rFonts w:hint="eastAsia" w:ascii="宋体" w:hAnsi="宋体" w:cs="宋体"/>
          <w:b/>
          <w:bCs/>
          <w:kern w:val="44"/>
          <w:sz w:val="44"/>
          <w:szCs w:val="44"/>
        </w:rPr>
        <w:t>第二章 报价人须知</w:t>
      </w:r>
      <w:bookmarkEnd w:id="92"/>
      <w:bookmarkEnd w:id="93"/>
      <w:bookmarkEnd w:id="94"/>
      <w:bookmarkEnd w:id="95"/>
      <w:bookmarkEnd w:id="96"/>
      <w:bookmarkEnd w:id="97"/>
      <w:bookmarkEnd w:id="98"/>
      <w:bookmarkEnd w:id="99"/>
      <w:bookmarkEnd w:id="100"/>
      <w:bookmarkEnd w:id="101"/>
    </w:p>
    <w:p/>
    <w:tbl>
      <w:tblPr>
        <w:tblStyle w:val="42"/>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2"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址：重庆市渝北区龙溪街道新南路52号办公楼首讯公司</w:t>
            </w:r>
          </w:p>
          <w:p>
            <w:pPr>
              <w:spacing w:line="400" w:lineRule="exact"/>
              <w:ind w:firstLine="420" w:firstLineChars="200"/>
              <w:rPr>
                <w:rFonts w:ascii="宋体" w:hAnsi="宋体" w:cs="宋体"/>
                <w:szCs w:val="21"/>
              </w:rPr>
            </w:pPr>
            <w:r>
              <w:rPr>
                <w:rFonts w:hint="eastAsia" w:ascii="宋体" w:hAnsi="宋体" w:cs="宋体"/>
                <w:szCs w:val="21"/>
              </w:rPr>
              <w:t>联系人：孙老师</w:t>
            </w:r>
          </w:p>
          <w:p>
            <w:pPr>
              <w:topLinePunct/>
              <w:spacing w:line="420" w:lineRule="exact"/>
              <w:ind w:firstLine="420" w:firstLineChars="200"/>
            </w:pPr>
            <w:r>
              <w:rPr>
                <w:rFonts w:hint="eastAsia" w:ascii="宋体" w:hAnsi="宋体" w:cs="宋体"/>
                <w:szCs w:val="21"/>
              </w:rPr>
              <w:t>电  话：</w:t>
            </w:r>
            <w:r>
              <w:rPr>
                <w:rFonts w:ascii="宋体" w:hAnsi="宋体" w:cs="宋体"/>
                <w:szCs w:val="21"/>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2024年营运公司网络安全维护服务项目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每季度巡检维护需由业主验收签字确认。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（1）资质条件：见比选公告3.1</w:t>
            </w:r>
          </w:p>
          <w:p>
            <w:pPr>
              <w:spacing w:line="400" w:lineRule="exact"/>
              <w:ind w:firstLine="420" w:firstLineChars="200"/>
              <w:rPr>
                <w:rFonts w:ascii="宋体" w:hAnsi="宋体" w:cs="宋体"/>
                <w:szCs w:val="21"/>
              </w:rPr>
            </w:pPr>
            <w:r>
              <w:rPr>
                <w:rFonts w:hint="eastAsia" w:ascii="宋体" w:hAnsi="宋体" w:cs="宋体"/>
                <w:szCs w:val="21"/>
              </w:rPr>
              <w:t>（2）业绩要求：见比选公告3.2</w:t>
            </w:r>
          </w:p>
          <w:p>
            <w:pPr>
              <w:spacing w:line="400" w:lineRule="exact"/>
              <w:ind w:firstLine="420" w:firstLineChars="200"/>
              <w:rPr>
                <w:rFonts w:ascii="宋体" w:hAnsi="宋体" w:cs="宋体"/>
                <w:szCs w:val="21"/>
              </w:rPr>
            </w:pPr>
            <w:r>
              <w:rPr>
                <w:rFonts w:hint="eastAsia" w:ascii="宋体" w:hAnsi="宋体" w:cs="宋体"/>
                <w:szCs w:val="21"/>
              </w:rPr>
              <w:t>（3）信誉要求：见比选公告3.3</w:t>
            </w:r>
          </w:p>
          <w:p>
            <w:pPr>
              <w:spacing w:line="400" w:lineRule="exact"/>
              <w:ind w:firstLine="420" w:firstLineChars="200"/>
              <w:rPr>
                <w:rFonts w:ascii="宋体" w:hAnsi="宋体" w:cs="宋体"/>
                <w:szCs w:val="21"/>
              </w:rPr>
            </w:pPr>
            <w:r>
              <w:rPr>
                <w:rFonts w:hint="eastAsia" w:ascii="宋体" w:hAnsi="宋体" w:cs="宋体"/>
                <w:szCs w:val="21"/>
              </w:rPr>
              <w:t>（4）项目主要人员要求：见附录1</w:t>
            </w:r>
          </w:p>
          <w:p>
            <w:pPr>
              <w:spacing w:line="400" w:lineRule="exact"/>
              <w:ind w:firstLine="420" w:firstLineChars="200"/>
              <w:rPr>
                <w:rFonts w:ascii="宋体" w:hAnsi="宋体" w:cs="宋体"/>
                <w:szCs w:val="21"/>
              </w:rPr>
            </w:pPr>
            <w:r>
              <w:rPr>
                <w:rFonts w:hint="eastAsia" w:ascii="宋体" w:hAnsi="宋体" w:cs="宋体"/>
                <w:szCs w:val="21"/>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3" w:name="_Hlt227984024"/>
            <w:bookmarkEnd w:id="103"/>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autoSpaceDE w:val="0"/>
              <w:autoSpaceDN w:val="0"/>
              <w:adjustRightInd w:val="0"/>
              <w:spacing w:before="72" w:line="400" w:lineRule="exact"/>
              <w:ind w:firstLine="420" w:firstLineChars="200"/>
              <w:rPr>
                <w:rFonts w:ascii="宋体" w:hAnsi="宋体" w:cs="宋体"/>
                <w:kern w:val="0"/>
                <w:szCs w:val="21"/>
              </w:rPr>
            </w:pPr>
            <w:r>
              <w:rPr>
                <w:rFonts w:hint="eastAsia" w:ascii="宋体" w:hAnsi="宋体" w:cs="宋体"/>
                <w:kern w:val="0"/>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工程量清单的填写方式及其他说明</w:t>
            </w:r>
          </w:p>
        </w:tc>
        <w:tc>
          <w:tcPr>
            <w:tcW w:w="7104" w:type="dxa"/>
            <w:tcBorders>
              <w:bottom w:val="single" w:color="auto" w:sz="4" w:space="0"/>
            </w:tcBorders>
          </w:tcPr>
          <w:p>
            <w:pPr>
              <w:spacing w:line="360" w:lineRule="auto"/>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360" w:lineRule="auto"/>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360" w:lineRule="auto"/>
              <w:ind w:firstLine="422" w:firstLineChars="200"/>
              <w:rPr>
                <w:rFonts w:ascii="宋体" w:hAnsi="宋体" w:cs="宋体"/>
                <w:b/>
                <w:bCs/>
                <w:szCs w:val="21"/>
              </w:rPr>
            </w:pPr>
            <w:r>
              <w:rPr>
                <w:rFonts w:hint="eastAsia" w:ascii="宋体" w:hAnsi="宋体" w:cs="宋体"/>
                <w:b/>
                <w:bCs/>
                <w:szCs w:val="21"/>
              </w:rPr>
              <w:t>本项目工程量清单及说明随比选文件一并发布，详见附件。</w:t>
            </w:r>
          </w:p>
          <w:p>
            <w:pPr>
              <w:spacing w:line="360" w:lineRule="auto"/>
              <w:ind w:firstLine="420" w:firstLineChars="200"/>
              <w:jc w:val="left"/>
              <w:rPr>
                <w:rFonts w:ascii="宋体" w:hAnsi="宋体" w:cs="宋体"/>
                <w:b/>
                <w:bCs/>
                <w:szCs w:val="21"/>
              </w:rPr>
            </w:pPr>
            <w:r>
              <w:rPr>
                <w:rFonts w:hint="eastAsia" w:ascii="宋体" w:hAnsi="宋体" w:cs="宋体"/>
              </w:rPr>
              <w:t>本项目报价人报价包含安装、材料（含辅材）、机械、运输、卸货、税金6%、安全措施费、交通组织费、车辆使用费、生产类耗材等费用。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360" w:lineRule="auto"/>
              <w:ind w:firstLine="422" w:firstLineChars="200"/>
              <w:rPr>
                <w:rFonts w:hint="eastAsia" w:ascii="宋体" w:hAnsi="宋体" w:eastAsia="宋体" w:cs="宋体"/>
                <w:b/>
                <w:szCs w:val="21"/>
              </w:rPr>
            </w:pPr>
            <w:r>
              <w:rPr>
                <w:rFonts w:hint="eastAsia" w:ascii="宋体" w:hAnsi="宋体" w:eastAsia="宋体" w:cs="宋体"/>
                <w:b/>
                <w:szCs w:val="21"/>
                <w:lang w:eastAsia="zh-CN"/>
              </w:rPr>
              <w:t>2024年营运公司网络安全维护服务项目</w:t>
            </w:r>
            <w:r>
              <w:rPr>
                <w:rFonts w:hint="eastAsia" w:ascii="宋体" w:hAnsi="宋体" w:eastAsia="宋体" w:cs="宋体"/>
                <w:b/>
                <w:szCs w:val="21"/>
              </w:rPr>
              <w:t>一标段最高限价金额</w:t>
            </w:r>
            <w:r>
              <w:rPr>
                <w:rFonts w:hint="eastAsia" w:ascii="宋体" w:hAnsi="宋体" w:cs="宋体"/>
                <w:b/>
                <w:szCs w:val="21"/>
                <w:highlight w:val="none"/>
                <w:lang w:val="en-US" w:eastAsia="zh-CN"/>
              </w:rPr>
              <w:t>450000.00</w:t>
            </w:r>
            <w:r>
              <w:rPr>
                <w:rFonts w:hint="eastAsia" w:ascii="宋体" w:hAnsi="宋体" w:eastAsia="宋体" w:cs="宋体"/>
                <w:b/>
                <w:szCs w:val="21"/>
              </w:rPr>
              <w:t>元；二标段最高限价金额</w:t>
            </w:r>
            <w:r>
              <w:rPr>
                <w:rFonts w:hint="eastAsia" w:ascii="宋体" w:hAnsi="宋体" w:cs="宋体"/>
                <w:b/>
                <w:szCs w:val="21"/>
                <w:highlight w:val="none"/>
                <w:lang w:val="en-US" w:eastAsia="zh-CN"/>
              </w:rPr>
              <w:t>195000.00</w:t>
            </w:r>
            <w:r>
              <w:rPr>
                <w:rFonts w:hint="eastAsia" w:ascii="宋体" w:hAnsi="宋体" w:eastAsia="宋体" w:cs="宋体"/>
                <w:b/>
                <w:szCs w:val="21"/>
              </w:rPr>
              <w:t>元。</w:t>
            </w:r>
          </w:p>
          <w:p>
            <w:pPr>
              <w:spacing w:line="360" w:lineRule="auto"/>
              <w:ind w:firstLine="422" w:firstLineChars="200"/>
              <w:rPr>
                <w:rFonts w:ascii="宋体" w:hAnsi="宋体" w:cs="宋体"/>
                <w:b/>
                <w:bCs/>
                <w:kern w:val="0"/>
                <w:szCs w:val="21"/>
              </w:rPr>
            </w:pPr>
            <w:r>
              <w:rPr>
                <w:rFonts w:hint="eastAsia" w:ascii="宋体" w:hAnsi="宋体" w:eastAsia="宋体" w:cs="宋体"/>
                <w:b/>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360" w:lineRule="auto"/>
              <w:ind w:firstLine="420" w:firstLineChars="200"/>
            </w:pPr>
            <w:r>
              <w:rPr>
                <w:rFonts w:hint="eastAsia"/>
              </w:rPr>
              <w:t>按季度据实结算，每季度完成巡检</w:t>
            </w:r>
            <w:bookmarkStart w:id="266" w:name="_GoBack"/>
            <w:bookmarkEnd w:id="266"/>
            <w:r>
              <w:rPr>
                <w:rFonts w:hint="eastAsia"/>
              </w:rPr>
              <w:t>，提供巡检报告后支付每季度结算金额的</w:t>
            </w:r>
            <w:r>
              <w:t>100</w:t>
            </w:r>
            <w:r>
              <w:rPr>
                <w:rFonts w:hint="eastAsia"/>
              </w:rPr>
              <w:t>%。由乙方主动提出书面申请，经甲方业务部门确认后，30个工作日内全额支付（质量保证金不计任何利息），若乙方未提出书面申请，则相应的延迟责任由乙方自行承担；甲方每次付款前，乙方应向甲方开具等额增值税专用发票，否则甲方有权拒绝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8</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作业队伍最低要求</w:t>
            </w:r>
          </w:p>
        </w:tc>
        <w:tc>
          <w:tcPr>
            <w:tcW w:w="7104" w:type="dxa"/>
            <w:tcBorders>
              <w:bottom w:val="single" w:color="auto" w:sz="4" w:space="0"/>
            </w:tcBorders>
          </w:tcPr>
          <w:p>
            <w:pPr>
              <w:spacing w:line="360" w:lineRule="auto"/>
              <w:ind w:firstLine="420" w:firstLineChars="200"/>
              <w:rPr>
                <w:b/>
                <w:bCs/>
                <w:highlight w:val="yellow"/>
              </w:rPr>
            </w:pPr>
            <w:r>
              <w:rPr>
                <w:rFonts w:hint="eastAsia"/>
              </w:rPr>
              <w:t>每个标段中标人至少需组织</w:t>
            </w:r>
            <w:r>
              <w:t>2</w:t>
            </w:r>
            <w:r>
              <w:rPr>
                <w:rFonts w:hint="eastAsia"/>
              </w:rPr>
              <w:t>名维护人员。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tabs>
                <w:tab w:val="left" w:pos="2438"/>
              </w:tabs>
              <w:spacing w:line="360" w:lineRule="auto"/>
              <w:ind w:firstLine="420" w:firstLineChars="200"/>
            </w:pPr>
            <w:r>
              <w:rPr>
                <w:rFonts w:hint="eastAsia"/>
              </w:rPr>
              <w:t>1</w:t>
            </w:r>
            <w:r>
              <w:t>.</w:t>
            </w:r>
            <w:r>
              <w:rPr>
                <w:rFonts w:hint="eastAsia"/>
              </w:rPr>
              <w:t>乙方在本项目工作开展期间，更换项目经理，甲方按5万元/人进行违约处理。新更换的人员不低于比选文件人员资质要求。</w:t>
            </w:r>
          </w:p>
          <w:p>
            <w:pPr>
              <w:tabs>
                <w:tab w:val="left" w:pos="2438"/>
              </w:tabs>
              <w:spacing w:line="360" w:lineRule="auto"/>
              <w:ind w:firstLine="420" w:firstLineChars="200"/>
            </w:pPr>
            <w:r>
              <w:rPr>
                <w:rFonts w:hint="eastAsia"/>
              </w:rPr>
              <w:t>2</w:t>
            </w:r>
            <w:r>
              <w:t>.</w:t>
            </w:r>
            <w:r>
              <w:rPr>
                <w:rFonts w:hint="eastAsia"/>
              </w:rPr>
              <w:t>乙方分包的工程项目，不得再行转包或分包，否则将无条件被认为乙方违约，由此引起的一切责任、事故和损失由乙方负责。此外，乙方还应当向甲方支付1万元违约金，甲方有权终止或解除合同。</w:t>
            </w:r>
          </w:p>
          <w:p>
            <w:pPr>
              <w:tabs>
                <w:tab w:val="left" w:pos="1729"/>
              </w:tabs>
              <w:spacing w:line="360" w:lineRule="auto"/>
              <w:ind w:firstLine="420" w:firstLineChars="200"/>
            </w:pPr>
            <w:r>
              <w:rPr>
                <w:rFonts w:hint="eastAsia"/>
              </w:rPr>
              <w:t>3</w:t>
            </w:r>
            <w:r>
              <w:t>.</w:t>
            </w:r>
            <w:r>
              <w:rPr>
                <w:rFonts w:hint="eastAsia"/>
              </w:rPr>
              <w:t>在维护过程中由乙方分包的维护项目质量经检验达不到验收规范和评定标准，不能保证维护质量，或因乙方分包的维护项目进度不能满足发包人和甲方制定的进度目标要求，则甲方有权终止合同，由此造成的损失由乙方承担。此外，乙方还应当向甲方支付1万元违约金。</w:t>
            </w:r>
          </w:p>
          <w:p>
            <w:pPr>
              <w:tabs>
                <w:tab w:val="left" w:pos="2438"/>
              </w:tabs>
              <w:spacing w:line="360" w:lineRule="auto"/>
              <w:ind w:firstLine="420" w:firstLineChars="200"/>
            </w:pPr>
            <w:r>
              <w:rPr>
                <w:rFonts w:hint="eastAsia"/>
              </w:rPr>
              <w:t>4</w:t>
            </w:r>
            <w:r>
              <w:t>.</w:t>
            </w:r>
            <w:r>
              <w:rPr>
                <w:rFonts w:hint="eastAsia"/>
              </w:rPr>
              <w:t>除上一条款外，合同签订后，不经双方协商同意，任何一方不得随意变更或解除。如乙方未经甲方同意，单方解除合同时（如中途未征得甲方同意无故退场），甲方将按照乙方完成工作量的80%进行结算，同时乙方还需支付甲方1万元违约金，并且由乙方赔偿甲方因影响维护计划造成的经济损失；如甲方中途无故解除合同，按乙方完成工作量的100%进行结算，应赔偿乙方因此造成的经济损失。</w:t>
            </w:r>
          </w:p>
          <w:p>
            <w:pPr>
              <w:tabs>
                <w:tab w:val="left" w:pos="1729"/>
              </w:tabs>
              <w:spacing w:line="360" w:lineRule="auto"/>
              <w:ind w:firstLine="420" w:firstLineChars="200"/>
            </w:pPr>
            <w:r>
              <w:t>5</w:t>
            </w:r>
            <w:r>
              <w:rPr>
                <w:rFonts w:hint="eastAsia"/>
              </w:rPr>
              <w:t>.因乙方原因，出现下列情况之一的，甲方有权采取认为合理的一切措施进行处理，由此引起的损失由乙方承担。</w:t>
            </w:r>
          </w:p>
          <w:p>
            <w:pPr>
              <w:spacing w:line="400" w:lineRule="exact"/>
              <w:ind w:firstLine="420" w:firstLineChars="200"/>
            </w:pPr>
            <w:r>
              <w:rPr>
                <w:rFonts w:hint="eastAsia"/>
              </w:rPr>
              <w:t>5.1乙方的主要人员、机械设备及流动资金不能按时到位的，严重制约了维护；</w:t>
            </w:r>
          </w:p>
          <w:p>
            <w:pPr>
              <w:spacing w:line="400" w:lineRule="exact"/>
              <w:ind w:firstLine="420" w:firstLineChars="200"/>
            </w:pPr>
            <w:r>
              <w:rPr>
                <w:rFonts w:hint="eastAsia"/>
              </w:rPr>
              <w:t>5.2进度滞后该维护总体进度计划的10％或落到维护管理曲线下线以下的；</w:t>
            </w:r>
          </w:p>
          <w:p>
            <w:pPr>
              <w:spacing w:line="400" w:lineRule="exact"/>
              <w:ind w:firstLine="420" w:firstLineChars="200"/>
            </w:pPr>
            <w:r>
              <w:rPr>
                <w:rFonts w:hint="eastAsia"/>
              </w:rPr>
              <w:t>5.3不按维护技术规范和标准要求维护，造成维护质量低劣的达不到验收标准的；</w:t>
            </w:r>
          </w:p>
          <w:p>
            <w:pPr>
              <w:spacing w:line="400" w:lineRule="exact"/>
              <w:ind w:firstLine="420" w:firstLineChars="200"/>
            </w:pPr>
            <w:r>
              <w:rPr>
                <w:rFonts w:hint="eastAsia"/>
              </w:rPr>
              <w:t>5. 4不遵守甲方的管理，不能服从发包人和监理人的指令，造成维护不能管理无法推进。</w:t>
            </w:r>
          </w:p>
          <w:p>
            <w:pPr>
              <w:spacing w:line="360" w:lineRule="auto"/>
              <w:ind w:firstLine="420" w:firstLineChars="200"/>
            </w:pPr>
            <w:r>
              <w:rPr>
                <w:rFonts w:hint="eastAsia"/>
              </w:rPr>
              <w:t>6.乙方应按本合同规定的工期及质量要求完成，否则应偿付给甲方1万元/天的逾期违约金，并承担甲方项目部延期完成任务以后后续发生的管理费用，限额为 5％本合同的签约合同价。</w:t>
            </w:r>
          </w:p>
          <w:p>
            <w:pPr>
              <w:spacing w:line="360" w:lineRule="auto"/>
              <w:ind w:firstLine="420" w:firstLineChars="200"/>
              <w:rPr>
                <w:rFonts w:ascii="宋体" w:hAnsi="宋体" w:cs="宋体"/>
              </w:rPr>
            </w:pPr>
            <w:r>
              <w:rPr>
                <w:rFonts w:hint="eastAsia"/>
              </w:rPr>
              <w:t>7.</w:t>
            </w:r>
            <w:r>
              <w:rPr>
                <w:rFonts w:hint="eastAsia" w:ascii="宋体" w:hAnsi="宋体" w:cs="宋体"/>
              </w:rPr>
              <w:t>签订合同后，需在合同规定时间内进场开工。如中标人不能在3天内按要求完成人员和车辆进场，则视为中标人违约，招标人有权解除合同并追究违约责任。</w:t>
            </w:r>
          </w:p>
          <w:p>
            <w:pPr>
              <w:autoSpaceDE w:val="0"/>
              <w:autoSpaceDN w:val="0"/>
              <w:spacing w:line="360" w:lineRule="auto"/>
              <w:ind w:firstLine="420" w:firstLineChars="200"/>
            </w:pPr>
            <w:r>
              <w:rPr>
                <w:rFonts w:hint="eastAsia"/>
              </w:rPr>
              <w:t>8.采购人将不定期检查维护人员的合同及参保信息，若发现维护人员与中标单位合同到期后未续签的或中标单位未对维护人员进行参保、无参保信息的，采购人将扣除中标单位的履约保证金10000元/人次。</w:t>
            </w:r>
          </w:p>
          <w:p>
            <w:pPr>
              <w:spacing w:line="360" w:lineRule="auto"/>
              <w:ind w:firstLine="420" w:firstLineChars="200"/>
            </w:pPr>
            <w:r>
              <w:rPr>
                <w:rFonts w:hint="eastAsia"/>
              </w:rPr>
              <w:t>9.中标人所提供维护人员不能从事本项目以外的所有工程项目及其他工作，每发现一次从履约保证金中扣1000元/人罚款。维护人员必须与投标文件提供的人员一致。中标人不得随意更换人员，若中标人需更换人员，需提前14天提交资料给采购人，经采购人同意后方能进行更换。如中标人私自更换人员，一经发现从履约保证金中扣10000元/人罚款。</w:t>
            </w:r>
          </w:p>
          <w:p>
            <w:pPr>
              <w:spacing w:line="360" w:lineRule="auto"/>
              <w:ind w:firstLine="420" w:firstLineChars="200"/>
            </w:pPr>
            <w:r>
              <w:rPr>
                <w:rFonts w:hint="eastAsia"/>
              </w:rPr>
              <w:t>12.若履约保证金累计处罚到总金额的50%，则报价人应在10个工作日内补交到100%，如不能按时补交，则采购人有权终止合同。中标人擅自离场或单方面终止合同，中标人应赔付采购人合同金额的20%。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97" w:type="dxa"/>
            <w:vAlign w:val="center"/>
          </w:tcPr>
          <w:p>
            <w:pPr>
              <w:spacing w:line="400" w:lineRule="exact"/>
              <w:jc w:val="center"/>
              <w:rPr>
                <w:rFonts w:ascii="宋体" w:hAnsi="宋体" w:cs="宋体"/>
                <w:szCs w:val="21"/>
              </w:rPr>
            </w:pPr>
            <w:r>
              <w:rPr>
                <w:rFonts w:ascii="宋体" w:hAnsi="宋体" w:cs="宋体"/>
                <w:szCs w:val="21"/>
              </w:rPr>
              <w:t>20</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shd w:val="clear" w:color="auto" w:fill="auto"/>
            <w:vAlign w:val="center"/>
          </w:tcPr>
          <w:p>
            <w:pPr>
              <w:spacing w:line="400" w:lineRule="exact"/>
              <w:ind w:firstLine="420" w:firstLineChars="200"/>
              <w:jc w:val="left"/>
              <w:rPr>
                <w:rFonts w:ascii="宋体" w:hAnsi="宋体" w:cs="宋体"/>
              </w:rPr>
            </w:pPr>
            <w:r>
              <w:rPr>
                <w:rFonts w:hint="eastAsia" w:ascii="宋体" w:hAnsi="宋体" w:cs="宋体"/>
              </w:rPr>
              <w:t>推荐2名中标候选人。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1</w:t>
            </w:r>
          </w:p>
        </w:tc>
        <w:tc>
          <w:tcPr>
            <w:tcW w:w="2106"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保证金</w:t>
            </w:r>
          </w:p>
        </w:tc>
        <w:tc>
          <w:tcPr>
            <w:tcW w:w="7104" w:type="dxa"/>
            <w:vAlign w:val="center"/>
          </w:tcPr>
          <w:p>
            <w:pPr>
              <w:snapToGrid w:val="0"/>
              <w:spacing w:line="360" w:lineRule="auto"/>
              <w:ind w:firstLine="420" w:firstLineChars="200"/>
              <w:rPr>
                <w:rFonts w:ascii="宋体" w:hAnsi="宋体" w:cs="宋体"/>
              </w:rPr>
            </w:pPr>
            <w:r>
              <w:rPr>
                <w:rFonts w:hint="eastAsia" w:ascii="宋体" w:hAnsi="宋体" w:cs="宋体"/>
              </w:rPr>
              <w:t>一、投标保证金</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1、报价人须缴纳投标保证金</w:t>
            </w:r>
            <w:r>
              <w:rPr>
                <w:rFonts w:hint="eastAsia" w:ascii="宋体" w:hAnsi="宋体" w:cs="宋体"/>
                <w:szCs w:val="21"/>
                <w:lang w:val="en-US" w:eastAsia="zh-CN"/>
              </w:rPr>
              <w:t>2</w:t>
            </w:r>
            <w:r>
              <w:rPr>
                <w:rFonts w:ascii="宋体" w:hAnsi="宋体" w:cs="宋体"/>
                <w:szCs w:val="21"/>
              </w:rPr>
              <w:t>000.00</w:t>
            </w:r>
            <w:r>
              <w:rPr>
                <w:rFonts w:hint="eastAsia" w:ascii="宋体" w:hAnsi="宋体" w:cs="宋体"/>
                <w:szCs w:val="21"/>
              </w:rPr>
              <w:t>元，</w:t>
            </w:r>
            <w:r>
              <w:rPr>
                <w:rFonts w:ascii="宋体" w:hAnsi="宋体" w:cs="宋体"/>
                <w:szCs w:val="21"/>
              </w:rPr>
              <w:t>由</w:t>
            </w:r>
            <w:r>
              <w:rPr>
                <w:rFonts w:hint="eastAsia" w:ascii="宋体" w:hAnsi="宋体" w:cs="宋体"/>
                <w:szCs w:val="21"/>
              </w:rPr>
              <w:t>报价人</w:t>
            </w:r>
            <w:r>
              <w:rPr>
                <w:rFonts w:ascii="宋体" w:hAnsi="宋体" w:cs="宋体"/>
                <w:szCs w:val="21"/>
              </w:rPr>
              <w:t>从公司基本账户将投标保证金汇至以下指定账户</w:t>
            </w:r>
            <w:r>
              <w:rPr>
                <w:rFonts w:hint="eastAsia" w:ascii="宋体" w:hAnsi="宋体" w:cs="宋体"/>
                <w:szCs w:val="21"/>
              </w:rPr>
              <w:t>。</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保证金到账截止时间：</w:t>
            </w:r>
            <w:r>
              <w:rPr>
                <w:rFonts w:hint="eastAsia" w:ascii="宋体" w:hAnsi="宋体" w:cs="宋体"/>
                <w:szCs w:val="21"/>
                <w:lang w:eastAsia="zh-CN"/>
              </w:rPr>
              <w:t>2024</w:t>
            </w:r>
            <w:r>
              <w:rPr>
                <w:rFonts w:ascii="宋体" w:hAnsi="宋体" w:cs="宋体"/>
                <w:szCs w:val="21"/>
              </w:rPr>
              <w:t>年</w:t>
            </w:r>
            <w:r>
              <w:rPr>
                <w:rFonts w:hint="eastAsia" w:ascii="宋体" w:hAnsi="宋体" w:cs="宋体"/>
                <w:szCs w:val="21"/>
                <w:lang w:val="en-US" w:eastAsia="zh-CN"/>
              </w:rPr>
              <w:t>6</w:t>
            </w:r>
            <w:r>
              <w:rPr>
                <w:rFonts w:ascii="宋体" w:hAnsi="宋体" w:cs="宋体"/>
                <w:szCs w:val="21"/>
              </w:rPr>
              <w:t>月</w:t>
            </w:r>
            <w:r>
              <w:rPr>
                <w:rFonts w:hint="eastAsia" w:ascii="宋体" w:hAnsi="宋体" w:cs="宋体"/>
                <w:szCs w:val="21"/>
                <w:lang w:val="en-US" w:eastAsia="zh-CN"/>
              </w:rPr>
              <w:t>18</w:t>
            </w:r>
            <w:r>
              <w:rPr>
                <w:rFonts w:ascii="宋体" w:hAnsi="宋体" w:cs="宋体"/>
                <w:szCs w:val="21"/>
              </w:rPr>
              <w:t>日15时00分前；</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若竞争性比选响应文件内无投标保证金缴纳凭证，</w:t>
            </w:r>
            <w:r>
              <w:rPr>
                <w:rFonts w:hint="eastAsia" w:ascii="宋体" w:hAnsi="宋体" w:cs="宋体"/>
                <w:szCs w:val="21"/>
              </w:rPr>
              <w:t>采购人</w:t>
            </w:r>
            <w:r>
              <w:rPr>
                <w:rFonts w:ascii="宋体" w:hAnsi="宋体" w:cs="宋体"/>
                <w:szCs w:val="21"/>
              </w:rPr>
              <w:t>有权作废标处理，若投标保证金存在虚假不实情况，</w:t>
            </w:r>
            <w:r>
              <w:rPr>
                <w:rFonts w:hint="eastAsia" w:ascii="宋体" w:hAnsi="宋体" w:cs="宋体"/>
                <w:szCs w:val="21"/>
              </w:rPr>
              <w:t>采购人</w:t>
            </w:r>
            <w:r>
              <w:rPr>
                <w:rFonts w:ascii="宋体" w:hAnsi="宋体" w:cs="宋体"/>
                <w:szCs w:val="21"/>
              </w:rPr>
              <w:t>有权作废标处理。</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2、</w:t>
            </w:r>
            <w:r>
              <w:rPr>
                <w:rFonts w:ascii="宋体" w:hAnsi="宋体" w:cs="宋体"/>
                <w:szCs w:val="21"/>
              </w:rPr>
              <w:t>投标保证金退还方式</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报价人需按采购人相关要求递交投标保证金退还申请相关资料。</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未</w:t>
            </w:r>
            <w:r>
              <w:rPr>
                <w:rFonts w:hint="eastAsia" w:ascii="宋体" w:hAnsi="宋体" w:cs="宋体"/>
                <w:szCs w:val="21"/>
              </w:rPr>
              <w:t>中标报价人</w:t>
            </w:r>
            <w:r>
              <w:rPr>
                <w:rFonts w:ascii="宋体" w:hAnsi="宋体" w:cs="宋体"/>
                <w:szCs w:val="21"/>
              </w:rPr>
              <w:t>的投标保证金，于该项目结果公示期结束后15个工作日内无息退还至</w:t>
            </w:r>
            <w:r>
              <w:rPr>
                <w:rFonts w:hint="eastAsia" w:ascii="宋体" w:hAnsi="宋体" w:cs="宋体"/>
                <w:szCs w:val="21"/>
              </w:rPr>
              <w:t>报价人</w:t>
            </w:r>
            <w:r>
              <w:rPr>
                <w:rFonts w:ascii="宋体" w:hAnsi="宋体" w:cs="宋体"/>
                <w:szCs w:val="21"/>
              </w:rPr>
              <w:t>基本账户。</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中标人的投标保证金，自合同签订后15个工作日内无息退还至中标人基本账户。</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二、履约保证金或银行保函担保</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1、</w:t>
            </w:r>
            <w:r>
              <w:rPr>
                <w:rFonts w:ascii="宋体" w:hAnsi="宋体" w:cs="宋体"/>
                <w:szCs w:val="21"/>
              </w:rPr>
              <w:t>履约担保作为本</w:t>
            </w:r>
            <w:r>
              <w:rPr>
                <w:rFonts w:hint="eastAsia" w:ascii="宋体" w:hAnsi="宋体" w:cs="宋体"/>
                <w:szCs w:val="21"/>
              </w:rPr>
              <w:t>项目</w:t>
            </w:r>
            <w:r>
              <w:rPr>
                <w:rFonts w:ascii="宋体" w:hAnsi="宋体" w:cs="宋体"/>
                <w:szCs w:val="21"/>
              </w:rPr>
              <w:t>合同附件</w:t>
            </w:r>
            <w:r>
              <w:rPr>
                <w:rFonts w:hint="eastAsia" w:ascii="宋体" w:hAnsi="宋体" w:cs="宋体"/>
                <w:szCs w:val="21"/>
              </w:rPr>
              <w:t>。</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2、金额：中标人合同金额的</w:t>
            </w:r>
            <w:r>
              <w:rPr>
                <w:rFonts w:hint="eastAsia" w:ascii="宋体" w:hAnsi="宋体" w:cs="宋体"/>
                <w:szCs w:val="21"/>
                <w:lang w:val="en-US" w:eastAsia="zh-CN"/>
              </w:rPr>
              <w:t>5</w:t>
            </w:r>
            <w:r>
              <w:rPr>
                <w:rFonts w:hint="eastAsia" w:ascii="宋体" w:hAnsi="宋体" w:cs="宋体"/>
                <w:szCs w:val="21"/>
              </w:rPr>
              <w:t>%。</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3、有效期：自双方签订的合同文件生效之日起，至合同约定的工程验收完成止。</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4、履约保证金的提交及退还：在甲方发出中标通知书后5个工作日内，中标人向采购人提供履约保证金</w:t>
            </w:r>
            <w:r>
              <w:rPr>
                <w:rFonts w:ascii="宋体" w:hAnsi="宋体" w:cs="宋体"/>
                <w:szCs w:val="21"/>
              </w:rPr>
              <w:t>缴纳凭证</w:t>
            </w:r>
            <w:r>
              <w:rPr>
                <w:rFonts w:hint="eastAsia" w:ascii="宋体" w:hAnsi="宋体" w:cs="宋体"/>
                <w:szCs w:val="21"/>
              </w:rPr>
              <w:t>或银行保函。履约保证金或银行保函在完成合同约定的全部工作内容后28天后无息退还剩余部分或自动失效。</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5、如果中标人出具的履约保函有效期早于合同约定的履约担保有效期，中标人应在保函到期1个月之前延长保函的有效期，否则采购人有权停止支付合同价格。</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ascii="宋体" w:hAnsi="宋体" w:cs="宋体"/>
                <w:szCs w:val="21"/>
              </w:rPr>
              <w:t>转款备注：</w:t>
            </w:r>
            <w:r>
              <w:rPr>
                <w:rFonts w:hint="eastAsia" w:ascii="宋体" w:hAnsi="宋体" w:cs="宋体"/>
                <w:szCs w:val="21"/>
                <w:lang w:eastAsia="zh-CN"/>
              </w:rPr>
              <w:t>2024年营运公司网络安全维护服务项目</w:t>
            </w:r>
            <w:r>
              <w:rPr>
                <w:rFonts w:hint="eastAsia" w:ascii="宋体" w:hAnsi="宋体" w:cs="宋体"/>
                <w:szCs w:val="21"/>
              </w:rPr>
              <w:t>项目XX（投标或者履约）保证金</w:t>
            </w:r>
            <w:r>
              <w:rPr>
                <w:rFonts w:ascii="宋体" w:hAnsi="宋体" w:cs="宋体"/>
                <w:szCs w:val="21"/>
              </w:rPr>
              <w:t>。</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四、采购人指定的开户银行及账号如下：</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账户名称：重庆首讯科技股份有限公司</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开户银行：兴业银行重庆分行营业部</w:t>
            </w:r>
          </w:p>
          <w:p>
            <w:pPr>
              <w:autoSpaceDE w:val="0"/>
              <w:autoSpaceDN w:val="0"/>
              <w:adjustRightInd w:val="0"/>
              <w:spacing w:line="360" w:lineRule="auto"/>
              <w:ind w:firstLine="420" w:firstLineChars="200"/>
              <w:jc w:val="left"/>
              <w:rPr>
                <w:rFonts w:ascii="宋体" w:hAnsi="宋体" w:cs="宋体"/>
              </w:rPr>
            </w:pPr>
            <w:r>
              <w:rPr>
                <w:rFonts w:hint="eastAsia" w:ascii="宋体" w:hAnsi="宋体" w:cs="宋体"/>
                <w:szCs w:val="21"/>
              </w:rPr>
              <w:t>帐    号：3460 1010 0100 4791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autoSpaceDE w:val="0"/>
              <w:autoSpaceDN w:val="0"/>
              <w:adjustRightInd w:val="0"/>
              <w:spacing w:line="400" w:lineRule="exact"/>
              <w:jc w:val="center"/>
              <w:rPr>
                <w:rFonts w:ascii="宋体" w:hAnsi="宋体" w:cs="宋体"/>
                <w:kern w:val="0"/>
                <w:szCs w:val="21"/>
              </w:rPr>
            </w:pPr>
            <w:r>
              <w:rPr>
                <w:rFonts w:hint="eastAsia" w:ascii="宋体" w:hAnsi="宋体" w:cs="宋体"/>
                <w:kern w:val="0"/>
                <w:szCs w:val="21"/>
              </w:rPr>
              <w:t>2</w:t>
            </w:r>
            <w:r>
              <w:rPr>
                <w:rFonts w:ascii="宋体" w:hAnsi="宋体" w:cs="宋体"/>
                <w:kern w:val="0"/>
                <w:szCs w:val="21"/>
              </w:rPr>
              <w:t>2</w:t>
            </w:r>
          </w:p>
        </w:tc>
        <w:tc>
          <w:tcPr>
            <w:tcW w:w="2106" w:type="dxa"/>
            <w:vAlign w:val="center"/>
          </w:tcPr>
          <w:p>
            <w:pPr>
              <w:autoSpaceDE w:val="0"/>
              <w:autoSpaceDN w:val="0"/>
              <w:adjustRightInd w:val="0"/>
              <w:spacing w:line="400" w:lineRule="exact"/>
              <w:jc w:val="center"/>
              <w:rPr>
                <w:rFonts w:ascii="宋体" w:hAnsi="宋体" w:cs="宋体"/>
                <w:kern w:val="0"/>
                <w:szCs w:val="21"/>
              </w:rPr>
            </w:pPr>
            <w:r>
              <w:rPr>
                <w:rFonts w:hint="eastAsia" w:ascii="宋体" w:hAnsi="宋体" w:cs="宋体"/>
                <w:szCs w:val="21"/>
              </w:rPr>
              <w:t>监督部门</w:t>
            </w:r>
          </w:p>
        </w:tc>
        <w:tc>
          <w:tcPr>
            <w:tcW w:w="7104" w:type="dxa"/>
            <w:vAlign w:val="center"/>
          </w:tcPr>
          <w:p>
            <w:pPr>
              <w:autoSpaceDE w:val="0"/>
              <w:autoSpaceDN w:val="0"/>
              <w:adjustRightInd w:val="0"/>
              <w:spacing w:line="400" w:lineRule="exact"/>
              <w:ind w:firstLine="420" w:firstLineChars="200"/>
              <w:jc w:val="left"/>
              <w:rPr>
                <w:rFonts w:ascii="宋体" w:hAnsi="宋体" w:cs="宋体"/>
                <w:szCs w:val="21"/>
              </w:rPr>
            </w:pPr>
            <w:r>
              <w:rPr>
                <w:rFonts w:hint="eastAsia" w:ascii="宋体" w:hAnsi="宋体" w:cs="宋体"/>
                <w:szCs w:val="21"/>
              </w:rPr>
              <w:t>监督部门：重庆首讯科技股份有限公司合规监管部</w:t>
            </w:r>
          </w:p>
          <w:p>
            <w:pPr>
              <w:autoSpaceDE w:val="0"/>
              <w:autoSpaceDN w:val="0"/>
              <w:adjustRightInd w:val="0"/>
              <w:spacing w:line="400" w:lineRule="exact"/>
              <w:ind w:firstLine="420" w:firstLineChars="200"/>
              <w:jc w:val="left"/>
              <w:rPr>
                <w:rFonts w:ascii="宋体" w:hAnsi="宋体" w:cs="宋体"/>
                <w:szCs w:val="21"/>
              </w:rPr>
            </w:pPr>
            <w:r>
              <w:rPr>
                <w:rFonts w:hint="eastAsia" w:ascii="宋体" w:hAnsi="宋体" w:cs="宋体"/>
                <w:szCs w:val="21"/>
              </w:rPr>
              <w:t>地    址：重庆市渝北区新南路52号东界龙湖三楼</w:t>
            </w:r>
          </w:p>
          <w:p>
            <w:pPr>
              <w:autoSpaceDE w:val="0"/>
              <w:autoSpaceDN w:val="0"/>
              <w:adjustRightInd w:val="0"/>
              <w:spacing w:line="400" w:lineRule="exact"/>
              <w:ind w:firstLine="420" w:firstLineChars="200"/>
              <w:jc w:val="left"/>
              <w:rPr>
                <w:rFonts w:ascii="宋体" w:hAnsi="宋体" w:cs="宋体"/>
                <w:kern w:val="0"/>
                <w:szCs w:val="21"/>
              </w:rPr>
            </w:pPr>
            <w:r>
              <w:rPr>
                <w:rFonts w:hint="eastAsia" w:ascii="宋体" w:hAnsi="宋体" w:cs="宋体"/>
                <w:szCs w:val="21"/>
              </w:rPr>
              <w:t>电    话：</w:t>
            </w:r>
            <w:r>
              <w:rPr>
                <w:rFonts w:ascii="宋体" w:hAnsi="宋体" w:cs="宋体"/>
                <w:szCs w:val="21"/>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p>
        </w:tc>
        <w:tc>
          <w:tcPr>
            <w:tcW w:w="9210" w:type="dxa"/>
            <w:gridSpan w:val="2"/>
            <w:vAlign w:val="center"/>
          </w:tcPr>
          <w:p>
            <w:pPr>
              <w:autoSpaceDE w:val="0"/>
              <w:autoSpaceDN w:val="0"/>
              <w:adjustRightInd w:val="0"/>
              <w:spacing w:line="400" w:lineRule="exact"/>
              <w:ind w:firstLine="482" w:firstLineChars="200"/>
              <w:jc w:val="center"/>
              <w:rPr>
                <w:rFonts w:ascii="宋体" w:hAnsi="宋体" w:cs="宋体"/>
                <w:szCs w:val="21"/>
              </w:rPr>
            </w:pPr>
            <w:r>
              <w:rPr>
                <w:rFonts w:ascii="宋体" w:hAnsi="宋体" w:cs="宋体"/>
                <w:b/>
                <w:bCs/>
                <w:color w:val="000000"/>
                <w:kern w:val="0"/>
                <w:sz w:val="24"/>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r>
              <w:rPr>
                <w:rFonts w:hint="eastAsia" w:ascii="宋体" w:hAnsi="宋体" w:cs="宋体"/>
                <w:szCs w:val="21"/>
              </w:rPr>
              <w:t>.1</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b/>
                <w:bCs/>
                <w:color w:val="000000"/>
                <w:kern w:val="0"/>
                <w:sz w:val="24"/>
                <w:szCs w:val="21"/>
              </w:rPr>
            </w:pPr>
            <w:r>
              <w:rPr>
                <w:rFonts w:hint="eastAsia" w:ascii="宋体" w:hAnsi="宋体" w:cs="宋体"/>
                <w:color w:val="000000"/>
                <w:kern w:val="0"/>
                <w:szCs w:val="21"/>
              </w:rPr>
              <w:t>截止竞争性比选响应文件递交时间，递交竞争性比选响应文件不足</w:t>
            </w:r>
            <w:r>
              <w:rPr>
                <w:rFonts w:ascii="宋体" w:hAnsi="宋体" w:cs="宋体"/>
                <w:color w:val="000000"/>
                <w:kern w:val="0"/>
                <w:szCs w:val="21"/>
              </w:rPr>
              <w:t>5</w:t>
            </w:r>
            <w:r>
              <w:rPr>
                <w:rFonts w:hint="eastAsia" w:ascii="宋体" w:hAnsi="宋体" w:cs="宋体"/>
                <w:color w:val="000000"/>
                <w:kern w:val="0"/>
                <w:szCs w:val="21"/>
              </w:rPr>
              <w:t>家的不得开启竞争性比选文件。重新招标后报价人仍少于</w:t>
            </w:r>
            <w:r>
              <w:rPr>
                <w:rFonts w:ascii="宋体" w:hAnsi="宋体" w:cs="宋体"/>
                <w:color w:val="000000"/>
                <w:kern w:val="0"/>
                <w:szCs w:val="21"/>
              </w:rPr>
              <w:t>5</w:t>
            </w:r>
            <w:r>
              <w:rPr>
                <w:rFonts w:hint="eastAsia" w:ascii="宋体" w:hAnsi="宋体" w:cs="宋体"/>
                <w:color w:val="000000"/>
                <w:kern w:val="0"/>
                <w:szCs w:val="21"/>
              </w:rPr>
              <w:t>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r>
              <w:rPr>
                <w:rFonts w:hint="eastAsia" w:ascii="宋体" w:hAnsi="宋体" w:cs="宋体"/>
                <w:szCs w:val="21"/>
              </w:rPr>
              <w:t>.2</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在合同执行期间，报价人人应自行有效地。进行下列项目的保险：货物运输险、工程一切险、第三方责任险、车辆险、工人赔险、人员工伤险、人身意外保险、雇主责任险等，死亡/伤残赔偿上限不低于100万元/人，第三方责任险赔偿上限不低于500万元。</w:t>
            </w:r>
            <w:r>
              <w:rPr>
                <w:rFonts w:hint="eastAsia" w:ascii="宋体" w:hAnsi="宋体" w:cs="宋体"/>
                <w:kern w:val="0"/>
                <w:szCs w:val="21"/>
              </w:rPr>
              <w:t>承包人投保后须将保险单明细交与发包人备案。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r>
              <w:rPr>
                <w:rFonts w:hint="eastAsia" w:ascii="宋体" w:hAnsi="宋体" w:cs="宋体"/>
                <w:szCs w:val="21"/>
              </w:rPr>
              <w:t>.3</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现场工程量清单通过据实计量结算，若甲方要求某一路段变减，中标单位需无条件服从。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3.4</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其他要求见第七章</w:t>
            </w:r>
          </w:p>
        </w:tc>
      </w:tr>
      <w:bookmarkEnd w:id="102"/>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keepNext/>
        <w:keepLines/>
        <w:spacing w:before="260" w:after="260" w:line="415" w:lineRule="auto"/>
        <w:jc w:val="center"/>
        <w:outlineLvl w:val="1"/>
        <w:rPr>
          <w:rFonts w:ascii="宋体" w:hAnsi="宋体" w:cs="宋体"/>
          <w:b/>
          <w:kern w:val="0"/>
          <w:sz w:val="28"/>
          <w:szCs w:val="28"/>
        </w:rPr>
      </w:pPr>
      <w:bookmarkStart w:id="104" w:name="_Toc11284"/>
      <w:bookmarkStart w:id="105" w:name="_Toc11329222"/>
      <w:bookmarkStart w:id="106" w:name="_Toc30198"/>
      <w:bookmarkStart w:id="107" w:name="_Toc17532"/>
      <w:r>
        <w:rPr>
          <w:rFonts w:hint="eastAsia" w:ascii="宋体" w:hAnsi="宋体" w:cs="宋体"/>
          <w:b/>
          <w:bCs/>
          <w:kern w:val="0"/>
          <w:sz w:val="28"/>
          <w:szCs w:val="28"/>
        </w:rPr>
        <w:t xml:space="preserve">附录1  </w:t>
      </w:r>
      <w:bookmarkEnd w:id="104"/>
      <w:bookmarkEnd w:id="105"/>
      <w:bookmarkEnd w:id="106"/>
      <w:bookmarkEnd w:id="107"/>
      <w:bookmarkStart w:id="108" w:name="_Toc25591"/>
      <w:bookmarkStart w:id="109" w:name="_Toc12773"/>
      <w:bookmarkStart w:id="110" w:name="_Toc11329226"/>
      <w:bookmarkStart w:id="111" w:name="_Toc27096"/>
      <w:r>
        <w:rPr>
          <w:rFonts w:hint="eastAsia" w:ascii="宋体" w:hAnsi="宋体" w:cs="宋体"/>
          <w:b/>
          <w:kern w:val="0"/>
          <w:sz w:val="28"/>
          <w:szCs w:val="28"/>
        </w:rPr>
        <w:t>资格审查文件（项目主要管理人员最低要求）</w:t>
      </w:r>
      <w:bookmarkEnd w:id="108"/>
      <w:bookmarkEnd w:id="109"/>
      <w:bookmarkEnd w:id="110"/>
      <w:bookmarkEnd w:id="111"/>
    </w:p>
    <w:p>
      <w:pPr>
        <w:spacing w:line="400" w:lineRule="exact"/>
        <w:jc w:val="center"/>
        <w:rPr>
          <w:rFonts w:ascii="宋体" w:hAnsi="宋体" w:cs="宋体"/>
          <w:b/>
          <w:szCs w:val="21"/>
        </w:rPr>
      </w:pPr>
      <w:r>
        <w:rPr>
          <w:rFonts w:hint="eastAsia" w:ascii="宋体" w:hAnsi="宋体" w:cs="宋体"/>
          <w:b/>
          <w:szCs w:val="21"/>
        </w:rPr>
        <w:t>主要管理人员最低要求</w:t>
      </w:r>
    </w:p>
    <w:tbl>
      <w:tblPr>
        <w:tblStyle w:val="42"/>
        <w:tblW w:w="9628" w:type="dxa"/>
        <w:tblInd w:w="114" w:type="dxa"/>
        <w:tblLayout w:type="fixed"/>
        <w:tblCellMar>
          <w:top w:w="0" w:type="dxa"/>
          <w:left w:w="108" w:type="dxa"/>
          <w:bottom w:w="0" w:type="dxa"/>
          <w:right w:w="108" w:type="dxa"/>
        </w:tblCellMar>
      </w:tblPr>
      <w:tblGrid>
        <w:gridCol w:w="688"/>
        <w:gridCol w:w="1991"/>
        <w:gridCol w:w="2022"/>
        <w:gridCol w:w="2693"/>
        <w:gridCol w:w="2234"/>
      </w:tblGrid>
      <w:tr>
        <w:tblPrEx>
          <w:tblCellMar>
            <w:top w:w="0" w:type="dxa"/>
            <w:left w:w="108" w:type="dxa"/>
            <w:bottom w:w="0" w:type="dxa"/>
            <w:right w:w="108" w:type="dxa"/>
          </w:tblCellMar>
        </w:tblPrEx>
        <w:trPr>
          <w:trHeight w:val="360"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序号</w:t>
            </w:r>
          </w:p>
        </w:tc>
        <w:tc>
          <w:tcPr>
            <w:tcW w:w="19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人员配置</w:t>
            </w:r>
          </w:p>
        </w:tc>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职称或职业资格</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社保</w:t>
            </w:r>
          </w:p>
        </w:tc>
        <w:tc>
          <w:tcPr>
            <w:tcW w:w="22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安全资质</w:t>
            </w:r>
          </w:p>
        </w:tc>
      </w:tr>
      <w:tr>
        <w:tblPrEx>
          <w:tblCellMar>
            <w:top w:w="0" w:type="dxa"/>
            <w:left w:w="108" w:type="dxa"/>
            <w:bottom w:w="0" w:type="dxa"/>
            <w:right w:w="108" w:type="dxa"/>
          </w:tblCellMar>
        </w:tblPrEx>
        <w:trPr>
          <w:trHeight w:val="285"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1</w:t>
            </w:r>
          </w:p>
        </w:tc>
        <w:tc>
          <w:tcPr>
            <w:tcW w:w="19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项目经理1名</w:t>
            </w:r>
          </w:p>
        </w:tc>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szCs w:val="21"/>
              </w:rPr>
              <w:t>CISP或CISSP</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近三个月及以上社保证明</w:t>
            </w:r>
          </w:p>
        </w:tc>
        <w:tc>
          <w:tcPr>
            <w:tcW w:w="22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ascii="宋体" w:hAnsi="宋体" w:cs="宋体"/>
                <w:szCs w:val="21"/>
              </w:rPr>
              <w:t>无</w:t>
            </w:r>
          </w:p>
        </w:tc>
      </w:tr>
      <w:tr>
        <w:tblPrEx>
          <w:tblCellMar>
            <w:top w:w="0" w:type="dxa"/>
            <w:left w:w="108" w:type="dxa"/>
            <w:bottom w:w="0" w:type="dxa"/>
            <w:right w:w="108" w:type="dxa"/>
          </w:tblCellMar>
        </w:tblPrEx>
        <w:trPr>
          <w:trHeight w:val="285"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lang w:bidi="ar"/>
              </w:rPr>
            </w:pPr>
            <w:bookmarkStart w:id="112" w:name="_Toc387234996"/>
            <w:bookmarkStart w:id="113" w:name="_Toc388534043"/>
            <w:r>
              <w:rPr>
                <w:rFonts w:hint="eastAsia" w:ascii="宋体" w:hAnsi="宋体" w:cs="宋体"/>
                <w:kern w:val="0"/>
                <w:szCs w:val="21"/>
                <w:lang w:bidi="ar"/>
              </w:rPr>
              <w:t>2</w:t>
            </w:r>
          </w:p>
        </w:tc>
        <w:tc>
          <w:tcPr>
            <w:tcW w:w="19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lang w:bidi="ar"/>
              </w:rPr>
            </w:pPr>
            <w:r>
              <w:rPr>
                <w:rFonts w:hint="eastAsia" w:ascii="宋体" w:hAnsi="宋体" w:cs="宋体"/>
                <w:kern w:val="0"/>
                <w:szCs w:val="21"/>
                <w:lang w:bidi="ar"/>
              </w:rPr>
              <w:t>安全管理员1名</w:t>
            </w:r>
          </w:p>
        </w:tc>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lang w:bidi="ar"/>
              </w:rPr>
            </w:pPr>
            <w:r>
              <w:rPr>
                <w:rFonts w:hint="eastAsia" w:ascii="宋体" w:hAnsi="宋体" w:cs="宋体"/>
                <w:kern w:val="0"/>
                <w:szCs w:val="21"/>
                <w:lang w:bidi="ar"/>
              </w:rPr>
              <w:t>近三个月及以上社保证明</w:t>
            </w:r>
          </w:p>
        </w:tc>
        <w:tc>
          <w:tcPr>
            <w:tcW w:w="22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宋体" w:hAnsi="宋体" w:cs="宋体"/>
                <w:szCs w:val="21"/>
              </w:rPr>
              <w:t>无</w:t>
            </w:r>
          </w:p>
        </w:tc>
      </w:tr>
    </w:tbl>
    <w:p>
      <w:pPr>
        <w:spacing w:line="400" w:lineRule="exact"/>
        <w:jc w:val="left"/>
        <w:rPr>
          <w:rFonts w:ascii="宋体" w:hAnsi="宋体" w:cs="宋体"/>
          <w:szCs w:val="21"/>
        </w:rPr>
      </w:pPr>
      <w:r>
        <w:rPr>
          <w:rFonts w:hint="eastAsia" w:ascii="宋体" w:hAnsi="宋体" w:cs="宋体"/>
          <w:szCs w:val="21"/>
        </w:rPr>
        <w:t xml:space="preserve">  注：需提供项目主要管理人员名单（表格形式），以上人员相关资质证件、身份证复印件及由社保局出具的安全服务提供原厂商为以上人员缴纳</w:t>
      </w:r>
      <w:r>
        <w:rPr>
          <w:rFonts w:hint="eastAsia" w:ascii="宋体" w:hAnsi="宋体" w:cs="宋体"/>
          <w:szCs w:val="21"/>
          <w:lang w:val="en-US" w:eastAsia="zh-CN"/>
        </w:rPr>
        <w:t>近</w:t>
      </w:r>
      <w:r>
        <w:rPr>
          <w:rFonts w:hint="eastAsia" w:ascii="宋体" w:hAnsi="宋体" w:cs="宋体"/>
          <w:szCs w:val="21"/>
        </w:rPr>
        <w:t>3个月的社保保险证明，并带有社保部门公章或社保部门的有效电子印章，如社保为第三方代缴，则提供相关证明材料，并加盖单位鲜公章。</w:t>
      </w:r>
    </w:p>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keepNext/>
        <w:keepLines/>
        <w:spacing w:before="260" w:after="260" w:line="415" w:lineRule="auto"/>
        <w:jc w:val="center"/>
        <w:outlineLvl w:val="1"/>
        <w:rPr>
          <w:rFonts w:ascii="宋体" w:hAnsi="宋体" w:cs="宋体"/>
          <w:b/>
          <w:kern w:val="0"/>
          <w:sz w:val="28"/>
          <w:szCs w:val="28"/>
        </w:rPr>
      </w:pPr>
      <w:bookmarkStart w:id="114" w:name="_Toc11329227"/>
      <w:bookmarkStart w:id="115" w:name="_Toc27148"/>
      <w:bookmarkStart w:id="116" w:name="_Toc21487"/>
      <w:bookmarkStart w:id="117" w:name="_Toc8293"/>
      <w:r>
        <w:rPr>
          <w:rFonts w:hint="eastAsia" w:ascii="宋体" w:hAnsi="宋体" w:cs="宋体"/>
          <w:b/>
          <w:kern w:val="0"/>
          <w:sz w:val="28"/>
          <w:szCs w:val="28"/>
        </w:rPr>
        <w:t>附录2 资格审查文件（项目其他人员最低要求）</w:t>
      </w:r>
      <w:bookmarkEnd w:id="114"/>
      <w:bookmarkEnd w:id="115"/>
      <w:bookmarkEnd w:id="116"/>
      <w:bookmarkEnd w:id="117"/>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bookmarkStart w:id="118" w:name="_Toc507319900"/>
            <w:bookmarkStart w:id="119" w:name="_Toc23696"/>
            <w:bookmarkStart w:id="120" w:name="_Toc413241584"/>
            <w:r>
              <w:rPr>
                <w:rFonts w:hint="eastAsia" w:ascii="宋体" w:hAnsi="宋体" w:cs="宋体"/>
                <w:szCs w:val="21"/>
              </w:rPr>
              <w:t>维护人员最低要求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1、项目驻场维护人员持有效期内CISP或CISSP资质认证证书，必须2人及以上，并且为安全服务提供原厂商单位人员。（报价人自行承诺）</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2、项目驻场维护人员掌握信息安全技术相关技能，包括但不限于:安全咨询、安全评估、等保服务等方面;掌握等级保护标准、分级保护标准、安全风险评估规范和实施流程及方法，具备等级保护、风险评估、数据中心等信息安全领域咨询和建设的相关标准和测评实施的方法和经验。（报价人自行承诺）  </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3、项目驻场维护人员熟悉信息网络安全相关基础产品特性，了解市场上现有常见的网络安全设备和产品。熟悉各领域的安全技术，包括：Web安全、系统网络安全、大数据平台安全、云平台安全、网络安全域的划分等，熟悉安全漏洞扫描等常用安全设备。（报价人自行承诺）   </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4、项目驻场维护人员掌握主流操作系统、数据库、网络设备的配置及使用；掌握一种或多种编程或脚本语言，如Python、Perl等。（报价人自行承诺） </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5、项目驻场维护人员掌握维护设备的操作方法、故障排除方法、设备性能监测及注意事项。确保维护设备的安全运行，每日进行巡检，监测，根据业主需要进行相关配置。（报价人自行承诺） </w:t>
            </w:r>
          </w:p>
          <w:p>
            <w:pPr>
              <w:autoSpaceDE w:val="0"/>
              <w:autoSpaceDN w:val="0"/>
              <w:spacing w:line="360" w:lineRule="auto"/>
              <w:ind w:left="436" w:leftChars="203" w:hanging="10"/>
              <w:rPr>
                <w:rFonts w:ascii="宋体" w:hAnsi="宋体" w:cs="宋体"/>
              </w:rPr>
            </w:pPr>
            <w:r>
              <w:rPr>
                <w:rFonts w:hint="eastAsia" w:ascii="宋体" w:hAnsi="宋体" w:cs="宋体"/>
              </w:rPr>
              <w:t xml:space="preserve">6、项目驻场维护人员将提供5*8小时为基础的设备现场监控，需安排1名7*24小时的手机在线值班驻场。（报价人自行承诺） </w:t>
            </w:r>
          </w:p>
          <w:p>
            <w:pPr>
              <w:autoSpaceDE w:val="0"/>
              <w:autoSpaceDN w:val="0"/>
              <w:spacing w:line="360" w:lineRule="auto"/>
              <w:ind w:left="436" w:leftChars="203" w:hanging="10"/>
              <w:rPr>
                <w:rFonts w:ascii="宋体" w:hAnsi="宋体" w:cs="宋体"/>
              </w:rPr>
            </w:pPr>
            <w:r>
              <w:rPr>
                <w:rFonts w:ascii="宋体" w:hAnsi="宋体" w:cs="宋体"/>
              </w:rPr>
              <w:t>7</w:t>
            </w:r>
            <w:r>
              <w:rPr>
                <w:rFonts w:hint="eastAsia" w:ascii="宋体" w:hAnsi="宋体" w:cs="宋体"/>
              </w:rPr>
              <w:t>、项目驻场维护人员需具有2年及以上网络安全相关工作经验。（报价人自行承诺）</w:t>
            </w:r>
          </w:p>
        </w:tc>
      </w:tr>
      <w:bookmarkEnd w:id="118"/>
      <w:bookmarkEnd w:id="119"/>
      <w:bookmarkEnd w:id="120"/>
    </w:tbl>
    <w:p>
      <w:pPr>
        <w:spacing w:line="400" w:lineRule="exact"/>
        <w:jc w:val="left"/>
        <w:rPr>
          <w:rFonts w:ascii="宋体" w:hAnsi="宋体" w:cs="宋体"/>
          <w:color w:val="FF0000"/>
          <w:szCs w:val="21"/>
        </w:rPr>
      </w:pPr>
      <w:bookmarkStart w:id="121" w:name="_Toc4169"/>
      <w:bookmarkStart w:id="122" w:name="_Toc6096"/>
      <w:bookmarkStart w:id="123" w:name="_Toc17384"/>
      <w:r>
        <w:rPr>
          <w:rFonts w:hint="eastAsia" w:hAnsi="宋体"/>
          <w:szCs w:val="21"/>
        </w:rPr>
        <w:t>注：</w:t>
      </w:r>
      <w:r>
        <w:rPr>
          <w:rFonts w:hint="eastAsia" w:ascii="宋体" w:hAnsi="宋体" w:cs="宋体"/>
          <w:szCs w:val="21"/>
        </w:rPr>
        <w:t>以上人员相关资质证件、身份证复印件，并加盖单位鲜公章。</w:t>
      </w:r>
    </w:p>
    <w:p>
      <w:pPr>
        <w:autoSpaceDE w:val="0"/>
        <w:autoSpaceDN w:val="0"/>
        <w:spacing w:line="360" w:lineRule="auto"/>
        <w:rPr>
          <w:rFonts w:ascii="宋体" w:hAnsi="宋体" w:cs="宋体"/>
          <w:kern w:val="0"/>
          <w:sz w:val="28"/>
          <w:szCs w:val="28"/>
        </w:rPr>
      </w:pPr>
    </w:p>
    <w:p/>
    <w:p>
      <w:pPr>
        <w:rPr>
          <w:rFonts w:ascii="宋体" w:hAnsi="宋体" w:cs="宋体"/>
          <w:sz w:val="28"/>
          <w:szCs w:val="28"/>
        </w:rPr>
      </w:pPr>
    </w:p>
    <w:p/>
    <w:p>
      <w:pPr>
        <w:keepNext/>
        <w:keepLines/>
        <w:spacing w:before="260" w:after="260" w:line="415" w:lineRule="auto"/>
        <w:outlineLvl w:val="1"/>
        <w:rPr>
          <w:rFonts w:ascii="Arial" w:hAnsi="宋体" w:eastAsia="黑体"/>
          <w:bCs/>
          <w:kern w:val="0"/>
          <w:sz w:val="28"/>
          <w:szCs w:val="28"/>
        </w:rPr>
      </w:pPr>
      <w:r>
        <w:rPr>
          <w:rFonts w:hint="eastAsia" w:ascii="宋体" w:hAnsi="宋体" w:cs="宋体"/>
          <w:b/>
          <w:kern w:val="0"/>
          <w:sz w:val="28"/>
          <w:szCs w:val="28"/>
        </w:rPr>
        <w:t>附录3 资格审查文件（主要机械设备和试验检测设备最低要求）</w:t>
      </w:r>
      <w:bookmarkEnd w:id="121"/>
      <w:bookmarkEnd w:id="122"/>
      <w:bookmarkEnd w:id="123"/>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spacing w:line="360" w:lineRule="auto"/>
              <w:ind w:firstLine="420" w:firstLineChars="200"/>
            </w:pPr>
            <w:r>
              <w:rPr>
                <w:rFonts w:hint="eastAsia" w:ascii="宋体" w:hAnsi="宋体" w:cs="宋体"/>
              </w:rPr>
              <w:t>无</w:t>
            </w:r>
          </w:p>
        </w:tc>
      </w:tr>
    </w:tbl>
    <w:p>
      <w:pPr>
        <w:spacing w:line="400" w:lineRule="exact"/>
        <w:ind w:firstLine="420"/>
        <w:rPr>
          <w:rFonts w:ascii="宋体" w:hAnsi="宋体" w:cs="宋体"/>
          <w:color w:val="FF0000"/>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无需提供有关证明资料，并加盖单位鲜公章。但需中标人在办理开工时提供以上相关资料。</w:t>
      </w:r>
    </w:p>
    <w:p>
      <w:pPr>
        <w:spacing w:line="400" w:lineRule="exact"/>
        <w:ind w:firstLine="420"/>
        <w:rPr>
          <w:rFonts w:ascii="宋体" w:hAnsi="宋体" w:cs="宋体"/>
          <w:kern w:val="0"/>
          <w:szCs w:val="21"/>
        </w:rPr>
      </w:pPr>
    </w:p>
    <w:p>
      <w:pPr>
        <w:autoSpaceDE w:val="0"/>
        <w:autoSpaceDN w:val="0"/>
        <w:spacing w:line="400" w:lineRule="exact"/>
        <w:ind w:firstLine="422" w:firstLineChars="200"/>
        <w:rPr>
          <w:rFonts w:ascii="宋体" w:hAnsi="宋体" w:cs="宋体"/>
          <w:bCs/>
          <w:kern w:val="0"/>
          <w:szCs w:val="21"/>
        </w:rPr>
      </w:pPr>
      <w:r>
        <w:rPr>
          <w:rFonts w:hint="eastAsia" w:ascii="宋体" w:hAnsi="宋体" w:cs="宋体"/>
          <w:b/>
          <w:bCs/>
          <w:kern w:val="0"/>
          <w:szCs w:val="21"/>
        </w:rPr>
        <w:t>以上（附录1-附录3中的资格审查）的要求均为强制性条件，其中任何一条不满足要求，则按否决报价处理。</w:t>
      </w:r>
    </w:p>
    <w:bookmarkEnd w:id="112"/>
    <w:bookmarkEnd w:id="113"/>
    <w:p>
      <w:pPr>
        <w:spacing w:line="440" w:lineRule="exact"/>
        <w:rPr>
          <w:rFonts w:ascii="宋体" w:hAnsi="宋体" w:cs="宋体"/>
          <w:color w:val="FF0000"/>
          <w:szCs w:val="21"/>
        </w:rPr>
        <w:sectPr>
          <w:footerReference r:id="rId8" w:type="default"/>
          <w:pgSz w:w="11906" w:h="16838"/>
          <w:pgMar w:top="1440" w:right="1800" w:bottom="1440" w:left="1800" w:header="851" w:footer="992" w:gutter="0"/>
          <w:cols w:space="720" w:num="1"/>
          <w:titlePg/>
          <w:docGrid w:type="lines" w:linePitch="312" w:charSpace="0"/>
        </w:sectPr>
      </w:pPr>
    </w:p>
    <w:p>
      <w:pPr>
        <w:keepNext/>
        <w:keepLines/>
        <w:spacing w:line="360" w:lineRule="auto"/>
        <w:jc w:val="center"/>
        <w:outlineLvl w:val="0"/>
        <w:rPr>
          <w:rFonts w:ascii="宋体" w:hAnsi="宋体" w:cs="宋体"/>
          <w:b/>
          <w:bCs/>
          <w:kern w:val="44"/>
          <w:sz w:val="44"/>
          <w:szCs w:val="44"/>
        </w:rPr>
      </w:pPr>
      <w:bookmarkStart w:id="124" w:name="_Toc247085745"/>
      <w:bookmarkStart w:id="125" w:name="_Toc144974554"/>
      <w:bookmarkStart w:id="126" w:name="_Toc179632605"/>
      <w:bookmarkStart w:id="127" w:name="_Toc507319957"/>
      <w:bookmarkStart w:id="128" w:name="_Toc2000406"/>
      <w:bookmarkStart w:id="129" w:name="_Toc7682"/>
      <w:bookmarkStart w:id="130" w:name="_Toc246996973"/>
      <w:bookmarkStart w:id="131" w:name="_Toc152045587"/>
      <w:bookmarkStart w:id="132" w:name="_Toc152042364"/>
      <w:bookmarkStart w:id="133" w:name="_Toc246996230"/>
      <w:r>
        <w:rPr>
          <w:rFonts w:hint="eastAsia" w:ascii="宋体" w:hAnsi="宋体" w:cs="宋体"/>
          <w:b/>
          <w:bCs/>
          <w:kern w:val="44"/>
          <w:sz w:val="44"/>
          <w:szCs w:val="44"/>
        </w:rPr>
        <w:t>第三章 评标办法</w:t>
      </w:r>
      <w:bookmarkEnd w:id="124"/>
      <w:bookmarkEnd w:id="125"/>
      <w:bookmarkEnd w:id="126"/>
      <w:bookmarkEnd w:id="127"/>
      <w:bookmarkEnd w:id="128"/>
      <w:bookmarkEnd w:id="129"/>
      <w:bookmarkEnd w:id="130"/>
      <w:bookmarkEnd w:id="131"/>
      <w:bookmarkEnd w:id="132"/>
      <w:bookmarkEnd w:id="133"/>
      <w:r>
        <w:rPr>
          <w:rFonts w:hint="eastAsia" w:ascii="宋体" w:hAnsi="宋体" w:cs="宋体"/>
          <w:b/>
          <w:bCs/>
          <w:kern w:val="44"/>
          <w:sz w:val="44"/>
          <w:szCs w:val="44"/>
        </w:rPr>
        <w:t>（经评审的最低投标价法）</w:t>
      </w:r>
    </w:p>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bookmarkStart w:id="134" w:name="_Toc13787"/>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以最早提交报价文件的报价人为第一中标候选人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w:t>
            </w:r>
            <w:r>
              <w:rPr>
                <w:rFonts w:hint="eastAsia"/>
              </w:rPr>
              <w:t>人力资源许可证及劳务派遣许可证</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1</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2</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3</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pPr>
        <w:rPr>
          <w:rFonts w:ascii="宋体" w:hAnsi="宋体" w:cs="宋体"/>
        </w:rPr>
      </w:pPr>
    </w:p>
    <w:p>
      <w:pPr>
        <w:jc w:val="center"/>
        <w:rPr>
          <w:rFonts w:ascii="宋体" w:hAnsi="宋体" w:cs="宋体"/>
          <w:b/>
          <w:bCs/>
          <w:kern w:val="44"/>
          <w:sz w:val="44"/>
          <w:szCs w:val="44"/>
        </w:rPr>
      </w:pPr>
      <w:r>
        <w:rPr>
          <w:rFonts w:hint="eastAsia"/>
        </w:rPr>
        <w:br w:type="page"/>
      </w:r>
      <w:r>
        <w:rPr>
          <w:rFonts w:hint="eastAsia" w:ascii="宋体" w:hAnsi="宋体" w:cs="宋体"/>
          <w:b/>
          <w:bCs/>
          <w:kern w:val="44"/>
          <w:sz w:val="44"/>
          <w:szCs w:val="44"/>
        </w:rPr>
        <w:t>第四章 报价说明</w:t>
      </w:r>
      <w:bookmarkEnd w:id="134"/>
    </w:p>
    <w:p>
      <w:pPr>
        <w:spacing w:line="380" w:lineRule="exact"/>
        <w:ind w:firstLine="420" w:firstLineChars="200"/>
        <w:rPr>
          <w:rFonts w:ascii="宋体" w:hAnsi="宋体" w:cs="宋体"/>
          <w:b/>
          <w:bCs/>
          <w:szCs w:val="21"/>
        </w:rPr>
      </w:pPr>
      <w:r>
        <w:rPr>
          <w:rFonts w:hint="eastAsia" w:ascii="宋体" w:hAnsi="宋体" w:cs="宋体"/>
          <w:szCs w:val="21"/>
        </w:rPr>
        <w:t>1、工程量清单应与本工程竞争性比选文件、技术标准和要求等文件结合起来查阅与理解。</w:t>
      </w:r>
    </w:p>
    <w:p>
      <w:pPr>
        <w:spacing w:line="380" w:lineRule="exact"/>
        <w:ind w:firstLine="420" w:firstLineChars="200"/>
        <w:rPr>
          <w:rFonts w:ascii="宋体" w:hAnsi="宋体" w:cs="宋体"/>
          <w:b/>
          <w:bCs/>
          <w:szCs w:val="21"/>
        </w:rPr>
      </w:pPr>
      <w:r>
        <w:rPr>
          <w:rFonts w:hint="eastAsia" w:ascii="宋体" w:hAnsi="宋体" w:cs="宋体"/>
          <w:szCs w:val="21"/>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spacing w:line="380" w:lineRule="exact"/>
        <w:ind w:firstLine="420" w:firstLineChars="200"/>
        <w:rPr>
          <w:rFonts w:ascii="宋体" w:hAnsi="宋体" w:cs="宋体"/>
          <w:b/>
          <w:bCs/>
          <w:szCs w:val="21"/>
        </w:rPr>
      </w:pPr>
      <w:r>
        <w:rPr>
          <w:rFonts w:hint="eastAsia" w:ascii="宋体" w:hAnsi="宋体" w:cs="宋体"/>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spacing w:line="380" w:lineRule="exact"/>
        <w:ind w:firstLine="420" w:firstLineChars="200"/>
        <w:rPr>
          <w:rFonts w:ascii="宋体" w:hAnsi="宋体" w:cs="宋体"/>
          <w:b/>
          <w:bCs/>
          <w:szCs w:val="21"/>
        </w:rPr>
      </w:pPr>
      <w:r>
        <w:rPr>
          <w:rFonts w:hint="eastAsia" w:ascii="宋体" w:hAnsi="宋体" w:cs="宋体"/>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spacing w:line="380" w:lineRule="exact"/>
        <w:ind w:firstLine="420" w:firstLineChars="200"/>
        <w:rPr>
          <w:rFonts w:ascii="宋体" w:hAnsi="宋体" w:cs="宋体"/>
          <w:b/>
          <w:bCs/>
          <w:szCs w:val="21"/>
        </w:rPr>
      </w:pPr>
      <w:r>
        <w:rPr>
          <w:rFonts w:hint="eastAsia" w:ascii="宋体" w:hAnsi="宋体" w:cs="宋体"/>
          <w:szCs w:val="21"/>
        </w:rPr>
        <w:t>5、报价人应结合施工现场实际和现在的市场情况、自身技术及管理水平、经营状况、机械设备及制定的施工方案的要求自行报价，该报价不低于报价人完成该项目的成本。</w:t>
      </w:r>
    </w:p>
    <w:p>
      <w:pPr>
        <w:spacing w:line="380" w:lineRule="exact"/>
        <w:ind w:firstLine="420" w:firstLineChars="200"/>
        <w:rPr>
          <w:rFonts w:ascii="宋体" w:hAnsi="宋体" w:cs="宋体"/>
          <w:b/>
          <w:bCs/>
          <w:szCs w:val="21"/>
        </w:rPr>
      </w:pPr>
      <w:r>
        <w:rPr>
          <w:rFonts w:hint="eastAsia" w:ascii="宋体" w:hAnsi="宋体" w:cs="宋体"/>
          <w:szCs w:val="21"/>
        </w:rPr>
        <w:t>6、工程量清单中所列工程数量是估算的数量，仅作为报价的共同基础，不能作为最终结算与支付的依据。实际支付应按实际完成的工程量*工程量清单的单价来计算支付金额。</w:t>
      </w:r>
    </w:p>
    <w:p>
      <w:pPr>
        <w:spacing w:line="380" w:lineRule="exact"/>
        <w:ind w:firstLine="420" w:firstLineChars="200"/>
        <w:rPr>
          <w:rFonts w:ascii="宋体" w:hAnsi="宋体" w:cs="宋体"/>
          <w:b/>
          <w:bCs/>
          <w:szCs w:val="21"/>
        </w:rPr>
      </w:pPr>
      <w:r>
        <w:rPr>
          <w:rFonts w:hint="eastAsia" w:ascii="宋体" w:hAnsi="宋体" w:cs="宋体"/>
          <w:szCs w:val="21"/>
        </w:rPr>
        <w:t>7、工程量清单中所列工程量的变动，丝毫不会降低或影响合同条款的效力，也不免除报价人按规定的标准进行施工和修复缺陷的责任。</w:t>
      </w:r>
    </w:p>
    <w:p>
      <w:pPr>
        <w:spacing w:line="380" w:lineRule="exact"/>
        <w:ind w:firstLine="420" w:firstLineChars="200"/>
        <w:rPr>
          <w:rFonts w:ascii="宋体" w:hAnsi="宋体" w:cs="宋体"/>
          <w:b/>
          <w:bCs/>
          <w:szCs w:val="21"/>
        </w:rPr>
      </w:pPr>
      <w:r>
        <w:rPr>
          <w:rFonts w:hint="eastAsia" w:ascii="宋体" w:hAnsi="宋体" w:cs="宋体"/>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spacing w:line="380" w:lineRule="exact"/>
        <w:ind w:firstLine="420" w:firstLineChars="200"/>
        <w:rPr>
          <w:rFonts w:ascii="宋体" w:hAnsi="宋体" w:cs="宋体"/>
          <w:b/>
          <w:bCs/>
          <w:szCs w:val="21"/>
        </w:rPr>
      </w:pPr>
      <w:r>
        <w:rPr>
          <w:rFonts w:hint="eastAsia" w:ascii="宋体" w:hAnsi="宋体" w:cs="宋体"/>
          <w:szCs w:val="21"/>
        </w:rPr>
        <w:t>9、工程量清单中的任何内容不得随意删除或涂改，若有误，在有效时间内书面向采购人提出，以“补遗”资料为准。</w:t>
      </w:r>
    </w:p>
    <w:p>
      <w:pPr>
        <w:spacing w:line="380" w:lineRule="exact"/>
        <w:ind w:firstLine="420" w:firstLineChars="200"/>
        <w:rPr>
          <w:rFonts w:ascii="宋体" w:hAnsi="宋体" w:cs="宋体"/>
          <w:b/>
          <w:bCs/>
          <w:szCs w:val="21"/>
        </w:rPr>
      </w:pPr>
      <w:r>
        <w:rPr>
          <w:rFonts w:hint="eastAsia" w:ascii="宋体" w:hAnsi="宋体" w:cs="宋体"/>
          <w:szCs w:val="21"/>
        </w:rPr>
        <w:t>10、不同单项及单位工程中的分部分项工程量清单中相同项目（项目特征及工作内容相同）的应报价统一，如有差异，按最低的一个报价进行结算；材料设备单价处理办法相同。</w:t>
      </w:r>
    </w:p>
    <w:p>
      <w:pPr>
        <w:spacing w:line="380" w:lineRule="exact"/>
        <w:ind w:firstLine="420" w:firstLineChars="200"/>
        <w:rPr>
          <w:rFonts w:ascii="宋体" w:hAnsi="宋体" w:cs="宋体"/>
          <w:b/>
          <w:bCs/>
          <w:szCs w:val="21"/>
        </w:rPr>
      </w:pPr>
      <w:r>
        <w:rPr>
          <w:rFonts w:hint="eastAsia" w:ascii="宋体" w:hAnsi="宋体" w:cs="宋体"/>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spacing w:line="380" w:lineRule="exact"/>
        <w:ind w:firstLine="420" w:firstLineChars="200"/>
        <w:rPr>
          <w:rFonts w:ascii="宋体" w:hAnsi="宋体" w:cs="宋体"/>
          <w:b/>
          <w:bCs/>
          <w:szCs w:val="21"/>
        </w:rPr>
      </w:pPr>
      <w:r>
        <w:rPr>
          <w:rFonts w:hint="eastAsia" w:ascii="宋体" w:hAnsi="宋体" w:cs="宋体"/>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spacing w:line="380" w:lineRule="exact"/>
        <w:ind w:firstLine="420" w:firstLineChars="200"/>
        <w:rPr>
          <w:rFonts w:ascii="宋体" w:hAnsi="宋体" w:cs="宋体"/>
          <w:b/>
          <w:bCs/>
          <w:szCs w:val="21"/>
        </w:rPr>
      </w:pPr>
      <w:r>
        <w:rPr>
          <w:rFonts w:hint="eastAsia" w:ascii="宋体" w:hAnsi="宋体" w:cs="宋体"/>
          <w:szCs w:val="21"/>
        </w:rPr>
        <w:t>13、工程量清单中的任何内容不得随意删除或涂改，若有误，在有效时间内书面向采购人提出，以“补遗”资料为准。</w:t>
      </w:r>
    </w:p>
    <w:p>
      <w:pPr>
        <w:spacing w:line="380" w:lineRule="exact"/>
        <w:ind w:firstLine="420" w:firstLineChars="200"/>
        <w:rPr>
          <w:rFonts w:ascii="宋体" w:hAnsi="宋体" w:cs="宋体"/>
          <w:b/>
          <w:bCs/>
          <w:szCs w:val="21"/>
        </w:rPr>
      </w:pPr>
      <w:r>
        <w:rPr>
          <w:rFonts w:hint="eastAsia" w:ascii="宋体" w:hAnsi="宋体" w:cs="宋体"/>
          <w:szCs w:val="21"/>
        </w:rPr>
        <w:t>14、报价中的单价和合价全部以人民币（元）表示。</w:t>
      </w:r>
    </w:p>
    <w:p>
      <w:pPr>
        <w:spacing w:line="380" w:lineRule="exact"/>
        <w:ind w:firstLine="420" w:firstLineChars="200"/>
        <w:rPr>
          <w:rFonts w:ascii="宋体" w:hAnsi="宋体" w:cs="宋体"/>
          <w:b/>
          <w:bCs/>
          <w:szCs w:val="21"/>
        </w:rPr>
      </w:pPr>
      <w:r>
        <w:rPr>
          <w:rFonts w:hint="eastAsia" w:ascii="宋体" w:hAnsi="宋体" w:cs="宋体"/>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spacing w:line="380" w:lineRule="exact"/>
        <w:ind w:firstLine="420" w:firstLineChars="200"/>
        <w:rPr>
          <w:rFonts w:ascii="宋体" w:hAnsi="宋体" w:cs="宋体"/>
          <w:b/>
          <w:bCs/>
          <w:szCs w:val="21"/>
        </w:rPr>
      </w:pPr>
      <w:r>
        <w:rPr>
          <w:rFonts w:hint="eastAsia" w:ascii="宋体" w:hAnsi="宋体" w:cs="宋体"/>
          <w:szCs w:val="21"/>
        </w:rPr>
        <w:t>16、合同为单价合同，合同期间不予调价。</w:t>
      </w:r>
    </w:p>
    <w:p>
      <w:pPr>
        <w:spacing w:line="380" w:lineRule="exact"/>
        <w:ind w:firstLine="420" w:firstLineChars="200"/>
        <w:rPr>
          <w:rFonts w:ascii="宋体" w:hAnsi="宋体" w:cs="宋体"/>
          <w:b/>
          <w:bCs/>
          <w:szCs w:val="21"/>
        </w:rPr>
      </w:pPr>
      <w:r>
        <w:rPr>
          <w:rFonts w:hint="eastAsia" w:ascii="宋体" w:hAnsi="宋体" w:cs="宋体"/>
          <w:szCs w:val="21"/>
        </w:rPr>
        <w:t>17、报价人应严格按照工程量清单进行报价，不得随意修改采购人发布的工程量清单数量、公式及相关内容。</w:t>
      </w:r>
    </w:p>
    <w:p>
      <w:pPr>
        <w:spacing w:line="380" w:lineRule="exact"/>
        <w:ind w:firstLine="420" w:firstLineChars="200"/>
      </w:pPr>
      <w:r>
        <w:rPr>
          <w:rFonts w:hint="eastAsia" w:ascii="宋体" w:hAnsi="宋体" w:cs="宋体"/>
          <w:szCs w:val="21"/>
        </w:rPr>
        <w:t>18、报价人提供的材料设备需在报价清单中明确品牌及型号。</w:t>
      </w:r>
      <w:r>
        <w:t xml:space="preserve"> </w:t>
      </w:r>
    </w:p>
    <w:p>
      <w:pPr>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35" w:name="_Toc152045786"/>
      <w:bookmarkStart w:id="136" w:name="_Toc246997097"/>
      <w:bookmarkStart w:id="137" w:name="_Toc152042575"/>
      <w:bookmarkStart w:id="138" w:name="_Toc144974855"/>
      <w:bookmarkStart w:id="139" w:name="_Toc179632806"/>
      <w:bookmarkStart w:id="140" w:name="_Toc247085872"/>
      <w:bookmarkStart w:id="141" w:name="_Toc246996354"/>
    </w:p>
    <w:p>
      <w:pPr>
        <w:keepNext/>
        <w:keepLines/>
        <w:spacing w:line="360" w:lineRule="auto"/>
        <w:jc w:val="center"/>
        <w:outlineLvl w:val="0"/>
        <w:rPr>
          <w:rFonts w:ascii="宋体" w:hAnsi="宋体" w:cs="宋体"/>
          <w:b/>
          <w:bCs/>
          <w:kern w:val="44"/>
          <w:sz w:val="44"/>
          <w:szCs w:val="44"/>
        </w:rPr>
      </w:pPr>
      <w:bookmarkStart w:id="142" w:name="_Toc247085855"/>
      <w:bookmarkStart w:id="143" w:name="_Toc144974834"/>
      <w:bookmarkStart w:id="144" w:name="_Toc246996340"/>
      <w:bookmarkStart w:id="145" w:name="_Toc2000409"/>
      <w:bookmarkStart w:id="146" w:name="_Toc246997083"/>
      <w:bookmarkStart w:id="147" w:name="_Toc514858705"/>
      <w:bookmarkStart w:id="148" w:name="_Toc152045772"/>
      <w:bookmarkStart w:id="149" w:name="_Toc24503"/>
      <w:bookmarkStart w:id="150" w:name="_Toc152042554"/>
      <w:bookmarkStart w:id="151" w:name="_Toc179632789"/>
      <w:r>
        <w:rPr>
          <w:rFonts w:hint="eastAsia" w:ascii="宋体" w:hAnsi="宋体" w:cs="宋体"/>
          <w:b/>
          <w:bCs/>
          <w:kern w:val="44"/>
          <w:sz w:val="44"/>
          <w:szCs w:val="44"/>
        </w:rPr>
        <w:t>第五章  工程量清单</w:t>
      </w:r>
      <w:bookmarkEnd w:id="142"/>
      <w:bookmarkEnd w:id="143"/>
      <w:bookmarkEnd w:id="144"/>
      <w:bookmarkEnd w:id="145"/>
      <w:bookmarkEnd w:id="146"/>
      <w:bookmarkEnd w:id="147"/>
      <w:bookmarkEnd w:id="148"/>
      <w:bookmarkEnd w:id="149"/>
      <w:bookmarkEnd w:id="150"/>
      <w:bookmarkEnd w:id="151"/>
    </w:p>
    <w:p>
      <w:pPr>
        <w:ind w:firstLine="420"/>
        <w:jc w:val="left"/>
        <w:rPr>
          <w:rFonts w:ascii="宋体" w:hAnsi="宋体" w:cs="宋体"/>
          <w:b/>
        </w:rPr>
      </w:pPr>
      <w:bookmarkStart w:id="152" w:name="_Toc179632800"/>
      <w:bookmarkStart w:id="153" w:name="_Toc247096438"/>
      <w:bookmarkStart w:id="154" w:name="_Toc144974851"/>
      <w:bookmarkStart w:id="155" w:name="_Toc246997093"/>
      <w:bookmarkStart w:id="156" w:name="_Toc152042571"/>
      <w:bookmarkStart w:id="157" w:name="_Toc247085866"/>
      <w:bookmarkStart w:id="158" w:name="_Toc246996350"/>
      <w:bookmarkStart w:id="159" w:name="_Toc152045782"/>
    </w:p>
    <w:p>
      <w:pPr>
        <w:jc w:val="center"/>
        <w:rPr>
          <w:rFonts w:ascii="宋体" w:hAnsi="宋体" w:cs="宋体"/>
          <w:b/>
        </w:rPr>
      </w:pPr>
      <w:r>
        <w:rPr>
          <w:rFonts w:hint="eastAsia" w:ascii="宋体" w:hAnsi="宋体" w:cs="宋体"/>
          <w:b/>
          <w:kern w:val="0"/>
          <w:sz w:val="24"/>
        </w:rPr>
        <w:t>详见竞争性比选文件附件</w:t>
      </w:r>
    </w:p>
    <w:p>
      <w:pPr>
        <w:jc w:val="center"/>
        <w:rPr>
          <w:rFonts w:ascii="宋体" w:hAnsi="宋体" w:cs="宋体"/>
          <w:b/>
        </w:rPr>
      </w:pPr>
    </w:p>
    <w:p>
      <w:pPr>
        <w:jc w:val="left"/>
        <w:rPr>
          <w:rFonts w:ascii="宋体" w:hAnsi="宋体" w:cs="宋体"/>
          <w:szCs w:val="21"/>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keepNext/>
        <w:keepLines/>
        <w:spacing w:line="360" w:lineRule="auto"/>
        <w:jc w:val="center"/>
        <w:outlineLvl w:val="0"/>
        <w:rPr>
          <w:rFonts w:ascii="宋体" w:hAnsi="宋体" w:cs="宋体"/>
          <w:b/>
          <w:bCs/>
          <w:kern w:val="44"/>
          <w:sz w:val="44"/>
          <w:szCs w:val="44"/>
        </w:rPr>
      </w:pPr>
      <w:bookmarkStart w:id="160" w:name="_Toc513633963"/>
      <w:bookmarkStart w:id="161" w:name="_Toc12440"/>
      <w:bookmarkStart w:id="162" w:name="_Toc514858706"/>
      <w:bookmarkStart w:id="163" w:name="_Toc447827048"/>
      <w:bookmarkStart w:id="164" w:name="_Toc2000410"/>
      <w:bookmarkStart w:id="165" w:name="_Toc503951042"/>
      <w:r>
        <w:rPr>
          <w:rFonts w:hint="eastAsia" w:ascii="宋体" w:hAnsi="宋体" w:cs="宋体"/>
          <w:b/>
          <w:bCs/>
          <w:kern w:val="44"/>
          <w:sz w:val="44"/>
          <w:szCs w:val="44"/>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pPr>
        <w:jc w:val="center"/>
        <w:rPr>
          <w:rFonts w:ascii="宋体" w:hAnsi="宋体" w:cs="宋体"/>
          <w:b/>
        </w:rPr>
      </w:pPr>
      <w:r>
        <w:rPr>
          <w:rFonts w:hint="eastAsia" w:ascii="宋体" w:hAnsi="宋体" w:cs="宋体"/>
          <w:b/>
          <w:kern w:val="0"/>
          <w:sz w:val="24"/>
        </w:rPr>
        <w:t>无。</w:t>
      </w:r>
    </w:p>
    <w:p>
      <w:pPr>
        <w:spacing w:line="400" w:lineRule="exact"/>
        <w:rPr>
          <w:rFonts w:ascii="宋体" w:hAnsi="宋体" w:cs="宋体"/>
        </w:rPr>
      </w:pPr>
      <w:r>
        <w:rPr>
          <w:rFonts w:hint="eastAsia" w:ascii="宋体" w:hAnsi="宋体" w:cs="宋体"/>
        </w:rPr>
        <w:br w:type="page"/>
      </w:r>
      <w:bookmarkStart w:id="166" w:name="_Toc144974854"/>
      <w:bookmarkStart w:id="167" w:name="_Toc152045785"/>
      <w:bookmarkStart w:id="168" w:name="_Toc152042574"/>
    </w:p>
    <w:p>
      <w:pPr>
        <w:keepNext/>
        <w:keepLines/>
        <w:spacing w:line="360" w:lineRule="auto"/>
        <w:jc w:val="center"/>
        <w:outlineLvl w:val="0"/>
        <w:rPr>
          <w:rFonts w:ascii="宋体" w:hAnsi="宋体" w:cs="宋体"/>
          <w:b/>
          <w:bCs/>
          <w:kern w:val="44"/>
          <w:sz w:val="24"/>
        </w:rPr>
      </w:pPr>
      <w:bookmarkStart w:id="169" w:name="_Toc447827049"/>
      <w:bookmarkStart w:id="170" w:name="_Toc514858707"/>
      <w:bookmarkStart w:id="171" w:name="_Toc179632804"/>
      <w:bookmarkStart w:id="172" w:name="_Toc10887"/>
      <w:bookmarkStart w:id="173" w:name="_Toc246997096"/>
      <w:bookmarkStart w:id="174" w:name="_Toc247085870"/>
      <w:bookmarkStart w:id="175" w:name="_Toc2000411"/>
      <w:bookmarkStart w:id="176" w:name="_Toc513633964"/>
      <w:bookmarkStart w:id="177" w:name="_Toc503951043"/>
      <w:bookmarkStart w:id="178" w:name="_Toc246996353"/>
      <w:r>
        <w:rPr>
          <w:rFonts w:hint="eastAsia" w:ascii="宋体" w:hAnsi="宋体" w:cs="宋体"/>
          <w:b/>
          <w:bCs/>
          <w:kern w:val="44"/>
          <w:sz w:val="44"/>
          <w:szCs w:val="44"/>
        </w:rPr>
        <w:t>第七章  技术标准和工作要求</w:t>
      </w:r>
      <w:bookmarkEnd w:id="135"/>
      <w:bookmarkEnd w:id="136"/>
      <w:bookmarkEnd w:id="137"/>
      <w:bookmarkEnd w:id="138"/>
      <w:bookmarkEnd w:id="139"/>
      <w:bookmarkEnd w:id="140"/>
      <w:bookmarkEnd w:id="141"/>
      <w:bookmarkEnd w:id="166"/>
      <w:bookmarkEnd w:id="167"/>
      <w:bookmarkEnd w:id="168"/>
      <w:bookmarkEnd w:id="169"/>
      <w:bookmarkEnd w:id="170"/>
      <w:bookmarkEnd w:id="171"/>
      <w:bookmarkEnd w:id="172"/>
      <w:bookmarkEnd w:id="173"/>
      <w:bookmarkEnd w:id="174"/>
      <w:bookmarkEnd w:id="175"/>
      <w:bookmarkEnd w:id="176"/>
      <w:bookmarkEnd w:id="177"/>
      <w:bookmarkEnd w:id="178"/>
      <w:bookmarkStart w:id="179" w:name="_Toc514858708"/>
      <w:bookmarkStart w:id="180" w:name="_Toc12089"/>
      <w:bookmarkStart w:id="181" w:name="_Toc514430114"/>
      <w:bookmarkStart w:id="182" w:name="_Toc2000412"/>
      <w:bookmarkStart w:id="183" w:name="_Toc144974856"/>
      <w:bookmarkStart w:id="184" w:name="_Toc246997098"/>
      <w:bookmarkStart w:id="185" w:name="_Toc179632807"/>
      <w:bookmarkStart w:id="186" w:name="_Toc152045787"/>
      <w:bookmarkStart w:id="187" w:name="_Toc507320039"/>
      <w:bookmarkStart w:id="188" w:name="_Toc247085873"/>
      <w:bookmarkStart w:id="189" w:name="_Toc152042576"/>
      <w:bookmarkStart w:id="190" w:name="_Toc246996355"/>
    </w:p>
    <w:tbl>
      <w:tblPr>
        <w:tblStyle w:val="42"/>
        <w:tblW w:w="9715" w:type="dxa"/>
        <w:jc w:val="center"/>
        <w:tblLayout w:type="fixed"/>
        <w:tblCellMar>
          <w:top w:w="0" w:type="dxa"/>
          <w:left w:w="108" w:type="dxa"/>
          <w:bottom w:w="0" w:type="dxa"/>
          <w:right w:w="108" w:type="dxa"/>
        </w:tblCellMar>
      </w:tblPr>
      <w:tblGrid>
        <w:gridCol w:w="509"/>
        <w:gridCol w:w="1092"/>
        <w:gridCol w:w="4015"/>
        <w:gridCol w:w="836"/>
        <w:gridCol w:w="1007"/>
        <w:gridCol w:w="2256"/>
      </w:tblGrid>
      <w:tr>
        <w:tblPrEx>
          <w:tblCellMar>
            <w:top w:w="0" w:type="dxa"/>
            <w:left w:w="108" w:type="dxa"/>
            <w:bottom w:w="0" w:type="dxa"/>
            <w:right w:w="108" w:type="dxa"/>
          </w:tblCellMar>
        </w:tblPrEx>
        <w:trPr>
          <w:trHeight w:val="285"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b/>
                <w:bCs/>
                <w:sz w:val="22"/>
              </w:rPr>
            </w:pPr>
            <w:r>
              <w:rPr>
                <w:rFonts w:hint="eastAsia" w:ascii="宋体" w:hAnsi="宋体" w:cs="宋体"/>
                <w:b/>
                <w:bCs/>
                <w:sz w:val="22"/>
              </w:rPr>
              <w:t>序号</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b/>
                <w:bCs/>
                <w:sz w:val="22"/>
              </w:rPr>
            </w:pPr>
            <w:r>
              <w:rPr>
                <w:rFonts w:hint="eastAsia" w:ascii="宋体" w:hAnsi="宋体" w:cs="宋体"/>
                <w:b/>
                <w:bCs/>
                <w:sz w:val="22"/>
              </w:rPr>
              <w:t>服务</w:t>
            </w:r>
          </w:p>
          <w:p>
            <w:pPr>
              <w:widowControl/>
              <w:jc w:val="left"/>
              <w:rPr>
                <w:rFonts w:ascii="宋体" w:hAnsi="宋体" w:cs="宋体"/>
                <w:b/>
                <w:bCs/>
                <w:sz w:val="22"/>
              </w:rPr>
            </w:pPr>
            <w:r>
              <w:rPr>
                <w:rFonts w:hint="eastAsia" w:ascii="宋体" w:hAnsi="宋体" w:cs="宋体"/>
                <w:b/>
                <w:bCs/>
                <w:sz w:val="22"/>
              </w:rPr>
              <w:t>项目</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b/>
                <w:bCs/>
                <w:sz w:val="22"/>
              </w:rPr>
            </w:pPr>
            <w:r>
              <w:rPr>
                <w:rFonts w:hint="eastAsia" w:ascii="宋体" w:hAnsi="宋体" w:cs="宋体"/>
                <w:b/>
                <w:bCs/>
                <w:sz w:val="22"/>
              </w:rPr>
              <w:t>服务描述</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b/>
                <w:bCs/>
                <w:sz w:val="22"/>
              </w:rPr>
            </w:pPr>
            <w:r>
              <w:rPr>
                <w:rFonts w:hint="eastAsia" w:ascii="宋体" w:hAnsi="宋体" w:cs="宋体"/>
                <w:b/>
                <w:bCs/>
                <w:sz w:val="22"/>
              </w:rPr>
              <w:t>服务方式</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b/>
                <w:bCs/>
                <w:sz w:val="22"/>
              </w:rPr>
            </w:pPr>
            <w:r>
              <w:rPr>
                <w:rFonts w:hint="eastAsia" w:ascii="宋体" w:hAnsi="宋体" w:cs="宋体"/>
                <w:b/>
                <w:bCs/>
                <w:sz w:val="22"/>
              </w:rPr>
              <w:t>服务</w:t>
            </w:r>
          </w:p>
          <w:p>
            <w:pPr>
              <w:widowControl/>
              <w:jc w:val="left"/>
              <w:rPr>
                <w:rFonts w:ascii="宋体" w:hAnsi="宋体" w:cs="宋体"/>
                <w:b/>
                <w:bCs/>
                <w:sz w:val="22"/>
              </w:rPr>
            </w:pPr>
            <w:r>
              <w:rPr>
                <w:rFonts w:hint="eastAsia" w:ascii="宋体" w:hAnsi="宋体" w:cs="宋体"/>
                <w:b/>
                <w:bCs/>
                <w:sz w:val="22"/>
              </w:rPr>
              <w:t>说明</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b/>
                <w:bCs/>
                <w:sz w:val="22"/>
              </w:rPr>
            </w:pPr>
            <w:r>
              <w:rPr>
                <w:rFonts w:hint="eastAsia" w:ascii="宋体" w:hAnsi="宋体" w:cs="宋体"/>
                <w:b/>
                <w:bCs/>
                <w:sz w:val="22"/>
              </w:rPr>
              <w:t>服务输出</w:t>
            </w:r>
          </w:p>
          <w:p>
            <w:pPr>
              <w:widowControl/>
              <w:jc w:val="left"/>
              <w:rPr>
                <w:rFonts w:ascii="宋体" w:hAnsi="宋体" w:cs="宋体"/>
                <w:b/>
                <w:bCs/>
                <w:sz w:val="22"/>
              </w:rPr>
            </w:pPr>
            <w:r>
              <w:rPr>
                <w:rFonts w:hint="eastAsia" w:ascii="宋体" w:hAnsi="宋体" w:cs="宋体"/>
                <w:b/>
                <w:bCs/>
                <w:sz w:val="22"/>
              </w:rPr>
              <w:t>文档</w:t>
            </w:r>
          </w:p>
        </w:tc>
      </w:tr>
      <w:tr>
        <w:tblPrEx>
          <w:tblCellMar>
            <w:top w:w="0" w:type="dxa"/>
            <w:left w:w="108" w:type="dxa"/>
            <w:bottom w:w="0" w:type="dxa"/>
            <w:right w:w="108" w:type="dxa"/>
          </w:tblCellMar>
        </w:tblPrEx>
        <w:trPr>
          <w:trHeight w:val="5165"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1</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安全风险评估服务</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安全风险评估，是从风险管理角度，运用科学的方法和技术手段，分析网络与信息系统所面临的安全威胁及存在的脆弱性，评估安全事件一旦发生可能造成的危害程度，并提出针对性的安全防护建议和整改措施。</w:t>
            </w:r>
          </w:p>
          <w:p>
            <w:pPr>
              <w:widowControl/>
              <w:jc w:val="left"/>
              <w:rPr>
                <w:rFonts w:ascii="宋体" w:hAnsi="宋体" w:cs="宋体"/>
                <w:sz w:val="22"/>
              </w:rPr>
            </w:pPr>
            <w:r>
              <w:rPr>
                <w:rFonts w:hint="eastAsia" w:ascii="宋体" w:hAnsi="宋体" w:cs="宋体"/>
                <w:sz w:val="22"/>
              </w:rPr>
              <w:t xml:space="preserve">安全风险评估是对网络中已知或潜在的安全漏洞、安全风险、安全隐患，进行探测、识别、控制、消除的全过程，它是信息安全服务工作的必要组成部分，是信息安全工作中非常重要的一个环节。 </w:t>
            </w:r>
          </w:p>
          <w:p>
            <w:pPr>
              <w:widowControl/>
              <w:jc w:val="left"/>
              <w:rPr>
                <w:rFonts w:ascii="宋体" w:hAnsi="宋体" w:cs="宋体"/>
                <w:sz w:val="22"/>
              </w:rPr>
            </w:pPr>
            <w:r>
              <w:rPr>
                <w:rFonts w:hint="eastAsia" w:ascii="宋体" w:hAnsi="宋体" w:cs="宋体"/>
                <w:sz w:val="22"/>
              </w:rPr>
              <w:t>安全风险评估的参考标准主要是GB/T 20984、GB/T 31509、公安部等级保护，风险评估方法包括但不限于资料收集、调查问卷、人员访谈、现场查勘、漏洞扫描、基线核查、风险分析。</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一年按需执行</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w:t>
            </w:r>
            <w:r>
              <w:rPr>
                <w:rFonts w:hint="eastAsia" w:ascii="宋体" w:hAnsi="宋体" w:cs="宋体"/>
                <w:sz w:val="22"/>
              </w:rPr>
              <w:tab/>
            </w:r>
            <w:r>
              <w:rPr>
                <w:rFonts w:hint="eastAsia" w:ascii="宋体" w:hAnsi="宋体" w:cs="宋体"/>
                <w:sz w:val="22"/>
              </w:rPr>
              <w:t>《安全风险评估报告》、《资产分析报告》、《脆弱性评估报告》、《威胁评估报告》</w:t>
            </w:r>
          </w:p>
        </w:tc>
      </w:tr>
      <w:tr>
        <w:tblPrEx>
          <w:tblCellMar>
            <w:top w:w="0" w:type="dxa"/>
            <w:left w:w="108" w:type="dxa"/>
            <w:bottom w:w="0" w:type="dxa"/>
            <w:right w:w="108" w:type="dxa"/>
          </w:tblCellMar>
        </w:tblPrEx>
        <w:trPr>
          <w:trHeight w:val="2496"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2</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等保建设咨询服务</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等保差距分析，是依据公安部等级保护基本要求，从物理、网络、主机、应用、数据、制度、机构、人员、建设、运维共十个方面，分析信息系统安全防护能力与对应等级要求之间的差距，明确不满足项并提出整改建议。</w:t>
            </w:r>
          </w:p>
          <w:p>
            <w:pPr>
              <w:widowControl/>
              <w:jc w:val="left"/>
              <w:rPr>
                <w:rFonts w:ascii="宋体" w:hAnsi="宋体" w:cs="宋体"/>
                <w:sz w:val="22"/>
              </w:rPr>
            </w:pPr>
            <w:r>
              <w:rPr>
                <w:rFonts w:hint="eastAsia" w:ascii="宋体" w:hAnsi="宋体" w:cs="宋体"/>
                <w:sz w:val="22"/>
              </w:rPr>
              <w:t>不同等级的要求存在差异，所以不同等级应用系统的等保差距分析，其工作量也存在差异。目前，应用系统大多定为二级或三级，等级越高，工作量越大。</w:t>
            </w:r>
          </w:p>
          <w:p>
            <w:pPr>
              <w:widowControl/>
              <w:jc w:val="left"/>
              <w:rPr>
                <w:rFonts w:ascii="宋体" w:hAnsi="宋体" w:cs="宋体"/>
                <w:sz w:val="22"/>
              </w:rPr>
            </w:pPr>
            <w:r>
              <w:rPr>
                <w:rFonts w:hint="eastAsia" w:ascii="宋体" w:hAnsi="宋体" w:cs="宋体"/>
                <w:sz w:val="22"/>
              </w:rPr>
              <w:t>等保差距整改，是双前期的等保差距分析报告为依据，为客户设计满足等级保护要求、可落地执行的安全整改建设方案并执行，确保信息系统满足等级保护要求，并顺利通过等级保护测评。</w:t>
            </w:r>
          </w:p>
          <w:p>
            <w:pPr>
              <w:widowControl/>
              <w:jc w:val="left"/>
              <w:rPr>
                <w:rFonts w:ascii="宋体" w:hAnsi="宋体" w:cs="宋体"/>
                <w:sz w:val="22"/>
              </w:rPr>
            </w:pPr>
            <w:r>
              <w:rPr>
                <w:rFonts w:hint="eastAsia" w:ascii="宋体" w:hAnsi="宋体" w:cs="宋体"/>
                <w:sz w:val="22"/>
              </w:rPr>
              <w:t>我们的等保差距整改，将以纵深防御为主要设计思路，为用户提供“三重防护、一个中心”的安全整改建设方案。</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一年按需执行</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w:t>
            </w:r>
            <w:r>
              <w:rPr>
                <w:rFonts w:hint="eastAsia" w:ascii="宋体" w:hAnsi="宋体" w:cs="宋体"/>
                <w:sz w:val="22"/>
              </w:rPr>
              <w:tab/>
            </w:r>
            <w:r>
              <w:rPr>
                <w:rFonts w:hint="eastAsia" w:ascii="宋体" w:hAnsi="宋体" w:cs="宋体"/>
                <w:sz w:val="22"/>
              </w:rPr>
              <w:t>《XX系统等级保护差距分析报告》（含安全整改建议）、《XX系统等保差距整改建设方案》</w:t>
            </w:r>
          </w:p>
        </w:tc>
      </w:tr>
      <w:tr>
        <w:tblPrEx>
          <w:tblCellMar>
            <w:top w:w="0" w:type="dxa"/>
            <w:left w:w="108" w:type="dxa"/>
            <w:bottom w:w="0" w:type="dxa"/>
            <w:right w:w="108" w:type="dxa"/>
          </w:tblCellMar>
        </w:tblPrEx>
        <w:trPr>
          <w:trHeight w:val="471"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3</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安全巡检服务</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安全巡检服务，对高速公路路段中心、收费站和ETC门架的网络设备、安全设备、重要业务系统、重要终端等进行的安全检测，检测完成后提供全面的巡检报告，报告中给出存在的安全风险并提供对应的修复建议。</w:t>
            </w:r>
          </w:p>
          <w:p>
            <w:pPr>
              <w:widowControl/>
              <w:jc w:val="left"/>
              <w:rPr>
                <w:rFonts w:ascii="宋体" w:hAnsi="宋体" w:cs="宋体"/>
                <w:sz w:val="22"/>
              </w:rPr>
            </w:pPr>
            <w:r>
              <w:rPr>
                <w:rFonts w:hint="eastAsia" w:ascii="宋体" w:hAnsi="宋体" w:cs="宋体"/>
                <w:sz w:val="22"/>
              </w:rPr>
              <w:t>安全巡检服务内容，包括安全漏洞检测、基线配置核查、安全日志审计。</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每季度一次</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w:t>
            </w:r>
            <w:r>
              <w:rPr>
                <w:rFonts w:hint="eastAsia" w:ascii="宋体" w:hAnsi="宋体" w:cs="宋体"/>
                <w:sz w:val="22"/>
              </w:rPr>
              <w:tab/>
            </w:r>
            <w:r>
              <w:rPr>
                <w:rFonts w:hint="eastAsia" w:ascii="宋体" w:hAnsi="宋体" w:cs="宋体"/>
                <w:sz w:val="22"/>
              </w:rPr>
              <w:t>《XX安全巡检服务报告》《XX安全漏洞检测报告》、《XX基线配置核查报告》、《XX安全日志审计报告》</w:t>
            </w:r>
          </w:p>
          <w:p>
            <w:pPr>
              <w:widowControl/>
              <w:jc w:val="left"/>
              <w:rPr>
                <w:rFonts w:ascii="宋体" w:hAnsi="宋体" w:cs="宋体"/>
                <w:sz w:val="22"/>
              </w:rPr>
            </w:pPr>
          </w:p>
        </w:tc>
      </w:tr>
      <w:tr>
        <w:tblPrEx>
          <w:tblCellMar>
            <w:top w:w="0" w:type="dxa"/>
            <w:left w:w="108" w:type="dxa"/>
            <w:bottom w:w="0" w:type="dxa"/>
            <w:right w:w="108" w:type="dxa"/>
          </w:tblCellMar>
        </w:tblPrEx>
        <w:trPr>
          <w:trHeight w:val="810"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4</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安全加固服务</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安全加固服务，是协助对目标系统的安全漏洞进行修复、配置隐患进行优化的过程。</w:t>
            </w:r>
          </w:p>
          <w:p>
            <w:pPr>
              <w:widowControl/>
              <w:jc w:val="left"/>
              <w:rPr>
                <w:rFonts w:ascii="宋体" w:hAnsi="宋体" w:cs="宋体"/>
                <w:sz w:val="22"/>
              </w:rPr>
            </w:pPr>
            <w:r>
              <w:rPr>
                <w:rFonts w:hint="eastAsia" w:ascii="宋体" w:hAnsi="宋体" w:cs="宋体"/>
                <w:sz w:val="22"/>
              </w:rPr>
              <w:t>安全加固是保证设备和系统安全运行的关键防护措施，通常情况下，操作系统、数据库、中间件、网络设备、安全设备，都需要进行安全加固。</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一年按需执行</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输出包括但不限于《XX安全加固报告》（含加固前后漏洞对比）、《XX加固前漏洞扫描报告》、《XX加固后漏洞扫描报告》、《XX安全加固应急及回退方案》</w:t>
            </w:r>
          </w:p>
        </w:tc>
      </w:tr>
      <w:tr>
        <w:tblPrEx>
          <w:tblCellMar>
            <w:top w:w="0" w:type="dxa"/>
            <w:left w:w="108" w:type="dxa"/>
            <w:bottom w:w="0" w:type="dxa"/>
            <w:right w:w="108" w:type="dxa"/>
          </w:tblCellMar>
        </w:tblPrEx>
        <w:trPr>
          <w:trHeight w:val="810"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5</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安全应急响应</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应急响应服务，是在业务系统或服务器遭受黑客入侵攻击时，第一时间对入侵事件进行分析、检测、抑制、处理，查找入侵来源并恢复系统正常运行。</w:t>
            </w:r>
          </w:p>
          <w:p>
            <w:pPr>
              <w:widowControl/>
              <w:jc w:val="left"/>
              <w:rPr>
                <w:rFonts w:ascii="宋体" w:hAnsi="宋体" w:cs="宋体"/>
                <w:sz w:val="22"/>
              </w:rPr>
            </w:pPr>
            <w:r>
              <w:rPr>
                <w:rFonts w:hint="eastAsia" w:ascii="宋体" w:hAnsi="宋体" w:cs="宋体"/>
                <w:sz w:val="22"/>
              </w:rPr>
              <w:t>我们的应急响应服务，在完成应急事件事处理后，还将提供详细的应急响应报告，报告中将还原入侵过程，同时给出对应的解决方案。</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一年按需执行</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w:t>
            </w:r>
            <w:r>
              <w:rPr>
                <w:rFonts w:hint="eastAsia" w:ascii="宋体" w:hAnsi="宋体" w:cs="宋体"/>
                <w:sz w:val="22"/>
              </w:rPr>
              <w:tab/>
            </w:r>
            <w:r>
              <w:rPr>
                <w:rFonts w:hint="eastAsia" w:ascii="宋体" w:hAnsi="宋体" w:cs="宋体"/>
                <w:sz w:val="22"/>
              </w:rPr>
              <w:t>《XX系统安全应急响应报告》、《XX系统安全事件应急预案》</w:t>
            </w:r>
          </w:p>
        </w:tc>
      </w:tr>
      <w:tr>
        <w:tblPrEx>
          <w:tblCellMar>
            <w:top w:w="0" w:type="dxa"/>
            <w:left w:w="108" w:type="dxa"/>
            <w:bottom w:w="0" w:type="dxa"/>
            <w:right w:w="108" w:type="dxa"/>
          </w:tblCellMar>
        </w:tblPrEx>
        <w:trPr>
          <w:trHeight w:val="810"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6</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安全应急演练</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根据应急预案和演练方案，协助用户完成各类安全事件的应急处置演练工作，确保安全应急工作的标准化和流程化，以及安全应急的效率和质量。</w:t>
            </w:r>
          </w:p>
          <w:p>
            <w:pPr>
              <w:widowControl/>
              <w:jc w:val="left"/>
              <w:rPr>
                <w:rFonts w:ascii="宋体" w:hAnsi="宋体" w:cs="宋体"/>
                <w:sz w:val="22"/>
              </w:rPr>
            </w:pPr>
            <w:r>
              <w:rPr>
                <w:rFonts w:hint="eastAsia" w:ascii="宋体" w:hAnsi="宋体" w:cs="宋体"/>
                <w:sz w:val="22"/>
              </w:rPr>
              <w:t>针对特定演练场景（网页被篡改攻击、网站遭受DDOS攻击、内网ARP攻击等)，制定演练预案、准备演练工具、参与演练软环境准备、协助演练硬件环境调测验证、进行正式应急演练、汇报总结。</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一年1次</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输出包括但不限于《XX安全应急演练报告》</w:t>
            </w:r>
          </w:p>
        </w:tc>
      </w:tr>
      <w:tr>
        <w:tblPrEx>
          <w:tblCellMar>
            <w:top w:w="0" w:type="dxa"/>
            <w:left w:w="108" w:type="dxa"/>
            <w:bottom w:w="0" w:type="dxa"/>
            <w:right w:w="108" w:type="dxa"/>
          </w:tblCellMar>
        </w:tblPrEx>
        <w:trPr>
          <w:trHeight w:val="810"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7</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安全通告服务</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安全通告服务，是每月为用户提供信息安全研究月报，月报内容包括本月的信息安全整体态势、新增漏洞数量、漏洞分布情况、高危漏洞分析、本月主要安全事件，以及针对新漏洞的更新和防护方案。</w:t>
            </w:r>
          </w:p>
          <w:p>
            <w:pPr>
              <w:widowControl/>
              <w:jc w:val="left"/>
              <w:rPr>
                <w:rFonts w:ascii="宋体" w:hAnsi="宋体" w:cs="宋体"/>
                <w:sz w:val="22"/>
              </w:rPr>
            </w:pPr>
            <w:r>
              <w:rPr>
                <w:rFonts w:hint="eastAsia" w:ascii="宋体" w:hAnsi="宋体" w:cs="宋体"/>
                <w:sz w:val="22"/>
              </w:rPr>
              <w:t>同时，在出现重大安全漏洞和突发事件时，将第一时间进行深度分析，并将对应的分析报告提供给用户。</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远程</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每月1次</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输出包括但不限于《xx信息安全研究月报》、《xx重大事件分析报告》</w:t>
            </w:r>
          </w:p>
        </w:tc>
      </w:tr>
      <w:tr>
        <w:tblPrEx>
          <w:tblCellMar>
            <w:top w:w="0" w:type="dxa"/>
            <w:left w:w="108" w:type="dxa"/>
            <w:bottom w:w="0" w:type="dxa"/>
            <w:right w:w="108" w:type="dxa"/>
          </w:tblCellMar>
        </w:tblPrEx>
        <w:trPr>
          <w:trHeight w:val="810"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8</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重大活动安全保障</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在重大会议或重大节假日期间，为用户提供全程的网络安全保障工作，确保用户业务系统的安全稳定运行。</w:t>
            </w:r>
          </w:p>
          <w:p>
            <w:pPr>
              <w:widowControl/>
              <w:jc w:val="left"/>
              <w:rPr>
                <w:rFonts w:ascii="宋体" w:hAnsi="宋体" w:cs="宋体"/>
                <w:sz w:val="22"/>
              </w:rPr>
            </w:pPr>
            <w:r>
              <w:rPr>
                <w:rFonts w:hint="eastAsia" w:ascii="宋体" w:hAnsi="宋体" w:cs="宋体"/>
                <w:sz w:val="22"/>
              </w:rPr>
              <w:t xml:space="preserve">1、内外网暴露面与风险清理：对保障单位内外网进行资产初步梳理，发现发布应用、以及各类业务系统，发现网络内开放的端口情况，摸清资产情况，下线无主资产、关闭风险端口，同时探测相关资产存在的漏洞隐患，形成整改清单。 </w:t>
            </w:r>
          </w:p>
          <w:p>
            <w:pPr>
              <w:widowControl/>
              <w:jc w:val="left"/>
              <w:rPr>
                <w:rFonts w:ascii="宋体" w:hAnsi="宋体" w:cs="宋体"/>
                <w:sz w:val="22"/>
              </w:rPr>
            </w:pPr>
            <w:r>
              <w:rPr>
                <w:rFonts w:hint="eastAsia" w:ascii="宋体" w:hAnsi="宋体" w:cs="宋体"/>
                <w:sz w:val="22"/>
              </w:rPr>
              <w:t xml:space="preserve">2、人员驻守服务：提供10人天以上的安全值守服务，对发现的安全风险及时处置，组织和协调全体保障人员，共同分析研判和封堵网络攻击行为。 </w:t>
            </w:r>
          </w:p>
          <w:p>
            <w:pPr>
              <w:widowControl/>
              <w:jc w:val="left"/>
              <w:rPr>
                <w:rFonts w:ascii="宋体" w:hAnsi="宋体" w:cs="宋体"/>
                <w:sz w:val="22"/>
              </w:rPr>
            </w:pPr>
            <w:r>
              <w:rPr>
                <w:rFonts w:hint="eastAsia" w:ascii="宋体" w:hAnsi="宋体" w:cs="宋体"/>
                <w:sz w:val="22"/>
              </w:rPr>
              <w:t>3、防护能力提升服务：针对发现的问题及防护短板，提出安全策略优化与加固建议，提供满足防护要求的安全设备解决方案，并安排专业的技术人员随时监测攻击事件并及时处置。</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1年按需执行</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输出包括但不限于《xx现场值守日报》、《xx现场值守工作总结》、《xx网站安全应急响应预案》、《xx安全事件应急响应报告》</w:t>
            </w:r>
          </w:p>
        </w:tc>
      </w:tr>
      <w:tr>
        <w:tblPrEx>
          <w:tblCellMar>
            <w:top w:w="0" w:type="dxa"/>
            <w:left w:w="108" w:type="dxa"/>
            <w:bottom w:w="0" w:type="dxa"/>
            <w:right w:w="108" w:type="dxa"/>
          </w:tblCellMar>
        </w:tblPrEx>
        <w:trPr>
          <w:trHeight w:val="810"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9</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安全意识培训</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为用户提供安全意识培训，内容包括信息安全普及知识、法律法规、安全趋势、安全管理、移动安全、大数据安全以及常见办公安全等。</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现场</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一年1次</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cs="宋体"/>
                <w:sz w:val="22"/>
              </w:rPr>
            </w:pPr>
            <w:r>
              <w:rPr>
                <w:rFonts w:hint="eastAsia" w:ascii="宋体" w:hAnsi="宋体" w:cs="宋体"/>
                <w:sz w:val="22"/>
              </w:rPr>
              <w:t>输出包括但不限于《XX单位安全意识培训记录》</w:t>
            </w:r>
          </w:p>
        </w:tc>
      </w:tr>
      <w:tr>
        <w:tblPrEx>
          <w:tblCellMar>
            <w:top w:w="0" w:type="dxa"/>
            <w:left w:w="108" w:type="dxa"/>
            <w:bottom w:w="0" w:type="dxa"/>
            <w:right w:w="108" w:type="dxa"/>
          </w:tblCellMar>
        </w:tblPrEx>
        <w:trPr>
          <w:trHeight w:val="810" w:hRule="atLeast"/>
          <w:jc w:val="center"/>
        </w:trPr>
        <w:tc>
          <w:tcPr>
            <w:tcW w:w="509"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textAlignment w:val="center"/>
              <w:rPr>
                <w:rFonts w:ascii="宋体" w:hAnsi="宋体" w:cs="宋体"/>
                <w:sz w:val="22"/>
              </w:rPr>
            </w:pPr>
            <w:r>
              <w:rPr>
                <w:rFonts w:hint="eastAsia" w:ascii="宋体" w:hAnsi="宋体" w:cs="宋体"/>
                <w:color w:val="000000"/>
                <w:sz w:val="24"/>
              </w:rPr>
              <w:t>10</w:t>
            </w:r>
          </w:p>
        </w:tc>
        <w:tc>
          <w:tcPr>
            <w:tcW w:w="1092"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textAlignment w:val="center"/>
              <w:rPr>
                <w:rFonts w:ascii="宋体" w:hAnsi="宋体" w:cs="宋体"/>
                <w:sz w:val="22"/>
              </w:rPr>
            </w:pPr>
            <w:r>
              <w:rPr>
                <w:rFonts w:hint="eastAsia" w:ascii="宋体" w:hAnsi="宋体" w:cs="宋体"/>
                <w:color w:val="000000"/>
                <w:kern w:val="0"/>
                <w:sz w:val="24"/>
                <w:lang w:bidi="ar"/>
              </w:rPr>
              <w:t>其它</w:t>
            </w:r>
          </w:p>
        </w:tc>
        <w:tc>
          <w:tcPr>
            <w:tcW w:w="4015"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cs="宋体"/>
                <w:sz w:val="22"/>
              </w:rPr>
            </w:pPr>
            <w:r>
              <w:rPr>
                <w:rFonts w:hint="eastAsia" w:ascii="宋体" w:hAnsi="宋体" w:cs="宋体"/>
                <w:sz w:val="22"/>
              </w:rPr>
              <w:t>根据业主需要，提供多种排名领先品牌的专业漏扫工具、基线核查工具、U盘接入检测工具、违规外联/内联检测工具等。</w:t>
            </w:r>
          </w:p>
        </w:tc>
        <w:tc>
          <w:tcPr>
            <w:tcW w:w="83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textAlignment w:val="center"/>
              <w:rPr>
                <w:rFonts w:ascii="宋体" w:hAnsi="宋体" w:cs="宋体"/>
                <w:sz w:val="22"/>
              </w:rPr>
            </w:pPr>
            <w:r>
              <w:rPr>
                <w:rFonts w:hint="eastAsia" w:ascii="宋体" w:hAnsi="宋体" w:cs="宋体"/>
                <w:color w:val="000000"/>
                <w:sz w:val="24"/>
              </w:rPr>
              <w:t>远程</w:t>
            </w:r>
          </w:p>
        </w:tc>
        <w:tc>
          <w:tcPr>
            <w:tcW w:w="1007"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textAlignment w:val="center"/>
              <w:rPr>
                <w:rFonts w:ascii="宋体" w:hAnsi="宋体" w:cs="宋体"/>
                <w:sz w:val="22"/>
              </w:rPr>
            </w:pPr>
            <w:r>
              <w:rPr>
                <w:rFonts w:hint="eastAsia" w:ascii="宋体" w:hAnsi="宋体" w:cs="宋体"/>
                <w:sz w:val="22"/>
              </w:rPr>
              <w:t>1年按需执行</w:t>
            </w:r>
          </w:p>
        </w:tc>
        <w:tc>
          <w:tcPr>
            <w:tcW w:w="2256"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textAlignment w:val="center"/>
              <w:rPr>
                <w:rFonts w:ascii="宋体" w:hAnsi="宋体" w:cs="宋体"/>
                <w:sz w:val="22"/>
              </w:rPr>
            </w:pPr>
            <w:r>
              <w:rPr>
                <w:rFonts w:hint="eastAsia" w:ascii="宋体" w:hAnsi="宋体" w:cs="宋体"/>
                <w:sz w:val="22"/>
              </w:rPr>
              <w:t>输出包括但不限于《XX单位安全检查报告》</w:t>
            </w:r>
          </w:p>
        </w:tc>
      </w:tr>
    </w:tbl>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pStyle w:val="2"/>
      </w:pPr>
    </w:p>
    <w:p/>
    <w:p>
      <w:pPr>
        <w:pStyle w:val="2"/>
      </w:pPr>
    </w:p>
    <w:p>
      <w:pPr>
        <w:rPr>
          <w:rFonts w:ascii="宋体" w:hAnsi="宋体" w:cs="宋体"/>
        </w:rPr>
      </w:pPr>
    </w:p>
    <w:p>
      <w:pPr>
        <w:rPr>
          <w:rFonts w:ascii="宋体" w:hAnsi="宋体" w:cs="宋体"/>
        </w:rPr>
      </w:pPr>
    </w:p>
    <w:p>
      <w:pPr>
        <w:rPr>
          <w:rFonts w:ascii="宋体" w:hAnsi="宋体" w:cs="宋体"/>
        </w:rPr>
      </w:pPr>
    </w:p>
    <w:p/>
    <w:p/>
    <w:p/>
    <w:p/>
    <w:p>
      <w:pPr>
        <w:keepNext/>
        <w:keepLines/>
        <w:spacing w:line="360" w:lineRule="auto"/>
        <w:jc w:val="center"/>
        <w:outlineLvl w:val="0"/>
        <w:rPr>
          <w:rFonts w:ascii="宋体" w:hAnsi="宋体" w:cs="宋体"/>
          <w:b/>
          <w:bCs/>
          <w:kern w:val="44"/>
          <w:sz w:val="44"/>
          <w:szCs w:val="44"/>
        </w:rPr>
      </w:pPr>
      <w:r>
        <w:rPr>
          <w:rFonts w:hint="eastAsia" w:ascii="宋体" w:hAnsi="宋体" w:cs="宋体"/>
          <w:b/>
          <w:bCs/>
          <w:kern w:val="44"/>
          <w:sz w:val="44"/>
          <w:szCs w:val="44"/>
        </w:rPr>
        <w:t xml:space="preserve">第八章  </w:t>
      </w:r>
      <w:bookmarkEnd w:id="179"/>
      <w:bookmarkEnd w:id="180"/>
      <w:bookmarkEnd w:id="181"/>
      <w:bookmarkEnd w:id="182"/>
      <w:r>
        <w:rPr>
          <w:rFonts w:hint="eastAsia" w:ascii="宋体" w:hAnsi="宋体" w:cs="宋体"/>
          <w:b/>
          <w:bCs/>
          <w:kern w:val="44"/>
          <w:sz w:val="44"/>
          <w:szCs w:val="44"/>
        </w:rPr>
        <w:t>合同范本</w:t>
      </w:r>
    </w:p>
    <w:p>
      <w:pPr>
        <w:spacing w:line="360" w:lineRule="auto"/>
        <w:ind w:firstLine="482" w:firstLineChars="200"/>
        <w:jc w:val="center"/>
        <w:rPr>
          <w:rFonts w:ascii="宋体" w:hAnsi="宋体" w:cs="宋体"/>
          <w:szCs w:val="21"/>
        </w:rPr>
      </w:pPr>
      <w:r>
        <w:rPr>
          <w:rFonts w:hint="eastAsia" w:ascii="宋体" w:hAnsi="宋体" w:cs="宋体"/>
          <w:b/>
          <w:kern w:val="0"/>
          <w:sz w:val="24"/>
        </w:rPr>
        <w:t>详见竞争性比选文件附件。</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191" w:name="_Toc513633965"/>
    </w:p>
    <w:p>
      <w:pPr>
        <w:rPr>
          <w:rFonts w:ascii="宋体" w:hAnsi="宋体" w:cs="宋体"/>
        </w:rPr>
      </w:pPr>
    </w:p>
    <w:p>
      <w:pPr>
        <w:keepNext/>
        <w:keepLines/>
        <w:spacing w:line="360" w:lineRule="auto"/>
        <w:jc w:val="center"/>
        <w:outlineLvl w:val="0"/>
        <w:rPr>
          <w:rFonts w:ascii="宋体" w:hAnsi="宋体" w:cs="宋体"/>
          <w:b/>
          <w:bCs/>
          <w:kern w:val="44"/>
          <w:sz w:val="44"/>
          <w:szCs w:val="44"/>
        </w:rPr>
      </w:pPr>
      <w:bookmarkStart w:id="192" w:name="_Toc514858709"/>
      <w:bookmarkStart w:id="193" w:name="_Toc24853"/>
      <w:bookmarkStart w:id="194" w:name="_Toc2000413"/>
      <w:r>
        <w:rPr>
          <w:rFonts w:hint="eastAsia" w:ascii="宋体" w:hAnsi="宋体" w:cs="宋体"/>
          <w:b/>
          <w:bCs/>
          <w:kern w:val="44"/>
          <w:sz w:val="44"/>
          <w:szCs w:val="44"/>
        </w:rPr>
        <w:t>第九章  竞争性比选响应文件格式</w:t>
      </w:r>
      <w:bookmarkEnd w:id="191"/>
      <w:bookmarkEnd w:id="192"/>
      <w:bookmarkEnd w:id="193"/>
      <w:bookmarkEnd w:id="194"/>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195" w:name="_Toc513633967"/>
      <w:bookmarkStart w:id="196" w:name="_Toc503971829"/>
      <w:bookmarkStart w:id="197" w:name="_Toc513646738"/>
      <w:bookmarkStart w:id="198" w:name="_Toc514858710"/>
      <w:bookmarkStart w:id="199" w:name="_Toc503951046"/>
      <w:r>
        <w:rPr>
          <w:rFonts w:hint="eastAsia" w:ascii="宋体" w:hAnsi="宋体" w:cs="宋体"/>
          <w:u w:val="single"/>
        </w:rPr>
        <w:t xml:space="preserve">                           </w:t>
      </w:r>
      <w:r>
        <w:rPr>
          <w:rFonts w:hint="eastAsia" w:ascii="宋体" w:hAnsi="宋体" w:cs="宋体"/>
          <w:sz w:val="52"/>
          <w:szCs w:val="52"/>
          <w:u w:val="single"/>
        </w:rPr>
        <w:t>（项目名称）</w:t>
      </w:r>
      <w:bookmarkEnd w:id="195"/>
      <w:bookmarkEnd w:id="196"/>
      <w:bookmarkEnd w:id="197"/>
      <w:bookmarkEnd w:id="198"/>
      <w:bookmarkEnd w:id="199"/>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
    <w:p/>
    <w:p/>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keepNext/>
        <w:keepLines/>
        <w:spacing w:before="260" w:after="260" w:line="415" w:lineRule="auto"/>
        <w:jc w:val="center"/>
        <w:outlineLvl w:val="1"/>
        <w:rPr>
          <w:rFonts w:ascii="宋体" w:hAnsi="宋体" w:cs="宋体"/>
          <w:b/>
          <w:bCs/>
          <w:kern w:val="0"/>
          <w:sz w:val="32"/>
          <w:szCs w:val="32"/>
        </w:rPr>
      </w:pPr>
      <w:bookmarkStart w:id="200" w:name="_Toc1368"/>
      <w:bookmarkStart w:id="201" w:name="_Toc5459"/>
      <w:bookmarkStart w:id="202" w:name="_Toc11329273"/>
      <w:bookmarkStart w:id="203" w:name="_Toc28780"/>
      <w:r>
        <w:rPr>
          <w:rFonts w:hint="eastAsia" w:ascii="宋体" w:hAnsi="宋体" w:cs="宋体"/>
          <w:b/>
          <w:bCs/>
          <w:kern w:val="0"/>
          <w:sz w:val="32"/>
          <w:szCs w:val="32"/>
        </w:rPr>
        <w:t>目    录</w:t>
      </w:r>
      <w:bookmarkEnd w:id="183"/>
      <w:bookmarkEnd w:id="184"/>
      <w:bookmarkEnd w:id="185"/>
      <w:bookmarkEnd w:id="186"/>
      <w:bookmarkEnd w:id="187"/>
      <w:bookmarkEnd w:id="188"/>
      <w:bookmarkEnd w:id="189"/>
      <w:bookmarkEnd w:id="190"/>
      <w:bookmarkEnd w:id="200"/>
      <w:bookmarkEnd w:id="201"/>
      <w:bookmarkEnd w:id="202"/>
      <w:bookmarkEnd w:id="203"/>
    </w:p>
    <w:p>
      <w:pPr>
        <w:numPr>
          <w:ilvl w:val="0"/>
          <w:numId w:val="2"/>
        </w:numPr>
        <w:spacing w:line="400" w:lineRule="exact"/>
        <w:rPr>
          <w:rFonts w:ascii="宋体" w:hAnsi="宋体" w:cs="宋体"/>
        </w:rPr>
      </w:pPr>
      <w:r>
        <w:rPr>
          <w:rFonts w:hint="eastAsia" w:ascii="宋体" w:hAnsi="宋体" w:cs="宋体"/>
        </w:rPr>
        <w:t>竞争性响应声明书</w:t>
      </w:r>
    </w:p>
    <w:p>
      <w:pPr>
        <w:numPr>
          <w:ilvl w:val="0"/>
          <w:numId w:val="2"/>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szCs w:val="21"/>
        </w:rPr>
      </w:pPr>
      <w:r>
        <w:rPr>
          <w:rFonts w:hint="eastAsia" w:ascii="宋体" w:hAnsi="宋体" w:cs="宋体"/>
          <w:szCs w:val="21"/>
        </w:rPr>
        <w:t>六、报价人基本信息及其他材料</w:t>
      </w:r>
    </w:p>
    <w:p>
      <w:pPr>
        <w:spacing w:line="400" w:lineRule="exact"/>
        <w:rPr>
          <w:rFonts w:ascii="宋体" w:hAnsi="宋体" w:cs="宋体"/>
          <w:szCs w:val="21"/>
        </w:rPr>
      </w:pPr>
      <w:r>
        <w:rPr>
          <w:rFonts w:hint="eastAsia" w:ascii="宋体" w:hAnsi="宋体" w:cs="宋体"/>
          <w:szCs w:val="21"/>
        </w:rPr>
        <w:t>七、现场安全负责人承诺书</w:t>
      </w:r>
    </w:p>
    <w:p>
      <w:pPr>
        <w:spacing w:line="400" w:lineRule="exact"/>
        <w:rPr>
          <w:rFonts w:ascii="宋体" w:hAnsi="宋体" w:cs="宋体"/>
          <w:szCs w:val="21"/>
        </w:rPr>
      </w:pPr>
      <w:r>
        <w:rPr>
          <w:rFonts w:hint="eastAsia" w:ascii="宋体" w:hAnsi="宋体" w:cs="宋体"/>
          <w:szCs w:val="21"/>
        </w:rPr>
        <w:t>八、投标保证金转账凭证</w:t>
      </w:r>
    </w:p>
    <w:p>
      <w:pPr>
        <w:spacing w:line="400" w:lineRule="exact"/>
        <w:rPr>
          <w:rFonts w:ascii="宋体" w:hAnsi="宋体" w:cs="宋体"/>
          <w:szCs w:val="21"/>
        </w:rPr>
      </w:pPr>
      <w:r>
        <w:rPr>
          <w:rFonts w:hint="eastAsia" w:ascii="宋体" w:hAnsi="宋体" w:cs="宋体"/>
          <w:szCs w:val="21"/>
        </w:rPr>
        <w:t>九、维护工程量清单</w:t>
      </w:r>
    </w:p>
    <w:p>
      <w:pPr>
        <w:spacing w:line="400" w:lineRule="exact"/>
        <w:rPr>
          <w:rFonts w:ascii="宋体" w:hAnsi="宋体" w:cs="宋体"/>
        </w:rPr>
      </w:pPr>
      <w:r>
        <w:rPr>
          <w:rFonts w:hint="eastAsia" w:ascii="宋体" w:hAnsi="宋体" w:cs="宋体"/>
        </w:rPr>
        <w:t>十、项目工勘报告</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2"/>
      </w:pPr>
    </w:p>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keepNext/>
        <w:keepLines/>
        <w:spacing w:line="360" w:lineRule="auto"/>
        <w:jc w:val="center"/>
        <w:outlineLvl w:val="1"/>
        <w:rPr>
          <w:rFonts w:ascii="宋体" w:hAnsi="宋体" w:cs="宋体"/>
          <w:b/>
          <w:bCs/>
          <w:kern w:val="0"/>
          <w:sz w:val="28"/>
          <w:szCs w:val="32"/>
        </w:rPr>
      </w:pPr>
      <w:bookmarkStart w:id="204" w:name="_Toc11329274"/>
      <w:bookmarkStart w:id="205" w:name="_Toc8870"/>
      <w:bookmarkStart w:id="206" w:name="_Toc15863"/>
      <w:bookmarkStart w:id="207" w:name="_Toc25874"/>
      <w:bookmarkStart w:id="208" w:name="_Toc29547"/>
      <w:bookmarkStart w:id="209" w:name="_Toc503951048"/>
      <w:bookmarkStart w:id="210" w:name="_Toc513633969"/>
      <w:bookmarkStart w:id="211" w:name="_Toc447827053"/>
      <w:r>
        <w:rPr>
          <w:rFonts w:hint="eastAsia" w:ascii="宋体" w:hAnsi="宋体" w:cs="宋体"/>
          <w:b/>
          <w:bCs/>
          <w:kern w:val="0"/>
          <w:sz w:val="28"/>
          <w:szCs w:val="32"/>
        </w:rPr>
        <w:t>一、</w:t>
      </w:r>
      <w:bookmarkEnd w:id="204"/>
      <w:bookmarkEnd w:id="205"/>
      <w:r>
        <w:rPr>
          <w:rFonts w:hint="eastAsia" w:ascii="宋体" w:hAnsi="宋体" w:cs="宋体"/>
          <w:b/>
          <w:bCs/>
          <w:kern w:val="0"/>
          <w:sz w:val="28"/>
          <w:szCs w:val="32"/>
        </w:rPr>
        <w:t>竞争比选响应声明书</w:t>
      </w:r>
      <w:bookmarkEnd w:id="206"/>
      <w:bookmarkEnd w:id="207"/>
      <w:bookmarkEnd w:id="208"/>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2024年营运公司网络安全维护服务项目</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w:t>
      </w:r>
      <w:r>
        <w:rPr>
          <w:rFonts w:hint="eastAsia" w:ascii="Arial" w:hAnsi="Arial" w:cs="Arial"/>
          <w:b/>
          <w:bCs/>
          <w:color w:val="000000"/>
          <w:sz w:val="24"/>
          <w:u w:val="single"/>
        </w:rPr>
        <w:t xml:space="preserve">一标段中西部、东北部报价金额： </w:t>
      </w:r>
      <w:r>
        <w:rPr>
          <w:rFonts w:ascii="Arial" w:hAnsi="Arial" w:cs="Arial"/>
          <w:b/>
          <w:bCs/>
          <w:color w:val="000000"/>
          <w:sz w:val="24"/>
          <w:u w:val="single"/>
        </w:rPr>
        <w:t xml:space="preserve">  </w:t>
      </w:r>
      <w:r>
        <w:rPr>
          <w:rFonts w:hint="eastAsia" w:ascii="Arial" w:hAnsi="Arial" w:cs="Arial"/>
          <w:b/>
          <w:bCs/>
          <w:color w:val="000000"/>
          <w:sz w:val="24"/>
          <w:u w:val="single"/>
        </w:rPr>
        <w:t xml:space="preserve"> </w:t>
      </w:r>
      <w:r>
        <w:rPr>
          <w:rFonts w:ascii="Arial" w:hAnsi="Arial" w:cs="Arial"/>
          <w:b/>
          <w:bCs/>
          <w:color w:val="000000"/>
          <w:sz w:val="24"/>
          <w:u w:val="single"/>
        </w:rPr>
        <w:t xml:space="preserve">  </w:t>
      </w:r>
      <w:r>
        <w:rPr>
          <w:rFonts w:hint="eastAsia" w:ascii="Arial" w:hAnsi="Arial" w:cs="Arial"/>
          <w:b/>
          <w:bCs/>
          <w:color w:val="000000"/>
          <w:sz w:val="24"/>
          <w:u w:val="single"/>
        </w:rPr>
        <w:t>元</w:t>
      </w:r>
      <w:r>
        <w:rPr>
          <w:rFonts w:hint="eastAsia" w:ascii="Arial" w:hAnsi="Arial" w:cs="Arial"/>
          <w:b/>
          <w:bCs/>
          <w:color w:val="000000"/>
          <w:sz w:val="24"/>
        </w:rPr>
        <w:t>；</w:t>
      </w:r>
    </w:p>
    <w:p>
      <w:pPr>
        <w:spacing w:line="700" w:lineRule="atLeast"/>
        <w:ind w:firstLine="482" w:firstLineChars="200"/>
        <w:rPr>
          <w:rFonts w:ascii="Arial" w:hAnsi="Arial" w:cs="Arial"/>
          <w:b/>
          <w:bCs/>
          <w:color w:val="000000"/>
          <w:sz w:val="24"/>
          <w:u w:val="single"/>
        </w:rPr>
      </w:pPr>
      <w:r>
        <w:rPr>
          <w:rFonts w:hint="eastAsia" w:ascii="Arial" w:hAnsi="Arial" w:cs="Arial"/>
          <w:b/>
          <w:bCs/>
          <w:color w:val="000000"/>
          <w:sz w:val="24"/>
          <w:u w:val="single"/>
        </w:rPr>
        <w:t xml:space="preserve">二标段东南部报价金额： </w:t>
      </w:r>
      <w:r>
        <w:rPr>
          <w:rFonts w:ascii="Arial" w:hAnsi="Arial" w:cs="Arial"/>
          <w:b/>
          <w:bCs/>
          <w:color w:val="000000"/>
          <w:sz w:val="24"/>
          <w:u w:val="single"/>
        </w:rPr>
        <w:t xml:space="preserve">   </w:t>
      </w:r>
      <w:r>
        <w:rPr>
          <w:rFonts w:hint="eastAsia" w:ascii="Arial" w:hAnsi="Arial" w:cs="Arial"/>
          <w:b/>
          <w:bCs/>
          <w:color w:val="000000"/>
          <w:sz w:val="24"/>
          <w:u w:val="single"/>
        </w:rPr>
        <w:t xml:space="preserve"> </w:t>
      </w:r>
      <w:r>
        <w:rPr>
          <w:rFonts w:ascii="Arial" w:hAnsi="Arial" w:cs="Arial"/>
          <w:b/>
          <w:bCs/>
          <w:color w:val="000000"/>
          <w:sz w:val="24"/>
          <w:u w:val="single"/>
        </w:rPr>
        <w:t xml:space="preserve">  </w:t>
      </w:r>
      <w:r>
        <w:rPr>
          <w:rFonts w:hint="eastAsia" w:ascii="Arial" w:hAnsi="Arial" w:cs="Arial"/>
          <w:b/>
          <w:bCs/>
          <w:color w:val="000000"/>
          <w:sz w:val="24"/>
          <w:u w:val="single"/>
        </w:rPr>
        <w:t>元</w:t>
      </w:r>
      <w:r>
        <w:rPr>
          <w:rFonts w:hint="eastAsia" w:ascii="Arial" w:hAnsi="Arial" w:cs="Arial"/>
          <w:color w:val="000000"/>
          <w:sz w:val="24"/>
        </w:rPr>
        <w:t>的报价总价按照竞争比选文件的要求，承担本次竞争比选文件要求的</w:t>
      </w:r>
      <w:r>
        <w:rPr>
          <w:rFonts w:hint="eastAsia" w:ascii="Arial" w:hAnsi="Arial" w:cs="Arial"/>
          <w:color w:val="000000"/>
          <w:sz w:val="24"/>
          <w:lang w:val="en-US" w:eastAsia="zh-CN"/>
        </w:rPr>
        <w:t>维护服务</w:t>
      </w:r>
      <w:r>
        <w:rPr>
          <w:rFonts w:hint="eastAsia" w:ascii="Arial" w:hAnsi="Arial" w:cs="Arial"/>
          <w:color w:val="000000"/>
          <w:sz w:val="24"/>
        </w:rPr>
        <w:t>工作。</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
    <w:p>
      <w:pPr>
        <w:keepNext/>
        <w:keepLines/>
        <w:spacing w:before="260" w:after="260" w:line="415" w:lineRule="auto"/>
        <w:jc w:val="center"/>
        <w:outlineLvl w:val="1"/>
        <w:rPr>
          <w:rFonts w:ascii="宋体" w:hAnsi="宋体" w:cs="宋体"/>
          <w:b/>
          <w:bCs/>
          <w:kern w:val="0"/>
          <w:sz w:val="28"/>
          <w:szCs w:val="28"/>
        </w:rPr>
      </w:pPr>
      <w:bookmarkStart w:id="212" w:name="_Toc27815"/>
      <w:bookmarkStart w:id="213" w:name="_Toc491883232"/>
      <w:r>
        <w:rPr>
          <w:rFonts w:hint="eastAsia" w:ascii="宋体" w:hAnsi="宋体" w:cs="宋体"/>
          <w:b/>
          <w:bCs/>
          <w:kern w:val="0"/>
          <w:sz w:val="28"/>
          <w:szCs w:val="28"/>
        </w:rPr>
        <w:t>二、法定代表人身份证明或法定代表人授权委托书</w:t>
      </w:r>
      <w:bookmarkEnd w:id="212"/>
    </w:p>
    <w:p>
      <w:pPr>
        <w:keepNext/>
        <w:keepLines/>
        <w:spacing w:before="260" w:after="260" w:line="415" w:lineRule="auto"/>
        <w:jc w:val="center"/>
        <w:outlineLvl w:val="1"/>
        <w:rPr>
          <w:rFonts w:ascii="宋体" w:hAnsi="宋体" w:cs="宋体"/>
          <w:b/>
          <w:bCs/>
          <w:kern w:val="0"/>
          <w:sz w:val="24"/>
        </w:rPr>
      </w:pPr>
      <w:bookmarkStart w:id="214" w:name="_Toc14141"/>
      <w:r>
        <w:rPr>
          <w:rFonts w:hint="eastAsia" w:ascii="宋体" w:hAnsi="宋体" w:cs="宋体"/>
          <w:b/>
          <w:bCs/>
          <w:kern w:val="0"/>
          <w:sz w:val="24"/>
        </w:rPr>
        <w:t>（一）法定代表人身份证明</w:t>
      </w:r>
      <w:bookmarkEnd w:id="213"/>
      <w:bookmarkEnd w:id="214"/>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52691662"/>
      <w:bookmarkStart w:id="216" w:name="_Toc369531698"/>
      <w:bookmarkStart w:id="217" w:name="_Toc27897"/>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15573"/>
      <w:bookmarkStart w:id="219" w:name="_Toc369531699"/>
      <w:bookmarkStart w:id="220" w:name="_Toc247527829"/>
      <w:bookmarkStart w:id="221" w:name="_Toc384308377"/>
      <w:bookmarkStart w:id="222" w:name="_Toc152045789"/>
      <w:bookmarkStart w:id="223" w:name="_Toc352691663"/>
      <w:bookmarkStart w:id="224" w:name="_Toc361508754"/>
      <w:bookmarkStart w:id="225" w:name="_Toc300835211"/>
      <w:bookmarkStart w:id="226" w:name="_Toc144974858"/>
      <w:bookmarkStart w:id="227" w:name="_Toc152042578"/>
      <w:bookmarkStart w:id="228" w:name="_Toc247514248"/>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keepNext/>
        <w:keepLines/>
        <w:spacing w:before="260" w:after="260" w:line="415" w:lineRule="auto"/>
        <w:jc w:val="center"/>
        <w:outlineLvl w:val="1"/>
        <w:rPr>
          <w:rFonts w:ascii="宋体" w:hAnsi="宋体" w:eastAsia="黑体"/>
          <w:b/>
          <w:bCs/>
          <w:kern w:val="0"/>
          <w:sz w:val="28"/>
          <w:szCs w:val="28"/>
        </w:rPr>
      </w:pPr>
      <w:bookmarkStart w:id="229" w:name="_Toc491883233"/>
      <w:bookmarkStart w:id="230" w:name="_Toc58"/>
      <w:r>
        <w:rPr>
          <w:rFonts w:hint="eastAsia" w:ascii="宋体" w:hAnsi="宋体" w:cs="宋体"/>
          <w:b/>
          <w:bCs/>
          <w:kern w:val="0"/>
          <w:sz w:val="24"/>
        </w:rPr>
        <w:t>（二）</w:t>
      </w:r>
      <w:bookmarkEnd w:id="229"/>
      <w:r>
        <w:rPr>
          <w:rFonts w:hint="eastAsia" w:ascii="宋体" w:hAnsi="宋体" w:cs="宋体"/>
          <w:b/>
          <w:bCs/>
          <w:kern w:val="0"/>
          <w:sz w:val="24"/>
        </w:rPr>
        <w:t>法定代表人授权委托书</w:t>
      </w:r>
      <w:bookmarkEnd w:id="230"/>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sectPr>
          <w:pgSz w:w="11906" w:h="16838"/>
          <w:pgMar w:top="1440" w:right="1803" w:bottom="1440" w:left="1803" w:header="851" w:footer="992" w:gutter="0"/>
          <w:cols w:space="720" w:num="1"/>
          <w:titlePg/>
          <w:docGrid w:type="lines" w:linePitch="319" w:charSpace="0"/>
        </w:sect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rPr>
          <w:rFonts w:ascii="宋体" w:hAnsi="宋体" w:cs="宋体"/>
          <w:snapToGrid w:val="0"/>
          <w:kern w:val="0"/>
          <w:szCs w:val="21"/>
        </w:rPr>
      </w:pPr>
    </w:p>
    <w:p>
      <w:pPr>
        <w:keepNext/>
        <w:keepLines/>
        <w:spacing w:before="340" w:after="330" w:line="576" w:lineRule="auto"/>
        <w:jc w:val="center"/>
        <w:outlineLvl w:val="0"/>
        <w:rPr>
          <w:rFonts w:ascii="宋体" w:hAnsi="宋体" w:cs="宋体"/>
          <w:b/>
          <w:bCs/>
          <w:kern w:val="0"/>
          <w:sz w:val="28"/>
          <w:szCs w:val="32"/>
        </w:rPr>
      </w:pPr>
      <w:bookmarkStart w:id="231" w:name="_Toc11329275"/>
      <w:r>
        <w:rPr>
          <w:rFonts w:hint="eastAsia" w:ascii="宋体" w:hAnsi="宋体" w:cs="宋体"/>
          <w:b/>
          <w:bCs/>
          <w:kern w:val="0"/>
          <w:sz w:val="28"/>
          <w:szCs w:val="32"/>
        </w:rPr>
        <w:t>三、</w:t>
      </w:r>
      <w:bookmarkEnd w:id="209"/>
      <w:bookmarkEnd w:id="210"/>
      <w:bookmarkEnd w:id="211"/>
      <w:bookmarkEnd w:id="231"/>
      <w:r>
        <w:rPr>
          <w:rFonts w:hint="eastAsia" w:ascii="宋体" w:hAnsi="宋体" w:cs="宋体"/>
          <w:b/>
          <w:bCs/>
          <w:kern w:val="0"/>
          <w:sz w:val="28"/>
          <w:szCs w:val="32"/>
        </w:rPr>
        <w:t>报价一览表</w:t>
      </w:r>
    </w:p>
    <w:p>
      <w:pPr>
        <w:ind w:left="765"/>
        <w:jc w:val="center"/>
        <w:rPr>
          <w:rFonts w:ascii="宋体" w:hAnsi="宋体" w:cs="宋体"/>
          <w:szCs w:val="21"/>
        </w:rPr>
      </w:pPr>
    </w:p>
    <w:p>
      <w:pPr>
        <w:spacing w:line="360" w:lineRule="auto"/>
        <w:rPr>
          <w:rFonts w:ascii="宋体" w:hAnsi="宋体" w:cs="Arial"/>
          <w:b/>
          <w:color w:val="000000"/>
          <w:sz w:val="24"/>
        </w:rPr>
      </w:pPr>
      <w:r>
        <w:rPr>
          <w:rFonts w:hint="eastAsia" w:ascii="宋体" w:hAnsi="宋体" w:cs="Arial"/>
          <w:b/>
          <w:color w:val="000000"/>
          <w:sz w:val="24"/>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2024年营运公司网络安全维护服务项目</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b/>
          <w:bCs/>
          <w:color w:val="000000"/>
          <w:sz w:val="24"/>
        </w:rPr>
      </w:pPr>
      <w:r>
        <w:rPr>
          <w:rFonts w:hint="eastAsia" w:ascii="宋体" w:hAnsi="宋体"/>
          <w:b/>
          <w:bCs/>
          <w:color w:val="000000"/>
          <w:sz w:val="24"/>
        </w:rPr>
        <w:t>报价采用表格形式，如下：</w:t>
      </w:r>
    </w:p>
    <w:tbl>
      <w:tblPr>
        <w:tblStyle w:val="42"/>
        <w:tblW w:w="9214"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3118"/>
        <w:gridCol w:w="1134"/>
        <w:gridCol w:w="212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35"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序号</w:t>
            </w:r>
          </w:p>
        </w:tc>
        <w:tc>
          <w:tcPr>
            <w:tcW w:w="3118"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服务内容</w:t>
            </w:r>
          </w:p>
        </w:tc>
        <w:tc>
          <w:tcPr>
            <w:tcW w:w="1134"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数量</w:t>
            </w:r>
          </w:p>
        </w:tc>
        <w:tc>
          <w:tcPr>
            <w:tcW w:w="2126"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报价金额（元）</w:t>
            </w:r>
          </w:p>
        </w:tc>
        <w:tc>
          <w:tcPr>
            <w:tcW w:w="1701"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135"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3118"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2024年营运公司网络安全维护服务项目</w:t>
            </w:r>
            <w:r>
              <w:rPr>
                <w:rFonts w:hint="eastAsia" w:ascii="宋体" w:hAnsi="宋体" w:cs="宋体"/>
                <w:color w:val="000000"/>
                <w:kern w:val="0"/>
                <w:sz w:val="24"/>
              </w:rPr>
              <w:t>一标段</w:t>
            </w:r>
          </w:p>
        </w:tc>
        <w:tc>
          <w:tcPr>
            <w:tcW w:w="1134"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126"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701"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135"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3118"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2024年营运公司网络安全维护服务项目</w:t>
            </w:r>
            <w:r>
              <w:rPr>
                <w:rFonts w:hint="eastAsia" w:ascii="宋体" w:hAnsi="宋体" w:cs="宋体"/>
                <w:color w:val="000000"/>
                <w:kern w:val="0"/>
                <w:sz w:val="24"/>
              </w:rPr>
              <w:t>二标段</w:t>
            </w:r>
          </w:p>
        </w:tc>
        <w:tc>
          <w:tcPr>
            <w:tcW w:w="1134"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126" w:type="dxa"/>
            <w:shd w:val="clear" w:color="auto" w:fill="auto"/>
            <w:vAlign w:val="center"/>
          </w:tcPr>
          <w:p>
            <w:pPr>
              <w:widowControl/>
              <w:jc w:val="center"/>
              <w:rPr>
                <w:rFonts w:ascii="宋体" w:hAnsi="宋体" w:cs="宋体"/>
                <w:color w:val="000000"/>
                <w:kern w:val="0"/>
                <w:sz w:val="24"/>
              </w:rPr>
            </w:pPr>
          </w:p>
        </w:tc>
        <w:tc>
          <w:tcPr>
            <w:tcW w:w="1701" w:type="dxa"/>
            <w:shd w:val="clear" w:color="auto" w:fill="auto"/>
            <w:vAlign w:val="center"/>
          </w:tcPr>
          <w:p>
            <w:pPr>
              <w:widowControl/>
              <w:jc w:val="center"/>
              <w:rPr>
                <w:rFonts w:ascii="宋体" w:hAnsi="宋体" w:cs="宋体"/>
                <w:color w:val="000000"/>
                <w:kern w:val="0"/>
                <w:sz w:val="24"/>
              </w:rPr>
            </w:pPr>
          </w:p>
        </w:tc>
      </w:tr>
    </w:tbl>
    <w:p>
      <w:pPr>
        <w:spacing w:after="120"/>
        <w:rPr>
          <w:kern w:val="0"/>
          <w:sz w:val="20"/>
        </w:rPr>
      </w:pPr>
    </w:p>
    <w:p>
      <w:pPr>
        <w:spacing w:line="400" w:lineRule="exact"/>
        <w:rPr>
          <w:rFonts w:ascii="宋体" w:hAnsi="宋体" w:cs="宋体"/>
          <w:kern w:val="0"/>
          <w:szCs w:val="21"/>
        </w:rPr>
      </w:pPr>
    </w:p>
    <w:p>
      <w:pPr>
        <w:keepNext/>
        <w:keepLines/>
        <w:spacing w:line="360" w:lineRule="auto"/>
        <w:jc w:val="center"/>
        <w:outlineLvl w:val="1"/>
        <w:rPr>
          <w:rFonts w:ascii="宋体" w:hAnsi="宋体" w:cs="宋体"/>
          <w:b/>
          <w:bCs/>
          <w:kern w:val="0"/>
          <w:sz w:val="28"/>
          <w:szCs w:val="32"/>
        </w:rPr>
      </w:pPr>
      <w:bookmarkStart w:id="232" w:name="_Toc513633971"/>
      <w:bookmarkStart w:id="233" w:name="_Toc503951050"/>
      <w:bookmarkStart w:id="234" w:name="_Toc11329278"/>
      <w:bookmarkStart w:id="235" w:name="_Toc152042592"/>
      <w:bookmarkStart w:id="236" w:name="_Toc247085887"/>
      <w:bookmarkStart w:id="237" w:name="_Toc152045803"/>
      <w:bookmarkStart w:id="238" w:name="_Toc246997112"/>
      <w:bookmarkStart w:id="239" w:name="_Toc246996369"/>
      <w:bookmarkStart w:id="240" w:name="_Toc179632823"/>
      <w:bookmarkStart w:id="241" w:name="_Toc144974871"/>
      <w:bookmarkStart w:id="242" w:name="_Toc447827058"/>
      <w:r>
        <w:rPr>
          <w:rFonts w:hint="eastAsia" w:ascii="宋体" w:hAnsi="宋体" w:cs="宋体"/>
          <w:b/>
          <w:bCs/>
          <w:kern w:val="0"/>
          <w:sz w:val="28"/>
          <w:szCs w:val="32"/>
        </w:rPr>
        <w:br w:type="page"/>
      </w:r>
      <w:bookmarkStart w:id="243" w:name="_Toc11961"/>
      <w:bookmarkStart w:id="244" w:name="_Toc18757"/>
      <w:bookmarkStart w:id="245" w:name="_Toc12910"/>
      <w:r>
        <w:rPr>
          <w:rFonts w:hint="eastAsia" w:ascii="宋体" w:hAnsi="宋体" w:cs="宋体"/>
          <w:b/>
          <w:bCs/>
          <w:kern w:val="0"/>
          <w:sz w:val="28"/>
          <w:szCs w:val="32"/>
        </w:rPr>
        <w:t>四、资格审查资料</w:t>
      </w:r>
      <w:bookmarkEnd w:id="232"/>
      <w:bookmarkEnd w:id="233"/>
      <w:bookmarkEnd w:id="234"/>
      <w:bookmarkEnd w:id="243"/>
      <w:bookmarkEnd w:id="244"/>
      <w:bookmarkEnd w:id="245"/>
    </w:p>
    <w:p>
      <w:pPr>
        <w:keepNext/>
        <w:keepLines/>
        <w:spacing w:line="360" w:lineRule="auto"/>
        <w:jc w:val="center"/>
        <w:outlineLvl w:val="1"/>
        <w:rPr>
          <w:rFonts w:ascii="宋体" w:hAnsi="宋体" w:cs="宋体"/>
          <w:b/>
          <w:bCs/>
          <w:kern w:val="0"/>
          <w:sz w:val="28"/>
          <w:szCs w:val="32"/>
        </w:rPr>
      </w:pPr>
      <w:bookmarkStart w:id="246" w:name="_Toc22003"/>
      <w:bookmarkStart w:id="247" w:name="_Toc32456"/>
      <w:bookmarkStart w:id="248" w:name="_Toc17915"/>
      <w:r>
        <w:rPr>
          <w:rFonts w:hint="eastAsia" w:ascii="宋体" w:hAnsi="宋体" w:cs="宋体"/>
          <w:b/>
          <w:bCs/>
          <w:kern w:val="0"/>
          <w:sz w:val="28"/>
          <w:szCs w:val="32"/>
        </w:rPr>
        <w:t>（营业执照、资质证书、项目人员资料等）</w:t>
      </w:r>
      <w:bookmarkEnd w:id="246"/>
      <w:bookmarkEnd w:id="247"/>
      <w:bookmarkEnd w:id="248"/>
    </w:p>
    <w:p>
      <w:pPr>
        <w:numPr>
          <w:ilvl w:val="0"/>
          <w:numId w:val="3"/>
        </w:numPr>
        <w:rPr>
          <w:rFonts w:ascii="Calibri" w:hAnsi="Calibri"/>
          <w:sz w:val="28"/>
          <w:szCs w:val="28"/>
        </w:rPr>
      </w:pPr>
      <w:r>
        <w:rPr>
          <w:rFonts w:hint="eastAsia" w:ascii="Calibri" w:hAnsi="Calibri"/>
          <w:sz w:val="28"/>
          <w:szCs w:val="28"/>
        </w:rPr>
        <w:t>营业执照</w:t>
      </w:r>
    </w:p>
    <w:p>
      <w:pPr>
        <w:rPr>
          <w:szCs w:val="21"/>
        </w:rPr>
      </w:pPr>
      <w:r>
        <w:rPr>
          <w:rFonts w:hint="eastAsia"/>
          <w:szCs w:val="21"/>
        </w:rPr>
        <w:t>注：请附营业执照复印件或扫描件，并加盖报价人公章；</w:t>
      </w:r>
    </w:p>
    <w:p>
      <w:pPr>
        <w:rPr>
          <w:sz w:val="28"/>
          <w:szCs w:val="28"/>
        </w:rPr>
      </w:pPr>
    </w:p>
    <w:p>
      <w:pPr>
        <w:rPr>
          <w:sz w:val="28"/>
          <w:szCs w:val="28"/>
        </w:rPr>
      </w:pPr>
    </w:p>
    <w:p>
      <w:pPr>
        <w:rPr>
          <w:sz w:val="28"/>
          <w:szCs w:val="28"/>
        </w:rPr>
      </w:pPr>
    </w:p>
    <w:p>
      <w:pPr>
        <w:numPr>
          <w:ilvl w:val="0"/>
          <w:numId w:val="3"/>
        </w:numPr>
        <w:rPr>
          <w:rFonts w:ascii="Calibri" w:hAnsi="Calibri"/>
          <w:sz w:val="28"/>
          <w:szCs w:val="28"/>
        </w:rPr>
      </w:pPr>
      <w:r>
        <w:rPr>
          <w:rFonts w:hint="eastAsia" w:ascii="Calibri" w:hAnsi="Calibri"/>
          <w:sz w:val="28"/>
          <w:szCs w:val="28"/>
        </w:rPr>
        <w:t>资质证书</w:t>
      </w:r>
    </w:p>
    <w:p>
      <w:pPr>
        <w:rPr>
          <w:szCs w:val="21"/>
        </w:rPr>
      </w:pPr>
      <w:r>
        <w:rPr>
          <w:rFonts w:hint="eastAsia"/>
          <w:szCs w:val="21"/>
        </w:rPr>
        <w:t>注：报价人需具备网络安全设备制造商或授权代理商，授权代理商需提供制造商出具的项目唯一授权证书。</w:t>
      </w:r>
    </w:p>
    <w:p>
      <w:pPr>
        <w:rPr>
          <w:sz w:val="28"/>
          <w:szCs w:val="28"/>
        </w:rPr>
      </w:pPr>
    </w:p>
    <w:p>
      <w:pPr>
        <w:rPr>
          <w:sz w:val="28"/>
          <w:szCs w:val="28"/>
        </w:rPr>
      </w:pPr>
    </w:p>
    <w:p>
      <w:pPr>
        <w:numPr>
          <w:ilvl w:val="0"/>
          <w:numId w:val="3"/>
        </w:numPr>
        <w:rPr>
          <w:rFonts w:ascii="Calibri" w:hAnsi="Calibri"/>
          <w:sz w:val="28"/>
          <w:szCs w:val="28"/>
        </w:rPr>
      </w:pPr>
      <w:r>
        <w:rPr>
          <w:rFonts w:hint="eastAsia" w:ascii="Calibri" w:hAnsi="Calibri"/>
          <w:sz w:val="28"/>
          <w:szCs w:val="28"/>
        </w:rPr>
        <w:t>业绩要求</w:t>
      </w:r>
    </w:p>
    <w:p>
      <w:pPr>
        <w:rPr>
          <w:sz w:val="28"/>
          <w:szCs w:val="28"/>
        </w:rPr>
      </w:pPr>
      <w:r>
        <w:rPr>
          <w:rFonts w:hint="eastAsia"/>
          <w:szCs w:val="21"/>
        </w:rPr>
        <w:t>注：2021年1月1日至本竞争性比选函发出之日之间独立承担过至少1项网络安全建设或者网络信息安全服务工作，单个合同金额不少于</w:t>
      </w:r>
      <w:r>
        <w:rPr>
          <w:rFonts w:hint="eastAsia"/>
          <w:szCs w:val="21"/>
          <w:lang w:val="en-US" w:eastAsia="zh-CN"/>
        </w:rPr>
        <w:t>1</w:t>
      </w:r>
      <w:r>
        <w:rPr>
          <w:rFonts w:hint="eastAsia"/>
          <w:szCs w:val="21"/>
        </w:rPr>
        <w:t>0万元（需提供合同扫描件）。</w:t>
      </w:r>
    </w:p>
    <w:p>
      <w:pPr>
        <w:rPr>
          <w:sz w:val="28"/>
          <w:szCs w:val="28"/>
        </w:rPr>
      </w:pPr>
    </w:p>
    <w:p>
      <w:pPr>
        <w:rPr>
          <w:sz w:val="28"/>
          <w:szCs w:val="28"/>
        </w:rPr>
      </w:pPr>
    </w:p>
    <w:p>
      <w:pPr>
        <w:numPr>
          <w:ilvl w:val="0"/>
          <w:numId w:val="3"/>
        </w:numPr>
        <w:rPr>
          <w:rFonts w:ascii="Calibri" w:hAnsi="Calibri"/>
          <w:sz w:val="28"/>
          <w:szCs w:val="28"/>
        </w:rPr>
      </w:pPr>
      <w:r>
        <w:rPr>
          <w:rFonts w:hint="eastAsia" w:ascii="Calibri" w:hAnsi="Calibri"/>
          <w:sz w:val="28"/>
          <w:szCs w:val="28"/>
        </w:rPr>
        <w:t>信誉要求</w:t>
      </w:r>
    </w:p>
    <w:p>
      <w:pPr>
        <w:rPr>
          <w:sz w:val="28"/>
          <w:szCs w:val="28"/>
        </w:rPr>
      </w:pPr>
      <w:r>
        <w:rPr>
          <w:rFonts w:hint="eastAsia"/>
          <w:szCs w:val="21"/>
        </w:rPr>
        <w:t>注：请附在国家企业信用信息公示系统（http://www.gsxt.gov.cn/）中未被列入严重违法失信企业名单（黑名单）信息，及在“信用中国”网站（http://www.creditchina.gov.cn/）中未被列入失信惩戒执行人名单截图，并加盖报价人公章；</w:t>
      </w:r>
    </w:p>
    <w:p>
      <w:pPr>
        <w:jc w:val="center"/>
        <w:rPr>
          <w:rFonts w:ascii="宋体" w:hAnsi="宋体" w:cs="宋体"/>
          <w:b/>
          <w:szCs w:val="21"/>
        </w:rPr>
      </w:pPr>
    </w:p>
    <w:p>
      <w:pPr>
        <w:jc w:val="center"/>
        <w:rPr>
          <w:rFonts w:ascii="宋体" w:hAnsi="宋体" w:cs="宋体"/>
          <w:b/>
          <w:szCs w:val="21"/>
        </w:rPr>
      </w:pPr>
    </w:p>
    <w:p>
      <w:pPr>
        <w:jc w:val="center"/>
        <w:rPr>
          <w:rFonts w:ascii="宋体" w:hAnsi="宋体" w:cs="宋体"/>
          <w:b/>
          <w:szCs w:val="21"/>
        </w:rPr>
      </w:pPr>
    </w:p>
    <w:p/>
    <w:p/>
    <w:p/>
    <w:p/>
    <w:p/>
    <w:p/>
    <w:p>
      <w:pPr>
        <w:numPr>
          <w:ilvl w:val="0"/>
          <w:numId w:val="3"/>
        </w:numPr>
        <w:rPr>
          <w:rFonts w:ascii="Calibri" w:hAnsi="Calibri"/>
          <w:sz w:val="28"/>
          <w:szCs w:val="28"/>
        </w:rPr>
      </w:pPr>
      <w:r>
        <w:rPr>
          <w:rFonts w:hint="eastAsia" w:ascii="Calibri" w:hAnsi="Calibri"/>
          <w:sz w:val="28"/>
          <w:szCs w:val="28"/>
        </w:rPr>
        <w:t>财务状况</w:t>
      </w:r>
    </w:p>
    <w:p>
      <w:pPr>
        <w:jc w:val="center"/>
        <w:rPr>
          <w:rFonts w:ascii="宋体" w:hAnsi="宋体" w:cs="宋体"/>
          <w:b/>
          <w:szCs w:val="21"/>
        </w:rPr>
      </w:pPr>
    </w:p>
    <w:p>
      <w:pPr>
        <w:jc w:val="center"/>
        <w:rPr>
          <w:rFonts w:ascii="宋体" w:hAnsi="宋体" w:cs="宋体"/>
          <w:b/>
          <w:szCs w:val="21"/>
        </w:rPr>
      </w:pPr>
    </w:p>
    <w:p>
      <w:pPr>
        <w:jc w:val="center"/>
        <w:rPr>
          <w:rFonts w:ascii="宋体" w:hAnsi="宋体" w:cs="宋体"/>
          <w:b/>
          <w:szCs w:val="21"/>
        </w:rPr>
      </w:pPr>
    </w:p>
    <w:p>
      <w:pPr>
        <w:numPr>
          <w:ilvl w:val="0"/>
          <w:numId w:val="3"/>
        </w:numPr>
        <w:rPr>
          <w:rFonts w:ascii="Calibri" w:hAnsi="Calibri"/>
          <w:sz w:val="28"/>
          <w:szCs w:val="28"/>
        </w:rPr>
      </w:pPr>
      <w:r>
        <w:rPr>
          <w:rFonts w:hint="eastAsia" w:ascii="Calibri" w:hAnsi="Calibri"/>
          <w:sz w:val="28"/>
          <w:szCs w:val="28"/>
        </w:rPr>
        <w:t>人员要求</w:t>
      </w:r>
    </w:p>
    <w:p>
      <w:pPr>
        <w:jc w:val="center"/>
        <w:rPr>
          <w:rFonts w:ascii="宋体" w:hAnsi="宋体" w:cs="宋体"/>
          <w:b/>
          <w:szCs w:val="21"/>
        </w:rPr>
      </w:pPr>
    </w:p>
    <w:p>
      <w:r>
        <w:rPr>
          <w:rFonts w:hint="eastAsia" w:ascii="宋体" w:hAnsi="宋体" w:cs="宋体"/>
          <w:b/>
          <w:szCs w:val="21"/>
        </w:rPr>
        <w:t>（1）主要管理人员名单</w:t>
      </w:r>
    </w:p>
    <w:bookmarkEnd w:id="235"/>
    <w:bookmarkEnd w:id="236"/>
    <w:bookmarkEnd w:id="237"/>
    <w:bookmarkEnd w:id="238"/>
    <w:bookmarkEnd w:id="239"/>
    <w:bookmarkEnd w:id="240"/>
    <w:bookmarkEnd w:id="241"/>
    <w:bookmarkEnd w:id="242"/>
    <w:tbl>
      <w:tblPr>
        <w:tblStyle w:val="42"/>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296"/>
        <w:gridCol w:w="1213"/>
        <w:gridCol w:w="2277"/>
        <w:gridCol w:w="2328"/>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bookmarkStart w:id="249" w:name="_Toc447827068"/>
            <w:bookmarkStart w:id="250" w:name="_Toc513633973"/>
            <w:bookmarkStart w:id="251" w:name="_Toc503951055"/>
            <w:r>
              <w:rPr>
                <w:rFonts w:hint="eastAsia" w:ascii="宋体" w:hAnsi="宋体" w:cs="宋体"/>
                <w:szCs w:val="21"/>
              </w:rPr>
              <w:t>序号</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人  员</w:t>
            </w: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姓名</w:t>
            </w:r>
          </w:p>
        </w:tc>
        <w:tc>
          <w:tcPr>
            <w:tcW w:w="22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身份证号码</w:t>
            </w:r>
          </w:p>
        </w:tc>
        <w:tc>
          <w:tcPr>
            <w:tcW w:w="23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资格证件号码</w:t>
            </w:r>
          </w:p>
        </w:tc>
        <w:tc>
          <w:tcPr>
            <w:tcW w:w="9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项目经理</w:t>
            </w: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2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9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bookmarkStart w:id="252" w:name="_Toc11329281"/>
            <w:bookmarkStart w:id="253" w:name="_Toc11672"/>
            <w:r>
              <w:rPr>
                <w:rFonts w:hint="eastAsia" w:ascii="宋体" w:hAnsi="宋体" w:cs="宋体"/>
                <w:szCs w:val="21"/>
              </w:rPr>
              <w:t>2</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安全管理员</w:t>
            </w: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2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9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r>
    </w:tbl>
    <w:p>
      <w:pPr>
        <w:autoSpaceDE w:val="0"/>
        <w:autoSpaceDN w:val="0"/>
        <w:spacing w:line="360" w:lineRule="auto"/>
        <w:jc w:val="left"/>
        <w:rPr>
          <w:rFonts w:hAnsi="宋体"/>
          <w:b/>
          <w:kern w:val="0"/>
          <w:szCs w:val="21"/>
        </w:rPr>
      </w:pPr>
    </w:p>
    <w:p>
      <w:pPr>
        <w:autoSpaceDE w:val="0"/>
        <w:autoSpaceDN w:val="0"/>
        <w:spacing w:line="360" w:lineRule="auto"/>
        <w:jc w:val="left"/>
        <w:rPr>
          <w:rFonts w:hAnsi="宋体"/>
          <w:b/>
          <w:kern w:val="0"/>
          <w:szCs w:val="21"/>
        </w:rPr>
      </w:pPr>
    </w:p>
    <w:p>
      <w:pPr>
        <w:autoSpaceDE w:val="0"/>
        <w:autoSpaceDN w:val="0"/>
        <w:spacing w:line="360" w:lineRule="auto"/>
        <w:jc w:val="left"/>
        <w:rPr>
          <w:rFonts w:hAnsi="宋体"/>
          <w:b/>
          <w:kern w:val="0"/>
          <w:szCs w:val="21"/>
        </w:rPr>
      </w:pPr>
      <w:r>
        <w:rPr>
          <w:rFonts w:hint="eastAsia" w:hAnsi="宋体"/>
          <w:b/>
          <w:kern w:val="0"/>
          <w:szCs w:val="21"/>
        </w:rPr>
        <w:t>项目主要管理人员证件照片：</w:t>
      </w:r>
    </w:p>
    <w:p>
      <w:pPr>
        <w:rPr>
          <w:rFonts w:ascii="宋体" w:hAnsi="宋体" w:cs="宋体"/>
          <w:b/>
          <w:color w:val="FF0000"/>
          <w:szCs w:val="21"/>
        </w:rPr>
      </w:pPr>
    </w:p>
    <w:p>
      <w:pPr>
        <w:rPr>
          <w:rFonts w:ascii="宋体" w:hAnsi="宋体" w:cs="宋体"/>
          <w:b/>
          <w:szCs w:val="21"/>
        </w:rPr>
      </w:pPr>
    </w:p>
    <w:p>
      <w:pPr>
        <w:keepNext/>
        <w:keepLines/>
        <w:spacing w:line="360" w:lineRule="auto"/>
        <w:jc w:val="center"/>
        <w:outlineLvl w:val="1"/>
        <w:rPr>
          <w:rFonts w:ascii="宋体" w:hAnsi="宋体" w:cs="宋体"/>
          <w:b/>
          <w:bCs/>
          <w:kern w:val="0"/>
          <w:sz w:val="28"/>
          <w:szCs w:val="32"/>
        </w:rPr>
      </w:pPr>
      <w:r>
        <w:rPr>
          <w:rFonts w:hint="eastAsia" w:ascii="宋体" w:hAnsi="宋体" w:cs="宋体"/>
          <w:b/>
          <w:bCs/>
          <w:kern w:val="0"/>
          <w:sz w:val="28"/>
          <w:szCs w:val="32"/>
        </w:rPr>
        <w:br w:type="page"/>
      </w:r>
      <w:bookmarkStart w:id="254" w:name="_Toc11243"/>
      <w:bookmarkStart w:id="255" w:name="_Toc29559"/>
      <w:r>
        <w:rPr>
          <w:rFonts w:hint="eastAsia" w:ascii="宋体" w:hAnsi="宋体" w:cs="宋体"/>
          <w:b/>
          <w:bCs/>
          <w:kern w:val="0"/>
          <w:sz w:val="28"/>
          <w:szCs w:val="32"/>
        </w:rPr>
        <w:t>五、</w:t>
      </w:r>
      <w:bookmarkEnd w:id="249"/>
      <w:bookmarkEnd w:id="250"/>
      <w:bookmarkEnd w:id="251"/>
      <w:r>
        <w:rPr>
          <w:rFonts w:hint="eastAsia" w:ascii="宋体" w:hAnsi="宋体" w:cs="宋体"/>
          <w:b/>
          <w:bCs/>
          <w:kern w:val="0"/>
          <w:sz w:val="28"/>
          <w:szCs w:val="32"/>
        </w:rPr>
        <w:t>报价人须知前附表规定的材料</w:t>
      </w:r>
      <w:bookmarkEnd w:id="252"/>
      <w:bookmarkEnd w:id="253"/>
      <w:bookmarkEnd w:id="254"/>
      <w:bookmarkEnd w:id="255"/>
    </w:p>
    <w:p>
      <w:pPr>
        <w:keepNext/>
        <w:keepLines/>
        <w:spacing w:before="260" w:after="260" w:line="415" w:lineRule="auto"/>
        <w:jc w:val="center"/>
        <w:outlineLvl w:val="2"/>
        <w:rPr>
          <w:rFonts w:ascii="宋体" w:hAnsi="宋体" w:cs="宋体"/>
          <w:b/>
          <w:bCs/>
          <w:kern w:val="0"/>
          <w:sz w:val="28"/>
          <w:szCs w:val="32"/>
        </w:rPr>
      </w:pPr>
      <w:bookmarkStart w:id="256" w:name="bookmark81"/>
      <w:bookmarkStart w:id="257" w:name="_Toc513633974"/>
      <w:bookmarkStart w:id="258" w:name="_Toc503951058"/>
      <w:r>
        <w:rPr>
          <w:rFonts w:hint="eastAsia" w:ascii="宋体" w:hAnsi="宋体" w:cs="宋体"/>
          <w:b/>
          <w:bCs/>
          <w:kern w:val="0"/>
          <w:sz w:val="28"/>
          <w:szCs w:val="32"/>
        </w:rPr>
        <w:t>（一）</w:t>
      </w:r>
      <w:bookmarkEnd w:id="256"/>
      <w:bookmarkStart w:id="259" w:name="_Toc507681488"/>
      <w:bookmarkStart w:id="260" w:name="_Toc504639215"/>
      <w:bookmarkStart w:id="261" w:name="_Toc507681700"/>
      <w:r>
        <w:rPr>
          <w:rFonts w:hint="eastAsia" w:ascii="宋体" w:hAnsi="宋体" w:cs="宋体"/>
          <w:b/>
          <w:bCs/>
          <w:kern w:val="0"/>
          <w:sz w:val="28"/>
          <w:szCs w:val="32"/>
        </w:rPr>
        <w:t>报价人自行承诺部分</w:t>
      </w:r>
      <w:bookmarkEnd w:id="259"/>
      <w:bookmarkEnd w:id="260"/>
      <w:bookmarkEnd w:id="261"/>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
    <w:p>
      <w:pPr>
        <w:keepNext/>
        <w:keepLines/>
        <w:spacing w:line="360" w:lineRule="auto"/>
        <w:jc w:val="center"/>
        <w:outlineLvl w:val="1"/>
        <w:rPr>
          <w:rFonts w:ascii="宋体" w:hAnsi="宋体" w:cs="宋体"/>
          <w:b/>
          <w:bCs/>
          <w:kern w:val="0"/>
          <w:sz w:val="28"/>
          <w:szCs w:val="32"/>
        </w:rPr>
      </w:pPr>
      <w:r>
        <w:rPr>
          <w:rFonts w:hint="eastAsia" w:ascii="宋体" w:hAnsi="宋体" w:eastAsia="黑体" w:cs="宋体"/>
          <w:b/>
          <w:bCs/>
          <w:kern w:val="0"/>
          <w:sz w:val="28"/>
          <w:szCs w:val="32"/>
        </w:rPr>
        <w:br w:type="page"/>
      </w:r>
      <w:r>
        <w:rPr>
          <w:rFonts w:hint="eastAsia" w:ascii="宋体" w:hAnsi="宋体" w:cs="宋体"/>
          <w:b/>
          <w:bCs/>
          <w:kern w:val="0"/>
          <w:sz w:val="28"/>
          <w:szCs w:val="32"/>
        </w:rPr>
        <w:t>六、报价人基本信息及其他材料</w:t>
      </w:r>
    </w:p>
    <w:p>
      <w:pPr>
        <w:keepNext/>
        <w:keepLines/>
        <w:spacing w:line="360" w:lineRule="auto"/>
        <w:jc w:val="center"/>
        <w:outlineLvl w:val="2"/>
        <w:rPr>
          <w:b/>
          <w:bCs/>
          <w:kern w:val="0"/>
          <w:sz w:val="28"/>
          <w:szCs w:val="28"/>
        </w:rPr>
      </w:pPr>
      <w:bookmarkStart w:id="262" w:name="_Toc4375"/>
      <w:bookmarkStart w:id="263" w:name="_Toc508110857"/>
      <w:bookmarkStart w:id="264" w:name="_Toc452107137"/>
      <w:r>
        <w:rPr>
          <w:rFonts w:hint="eastAsia"/>
          <w:b/>
          <w:bCs/>
          <w:kern w:val="0"/>
          <w:sz w:val="28"/>
          <w:szCs w:val="28"/>
        </w:rPr>
        <w:t>（一）报价人基本信息表</w:t>
      </w:r>
      <w:bookmarkEnd w:id="262"/>
      <w:bookmarkEnd w:id="263"/>
      <w:bookmarkEnd w:id="264"/>
    </w:p>
    <w:p>
      <w:pPr>
        <w:tabs>
          <w:tab w:val="center" w:pos="4153"/>
          <w:tab w:val="right" w:pos="8306"/>
        </w:tabs>
        <w:snapToGrid w:val="0"/>
        <w:jc w:val="left"/>
        <w:rPr>
          <w:kern w:val="0"/>
          <w:sz w:val="18"/>
          <w:szCs w:val="18"/>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keepNext/>
        <w:keepLines/>
        <w:spacing w:before="260" w:after="260" w:line="415" w:lineRule="auto"/>
        <w:jc w:val="center"/>
        <w:outlineLvl w:val="2"/>
        <w:rPr>
          <w:rFonts w:ascii="宋体" w:hAnsi="宋体" w:cs="宋体"/>
          <w:b/>
          <w:bCs/>
          <w:kern w:val="0"/>
          <w:sz w:val="28"/>
          <w:szCs w:val="32"/>
        </w:rPr>
      </w:pPr>
      <w:r>
        <w:rPr>
          <w:rFonts w:hint="eastAsia" w:ascii="宋体" w:hAnsi="宋体" w:cs="宋体"/>
          <w:b/>
          <w:bCs/>
          <w:kern w:val="0"/>
          <w:sz w:val="28"/>
          <w:szCs w:val="32"/>
        </w:rPr>
        <w:t>（二）其他材料</w:t>
      </w:r>
    </w:p>
    <w:p/>
    <w:p>
      <w:pPr>
        <w:keepNext/>
        <w:keepLines/>
        <w:spacing w:before="340" w:after="330" w:line="576" w:lineRule="auto"/>
        <w:jc w:val="center"/>
        <w:outlineLvl w:val="0"/>
        <w:rPr>
          <w:rFonts w:ascii="宋体" w:hAnsi="宋体" w:cs="宋体"/>
          <w:b/>
          <w:bCs/>
          <w:kern w:val="0"/>
          <w:sz w:val="28"/>
          <w:szCs w:val="32"/>
        </w:rPr>
      </w:pPr>
      <w:r>
        <w:rPr>
          <w:rFonts w:hint="eastAsia" w:ascii="宋体" w:hAnsi="宋体" w:cs="宋体"/>
          <w:b/>
          <w:bCs/>
          <w:kern w:val="0"/>
          <w:sz w:val="28"/>
          <w:szCs w:val="32"/>
        </w:rPr>
        <w:t>七、现场安全负责人承诺书</w:t>
      </w:r>
    </w:p>
    <w:p/>
    <w:p>
      <w:pPr>
        <w:tabs>
          <w:tab w:val="left" w:pos="900"/>
        </w:tabs>
        <w:spacing w:line="300" w:lineRule="auto"/>
        <w:rPr>
          <w:rFonts w:ascii="Arial" w:hAnsi="Arial" w:cs="Arial"/>
          <w:b/>
          <w:bCs/>
          <w:sz w:val="24"/>
          <w:u w:val="single"/>
        </w:rPr>
      </w:pPr>
      <w:r>
        <w:rPr>
          <w:rFonts w:ascii="Arial" w:hAnsi="Arial" w:cs="Arial"/>
          <w:sz w:val="24"/>
        </w:rPr>
        <w:t xml:space="preserve"> </w:t>
      </w:r>
      <w:r>
        <w:rPr>
          <w:rFonts w:hint="eastAsia" w:ascii="Arial" w:hAnsi="Arial" w:cs="Arial"/>
          <w:b/>
          <w:sz w:val="24"/>
        </w:rPr>
        <w:t>致：</w:t>
      </w:r>
      <w:r>
        <w:rPr>
          <w:rFonts w:hint="eastAsia" w:ascii="Arial" w:hAnsi="Arial" w:cs="Arial"/>
          <w:b/>
          <w:bCs/>
          <w:sz w:val="24"/>
          <w:u w:val="single"/>
        </w:rPr>
        <w:t>重庆首讯科技股份有限公司</w:t>
      </w:r>
    </w:p>
    <w:p>
      <w:pPr>
        <w:spacing w:line="700" w:lineRule="atLeast"/>
        <w:ind w:firstLine="480" w:firstLineChars="200"/>
      </w:pPr>
      <w:r>
        <w:rPr>
          <w:rFonts w:hint="eastAsia" w:ascii="Arial" w:hAnsi="Arial" w:cs="Arial"/>
          <w:sz w:val="24"/>
        </w:rPr>
        <w:t>根据贵方为</w:t>
      </w:r>
      <w:r>
        <w:rPr>
          <w:rFonts w:hint="eastAsia" w:ascii="Arial" w:hAnsi="Arial" w:cs="Arial"/>
          <w:sz w:val="24"/>
          <w:u w:val="single"/>
          <w:lang w:eastAsia="zh-CN"/>
        </w:rPr>
        <w:t>2024年营运公司网络安全维护服务项目</w:t>
      </w:r>
      <w:r>
        <w:rPr>
          <w:rFonts w:hint="eastAsia" w:ascii="Arial" w:hAnsi="Arial" w:cs="Arial"/>
          <w:sz w:val="24"/>
        </w:rPr>
        <w:t>竞争比选项目及服务的竞争比选邀请，</w:t>
      </w:r>
      <w:r>
        <w:rPr>
          <w:rFonts w:hint="eastAsia" w:ascii="Arial" w:hAnsi="Arial" w:cs="Arial"/>
          <w:sz w:val="24"/>
          <w:u w:val="single"/>
        </w:rPr>
        <w:t>（姓名）</w:t>
      </w:r>
      <w:r>
        <w:rPr>
          <w:rFonts w:hint="eastAsia" w:ascii="Arial" w:hAnsi="Arial" w:cs="Arial"/>
          <w:sz w:val="24"/>
        </w:rPr>
        <w:t>经正式任命为</w:t>
      </w:r>
      <w:r>
        <w:rPr>
          <w:rFonts w:hint="eastAsia" w:ascii="Arial" w:hAnsi="Arial" w:cs="Arial"/>
          <w:sz w:val="24"/>
          <w:u w:val="single"/>
          <w:lang w:eastAsia="zh-CN"/>
        </w:rPr>
        <w:t>2024年营运公司网络安全维护服务项目</w:t>
      </w:r>
      <w:r>
        <w:rPr>
          <w:rFonts w:hint="eastAsia" w:ascii="Arial" w:hAnsi="Arial" w:cs="Arial"/>
          <w:sz w:val="24"/>
        </w:rPr>
        <w:t>竞争比选项目及服务安全负责人，严格遵守国家有关安全生产的法律法规、交通部颁发的《公路养护安全作业规程》(JTGH30—2015）、《重庆市营运高速公路施工管理规范》DB50/T 959-2019及《首讯公司工程安全生产的违约处理细则》渝高速首讯文〔2019〕40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rPr>
          <w:rFonts w:ascii="Arial" w:hAnsi="Arial" w:cs="Arial"/>
          <w:caps/>
          <w:color w:val="000000"/>
          <w:sz w:val="24"/>
        </w:rPr>
      </w:pPr>
    </w:p>
    <w:p>
      <w:pPr>
        <w:rPr>
          <w:rFonts w:ascii="Arial" w:hAnsi="Arial" w:cs="Arial"/>
          <w:b/>
          <w:bCs/>
          <w:color w:val="000000"/>
          <w:sz w:val="24"/>
        </w:rPr>
      </w:pPr>
    </w:p>
    <w:p>
      <w:pPr>
        <w:rPr>
          <w:rFonts w:ascii="Arial" w:hAnsi="Arial" w:cs="Arial"/>
          <w:caps/>
          <w:color w:val="000000"/>
          <w:sz w:val="24"/>
        </w:rPr>
      </w:pPr>
    </w:p>
    <w:p>
      <w:pPr>
        <w:rPr>
          <w:rFonts w:ascii="Arial" w:hAnsi="Arial" w:cs="Arial"/>
          <w:b/>
          <w:bCs/>
          <w:color w:val="000000"/>
          <w:sz w:val="24"/>
        </w:rPr>
      </w:pPr>
    </w:p>
    <w:p>
      <w:pPr>
        <w:rPr>
          <w:rFonts w:ascii="Arial" w:hAnsi="Arial" w:cs="Arial"/>
          <w:b/>
          <w:bCs/>
          <w:color w:val="000000"/>
          <w:sz w:val="24"/>
        </w:rPr>
      </w:pPr>
    </w:p>
    <w:p>
      <w:pPr>
        <w:rPr>
          <w:rFonts w:ascii="Arial" w:hAnsi="Arial" w:cs="Arial"/>
          <w:caps/>
          <w:color w:val="000000"/>
          <w:sz w:val="24"/>
          <w:u w:val="single"/>
        </w:rPr>
      </w:pPr>
      <w:r>
        <w:rPr>
          <w:rFonts w:ascii="Arial" w:hAnsi="Arial" w:cs="Arial"/>
          <w:color w:val="000000"/>
          <w:sz w:val="24"/>
        </w:rPr>
        <w:t>竞争比选响应单位</w:t>
      </w:r>
      <w:r>
        <w:rPr>
          <w:rFonts w:hint="eastAsia" w:ascii="Arial" w:hAnsi="Arial" w:cs="Arial"/>
          <w:color w:val="000000"/>
          <w:sz w:val="24"/>
        </w:rPr>
        <w:t>现场安全负责人</w:t>
      </w:r>
      <w:r>
        <w:rPr>
          <w:rFonts w:ascii="Arial" w:hAnsi="Arial" w:cs="Arial"/>
          <w:color w:val="000000"/>
          <w:sz w:val="24"/>
        </w:rPr>
        <w:t>（签字）：</w:t>
      </w:r>
      <w:r>
        <w:rPr>
          <w:rFonts w:hint="eastAsia" w:ascii="Arial" w:hAnsi="Arial" w:cs="Arial"/>
          <w:color w:val="000000"/>
          <w:sz w:val="24"/>
          <w:u w:val="single"/>
        </w:rPr>
        <w:t xml:space="preserve">               </w:t>
      </w:r>
    </w:p>
    <w:p>
      <w:pPr>
        <w:rPr>
          <w:rFonts w:ascii="Arial" w:hAnsi="Arial" w:cs="Arial"/>
          <w:caps/>
          <w:color w:val="000000"/>
          <w:sz w:val="24"/>
        </w:rPr>
      </w:pPr>
      <w:r>
        <w:rPr>
          <w:rFonts w:ascii="Arial" w:hAnsi="Arial" w:cs="Arial"/>
          <w:color w:val="000000"/>
          <w:sz w:val="24"/>
        </w:rPr>
        <w:t>竞争比选响应单位名称（加盖公章）：</w:t>
      </w:r>
    </w:p>
    <w:p>
      <w:pPr>
        <w:rPr>
          <w:rFonts w:ascii="Arial" w:hAnsi="Arial" w:cs="Arial"/>
          <w:caps/>
          <w:color w:val="000000"/>
          <w:sz w:val="24"/>
        </w:rPr>
      </w:pPr>
      <w:r>
        <w:rPr>
          <w:rFonts w:ascii="Arial" w:hAnsi="Arial" w:cs="Arial"/>
          <w:color w:val="000000"/>
          <w:sz w:val="24"/>
        </w:rPr>
        <w:t>日期：</w:t>
      </w:r>
      <w:r>
        <w:rPr>
          <w:rFonts w:ascii="Arial" w:hAnsi="Arial" w:cs="Arial"/>
          <w:color w:val="000000"/>
          <w:sz w:val="24"/>
          <w:u w:val="single"/>
        </w:rPr>
        <w:t xml:space="preserve">     </w:t>
      </w:r>
      <w:r>
        <w:rPr>
          <w:rFonts w:ascii="Arial" w:hAnsi="Arial" w:cs="Arial"/>
          <w:color w:val="000000"/>
          <w:sz w:val="24"/>
        </w:rPr>
        <w:t>年</w:t>
      </w:r>
      <w:r>
        <w:rPr>
          <w:rFonts w:ascii="Arial" w:hAnsi="Arial" w:cs="Arial"/>
          <w:color w:val="000000"/>
          <w:sz w:val="24"/>
          <w:u w:val="single"/>
        </w:rPr>
        <w:t xml:space="preserve">      </w:t>
      </w:r>
      <w:r>
        <w:rPr>
          <w:rFonts w:ascii="Arial" w:hAnsi="Arial" w:cs="Arial"/>
          <w:color w:val="000000"/>
          <w:sz w:val="24"/>
        </w:rPr>
        <w:t>月</w:t>
      </w:r>
      <w:r>
        <w:rPr>
          <w:rFonts w:ascii="Arial" w:hAnsi="Arial" w:cs="Arial"/>
          <w:color w:val="000000"/>
          <w:sz w:val="24"/>
          <w:u w:val="single"/>
        </w:rPr>
        <w:t xml:space="preserve">      </w:t>
      </w:r>
      <w:r>
        <w:rPr>
          <w:rFonts w:ascii="Arial" w:hAnsi="Arial" w:cs="Arial"/>
          <w:color w:val="000000"/>
          <w:sz w:val="24"/>
        </w:rPr>
        <w:t>日</w:t>
      </w:r>
    </w:p>
    <w:p>
      <w:pPr>
        <w:rPr>
          <w:rFonts w:ascii="Arial" w:hAnsi="Arial" w:cs="Arial"/>
          <w:caps/>
          <w:color w:val="000000"/>
          <w:sz w:val="24"/>
        </w:rPr>
      </w:pPr>
    </w:p>
    <w:p>
      <w:pPr>
        <w:rPr>
          <w:rFonts w:ascii="Arial" w:hAnsi="Arial" w:cs="Arial"/>
          <w:b/>
          <w:bCs/>
          <w:color w:val="000000"/>
          <w:sz w:val="24"/>
        </w:rPr>
      </w:pPr>
    </w:p>
    <w:p>
      <w:pPr>
        <w:rPr>
          <w:rFonts w:ascii="Arial" w:hAnsi="Arial" w:cs="Arial"/>
          <w:caps/>
          <w:color w:val="000000"/>
          <w:sz w:val="24"/>
        </w:rPr>
      </w:pPr>
    </w:p>
    <w:p>
      <w:pPr>
        <w:rPr>
          <w:rFonts w:ascii="Arial" w:hAnsi="Arial" w:cs="Arial"/>
          <w:caps/>
          <w:color w:val="000000"/>
          <w:sz w:val="24"/>
        </w:rPr>
      </w:pPr>
    </w:p>
    <w:bookmarkEnd w:id="257"/>
    <w:bookmarkEnd w:id="258"/>
    <w:p/>
    <w:p/>
    <w:p/>
    <w:p>
      <w:pPr>
        <w:pStyle w:val="2"/>
      </w:pPr>
    </w:p>
    <w:p/>
    <w:p>
      <w:pPr>
        <w:pStyle w:val="2"/>
      </w:pPr>
    </w:p>
    <w:p/>
    <w:p/>
    <w:p>
      <w:pPr>
        <w:keepNext/>
        <w:keepLines/>
        <w:spacing w:line="360" w:lineRule="auto"/>
        <w:jc w:val="center"/>
        <w:outlineLvl w:val="1"/>
        <w:rPr>
          <w:rFonts w:ascii="宋体" w:hAnsi="宋体" w:cs="宋体"/>
          <w:b/>
          <w:bCs/>
          <w:kern w:val="0"/>
          <w:sz w:val="28"/>
          <w:szCs w:val="32"/>
        </w:rPr>
      </w:pPr>
      <w:r>
        <w:rPr>
          <w:rFonts w:hint="eastAsia" w:ascii="宋体" w:hAnsi="宋体" w:cs="宋体"/>
          <w:b/>
          <w:bCs/>
          <w:kern w:val="0"/>
          <w:sz w:val="28"/>
          <w:szCs w:val="32"/>
        </w:rPr>
        <w:t>八、投标保证金转账凭证</w:t>
      </w:r>
    </w:p>
    <w:p/>
    <w:p>
      <w:r>
        <w:br w:type="page"/>
      </w:r>
    </w:p>
    <w:p>
      <w:pPr>
        <w:jc w:val="center"/>
      </w:pPr>
      <w:bookmarkStart w:id="265" w:name="_Hlk132097277"/>
      <w:r>
        <w:rPr>
          <w:rFonts w:hint="eastAsia" w:ascii="宋体" w:hAnsi="宋体" w:cs="宋体"/>
          <w:b/>
          <w:bCs/>
          <w:kern w:val="0"/>
          <w:sz w:val="28"/>
          <w:szCs w:val="32"/>
        </w:rPr>
        <w:t>九、维护工程量清单</w:t>
      </w:r>
      <w:bookmarkEnd w:id="265"/>
    </w:p>
    <w:p/>
    <w:p>
      <w:pPr>
        <w:pStyle w:val="2"/>
      </w:pPr>
      <w:r>
        <w:br w:type="page"/>
      </w:r>
    </w:p>
    <w:p>
      <w:pPr>
        <w:jc w:val="center"/>
        <w:rPr>
          <w:rFonts w:ascii="宋体" w:hAnsi="宋体" w:cs="宋体"/>
          <w:b/>
          <w:bCs/>
          <w:kern w:val="0"/>
          <w:sz w:val="28"/>
          <w:szCs w:val="32"/>
        </w:rPr>
      </w:pPr>
      <w:r>
        <w:rPr>
          <w:rFonts w:hint="eastAsia" w:ascii="宋体" w:hAnsi="宋体" w:cs="宋体"/>
          <w:b/>
          <w:bCs/>
          <w:kern w:val="0"/>
          <w:sz w:val="28"/>
          <w:szCs w:val="32"/>
        </w:rPr>
        <w:t>十、项目工勘报告</w:t>
      </w:r>
    </w:p>
    <w:p>
      <w:pPr>
        <w:jc w:val="center"/>
        <w:rPr>
          <w:rFonts w:ascii="宋体" w:hAnsi="宋体" w:cs="宋体"/>
          <w:b/>
          <w:bCs/>
          <w:sz w:val="30"/>
          <w:szCs w:val="30"/>
          <w:shd w:val="clear" w:color="auto" w:fill="FFFFFF"/>
        </w:rPr>
      </w:pPr>
      <w:r>
        <w:rPr>
          <w:rFonts w:hint="eastAsia" w:ascii="宋体" w:hAnsi="宋体" w:cs="宋体"/>
          <w:b/>
          <w:bCs/>
          <w:sz w:val="30"/>
          <w:szCs w:val="30"/>
          <w:shd w:val="clear" w:color="auto" w:fill="FFFFFF"/>
        </w:rPr>
        <w:t>项  目  工  勘  报  告</w:t>
      </w:r>
    </w:p>
    <w:p>
      <w:pPr>
        <w:pStyle w:val="2"/>
      </w:pPr>
    </w:p>
    <w:tbl>
      <w:tblPr>
        <w:tblStyle w:val="42"/>
        <w:tblW w:w="5702" w:type="pct"/>
        <w:tblInd w:w="-563" w:type="dxa"/>
        <w:tblLayout w:type="fixed"/>
        <w:tblCellMar>
          <w:top w:w="0" w:type="dxa"/>
          <w:left w:w="108" w:type="dxa"/>
          <w:bottom w:w="0" w:type="dxa"/>
          <w:right w:w="108" w:type="dxa"/>
        </w:tblCellMar>
      </w:tblPr>
      <w:tblGrid>
        <w:gridCol w:w="1531"/>
        <w:gridCol w:w="3302"/>
        <w:gridCol w:w="1283"/>
        <w:gridCol w:w="1283"/>
        <w:gridCol w:w="785"/>
        <w:gridCol w:w="1534"/>
      </w:tblGrid>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项目名称</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项目地址</w:t>
            </w:r>
          </w:p>
        </w:tc>
        <w:tc>
          <w:tcPr>
            <w:tcW w:w="185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业主单位</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联系人</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电话</w:t>
            </w:r>
          </w:p>
        </w:tc>
        <w:tc>
          <w:tcPr>
            <w:tcW w:w="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实施单位</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联系人</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电话</w:t>
            </w:r>
          </w:p>
        </w:tc>
        <w:tc>
          <w:tcPr>
            <w:tcW w:w="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r>
      <w:tr>
        <w:tblPrEx>
          <w:tblCellMar>
            <w:top w:w="0" w:type="dxa"/>
            <w:left w:w="108" w:type="dxa"/>
            <w:bottom w:w="0" w:type="dxa"/>
            <w:right w:w="108" w:type="dxa"/>
          </w:tblCellMar>
        </w:tblPrEx>
        <w:trPr>
          <w:trHeight w:val="726"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勘查内容</w:t>
            </w:r>
          </w:p>
        </w:tc>
        <w:tc>
          <w:tcPr>
            <w:tcW w:w="421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36"/>
                <w:szCs w:val="36"/>
              </w:rPr>
            </w:pPr>
            <w:r>
              <w:rPr>
                <w:rFonts w:hint="eastAsia" w:ascii="宋体" w:hAnsi="宋体" w:cs="宋体"/>
                <w:b/>
                <w:bCs/>
                <w:sz w:val="28"/>
                <w:szCs w:val="28"/>
                <w:shd w:val="clear" w:color="auto" w:fill="FFFFFF"/>
              </w:rPr>
              <w:t>现 场 勘 查 内 容</w:t>
            </w:r>
          </w:p>
        </w:tc>
      </w:tr>
      <w:tr>
        <w:tblPrEx>
          <w:tblCellMar>
            <w:top w:w="0" w:type="dxa"/>
            <w:left w:w="108" w:type="dxa"/>
            <w:bottom w:w="0" w:type="dxa"/>
            <w:right w:w="108" w:type="dxa"/>
          </w:tblCellMar>
        </w:tblPrEx>
        <w:trPr>
          <w:trHeight w:val="734"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1</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2</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698"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3</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694"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4</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691"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5</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7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lang w:bidi="ar"/>
              </w:rPr>
              <w:t>勘查人：</w:t>
            </w:r>
          </w:p>
        </w:tc>
      </w:tr>
      <w:tr>
        <w:tblPrEx>
          <w:tblCellMar>
            <w:top w:w="0" w:type="dxa"/>
            <w:left w:w="108" w:type="dxa"/>
            <w:bottom w:w="0" w:type="dxa"/>
            <w:right w:w="108" w:type="dxa"/>
          </w:tblCellMar>
        </w:tblPrEx>
        <w:trPr>
          <w:trHeight w:val="71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lang w:bidi="ar"/>
              </w:rPr>
              <w:t>勘查时间：</w:t>
            </w:r>
          </w:p>
        </w:tc>
      </w:tr>
    </w:tbl>
    <w:p/>
    <w:p>
      <w:pPr>
        <w:rPr>
          <w:rFonts w:ascii="宋体" w:hAnsi="宋体" w:cs="宋体"/>
          <w:color w:val="000000"/>
          <w:kern w:val="0"/>
          <w:sz w:val="24"/>
          <w:lang w:bidi="ar"/>
        </w:rPr>
      </w:pPr>
      <w:r>
        <w:rPr>
          <w:rFonts w:hint="eastAsia"/>
          <w:sz w:val="24"/>
        </w:rPr>
        <w:t xml:space="preserve">勘查单位：                                       </w:t>
      </w:r>
      <w:r>
        <w:rPr>
          <w:rFonts w:hint="eastAsia" w:ascii="宋体" w:hAnsi="宋体" w:cs="宋体"/>
          <w:color w:val="000000"/>
          <w:kern w:val="0"/>
          <w:sz w:val="24"/>
          <w:lang w:bidi="ar"/>
        </w:rPr>
        <w:t>业主单位：</w:t>
      </w:r>
    </w:p>
    <w:p>
      <w:pPr>
        <w:pStyle w:val="2"/>
        <w:rPr>
          <w:rFonts w:ascii="宋体" w:hAnsi="宋体" w:cs="宋体"/>
          <w:color w:val="000000"/>
          <w:kern w:val="0"/>
          <w:sz w:val="24"/>
          <w:szCs w:val="24"/>
          <w:lang w:bidi="ar"/>
        </w:rPr>
      </w:pPr>
    </w:p>
    <w:p>
      <w:pPr>
        <w:rPr>
          <w:sz w:val="24"/>
        </w:rPr>
      </w:pPr>
      <w:r>
        <w:rPr>
          <w:rFonts w:hint="eastAsia"/>
          <w:sz w:val="24"/>
        </w:rPr>
        <w:t>时    间：</w:t>
      </w: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75B4204-3B29-4BC2-BFDD-AA7D44D931E4}"/>
  </w:font>
  <w:font w:name="黑体">
    <w:panose1 w:val="02010609060101010101"/>
    <w:charset w:val="86"/>
    <w:family w:val="auto"/>
    <w:pitch w:val="default"/>
    <w:sig w:usb0="800002BF" w:usb1="38CF7CFA" w:usb2="00000016" w:usb3="00000000" w:csb0="00040001" w:csb1="00000000"/>
    <w:embedRegular r:id="rId2" w:fontKey="{4A107F0C-B895-472E-A49F-1B823E27C55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10717118-CD48-4FE4-BA3D-A2027D864D91}"/>
  </w:font>
  <w:font w:name="仿宋_GB2312">
    <w:altName w:val="仿宋"/>
    <w:panose1 w:val="00000000000000000000"/>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p>
  <w:p>
    <w:pPr>
      <w:pStyle w:val="2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rap="around" w:vAnchor="text" w:hAnchor="margin" w:xAlign="center" w:y="1"/>
      <w:rPr>
        <w:rStyle w:val="46"/>
      </w:rPr>
    </w:pPr>
    <w:r>
      <w:fldChar w:fldCharType="begin"/>
    </w:r>
    <w:r>
      <w:rPr>
        <w:rStyle w:val="46"/>
      </w:rPr>
      <w:instrText xml:space="preserve">PAGE  </w:instrText>
    </w:r>
    <w:r>
      <w:fldChar w:fldCharType="end"/>
    </w:r>
  </w:p>
  <w:p>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25</w:t>
    </w:r>
    <w:r>
      <w:fldChar w:fldCharType="end"/>
    </w:r>
  </w:p>
  <w:p>
    <w:pPr>
      <w:pStyle w:val="2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jc w:val="center"/>
    </w:pPr>
    <w:r>
      <w:fldChar w:fldCharType="begin"/>
    </w:r>
    <w:r>
      <w:instrText xml:space="preserve">PAGE   \* MERGEFORMAT</w:instrText>
    </w:r>
    <w:r>
      <w:fldChar w:fldCharType="separate"/>
    </w:r>
    <w:r>
      <w:rPr>
        <w:lang w:val="zh-CN"/>
      </w:rPr>
      <w:t>8</w:t>
    </w:r>
    <w:r>
      <w:fldChar w:fldCharType="end"/>
    </w:r>
  </w:p>
  <w:p>
    <w:pPr>
      <w:pStyle w:val="2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10</w:t>
    </w:r>
    <w:r>
      <w:fldChar w:fldCharType="end"/>
    </w:r>
  </w:p>
  <w:p>
    <w:pPr>
      <w:pStyle w:val="27"/>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30</w:t>
    </w:r>
    <w:r>
      <w:fldChar w:fldCharType="end"/>
    </w:r>
  </w:p>
  <w:p>
    <w:pPr>
      <w:pStyle w:val="27"/>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rPr>
                              <w:rStyle w:val="46"/>
                            </w:rPr>
                          </w:pPr>
                          <w:r>
                            <w:fldChar w:fldCharType="begin"/>
                          </w:r>
                          <w:r>
                            <w:rPr>
                              <w:rStyle w:val="46"/>
                            </w:rPr>
                            <w:instrText xml:space="preserve">PAGE  </w:instrText>
                          </w:r>
                          <w:r>
                            <w:fldChar w:fldCharType="separate"/>
                          </w:r>
                          <w:r>
                            <w:rPr>
                              <w:rStyle w:val="46"/>
                            </w:rPr>
                            <w:t>37</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7"/>
                      <w:rPr>
                        <w:rStyle w:val="46"/>
                      </w:rPr>
                    </w:pPr>
                    <w:r>
                      <w:fldChar w:fldCharType="begin"/>
                    </w:r>
                    <w:r>
                      <w:rPr>
                        <w:rStyle w:val="46"/>
                      </w:rPr>
                      <w:instrText xml:space="preserve">PAGE  </w:instrText>
                    </w:r>
                    <w:r>
                      <w:fldChar w:fldCharType="separate"/>
                    </w:r>
                    <w:r>
                      <w:rPr>
                        <w:rStyle w:val="46"/>
                      </w:rPr>
                      <w:t>37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7"/>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7"/>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1"/>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3871CE1D"/>
    <w:multiLevelType w:val="singleLevel"/>
    <w:tmpl w:val="3871CE1D"/>
    <w:lvl w:ilvl="0" w:tentative="0">
      <w:start w:val="1"/>
      <w:numFmt w:val="chineseCounting"/>
      <w:suff w:val="nothing"/>
      <w:lvlText w:val="%1、"/>
      <w:lvlJc w:val="left"/>
      <w:rPr>
        <w:rFonts w:hint="eastAsia"/>
      </w:rPr>
    </w:lvl>
  </w:abstractNum>
  <w:abstractNum w:abstractNumId="2">
    <w:nsid w:val="5E2C7F43"/>
    <w:multiLevelType w:val="multilevel"/>
    <w:tmpl w:val="5E2C7F4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TrueTypeFonts/>
  <w:saveSubsetFonts/>
  <w:bordersDoNotSurroundHeader w:val="1"/>
  <w:bordersDoNotSurroundFooter w:val="1"/>
  <w:doNotTrackMoves/>
  <w:documentProtection w:enforcement="0"/>
  <w:defaultTabStop w:val="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F1787C"/>
    <w:rsid w:val="00002283"/>
    <w:rsid w:val="0000322E"/>
    <w:rsid w:val="00003524"/>
    <w:rsid w:val="00003A86"/>
    <w:rsid w:val="00006DC2"/>
    <w:rsid w:val="00014F18"/>
    <w:rsid w:val="00020D82"/>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47C8F"/>
    <w:rsid w:val="00047E6F"/>
    <w:rsid w:val="0005109B"/>
    <w:rsid w:val="000552F0"/>
    <w:rsid w:val="00055B95"/>
    <w:rsid w:val="00055FA2"/>
    <w:rsid w:val="000563B8"/>
    <w:rsid w:val="000572DF"/>
    <w:rsid w:val="00057B74"/>
    <w:rsid w:val="0006209E"/>
    <w:rsid w:val="000620D8"/>
    <w:rsid w:val="00066BA0"/>
    <w:rsid w:val="00067251"/>
    <w:rsid w:val="000757B2"/>
    <w:rsid w:val="0007698A"/>
    <w:rsid w:val="00076FDF"/>
    <w:rsid w:val="0008303D"/>
    <w:rsid w:val="0008378C"/>
    <w:rsid w:val="000837E8"/>
    <w:rsid w:val="000849FA"/>
    <w:rsid w:val="00085499"/>
    <w:rsid w:val="00086CAB"/>
    <w:rsid w:val="000875BF"/>
    <w:rsid w:val="00087626"/>
    <w:rsid w:val="0009000C"/>
    <w:rsid w:val="0009140C"/>
    <w:rsid w:val="00093516"/>
    <w:rsid w:val="000939F8"/>
    <w:rsid w:val="00093CD5"/>
    <w:rsid w:val="000940B1"/>
    <w:rsid w:val="000945AC"/>
    <w:rsid w:val="000948DA"/>
    <w:rsid w:val="00095B35"/>
    <w:rsid w:val="00095EDA"/>
    <w:rsid w:val="0009781C"/>
    <w:rsid w:val="000A18D6"/>
    <w:rsid w:val="000A1E4C"/>
    <w:rsid w:val="000A2296"/>
    <w:rsid w:val="000A31DB"/>
    <w:rsid w:val="000A32A6"/>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496D"/>
    <w:rsid w:val="000E59C6"/>
    <w:rsid w:val="000F2842"/>
    <w:rsid w:val="00100F21"/>
    <w:rsid w:val="0010112E"/>
    <w:rsid w:val="00101194"/>
    <w:rsid w:val="00104DDA"/>
    <w:rsid w:val="00105562"/>
    <w:rsid w:val="001060F0"/>
    <w:rsid w:val="00107D39"/>
    <w:rsid w:val="00107E81"/>
    <w:rsid w:val="00110CAE"/>
    <w:rsid w:val="00111E55"/>
    <w:rsid w:val="00112802"/>
    <w:rsid w:val="001150C8"/>
    <w:rsid w:val="00115A03"/>
    <w:rsid w:val="001170EE"/>
    <w:rsid w:val="00120582"/>
    <w:rsid w:val="00123DF3"/>
    <w:rsid w:val="0012612C"/>
    <w:rsid w:val="0012618D"/>
    <w:rsid w:val="001264BE"/>
    <w:rsid w:val="001265D0"/>
    <w:rsid w:val="00131319"/>
    <w:rsid w:val="001324F8"/>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7DCE"/>
    <w:rsid w:val="001A0539"/>
    <w:rsid w:val="001A09DE"/>
    <w:rsid w:val="001A5CDC"/>
    <w:rsid w:val="001A7336"/>
    <w:rsid w:val="001B37EE"/>
    <w:rsid w:val="001B455F"/>
    <w:rsid w:val="001B7789"/>
    <w:rsid w:val="001C0BBE"/>
    <w:rsid w:val="001C47B4"/>
    <w:rsid w:val="001C7A81"/>
    <w:rsid w:val="001D0E4A"/>
    <w:rsid w:val="001D2422"/>
    <w:rsid w:val="001D4A30"/>
    <w:rsid w:val="001D5992"/>
    <w:rsid w:val="001D620B"/>
    <w:rsid w:val="001D748A"/>
    <w:rsid w:val="001E2FBC"/>
    <w:rsid w:val="001E35E5"/>
    <w:rsid w:val="001E3AE0"/>
    <w:rsid w:val="001E4ED8"/>
    <w:rsid w:val="001F5D0C"/>
    <w:rsid w:val="001F6241"/>
    <w:rsid w:val="00203576"/>
    <w:rsid w:val="00204B88"/>
    <w:rsid w:val="002111A4"/>
    <w:rsid w:val="002136F9"/>
    <w:rsid w:val="00213715"/>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36024"/>
    <w:rsid w:val="00240925"/>
    <w:rsid w:val="002460EA"/>
    <w:rsid w:val="00246DBB"/>
    <w:rsid w:val="002537F9"/>
    <w:rsid w:val="00253875"/>
    <w:rsid w:val="0025448C"/>
    <w:rsid w:val="00264707"/>
    <w:rsid w:val="00265918"/>
    <w:rsid w:val="002660DD"/>
    <w:rsid w:val="0026776E"/>
    <w:rsid w:val="00272FC8"/>
    <w:rsid w:val="00277351"/>
    <w:rsid w:val="00277BB5"/>
    <w:rsid w:val="002826F6"/>
    <w:rsid w:val="0028698F"/>
    <w:rsid w:val="00287A1A"/>
    <w:rsid w:val="0029648C"/>
    <w:rsid w:val="002966A3"/>
    <w:rsid w:val="00296F6F"/>
    <w:rsid w:val="00297D35"/>
    <w:rsid w:val="002A0370"/>
    <w:rsid w:val="002A055F"/>
    <w:rsid w:val="002A2803"/>
    <w:rsid w:val="002A4245"/>
    <w:rsid w:val="002A4B9A"/>
    <w:rsid w:val="002A59E2"/>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4E5"/>
    <w:rsid w:val="0030183E"/>
    <w:rsid w:val="003044CF"/>
    <w:rsid w:val="00305027"/>
    <w:rsid w:val="003111A2"/>
    <w:rsid w:val="0031451A"/>
    <w:rsid w:val="0031530B"/>
    <w:rsid w:val="00315430"/>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4D8A"/>
    <w:rsid w:val="003668C2"/>
    <w:rsid w:val="00367182"/>
    <w:rsid w:val="0037709D"/>
    <w:rsid w:val="00380543"/>
    <w:rsid w:val="00383AFE"/>
    <w:rsid w:val="003840AE"/>
    <w:rsid w:val="00384108"/>
    <w:rsid w:val="0038483D"/>
    <w:rsid w:val="00384E9A"/>
    <w:rsid w:val="003856B3"/>
    <w:rsid w:val="003858BE"/>
    <w:rsid w:val="003859B8"/>
    <w:rsid w:val="00386BA2"/>
    <w:rsid w:val="0039099F"/>
    <w:rsid w:val="00396BE5"/>
    <w:rsid w:val="00397134"/>
    <w:rsid w:val="003A063A"/>
    <w:rsid w:val="003A67CF"/>
    <w:rsid w:val="003B013B"/>
    <w:rsid w:val="003B5115"/>
    <w:rsid w:val="003B5AAE"/>
    <w:rsid w:val="003B696A"/>
    <w:rsid w:val="003C18C8"/>
    <w:rsid w:val="003C260B"/>
    <w:rsid w:val="003C28DD"/>
    <w:rsid w:val="003C2D04"/>
    <w:rsid w:val="003C4C34"/>
    <w:rsid w:val="003C7632"/>
    <w:rsid w:val="003C7809"/>
    <w:rsid w:val="003D0BF2"/>
    <w:rsid w:val="003D4436"/>
    <w:rsid w:val="003D5153"/>
    <w:rsid w:val="003D5F84"/>
    <w:rsid w:val="003E0D5A"/>
    <w:rsid w:val="003E3829"/>
    <w:rsid w:val="003E38BD"/>
    <w:rsid w:val="003E4A5A"/>
    <w:rsid w:val="003E68AB"/>
    <w:rsid w:val="003F04A7"/>
    <w:rsid w:val="003F098D"/>
    <w:rsid w:val="003F1C45"/>
    <w:rsid w:val="003F1F45"/>
    <w:rsid w:val="003F34F8"/>
    <w:rsid w:val="003F6AEE"/>
    <w:rsid w:val="003F7927"/>
    <w:rsid w:val="003F7A0C"/>
    <w:rsid w:val="003F7C2F"/>
    <w:rsid w:val="00402F66"/>
    <w:rsid w:val="00403314"/>
    <w:rsid w:val="00404848"/>
    <w:rsid w:val="00411545"/>
    <w:rsid w:val="00412072"/>
    <w:rsid w:val="00415B93"/>
    <w:rsid w:val="00420586"/>
    <w:rsid w:val="00420FC3"/>
    <w:rsid w:val="00421DFA"/>
    <w:rsid w:val="00423CEA"/>
    <w:rsid w:val="00426621"/>
    <w:rsid w:val="004274F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56FD1"/>
    <w:rsid w:val="00461AD0"/>
    <w:rsid w:val="004634AB"/>
    <w:rsid w:val="0046406D"/>
    <w:rsid w:val="00466348"/>
    <w:rsid w:val="004706E6"/>
    <w:rsid w:val="0047569F"/>
    <w:rsid w:val="00476803"/>
    <w:rsid w:val="004774EC"/>
    <w:rsid w:val="00480132"/>
    <w:rsid w:val="004802D9"/>
    <w:rsid w:val="00480430"/>
    <w:rsid w:val="00480BDB"/>
    <w:rsid w:val="00481254"/>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3D1"/>
    <w:rsid w:val="004F05BD"/>
    <w:rsid w:val="004F0F94"/>
    <w:rsid w:val="004F5845"/>
    <w:rsid w:val="004F7236"/>
    <w:rsid w:val="0050127B"/>
    <w:rsid w:val="005016AD"/>
    <w:rsid w:val="00501C58"/>
    <w:rsid w:val="00502E26"/>
    <w:rsid w:val="00504C8A"/>
    <w:rsid w:val="00504EDE"/>
    <w:rsid w:val="00511134"/>
    <w:rsid w:val="005118BF"/>
    <w:rsid w:val="00513072"/>
    <w:rsid w:val="005142E6"/>
    <w:rsid w:val="00514DF5"/>
    <w:rsid w:val="005216B1"/>
    <w:rsid w:val="005230E8"/>
    <w:rsid w:val="005248B7"/>
    <w:rsid w:val="00524AAD"/>
    <w:rsid w:val="00527DED"/>
    <w:rsid w:val="005340DE"/>
    <w:rsid w:val="0053576A"/>
    <w:rsid w:val="0053749E"/>
    <w:rsid w:val="0053783C"/>
    <w:rsid w:val="00540A63"/>
    <w:rsid w:val="00541EAD"/>
    <w:rsid w:val="00543B84"/>
    <w:rsid w:val="00551444"/>
    <w:rsid w:val="005516BA"/>
    <w:rsid w:val="005528CF"/>
    <w:rsid w:val="00554CE3"/>
    <w:rsid w:val="00562199"/>
    <w:rsid w:val="00565E3C"/>
    <w:rsid w:val="0056641F"/>
    <w:rsid w:val="005668C7"/>
    <w:rsid w:val="00571660"/>
    <w:rsid w:val="0057233D"/>
    <w:rsid w:val="00573321"/>
    <w:rsid w:val="005758E3"/>
    <w:rsid w:val="0057689B"/>
    <w:rsid w:val="00582E36"/>
    <w:rsid w:val="005914DA"/>
    <w:rsid w:val="00591F3F"/>
    <w:rsid w:val="00594228"/>
    <w:rsid w:val="005946A1"/>
    <w:rsid w:val="00594DBC"/>
    <w:rsid w:val="0059501D"/>
    <w:rsid w:val="005A0E5B"/>
    <w:rsid w:val="005A15EC"/>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1E95"/>
    <w:rsid w:val="005E25FB"/>
    <w:rsid w:val="005E2DF9"/>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35712"/>
    <w:rsid w:val="00640A2B"/>
    <w:rsid w:val="006410AE"/>
    <w:rsid w:val="00641DDB"/>
    <w:rsid w:val="00645AA4"/>
    <w:rsid w:val="0064614C"/>
    <w:rsid w:val="006501D9"/>
    <w:rsid w:val="0065343F"/>
    <w:rsid w:val="00662461"/>
    <w:rsid w:val="00663C2A"/>
    <w:rsid w:val="00664ABD"/>
    <w:rsid w:val="00670D30"/>
    <w:rsid w:val="00672863"/>
    <w:rsid w:val="0067333E"/>
    <w:rsid w:val="00674008"/>
    <w:rsid w:val="006747F2"/>
    <w:rsid w:val="00674A85"/>
    <w:rsid w:val="0067739E"/>
    <w:rsid w:val="00677827"/>
    <w:rsid w:val="00680AC1"/>
    <w:rsid w:val="00681547"/>
    <w:rsid w:val="00681630"/>
    <w:rsid w:val="00682C95"/>
    <w:rsid w:val="00685B7E"/>
    <w:rsid w:val="00685D10"/>
    <w:rsid w:val="00694FA7"/>
    <w:rsid w:val="006A29F5"/>
    <w:rsid w:val="006A2D0D"/>
    <w:rsid w:val="006A37AE"/>
    <w:rsid w:val="006A4D20"/>
    <w:rsid w:val="006A79F4"/>
    <w:rsid w:val="006B1A0A"/>
    <w:rsid w:val="006B391F"/>
    <w:rsid w:val="006B49C1"/>
    <w:rsid w:val="006B4DFE"/>
    <w:rsid w:val="006B60A9"/>
    <w:rsid w:val="006C41F0"/>
    <w:rsid w:val="006C497C"/>
    <w:rsid w:val="006C75C9"/>
    <w:rsid w:val="006C7F0A"/>
    <w:rsid w:val="006D1032"/>
    <w:rsid w:val="006D334A"/>
    <w:rsid w:val="006D48FF"/>
    <w:rsid w:val="006D4950"/>
    <w:rsid w:val="006D792B"/>
    <w:rsid w:val="006E2BEB"/>
    <w:rsid w:val="006E2F3D"/>
    <w:rsid w:val="006E3F3F"/>
    <w:rsid w:val="006E44D5"/>
    <w:rsid w:val="006E7C2D"/>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1425"/>
    <w:rsid w:val="007560DB"/>
    <w:rsid w:val="00756FB5"/>
    <w:rsid w:val="00756FFD"/>
    <w:rsid w:val="00761FD8"/>
    <w:rsid w:val="00766052"/>
    <w:rsid w:val="00767E72"/>
    <w:rsid w:val="00770B52"/>
    <w:rsid w:val="00771915"/>
    <w:rsid w:val="0077304F"/>
    <w:rsid w:val="00775C9B"/>
    <w:rsid w:val="00776703"/>
    <w:rsid w:val="007857ED"/>
    <w:rsid w:val="0079289A"/>
    <w:rsid w:val="00795C0E"/>
    <w:rsid w:val="007961C7"/>
    <w:rsid w:val="0079740B"/>
    <w:rsid w:val="00797B24"/>
    <w:rsid w:val="007A0CD6"/>
    <w:rsid w:val="007A0FAF"/>
    <w:rsid w:val="007A113F"/>
    <w:rsid w:val="007A1179"/>
    <w:rsid w:val="007A1D32"/>
    <w:rsid w:val="007A1D60"/>
    <w:rsid w:val="007A5B10"/>
    <w:rsid w:val="007A6154"/>
    <w:rsid w:val="007A683C"/>
    <w:rsid w:val="007A6D78"/>
    <w:rsid w:val="007B04A9"/>
    <w:rsid w:val="007B119C"/>
    <w:rsid w:val="007B187B"/>
    <w:rsid w:val="007B1FF2"/>
    <w:rsid w:val="007B212E"/>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7F77D6"/>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11BA"/>
    <w:rsid w:val="00833989"/>
    <w:rsid w:val="00833FEE"/>
    <w:rsid w:val="00834654"/>
    <w:rsid w:val="008346F1"/>
    <w:rsid w:val="008354B1"/>
    <w:rsid w:val="008365E2"/>
    <w:rsid w:val="008366E3"/>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167A"/>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A60A9"/>
    <w:rsid w:val="008B1019"/>
    <w:rsid w:val="008B3FC7"/>
    <w:rsid w:val="008B5DEA"/>
    <w:rsid w:val="008B6331"/>
    <w:rsid w:val="008B67BA"/>
    <w:rsid w:val="008B7405"/>
    <w:rsid w:val="008C301B"/>
    <w:rsid w:val="008C5B46"/>
    <w:rsid w:val="008C725C"/>
    <w:rsid w:val="008D00FA"/>
    <w:rsid w:val="008D2B77"/>
    <w:rsid w:val="008D63E7"/>
    <w:rsid w:val="008D662C"/>
    <w:rsid w:val="008D73C7"/>
    <w:rsid w:val="008E0572"/>
    <w:rsid w:val="008E1519"/>
    <w:rsid w:val="008E287D"/>
    <w:rsid w:val="008E45A7"/>
    <w:rsid w:val="008F40DF"/>
    <w:rsid w:val="00900693"/>
    <w:rsid w:val="009006A6"/>
    <w:rsid w:val="00903037"/>
    <w:rsid w:val="00904336"/>
    <w:rsid w:val="009046B3"/>
    <w:rsid w:val="00905508"/>
    <w:rsid w:val="00905B3A"/>
    <w:rsid w:val="00907866"/>
    <w:rsid w:val="00916B64"/>
    <w:rsid w:val="00920C99"/>
    <w:rsid w:val="00925EBF"/>
    <w:rsid w:val="00927097"/>
    <w:rsid w:val="009275AE"/>
    <w:rsid w:val="009279C7"/>
    <w:rsid w:val="00931886"/>
    <w:rsid w:val="009330D7"/>
    <w:rsid w:val="009332B4"/>
    <w:rsid w:val="0093372E"/>
    <w:rsid w:val="00933E5E"/>
    <w:rsid w:val="00936E0A"/>
    <w:rsid w:val="00940847"/>
    <w:rsid w:val="00940FA6"/>
    <w:rsid w:val="0094101C"/>
    <w:rsid w:val="009421B0"/>
    <w:rsid w:val="0094715F"/>
    <w:rsid w:val="009514A5"/>
    <w:rsid w:val="00953549"/>
    <w:rsid w:val="00954247"/>
    <w:rsid w:val="009564C7"/>
    <w:rsid w:val="00956F8D"/>
    <w:rsid w:val="009572C8"/>
    <w:rsid w:val="00960B66"/>
    <w:rsid w:val="00962870"/>
    <w:rsid w:val="00962ACC"/>
    <w:rsid w:val="00964B02"/>
    <w:rsid w:val="009661C5"/>
    <w:rsid w:val="00966BCF"/>
    <w:rsid w:val="00972900"/>
    <w:rsid w:val="00972BE1"/>
    <w:rsid w:val="00974712"/>
    <w:rsid w:val="00974ED2"/>
    <w:rsid w:val="009756CC"/>
    <w:rsid w:val="00984865"/>
    <w:rsid w:val="00993114"/>
    <w:rsid w:val="009933AA"/>
    <w:rsid w:val="00995F5E"/>
    <w:rsid w:val="009967E9"/>
    <w:rsid w:val="00997538"/>
    <w:rsid w:val="009A2809"/>
    <w:rsid w:val="009A2EF8"/>
    <w:rsid w:val="009A4256"/>
    <w:rsid w:val="009A7916"/>
    <w:rsid w:val="009B2BC0"/>
    <w:rsid w:val="009B447F"/>
    <w:rsid w:val="009B6B7C"/>
    <w:rsid w:val="009C1CE2"/>
    <w:rsid w:val="009C33B6"/>
    <w:rsid w:val="009C5D1A"/>
    <w:rsid w:val="009C64B8"/>
    <w:rsid w:val="009C672B"/>
    <w:rsid w:val="009C6EA7"/>
    <w:rsid w:val="009D1627"/>
    <w:rsid w:val="009D21C8"/>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5CFC"/>
    <w:rsid w:val="00A077AC"/>
    <w:rsid w:val="00A07D0B"/>
    <w:rsid w:val="00A123BA"/>
    <w:rsid w:val="00A14408"/>
    <w:rsid w:val="00A2117A"/>
    <w:rsid w:val="00A21CCE"/>
    <w:rsid w:val="00A2254A"/>
    <w:rsid w:val="00A23A4F"/>
    <w:rsid w:val="00A23CC4"/>
    <w:rsid w:val="00A2552A"/>
    <w:rsid w:val="00A260BF"/>
    <w:rsid w:val="00A268ED"/>
    <w:rsid w:val="00A27BFC"/>
    <w:rsid w:val="00A31826"/>
    <w:rsid w:val="00A31954"/>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9A9"/>
    <w:rsid w:val="00A56AFF"/>
    <w:rsid w:val="00A637BA"/>
    <w:rsid w:val="00A63F81"/>
    <w:rsid w:val="00A66FA8"/>
    <w:rsid w:val="00A70CA2"/>
    <w:rsid w:val="00A71A44"/>
    <w:rsid w:val="00A7363E"/>
    <w:rsid w:val="00A805C4"/>
    <w:rsid w:val="00A80606"/>
    <w:rsid w:val="00A81C0E"/>
    <w:rsid w:val="00A826A4"/>
    <w:rsid w:val="00A828D4"/>
    <w:rsid w:val="00A83919"/>
    <w:rsid w:val="00A84585"/>
    <w:rsid w:val="00A84832"/>
    <w:rsid w:val="00A8542F"/>
    <w:rsid w:val="00A92E22"/>
    <w:rsid w:val="00A95AFB"/>
    <w:rsid w:val="00AA1E77"/>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D6590"/>
    <w:rsid w:val="00AE0656"/>
    <w:rsid w:val="00AE0F5B"/>
    <w:rsid w:val="00AE17FA"/>
    <w:rsid w:val="00AE3AEB"/>
    <w:rsid w:val="00AE6236"/>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4368"/>
    <w:rsid w:val="00B2626C"/>
    <w:rsid w:val="00B307F7"/>
    <w:rsid w:val="00B32CAE"/>
    <w:rsid w:val="00B3421D"/>
    <w:rsid w:val="00B35641"/>
    <w:rsid w:val="00B36173"/>
    <w:rsid w:val="00B41020"/>
    <w:rsid w:val="00B42F9A"/>
    <w:rsid w:val="00B459DA"/>
    <w:rsid w:val="00B4774B"/>
    <w:rsid w:val="00B502F9"/>
    <w:rsid w:val="00B52622"/>
    <w:rsid w:val="00B529B8"/>
    <w:rsid w:val="00B53EAE"/>
    <w:rsid w:val="00B619C4"/>
    <w:rsid w:val="00B63108"/>
    <w:rsid w:val="00B64A4E"/>
    <w:rsid w:val="00B64BC6"/>
    <w:rsid w:val="00B657A0"/>
    <w:rsid w:val="00B66875"/>
    <w:rsid w:val="00B71C05"/>
    <w:rsid w:val="00B73167"/>
    <w:rsid w:val="00B756D1"/>
    <w:rsid w:val="00B7661F"/>
    <w:rsid w:val="00B77958"/>
    <w:rsid w:val="00B7798B"/>
    <w:rsid w:val="00B807A2"/>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2F65"/>
    <w:rsid w:val="00BD6DC6"/>
    <w:rsid w:val="00BE1BEC"/>
    <w:rsid w:val="00BE4973"/>
    <w:rsid w:val="00BE4A86"/>
    <w:rsid w:val="00BE4A91"/>
    <w:rsid w:val="00BE60A7"/>
    <w:rsid w:val="00BF28B3"/>
    <w:rsid w:val="00BF6FA8"/>
    <w:rsid w:val="00BF76B0"/>
    <w:rsid w:val="00C02712"/>
    <w:rsid w:val="00C051A8"/>
    <w:rsid w:val="00C07B2A"/>
    <w:rsid w:val="00C11F6E"/>
    <w:rsid w:val="00C13F63"/>
    <w:rsid w:val="00C15831"/>
    <w:rsid w:val="00C168B7"/>
    <w:rsid w:val="00C20B39"/>
    <w:rsid w:val="00C21595"/>
    <w:rsid w:val="00C22F13"/>
    <w:rsid w:val="00C22FCC"/>
    <w:rsid w:val="00C24264"/>
    <w:rsid w:val="00C2444F"/>
    <w:rsid w:val="00C30D22"/>
    <w:rsid w:val="00C31744"/>
    <w:rsid w:val="00C33666"/>
    <w:rsid w:val="00C35E36"/>
    <w:rsid w:val="00C364DD"/>
    <w:rsid w:val="00C37792"/>
    <w:rsid w:val="00C415BC"/>
    <w:rsid w:val="00C44E2D"/>
    <w:rsid w:val="00C465D3"/>
    <w:rsid w:val="00C46B60"/>
    <w:rsid w:val="00C474B2"/>
    <w:rsid w:val="00C563B6"/>
    <w:rsid w:val="00C57B8C"/>
    <w:rsid w:val="00C624A2"/>
    <w:rsid w:val="00C645BB"/>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583"/>
    <w:rsid w:val="00CB5C0F"/>
    <w:rsid w:val="00CB7FDA"/>
    <w:rsid w:val="00CC4995"/>
    <w:rsid w:val="00CC505F"/>
    <w:rsid w:val="00CC5715"/>
    <w:rsid w:val="00CD1726"/>
    <w:rsid w:val="00CD225D"/>
    <w:rsid w:val="00CD4175"/>
    <w:rsid w:val="00CD6C71"/>
    <w:rsid w:val="00CD78E5"/>
    <w:rsid w:val="00CE076F"/>
    <w:rsid w:val="00CE0E41"/>
    <w:rsid w:val="00CE2D7F"/>
    <w:rsid w:val="00CE32CD"/>
    <w:rsid w:val="00CE3D0B"/>
    <w:rsid w:val="00CE44DD"/>
    <w:rsid w:val="00CF2931"/>
    <w:rsid w:val="00CF3754"/>
    <w:rsid w:val="00CF3D31"/>
    <w:rsid w:val="00CF3FE8"/>
    <w:rsid w:val="00CF5C55"/>
    <w:rsid w:val="00D0363A"/>
    <w:rsid w:val="00D065C5"/>
    <w:rsid w:val="00D0782A"/>
    <w:rsid w:val="00D1077A"/>
    <w:rsid w:val="00D1446B"/>
    <w:rsid w:val="00D21F7E"/>
    <w:rsid w:val="00D230C6"/>
    <w:rsid w:val="00D2649C"/>
    <w:rsid w:val="00D273BE"/>
    <w:rsid w:val="00D3252E"/>
    <w:rsid w:val="00D32643"/>
    <w:rsid w:val="00D3367B"/>
    <w:rsid w:val="00D336D8"/>
    <w:rsid w:val="00D3696B"/>
    <w:rsid w:val="00D37D3B"/>
    <w:rsid w:val="00D47623"/>
    <w:rsid w:val="00D51558"/>
    <w:rsid w:val="00D60678"/>
    <w:rsid w:val="00D609BA"/>
    <w:rsid w:val="00D61413"/>
    <w:rsid w:val="00D62541"/>
    <w:rsid w:val="00D64F3A"/>
    <w:rsid w:val="00D66247"/>
    <w:rsid w:val="00D66886"/>
    <w:rsid w:val="00D66F49"/>
    <w:rsid w:val="00D7284C"/>
    <w:rsid w:val="00D74280"/>
    <w:rsid w:val="00D74B9C"/>
    <w:rsid w:val="00D765D5"/>
    <w:rsid w:val="00D77AEF"/>
    <w:rsid w:val="00D813D8"/>
    <w:rsid w:val="00D8175D"/>
    <w:rsid w:val="00D818CF"/>
    <w:rsid w:val="00D81A15"/>
    <w:rsid w:val="00D83624"/>
    <w:rsid w:val="00D83DD9"/>
    <w:rsid w:val="00D8654A"/>
    <w:rsid w:val="00D879C7"/>
    <w:rsid w:val="00D9071B"/>
    <w:rsid w:val="00D91A54"/>
    <w:rsid w:val="00D92014"/>
    <w:rsid w:val="00D9317E"/>
    <w:rsid w:val="00D96176"/>
    <w:rsid w:val="00D97A95"/>
    <w:rsid w:val="00DA0216"/>
    <w:rsid w:val="00DA24A3"/>
    <w:rsid w:val="00DB0400"/>
    <w:rsid w:val="00DB0B93"/>
    <w:rsid w:val="00DB0CCC"/>
    <w:rsid w:val="00DB0E7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7C64"/>
    <w:rsid w:val="00E02114"/>
    <w:rsid w:val="00E03783"/>
    <w:rsid w:val="00E06502"/>
    <w:rsid w:val="00E0716D"/>
    <w:rsid w:val="00E1016B"/>
    <w:rsid w:val="00E10E7C"/>
    <w:rsid w:val="00E15007"/>
    <w:rsid w:val="00E17769"/>
    <w:rsid w:val="00E20ABC"/>
    <w:rsid w:val="00E20C19"/>
    <w:rsid w:val="00E23505"/>
    <w:rsid w:val="00E24890"/>
    <w:rsid w:val="00E26737"/>
    <w:rsid w:val="00E30BDB"/>
    <w:rsid w:val="00E34C6A"/>
    <w:rsid w:val="00E36724"/>
    <w:rsid w:val="00E42612"/>
    <w:rsid w:val="00E42AF9"/>
    <w:rsid w:val="00E44E76"/>
    <w:rsid w:val="00E457A5"/>
    <w:rsid w:val="00E45EDE"/>
    <w:rsid w:val="00E46CE6"/>
    <w:rsid w:val="00E508A0"/>
    <w:rsid w:val="00E516C7"/>
    <w:rsid w:val="00E52782"/>
    <w:rsid w:val="00E52FD0"/>
    <w:rsid w:val="00E53668"/>
    <w:rsid w:val="00E562C9"/>
    <w:rsid w:val="00E57CE7"/>
    <w:rsid w:val="00E64D73"/>
    <w:rsid w:val="00E65B2B"/>
    <w:rsid w:val="00E67DC6"/>
    <w:rsid w:val="00E84AD3"/>
    <w:rsid w:val="00E8555A"/>
    <w:rsid w:val="00E907D3"/>
    <w:rsid w:val="00E9117E"/>
    <w:rsid w:val="00E91C2B"/>
    <w:rsid w:val="00E9267B"/>
    <w:rsid w:val="00E9477F"/>
    <w:rsid w:val="00E97632"/>
    <w:rsid w:val="00EA168E"/>
    <w:rsid w:val="00EA2585"/>
    <w:rsid w:val="00EA416E"/>
    <w:rsid w:val="00EA6533"/>
    <w:rsid w:val="00EA7196"/>
    <w:rsid w:val="00EB209E"/>
    <w:rsid w:val="00EB2EE0"/>
    <w:rsid w:val="00EB6899"/>
    <w:rsid w:val="00EC0FB9"/>
    <w:rsid w:val="00EC1329"/>
    <w:rsid w:val="00EC1698"/>
    <w:rsid w:val="00EC21B3"/>
    <w:rsid w:val="00EC26B2"/>
    <w:rsid w:val="00EC4BAC"/>
    <w:rsid w:val="00EC56C9"/>
    <w:rsid w:val="00EC58D0"/>
    <w:rsid w:val="00EC6200"/>
    <w:rsid w:val="00ED29DF"/>
    <w:rsid w:val="00EE220D"/>
    <w:rsid w:val="00EE440D"/>
    <w:rsid w:val="00EE4955"/>
    <w:rsid w:val="00EE5143"/>
    <w:rsid w:val="00EE75C1"/>
    <w:rsid w:val="00EF0C12"/>
    <w:rsid w:val="00EF4112"/>
    <w:rsid w:val="00EF6643"/>
    <w:rsid w:val="00EF7399"/>
    <w:rsid w:val="00F02127"/>
    <w:rsid w:val="00F03096"/>
    <w:rsid w:val="00F04171"/>
    <w:rsid w:val="00F04CFE"/>
    <w:rsid w:val="00F04E3D"/>
    <w:rsid w:val="00F10690"/>
    <w:rsid w:val="00F14AAD"/>
    <w:rsid w:val="00F15A03"/>
    <w:rsid w:val="00F1614E"/>
    <w:rsid w:val="00F1787C"/>
    <w:rsid w:val="00F23B12"/>
    <w:rsid w:val="00F3551B"/>
    <w:rsid w:val="00F41C83"/>
    <w:rsid w:val="00F43948"/>
    <w:rsid w:val="00F4432F"/>
    <w:rsid w:val="00F47A3D"/>
    <w:rsid w:val="00F47D02"/>
    <w:rsid w:val="00F47F50"/>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76043"/>
    <w:rsid w:val="00F807D7"/>
    <w:rsid w:val="00F8218B"/>
    <w:rsid w:val="00F8241E"/>
    <w:rsid w:val="00F83C2D"/>
    <w:rsid w:val="00F84451"/>
    <w:rsid w:val="00F848FF"/>
    <w:rsid w:val="00F8555B"/>
    <w:rsid w:val="00F8662C"/>
    <w:rsid w:val="00F90AD7"/>
    <w:rsid w:val="00F91675"/>
    <w:rsid w:val="00F92857"/>
    <w:rsid w:val="00F941F8"/>
    <w:rsid w:val="00F97718"/>
    <w:rsid w:val="00F97C4A"/>
    <w:rsid w:val="00FA1207"/>
    <w:rsid w:val="00FA6D96"/>
    <w:rsid w:val="00FA7E59"/>
    <w:rsid w:val="00FB438B"/>
    <w:rsid w:val="00FB5E2B"/>
    <w:rsid w:val="00FB671E"/>
    <w:rsid w:val="00FC070A"/>
    <w:rsid w:val="00FC15A2"/>
    <w:rsid w:val="00FC3792"/>
    <w:rsid w:val="00FC6389"/>
    <w:rsid w:val="00FD2B70"/>
    <w:rsid w:val="00FD3DD4"/>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0F0413"/>
    <w:rsid w:val="052E2B3B"/>
    <w:rsid w:val="054416D2"/>
    <w:rsid w:val="054B05E2"/>
    <w:rsid w:val="05507F0F"/>
    <w:rsid w:val="057E5F0D"/>
    <w:rsid w:val="05871A0A"/>
    <w:rsid w:val="05A42E7B"/>
    <w:rsid w:val="05A70EA9"/>
    <w:rsid w:val="05D55D36"/>
    <w:rsid w:val="05EF03F3"/>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817572"/>
    <w:rsid w:val="08C2359B"/>
    <w:rsid w:val="09041814"/>
    <w:rsid w:val="092D7BDC"/>
    <w:rsid w:val="09332D2B"/>
    <w:rsid w:val="093E2D64"/>
    <w:rsid w:val="09472203"/>
    <w:rsid w:val="09633686"/>
    <w:rsid w:val="098B1DA7"/>
    <w:rsid w:val="09907951"/>
    <w:rsid w:val="099F43E4"/>
    <w:rsid w:val="09A31A61"/>
    <w:rsid w:val="09BA7A85"/>
    <w:rsid w:val="09DE1094"/>
    <w:rsid w:val="09E2475B"/>
    <w:rsid w:val="0A3F34B7"/>
    <w:rsid w:val="0A4B11BE"/>
    <w:rsid w:val="0A7B4003"/>
    <w:rsid w:val="0A8E5B8D"/>
    <w:rsid w:val="0AA240FA"/>
    <w:rsid w:val="0AAC0CBB"/>
    <w:rsid w:val="0AD84BD3"/>
    <w:rsid w:val="0AE941D3"/>
    <w:rsid w:val="0B0E3A62"/>
    <w:rsid w:val="0B1061C6"/>
    <w:rsid w:val="0B2B08D5"/>
    <w:rsid w:val="0BA35012"/>
    <w:rsid w:val="0BB825ED"/>
    <w:rsid w:val="0BC0647C"/>
    <w:rsid w:val="0BD7624B"/>
    <w:rsid w:val="0BF26817"/>
    <w:rsid w:val="0C22464A"/>
    <w:rsid w:val="0C2B72AE"/>
    <w:rsid w:val="0C623EAC"/>
    <w:rsid w:val="0C946488"/>
    <w:rsid w:val="0CA339DF"/>
    <w:rsid w:val="0CAD24AF"/>
    <w:rsid w:val="0CB27F34"/>
    <w:rsid w:val="0D0D3F93"/>
    <w:rsid w:val="0D12389F"/>
    <w:rsid w:val="0D2820B7"/>
    <w:rsid w:val="0D662EE5"/>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A265EF"/>
    <w:rsid w:val="10EC4A0F"/>
    <w:rsid w:val="11156FC6"/>
    <w:rsid w:val="11485B0D"/>
    <w:rsid w:val="114C7209"/>
    <w:rsid w:val="1154158B"/>
    <w:rsid w:val="117076B2"/>
    <w:rsid w:val="119E6579"/>
    <w:rsid w:val="11D435DD"/>
    <w:rsid w:val="11DA3C43"/>
    <w:rsid w:val="11DB3F4B"/>
    <w:rsid w:val="11FD0857"/>
    <w:rsid w:val="1220326C"/>
    <w:rsid w:val="123A67B6"/>
    <w:rsid w:val="125670E6"/>
    <w:rsid w:val="125E1A9C"/>
    <w:rsid w:val="1276289F"/>
    <w:rsid w:val="1288522D"/>
    <w:rsid w:val="12973CBF"/>
    <w:rsid w:val="129D6A95"/>
    <w:rsid w:val="12AF4046"/>
    <w:rsid w:val="12BB2799"/>
    <w:rsid w:val="12CE506D"/>
    <w:rsid w:val="12EF7191"/>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652508"/>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7A1085"/>
    <w:rsid w:val="21977807"/>
    <w:rsid w:val="219A6D4B"/>
    <w:rsid w:val="21C2735E"/>
    <w:rsid w:val="21E57FA3"/>
    <w:rsid w:val="21FB5A74"/>
    <w:rsid w:val="226827C0"/>
    <w:rsid w:val="227C6EFF"/>
    <w:rsid w:val="22942795"/>
    <w:rsid w:val="22A10D06"/>
    <w:rsid w:val="22B665A5"/>
    <w:rsid w:val="22C925E0"/>
    <w:rsid w:val="22E46F4A"/>
    <w:rsid w:val="22F20159"/>
    <w:rsid w:val="23005537"/>
    <w:rsid w:val="233C2C53"/>
    <w:rsid w:val="23486890"/>
    <w:rsid w:val="236F1F61"/>
    <w:rsid w:val="2392227D"/>
    <w:rsid w:val="23AB4CDF"/>
    <w:rsid w:val="23C37A75"/>
    <w:rsid w:val="24220F3E"/>
    <w:rsid w:val="2423604B"/>
    <w:rsid w:val="243A3F7E"/>
    <w:rsid w:val="24436391"/>
    <w:rsid w:val="2450121E"/>
    <w:rsid w:val="2487622C"/>
    <w:rsid w:val="24973094"/>
    <w:rsid w:val="24AD6D9A"/>
    <w:rsid w:val="251418FC"/>
    <w:rsid w:val="252E0BC1"/>
    <w:rsid w:val="25A845B3"/>
    <w:rsid w:val="25C5358D"/>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4F363F"/>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9177E"/>
    <w:rsid w:val="30CB1C83"/>
    <w:rsid w:val="30ED2830"/>
    <w:rsid w:val="316B2857"/>
    <w:rsid w:val="31832D29"/>
    <w:rsid w:val="319D5339"/>
    <w:rsid w:val="319F2F47"/>
    <w:rsid w:val="31B514CB"/>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F3793E"/>
    <w:rsid w:val="35574E9C"/>
    <w:rsid w:val="35712E34"/>
    <w:rsid w:val="35ED793B"/>
    <w:rsid w:val="35F84740"/>
    <w:rsid w:val="36383125"/>
    <w:rsid w:val="366C082D"/>
    <w:rsid w:val="368C388A"/>
    <w:rsid w:val="36C90DD1"/>
    <w:rsid w:val="374634AB"/>
    <w:rsid w:val="37704489"/>
    <w:rsid w:val="37710026"/>
    <w:rsid w:val="379136F3"/>
    <w:rsid w:val="37925427"/>
    <w:rsid w:val="37A55DCC"/>
    <w:rsid w:val="37CA04FF"/>
    <w:rsid w:val="37D30771"/>
    <w:rsid w:val="37EC0BB8"/>
    <w:rsid w:val="381F4CF2"/>
    <w:rsid w:val="394C68A5"/>
    <w:rsid w:val="395E479A"/>
    <w:rsid w:val="39675804"/>
    <w:rsid w:val="39A36C2D"/>
    <w:rsid w:val="39AA29B9"/>
    <w:rsid w:val="39E71AEC"/>
    <w:rsid w:val="39F44455"/>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2131D7"/>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B473E0"/>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9554B"/>
    <w:rsid w:val="46B21457"/>
    <w:rsid w:val="46BE1A6C"/>
    <w:rsid w:val="46BE6647"/>
    <w:rsid w:val="46EE3897"/>
    <w:rsid w:val="471B3499"/>
    <w:rsid w:val="4730142A"/>
    <w:rsid w:val="478E4BD2"/>
    <w:rsid w:val="47DD756D"/>
    <w:rsid w:val="48037A8A"/>
    <w:rsid w:val="48377D23"/>
    <w:rsid w:val="486634EE"/>
    <w:rsid w:val="48807890"/>
    <w:rsid w:val="489D72F5"/>
    <w:rsid w:val="48A64B98"/>
    <w:rsid w:val="48BC156D"/>
    <w:rsid w:val="48F765BE"/>
    <w:rsid w:val="490445F2"/>
    <w:rsid w:val="49320F23"/>
    <w:rsid w:val="49DD73AE"/>
    <w:rsid w:val="49E12961"/>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61480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90495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0B63A1"/>
    <w:rsid w:val="58750691"/>
    <w:rsid w:val="58AB575D"/>
    <w:rsid w:val="58BC728D"/>
    <w:rsid w:val="58DD0763"/>
    <w:rsid w:val="58EB0E57"/>
    <w:rsid w:val="59445F91"/>
    <w:rsid w:val="596F21C7"/>
    <w:rsid w:val="59815208"/>
    <w:rsid w:val="59F001A4"/>
    <w:rsid w:val="5A1E2DE7"/>
    <w:rsid w:val="5A20427A"/>
    <w:rsid w:val="5A395FB6"/>
    <w:rsid w:val="5A436A2D"/>
    <w:rsid w:val="5B0A066E"/>
    <w:rsid w:val="5B123FA7"/>
    <w:rsid w:val="5B5E18A4"/>
    <w:rsid w:val="5B613C0E"/>
    <w:rsid w:val="5B955E96"/>
    <w:rsid w:val="5B9B3675"/>
    <w:rsid w:val="5BA26571"/>
    <w:rsid w:val="5BB57082"/>
    <w:rsid w:val="5BCA6564"/>
    <w:rsid w:val="5BD66D67"/>
    <w:rsid w:val="5C107D40"/>
    <w:rsid w:val="5C1E3775"/>
    <w:rsid w:val="5C381264"/>
    <w:rsid w:val="5C3849C9"/>
    <w:rsid w:val="5C672644"/>
    <w:rsid w:val="5C8132C7"/>
    <w:rsid w:val="5CA23A25"/>
    <w:rsid w:val="5CC26330"/>
    <w:rsid w:val="5CD67F41"/>
    <w:rsid w:val="5CDF760E"/>
    <w:rsid w:val="5D017C51"/>
    <w:rsid w:val="5D4165A3"/>
    <w:rsid w:val="5D463591"/>
    <w:rsid w:val="5D4F2A78"/>
    <w:rsid w:val="5D792AE4"/>
    <w:rsid w:val="5D7B5F87"/>
    <w:rsid w:val="5DC25C67"/>
    <w:rsid w:val="5DD97571"/>
    <w:rsid w:val="5E2F58D3"/>
    <w:rsid w:val="5E5A06FD"/>
    <w:rsid w:val="5E9342EC"/>
    <w:rsid w:val="5EA27CF7"/>
    <w:rsid w:val="5EBC3C1E"/>
    <w:rsid w:val="5ED57321"/>
    <w:rsid w:val="5F3815EE"/>
    <w:rsid w:val="5F5C32D6"/>
    <w:rsid w:val="5FB10E83"/>
    <w:rsid w:val="600E788A"/>
    <w:rsid w:val="60296056"/>
    <w:rsid w:val="604130CF"/>
    <w:rsid w:val="60663C94"/>
    <w:rsid w:val="60794FD4"/>
    <w:rsid w:val="60814FEF"/>
    <w:rsid w:val="60AE4E89"/>
    <w:rsid w:val="60C36E6E"/>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7E0B59"/>
    <w:rsid w:val="65F66C79"/>
    <w:rsid w:val="660447CA"/>
    <w:rsid w:val="665622BC"/>
    <w:rsid w:val="66653739"/>
    <w:rsid w:val="666C4EE6"/>
    <w:rsid w:val="66792487"/>
    <w:rsid w:val="66FB0FDC"/>
    <w:rsid w:val="66FC5AFF"/>
    <w:rsid w:val="6709462E"/>
    <w:rsid w:val="6777196F"/>
    <w:rsid w:val="678A1ED0"/>
    <w:rsid w:val="67AB61F8"/>
    <w:rsid w:val="67BA7741"/>
    <w:rsid w:val="67C4025E"/>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313FE8"/>
    <w:rsid w:val="6F381CAC"/>
    <w:rsid w:val="6F6128C1"/>
    <w:rsid w:val="6F9C6902"/>
    <w:rsid w:val="6FA0729C"/>
    <w:rsid w:val="70100CA2"/>
    <w:rsid w:val="70393572"/>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5E36CE"/>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8A6ACC"/>
    <w:rsid w:val="77A54D53"/>
    <w:rsid w:val="77D75F2B"/>
    <w:rsid w:val="77FC6767"/>
    <w:rsid w:val="781A0BEC"/>
    <w:rsid w:val="78202415"/>
    <w:rsid w:val="78213FC9"/>
    <w:rsid w:val="78701D9C"/>
    <w:rsid w:val="78FA0671"/>
    <w:rsid w:val="793A634F"/>
    <w:rsid w:val="798635EB"/>
    <w:rsid w:val="798862DA"/>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3B4809"/>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81"/>
    <w:autoRedefine/>
    <w:qFormat/>
    <w:uiPriority w:val="0"/>
    <w:pPr>
      <w:keepNext/>
      <w:keepLines/>
      <w:spacing w:before="340" w:after="330" w:line="576" w:lineRule="auto"/>
      <w:outlineLvl w:val="0"/>
    </w:pPr>
    <w:rPr>
      <w:b/>
      <w:bCs/>
      <w:kern w:val="44"/>
      <w:sz w:val="44"/>
      <w:szCs w:val="44"/>
    </w:rPr>
  </w:style>
  <w:style w:type="paragraph" w:styleId="4">
    <w:name w:val="heading 2"/>
    <w:basedOn w:val="1"/>
    <w:next w:val="1"/>
    <w:link w:val="76"/>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5">
    <w:name w:val="heading 3"/>
    <w:basedOn w:val="1"/>
    <w:next w:val="1"/>
    <w:link w:val="55"/>
    <w:autoRedefine/>
    <w:qFormat/>
    <w:uiPriority w:val="0"/>
    <w:pPr>
      <w:keepNext/>
      <w:keepLines/>
      <w:spacing w:before="260" w:after="260" w:line="415" w:lineRule="auto"/>
      <w:outlineLvl w:val="2"/>
    </w:pPr>
    <w:rPr>
      <w:b/>
      <w:bCs/>
      <w:kern w:val="0"/>
      <w:sz w:val="32"/>
      <w:szCs w:val="32"/>
    </w:rPr>
  </w:style>
  <w:style w:type="paragraph" w:styleId="6">
    <w:name w:val="heading 4"/>
    <w:basedOn w:val="1"/>
    <w:next w:val="1"/>
    <w:link w:val="90"/>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7">
    <w:name w:val="heading 6"/>
    <w:basedOn w:val="1"/>
    <w:next w:val="1"/>
    <w:link w:val="57"/>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8">
    <w:name w:val="heading 7"/>
    <w:basedOn w:val="1"/>
    <w:next w:val="1"/>
    <w:link w:val="97"/>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9">
    <w:name w:val="heading 8"/>
    <w:basedOn w:val="1"/>
    <w:next w:val="1"/>
    <w:link w:val="79"/>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10">
    <w:name w:val="heading 9"/>
    <w:basedOn w:val="1"/>
    <w:next w:val="1"/>
    <w:link w:val="71"/>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autoRedefine/>
    <w:semiHidden/>
    <w:unhideWhenUsed/>
    <w:qFormat/>
    <w:uiPriority w:val="1"/>
  </w:style>
  <w:style w:type="table" w:default="1" w:styleId="42">
    <w:name w:val="Normal Table"/>
    <w:autoRedefine/>
    <w:semiHidden/>
    <w:unhideWhenUsed/>
    <w:qFormat/>
    <w:uiPriority w:val="99"/>
    <w:tblPr>
      <w:tblCellMar>
        <w:top w:w="0" w:type="dxa"/>
        <w:left w:w="108" w:type="dxa"/>
        <w:bottom w:w="0" w:type="dxa"/>
        <w:right w:w="108" w:type="dxa"/>
      </w:tblCellMar>
    </w:tblPr>
  </w:style>
  <w:style w:type="paragraph" w:styleId="2">
    <w:name w:val="toc 1"/>
    <w:basedOn w:val="1"/>
    <w:next w:val="1"/>
    <w:autoRedefine/>
    <w:qFormat/>
    <w:uiPriority w:val="39"/>
    <w:pPr>
      <w:spacing w:before="120" w:after="120"/>
      <w:jc w:val="left"/>
    </w:pPr>
    <w:rPr>
      <w:rFonts w:ascii="Calibri" w:hAnsi="Calibri"/>
      <w:b/>
      <w:bCs/>
      <w:caps/>
      <w:sz w:val="20"/>
      <w:szCs w:val="20"/>
    </w:rPr>
  </w:style>
  <w:style w:type="paragraph" w:styleId="11">
    <w:name w:val="toc 7"/>
    <w:basedOn w:val="1"/>
    <w:next w:val="1"/>
    <w:autoRedefine/>
    <w:qFormat/>
    <w:uiPriority w:val="39"/>
    <w:pPr>
      <w:ind w:left="1260"/>
      <w:jc w:val="left"/>
    </w:pPr>
    <w:rPr>
      <w:rFonts w:ascii="Calibri" w:hAnsi="Calibri"/>
      <w:sz w:val="18"/>
      <w:szCs w:val="18"/>
    </w:rPr>
  </w:style>
  <w:style w:type="paragraph" w:styleId="12">
    <w:name w:val="table of authorities"/>
    <w:basedOn w:val="1"/>
    <w:next w:val="1"/>
    <w:autoRedefine/>
    <w:qFormat/>
    <w:uiPriority w:val="99"/>
    <w:pPr>
      <w:ind w:left="420" w:leftChars="200"/>
    </w:pPr>
  </w:style>
  <w:style w:type="paragraph" w:styleId="13">
    <w:name w:val="Normal Indent"/>
    <w:basedOn w:val="1"/>
    <w:link w:val="67"/>
    <w:autoRedefine/>
    <w:qFormat/>
    <w:uiPriority w:val="0"/>
    <w:pPr>
      <w:ind w:firstLine="420" w:firstLineChars="200"/>
    </w:pPr>
  </w:style>
  <w:style w:type="paragraph" w:styleId="14">
    <w:name w:val="Document Map"/>
    <w:basedOn w:val="1"/>
    <w:link w:val="74"/>
    <w:autoRedefine/>
    <w:qFormat/>
    <w:uiPriority w:val="0"/>
    <w:pPr>
      <w:shd w:val="clear" w:color="auto" w:fill="000080"/>
    </w:pPr>
    <w:rPr>
      <w:kern w:val="0"/>
      <w:sz w:val="20"/>
    </w:rPr>
  </w:style>
  <w:style w:type="paragraph" w:styleId="15">
    <w:name w:val="annotation text"/>
    <w:basedOn w:val="1"/>
    <w:link w:val="56"/>
    <w:autoRedefine/>
    <w:unhideWhenUsed/>
    <w:qFormat/>
    <w:uiPriority w:val="99"/>
    <w:pPr>
      <w:jc w:val="left"/>
    </w:pPr>
    <w:rPr>
      <w:kern w:val="0"/>
      <w:sz w:val="20"/>
    </w:rPr>
  </w:style>
  <w:style w:type="paragraph" w:styleId="16">
    <w:name w:val="Body Text 3"/>
    <w:basedOn w:val="1"/>
    <w:link w:val="60"/>
    <w:autoRedefine/>
    <w:qFormat/>
    <w:uiPriority w:val="0"/>
    <w:rPr>
      <w:rFonts w:ascii="宋体"/>
      <w:kern w:val="0"/>
      <w:sz w:val="24"/>
      <w:szCs w:val="20"/>
    </w:rPr>
  </w:style>
  <w:style w:type="paragraph" w:styleId="17">
    <w:name w:val="Body Text"/>
    <w:basedOn w:val="1"/>
    <w:next w:val="1"/>
    <w:link w:val="63"/>
    <w:autoRedefine/>
    <w:qFormat/>
    <w:uiPriority w:val="0"/>
    <w:pPr>
      <w:spacing w:after="120"/>
    </w:pPr>
    <w:rPr>
      <w:kern w:val="0"/>
      <w:sz w:val="20"/>
    </w:rPr>
  </w:style>
  <w:style w:type="paragraph" w:styleId="18">
    <w:name w:val="Body Text Indent"/>
    <w:basedOn w:val="1"/>
    <w:link w:val="73"/>
    <w:autoRedefine/>
    <w:qFormat/>
    <w:uiPriority w:val="0"/>
    <w:pPr>
      <w:spacing w:after="120"/>
      <w:ind w:left="420" w:leftChars="200"/>
    </w:pPr>
    <w:rPr>
      <w:kern w:val="0"/>
      <w:sz w:val="20"/>
    </w:rPr>
  </w:style>
  <w:style w:type="paragraph" w:styleId="19">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20">
    <w:name w:val="toc 5"/>
    <w:basedOn w:val="1"/>
    <w:next w:val="1"/>
    <w:autoRedefine/>
    <w:qFormat/>
    <w:uiPriority w:val="39"/>
    <w:pPr>
      <w:ind w:left="840"/>
      <w:jc w:val="left"/>
    </w:pPr>
    <w:rPr>
      <w:rFonts w:ascii="Calibri" w:hAnsi="Calibri"/>
      <w:sz w:val="18"/>
      <w:szCs w:val="18"/>
    </w:rPr>
  </w:style>
  <w:style w:type="paragraph" w:styleId="21">
    <w:name w:val="toc 3"/>
    <w:basedOn w:val="1"/>
    <w:next w:val="1"/>
    <w:autoRedefine/>
    <w:qFormat/>
    <w:uiPriority w:val="39"/>
    <w:pPr>
      <w:ind w:left="420"/>
      <w:jc w:val="left"/>
    </w:pPr>
    <w:rPr>
      <w:rFonts w:ascii="Calibri" w:hAnsi="Calibri"/>
      <w:i/>
      <w:iCs/>
      <w:sz w:val="20"/>
      <w:szCs w:val="20"/>
    </w:rPr>
  </w:style>
  <w:style w:type="paragraph" w:styleId="22">
    <w:name w:val="Plain Text"/>
    <w:basedOn w:val="1"/>
    <w:link w:val="96"/>
    <w:autoRedefine/>
    <w:qFormat/>
    <w:uiPriority w:val="99"/>
    <w:rPr>
      <w:rFonts w:ascii="Courier New" w:hAnsi="Courier New"/>
      <w:kern w:val="0"/>
      <w:sz w:val="20"/>
      <w:szCs w:val="20"/>
    </w:rPr>
  </w:style>
  <w:style w:type="paragraph" w:styleId="23">
    <w:name w:val="toc 8"/>
    <w:basedOn w:val="1"/>
    <w:next w:val="1"/>
    <w:autoRedefine/>
    <w:qFormat/>
    <w:uiPriority w:val="39"/>
    <w:pPr>
      <w:ind w:left="1470"/>
      <w:jc w:val="left"/>
    </w:pPr>
    <w:rPr>
      <w:rFonts w:ascii="Calibri" w:hAnsi="Calibri"/>
      <w:sz w:val="18"/>
      <w:szCs w:val="18"/>
    </w:rPr>
  </w:style>
  <w:style w:type="paragraph" w:styleId="24">
    <w:name w:val="Date"/>
    <w:basedOn w:val="1"/>
    <w:next w:val="1"/>
    <w:link w:val="80"/>
    <w:autoRedefine/>
    <w:qFormat/>
    <w:uiPriority w:val="0"/>
    <w:rPr>
      <w:kern w:val="0"/>
      <w:sz w:val="24"/>
      <w:szCs w:val="20"/>
    </w:rPr>
  </w:style>
  <w:style w:type="paragraph" w:styleId="25">
    <w:name w:val="Body Text Indent 2"/>
    <w:basedOn w:val="1"/>
    <w:link w:val="169"/>
    <w:autoRedefine/>
    <w:qFormat/>
    <w:uiPriority w:val="0"/>
    <w:pPr>
      <w:spacing w:after="120" w:line="480" w:lineRule="auto"/>
      <w:ind w:left="420" w:leftChars="200"/>
    </w:pPr>
  </w:style>
  <w:style w:type="paragraph" w:styleId="26">
    <w:name w:val="Balloon Text"/>
    <w:basedOn w:val="1"/>
    <w:link w:val="78"/>
    <w:autoRedefine/>
    <w:qFormat/>
    <w:uiPriority w:val="0"/>
    <w:rPr>
      <w:kern w:val="0"/>
      <w:sz w:val="18"/>
      <w:szCs w:val="18"/>
    </w:rPr>
  </w:style>
  <w:style w:type="paragraph" w:styleId="27">
    <w:name w:val="footer"/>
    <w:basedOn w:val="1"/>
    <w:link w:val="92"/>
    <w:autoRedefine/>
    <w:qFormat/>
    <w:uiPriority w:val="99"/>
    <w:pPr>
      <w:tabs>
        <w:tab w:val="center" w:pos="4153"/>
        <w:tab w:val="right" w:pos="8306"/>
      </w:tabs>
      <w:snapToGrid w:val="0"/>
      <w:jc w:val="left"/>
    </w:pPr>
    <w:rPr>
      <w:kern w:val="0"/>
      <w:sz w:val="18"/>
      <w:szCs w:val="18"/>
    </w:rPr>
  </w:style>
  <w:style w:type="paragraph" w:styleId="28">
    <w:name w:val="header"/>
    <w:basedOn w:val="1"/>
    <w:link w:val="70"/>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9">
    <w:name w:val="toc 4"/>
    <w:basedOn w:val="1"/>
    <w:next w:val="1"/>
    <w:autoRedefine/>
    <w:qFormat/>
    <w:uiPriority w:val="39"/>
    <w:pPr>
      <w:ind w:left="630"/>
      <w:jc w:val="left"/>
    </w:pPr>
    <w:rPr>
      <w:rFonts w:ascii="Calibri" w:hAnsi="Calibri"/>
      <w:sz w:val="18"/>
      <w:szCs w:val="18"/>
    </w:rPr>
  </w:style>
  <w:style w:type="paragraph" w:styleId="30">
    <w:name w:val="footnote text"/>
    <w:basedOn w:val="1"/>
    <w:link w:val="64"/>
    <w:autoRedefine/>
    <w:qFormat/>
    <w:uiPriority w:val="0"/>
    <w:rPr>
      <w:kern w:val="0"/>
      <w:sz w:val="20"/>
      <w:szCs w:val="20"/>
    </w:rPr>
  </w:style>
  <w:style w:type="paragraph" w:styleId="31">
    <w:name w:val="toc 6"/>
    <w:basedOn w:val="1"/>
    <w:next w:val="1"/>
    <w:autoRedefine/>
    <w:qFormat/>
    <w:uiPriority w:val="39"/>
    <w:pPr>
      <w:ind w:left="1050"/>
      <w:jc w:val="left"/>
    </w:pPr>
    <w:rPr>
      <w:rFonts w:ascii="Calibri" w:hAnsi="Calibri"/>
      <w:sz w:val="18"/>
      <w:szCs w:val="18"/>
    </w:rPr>
  </w:style>
  <w:style w:type="paragraph" w:styleId="32">
    <w:name w:val="Body Text Indent 3"/>
    <w:basedOn w:val="1"/>
    <w:link w:val="84"/>
    <w:autoRedefine/>
    <w:qFormat/>
    <w:uiPriority w:val="0"/>
    <w:pPr>
      <w:spacing w:after="120"/>
      <w:ind w:left="420" w:leftChars="200"/>
    </w:pPr>
    <w:rPr>
      <w:kern w:val="0"/>
      <w:sz w:val="16"/>
      <w:szCs w:val="16"/>
    </w:rPr>
  </w:style>
  <w:style w:type="paragraph" w:styleId="33">
    <w:name w:val="table of figures"/>
    <w:basedOn w:val="1"/>
    <w:next w:val="1"/>
    <w:autoRedefine/>
    <w:qFormat/>
    <w:uiPriority w:val="0"/>
    <w:pPr>
      <w:ind w:left="200" w:leftChars="200" w:hanging="200" w:hangingChars="200"/>
    </w:pPr>
  </w:style>
  <w:style w:type="paragraph" w:styleId="34">
    <w:name w:val="toc 2"/>
    <w:basedOn w:val="1"/>
    <w:next w:val="1"/>
    <w:autoRedefine/>
    <w:qFormat/>
    <w:uiPriority w:val="39"/>
    <w:pPr>
      <w:ind w:left="210"/>
      <w:jc w:val="left"/>
    </w:pPr>
    <w:rPr>
      <w:rFonts w:ascii="Calibri" w:hAnsi="Calibri"/>
      <w:smallCaps/>
      <w:sz w:val="20"/>
      <w:szCs w:val="20"/>
    </w:rPr>
  </w:style>
  <w:style w:type="paragraph" w:styleId="35">
    <w:name w:val="toc 9"/>
    <w:basedOn w:val="1"/>
    <w:next w:val="1"/>
    <w:autoRedefine/>
    <w:qFormat/>
    <w:uiPriority w:val="39"/>
    <w:pPr>
      <w:ind w:left="1680"/>
      <w:jc w:val="left"/>
    </w:pPr>
    <w:rPr>
      <w:rFonts w:ascii="Calibri" w:hAnsi="Calibri"/>
      <w:sz w:val="18"/>
      <w:szCs w:val="18"/>
    </w:rPr>
  </w:style>
  <w:style w:type="paragraph" w:styleId="36">
    <w:name w:val="HTML Preformatted"/>
    <w:basedOn w:val="1"/>
    <w:link w:val="94"/>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autoRedefine/>
    <w:semiHidden/>
    <w:qFormat/>
    <w:uiPriority w:val="0"/>
    <w:pPr>
      <w:spacing w:line="360" w:lineRule="auto"/>
      <w:jc w:val="center"/>
    </w:pPr>
    <w:rPr>
      <w:rFonts w:ascii="宋体" w:hAnsi="Arial" w:cs="Arial"/>
      <w:b/>
      <w:color w:val="000000"/>
      <w:sz w:val="24"/>
    </w:rPr>
  </w:style>
  <w:style w:type="paragraph" w:styleId="39">
    <w:name w:val="Title"/>
    <w:basedOn w:val="1"/>
    <w:link w:val="77"/>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5"/>
    <w:next w:val="15"/>
    <w:link w:val="66"/>
    <w:autoRedefine/>
    <w:qFormat/>
    <w:uiPriority w:val="0"/>
    <w:rPr>
      <w:b/>
      <w:bCs/>
    </w:rPr>
  </w:style>
  <w:style w:type="paragraph" w:styleId="41">
    <w:name w:val="Body Text First Indent"/>
    <w:basedOn w:val="17"/>
    <w:link w:val="170"/>
    <w:autoRedefine/>
    <w:qFormat/>
    <w:uiPriority w:val="0"/>
    <w:pPr>
      <w:adjustRightInd w:val="0"/>
      <w:spacing w:line="275" w:lineRule="atLeast"/>
      <w:ind w:firstLine="420"/>
      <w:textAlignment w:val="baseline"/>
    </w:pPr>
    <w:rPr>
      <w:rFonts w:ascii="宋体" w:eastAsia="楷体_GB2312"/>
      <w:sz w:val="24"/>
      <w:szCs w:val="20"/>
    </w:rPr>
  </w:style>
  <w:style w:type="table" w:styleId="43">
    <w:name w:val="Table Grid"/>
    <w:basedOn w:val="42"/>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autoRedefine/>
    <w:qFormat/>
    <w:uiPriority w:val="0"/>
    <w:rPr>
      <w:b/>
      <w:bCs/>
    </w:rPr>
  </w:style>
  <w:style w:type="character" w:styleId="46">
    <w:name w:val="page number"/>
    <w:autoRedefine/>
    <w:qFormat/>
    <w:uiPriority w:val="0"/>
  </w:style>
  <w:style w:type="character" w:styleId="47">
    <w:name w:val="FollowedHyperlink"/>
    <w:basedOn w:val="44"/>
    <w:autoRedefine/>
    <w:qFormat/>
    <w:uiPriority w:val="0"/>
    <w:rPr>
      <w:rFonts w:hint="default" w:ascii="Arial" w:hAnsi="Arial" w:eastAsia="Arial" w:cs="Arial"/>
      <w:color w:val="333333"/>
      <w:sz w:val="21"/>
      <w:szCs w:val="21"/>
      <w:u w:val="none"/>
    </w:rPr>
  </w:style>
  <w:style w:type="character" w:styleId="48">
    <w:name w:val="Hyperlink"/>
    <w:basedOn w:val="44"/>
    <w:autoRedefine/>
    <w:qFormat/>
    <w:uiPriority w:val="99"/>
    <w:rPr>
      <w:rFonts w:ascii="Arial" w:hAnsi="Arial" w:eastAsia="Arial" w:cs="Arial"/>
      <w:color w:val="333333"/>
      <w:sz w:val="21"/>
      <w:szCs w:val="21"/>
      <w:u w:val="none"/>
    </w:rPr>
  </w:style>
  <w:style w:type="character" w:styleId="49">
    <w:name w:val="annotation reference"/>
    <w:basedOn w:val="44"/>
    <w:autoRedefine/>
    <w:qFormat/>
    <w:uiPriority w:val="0"/>
    <w:rPr>
      <w:sz w:val="21"/>
      <w:szCs w:val="21"/>
    </w:rPr>
  </w:style>
  <w:style w:type="character" w:styleId="50">
    <w:name w:val="footnote reference"/>
    <w:autoRedefine/>
    <w:qFormat/>
    <w:uiPriority w:val="0"/>
    <w:rPr>
      <w:vertAlign w:val="superscript"/>
    </w:rPr>
  </w:style>
  <w:style w:type="character" w:customStyle="1" w:styleId="51">
    <w:name w:val="apple-style-span"/>
    <w:autoRedefine/>
    <w:qFormat/>
    <w:uiPriority w:val="0"/>
    <w:rPr>
      <w:rFonts w:ascii="Verdana" w:hAnsi="Verdana" w:eastAsia="宋体"/>
      <w:sz w:val="21"/>
      <w:lang w:val="en-US" w:eastAsia="en-US" w:bidi="ar-SA"/>
    </w:rPr>
  </w:style>
  <w:style w:type="character" w:customStyle="1" w:styleId="52">
    <w:name w:val="正文文本 3 Char1"/>
    <w:autoRedefine/>
    <w:semiHidden/>
    <w:qFormat/>
    <w:uiPriority w:val="99"/>
    <w:rPr>
      <w:rFonts w:ascii="Times New Roman" w:hAnsi="Times New Roman" w:eastAsia="宋体" w:cs="Times New Roman"/>
      <w:sz w:val="16"/>
      <w:szCs w:val="16"/>
    </w:rPr>
  </w:style>
  <w:style w:type="character" w:customStyle="1" w:styleId="53">
    <w:name w:val="样式 宋体"/>
    <w:autoRedefine/>
    <w:qFormat/>
    <w:uiPriority w:val="0"/>
    <w:rPr>
      <w:rFonts w:ascii="Times New Roman" w:hAnsi="Times New Roman" w:eastAsia="宋体"/>
      <w:sz w:val="21"/>
    </w:rPr>
  </w:style>
  <w:style w:type="character" w:customStyle="1" w:styleId="54">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5">
    <w:name w:val="标题 3 字符"/>
    <w:link w:val="5"/>
    <w:autoRedefine/>
    <w:qFormat/>
    <w:uiPriority w:val="0"/>
    <w:rPr>
      <w:rFonts w:ascii="Times New Roman" w:hAnsi="Times New Roman" w:eastAsia="宋体" w:cs="Times New Roman"/>
      <w:b/>
      <w:bCs/>
      <w:sz w:val="32"/>
      <w:szCs w:val="32"/>
    </w:rPr>
  </w:style>
  <w:style w:type="character" w:customStyle="1" w:styleId="56">
    <w:name w:val="批注文字 字符"/>
    <w:link w:val="15"/>
    <w:autoRedefine/>
    <w:qFormat/>
    <w:uiPriority w:val="99"/>
    <w:rPr>
      <w:rFonts w:ascii="Times New Roman" w:hAnsi="Times New Roman" w:eastAsia="宋体" w:cs="Times New Roman"/>
      <w:szCs w:val="24"/>
    </w:rPr>
  </w:style>
  <w:style w:type="character" w:customStyle="1" w:styleId="57">
    <w:name w:val="标题 6 字符"/>
    <w:link w:val="7"/>
    <w:autoRedefine/>
    <w:qFormat/>
    <w:uiPriority w:val="0"/>
    <w:rPr>
      <w:rFonts w:ascii="Arial" w:hAnsi="Arial" w:eastAsia="黑体" w:cs="Times New Roman"/>
      <w:b/>
      <w:bCs/>
      <w:kern w:val="0"/>
      <w:sz w:val="24"/>
      <w:szCs w:val="24"/>
    </w:rPr>
  </w:style>
  <w:style w:type="character" w:customStyle="1" w:styleId="58">
    <w:name w:val="Char Char8"/>
    <w:autoRedefine/>
    <w:qFormat/>
    <w:uiPriority w:val="0"/>
    <w:rPr>
      <w:rFonts w:ascii="Arial" w:hAnsi="Arial" w:eastAsia="黑体"/>
      <w:b/>
      <w:bCs/>
      <w:kern w:val="2"/>
      <w:sz w:val="32"/>
      <w:szCs w:val="32"/>
      <w:lang w:val="en-US" w:eastAsia="zh-CN" w:bidi="ar-SA"/>
    </w:rPr>
  </w:style>
  <w:style w:type="character" w:customStyle="1" w:styleId="59">
    <w:name w:val="脚注文本 Char1"/>
    <w:autoRedefine/>
    <w:semiHidden/>
    <w:qFormat/>
    <w:uiPriority w:val="99"/>
    <w:rPr>
      <w:rFonts w:ascii="Times New Roman" w:hAnsi="Times New Roman" w:eastAsia="宋体" w:cs="Times New Roman"/>
      <w:sz w:val="18"/>
      <w:szCs w:val="18"/>
    </w:rPr>
  </w:style>
  <w:style w:type="character" w:customStyle="1" w:styleId="60">
    <w:name w:val="正文文本 3 字符"/>
    <w:link w:val="16"/>
    <w:autoRedefine/>
    <w:qFormat/>
    <w:uiPriority w:val="0"/>
    <w:rPr>
      <w:rFonts w:ascii="宋体"/>
      <w:sz w:val="24"/>
    </w:rPr>
  </w:style>
  <w:style w:type="character" w:customStyle="1" w:styleId="61">
    <w:name w:val="页脚 Char1"/>
    <w:autoRedefine/>
    <w:semiHidden/>
    <w:qFormat/>
    <w:uiPriority w:val="99"/>
    <w:rPr>
      <w:rFonts w:ascii="Times New Roman" w:hAnsi="Times New Roman" w:eastAsia="宋体" w:cs="Times New Roman"/>
      <w:sz w:val="18"/>
      <w:szCs w:val="18"/>
    </w:rPr>
  </w:style>
  <w:style w:type="character" w:customStyle="1" w:styleId="62">
    <w:name w:val="标题 Char1"/>
    <w:autoRedefine/>
    <w:qFormat/>
    <w:uiPriority w:val="10"/>
    <w:rPr>
      <w:rFonts w:ascii="Calibri Light" w:hAnsi="Calibri Light" w:eastAsia="宋体" w:cs="Times New Roman"/>
      <w:b/>
      <w:bCs/>
      <w:sz w:val="32"/>
      <w:szCs w:val="32"/>
    </w:rPr>
  </w:style>
  <w:style w:type="character" w:customStyle="1" w:styleId="63">
    <w:name w:val="正文文本 字符"/>
    <w:link w:val="17"/>
    <w:autoRedefine/>
    <w:qFormat/>
    <w:uiPriority w:val="0"/>
    <w:rPr>
      <w:rFonts w:eastAsia="宋体"/>
      <w:szCs w:val="24"/>
    </w:rPr>
  </w:style>
  <w:style w:type="character" w:customStyle="1" w:styleId="64">
    <w:name w:val="脚注文本 字符"/>
    <w:link w:val="30"/>
    <w:autoRedefine/>
    <w:qFormat/>
    <w:uiPriority w:val="0"/>
    <w:rPr>
      <w:rFonts w:eastAsia="宋体"/>
    </w:rPr>
  </w:style>
  <w:style w:type="character" w:customStyle="1" w:styleId="65">
    <w:name w:val="纯文本 Char1"/>
    <w:autoRedefine/>
    <w:semiHidden/>
    <w:qFormat/>
    <w:uiPriority w:val="99"/>
    <w:rPr>
      <w:rFonts w:ascii="宋体" w:hAnsi="Courier New" w:eastAsia="宋体" w:cs="Courier New"/>
      <w:szCs w:val="21"/>
    </w:rPr>
  </w:style>
  <w:style w:type="character" w:customStyle="1" w:styleId="66">
    <w:name w:val="批注主题 字符"/>
    <w:link w:val="40"/>
    <w:autoRedefine/>
    <w:qFormat/>
    <w:uiPriority w:val="0"/>
    <w:rPr>
      <w:rFonts w:ascii="Times New Roman" w:hAnsi="Times New Roman" w:eastAsia="宋体" w:cs="Times New Roman"/>
      <w:b/>
      <w:bCs/>
      <w:szCs w:val="24"/>
    </w:rPr>
  </w:style>
  <w:style w:type="character" w:customStyle="1" w:styleId="67">
    <w:name w:val="正文缩进 字符"/>
    <w:link w:val="13"/>
    <w:autoRedefine/>
    <w:qFormat/>
    <w:locked/>
    <w:uiPriority w:val="0"/>
    <w:rPr>
      <w:kern w:val="2"/>
      <w:sz w:val="21"/>
      <w:szCs w:val="24"/>
    </w:rPr>
  </w:style>
  <w:style w:type="character" w:customStyle="1" w:styleId="68">
    <w:name w:val="font11"/>
    <w:autoRedefine/>
    <w:qFormat/>
    <w:uiPriority w:val="0"/>
    <w:rPr>
      <w:rFonts w:hint="default" w:ascii="Times New Roman" w:hAnsi="Times New Roman" w:cs="Times New Roman"/>
      <w:color w:val="000000"/>
      <w:sz w:val="22"/>
      <w:szCs w:val="22"/>
      <w:u w:val="none"/>
    </w:rPr>
  </w:style>
  <w:style w:type="character" w:customStyle="1" w:styleId="69">
    <w:name w:val="font01"/>
    <w:autoRedefine/>
    <w:qFormat/>
    <w:uiPriority w:val="0"/>
    <w:rPr>
      <w:rFonts w:hint="eastAsia" w:ascii="宋体" w:hAnsi="宋体" w:eastAsia="宋体" w:cs="宋体"/>
      <w:color w:val="000000"/>
      <w:sz w:val="22"/>
      <w:szCs w:val="22"/>
      <w:u w:val="none"/>
    </w:rPr>
  </w:style>
  <w:style w:type="character" w:customStyle="1" w:styleId="70">
    <w:name w:val="页眉 字符"/>
    <w:link w:val="28"/>
    <w:autoRedefine/>
    <w:qFormat/>
    <w:uiPriority w:val="0"/>
    <w:rPr>
      <w:rFonts w:ascii="Times New Roman" w:hAnsi="Times New Roman" w:eastAsia="宋体" w:cs="Times New Roman"/>
      <w:sz w:val="18"/>
      <w:szCs w:val="18"/>
    </w:rPr>
  </w:style>
  <w:style w:type="character" w:customStyle="1" w:styleId="71">
    <w:name w:val="标题 9 字符"/>
    <w:link w:val="10"/>
    <w:autoRedefine/>
    <w:qFormat/>
    <w:uiPriority w:val="0"/>
    <w:rPr>
      <w:rFonts w:ascii="Arial" w:hAnsi="Arial" w:eastAsia="黑体" w:cs="Times New Roman"/>
      <w:kern w:val="0"/>
      <w:szCs w:val="21"/>
    </w:rPr>
  </w:style>
  <w:style w:type="character" w:customStyle="1" w:styleId="72">
    <w:name w:val="标题 2 Char1"/>
    <w:autoRedefine/>
    <w:qFormat/>
    <w:uiPriority w:val="0"/>
    <w:rPr>
      <w:rFonts w:ascii="Arial" w:hAnsi="Arial" w:eastAsia="黑体" w:cs="Times New Roman"/>
      <w:b/>
      <w:bCs/>
      <w:sz w:val="32"/>
      <w:szCs w:val="32"/>
      <w:lang w:val="en-US" w:eastAsia="en-US" w:bidi="ar-SA"/>
    </w:rPr>
  </w:style>
  <w:style w:type="character" w:customStyle="1" w:styleId="73">
    <w:name w:val="正文文本缩进 字符"/>
    <w:link w:val="18"/>
    <w:autoRedefine/>
    <w:qFormat/>
    <w:uiPriority w:val="0"/>
    <w:rPr>
      <w:szCs w:val="24"/>
    </w:rPr>
  </w:style>
  <w:style w:type="character" w:customStyle="1" w:styleId="74">
    <w:name w:val="文档结构图 字符"/>
    <w:link w:val="14"/>
    <w:autoRedefine/>
    <w:qFormat/>
    <w:uiPriority w:val="0"/>
    <w:rPr>
      <w:rFonts w:ascii="Times New Roman" w:hAnsi="Times New Roman" w:eastAsia="宋体" w:cs="Times New Roman"/>
      <w:szCs w:val="24"/>
      <w:shd w:val="clear" w:color="auto" w:fill="000080"/>
    </w:rPr>
  </w:style>
  <w:style w:type="character" w:customStyle="1" w:styleId="75">
    <w:name w:val="font161"/>
    <w:autoRedefine/>
    <w:qFormat/>
    <w:uiPriority w:val="0"/>
    <w:rPr>
      <w:b/>
      <w:bCs/>
      <w:sz w:val="32"/>
      <w:szCs w:val="32"/>
    </w:rPr>
  </w:style>
  <w:style w:type="character" w:customStyle="1" w:styleId="76">
    <w:name w:val="标题 2 字符"/>
    <w:link w:val="4"/>
    <w:autoRedefine/>
    <w:qFormat/>
    <w:uiPriority w:val="0"/>
    <w:rPr>
      <w:rFonts w:ascii="Arial" w:hAnsi="Arial" w:eastAsia="黑体" w:cs="Times New Roman"/>
      <w:b/>
      <w:bCs/>
      <w:sz w:val="32"/>
      <w:szCs w:val="32"/>
    </w:rPr>
  </w:style>
  <w:style w:type="character" w:customStyle="1" w:styleId="77">
    <w:name w:val="标题 字符"/>
    <w:link w:val="39"/>
    <w:autoRedefine/>
    <w:qFormat/>
    <w:uiPriority w:val="0"/>
    <w:rPr>
      <w:rFonts w:ascii="Arial" w:hAnsi="Arial"/>
      <w:b/>
      <w:sz w:val="32"/>
    </w:rPr>
  </w:style>
  <w:style w:type="character" w:customStyle="1" w:styleId="78">
    <w:name w:val="批注框文本 字符"/>
    <w:link w:val="26"/>
    <w:autoRedefine/>
    <w:qFormat/>
    <w:uiPriority w:val="0"/>
    <w:rPr>
      <w:rFonts w:ascii="Times New Roman" w:hAnsi="Times New Roman" w:eastAsia="宋体" w:cs="Times New Roman"/>
      <w:sz w:val="18"/>
      <w:szCs w:val="18"/>
    </w:rPr>
  </w:style>
  <w:style w:type="character" w:customStyle="1" w:styleId="79">
    <w:name w:val="标题 8 字符"/>
    <w:link w:val="9"/>
    <w:autoRedefine/>
    <w:qFormat/>
    <w:uiPriority w:val="0"/>
    <w:rPr>
      <w:rFonts w:ascii="Arial" w:hAnsi="Arial" w:eastAsia="黑体" w:cs="Times New Roman"/>
      <w:kern w:val="0"/>
      <w:sz w:val="24"/>
      <w:szCs w:val="24"/>
    </w:rPr>
  </w:style>
  <w:style w:type="character" w:customStyle="1" w:styleId="80">
    <w:name w:val="日期 字符"/>
    <w:link w:val="24"/>
    <w:autoRedefine/>
    <w:qFormat/>
    <w:uiPriority w:val="0"/>
    <w:rPr>
      <w:rFonts w:ascii="Times New Roman" w:hAnsi="Times New Roman" w:eastAsia="宋体" w:cs="Times New Roman"/>
      <w:sz w:val="24"/>
      <w:szCs w:val="20"/>
    </w:rPr>
  </w:style>
  <w:style w:type="character" w:customStyle="1" w:styleId="81">
    <w:name w:val="标题 1 字符"/>
    <w:link w:val="3"/>
    <w:autoRedefine/>
    <w:qFormat/>
    <w:uiPriority w:val="0"/>
    <w:rPr>
      <w:rFonts w:ascii="Times New Roman" w:hAnsi="Times New Roman" w:eastAsia="宋体" w:cs="Times New Roman"/>
      <w:b/>
      <w:bCs/>
      <w:kern w:val="44"/>
      <w:sz w:val="44"/>
      <w:szCs w:val="44"/>
    </w:rPr>
  </w:style>
  <w:style w:type="character" w:customStyle="1" w:styleId="82">
    <w:name w:val="招标节 Char"/>
    <w:link w:val="83"/>
    <w:autoRedefine/>
    <w:qFormat/>
    <w:locked/>
    <w:uiPriority w:val="0"/>
    <w:rPr>
      <w:b/>
      <w:sz w:val="24"/>
      <w:szCs w:val="24"/>
    </w:rPr>
  </w:style>
  <w:style w:type="paragraph" w:customStyle="1" w:styleId="83">
    <w:name w:val="招标节"/>
    <w:basedOn w:val="1"/>
    <w:next w:val="1"/>
    <w:link w:val="82"/>
    <w:autoRedefine/>
    <w:qFormat/>
    <w:uiPriority w:val="0"/>
    <w:pPr>
      <w:spacing w:beforeLines="50" w:afterLines="50"/>
      <w:outlineLvl w:val="1"/>
    </w:pPr>
    <w:rPr>
      <w:b/>
      <w:kern w:val="0"/>
      <w:sz w:val="24"/>
    </w:rPr>
  </w:style>
  <w:style w:type="character" w:customStyle="1" w:styleId="84">
    <w:name w:val="正文文本缩进 3 字符"/>
    <w:link w:val="32"/>
    <w:autoRedefine/>
    <w:qFormat/>
    <w:uiPriority w:val="0"/>
    <w:rPr>
      <w:rFonts w:ascii="Times New Roman" w:hAnsi="Times New Roman" w:eastAsia="宋体" w:cs="Times New Roman"/>
      <w:sz w:val="16"/>
      <w:szCs w:val="16"/>
    </w:rPr>
  </w:style>
  <w:style w:type="character" w:customStyle="1" w:styleId="85">
    <w:name w:val="tpc_content1"/>
    <w:autoRedefine/>
    <w:qFormat/>
    <w:uiPriority w:val="0"/>
    <w:rPr>
      <w:sz w:val="20"/>
      <w:szCs w:val="20"/>
    </w:rPr>
  </w:style>
  <w:style w:type="character" w:customStyle="1" w:styleId="86">
    <w:name w:val="Char Char"/>
    <w:autoRedefine/>
    <w:qFormat/>
    <w:uiPriority w:val="0"/>
    <w:rPr>
      <w:rFonts w:ascii="Arial" w:hAnsi="Arial" w:eastAsia="黑体"/>
      <w:b/>
      <w:bCs/>
      <w:kern w:val="2"/>
      <w:sz w:val="32"/>
      <w:szCs w:val="32"/>
      <w:lang w:val="en-US" w:eastAsia="zh-CN" w:bidi="ar-SA"/>
    </w:rPr>
  </w:style>
  <w:style w:type="character" w:customStyle="1" w:styleId="87">
    <w:name w:val="正文文本 Char1"/>
    <w:autoRedefine/>
    <w:semiHidden/>
    <w:qFormat/>
    <w:uiPriority w:val="99"/>
    <w:rPr>
      <w:rFonts w:ascii="Times New Roman" w:hAnsi="Times New Roman" w:eastAsia="宋体" w:cs="Times New Roman"/>
      <w:szCs w:val="24"/>
    </w:rPr>
  </w:style>
  <w:style w:type="character" w:customStyle="1" w:styleId="88">
    <w:name w:val="Char Char2"/>
    <w:autoRedefine/>
    <w:qFormat/>
    <w:uiPriority w:val="0"/>
    <w:rPr>
      <w:rFonts w:eastAsia="宋体"/>
      <w:kern w:val="2"/>
      <w:sz w:val="21"/>
      <w:szCs w:val="24"/>
      <w:lang w:val="en-US" w:eastAsia="zh-CN" w:bidi="ar-SA"/>
    </w:rPr>
  </w:style>
  <w:style w:type="character" w:customStyle="1" w:styleId="89">
    <w:name w:val="apple-converted-space"/>
    <w:autoRedefine/>
    <w:qFormat/>
    <w:uiPriority w:val="0"/>
  </w:style>
  <w:style w:type="character" w:customStyle="1" w:styleId="90">
    <w:name w:val="标题 4 字符"/>
    <w:link w:val="6"/>
    <w:autoRedefine/>
    <w:qFormat/>
    <w:uiPriority w:val="0"/>
    <w:rPr>
      <w:rFonts w:ascii="Arial" w:hAnsi="Arial" w:eastAsia="黑体" w:cs="Times New Roman"/>
      <w:b/>
      <w:bCs/>
      <w:sz w:val="28"/>
      <w:szCs w:val="28"/>
    </w:rPr>
  </w:style>
  <w:style w:type="character" w:customStyle="1" w:styleId="91">
    <w:name w:val="正文文本缩进 Char1"/>
    <w:autoRedefine/>
    <w:semiHidden/>
    <w:qFormat/>
    <w:uiPriority w:val="99"/>
    <w:rPr>
      <w:rFonts w:ascii="Times New Roman" w:hAnsi="Times New Roman" w:eastAsia="宋体" w:cs="Times New Roman"/>
      <w:szCs w:val="24"/>
    </w:rPr>
  </w:style>
  <w:style w:type="character" w:customStyle="1" w:styleId="92">
    <w:name w:val="页脚 字符"/>
    <w:link w:val="27"/>
    <w:autoRedefine/>
    <w:qFormat/>
    <w:uiPriority w:val="99"/>
    <w:rPr>
      <w:sz w:val="18"/>
      <w:szCs w:val="18"/>
    </w:rPr>
  </w:style>
  <w:style w:type="character" w:customStyle="1" w:styleId="93">
    <w:name w:val="Char Char7"/>
    <w:autoRedefine/>
    <w:qFormat/>
    <w:uiPriority w:val="0"/>
    <w:rPr>
      <w:rFonts w:ascii="Arial" w:hAnsi="Arial" w:eastAsia="黑体"/>
      <w:b/>
      <w:bCs/>
      <w:kern w:val="2"/>
      <w:sz w:val="32"/>
      <w:szCs w:val="32"/>
      <w:lang w:val="en-US" w:eastAsia="zh-CN" w:bidi="ar-SA"/>
    </w:rPr>
  </w:style>
  <w:style w:type="character" w:customStyle="1" w:styleId="94">
    <w:name w:val="HTML 预设格式 字符"/>
    <w:link w:val="36"/>
    <w:autoRedefine/>
    <w:qFormat/>
    <w:uiPriority w:val="0"/>
    <w:rPr>
      <w:rFonts w:ascii="微软雅黑" w:hAnsi="微软雅黑" w:eastAsia="微软雅黑" w:cs="Times New Roman"/>
      <w:kern w:val="0"/>
      <w:sz w:val="24"/>
      <w:szCs w:val="24"/>
    </w:rPr>
  </w:style>
  <w:style w:type="character" w:customStyle="1" w:styleId="95">
    <w:name w:val="批注文字 Char"/>
    <w:autoRedefine/>
    <w:qFormat/>
    <w:uiPriority w:val="0"/>
    <w:rPr>
      <w:rFonts w:eastAsia="宋体"/>
      <w:kern w:val="2"/>
      <w:sz w:val="21"/>
      <w:szCs w:val="24"/>
      <w:lang w:val="en-US" w:eastAsia="zh-CN" w:bidi="ar-SA"/>
    </w:rPr>
  </w:style>
  <w:style w:type="character" w:customStyle="1" w:styleId="96">
    <w:name w:val="纯文本 字符"/>
    <w:link w:val="22"/>
    <w:autoRedefine/>
    <w:qFormat/>
    <w:uiPriority w:val="99"/>
    <w:rPr>
      <w:rFonts w:ascii="Courier New" w:hAnsi="Courier New"/>
    </w:rPr>
  </w:style>
  <w:style w:type="character" w:customStyle="1" w:styleId="97">
    <w:name w:val="标题 7 字符"/>
    <w:link w:val="8"/>
    <w:autoRedefine/>
    <w:qFormat/>
    <w:uiPriority w:val="0"/>
    <w:rPr>
      <w:rFonts w:ascii="Times New Roman" w:hAnsi="Times New Roman" w:eastAsia="宋体" w:cs="Times New Roman"/>
      <w:b/>
      <w:bCs/>
      <w:kern w:val="0"/>
      <w:sz w:val="24"/>
      <w:szCs w:val="24"/>
    </w:rPr>
  </w:style>
  <w:style w:type="paragraph" w:customStyle="1" w:styleId="98">
    <w:name w:val="样式4"/>
    <w:basedOn w:val="5"/>
    <w:autoRedefine/>
    <w:qFormat/>
    <w:uiPriority w:val="0"/>
    <w:rPr>
      <w:rFonts w:eastAsia="Arial"/>
    </w:rPr>
  </w:style>
  <w:style w:type="paragraph" w:customStyle="1" w:styleId="99">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font10"/>
    <w:basedOn w:val="1"/>
    <w:autoRedefine/>
    <w:qFormat/>
    <w:uiPriority w:val="0"/>
    <w:pPr>
      <w:widowControl/>
      <w:spacing w:before="100" w:beforeAutospacing="1" w:after="100" w:afterAutospacing="1"/>
      <w:jc w:val="left"/>
    </w:pPr>
    <w:rPr>
      <w:kern w:val="0"/>
      <w:sz w:val="28"/>
      <w:szCs w:val="28"/>
    </w:rPr>
  </w:style>
  <w:style w:type="paragraph" w:customStyle="1" w:styleId="102">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样式1"/>
    <w:basedOn w:val="5"/>
    <w:autoRedefine/>
    <w:qFormat/>
    <w:uiPriority w:val="0"/>
    <w:rPr>
      <w:rFonts w:eastAsia="Arial"/>
    </w:rPr>
  </w:style>
  <w:style w:type="paragraph" w:customStyle="1" w:styleId="105">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Char"/>
    <w:basedOn w:val="1"/>
    <w:autoRedefine/>
    <w:qFormat/>
    <w:uiPriority w:val="0"/>
    <w:pPr>
      <w:tabs>
        <w:tab w:val="left" w:pos="360"/>
      </w:tabs>
    </w:pPr>
    <w:rPr>
      <w:sz w:val="24"/>
    </w:rPr>
  </w:style>
  <w:style w:type="paragraph" w:customStyle="1" w:styleId="108">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表格"/>
    <w:basedOn w:val="1"/>
    <w:autoRedefine/>
    <w:qFormat/>
    <w:uiPriority w:val="0"/>
    <w:pPr>
      <w:jc w:val="center"/>
      <w:textAlignment w:val="center"/>
    </w:pPr>
    <w:rPr>
      <w:rFonts w:ascii="华文细黑" w:hAnsi="华文细黑"/>
      <w:kern w:val="0"/>
      <w:szCs w:val="20"/>
    </w:rPr>
  </w:style>
  <w:style w:type="paragraph" w:customStyle="1" w:styleId="110">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4">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列出段落1"/>
    <w:basedOn w:val="1"/>
    <w:autoRedefine/>
    <w:qFormat/>
    <w:uiPriority w:val="34"/>
    <w:pPr>
      <w:ind w:firstLine="420" w:firstLineChars="200"/>
    </w:pPr>
    <w:rPr>
      <w:rFonts w:ascii="Calibri" w:hAnsi="Calibri"/>
      <w:szCs w:val="22"/>
    </w:rPr>
  </w:style>
  <w:style w:type="paragraph" w:customStyle="1" w:styleId="120">
    <w:name w:val="样式 标题 2 + Times New Roman 四号 非加粗 段前: 5 磅 段后: 0 磅 行距: 固定值 20..."/>
    <w:basedOn w:val="4"/>
    <w:autoRedefine/>
    <w:qFormat/>
    <w:uiPriority w:val="0"/>
    <w:pPr>
      <w:spacing w:before="100" w:after="0" w:line="400" w:lineRule="exact"/>
    </w:pPr>
    <w:rPr>
      <w:rFonts w:ascii="Times New Roman" w:hAnsi="Times New Roman" w:cs="宋体"/>
      <w:b w:val="0"/>
      <w:bCs w:val="0"/>
      <w:sz w:val="28"/>
      <w:szCs w:val="20"/>
    </w:rPr>
  </w:style>
  <w:style w:type="paragraph" w:customStyle="1" w:styleId="121">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4">
    <w:name w:val="样式 标题 1 + 黑体 三号 非加粗 居中 段前: 6 磅 段后: 6 磅 行距: 固定值 20 磅"/>
    <w:basedOn w:val="3"/>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5">
    <w:name w:val="1"/>
    <w:basedOn w:val="1"/>
    <w:next w:val="1"/>
    <w:autoRedefine/>
    <w:qFormat/>
    <w:uiPriority w:val="0"/>
  </w:style>
  <w:style w:type="paragraph" w:customStyle="1" w:styleId="126">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规范文本"/>
    <w:basedOn w:val="22"/>
    <w:autoRedefine/>
    <w:qFormat/>
    <w:uiPriority w:val="0"/>
    <w:pPr>
      <w:adjustRightInd w:val="0"/>
      <w:snapToGrid w:val="0"/>
      <w:spacing w:line="360" w:lineRule="exact"/>
      <w:ind w:firstLine="420"/>
    </w:pPr>
    <w:rPr>
      <w:rFonts w:ascii="宋体"/>
      <w:snapToGrid w:val="0"/>
      <w:szCs w:val="21"/>
    </w:rPr>
  </w:style>
  <w:style w:type="paragraph" w:customStyle="1" w:styleId="129">
    <w:name w:val="样式 标题 2 + Times New Roman 四号 非加粗 行距: 单倍行距"/>
    <w:basedOn w:val="4"/>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0">
    <w:name w:val="节"/>
    <w:basedOn w:val="22"/>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1">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样式3"/>
    <w:basedOn w:val="5"/>
    <w:autoRedefine/>
    <w:qFormat/>
    <w:uiPriority w:val="0"/>
    <w:rPr>
      <w:rFonts w:eastAsia="Arial"/>
    </w:rPr>
  </w:style>
  <w:style w:type="paragraph" w:customStyle="1" w:styleId="133">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6">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8">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1">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2">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4">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5">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6">
    <w:name w:val="第二"/>
    <w:basedOn w:val="1"/>
    <w:autoRedefine/>
    <w:qFormat/>
    <w:uiPriority w:val="0"/>
    <w:pPr>
      <w:adjustRightInd w:val="0"/>
      <w:snapToGrid w:val="0"/>
      <w:spacing w:line="360" w:lineRule="auto"/>
      <w:ind w:right="-108" w:rightChars="-45" w:firstLine="482"/>
    </w:pPr>
    <w:rPr>
      <w:b/>
    </w:rPr>
  </w:style>
  <w:style w:type="paragraph" w:customStyle="1" w:styleId="147">
    <w:name w:val="样式 标题 3 + (中文) 黑体 小四 非加粗 段前: 7.8 磅 段后: 0 磅 行距: 固定值 20 磅"/>
    <w:basedOn w:val="5"/>
    <w:autoRedefine/>
    <w:qFormat/>
    <w:uiPriority w:val="0"/>
    <w:pPr>
      <w:spacing w:before="0" w:after="0" w:line="400" w:lineRule="exact"/>
    </w:pPr>
    <w:rPr>
      <w:rFonts w:eastAsia="黑体" w:cs="宋体"/>
      <w:b w:val="0"/>
      <w:bCs w:val="0"/>
      <w:sz w:val="24"/>
      <w:szCs w:val="20"/>
    </w:rPr>
  </w:style>
  <w:style w:type="paragraph" w:customStyle="1" w:styleId="14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9">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0">
    <w:name w:val="内容"/>
    <w:basedOn w:val="1"/>
    <w:autoRedefine/>
    <w:qFormat/>
    <w:uiPriority w:val="0"/>
    <w:pPr>
      <w:spacing w:line="480" w:lineRule="exact"/>
      <w:ind w:firstLine="200" w:firstLineChars="200"/>
    </w:pPr>
  </w:style>
  <w:style w:type="paragraph" w:customStyle="1" w:styleId="151">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2">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列出段落11"/>
    <w:basedOn w:val="1"/>
    <w:autoRedefine/>
    <w:qFormat/>
    <w:uiPriority w:val="99"/>
    <w:pPr>
      <w:ind w:firstLine="420" w:firstLineChars="200"/>
    </w:pPr>
  </w:style>
  <w:style w:type="paragraph" w:customStyle="1" w:styleId="154">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5">
    <w:name w:val="表格文字"/>
    <w:basedOn w:val="1"/>
    <w:autoRedefine/>
    <w:qFormat/>
    <w:uiPriority w:val="0"/>
    <w:pPr>
      <w:adjustRightInd w:val="0"/>
      <w:spacing w:line="420" w:lineRule="atLeast"/>
      <w:jc w:val="left"/>
      <w:textAlignment w:val="baseline"/>
    </w:pPr>
    <w:rPr>
      <w:kern w:val="0"/>
      <w:szCs w:val="20"/>
    </w:rPr>
  </w:style>
  <w:style w:type="paragraph" w:customStyle="1" w:styleId="156">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7">
    <w:name w:val="样式2"/>
    <w:basedOn w:val="5"/>
    <w:autoRedefine/>
    <w:qFormat/>
    <w:uiPriority w:val="0"/>
  </w:style>
  <w:style w:type="character" w:customStyle="1" w:styleId="158">
    <w:name w:val="after"/>
    <w:basedOn w:val="44"/>
    <w:autoRedefine/>
    <w:qFormat/>
    <w:uiPriority w:val="0"/>
    <w:rPr>
      <w:bdr w:val="dashed" w:color="auto" w:sz="48" w:space="0"/>
    </w:rPr>
  </w:style>
  <w:style w:type="character" w:customStyle="1" w:styleId="159">
    <w:name w:val="before"/>
    <w:basedOn w:val="44"/>
    <w:autoRedefine/>
    <w:qFormat/>
    <w:uiPriority w:val="0"/>
    <w:rPr>
      <w:bdr w:val="single" w:color="auto" w:sz="48" w:space="0"/>
    </w:rPr>
  </w:style>
  <w:style w:type="character" w:customStyle="1" w:styleId="160">
    <w:name w:val="hover48"/>
    <w:basedOn w:val="44"/>
    <w:autoRedefine/>
    <w:qFormat/>
    <w:uiPriority w:val="0"/>
    <w:rPr>
      <w:shd w:val="clear" w:color="auto" w:fill="346AC3"/>
    </w:rPr>
  </w:style>
  <w:style w:type="character" w:customStyle="1" w:styleId="161">
    <w:name w:val="hover49"/>
    <w:basedOn w:val="44"/>
    <w:autoRedefine/>
    <w:qFormat/>
    <w:uiPriority w:val="0"/>
  </w:style>
  <w:style w:type="character" w:customStyle="1" w:styleId="162">
    <w:name w:val="hover50"/>
    <w:basedOn w:val="44"/>
    <w:autoRedefine/>
    <w:qFormat/>
    <w:uiPriority w:val="0"/>
    <w:rPr>
      <w:color w:val="4285F4"/>
      <w:u w:val="none"/>
    </w:rPr>
  </w:style>
  <w:style w:type="character" w:customStyle="1" w:styleId="163">
    <w:name w:val="hover51"/>
    <w:basedOn w:val="44"/>
    <w:autoRedefine/>
    <w:qFormat/>
    <w:uiPriority w:val="0"/>
    <w:rPr>
      <w:color w:val="4285F4"/>
    </w:rPr>
  </w:style>
  <w:style w:type="character" w:customStyle="1" w:styleId="164">
    <w:name w:val="hover52"/>
    <w:basedOn w:val="44"/>
    <w:autoRedefine/>
    <w:qFormat/>
    <w:uiPriority w:val="0"/>
    <w:rPr>
      <w:color w:val="1A85D7"/>
    </w:rPr>
  </w:style>
  <w:style w:type="character" w:customStyle="1" w:styleId="165">
    <w:name w:val="credit"/>
    <w:basedOn w:val="44"/>
    <w:autoRedefine/>
    <w:qFormat/>
    <w:uiPriority w:val="0"/>
    <w:rPr>
      <w:sz w:val="18"/>
      <w:szCs w:val="18"/>
    </w:rPr>
  </w:style>
  <w:style w:type="character" w:customStyle="1" w:styleId="166">
    <w:name w:val="first-child"/>
    <w:basedOn w:val="44"/>
    <w:autoRedefine/>
    <w:qFormat/>
    <w:uiPriority w:val="0"/>
  </w:style>
  <w:style w:type="paragraph" w:customStyle="1" w:styleId="167">
    <w:name w:val="表格内正文，无编号"/>
    <w:basedOn w:val="1"/>
    <w:autoRedefine/>
    <w:qFormat/>
    <w:uiPriority w:val="0"/>
    <w:pPr>
      <w:spacing w:line="400" w:lineRule="exact"/>
      <w:ind w:firstLine="643" w:firstLineChars="200"/>
    </w:pPr>
  </w:style>
  <w:style w:type="paragraph" w:styleId="168">
    <w:name w:val="List Paragraph"/>
    <w:basedOn w:val="1"/>
    <w:autoRedefine/>
    <w:qFormat/>
    <w:uiPriority w:val="99"/>
    <w:pPr>
      <w:ind w:firstLine="420" w:firstLineChars="200"/>
    </w:pPr>
  </w:style>
  <w:style w:type="character" w:customStyle="1" w:styleId="169">
    <w:name w:val="正文文本缩进 2 字符"/>
    <w:basedOn w:val="44"/>
    <w:link w:val="25"/>
    <w:autoRedefine/>
    <w:qFormat/>
    <w:uiPriority w:val="0"/>
    <w:rPr>
      <w:kern w:val="2"/>
      <w:sz w:val="21"/>
      <w:szCs w:val="24"/>
    </w:rPr>
  </w:style>
  <w:style w:type="character" w:customStyle="1" w:styleId="170">
    <w:name w:val="正文文本首行缩进 字符"/>
    <w:basedOn w:val="63"/>
    <w:link w:val="41"/>
    <w:autoRedefine/>
    <w:qFormat/>
    <w:uiPriority w:val="0"/>
    <w:rPr>
      <w:rFonts w:ascii="宋体" w:eastAsia="楷体_GB231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38</Pages>
  <Words>2499</Words>
  <Characters>14248</Characters>
  <Lines>118</Lines>
  <Paragraphs>33</Paragraphs>
  <TotalTime>23</TotalTime>
  <ScaleCrop>false</ScaleCrop>
  <LinksUpToDate>false</LinksUpToDate>
  <CharactersWithSpaces>16714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孙大圣</cp:lastModifiedBy>
  <cp:lastPrinted>2022-04-28T06:42:00Z</cp:lastPrinted>
  <dcterms:modified xsi:type="dcterms:W3CDTF">2024-06-14T06:31:55Z</dcterms:modified>
  <dc:title>项目名称：2019年重庆市取消高速公路省界收费站项目</dc:title>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BF51AE9834AC4A979C6AA5B0DB640446</vt:lpwstr>
  </property>
</Properties>
</file>