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cs="宋体"/>
          <w:b/>
          <w:sz w:val="32"/>
          <w:szCs w:val="32"/>
        </w:rPr>
      </w:pPr>
    </w:p>
    <w:p>
      <w:pPr>
        <w:jc w:val="center"/>
        <w:rPr>
          <w:rFonts w:hint="eastAsia" w:ascii="宋体" w:hAnsi="宋体" w:eastAsia="宋体" w:cs="宋体"/>
          <w:b/>
          <w:sz w:val="32"/>
          <w:szCs w:val="32"/>
          <w:lang w:eastAsia="zh-CN"/>
        </w:rPr>
      </w:pPr>
      <w:r>
        <w:rPr>
          <w:rFonts w:hint="eastAsia" w:ascii="宋体" w:hAnsi="宋体" w:cs="宋体"/>
          <w:b/>
          <w:sz w:val="32"/>
          <w:szCs w:val="32"/>
        </w:rPr>
        <w:t>项目名称：</w:t>
      </w:r>
      <w:r>
        <w:rPr>
          <w:rFonts w:hint="eastAsia" w:ascii="宋体" w:hAnsi="宋体" w:cs="宋体"/>
          <w:b/>
          <w:sz w:val="32"/>
          <w:szCs w:val="32"/>
          <w:lang w:eastAsia="zh-CN"/>
        </w:rPr>
        <w:t>长大桥梁结构健康监测技术服务</w:t>
      </w:r>
    </w:p>
    <w:p>
      <w:pPr>
        <w:rPr>
          <w:rFonts w:ascii="宋体" w:hAnsi="宋体" w:cs="宋体"/>
          <w:sz w:val="28"/>
          <w:szCs w:val="28"/>
        </w:rPr>
      </w:pPr>
    </w:p>
    <w:p>
      <w:pPr>
        <w:jc w:val="center"/>
        <w:rPr>
          <w:rFonts w:ascii="宋体" w:hAnsi="宋体" w:cs="宋体"/>
          <w:b/>
          <w:sz w:val="48"/>
          <w:szCs w:val="48"/>
        </w:rPr>
      </w:pPr>
      <w:r>
        <w:rPr>
          <w:rFonts w:hint="eastAsia" w:ascii="宋体" w:hAnsi="宋体" w:cs="宋体"/>
          <w:b/>
          <w:sz w:val="48"/>
          <w:szCs w:val="48"/>
        </w:rPr>
        <w:t>竞</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争</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性</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比</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选</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文</w:t>
      </w:r>
    </w:p>
    <w:p>
      <w:pPr>
        <w:jc w:val="center"/>
        <w:rPr>
          <w:rFonts w:ascii="宋体" w:hAnsi="宋体" w:cs="宋体"/>
          <w:b/>
          <w:sz w:val="48"/>
          <w:szCs w:val="48"/>
        </w:rPr>
      </w:pPr>
    </w:p>
    <w:p>
      <w:pPr>
        <w:jc w:val="center"/>
        <w:rPr>
          <w:rFonts w:ascii="宋体" w:hAnsi="宋体" w:cs="宋体"/>
          <w:b/>
          <w:sz w:val="96"/>
          <w:szCs w:val="72"/>
        </w:rPr>
      </w:pPr>
      <w:r>
        <w:rPr>
          <w:rFonts w:hint="eastAsia" w:ascii="宋体" w:hAnsi="宋体" w:cs="宋体"/>
          <w:b/>
          <w:sz w:val="48"/>
          <w:szCs w:val="48"/>
        </w:rPr>
        <w:t>件</w:t>
      </w: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
    <w:p>
      <w:pPr>
        <w:jc w:val="center"/>
        <w:rPr>
          <w:rFonts w:ascii="宋体" w:hAnsi="宋体" w:cs="宋体"/>
          <w:b/>
          <w:sz w:val="28"/>
          <w:szCs w:val="28"/>
        </w:rPr>
      </w:pPr>
      <w:r>
        <w:rPr>
          <w:rFonts w:hint="eastAsia" w:ascii="宋体" w:hAnsi="宋体" w:cs="宋体"/>
          <w:b/>
          <w:sz w:val="28"/>
          <w:szCs w:val="28"/>
        </w:rPr>
        <w:t>采购人：重庆首讯科技股份有限公司</w:t>
      </w:r>
    </w:p>
    <w:p>
      <w:pPr>
        <w:jc w:val="center"/>
        <w:rPr>
          <w:rFonts w:ascii="宋体" w:hAnsi="宋体" w:cs="宋体"/>
          <w:b/>
          <w:sz w:val="28"/>
          <w:szCs w:val="28"/>
        </w:rPr>
      </w:pPr>
      <w:r>
        <w:rPr>
          <w:rFonts w:hint="eastAsia" w:ascii="宋体" w:hAnsi="宋体" w:cs="宋体"/>
          <w:b/>
          <w:sz w:val="28"/>
          <w:szCs w:val="28"/>
          <w:u w:val="single"/>
        </w:rPr>
        <w:t>202</w:t>
      </w:r>
      <w:r>
        <w:rPr>
          <w:rFonts w:hint="eastAsia" w:ascii="宋体" w:hAnsi="宋体" w:cs="宋体"/>
          <w:b/>
          <w:sz w:val="28"/>
          <w:szCs w:val="28"/>
          <w:u w:val="single"/>
          <w:lang w:val="en-US" w:eastAsia="zh-CN"/>
        </w:rPr>
        <w:t>4</w:t>
      </w:r>
      <w:r>
        <w:rPr>
          <w:rFonts w:hint="eastAsia" w:ascii="宋体" w:hAnsi="宋体" w:cs="宋体"/>
          <w:b/>
          <w:sz w:val="28"/>
          <w:szCs w:val="28"/>
        </w:rPr>
        <w:t>年</w:t>
      </w:r>
      <w:r>
        <w:rPr>
          <w:rFonts w:hint="eastAsia" w:ascii="宋体" w:hAnsi="宋体" w:cs="宋体"/>
          <w:b/>
          <w:sz w:val="28"/>
          <w:szCs w:val="28"/>
          <w:u w:val="single"/>
        </w:rPr>
        <w:t xml:space="preserve"> </w:t>
      </w:r>
      <w:r>
        <w:rPr>
          <w:rFonts w:hint="default" w:ascii="宋体" w:hAnsi="宋体" w:cs="宋体"/>
          <w:b/>
          <w:sz w:val="28"/>
          <w:szCs w:val="28"/>
          <w:u w:val="single"/>
        </w:rPr>
        <w:t xml:space="preserve"> </w:t>
      </w:r>
      <w:r>
        <w:rPr>
          <w:rFonts w:hint="eastAsia" w:ascii="宋体" w:hAnsi="宋体" w:cs="宋体"/>
          <w:b/>
          <w:sz w:val="28"/>
          <w:szCs w:val="28"/>
          <w:u w:val="single"/>
          <w:lang w:val="en-US" w:eastAsia="zh-CN"/>
        </w:rPr>
        <w:t>6</w:t>
      </w:r>
      <w:r>
        <w:rPr>
          <w:rFonts w:hint="eastAsia" w:ascii="宋体" w:hAnsi="宋体" w:cs="宋体"/>
          <w:b/>
          <w:sz w:val="28"/>
          <w:szCs w:val="28"/>
          <w:u w:val="single"/>
        </w:rPr>
        <w:t xml:space="preserve"> </w:t>
      </w:r>
      <w:r>
        <w:rPr>
          <w:rFonts w:hint="eastAsia" w:ascii="宋体" w:hAnsi="宋体" w:cs="宋体"/>
          <w:b/>
          <w:sz w:val="28"/>
          <w:szCs w:val="28"/>
        </w:rPr>
        <w:t>月</w:t>
      </w:r>
    </w:p>
    <w:p>
      <w:pPr>
        <w:pStyle w:val="30"/>
        <w:jc w:val="center"/>
        <w:rPr>
          <w:rFonts w:ascii="宋体" w:hAnsi="宋体" w:cs="宋体"/>
          <w:szCs w:val="21"/>
        </w:rPr>
      </w:pPr>
      <w:r>
        <w:br w:type="page"/>
      </w:r>
      <w:bookmarkStart w:id="0" w:name="_Toc507428442"/>
      <w:bookmarkStart w:id="1" w:name="_Toc247085669"/>
      <w:bookmarkStart w:id="2" w:name="_Toc507319889"/>
      <w:bookmarkStart w:id="3" w:name="_Toc246996898"/>
      <w:bookmarkStart w:id="4" w:name="_Toc296602400"/>
      <w:r>
        <w:rPr>
          <w:rFonts w:hint="eastAsia" w:ascii="宋体" w:hAnsi="宋体" w:cs="宋体"/>
          <w:b w:val="0"/>
          <w:sz w:val="32"/>
        </w:rPr>
        <w:t>目   录</w:t>
      </w:r>
      <w:bookmarkEnd w:id="0"/>
      <w:bookmarkEnd w:id="1"/>
      <w:bookmarkEnd w:id="2"/>
      <w:bookmarkEnd w:id="3"/>
      <w:bookmarkEnd w:id="4"/>
    </w:p>
    <w:p>
      <w:pPr>
        <w:pStyle w:val="30"/>
        <w:tabs>
          <w:tab w:val="right" w:leader="dot" w:pos="9638"/>
        </w:tabs>
      </w:pPr>
      <w:r>
        <w:rPr>
          <w:rFonts w:hint="eastAsia" w:ascii="宋体" w:hAnsi="宋体" w:cs="宋体"/>
          <w:b w:val="0"/>
          <w:bCs w:val="0"/>
          <w:caps w:val="0"/>
        </w:rPr>
        <w:fldChar w:fldCharType="begin"/>
      </w:r>
      <w:r>
        <w:rPr>
          <w:rFonts w:hint="eastAsia" w:ascii="宋体" w:hAnsi="宋体" w:cs="宋体"/>
          <w:b w:val="0"/>
          <w:bCs w:val="0"/>
          <w:caps w:val="0"/>
        </w:rPr>
        <w:instrText xml:space="preserve"> TOC \o "1-2" \h \z \u </w:instrText>
      </w:r>
      <w:r>
        <w:rPr>
          <w:rFonts w:hint="eastAsia" w:ascii="宋体" w:hAnsi="宋体" w:cs="宋体"/>
          <w:b w:val="0"/>
          <w:bCs w:val="0"/>
          <w:caps w:val="0"/>
        </w:rPr>
        <w:fldChar w:fldCharType="separate"/>
      </w:r>
      <w:r>
        <w:fldChar w:fldCharType="begin"/>
      </w:r>
      <w:r>
        <w:instrText xml:space="preserve"> HYPERLINK \l "_Toc10533" </w:instrText>
      </w:r>
      <w:r>
        <w:fldChar w:fldCharType="separate"/>
      </w:r>
      <w:r>
        <w:rPr>
          <w:rFonts w:hint="eastAsia" w:ascii="宋体" w:hAnsi="宋体" w:cs="宋体"/>
        </w:rPr>
        <w:t>第一章 比选公告</w:t>
      </w:r>
      <w:r>
        <w:tab/>
      </w:r>
      <w:r>
        <w:fldChar w:fldCharType="end"/>
      </w:r>
    </w:p>
    <w:p>
      <w:pPr>
        <w:pStyle w:val="30"/>
        <w:tabs>
          <w:tab w:val="right" w:leader="dot" w:pos="9638"/>
        </w:tabs>
      </w:pPr>
      <w:r>
        <w:fldChar w:fldCharType="begin"/>
      </w:r>
      <w:r>
        <w:instrText xml:space="preserve"> HYPERLINK \l "_Toc21719" </w:instrText>
      </w:r>
      <w:r>
        <w:fldChar w:fldCharType="separate"/>
      </w:r>
      <w:r>
        <w:rPr>
          <w:rFonts w:hint="eastAsia" w:ascii="宋体" w:hAnsi="宋体" w:cs="宋体"/>
        </w:rPr>
        <w:t>第二章 报价人须知</w:t>
      </w:r>
      <w:r>
        <w:tab/>
      </w:r>
      <w:r>
        <w:fldChar w:fldCharType="end"/>
      </w:r>
    </w:p>
    <w:p>
      <w:pPr>
        <w:pStyle w:val="30"/>
        <w:tabs>
          <w:tab w:val="right" w:leader="dot" w:pos="9638"/>
        </w:tabs>
      </w:pPr>
      <w:r>
        <w:fldChar w:fldCharType="begin"/>
      </w:r>
      <w:r>
        <w:instrText xml:space="preserve"> HYPERLINK \l "_Toc7682" </w:instrText>
      </w:r>
      <w:r>
        <w:fldChar w:fldCharType="separate"/>
      </w:r>
      <w:r>
        <w:rPr>
          <w:rFonts w:hint="eastAsia" w:ascii="宋体" w:hAnsi="宋体" w:cs="宋体"/>
        </w:rPr>
        <w:t>第三章 评标办法（综合评估法）</w:t>
      </w:r>
      <w:r>
        <w:tab/>
      </w:r>
      <w:r>
        <w:fldChar w:fldCharType="end"/>
      </w:r>
    </w:p>
    <w:p>
      <w:pPr>
        <w:pStyle w:val="30"/>
        <w:tabs>
          <w:tab w:val="right" w:leader="dot" w:pos="9638"/>
        </w:tabs>
      </w:pPr>
      <w:r>
        <w:fldChar w:fldCharType="begin"/>
      </w:r>
      <w:r>
        <w:instrText xml:space="preserve"> HYPERLINK \l "_Toc13787" </w:instrText>
      </w:r>
      <w:r>
        <w:fldChar w:fldCharType="separate"/>
      </w:r>
      <w:r>
        <w:rPr>
          <w:rFonts w:hint="eastAsia"/>
        </w:rPr>
        <w:t>第四章 报价说明</w:t>
      </w:r>
      <w:r>
        <w:tab/>
      </w:r>
      <w:r>
        <w:fldChar w:fldCharType="end"/>
      </w:r>
    </w:p>
    <w:p>
      <w:pPr>
        <w:pStyle w:val="30"/>
        <w:tabs>
          <w:tab w:val="right" w:leader="dot" w:pos="9638"/>
        </w:tabs>
      </w:pPr>
      <w:r>
        <w:fldChar w:fldCharType="begin"/>
      </w:r>
      <w:r>
        <w:instrText xml:space="preserve"> HYPERLINK \l "_Toc24503" </w:instrText>
      </w:r>
      <w:r>
        <w:fldChar w:fldCharType="separate"/>
      </w:r>
      <w:r>
        <w:rPr>
          <w:rFonts w:hint="eastAsia" w:ascii="宋体" w:hAnsi="宋体" w:cs="宋体"/>
        </w:rPr>
        <w:t>第五章  工程量清单及计量规则</w:t>
      </w:r>
      <w:r>
        <w:tab/>
      </w:r>
      <w:r>
        <w:fldChar w:fldCharType="end"/>
      </w:r>
    </w:p>
    <w:p>
      <w:pPr>
        <w:pStyle w:val="30"/>
        <w:tabs>
          <w:tab w:val="right" w:leader="dot" w:pos="9638"/>
        </w:tabs>
      </w:pPr>
      <w:r>
        <w:fldChar w:fldCharType="begin"/>
      </w:r>
      <w:r>
        <w:instrText xml:space="preserve"> HYPERLINK \l "_Toc12440" </w:instrText>
      </w:r>
      <w:r>
        <w:fldChar w:fldCharType="separate"/>
      </w:r>
      <w:r>
        <w:rPr>
          <w:rFonts w:hint="eastAsia" w:ascii="宋体" w:hAnsi="宋体" w:cs="宋体"/>
        </w:rPr>
        <w:t>第六章  图  纸</w:t>
      </w:r>
      <w:r>
        <w:tab/>
      </w:r>
      <w:r>
        <w:fldChar w:fldCharType="end"/>
      </w:r>
    </w:p>
    <w:p>
      <w:pPr>
        <w:pStyle w:val="30"/>
        <w:tabs>
          <w:tab w:val="right" w:leader="dot" w:pos="9638"/>
        </w:tabs>
      </w:pPr>
      <w:r>
        <w:fldChar w:fldCharType="begin"/>
      </w:r>
      <w:r>
        <w:instrText xml:space="preserve"> HYPERLINK \l "_Toc10887" </w:instrText>
      </w:r>
      <w:r>
        <w:fldChar w:fldCharType="separate"/>
      </w:r>
      <w:r>
        <w:rPr>
          <w:rFonts w:hint="eastAsia" w:ascii="宋体" w:hAnsi="宋体" w:cs="宋体"/>
        </w:rPr>
        <w:t>第七章  技术标准和工作要求</w:t>
      </w:r>
      <w:r>
        <w:tab/>
      </w:r>
      <w:r>
        <w:fldChar w:fldCharType="end"/>
      </w:r>
    </w:p>
    <w:p>
      <w:pPr>
        <w:pStyle w:val="30"/>
        <w:tabs>
          <w:tab w:val="right" w:leader="dot" w:pos="9638"/>
        </w:tabs>
        <w:rPr>
          <w:rFonts w:ascii="宋体" w:hAnsi="宋体" w:cs="宋体"/>
        </w:rPr>
      </w:pPr>
      <w:r>
        <w:fldChar w:fldCharType="begin"/>
      </w:r>
      <w:r>
        <w:instrText xml:space="preserve"> HYPERLINK \l "_Toc24853" </w:instrText>
      </w:r>
      <w:r>
        <w:fldChar w:fldCharType="separate"/>
      </w:r>
      <w:r>
        <w:rPr>
          <w:rFonts w:hint="eastAsia" w:ascii="宋体" w:hAnsi="宋体" w:cs="宋体"/>
        </w:rPr>
        <w:t>第九章  竞争性比选响应文件格式</w:t>
      </w:r>
      <w:r>
        <w:tab/>
      </w:r>
      <w:r>
        <w:fldChar w:fldCharType="end"/>
      </w:r>
    </w:p>
    <w:p/>
    <w:p>
      <w:pPr>
        <w:pStyle w:val="36"/>
        <w:tabs>
          <w:tab w:val="right" w:leader="dot" w:pos="9628"/>
        </w:tabs>
        <w:ind w:left="0"/>
        <w:rPr>
          <w:rFonts w:ascii="宋体" w:hAnsi="宋体" w:cs="宋体"/>
          <w:b/>
          <w:bCs/>
          <w:caps/>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bCs/>
          <w:caps/>
        </w:rPr>
        <w:fldChar w:fldCharType="end"/>
      </w:r>
    </w:p>
    <w:p>
      <w:pPr>
        <w:pStyle w:val="3"/>
        <w:spacing w:before="0" w:after="0" w:line="360" w:lineRule="auto"/>
        <w:jc w:val="center"/>
        <w:rPr>
          <w:rFonts w:ascii="宋体" w:hAnsi="宋体" w:cs="宋体"/>
        </w:rPr>
      </w:pPr>
      <w:bookmarkStart w:id="5" w:name="_Toc2000404"/>
      <w:bookmarkStart w:id="6" w:name="_Toc246996900"/>
      <w:bookmarkStart w:id="7" w:name="_Toc246996157"/>
      <w:bookmarkStart w:id="8" w:name="_Toc144974479"/>
      <w:bookmarkStart w:id="9" w:name="_Toc179632527"/>
      <w:bookmarkStart w:id="10" w:name="_Toc152042287"/>
      <w:bookmarkStart w:id="11" w:name="_Toc152045511"/>
      <w:bookmarkStart w:id="12" w:name="_Toc247085671"/>
      <w:bookmarkStart w:id="13" w:name="_Toc247096243"/>
      <w:bookmarkStart w:id="14" w:name="_Toc507319890"/>
      <w:bookmarkStart w:id="15" w:name="_Toc10533"/>
      <w:r>
        <w:rPr>
          <w:rFonts w:hint="eastAsia" w:ascii="宋体" w:hAnsi="宋体" w:cs="宋体"/>
        </w:rPr>
        <w:t xml:space="preserve">第一章 </w:t>
      </w:r>
      <w:bookmarkEnd w:id="5"/>
      <w:bookmarkEnd w:id="6"/>
      <w:bookmarkEnd w:id="7"/>
      <w:bookmarkEnd w:id="8"/>
      <w:bookmarkEnd w:id="9"/>
      <w:bookmarkEnd w:id="10"/>
      <w:bookmarkEnd w:id="11"/>
      <w:bookmarkEnd w:id="12"/>
      <w:bookmarkEnd w:id="13"/>
      <w:bookmarkEnd w:id="14"/>
      <w:r>
        <w:rPr>
          <w:rFonts w:hint="eastAsia" w:ascii="宋体" w:hAnsi="宋体" w:cs="宋体"/>
        </w:rPr>
        <w:t>比选公告</w:t>
      </w:r>
      <w:bookmarkEnd w:id="15"/>
    </w:p>
    <w:p>
      <w:pPr>
        <w:spacing w:line="440" w:lineRule="exact"/>
        <w:jc w:val="center"/>
        <w:rPr>
          <w:rFonts w:ascii="宋体" w:hAnsi="宋体" w:cs="宋体"/>
          <w:b/>
          <w:sz w:val="28"/>
          <w:szCs w:val="28"/>
        </w:rPr>
      </w:pPr>
      <w:bookmarkStart w:id="16" w:name="OLE_LINK2"/>
      <w:bookmarkStart w:id="17" w:name="OLE_LINK3"/>
    </w:p>
    <w:p>
      <w:pPr>
        <w:pStyle w:val="4"/>
        <w:spacing w:before="0" w:after="0" w:line="360" w:lineRule="auto"/>
        <w:rPr>
          <w:rFonts w:ascii="宋体" w:hAnsi="宋体" w:eastAsia="宋体" w:cs="宋体"/>
        </w:rPr>
      </w:pPr>
      <w:bookmarkStart w:id="18" w:name="_Toc10076"/>
      <w:bookmarkStart w:id="19" w:name="_Toc179632528"/>
      <w:bookmarkStart w:id="20" w:name="_Toc246996901"/>
      <w:bookmarkStart w:id="21" w:name="_Toc144974480"/>
      <w:bookmarkStart w:id="22" w:name="_Toc11329213"/>
      <w:bookmarkStart w:id="23" w:name="_Toc247085672"/>
      <w:bookmarkStart w:id="24" w:name="_Toc507319891"/>
      <w:bookmarkStart w:id="25" w:name="_Toc152042288"/>
      <w:bookmarkStart w:id="26" w:name="_Toc24874"/>
      <w:bookmarkStart w:id="27" w:name="_Toc6549"/>
      <w:bookmarkStart w:id="28" w:name="_Toc152045512"/>
      <w:bookmarkStart w:id="29" w:name="_Toc246996158"/>
      <w:r>
        <w:rPr>
          <w:rFonts w:hint="eastAsia" w:ascii="宋体" w:hAnsi="宋体" w:eastAsia="宋体" w:cs="宋体"/>
        </w:rPr>
        <w:t>1. 比选条件</w:t>
      </w:r>
      <w:bookmarkEnd w:id="18"/>
      <w:bookmarkEnd w:id="19"/>
      <w:bookmarkEnd w:id="20"/>
      <w:bookmarkEnd w:id="21"/>
      <w:bookmarkEnd w:id="22"/>
      <w:bookmarkEnd w:id="23"/>
      <w:bookmarkEnd w:id="24"/>
      <w:bookmarkEnd w:id="25"/>
      <w:bookmarkEnd w:id="26"/>
      <w:bookmarkEnd w:id="27"/>
      <w:bookmarkEnd w:id="28"/>
      <w:bookmarkEnd w:id="29"/>
    </w:p>
    <w:p>
      <w:pPr>
        <w:spacing w:line="400" w:lineRule="exact"/>
        <w:rPr>
          <w:rFonts w:ascii="宋体" w:hAnsi="宋体" w:cs="宋体"/>
          <w:szCs w:val="21"/>
        </w:rPr>
      </w:pPr>
      <w:r>
        <w:rPr>
          <w:rFonts w:hint="eastAsia" w:ascii="宋体" w:hAnsi="宋体" w:cs="宋体"/>
          <w:szCs w:val="21"/>
        </w:rPr>
        <w:t>　　本竞争性比选项目</w:t>
      </w:r>
      <w:r>
        <w:rPr>
          <w:rFonts w:hint="eastAsia" w:ascii="宋体" w:hAnsi="宋体" w:cs="宋体"/>
          <w:szCs w:val="21"/>
          <w:u w:val="single"/>
          <w:lang w:eastAsia="zh-CN"/>
        </w:rPr>
        <w:t>长大桥梁结构健康监测技术服务</w:t>
      </w:r>
      <w:r>
        <w:rPr>
          <w:rFonts w:hint="eastAsia" w:ascii="宋体" w:hAnsi="宋体" w:cs="宋体"/>
          <w:szCs w:val="21"/>
        </w:rPr>
        <w:t>，采购人为</w:t>
      </w:r>
      <w:r>
        <w:rPr>
          <w:rFonts w:hint="eastAsia" w:ascii="宋体" w:hAnsi="宋体" w:cs="宋体"/>
          <w:szCs w:val="21"/>
          <w:u w:val="single"/>
        </w:rPr>
        <w:t xml:space="preserve"> 重庆首讯科技股份有限公司 </w:t>
      </w:r>
      <w:r>
        <w:rPr>
          <w:rFonts w:hint="eastAsia" w:ascii="宋体" w:hAnsi="宋体" w:cs="宋体"/>
          <w:szCs w:val="21"/>
        </w:rPr>
        <w:t>，该项目已具备比选条件，现对该项目进行竞争性比选。</w:t>
      </w:r>
    </w:p>
    <w:p>
      <w:pPr>
        <w:pStyle w:val="4"/>
        <w:spacing w:before="120" w:after="0" w:line="360" w:lineRule="auto"/>
        <w:rPr>
          <w:rFonts w:ascii="宋体" w:hAnsi="宋体" w:eastAsia="宋体" w:cs="宋体"/>
        </w:rPr>
      </w:pPr>
      <w:bookmarkStart w:id="30" w:name="_Toc179632529"/>
      <w:bookmarkStart w:id="31" w:name="_Toc152045513"/>
      <w:bookmarkStart w:id="32" w:name="_Toc10952"/>
      <w:bookmarkStart w:id="33" w:name="_Toc11329214"/>
      <w:bookmarkStart w:id="34" w:name="_Toc144974481"/>
      <w:bookmarkStart w:id="35" w:name="_Toc18109"/>
      <w:bookmarkStart w:id="36" w:name="_Toc152042289"/>
      <w:bookmarkStart w:id="37" w:name="_Toc21343"/>
      <w:bookmarkStart w:id="38" w:name="_Toc246996902"/>
      <w:bookmarkStart w:id="39" w:name="_Toc507319892"/>
      <w:bookmarkStart w:id="40" w:name="_Toc246996159"/>
      <w:bookmarkStart w:id="41" w:name="_Toc247085673"/>
      <w:r>
        <w:rPr>
          <w:rFonts w:hint="eastAsia" w:ascii="宋体" w:hAnsi="宋体" w:eastAsia="宋体" w:cs="宋体"/>
        </w:rPr>
        <w:t>2. 项目概况与比选范围</w:t>
      </w:r>
      <w:bookmarkEnd w:id="30"/>
      <w:bookmarkEnd w:id="31"/>
      <w:bookmarkEnd w:id="32"/>
      <w:bookmarkEnd w:id="33"/>
      <w:bookmarkEnd w:id="34"/>
      <w:bookmarkEnd w:id="35"/>
      <w:bookmarkEnd w:id="36"/>
      <w:bookmarkEnd w:id="37"/>
      <w:bookmarkEnd w:id="38"/>
      <w:bookmarkEnd w:id="39"/>
      <w:bookmarkEnd w:id="40"/>
      <w:bookmarkEnd w:id="41"/>
    </w:p>
    <w:p>
      <w:pPr>
        <w:spacing w:line="360" w:lineRule="auto"/>
        <w:ind w:firstLine="420" w:firstLineChars="200"/>
        <w:rPr>
          <w:rFonts w:ascii="宋体" w:hAnsi="宋体" w:cs="宋体"/>
        </w:rPr>
      </w:pPr>
      <w:bookmarkStart w:id="42" w:name="_Toc446247226"/>
      <w:r>
        <w:rPr>
          <w:rFonts w:hint="eastAsia" w:ascii="宋体" w:hAnsi="宋体" w:cs="宋体"/>
        </w:rPr>
        <w:t>2.1 项目地点：</w:t>
      </w:r>
      <w:bookmarkEnd w:id="42"/>
      <w:r>
        <w:rPr>
          <w:rFonts w:hint="eastAsia" w:ascii="宋体" w:hAnsi="宋体" w:cs="宋体"/>
          <w:szCs w:val="21"/>
          <w:u w:val="single"/>
          <w:lang w:eastAsia="zh-CN"/>
        </w:rPr>
        <w:t>重庆</w:t>
      </w:r>
      <w:r>
        <w:rPr>
          <w:rFonts w:hint="eastAsia" w:ascii="宋体" w:hAnsi="宋体" w:cs="宋体"/>
          <w:szCs w:val="21"/>
          <w:u w:val="single"/>
          <w:lang w:val="en-US" w:eastAsia="zh-CN"/>
        </w:rPr>
        <w:t>高速公路各路段</w:t>
      </w:r>
      <w:r>
        <w:rPr>
          <w:rFonts w:hint="eastAsia" w:ascii="宋体" w:hAnsi="宋体" w:cs="宋体"/>
        </w:rPr>
        <w:t>。</w:t>
      </w:r>
    </w:p>
    <w:p>
      <w:pPr>
        <w:ind w:firstLine="420" w:firstLineChars="200"/>
        <w:rPr>
          <w:rFonts w:ascii="宋体" w:hAnsi="宋体" w:cs="宋体"/>
        </w:rPr>
      </w:pPr>
      <w:r>
        <w:rPr>
          <w:rFonts w:hint="eastAsia" w:ascii="宋体" w:hAnsi="宋体" w:cs="宋体"/>
          <w:szCs w:val="21"/>
        </w:rPr>
        <w:t>2.2 项目概况：本项目为长大桥梁结构健康监测技术服务</w:t>
      </w:r>
      <w:r>
        <w:rPr>
          <w:rFonts w:hint="eastAsia" w:ascii="宋体" w:hAnsi="宋体" w:cs="宋体"/>
          <w:szCs w:val="21"/>
          <w:lang w:val="en-US" w:eastAsia="zh-CN"/>
        </w:rPr>
        <w:t>项目</w:t>
      </w:r>
      <w:r>
        <w:rPr>
          <w:rFonts w:hint="eastAsia" w:ascii="宋体" w:hAnsi="宋体" w:cs="宋体"/>
          <w:szCs w:val="21"/>
          <w:highlight w:val="none"/>
          <w:lang w:val="en-US" w:eastAsia="zh-CN"/>
        </w:rPr>
        <w:t>所含内容，目前主要工作内容对重庆高速集团34座长大桥梁进行建设结构健康监测并出具相关报告。</w:t>
      </w:r>
    </w:p>
    <w:p>
      <w:pPr>
        <w:pStyle w:val="12"/>
        <w:adjustRightInd w:val="0"/>
        <w:spacing w:line="400" w:lineRule="exac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2.3 比选范围：围绕桥梁健康监测系统的实时监测情况，定期对桥梁服役状态做出总结性评估，及早发现结构安全隐患，辅助管理部门针对性地进行隐患排查，制定合理、主动、预防性的养护与管理措施，降低桥梁运营养护成本，延长桥梁使用年限。</w:t>
      </w:r>
    </w:p>
    <w:p>
      <w:pPr>
        <w:pStyle w:val="12"/>
        <w:adjustRightInd w:val="0"/>
        <w:spacing w:line="400" w:lineRule="exac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桥梁健康监测系统建成并投入使用后应定期形成桥梁健康安全监测报告，报告中应涉及以下内容：（1）对不同桥梁结构的工程概况、监测内容、测点布置、监测方法与仪器参数进行逐条梳理；（2）对温湿度、位移、结构动力特性等各项监测内容中的异常类型、报警情况以及监测数据统计分析等方面进行说明；（3）基于以上监测系统实际响应和数据分析情况总结桥梁结构监测结果；（4）形成桥梁结构监测结论与管养建议。含季度、半年、年分析报告</w:t>
      </w:r>
      <w:r>
        <w:rPr>
          <w:rFonts w:hint="eastAsia" w:ascii="宋体" w:hAnsi="宋体" w:cs="宋体"/>
          <w:kern w:val="2"/>
          <w:sz w:val="21"/>
          <w:szCs w:val="21"/>
          <w:lang w:val="en-US" w:eastAsia="zh-CN" w:bidi="ar-SA"/>
        </w:rPr>
        <w:t>，</w:t>
      </w:r>
      <w:r>
        <w:rPr>
          <w:rFonts w:hint="eastAsia"/>
          <w:color w:val="auto"/>
        </w:rPr>
        <w:t>详情见</w:t>
      </w:r>
      <w:r>
        <w:rPr>
          <w:rFonts w:hint="eastAsia"/>
          <w:color w:val="auto"/>
          <w:lang w:val="en-US" w:eastAsia="zh-CN"/>
        </w:rPr>
        <w:t>服务技术要求</w:t>
      </w:r>
      <w:r>
        <w:rPr>
          <w:rFonts w:hint="eastAsia" w:ascii="宋体" w:hAnsi="宋体" w:eastAsia="宋体" w:cs="宋体"/>
          <w:kern w:val="2"/>
          <w:sz w:val="21"/>
          <w:szCs w:val="21"/>
          <w:lang w:val="en-US" w:eastAsia="zh-CN" w:bidi="ar-SA"/>
        </w:rPr>
        <w:t xml:space="preserve">。 </w:t>
      </w:r>
    </w:p>
    <w:p>
      <w:pPr>
        <w:widowControl/>
        <w:spacing w:line="400" w:lineRule="atLeast"/>
        <w:ind w:firstLine="420"/>
        <w:rPr>
          <w:rFonts w:hint="default"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2.4 预计采购金额：</w:t>
      </w:r>
      <w:r>
        <w:rPr>
          <w:rFonts w:hint="eastAsia" w:ascii="宋体" w:hAnsi="宋体" w:cs="宋体"/>
          <w:kern w:val="2"/>
          <w:sz w:val="21"/>
          <w:szCs w:val="21"/>
          <w:highlight w:val="none"/>
          <w:lang w:val="en-US" w:eastAsia="zh-CN" w:bidi="ar-SA"/>
        </w:rPr>
        <w:t>1600000.00</w:t>
      </w:r>
      <w:r>
        <w:rPr>
          <w:rFonts w:hint="eastAsia" w:ascii="宋体" w:hAnsi="宋体" w:cs="宋体"/>
          <w:kern w:val="2"/>
          <w:sz w:val="21"/>
          <w:szCs w:val="21"/>
          <w:lang w:val="en-US" w:eastAsia="zh-CN" w:bidi="ar-SA"/>
        </w:rPr>
        <w:t>元。</w:t>
      </w:r>
    </w:p>
    <w:p>
      <w:pPr>
        <w:widowControl/>
        <w:spacing w:line="400" w:lineRule="atLeast"/>
        <w:ind w:firstLine="420"/>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 xml:space="preserve">2.5 </w:t>
      </w:r>
      <w:r>
        <w:rPr>
          <w:rFonts w:hint="eastAsia" w:ascii="宋体" w:hAnsi="宋体" w:cs="宋体"/>
          <w:kern w:val="2"/>
          <w:sz w:val="21"/>
          <w:szCs w:val="21"/>
          <w:lang w:val="en-US" w:eastAsia="zh-CN" w:bidi="ar-SA"/>
        </w:rPr>
        <w:t>服务期限</w:t>
      </w:r>
      <w:r>
        <w:rPr>
          <w:rFonts w:hint="eastAsia" w:ascii="宋体" w:hAnsi="宋体" w:eastAsia="宋体" w:cs="宋体"/>
          <w:kern w:val="2"/>
          <w:sz w:val="21"/>
          <w:szCs w:val="21"/>
          <w:lang w:val="en-US" w:eastAsia="zh-CN" w:bidi="ar-SA"/>
        </w:rPr>
        <w:t>：</w:t>
      </w:r>
      <w:r>
        <w:rPr>
          <w:rFonts w:hint="eastAsia" w:ascii="宋体" w:hAnsi="宋体" w:cs="宋体"/>
          <w:kern w:val="2"/>
          <w:sz w:val="21"/>
          <w:szCs w:val="21"/>
          <w:lang w:val="en-US" w:eastAsia="zh-CN" w:bidi="ar-SA"/>
        </w:rPr>
        <w:t>5年，具体开始时间</w:t>
      </w:r>
      <w:r>
        <w:rPr>
          <w:rFonts w:hint="eastAsia" w:ascii="宋体" w:hAnsi="宋体" w:eastAsia="宋体" w:cs="宋体"/>
          <w:kern w:val="2"/>
          <w:sz w:val="21"/>
          <w:szCs w:val="21"/>
          <w:lang w:val="en-US" w:eastAsia="zh-CN" w:bidi="ar-SA"/>
        </w:rPr>
        <w:t>以甲方实际下达的通知为准。</w:t>
      </w:r>
    </w:p>
    <w:p>
      <w:pPr>
        <w:widowControl/>
        <w:spacing w:line="400" w:lineRule="atLeast"/>
        <w:ind w:firstLine="420"/>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2.6 标段划分：</w:t>
      </w:r>
      <w:r>
        <w:rPr>
          <w:rFonts w:hint="eastAsia" w:ascii="宋体" w:hAnsi="宋体" w:eastAsia="宋体" w:cs="宋体"/>
          <w:b w:val="0"/>
          <w:kern w:val="2"/>
          <w:sz w:val="21"/>
          <w:szCs w:val="21"/>
          <w:highlight w:val="none"/>
          <w:lang w:val="en-US" w:eastAsia="zh-CN" w:bidi="ar"/>
        </w:rPr>
        <w:t>本项目划分为一个标段</w:t>
      </w:r>
      <w:r>
        <w:rPr>
          <w:rFonts w:hint="eastAsia" w:ascii="宋体" w:hAnsi="宋体" w:cs="宋体"/>
          <w:b w:val="0"/>
          <w:kern w:val="2"/>
          <w:sz w:val="21"/>
          <w:szCs w:val="21"/>
          <w:highlight w:val="none"/>
          <w:lang w:val="en-US" w:eastAsia="zh-CN" w:bidi="ar"/>
        </w:rPr>
        <w:t>。</w:t>
      </w:r>
    </w:p>
    <w:p>
      <w:pPr>
        <w:widowControl/>
        <w:spacing w:line="400" w:lineRule="atLeast"/>
        <w:ind w:firstLine="420"/>
        <w:rPr>
          <w:rFonts w:hint="default"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 xml:space="preserve">2.7 </w:t>
      </w:r>
      <w:r>
        <w:rPr>
          <w:rFonts w:hint="eastAsia" w:ascii="宋体" w:hAnsi="宋体" w:cs="宋体"/>
          <w:b w:val="0"/>
          <w:kern w:val="2"/>
          <w:sz w:val="21"/>
          <w:szCs w:val="21"/>
          <w:highlight w:val="none"/>
          <w:lang w:val="en-US" w:eastAsia="zh-CN" w:bidi="ar"/>
        </w:rPr>
        <w:t>评分办法：综合评估法</w:t>
      </w:r>
    </w:p>
    <w:p>
      <w:pPr>
        <w:pStyle w:val="4"/>
        <w:spacing w:before="120" w:after="0" w:line="360" w:lineRule="auto"/>
        <w:rPr>
          <w:rFonts w:ascii="宋体" w:hAnsi="宋体" w:eastAsia="宋体" w:cs="宋体"/>
        </w:rPr>
      </w:pPr>
      <w:bookmarkStart w:id="43" w:name="_Toc507319893"/>
      <w:bookmarkStart w:id="44" w:name="_Toc30356"/>
      <w:bookmarkStart w:id="45" w:name="_Toc144974482"/>
      <w:bookmarkStart w:id="46" w:name="_Toc152042290"/>
      <w:bookmarkStart w:id="47" w:name="_Toc246996160"/>
      <w:bookmarkStart w:id="48" w:name="_Toc246996903"/>
      <w:bookmarkStart w:id="49" w:name="_Toc247085674"/>
      <w:bookmarkStart w:id="50" w:name="_Toc179632530"/>
      <w:bookmarkStart w:id="51" w:name="_Toc10171"/>
      <w:bookmarkStart w:id="52" w:name="_Toc152045514"/>
      <w:bookmarkStart w:id="53" w:name="_Toc11329215"/>
      <w:bookmarkStart w:id="54" w:name="_Toc7065"/>
      <w:r>
        <w:rPr>
          <w:rFonts w:hint="eastAsia" w:ascii="宋体" w:hAnsi="宋体" w:eastAsia="宋体" w:cs="宋体"/>
        </w:rPr>
        <w:t>3. 报价人资格要求</w:t>
      </w:r>
      <w:bookmarkEnd w:id="43"/>
      <w:bookmarkEnd w:id="44"/>
      <w:bookmarkEnd w:id="45"/>
      <w:bookmarkEnd w:id="46"/>
      <w:bookmarkEnd w:id="47"/>
      <w:bookmarkEnd w:id="48"/>
      <w:bookmarkEnd w:id="49"/>
      <w:bookmarkEnd w:id="50"/>
      <w:bookmarkEnd w:id="51"/>
      <w:bookmarkEnd w:id="52"/>
      <w:bookmarkEnd w:id="53"/>
      <w:bookmarkEnd w:id="54"/>
    </w:p>
    <w:p>
      <w:pPr>
        <w:ind w:firstLine="420" w:firstLineChars="200"/>
        <w:rPr>
          <w:rFonts w:hint="eastAsia" w:ascii="宋体" w:hAnsi="宋体" w:cs="宋体"/>
          <w:szCs w:val="21"/>
          <w:highlight w:val="none"/>
          <w:shd w:val="clear" w:color="auto" w:fill="FFFFFF"/>
        </w:rPr>
      </w:pPr>
      <w:bookmarkStart w:id="55" w:name="_Toc144974483"/>
      <w:bookmarkStart w:id="56" w:name="_Toc152042291"/>
      <w:bookmarkStart w:id="57" w:name="_Toc247085675"/>
      <w:bookmarkStart w:id="58" w:name="_Toc179632531"/>
      <w:bookmarkStart w:id="59" w:name="_Toc246996904"/>
      <w:bookmarkStart w:id="60" w:name="_Toc152045515"/>
      <w:bookmarkStart w:id="61" w:name="_Toc246996161"/>
      <w:r>
        <w:rPr>
          <w:rFonts w:hint="eastAsia" w:ascii="宋体" w:hAnsi="宋体" w:cs="宋体"/>
          <w:szCs w:val="21"/>
          <w:highlight w:val="none"/>
          <w:shd w:val="clear" w:color="auto" w:fill="FFFFFF"/>
        </w:rPr>
        <w:t>3.1 资质要求（以下资质文件若因疫情影响过期无法办理延续手续，需附相关行政部门下发的延期办理文件）：</w:t>
      </w:r>
    </w:p>
    <w:p>
      <w:pPr>
        <w:ind w:firstLine="420" w:firstLineChars="200"/>
        <w:rPr>
          <w:rFonts w:hint="eastAsia" w:ascii="宋体" w:hAnsi="宋体" w:cs="宋体"/>
          <w:szCs w:val="21"/>
          <w:highlight w:val="none"/>
          <w:shd w:val="clear" w:color="auto" w:fill="FFFFFF"/>
          <w:lang w:eastAsia="zh-CN"/>
        </w:rPr>
      </w:pPr>
      <w:r>
        <w:rPr>
          <w:rFonts w:hint="eastAsia" w:ascii="宋体" w:hAnsi="宋体" w:cs="宋体"/>
          <w:szCs w:val="21"/>
          <w:highlight w:val="none"/>
          <w:shd w:val="clear" w:color="auto" w:fill="FFFFFF"/>
          <w:lang w:eastAsia="zh-CN"/>
        </w:rPr>
        <w:t>（</w:t>
      </w:r>
      <w:r>
        <w:rPr>
          <w:rFonts w:hint="eastAsia" w:ascii="宋体" w:hAnsi="宋体" w:cs="宋体"/>
          <w:szCs w:val="21"/>
          <w:highlight w:val="none"/>
          <w:shd w:val="clear" w:color="auto" w:fill="FFFFFF"/>
          <w:lang w:val="en-US" w:eastAsia="zh-CN"/>
        </w:rPr>
        <w:t>1</w:t>
      </w:r>
      <w:r>
        <w:rPr>
          <w:rFonts w:hint="eastAsia" w:ascii="宋体" w:hAnsi="宋体" w:cs="宋体"/>
          <w:szCs w:val="21"/>
          <w:highlight w:val="none"/>
          <w:shd w:val="clear" w:color="auto" w:fill="FFFFFF"/>
          <w:lang w:eastAsia="zh-CN"/>
        </w:rPr>
        <w:t>）具备独立法人资格；</w:t>
      </w:r>
    </w:p>
    <w:p>
      <w:pPr>
        <w:ind w:firstLine="420" w:firstLineChars="200"/>
        <w:rPr>
          <w:rFonts w:hint="eastAsia" w:ascii="宋体" w:hAnsi="宋体" w:cs="宋体"/>
          <w:szCs w:val="21"/>
          <w:highlight w:val="none"/>
          <w:shd w:val="clear" w:color="auto" w:fill="FFFFFF"/>
          <w:lang w:eastAsia="zh-CN"/>
        </w:rPr>
      </w:pPr>
      <w:r>
        <w:rPr>
          <w:rFonts w:hint="eastAsia" w:ascii="宋体" w:hAnsi="宋体" w:cs="宋体"/>
          <w:szCs w:val="21"/>
          <w:highlight w:val="none"/>
          <w:shd w:val="clear" w:color="auto" w:fill="FFFFFF"/>
          <w:lang w:eastAsia="zh-CN"/>
        </w:rPr>
        <w:t>（</w:t>
      </w:r>
      <w:r>
        <w:rPr>
          <w:rFonts w:hint="eastAsia" w:ascii="宋体" w:hAnsi="宋体" w:cs="宋体"/>
          <w:szCs w:val="21"/>
          <w:highlight w:val="none"/>
          <w:shd w:val="clear" w:color="auto" w:fill="FFFFFF"/>
          <w:lang w:val="en-US" w:eastAsia="zh-CN"/>
        </w:rPr>
        <w:t>2</w:t>
      </w:r>
      <w:r>
        <w:rPr>
          <w:rFonts w:hint="eastAsia" w:ascii="宋体" w:hAnsi="宋体" w:cs="宋体"/>
          <w:szCs w:val="21"/>
          <w:highlight w:val="none"/>
          <w:shd w:val="clear" w:color="auto" w:fill="FFFFFF"/>
          <w:lang w:eastAsia="zh-CN"/>
        </w:rPr>
        <w:t>）具有有效的营业执照；</w:t>
      </w:r>
    </w:p>
    <w:p>
      <w:pPr>
        <w:ind w:firstLine="420" w:firstLineChars="200"/>
        <w:rPr>
          <w:rFonts w:hint="eastAsia" w:ascii="宋体" w:hAnsi="宋体" w:cs="宋体"/>
          <w:szCs w:val="21"/>
          <w:highlight w:val="none"/>
          <w:shd w:val="clear" w:color="auto" w:fill="FFFFFF"/>
          <w:lang w:eastAsia="zh-CN"/>
        </w:rPr>
      </w:pPr>
      <w:r>
        <w:rPr>
          <w:rFonts w:hint="eastAsia" w:ascii="宋体" w:hAnsi="宋体" w:cs="宋体"/>
          <w:szCs w:val="21"/>
          <w:highlight w:val="none"/>
          <w:shd w:val="clear" w:color="auto" w:fill="FFFFFF"/>
          <w:lang w:eastAsia="zh-CN"/>
        </w:rPr>
        <w:t>（</w:t>
      </w:r>
      <w:r>
        <w:rPr>
          <w:rFonts w:hint="eastAsia" w:ascii="宋体" w:hAnsi="宋体" w:cs="宋体"/>
          <w:szCs w:val="21"/>
          <w:highlight w:val="none"/>
          <w:shd w:val="clear" w:color="auto" w:fill="FFFFFF"/>
          <w:lang w:val="en-US" w:eastAsia="zh-CN"/>
        </w:rPr>
        <w:t>3</w:t>
      </w:r>
      <w:r>
        <w:rPr>
          <w:rFonts w:hint="eastAsia" w:ascii="宋体" w:hAnsi="宋体" w:cs="宋体"/>
          <w:szCs w:val="21"/>
          <w:highlight w:val="none"/>
          <w:shd w:val="clear" w:color="auto" w:fill="FFFFFF"/>
          <w:lang w:eastAsia="zh-CN"/>
        </w:rPr>
        <w:t>）报价人具有交通运输部工程质量监督机构核发有效的《公路水运工程试验检测机构等级证书》公路工程桥梁隧道工程专项试验检测机构等级证书；</w:t>
      </w:r>
    </w:p>
    <w:p>
      <w:pPr>
        <w:spacing w:line="400" w:lineRule="exact"/>
        <w:ind w:firstLine="420" w:firstLineChars="200"/>
        <w:rPr>
          <w:rFonts w:hint="default" w:ascii="宋体" w:hAnsi="宋体" w:eastAsia="宋体" w:cs="宋体"/>
          <w:szCs w:val="21"/>
          <w:highlight w:val="none"/>
          <w:shd w:val="clear" w:color="auto" w:fill="FFFFFF"/>
          <w:lang w:val="en-US" w:eastAsia="zh-CN"/>
        </w:rPr>
      </w:pPr>
      <w:r>
        <w:rPr>
          <w:rFonts w:hint="eastAsia" w:ascii="宋体" w:hAnsi="宋体" w:cs="宋体"/>
          <w:szCs w:val="21"/>
          <w:highlight w:val="none"/>
          <w:shd w:val="clear" w:color="auto" w:fill="FFFFFF"/>
        </w:rPr>
        <w:t xml:space="preserve">3.2 </w:t>
      </w:r>
      <w:r>
        <w:rPr>
          <w:rFonts w:hint="eastAsia" w:ascii="宋体" w:hAnsi="宋体" w:cs="宋体"/>
          <w:szCs w:val="21"/>
          <w:highlight w:val="none"/>
          <w:shd w:val="clear" w:color="auto" w:fill="FFFFFF"/>
          <w:lang w:val="en-US" w:eastAsia="zh-CN"/>
        </w:rPr>
        <w:t>业绩要求：2019年1月1日至报价截止日期（以合同签订时间为准）至少承担一项合同额不低于100万的桥梁健康监测项目服务业绩。（提供合同扫描件，若合同扫描件无法证明关键信息的，可提供业主证明材料）；</w:t>
      </w:r>
    </w:p>
    <w:p>
      <w:pPr>
        <w:spacing w:line="400" w:lineRule="exact"/>
        <w:ind w:firstLine="420" w:firstLineChars="200"/>
        <w:rPr>
          <w:rFonts w:ascii="宋体" w:hAnsi="宋体" w:cs="宋体"/>
          <w:szCs w:val="21"/>
          <w:highlight w:val="none"/>
          <w:shd w:val="clear" w:color="auto" w:fill="FFFFFF"/>
        </w:rPr>
      </w:pPr>
      <w:r>
        <w:rPr>
          <w:rFonts w:hint="eastAsia" w:ascii="宋体" w:hAnsi="宋体" w:cs="宋体"/>
          <w:szCs w:val="21"/>
          <w:highlight w:val="none"/>
          <w:shd w:val="clear" w:color="auto" w:fill="FFFFFF"/>
          <w:lang w:val="en-US" w:eastAsia="zh-CN"/>
        </w:rPr>
        <w:t xml:space="preserve">3.3 </w:t>
      </w:r>
      <w:r>
        <w:rPr>
          <w:rFonts w:hint="eastAsia" w:ascii="宋体" w:hAnsi="宋体" w:cs="宋体"/>
          <w:szCs w:val="21"/>
          <w:highlight w:val="none"/>
          <w:shd w:val="clear" w:color="auto" w:fill="FFFFFF"/>
        </w:rPr>
        <w:t>信誉要求：在国家企业信用信息公示系统（http://www.gsxt.gov.cn/）中未被列入严重违法失信企业名单（黑名单）信息；在“信用中国”网站（http://www.creditchina.gov.cn/）中未被列入失信惩戒执行人名单。</w:t>
      </w:r>
    </w:p>
    <w:p>
      <w:pPr>
        <w:spacing w:line="400" w:lineRule="exact"/>
        <w:ind w:firstLine="420" w:firstLineChars="20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3.</w:t>
      </w:r>
      <w:r>
        <w:rPr>
          <w:rFonts w:hint="eastAsia" w:ascii="宋体" w:hAnsi="宋体" w:cs="宋体"/>
          <w:szCs w:val="21"/>
          <w:highlight w:val="none"/>
          <w:shd w:val="clear" w:color="auto" w:fill="FFFFFF"/>
          <w:lang w:val="en-US" w:eastAsia="zh-CN"/>
        </w:rPr>
        <w:t>4</w:t>
      </w:r>
      <w:r>
        <w:rPr>
          <w:rFonts w:hint="eastAsia" w:ascii="宋体" w:hAnsi="宋体" w:cs="宋体"/>
          <w:szCs w:val="21"/>
          <w:highlight w:val="none"/>
          <w:shd w:val="clear" w:color="auto" w:fill="FFFFFF"/>
        </w:rPr>
        <w:t xml:space="preserve"> </w:t>
      </w:r>
      <w:r>
        <w:rPr>
          <w:rFonts w:hint="eastAsia" w:ascii="宋体" w:hAnsi="宋体" w:eastAsia="宋体" w:cs="宋体"/>
          <w:kern w:val="2"/>
          <w:sz w:val="21"/>
          <w:szCs w:val="21"/>
          <w:highlight w:val="none"/>
          <w:shd w:val="clear" w:fill="FFFFFF"/>
          <w:lang w:val="en-US" w:eastAsia="zh-CN" w:bidi="ar"/>
        </w:rPr>
        <w:t>报价人须提供采购人要求的所有资质要求、业绩要求、信誉要求的复印件并加盖单位公章。</w:t>
      </w:r>
    </w:p>
    <w:p>
      <w:pPr>
        <w:spacing w:line="400" w:lineRule="exact"/>
        <w:ind w:firstLine="420" w:firstLineChars="200"/>
        <w:rPr>
          <w:rFonts w:ascii="宋体" w:hAnsi="宋体" w:cs="宋体"/>
          <w:szCs w:val="21"/>
          <w:highlight w:val="none"/>
          <w:shd w:val="clear" w:color="auto" w:fill="FFFFFF"/>
        </w:rPr>
      </w:pPr>
      <w:r>
        <w:rPr>
          <w:rFonts w:hint="eastAsia" w:ascii="宋体" w:hAnsi="宋体" w:cs="宋体"/>
          <w:szCs w:val="21"/>
          <w:highlight w:val="none"/>
          <w:shd w:val="clear" w:color="auto" w:fill="FFFFFF"/>
          <w:lang w:val="en-US" w:eastAsia="zh-CN"/>
        </w:rPr>
        <w:t xml:space="preserve">3.5 </w:t>
      </w:r>
      <w:r>
        <w:rPr>
          <w:rFonts w:hint="eastAsia" w:ascii="宋体" w:hAnsi="宋体" w:cs="宋体"/>
          <w:szCs w:val="21"/>
          <w:highlight w:val="none"/>
          <w:shd w:val="clear" w:color="auto" w:fill="FFFFFF"/>
        </w:rPr>
        <w:t>本次比选不接受联合体报价。</w:t>
      </w:r>
    </w:p>
    <w:p>
      <w:pPr>
        <w:pStyle w:val="4"/>
        <w:spacing w:before="120" w:after="0" w:line="400" w:lineRule="exact"/>
        <w:rPr>
          <w:rFonts w:ascii="宋体" w:hAnsi="宋体" w:eastAsia="宋体" w:cs="宋体"/>
        </w:rPr>
      </w:pPr>
      <w:bookmarkStart w:id="62" w:name="_Toc25619"/>
      <w:bookmarkStart w:id="63" w:name="_Toc12460"/>
      <w:bookmarkStart w:id="64" w:name="_Toc14361"/>
      <w:bookmarkStart w:id="65" w:name="_Toc507319894"/>
      <w:bookmarkStart w:id="66" w:name="_Toc11329216"/>
      <w:r>
        <w:rPr>
          <w:rFonts w:hint="eastAsia" w:ascii="宋体" w:hAnsi="宋体" w:eastAsia="宋体" w:cs="宋体"/>
        </w:rPr>
        <w:t>4. 比选文件的获取</w:t>
      </w:r>
      <w:bookmarkEnd w:id="55"/>
      <w:bookmarkEnd w:id="56"/>
      <w:bookmarkEnd w:id="57"/>
      <w:bookmarkEnd w:id="58"/>
      <w:bookmarkEnd w:id="59"/>
      <w:bookmarkEnd w:id="60"/>
      <w:bookmarkEnd w:id="61"/>
      <w:bookmarkEnd w:id="62"/>
      <w:bookmarkEnd w:id="63"/>
      <w:bookmarkEnd w:id="64"/>
      <w:bookmarkEnd w:id="65"/>
      <w:bookmarkEnd w:id="66"/>
    </w:p>
    <w:p>
      <w:pPr>
        <w:spacing w:line="360" w:lineRule="auto"/>
        <w:ind w:firstLine="420" w:firstLineChars="200"/>
        <w:rPr>
          <w:rFonts w:ascii="宋体" w:hAnsi="宋体"/>
          <w:szCs w:val="21"/>
        </w:rPr>
      </w:pPr>
      <w:bookmarkStart w:id="67" w:name="_Toc507319895"/>
      <w:bookmarkStart w:id="68" w:name="_Toc179632532"/>
      <w:bookmarkStart w:id="69" w:name="_Toc246996162"/>
      <w:bookmarkStart w:id="70" w:name="_Toc247085676"/>
      <w:bookmarkStart w:id="71" w:name="_Toc152045516"/>
      <w:bookmarkStart w:id="72" w:name="_Toc246996905"/>
      <w:bookmarkStart w:id="73" w:name="_Toc11329217"/>
      <w:bookmarkStart w:id="74" w:name="_Toc144974484"/>
      <w:bookmarkStart w:id="75" w:name="_Toc152042292"/>
      <w:r>
        <w:rPr>
          <w:rFonts w:ascii="宋体" w:hAnsi="宋体"/>
          <w:szCs w:val="21"/>
        </w:rPr>
        <w:t>凡愿意参加的潜在</w:t>
      </w:r>
      <w:r>
        <w:rPr>
          <w:rFonts w:hint="eastAsia" w:ascii="宋体" w:hAnsi="宋体"/>
          <w:szCs w:val="21"/>
        </w:rPr>
        <w:t>报价</w:t>
      </w:r>
      <w:r>
        <w:rPr>
          <w:rFonts w:ascii="宋体" w:hAnsi="宋体"/>
          <w:szCs w:val="21"/>
        </w:rPr>
        <w:t>人，</w:t>
      </w:r>
      <w:r>
        <w:rPr>
          <w:rFonts w:hint="eastAsia" w:ascii="宋体" w:hAnsi="宋体"/>
          <w:szCs w:val="21"/>
        </w:rPr>
        <w:t>在</w:t>
      </w:r>
      <w:r>
        <w:rPr>
          <w:rFonts w:hint="eastAsia" w:ascii="宋体" w:hAnsi="宋体"/>
          <w:szCs w:val="21"/>
          <w:highlight w:val="none"/>
          <w:u w:val="single"/>
        </w:rPr>
        <w:t>202</w:t>
      </w:r>
      <w:r>
        <w:rPr>
          <w:rFonts w:hint="eastAsia" w:ascii="宋体" w:hAnsi="宋体"/>
          <w:szCs w:val="21"/>
          <w:highlight w:val="none"/>
          <w:u w:val="single"/>
          <w:lang w:val="en-US" w:eastAsia="zh-CN"/>
        </w:rPr>
        <w:t>4</w:t>
      </w:r>
      <w:r>
        <w:rPr>
          <w:rFonts w:hint="eastAsia" w:ascii="宋体" w:hAnsi="宋体"/>
          <w:szCs w:val="21"/>
          <w:highlight w:val="none"/>
        </w:rPr>
        <w:t>年</w:t>
      </w:r>
      <w:r>
        <w:rPr>
          <w:rFonts w:hint="default" w:ascii="宋体" w:hAnsi="宋体"/>
          <w:szCs w:val="21"/>
          <w:highlight w:val="none"/>
          <w:u w:val="single"/>
        </w:rPr>
        <w:t xml:space="preserve"> </w:t>
      </w:r>
      <w:r>
        <w:rPr>
          <w:rFonts w:hint="eastAsia" w:ascii="宋体" w:hAnsi="宋体"/>
          <w:szCs w:val="21"/>
          <w:highlight w:val="none"/>
          <w:u w:val="single"/>
          <w:lang w:val="en-US" w:eastAsia="zh-CN"/>
        </w:rPr>
        <w:t>6</w:t>
      </w:r>
      <w:r>
        <w:rPr>
          <w:rFonts w:hint="eastAsia" w:ascii="宋体" w:hAnsi="宋体"/>
          <w:szCs w:val="21"/>
          <w:highlight w:val="none"/>
        </w:rPr>
        <w:t>月</w:t>
      </w:r>
      <w:r>
        <w:rPr>
          <w:rFonts w:hint="eastAsia" w:ascii="宋体" w:hAnsi="宋体"/>
          <w:szCs w:val="21"/>
          <w:highlight w:val="none"/>
          <w:u w:val="single"/>
        </w:rPr>
        <w:t xml:space="preserve"> </w:t>
      </w:r>
      <w:r>
        <w:rPr>
          <w:rFonts w:hint="eastAsia" w:ascii="宋体" w:hAnsi="宋体"/>
          <w:szCs w:val="21"/>
          <w:highlight w:val="none"/>
          <w:u w:val="single"/>
          <w:lang w:val="en-US" w:eastAsia="zh-CN"/>
        </w:rPr>
        <w:t>28</w:t>
      </w:r>
      <w:r>
        <w:rPr>
          <w:rFonts w:hint="eastAsia" w:ascii="宋体" w:hAnsi="宋体"/>
          <w:szCs w:val="21"/>
          <w:highlight w:val="none"/>
          <w:u w:val="single"/>
        </w:rPr>
        <w:t xml:space="preserve"> </w:t>
      </w:r>
      <w:r>
        <w:rPr>
          <w:rFonts w:hint="eastAsia" w:ascii="宋体" w:hAnsi="宋体"/>
          <w:szCs w:val="21"/>
          <w:highlight w:val="none"/>
        </w:rPr>
        <w:t>日</w:t>
      </w:r>
      <w:r>
        <w:rPr>
          <w:rFonts w:hint="eastAsia" w:ascii="宋体" w:hAnsi="宋体"/>
          <w:szCs w:val="21"/>
          <w:highlight w:val="none"/>
          <w:lang w:val="en-US" w:eastAsia="zh-CN"/>
        </w:rPr>
        <w:t>上</w:t>
      </w:r>
      <w:r>
        <w:rPr>
          <w:rFonts w:hint="eastAsia" w:ascii="宋体" w:hAnsi="宋体"/>
          <w:szCs w:val="21"/>
          <w:highlight w:val="none"/>
        </w:rPr>
        <w:t>午</w:t>
      </w:r>
      <w:r>
        <w:rPr>
          <w:rFonts w:hint="eastAsia" w:ascii="宋体" w:hAnsi="宋体"/>
          <w:szCs w:val="21"/>
          <w:highlight w:val="none"/>
          <w:u w:val="single"/>
        </w:rPr>
        <w:t>1</w:t>
      </w:r>
      <w:r>
        <w:rPr>
          <w:rFonts w:hint="eastAsia" w:ascii="宋体" w:hAnsi="宋体"/>
          <w:szCs w:val="21"/>
          <w:highlight w:val="none"/>
          <w:u w:val="single"/>
          <w:lang w:val="en-US" w:eastAsia="zh-CN"/>
        </w:rPr>
        <w:t>1</w:t>
      </w:r>
      <w:r>
        <w:rPr>
          <w:rFonts w:hint="eastAsia" w:ascii="宋体" w:hAnsi="宋体"/>
          <w:szCs w:val="21"/>
          <w:highlight w:val="none"/>
          <w:u w:val="single"/>
        </w:rPr>
        <w:t>:</w:t>
      </w:r>
      <w:r>
        <w:rPr>
          <w:rFonts w:hint="eastAsia" w:ascii="宋体" w:hAnsi="宋体"/>
          <w:szCs w:val="21"/>
          <w:highlight w:val="none"/>
          <w:u w:val="single"/>
          <w:lang w:val="en-US" w:eastAsia="zh-CN"/>
        </w:rPr>
        <w:t>0</w:t>
      </w:r>
      <w:r>
        <w:rPr>
          <w:rFonts w:hint="eastAsia" w:ascii="宋体" w:hAnsi="宋体"/>
          <w:szCs w:val="21"/>
          <w:highlight w:val="none"/>
          <w:u w:val="single"/>
        </w:rPr>
        <w:t>0</w:t>
      </w:r>
      <w:r>
        <w:rPr>
          <w:rFonts w:hint="eastAsia" w:ascii="宋体" w:hAnsi="宋体"/>
          <w:szCs w:val="21"/>
          <w:highlight w:val="none"/>
        </w:rPr>
        <w:t>前</w:t>
      </w:r>
      <w:r>
        <w:rPr>
          <w:rFonts w:hint="eastAsia" w:ascii="宋体" w:hAnsi="宋体"/>
          <w:szCs w:val="21"/>
        </w:rPr>
        <w:t>在重庆高速集团官网平台上获取报价文件，各报价人应随时关注网上发布的竞争性比选文件答疑、补遗、澄清等文件内容，不管报价人是否下载，均视为已知晓竞争性比选文件的全部内容和有关事宜。</w:t>
      </w:r>
    </w:p>
    <w:bookmarkEnd w:id="67"/>
    <w:bookmarkEnd w:id="68"/>
    <w:bookmarkEnd w:id="69"/>
    <w:bookmarkEnd w:id="70"/>
    <w:bookmarkEnd w:id="71"/>
    <w:bookmarkEnd w:id="72"/>
    <w:bookmarkEnd w:id="73"/>
    <w:bookmarkEnd w:id="74"/>
    <w:bookmarkEnd w:id="75"/>
    <w:p>
      <w:pPr>
        <w:pStyle w:val="4"/>
        <w:spacing w:before="120" w:after="0" w:line="400" w:lineRule="exact"/>
        <w:rPr>
          <w:rFonts w:ascii="宋体" w:hAnsi="宋体" w:eastAsia="宋体" w:cs="宋体"/>
          <w:highlight w:val="none"/>
        </w:rPr>
      </w:pPr>
      <w:r>
        <w:rPr>
          <w:rFonts w:hint="eastAsia" w:ascii="宋体" w:hAnsi="宋体" w:eastAsia="宋体" w:cs="宋体"/>
          <w:highlight w:val="none"/>
        </w:rPr>
        <w:t>5. 竞争性比选响应文件的递交及相关事宜</w:t>
      </w:r>
    </w:p>
    <w:p>
      <w:pPr>
        <w:tabs>
          <w:tab w:val="left" w:pos="360"/>
        </w:tabs>
        <w:spacing w:line="400" w:lineRule="exact"/>
        <w:ind w:firstLine="420" w:firstLineChars="200"/>
        <w:rPr>
          <w:rFonts w:ascii="宋体" w:hAnsi="宋体" w:cs="宋体"/>
          <w:szCs w:val="21"/>
          <w:highlight w:val="none"/>
        </w:rPr>
      </w:pPr>
      <w:r>
        <w:rPr>
          <w:rFonts w:hint="eastAsia" w:ascii="宋体" w:hAnsi="宋体" w:cs="宋体"/>
          <w:szCs w:val="21"/>
          <w:highlight w:val="none"/>
        </w:rPr>
        <w:t>5.1</w:t>
      </w:r>
      <w:r>
        <w:rPr>
          <w:rFonts w:hint="default" w:ascii="宋体" w:hAnsi="宋体" w:cs="宋体"/>
          <w:szCs w:val="21"/>
          <w:highlight w:val="none"/>
        </w:rPr>
        <w:t xml:space="preserve"> </w:t>
      </w:r>
      <w:r>
        <w:rPr>
          <w:rFonts w:hint="eastAsia" w:ascii="宋体" w:hAnsi="宋体" w:cs="宋体"/>
          <w:szCs w:val="21"/>
          <w:highlight w:val="none"/>
        </w:rPr>
        <w:t>报价截止时间和开标时间：</w:t>
      </w:r>
      <w:r>
        <w:rPr>
          <w:rFonts w:hint="eastAsia" w:ascii="宋体" w:hAnsi="宋体"/>
          <w:szCs w:val="21"/>
          <w:highlight w:val="none"/>
          <w:u w:val="single"/>
        </w:rPr>
        <w:t>202</w:t>
      </w:r>
      <w:r>
        <w:rPr>
          <w:rFonts w:hint="eastAsia" w:ascii="宋体" w:hAnsi="宋体"/>
          <w:szCs w:val="21"/>
          <w:highlight w:val="none"/>
          <w:u w:val="single"/>
          <w:lang w:val="en-US" w:eastAsia="zh-CN"/>
        </w:rPr>
        <w:t>4</w:t>
      </w:r>
      <w:r>
        <w:rPr>
          <w:rFonts w:hint="eastAsia" w:ascii="宋体" w:hAnsi="宋体"/>
          <w:szCs w:val="21"/>
          <w:highlight w:val="none"/>
        </w:rPr>
        <w:t>年</w:t>
      </w:r>
      <w:r>
        <w:rPr>
          <w:rFonts w:hint="eastAsia" w:ascii="宋体" w:hAnsi="宋体"/>
          <w:szCs w:val="21"/>
          <w:highlight w:val="none"/>
          <w:u w:val="single"/>
          <w:lang w:val="en-US" w:eastAsia="zh-CN"/>
        </w:rPr>
        <w:t>6</w:t>
      </w:r>
      <w:r>
        <w:rPr>
          <w:rFonts w:hint="eastAsia" w:ascii="宋体" w:hAnsi="宋体"/>
          <w:szCs w:val="21"/>
          <w:highlight w:val="none"/>
        </w:rPr>
        <w:t>月</w:t>
      </w:r>
      <w:r>
        <w:rPr>
          <w:rFonts w:hint="eastAsia" w:ascii="宋体" w:hAnsi="宋体"/>
          <w:szCs w:val="21"/>
          <w:highlight w:val="none"/>
          <w:u w:val="single"/>
          <w:lang w:val="en-US" w:eastAsia="zh-CN"/>
        </w:rPr>
        <w:t xml:space="preserve"> 28</w:t>
      </w:r>
      <w:r>
        <w:rPr>
          <w:rFonts w:hint="eastAsia" w:ascii="宋体" w:hAnsi="宋体"/>
          <w:szCs w:val="21"/>
          <w:highlight w:val="none"/>
        </w:rPr>
        <w:t>日上午</w:t>
      </w:r>
      <w:r>
        <w:rPr>
          <w:rFonts w:hint="eastAsia" w:ascii="宋体" w:hAnsi="宋体"/>
          <w:szCs w:val="21"/>
          <w:highlight w:val="none"/>
          <w:u w:val="single"/>
        </w:rPr>
        <w:t>1</w:t>
      </w:r>
      <w:r>
        <w:rPr>
          <w:rFonts w:hint="eastAsia" w:ascii="宋体" w:hAnsi="宋体"/>
          <w:szCs w:val="21"/>
          <w:highlight w:val="none"/>
          <w:u w:val="single"/>
          <w:lang w:val="en-US" w:eastAsia="zh-CN"/>
        </w:rPr>
        <w:t>1</w:t>
      </w:r>
      <w:r>
        <w:rPr>
          <w:rFonts w:hint="eastAsia" w:ascii="宋体" w:hAnsi="宋体" w:cs="宋体"/>
          <w:szCs w:val="21"/>
          <w:highlight w:val="none"/>
        </w:rPr>
        <w:t>时</w:t>
      </w:r>
      <w:r>
        <w:rPr>
          <w:rFonts w:hint="eastAsia" w:ascii="宋体" w:hAnsi="宋体" w:cs="宋体"/>
          <w:szCs w:val="21"/>
          <w:highlight w:val="none"/>
          <w:u w:val="single"/>
        </w:rPr>
        <w:t xml:space="preserve"> </w:t>
      </w:r>
      <w:r>
        <w:rPr>
          <w:rFonts w:hint="eastAsia" w:ascii="宋体" w:hAnsi="宋体" w:cs="宋体"/>
          <w:szCs w:val="21"/>
          <w:highlight w:val="none"/>
          <w:u w:val="single"/>
          <w:lang w:val="en-US" w:eastAsia="zh-CN"/>
        </w:rPr>
        <w:t>0</w:t>
      </w:r>
      <w:r>
        <w:rPr>
          <w:rFonts w:hint="eastAsia" w:ascii="宋体" w:hAnsi="宋体" w:cs="宋体"/>
          <w:szCs w:val="21"/>
          <w:highlight w:val="none"/>
          <w:u w:val="single"/>
        </w:rPr>
        <w:t xml:space="preserve">0 </w:t>
      </w:r>
      <w:r>
        <w:rPr>
          <w:rFonts w:hint="eastAsia" w:ascii="宋体" w:hAnsi="宋体" w:cs="宋体"/>
          <w:szCs w:val="21"/>
          <w:highlight w:val="none"/>
        </w:rPr>
        <w:t>分（北京时间）。</w:t>
      </w:r>
    </w:p>
    <w:p>
      <w:pPr>
        <w:keepNext w:val="0"/>
        <w:keepLines w:val="0"/>
        <w:widowControl w:val="0"/>
        <w:suppressLineNumbers w:val="0"/>
        <w:tabs>
          <w:tab w:val="left" w:pos="360"/>
        </w:tabs>
        <w:spacing w:before="0" w:beforeAutospacing="0" w:after="0" w:afterAutospacing="0" w:line="400" w:lineRule="exact"/>
        <w:ind w:left="0" w:right="0" w:firstLine="420" w:firstLineChars="200"/>
        <w:jc w:val="both"/>
        <w:rPr>
          <w:rFonts w:hint="eastAsia" w:ascii="宋体" w:hAnsi="宋体" w:eastAsia="宋体" w:cs="宋体"/>
          <w:color w:val="auto"/>
          <w:kern w:val="2"/>
          <w:sz w:val="21"/>
          <w:szCs w:val="21"/>
          <w:highlight w:val="none"/>
          <w:lang w:val="en-US" w:eastAsia="zh-CN" w:bidi="ar"/>
        </w:rPr>
      </w:pPr>
      <w:r>
        <w:rPr>
          <w:rFonts w:hint="eastAsia" w:ascii="宋体" w:hAnsi="宋体" w:cs="宋体"/>
          <w:color w:val="auto"/>
          <w:szCs w:val="21"/>
          <w:highlight w:val="none"/>
        </w:rPr>
        <w:t>5.2</w:t>
      </w:r>
      <w:r>
        <w:rPr>
          <w:rFonts w:hint="default" w:ascii="宋体" w:hAnsi="宋体" w:cs="宋体"/>
          <w:color w:val="auto"/>
          <w:szCs w:val="21"/>
          <w:highlight w:val="none"/>
        </w:rPr>
        <w:t xml:space="preserve"> </w:t>
      </w:r>
      <w:r>
        <w:rPr>
          <w:rFonts w:hint="eastAsia" w:ascii="宋体" w:hAnsi="宋体" w:eastAsia="宋体" w:cs="宋体"/>
          <w:color w:val="auto"/>
          <w:szCs w:val="21"/>
          <w:highlight w:val="none"/>
        </w:rPr>
        <w:t>报价的递交方式：</w:t>
      </w:r>
      <w:r>
        <w:rPr>
          <w:rFonts w:hint="eastAsia" w:ascii="宋体" w:hAnsi="宋体" w:eastAsia="宋体" w:cs="宋体"/>
          <w:color w:val="auto"/>
          <w:kern w:val="2"/>
          <w:sz w:val="21"/>
          <w:szCs w:val="21"/>
          <w:highlight w:val="none"/>
          <w:lang w:val="en-US" w:eastAsia="zh-CN" w:bidi="ar"/>
        </w:rPr>
        <w:t>现场递交或邮寄，若采用现场递交方式</w:t>
      </w:r>
      <w:r>
        <w:rPr>
          <w:rFonts w:hint="default" w:ascii="宋体" w:hAnsi="宋体" w:cs="宋体"/>
          <w:color w:val="auto"/>
          <w:kern w:val="2"/>
          <w:sz w:val="21"/>
          <w:szCs w:val="21"/>
          <w:highlight w:val="none"/>
          <w:lang w:eastAsia="zh-CN" w:bidi="ar"/>
        </w:rPr>
        <w:t>须</w:t>
      </w:r>
      <w:r>
        <w:rPr>
          <w:rFonts w:hint="eastAsia" w:ascii="宋体" w:hAnsi="宋体" w:eastAsia="宋体" w:cs="宋体"/>
          <w:color w:val="auto"/>
          <w:kern w:val="2"/>
          <w:sz w:val="21"/>
          <w:szCs w:val="21"/>
          <w:highlight w:val="none"/>
          <w:lang w:val="en-US" w:eastAsia="zh-CN" w:bidi="ar"/>
        </w:rPr>
        <w:t>在</w:t>
      </w:r>
      <w:r>
        <w:rPr>
          <w:rFonts w:hint="default" w:ascii="宋体" w:hAnsi="宋体" w:cs="宋体"/>
          <w:color w:val="auto"/>
          <w:kern w:val="2"/>
          <w:sz w:val="21"/>
          <w:szCs w:val="21"/>
          <w:highlight w:val="none"/>
          <w:lang w:eastAsia="zh-CN" w:bidi="ar"/>
        </w:rPr>
        <w:t>报价截止</w:t>
      </w:r>
      <w:r>
        <w:rPr>
          <w:rFonts w:hint="eastAsia" w:ascii="宋体" w:hAnsi="宋体" w:eastAsia="宋体" w:cs="宋体"/>
          <w:color w:val="auto"/>
          <w:kern w:val="2"/>
          <w:sz w:val="21"/>
          <w:szCs w:val="21"/>
          <w:highlight w:val="none"/>
          <w:lang w:val="en-US" w:eastAsia="zh-CN" w:bidi="ar"/>
        </w:rPr>
        <w:t>当天将文件送达并参与现场开标；若采用邮寄方式需</w:t>
      </w:r>
      <w:r>
        <w:rPr>
          <w:rFonts w:hint="default" w:ascii="宋体" w:hAnsi="宋体" w:eastAsia="宋体" w:cs="宋体"/>
          <w:color w:val="auto"/>
          <w:kern w:val="2"/>
          <w:sz w:val="21"/>
          <w:szCs w:val="21"/>
          <w:highlight w:val="none"/>
          <w:lang w:eastAsia="zh-CN" w:bidi="ar"/>
        </w:rPr>
        <w:t>在报价截止时间之前将响应文件邮寄</w:t>
      </w:r>
      <w:r>
        <w:rPr>
          <w:rFonts w:hint="default" w:ascii="宋体" w:hAnsi="宋体" w:cs="宋体"/>
          <w:color w:val="auto"/>
          <w:kern w:val="2"/>
          <w:sz w:val="21"/>
          <w:szCs w:val="21"/>
          <w:highlight w:val="none"/>
          <w:lang w:eastAsia="zh-CN" w:bidi="ar"/>
        </w:rPr>
        <w:t>到达</w:t>
      </w:r>
      <w:r>
        <w:rPr>
          <w:rFonts w:hint="default" w:ascii="宋体" w:hAnsi="宋体" w:eastAsia="宋体" w:cs="宋体"/>
          <w:color w:val="auto"/>
          <w:kern w:val="2"/>
          <w:sz w:val="21"/>
          <w:szCs w:val="21"/>
          <w:highlight w:val="none"/>
          <w:lang w:eastAsia="zh-CN" w:bidi="ar"/>
        </w:rPr>
        <w:t>递交地址，并</w:t>
      </w:r>
      <w:r>
        <w:rPr>
          <w:rFonts w:hint="default" w:ascii="宋体" w:hAnsi="宋体" w:cs="宋体"/>
          <w:color w:val="auto"/>
          <w:kern w:val="2"/>
          <w:sz w:val="21"/>
          <w:szCs w:val="21"/>
          <w:highlight w:val="none"/>
          <w:lang w:eastAsia="zh-CN" w:bidi="ar"/>
        </w:rPr>
        <w:t>按要求进行密封，</w:t>
      </w:r>
      <w:r>
        <w:rPr>
          <w:rFonts w:hint="eastAsia" w:ascii="宋体" w:hAnsi="宋体" w:eastAsia="宋体" w:cs="宋体"/>
          <w:color w:val="auto"/>
          <w:kern w:val="2"/>
          <w:sz w:val="21"/>
          <w:szCs w:val="21"/>
          <w:highlight w:val="none"/>
          <w:lang w:val="en-US" w:eastAsia="zh-CN" w:bidi="ar"/>
        </w:rPr>
        <w:t>否则采购人有权拒收，采用邮寄方式的报价人默认认可采购人的开标结果，不得由此提出任何质疑。</w:t>
      </w:r>
    </w:p>
    <w:p>
      <w:pPr>
        <w:tabs>
          <w:tab w:val="left" w:pos="360"/>
        </w:tabs>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5.3 递交地址：重庆市渝北区新南路52号东界龙湖</w:t>
      </w:r>
      <w:r>
        <w:rPr>
          <w:rFonts w:hint="eastAsia" w:ascii="宋体" w:hAnsi="宋体" w:cs="宋体"/>
          <w:color w:val="auto"/>
          <w:szCs w:val="21"/>
          <w:highlight w:val="none"/>
          <w:lang w:val="en-US" w:eastAsia="zh-CN"/>
        </w:rPr>
        <w:t>一</w:t>
      </w:r>
      <w:r>
        <w:rPr>
          <w:rFonts w:hint="eastAsia" w:ascii="宋体" w:hAnsi="宋体" w:eastAsia="宋体" w:cs="宋体"/>
          <w:color w:val="auto"/>
          <w:szCs w:val="21"/>
          <w:highlight w:val="none"/>
        </w:rPr>
        <w:t>楼重庆首讯科技股份有限公司。</w:t>
      </w:r>
    </w:p>
    <w:p>
      <w:pPr>
        <w:tabs>
          <w:tab w:val="left" w:pos="360"/>
        </w:tabs>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5.4 逾期送达，或未送达指定地点，或未密封的竞争性比选响应文件，采购人不予受理。</w:t>
      </w:r>
    </w:p>
    <w:p>
      <w:pPr>
        <w:tabs>
          <w:tab w:val="left" w:pos="360"/>
        </w:tabs>
        <w:spacing w:line="400" w:lineRule="exact"/>
        <w:ind w:firstLine="420" w:firstLineChars="200"/>
        <w:rPr>
          <w:rFonts w:ascii="宋体" w:hAnsi="宋体" w:cs="宋体"/>
          <w:szCs w:val="21"/>
        </w:rPr>
      </w:pPr>
      <w:r>
        <w:rPr>
          <w:rFonts w:hint="eastAsia" w:ascii="宋体" w:hAnsi="宋体" w:eastAsia="宋体" w:cs="宋体"/>
          <w:color w:val="auto"/>
          <w:szCs w:val="21"/>
          <w:highlight w:val="none"/>
        </w:rPr>
        <w:t>5.5</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rPr>
        <w:t>采购人不组织现场踏勘，不召开报价预备会。</w:t>
      </w:r>
    </w:p>
    <w:p>
      <w:pPr>
        <w:pStyle w:val="4"/>
        <w:spacing w:before="120" w:after="0" w:line="400" w:lineRule="exact"/>
        <w:rPr>
          <w:rFonts w:ascii="宋体" w:hAnsi="宋体" w:eastAsia="宋体" w:cs="宋体"/>
        </w:rPr>
      </w:pPr>
      <w:bookmarkStart w:id="76" w:name="_Toc246996907"/>
      <w:bookmarkStart w:id="77" w:name="_Toc393"/>
      <w:bookmarkStart w:id="78" w:name="_Toc179632534"/>
      <w:bookmarkStart w:id="79" w:name="_Toc21615"/>
      <w:bookmarkStart w:id="80" w:name="_Toc507319897"/>
      <w:bookmarkStart w:id="81" w:name="_Toc152042293"/>
      <w:bookmarkStart w:id="82" w:name="_Toc152045517"/>
      <w:bookmarkStart w:id="83" w:name="_Toc18402"/>
      <w:bookmarkStart w:id="84" w:name="_Toc247085678"/>
      <w:bookmarkStart w:id="85" w:name="_Toc11329219"/>
      <w:bookmarkStart w:id="86" w:name="_Toc144974485"/>
      <w:bookmarkStart w:id="87" w:name="_Toc246996164"/>
      <w:r>
        <w:rPr>
          <w:rFonts w:hint="eastAsia" w:ascii="宋体" w:hAnsi="宋体" w:eastAsia="宋体" w:cs="宋体"/>
        </w:rPr>
        <w:t>6. 联系方式</w:t>
      </w:r>
      <w:bookmarkEnd w:id="76"/>
      <w:bookmarkEnd w:id="77"/>
      <w:bookmarkEnd w:id="78"/>
      <w:bookmarkEnd w:id="79"/>
      <w:bookmarkEnd w:id="80"/>
      <w:bookmarkEnd w:id="81"/>
      <w:bookmarkEnd w:id="82"/>
      <w:bookmarkEnd w:id="83"/>
      <w:bookmarkEnd w:id="84"/>
      <w:bookmarkEnd w:id="85"/>
      <w:bookmarkEnd w:id="86"/>
      <w:bookmarkEnd w:id="87"/>
    </w:p>
    <w:tbl>
      <w:tblPr>
        <w:tblStyle w:val="45"/>
        <w:tblW w:w="9628" w:type="dxa"/>
        <w:tblInd w:w="0" w:type="dxa"/>
        <w:tblLayout w:type="fixed"/>
        <w:tblCellMar>
          <w:top w:w="0" w:type="dxa"/>
          <w:left w:w="108" w:type="dxa"/>
          <w:bottom w:w="0" w:type="dxa"/>
          <w:right w:w="108" w:type="dxa"/>
        </w:tblCellMar>
      </w:tblPr>
      <w:tblGrid>
        <w:gridCol w:w="8213"/>
        <w:gridCol w:w="1415"/>
      </w:tblGrid>
      <w:tr>
        <w:tblPrEx>
          <w:tblCellMar>
            <w:top w:w="0" w:type="dxa"/>
            <w:left w:w="108" w:type="dxa"/>
            <w:bottom w:w="0" w:type="dxa"/>
            <w:right w:w="108" w:type="dxa"/>
          </w:tblCellMar>
        </w:tblPrEx>
        <w:trPr>
          <w:trHeight w:val="470" w:hRule="atLeast"/>
        </w:trPr>
        <w:tc>
          <w:tcPr>
            <w:tcW w:w="8213" w:type="dxa"/>
            <w:vAlign w:val="center"/>
          </w:tcPr>
          <w:p>
            <w:pPr>
              <w:pStyle w:val="104"/>
              <w:keepNext w:val="0"/>
              <w:keepLines w:val="0"/>
              <w:suppressLineNumbers w:val="0"/>
              <w:spacing w:before="0" w:beforeAutospacing="0" w:after="0" w:afterAutospacing="0" w:line="400" w:lineRule="exact"/>
              <w:ind w:left="0" w:right="0" w:firstLine="420" w:firstLineChars="200"/>
              <w:jc w:val="both"/>
              <w:rPr>
                <w:rFonts w:hint="eastAsia" w:ascii="宋体" w:hAnsi="宋体" w:cs="宋体"/>
                <w:kern w:val="2"/>
                <w:sz w:val="21"/>
                <w:szCs w:val="21"/>
              </w:rPr>
            </w:pPr>
            <w:r>
              <w:rPr>
                <w:rFonts w:hint="eastAsia" w:ascii="宋体" w:hAnsi="宋体" w:cs="宋体"/>
                <w:kern w:val="2"/>
                <w:sz w:val="21"/>
                <w:szCs w:val="21"/>
              </w:rPr>
              <w:t>采购人：重庆首讯科技股份有限公司</w:t>
            </w:r>
          </w:p>
        </w:tc>
        <w:tc>
          <w:tcPr>
            <w:tcW w:w="1415" w:type="dxa"/>
            <w:vAlign w:val="center"/>
          </w:tcPr>
          <w:p>
            <w:pPr>
              <w:pStyle w:val="104"/>
              <w:keepNext w:val="0"/>
              <w:keepLines w:val="0"/>
              <w:suppressLineNumbers w:val="0"/>
              <w:spacing w:before="0" w:beforeAutospacing="0" w:after="0" w:afterAutospacing="0" w:line="400" w:lineRule="exact"/>
              <w:ind w:left="0" w:right="0" w:firstLine="420" w:firstLineChars="200"/>
              <w:jc w:val="both"/>
              <w:rPr>
                <w:rFonts w:hint="eastAsia" w:ascii="宋体" w:hAnsi="宋体" w:cs="宋体"/>
                <w:kern w:val="2"/>
                <w:sz w:val="21"/>
                <w:szCs w:val="21"/>
              </w:rPr>
            </w:pPr>
          </w:p>
        </w:tc>
      </w:tr>
      <w:tr>
        <w:tblPrEx>
          <w:tblCellMar>
            <w:top w:w="0" w:type="dxa"/>
            <w:left w:w="108" w:type="dxa"/>
            <w:bottom w:w="0" w:type="dxa"/>
            <w:right w:w="108" w:type="dxa"/>
          </w:tblCellMar>
        </w:tblPrEx>
        <w:trPr>
          <w:trHeight w:val="461" w:hRule="atLeast"/>
        </w:trPr>
        <w:tc>
          <w:tcPr>
            <w:tcW w:w="8213" w:type="dxa"/>
            <w:vAlign w:val="center"/>
          </w:tcPr>
          <w:p>
            <w:pPr>
              <w:keepNext w:val="0"/>
              <w:keepLines w:val="0"/>
              <w:suppressLineNumbers w:val="0"/>
              <w:topLinePunct/>
              <w:spacing w:before="0" w:beforeAutospacing="0" w:after="0" w:afterAutospacing="0" w:line="400" w:lineRule="exact"/>
              <w:ind w:left="1050" w:leftChars="200" w:right="0" w:hanging="630" w:hangingChars="300"/>
              <w:rPr>
                <w:rFonts w:hint="eastAsia" w:ascii="宋体" w:hAnsi="宋体" w:cs="宋体"/>
                <w:szCs w:val="21"/>
              </w:rPr>
            </w:pPr>
            <w:r>
              <w:rPr>
                <w:rFonts w:hint="eastAsia" w:ascii="宋体" w:hAnsi="宋体" w:cs="宋体"/>
                <w:szCs w:val="21"/>
              </w:rPr>
              <w:t>地址：</w:t>
            </w:r>
            <w:r>
              <w:rPr>
                <w:rFonts w:hint="eastAsia" w:ascii="宋体" w:hAnsi="宋体" w:eastAsia="宋体" w:cs="宋体"/>
                <w:kern w:val="2"/>
                <w:sz w:val="21"/>
                <w:szCs w:val="21"/>
                <w:highlight w:val="none"/>
                <w:lang w:val="en-US" w:eastAsia="zh-CN" w:bidi="ar-SA"/>
              </w:rPr>
              <w:t>重庆市渝北区龙溪街道新南路52号东界龙湖三楼</w:t>
            </w:r>
          </w:p>
        </w:tc>
        <w:tc>
          <w:tcPr>
            <w:tcW w:w="1415"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szCs w:val="21"/>
              </w:rPr>
            </w:pPr>
          </w:p>
        </w:tc>
      </w:tr>
      <w:tr>
        <w:tblPrEx>
          <w:tblCellMar>
            <w:top w:w="0" w:type="dxa"/>
            <w:left w:w="108" w:type="dxa"/>
            <w:bottom w:w="0" w:type="dxa"/>
            <w:right w:w="108" w:type="dxa"/>
          </w:tblCellMar>
        </w:tblPrEx>
        <w:trPr>
          <w:trHeight w:val="90" w:hRule="atLeast"/>
        </w:trPr>
        <w:tc>
          <w:tcPr>
            <w:tcW w:w="8213" w:type="dxa"/>
            <w:vAlign w:val="center"/>
          </w:tcPr>
          <w:p>
            <w:pPr>
              <w:keepNext w:val="0"/>
              <w:keepLines w:val="0"/>
              <w:suppressLineNumbers w:val="0"/>
              <w:topLinePunct/>
              <w:spacing w:before="0" w:beforeAutospacing="0" w:after="0" w:afterAutospacing="0" w:line="400" w:lineRule="exact"/>
              <w:ind w:left="0" w:right="0" w:firstLine="420" w:firstLineChars="200"/>
              <w:rPr>
                <w:rFonts w:hint="default" w:ascii="宋体" w:hAnsi="宋体" w:eastAsia="宋体" w:cs="宋体"/>
                <w:szCs w:val="21"/>
                <w:lang w:val="en-US" w:eastAsia="zh-CN"/>
              </w:rPr>
            </w:pPr>
            <w:r>
              <w:rPr>
                <w:rFonts w:hint="eastAsia" w:ascii="宋体" w:hAnsi="宋体" w:cs="宋体"/>
                <w:szCs w:val="21"/>
              </w:rPr>
              <w:t>技术联系人：</w:t>
            </w:r>
            <w:r>
              <w:rPr>
                <w:rFonts w:hint="eastAsia" w:ascii="宋体" w:hAnsi="宋体" w:cs="宋体"/>
                <w:szCs w:val="21"/>
                <w:lang w:val="en-US" w:eastAsia="zh-CN"/>
              </w:rPr>
              <w:t>徐</w:t>
            </w:r>
            <w:r>
              <w:rPr>
                <w:rFonts w:hint="eastAsia" w:ascii="宋体" w:hAnsi="宋体" w:cs="宋体"/>
                <w:szCs w:val="21"/>
              </w:rPr>
              <w:t>老师  电 话：</w:t>
            </w:r>
            <w:r>
              <w:rPr>
                <w:rFonts w:hint="eastAsia" w:ascii="宋体" w:hAnsi="宋体" w:cs="宋体"/>
                <w:szCs w:val="21"/>
                <w:lang w:val="en-US" w:eastAsia="zh-CN"/>
              </w:rPr>
              <w:t>18523231847</w:t>
            </w:r>
          </w:p>
        </w:tc>
        <w:tc>
          <w:tcPr>
            <w:tcW w:w="1415"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szCs w:val="21"/>
              </w:rPr>
            </w:pPr>
          </w:p>
        </w:tc>
      </w:tr>
      <w:tr>
        <w:tblPrEx>
          <w:tblCellMar>
            <w:top w:w="0" w:type="dxa"/>
            <w:left w:w="108" w:type="dxa"/>
            <w:bottom w:w="0" w:type="dxa"/>
            <w:right w:w="108" w:type="dxa"/>
          </w:tblCellMar>
        </w:tblPrEx>
        <w:trPr>
          <w:trHeight w:val="405" w:hRule="atLeast"/>
        </w:trPr>
        <w:tc>
          <w:tcPr>
            <w:tcW w:w="8213" w:type="dxa"/>
            <w:vAlign w:val="center"/>
          </w:tcPr>
          <w:p>
            <w:pPr>
              <w:keepNext w:val="0"/>
              <w:keepLines w:val="0"/>
              <w:suppressLineNumbers w:val="0"/>
              <w:topLinePunct/>
              <w:spacing w:before="0" w:beforeAutospacing="0" w:after="0" w:afterAutospacing="0" w:line="420" w:lineRule="exact"/>
              <w:ind w:left="0" w:right="0" w:firstLine="420" w:firstLineChars="200"/>
              <w:rPr>
                <w:rFonts w:hint="default" w:eastAsia="宋体"/>
                <w:lang w:val="en-US" w:eastAsia="zh-CN"/>
              </w:rPr>
            </w:pPr>
            <w:r>
              <w:rPr>
                <w:rFonts w:hint="eastAsia" w:ascii="宋体" w:hAnsi="宋体" w:cs="宋体"/>
                <w:szCs w:val="21"/>
              </w:rPr>
              <w:t>商务联系人：</w:t>
            </w:r>
            <w:r>
              <w:rPr>
                <w:rFonts w:hint="eastAsia" w:ascii="宋体" w:hAnsi="宋体" w:cs="宋体"/>
                <w:szCs w:val="21"/>
                <w:lang w:val="en-US" w:eastAsia="zh-CN"/>
              </w:rPr>
              <w:t>孙</w:t>
            </w:r>
            <w:r>
              <w:rPr>
                <w:rFonts w:hint="eastAsia" w:ascii="宋体" w:hAnsi="宋体" w:cs="宋体"/>
                <w:szCs w:val="21"/>
              </w:rPr>
              <w:t>老师  电 话：</w:t>
            </w:r>
            <w:r>
              <w:rPr>
                <w:rFonts w:hint="eastAsia" w:ascii="宋体" w:hAnsi="宋体" w:cs="宋体"/>
                <w:szCs w:val="21"/>
                <w:lang w:val="en-US" w:eastAsia="zh-CN"/>
              </w:rPr>
              <w:t>15123685281</w:t>
            </w:r>
          </w:p>
        </w:tc>
        <w:tc>
          <w:tcPr>
            <w:tcW w:w="1415"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szCs w:val="21"/>
              </w:rPr>
            </w:pPr>
          </w:p>
        </w:tc>
      </w:tr>
    </w:tbl>
    <w:p/>
    <w:p>
      <w:pPr>
        <w:pStyle w:val="30"/>
      </w:pPr>
    </w:p>
    <w:p/>
    <w:p>
      <w:pPr>
        <w:pStyle w:val="30"/>
      </w:pPr>
    </w:p>
    <w:p>
      <w:pPr>
        <w:pStyle w:val="30"/>
      </w:pPr>
    </w:p>
    <w:bookmarkEnd w:id="16"/>
    <w:bookmarkEnd w:id="17"/>
    <w:p>
      <w:pPr>
        <w:pStyle w:val="3"/>
        <w:spacing w:before="0" w:after="0" w:line="360" w:lineRule="auto"/>
        <w:jc w:val="center"/>
        <w:rPr>
          <w:rFonts w:ascii="宋体" w:hAnsi="宋体" w:cs="宋体"/>
        </w:rPr>
      </w:pPr>
      <w:bookmarkStart w:id="88" w:name="_Toc152042303"/>
      <w:bookmarkStart w:id="89" w:name="_Toc144974495"/>
      <w:bookmarkStart w:id="90" w:name="_Toc246996916"/>
      <w:bookmarkStart w:id="91" w:name="_Toc152045527"/>
      <w:bookmarkStart w:id="92" w:name="_Toc2000405"/>
      <w:bookmarkStart w:id="93" w:name="_Toc507319898"/>
      <w:bookmarkStart w:id="94" w:name="_Toc246996173"/>
      <w:bookmarkStart w:id="95" w:name="_Toc21719"/>
      <w:bookmarkStart w:id="96" w:name="_Toc179632544"/>
      <w:bookmarkStart w:id="97" w:name="_Toc247085687"/>
      <w:r>
        <w:rPr>
          <w:rFonts w:hint="eastAsia" w:ascii="宋体" w:hAnsi="宋体" w:cs="宋体"/>
        </w:rPr>
        <w:br w:type="page"/>
      </w:r>
      <w:r>
        <w:rPr>
          <w:rFonts w:hint="eastAsia" w:ascii="宋体" w:hAnsi="宋体" w:cs="宋体"/>
        </w:rPr>
        <w:t>第二章 报价人须知</w:t>
      </w:r>
      <w:bookmarkEnd w:id="88"/>
      <w:bookmarkEnd w:id="89"/>
      <w:bookmarkEnd w:id="90"/>
      <w:bookmarkEnd w:id="91"/>
      <w:bookmarkEnd w:id="92"/>
      <w:bookmarkEnd w:id="93"/>
      <w:bookmarkEnd w:id="94"/>
      <w:bookmarkEnd w:id="95"/>
      <w:bookmarkEnd w:id="96"/>
      <w:bookmarkEnd w:id="97"/>
    </w:p>
    <w:p/>
    <w:tbl>
      <w:tblPr>
        <w:tblStyle w:val="45"/>
        <w:tblW w:w="9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106"/>
        <w:gridCol w:w="7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 w:hRule="atLeast"/>
          <w:tblHeader/>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b/>
                <w:kern w:val="0"/>
                <w:szCs w:val="21"/>
              </w:rPr>
            </w:pPr>
            <w:bookmarkStart w:id="98" w:name="_Toc326760840"/>
            <w:r>
              <w:rPr>
                <w:rFonts w:hint="eastAsia" w:ascii="宋体" w:hAnsi="宋体" w:cs="宋体"/>
                <w:b/>
                <w:kern w:val="0"/>
                <w:szCs w:val="21"/>
              </w:rPr>
              <w:t>序号</w:t>
            </w:r>
          </w:p>
        </w:tc>
        <w:tc>
          <w:tcPr>
            <w:tcW w:w="2106"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b/>
                <w:kern w:val="0"/>
                <w:szCs w:val="21"/>
              </w:rPr>
            </w:pPr>
            <w:r>
              <w:rPr>
                <w:rFonts w:hint="eastAsia" w:ascii="宋体" w:hAnsi="宋体" w:cs="宋体"/>
                <w:b/>
                <w:kern w:val="0"/>
                <w:szCs w:val="21"/>
              </w:rPr>
              <w:t>条款名称</w:t>
            </w:r>
          </w:p>
        </w:tc>
        <w:tc>
          <w:tcPr>
            <w:tcW w:w="7104" w:type="dxa"/>
            <w:vAlign w:val="center"/>
          </w:tcPr>
          <w:p>
            <w:pPr>
              <w:keepNext w:val="0"/>
              <w:keepLines w:val="0"/>
              <w:suppressLineNumbers w:val="0"/>
              <w:spacing w:before="0" w:beforeAutospacing="0" w:after="0" w:afterAutospacing="0" w:line="400" w:lineRule="exact"/>
              <w:ind w:left="0" w:right="0" w:firstLine="422" w:firstLineChars="200"/>
              <w:jc w:val="center"/>
              <w:rPr>
                <w:rFonts w:hint="eastAsia" w:ascii="宋体" w:hAnsi="宋体" w:cs="宋体"/>
                <w:b/>
                <w:kern w:val="0"/>
                <w:szCs w:val="21"/>
              </w:rPr>
            </w:pPr>
            <w:r>
              <w:rPr>
                <w:rFonts w:hint="eastAsia" w:ascii="宋体" w:hAnsi="宋体" w:cs="宋体"/>
                <w:b/>
                <w:kern w:val="0"/>
                <w:szCs w:val="21"/>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8"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1</w:t>
            </w:r>
          </w:p>
        </w:tc>
        <w:tc>
          <w:tcPr>
            <w:tcW w:w="2106" w:type="dxa"/>
            <w:vAlign w:val="center"/>
          </w:tcPr>
          <w:p>
            <w:pPr>
              <w:keepNext w:val="0"/>
              <w:keepLines w:val="0"/>
              <w:suppressLineNumbers w:val="0"/>
              <w:spacing w:before="0" w:beforeAutospacing="0" w:after="0" w:afterAutospacing="0"/>
              <w:ind w:left="420" w:right="0"/>
              <w:rPr>
                <w:rFonts w:hint="eastAsia" w:ascii="宋体" w:hAnsi="宋体" w:cs="宋体"/>
                <w:szCs w:val="21"/>
                <w:shd w:val="clear" w:color="auto" w:fill="FFFFFF"/>
              </w:rPr>
            </w:pPr>
            <w:r>
              <w:rPr>
                <w:rFonts w:hint="eastAsia" w:ascii="宋体" w:hAnsi="宋体" w:cs="宋体"/>
                <w:szCs w:val="21"/>
                <w:shd w:val="clear" w:color="auto" w:fill="FFFFFF"/>
              </w:rPr>
              <w:t>采购人</w:t>
            </w:r>
          </w:p>
        </w:tc>
        <w:tc>
          <w:tcPr>
            <w:tcW w:w="7104" w:type="dxa"/>
            <w:vAlign w:val="center"/>
          </w:tcPr>
          <w:p>
            <w:pPr>
              <w:keepNext w:val="0"/>
              <w:keepLines w:val="0"/>
              <w:suppressLineNumbers w:val="0"/>
              <w:spacing w:before="0" w:beforeAutospacing="0" w:after="0" w:afterAutospacing="0"/>
              <w:ind w:left="420" w:right="0"/>
              <w:rPr>
                <w:rFonts w:hint="eastAsia" w:ascii="宋体" w:hAnsi="宋体" w:cs="宋体"/>
                <w:szCs w:val="21"/>
                <w:shd w:val="clear" w:color="auto" w:fill="FFFFFF"/>
              </w:rPr>
            </w:pPr>
            <w:r>
              <w:rPr>
                <w:rFonts w:hint="eastAsia" w:ascii="宋体" w:hAnsi="宋体" w:cs="宋体"/>
                <w:szCs w:val="21"/>
                <w:shd w:val="clear" w:color="auto" w:fill="FFFFFF"/>
              </w:rPr>
              <w:t>采购人：重庆首讯科技股份有限公司</w:t>
            </w:r>
          </w:p>
          <w:p>
            <w:pPr>
              <w:keepNext w:val="0"/>
              <w:keepLines w:val="0"/>
              <w:suppressLineNumbers w:val="0"/>
              <w:spacing w:before="0" w:beforeAutospacing="0" w:after="0" w:afterAutospacing="0"/>
              <w:ind w:left="420" w:right="0"/>
              <w:rPr>
                <w:rFonts w:hint="eastAsia" w:ascii="宋体" w:hAnsi="宋体" w:cs="宋体"/>
                <w:szCs w:val="21"/>
                <w:shd w:val="clear" w:color="auto" w:fill="FFFFFF"/>
              </w:rPr>
            </w:pPr>
            <w:r>
              <w:rPr>
                <w:rFonts w:hint="eastAsia" w:ascii="宋体" w:hAnsi="宋体" w:cs="宋体"/>
                <w:szCs w:val="21"/>
                <w:shd w:val="clear" w:color="auto" w:fill="FFFFFF"/>
              </w:rPr>
              <w:t>地  址：</w:t>
            </w:r>
            <w:r>
              <w:rPr>
                <w:rFonts w:hint="eastAsia" w:ascii="宋体" w:hAnsi="宋体" w:eastAsia="宋体" w:cs="宋体"/>
                <w:kern w:val="2"/>
                <w:sz w:val="21"/>
                <w:szCs w:val="21"/>
                <w:highlight w:val="none"/>
                <w:lang w:val="en-US" w:eastAsia="zh-CN" w:bidi="ar-SA"/>
              </w:rPr>
              <w:t>重庆市渝北区龙溪街道新南路52号东界龙湖三楼</w:t>
            </w:r>
          </w:p>
          <w:p>
            <w:pPr>
              <w:keepNext w:val="0"/>
              <w:keepLines w:val="0"/>
              <w:suppressLineNumbers w:val="0"/>
              <w:spacing w:before="0" w:beforeAutospacing="0" w:after="0" w:afterAutospacing="0"/>
              <w:ind w:left="420" w:right="0"/>
              <w:rPr>
                <w:rFonts w:hint="eastAsia" w:ascii="宋体" w:hAnsi="宋体" w:cs="宋体"/>
                <w:szCs w:val="21"/>
                <w:shd w:val="clear" w:color="auto" w:fill="FFFFFF"/>
              </w:rPr>
            </w:pPr>
            <w:r>
              <w:rPr>
                <w:rFonts w:hint="eastAsia" w:ascii="宋体" w:hAnsi="宋体" w:cs="宋体"/>
                <w:szCs w:val="21"/>
                <w:shd w:val="clear" w:color="auto" w:fill="FFFFFF"/>
              </w:rPr>
              <w:t>联系人：</w:t>
            </w:r>
            <w:r>
              <w:rPr>
                <w:rFonts w:hint="eastAsia" w:ascii="宋体" w:hAnsi="宋体" w:cs="宋体"/>
                <w:szCs w:val="21"/>
                <w:shd w:val="clear" w:color="auto" w:fill="FFFFFF"/>
                <w:lang w:val="en-US" w:eastAsia="zh-CN"/>
              </w:rPr>
              <w:t>孙</w:t>
            </w:r>
            <w:r>
              <w:rPr>
                <w:rFonts w:hint="eastAsia" w:ascii="宋体" w:hAnsi="宋体" w:cs="宋体"/>
                <w:szCs w:val="21"/>
                <w:shd w:val="clear" w:color="auto" w:fill="FFFFFF"/>
              </w:rPr>
              <w:t>老师</w:t>
            </w:r>
          </w:p>
          <w:p>
            <w:pPr>
              <w:keepNext w:val="0"/>
              <w:keepLines w:val="0"/>
              <w:suppressLineNumbers w:val="0"/>
              <w:spacing w:before="0" w:beforeAutospacing="0" w:after="0" w:afterAutospacing="0"/>
              <w:ind w:left="420" w:right="0"/>
              <w:rPr>
                <w:rFonts w:hint="default" w:eastAsia="宋体"/>
                <w:lang w:val="en-US" w:eastAsia="zh-CN"/>
              </w:rPr>
            </w:pPr>
            <w:r>
              <w:rPr>
                <w:rFonts w:hint="eastAsia" w:ascii="宋体" w:hAnsi="宋体" w:cs="宋体"/>
                <w:szCs w:val="21"/>
                <w:shd w:val="clear" w:color="auto" w:fill="FFFFFF"/>
              </w:rPr>
              <w:t>电  话：</w:t>
            </w:r>
            <w:r>
              <w:rPr>
                <w:rFonts w:hint="eastAsia" w:ascii="宋体" w:hAnsi="宋体" w:cs="宋体"/>
                <w:szCs w:val="21"/>
                <w:shd w:val="clear" w:color="auto" w:fill="FFFFFF"/>
                <w:lang w:val="en-US" w:eastAsia="zh-CN"/>
              </w:rPr>
              <w:t>15123685281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2</w:t>
            </w:r>
          </w:p>
        </w:tc>
        <w:tc>
          <w:tcPr>
            <w:tcW w:w="2106" w:type="dxa"/>
            <w:vAlign w:val="center"/>
          </w:tcPr>
          <w:p>
            <w:pPr>
              <w:keepNext w:val="0"/>
              <w:keepLines w:val="0"/>
              <w:suppressLineNumbers w:val="0"/>
              <w:spacing w:before="0" w:beforeAutospacing="0" w:after="0" w:afterAutospacing="0"/>
              <w:ind w:left="420" w:right="0"/>
              <w:rPr>
                <w:rFonts w:hint="eastAsia" w:ascii="宋体" w:hAnsi="宋体" w:cs="宋体"/>
                <w:szCs w:val="21"/>
                <w:shd w:val="clear" w:color="auto" w:fill="FFFFFF"/>
              </w:rPr>
            </w:pPr>
            <w:r>
              <w:rPr>
                <w:rFonts w:hint="eastAsia" w:ascii="宋体" w:hAnsi="宋体" w:cs="宋体"/>
                <w:szCs w:val="21"/>
                <w:shd w:val="clear" w:color="auto" w:fill="FFFFFF"/>
              </w:rPr>
              <w:t>项目名称</w:t>
            </w:r>
          </w:p>
        </w:tc>
        <w:tc>
          <w:tcPr>
            <w:tcW w:w="7104"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szCs w:val="21"/>
                <w:lang w:eastAsia="zh-CN"/>
              </w:rPr>
            </w:pPr>
            <w:r>
              <w:rPr>
                <w:rFonts w:hint="eastAsia" w:ascii="宋体" w:hAnsi="宋体" w:cs="宋体"/>
                <w:szCs w:val="21"/>
                <w:lang w:eastAsia="zh-CN"/>
              </w:rPr>
              <w:t>长大桥梁结构健康监测技术服务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3</w:t>
            </w:r>
          </w:p>
        </w:tc>
        <w:tc>
          <w:tcPr>
            <w:tcW w:w="2106" w:type="dxa"/>
            <w:vAlign w:val="center"/>
          </w:tcPr>
          <w:p>
            <w:pPr>
              <w:keepNext w:val="0"/>
              <w:keepLines w:val="0"/>
              <w:suppressLineNumbers w:val="0"/>
              <w:spacing w:before="0" w:beforeAutospacing="0" w:after="0" w:afterAutospacing="0"/>
              <w:ind w:left="420" w:right="0"/>
              <w:rPr>
                <w:rFonts w:hint="eastAsia" w:ascii="宋体" w:hAnsi="宋体" w:cs="宋体"/>
                <w:szCs w:val="21"/>
                <w:shd w:val="clear" w:color="auto" w:fill="FFFFFF"/>
              </w:rPr>
            </w:pPr>
            <w:r>
              <w:rPr>
                <w:rFonts w:hint="eastAsia" w:ascii="宋体" w:hAnsi="宋体" w:cs="宋体"/>
                <w:szCs w:val="21"/>
                <w:shd w:val="clear" w:color="auto" w:fill="FFFFFF"/>
              </w:rPr>
              <w:t>项目地点</w:t>
            </w:r>
          </w:p>
        </w:tc>
        <w:tc>
          <w:tcPr>
            <w:tcW w:w="7104"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szCs w:val="21"/>
              </w:rPr>
            </w:pPr>
            <w:r>
              <w:rPr>
                <w:rFonts w:hint="eastAsia" w:ascii="宋体" w:hAnsi="宋体" w:cs="宋体"/>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4</w:t>
            </w:r>
          </w:p>
        </w:tc>
        <w:tc>
          <w:tcPr>
            <w:tcW w:w="2106" w:type="dxa"/>
            <w:vAlign w:val="center"/>
          </w:tcPr>
          <w:p>
            <w:pPr>
              <w:keepNext w:val="0"/>
              <w:keepLines w:val="0"/>
              <w:suppressLineNumbers w:val="0"/>
              <w:spacing w:before="0" w:beforeAutospacing="0" w:after="0" w:afterAutospacing="0"/>
              <w:ind w:left="420" w:right="0"/>
              <w:rPr>
                <w:rFonts w:hint="eastAsia" w:ascii="宋体" w:hAnsi="宋体" w:cs="宋体"/>
                <w:szCs w:val="21"/>
                <w:shd w:val="clear" w:color="auto" w:fill="FFFFFF"/>
              </w:rPr>
            </w:pPr>
            <w:r>
              <w:rPr>
                <w:rFonts w:hint="eastAsia" w:ascii="宋体" w:hAnsi="宋体" w:cs="宋体"/>
                <w:szCs w:val="21"/>
                <w:shd w:val="clear" w:color="auto" w:fill="FFFFFF"/>
              </w:rPr>
              <w:t>比选范围</w:t>
            </w:r>
          </w:p>
        </w:tc>
        <w:tc>
          <w:tcPr>
            <w:tcW w:w="7104" w:type="dxa"/>
            <w:vAlign w:val="center"/>
          </w:tcPr>
          <w:p>
            <w:pPr>
              <w:keepNext w:val="0"/>
              <w:keepLines w:val="0"/>
              <w:suppressLineNumbers w:val="0"/>
              <w:tabs>
                <w:tab w:val="left" w:pos="3000"/>
                <w:tab w:val="left" w:pos="3280"/>
                <w:tab w:val="left" w:pos="6120"/>
                <w:tab w:val="left" w:pos="7540"/>
                <w:tab w:val="left" w:pos="8320"/>
              </w:tabs>
              <w:autoSpaceDE w:val="0"/>
              <w:autoSpaceDN w:val="0"/>
              <w:adjustRightInd w:val="0"/>
              <w:spacing w:before="0" w:beforeAutospacing="0" w:after="0" w:afterAutospacing="0" w:line="400" w:lineRule="exact"/>
              <w:ind w:left="0" w:right="0" w:firstLine="420" w:firstLineChars="200"/>
              <w:rPr>
                <w:rFonts w:hint="eastAsia" w:ascii="宋体" w:hAnsi="宋体" w:cs="宋体"/>
                <w:szCs w:val="21"/>
              </w:rPr>
            </w:pPr>
            <w:r>
              <w:rPr>
                <w:rFonts w:hint="eastAsia" w:ascii="宋体" w:hAnsi="宋体" w:cs="宋体"/>
                <w:kern w:val="0"/>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5</w:t>
            </w:r>
          </w:p>
        </w:tc>
        <w:tc>
          <w:tcPr>
            <w:tcW w:w="2106" w:type="dxa"/>
            <w:vAlign w:val="center"/>
          </w:tcPr>
          <w:p>
            <w:pPr>
              <w:keepNext w:val="0"/>
              <w:keepLines w:val="0"/>
              <w:suppressLineNumbers w:val="0"/>
              <w:spacing w:before="0" w:beforeAutospacing="0" w:after="0" w:afterAutospacing="0"/>
              <w:ind w:left="420" w:right="0"/>
              <w:rPr>
                <w:rFonts w:hint="eastAsia" w:ascii="宋体" w:hAnsi="宋体" w:cs="宋体"/>
                <w:szCs w:val="21"/>
                <w:shd w:val="clear" w:color="auto" w:fill="FFFFFF"/>
              </w:rPr>
            </w:pPr>
            <w:r>
              <w:rPr>
                <w:rFonts w:hint="eastAsia" w:ascii="宋体" w:hAnsi="宋体" w:cs="宋体"/>
                <w:szCs w:val="21"/>
                <w:shd w:val="clear" w:color="auto" w:fill="FFFFFF"/>
              </w:rPr>
              <w:t>工期要求</w:t>
            </w:r>
          </w:p>
        </w:tc>
        <w:tc>
          <w:tcPr>
            <w:tcW w:w="7104" w:type="dxa"/>
            <w:vAlign w:val="center"/>
          </w:tcPr>
          <w:p>
            <w:pPr>
              <w:keepNext w:val="0"/>
              <w:keepLines w:val="0"/>
              <w:suppressLineNumbers w:val="0"/>
              <w:tabs>
                <w:tab w:val="left" w:pos="3000"/>
                <w:tab w:val="left" w:pos="3280"/>
                <w:tab w:val="left" w:pos="6120"/>
                <w:tab w:val="left" w:pos="7540"/>
                <w:tab w:val="left" w:pos="8320"/>
              </w:tabs>
              <w:autoSpaceDE w:val="0"/>
              <w:autoSpaceDN w:val="0"/>
              <w:adjustRightInd w:val="0"/>
              <w:spacing w:before="0" w:beforeAutospacing="0" w:after="0" w:afterAutospacing="0" w:line="400" w:lineRule="exact"/>
              <w:ind w:left="0" w:right="0" w:firstLine="420" w:firstLineChars="200"/>
              <w:rPr>
                <w:rFonts w:hint="eastAsia" w:ascii="宋体" w:hAnsi="宋体" w:cs="宋体"/>
                <w:kern w:val="10"/>
                <w:szCs w:val="21"/>
              </w:rPr>
            </w:pPr>
            <w:r>
              <w:rPr>
                <w:rFonts w:hint="eastAsia" w:ascii="宋体" w:hAnsi="宋体" w:cs="宋体"/>
                <w:kern w:val="0"/>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6</w:t>
            </w:r>
          </w:p>
        </w:tc>
        <w:tc>
          <w:tcPr>
            <w:tcW w:w="2106" w:type="dxa"/>
            <w:vAlign w:val="center"/>
          </w:tcPr>
          <w:p>
            <w:pPr>
              <w:keepNext w:val="0"/>
              <w:keepLines w:val="0"/>
              <w:suppressLineNumbers w:val="0"/>
              <w:spacing w:before="0" w:beforeAutospacing="0" w:after="0" w:afterAutospacing="0"/>
              <w:ind w:left="420" w:right="0"/>
              <w:rPr>
                <w:rFonts w:hint="eastAsia" w:ascii="宋体" w:hAnsi="宋体" w:cs="宋体"/>
                <w:szCs w:val="21"/>
                <w:shd w:val="clear" w:color="auto" w:fill="FFFFFF"/>
              </w:rPr>
            </w:pPr>
            <w:r>
              <w:rPr>
                <w:rFonts w:hint="eastAsia" w:ascii="宋体" w:hAnsi="宋体" w:cs="宋体"/>
                <w:szCs w:val="21"/>
                <w:shd w:val="clear" w:color="auto" w:fill="FFFFFF"/>
              </w:rPr>
              <w:t>质量要求</w:t>
            </w:r>
          </w:p>
        </w:tc>
        <w:tc>
          <w:tcPr>
            <w:tcW w:w="7104" w:type="dxa"/>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kern w:val="0"/>
                <w:szCs w:val="21"/>
              </w:rPr>
            </w:pPr>
            <w:r>
              <w:rPr>
                <w:rFonts w:hint="eastAsia" w:ascii="宋体" w:hAnsi="宋体" w:cs="宋体"/>
                <w:szCs w:val="21"/>
              </w:rPr>
              <w:t>达到国家和地方现行有关质量标准和比选文件第七章技术标准和工作要求，并且一次性验收合格。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7</w:t>
            </w:r>
          </w:p>
        </w:tc>
        <w:tc>
          <w:tcPr>
            <w:tcW w:w="2106" w:type="dxa"/>
            <w:vAlign w:val="center"/>
          </w:tcPr>
          <w:p>
            <w:pPr>
              <w:keepNext w:val="0"/>
              <w:keepLines w:val="0"/>
              <w:suppressLineNumbers w:val="0"/>
              <w:spacing w:before="0" w:beforeAutospacing="0" w:after="0" w:afterAutospacing="0"/>
              <w:ind w:left="420" w:right="0"/>
              <w:rPr>
                <w:rFonts w:hint="eastAsia" w:ascii="宋体" w:hAnsi="宋体" w:cs="宋体"/>
                <w:szCs w:val="21"/>
                <w:shd w:val="clear" w:color="auto" w:fill="FFFFFF"/>
              </w:rPr>
            </w:pPr>
            <w:r>
              <w:rPr>
                <w:rFonts w:hint="eastAsia" w:ascii="宋体" w:hAnsi="宋体" w:cs="宋体"/>
                <w:szCs w:val="21"/>
                <w:shd w:val="clear" w:color="auto" w:fill="FFFFFF"/>
              </w:rPr>
              <w:t>安全目标</w:t>
            </w:r>
          </w:p>
        </w:tc>
        <w:tc>
          <w:tcPr>
            <w:tcW w:w="7104" w:type="dxa"/>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szCs w:val="21"/>
              </w:rPr>
            </w:pPr>
            <w:r>
              <w:rPr>
                <w:rFonts w:hint="eastAsia" w:ascii="宋体" w:hAnsi="宋体" w:cs="宋体"/>
                <w:szCs w:val="21"/>
              </w:rPr>
              <w:t>无安全生产责任事故。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8</w:t>
            </w:r>
          </w:p>
        </w:tc>
        <w:tc>
          <w:tcPr>
            <w:tcW w:w="2106" w:type="dxa"/>
            <w:vAlign w:val="center"/>
          </w:tcPr>
          <w:p>
            <w:pPr>
              <w:keepNext w:val="0"/>
              <w:keepLines w:val="0"/>
              <w:suppressLineNumbers w:val="0"/>
              <w:spacing w:before="0" w:beforeAutospacing="0" w:after="0" w:afterAutospacing="0"/>
              <w:ind w:left="0" w:right="0"/>
              <w:jc w:val="center"/>
              <w:rPr>
                <w:rFonts w:hint="eastAsia" w:ascii="宋体" w:hAnsi="宋体" w:cs="宋体"/>
                <w:szCs w:val="21"/>
                <w:shd w:val="clear" w:color="auto" w:fill="FFFFFF"/>
              </w:rPr>
            </w:pPr>
            <w:r>
              <w:rPr>
                <w:rFonts w:hint="eastAsia" w:ascii="宋体" w:hAnsi="宋体" w:cs="宋体"/>
                <w:szCs w:val="21"/>
                <w:shd w:val="clear" w:color="auto" w:fill="FFFFFF"/>
              </w:rPr>
              <w:t>报价人资质条件、能力与信誉</w:t>
            </w:r>
          </w:p>
        </w:tc>
        <w:tc>
          <w:tcPr>
            <w:tcW w:w="7104" w:type="dxa"/>
            <w:vAlign w:val="center"/>
          </w:tcPr>
          <w:p>
            <w:pPr>
              <w:keepNext w:val="0"/>
              <w:keepLines w:val="0"/>
              <w:numPr>
                <w:ilvl w:val="0"/>
                <w:numId w:val="2"/>
              </w:numPr>
              <w:suppressLineNumbers w:val="0"/>
              <w:spacing w:before="0" w:beforeAutospacing="0" w:after="0" w:afterAutospacing="0" w:line="400" w:lineRule="exact"/>
              <w:ind w:left="0" w:right="0" w:firstLine="420" w:firstLineChars="200"/>
              <w:rPr>
                <w:rFonts w:hint="eastAsia"/>
              </w:rPr>
            </w:pPr>
            <w:r>
              <w:rPr>
                <w:rFonts w:hint="eastAsia" w:ascii="宋体" w:hAnsi="宋体" w:cs="宋体"/>
                <w:szCs w:val="21"/>
              </w:rPr>
              <w:t>资质条件：见比选公告3.1</w:t>
            </w:r>
          </w:p>
          <w:p>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szCs w:val="21"/>
                <w:lang w:val="en-US" w:eastAsia="zh-CN"/>
              </w:rPr>
            </w:pPr>
            <w:r>
              <w:rPr>
                <w:rFonts w:hint="eastAsia" w:ascii="宋体" w:hAnsi="宋体" w:cs="宋体"/>
                <w:szCs w:val="21"/>
              </w:rPr>
              <w:t>（3）业绩要求：见比选公告3.</w:t>
            </w:r>
            <w:r>
              <w:rPr>
                <w:rFonts w:hint="eastAsia" w:ascii="宋体" w:hAnsi="宋体" w:cs="宋体"/>
                <w:szCs w:val="21"/>
                <w:lang w:val="en-US" w:eastAsia="zh-CN"/>
              </w:rPr>
              <w:t>2</w:t>
            </w:r>
          </w:p>
          <w:p>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szCs w:val="21"/>
                <w:lang w:val="en-US" w:eastAsia="zh-CN"/>
              </w:rPr>
            </w:pPr>
            <w:r>
              <w:rPr>
                <w:rFonts w:hint="eastAsia" w:ascii="宋体" w:hAnsi="宋体" w:cs="宋体"/>
                <w:szCs w:val="21"/>
              </w:rPr>
              <w:t>（4）信誉要求：见比选公告3.</w:t>
            </w:r>
            <w:r>
              <w:rPr>
                <w:rFonts w:hint="eastAsia" w:ascii="宋体" w:hAnsi="宋体" w:cs="宋体"/>
                <w:szCs w:val="21"/>
                <w:lang w:val="en-US" w:eastAsia="zh-CN"/>
              </w:rPr>
              <w:t>3</w:t>
            </w:r>
          </w:p>
          <w:p>
            <w:pPr>
              <w:keepNext w:val="0"/>
              <w:keepLines w:val="0"/>
              <w:suppressLineNumbers w:val="0"/>
              <w:spacing w:before="0" w:beforeAutospacing="0" w:after="0" w:afterAutospacing="0" w:line="400" w:lineRule="exact"/>
              <w:ind w:left="0" w:right="0" w:firstLine="420" w:firstLineChars="200"/>
              <w:rPr>
                <w:rFonts w:hint="eastAsia" w:ascii="宋体" w:hAnsi="宋体" w:cs="宋体"/>
                <w:szCs w:val="21"/>
                <w:highlight w:val="none"/>
              </w:rPr>
            </w:pPr>
            <w:r>
              <w:rPr>
                <w:rFonts w:hint="eastAsia" w:ascii="宋体" w:hAnsi="宋体" w:cs="宋体"/>
                <w:szCs w:val="21"/>
                <w:highlight w:val="none"/>
              </w:rPr>
              <w:t>（5）项目主要人员要求：见附录1</w:t>
            </w:r>
          </w:p>
          <w:p>
            <w:pPr>
              <w:keepNext w:val="0"/>
              <w:keepLines w:val="0"/>
              <w:suppressLineNumbers w:val="0"/>
              <w:spacing w:before="0" w:beforeAutospacing="0" w:after="0" w:afterAutospacing="0" w:line="400" w:lineRule="exact"/>
              <w:ind w:left="0" w:right="0" w:firstLine="420" w:firstLineChars="200"/>
              <w:rPr>
                <w:rFonts w:hint="eastAsia" w:ascii="宋体" w:hAnsi="宋体" w:cs="宋体"/>
                <w:szCs w:val="21"/>
              </w:rPr>
            </w:pPr>
            <w:r>
              <w:rPr>
                <w:rFonts w:hint="eastAsia" w:ascii="宋体" w:hAnsi="宋体" w:cs="宋体"/>
                <w:szCs w:val="21"/>
                <w:highlight w:val="none"/>
              </w:rPr>
              <w:t>（6）其他要求：见附录2、见附录3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9</w:t>
            </w:r>
          </w:p>
        </w:tc>
        <w:tc>
          <w:tcPr>
            <w:tcW w:w="2106" w:type="dxa"/>
            <w:vAlign w:val="center"/>
          </w:tcPr>
          <w:p>
            <w:pPr>
              <w:keepNext w:val="0"/>
              <w:keepLines w:val="0"/>
              <w:suppressLineNumbers w:val="0"/>
              <w:spacing w:before="0" w:beforeAutospacing="0" w:after="0" w:afterAutospacing="0"/>
              <w:ind w:left="420" w:right="0"/>
              <w:rPr>
                <w:rFonts w:hint="eastAsia" w:ascii="宋体" w:hAnsi="宋体" w:cs="宋体"/>
                <w:szCs w:val="21"/>
                <w:shd w:val="clear" w:color="auto" w:fill="FFFFFF"/>
              </w:rPr>
            </w:pPr>
            <w:r>
              <w:rPr>
                <w:rFonts w:hint="eastAsia" w:ascii="宋体" w:hAnsi="宋体" w:cs="宋体"/>
                <w:szCs w:val="21"/>
                <w:shd w:val="clear" w:color="auto" w:fill="FFFFFF"/>
              </w:rPr>
              <w:t>是否接受</w:t>
            </w:r>
          </w:p>
          <w:p>
            <w:pPr>
              <w:keepNext w:val="0"/>
              <w:keepLines w:val="0"/>
              <w:suppressLineNumbers w:val="0"/>
              <w:spacing w:before="0" w:beforeAutospacing="0" w:after="0" w:afterAutospacing="0"/>
              <w:ind w:left="420" w:right="0"/>
              <w:rPr>
                <w:rFonts w:hint="eastAsia" w:ascii="宋体" w:hAnsi="宋体" w:cs="宋体"/>
                <w:szCs w:val="21"/>
                <w:shd w:val="clear" w:color="auto" w:fill="FFFFFF"/>
              </w:rPr>
            </w:pPr>
            <w:r>
              <w:rPr>
                <w:rFonts w:hint="eastAsia" w:ascii="宋体" w:hAnsi="宋体" w:cs="宋体"/>
                <w:szCs w:val="21"/>
                <w:shd w:val="clear" w:color="auto" w:fill="FFFFFF"/>
              </w:rPr>
              <w:t>联合体报价</w:t>
            </w:r>
          </w:p>
        </w:tc>
        <w:tc>
          <w:tcPr>
            <w:tcW w:w="7104"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kern w:val="0"/>
                <w:szCs w:val="21"/>
              </w:rPr>
            </w:pPr>
            <w:r>
              <w:rPr>
                <w:rFonts w:hint="eastAsia" w:ascii="宋体" w:hAnsi="宋体" w:cs="宋体"/>
                <w:kern w:val="0"/>
                <w:szCs w:val="21"/>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10</w:t>
            </w:r>
          </w:p>
        </w:tc>
        <w:tc>
          <w:tcPr>
            <w:tcW w:w="2106" w:type="dxa"/>
            <w:vAlign w:val="center"/>
          </w:tcPr>
          <w:p>
            <w:pPr>
              <w:keepNext w:val="0"/>
              <w:keepLines w:val="0"/>
              <w:suppressLineNumbers w:val="0"/>
              <w:spacing w:before="0" w:beforeAutospacing="0" w:after="0" w:afterAutospacing="0"/>
              <w:ind w:left="420" w:right="0"/>
              <w:rPr>
                <w:rFonts w:hint="eastAsia" w:ascii="宋体" w:hAnsi="宋体" w:cs="宋体"/>
                <w:szCs w:val="21"/>
                <w:shd w:val="clear" w:color="auto" w:fill="FFFFFF"/>
              </w:rPr>
            </w:pPr>
            <w:r>
              <w:rPr>
                <w:rFonts w:hint="eastAsia" w:ascii="宋体" w:hAnsi="宋体" w:cs="宋体"/>
                <w:szCs w:val="21"/>
                <w:shd w:val="clear" w:color="auto" w:fill="FFFFFF"/>
              </w:rPr>
              <w:t>踏勘现场</w:t>
            </w:r>
          </w:p>
        </w:tc>
        <w:tc>
          <w:tcPr>
            <w:tcW w:w="7104"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kern w:val="0"/>
                <w:szCs w:val="21"/>
              </w:rPr>
            </w:pPr>
            <w:r>
              <w:rPr>
                <w:rFonts w:hint="eastAsia" w:ascii="宋体" w:hAnsi="宋体" w:cs="宋体"/>
                <w:kern w:val="0"/>
                <w:szCs w:val="21"/>
              </w:rPr>
              <w:t>不组织，由各报价人根据需要自行完成现场踏勘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11</w:t>
            </w:r>
          </w:p>
        </w:tc>
        <w:tc>
          <w:tcPr>
            <w:tcW w:w="2106" w:type="dxa"/>
            <w:vAlign w:val="center"/>
          </w:tcPr>
          <w:p>
            <w:pPr>
              <w:keepNext w:val="0"/>
              <w:keepLines w:val="0"/>
              <w:suppressLineNumbers w:val="0"/>
              <w:spacing w:before="0" w:beforeAutospacing="0" w:after="0" w:afterAutospacing="0"/>
              <w:ind w:left="420" w:right="0"/>
              <w:rPr>
                <w:rFonts w:hint="eastAsia" w:ascii="宋体" w:hAnsi="宋体" w:cs="宋体"/>
                <w:szCs w:val="21"/>
                <w:shd w:val="clear" w:color="auto" w:fill="FFFFFF"/>
              </w:rPr>
            </w:pPr>
            <w:r>
              <w:rPr>
                <w:rFonts w:hint="eastAsia" w:ascii="宋体" w:hAnsi="宋体" w:cs="宋体"/>
                <w:szCs w:val="21"/>
                <w:shd w:val="clear" w:color="auto" w:fill="FFFFFF"/>
              </w:rPr>
              <w:t>分包</w:t>
            </w:r>
          </w:p>
        </w:tc>
        <w:tc>
          <w:tcPr>
            <w:tcW w:w="7104"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kern w:val="0"/>
                <w:szCs w:val="21"/>
              </w:rPr>
            </w:pPr>
            <w:r>
              <w:rPr>
                <w:rFonts w:hint="eastAsia" w:ascii="宋体" w:hAnsi="宋体" w:cs="宋体"/>
                <w:kern w:val="0"/>
                <w:szCs w:val="21"/>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12</w:t>
            </w:r>
          </w:p>
        </w:tc>
        <w:tc>
          <w:tcPr>
            <w:tcW w:w="2106" w:type="dxa"/>
            <w:vAlign w:val="center"/>
          </w:tcPr>
          <w:p>
            <w:pPr>
              <w:keepNext w:val="0"/>
              <w:keepLines w:val="0"/>
              <w:suppressLineNumbers w:val="0"/>
              <w:spacing w:before="0" w:beforeAutospacing="0" w:after="0" w:afterAutospacing="0"/>
              <w:ind w:left="420" w:right="0"/>
              <w:rPr>
                <w:rFonts w:hint="eastAsia" w:ascii="宋体" w:hAnsi="宋体" w:cs="宋体"/>
                <w:szCs w:val="21"/>
                <w:shd w:val="clear" w:color="auto" w:fill="FFFFFF"/>
              </w:rPr>
            </w:pPr>
            <w:r>
              <w:rPr>
                <w:rFonts w:hint="eastAsia" w:ascii="宋体" w:hAnsi="宋体" w:cs="宋体"/>
                <w:szCs w:val="21"/>
                <w:shd w:val="clear" w:color="auto" w:fill="FFFFFF"/>
              </w:rPr>
              <w:t>偏差</w:t>
            </w:r>
          </w:p>
        </w:tc>
        <w:tc>
          <w:tcPr>
            <w:tcW w:w="7104" w:type="dxa"/>
            <w:vAlign w:val="center"/>
          </w:tcPr>
          <w:p>
            <w:pPr>
              <w:keepNext w:val="0"/>
              <w:keepLines w:val="0"/>
              <w:suppressLineNumbers w:val="0"/>
              <w:spacing w:before="0" w:beforeAutospacing="0" w:after="0" w:afterAutospacing="0" w:line="400" w:lineRule="exact"/>
              <w:ind w:left="0" w:right="0" w:firstLine="422" w:firstLineChars="200"/>
              <w:rPr>
                <w:rFonts w:hint="eastAsia" w:ascii="宋体" w:hAnsi="宋体" w:cs="宋体"/>
                <w:kern w:val="0"/>
                <w:szCs w:val="21"/>
              </w:rPr>
            </w:pPr>
            <w:r>
              <w:rPr>
                <w:rFonts w:hint="eastAsia" w:ascii="宋体" w:hAnsi="宋体" w:cs="宋体"/>
                <w:b/>
                <w:kern w:val="0"/>
                <w:szCs w:val="21"/>
              </w:rPr>
              <w:t>不允许负偏差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13</w:t>
            </w:r>
          </w:p>
        </w:tc>
        <w:tc>
          <w:tcPr>
            <w:tcW w:w="2106" w:type="dxa"/>
            <w:vAlign w:val="center"/>
          </w:tcPr>
          <w:p>
            <w:pPr>
              <w:keepNext w:val="0"/>
              <w:keepLines w:val="0"/>
              <w:suppressLineNumbers w:val="0"/>
              <w:spacing w:before="0" w:beforeAutospacing="0" w:after="0" w:afterAutospacing="0"/>
              <w:ind w:left="0" w:right="0"/>
              <w:jc w:val="center"/>
              <w:rPr>
                <w:rFonts w:hint="eastAsia" w:ascii="宋体" w:hAnsi="宋体" w:cs="宋体"/>
                <w:szCs w:val="21"/>
                <w:shd w:val="clear" w:color="auto" w:fill="FFFFFF"/>
              </w:rPr>
            </w:pPr>
            <w:r>
              <w:rPr>
                <w:rFonts w:hint="eastAsia" w:ascii="宋体" w:hAnsi="宋体" w:cs="宋体"/>
                <w:szCs w:val="21"/>
                <w:shd w:val="clear" w:color="auto" w:fill="FFFFFF"/>
              </w:rPr>
              <w:t>构成比选文件的其他材料</w:t>
            </w:r>
          </w:p>
        </w:tc>
        <w:tc>
          <w:tcPr>
            <w:tcW w:w="7104" w:type="dxa"/>
            <w:vAlign w:val="center"/>
          </w:tcPr>
          <w:p>
            <w:pPr>
              <w:keepNext w:val="0"/>
              <w:keepLines w:val="0"/>
              <w:suppressLineNumbers w:val="0"/>
              <w:spacing w:before="0" w:beforeAutospacing="0" w:after="0" w:afterAutospacing="0" w:line="440" w:lineRule="exact"/>
              <w:ind w:left="0" w:right="0" w:firstLine="420" w:firstLineChars="200"/>
              <w:rPr>
                <w:rFonts w:hint="eastAsia" w:ascii="宋体" w:hAnsi="宋体" w:cs="宋体"/>
                <w:szCs w:val="21"/>
              </w:rPr>
            </w:pPr>
            <w:r>
              <w:rPr>
                <w:rFonts w:hint="eastAsia" w:ascii="宋体" w:hAnsi="宋体" w:cs="宋体"/>
                <w:szCs w:val="21"/>
              </w:rPr>
              <w:t>采购人发布的图纸、补遗书、答疑、澄清、最高限价通知等附件。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bookmarkStart w:id="99" w:name="_Hlt227984024"/>
            <w:bookmarkEnd w:id="99"/>
            <w:r>
              <w:rPr>
                <w:rFonts w:hint="eastAsia" w:ascii="宋体" w:hAnsi="宋体" w:cs="宋体"/>
                <w:kern w:val="0"/>
                <w:szCs w:val="21"/>
              </w:rPr>
              <w:t>14</w:t>
            </w:r>
          </w:p>
        </w:tc>
        <w:tc>
          <w:tcPr>
            <w:tcW w:w="2106" w:type="dxa"/>
            <w:vAlign w:val="center"/>
          </w:tcPr>
          <w:p>
            <w:pPr>
              <w:keepNext w:val="0"/>
              <w:keepLines w:val="0"/>
              <w:suppressLineNumbers w:val="0"/>
              <w:spacing w:before="0" w:beforeAutospacing="0" w:after="0" w:afterAutospacing="0"/>
              <w:ind w:left="0" w:right="0"/>
              <w:rPr>
                <w:rFonts w:hint="eastAsia" w:ascii="宋体" w:hAnsi="宋体" w:cs="宋体"/>
                <w:szCs w:val="21"/>
                <w:shd w:val="clear" w:color="auto" w:fill="FFFFFF"/>
              </w:rPr>
            </w:pPr>
            <w:r>
              <w:rPr>
                <w:rFonts w:hint="eastAsia" w:ascii="宋体" w:hAnsi="宋体" w:cs="宋体"/>
                <w:szCs w:val="21"/>
                <w:shd w:val="clear" w:color="auto" w:fill="FFFFFF"/>
              </w:rPr>
              <w:t>构成竞争性比选响应文件的其他材料</w:t>
            </w:r>
          </w:p>
        </w:tc>
        <w:tc>
          <w:tcPr>
            <w:tcW w:w="7104" w:type="dxa"/>
            <w:vAlign w:val="center"/>
          </w:tcPr>
          <w:p>
            <w:pPr>
              <w:pStyle w:val="151"/>
              <w:keepNext w:val="0"/>
              <w:keepLines w:val="0"/>
              <w:suppressLineNumbers w:val="0"/>
              <w:spacing w:before="72" w:beforeAutospacing="0" w:after="0" w:afterAutospacing="0" w:line="400" w:lineRule="exact"/>
              <w:ind w:left="0" w:right="0" w:firstLine="420" w:firstLineChars="200"/>
              <w:jc w:val="both"/>
              <w:rPr>
                <w:rFonts w:hint="eastAsia" w:hAnsi="宋体"/>
                <w:color w:val="auto"/>
                <w:sz w:val="21"/>
                <w:szCs w:val="21"/>
              </w:rPr>
            </w:pPr>
            <w:r>
              <w:rPr>
                <w:rFonts w:hint="eastAsia" w:hAnsi="宋体"/>
                <w:color w:val="auto"/>
                <w:sz w:val="21"/>
                <w:szCs w:val="21"/>
              </w:rPr>
              <w:t>报价人书面澄清或补正，但不得改变竞争性比选响应文件实质。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697" w:type="dxa"/>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15</w:t>
            </w:r>
          </w:p>
        </w:tc>
        <w:tc>
          <w:tcPr>
            <w:tcW w:w="2106" w:type="dxa"/>
            <w:tcBorders>
              <w:bottom w:val="single" w:color="auto"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szCs w:val="21"/>
                <w:shd w:val="clear" w:color="auto" w:fill="FFFFFF"/>
              </w:rPr>
            </w:pPr>
            <w:r>
              <w:rPr>
                <w:rFonts w:hint="eastAsia" w:ascii="宋体" w:hAnsi="宋体" w:cs="宋体"/>
                <w:szCs w:val="21"/>
                <w:shd w:val="clear" w:color="auto" w:fill="FFFFFF"/>
              </w:rPr>
              <w:t>工程量清单的填写方式</w:t>
            </w:r>
          </w:p>
        </w:tc>
        <w:tc>
          <w:tcPr>
            <w:tcW w:w="7104" w:type="dxa"/>
            <w:tcBorders>
              <w:bottom w:val="single" w:color="auto" w:sz="4" w:space="0"/>
            </w:tcBorders>
          </w:tcPr>
          <w:p>
            <w:pPr>
              <w:keepNext w:val="0"/>
              <w:keepLines w:val="0"/>
              <w:suppressLineNumbers w:val="0"/>
              <w:spacing w:before="0" w:beforeAutospacing="0" w:after="0" w:afterAutospacing="0" w:line="400" w:lineRule="exact"/>
              <w:ind w:left="0" w:right="0" w:firstLine="420" w:firstLineChars="200"/>
              <w:jc w:val="left"/>
              <w:rPr>
                <w:rFonts w:hint="eastAsia" w:ascii="宋体" w:hAnsi="宋体" w:cs="宋体"/>
                <w:szCs w:val="21"/>
              </w:rPr>
            </w:pPr>
            <w:r>
              <w:rPr>
                <w:rFonts w:hint="eastAsia" w:ascii="宋体" w:hAnsi="宋体" w:cs="宋体"/>
              </w:rPr>
              <w:t>报价人按照采购人提供的工程量清单填写工程量清单</w:t>
            </w:r>
          </w:p>
          <w:p>
            <w:pPr>
              <w:keepNext w:val="0"/>
              <w:keepLines w:val="0"/>
              <w:suppressLineNumbers w:val="0"/>
              <w:spacing w:before="0" w:beforeAutospacing="0" w:after="0" w:afterAutospacing="0" w:line="400" w:lineRule="exact"/>
              <w:ind w:left="0" w:right="0" w:firstLine="422" w:firstLineChars="200"/>
              <w:rPr>
                <w:rFonts w:hint="eastAsia" w:ascii="宋体" w:hAnsi="宋体" w:cs="宋体"/>
                <w:b/>
                <w:szCs w:val="21"/>
              </w:rPr>
            </w:pPr>
            <w:r>
              <w:rPr>
                <w:rFonts w:hint="eastAsia" w:ascii="宋体" w:hAnsi="宋体" w:cs="宋体"/>
                <w:b/>
                <w:szCs w:val="21"/>
              </w:rPr>
              <w:t>综合单价取小数点后两位，小数点后第三位四舍五入。</w:t>
            </w:r>
          </w:p>
          <w:p>
            <w:pPr>
              <w:keepNext w:val="0"/>
              <w:keepLines w:val="0"/>
              <w:suppressLineNumbers w:val="0"/>
              <w:spacing w:before="0" w:beforeAutospacing="0" w:after="0" w:afterAutospacing="0" w:line="400" w:lineRule="exact"/>
              <w:ind w:left="0" w:right="0" w:firstLine="422" w:firstLineChars="200"/>
              <w:rPr>
                <w:rFonts w:hint="eastAsia" w:ascii="宋体" w:hAnsi="宋体" w:cs="宋体"/>
                <w:szCs w:val="21"/>
              </w:rPr>
            </w:pPr>
            <w:r>
              <w:rPr>
                <w:rFonts w:hint="eastAsia" w:ascii="宋体" w:hAnsi="宋体" w:cs="宋体"/>
                <w:b/>
                <w:bCs/>
                <w:szCs w:val="21"/>
              </w:rPr>
              <w:t>本项目工程量清单及说明随比选文件一并发布，详见附件。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697" w:type="dxa"/>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16</w:t>
            </w:r>
          </w:p>
        </w:tc>
        <w:tc>
          <w:tcPr>
            <w:tcW w:w="2106" w:type="dxa"/>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最高投标限价</w:t>
            </w:r>
          </w:p>
        </w:tc>
        <w:tc>
          <w:tcPr>
            <w:tcW w:w="7104" w:type="dxa"/>
            <w:tcBorders>
              <w:bottom w:val="single" w:color="auto" w:sz="4" w:space="0"/>
            </w:tcBorders>
          </w:tcPr>
          <w:p>
            <w:pPr>
              <w:keepNext w:val="0"/>
              <w:keepLines w:val="0"/>
              <w:suppressLineNumbers w:val="0"/>
              <w:spacing w:before="0" w:beforeAutospacing="0" w:after="0" w:afterAutospacing="0" w:line="400" w:lineRule="exact"/>
              <w:ind w:left="0" w:right="0" w:firstLine="422" w:firstLineChars="200"/>
              <w:rPr>
                <w:rFonts w:hint="eastAsia" w:ascii="宋体" w:hAnsi="宋体"/>
                <w:szCs w:val="21"/>
                <w:highlight w:val="none"/>
              </w:rPr>
            </w:pPr>
            <w:r>
              <w:rPr>
                <w:rFonts w:hint="eastAsia" w:ascii="宋体" w:hAnsi="宋体"/>
                <w:b/>
                <w:bCs/>
                <w:szCs w:val="21"/>
                <w:highlight w:val="none"/>
              </w:rPr>
              <w:t>本项目最高限价</w:t>
            </w:r>
            <w:r>
              <w:rPr>
                <w:rFonts w:hint="default" w:ascii="宋体" w:hAnsi="宋体"/>
                <w:b/>
                <w:bCs/>
                <w:szCs w:val="21"/>
                <w:highlight w:val="none"/>
                <w:u w:val="single"/>
              </w:rPr>
              <w:t xml:space="preserve"> </w:t>
            </w:r>
            <w:r>
              <w:rPr>
                <w:rFonts w:hint="eastAsia" w:ascii="宋体" w:hAnsi="宋体"/>
                <w:b/>
                <w:bCs/>
                <w:szCs w:val="21"/>
                <w:highlight w:val="none"/>
                <w:u w:val="single"/>
                <w:lang w:val="en-US" w:eastAsia="zh-CN"/>
              </w:rPr>
              <w:t>1600000.00</w:t>
            </w:r>
            <w:r>
              <w:rPr>
                <w:rFonts w:hint="eastAsia" w:ascii="宋体" w:hAnsi="宋体"/>
                <w:b/>
                <w:bCs/>
                <w:szCs w:val="21"/>
                <w:highlight w:val="none"/>
              </w:rPr>
              <w:t>元。</w:t>
            </w:r>
          </w:p>
          <w:p>
            <w:pPr>
              <w:keepNext w:val="0"/>
              <w:keepLines w:val="0"/>
              <w:suppressLineNumbers w:val="0"/>
              <w:spacing w:before="0" w:beforeAutospacing="0" w:after="0" w:afterAutospacing="0" w:line="400" w:lineRule="exact"/>
              <w:ind w:left="0" w:right="0" w:firstLine="422" w:firstLineChars="200"/>
              <w:rPr>
                <w:rFonts w:hint="eastAsia" w:ascii="宋体" w:hAnsi="宋体" w:cs="宋体"/>
                <w:b/>
                <w:bCs/>
                <w:kern w:val="0"/>
                <w:szCs w:val="21"/>
              </w:rPr>
            </w:pPr>
            <w:r>
              <w:rPr>
                <w:rFonts w:hint="eastAsia" w:ascii="宋体" w:hAnsi="宋体" w:cs="宋体"/>
                <w:b/>
                <w:szCs w:val="21"/>
              </w:rPr>
              <w:t>报价人报价不得高于采购人发布的最高限价，否则其竞争性比选响应文件视为重大偏差，竞争性比选响应文件将按否决报价处理</w:t>
            </w:r>
            <w:r>
              <w:rPr>
                <w:rFonts w:hint="eastAsia" w:ascii="宋体" w:hAnsi="宋体" w:cs="宋体"/>
                <w:b/>
                <w:bCs/>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697" w:type="dxa"/>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17</w:t>
            </w:r>
          </w:p>
        </w:tc>
        <w:tc>
          <w:tcPr>
            <w:tcW w:w="2106" w:type="dxa"/>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合同支付办法</w:t>
            </w:r>
          </w:p>
        </w:tc>
        <w:tc>
          <w:tcPr>
            <w:tcW w:w="7104" w:type="dxa"/>
            <w:tcBorders>
              <w:bottom w:val="single" w:color="auto" w:sz="4" w:space="0"/>
            </w:tcBorders>
          </w:tcPr>
          <w:p>
            <w:pPr>
              <w:keepNext w:val="0"/>
              <w:keepLines w:val="0"/>
              <w:suppressLineNumbers w:val="0"/>
              <w:spacing w:before="0" w:beforeAutospacing="0" w:after="0" w:afterAutospacing="0"/>
              <w:ind w:left="0" w:right="0" w:firstLine="420" w:firstLineChars="200"/>
              <w:rPr>
                <w:rFonts w:hint="eastAsia"/>
              </w:rPr>
            </w:pPr>
            <w:r>
              <w:rPr>
                <w:rFonts w:hint="eastAsia"/>
              </w:rPr>
              <w:t>甲方每次收到业主进度款、货款、结算款、质保金等工程款项后再按以下方式支付乙方的对应款项：</w:t>
            </w:r>
          </w:p>
          <w:p>
            <w:pPr>
              <w:keepNext w:val="0"/>
              <w:keepLines w:val="0"/>
              <w:suppressLineNumbers w:val="0"/>
              <w:spacing w:before="0" w:beforeAutospacing="0" w:after="0" w:afterAutospacing="0"/>
              <w:ind w:left="0" w:right="0" w:firstLine="420" w:firstLineChars="200"/>
              <w:rPr>
                <w:rFonts w:hint="eastAsia"/>
              </w:rPr>
            </w:pPr>
            <w:r>
              <w:rPr>
                <w:rFonts w:hint="eastAsia"/>
              </w:rPr>
              <w:t>1、结算方式：按年结算；</w:t>
            </w:r>
          </w:p>
          <w:p>
            <w:pPr>
              <w:keepNext w:val="0"/>
              <w:keepLines w:val="0"/>
              <w:suppressLineNumbers w:val="0"/>
              <w:spacing w:before="0" w:beforeAutospacing="0" w:after="0" w:afterAutospacing="0"/>
              <w:ind w:left="0" w:right="0" w:firstLine="420" w:firstLineChars="200"/>
              <w:rPr>
                <w:rFonts w:hint="eastAsia"/>
              </w:rPr>
            </w:pPr>
            <w:r>
              <w:rPr>
                <w:rFonts w:hint="eastAsia"/>
              </w:rPr>
              <w:t>2、乙方每一年度完成长大桥梁结构健康监测，并提供分析报告，经甲方验收合格后支付合同金额的20%。若当期服务总评为“满意”则足额支付，若出现服务总评为“不满意”情况，则甲方按当期总金额的5%予以扣减，若出现其它触发本合同扣款条款的，也在相应支付当期进行扣除。在甲方付款前，乙方应开具并送达等额的服务专用增值税专用发票，若乙方迟延提供发票，甲方的付款期限顺延且不承担任何违约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7" w:type="dxa"/>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18</w:t>
            </w:r>
          </w:p>
        </w:tc>
        <w:tc>
          <w:tcPr>
            <w:tcW w:w="2106" w:type="dxa"/>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szCs w:val="21"/>
              </w:rPr>
              <w:t>乙方违约的处理</w:t>
            </w:r>
          </w:p>
        </w:tc>
        <w:tc>
          <w:tcPr>
            <w:tcW w:w="7104" w:type="dxa"/>
            <w:tcBorders>
              <w:bottom w:val="single" w:color="auto" w:sz="4" w:space="0"/>
            </w:tcBorders>
          </w:tcPr>
          <w:p>
            <w:pPr>
              <w:keepNext w:val="0"/>
              <w:keepLines w:val="0"/>
              <w:widowControl/>
              <w:suppressLineNumbers w:val="0"/>
              <w:spacing w:before="0" w:beforeAutospacing="0" w:after="0" w:afterAutospacing="0"/>
              <w:ind w:left="0" w:right="0" w:firstLine="420" w:firstLineChars="200"/>
              <w:rPr>
                <w:rFonts w:hint="eastAsia" w:eastAsia="宋体"/>
                <w:lang w:eastAsia="zh-CN"/>
              </w:rPr>
            </w:pPr>
            <w:r>
              <w:rPr>
                <w:rFonts w:hint="eastAsia"/>
                <w:sz w:val="21"/>
                <w:szCs w:val="21"/>
                <w:highlight w:val="none"/>
              </w:rPr>
              <w:t>乙方未能按合同进度计划及时完成合同约定的工作，已造成或预期造成工期延误，甲方有权终止乙方不能按合同约定或预期不能按时完成的剩余工程，并由甲方另行选择单位实施，且因此产生的费用由乙方承担。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rPr>
            </w:pPr>
            <w:r>
              <w:rPr>
                <w:rFonts w:hint="eastAsia" w:ascii="宋体" w:hAnsi="宋体" w:cs="宋体"/>
                <w:szCs w:val="21"/>
              </w:rPr>
              <w:t>19</w:t>
            </w:r>
          </w:p>
        </w:tc>
        <w:tc>
          <w:tcPr>
            <w:tcW w:w="2106" w:type="dxa"/>
          </w:tcPr>
          <w:p>
            <w:pPr>
              <w:keepNext w:val="0"/>
              <w:keepLines w:val="0"/>
              <w:suppressLineNumbers w:val="0"/>
              <w:spacing w:before="0" w:beforeAutospacing="0" w:after="0" w:afterAutospacing="0" w:line="400" w:lineRule="exact"/>
              <w:ind w:left="0" w:right="0"/>
              <w:jc w:val="center"/>
              <w:rPr>
                <w:rFonts w:hint="eastAsia" w:ascii="宋体" w:hAnsi="宋体" w:cs="宋体"/>
                <w:szCs w:val="21"/>
              </w:rPr>
            </w:pPr>
            <w:r>
              <w:rPr>
                <w:rFonts w:hint="eastAsia" w:ascii="宋体" w:hAnsi="宋体" w:cs="宋体"/>
                <w:szCs w:val="21"/>
              </w:rPr>
              <w:t>中标候选人的人数</w:t>
            </w:r>
          </w:p>
        </w:tc>
        <w:tc>
          <w:tcPr>
            <w:tcW w:w="7104"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rPr>
            </w:pPr>
            <w:r>
              <w:rPr>
                <w:rFonts w:hint="eastAsia" w:ascii="宋体" w:hAnsi="宋体" w:cs="宋体"/>
              </w:rPr>
              <w:t>推荐的中标候选人数：2名。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97" w:type="dxa"/>
            <w:vAlign w:val="center"/>
          </w:tcPr>
          <w:p>
            <w:pPr>
              <w:pStyle w:val="151"/>
              <w:keepNext w:val="0"/>
              <w:keepLines w:val="0"/>
              <w:suppressLineNumbers w:val="0"/>
              <w:spacing w:before="0" w:beforeAutospacing="0" w:after="0" w:afterAutospacing="0" w:line="400" w:lineRule="exact"/>
              <w:ind w:left="0" w:right="0"/>
              <w:jc w:val="center"/>
              <w:rPr>
                <w:rFonts w:hint="eastAsia" w:hAnsi="宋体"/>
                <w:color w:val="auto"/>
                <w:kern w:val="2"/>
                <w:sz w:val="21"/>
                <w:szCs w:val="21"/>
              </w:rPr>
            </w:pPr>
            <w:r>
              <w:rPr>
                <w:rFonts w:hint="eastAsia" w:hAnsi="宋体"/>
                <w:color w:val="auto"/>
                <w:kern w:val="2"/>
                <w:sz w:val="21"/>
                <w:szCs w:val="21"/>
              </w:rPr>
              <w:t>20</w:t>
            </w:r>
          </w:p>
        </w:tc>
        <w:tc>
          <w:tcPr>
            <w:tcW w:w="2106" w:type="dxa"/>
            <w:vAlign w:val="center"/>
          </w:tcPr>
          <w:p>
            <w:pPr>
              <w:pStyle w:val="151"/>
              <w:keepNext w:val="0"/>
              <w:keepLines w:val="0"/>
              <w:suppressLineNumbers w:val="0"/>
              <w:spacing w:before="0" w:beforeAutospacing="0" w:after="0" w:afterAutospacing="0" w:line="400" w:lineRule="exact"/>
              <w:ind w:left="0" w:right="0"/>
              <w:jc w:val="center"/>
              <w:rPr>
                <w:rFonts w:hint="eastAsia" w:hAnsi="宋体"/>
                <w:color w:val="auto"/>
                <w:kern w:val="2"/>
                <w:sz w:val="21"/>
                <w:szCs w:val="21"/>
              </w:rPr>
            </w:pPr>
            <w:r>
              <w:rPr>
                <w:rFonts w:hint="eastAsia" w:hAnsi="宋体"/>
                <w:color w:val="auto"/>
                <w:kern w:val="2"/>
                <w:sz w:val="21"/>
                <w:szCs w:val="21"/>
              </w:rPr>
              <w:t>保证金</w:t>
            </w:r>
          </w:p>
        </w:tc>
        <w:tc>
          <w:tcPr>
            <w:tcW w:w="7104" w:type="dxa"/>
            <w:vAlign w:val="center"/>
          </w:tcPr>
          <w:p>
            <w:pPr>
              <w:keepNext w:val="0"/>
              <w:keepLines w:val="0"/>
              <w:suppressLineNumbers w:val="0"/>
              <w:snapToGrid w:val="0"/>
              <w:spacing w:before="0" w:beforeAutospacing="0" w:after="0" w:afterAutospacing="0" w:line="400" w:lineRule="exact"/>
              <w:ind w:left="0" w:right="0" w:firstLine="420" w:firstLineChars="200"/>
              <w:rPr>
                <w:rFonts w:hint="eastAsia"/>
              </w:rPr>
            </w:pPr>
            <w:r>
              <w:rPr>
                <w:rFonts w:hint="eastAsia"/>
              </w:rPr>
              <w:t>一、投标保证金</w:t>
            </w:r>
          </w:p>
          <w:p>
            <w:pPr>
              <w:pStyle w:val="151"/>
              <w:keepNext w:val="0"/>
              <w:keepLines w:val="0"/>
              <w:suppressLineNumbers w:val="0"/>
              <w:spacing w:before="0" w:beforeAutospacing="0" w:after="0" w:afterAutospacing="0" w:line="400" w:lineRule="exact"/>
              <w:ind w:left="0" w:right="0" w:firstLine="420" w:firstLineChars="200"/>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1、报价人须缴纳投标保证金</w:t>
            </w:r>
            <w:r>
              <w:rPr>
                <w:rFonts w:hint="eastAsia" w:ascii="Times New Roman" w:cs="Times New Roman"/>
                <w:color w:val="auto"/>
                <w:kern w:val="2"/>
                <w:sz w:val="21"/>
                <w:szCs w:val="24"/>
                <w:lang w:val="en-US" w:eastAsia="zh-CN" w:bidi="ar-SA"/>
              </w:rPr>
              <w:t>2</w:t>
            </w:r>
            <w:r>
              <w:rPr>
                <w:rFonts w:hint="eastAsia" w:ascii="Times New Roman" w:hAnsi="Times New Roman" w:eastAsia="宋体" w:cs="Times New Roman"/>
                <w:color w:val="auto"/>
                <w:kern w:val="2"/>
                <w:sz w:val="21"/>
                <w:szCs w:val="24"/>
                <w:lang w:val="en-US" w:eastAsia="zh-CN" w:bidi="ar-SA"/>
              </w:rPr>
              <w:t>0000元，由报价人从公司基本账户将投标保证金汇至以下指定账户：</w:t>
            </w:r>
          </w:p>
          <w:p>
            <w:pPr>
              <w:pStyle w:val="151"/>
              <w:keepNext w:val="0"/>
              <w:keepLines w:val="0"/>
              <w:suppressLineNumbers w:val="0"/>
              <w:spacing w:before="0" w:beforeAutospacing="0" w:after="0" w:afterAutospacing="0" w:line="400" w:lineRule="exact"/>
              <w:ind w:left="0" w:right="0" w:firstLine="420" w:firstLineChars="200"/>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保证金到账截止时间：202</w:t>
            </w:r>
            <w:r>
              <w:rPr>
                <w:rFonts w:hint="eastAsia" w:ascii="Times New Roman" w:cs="Times New Roman"/>
                <w:color w:val="auto"/>
                <w:kern w:val="2"/>
                <w:sz w:val="21"/>
                <w:szCs w:val="24"/>
                <w:lang w:val="en-US" w:eastAsia="zh-CN" w:bidi="ar-SA"/>
              </w:rPr>
              <w:t>4</w:t>
            </w:r>
            <w:r>
              <w:rPr>
                <w:rFonts w:hint="eastAsia" w:ascii="Times New Roman" w:hAnsi="Times New Roman" w:eastAsia="宋体" w:cs="Times New Roman"/>
                <w:color w:val="auto"/>
                <w:kern w:val="2"/>
                <w:sz w:val="21"/>
                <w:szCs w:val="24"/>
                <w:lang w:val="en-US" w:eastAsia="zh-CN" w:bidi="ar-SA"/>
              </w:rPr>
              <w:t>年</w:t>
            </w:r>
            <w:r>
              <w:rPr>
                <w:rFonts w:hint="eastAsia" w:ascii="Times New Roman" w:cs="Times New Roman"/>
                <w:color w:val="auto"/>
                <w:kern w:val="2"/>
                <w:sz w:val="21"/>
                <w:szCs w:val="24"/>
                <w:lang w:val="en-US" w:eastAsia="zh-CN" w:bidi="ar-SA"/>
              </w:rPr>
              <w:t>6</w:t>
            </w:r>
            <w:r>
              <w:rPr>
                <w:rFonts w:hint="eastAsia" w:ascii="Times New Roman" w:hAnsi="Times New Roman" w:eastAsia="宋体" w:cs="Times New Roman"/>
                <w:color w:val="auto"/>
                <w:kern w:val="2"/>
                <w:sz w:val="21"/>
                <w:szCs w:val="24"/>
                <w:lang w:val="en-US" w:eastAsia="zh-CN" w:bidi="ar-SA"/>
              </w:rPr>
              <w:t>月</w:t>
            </w:r>
            <w:r>
              <w:rPr>
                <w:rFonts w:hint="eastAsia" w:ascii="Times New Roman" w:cs="Times New Roman"/>
                <w:color w:val="auto"/>
                <w:kern w:val="2"/>
                <w:sz w:val="21"/>
                <w:szCs w:val="24"/>
                <w:lang w:val="en-US" w:eastAsia="zh-CN" w:bidi="ar-SA"/>
              </w:rPr>
              <w:t>28</w:t>
            </w:r>
            <w:r>
              <w:rPr>
                <w:rFonts w:hint="eastAsia" w:ascii="Times New Roman" w:hAnsi="Times New Roman" w:eastAsia="宋体" w:cs="Times New Roman"/>
                <w:color w:val="auto"/>
                <w:kern w:val="2"/>
                <w:sz w:val="21"/>
                <w:szCs w:val="24"/>
                <w:lang w:val="en-US" w:eastAsia="zh-CN" w:bidi="ar-SA"/>
              </w:rPr>
              <w:t>日</w:t>
            </w:r>
            <w:r>
              <w:rPr>
                <w:rFonts w:hint="eastAsia" w:ascii="Times New Roman" w:cs="Times New Roman"/>
                <w:color w:val="auto"/>
                <w:kern w:val="2"/>
                <w:sz w:val="21"/>
                <w:szCs w:val="24"/>
                <w:lang w:val="en-US" w:eastAsia="zh-CN" w:bidi="ar-SA"/>
              </w:rPr>
              <w:t>11</w:t>
            </w:r>
            <w:r>
              <w:rPr>
                <w:rFonts w:hint="eastAsia" w:ascii="Times New Roman" w:hAnsi="Times New Roman" w:eastAsia="宋体" w:cs="Times New Roman"/>
                <w:color w:val="auto"/>
                <w:kern w:val="2"/>
                <w:sz w:val="21"/>
                <w:szCs w:val="24"/>
                <w:lang w:val="en-US" w:eastAsia="zh-CN" w:bidi="ar-SA"/>
              </w:rPr>
              <w:t>时</w:t>
            </w:r>
            <w:r>
              <w:rPr>
                <w:rFonts w:hint="eastAsia" w:ascii="Times New Roman" w:cs="Times New Roman"/>
                <w:color w:val="auto"/>
                <w:kern w:val="2"/>
                <w:sz w:val="21"/>
                <w:szCs w:val="24"/>
                <w:lang w:val="en-US" w:eastAsia="zh-CN" w:bidi="ar-SA"/>
              </w:rPr>
              <w:t>0</w:t>
            </w:r>
            <w:r>
              <w:rPr>
                <w:rFonts w:hint="eastAsia" w:ascii="Times New Roman" w:hAnsi="Times New Roman" w:eastAsia="宋体" w:cs="Times New Roman"/>
                <w:color w:val="auto"/>
                <w:kern w:val="2"/>
                <w:sz w:val="21"/>
                <w:szCs w:val="24"/>
                <w:lang w:val="en-US" w:eastAsia="zh-CN" w:bidi="ar-SA"/>
              </w:rPr>
              <w:t>0分前；</w:t>
            </w:r>
          </w:p>
          <w:p>
            <w:pPr>
              <w:pStyle w:val="151"/>
              <w:keepNext w:val="0"/>
              <w:keepLines w:val="0"/>
              <w:suppressLineNumbers w:val="0"/>
              <w:spacing w:before="0" w:beforeAutospacing="0" w:after="0" w:afterAutospacing="0" w:line="400" w:lineRule="exact"/>
              <w:ind w:left="0" w:right="0" w:firstLine="420" w:firstLineChars="200"/>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若竞争性比选响应文件内无投标保证金缴纳凭证，采购人有权作废标处理，若投标保证金存在虚假不实情况，采购人有权作废标处理。</w:t>
            </w:r>
          </w:p>
          <w:p>
            <w:pPr>
              <w:pStyle w:val="151"/>
              <w:keepNext w:val="0"/>
              <w:keepLines w:val="0"/>
              <w:suppressLineNumbers w:val="0"/>
              <w:spacing w:before="0" w:beforeAutospacing="0" w:after="0" w:afterAutospacing="0" w:line="400" w:lineRule="exact"/>
              <w:ind w:left="0" w:right="0" w:firstLine="420" w:firstLineChars="200"/>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2、投标保证金退还方式</w:t>
            </w:r>
          </w:p>
          <w:p>
            <w:pPr>
              <w:pStyle w:val="151"/>
              <w:keepNext w:val="0"/>
              <w:keepLines w:val="0"/>
              <w:suppressLineNumbers w:val="0"/>
              <w:spacing w:before="0" w:beforeAutospacing="0" w:after="0" w:afterAutospacing="0" w:line="400" w:lineRule="exact"/>
              <w:ind w:left="0" w:right="0" w:firstLine="420" w:firstLineChars="200"/>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为便于及时退还，报价人在递交响应文件的同时，递交本项目保证金银行回单和公司的开户许可证复印件。</w:t>
            </w:r>
          </w:p>
          <w:p>
            <w:pPr>
              <w:pStyle w:val="151"/>
              <w:keepNext w:val="0"/>
              <w:keepLines w:val="0"/>
              <w:suppressLineNumbers w:val="0"/>
              <w:spacing w:before="0" w:beforeAutospacing="0" w:after="0" w:afterAutospacing="0" w:line="400" w:lineRule="exact"/>
              <w:ind w:left="0" w:right="0" w:firstLine="420" w:firstLineChars="200"/>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未中标报价人的投标保证金，于该项目结果公示期结束后15个工作日内无息退还至报价人基本账户。</w:t>
            </w:r>
          </w:p>
          <w:p>
            <w:pPr>
              <w:pStyle w:val="151"/>
              <w:keepNext w:val="0"/>
              <w:keepLines w:val="0"/>
              <w:suppressLineNumbers w:val="0"/>
              <w:spacing w:before="0" w:beforeAutospacing="0" w:after="0" w:afterAutospacing="0" w:line="400" w:lineRule="exact"/>
              <w:ind w:left="0" w:right="0" w:firstLine="420" w:firstLineChars="200"/>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中标人的投标保证金，自合同签订后15个工作日内无息退还至中标人基本账户。</w:t>
            </w:r>
          </w:p>
          <w:p>
            <w:pPr>
              <w:pStyle w:val="151"/>
              <w:keepNext w:val="0"/>
              <w:keepLines w:val="0"/>
              <w:suppressLineNumbers w:val="0"/>
              <w:spacing w:before="0" w:beforeAutospacing="0" w:after="0" w:afterAutospacing="0" w:line="400" w:lineRule="exact"/>
              <w:ind w:left="0" w:right="0" w:firstLine="420" w:firstLineChars="200"/>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二、履约保证金</w:t>
            </w:r>
          </w:p>
          <w:p>
            <w:pPr>
              <w:pStyle w:val="151"/>
              <w:keepNext w:val="0"/>
              <w:keepLines w:val="0"/>
              <w:suppressLineNumbers w:val="0"/>
              <w:spacing w:before="0" w:beforeAutospacing="0" w:after="0" w:afterAutospacing="0" w:line="400" w:lineRule="exact"/>
              <w:ind w:left="0" w:right="0" w:firstLine="420" w:firstLineChars="200"/>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无。</w:t>
            </w:r>
          </w:p>
          <w:p>
            <w:pPr>
              <w:pStyle w:val="151"/>
              <w:keepNext w:val="0"/>
              <w:keepLines w:val="0"/>
              <w:suppressLineNumbers w:val="0"/>
              <w:spacing w:before="0" w:beforeAutospacing="0" w:after="0" w:afterAutospacing="0" w:line="400" w:lineRule="exact"/>
              <w:ind w:left="0" w:right="0" w:firstLine="420" w:firstLineChars="200"/>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三、保证金缴纳方式及要求：报价人从企业的基本账户（开户行）在采购人规定时间内，向采购人通过电汇方式直接划付至采购人指定的保证金账户，否则，保证金无效。报价人自行考虑汇入时间风险，如同城汇入、异地汇入、跨行汇入的时间要求。转款备注：长大桥梁结构健康监测技术服务项目投标保证金。</w:t>
            </w:r>
          </w:p>
          <w:p>
            <w:pPr>
              <w:pStyle w:val="151"/>
              <w:keepNext w:val="0"/>
              <w:keepLines w:val="0"/>
              <w:suppressLineNumbers w:val="0"/>
              <w:spacing w:before="0" w:beforeAutospacing="0" w:after="0" w:afterAutospacing="0" w:line="400" w:lineRule="exact"/>
              <w:ind w:left="0" w:right="0" w:firstLine="420" w:firstLineChars="200"/>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四、采购人指定的开户银行及账号如下：</w:t>
            </w:r>
          </w:p>
          <w:p>
            <w:pPr>
              <w:pStyle w:val="151"/>
              <w:keepNext w:val="0"/>
              <w:keepLines w:val="0"/>
              <w:suppressLineNumbers w:val="0"/>
              <w:spacing w:before="0" w:beforeAutospacing="0" w:after="0" w:afterAutospacing="0" w:line="400" w:lineRule="exact"/>
              <w:ind w:left="0" w:right="0" w:firstLine="420" w:firstLineChars="200"/>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账户名称：重庆首讯科技股份有限公司</w:t>
            </w:r>
          </w:p>
          <w:p>
            <w:pPr>
              <w:pStyle w:val="151"/>
              <w:keepNext w:val="0"/>
              <w:keepLines w:val="0"/>
              <w:suppressLineNumbers w:val="0"/>
              <w:spacing w:before="0" w:beforeAutospacing="0" w:after="0" w:afterAutospacing="0" w:line="400" w:lineRule="exact"/>
              <w:ind w:left="0" w:right="0" w:firstLine="420" w:firstLineChars="200"/>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开户银行：兴业银行重庆分行营业部</w:t>
            </w:r>
          </w:p>
          <w:p>
            <w:pPr>
              <w:pStyle w:val="151"/>
              <w:keepNext w:val="0"/>
              <w:keepLines w:val="0"/>
              <w:widowControl/>
              <w:suppressLineNumbers w:val="0"/>
              <w:spacing w:before="0" w:beforeAutospacing="0" w:after="0" w:afterAutospacing="0" w:line="400" w:lineRule="exact"/>
              <w:ind w:left="0" w:right="0" w:firstLine="420" w:firstLineChars="200"/>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帐    号：3460 1010 0100 4791 14</w:t>
            </w:r>
          </w:p>
          <w:p>
            <w:pPr>
              <w:pStyle w:val="151"/>
              <w:keepNext w:val="0"/>
              <w:keepLines w:val="0"/>
              <w:suppressLineNumbers w:val="0"/>
              <w:spacing w:before="0" w:beforeAutospacing="0" w:after="0" w:afterAutospacing="0" w:line="400" w:lineRule="exact"/>
              <w:ind w:left="0" w:right="0" w:firstLine="420" w:firstLineChars="200"/>
              <w:rPr>
                <w:rFonts w:hint="eastAsia"/>
              </w:rPr>
            </w:pPr>
            <w:r>
              <w:rPr>
                <w:rFonts w:hint="eastAsia" w:ascii="Times New Roman" w:hAnsi="Times New Roman" w:eastAsia="宋体" w:cs="Times New Roman"/>
                <w:color w:val="auto"/>
                <w:kern w:val="2"/>
                <w:sz w:val="21"/>
                <w:szCs w:val="24"/>
                <w:lang w:val="en-US" w:eastAsia="zh-CN" w:bidi="ar-SA"/>
              </w:rPr>
              <w:t>注：根据采购人《合格供方库管理办法》，符合免交投标担保及履约担保资格的报价人，可提交经采购人审批通过并加盖采购人单位公章的《免交投标担保及履约担保审批表》代替相关保证金凭证。《免交投标担保及履约担保审批表》须在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697" w:type="dxa"/>
            <w:vAlign w:val="center"/>
          </w:tcPr>
          <w:p>
            <w:pPr>
              <w:pStyle w:val="151"/>
              <w:keepNext w:val="0"/>
              <w:keepLines w:val="0"/>
              <w:suppressLineNumbers w:val="0"/>
              <w:spacing w:before="0" w:beforeAutospacing="0" w:after="0" w:afterAutospacing="0" w:line="400" w:lineRule="exact"/>
              <w:ind w:left="0" w:right="0"/>
              <w:jc w:val="center"/>
              <w:rPr>
                <w:rFonts w:hint="eastAsia" w:hAnsi="宋体"/>
                <w:color w:val="auto"/>
                <w:sz w:val="21"/>
                <w:szCs w:val="21"/>
              </w:rPr>
            </w:pPr>
            <w:r>
              <w:rPr>
                <w:rFonts w:hint="eastAsia" w:hAnsi="宋体"/>
                <w:color w:val="auto"/>
                <w:sz w:val="21"/>
                <w:szCs w:val="21"/>
              </w:rPr>
              <w:t>21</w:t>
            </w:r>
          </w:p>
        </w:tc>
        <w:tc>
          <w:tcPr>
            <w:tcW w:w="2106" w:type="dxa"/>
            <w:vAlign w:val="center"/>
          </w:tcPr>
          <w:p>
            <w:pPr>
              <w:pStyle w:val="151"/>
              <w:keepNext w:val="0"/>
              <w:keepLines w:val="0"/>
              <w:suppressLineNumbers w:val="0"/>
              <w:spacing w:before="0" w:beforeAutospacing="0" w:after="0" w:afterAutospacing="0" w:line="400" w:lineRule="exact"/>
              <w:ind w:left="0" w:right="0"/>
              <w:jc w:val="center"/>
              <w:rPr>
                <w:rFonts w:hint="eastAsia" w:hAnsi="宋体"/>
                <w:color w:val="auto"/>
                <w:sz w:val="21"/>
                <w:szCs w:val="21"/>
              </w:rPr>
            </w:pPr>
            <w:r>
              <w:rPr>
                <w:rFonts w:hint="eastAsia" w:hAnsi="宋体"/>
                <w:color w:val="auto"/>
                <w:kern w:val="2"/>
                <w:sz w:val="21"/>
                <w:szCs w:val="21"/>
              </w:rPr>
              <w:t>监督部门</w:t>
            </w:r>
          </w:p>
        </w:tc>
        <w:tc>
          <w:tcPr>
            <w:tcW w:w="7104" w:type="dxa"/>
            <w:vAlign w:val="center"/>
          </w:tcPr>
          <w:p>
            <w:pPr>
              <w:pStyle w:val="151"/>
              <w:keepNext w:val="0"/>
              <w:keepLines w:val="0"/>
              <w:suppressLineNumbers w:val="0"/>
              <w:spacing w:before="0" w:beforeAutospacing="0" w:after="0" w:afterAutospacing="0" w:line="400" w:lineRule="exact"/>
              <w:ind w:left="0" w:right="0" w:firstLine="420" w:firstLineChars="200"/>
              <w:rPr>
                <w:rFonts w:hint="default" w:hAnsi="宋体"/>
                <w:color w:val="auto"/>
                <w:kern w:val="2"/>
                <w:sz w:val="21"/>
                <w:szCs w:val="21"/>
              </w:rPr>
            </w:pPr>
            <w:r>
              <w:rPr>
                <w:rFonts w:hint="eastAsia" w:hAnsi="宋体"/>
                <w:color w:val="auto"/>
                <w:kern w:val="2"/>
                <w:sz w:val="21"/>
                <w:szCs w:val="21"/>
              </w:rPr>
              <w:t>监督部门：重庆首讯科技股份有限公司</w:t>
            </w:r>
            <w:r>
              <w:rPr>
                <w:rFonts w:hint="default" w:hAnsi="宋体"/>
                <w:color w:val="auto"/>
                <w:kern w:val="2"/>
                <w:sz w:val="21"/>
                <w:szCs w:val="21"/>
              </w:rPr>
              <w:t>合规监管部</w:t>
            </w:r>
          </w:p>
          <w:p>
            <w:pPr>
              <w:pStyle w:val="151"/>
              <w:keepNext w:val="0"/>
              <w:keepLines w:val="0"/>
              <w:suppressLineNumbers w:val="0"/>
              <w:spacing w:before="0" w:beforeAutospacing="0" w:after="0" w:afterAutospacing="0" w:line="400" w:lineRule="exact"/>
              <w:ind w:left="0" w:right="0" w:firstLine="420" w:firstLineChars="200"/>
              <w:rPr>
                <w:rFonts w:hint="eastAsia" w:hAnsi="宋体"/>
                <w:color w:val="auto"/>
                <w:kern w:val="2"/>
                <w:sz w:val="21"/>
                <w:szCs w:val="21"/>
              </w:rPr>
            </w:pPr>
            <w:r>
              <w:rPr>
                <w:rFonts w:hint="eastAsia" w:hAnsi="宋体"/>
                <w:color w:val="auto"/>
                <w:kern w:val="2"/>
                <w:sz w:val="21"/>
                <w:szCs w:val="21"/>
              </w:rPr>
              <w:t>地    址：</w:t>
            </w:r>
            <w:r>
              <w:rPr>
                <w:rFonts w:hint="eastAsia" w:ascii="宋体" w:hAnsi="宋体" w:eastAsia="宋体" w:cs="宋体"/>
                <w:kern w:val="2"/>
                <w:sz w:val="21"/>
                <w:szCs w:val="21"/>
                <w:highlight w:val="none"/>
                <w:lang w:val="en-US" w:eastAsia="zh-CN" w:bidi="ar-SA"/>
              </w:rPr>
              <w:t>重庆市渝北区龙溪街道新南路52号东界龙湖三楼</w:t>
            </w:r>
          </w:p>
          <w:p>
            <w:pPr>
              <w:pStyle w:val="151"/>
              <w:keepNext w:val="0"/>
              <w:keepLines w:val="0"/>
              <w:suppressLineNumbers w:val="0"/>
              <w:spacing w:before="0" w:beforeAutospacing="0" w:after="0" w:afterAutospacing="0" w:line="400" w:lineRule="exact"/>
              <w:ind w:left="0" w:right="0" w:firstLine="420" w:firstLineChars="200"/>
              <w:rPr>
                <w:rFonts w:hint="default" w:hAnsi="宋体"/>
                <w:color w:val="auto"/>
                <w:sz w:val="21"/>
                <w:szCs w:val="21"/>
              </w:rPr>
            </w:pPr>
            <w:r>
              <w:rPr>
                <w:rFonts w:hint="eastAsia" w:hAnsi="宋体"/>
                <w:color w:val="auto"/>
                <w:kern w:val="2"/>
                <w:sz w:val="21"/>
                <w:szCs w:val="21"/>
              </w:rPr>
              <w:t>电    话：023-</w:t>
            </w:r>
            <w:r>
              <w:rPr>
                <w:rFonts w:hint="default" w:hAnsi="宋体"/>
                <w:color w:val="auto"/>
                <w:kern w:val="2"/>
                <w:sz w:val="21"/>
                <w:szCs w:val="21"/>
              </w:rPr>
              <w:t>63132246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697" w:type="dxa"/>
            <w:vAlign w:val="center"/>
          </w:tcPr>
          <w:p>
            <w:pPr>
              <w:pStyle w:val="39"/>
              <w:keepNext w:val="0"/>
              <w:keepLines w:val="0"/>
              <w:widowControl w:val="0"/>
              <w:suppressLineNumbers w:val="0"/>
              <w:autoSpaceDE w:val="0"/>
              <w:autoSpaceDN w:val="0"/>
              <w:adjustRightInd w:val="0"/>
              <w:spacing w:before="0" w:beforeAutospacing="0" w:after="0" w:afterAutospacing="0" w:line="400" w:lineRule="exact"/>
              <w:ind w:left="0" w:leftChars="0" w:right="0" w:rightChars="0"/>
              <w:jc w:val="center"/>
              <w:rPr>
                <w:rFonts w:hint="eastAsia" w:ascii="宋体" w:hAnsi="宋体" w:eastAsia="宋体" w:cs="宋体"/>
                <w:kern w:val="0"/>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
              </w:rPr>
              <w:t>22</w:t>
            </w:r>
          </w:p>
        </w:tc>
        <w:tc>
          <w:tcPr>
            <w:tcW w:w="2106" w:type="dxa"/>
            <w:vAlign w:val="center"/>
          </w:tcPr>
          <w:p>
            <w:pPr>
              <w:pStyle w:val="39"/>
              <w:keepNext w:val="0"/>
              <w:keepLines w:val="0"/>
              <w:widowControl w:val="0"/>
              <w:suppressLineNumbers w:val="0"/>
              <w:autoSpaceDE w:val="0"/>
              <w:autoSpaceDN w:val="0"/>
              <w:adjustRightInd w:val="0"/>
              <w:spacing w:before="0" w:beforeAutospacing="0" w:after="0" w:afterAutospacing="0" w:line="400" w:lineRule="exact"/>
              <w:ind w:left="0" w:leftChars="0" w:right="0" w:rightChars="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
              </w:rPr>
              <w:t>本次竞争性比选响应文件的组成</w:t>
            </w:r>
          </w:p>
        </w:tc>
        <w:tc>
          <w:tcPr>
            <w:tcW w:w="7104" w:type="dxa"/>
            <w:vAlign w:val="center"/>
          </w:tcPr>
          <w:p>
            <w:pPr>
              <w:pStyle w:val="151"/>
              <w:keepNext w:val="0"/>
              <w:keepLines w:val="0"/>
              <w:suppressLineNumbers w:val="0"/>
              <w:spacing w:before="0" w:beforeAutospacing="0" w:after="0" w:afterAutospacing="0" w:line="400" w:lineRule="exact"/>
              <w:ind w:left="0" w:right="0" w:firstLine="420" w:firstLineChars="200"/>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1.竞争性比选文件需加盖报价人的公章，竞争性比选响应文件提交</w:t>
            </w:r>
            <w:r>
              <w:rPr>
                <w:rFonts w:hint="eastAsia" w:hAnsi="宋体"/>
                <w:b/>
                <w:bCs/>
                <w:color w:val="auto"/>
                <w:kern w:val="2"/>
                <w:sz w:val="21"/>
                <w:szCs w:val="21"/>
                <w:highlight w:val="none"/>
                <w:lang w:val="en-US" w:eastAsia="zh-CN"/>
              </w:rPr>
              <w:t>正本1份，副本1份，电子文件1份</w:t>
            </w:r>
            <w:r>
              <w:rPr>
                <w:rFonts w:hint="eastAsia" w:hAnsi="宋体"/>
                <w:color w:val="auto"/>
                <w:kern w:val="2"/>
                <w:sz w:val="21"/>
                <w:szCs w:val="21"/>
                <w:highlight w:val="none"/>
                <w:lang w:val="en-US" w:eastAsia="zh-CN"/>
              </w:rPr>
              <w:t>，副本可为正本的复印件，竞争性比选响应文件需装订成册；电子文件1份应提供竞争性比选响应文件（盖章版）扫描版PDF电子版本及报价清单Excel版本（U盘1份，电子文件内容须包括竞争性比选响应文件全部内容）。当电子文件与纸质版竞争性比选响应文件不一致时，以纸质版竞争性比选响应文件为准，当正本与副本不一致时，以正本为准。</w:t>
            </w:r>
          </w:p>
          <w:p>
            <w:pPr>
              <w:pStyle w:val="151"/>
              <w:keepNext w:val="0"/>
              <w:keepLines w:val="0"/>
              <w:suppressLineNumbers w:val="0"/>
              <w:spacing w:before="0" w:beforeAutospacing="0" w:after="0" w:afterAutospacing="0" w:line="400" w:lineRule="exact"/>
              <w:ind w:left="0" w:right="0" w:firstLine="420" w:firstLineChars="200"/>
              <w:rPr>
                <w:rFonts w:hint="default" w:hAnsi="宋体"/>
                <w:color w:val="auto"/>
                <w:sz w:val="21"/>
                <w:szCs w:val="21"/>
                <w:highlight w:val="none"/>
              </w:rPr>
            </w:pPr>
            <w:r>
              <w:rPr>
                <w:rFonts w:hint="eastAsia" w:hAnsi="宋体"/>
                <w:color w:val="auto"/>
                <w:sz w:val="21"/>
                <w:szCs w:val="21"/>
                <w:highlight w:val="none"/>
              </w:rPr>
              <w:t>2.竞争性比选响应声明书、报价函、资格要求材料、报价人认为需要提供的其他相关文件（注：以上所有文件均须逐页加盖报价人的公章）。</w:t>
            </w:r>
          </w:p>
          <w:p>
            <w:pPr>
              <w:pStyle w:val="151"/>
              <w:keepNext w:val="0"/>
              <w:keepLines w:val="0"/>
              <w:suppressLineNumbers w:val="0"/>
              <w:spacing w:before="0" w:beforeAutospacing="0" w:after="0" w:afterAutospacing="0" w:line="400" w:lineRule="exact"/>
              <w:ind w:left="0" w:right="0" w:firstLine="420" w:firstLineChars="200"/>
              <w:rPr>
                <w:rFonts w:hint="default" w:hAnsi="宋体"/>
                <w:color w:val="auto"/>
                <w:sz w:val="21"/>
                <w:szCs w:val="21"/>
                <w:highlight w:val="none"/>
              </w:rPr>
            </w:pPr>
            <w:r>
              <w:rPr>
                <w:rFonts w:hint="eastAsia" w:hAnsi="宋体"/>
                <w:color w:val="auto"/>
                <w:sz w:val="21"/>
                <w:szCs w:val="21"/>
                <w:highlight w:val="none"/>
              </w:rPr>
              <w:t>3.密封要求：</w:t>
            </w:r>
          </w:p>
          <w:p>
            <w:pPr>
              <w:pStyle w:val="151"/>
              <w:keepNext w:val="0"/>
              <w:keepLines w:val="0"/>
              <w:suppressLineNumbers w:val="0"/>
              <w:spacing w:before="0" w:beforeAutospacing="0" w:after="0" w:afterAutospacing="0" w:line="400" w:lineRule="exact"/>
              <w:ind w:left="0" w:right="0" w:firstLine="420" w:firstLineChars="200"/>
              <w:rPr>
                <w:rFonts w:hint="default" w:hAnsi="宋体"/>
                <w:color w:val="auto"/>
                <w:kern w:val="2"/>
                <w:sz w:val="21"/>
                <w:szCs w:val="21"/>
                <w:highlight w:val="none"/>
              </w:rPr>
            </w:pPr>
            <w:r>
              <w:rPr>
                <w:rFonts w:hint="eastAsia" w:hAnsi="宋体"/>
                <w:color w:val="auto"/>
                <w:kern w:val="2"/>
                <w:sz w:val="21"/>
                <w:szCs w:val="21"/>
                <w:highlight w:val="none"/>
              </w:rPr>
              <w:t>竞争性比选响应文件密封到一个封袋中，在封套上写明：</w:t>
            </w:r>
          </w:p>
          <w:p>
            <w:pPr>
              <w:pStyle w:val="39"/>
              <w:keepNext w:val="0"/>
              <w:keepLines w:val="0"/>
              <w:widowControl w:val="0"/>
              <w:suppressLineNumbers w:val="0"/>
              <w:autoSpaceDE w:val="0"/>
              <w:autoSpaceDN w:val="0"/>
              <w:adjustRightInd w:val="0"/>
              <w:spacing w:before="0" w:beforeAutospacing="0" w:after="0" w:afterAutospacing="0" w:line="400" w:lineRule="exact"/>
              <w:ind w:left="0" w:leftChars="0" w:right="0" w:rightChars="0" w:firstLine="420" w:firstLineChars="200"/>
              <w:jc w:val="left"/>
              <w:rPr>
                <w:rFonts w:hint="eastAsia" w:ascii="宋体" w:hAnsi="宋体" w:eastAsia="宋体" w:cs="宋体"/>
                <w:kern w:val="2"/>
                <w:sz w:val="21"/>
                <w:szCs w:val="21"/>
                <w:highlight w:val="none"/>
                <w:lang w:val="en-US" w:eastAsia="zh-CN" w:bidi="ar-SA"/>
              </w:rPr>
            </w:pPr>
            <w:r>
              <w:rPr>
                <w:rFonts w:hint="eastAsia"/>
                <w:color w:val="auto"/>
                <w:kern w:val="2"/>
                <w:sz w:val="21"/>
                <w:szCs w:val="21"/>
                <w:highlight w:val="none"/>
                <w:u w:val="single"/>
                <w:lang w:val="en-US" w:eastAsia="zh-CN"/>
              </w:rPr>
              <w:t>长大桥梁结构健康监测技术服务</w:t>
            </w:r>
            <w:r>
              <w:rPr>
                <w:rFonts w:hint="eastAsia" w:hAnsi="宋体"/>
                <w:color w:val="auto"/>
                <w:kern w:val="2"/>
                <w:sz w:val="21"/>
                <w:szCs w:val="21"/>
                <w:highlight w:val="none"/>
                <w:u w:val="single"/>
              </w:rPr>
              <w:t>竞争性比选响应文件</w:t>
            </w:r>
            <w:r>
              <w:rPr>
                <w:rFonts w:hint="eastAsia" w:hAnsi="宋体"/>
                <w:color w:val="auto"/>
                <w:kern w:val="2"/>
                <w:sz w:val="21"/>
                <w:szCs w:val="21"/>
                <w:highlight w:val="none"/>
              </w:rPr>
              <w:t>（加盖报价人的公章）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697" w:type="dxa"/>
            <w:vAlign w:val="center"/>
          </w:tcPr>
          <w:p>
            <w:pPr>
              <w:pStyle w:val="39"/>
              <w:keepNext w:val="0"/>
              <w:keepLines w:val="0"/>
              <w:widowControl w:val="0"/>
              <w:suppressLineNumbers w:val="0"/>
              <w:autoSpaceDE w:val="0"/>
              <w:autoSpaceDN w:val="0"/>
              <w:adjustRightInd w:val="0"/>
              <w:spacing w:before="0" w:beforeAutospacing="0" w:after="0" w:afterAutospacing="0" w:line="400" w:lineRule="exact"/>
              <w:ind w:left="0" w:leftChars="0" w:right="0" w:rightChars="0"/>
              <w:jc w:val="center"/>
              <w:rPr>
                <w:rFonts w:hint="default" w:ascii="宋体" w:hAnsi="宋体" w:eastAsia="宋体" w:cs="宋体"/>
                <w:color w:val="000000"/>
                <w:kern w:val="2"/>
                <w:sz w:val="21"/>
                <w:szCs w:val="21"/>
                <w:highlight w:val="none"/>
                <w:lang w:val="en-US" w:eastAsia="zh-CN" w:bidi="ar"/>
              </w:rPr>
            </w:pPr>
            <w:r>
              <w:rPr>
                <w:rFonts w:hint="eastAsia" w:ascii="宋体" w:hAnsi="宋体" w:eastAsia="宋体" w:cs="宋体"/>
                <w:color w:val="000000"/>
                <w:kern w:val="2"/>
                <w:sz w:val="21"/>
                <w:szCs w:val="21"/>
                <w:highlight w:val="none"/>
                <w:lang w:val="en-US" w:eastAsia="zh-CN" w:bidi="ar"/>
              </w:rPr>
              <w:t>23</w:t>
            </w:r>
          </w:p>
        </w:tc>
        <w:tc>
          <w:tcPr>
            <w:tcW w:w="2106" w:type="dxa"/>
            <w:vAlign w:val="center"/>
          </w:tcPr>
          <w:p>
            <w:pPr>
              <w:pStyle w:val="39"/>
              <w:keepNext w:val="0"/>
              <w:keepLines w:val="0"/>
              <w:widowControl w:val="0"/>
              <w:suppressLineNumbers w:val="0"/>
              <w:autoSpaceDE w:val="0"/>
              <w:autoSpaceDN w:val="0"/>
              <w:adjustRightInd w:val="0"/>
              <w:spacing w:before="0" w:beforeAutospacing="0" w:after="0" w:afterAutospacing="0" w:line="400" w:lineRule="exact"/>
              <w:ind w:left="0" w:leftChars="0" w:right="0" w:rightChars="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color w:val="000000"/>
                <w:kern w:val="0"/>
                <w:sz w:val="21"/>
                <w:szCs w:val="21"/>
                <w:highlight w:val="none"/>
                <w:lang w:val="en-US" w:eastAsia="zh-CN" w:bidi="ar"/>
              </w:rPr>
              <w:t>中标候选人公示</w:t>
            </w:r>
          </w:p>
        </w:tc>
        <w:tc>
          <w:tcPr>
            <w:tcW w:w="7104" w:type="dxa"/>
            <w:vAlign w:val="center"/>
          </w:tcPr>
          <w:p>
            <w:pPr>
              <w:pStyle w:val="39"/>
              <w:keepNext w:val="0"/>
              <w:keepLines w:val="0"/>
              <w:widowControl w:val="0"/>
              <w:suppressLineNumbers w:val="0"/>
              <w:autoSpaceDE w:val="0"/>
              <w:autoSpaceDN w:val="0"/>
              <w:adjustRightInd w:val="0"/>
              <w:spacing w:before="0" w:beforeAutospacing="0" w:after="0" w:afterAutospacing="0" w:line="400" w:lineRule="exact"/>
              <w:ind w:left="0" w:leftChars="0" w:right="0" w:rightChars="0" w:firstLine="420" w:firstLineChars="200"/>
              <w:jc w:val="left"/>
              <w:rPr>
                <w:rFonts w:hint="eastAsia" w:ascii="宋体" w:hAnsi="宋体" w:eastAsia="宋体" w:cs="宋体"/>
                <w:kern w:val="2"/>
                <w:sz w:val="21"/>
                <w:szCs w:val="21"/>
                <w:highlight w:val="none"/>
                <w:lang w:val="en-US" w:eastAsia="zh-CN" w:bidi="ar-SA"/>
              </w:rPr>
            </w:pPr>
            <w:r>
              <w:rPr>
                <w:rFonts w:hint="eastAsia" w:hAnsi="宋体"/>
                <w:color w:val="auto"/>
                <w:sz w:val="21"/>
                <w:szCs w:val="21"/>
                <w:highlight w:val="none"/>
              </w:rPr>
              <w:t>评标结果将在</w:t>
            </w:r>
            <w:r>
              <w:rPr>
                <w:rFonts w:hint="eastAsia" w:hAnsi="宋体"/>
                <w:color w:val="auto"/>
                <w:sz w:val="21"/>
                <w:szCs w:val="21"/>
                <w:highlight w:val="none"/>
                <w:u w:val="single"/>
              </w:rPr>
              <w:t>重庆高速集团官网（http://www.cegc.com.cn）</w:t>
            </w:r>
            <w:r>
              <w:rPr>
                <w:rFonts w:hint="eastAsia" w:hAnsi="宋体"/>
                <w:color w:val="auto"/>
                <w:sz w:val="21"/>
                <w:szCs w:val="21"/>
                <w:highlight w:val="none"/>
              </w:rPr>
              <w:t>上进行公示，公示期为 3 日。公示内容包括中标候选人名称、排序、投标报价；提出异议、投诉的渠道和方式。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51"/>
              <w:keepNext w:val="0"/>
              <w:keepLines w:val="0"/>
              <w:suppressLineNumbers w:val="0"/>
              <w:spacing w:before="0" w:beforeAutospacing="0" w:after="0" w:afterAutospacing="0" w:line="400" w:lineRule="exact"/>
              <w:ind w:left="0" w:right="0"/>
              <w:jc w:val="center"/>
              <w:rPr>
                <w:rFonts w:hint="eastAsia" w:hAnsi="宋体" w:eastAsia="宋体"/>
                <w:color w:val="auto"/>
                <w:kern w:val="2"/>
                <w:sz w:val="21"/>
                <w:szCs w:val="21"/>
                <w:lang w:val="en-US" w:eastAsia="zh-CN"/>
              </w:rPr>
            </w:pPr>
            <w:r>
              <w:rPr>
                <w:rFonts w:hint="eastAsia" w:hAnsi="宋体"/>
                <w:color w:val="auto"/>
                <w:kern w:val="2"/>
                <w:sz w:val="21"/>
                <w:szCs w:val="21"/>
              </w:rPr>
              <w:t>2</w:t>
            </w:r>
            <w:r>
              <w:rPr>
                <w:rFonts w:hint="eastAsia" w:hAnsi="宋体"/>
                <w:color w:val="auto"/>
                <w:kern w:val="2"/>
                <w:sz w:val="21"/>
                <w:szCs w:val="21"/>
                <w:lang w:val="en-US" w:eastAsia="zh-CN"/>
              </w:rPr>
              <w:t>4</w:t>
            </w:r>
          </w:p>
        </w:tc>
        <w:tc>
          <w:tcPr>
            <w:tcW w:w="9210" w:type="dxa"/>
            <w:gridSpan w:val="2"/>
            <w:vAlign w:val="center"/>
          </w:tcPr>
          <w:p>
            <w:pPr>
              <w:pStyle w:val="151"/>
              <w:keepNext w:val="0"/>
              <w:keepLines w:val="0"/>
              <w:suppressLineNumbers w:val="0"/>
              <w:spacing w:before="0" w:beforeAutospacing="0" w:after="0" w:afterAutospacing="0" w:line="400" w:lineRule="exact"/>
              <w:ind w:left="0" w:right="0" w:firstLine="482" w:firstLineChars="200"/>
              <w:jc w:val="center"/>
              <w:rPr>
                <w:rFonts w:hint="eastAsia" w:hAnsi="宋体"/>
                <w:color w:val="auto"/>
                <w:kern w:val="2"/>
                <w:sz w:val="21"/>
                <w:szCs w:val="21"/>
              </w:rPr>
            </w:pPr>
            <w:r>
              <w:rPr>
                <w:rFonts w:hint="eastAsia" w:hAnsi="宋体"/>
                <w:b/>
                <w:bCs/>
                <w:szCs w:val="21"/>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51"/>
              <w:keepNext w:val="0"/>
              <w:keepLines w:val="0"/>
              <w:suppressLineNumbers w:val="0"/>
              <w:spacing w:before="0" w:beforeAutospacing="0" w:after="0" w:afterAutospacing="0" w:line="400" w:lineRule="exact"/>
              <w:ind w:left="0" w:right="0"/>
              <w:jc w:val="center"/>
              <w:rPr>
                <w:rFonts w:hint="eastAsia" w:hAnsi="宋体"/>
                <w:color w:val="auto"/>
                <w:kern w:val="2"/>
                <w:sz w:val="21"/>
                <w:szCs w:val="21"/>
              </w:rPr>
            </w:pPr>
            <w:r>
              <w:rPr>
                <w:rFonts w:hint="eastAsia" w:hAnsi="宋体"/>
                <w:color w:val="auto"/>
                <w:kern w:val="2"/>
                <w:sz w:val="21"/>
                <w:szCs w:val="21"/>
              </w:rPr>
              <w:t>2</w:t>
            </w:r>
            <w:r>
              <w:rPr>
                <w:rFonts w:hint="eastAsia" w:hAnsi="宋体"/>
                <w:color w:val="auto"/>
                <w:kern w:val="2"/>
                <w:sz w:val="21"/>
                <w:szCs w:val="21"/>
                <w:lang w:val="en-US" w:eastAsia="zh-CN"/>
              </w:rPr>
              <w:t>4</w:t>
            </w:r>
            <w:r>
              <w:rPr>
                <w:rFonts w:hint="eastAsia" w:hAnsi="宋体"/>
                <w:color w:val="auto"/>
                <w:kern w:val="2"/>
                <w:sz w:val="21"/>
                <w:szCs w:val="21"/>
              </w:rPr>
              <w:t>.1</w:t>
            </w:r>
          </w:p>
        </w:tc>
        <w:tc>
          <w:tcPr>
            <w:tcW w:w="9210" w:type="dxa"/>
            <w:gridSpan w:val="2"/>
            <w:vAlign w:val="center"/>
          </w:tcPr>
          <w:p>
            <w:pPr>
              <w:pStyle w:val="151"/>
              <w:keepNext w:val="0"/>
              <w:keepLines w:val="0"/>
              <w:suppressLineNumbers w:val="0"/>
              <w:spacing w:before="0" w:beforeAutospacing="0" w:after="0" w:afterAutospacing="0" w:line="400" w:lineRule="exact"/>
              <w:ind w:left="0" w:right="0" w:firstLine="420" w:firstLineChars="200"/>
              <w:rPr>
                <w:rFonts w:hint="eastAsia" w:hAnsi="宋体"/>
                <w:sz w:val="21"/>
                <w:szCs w:val="21"/>
              </w:rPr>
            </w:pPr>
            <w:r>
              <w:rPr>
                <w:rFonts w:hint="eastAsia" w:hAnsi="宋体"/>
                <w:sz w:val="21"/>
                <w:szCs w:val="21"/>
              </w:rPr>
              <w:t>截止竞争性比选响应文件递交时间，递交竞争性比选响应文件不足3家的不得开启竞争性比选文件。重新招标后报价人仍少于3个，按法定程序开标和评标，确定中标候选人。</w:t>
            </w:r>
          </w:p>
        </w:tc>
      </w:tr>
      <w:bookmarkEnd w:id="98"/>
    </w:tbl>
    <w:p>
      <w:pPr>
        <w:spacing w:line="360" w:lineRule="auto"/>
        <w:jc w:val="center"/>
        <w:rPr>
          <w:rFonts w:ascii="宋体" w:hAnsi="宋体" w:cs="宋体"/>
          <w:b/>
          <w:sz w:val="28"/>
          <w:szCs w:val="28"/>
        </w:rPr>
        <w:sectPr>
          <w:footerReference r:id="rId7" w:type="default"/>
          <w:pgSz w:w="11906" w:h="16838"/>
          <w:pgMar w:top="1418" w:right="1134" w:bottom="1418" w:left="1134" w:header="851" w:footer="992" w:gutter="0"/>
          <w:pgNumType w:start="1"/>
          <w:cols w:space="720" w:num="1"/>
          <w:docGrid w:type="lines" w:linePitch="312" w:charSpace="0"/>
        </w:sectPr>
      </w:pPr>
    </w:p>
    <w:p>
      <w:pPr>
        <w:pStyle w:val="4"/>
        <w:jc w:val="center"/>
        <w:rPr>
          <w:rFonts w:ascii="宋体" w:hAnsi="宋体" w:eastAsia="宋体" w:cs="宋体"/>
          <w:bCs w:val="0"/>
          <w:sz w:val="28"/>
          <w:szCs w:val="28"/>
        </w:rPr>
      </w:pPr>
      <w:bookmarkStart w:id="100" w:name="_Toc17532"/>
      <w:bookmarkStart w:id="101" w:name="_Toc11329222"/>
      <w:bookmarkStart w:id="102" w:name="_Toc30198"/>
      <w:bookmarkStart w:id="103" w:name="_Toc11284"/>
      <w:r>
        <w:rPr>
          <w:rFonts w:hint="eastAsia" w:ascii="宋体" w:hAnsi="宋体" w:eastAsia="宋体" w:cs="宋体"/>
          <w:sz w:val="28"/>
          <w:szCs w:val="28"/>
        </w:rPr>
        <w:t xml:space="preserve">附录1  </w:t>
      </w:r>
      <w:bookmarkEnd w:id="100"/>
      <w:bookmarkEnd w:id="101"/>
      <w:bookmarkEnd w:id="102"/>
      <w:bookmarkEnd w:id="103"/>
      <w:bookmarkStart w:id="104" w:name="_Toc27096"/>
      <w:bookmarkStart w:id="105" w:name="_Toc11329226"/>
      <w:bookmarkStart w:id="106" w:name="_Toc12773"/>
      <w:bookmarkStart w:id="107" w:name="_Toc25591"/>
      <w:r>
        <w:rPr>
          <w:rFonts w:hint="eastAsia" w:ascii="宋体" w:hAnsi="宋体" w:eastAsia="宋体" w:cs="宋体"/>
          <w:bCs w:val="0"/>
          <w:sz w:val="28"/>
          <w:szCs w:val="28"/>
        </w:rPr>
        <w:t>资格审查文件（项目主要管理人员最低要求）</w:t>
      </w:r>
      <w:bookmarkEnd w:id="104"/>
      <w:bookmarkEnd w:id="105"/>
      <w:bookmarkEnd w:id="106"/>
      <w:bookmarkEnd w:id="107"/>
    </w:p>
    <w:p>
      <w:pPr>
        <w:spacing w:line="400" w:lineRule="exact"/>
        <w:jc w:val="center"/>
      </w:pPr>
      <w:r>
        <w:rPr>
          <w:rFonts w:hint="eastAsia" w:ascii="宋体" w:hAnsi="宋体" w:cs="宋体"/>
          <w:b/>
          <w:szCs w:val="21"/>
        </w:rPr>
        <w:t>主要管理人员最低要求</w:t>
      </w:r>
    </w:p>
    <w:tbl>
      <w:tblPr>
        <w:tblStyle w:val="45"/>
        <w:tblW w:w="96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733"/>
        <w:gridCol w:w="6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rPr>
            </w:pPr>
            <w:bookmarkStart w:id="108" w:name="_Toc387234996"/>
            <w:bookmarkStart w:id="109" w:name="_Toc388534043"/>
            <w:r>
              <w:rPr>
                <w:rFonts w:hint="eastAsia" w:ascii="宋体" w:hAnsi="宋体" w:cs="宋体"/>
                <w:szCs w:val="21"/>
                <w:lang w:bidi="ar"/>
              </w:rPr>
              <w:t>序号</w:t>
            </w:r>
          </w:p>
        </w:tc>
        <w:tc>
          <w:tcPr>
            <w:tcW w:w="1465" w:type="dxa"/>
            <w:tcBorders>
              <w:top w:val="single" w:color="auto" w:sz="4" w:space="0"/>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rPr>
            </w:pPr>
            <w:r>
              <w:rPr>
                <w:rFonts w:hint="eastAsia" w:ascii="宋体" w:hAnsi="宋体" w:cs="宋体"/>
                <w:szCs w:val="21"/>
                <w:lang w:bidi="ar"/>
              </w:rPr>
              <w:t>人  员</w:t>
            </w:r>
          </w:p>
        </w:tc>
        <w:tc>
          <w:tcPr>
            <w:tcW w:w="733" w:type="dxa"/>
            <w:tcBorders>
              <w:top w:val="single" w:color="auto" w:sz="4" w:space="0"/>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rPr>
            </w:pPr>
            <w:r>
              <w:rPr>
                <w:rFonts w:hint="eastAsia" w:ascii="宋体" w:hAnsi="宋体" w:cs="宋体"/>
                <w:szCs w:val="21"/>
                <w:lang w:bidi="ar"/>
              </w:rPr>
              <w:t>数量</w:t>
            </w:r>
          </w:p>
        </w:tc>
        <w:tc>
          <w:tcPr>
            <w:tcW w:w="6784" w:type="dxa"/>
            <w:tcBorders>
              <w:top w:val="single" w:color="auto" w:sz="4" w:space="0"/>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rPr>
            </w:pPr>
            <w:r>
              <w:rPr>
                <w:rFonts w:hint="eastAsia" w:ascii="宋体" w:hAnsi="宋体" w:cs="宋体"/>
                <w:szCs w:val="21"/>
                <w:lang w:bidi="ar"/>
              </w:rPr>
              <w:t>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96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right="0" w:firstLine="420" w:firstLineChars="200"/>
              <w:jc w:val="left"/>
              <w:rPr>
                <w:rFonts w:hint="default" w:ascii="宋体" w:hAnsi="宋体" w:eastAsia="宋体" w:cs="宋体"/>
                <w:szCs w:val="21"/>
                <w:lang w:val="en-US" w:eastAsia="zh-CN"/>
              </w:rPr>
            </w:pPr>
            <w:r>
              <w:rPr>
                <w:rFonts w:hint="default" w:ascii="宋体" w:hAnsi="宋体" w:eastAsia="宋体" w:cs="宋体"/>
                <w:szCs w:val="21"/>
                <w:lang w:val="en-US" w:eastAsia="zh-CN"/>
              </w:rPr>
              <w:t>无要求</w:t>
            </w:r>
            <w:r>
              <w:rPr>
                <w:rFonts w:hint="eastAsia" w:ascii="宋体" w:hAnsi="宋体" w:cs="宋体"/>
                <w:szCs w:val="21"/>
                <w:lang w:val="en-US" w:eastAsia="zh-CN"/>
              </w:rPr>
              <w:t>。</w:t>
            </w:r>
          </w:p>
        </w:tc>
      </w:tr>
    </w:tbl>
    <w:p>
      <w:pPr>
        <w:outlineLvl w:val="1"/>
        <w:rPr>
          <w:rFonts w:ascii="宋体" w:hAnsi="宋体" w:cs="宋体"/>
          <w:b/>
          <w:sz w:val="28"/>
          <w:szCs w:val="28"/>
        </w:rPr>
        <w:sectPr>
          <w:pgSz w:w="11906" w:h="16838"/>
          <w:pgMar w:top="1418" w:right="1134" w:bottom="1418" w:left="1134" w:header="851" w:footer="992" w:gutter="0"/>
          <w:cols w:space="720" w:num="1"/>
          <w:docGrid w:type="lines" w:linePitch="312" w:charSpace="0"/>
        </w:sectPr>
      </w:pPr>
    </w:p>
    <w:p>
      <w:pPr>
        <w:pStyle w:val="4"/>
        <w:jc w:val="center"/>
        <w:rPr>
          <w:rFonts w:ascii="宋体" w:hAnsi="宋体" w:eastAsia="宋体" w:cs="宋体"/>
          <w:bCs w:val="0"/>
          <w:sz w:val="28"/>
          <w:szCs w:val="28"/>
        </w:rPr>
      </w:pPr>
      <w:bookmarkStart w:id="110" w:name="_Toc8293"/>
      <w:bookmarkStart w:id="111" w:name="_Toc11329227"/>
      <w:bookmarkStart w:id="112" w:name="_Toc27148"/>
      <w:bookmarkStart w:id="113" w:name="_Toc21487"/>
      <w:r>
        <w:rPr>
          <w:rFonts w:hint="eastAsia" w:ascii="宋体" w:hAnsi="宋体" w:eastAsia="宋体" w:cs="宋体"/>
          <w:bCs w:val="0"/>
          <w:sz w:val="28"/>
          <w:szCs w:val="28"/>
        </w:rPr>
        <w:t>附录2 资格审查文件（项目其他人员最低要求）</w:t>
      </w:r>
      <w:bookmarkEnd w:id="110"/>
      <w:bookmarkEnd w:id="111"/>
      <w:bookmarkEnd w:id="112"/>
      <w:bookmarkEnd w:id="113"/>
    </w:p>
    <w:tbl>
      <w:tblPr>
        <w:tblStyle w:val="45"/>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160"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rPr>
            </w:pPr>
            <w:bookmarkStart w:id="114" w:name="_Toc413241584"/>
            <w:bookmarkStart w:id="115" w:name="_Toc23696"/>
            <w:bookmarkStart w:id="116" w:name="_Toc507319900"/>
            <w:r>
              <w:rPr>
                <w:rFonts w:hint="eastAsia" w:ascii="宋体" w:hAnsi="宋体" w:cs="宋体"/>
                <w:szCs w:val="21"/>
              </w:rPr>
              <w:t>项目其他人员最低要求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9160" w:type="dxa"/>
          </w:tcPr>
          <w:p>
            <w:pPr>
              <w:keepNext w:val="0"/>
              <w:keepLines w:val="0"/>
              <w:suppressLineNumbers w:val="0"/>
              <w:spacing w:before="0" w:beforeAutospacing="0" w:after="0" w:afterAutospacing="0"/>
              <w:ind w:left="0" w:right="0" w:firstLine="420" w:firstLineChars="200"/>
              <w:rPr>
                <w:rFonts w:hint="eastAsia" w:eastAsia="宋体"/>
                <w:highlight w:val="none"/>
                <w:lang w:val="en-US" w:eastAsia="zh-CN"/>
              </w:rPr>
            </w:pPr>
            <w:r>
              <w:rPr>
                <w:rFonts w:hint="eastAsia"/>
                <w:highlight w:val="none"/>
                <w:lang w:val="en-US" w:eastAsia="zh-CN"/>
              </w:rPr>
              <w:t>无要求</w:t>
            </w:r>
          </w:p>
        </w:tc>
      </w:tr>
      <w:bookmarkEnd w:id="114"/>
      <w:bookmarkEnd w:id="115"/>
      <w:bookmarkEnd w:id="116"/>
    </w:tbl>
    <w:p>
      <w:pPr>
        <w:pStyle w:val="4"/>
        <w:rPr>
          <w:rStyle w:val="79"/>
          <w:rFonts w:ascii="宋体" w:hAnsi="宋体" w:eastAsia="宋体" w:cs="宋体"/>
          <w:b w:val="0"/>
          <w:bCs w:val="0"/>
          <w:sz w:val="28"/>
          <w:szCs w:val="28"/>
          <w:highlight w:val="none"/>
        </w:rPr>
      </w:pPr>
    </w:p>
    <w:p>
      <w:pPr>
        <w:pStyle w:val="4"/>
        <w:rPr>
          <w:rFonts w:hAnsi="宋体"/>
          <w:b w:val="0"/>
          <w:sz w:val="28"/>
          <w:szCs w:val="28"/>
          <w:highlight w:val="none"/>
        </w:rPr>
      </w:pPr>
      <w:bookmarkStart w:id="117" w:name="_Toc4169"/>
      <w:bookmarkStart w:id="118" w:name="_Toc6096"/>
      <w:bookmarkStart w:id="119" w:name="_Toc17384"/>
      <w:r>
        <w:rPr>
          <w:rFonts w:hint="eastAsia" w:ascii="宋体" w:hAnsi="宋体" w:eastAsia="宋体" w:cs="宋体"/>
          <w:bCs w:val="0"/>
          <w:sz w:val="28"/>
          <w:szCs w:val="28"/>
          <w:highlight w:val="none"/>
        </w:rPr>
        <w:t>附录3 资格审查文件（主要机械设备和试验检测设备最低要求）</w:t>
      </w:r>
      <w:bookmarkEnd w:id="117"/>
      <w:bookmarkEnd w:id="118"/>
      <w:bookmarkEnd w:id="119"/>
    </w:p>
    <w:tbl>
      <w:tblPr>
        <w:tblStyle w:val="45"/>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160"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highlight w:val="none"/>
              </w:rPr>
            </w:pPr>
            <w:r>
              <w:rPr>
                <w:rFonts w:hint="eastAsia" w:ascii="宋体" w:hAnsi="宋体" w:cs="宋体"/>
                <w:szCs w:val="21"/>
                <w:highlight w:val="none"/>
              </w:rPr>
              <w:t>主要机械设备和试验检测设备最低要求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160" w:type="dxa"/>
          </w:tcPr>
          <w:p>
            <w:pPr>
              <w:keepNext w:val="0"/>
              <w:keepLines w:val="0"/>
              <w:suppressLineNumbers w:val="0"/>
              <w:spacing w:before="0" w:beforeAutospacing="0" w:after="0" w:afterAutospacing="0"/>
              <w:ind w:left="0" w:right="0" w:firstLine="420" w:firstLineChars="200"/>
              <w:rPr>
                <w:rFonts w:hint="default" w:eastAsia="宋体"/>
                <w:highlight w:val="none"/>
                <w:lang w:val="en-US" w:eastAsia="zh-CN"/>
              </w:rPr>
            </w:pPr>
            <w:r>
              <w:rPr>
                <w:rFonts w:hint="eastAsia"/>
                <w:highlight w:val="none"/>
                <w:lang w:val="en-US" w:eastAsia="zh-CN"/>
              </w:rPr>
              <w:t>无要求。</w:t>
            </w:r>
          </w:p>
        </w:tc>
      </w:tr>
    </w:tbl>
    <w:p>
      <w:pPr>
        <w:pStyle w:val="151"/>
        <w:adjustRightInd/>
        <w:spacing w:line="400" w:lineRule="exact"/>
        <w:ind w:firstLine="422" w:firstLineChars="200"/>
        <w:jc w:val="both"/>
        <w:rPr>
          <w:rFonts w:hAnsi="宋体"/>
          <w:szCs w:val="21"/>
        </w:rPr>
        <w:sectPr>
          <w:footerReference r:id="rId8" w:type="default"/>
          <w:pgSz w:w="11906" w:h="16838"/>
          <w:pgMar w:top="1440" w:right="1800" w:bottom="1440" w:left="1800" w:header="851" w:footer="992" w:gutter="0"/>
          <w:cols w:space="720" w:num="1"/>
          <w:titlePg/>
          <w:docGrid w:type="lines" w:linePitch="312" w:charSpace="0"/>
        </w:sectPr>
      </w:pPr>
      <w:r>
        <w:rPr>
          <w:rFonts w:hint="eastAsia" w:hAnsi="宋体"/>
          <w:b/>
          <w:bCs/>
          <w:color w:val="auto"/>
          <w:sz w:val="21"/>
          <w:szCs w:val="21"/>
          <w:highlight w:val="none"/>
        </w:rPr>
        <w:t>以上（附录1-附录3中的资格审查）的要求均为强制性条件，其中任何一条不满足要求，</w:t>
      </w:r>
      <w:r>
        <w:rPr>
          <w:rFonts w:hint="eastAsia" w:hAnsi="宋体"/>
          <w:b/>
          <w:bCs/>
          <w:color w:val="auto"/>
          <w:sz w:val="21"/>
          <w:szCs w:val="21"/>
        </w:rPr>
        <w:t>则按否决报价处理。</w:t>
      </w:r>
      <w:bookmarkEnd w:id="108"/>
      <w:bookmarkEnd w:id="109"/>
    </w:p>
    <w:p>
      <w:pPr>
        <w:spacing w:line="440" w:lineRule="exact"/>
        <w:rPr>
          <w:rFonts w:ascii="宋体" w:hAnsi="宋体" w:cs="宋体"/>
          <w:highlight w:val="none"/>
        </w:rPr>
      </w:pPr>
    </w:p>
    <w:p>
      <w:pPr>
        <w:pStyle w:val="3"/>
        <w:numPr>
          <w:ilvl w:val="0"/>
          <w:numId w:val="3"/>
        </w:numPr>
        <w:spacing w:before="0" w:after="0" w:line="360" w:lineRule="auto"/>
        <w:jc w:val="center"/>
        <w:rPr>
          <w:highlight w:val="none"/>
        </w:rPr>
      </w:pPr>
      <w:bookmarkStart w:id="120" w:name="_Toc152042364"/>
      <w:bookmarkStart w:id="121" w:name="_Toc247085745"/>
      <w:bookmarkStart w:id="122" w:name="_Toc152045587"/>
      <w:bookmarkStart w:id="123" w:name="_Toc144974554"/>
      <w:bookmarkStart w:id="124" w:name="_Toc2000406"/>
      <w:bookmarkStart w:id="125" w:name="_Toc179632605"/>
      <w:bookmarkStart w:id="126" w:name="_Toc246996973"/>
      <w:bookmarkStart w:id="127" w:name="_Toc246996230"/>
      <w:bookmarkStart w:id="128" w:name="_Toc507319957"/>
      <w:bookmarkStart w:id="129" w:name="_Toc7682"/>
      <w:r>
        <w:rPr>
          <w:rFonts w:hint="eastAsia" w:ascii="宋体" w:hAnsi="宋体" w:cs="宋体"/>
          <w:highlight w:val="none"/>
        </w:rPr>
        <w:t>评标办法（综合评估法）</w:t>
      </w:r>
      <w:bookmarkEnd w:id="120"/>
      <w:bookmarkEnd w:id="121"/>
      <w:bookmarkEnd w:id="122"/>
      <w:bookmarkEnd w:id="123"/>
      <w:bookmarkEnd w:id="124"/>
      <w:bookmarkEnd w:id="125"/>
      <w:bookmarkEnd w:id="126"/>
      <w:bookmarkEnd w:id="127"/>
      <w:bookmarkEnd w:id="128"/>
      <w:bookmarkEnd w:id="129"/>
    </w:p>
    <w:p>
      <w:pPr>
        <w:rPr>
          <w:highlight w:val="none"/>
        </w:rPr>
      </w:pPr>
    </w:p>
    <w:p>
      <w:pPr>
        <w:rPr>
          <w:b/>
          <w:bCs/>
          <w:highlight w:val="none"/>
        </w:rPr>
      </w:pPr>
      <w:r>
        <w:rPr>
          <w:rFonts w:hint="eastAsia"/>
          <w:b/>
          <w:bCs/>
          <w:highlight w:val="none"/>
        </w:rPr>
        <w:t>评标办法前附表</w:t>
      </w:r>
    </w:p>
    <w:tbl>
      <w:tblPr>
        <w:tblStyle w:val="45"/>
        <w:tblW w:w="914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
        <w:gridCol w:w="1124"/>
        <w:gridCol w:w="2117"/>
        <w:gridCol w:w="50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blHeader/>
          <w:jc w:val="center"/>
        </w:trPr>
        <w:tc>
          <w:tcPr>
            <w:tcW w:w="2024" w:type="dxa"/>
            <w:gridSpan w:val="2"/>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b/>
              </w:rPr>
            </w:pPr>
            <w:r>
              <w:rPr>
                <w:rFonts w:hint="eastAsia"/>
                <w:b/>
              </w:rPr>
              <w:t>条款号</w:t>
            </w: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b/>
              </w:rPr>
            </w:pPr>
            <w:r>
              <w:rPr>
                <w:rFonts w:hint="eastAsia"/>
                <w:b/>
              </w:rPr>
              <w:t>评审因素</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b/>
              </w:rPr>
            </w:pPr>
            <w:r>
              <w:rPr>
                <w:rFonts w:hint="eastAsia"/>
                <w:b/>
              </w:rPr>
              <w:t>评审标准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6" w:hRule="atLeast"/>
          <w:jc w:val="center"/>
        </w:trPr>
        <w:tc>
          <w:tcPr>
            <w:tcW w:w="900" w:type="dxa"/>
            <w:tcBorders>
              <w:top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1</w:t>
            </w:r>
          </w:p>
        </w:tc>
        <w:tc>
          <w:tcPr>
            <w:tcW w:w="1124" w:type="dxa"/>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评标方法</w:t>
            </w: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中标候选人排序方法</w:t>
            </w:r>
          </w:p>
        </w:tc>
        <w:tc>
          <w:tcPr>
            <w:tcW w:w="5004" w:type="dxa"/>
            <w:tcBorders>
              <w:top w:val="single" w:color="auto" w:sz="4" w:space="0"/>
              <w:left w:val="single" w:color="auto" w:sz="4" w:space="0"/>
              <w:bottom w:val="single" w:color="auto" w:sz="4" w:space="0"/>
            </w:tcBorders>
            <w:noWrap w:val="0"/>
            <w:vAlign w:val="top"/>
          </w:tcPr>
          <w:p>
            <w:pPr>
              <w:keepNext w:val="0"/>
              <w:keepLines w:val="0"/>
              <w:suppressLineNumbers w:val="0"/>
              <w:spacing w:before="0" w:beforeAutospacing="0" w:after="0" w:afterAutospacing="0"/>
              <w:ind w:left="0" w:right="0"/>
              <w:rPr>
                <w:rFonts w:hint="eastAsia"/>
              </w:rPr>
            </w:pPr>
            <w:r>
              <w:rPr>
                <w:rFonts w:hint="eastAsia"/>
              </w:rPr>
              <w:t>本次评标采用综合评分法，如出现得分(精确到小数点后两位)相等时，按以下原则确定第一中标候选人：</w:t>
            </w:r>
          </w:p>
          <w:p>
            <w:pPr>
              <w:keepNext w:val="0"/>
              <w:keepLines w:val="0"/>
              <w:suppressLineNumbers w:val="0"/>
              <w:spacing w:before="0" w:beforeAutospacing="0" w:after="0" w:afterAutospacing="0"/>
              <w:ind w:left="0" w:right="0"/>
              <w:rPr>
                <w:rFonts w:hint="eastAsia"/>
              </w:rPr>
            </w:pPr>
            <w:r>
              <w:rPr>
                <w:rFonts w:hint="eastAsia"/>
              </w:rPr>
              <w:t>（1）以评标价低的报价人优先；</w:t>
            </w:r>
          </w:p>
          <w:p>
            <w:pPr>
              <w:keepNext w:val="0"/>
              <w:keepLines w:val="0"/>
              <w:suppressLineNumbers w:val="0"/>
              <w:spacing w:before="0" w:beforeAutospacing="0" w:after="0" w:afterAutospacing="0"/>
              <w:ind w:left="0" w:right="0"/>
              <w:rPr>
                <w:rFonts w:hint="eastAsia"/>
              </w:rPr>
            </w:pPr>
            <w:r>
              <w:rPr>
                <w:rFonts w:hint="eastAsia"/>
              </w:rPr>
              <w:t>（2）如评标价也相同时，以技术得分较高的报价人优先；</w:t>
            </w:r>
          </w:p>
          <w:p>
            <w:pPr>
              <w:keepNext w:val="0"/>
              <w:keepLines w:val="0"/>
              <w:suppressLineNumbers w:val="0"/>
              <w:spacing w:before="0" w:beforeAutospacing="0" w:after="0" w:afterAutospacing="0"/>
              <w:ind w:left="0" w:right="0"/>
              <w:rPr>
                <w:rFonts w:hint="eastAsia"/>
              </w:rPr>
            </w:pPr>
            <w:r>
              <w:rPr>
                <w:rFonts w:hint="eastAsia"/>
              </w:rPr>
              <w:t>（3）如技术得分也相同时，以商务得分高的优先；</w:t>
            </w:r>
          </w:p>
          <w:p>
            <w:pPr>
              <w:keepNext w:val="0"/>
              <w:keepLines w:val="0"/>
              <w:suppressLineNumbers w:val="0"/>
              <w:spacing w:before="0" w:beforeAutospacing="0" w:after="0" w:afterAutospacing="0"/>
              <w:ind w:left="0" w:right="0"/>
              <w:rPr>
                <w:rFonts w:hint="eastAsia"/>
              </w:rPr>
            </w:pPr>
            <w:r>
              <w:rPr>
                <w:rFonts w:hint="eastAsia"/>
              </w:rPr>
              <w:t>（4）如商务得分也相同时，由评标委员会投票决定。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2</w:t>
            </w:r>
          </w:p>
        </w:tc>
        <w:tc>
          <w:tcPr>
            <w:tcW w:w="1124" w:type="dxa"/>
            <w:vMerge w:val="restart"/>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形式评审标准</w:t>
            </w: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报价人名称</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rPr>
                <w:rFonts w:hint="eastAsia"/>
              </w:rPr>
            </w:pPr>
            <w:r>
              <w:rPr>
                <w:rFonts w:hint="eastAsia"/>
              </w:rPr>
              <w:t>与营业执照、资质证书一致。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报价函签字盖章</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rPr>
                <w:rFonts w:hint="eastAsia"/>
              </w:rPr>
            </w:pPr>
            <w:r>
              <w:rPr>
                <w:rFonts w:hint="eastAsia"/>
              </w:rPr>
              <w:t>有法定代表人或委托代理人签字或加盖单位鲜公章。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竞争性比选响应文件格式</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rPr>
                <w:rFonts w:hint="eastAsia"/>
              </w:rPr>
            </w:pPr>
            <w:r>
              <w:rPr>
                <w:rFonts w:hint="eastAsia"/>
              </w:rPr>
              <w:t>符合第八章“竞争性比选响应文件格式”的要求，字迹及相关证件扫描件清晰可辨。</w:t>
            </w:r>
          </w:p>
          <w:p>
            <w:pPr>
              <w:keepNext w:val="0"/>
              <w:keepLines w:val="0"/>
              <w:suppressLineNumbers w:val="0"/>
              <w:spacing w:before="0" w:beforeAutospacing="0" w:after="0" w:afterAutospacing="0" w:line="400" w:lineRule="exact"/>
              <w:ind w:left="0" w:right="0"/>
              <w:rPr>
                <w:rFonts w:hint="eastAsia"/>
              </w:rPr>
            </w:pPr>
            <w:r>
              <w:rPr>
                <w:rFonts w:hint="eastAsia"/>
              </w:rPr>
              <w:t>1.报价函的所有数据均符合比选文件的规定；</w:t>
            </w:r>
          </w:p>
          <w:p>
            <w:pPr>
              <w:keepNext w:val="0"/>
              <w:keepLines w:val="0"/>
              <w:suppressLineNumbers w:val="0"/>
              <w:spacing w:before="0" w:beforeAutospacing="0" w:after="0" w:afterAutospacing="0" w:line="400" w:lineRule="exact"/>
              <w:ind w:left="0" w:right="0"/>
              <w:rPr>
                <w:rFonts w:hint="eastAsia"/>
              </w:rPr>
            </w:pPr>
            <w:r>
              <w:rPr>
                <w:rFonts w:hint="eastAsia"/>
              </w:rPr>
              <w:t>2.竞争性比选响应文件附表齐全完整，内容均按规定填写；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jc w:val="center"/>
              <w:rPr>
                <w:rFonts w:hint="eastAsia"/>
              </w:rPr>
            </w:pPr>
            <w:r>
              <w:rPr>
                <w:rFonts w:hint="eastAsia"/>
              </w:rPr>
              <w:t>已标价报价清单</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40" w:lineRule="exact"/>
              <w:ind w:left="0" w:right="0"/>
              <w:rPr>
                <w:rFonts w:hint="eastAsia"/>
              </w:rPr>
            </w:pPr>
            <w:r>
              <w:rPr>
                <w:rFonts w:hint="eastAsia"/>
              </w:rPr>
              <w:t>符合第五章“报价清单”给出的范围及数量。</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jc w:val="center"/>
              <w:rPr>
                <w:rFonts w:hint="eastAsia"/>
              </w:rPr>
            </w:pPr>
            <w:r>
              <w:rPr>
                <w:rFonts w:hint="eastAsia"/>
              </w:rPr>
              <w:t>报价其它要求</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40" w:lineRule="exact"/>
              <w:ind w:left="0" w:right="0"/>
              <w:rPr>
                <w:rFonts w:hint="eastAsia"/>
              </w:rPr>
            </w:pPr>
            <w:r>
              <w:rPr>
                <w:rFonts w:hint="eastAsia"/>
              </w:rPr>
              <w:t>竞争性比选响应文件报价表中的报价与报价书文字报价应保持一致。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900" w:type="dxa"/>
            <w:vMerge w:val="continue"/>
            <w:tcBorders>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left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2117" w:type="dxa"/>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rPr>
            </w:pPr>
            <w:r>
              <w:rPr>
                <w:rFonts w:hint="eastAsia"/>
                <w:szCs w:val="21"/>
              </w:rPr>
              <w:t>竞争性比选响应文件正本中法定代表人或其授权代理人签署</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rPr>
                <w:rFonts w:hint="eastAsia"/>
              </w:rPr>
            </w:pPr>
            <w:r>
              <w:rPr>
                <w:rFonts w:hint="eastAsia"/>
              </w:rPr>
              <w:t>竞争性比选响应文件正本中法定代表人或授权代理人签署姓名齐全，符合比选文件规定；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900" w:type="dxa"/>
            <w:tcBorders>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tcBorders>
              <w:left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2117" w:type="dxa"/>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szCs w:val="21"/>
              </w:rPr>
            </w:pPr>
            <w:r>
              <w:rPr>
                <w:rFonts w:hint="eastAsia"/>
                <w:szCs w:val="21"/>
              </w:rPr>
              <w:t>其他材料</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rPr>
                <w:rFonts w:hint="eastAsia"/>
              </w:rPr>
            </w:pPr>
            <w:r>
              <w:rPr>
                <w:rFonts w:hint="eastAsia"/>
              </w:rPr>
              <w:t>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3</w:t>
            </w:r>
          </w:p>
        </w:tc>
        <w:tc>
          <w:tcPr>
            <w:tcW w:w="112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资格评审标准</w:t>
            </w: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营业执照</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rPr>
                <w:rFonts w:hint="eastAsia"/>
              </w:rPr>
            </w:pPr>
            <w:r>
              <w:rPr>
                <w:rFonts w:hint="eastAsia"/>
              </w:rPr>
              <w:t>符合第二章“报价人须知”第8项规定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资质要求</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rPr>
                <w:rFonts w:hint="eastAsia"/>
              </w:rPr>
            </w:pPr>
            <w:r>
              <w:rPr>
                <w:rFonts w:hint="eastAsia"/>
              </w:rPr>
              <w:t>符合第二章“报价人须知”第8项规定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业绩要求</w:t>
            </w:r>
          </w:p>
        </w:tc>
        <w:tc>
          <w:tcPr>
            <w:tcW w:w="5004" w:type="dxa"/>
            <w:tcBorders>
              <w:top w:val="single" w:color="auto" w:sz="4" w:space="0"/>
              <w:left w:val="single" w:color="auto" w:sz="4" w:space="0"/>
              <w:bottom w:val="single" w:color="auto" w:sz="4" w:space="0"/>
            </w:tcBorders>
            <w:noWrap w:val="0"/>
            <w:vAlign w:val="top"/>
          </w:tcPr>
          <w:p>
            <w:pPr>
              <w:keepNext w:val="0"/>
              <w:keepLines w:val="0"/>
              <w:suppressLineNumbers w:val="0"/>
              <w:spacing w:before="0" w:beforeAutospacing="0" w:after="0" w:afterAutospacing="0" w:line="400" w:lineRule="exact"/>
              <w:ind w:left="0" w:right="0"/>
              <w:rPr>
                <w:rFonts w:hint="eastAsia"/>
              </w:rPr>
            </w:pPr>
            <w:r>
              <w:rPr>
                <w:rFonts w:hint="eastAsia"/>
              </w:rPr>
              <w:t>符合第二章“报价人须知”第8项规定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信誉要求</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rPr>
                <w:rFonts w:hint="eastAsia"/>
              </w:rPr>
            </w:pPr>
            <w:r>
              <w:rPr>
                <w:rFonts w:hint="eastAsia"/>
              </w:rPr>
              <w:t>符合第二章“报价人须知”第8项规定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7" w:hRule="atLeast"/>
          <w:jc w:val="center"/>
        </w:trPr>
        <w:tc>
          <w:tcPr>
            <w:tcW w:w="900" w:type="dxa"/>
            <w:vMerge w:val="continue"/>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20" w:lineRule="exact"/>
              <w:ind w:left="0" w:leftChars="0" w:right="0" w:rightChars="0"/>
              <w:jc w:val="center"/>
              <w:rPr>
                <w:rFonts w:hint="eastAsia"/>
              </w:rPr>
            </w:pPr>
            <w:r>
              <w:rPr>
                <w:rFonts w:hint="eastAsia" w:asciiTheme="minorEastAsia" w:hAnsiTheme="minorEastAsia" w:eastAsiaTheme="minorEastAsia" w:cstheme="minorEastAsia"/>
                <w:szCs w:val="21"/>
                <w:highlight w:val="none"/>
              </w:rPr>
              <w:t>项目主要管理人员最低要求</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rightChars="0"/>
              <w:rPr>
                <w:rFonts w:hint="eastAsia"/>
              </w:rPr>
            </w:pPr>
            <w:r>
              <w:rPr>
                <w:rFonts w:hint="eastAsia" w:ascii="宋体" w:hAnsi="宋体" w:cs="宋体"/>
                <w:szCs w:val="21"/>
                <w:highlight w:val="none"/>
              </w:rPr>
              <w:t>符合第二章“报价人须知”前附表附录1的规定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20" w:lineRule="exact"/>
              <w:ind w:left="0" w:leftChars="0" w:right="0" w:rightChars="0"/>
              <w:jc w:val="center"/>
              <w:rPr>
                <w:rFonts w:hint="eastAsia"/>
              </w:rPr>
            </w:pPr>
            <w:r>
              <w:rPr>
                <w:rFonts w:hint="eastAsia" w:asciiTheme="minorEastAsia" w:hAnsiTheme="minorEastAsia" w:eastAsiaTheme="minorEastAsia" w:cstheme="minorEastAsia"/>
                <w:szCs w:val="21"/>
                <w:highlight w:val="none"/>
              </w:rPr>
              <w:t>其他人员最低要求</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rightChars="0"/>
              <w:rPr>
                <w:rFonts w:hint="eastAsia"/>
              </w:rPr>
            </w:pPr>
            <w:r>
              <w:rPr>
                <w:rFonts w:hint="eastAsia" w:ascii="宋体" w:hAnsi="宋体" w:cs="宋体"/>
                <w:szCs w:val="21"/>
                <w:highlight w:val="none"/>
              </w:rPr>
              <w:t>符合第二章“报价人须知”前附表附录2的规定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20" w:lineRule="exact"/>
              <w:ind w:left="0" w:leftChars="0" w:right="0" w:rightChars="0"/>
              <w:jc w:val="center"/>
              <w:rPr>
                <w:rFonts w:hint="eastAsia"/>
                <w:kern w:val="1"/>
              </w:rPr>
            </w:pPr>
            <w:r>
              <w:rPr>
                <w:rFonts w:hint="eastAsia" w:asciiTheme="minorEastAsia" w:hAnsiTheme="minorEastAsia" w:eastAsiaTheme="minorEastAsia" w:cstheme="minorEastAsia"/>
                <w:szCs w:val="21"/>
                <w:highlight w:val="none"/>
              </w:rPr>
              <w:t>主要机械设备和试验检测设备最低要求</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rightChars="0"/>
              <w:rPr>
                <w:rFonts w:hint="eastAsia"/>
              </w:rPr>
            </w:pPr>
            <w:r>
              <w:rPr>
                <w:rFonts w:hint="eastAsia" w:ascii="宋体" w:hAnsi="宋体" w:cs="宋体"/>
                <w:szCs w:val="21"/>
                <w:highlight w:val="none"/>
              </w:rPr>
              <w:t>符合第二章“报价人须知”前附表附录3的规定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4</w:t>
            </w:r>
          </w:p>
        </w:tc>
        <w:tc>
          <w:tcPr>
            <w:tcW w:w="112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响应性评审标准</w:t>
            </w: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投标内容</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rPr>
                <w:rFonts w:hint="eastAsia"/>
              </w:rPr>
            </w:pPr>
            <w:r>
              <w:rPr>
                <w:rFonts w:hint="eastAsia"/>
              </w:rPr>
              <w:t>符合第二章“报价人须知”第4项规定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left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报价</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rPr>
                <w:rFonts w:hint="eastAsia"/>
              </w:rPr>
            </w:pPr>
            <w:r>
              <w:rPr>
                <w:rFonts w:hint="eastAsia"/>
              </w:rPr>
              <w:t>符合比选文件给出的范围及数量，且报价不得超过采购人公布的最高限价，但也不得低于报价人的企业成本。</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工期要求</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rPr>
                <w:rFonts w:hint="eastAsia"/>
              </w:rPr>
            </w:pPr>
            <w:r>
              <w:rPr>
                <w:rFonts w:hint="eastAsia"/>
              </w:rPr>
              <w:t>符合第二章“报价人须知”第5项规定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质量标准</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rPr>
                <w:rFonts w:hint="eastAsia"/>
              </w:rPr>
            </w:pPr>
            <w:r>
              <w:rPr>
                <w:rFonts w:hint="eastAsia"/>
              </w:rPr>
              <w:t>符合第二章“报价人须知”第6项规定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安全目标</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rPr>
                <w:rFonts w:hint="eastAsia"/>
              </w:rPr>
            </w:pPr>
            <w:r>
              <w:rPr>
                <w:rFonts w:hint="eastAsia"/>
              </w:rPr>
              <w:t>符合第二章“报价人须知”第7项规定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5</w:t>
            </w:r>
          </w:p>
        </w:tc>
        <w:tc>
          <w:tcPr>
            <w:tcW w:w="11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ascii="宋体" w:hAnsi="宋体" w:cs="宋体"/>
                <w:kern w:val="0"/>
                <w:szCs w:val="21"/>
              </w:rPr>
              <w:t>分值构成</w:t>
            </w:r>
          </w:p>
        </w:tc>
        <w:tc>
          <w:tcPr>
            <w:tcW w:w="2117" w:type="dxa"/>
            <w:tcBorders>
              <w:top w:val="single" w:color="auto" w:sz="4" w:space="0"/>
              <w:left w:val="single" w:color="auto" w:sz="4" w:space="0"/>
              <w:bottom w:val="single" w:color="auto" w:sz="4" w:space="0"/>
            </w:tcBorders>
            <w:noWrap w:val="0"/>
            <w:vAlign w:val="center"/>
          </w:tcPr>
          <w:p>
            <w:pPr>
              <w:keepNext w:val="0"/>
              <w:keepLines w:val="0"/>
              <w:suppressLineNumbers w:val="0"/>
              <w:autoSpaceDE w:val="0"/>
              <w:autoSpaceDN w:val="0"/>
              <w:adjustRightInd w:val="0"/>
              <w:spacing w:before="0" w:beforeAutospacing="0" w:after="0" w:afterAutospacing="0" w:line="320" w:lineRule="exact"/>
              <w:ind w:left="0" w:right="0"/>
              <w:jc w:val="center"/>
              <w:rPr>
                <w:rFonts w:hint="eastAsia" w:ascii="宋体" w:hAnsi="宋体" w:cs="宋体"/>
                <w:kern w:val="0"/>
                <w:szCs w:val="21"/>
              </w:rPr>
            </w:pPr>
            <w:r>
              <w:rPr>
                <w:rFonts w:hint="eastAsia" w:ascii="宋体" w:hAnsi="宋体" w:cs="宋体"/>
                <w:kern w:val="0"/>
                <w:szCs w:val="21"/>
              </w:rPr>
              <w:t>分值构成</w:t>
            </w:r>
          </w:p>
          <w:p>
            <w:pPr>
              <w:keepNext w:val="0"/>
              <w:keepLines w:val="0"/>
              <w:suppressLineNumbers w:val="0"/>
              <w:autoSpaceDE w:val="0"/>
              <w:autoSpaceDN w:val="0"/>
              <w:adjustRightInd w:val="0"/>
              <w:spacing w:before="0" w:beforeAutospacing="0" w:after="0" w:afterAutospacing="0" w:line="320" w:lineRule="exact"/>
              <w:ind w:left="0" w:right="0"/>
              <w:jc w:val="center"/>
              <w:rPr>
                <w:rFonts w:hint="eastAsia"/>
              </w:rPr>
            </w:pPr>
            <w:r>
              <w:rPr>
                <w:rFonts w:hint="eastAsia" w:ascii="宋体" w:hAnsi="宋体" w:cs="宋体"/>
                <w:kern w:val="0"/>
                <w:szCs w:val="21"/>
              </w:rPr>
              <w:t>（总分100分）</w:t>
            </w:r>
          </w:p>
        </w:tc>
        <w:tc>
          <w:tcPr>
            <w:tcW w:w="5004" w:type="dxa"/>
            <w:tcBorders>
              <w:top w:val="single" w:color="auto" w:sz="4" w:space="0"/>
              <w:left w:val="single" w:color="auto" w:sz="4" w:space="0"/>
              <w:bottom w:val="single" w:color="auto" w:sz="4" w:space="0"/>
            </w:tcBorders>
            <w:noWrap w:val="0"/>
            <w:vAlign w:val="top"/>
          </w:tcPr>
          <w:p>
            <w:pPr>
              <w:keepNext w:val="0"/>
              <w:keepLines w:val="0"/>
              <w:numPr>
                <w:ilvl w:val="0"/>
                <w:numId w:val="4"/>
              </w:numPr>
              <w:suppressLineNumbers w:val="0"/>
              <w:autoSpaceDE w:val="0"/>
              <w:autoSpaceDN w:val="0"/>
              <w:adjustRightInd w:val="0"/>
              <w:spacing w:before="0" w:beforeAutospacing="0" w:after="0" w:afterAutospacing="0" w:line="320" w:lineRule="exact"/>
              <w:ind w:left="0" w:right="0" w:firstLine="420" w:firstLineChars="200"/>
              <w:jc w:val="left"/>
              <w:rPr>
                <w:rFonts w:hint="eastAsia"/>
              </w:rPr>
            </w:pPr>
            <w:r>
              <w:rPr>
                <w:rFonts w:hint="eastAsia" w:ascii="宋体" w:hAnsi="宋体" w:cs="宋体"/>
                <w:kern w:val="0"/>
                <w:szCs w:val="21"/>
              </w:rPr>
              <w:t>报价部分A：</w:t>
            </w:r>
            <w:r>
              <w:rPr>
                <w:rFonts w:hint="eastAsia" w:ascii="宋体" w:hAnsi="宋体" w:cs="宋体"/>
                <w:kern w:val="0"/>
                <w:szCs w:val="21"/>
                <w:lang w:val="en-US" w:eastAsia="zh-CN"/>
              </w:rPr>
              <w:t>5</w:t>
            </w:r>
            <w:r>
              <w:rPr>
                <w:rFonts w:hint="eastAsia" w:ascii="宋体" w:hAnsi="宋体" w:cs="宋体"/>
                <w:kern w:val="0"/>
                <w:szCs w:val="21"/>
              </w:rPr>
              <w:t>0分；</w:t>
            </w:r>
          </w:p>
          <w:p>
            <w:pPr>
              <w:keepNext w:val="0"/>
              <w:keepLines w:val="0"/>
              <w:numPr>
                <w:ilvl w:val="0"/>
                <w:numId w:val="4"/>
              </w:numPr>
              <w:suppressLineNumbers w:val="0"/>
              <w:autoSpaceDE w:val="0"/>
              <w:autoSpaceDN w:val="0"/>
              <w:adjustRightInd w:val="0"/>
              <w:spacing w:before="0" w:beforeAutospacing="0" w:after="0" w:afterAutospacing="0" w:line="320" w:lineRule="exact"/>
              <w:ind w:left="0" w:right="0" w:firstLine="420" w:firstLineChars="200"/>
              <w:jc w:val="left"/>
              <w:rPr>
                <w:rFonts w:hint="eastAsia"/>
              </w:rPr>
            </w:pPr>
            <w:r>
              <w:rPr>
                <w:rFonts w:hint="eastAsia" w:ascii="宋体" w:hAnsi="宋体" w:cs="宋体"/>
                <w:kern w:val="0"/>
                <w:szCs w:val="21"/>
              </w:rPr>
              <w:t>商务部分B：</w:t>
            </w:r>
            <w:r>
              <w:rPr>
                <w:rFonts w:hint="eastAsia" w:ascii="宋体" w:hAnsi="宋体" w:cs="宋体"/>
                <w:kern w:val="0"/>
                <w:szCs w:val="21"/>
                <w:lang w:val="en-US" w:eastAsia="zh-CN"/>
              </w:rPr>
              <w:t>30</w:t>
            </w:r>
            <w:r>
              <w:rPr>
                <w:rFonts w:hint="eastAsia" w:ascii="宋体" w:hAnsi="宋体" w:cs="宋体"/>
                <w:kern w:val="0"/>
                <w:szCs w:val="21"/>
              </w:rPr>
              <w:t>分；</w:t>
            </w:r>
          </w:p>
          <w:p>
            <w:pPr>
              <w:keepNext w:val="0"/>
              <w:keepLines w:val="0"/>
              <w:numPr>
                <w:ilvl w:val="0"/>
                <w:numId w:val="4"/>
              </w:numPr>
              <w:suppressLineNumbers w:val="0"/>
              <w:autoSpaceDE w:val="0"/>
              <w:autoSpaceDN w:val="0"/>
              <w:adjustRightInd w:val="0"/>
              <w:spacing w:before="0" w:beforeAutospacing="0" w:after="0" w:afterAutospacing="0" w:line="320" w:lineRule="exact"/>
              <w:ind w:left="0" w:right="0" w:firstLine="420" w:firstLineChars="200"/>
              <w:jc w:val="left"/>
              <w:rPr>
                <w:rFonts w:hint="eastAsia"/>
              </w:rPr>
            </w:pPr>
            <w:r>
              <w:rPr>
                <w:rFonts w:hint="eastAsia" w:ascii="宋体" w:hAnsi="宋体" w:cs="宋体"/>
                <w:kern w:val="0"/>
                <w:szCs w:val="21"/>
              </w:rPr>
              <w:t>技术部分C：</w:t>
            </w:r>
            <w:r>
              <w:rPr>
                <w:rFonts w:hint="eastAsia" w:ascii="宋体" w:hAnsi="宋体" w:cs="宋体"/>
                <w:kern w:val="0"/>
                <w:szCs w:val="21"/>
                <w:lang w:val="en-US" w:eastAsia="zh-CN"/>
              </w:rPr>
              <w:t>2</w:t>
            </w:r>
            <w:r>
              <w:rPr>
                <w:rFonts w:hint="eastAsia" w:ascii="宋体" w:hAnsi="宋体" w:cs="宋体"/>
                <w:kern w:val="0"/>
                <w:szCs w:val="21"/>
              </w:rPr>
              <w:t>0分；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6</w:t>
            </w:r>
          </w:p>
        </w:tc>
        <w:tc>
          <w:tcPr>
            <w:tcW w:w="11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utoSpaceDE w:val="0"/>
              <w:autoSpaceDN w:val="0"/>
              <w:adjustRightInd w:val="0"/>
              <w:spacing w:before="0" w:beforeAutospacing="0" w:after="0" w:afterAutospacing="0" w:line="320" w:lineRule="exact"/>
              <w:ind w:left="0" w:right="0"/>
              <w:jc w:val="center"/>
              <w:rPr>
                <w:rFonts w:hint="eastAsia"/>
              </w:rPr>
            </w:pPr>
            <w:r>
              <w:rPr>
                <w:rFonts w:hint="eastAsia" w:ascii="宋体" w:hAnsi="宋体" w:cs="宋体"/>
                <w:kern w:val="0"/>
                <w:szCs w:val="21"/>
              </w:rPr>
              <w:t>A.报价部分评分标准（</w:t>
            </w:r>
            <w:r>
              <w:rPr>
                <w:rFonts w:hint="eastAsia" w:ascii="宋体" w:hAnsi="宋体" w:cs="宋体"/>
                <w:kern w:val="0"/>
                <w:szCs w:val="21"/>
                <w:lang w:val="en-US" w:eastAsia="zh-CN"/>
              </w:rPr>
              <w:t>50</w:t>
            </w:r>
            <w:r>
              <w:rPr>
                <w:rFonts w:hint="eastAsia" w:ascii="宋体" w:hAnsi="宋体" w:cs="宋体"/>
                <w:kern w:val="0"/>
                <w:szCs w:val="21"/>
              </w:rPr>
              <w:t>分）</w:t>
            </w:r>
          </w:p>
        </w:tc>
        <w:tc>
          <w:tcPr>
            <w:tcW w:w="2117" w:type="dxa"/>
            <w:tcBorders>
              <w:top w:val="single" w:color="auto" w:sz="4" w:space="0"/>
              <w:left w:val="single" w:color="auto" w:sz="4" w:space="0"/>
              <w:bottom w:val="single" w:color="auto" w:sz="4" w:space="0"/>
            </w:tcBorders>
            <w:noWrap w:val="0"/>
            <w:vAlign w:val="center"/>
          </w:tcPr>
          <w:p>
            <w:pPr>
              <w:keepNext w:val="0"/>
              <w:keepLines w:val="0"/>
              <w:suppressLineNumbers w:val="0"/>
              <w:autoSpaceDE w:val="0"/>
              <w:autoSpaceDN w:val="0"/>
              <w:adjustRightInd w:val="0"/>
              <w:spacing w:before="0" w:beforeAutospacing="0" w:after="0" w:afterAutospacing="0" w:line="320" w:lineRule="exact"/>
              <w:ind w:left="0" w:right="0"/>
              <w:jc w:val="center"/>
              <w:rPr>
                <w:rFonts w:hint="eastAsia"/>
              </w:rPr>
            </w:pPr>
            <w:r>
              <w:rPr>
                <w:rFonts w:hint="eastAsia" w:ascii="宋体" w:hAnsi="宋体" w:cs="宋体"/>
                <w:kern w:val="0"/>
                <w:szCs w:val="21"/>
              </w:rPr>
              <w:t>报价得分（</w:t>
            </w:r>
            <w:r>
              <w:rPr>
                <w:rFonts w:hint="eastAsia" w:ascii="宋体" w:hAnsi="宋体" w:cs="宋体"/>
                <w:kern w:val="0"/>
                <w:szCs w:val="21"/>
                <w:lang w:val="en-US" w:eastAsia="zh-CN"/>
              </w:rPr>
              <w:t>50</w:t>
            </w:r>
            <w:r>
              <w:rPr>
                <w:rFonts w:hint="eastAsia" w:ascii="宋体" w:hAnsi="宋体" w:cs="宋体"/>
                <w:kern w:val="0"/>
                <w:szCs w:val="21"/>
              </w:rPr>
              <w:t>分）</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szCs w:val="21"/>
              </w:rPr>
            </w:pPr>
            <w:r>
              <w:rPr>
                <w:rFonts w:hint="eastAsia" w:ascii="宋体" w:hAnsi="宋体"/>
                <w:szCs w:val="21"/>
              </w:rPr>
              <w:t>1.评审基准价:所有报价人有效报价的算术平均值为基准价。</w:t>
            </w:r>
          </w:p>
          <w:p>
            <w:pPr>
              <w:keepNext w:val="0"/>
              <w:keepLines w:val="0"/>
              <w:suppressLineNumbers w:val="0"/>
              <w:spacing w:before="0" w:beforeAutospacing="0" w:after="0" w:afterAutospacing="0" w:line="400" w:lineRule="exact"/>
              <w:ind w:left="0" w:right="0" w:firstLine="420" w:firstLineChars="200"/>
              <w:rPr>
                <w:rFonts w:hint="eastAsia" w:ascii="宋体" w:hAnsi="宋体"/>
                <w:szCs w:val="21"/>
              </w:rPr>
            </w:pPr>
            <w:r>
              <w:rPr>
                <w:rFonts w:hint="eastAsia" w:ascii="宋体" w:hAnsi="宋体"/>
                <w:szCs w:val="21"/>
              </w:rPr>
              <w:t>2.偏差率=100% ×（报价人报价–评审基准价）÷评审基准价，报价人报价指各报价人经评审后的报价。</w:t>
            </w:r>
          </w:p>
          <w:p>
            <w:pPr>
              <w:keepNext w:val="0"/>
              <w:keepLines w:val="0"/>
              <w:suppressLineNumbers w:val="0"/>
              <w:spacing w:before="0" w:beforeAutospacing="0" w:after="0" w:afterAutospacing="0" w:line="400" w:lineRule="exact"/>
              <w:ind w:left="0" w:right="0" w:firstLine="420" w:firstLineChars="200"/>
              <w:rPr>
                <w:rFonts w:hint="eastAsia" w:ascii="宋体" w:hAnsi="宋体"/>
                <w:szCs w:val="21"/>
              </w:rPr>
            </w:pPr>
            <w:r>
              <w:rPr>
                <w:rFonts w:hint="eastAsia" w:ascii="宋体" w:hAnsi="宋体"/>
                <w:szCs w:val="21"/>
              </w:rPr>
              <w:t>3.如果报价人的评标价＞评标基准价，则评标价得分＝F-偏差率×100×E1。</w:t>
            </w:r>
          </w:p>
          <w:p>
            <w:pPr>
              <w:keepNext w:val="0"/>
              <w:keepLines w:val="0"/>
              <w:suppressLineNumbers w:val="0"/>
              <w:spacing w:before="0" w:beforeAutospacing="0" w:after="0" w:afterAutospacing="0" w:line="400" w:lineRule="exact"/>
              <w:ind w:left="0" w:right="0" w:firstLine="420" w:firstLineChars="200"/>
              <w:rPr>
                <w:rFonts w:hint="eastAsia" w:ascii="宋体" w:hAnsi="宋体"/>
                <w:szCs w:val="21"/>
              </w:rPr>
            </w:pPr>
            <w:r>
              <w:rPr>
                <w:rFonts w:hint="eastAsia" w:ascii="宋体" w:hAnsi="宋体"/>
                <w:szCs w:val="21"/>
              </w:rPr>
              <w:t>4.如果报价人的评标价≤评标基准价,则评标价得分＝F-|偏差率×100×E2|。</w:t>
            </w:r>
          </w:p>
          <w:p>
            <w:pPr>
              <w:keepNext w:val="0"/>
              <w:keepLines w:val="0"/>
              <w:suppressLineNumbers w:val="0"/>
              <w:spacing w:before="0" w:beforeAutospacing="0" w:after="0" w:afterAutospacing="0" w:line="400" w:lineRule="exact"/>
              <w:ind w:left="0" w:right="0" w:firstLine="420" w:firstLineChars="200"/>
              <w:rPr>
                <w:rFonts w:hint="eastAsia" w:ascii="宋体" w:hAnsi="宋体"/>
                <w:szCs w:val="21"/>
              </w:rPr>
            </w:pPr>
            <w:r>
              <w:rPr>
                <w:rFonts w:hint="eastAsia" w:ascii="宋体" w:hAnsi="宋体"/>
                <w:szCs w:val="21"/>
              </w:rPr>
              <w:t>其中：F是评标价所占的权重分值；E1是评标价每高于评标基准价一个百分点的扣分值，E2是评标价每低于评标基准价一个百分点的扣分值；本项目设置E1=0.5，E2=0.2，最多扣10分。</w:t>
            </w:r>
          </w:p>
          <w:p>
            <w:pPr>
              <w:keepNext w:val="0"/>
              <w:keepLines w:val="0"/>
              <w:suppressLineNumbers w:val="0"/>
              <w:spacing w:before="0" w:beforeAutospacing="0" w:after="0" w:afterAutospacing="0" w:line="400" w:lineRule="exact"/>
              <w:ind w:left="0" w:right="0" w:firstLine="420" w:firstLineChars="200"/>
              <w:rPr>
                <w:rFonts w:hint="eastAsia" w:ascii="宋体" w:hAnsi="宋体"/>
                <w:szCs w:val="21"/>
              </w:rPr>
            </w:pPr>
            <w:r>
              <w:rPr>
                <w:rFonts w:hint="eastAsia" w:ascii="宋体" w:hAnsi="宋体"/>
                <w:szCs w:val="21"/>
              </w:rPr>
              <w:t>最后得分保留2位小数，小数点后第三位“四舍五入”。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604" w:hRule="atLeast"/>
          <w:jc w:val="center"/>
        </w:trPr>
        <w:tc>
          <w:tcPr>
            <w:tcW w:w="900" w:type="dxa"/>
            <w:vMerge w:val="restart"/>
            <w:tcBorders>
              <w:top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7</w:t>
            </w:r>
          </w:p>
        </w:tc>
        <w:tc>
          <w:tcPr>
            <w:tcW w:w="1124" w:type="dxa"/>
            <w:vMerge w:val="restart"/>
            <w:tcBorders>
              <w:top w:val="single" w:color="auto" w:sz="4" w:space="0"/>
              <w:left w:val="single" w:color="auto" w:sz="4" w:space="0"/>
              <w:right w:val="single" w:color="auto" w:sz="4" w:space="0"/>
            </w:tcBorders>
            <w:noWrap w:val="0"/>
            <w:vAlign w:val="center"/>
          </w:tcPr>
          <w:p>
            <w:pPr>
              <w:keepNext w:val="0"/>
              <w:keepLines w:val="0"/>
              <w:suppressLineNumbers w:val="0"/>
              <w:autoSpaceDE w:val="0"/>
              <w:autoSpaceDN w:val="0"/>
              <w:adjustRightInd w:val="0"/>
              <w:spacing w:before="0" w:beforeAutospacing="0" w:after="0" w:afterAutospacing="0" w:line="320" w:lineRule="exact"/>
              <w:ind w:left="0" w:right="0"/>
              <w:jc w:val="center"/>
              <w:rPr>
                <w:rFonts w:hint="eastAsia"/>
              </w:rPr>
            </w:pPr>
            <w:r>
              <w:rPr>
                <w:rFonts w:hint="eastAsia" w:ascii="宋体" w:hAnsi="宋体" w:cs="宋体"/>
                <w:kern w:val="0"/>
                <w:szCs w:val="21"/>
              </w:rPr>
              <w:t>B.商务部分评分标准（</w:t>
            </w:r>
            <w:r>
              <w:rPr>
                <w:rFonts w:hint="eastAsia" w:ascii="宋体" w:hAnsi="宋体" w:cs="宋体"/>
                <w:kern w:val="0"/>
                <w:szCs w:val="21"/>
                <w:lang w:val="en-US" w:eastAsia="zh-CN"/>
              </w:rPr>
              <w:t>3</w:t>
            </w:r>
            <w:r>
              <w:rPr>
                <w:rFonts w:hint="eastAsia" w:ascii="宋体" w:hAnsi="宋体" w:cs="宋体"/>
                <w:kern w:val="0"/>
                <w:szCs w:val="21"/>
              </w:rPr>
              <w:t>0分）</w:t>
            </w:r>
          </w:p>
        </w:tc>
        <w:tc>
          <w:tcPr>
            <w:tcW w:w="2117" w:type="dxa"/>
            <w:tcBorders>
              <w:top w:val="single" w:color="auto" w:sz="4" w:space="0"/>
              <w:left w:val="single" w:color="auto" w:sz="4" w:space="0"/>
              <w:bottom w:val="single" w:color="auto" w:sz="4" w:space="0"/>
            </w:tcBorders>
            <w:noWrap w:val="0"/>
            <w:vAlign w:val="center"/>
          </w:tcPr>
          <w:p>
            <w:pPr>
              <w:keepNext w:val="0"/>
              <w:keepLines w:val="0"/>
              <w:suppressLineNumbers w:val="0"/>
              <w:autoSpaceDE w:val="0"/>
              <w:autoSpaceDN w:val="0"/>
              <w:adjustRightInd w:val="0"/>
              <w:spacing w:before="0" w:beforeAutospacing="0" w:after="0" w:afterAutospacing="0" w:line="320" w:lineRule="exact"/>
              <w:ind w:left="0" w:leftChars="0" w:right="0" w:rightChars="0"/>
              <w:jc w:val="center"/>
              <w:rPr>
                <w:rFonts w:hint="eastAsia"/>
              </w:rPr>
            </w:pPr>
            <w:r>
              <w:rPr>
                <w:rFonts w:hint="eastAsia" w:ascii="宋体" w:hAnsi="宋体" w:cs="宋体"/>
                <w:kern w:val="0"/>
                <w:szCs w:val="21"/>
                <w:highlight w:val="none"/>
              </w:rPr>
              <w:t>业绩（</w:t>
            </w:r>
            <w:r>
              <w:rPr>
                <w:rFonts w:hint="eastAsia" w:ascii="宋体" w:hAnsi="宋体" w:cs="宋体"/>
                <w:kern w:val="0"/>
                <w:szCs w:val="21"/>
                <w:highlight w:val="none"/>
                <w:lang w:val="en-US" w:eastAsia="zh-CN"/>
              </w:rPr>
              <w:t>15</w:t>
            </w:r>
            <w:r>
              <w:rPr>
                <w:rFonts w:hint="eastAsia" w:ascii="宋体" w:hAnsi="宋体" w:cs="宋体"/>
                <w:kern w:val="0"/>
                <w:szCs w:val="21"/>
                <w:highlight w:val="none"/>
              </w:rPr>
              <w:t>分）</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autoSpaceDE w:val="0"/>
              <w:autoSpaceDN w:val="0"/>
              <w:adjustRightInd w:val="0"/>
              <w:spacing w:before="0" w:beforeAutospacing="0" w:after="0" w:afterAutospacing="0" w:line="320" w:lineRule="exact"/>
              <w:ind w:left="0" w:leftChars="0" w:right="0" w:rightChars="0" w:firstLine="420" w:firstLineChars="200"/>
              <w:jc w:val="left"/>
              <w:rPr>
                <w:rFonts w:hint="eastAsia" w:ascii="宋体" w:hAnsi="宋体" w:eastAsia="宋体" w:cs="宋体"/>
                <w:szCs w:val="21"/>
                <w:lang w:val="en-US" w:eastAsia="zh-CN"/>
              </w:rPr>
            </w:pPr>
            <w:r>
              <w:rPr>
                <w:rFonts w:hint="eastAsia" w:ascii="宋体" w:hAnsi="宋体" w:eastAsia="宋体" w:cs="宋体"/>
                <w:szCs w:val="21"/>
                <w:lang w:val="en-US" w:eastAsia="zh-CN"/>
              </w:rPr>
              <w:t>1.报价人满足资格要求基础业绩条件得</w:t>
            </w:r>
            <w:r>
              <w:rPr>
                <w:rFonts w:hint="eastAsia" w:ascii="宋体" w:hAnsi="宋体" w:cs="宋体"/>
                <w:szCs w:val="21"/>
                <w:lang w:val="en-US" w:eastAsia="zh-CN"/>
              </w:rPr>
              <w:t>7</w:t>
            </w:r>
            <w:r>
              <w:rPr>
                <w:rFonts w:hint="eastAsia" w:ascii="宋体" w:hAnsi="宋体" w:eastAsia="宋体" w:cs="宋体"/>
                <w:szCs w:val="21"/>
                <w:lang w:val="en-US" w:eastAsia="zh-CN"/>
              </w:rPr>
              <w:t>分；</w:t>
            </w:r>
          </w:p>
          <w:p>
            <w:pPr>
              <w:keepNext w:val="0"/>
              <w:keepLines w:val="0"/>
              <w:suppressLineNumbers w:val="0"/>
              <w:autoSpaceDE w:val="0"/>
              <w:autoSpaceDN w:val="0"/>
              <w:adjustRightInd w:val="0"/>
              <w:spacing w:before="0" w:beforeAutospacing="0" w:after="0" w:afterAutospacing="0" w:line="320" w:lineRule="exact"/>
              <w:ind w:left="0" w:leftChars="0" w:right="0" w:rightChars="0" w:firstLine="420" w:firstLineChars="200"/>
              <w:jc w:val="left"/>
              <w:rPr>
                <w:rFonts w:hint="eastAsia" w:ascii="宋体" w:hAnsi="宋体" w:eastAsia="宋体" w:cs="宋体"/>
                <w:szCs w:val="21"/>
                <w:lang w:val="en-US" w:eastAsia="zh-CN"/>
              </w:rPr>
            </w:pPr>
            <w:r>
              <w:rPr>
                <w:rFonts w:hint="eastAsia" w:ascii="宋体" w:hAnsi="宋体" w:eastAsia="宋体" w:cs="宋体"/>
                <w:szCs w:val="21"/>
                <w:lang w:val="en-US" w:eastAsia="zh-CN"/>
              </w:rPr>
              <w:t>2.在满足资格要求基础业绩条件外，2019年1月1日至报价截止日期（以合同签订时间为准）每增加一项合同金额不低于100万元的桥梁健康监测项目服务业绩得</w:t>
            </w:r>
            <w:r>
              <w:rPr>
                <w:rFonts w:hint="eastAsia" w:ascii="宋体" w:hAnsi="宋体" w:cs="宋体"/>
                <w:szCs w:val="21"/>
                <w:lang w:val="en-US" w:eastAsia="zh-CN"/>
              </w:rPr>
              <w:t>4</w:t>
            </w:r>
            <w:r>
              <w:rPr>
                <w:rFonts w:hint="eastAsia" w:ascii="宋体" w:hAnsi="宋体" w:eastAsia="宋体" w:cs="宋体"/>
                <w:szCs w:val="21"/>
                <w:lang w:val="en-US" w:eastAsia="zh-CN"/>
              </w:rPr>
              <w:t>分，最高分</w:t>
            </w:r>
            <w:r>
              <w:rPr>
                <w:rFonts w:hint="eastAsia" w:ascii="宋体" w:hAnsi="宋体" w:cs="宋体"/>
                <w:szCs w:val="21"/>
                <w:lang w:val="en-US" w:eastAsia="zh-CN"/>
              </w:rPr>
              <w:t>8</w:t>
            </w:r>
            <w:r>
              <w:rPr>
                <w:rFonts w:hint="eastAsia" w:ascii="宋体" w:hAnsi="宋体" w:eastAsia="宋体" w:cs="宋体"/>
                <w:szCs w:val="21"/>
                <w:lang w:val="en-US" w:eastAsia="zh-CN"/>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604" w:hRule="atLeast"/>
          <w:jc w:val="center"/>
        </w:trPr>
        <w:tc>
          <w:tcPr>
            <w:tcW w:w="900" w:type="dxa"/>
            <w:vMerge w:val="continue"/>
            <w:tcBorders>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left w:val="single" w:color="auto" w:sz="4" w:space="0"/>
              <w:right w:val="single" w:color="auto" w:sz="4" w:space="0"/>
            </w:tcBorders>
            <w:noWrap w:val="0"/>
            <w:vAlign w:val="center"/>
          </w:tcPr>
          <w:p>
            <w:pPr>
              <w:keepNext w:val="0"/>
              <w:keepLines w:val="0"/>
              <w:suppressLineNumbers w:val="0"/>
              <w:autoSpaceDE w:val="0"/>
              <w:autoSpaceDN w:val="0"/>
              <w:adjustRightInd w:val="0"/>
              <w:spacing w:before="0" w:beforeAutospacing="0" w:after="0" w:afterAutospacing="0" w:line="320" w:lineRule="exact"/>
              <w:ind w:left="0" w:right="0"/>
              <w:jc w:val="center"/>
              <w:rPr>
                <w:rFonts w:hint="eastAsia" w:ascii="宋体" w:hAnsi="宋体" w:cs="宋体"/>
                <w:kern w:val="0"/>
                <w:szCs w:val="21"/>
              </w:rPr>
            </w:pPr>
          </w:p>
        </w:tc>
        <w:tc>
          <w:tcPr>
            <w:tcW w:w="2117" w:type="dxa"/>
            <w:tcBorders>
              <w:top w:val="single" w:color="auto" w:sz="4" w:space="0"/>
              <w:left w:val="single" w:color="auto" w:sz="4" w:space="0"/>
              <w:bottom w:val="single" w:color="auto" w:sz="4" w:space="0"/>
            </w:tcBorders>
            <w:noWrap w:val="0"/>
            <w:vAlign w:val="center"/>
          </w:tcPr>
          <w:p>
            <w:pPr>
              <w:keepNext w:val="0"/>
              <w:keepLines w:val="0"/>
              <w:suppressLineNumbers w:val="0"/>
              <w:autoSpaceDE w:val="0"/>
              <w:autoSpaceDN w:val="0"/>
              <w:adjustRightInd w:val="0"/>
              <w:spacing w:before="0" w:beforeAutospacing="0" w:after="0" w:afterAutospacing="0" w:line="320" w:lineRule="exact"/>
              <w:ind w:left="0" w:leftChars="0" w:right="0" w:rightChars="0"/>
              <w:jc w:val="center"/>
              <w:rPr>
                <w:rFonts w:hint="eastAsia" w:ascii="宋体" w:hAnsi="宋体" w:eastAsia="宋体" w:cs="宋体"/>
                <w:kern w:val="0"/>
                <w:szCs w:val="21"/>
                <w:lang w:eastAsia="zh-CN"/>
              </w:rPr>
            </w:pPr>
            <w:r>
              <w:rPr>
                <w:rFonts w:hint="eastAsia" w:ascii="宋体" w:hAnsi="宋体" w:eastAsia="宋体" w:cs="宋体"/>
                <w:szCs w:val="21"/>
                <w:highlight w:val="none"/>
              </w:rPr>
              <w:t>企业履约能力</w:t>
            </w:r>
            <w:r>
              <w:rPr>
                <w:rFonts w:hint="eastAsia" w:ascii="宋体" w:hAnsi="宋体" w:cs="宋体"/>
                <w:kern w:val="0"/>
                <w:szCs w:val="21"/>
                <w:highlight w:val="none"/>
              </w:rPr>
              <w:t>（</w:t>
            </w:r>
            <w:r>
              <w:rPr>
                <w:rFonts w:hint="eastAsia" w:ascii="宋体" w:hAnsi="宋体" w:cs="宋体"/>
                <w:kern w:val="0"/>
                <w:szCs w:val="21"/>
                <w:highlight w:val="none"/>
                <w:lang w:val="en-US" w:eastAsia="zh-CN"/>
              </w:rPr>
              <w:t>5</w:t>
            </w:r>
            <w:r>
              <w:rPr>
                <w:rFonts w:hint="eastAsia" w:ascii="宋体" w:hAnsi="宋体" w:cs="宋体"/>
                <w:kern w:val="0"/>
                <w:szCs w:val="21"/>
                <w:highlight w:val="none"/>
              </w:rPr>
              <w:t>分）</w:t>
            </w:r>
          </w:p>
        </w:tc>
        <w:tc>
          <w:tcPr>
            <w:tcW w:w="5004" w:type="dxa"/>
            <w:tcBorders>
              <w:top w:val="single" w:color="auto" w:sz="4" w:space="0"/>
              <w:left w:val="single" w:color="auto" w:sz="4" w:space="0"/>
              <w:bottom w:val="single" w:color="auto" w:sz="4" w:space="0"/>
            </w:tcBorders>
            <w:noWrap w:val="0"/>
            <w:vAlign w:val="center"/>
          </w:tcPr>
          <w:p>
            <w:pPr>
              <w:keepNext w:val="0"/>
              <w:keepLines w:val="0"/>
              <w:numPr>
                <w:ilvl w:val="0"/>
                <w:numId w:val="0"/>
              </w:numPr>
              <w:suppressLineNumbers w:val="0"/>
              <w:bidi w:val="0"/>
              <w:spacing w:before="0" w:beforeAutospacing="0" w:after="0" w:afterAutospacing="0"/>
              <w:ind w:left="0" w:leftChars="0" w:right="0" w:rightChars="0" w:firstLine="420" w:firstLineChars="200"/>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w:t>
            </w:r>
            <w:r>
              <w:rPr>
                <w:rFonts w:hint="eastAsia" w:ascii="宋体" w:hAnsi="宋体" w:cs="宋体"/>
                <w:kern w:val="2"/>
                <w:sz w:val="21"/>
                <w:szCs w:val="21"/>
                <w:lang w:val="en-US" w:eastAsia="zh-CN" w:bidi="ar-SA"/>
              </w:rPr>
              <w:t>.</w:t>
            </w:r>
            <w:r>
              <w:rPr>
                <w:rFonts w:hint="eastAsia" w:ascii="宋体" w:hAnsi="宋体" w:cs="宋体"/>
                <w:szCs w:val="21"/>
              </w:rPr>
              <w:t>报价人提供交通运输部工程质量监督机构核发有效的《公路水运工程试验检测机构等级证书》公路工程综合甲级试验检测机构等级证书得</w:t>
            </w:r>
            <w:r>
              <w:rPr>
                <w:rFonts w:hint="eastAsia" w:ascii="宋体" w:hAnsi="宋体" w:cs="宋体"/>
                <w:szCs w:val="21"/>
                <w:lang w:val="en-US" w:eastAsia="zh-CN"/>
              </w:rPr>
              <w:t>3</w:t>
            </w:r>
            <w:r>
              <w:rPr>
                <w:rFonts w:hint="eastAsia" w:ascii="宋体" w:hAnsi="宋体" w:cs="宋体"/>
                <w:szCs w:val="21"/>
              </w:rPr>
              <w:t>分，未提供不得分</w:t>
            </w:r>
            <w:r>
              <w:rPr>
                <w:rFonts w:hint="eastAsia" w:ascii="宋体" w:hAnsi="宋体" w:cs="宋体"/>
                <w:szCs w:val="21"/>
                <w:lang w:eastAsia="zh-CN"/>
              </w:rPr>
              <w:t>。</w:t>
            </w:r>
          </w:p>
          <w:p>
            <w:pPr>
              <w:keepNext w:val="0"/>
              <w:keepLines w:val="0"/>
              <w:numPr>
                <w:ilvl w:val="0"/>
                <w:numId w:val="0"/>
              </w:numPr>
              <w:suppressLineNumbers w:val="0"/>
              <w:bidi w:val="0"/>
              <w:spacing w:before="0" w:beforeAutospacing="0" w:after="0" w:afterAutospacing="0"/>
              <w:ind w:left="0" w:leftChars="0" w:right="0" w:rightChars="0" w:firstLine="420" w:firstLineChars="200"/>
              <w:rPr>
                <w:rFonts w:hint="eastAsia" w:ascii="宋体" w:hAnsi="宋体" w:cs="宋体"/>
                <w:szCs w:val="21"/>
                <w:lang w:eastAsia="zh-CN"/>
              </w:rPr>
            </w:pPr>
            <w:r>
              <w:rPr>
                <w:rFonts w:hint="eastAsia" w:ascii="宋体" w:hAnsi="宋体" w:cs="宋体"/>
                <w:szCs w:val="21"/>
                <w:lang w:eastAsia="zh-CN"/>
              </w:rPr>
              <w:t>2.财务状况:近三个年度净利润均为正得2分，近三个年度有两个年度净利润为正得1分，近三个年度有一个年度净利润为正得0.5分，近三个年度净利润均为负或无财务报表不得分。</w:t>
            </w:r>
          </w:p>
          <w:p>
            <w:pPr>
              <w:keepNext w:val="0"/>
              <w:keepLines w:val="0"/>
              <w:numPr>
                <w:ilvl w:val="0"/>
                <w:numId w:val="0"/>
              </w:numPr>
              <w:suppressLineNumbers w:val="0"/>
              <w:bidi w:val="0"/>
              <w:spacing w:before="0" w:beforeAutospacing="0" w:after="0" w:afterAutospacing="0"/>
              <w:ind w:left="0" w:leftChars="0" w:right="0" w:rightChars="0" w:firstLine="420" w:firstLineChars="200"/>
              <w:rPr>
                <w:rFonts w:hint="default"/>
                <w:lang w:val="en-US" w:eastAsia="zh-CN"/>
              </w:rPr>
            </w:pPr>
            <w:r>
              <w:rPr>
                <w:rFonts w:hint="eastAsia" w:ascii="宋体" w:hAnsi="宋体" w:cs="宋体"/>
                <w:szCs w:val="21"/>
                <w:lang w:val="en-US" w:eastAsia="zh-CN"/>
              </w:rPr>
              <w:t>证明材料：提供有效期内的资质证书、及近三个年度财务报表（需包含净利润值的关键页）</w:t>
            </w:r>
            <w:r>
              <w:rPr>
                <w:rFonts w:hint="eastAsia" w:ascii="宋体" w:hAnsi="宋体" w:cs="宋体"/>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604" w:hRule="atLeast"/>
          <w:jc w:val="center"/>
        </w:trPr>
        <w:tc>
          <w:tcPr>
            <w:tcW w:w="900" w:type="dxa"/>
            <w:vMerge w:val="continue"/>
            <w:tcBorders>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left w:val="single" w:color="auto" w:sz="4" w:space="0"/>
              <w:right w:val="single" w:color="auto" w:sz="4" w:space="0"/>
            </w:tcBorders>
            <w:noWrap w:val="0"/>
            <w:vAlign w:val="center"/>
          </w:tcPr>
          <w:p>
            <w:pPr>
              <w:keepNext w:val="0"/>
              <w:keepLines w:val="0"/>
              <w:suppressLineNumbers w:val="0"/>
              <w:autoSpaceDE w:val="0"/>
              <w:autoSpaceDN w:val="0"/>
              <w:adjustRightInd w:val="0"/>
              <w:spacing w:before="0" w:beforeAutospacing="0" w:after="0" w:afterAutospacing="0" w:line="320" w:lineRule="exact"/>
              <w:ind w:left="0" w:right="0"/>
              <w:jc w:val="center"/>
              <w:rPr>
                <w:rFonts w:hint="eastAsia" w:ascii="宋体" w:hAnsi="宋体" w:cs="宋体"/>
                <w:kern w:val="0"/>
                <w:szCs w:val="21"/>
              </w:rPr>
            </w:pPr>
          </w:p>
        </w:tc>
        <w:tc>
          <w:tcPr>
            <w:tcW w:w="2117" w:type="dxa"/>
            <w:tcBorders>
              <w:top w:val="single" w:color="auto" w:sz="4" w:space="0"/>
              <w:left w:val="single" w:color="auto" w:sz="4" w:space="0"/>
              <w:bottom w:val="single" w:color="auto" w:sz="4" w:space="0"/>
            </w:tcBorders>
            <w:noWrap w:val="0"/>
            <w:vAlign w:val="center"/>
          </w:tcPr>
          <w:p>
            <w:pPr>
              <w:keepNext w:val="0"/>
              <w:keepLines w:val="0"/>
              <w:suppressLineNumbers w:val="0"/>
              <w:shd w:val="clear" w:color="auto" w:fill="auto"/>
              <w:spacing w:before="0" w:beforeAutospacing="0" w:after="0" w:afterAutospacing="0" w:line="320" w:lineRule="exact"/>
              <w:ind w:left="0" w:right="0"/>
              <w:jc w:val="center"/>
              <w:rPr>
                <w:rFonts w:hint="eastAsia" w:ascii="宋体" w:hAnsi="宋体" w:eastAsia="宋体" w:cs="宋体"/>
                <w:szCs w:val="21"/>
                <w:highlight w:val="none"/>
              </w:rPr>
            </w:pPr>
            <w:r>
              <w:rPr>
                <w:rFonts w:hint="eastAsia" w:ascii="宋体" w:hAnsi="宋体" w:eastAsia="宋体" w:cs="宋体"/>
                <w:szCs w:val="21"/>
                <w:highlight w:val="none"/>
              </w:rPr>
              <w:t>项目管理团队评价</w:t>
            </w:r>
          </w:p>
          <w:p>
            <w:pPr>
              <w:keepNext w:val="0"/>
              <w:keepLines w:val="0"/>
              <w:suppressLineNumbers w:val="0"/>
              <w:autoSpaceDE w:val="0"/>
              <w:autoSpaceDN w:val="0"/>
              <w:adjustRightInd w:val="0"/>
              <w:spacing w:before="0" w:beforeAutospacing="0" w:after="0" w:afterAutospacing="0" w:line="320" w:lineRule="exact"/>
              <w:ind w:left="0" w:leftChars="0" w:right="0" w:rightChars="0"/>
              <w:jc w:val="center"/>
              <w:rPr>
                <w:rFonts w:hint="eastAsia" w:ascii="宋体" w:hAnsi="宋体" w:cs="宋体"/>
                <w:kern w:val="0"/>
                <w:szCs w:val="21"/>
              </w:rPr>
            </w:pPr>
            <w:r>
              <w:rPr>
                <w:rFonts w:hint="eastAsia" w:ascii="宋体" w:hAnsi="宋体" w:eastAsia="宋体" w:cs="宋体"/>
                <w:szCs w:val="21"/>
                <w:highlight w:val="none"/>
              </w:rPr>
              <w:t>（</w:t>
            </w:r>
            <w:r>
              <w:rPr>
                <w:rFonts w:hint="eastAsia" w:ascii="宋体" w:hAnsi="宋体" w:cs="宋体"/>
                <w:szCs w:val="21"/>
                <w:highlight w:val="none"/>
                <w:lang w:val="en-US" w:eastAsia="zh-CN"/>
              </w:rPr>
              <w:t>10</w:t>
            </w:r>
            <w:r>
              <w:rPr>
                <w:rFonts w:hint="eastAsia" w:ascii="宋体" w:hAnsi="宋体" w:eastAsia="宋体" w:cs="宋体"/>
                <w:szCs w:val="21"/>
                <w:highlight w:val="none"/>
              </w:rPr>
              <w:t>分）</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autoSpaceDE w:val="0"/>
              <w:autoSpaceDN w:val="0"/>
              <w:adjustRightInd w:val="0"/>
              <w:spacing w:before="0" w:beforeAutospacing="0" w:after="0" w:afterAutospacing="0" w:line="320" w:lineRule="exact"/>
              <w:ind w:left="0" w:leftChars="0" w:right="0" w:rightChars="0" w:firstLine="420" w:firstLineChars="200"/>
              <w:jc w:val="left"/>
              <w:rPr>
                <w:rFonts w:hint="eastAsia" w:ascii="宋体" w:hAnsi="宋体" w:cs="宋体"/>
                <w:szCs w:val="21"/>
              </w:rPr>
            </w:pPr>
            <w:r>
              <w:rPr>
                <w:rFonts w:hint="eastAsia" w:ascii="宋体" w:hAnsi="宋体" w:cs="宋体"/>
                <w:szCs w:val="21"/>
              </w:rPr>
              <w:t>(1)项目负责人（6分）：</w:t>
            </w:r>
          </w:p>
          <w:p>
            <w:pPr>
              <w:keepNext w:val="0"/>
              <w:keepLines w:val="0"/>
              <w:suppressLineNumbers w:val="0"/>
              <w:autoSpaceDE w:val="0"/>
              <w:autoSpaceDN w:val="0"/>
              <w:adjustRightInd w:val="0"/>
              <w:spacing w:before="0" w:beforeAutospacing="0" w:after="0" w:afterAutospacing="0" w:line="320" w:lineRule="exact"/>
              <w:ind w:left="0" w:leftChars="0" w:right="0" w:rightChars="0" w:firstLine="420" w:firstLineChars="200"/>
              <w:jc w:val="left"/>
              <w:rPr>
                <w:rFonts w:hint="eastAsia" w:ascii="宋体" w:hAnsi="宋体" w:cs="宋体"/>
                <w:szCs w:val="21"/>
              </w:rPr>
            </w:pPr>
            <w:r>
              <w:rPr>
                <w:rFonts w:hint="eastAsia" w:ascii="宋体" w:hAnsi="宋体" w:cs="宋体"/>
                <w:szCs w:val="21"/>
              </w:rPr>
              <w:t>具备正高级职称证，持有试验检测工程师证书（桥隧专业或桥梁专业），同时具有一级注册结构工程师的，得6分</w:t>
            </w:r>
          </w:p>
          <w:p>
            <w:pPr>
              <w:keepNext w:val="0"/>
              <w:keepLines w:val="0"/>
              <w:suppressLineNumbers w:val="0"/>
              <w:autoSpaceDE w:val="0"/>
              <w:autoSpaceDN w:val="0"/>
              <w:adjustRightInd w:val="0"/>
              <w:spacing w:before="0" w:beforeAutospacing="0" w:after="0" w:afterAutospacing="0" w:line="320" w:lineRule="exact"/>
              <w:ind w:left="0" w:leftChars="0" w:right="0" w:rightChars="0" w:firstLine="420" w:firstLineChars="200"/>
              <w:jc w:val="left"/>
              <w:rPr>
                <w:rFonts w:hint="eastAsia" w:ascii="宋体" w:hAnsi="宋体" w:cs="宋体"/>
                <w:szCs w:val="21"/>
              </w:rPr>
            </w:pPr>
            <w:r>
              <w:rPr>
                <w:rFonts w:hint="eastAsia" w:ascii="宋体" w:hAnsi="宋体" w:cs="宋体"/>
                <w:szCs w:val="21"/>
              </w:rPr>
              <w:t>具备正高级职称证，持有试验检测工程师证书（桥隧专业或桥梁专业）得3分；</w:t>
            </w:r>
          </w:p>
          <w:p>
            <w:pPr>
              <w:keepNext w:val="0"/>
              <w:keepLines w:val="0"/>
              <w:suppressLineNumbers w:val="0"/>
              <w:autoSpaceDE w:val="0"/>
              <w:autoSpaceDN w:val="0"/>
              <w:adjustRightInd w:val="0"/>
              <w:spacing w:before="0" w:beforeAutospacing="0" w:after="0" w:afterAutospacing="0" w:line="320" w:lineRule="exact"/>
              <w:ind w:left="0" w:leftChars="0" w:right="0" w:rightChars="0" w:firstLine="420" w:firstLineChars="200"/>
              <w:jc w:val="left"/>
              <w:rPr>
                <w:rFonts w:hint="eastAsia" w:ascii="宋体" w:hAnsi="宋体" w:cs="宋体"/>
                <w:szCs w:val="21"/>
              </w:rPr>
            </w:pPr>
            <w:r>
              <w:rPr>
                <w:rFonts w:hint="eastAsia" w:ascii="宋体" w:hAnsi="宋体" w:cs="宋体"/>
                <w:szCs w:val="21"/>
              </w:rPr>
              <w:t>其余不得分，最高得6分。</w:t>
            </w:r>
          </w:p>
          <w:p>
            <w:pPr>
              <w:keepNext w:val="0"/>
              <w:keepLines w:val="0"/>
              <w:suppressLineNumbers w:val="0"/>
              <w:autoSpaceDE w:val="0"/>
              <w:autoSpaceDN w:val="0"/>
              <w:adjustRightInd w:val="0"/>
              <w:spacing w:before="0" w:beforeAutospacing="0" w:after="0" w:afterAutospacing="0" w:line="320" w:lineRule="exact"/>
              <w:ind w:left="0" w:leftChars="0" w:right="0" w:rightChars="0" w:firstLine="420" w:firstLineChars="200"/>
              <w:jc w:val="left"/>
              <w:rPr>
                <w:rFonts w:hint="eastAsia" w:ascii="宋体" w:hAnsi="宋体" w:cs="宋体"/>
                <w:szCs w:val="21"/>
              </w:rPr>
            </w:pPr>
            <w:r>
              <w:rPr>
                <w:rFonts w:hint="eastAsia" w:ascii="宋体" w:hAnsi="宋体" w:cs="宋体"/>
                <w:szCs w:val="21"/>
              </w:rPr>
              <w:t>(2)项目其他人员（4分）：</w:t>
            </w:r>
          </w:p>
          <w:p>
            <w:pPr>
              <w:keepNext w:val="0"/>
              <w:keepLines w:val="0"/>
              <w:suppressLineNumbers w:val="0"/>
              <w:autoSpaceDE w:val="0"/>
              <w:autoSpaceDN w:val="0"/>
              <w:adjustRightInd w:val="0"/>
              <w:spacing w:before="0" w:beforeAutospacing="0" w:after="0" w:afterAutospacing="0" w:line="320" w:lineRule="exact"/>
              <w:ind w:left="0" w:leftChars="0" w:right="0" w:rightChars="0" w:firstLine="420" w:firstLineChars="200"/>
              <w:jc w:val="left"/>
              <w:rPr>
                <w:rFonts w:hint="eastAsia" w:ascii="宋体" w:hAnsi="宋体" w:cs="宋体"/>
                <w:szCs w:val="21"/>
              </w:rPr>
            </w:pPr>
            <w:r>
              <w:rPr>
                <w:rFonts w:hint="eastAsia" w:ascii="宋体" w:hAnsi="宋体" w:cs="宋体"/>
                <w:szCs w:val="21"/>
              </w:rPr>
              <w:t>满足高级工程师及以上职称人员2名得基本分2分，每增加一名高级工程师及以上职称人员得1分；最高得4分。</w:t>
            </w:r>
          </w:p>
          <w:p>
            <w:pPr>
              <w:keepNext w:val="0"/>
              <w:keepLines w:val="0"/>
              <w:suppressLineNumbers w:val="0"/>
              <w:autoSpaceDE w:val="0"/>
              <w:autoSpaceDN w:val="0"/>
              <w:adjustRightInd w:val="0"/>
              <w:spacing w:before="0" w:beforeAutospacing="0" w:after="0" w:afterAutospacing="0" w:line="320" w:lineRule="exact"/>
              <w:ind w:left="0" w:leftChars="0" w:right="0" w:rightChars="0" w:firstLine="420" w:firstLineChars="200"/>
              <w:jc w:val="left"/>
              <w:rPr>
                <w:rFonts w:hint="eastAsia" w:ascii="宋体" w:hAnsi="宋体" w:cs="宋体"/>
                <w:szCs w:val="21"/>
              </w:rPr>
            </w:pPr>
            <w:r>
              <w:rPr>
                <w:rFonts w:hint="eastAsia" w:ascii="宋体" w:hAnsi="宋体" w:cs="宋体"/>
                <w:szCs w:val="21"/>
              </w:rPr>
              <w:t>评审依据：以上人员不能重复添加，人员团队需提供身份证证件照片、以上证书扫描件及近3个月有效社保证明材料（社保部门出具的证明材料或社保部门网站查询打印件加盖投标人公章）。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78" w:hRule="atLeast"/>
          <w:jc w:val="center"/>
        </w:trPr>
        <w:tc>
          <w:tcPr>
            <w:tcW w:w="900" w:type="dxa"/>
            <w:vMerge w:val="restart"/>
            <w:tcBorders>
              <w:top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8</w:t>
            </w:r>
          </w:p>
        </w:tc>
        <w:tc>
          <w:tcPr>
            <w:tcW w:w="1124" w:type="dxa"/>
            <w:vMerge w:val="restart"/>
            <w:tcBorders>
              <w:top w:val="single" w:color="auto" w:sz="4" w:space="0"/>
              <w:left w:val="single" w:color="auto" w:sz="4" w:space="0"/>
              <w:right w:val="single" w:color="auto" w:sz="4" w:space="0"/>
            </w:tcBorders>
            <w:noWrap w:val="0"/>
            <w:vAlign w:val="center"/>
          </w:tcPr>
          <w:p>
            <w:pPr>
              <w:keepNext w:val="0"/>
              <w:keepLines w:val="0"/>
              <w:suppressLineNumbers w:val="0"/>
              <w:autoSpaceDE w:val="0"/>
              <w:autoSpaceDN w:val="0"/>
              <w:adjustRightInd w:val="0"/>
              <w:spacing w:before="0" w:beforeAutospacing="0" w:after="0" w:afterAutospacing="0" w:line="320" w:lineRule="exact"/>
              <w:ind w:left="0" w:right="0"/>
              <w:jc w:val="center"/>
              <w:rPr>
                <w:rFonts w:hint="eastAsia"/>
              </w:rPr>
            </w:pPr>
            <w:r>
              <w:rPr>
                <w:rFonts w:hint="eastAsia" w:ascii="宋体" w:hAnsi="宋体" w:cs="宋体"/>
                <w:kern w:val="0"/>
                <w:szCs w:val="21"/>
              </w:rPr>
              <w:t>C.技术部分评分标准（</w:t>
            </w:r>
            <w:r>
              <w:rPr>
                <w:rFonts w:hint="eastAsia" w:ascii="宋体" w:hAnsi="宋体" w:cs="宋体"/>
                <w:kern w:val="0"/>
                <w:szCs w:val="21"/>
                <w:lang w:val="en-US" w:eastAsia="zh-CN"/>
              </w:rPr>
              <w:t>2</w:t>
            </w:r>
            <w:r>
              <w:rPr>
                <w:rFonts w:hint="eastAsia" w:ascii="宋体" w:hAnsi="宋体" w:cs="宋体"/>
                <w:kern w:val="0"/>
                <w:szCs w:val="21"/>
              </w:rPr>
              <w:t>0分）</w:t>
            </w:r>
          </w:p>
        </w:tc>
        <w:tc>
          <w:tcPr>
            <w:tcW w:w="2117"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320" w:lineRule="exact"/>
              <w:ind w:left="0" w:leftChars="0" w:right="0" w:rightChars="0"/>
              <w:jc w:val="center"/>
              <w:rPr>
                <w:rFonts w:hint="eastAsia"/>
              </w:rPr>
            </w:pPr>
            <w:r>
              <w:rPr>
                <w:rFonts w:hint="eastAsia" w:ascii="宋体" w:hAnsi="宋体" w:eastAsia="宋体" w:cs="宋体"/>
                <w:szCs w:val="21"/>
                <w:highlight w:val="none"/>
                <w:lang w:val="en-US" w:eastAsia="zh-CN"/>
              </w:rPr>
              <w:t>技术方案</w:t>
            </w:r>
            <w:r>
              <w:rPr>
                <w:rFonts w:hint="eastAsia" w:ascii="宋体" w:hAnsi="宋体" w:eastAsia="宋体" w:cs="宋体"/>
                <w:szCs w:val="21"/>
                <w:highlight w:val="none"/>
              </w:rPr>
              <w:t>（</w:t>
            </w:r>
            <w:r>
              <w:rPr>
                <w:rFonts w:hint="eastAsia" w:ascii="宋体" w:hAnsi="宋体" w:eastAsia="宋体" w:cs="宋体"/>
                <w:szCs w:val="21"/>
                <w:highlight w:val="none"/>
                <w:lang w:val="en-US" w:eastAsia="zh-CN"/>
              </w:rPr>
              <w:t>7</w:t>
            </w:r>
            <w:r>
              <w:rPr>
                <w:rFonts w:hint="eastAsia" w:ascii="宋体" w:hAnsi="宋体" w:eastAsia="宋体" w:cs="宋体"/>
                <w:szCs w:val="21"/>
                <w:highlight w:val="none"/>
              </w:rPr>
              <w:t>分）</w:t>
            </w:r>
          </w:p>
        </w:tc>
        <w:tc>
          <w:tcPr>
            <w:tcW w:w="5004" w:type="dxa"/>
            <w:tcBorders>
              <w:top w:val="single" w:color="auto" w:sz="4" w:space="0"/>
              <w:left w:val="single" w:color="auto" w:sz="4" w:space="0"/>
              <w:bottom w:val="single" w:color="auto" w:sz="4" w:space="0"/>
            </w:tcBorders>
            <w:noWrap w:val="0"/>
            <w:vAlign w:val="center"/>
          </w:tcPr>
          <w:p>
            <w:pPr>
              <w:pStyle w:val="16"/>
              <w:keepNext w:val="0"/>
              <w:keepLines w:val="0"/>
              <w:suppressLineNumbers w:val="0"/>
              <w:spacing w:before="0" w:beforeAutospacing="0" w:afterAutospacing="0"/>
              <w:ind w:left="0" w:right="0" w:firstLine="400" w:firstLineChars="200"/>
              <w:rPr>
                <w:rFonts w:hint="eastAsia"/>
                <w:szCs w:val="21"/>
              </w:rPr>
            </w:pPr>
            <w:r>
              <w:rPr>
                <w:rFonts w:hint="eastAsia"/>
                <w:szCs w:val="21"/>
              </w:rPr>
              <w:t>桥梁健康监测评估的流程和方法：包括数据采集、处理和分析，评估结果的解释和应用等流程的科学性、合理性、工作保障性等方面进行评分。</w:t>
            </w:r>
          </w:p>
          <w:p>
            <w:pPr>
              <w:pStyle w:val="16"/>
              <w:keepNext w:val="0"/>
              <w:keepLines w:val="0"/>
              <w:suppressLineNumbers w:val="0"/>
              <w:spacing w:before="0" w:beforeAutospacing="0" w:afterAutospacing="0"/>
              <w:ind w:left="0" w:right="0" w:firstLine="400" w:firstLineChars="200"/>
              <w:rPr>
                <w:rFonts w:hint="eastAsia"/>
                <w:szCs w:val="21"/>
              </w:rPr>
            </w:pPr>
            <w:r>
              <w:rPr>
                <w:rFonts w:hint="eastAsia"/>
                <w:szCs w:val="21"/>
              </w:rPr>
              <w:t>评分标准：满分为7分，优秀得7-5.6分，一般得5.59-4.2分，较差4.19-0分。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76" w:hRule="atLeast"/>
          <w:jc w:val="center"/>
        </w:trPr>
        <w:tc>
          <w:tcPr>
            <w:tcW w:w="900" w:type="dxa"/>
            <w:vMerge w:val="continue"/>
            <w:tcBorders>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left w:val="single" w:color="auto" w:sz="4" w:space="0"/>
              <w:right w:val="single" w:color="auto" w:sz="4" w:space="0"/>
            </w:tcBorders>
            <w:noWrap w:val="0"/>
            <w:vAlign w:val="center"/>
          </w:tcPr>
          <w:p>
            <w:pPr>
              <w:keepNext w:val="0"/>
              <w:keepLines w:val="0"/>
              <w:suppressLineNumbers w:val="0"/>
              <w:autoSpaceDE w:val="0"/>
              <w:autoSpaceDN w:val="0"/>
              <w:adjustRightInd w:val="0"/>
              <w:spacing w:before="0" w:beforeAutospacing="0" w:after="0" w:afterAutospacing="0" w:line="320" w:lineRule="exact"/>
              <w:ind w:left="0" w:right="0"/>
              <w:jc w:val="center"/>
              <w:rPr>
                <w:rFonts w:hint="eastAsia" w:ascii="宋体" w:hAnsi="宋体" w:cs="宋体"/>
                <w:kern w:val="0"/>
                <w:szCs w:val="21"/>
              </w:rPr>
            </w:pPr>
          </w:p>
        </w:tc>
        <w:tc>
          <w:tcPr>
            <w:tcW w:w="2117" w:type="dxa"/>
            <w:tcBorders>
              <w:top w:val="single" w:color="auto" w:sz="4" w:space="0"/>
              <w:left w:val="single" w:color="auto" w:sz="4" w:space="0"/>
              <w:bottom w:val="single" w:color="auto" w:sz="4" w:space="0"/>
            </w:tcBorders>
            <w:noWrap w:val="0"/>
            <w:vAlign w:val="center"/>
          </w:tcPr>
          <w:p>
            <w:pPr>
              <w:pStyle w:val="44"/>
              <w:keepNext w:val="0"/>
              <w:keepLines w:val="0"/>
              <w:suppressLineNumbers w:val="0"/>
              <w:spacing w:before="0" w:beforeAutospacing="0" w:afterAutospacing="0"/>
              <w:ind w:left="0" w:leftChars="0" w:right="0" w:rightChars="0" w:firstLine="0" w:firstLineChars="0"/>
              <w:jc w:val="center"/>
              <w:rPr>
                <w:rFonts w:hint="eastAsia" w:ascii="宋体" w:hAnsi="宋体" w:cs="宋体"/>
                <w:kern w:val="0"/>
                <w:szCs w:val="21"/>
              </w:rPr>
            </w:pPr>
            <w:r>
              <w:rPr>
                <w:rFonts w:hint="eastAsia" w:ascii="宋体" w:hAnsi="宋体" w:cs="宋体"/>
                <w:kern w:val="0"/>
                <w:szCs w:val="21"/>
              </w:rPr>
              <w:t>难点分析及对应措施（6分）</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ind w:left="0" w:leftChars="0" w:right="0" w:rightChars="0" w:firstLine="420" w:firstLineChars="200"/>
              <w:rPr>
                <w:rFonts w:hint="eastAsia"/>
                <w:szCs w:val="21"/>
              </w:rPr>
            </w:pPr>
            <w:r>
              <w:rPr>
                <w:rFonts w:hint="eastAsia"/>
                <w:szCs w:val="21"/>
              </w:rPr>
              <w:t>对检测服务工作的重点难点分析及对应措施的适用性、准确性、可行性及检测内容的全面性、针对性等方面进行评分。</w:t>
            </w:r>
          </w:p>
          <w:p>
            <w:pPr>
              <w:keepNext w:val="0"/>
              <w:keepLines w:val="0"/>
              <w:suppressLineNumbers w:val="0"/>
              <w:spacing w:before="0" w:beforeAutospacing="0" w:after="0" w:afterAutospacing="0"/>
              <w:ind w:left="0" w:leftChars="0" w:right="0" w:rightChars="0" w:firstLine="420" w:firstLineChars="200"/>
              <w:rPr>
                <w:rFonts w:hint="eastAsia"/>
                <w:szCs w:val="21"/>
              </w:rPr>
            </w:pPr>
            <w:r>
              <w:rPr>
                <w:rFonts w:hint="eastAsia"/>
                <w:szCs w:val="21"/>
              </w:rPr>
              <w:t>评分标准：满分为6分，优秀得6-4.8分，一般得4.79-3.6分，较差3.59-0分。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76" w:hRule="atLeast"/>
          <w:jc w:val="center"/>
        </w:trPr>
        <w:tc>
          <w:tcPr>
            <w:tcW w:w="900" w:type="dxa"/>
            <w:vMerge w:val="continue"/>
            <w:tcBorders>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left w:val="single" w:color="auto" w:sz="4" w:space="0"/>
              <w:right w:val="single" w:color="auto" w:sz="4" w:space="0"/>
            </w:tcBorders>
            <w:noWrap w:val="0"/>
            <w:vAlign w:val="center"/>
          </w:tcPr>
          <w:p>
            <w:pPr>
              <w:keepNext w:val="0"/>
              <w:keepLines w:val="0"/>
              <w:suppressLineNumbers w:val="0"/>
              <w:autoSpaceDE w:val="0"/>
              <w:autoSpaceDN w:val="0"/>
              <w:adjustRightInd w:val="0"/>
              <w:spacing w:before="0" w:beforeAutospacing="0" w:after="0" w:afterAutospacing="0" w:line="320" w:lineRule="exact"/>
              <w:ind w:left="0" w:right="0"/>
              <w:jc w:val="center"/>
              <w:rPr>
                <w:rFonts w:hint="eastAsia" w:ascii="宋体" w:hAnsi="宋体" w:cs="宋体"/>
                <w:kern w:val="0"/>
                <w:szCs w:val="21"/>
              </w:rPr>
            </w:pPr>
          </w:p>
        </w:tc>
        <w:tc>
          <w:tcPr>
            <w:tcW w:w="2117" w:type="dxa"/>
            <w:tcBorders>
              <w:top w:val="single" w:color="auto" w:sz="4" w:space="0"/>
              <w:left w:val="single" w:color="auto" w:sz="4" w:space="0"/>
              <w:bottom w:val="single" w:color="auto" w:sz="4" w:space="0"/>
            </w:tcBorders>
            <w:noWrap w:val="0"/>
            <w:vAlign w:val="center"/>
          </w:tcPr>
          <w:p>
            <w:pPr>
              <w:pStyle w:val="44"/>
              <w:keepNext w:val="0"/>
              <w:keepLines w:val="0"/>
              <w:suppressLineNumbers w:val="0"/>
              <w:spacing w:before="0" w:beforeAutospacing="0" w:afterAutospacing="0"/>
              <w:ind w:left="0" w:leftChars="0" w:right="0" w:rightChars="0" w:firstLine="0" w:firstLineChars="0"/>
              <w:jc w:val="center"/>
              <w:rPr>
                <w:rFonts w:hint="eastAsia" w:ascii="宋体" w:hAnsi="宋体" w:cs="宋体"/>
                <w:kern w:val="0"/>
                <w:szCs w:val="21"/>
              </w:rPr>
            </w:pPr>
            <w:r>
              <w:rPr>
                <w:rFonts w:hint="eastAsia" w:ascii="宋体" w:hAnsi="宋体" w:cs="宋体"/>
                <w:kern w:val="0"/>
                <w:szCs w:val="21"/>
              </w:rPr>
              <w:t>桥梁监测报告编制设计（7分）</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ind w:left="0" w:leftChars="0" w:right="0" w:rightChars="0" w:firstLine="420" w:firstLineChars="200"/>
              <w:rPr>
                <w:rFonts w:hint="eastAsia"/>
                <w:szCs w:val="21"/>
              </w:rPr>
            </w:pPr>
            <w:r>
              <w:rPr>
                <w:rFonts w:hint="eastAsia"/>
                <w:szCs w:val="21"/>
              </w:rPr>
              <w:t>针对该项目特点</w:t>
            </w:r>
            <w:bookmarkStart w:id="271" w:name="_GoBack"/>
            <w:bookmarkEnd w:id="271"/>
            <w:r>
              <w:rPr>
                <w:rFonts w:hint="eastAsia"/>
                <w:szCs w:val="21"/>
              </w:rPr>
              <w:t>，依据规范设计编制桥梁监测报告模板。桥梁监测报告要有一定的科学性、合理性。</w:t>
            </w:r>
          </w:p>
          <w:p>
            <w:pPr>
              <w:keepNext w:val="0"/>
              <w:keepLines w:val="0"/>
              <w:suppressLineNumbers w:val="0"/>
              <w:spacing w:before="0" w:beforeAutospacing="0" w:after="0" w:afterAutospacing="0"/>
              <w:ind w:left="0" w:leftChars="0" w:right="0" w:rightChars="0" w:firstLine="420" w:firstLineChars="200"/>
              <w:rPr>
                <w:rFonts w:hint="eastAsia"/>
                <w:szCs w:val="21"/>
              </w:rPr>
            </w:pPr>
            <w:r>
              <w:rPr>
                <w:rFonts w:hint="eastAsia"/>
                <w:szCs w:val="21"/>
              </w:rPr>
              <w:t>评分标准：满分为7分，优秀得7-5.6分，一般得5.59-4.2分，较差4.19-0分。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9</w:t>
            </w:r>
          </w:p>
        </w:tc>
        <w:tc>
          <w:tcPr>
            <w:tcW w:w="11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utoSpaceDE w:val="0"/>
              <w:autoSpaceDN w:val="0"/>
              <w:adjustRightInd w:val="0"/>
              <w:spacing w:before="0" w:beforeAutospacing="0" w:after="0" w:afterAutospacing="0" w:line="320" w:lineRule="exact"/>
              <w:ind w:left="0" w:right="0"/>
              <w:jc w:val="center"/>
              <w:rPr>
                <w:rFonts w:hint="eastAsia" w:ascii="宋体" w:hAnsi="宋体" w:cs="宋体"/>
                <w:kern w:val="0"/>
                <w:szCs w:val="21"/>
              </w:rPr>
            </w:pPr>
            <w:r>
              <w:rPr>
                <w:rFonts w:hint="eastAsia" w:ascii="宋体" w:hAnsi="宋体" w:cs="宋体"/>
                <w:kern w:val="0"/>
                <w:szCs w:val="21"/>
              </w:rPr>
              <w:t>评标</w:t>
            </w:r>
          </w:p>
          <w:p>
            <w:pPr>
              <w:keepNext w:val="0"/>
              <w:keepLines w:val="0"/>
              <w:suppressLineNumbers w:val="0"/>
              <w:autoSpaceDE w:val="0"/>
              <w:autoSpaceDN w:val="0"/>
              <w:adjustRightInd w:val="0"/>
              <w:spacing w:before="0" w:beforeAutospacing="0" w:after="0" w:afterAutospacing="0" w:line="320" w:lineRule="exact"/>
              <w:ind w:left="0" w:right="0"/>
              <w:jc w:val="center"/>
              <w:rPr>
                <w:rFonts w:hint="eastAsia"/>
              </w:rPr>
            </w:pPr>
            <w:r>
              <w:rPr>
                <w:rFonts w:hint="eastAsia" w:ascii="宋体" w:hAnsi="宋体" w:cs="宋体"/>
                <w:kern w:val="0"/>
                <w:szCs w:val="21"/>
              </w:rPr>
              <w:t>程序</w:t>
            </w:r>
          </w:p>
        </w:tc>
        <w:tc>
          <w:tcPr>
            <w:tcW w:w="7121" w:type="dxa"/>
            <w:gridSpan w:val="2"/>
            <w:tcBorders>
              <w:top w:val="single" w:color="auto" w:sz="4" w:space="0"/>
              <w:left w:val="single" w:color="auto" w:sz="4" w:space="0"/>
              <w:bottom w:val="single" w:color="auto" w:sz="4" w:space="0"/>
            </w:tcBorders>
            <w:noWrap w:val="0"/>
            <w:vAlign w:val="center"/>
          </w:tcPr>
          <w:p>
            <w:pPr>
              <w:pStyle w:val="16"/>
              <w:keepNext w:val="0"/>
              <w:keepLines w:val="0"/>
              <w:suppressLineNumbers w:val="0"/>
              <w:spacing w:before="0" w:beforeAutospacing="0" w:after="0" w:afterAutospacing="0" w:line="320" w:lineRule="exact"/>
              <w:ind w:left="0" w:right="0" w:firstLine="420"/>
              <w:rPr>
                <w:rFonts w:hint="eastAsia"/>
                <w:highlight w:val="none"/>
              </w:rPr>
            </w:pPr>
            <w:r>
              <w:rPr>
                <w:rFonts w:hint="eastAsia"/>
                <w:highlight w:val="none"/>
              </w:rPr>
              <w:t xml:space="preserve">1.按本章评标办法第2.1款、2.2款及2.3款进行初步评审，未通过初步评审或评标委员会认定为无效的投标文件的不再进行后续评审。 </w:t>
            </w:r>
          </w:p>
          <w:p>
            <w:pPr>
              <w:pStyle w:val="16"/>
              <w:keepNext w:val="0"/>
              <w:keepLines w:val="0"/>
              <w:suppressLineNumbers w:val="0"/>
              <w:spacing w:before="0" w:beforeAutospacing="0" w:after="0" w:afterAutospacing="0" w:line="320" w:lineRule="exact"/>
              <w:ind w:left="0" w:right="0" w:firstLine="420"/>
              <w:rPr>
                <w:rFonts w:hint="eastAsia"/>
                <w:highlight w:val="none"/>
              </w:rPr>
            </w:pPr>
            <w:r>
              <w:rPr>
                <w:rFonts w:hint="eastAsia"/>
                <w:highlight w:val="none"/>
              </w:rPr>
              <w:t>2.按本章评标办法前附表第3.1款的规定进行报价投标报价部分评审；</w:t>
            </w:r>
          </w:p>
          <w:p>
            <w:pPr>
              <w:pStyle w:val="16"/>
              <w:keepNext w:val="0"/>
              <w:keepLines w:val="0"/>
              <w:suppressLineNumbers w:val="0"/>
              <w:spacing w:before="0" w:beforeAutospacing="0" w:after="0" w:afterAutospacing="0" w:line="320" w:lineRule="exact"/>
              <w:ind w:left="0" w:right="0" w:firstLine="420"/>
              <w:rPr>
                <w:rFonts w:hint="eastAsia"/>
                <w:highlight w:val="none"/>
              </w:rPr>
            </w:pPr>
            <w:r>
              <w:rPr>
                <w:rFonts w:hint="eastAsia"/>
                <w:highlight w:val="none"/>
              </w:rPr>
              <w:t>3.按本章评标办法前附表第3.2款的规定进行商务部分的评审；</w:t>
            </w:r>
          </w:p>
          <w:p>
            <w:pPr>
              <w:pStyle w:val="16"/>
              <w:keepNext w:val="0"/>
              <w:keepLines w:val="0"/>
              <w:suppressLineNumbers w:val="0"/>
              <w:spacing w:before="0" w:beforeAutospacing="0" w:after="0" w:afterAutospacing="0" w:line="320" w:lineRule="exact"/>
              <w:ind w:left="0" w:right="0" w:firstLine="420"/>
              <w:rPr>
                <w:rFonts w:hint="eastAsia"/>
                <w:highlight w:val="none"/>
              </w:rPr>
            </w:pPr>
            <w:r>
              <w:rPr>
                <w:rFonts w:hint="eastAsia"/>
                <w:highlight w:val="none"/>
              </w:rPr>
              <w:t>4.按本章评标办法前附表第 3.3款的规定进行技术部分的评审；</w:t>
            </w:r>
          </w:p>
          <w:p>
            <w:pPr>
              <w:pStyle w:val="16"/>
              <w:keepNext w:val="0"/>
              <w:keepLines w:val="0"/>
              <w:suppressLineNumbers w:val="0"/>
              <w:spacing w:before="0" w:beforeAutospacing="0" w:after="0" w:afterAutospacing="0" w:line="320" w:lineRule="exact"/>
              <w:ind w:left="0" w:right="0" w:firstLine="420"/>
              <w:rPr>
                <w:rFonts w:hint="eastAsia"/>
                <w:highlight w:val="none"/>
              </w:rPr>
            </w:pPr>
            <w:r>
              <w:rPr>
                <w:rFonts w:hint="eastAsia"/>
                <w:highlight w:val="none"/>
              </w:rPr>
              <w:t xml:space="preserve">5.因评标委员会作否决投标处理导致有效投标人不足三个的，评标委员会 应当否决所有投标。但是有效投标人的经济、技术等指标仍然具有市场竞争力， 能够满足采购文件要求的，评标委员会可以继续评标并确定中标候选人。 </w:t>
            </w:r>
          </w:p>
          <w:p>
            <w:pPr>
              <w:pStyle w:val="16"/>
              <w:keepNext w:val="0"/>
              <w:keepLines w:val="0"/>
              <w:suppressLineNumbers w:val="0"/>
              <w:spacing w:before="0" w:beforeAutospacing="0" w:afterAutospacing="0"/>
              <w:ind w:left="0" w:right="0" w:firstLine="420" w:firstLineChars="200"/>
              <w:rPr>
                <w:rFonts w:hint="default" w:eastAsia="宋体"/>
                <w:lang w:val="en-US" w:eastAsia="zh-CN"/>
              </w:rPr>
            </w:pPr>
            <w:r>
              <w:rPr>
                <w:rFonts w:hint="eastAsia"/>
                <w:kern w:val="2"/>
                <w:sz w:val="21"/>
                <w:highlight w:val="none"/>
              </w:rPr>
              <w:t>6.对技术部分、商务部分、投标总报价得分进行汇总，确定得分由高至低前 2名投标人为中标候选人。</w:t>
            </w:r>
            <w:r>
              <w:rPr>
                <w:rFonts w:hint="eastAsia"/>
                <w:highlight w:val="none"/>
              </w:rPr>
              <w:t xml:space="preserve"> </w:t>
            </w:r>
            <w:r>
              <w:rPr>
                <w:rFonts w:hint="eastAsia"/>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10</w:t>
            </w:r>
          </w:p>
        </w:tc>
        <w:tc>
          <w:tcPr>
            <w:tcW w:w="11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41" w:lineRule="exact"/>
              <w:ind w:left="0" w:right="0"/>
              <w:jc w:val="center"/>
              <w:rPr>
                <w:rFonts w:hint="eastAsia"/>
              </w:rPr>
            </w:pPr>
            <w:r>
              <w:rPr>
                <w:rFonts w:hint="eastAsia" w:ascii="宋体" w:hAnsi="宋体" w:cs="宋体"/>
                <w:szCs w:val="21"/>
              </w:rPr>
              <w:t>报价人得分</w:t>
            </w:r>
          </w:p>
        </w:tc>
        <w:tc>
          <w:tcPr>
            <w:tcW w:w="7121" w:type="dxa"/>
            <w:gridSpan w:val="2"/>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ind w:left="0" w:right="0" w:firstLine="420"/>
              <w:jc w:val="center"/>
              <w:rPr>
                <w:rFonts w:hint="eastAsia"/>
              </w:rPr>
            </w:pPr>
            <w:r>
              <w:rPr>
                <w:rFonts w:hint="eastAsia" w:ascii="宋体" w:hAnsi="宋体" w:cs="宋体"/>
                <w:szCs w:val="21"/>
              </w:rPr>
              <w:t>报价人得分=A+B+C</w:t>
            </w:r>
          </w:p>
        </w:tc>
      </w:tr>
    </w:tbl>
    <w:p>
      <w:pPr>
        <w:pStyle w:val="8"/>
        <w:spacing w:line="418" w:lineRule="exact"/>
        <w:ind w:left="0" w:firstLine="0"/>
        <w:outlineLvl w:val="1"/>
        <w:rPr>
          <w:rFonts w:ascii="宋体" w:hAnsi="宋体" w:eastAsia="宋体" w:cs="宋体"/>
          <w:kern w:val="2"/>
          <w:sz w:val="21"/>
          <w:szCs w:val="21"/>
        </w:rPr>
      </w:pPr>
      <w:r>
        <w:rPr>
          <w:rFonts w:hint="eastAsia" w:ascii="宋体" w:hAnsi="宋体" w:eastAsia="宋体" w:cs="宋体"/>
          <w:kern w:val="2"/>
          <w:sz w:val="21"/>
          <w:szCs w:val="21"/>
        </w:rPr>
        <w:t xml:space="preserve">1. 评标方法 </w:t>
      </w:r>
    </w:p>
    <w:p>
      <w:pPr>
        <w:pStyle w:val="16"/>
        <w:spacing w:before="119" w:line="352" w:lineRule="auto"/>
        <w:ind w:firstLine="420" w:firstLineChars="200"/>
        <w:rPr>
          <w:rFonts w:ascii="宋体" w:hAnsi="宋体" w:cs="宋体"/>
          <w:kern w:val="2"/>
          <w:sz w:val="21"/>
          <w:szCs w:val="21"/>
        </w:rPr>
      </w:pPr>
      <w:r>
        <w:rPr>
          <w:rFonts w:hint="eastAsia" w:ascii="宋体" w:hAnsi="宋体" w:cs="宋体"/>
          <w:kern w:val="2"/>
          <w:sz w:val="21"/>
          <w:szCs w:val="21"/>
        </w:rPr>
        <w:t>本次评标采用综合评分法。评标委员会按照本章评标办法前附表规定的评分标准进行打分，按得分由高到低顺序推荐中标候选人，若出现</w:t>
      </w:r>
      <w:r>
        <w:rPr>
          <w:rFonts w:hint="eastAsia" w:ascii="宋体" w:hAnsi="宋体" w:cs="宋体"/>
          <w:kern w:val="2"/>
          <w:sz w:val="21"/>
          <w:szCs w:val="21"/>
          <w:lang w:eastAsia="zh-CN"/>
        </w:rPr>
        <w:t>报价人</w:t>
      </w:r>
      <w:r>
        <w:rPr>
          <w:rFonts w:hint="eastAsia" w:ascii="宋体" w:hAnsi="宋体" w:cs="宋体"/>
          <w:kern w:val="2"/>
          <w:sz w:val="21"/>
          <w:szCs w:val="21"/>
        </w:rPr>
        <w:t xml:space="preserve">投标报价相同的，以评标办法前附表约定的原则确定排序。 </w:t>
      </w:r>
    </w:p>
    <w:p>
      <w:pPr>
        <w:pStyle w:val="8"/>
        <w:spacing w:before="56"/>
        <w:outlineLvl w:val="1"/>
        <w:rPr>
          <w:rFonts w:ascii="宋体" w:hAnsi="宋体" w:eastAsia="宋体" w:cs="宋体"/>
          <w:kern w:val="2"/>
          <w:sz w:val="21"/>
          <w:szCs w:val="21"/>
        </w:rPr>
      </w:pPr>
      <w:bookmarkStart w:id="130" w:name="2._评审标准"/>
      <w:bookmarkEnd w:id="130"/>
      <w:r>
        <w:rPr>
          <w:rFonts w:hint="eastAsia" w:ascii="宋体" w:hAnsi="宋体" w:eastAsia="宋体" w:cs="宋体"/>
          <w:kern w:val="2"/>
          <w:sz w:val="21"/>
          <w:szCs w:val="21"/>
        </w:rPr>
        <w:t xml:space="preserve">2. 评审标准 </w:t>
      </w:r>
    </w:p>
    <w:p>
      <w:pPr>
        <w:spacing w:before="156"/>
        <w:ind w:left="106"/>
        <w:outlineLvl w:val="2"/>
        <w:rPr>
          <w:rFonts w:ascii="宋体" w:hAnsi="宋体" w:cs="宋体"/>
          <w:szCs w:val="21"/>
        </w:rPr>
      </w:pPr>
      <w:bookmarkStart w:id="131" w:name="2.1_初步评审标准"/>
      <w:bookmarkEnd w:id="131"/>
      <w:r>
        <w:rPr>
          <w:rFonts w:hint="eastAsia" w:ascii="宋体" w:hAnsi="宋体" w:cs="宋体"/>
          <w:szCs w:val="21"/>
        </w:rPr>
        <w:t xml:space="preserve">2.1 初步评审标准 </w:t>
      </w:r>
    </w:p>
    <w:p>
      <w:pPr>
        <w:pStyle w:val="16"/>
        <w:spacing w:before="61"/>
        <w:ind w:left="647"/>
        <w:rPr>
          <w:rFonts w:ascii="宋体" w:hAnsi="宋体" w:cs="宋体"/>
          <w:caps/>
          <w:kern w:val="2"/>
          <w:sz w:val="21"/>
          <w:szCs w:val="21"/>
        </w:rPr>
      </w:pPr>
      <w:r>
        <w:rPr>
          <w:rFonts w:hint="eastAsia" w:ascii="宋体" w:hAnsi="宋体" w:cs="宋体"/>
          <w:caps/>
          <w:kern w:val="2"/>
          <w:sz w:val="21"/>
          <w:szCs w:val="21"/>
        </w:rPr>
        <w:t xml:space="preserve">2.1.1 资格评审标准：见评标办法前附表。 </w:t>
      </w:r>
    </w:p>
    <w:p>
      <w:pPr>
        <w:pStyle w:val="16"/>
        <w:spacing w:before="130"/>
        <w:ind w:left="647"/>
        <w:rPr>
          <w:rFonts w:ascii="宋体" w:hAnsi="宋体" w:cs="宋体"/>
          <w:caps/>
          <w:kern w:val="2"/>
          <w:sz w:val="21"/>
          <w:szCs w:val="21"/>
        </w:rPr>
      </w:pPr>
      <w:r>
        <w:rPr>
          <w:rFonts w:hint="eastAsia" w:ascii="宋体" w:hAnsi="宋体" w:cs="宋体"/>
          <w:caps/>
          <w:kern w:val="2"/>
          <w:sz w:val="21"/>
          <w:szCs w:val="21"/>
        </w:rPr>
        <w:t xml:space="preserve">2.1.2 形式评审标准：见评标办法前附表。 </w:t>
      </w:r>
    </w:p>
    <w:p>
      <w:pPr>
        <w:pStyle w:val="16"/>
        <w:spacing w:before="130"/>
        <w:ind w:left="647"/>
        <w:rPr>
          <w:rFonts w:ascii="宋体" w:hAnsi="宋体" w:cs="宋体"/>
          <w:caps/>
          <w:kern w:val="2"/>
          <w:sz w:val="21"/>
          <w:szCs w:val="21"/>
        </w:rPr>
      </w:pPr>
      <w:r>
        <w:rPr>
          <w:rFonts w:hint="eastAsia" w:ascii="宋体" w:hAnsi="宋体" w:cs="宋体"/>
          <w:caps/>
          <w:kern w:val="2"/>
          <w:sz w:val="21"/>
          <w:szCs w:val="21"/>
        </w:rPr>
        <w:t xml:space="preserve">2.1.3 响应性评审标准：见评标办法前附表。 </w:t>
      </w:r>
    </w:p>
    <w:p>
      <w:pPr>
        <w:rPr>
          <w:rFonts w:ascii="宋体" w:hAnsi="宋体" w:cs="宋体"/>
          <w:caps/>
          <w:szCs w:val="21"/>
        </w:rPr>
      </w:pPr>
    </w:p>
    <w:p>
      <w:pPr>
        <w:ind w:left="106"/>
        <w:outlineLvl w:val="2"/>
        <w:rPr>
          <w:rFonts w:ascii="宋体" w:hAnsi="宋体" w:cs="宋体"/>
          <w:caps/>
          <w:szCs w:val="21"/>
        </w:rPr>
      </w:pPr>
      <w:bookmarkStart w:id="132" w:name="2.2_分值构成与评分标准"/>
      <w:bookmarkEnd w:id="132"/>
      <w:r>
        <w:rPr>
          <w:rFonts w:hint="eastAsia" w:ascii="宋体" w:hAnsi="宋体" w:cs="宋体"/>
          <w:caps/>
          <w:szCs w:val="21"/>
        </w:rPr>
        <w:t xml:space="preserve">2.2 分值构成与评分标准 </w:t>
      </w:r>
    </w:p>
    <w:p>
      <w:pPr>
        <w:pStyle w:val="16"/>
        <w:spacing w:before="62"/>
        <w:ind w:left="632"/>
        <w:rPr>
          <w:rFonts w:ascii="宋体" w:hAnsi="宋体" w:cs="宋体"/>
          <w:caps/>
          <w:kern w:val="2"/>
          <w:sz w:val="21"/>
          <w:szCs w:val="21"/>
        </w:rPr>
      </w:pPr>
      <w:r>
        <w:rPr>
          <w:rFonts w:hint="eastAsia" w:ascii="宋体" w:hAnsi="宋体" w:cs="宋体"/>
          <w:caps/>
          <w:kern w:val="2"/>
          <w:sz w:val="21"/>
          <w:szCs w:val="21"/>
        </w:rPr>
        <w:t xml:space="preserve">2.2.1 分值构成 </w:t>
      </w:r>
    </w:p>
    <w:p>
      <w:pPr>
        <w:pStyle w:val="16"/>
        <w:spacing w:before="130"/>
        <w:ind w:left="526"/>
        <w:rPr>
          <w:rFonts w:ascii="宋体" w:hAnsi="宋体" w:cs="宋体"/>
          <w:caps/>
          <w:kern w:val="2"/>
          <w:sz w:val="21"/>
          <w:szCs w:val="21"/>
        </w:rPr>
      </w:pPr>
      <w:r>
        <w:rPr>
          <w:rFonts w:hint="eastAsia" w:ascii="宋体" w:hAnsi="宋体" w:cs="宋体"/>
          <w:caps/>
          <w:kern w:val="2"/>
          <w:sz w:val="21"/>
          <w:szCs w:val="21"/>
        </w:rPr>
        <w:t xml:space="preserve">（1）技术部分：见评标办法前附表； </w:t>
      </w:r>
    </w:p>
    <w:p>
      <w:pPr>
        <w:pStyle w:val="16"/>
        <w:spacing w:before="145"/>
        <w:ind w:left="526"/>
        <w:rPr>
          <w:rFonts w:ascii="宋体" w:hAnsi="宋体" w:cs="宋体"/>
          <w:caps/>
          <w:kern w:val="2"/>
          <w:sz w:val="21"/>
          <w:szCs w:val="21"/>
        </w:rPr>
      </w:pPr>
      <w:r>
        <w:rPr>
          <w:rFonts w:hint="eastAsia" w:ascii="宋体" w:hAnsi="宋体" w:cs="宋体"/>
          <w:caps/>
          <w:kern w:val="2"/>
          <w:sz w:val="21"/>
          <w:szCs w:val="21"/>
        </w:rPr>
        <w:t xml:space="preserve">（2）商务部分：见评标办法前附表； </w:t>
      </w:r>
    </w:p>
    <w:p>
      <w:pPr>
        <w:pStyle w:val="16"/>
        <w:spacing w:before="29" w:line="367" w:lineRule="auto"/>
        <w:ind w:firstLine="526"/>
        <w:rPr>
          <w:rFonts w:ascii="宋体" w:hAnsi="宋体" w:cs="宋体"/>
          <w:caps/>
          <w:kern w:val="2"/>
          <w:sz w:val="21"/>
          <w:szCs w:val="21"/>
        </w:rPr>
      </w:pPr>
      <w:r>
        <w:rPr>
          <w:rFonts w:hint="eastAsia" w:ascii="宋体" w:hAnsi="宋体" w:cs="宋体"/>
          <w:caps/>
          <w:kern w:val="2"/>
          <w:sz w:val="21"/>
          <w:szCs w:val="21"/>
        </w:rPr>
        <w:t>（3）投标总报价：见评标办法前附表。</w:t>
      </w:r>
    </w:p>
    <w:p>
      <w:pPr>
        <w:pStyle w:val="16"/>
        <w:spacing w:before="145" w:line="355" w:lineRule="auto"/>
        <w:ind w:left="632" w:right="5004" w:hanging="106"/>
        <w:rPr>
          <w:rFonts w:ascii="宋体" w:hAnsi="宋体" w:cs="宋体"/>
          <w:caps/>
          <w:kern w:val="2"/>
          <w:sz w:val="21"/>
          <w:szCs w:val="21"/>
        </w:rPr>
      </w:pPr>
      <w:r>
        <w:rPr>
          <w:rFonts w:hint="eastAsia" w:ascii="宋体" w:hAnsi="宋体" w:cs="宋体"/>
          <w:caps/>
          <w:kern w:val="2"/>
          <w:sz w:val="21"/>
          <w:szCs w:val="21"/>
        </w:rPr>
        <w:t xml:space="preserve"> 2.2.2 评审标准 </w:t>
      </w:r>
    </w:p>
    <w:p>
      <w:pPr>
        <w:pStyle w:val="16"/>
        <w:spacing w:before="29" w:line="367" w:lineRule="auto"/>
        <w:ind w:firstLine="526"/>
        <w:rPr>
          <w:rFonts w:ascii="宋体" w:hAnsi="宋体" w:cs="宋体"/>
          <w:caps/>
          <w:kern w:val="2"/>
          <w:sz w:val="21"/>
          <w:szCs w:val="21"/>
        </w:rPr>
      </w:pPr>
      <w:r>
        <w:rPr>
          <w:rFonts w:hint="eastAsia" w:ascii="宋体" w:hAnsi="宋体" w:cs="宋体"/>
          <w:caps/>
          <w:kern w:val="2"/>
          <w:sz w:val="21"/>
          <w:szCs w:val="21"/>
        </w:rPr>
        <w:t>（1）技术部分评分标准：见评标办法前附表；（对于施工难度大、专业技术复杂的项目，应由</w:t>
      </w:r>
      <w:r>
        <w:rPr>
          <w:rFonts w:hint="eastAsia" w:ascii="宋体" w:hAnsi="宋体" w:cs="宋体"/>
          <w:caps/>
          <w:kern w:val="2"/>
          <w:sz w:val="21"/>
          <w:szCs w:val="21"/>
          <w:lang w:eastAsia="zh-CN"/>
        </w:rPr>
        <w:t>采购人</w:t>
      </w:r>
      <w:r>
        <w:rPr>
          <w:rFonts w:hint="eastAsia" w:ascii="宋体" w:hAnsi="宋体" w:cs="宋体"/>
          <w:caps/>
          <w:kern w:val="2"/>
          <w:sz w:val="21"/>
          <w:szCs w:val="21"/>
        </w:rPr>
        <w:t xml:space="preserve">会同设计单位提出技术方案方案编写要点，作为评分标准）。 </w:t>
      </w:r>
    </w:p>
    <w:p>
      <w:pPr>
        <w:pStyle w:val="16"/>
        <w:spacing w:before="19"/>
        <w:ind w:left="647"/>
        <w:rPr>
          <w:rFonts w:ascii="宋体" w:hAnsi="宋体" w:cs="宋体"/>
          <w:caps/>
          <w:kern w:val="2"/>
          <w:sz w:val="21"/>
          <w:szCs w:val="21"/>
        </w:rPr>
      </w:pPr>
      <w:r>
        <w:rPr>
          <w:rFonts w:hint="eastAsia" w:ascii="宋体" w:hAnsi="宋体" w:cs="宋体"/>
          <w:caps/>
          <w:kern w:val="2"/>
          <w:sz w:val="21"/>
          <w:szCs w:val="21"/>
        </w:rPr>
        <w:t xml:space="preserve">（2） 商务部分评分标准：见评标办法前附表； </w:t>
      </w:r>
    </w:p>
    <w:p>
      <w:pPr>
        <w:pStyle w:val="16"/>
        <w:spacing w:before="130" w:line="360" w:lineRule="auto"/>
        <w:ind w:left="647" w:right="2891"/>
        <w:rPr>
          <w:rFonts w:ascii="宋体" w:hAnsi="宋体" w:cs="宋体"/>
          <w:caps/>
          <w:kern w:val="2"/>
          <w:sz w:val="21"/>
          <w:szCs w:val="21"/>
        </w:rPr>
      </w:pPr>
      <w:r>
        <w:rPr>
          <w:rFonts w:hint="eastAsia" w:ascii="宋体" w:hAnsi="宋体" w:cs="宋体"/>
          <w:caps/>
          <w:kern w:val="2"/>
          <w:sz w:val="21"/>
          <w:szCs w:val="21"/>
        </w:rPr>
        <w:t xml:space="preserve">（3） 报价评审标准：见评标办法前附表； </w:t>
      </w:r>
    </w:p>
    <w:p>
      <w:pPr>
        <w:pStyle w:val="16"/>
        <w:spacing w:before="119" w:line="352" w:lineRule="auto"/>
        <w:ind w:firstLine="420"/>
        <w:rPr>
          <w:rFonts w:ascii="宋体" w:hAnsi="宋体" w:cs="宋体"/>
          <w:caps/>
          <w:kern w:val="2"/>
          <w:sz w:val="21"/>
          <w:szCs w:val="21"/>
        </w:rPr>
      </w:pPr>
      <w:r>
        <w:rPr>
          <w:rFonts w:hint="eastAsia" w:ascii="宋体" w:hAnsi="宋体" w:cs="宋体"/>
          <w:caps/>
          <w:kern w:val="2"/>
          <w:sz w:val="21"/>
          <w:szCs w:val="21"/>
        </w:rPr>
        <w:t xml:space="preserve">2.2.3 评标基准价计算 评标基准价的计算方法：见评标办法前附表。 </w:t>
      </w:r>
    </w:p>
    <w:p>
      <w:pPr>
        <w:pStyle w:val="16"/>
        <w:spacing w:before="119" w:line="352" w:lineRule="auto"/>
        <w:ind w:firstLine="420"/>
        <w:rPr>
          <w:rFonts w:ascii="宋体" w:hAnsi="宋体" w:cs="宋体"/>
          <w:caps/>
          <w:kern w:val="2"/>
          <w:sz w:val="21"/>
          <w:szCs w:val="21"/>
        </w:rPr>
      </w:pPr>
      <w:r>
        <w:rPr>
          <w:rFonts w:hint="eastAsia" w:ascii="宋体" w:hAnsi="宋体" w:cs="宋体"/>
          <w:caps/>
          <w:kern w:val="2"/>
          <w:sz w:val="21"/>
          <w:szCs w:val="21"/>
        </w:rPr>
        <w:t xml:space="preserve">2.2.4 投标报价的偏差率计算 投标报价的偏差率计算公式：见评标办法前附表。 </w:t>
      </w:r>
    </w:p>
    <w:p>
      <w:pPr>
        <w:pStyle w:val="8"/>
        <w:spacing w:before="54"/>
        <w:outlineLvl w:val="1"/>
        <w:rPr>
          <w:rFonts w:ascii="宋体" w:hAnsi="宋体" w:eastAsia="宋体" w:cs="宋体"/>
          <w:caps/>
          <w:kern w:val="2"/>
          <w:sz w:val="21"/>
          <w:szCs w:val="21"/>
        </w:rPr>
      </w:pPr>
      <w:bookmarkStart w:id="133" w:name="3._评标程序"/>
      <w:bookmarkEnd w:id="133"/>
      <w:r>
        <w:rPr>
          <w:rFonts w:hint="eastAsia" w:ascii="宋体" w:hAnsi="宋体" w:eastAsia="宋体" w:cs="宋体"/>
          <w:caps/>
          <w:kern w:val="2"/>
          <w:sz w:val="21"/>
          <w:szCs w:val="21"/>
        </w:rPr>
        <w:t xml:space="preserve">3. 评标程序 </w:t>
      </w:r>
    </w:p>
    <w:p>
      <w:pPr>
        <w:spacing w:before="157"/>
        <w:ind w:left="106"/>
        <w:outlineLvl w:val="2"/>
        <w:rPr>
          <w:rFonts w:ascii="宋体" w:hAnsi="宋体" w:cs="宋体"/>
          <w:caps/>
          <w:szCs w:val="21"/>
        </w:rPr>
      </w:pPr>
      <w:bookmarkStart w:id="134" w:name="3.1_初步评审"/>
      <w:bookmarkEnd w:id="134"/>
      <w:r>
        <w:rPr>
          <w:rFonts w:hint="eastAsia" w:ascii="宋体" w:hAnsi="宋体" w:cs="宋体"/>
          <w:caps/>
          <w:szCs w:val="21"/>
        </w:rPr>
        <w:t xml:space="preserve">3.1 初步评审 </w:t>
      </w:r>
    </w:p>
    <w:p>
      <w:pPr>
        <w:pStyle w:val="16"/>
        <w:spacing w:before="61" w:line="355" w:lineRule="auto"/>
        <w:ind w:firstLine="420"/>
        <w:rPr>
          <w:rFonts w:ascii="宋体" w:hAnsi="宋体" w:cs="宋体"/>
          <w:caps/>
          <w:kern w:val="2"/>
          <w:sz w:val="21"/>
          <w:szCs w:val="21"/>
        </w:rPr>
      </w:pPr>
      <w:r>
        <w:rPr>
          <w:rFonts w:hint="eastAsia" w:ascii="宋体" w:hAnsi="宋体" w:cs="宋体"/>
          <w:caps/>
          <w:kern w:val="2"/>
          <w:sz w:val="21"/>
          <w:szCs w:val="21"/>
        </w:rPr>
        <w:t>3.1.1 评标委员会依据本章第2.1款、2.2款及2.3款规定的标准对投标文件进行初步评审。有一项不符合评审标准的，作否决投标处理。</w:t>
      </w:r>
    </w:p>
    <w:p>
      <w:pPr>
        <w:pStyle w:val="16"/>
        <w:spacing w:before="32"/>
        <w:ind w:left="526"/>
        <w:rPr>
          <w:rFonts w:ascii="宋体" w:hAnsi="宋体" w:cs="宋体"/>
          <w:caps/>
          <w:kern w:val="2"/>
          <w:sz w:val="21"/>
          <w:szCs w:val="21"/>
        </w:rPr>
      </w:pPr>
      <w:r>
        <w:rPr>
          <w:rFonts w:hint="eastAsia" w:ascii="宋体" w:hAnsi="宋体" w:cs="宋体"/>
          <w:caps/>
          <w:kern w:val="2"/>
          <w:sz w:val="21"/>
          <w:szCs w:val="21"/>
        </w:rPr>
        <w:t xml:space="preserve">3.1.2 </w:t>
      </w:r>
      <w:r>
        <w:rPr>
          <w:rFonts w:hint="eastAsia" w:ascii="宋体" w:hAnsi="宋体" w:cs="宋体"/>
          <w:caps/>
          <w:kern w:val="2"/>
          <w:sz w:val="21"/>
          <w:szCs w:val="21"/>
          <w:lang w:eastAsia="zh-CN"/>
        </w:rPr>
        <w:t>报价人</w:t>
      </w:r>
      <w:r>
        <w:rPr>
          <w:rFonts w:hint="eastAsia" w:ascii="宋体" w:hAnsi="宋体" w:cs="宋体"/>
          <w:caps/>
          <w:kern w:val="2"/>
          <w:sz w:val="21"/>
          <w:szCs w:val="21"/>
        </w:rPr>
        <w:t xml:space="preserve">有以下情形之一的，其投标作否决投标处理： </w:t>
      </w:r>
    </w:p>
    <w:p>
      <w:pPr>
        <w:pStyle w:val="16"/>
        <w:spacing w:before="145"/>
        <w:ind w:left="526"/>
        <w:rPr>
          <w:rFonts w:ascii="宋体" w:hAnsi="宋体" w:cs="宋体"/>
          <w:caps/>
          <w:kern w:val="2"/>
          <w:sz w:val="21"/>
          <w:szCs w:val="21"/>
        </w:rPr>
      </w:pPr>
      <w:r>
        <w:rPr>
          <w:rFonts w:hint="eastAsia" w:ascii="宋体" w:hAnsi="宋体" w:cs="宋体"/>
          <w:caps/>
          <w:kern w:val="2"/>
          <w:sz w:val="21"/>
          <w:szCs w:val="21"/>
        </w:rPr>
        <w:t>（1）第二章“</w:t>
      </w:r>
      <w:r>
        <w:rPr>
          <w:rFonts w:hint="eastAsia" w:ascii="宋体" w:hAnsi="宋体" w:cs="宋体"/>
          <w:caps/>
          <w:kern w:val="2"/>
          <w:sz w:val="21"/>
          <w:szCs w:val="21"/>
          <w:lang w:eastAsia="zh-CN"/>
        </w:rPr>
        <w:t>报价人</w:t>
      </w:r>
      <w:r>
        <w:rPr>
          <w:rFonts w:hint="eastAsia" w:ascii="宋体" w:hAnsi="宋体" w:cs="宋体"/>
          <w:caps/>
          <w:kern w:val="2"/>
          <w:sz w:val="21"/>
          <w:szCs w:val="21"/>
        </w:rPr>
        <w:t xml:space="preserve">须知”第1.4.3项规定的任何一种情形的； </w:t>
      </w:r>
    </w:p>
    <w:p>
      <w:pPr>
        <w:pStyle w:val="16"/>
        <w:spacing w:before="130"/>
        <w:ind w:left="526"/>
        <w:rPr>
          <w:rFonts w:ascii="宋体" w:hAnsi="宋体" w:cs="宋体"/>
          <w:caps/>
          <w:kern w:val="2"/>
          <w:sz w:val="21"/>
          <w:szCs w:val="21"/>
        </w:rPr>
      </w:pPr>
      <w:r>
        <w:rPr>
          <w:rFonts w:hint="eastAsia" w:ascii="宋体" w:hAnsi="宋体" w:cs="宋体"/>
          <w:caps/>
          <w:kern w:val="2"/>
          <w:sz w:val="21"/>
          <w:szCs w:val="21"/>
        </w:rPr>
        <w:t xml:space="preserve">（2）本次投标有串通投标、弄虚作假等其他违反招投标相关法律、法规行为的； </w:t>
      </w:r>
    </w:p>
    <w:p>
      <w:pPr>
        <w:pStyle w:val="16"/>
        <w:spacing w:before="130"/>
        <w:ind w:left="526"/>
        <w:rPr>
          <w:rFonts w:ascii="宋体" w:hAnsi="宋体" w:cs="宋体"/>
          <w:caps/>
          <w:kern w:val="2"/>
          <w:sz w:val="21"/>
          <w:szCs w:val="21"/>
        </w:rPr>
      </w:pPr>
      <w:r>
        <w:rPr>
          <w:rFonts w:hint="eastAsia" w:ascii="宋体" w:hAnsi="宋体" w:cs="宋体"/>
          <w:caps/>
          <w:kern w:val="2"/>
          <w:sz w:val="21"/>
          <w:szCs w:val="21"/>
        </w:rPr>
        <w:t xml:space="preserve">（3）拒绝按评标委员会要求澄清、说明或补正的。 </w:t>
      </w:r>
    </w:p>
    <w:p>
      <w:pPr>
        <w:pStyle w:val="16"/>
        <w:spacing w:before="6" w:line="352" w:lineRule="auto"/>
        <w:ind w:firstLine="630" w:firstLineChars="300"/>
        <w:rPr>
          <w:rFonts w:ascii="宋体" w:hAnsi="宋体" w:cs="宋体"/>
          <w:caps/>
          <w:kern w:val="2"/>
          <w:sz w:val="21"/>
          <w:szCs w:val="21"/>
        </w:rPr>
      </w:pPr>
      <w:r>
        <w:rPr>
          <w:rFonts w:hint="eastAsia" w:ascii="宋体" w:hAnsi="宋体" w:cs="宋体"/>
          <w:caps/>
          <w:kern w:val="2"/>
          <w:sz w:val="21"/>
          <w:szCs w:val="21"/>
        </w:rPr>
        <w:t>3.1.3 投标报价有算术错误的，评标委员会按以下原则对投标报价进行修正，修正的价格经</w:t>
      </w:r>
      <w:r>
        <w:rPr>
          <w:rFonts w:hint="eastAsia" w:ascii="宋体" w:hAnsi="宋体" w:cs="宋体"/>
          <w:caps/>
          <w:kern w:val="2"/>
          <w:sz w:val="21"/>
          <w:szCs w:val="21"/>
          <w:lang w:eastAsia="zh-CN"/>
        </w:rPr>
        <w:t>报价人</w:t>
      </w:r>
      <w:r>
        <w:rPr>
          <w:rFonts w:hint="eastAsia" w:ascii="宋体" w:hAnsi="宋体" w:cs="宋体"/>
          <w:caps/>
          <w:kern w:val="2"/>
          <w:sz w:val="21"/>
          <w:szCs w:val="21"/>
        </w:rPr>
        <w:t xml:space="preserve"> 书面确认后具有约束力，修正原则如下： </w:t>
      </w:r>
    </w:p>
    <w:p>
      <w:pPr>
        <w:pStyle w:val="16"/>
        <w:spacing w:before="32"/>
        <w:ind w:firstLine="420" w:firstLineChars="200"/>
        <w:rPr>
          <w:rFonts w:ascii="宋体" w:hAnsi="宋体" w:cs="宋体"/>
          <w:caps/>
          <w:kern w:val="2"/>
          <w:sz w:val="21"/>
          <w:szCs w:val="21"/>
        </w:rPr>
      </w:pPr>
      <w:r>
        <w:rPr>
          <w:rFonts w:hint="eastAsia" w:ascii="宋体" w:hAnsi="宋体" w:cs="宋体"/>
          <w:caps/>
          <w:kern w:val="2"/>
          <w:sz w:val="21"/>
          <w:szCs w:val="21"/>
        </w:rPr>
        <w:t xml:space="preserve">（1）投标文件中的大写金额与小写金额不一致的，以大写金额为准； </w:t>
      </w:r>
    </w:p>
    <w:p>
      <w:pPr>
        <w:pStyle w:val="16"/>
        <w:spacing w:before="145"/>
        <w:ind w:firstLine="420"/>
        <w:rPr>
          <w:rFonts w:ascii="宋体" w:hAnsi="宋体" w:cs="宋体"/>
          <w:caps/>
          <w:kern w:val="2"/>
          <w:sz w:val="21"/>
          <w:szCs w:val="21"/>
        </w:rPr>
      </w:pPr>
      <w:r>
        <w:rPr>
          <w:rFonts w:hint="eastAsia" w:ascii="宋体" w:hAnsi="宋体" w:cs="宋体"/>
          <w:caps/>
          <w:kern w:val="2"/>
          <w:sz w:val="21"/>
          <w:szCs w:val="21"/>
        </w:rPr>
        <w:t xml:space="preserve">（2）竞争性比选响应声明书的总报价与已标价工程量清单总报价不一致的，由评标委员会作否决投标处理。 </w:t>
      </w:r>
    </w:p>
    <w:p>
      <w:pPr>
        <w:spacing w:before="169"/>
        <w:ind w:left="106"/>
        <w:outlineLvl w:val="2"/>
        <w:rPr>
          <w:rFonts w:ascii="宋体" w:hAnsi="宋体" w:cs="宋体"/>
          <w:caps/>
          <w:szCs w:val="21"/>
        </w:rPr>
      </w:pPr>
      <w:bookmarkStart w:id="135" w:name="3.2_详细评审"/>
      <w:bookmarkEnd w:id="135"/>
      <w:r>
        <w:rPr>
          <w:rFonts w:hint="eastAsia" w:ascii="宋体" w:hAnsi="宋体" w:cs="宋体"/>
          <w:caps/>
          <w:szCs w:val="21"/>
        </w:rPr>
        <w:t xml:space="preserve">3.2 详细评审 </w:t>
      </w:r>
    </w:p>
    <w:p>
      <w:pPr>
        <w:pStyle w:val="16"/>
        <w:spacing w:before="61"/>
        <w:ind w:left="526"/>
        <w:rPr>
          <w:rFonts w:ascii="宋体" w:hAnsi="宋体" w:cs="宋体"/>
          <w:caps/>
          <w:kern w:val="2"/>
          <w:sz w:val="21"/>
          <w:szCs w:val="21"/>
        </w:rPr>
      </w:pPr>
      <w:r>
        <w:rPr>
          <w:rFonts w:hint="eastAsia" w:ascii="宋体" w:hAnsi="宋体" w:cs="宋体"/>
          <w:caps/>
          <w:kern w:val="2"/>
          <w:sz w:val="21"/>
          <w:szCs w:val="21"/>
        </w:rPr>
        <w:t xml:space="preserve">3.2.1 评标委员会按本章第3.1款、3.2款及3.3款规定的量化因素和分值进行打分，并计算出综合评估得分。 </w:t>
      </w:r>
    </w:p>
    <w:p>
      <w:pPr>
        <w:pStyle w:val="16"/>
        <w:spacing w:before="130" w:line="367" w:lineRule="auto"/>
        <w:ind w:firstLine="420"/>
        <w:rPr>
          <w:rFonts w:ascii="宋体" w:hAnsi="宋体" w:cs="宋体"/>
          <w:caps/>
          <w:kern w:val="2"/>
          <w:sz w:val="21"/>
          <w:szCs w:val="21"/>
        </w:rPr>
      </w:pPr>
      <w:r>
        <w:rPr>
          <w:rFonts w:hint="eastAsia" w:ascii="宋体" w:hAnsi="宋体" w:cs="宋体"/>
          <w:caps/>
          <w:kern w:val="2"/>
          <w:sz w:val="21"/>
          <w:szCs w:val="21"/>
        </w:rPr>
        <w:t>（1）按本章第3.3目规定的评审因素和分值对技术部分计算出得分A（所有评委打分中去掉 一个最高和一个最低分，余下评委打分取算术平均值为该</w:t>
      </w:r>
      <w:r>
        <w:rPr>
          <w:rFonts w:hint="eastAsia" w:ascii="宋体" w:hAnsi="宋体" w:cs="宋体"/>
          <w:caps/>
          <w:kern w:val="2"/>
          <w:sz w:val="21"/>
          <w:szCs w:val="21"/>
          <w:lang w:eastAsia="zh-CN"/>
        </w:rPr>
        <w:t>报价人</w:t>
      </w:r>
      <w:r>
        <w:rPr>
          <w:rFonts w:hint="eastAsia" w:ascii="宋体" w:hAnsi="宋体" w:cs="宋体"/>
          <w:caps/>
          <w:kern w:val="2"/>
          <w:sz w:val="21"/>
          <w:szCs w:val="21"/>
        </w:rPr>
        <w:t xml:space="preserve">技术部分得分。） </w:t>
      </w:r>
    </w:p>
    <w:p>
      <w:pPr>
        <w:pStyle w:val="16"/>
        <w:spacing w:before="19"/>
        <w:ind w:left="526"/>
        <w:rPr>
          <w:rFonts w:ascii="宋体" w:hAnsi="宋体" w:cs="宋体"/>
          <w:caps/>
          <w:kern w:val="2"/>
          <w:sz w:val="21"/>
          <w:szCs w:val="21"/>
        </w:rPr>
      </w:pPr>
      <w:r>
        <w:rPr>
          <w:rFonts w:hint="eastAsia" w:ascii="宋体" w:hAnsi="宋体" w:cs="宋体"/>
          <w:caps/>
          <w:kern w:val="2"/>
          <w:sz w:val="21"/>
          <w:szCs w:val="21"/>
        </w:rPr>
        <w:t xml:space="preserve">（2）按本章第3.2目规定的评审因素和分值对商务部分计算出得分B。 </w:t>
      </w:r>
    </w:p>
    <w:p>
      <w:pPr>
        <w:pStyle w:val="16"/>
        <w:spacing w:before="130"/>
        <w:ind w:left="526"/>
        <w:rPr>
          <w:rFonts w:ascii="宋体" w:hAnsi="宋体" w:cs="宋体"/>
          <w:caps/>
          <w:kern w:val="2"/>
          <w:sz w:val="21"/>
          <w:szCs w:val="21"/>
        </w:rPr>
      </w:pPr>
      <w:r>
        <w:rPr>
          <w:rFonts w:hint="eastAsia" w:ascii="宋体" w:hAnsi="宋体" w:cs="宋体"/>
          <w:caps/>
          <w:kern w:val="2"/>
          <w:sz w:val="21"/>
          <w:szCs w:val="21"/>
        </w:rPr>
        <w:t xml:space="preserve">（3）按本章第3.1目规定的评审因素和分值对投标总报价计算出得分C。 </w:t>
      </w:r>
    </w:p>
    <w:p>
      <w:pPr>
        <w:pStyle w:val="16"/>
        <w:spacing w:before="130"/>
        <w:ind w:left="526"/>
        <w:rPr>
          <w:rFonts w:ascii="宋体" w:hAnsi="宋体" w:cs="宋体"/>
          <w:caps/>
          <w:kern w:val="2"/>
          <w:sz w:val="21"/>
          <w:szCs w:val="21"/>
        </w:rPr>
      </w:pPr>
      <w:r>
        <w:rPr>
          <w:rFonts w:hint="eastAsia" w:ascii="宋体" w:hAnsi="宋体" w:cs="宋体"/>
          <w:caps/>
          <w:kern w:val="2"/>
          <w:sz w:val="21"/>
          <w:szCs w:val="21"/>
        </w:rPr>
        <w:t xml:space="preserve">3.2.2 各类评分分值的最终计算结果保留小数点后两位，小数点后第三位“四舍五入”。 </w:t>
      </w:r>
    </w:p>
    <w:p>
      <w:pPr>
        <w:pStyle w:val="16"/>
        <w:spacing w:before="130"/>
        <w:ind w:left="526"/>
        <w:rPr>
          <w:rFonts w:ascii="宋体" w:hAnsi="宋体" w:cs="宋体"/>
          <w:caps/>
          <w:kern w:val="2"/>
          <w:sz w:val="21"/>
          <w:szCs w:val="21"/>
        </w:rPr>
      </w:pPr>
      <w:r>
        <w:rPr>
          <w:rFonts w:hint="eastAsia" w:ascii="宋体" w:hAnsi="宋体" w:cs="宋体"/>
          <w:caps/>
          <w:kern w:val="2"/>
          <w:sz w:val="21"/>
          <w:szCs w:val="21"/>
        </w:rPr>
        <w:t xml:space="preserve">3.2.3  </w:t>
      </w:r>
      <w:r>
        <w:rPr>
          <w:rFonts w:hint="eastAsia" w:ascii="宋体" w:hAnsi="宋体" w:cs="宋体"/>
          <w:caps/>
          <w:kern w:val="2"/>
          <w:sz w:val="21"/>
          <w:szCs w:val="21"/>
          <w:lang w:eastAsia="zh-CN"/>
        </w:rPr>
        <w:t>报价人</w:t>
      </w:r>
      <w:r>
        <w:rPr>
          <w:rFonts w:hint="eastAsia" w:ascii="宋体" w:hAnsi="宋体" w:cs="宋体"/>
          <w:caps/>
          <w:kern w:val="2"/>
          <w:sz w:val="21"/>
          <w:szCs w:val="21"/>
        </w:rPr>
        <w:t xml:space="preserve">得分=A+B+C。 </w:t>
      </w:r>
    </w:p>
    <w:p>
      <w:pPr>
        <w:spacing w:before="1"/>
        <w:rPr>
          <w:rFonts w:ascii="宋体" w:hAnsi="宋体" w:cs="宋体"/>
          <w:caps/>
          <w:szCs w:val="21"/>
        </w:rPr>
      </w:pPr>
    </w:p>
    <w:p>
      <w:pPr>
        <w:ind w:left="106"/>
        <w:outlineLvl w:val="2"/>
        <w:rPr>
          <w:rFonts w:ascii="宋体" w:hAnsi="宋体" w:cs="宋体"/>
          <w:caps/>
          <w:szCs w:val="21"/>
        </w:rPr>
      </w:pPr>
      <w:bookmarkStart w:id="136" w:name="3.3_投标文件的澄清和补正"/>
      <w:bookmarkEnd w:id="136"/>
      <w:r>
        <w:rPr>
          <w:rFonts w:hint="eastAsia" w:ascii="宋体" w:hAnsi="宋体" w:cs="宋体"/>
          <w:caps/>
          <w:szCs w:val="21"/>
        </w:rPr>
        <w:t xml:space="preserve">3.3 投标文件的澄清和补正 </w:t>
      </w:r>
    </w:p>
    <w:p>
      <w:pPr>
        <w:pStyle w:val="16"/>
        <w:spacing w:before="61" w:line="355" w:lineRule="auto"/>
        <w:ind w:firstLine="420"/>
        <w:rPr>
          <w:rFonts w:ascii="宋体" w:hAnsi="宋体" w:cs="宋体"/>
          <w:caps/>
          <w:kern w:val="2"/>
          <w:sz w:val="21"/>
          <w:szCs w:val="21"/>
        </w:rPr>
      </w:pPr>
      <w:r>
        <w:rPr>
          <w:rFonts w:hint="eastAsia" w:ascii="宋体" w:hAnsi="宋体" w:cs="宋体"/>
          <w:caps/>
          <w:kern w:val="2"/>
          <w:sz w:val="21"/>
          <w:szCs w:val="21"/>
        </w:rPr>
        <w:t>3.3.1 在评标过程中，评标委员会可以书面形式要求</w:t>
      </w:r>
      <w:r>
        <w:rPr>
          <w:rFonts w:hint="eastAsia" w:ascii="宋体" w:hAnsi="宋体" w:cs="宋体"/>
          <w:caps/>
          <w:kern w:val="2"/>
          <w:sz w:val="21"/>
          <w:szCs w:val="21"/>
          <w:lang w:eastAsia="zh-CN"/>
        </w:rPr>
        <w:t>报价人</w:t>
      </w:r>
      <w:r>
        <w:rPr>
          <w:rFonts w:hint="eastAsia" w:ascii="宋体" w:hAnsi="宋体" w:cs="宋体"/>
          <w:caps/>
          <w:kern w:val="2"/>
          <w:sz w:val="21"/>
          <w:szCs w:val="21"/>
        </w:rPr>
        <w:t>对所提交投标文件中不明确的内容进行 书面澄清或说明，或者对细微偏差进行补正。评标委员会不接受</w:t>
      </w:r>
      <w:r>
        <w:rPr>
          <w:rFonts w:hint="eastAsia" w:ascii="宋体" w:hAnsi="宋体" w:cs="宋体"/>
          <w:caps/>
          <w:kern w:val="2"/>
          <w:sz w:val="21"/>
          <w:szCs w:val="21"/>
          <w:lang w:eastAsia="zh-CN"/>
        </w:rPr>
        <w:t>报价人</w:t>
      </w:r>
      <w:r>
        <w:rPr>
          <w:rFonts w:hint="eastAsia" w:ascii="宋体" w:hAnsi="宋体" w:cs="宋体"/>
          <w:caps/>
          <w:kern w:val="2"/>
          <w:sz w:val="21"/>
          <w:szCs w:val="21"/>
        </w:rPr>
        <w:t xml:space="preserve">主动提出的澄清、说明或补正。 </w:t>
      </w:r>
    </w:p>
    <w:p>
      <w:pPr>
        <w:pStyle w:val="16"/>
        <w:spacing w:before="29" w:line="367" w:lineRule="auto"/>
        <w:ind w:firstLine="420"/>
        <w:rPr>
          <w:rFonts w:ascii="宋体" w:hAnsi="宋体" w:cs="宋体"/>
          <w:caps/>
          <w:kern w:val="2"/>
          <w:sz w:val="21"/>
          <w:szCs w:val="21"/>
        </w:rPr>
      </w:pPr>
      <w:r>
        <w:rPr>
          <w:rFonts w:hint="eastAsia" w:ascii="宋体" w:hAnsi="宋体" w:cs="宋体"/>
          <w:caps/>
          <w:kern w:val="2"/>
          <w:sz w:val="21"/>
          <w:szCs w:val="21"/>
        </w:rPr>
        <w:t>3.3.2 澄清、说明和补正不得改变投标文件的实质性内容（算术性错误修正的除外）。</w:t>
      </w:r>
      <w:r>
        <w:rPr>
          <w:rFonts w:hint="eastAsia" w:ascii="宋体" w:hAnsi="宋体" w:cs="宋体"/>
          <w:caps/>
          <w:kern w:val="2"/>
          <w:sz w:val="21"/>
          <w:szCs w:val="21"/>
          <w:lang w:eastAsia="zh-CN"/>
        </w:rPr>
        <w:t>报价人</w:t>
      </w:r>
      <w:r>
        <w:rPr>
          <w:rFonts w:hint="eastAsia" w:ascii="宋体" w:hAnsi="宋体" w:cs="宋体"/>
          <w:caps/>
          <w:kern w:val="2"/>
          <w:sz w:val="21"/>
          <w:szCs w:val="21"/>
        </w:rPr>
        <w:t xml:space="preserve">的书 面澄清、说明和补正属于投标文件的组成部分。 </w:t>
      </w:r>
    </w:p>
    <w:p>
      <w:pPr>
        <w:pStyle w:val="16"/>
        <w:spacing w:before="19" w:line="355" w:lineRule="auto"/>
        <w:ind w:firstLine="420"/>
        <w:rPr>
          <w:rFonts w:ascii="宋体" w:hAnsi="宋体" w:cs="宋体"/>
          <w:caps/>
          <w:kern w:val="2"/>
          <w:sz w:val="21"/>
          <w:szCs w:val="21"/>
        </w:rPr>
      </w:pPr>
      <w:r>
        <w:rPr>
          <w:rFonts w:hint="eastAsia" w:ascii="宋体" w:hAnsi="宋体" w:cs="宋体"/>
          <w:caps/>
          <w:kern w:val="2"/>
          <w:sz w:val="21"/>
          <w:szCs w:val="21"/>
        </w:rPr>
        <w:t>3.3.3 评标委员会对</w:t>
      </w:r>
      <w:r>
        <w:rPr>
          <w:rFonts w:hint="eastAsia" w:ascii="宋体" w:hAnsi="宋体" w:cs="宋体"/>
          <w:caps/>
          <w:kern w:val="2"/>
          <w:sz w:val="21"/>
          <w:szCs w:val="21"/>
          <w:lang w:eastAsia="zh-CN"/>
        </w:rPr>
        <w:t>报价人</w:t>
      </w:r>
      <w:r>
        <w:rPr>
          <w:rFonts w:hint="eastAsia" w:ascii="宋体" w:hAnsi="宋体" w:cs="宋体"/>
          <w:caps/>
          <w:kern w:val="2"/>
          <w:sz w:val="21"/>
          <w:szCs w:val="21"/>
        </w:rPr>
        <w:t>提交的澄清、说明或补正有疑问的，可以要求</w:t>
      </w:r>
      <w:r>
        <w:rPr>
          <w:rFonts w:hint="eastAsia" w:ascii="宋体" w:hAnsi="宋体" w:cs="宋体"/>
          <w:caps/>
          <w:kern w:val="2"/>
          <w:sz w:val="21"/>
          <w:szCs w:val="21"/>
          <w:lang w:eastAsia="zh-CN"/>
        </w:rPr>
        <w:t>报价人</w:t>
      </w:r>
      <w:r>
        <w:rPr>
          <w:rFonts w:hint="eastAsia" w:ascii="宋体" w:hAnsi="宋体" w:cs="宋体"/>
          <w:caps/>
          <w:kern w:val="2"/>
          <w:sz w:val="21"/>
          <w:szCs w:val="21"/>
        </w:rPr>
        <w:t xml:space="preserve">进一步澄清、说明 或补正，直至满足评标委员会的要求。 </w:t>
      </w:r>
    </w:p>
    <w:p>
      <w:pPr>
        <w:spacing w:before="68"/>
        <w:ind w:left="106"/>
        <w:outlineLvl w:val="2"/>
        <w:rPr>
          <w:rFonts w:ascii="宋体" w:hAnsi="宋体" w:cs="宋体"/>
          <w:caps/>
          <w:szCs w:val="21"/>
        </w:rPr>
      </w:pPr>
      <w:bookmarkStart w:id="137" w:name="3.4_评标结果"/>
      <w:bookmarkEnd w:id="137"/>
      <w:r>
        <w:rPr>
          <w:rFonts w:hint="eastAsia" w:ascii="宋体" w:hAnsi="宋体" w:cs="宋体"/>
          <w:caps/>
          <w:szCs w:val="21"/>
        </w:rPr>
        <w:t xml:space="preserve">3.4 评标结果 </w:t>
      </w:r>
    </w:p>
    <w:p>
      <w:pPr>
        <w:pStyle w:val="16"/>
        <w:spacing w:before="76" w:line="355" w:lineRule="auto"/>
        <w:ind w:firstLine="420"/>
        <w:rPr>
          <w:rFonts w:hint="eastAsia" w:ascii="宋体" w:hAnsi="宋体" w:cs="宋体"/>
          <w:caps/>
          <w:kern w:val="2"/>
          <w:sz w:val="21"/>
          <w:szCs w:val="21"/>
        </w:rPr>
      </w:pPr>
      <w:r>
        <w:rPr>
          <w:rFonts w:hint="eastAsia" w:ascii="宋体" w:hAnsi="宋体" w:cs="宋体"/>
          <w:caps/>
          <w:kern w:val="2"/>
          <w:sz w:val="21"/>
          <w:szCs w:val="21"/>
        </w:rPr>
        <w:t>3.4.1 除第二章“</w:t>
      </w:r>
      <w:r>
        <w:rPr>
          <w:rFonts w:hint="eastAsia" w:ascii="宋体" w:hAnsi="宋体" w:cs="宋体"/>
          <w:caps/>
          <w:kern w:val="2"/>
          <w:sz w:val="21"/>
          <w:szCs w:val="21"/>
          <w:lang w:eastAsia="zh-CN"/>
        </w:rPr>
        <w:t>报价人</w:t>
      </w:r>
      <w:r>
        <w:rPr>
          <w:rFonts w:hint="eastAsia" w:ascii="宋体" w:hAnsi="宋体" w:cs="宋体"/>
          <w:caps/>
          <w:kern w:val="2"/>
          <w:sz w:val="21"/>
          <w:szCs w:val="21"/>
        </w:rPr>
        <w:t xml:space="preserve">须知”前附表授权直接确定中标人外，评标委员会按照得分由高到低的顺 序推荐中标候选人。 </w:t>
      </w:r>
    </w:p>
    <w:p>
      <w:pPr>
        <w:pStyle w:val="16"/>
        <w:spacing w:before="76" w:line="355" w:lineRule="auto"/>
        <w:ind w:firstLine="420"/>
        <w:jc w:val="left"/>
        <w:rPr>
          <w:rFonts w:hint="eastAsia" w:ascii="宋体" w:hAnsi="宋体" w:cs="宋体"/>
          <w:b w:val="0"/>
          <w:bCs w:val="0"/>
          <w:sz w:val="21"/>
          <w:szCs w:val="21"/>
        </w:rPr>
      </w:pPr>
      <w:r>
        <w:rPr>
          <w:rFonts w:hint="eastAsia" w:ascii="宋体" w:hAnsi="宋体" w:cs="宋体"/>
          <w:b w:val="0"/>
          <w:bCs w:val="0"/>
          <w:sz w:val="21"/>
          <w:szCs w:val="21"/>
        </w:rPr>
        <w:t>3.4.2 评标委员会完成评标后，应当向</w:t>
      </w:r>
      <w:r>
        <w:rPr>
          <w:rFonts w:hint="eastAsia" w:ascii="宋体" w:hAnsi="宋体" w:cs="宋体"/>
          <w:b w:val="0"/>
          <w:bCs w:val="0"/>
          <w:sz w:val="21"/>
          <w:szCs w:val="21"/>
          <w:lang w:eastAsia="zh-CN"/>
        </w:rPr>
        <w:t>采购人</w:t>
      </w:r>
      <w:r>
        <w:rPr>
          <w:rFonts w:hint="eastAsia" w:ascii="宋体" w:hAnsi="宋体" w:cs="宋体"/>
          <w:b w:val="0"/>
          <w:bCs w:val="0"/>
          <w:sz w:val="21"/>
          <w:szCs w:val="21"/>
        </w:rPr>
        <w:t xml:space="preserve">提交书面评标报告。 </w:t>
      </w:r>
    </w:p>
    <w:p>
      <w:pPr>
        <w:pStyle w:val="16"/>
        <w:spacing w:before="76" w:line="355" w:lineRule="auto"/>
        <w:ind w:firstLine="420"/>
        <w:jc w:val="center"/>
      </w:pPr>
      <w:r>
        <w:rPr>
          <w:rFonts w:hint="eastAsia"/>
        </w:rPr>
        <w:br w:type="page"/>
      </w:r>
      <w:bookmarkStart w:id="138" w:name="_Toc13787"/>
      <w:r>
        <w:rPr>
          <w:rStyle w:val="84"/>
          <w:rFonts w:hint="eastAsia"/>
          <w:b/>
          <w:bCs/>
        </w:rPr>
        <w:t>第四章 报价说明</w:t>
      </w:r>
      <w:bookmarkEnd w:id="138"/>
    </w:p>
    <w:p>
      <w:pPr>
        <w:rPr>
          <w:rFonts w:hint="eastAsia"/>
        </w:rPr>
      </w:pPr>
      <w:r>
        <w:rPr>
          <w:rFonts w:hint="eastAsia"/>
        </w:rPr>
        <w:t>1、工程量清单应与本项目竞争性比选文件、技术标准和要求等文件结合起来查阅与理解。</w:t>
      </w:r>
    </w:p>
    <w:p>
      <w:pPr>
        <w:rPr>
          <w:rFonts w:hint="eastAsia"/>
        </w:rPr>
      </w:pPr>
      <w:r>
        <w:rPr>
          <w:rFonts w:hint="eastAsia"/>
        </w:rPr>
        <w:t>2、本竞争性比选报价采用综合单价报价。报价人应在充分考虑上下货及运输费用(安装地点）、安装调试费用、增值税专用发票税费等费用，费用分摊到其它相关报价中，业主不再另行支付。在合同执行过程中，如因国家税务政策调整，当增值税税率提高，本合同含税单价不变；当增值税税率降低，本合同不含税单价不变，并相应减少增值税金额。</w:t>
      </w:r>
    </w:p>
    <w:p>
      <w:pPr>
        <w:rPr>
          <w:rFonts w:hint="eastAsia"/>
        </w:rPr>
      </w:pPr>
      <w:r>
        <w:rPr>
          <w:rFonts w:hint="eastAsia"/>
        </w:rPr>
        <w:t>3、报价人提供的设备原则上应与原规格匹配；若提供的设备与原规格不匹配时，其技术指标不得低于且最接近原规格型号。</w:t>
      </w:r>
    </w:p>
    <w:p>
      <w:pPr>
        <w:rPr>
          <w:rFonts w:hint="eastAsia"/>
        </w:rPr>
      </w:pPr>
      <w:r>
        <w:rPr>
          <w:rFonts w:hint="eastAsia"/>
        </w:rPr>
        <w:t>4、报价人应认真阅读设备清单中的技术参数要求后，填报单价和价格。报出的单价和价格应被认为包括所有劳务、材料、机械、运输、出厂检验、缺陷修复、相关税率、水电、利润和明示或隐含的风险、保险、责任和义务。</w:t>
      </w:r>
    </w:p>
    <w:p>
      <w:pPr>
        <w:rPr>
          <w:rFonts w:hint="eastAsia"/>
        </w:rPr>
      </w:pPr>
      <w:r>
        <w:rPr>
          <w:rFonts w:hint="eastAsia"/>
        </w:rPr>
        <w:t>5、工程量清单中所列工程量的变动，丝毫不会降低或影响合同条款的效力，也不免除报价人按规定的标准进行供货和修复缺陷的责任。</w:t>
      </w:r>
    </w:p>
    <w:p>
      <w:pPr>
        <w:rPr>
          <w:rFonts w:hint="eastAsia"/>
        </w:rPr>
      </w:pPr>
      <w:r>
        <w:rPr>
          <w:rFonts w:hint="eastAsia"/>
        </w:rPr>
        <w:t>6、对工程量清单中的每一个细目，报价人均填单价和合价，对于未填入单价和合价的细目，其费用应视为已包括在工程量清单中的其他细目的单价和合价中，报价人必须按采购人指令完成工程量清单中未填入单价和合价的细目，但不能得到结算与支付，报价人的总报价应是所有工程费用的汇总。</w:t>
      </w:r>
    </w:p>
    <w:p>
      <w:pPr>
        <w:rPr>
          <w:rFonts w:hint="eastAsia"/>
        </w:rPr>
      </w:pPr>
      <w:r>
        <w:rPr>
          <w:rFonts w:hint="eastAsia"/>
        </w:rPr>
        <w:t>7、工程量清单中的任何内容不得随意删除或涂改，若有误，在有效时间内书面向采购人提出，以“补遗”资料为准。</w:t>
      </w:r>
    </w:p>
    <w:p>
      <w:pPr>
        <w:rPr>
          <w:rFonts w:hint="eastAsia"/>
        </w:rPr>
      </w:pPr>
      <w:r>
        <w:rPr>
          <w:rFonts w:hint="eastAsia"/>
        </w:rPr>
        <w:t>8、不同单项及单位工程中的分部分项工程量清单中相同项目（项目特征及工作内容相同）的应报价统一，如有差异，按最低的一个报价进行结算。</w:t>
      </w:r>
    </w:p>
    <w:p>
      <w:pPr>
        <w:rPr>
          <w:rFonts w:hint="eastAsia"/>
        </w:rPr>
      </w:pPr>
      <w:r>
        <w:rPr>
          <w:rFonts w:hint="eastAsia"/>
        </w:rPr>
        <w:t>9、对作业和材料的技术标准和要求及一般说明或规定，未重复写入工程量清单内，在给工程量清单各细目报价前，应参阅设计文件及竞争性比选文件中技术标准和要求的有关部分。</w:t>
      </w:r>
    </w:p>
    <w:p>
      <w:pPr>
        <w:rPr>
          <w:rFonts w:hint="eastAsia"/>
        </w:rPr>
      </w:pPr>
      <w:r>
        <w:rPr>
          <w:rFonts w:hint="eastAsia"/>
        </w:rPr>
        <w:t>10、对于符合要求的竞争性比选响应文件，在签订合同协议书前，如发现工程量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其竞争性响应文件将不予评审，并没收其履约担保。</w:t>
      </w:r>
    </w:p>
    <w:p>
      <w:pPr>
        <w:rPr>
          <w:rFonts w:hint="eastAsia"/>
        </w:rPr>
      </w:pPr>
      <w:r>
        <w:rPr>
          <w:rFonts w:hint="eastAsia"/>
        </w:rPr>
        <w:t>11、报价中的单价和合价全部以人民币（元）表示。</w:t>
      </w:r>
    </w:p>
    <w:p>
      <w:pPr>
        <w:rPr>
          <w:rFonts w:hint="eastAsia"/>
        </w:rPr>
      </w:pPr>
      <w:r>
        <w:rPr>
          <w:rFonts w:hint="eastAsia"/>
        </w:rPr>
        <w:t>12、对于报价人报价中明显高于市场价的单项报价，采购人有权进行价格审核后调整。调整后应以取得报价人的同意，并确认修正后的最终报价。如果报价人拒绝确认，则其竞争性响应文件将不予评审。</w:t>
      </w:r>
    </w:p>
    <w:p>
      <w:pPr>
        <w:rPr>
          <w:rFonts w:hint="eastAsia"/>
        </w:rPr>
      </w:pPr>
      <w:r>
        <w:rPr>
          <w:rFonts w:hint="eastAsia"/>
        </w:rPr>
        <w:t>13、合同为单价合同，合同期间不予调价。</w:t>
      </w:r>
    </w:p>
    <w:p>
      <w:pPr>
        <w:rPr>
          <w:rFonts w:hint="eastAsia"/>
        </w:rPr>
      </w:pPr>
      <w:r>
        <w:rPr>
          <w:rFonts w:hint="eastAsia"/>
        </w:rPr>
        <w:t>14、报价人应严格按照工程量清单进行报价，不得随意修改采购人发布的工程量清单数量、公式及相关内容。</w:t>
      </w:r>
    </w:p>
    <w:p>
      <w:r>
        <w:rPr>
          <w:rFonts w:hint="eastAsia"/>
        </w:rPr>
        <w:t>15.本数量为暂定数量，实际发货以项目部实际需求为准，结算数量以最终实际验收合格数量为准。</w:t>
      </w:r>
    </w:p>
    <w:p>
      <w:pPr>
        <w:pStyle w:val="30"/>
        <w:sectPr>
          <w:footerReference r:id="rId9" w:type="default"/>
          <w:pgSz w:w="11906" w:h="16838"/>
          <w:pgMar w:top="1440" w:right="1800" w:bottom="1440" w:left="1800" w:header="851" w:footer="992" w:gutter="0"/>
          <w:cols w:space="720" w:num="1"/>
          <w:titlePg/>
          <w:docGrid w:type="lines" w:linePitch="312" w:charSpace="0"/>
        </w:sectPr>
      </w:pPr>
    </w:p>
    <w:p>
      <w:pPr>
        <w:pStyle w:val="3"/>
        <w:spacing w:before="0" w:after="0" w:line="360" w:lineRule="auto"/>
        <w:jc w:val="center"/>
        <w:rPr>
          <w:rFonts w:ascii="宋体" w:hAnsi="宋体" w:cs="宋体"/>
        </w:rPr>
      </w:pPr>
      <w:bookmarkStart w:id="139" w:name="_Toc24503"/>
      <w:bookmarkStart w:id="140" w:name="_Toc247085855"/>
      <w:bookmarkStart w:id="141" w:name="_Toc2000409"/>
      <w:bookmarkStart w:id="142" w:name="_Toc144974834"/>
      <w:bookmarkStart w:id="143" w:name="_Toc152042554"/>
      <w:bookmarkStart w:id="144" w:name="_Toc246996340"/>
      <w:bookmarkStart w:id="145" w:name="_Toc152045772"/>
      <w:bookmarkStart w:id="146" w:name="_Toc246997083"/>
      <w:bookmarkStart w:id="147" w:name="_Toc514858705"/>
      <w:bookmarkStart w:id="148" w:name="_Toc179632789"/>
      <w:bookmarkStart w:id="149" w:name="_Toc246997097"/>
      <w:bookmarkStart w:id="150" w:name="_Toc152045786"/>
      <w:bookmarkStart w:id="151" w:name="_Toc152042575"/>
      <w:bookmarkStart w:id="152" w:name="_Toc246996354"/>
      <w:bookmarkStart w:id="153" w:name="_Toc144974855"/>
      <w:bookmarkStart w:id="154" w:name="_Toc179632806"/>
      <w:bookmarkStart w:id="155" w:name="_Toc247085872"/>
      <w:r>
        <w:rPr>
          <w:rFonts w:hint="eastAsia" w:ascii="宋体" w:hAnsi="宋体" w:cs="宋体"/>
        </w:rPr>
        <w:t>第五章  工程量清单</w:t>
      </w:r>
      <w:bookmarkEnd w:id="139"/>
      <w:bookmarkEnd w:id="140"/>
      <w:bookmarkEnd w:id="141"/>
      <w:bookmarkEnd w:id="142"/>
      <w:bookmarkEnd w:id="143"/>
      <w:bookmarkEnd w:id="144"/>
      <w:bookmarkEnd w:id="145"/>
      <w:bookmarkEnd w:id="146"/>
      <w:bookmarkEnd w:id="147"/>
      <w:bookmarkEnd w:id="148"/>
    </w:p>
    <w:p>
      <w:pPr>
        <w:ind w:firstLine="420"/>
        <w:jc w:val="left"/>
        <w:rPr>
          <w:rFonts w:ascii="宋体" w:hAnsi="宋体" w:cs="宋体"/>
          <w:b/>
        </w:rPr>
      </w:pPr>
      <w:bookmarkStart w:id="156" w:name="_Toc179632800"/>
      <w:bookmarkStart w:id="157" w:name="_Toc152042571"/>
      <w:bookmarkStart w:id="158" w:name="_Toc247096438"/>
      <w:bookmarkStart w:id="159" w:name="_Toc144974851"/>
      <w:bookmarkStart w:id="160" w:name="_Toc246996350"/>
      <w:bookmarkStart w:id="161" w:name="_Toc247085866"/>
      <w:bookmarkStart w:id="162" w:name="_Toc152045782"/>
      <w:bookmarkStart w:id="163" w:name="_Toc246997093"/>
    </w:p>
    <w:p>
      <w:pPr>
        <w:jc w:val="center"/>
        <w:rPr>
          <w:rFonts w:hint="default" w:ascii="宋体" w:hAnsi="宋体" w:eastAsia="宋体" w:cs="宋体"/>
          <w:b/>
          <w:lang w:val="en-US" w:eastAsia="zh-CN"/>
        </w:rPr>
      </w:pPr>
      <w:r>
        <w:rPr>
          <w:rFonts w:hint="eastAsia" w:ascii="宋体" w:hAnsi="宋体" w:cs="宋体"/>
          <w:b/>
          <w:lang w:val="en-US" w:eastAsia="zh-CN"/>
        </w:rPr>
        <w:t>详情见附件。</w:t>
      </w: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sectPr>
          <w:pgSz w:w="11906" w:h="16838"/>
          <w:pgMar w:top="1440" w:right="1800" w:bottom="1440" w:left="1800" w:header="851" w:footer="992" w:gutter="0"/>
          <w:cols w:space="720" w:num="1"/>
          <w:titlePg/>
          <w:docGrid w:type="lines" w:linePitch="312" w:charSpace="0"/>
        </w:sectPr>
      </w:pPr>
    </w:p>
    <w:p>
      <w:pPr>
        <w:rPr>
          <w:rFonts w:ascii="宋体" w:hAnsi="宋体" w:cs="宋体"/>
          <w:b/>
        </w:rPr>
      </w:pPr>
    </w:p>
    <w:p>
      <w:pPr>
        <w:jc w:val="center"/>
        <w:rPr>
          <w:rFonts w:ascii="宋体" w:hAnsi="宋体" w:cs="宋体"/>
          <w:b/>
        </w:rPr>
      </w:pPr>
    </w:p>
    <w:p>
      <w:pPr>
        <w:pStyle w:val="3"/>
        <w:spacing w:before="0" w:after="0" w:line="360" w:lineRule="auto"/>
        <w:jc w:val="center"/>
        <w:rPr>
          <w:rFonts w:ascii="宋体" w:hAnsi="宋体" w:cs="宋体"/>
        </w:rPr>
      </w:pPr>
      <w:bookmarkStart w:id="164" w:name="_Toc514858706"/>
      <w:bookmarkStart w:id="165" w:name="_Toc503951042"/>
      <w:bookmarkStart w:id="166" w:name="_Toc513633963"/>
      <w:bookmarkStart w:id="167" w:name="_Toc2000410"/>
      <w:bookmarkStart w:id="168" w:name="_Toc12440"/>
      <w:bookmarkStart w:id="169" w:name="_Toc447827048"/>
      <w:r>
        <w:rPr>
          <w:rFonts w:hint="eastAsia" w:ascii="宋体" w:hAnsi="宋体" w:cs="宋体"/>
        </w:rPr>
        <w:t>第六章  图  纸</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p>
    <w:p>
      <w:pPr>
        <w:jc w:val="center"/>
        <w:rPr>
          <w:rFonts w:ascii="宋体" w:hAnsi="宋体" w:cs="宋体"/>
          <w:b/>
        </w:rPr>
      </w:pPr>
      <w:r>
        <w:rPr>
          <w:rFonts w:hint="eastAsia" w:ascii="宋体" w:hAnsi="宋体" w:cs="宋体"/>
          <w:b/>
          <w:kern w:val="0"/>
          <w:sz w:val="24"/>
        </w:rPr>
        <w:t>无。</w:t>
      </w:r>
    </w:p>
    <w:p>
      <w:pPr>
        <w:spacing w:line="400" w:lineRule="exact"/>
        <w:rPr>
          <w:rFonts w:ascii="宋体" w:hAnsi="宋体" w:cs="宋体"/>
        </w:rPr>
      </w:pPr>
      <w:r>
        <w:rPr>
          <w:rFonts w:hint="eastAsia" w:ascii="宋体" w:hAnsi="宋体" w:cs="宋体"/>
        </w:rPr>
        <w:br w:type="page"/>
      </w:r>
      <w:bookmarkStart w:id="170" w:name="_Toc152045785"/>
      <w:bookmarkStart w:id="171" w:name="_Toc152042574"/>
      <w:bookmarkStart w:id="172" w:name="_Toc144974854"/>
    </w:p>
    <w:p>
      <w:pPr>
        <w:pStyle w:val="3"/>
        <w:spacing w:before="0" w:after="0" w:line="360" w:lineRule="auto"/>
        <w:jc w:val="center"/>
        <w:rPr>
          <w:rFonts w:ascii="宋体" w:hAnsi="宋体" w:cs="宋体"/>
          <w:highlight w:val="cyan"/>
        </w:rPr>
      </w:pPr>
      <w:bookmarkStart w:id="173" w:name="_Toc2000411"/>
      <w:bookmarkStart w:id="174" w:name="_Toc503951043"/>
      <w:bookmarkStart w:id="175" w:name="_Toc513633964"/>
      <w:bookmarkStart w:id="176" w:name="_Toc246997096"/>
      <w:bookmarkStart w:id="177" w:name="_Toc247085870"/>
      <w:bookmarkStart w:id="178" w:name="_Toc447827049"/>
      <w:bookmarkStart w:id="179" w:name="_Toc514858707"/>
      <w:bookmarkStart w:id="180" w:name="_Toc179632804"/>
      <w:bookmarkStart w:id="181" w:name="_Toc10887"/>
      <w:bookmarkStart w:id="182" w:name="_Toc246996353"/>
      <w:r>
        <w:rPr>
          <w:rFonts w:hint="eastAsia" w:ascii="宋体" w:hAnsi="宋体" w:cs="宋体"/>
          <w:highlight w:val="none"/>
        </w:rPr>
        <w:t>第七章  技术标准和工作要求</w:t>
      </w:r>
      <w:bookmarkEnd w:id="170"/>
      <w:bookmarkEnd w:id="171"/>
      <w:bookmarkEnd w:id="172"/>
      <w:bookmarkEnd w:id="173"/>
      <w:bookmarkEnd w:id="174"/>
      <w:bookmarkEnd w:id="175"/>
      <w:bookmarkEnd w:id="176"/>
      <w:bookmarkEnd w:id="177"/>
      <w:bookmarkEnd w:id="178"/>
      <w:bookmarkEnd w:id="179"/>
      <w:bookmarkEnd w:id="180"/>
      <w:bookmarkEnd w:id="181"/>
      <w:bookmarkEnd w:id="182"/>
    </w:p>
    <w:bookmarkEnd w:id="149"/>
    <w:bookmarkEnd w:id="150"/>
    <w:bookmarkEnd w:id="151"/>
    <w:bookmarkEnd w:id="152"/>
    <w:bookmarkEnd w:id="153"/>
    <w:bookmarkEnd w:id="154"/>
    <w:bookmarkEnd w:id="155"/>
    <w:p>
      <w:pPr>
        <w:bidi w:val="0"/>
        <w:ind w:left="0" w:leftChars="0" w:firstLine="0" w:firstLineChars="0"/>
        <w:jc w:val="center"/>
        <w:rPr>
          <w:rFonts w:hint="default" w:eastAsia="宋体"/>
          <w:b/>
          <w:bCs/>
          <w:color w:val="auto"/>
          <w:highlight w:val="none"/>
          <w:lang w:val="en-US" w:eastAsia="zh-CN"/>
        </w:rPr>
      </w:pPr>
      <w:bookmarkStart w:id="183" w:name="_Toc12089"/>
      <w:bookmarkStart w:id="184" w:name="_Toc514858708"/>
      <w:bookmarkStart w:id="185" w:name="_Toc2000412"/>
      <w:bookmarkStart w:id="186" w:name="_Toc514430114"/>
      <w:bookmarkStart w:id="187" w:name="_Toc247085873"/>
      <w:bookmarkStart w:id="188" w:name="_Toc144974856"/>
      <w:bookmarkStart w:id="189" w:name="_Toc246997098"/>
      <w:bookmarkStart w:id="190" w:name="_Toc179632807"/>
      <w:bookmarkStart w:id="191" w:name="_Toc246996355"/>
      <w:bookmarkStart w:id="192" w:name="_Toc152042576"/>
      <w:bookmarkStart w:id="193" w:name="_Toc152045787"/>
      <w:bookmarkStart w:id="194" w:name="_Toc507320039"/>
      <w:r>
        <w:rPr>
          <w:rFonts w:hint="eastAsia"/>
          <w:b/>
          <w:bCs/>
          <w:color w:val="auto"/>
          <w:highlight w:val="none"/>
          <w:lang w:val="en-US" w:eastAsia="zh-CN"/>
        </w:rPr>
        <w:t>详情见附件。</w:t>
      </w:r>
    </w:p>
    <w:p>
      <w:pPr>
        <w:adjustRightInd w:val="0"/>
        <w:snapToGrid w:val="0"/>
        <w:spacing w:line="360" w:lineRule="auto"/>
        <w:ind w:firstLine="420" w:firstLineChars="200"/>
        <w:rPr>
          <w:rFonts w:hint="eastAsia" w:ascii="宋体" w:hAnsi="宋体" w:cs="宋体"/>
          <w:highlight w:val="none"/>
        </w:rPr>
      </w:pPr>
    </w:p>
    <w:p>
      <w:pPr>
        <w:adjustRightInd w:val="0"/>
        <w:snapToGrid w:val="0"/>
        <w:spacing w:line="360" w:lineRule="auto"/>
        <w:ind w:firstLine="420" w:firstLineChars="200"/>
        <w:rPr>
          <w:rFonts w:ascii="宋体" w:hAnsi="宋体" w:cs="宋体"/>
        </w:rPr>
      </w:pPr>
      <w:r>
        <w:rPr>
          <w:rFonts w:hint="eastAsia" w:ascii="宋体" w:hAnsi="宋体" w:cs="宋体"/>
          <w:highlight w:val="none"/>
        </w:rPr>
        <w:br w:type="page"/>
      </w:r>
      <w:bookmarkEnd w:id="183"/>
      <w:bookmarkEnd w:id="184"/>
      <w:bookmarkEnd w:id="185"/>
      <w:bookmarkEnd w:id="186"/>
      <w:bookmarkStart w:id="195" w:name="_Toc513633965"/>
    </w:p>
    <w:p>
      <w:pPr>
        <w:pStyle w:val="3"/>
        <w:numPr>
          <w:ilvl w:val="0"/>
          <w:numId w:val="5"/>
        </w:numPr>
        <w:spacing w:before="0" w:after="0" w:line="360" w:lineRule="auto"/>
        <w:jc w:val="center"/>
        <w:rPr>
          <w:rFonts w:hint="eastAsia" w:ascii="宋体" w:hAnsi="宋体" w:eastAsia="宋体" w:cs="宋体"/>
          <w:kern w:val="44"/>
          <w:sz w:val="44"/>
          <w:szCs w:val="44"/>
          <w:highlight w:val="none"/>
          <w:lang w:val="en-US" w:eastAsia="zh-CN" w:bidi="ar"/>
        </w:rPr>
      </w:pPr>
      <w:bookmarkStart w:id="196" w:name="_Toc884457659"/>
      <w:bookmarkStart w:id="197" w:name="_Toc161044330"/>
      <w:bookmarkStart w:id="198" w:name="_Toc1492756943"/>
      <w:bookmarkStart w:id="199" w:name="_Toc514858709"/>
      <w:bookmarkStart w:id="200" w:name="_Toc24853"/>
      <w:bookmarkStart w:id="201" w:name="_Toc2000413"/>
      <w:r>
        <w:rPr>
          <w:rFonts w:hint="eastAsia" w:ascii="宋体" w:hAnsi="宋体" w:cs="宋体"/>
          <w:highlight w:val="none"/>
        </w:rPr>
        <w:t xml:space="preserve"> </w:t>
      </w:r>
      <w:r>
        <w:rPr>
          <w:rFonts w:hint="eastAsia" w:ascii="宋体" w:hAnsi="宋体" w:eastAsia="宋体" w:cs="宋体"/>
          <w:kern w:val="44"/>
          <w:sz w:val="44"/>
          <w:szCs w:val="44"/>
          <w:highlight w:val="none"/>
          <w:lang w:val="en-US" w:eastAsia="zh-CN" w:bidi="ar"/>
        </w:rPr>
        <w:t>合同条款及格式</w:t>
      </w:r>
      <w:bookmarkEnd w:id="196"/>
      <w:bookmarkEnd w:id="197"/>
      <w:bookmarkEnd w:id="198"/>
    </w:p>
    <w:p>
      <w:pPr>
        <w:pStyle w:val="16"/>
        <w:jc w:val="center"/>
        <w:rPr>
          <w:rFonts w:hint="eastAsia"/>
        </w:rPr>
        <w:sectPr>
          <w:pgSz w:w="11906" w:h="16838"/>
          <w:pgMar w:top="1440" w:right="1803" w:bottom="1440" w:left="1803" w:header="851" w:footer="992" w:gutter="0"/>
          <w:cols w:space="720" w:num="1"/>
          <w:titlePg/>
          <w:docGrid w:type="lines" w:linePitch="319" w:charSpace="0"/>
        </w:sectPr>
      </w:pPr>
      <w:r>
        <w:rPr>
          <w:rFonts w:hint="eastAsia" w:ascii="宋体" w:hAnsi="宋体" w:cs="宋体"/>
          <w:b/>
          <w:kern w:val="0"/>
          <w:sz w:val="24"/>
          <w:highlight w:val="none"/>
          <w:lang w:val="en-US" w:eastAsia="zh-CN"/>
        </w:rPr>
        <w:t>详情见附件。</w:t>
      </w:r>
    </w:p>
    <w:p>
      <w:pPr>
        <w:pStyle w:val="3"/>
        <w:spacing w:before="0" w:after="0" w:line="360" w:lineRule="auto"/>
        <w:jc w:val="center"/>
        <w:rPr>
          <w:rFonts w:ascii="宋体" w:hAnsi="宋体" w:cs="宋体"/>
        </w:rPr>
      </w:pPr>
      <w:r>
        <w:rPr>
          <w:rFonts w:hint="eastAsia" w:ascii="宋体" w:hAnsi="宋体" w:cs="宋体"/>
        </w:rPr>
        <w:t>第</w:t>
      </w:r>
      <w:r>
        <w:rPr>
          <w:rFonts w:hint="eastAsia" w:ascii="宋体" w:hAnsi="宋体" w:cs="宋体"/>
          <w:lang w:val="en-US" w:eastAsia="zh-CN"/>
        </w:rPr>
        <w:t>九</w:t>
      </w:r>
      <w:r>
        <w:rPr>
          <w:rFonts w:hint="eastAsia" w:ascii="宋体" w:hAnsi="宋体" w:cs="宋体"/>
        </w:rPr>
        <w:t>章  竞争性比选响应文件格式</w:t>
      </w:r>
      <w:bookmarkEnd w:id="195"/>
      <w:bookmarkEnd w:id="199"/>
      <w:bookmarkEnd w:id="200"/>
      <w:bookmarkEnd w:id="201"/>
    </w:p>
    <w:p>
      <w:pPr>
        <w:rPr>
          <w:rFonts w:ascii="宋体" w:hAnsi="宋体" w:cs="宋体"/>
        </w:rPr>
      </w:pPr>
    </w:p>
    <w:p>
      <w:pPr>
        <w:rPr>
          <w:rFonts w:ascii="宋体" w:hAnsi="宋体" w:cs="宋体"/>
        </w:rPr>
        <w:sectPr>
          <w:pgSz w:w="11906" w:h="16838"/>
          <w:pgMar w:top="1440" w:right="1803" w:bottom="1440" w:left="1803" w:header="851" w:footer="992" w:gutter="0"/>
          <w:cols w:space="720" w:num="1"/>
          <w:titlePg/>
          <w:docGrid w:type="lines" w:linePitch="319" w:charSpace="0"/>
        </w:sectPr>
      </w:pPr>
    </w:p>
    <w:p>
      <w:pPr>
        <w:rPr>
          <w:rFonts w:ascii="宋体" w:hAnsi="宋体" w:cs="宋体"/>
        </w:rPr>
      </w:pPr>
    </w:p>
    <w:p>
      <w:pPr>
        <w:jc w:val="center"/>
        <w:outlineLvl w:val="0"/>
        <w:rPr>
          <w:rFonts w:ascii="宋体" w:hAnsi="宋体" w:cs="宋体"/>
          <w:sz w:val="52"/>
          <w:szCs w:val="52"/>
          <w:u w:val="single"/>
        </w:rPr>
      </w:pPr>
      <w:bookmarkStart w:id="202" w:name="_Toc514858710"/>
      <w:bookmarkStart w:id="203" w:name="_Toc513633967"/>
      <w:bookmarkStart w:id="204" w:name="_Toc503951046"/>
      <w:bookmarkStart w:id="205" w:name="_Toc503971829"/>
      <w:bookmarkStart w:id="206" w:name="_Toc513646738"/>
      <w:r>
        <w:rPr>
          <w:rFonts w:hint="eastAsia" w:ascii="宋体" w:hAnsi="宋体" w:cs="宋体"/>
          <w:u w:val="single"/>
        </w:rPr>
        <w:t xml:space="preserve">                           </w:t>
      </w:r>
      <w:r>
        <w:rPr>
          <w:rFonts w:hint="eastAsia" w:ascii="宋体" w:hAnsi="宋体" w:cs="宋体"/>
          <w:sz w:val="52"/>
          <w:szCs w:val="52"/>
          <w:u w:val="single"/>
        </w:rPr>
        <w:t>（项目名称）</w:t>
      </w:r>
      <w:bookmarkEnd w:id="202"/>
      <w:bookmarkEnd w:id="203"/>
      <w:bookmarkEnd w:id="204"/>
      <w:bookmarkEnd w:id="205"/>
      <w:bookmarkEnd w:id="206"/>
      <w:r>
        <w:rPr>
          <w:rFonts w:hint="eastAsia" w:ascii="宋体" w:hAnsi="宋体" w:cs="宋体"/>
          <w:sz w:val="52"/>
          <w:szCs w:val="52"/>
          <w:u w:val="single"/>
        </w:rPr>
        <w:t xml:space="preserve"> </w:t>
      </w:r>
    </w:p>
    <w:p>
      <w:pPr>
        <w:rPr>
          <w:rFonts w:ascii="宋体" w:hAnsi="宋体" w:cs="宋体"/>
          <w:sz w:val="20"/>
          <w:szCs w:val="20"/>
        </w:rPr>
      </w:pPr>
    </w:p>
    <w:p>
      <w:pPr>
        <w:jc w:val="center"/>
        <w:rPr>
          <w:rFonts w:ascii="宋体" w:hAnsi="宋体" w:cs="宋体"/>
          <w:sz w:val="44"/>
          <w:szCs w:val="44"/>
        </w:rPr>
      </w:pPr>
      <w:r>
        <w:rPr>
          <w:rFonts w:hint="eastAsia" w:ascii="宋体" w:hAnsi="宋体" w:cs="宋体"/>
          <w:sz w:val="44"/>
          <w:szCs w:val="44"/>
        </w:rPr>
        <w:t xml:space="preserve"> </w:t>
      </w: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jc w:val="center"/>
        <w:outlineLvl w:val="0"/>
        <w:rPr>
          <w:rFonts w:ascii="宋体" w:hAnsi="宋体" w:cs="宋体"/>
          <w:b/>
          <w:sz w:val="72"/>
          <w:szCs w:val="44"/>
        </w:rPr>
      </w:pPr>
      <w:r>
        <w:rPr>
          <w:rFonts w:hint="eastAsia" w:ascii="宋体" w:hAnsi="宋体" w:cs="宋体"/>
          <w:b/>
          <w:sz w:val="72"/>
          <w:szCs w:val="44"/>
        </w:rPr>
        <w:t>竞争性比选响应文件</w:t>
      </w:r>
    </w:p>
    <w:p>
      <w:pPr>
        <w:jc w:val="center"/>
        <w:rPr>
          <w:rFonts w:ascii="宋体" w:hAnsi="宋体" w:cs="宋体"/>
          <w:b/>
          <w:sz w:val="32"/>
          <w:szCs w:val="32"/>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pStyle w:val="30"/>
      </w:pPr>
    </w:p>
    <w:p/>
    <w:p>
      <w:pPr>
        <w:pStyle w:val="30"/>
      </w:pPr>
    </w:p>
    <w:p/>
    <w:p>
      <w:pPr>
        <w:pStyle w:val="30"/>
      </w:pPr>
    </w:p>
    <w:p>
      <w:pPr>
        <w:jc w:val="center"/>
        <w:outlineLvl w:val="0"/>
        <w:rPr>
          <w:rFonts w:ascii="宋体" w:hAnsi="宋体" w:cs="宋体"/>
          <w:sz w:val="28"/>
          <w:szCs w:val="28"/>
          <w:u w:val="single"/>
        </w:rPr>
      </w:pPr>
      <w:r>
        <w:rPr>
          <w:rFonts w:hint="eastAsia" w:ascii="宋体" w:hAnsi="宋体" w:cs="宋体"/>
          <w:sz w:val="28"/>
          <w:szCs w:val="28"/>
        </w:rPr>
        <w:t>报价人：</w:t>
      </w:r>
      <w:r>
        <w:rPr>
          <w:rFonts w:hint="eastAsia" w:ascii="宋体" w:hAnsi="宋体" w:cs="宋体"/>
          <w:sz w:val="28"/>
          <w:szCs w:val="28"/>
          <w:u w:val="single"/>
        </w:rPr>
        <w:t xml:space="preserve">                              </w:t>
      </w:r>
      <w:r>
        <w:rPr>
          <w:rFonts w:hint="eastAsia" w:ascii="宋体" w:hAnsi="宋体" w:cs="宋体"/>
          <w:sz w:val="28"/>
          <w:szCs w:val="28"/>
        </w:rPr>
        <w:t>（盖单位鲜公章）</w:t>
      </w:r>
    </w:p>
    <w:p>
      <w:pPr>
        <w:jc w:val="center"/>
        <w:outlineLvl w:val="0"/>
        <w:rPr>
          <w:rFonts w:ascii="宋体" w:hAnsi="宋体" w:cs="宋体"/>
          <w:sz w:val="28"/>
          <w:szCs w:val="28"/>
        </w:rPr>
      </w:pPr>
      <w:r>
        <w:rPr>
          <w:rFonts w:hint="eastAsia" w:ascii="宋体" w:hAnsi="宋体" w:cs="宋体"/>
          <w:sz w:val="28"/>
          <w:szCs w:val="28"/>
        </w:rPr>
        <w:t>法定代表人或其委托代理人：</w:t>
      </w:r>
      <w:r>
        <w:rPr>
          <w:rFonts w:hint="eastAsia" w:ascii="宋体" w:hAnsi="宋体" w:cs="宋体"/>
          <w:sz w:val="28"/>
          <w:szCs w:val="28"/>
          <w:u w:val="single"/>
        </w:rPr>
        <w:t xml:space="preserve">                </w:t>
      </w:r>
      <w:r>
        <w:rPr>
          <w:rFonts w:hint="eastAsia" w:ascii="宋体" w:hAnsi="宋体" w:cs="宋体"/>
          <w:sz w:val="28"/>
          <w:szCs w:val="28"/>
        </w:rPr>
        <w:t>（签字）</w:t>
      </w:r>
    </w:p>
    <w:p>
      <w:pPr>
        <w:jc w:val="center"/>
        <w:outlineLvl w:val="0"/>
        <w:rPr>
          <w:rFonts w:ascii="宋体" w:hAnsi="宋体" w:cs="宋体"/>
          <w:sz w:val="20"/>
          <w:szCs w:val="20"/>
        </w:rPr>
      </w:pPr>
      <w:r>
        <w:rPr>
          <w:rFonts w:hint="eastAsia" w:ascii="宋体" w:hAnsi="宋体" w:cs="宋体"/>
          <w:sz w:val="28"/>
          <w:szCs w:val="28"/>
          <w:u w:val="single"/>
        </w:rPr>
        <w:t xml:space="preserve">        </w:t>
      </w:r>
      <w:r>
        <w:rPr>
          <w:rFonts w:hint="eastAsia" w:ascii="宋体" w:hAnsi="宋体" w:cs="宋体"/>
          <w:sz w:val="28"/>
          <w:szCs w:val="28"/>
        </w:rPr>
        <w:t>年</w:t>
      </w:r>
      <w:r>
        <w:rPr>
          <w:rFonts w:hint="eastAsia" w:ascii="宋体" w:hAnsi="宋体" w:cs="宋体"/>
          <w:sz w:val="28"/>
          <w:szCs w:val="28"/>
          <w:u w:val="single"/>
        </w:rPr>
        <w:t xml:space="preserve">        </w:t>
      </w:r>
      <w:r>
        <w:rPr>
          <w:rFonts w:hint="eastAsia" w:ascii="宋体" w:hAnsi="宋体" w:cs="宋体"/>
          <w:sz w:val="28"/>
          <w:szCs w:val="28"/>
        </w:rPr>
        <w:t>月</w:t>
      </w:r>
      <w:r>
        <w:rPr>
          <w:rFonts w:hint="eastAsia" w:ascii="宋体" w:hAnsi="宋体" w:cs="宋体"/>
          <w:sz w:val="28"/>
          <w:szCs w:val="28"/>
          <w:u w:val="single"/>
        </w:rPr>
        <w:t xml:space="preserve">        </w:t>
      </w:r>
      <w:r>
        <w:rPr>
          <w:rFonts w:hint="eastAsia" w:ascii="宋体" w:hAnsi="宋体" w:cs="宋体"/>
          <w:sz w:val="28"/>
          <w:szCs w:val="28"/>
        </w:rPr>
        <w:t>日</w:t>
      </w: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pStyle w:val="4"/>
        <w:jc w:val="center"/>
        <w:rPr>
          <w:rFonts w:ascii="宋体" w:hAnsi="宋体" w:eastAsia="宋体" w:cs="宋体"/>
        </w:rPr>
      </w:pPr>
      <w:bookmarkStart w:id="207" w:name="_Toc1368"/>
      <w:bookmarkStart w:id="208" w:name="_Toc28780"/>
      <w:bookmarkStart w:id="209" w:name="_Toc11329273"/>
      <w:bookmarkStart w:id="210" w:name="_Toc5459"/>
      <w:r>
        <w:rPr>
          <w:rFonts w:hint="eastAsia" w:ascii="宋体" w:hAnsi="宋体" w:eastAsia="宋体" w:cs="宋体"/>
        </w:rPr>
        <w:t>目    录</w:t>
      </w:r>
      <w:bookmarkEnd w:id="187"/>
      <w:bookmarkEnd w:id="188"/>
      <w:bookmarkEnd w:id="189"/>
      <w:bookmarkEnd w:id="190"/>
      <w:bookmarkEnd w:id="191"/>
      <w:bookmarkEnd w:id="192"/>
      <w:bookmarkEnd w:id="193"/>
      <w:bookmarkEnd w:id="194"/>
      <w:bookmarkEnd w:id="207"/>
      <w:bookmarkEnd w:id="208"/>
      <w:bookmarkEnd w:id="209"/>
      <w:bookmarkEnd w:id="210"/>
    </w:p>
    <w:p>
      <w:pPr>
        <w:numPr>
          <w:ilvl w:val="0"/>
          <w:numId w:val="6"/>
        </w:numPr>
        <w:spacing w:line="400" w:lineRule="exact"/>
        <w:outlineLvl w:val="0"/>
        <w:rPr>
          <w:rFonts w:ascii="宋体" w:hAnsi="宋体" w:cs="宋体"/>
        </w:rPr>
      </w:pPr>
      <w:r>
        <w:rPr>
          <w:rFonts w:hint="eastAsia" w:ascii="宋体" w:hAnsi="宋体" w:cs="宋体"/>
        </w:rPr>
        <w:t>竞争性响应声明书</w:t>
      </w:r>
    </w:p>
    <w:p>
      <w:pPr>
        <w:numPr>
          <w:ilvl w:val="0"/>
          <w:numId w:val="6"/>
        </w:numPr>
        <w:spacing w:line="400" w:lineRule="exact"/>
        <w:outlineLvl w:val="0"/>
        <w:rPr>
          <w:rFonts w:ascii="宋体" w:hAnsi="宋体" w:cs="宋体"/>
        </w:rPr>
      </w:pPr>
      <w:r>
        <w:rPr>
          <w:rFonts w:ascii="宋体" w:hAnsi="宋体" w:cs="宋体"/>
        </w:rPr>
        <w:t>法定代表人身份证明或法定代表人授权委托书</w:t>
      </w:r>
    </w:p>
    <w:p>
      <w:pPr>
        <w:spacing w:line="400" w:lineRule="exact"/>
        <w:outlineLvl w:val="0"/>
        <w:rPr>
          <w:rFonts w:ascii="宋体" w:hAnsi="宋体" w:cs="宋体"/>
        </w:rPr>
      </w:pPr>
      <w:r>
        <w:rPr>
          <w:rFonts w:hint="eastAsia" w:ascii="宋体" w:hAnsi="宋体" w:cs="宋体"/>
        </w:rPr>
        <w:t>三、报价一览表</w:t>
      </w:r>
    </w:p>
    <w:p>
      <w:pPr>
        <w:spacing w:line="400" w:lineRule="exact"/>
        <w:outlineLvl w:val="0"/>
        <w:rPr>
          <w:rFonts w:ascii="宋体" w:hAnsi="宋体" w:cs="宋体"/>
        </w:rPr>
      </w:pPr>
      <w:r>
        <w:rPr>
          <w:rFonts w:hint="eastAsia" w:ascii="宋体" w:hAnsi="宋体" w:cs="宋体"/>
        </w:rPr>
        <w:t>四、资格审查资料</w:t>
      </w:r>
    </w:p>
    <w:p>
      <w:pPr>
        <w:spacing w:line="400" w:lineRule="exact"/>
        <w:outlineLvl w:val="0"/>
        <w:rPr>
          <w:rFonts w:ascii="宋体" w:hAnsi="宋体" w:cs="宋体"/>
          <w:szCs w:val="21"/>
        </w:rPr>
      </w:pPr>
      <w:r>
        <w:rPr>
          <w:rFonts w:hint="eastAsia" w:ascii="宋体" w:hAnsi="宋体" w:cs="宋体"/>
        </w:rPr>
        <w:t>五、</w:t>
      </w:r>
      <w:r>
        <w:rPr>
          <w:rFonts w:hint="eastAsia" w:ascii="宋体" w:hAnsi="宋体" w:cs="宋体"/>
          <w:szCs w:val="21"/>
        </w:rPr>
        <w:t>报价人须知前附表规定要求的资料</w:t>
      </w:r>
    </w:p>
    <w:p>
      <w:pPr>
        <w:spacing w:line="400" w:lineRule="exact"/>
        <w:outlineLvl w:val="0"/>
        <w:rPr>
          <w:rFonts w:ascii="宋体" w:hAnsi="宋体" w:cs="宋体"/>
          <w:szCs w:val="21"/>
        </w:rPr>
      </w:pPr>
      <w:r>
        <w:rPr>
          <w:rFonts w:hint="eastAsia" w:ascii="宋体" w:hAnsi="宋体" w:cs="宋体"/>
          <w:szCs w:val="21"/>
        </w:rPr>
        <w:t>六、报价人基本信息及其他材料</w:t>
      </w:r>
    </w:p>
    <w:p>
      <w:pPr>
        <w:spacing w:line="400" w:lineRule="exact"/>
        <w:rPr>
          <w:rFonts w:ascii="宋体" w:hAnsi="宋体" w:cs="宋体"/>
        </w:rPr>
      </w:pPr>
      <w:r>
        <w:rPr>
          <w:rFonts w:hint="eastAsia" w:ascii="宋体" w:hAnsi="宋体" w:cs="宋体"/>
        </w:rPr>
        <w:t xml:space="preserve"> </w:t>
      </w: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r>
        <w:rPr>
          <w:rFonts w:ascii="宋体" w:hAnsi="宋体" w:cs="宋体"/>
        </w:rPr>
        <w:br w:type="page"/>
      </w:r>
    </w:p>
    <w:p>
      <w:pPr>
        <w:pStyle w:val="4"/>
        <w:spacing w:before="0" w:after="0" w:line="360" w:lineRule="auto"/>
        <w:jc w:val="center"/>
        <w:outlineLvl w:val="0"/>
        <w:rPr>
          <w:rFonts w:ascii="宋体" w:hAnsi="宋体" w:eastAsia="宋体" w:cs="宋体"/>
          <w:sz w:val="28"/>
        </w:rPr>
      </w:pPr>
      <w:bookmarkStart w:id="211" w:name="_Toc8870"/>
      <w:bookmarkStart w:id="212" w:name="_Toc11329274"/>
      <w:bookmarkStart w:id="213" w:name="_Toc29547"/>
      <w:bookmarkStart w:id="214" w:name="_Toc15863"/>
      <w:bookmarkStart w:id="215" w:name="_Toc25874"/>
      <w:bookmarkStart w:id="216" w:name="_Toc513633969"/>
      <w:bookmarkStart w:id="217" w:name="_Toc503951048"/>
      <w:bookmarkStart w:id="218" w:name="_Toc447827053"/>
      <w:r>
        <w:rPr>
          <w:rFonts w:hint="eastAsia" w:ascii="宋体" w:hAnsi="宋体" w:eastAsia="宋体" w:cs="宋体"/>
          <w:sz w:val="28"/>
        </w:rPr>
        <w:t>一、</w:t>
      </w:r>
      <w:bookmarkEnd w:id="211"/>
      <w:bookmarkEnd w:id="212"/>
      <w:r>
        <w:rPr>
          <w:rFonts w:hint="eastAsia" w:ascii="宋体" w:hAnsi="宋体" w:eastAsia="宋体" w:cs="宋体"/>
          <w:sz w:val="28"/>
        </w:rPr>
        <w:t>竞争比选响应声明书</w:t>
      </w:r>
      <w:bookmarkEnd w:id="213"/>
      <w:bookmarkEnd w:id="214"/>
      <w:bookmarkEnd w:id="215"/>
    </w:p>
    <w:p>
      <w:pPr>
        <w:tabs>
          <w:tab w:val="left" w:pos="900"/>
        </w:tabs>
        <w:spacing w:line="300" w:lineRule="auto"/>
        <w:rPr>
          <w:rFonts w:ascii="Arial" w:hAnsi="Arial" w:cs="Arial"/>
          <w:color w:val="000000"/>
          <w:sz w:val="24"/>
        </w:rPr>
      </w:pPr>
      <w:r>
        <w:rPr>
          <w:rFonts w:ascii="Arial" w:hAnsi="Arial" w:cs="Arial"/>
          <w:color w:val="000000"/>
          <w:sz w:val="24"/>
        </w:rPr>
        <w:t xml:space="preserve"> </w:t>
      </w:r>
      <w:r>
        <w:rPr>
          <w:rFonts w:hint="eastAsia" w:ascii="Arial" w:hAnsi="Arial" w:cs="Arial"/>
          <w:b/>
          <w:color w:val="000000"/>
          <w:sz w:val="24"/>
        </w:rPr>
        <w:t>致：</w:t>
      </w:r>
      <w:r>
        <w:rPr>
          <w:rFonts w:hint="eastAsia" w:ascii="Arial" w:hAnsi="Arial" w:cs="Arial"/>
          <w:b/>
          <w:bCs/>
          <w:color w:val="000000"/>
          <w:sz w:val="24"/>
          <w:u w:val="single"/>
        </w:rPr>
        <w:t>重庆首讯科技股份有限公司</w:t>
      </w:r>
    </w:p>
    <w:p>
      <w:pPr>
        <w:spacing w:line="700" w:lineRule="atLeast"/>
        <w:ind w:firstLine="480" w:firstLineChars="200"/>
        <w:rPr>
          <w:rFonts w:ascii="Arial" w:hAnsi="Arial" w:cs="Arial"/>
          <w:color w:val="000000"/>
          <w:sz w:val="24"/>
        </w:rPr>
      </w:pPr>
      <w:r>
        <w:rPr>
          <w:rFonts w:hint="eastAsia" w:ascii="Arial" w:hAnsi="Arial" w:cs="Arial"/>
          <w:color w:val="000000"/>
          <w:sz w:val="24"/>
        </w:rPr>
        <w:t>根据贵</w:t>
      </w:r>
      <w:r>
        <w:rPr>
          <w:rFonts w:hint="eastAsia" w:ascii="Arial" w:hAnsi="Arial" w:cs="Arial"/>
          <w:sz w:val="24"/>
        </w:rPr>
        <w:t>方为</w:t>
      </w:r>
      <w:r>
        <w:rPr>
          <w:rFonts w:hint="eastAsia" w:ascii="Arial" w:hAnsi="Arial" w:cs="Arial"/>
          <w:color w:val="000000"/>
          <w:sz w:val="24"/>
          <w:u w:val="single"/>
          <w:lang w:eastAsia="zh-CN"/>
        </w:rPr>
        <w:t>长大桥梁结构健康监测技术服务</w:t>
      </w:r>
      <w:r>
        <w:rPr>
          <w:rFonts w:hint="eastAsia" w:ascii="Arial" w:hAnsi="Arial" w:cs="Arial"/>
          <w:sz w:val="24"/>
        </w:rPr>
        <w:t>竞争比选项目及服</w:t>
      </w:r>
      <w:r>
        <w:rPr>
          <w:rFonts w:hint="eastAsia" w:ascii="Arial" w:hAnsi="Arial" w:cs="Arial"/>
          <w:color w:val="000000"/>
          <w:sz w:val="24"/>
        </w:rPr>
        <w:t>务的竞争比选邀请，签字代表</w:t>
      </w:r>
      <w:r>
        <w:rPr>
          <w:rFonts w:ascii="Arial" w:hAnsi="Arial" w:cs="Arial"/>
          <w:color w:val="000000"/>
          <w:sz w:val="24"/>
          <w:u w:val="single"/>
        </w:rPr>
        <w:t xml:space="preserve">          </w:t>
      </w:r>
      <w:r>
        <w:rPr>
          <w:rFonts w:hint="eastAsia" w:ascii="Arial" w:hAnsi="Arial" w:cs="Arial"/>
          <w:color w:val="000000"/>
          <w:sz w:val="24"/>
          <w:u w:val="single"/>
        </w:rPr>
        <w:t>（全名、职务）</w:t>
      </w:r>
      <w:r>
        <w:rPr>
          <w:rFonts w:hint="eastAsia" w:ascii="Arial" w:hAnsi="Arial" w:cs="Arial"/>
          <w:color w:val="000000"/>
          <w:sz w:val="24"/>
        </w:rPr>
        <w:t>经正式授权并代表竞争比选响应单位</w:t>
      </w:r>
      <w:r>
        <w:rPr>
          <w:rFonts w:hint="eastAsia" w:ascii="Arial" w:hAnsi="Arial" w:cs="Arial"/>
          <w:color w:val="000000"/>
          <w:sz w:val="24"/>
          <w:u w:val="single"/>
        </w:rPr>
        <w:t>（竞争比选响应单位名称）</w:t>
      </w:r>
      <w:r>
        <w:rPr>
          <w:rFonts w:ascii="Arial" w:hAnsi="Arial" w:cs="Arial"/>
          <w:color w:val="000000"/>
          <w:sz w:val="24"/>
          <w:u w:val="single"/>
        </w:rPr>
        <w:t xml:space="preserve"> </w:t>
      </w:r>
      <w:r>
        <w:rPr>
          <w:rFonts w:hint="eastAsia" w:ascii="Arial" w:hAnsi="Arial" w:cs="Arial"/>
          <w:color w:val="000000"/>
          <w:sz w:val="24"/>
        </w:rPr>
        <w:t>提交报价文件。</w:t>
      </w:r>
    </w:p>
    <w:p>
      <w:pPr>
        <w:spacing w:line="700" w:lineRule="atLeast"/>
        <w:ind w:firstLine="480" w:firstLineChars="200"/>
        <w:rPr>
          <w:rFonts w:ascii="Arial" w:hAnsi="Arial" w:cs="Arial"/>
          <w:color w:val="000000"/>
          <w:sz w:val="24"/>
          <w:u w:val="single"/>
        </w:rPr>
      </w:pPr>
      <w:r>
        <w:rPr>
          <w:rFonts w:hint="eastAsia" w:ascii="Arial" w:hAnsi="Arial" w:cs="Arial"/>
          <w:color w:val="000000"/>
          <w:sz w:val="24"/>
          <w:u w:val="single"/>
        </w:rPr>
        <w:t>我方愿以人民币：              元（大写              元）的报价总价按照竞争比选文件的要求，承担本次竞争比选文件要求的</w:t>
      </w:r>
      <w:r>
        <w:rPr>
          <w:rFonts w:hint="eastAsia" w:ascii="Arial" w:hAnsi="Arial" w:cs="Arial"/>
          <w:color w:val="000000"/>
          <w:sz w:val="24"/>
          <w:u w:val="single"/>
          <w:lang w:val="en-US" w:eastAsia="zh-CN"/>
        </w:rPr>
        <w:t>技术服务工作</w:t>
      </w:r>
      <w:r>
        <w:rPr>
          <w:rFonts w:hint="eastAsia" w:ascii="Arial" w:hAnsi="Arial" w:cs="Arial"/>
          <w:color w:val="000000"/>
          <w:sz w:val="24"/>
          <w:u w:val="single"/>
        </w:rPr>
        <w:t>。</w:t>
      </w:r>
    </w:p>
    <w:p>
      <w:pPr>
        <w:tabs>
          <w:tab w:val="left" w:pos="540"/>
          <w:tab w:val="left" w:pos="900"/>
        </w:tabs>
        <w:spacing w:line="300" w:lineRule="auto"/>
        <w:rPr>
          <w:rFonts w:ascii="Arial" w:hAnsi="Arial" w:cs="Arial"/>
          <w:color w:val="000000"/>
          <w:sz w:val="24"/>
        </w:rPr>
      </w:pPr>
      <w:r>
        <w:rPr>
          <w:rFonts w:ascii="Arial" w:hAnsi="Arial" w:cs="Arial"/>
          <w:color w:val="000000"/>
          <w:sz w:val="24"/>
        </w:rPr>
        <w:t xml:space="preserve">    </w:t>
      </w:r>
    </w:p>
    <w:p>
      <w:pPr>
        <w:tabs>
          <w:tab w:val="left" w:pos="540"/>
          <w:tab w:val="left" w:pos="900"/>
        </w:tabs>
        <w:spacing w:line="300" w:lineRule="auto"/>
        <w:rPr>
          <w:rFonts w:ascii="Arial" w:hAnsi="Arial" w:cs="Arial"/>
          <w:color w:val="000000"/>
          <w:sz w:val="24"/>
        </w:rPr>
      </w:pPr>
      <w:r>
        <w:rPr>
          <w:rFonts w:hint="eastAsia" w:ascii="Arial" w:hAnsi="Arial" w:cs="Arial"/>
          <w:color w:val="000000"/>
          <w:sz w:val="24"/>
        </w:rPr>
        <w:t>据此函，签字代表宣布同意如下：</w:t>
      </w:r>
    </w:p>
    <w:p>
      <w:pPr>
        <w:tabs>
          <w:tab w:val="left" w:pos="540"/>
          <w:tab w:val="left" w:pos="900"/>
        </w:tabs>
        <w:spacing w:line="300" w:lineRule="auto"/>
        <w:rPr>
          <w:rFonts w:ascii="Arial" w:hAnsi="Arial" w:cs="Arial"/>
          <w:color w:val="000000"/>
          <w:sz w:val="24"/>
        </w:rPr>
      </w:pPr>
      <w:r>
        <w:rPr>
          <w:rFonts w:ascii="Arial" w:hAnsi="Arial" w:cs="Arial"/>
          <w:color w:val="000000"/>
          <w:sz w:val="24"/>
        </w:rPr>
        <w:t>1</w:t>
      </w:r>
      <w:r>
        <w:rPr>
          <w:rFonts w:hint="eastAsia" w:ascii="Arial" w:hAnsi="Arial" w:cs="Arial"/>
          <w:color w:val="000000"/>
          <w:sz w:val="24"/>
        </w:rPr>
        <w:t>、竞争比选响应单位将按竞争比选文件规定履行合同责任和义务。</w:t>
      </w:r>
    </w:p>
    <w:p>
      <w:pPr>
        <w:tabs>
          <w:tab w:val="left" w:pos="900"/>
        </w:tabs>
        <w:spacing w:line="300" w:lineRule="auto"/>
        <w:rPr>
          <w:rFonts w:ascii="Arial" w:hAnsi="Arial" w:cs="Arial"/>
          <w:b/>
          <w:color w:val="000000"/>
          <w:sz w:val="24"/>
        </w:rPr>
      </w:pPr>
      <w:r>
        <w:rPr>
          <w:rFonts w:ascii="Arial" w:hAnsi="Arial" w:cs="Arial"/>
          <w:color w:val="000000"/>
          <w:sz w:val="24"/>
        </w:rPr>
        <w:t>2</w:t>
      </w:r>
      <w:r>
        <w:rPr>
          <w:rFonts w:hint="eastAsia" w:ascii="Arial" w:hAnsi="Arial" w:cs="Arial"/>
          <w:color w:val="000000"/>
          <w:sz w:val="24"/>
        </w:rPr>
        <w:t>、竞争比选响应单位已详细审查全部竞争比选文件，包括修改文件（如有的话）以及全部参考资料和相关附件。我们完全理解并同意放弃对这方面有不明及误解的权利。</w:t>
      </w:r>
    </w:p>
    <w:p>
      <w:pPr>
        <w:tabs>
          <w:tab w:val="left" w:pos="900"/>
        </w:tabs>
        <w:spacing w:line="300" w:lineRule="auto"/>
        <w:rPr>
          <w:rFonts w:ascii="Arial" w:hAnsi="Arial" w:cs="Arial"/>
          <w:b/>
          <w:color w:val="000000"/>
          <w:sz w:val="24"/>
        </w:rPr>
      </w:pPr>
      <w:r>
        <w:rPr>
          <w:rFonts w:hint="eastAsia" w:ascii="Arial" w:hAnsi="Arial" w:cs="Arial"/>
          <w:color w:val="000000"/>
          <w:sz w:val="24"/>
        </w:rPr>
        <w:t>3、竞争比选响应单位同意提供采购人可能要求的与其竞争比选响应文件有关的一切数据或资料，完全理解采购人不一定要接受最低报价的竞争比选响应或收到的任何报价。</w:t>
      </w:r>
    </w:p>
    <w:p>
      <w:pPr>
        <w:tabs>
          <w:tab w:val="left" w:pos="900"/>
        </w:tabs>
        <w:spacing w:line="300" w:lineRule="auto"/>
        <w:rPr>
          <w:rFonts w:ascii="Arial" w:hAnsi="Arial" w:cs="Arial"/>
          <w:b/>
          <w:color w:val="000000"/>
          <w:sz w:val="24"/>
        </w:rPr>
      </w:pPr>
      <w:r>
        <w:rPr>
          <w:rFonts w:hint="eastAsia" w:ascii="Arial" w:hAnsi="Arial" w:cs="Arial"/>
          <w:color w:val="000000"/>
          <w:sz w:val="24"/>
        </w:rPr>
        <w:t>4、与本竞争比选响应有关的一切正式往来通讯请寄：</w:t>
      </w:r>
    </w:p>
    <w:p>
      <w:pPr>
        <w:tabs>
          <w:tab w:val="left" w:pos="900"/>
        </w:tabs>
        <w:spacing w:line="300" w:lineRule="auto"/>
        <w:rPr>
          <w:rFonts w:ascii="Arial" w:hAnsi="Arial" w:cs="Arial"/>
          <w:b/>
          <w:color w:val="000000"/>
          <w:sz w:val="24"/>
        </w:rPr>
      </w:pPr>
      <w:r>
        <w:rPr>
          <w:rFonts w:hint="eastAsia" w:ascii="Arial" w:hAnsi="Arial" w:cs="Arial"/>
          <w:color w:val="000000"/>
          <w:sz w:val="24"/>
        </w:rPr>
        <w:t>地址：</w:t>
      </w:r>
      <w:r>
        <w:rPr>
          <w:rFonts w:ascii="Arial" w:hAnsi="Arial" w:cs="Arial"/>
          <w:color w:val="000000"/>
          <w:sz w:val="24"/>
          <w:u w:val="single"/>
        </w:rPr>
        <w:t xml:space="preserve">                         </w:t>
      </w:r>
      <w:r>
        <w:rPr>
          <w:rFonts w:ascii="Arial" w:hAnsi="Arial" w:cs="Arial"/>
          <w:color w:val="000000"/>
          <w:sz w:val="24"/>
        </w:rPr>
        <w:t xml:space="preserve">   </w:t>
      </w:r>
      <w:r>
        <w:rPr>
          <w:rFonts w:hint="eastAsia" w:ascii="Arial" w:hAnsi="Arial" w:cs="Arial"/>
          <w:color w:val="000000"/>
          <w:sz w:val="24"/>
        </w:rPr>
        <w:t>邮编：</w:t>
      </w:r>
      <w:r>
        <w:rPr>
          <w:rFonts w:ascii="Arial" w:hAnsi="Arial" w:cs="Arial"/>
          <w:color w:val="000000"/>
          <w:sz w:val="24"/>
          <w:u w:val="single"/>
        </w:rPr>
        <w:t xml:space="preserve">            </w:t>
      </w:r>
      <w:r>
        <w:rPr>
          <w:rFonts w:ascii="Arial" w:hAnsi="Arial" w:cs="Arial"/>
          <w:b/>
          <w:color w:val="000000"/>
          <w:sz w:val="24"/>
        </w:rPr>
        <w:t xml:space="preserve">  </w:t>
      </w:r>
    </w:p>
    <w:p>
      <w:pPr>
        <w:tabs>
          <w:tab w:val="left" w:pos="900"/>
        </w:tabs>
        <w:spacing w:line="300" w:lineRule="auto"/>
        <w:rPr>
          <w:rFonts w:ascii="Arial" w:hAnsi="Arial" w:cs="Arial"/>
          <w:color w:val="000000"/>
          <w:sz w:val="24"/>
          <w:u w:val="single"/>
        </w:rPr>
      </w:pPr>
      <w:r>
        <w:rPr>
          <w:rFonts w:hint="eastAsia" w:ascii="Arial" w:hAnsi="Arial" w:cs="Arial"/>
          <w:color w:val="000000"/>
          <w:sz w:val="24"/>
        </w:rPr>
        <w:t>电话：</w:t>
      </w:r>
      <w:r>
        <w:rPr>
          <w:rFonts w:ascii="Arial" w:hAnsi="Arial" w:cs="Arial"/>
          <w:color w:val="000000"/>
          <w:sz w:val="24"/>
          <w:u w:val="single"/>
        </w:rPr>
        <w:t xml:space="preserve">                   </w:t>
      </w:r>
      <w:r>
        <w:rPr>
          <w:rFonts w:ascii="Arial" w:hAnsi="Arial" w:cs="Arial"/>
          <w:color w:val="000000"/>
          <w:sz w:val="24"/>
        </w:rPr>
        <w:t xml:space="preserve">         </w:t>
      </w:r>
      <w:r>
        <w:rPr>
          <w:rFonts w:hint="eastAsia" w:ascii="Arial" w:hAnsi="Arial" w:cs="Arial"/>
          <w:color w:val="000000"/>
          <w:sz w:val="24"/>
        </w:rPr>
        <w:t>传真：</w:t>
      </w:r>
      <w:r>
        <w:rPr>
          <w:rFonts w:ascii="Arial" w:hAnsi="Arial" w:cs="Arial"/>
          <w:color w:val="000000"/>
          <w:sz w:val="24"/>
          <w:u w:val="single"/>
        </w:rPr>
        <w:t xml:space="preserve">            </w:t>
      </w:r>
    </w:p>
    <w:p>
      <w:pPr>
        <w:tabs>
          <w:tab w:val="left" w:pos="900"/>
        </w:tabs>
        <w:spacing w:line="300" w:lineRule="auto"/>
        <w:rPr>
          <w:rFonts w:ascii="Arial" w:hAnsi="Arial" w:cs="Arial"/>
          <w:sz w:val="24"/>
        </w:rPr>
      </w:pPr>
      <w:r>
        <w:rPr>
          <w:rFonts w:hint="eastAsia" w:ascii="Arial" w:hAnsi="Arial" w:cs="Arial"/>
          <w:sz w:val="24"/>
        </w:rPr>
        <w:t>竞争比选响应单位法定代表人或授权代表人（签字）：</w:t>
      </w:r>
      <w:r>
        <w:rPr>
          <w:rFonts w:ascii="Arial" w:hAnsi="Arial" w:cs="Arial"/>
          <w:sz w:val="24"/>
          <w:u w:val="single"/>
        </w:rPr>
        <w:t xml:space="preserve">             </w:t>
      </w:r>
      <w:r>
        <w:rPr>
          <w:rFonts w:ascii="Arial" w:hAnsi="Arial" w:cs="Arial"/>
          <w:sz w:val="24"/>
        </w:rPr>
        <w:t xml:space="preserve">  </w:t>
      </w:r>
    </w:p>
    <w:p>
      <w:pPr>
        <w:tabs>
          <w:tab w:val="left" w:pos="900"/>
        </w:tabs>
        <w:spacing w:line="300" w:lineRule="auto"/>
        <w:rPr>
          <w:rFonts w:ascii="Arial" w:hAnsi="Arial" w:cs="Arial"/>
          <w:sz w:val="24"/>
        </w:rPr>
      </w:pPr>
      <w:r>
        <w:rPr>
          <w:rFonts w:hint="eastAsia" w:ascii="Arial" w:hAnsi="Arial" w:cs="Arial"/>
          <w:sz w:val="24"/>
        </w:rPr>
        <w:t>竞争比选响应单位法定代表人或授权代表人职务：</w:t>
      </w:r>
      <w:r>
        <w:rPr>
          <w:rFonts w:ascii="Arial" w:hAnsi="Arial" w:cs="Arial"/>
          <w:sz w:val="24"/>
          <w:u w:val="single"/>
        </w:rPr>
        <w:t xml:space="preserve">             </w:t>
      </w:r>
      <w:r>
        <w:rPr>
          <w:rFonts w:ascii="Arial" w:hAnsi="Arial" w:cs="Arial"/>
          <w:sz w:val="24"/>
        </w:rPr>
        <w:t xml:space="preserve">               </w:t>
      </w:r>
    </w:p>
    <w:p>
      <w:pPr>
        <w:tabs>
          <w:tab w:val="left" w:pos="900"/>
        </w:tabs>
        <w:spacing w:line="300" w:lineRule="auto"/>
        <w:rPr>
          <w:rFonts w:ascii="Arial" w:hAnsi="Arial" w:cs="Arial"/>
          <w:color w:val="000000"/>
          <w:sz w:val="24"/>
        </w:rPr>
      </w:pPr>
      <w:r>
        <w:rPr>
          <w:rFonts w:hint="eastAsia" w:ascii="Arial" w:hAnsi="Arial" w:cs="Arial"/>
          <w:sz w:val="24"/>
        </w:rPr>
        <w:t>竞争比选响应单位名称（加盖公章）：</w:t>
      </w:r>
      <w:r>
        <w:rPr>
          <w:rFonts w:ascii="Arial" w:hAnsi="Arial" w:cs="Arial"/>
          <w:sz w:val="24"/>
          <w:u w:val="single"/>
        </w:rPr>
        <w:t xml:space="preserve">               </w:t>
      </w:r>
      <w:r>
        <w:rPr>
          <w:rFonts w:ascii="Arial" w:hAnsi="Arial" w:cs="Arial"/>
          <w:color w:val="000000"/>
          <w:sz w:val="24"/>
          <w:u w:val="single"/>
        </w:rPr>
        <w:t xml:space="preserve">                  </w:t>
      </w:r>
    </w:p>
    <w:p>
      <w:pPr>
        <w:tabs>
          <w:tab w:val="left" w:pos="900"/>
        </w:tabs>
        <w:spacing w:line="300" w:lineRule="auto"/>
        <w:rPr>
          <w:rFonts w:ascii="Arial" w:hAnsi="Arial" w:cs="Arial"/>
          <w:color w:val="000000"/>
          <w:sz w:val="24"/>
        </w:rPr>
      </w:pPr>
      <w:r>
        <w:rPr>
          <w:rFonts w:hint="eastAsia" w:ascii="Arial" w:hAnsi="Arial" w:cs="Arial"/>
          <w:color w:val="000000"/>
          <w:sz w:val="24"/>
        </w:rPr>
        <w:t>日期：</w:t>
      </w:r>
      <w:r>
        <w:rPr>
          <w:rFonts w:hint="eastAsia" w:ascii="Arial" w:hAnsi="Arial" w:cs="Arial"/>
          <w:color w:val="000000"/>
          <w:sz w:val="24"/>
          <w:u w:val="single"/>
        </w:rPr>
        <w:t xml:space="preserve">     </w:t>
      </w:r>
      <w:r>
        <w:rPr>
          <w:rFonts w:hint="eastAsia" w:ascii="Arial" w:hAnsi="Arial" w:cs="Arial"/>
          <w:color w:val="000000"/>
          <w:sz w:val="24"/>
        </w:rPr>
        <w:t>年</w:t>
      </w:r>
      <w:r>
        <w:rPr>
          <w:rFonts w:ascii="Arial" w:hAnsi="Arial" w:cs="Arial"/>
          <w:color w:val="000000"/>
          <w:sz w:val="24"/>
          <w:u w:val="single"/>
        </w:rPr>
        <w:t xml:space="preserve">      </w:t>
      </w:r>
      <w:r>
        <w:rPr>
          <w:rFonts w:hint="eastAsia" w:ascii="Arial" w:hAnsi="Arial" w:cs="Arial"/>
          <w:color w:val="000000"/>
          <w:sz w:val="24"/>
        </w:rPr>
        <w:t>月</w:t>
      </w:r>
      <w:r>
        <w:rPr>
          <w:rFonts w:ascii="Arial" w:hAnsi="Arial" w:cs="Arial"/>
          <w:color w:val="000000"/>
          <w:sz w:val="24"/>
          <w:u w:val="single"/>
        </w:rPr>
        <w:t xml:space="preserve">    </w:t>
      </w:r>
      <w:r>
        <w:rPr>
          <w:rFonts w:hint="eastAsia" w:ascii="Arial" w:hAnsi="Arial" w:cs="Arial"/>
          <w:color w:val="000000"/>
          <w:sz w:val="24"/>
          <w:u w:val="single"/>
        </w:rPr>
        <w:t xml:space="preserve">  </w:t>
      </w:r>
      <w:r>
        <w:rPr>
          <w:rFonts w:hint="eastAsia" w:ascii="Arial" w:hAnsi="Arial" w:cs="Arial"/>
          <w:color w:val="000000"/>
          <w:sz w:val="24"/>
        </w:rPr>
        <w:t>日</w:t>
      </w:r>
      <w:r>
        <w:rPr>
          <w:rFonts w:ascii="Arial" w:hAnsi="Arial" w:cs="Arial"/>
          <w:color w:val="000000"/>
          <w:sz w:val="24"/>
        </w:rPr>
        <w:t xml:space="preserve"> </w:t>
      </w:r>
    </w:p>
    <w:p>
      <w:pPr>
        <w:outlineLvl w:val="0"/>
        <w:rPr>
          <w:b/>
          <w:sz w:val="24"/>
        </w:rPr>
      </w:pPr>
    </w:p>
    <w:p>
      <w:pPr>
        <w:outlineLvl w:val="0"/>
        <w:rPr>
          <w:b/>
          <w:sz w:val="24"/>
        </w:rPr>
      </w:pPr>
    </w:p>
    <w:p>
      <w:pPr>
        <w:outlineLvl w:val="0"/>
        <w:rPr>
          <w:b/>
          <w:sz w:val="24"/>
        </w:rPr>
      </w:pPr>
    </w:p>
    <w:p>
      <w:pPr>
        <w:pStyle w:val="4"/>
        <w:jc w:val="center"/>
        <w:outlineLvl w:val="0"/>
        <w:rPr>
          <w:rFonts w:ascii="宋体" w:hAnsi="宋体" w:eastAsia="宋体" w:cs="宋体"/>
          <w:sz w:val="28"/>
          <w:szCs w:val="28"/>
        </w:rPr>
      </w:pPr>
      <w:bookmarkStart w:id="219" w:name="_Toc27815"/>
      <w:bookmarkStart w:id="220" w:name="_Toc491883232"/>
      <w:r>
        <w:rPr>
          <w:rFonts w:hint="eastAsia" w:ascii="宋体" w:hAnsi="宋体" w:eastAsia="宋体" w:cs="宋体"/>
          <w:sz w:val="28"/>
          <w:szCs w:val="28"/>
        </w:rPr>
        <w:t>二、法定代表人身份证明或法定代表人授权委托书</w:t>
      </w:r>
      <w:bookmarkEnd w:id="219"/>
    </w:p>
    <w:p>
      <w:pPr>
        <w:pStyle w:val="4"/>
        <w:jc w:val="center"/>
        <w:rPr>
          <w:rFonts w:ascii="宋体" w:hAnsi="宋体" w:eastAsia="宋体" w:cs="宋体"/>
          <w:sz w:val="24"/>
          <w:szCs w:val="24"/>
        </w:rPr>
      </w:pPr>
      <w:bookmarkStart w:id="221" w:name="_Toc14141"/>
      <w:r>
        <w:rPr>
          <w:rFonts w:hint="eastAsia" w:ascii="宋体" w:hAnsi="宋体" w:eastAsia="宋体" w:cs="宋体"/>
          <w:sz w:val="24"/>
          <w:szCs w:val="24"/>
        </w:rPr>
        <w:t>（一）法定代表人身份证明</w:t>
      </w:r>
      <w:bookmarkEnd w:id="220"/>
      <w:bookmarkEnd w:id="221"/>
    </w:p>
    <w:p>
      <w:pPr>
        <w:spacing w:line="440" w:lineRule="exact"/>
        <w:rPr>
          <w:rFonts w:ascii="宋体" w:hAnsi="宋体"/>
        </w:rPr>
      </w:pPr>
      <w:r>
        <w:rPr>
          <w:rFonts w:hint="eastAsia" w:ascii="宋体" w:hAnsi="宋体"/>
        </w:rPr>
        <w:t>报价人</w:t>
      </w:r>
      <w:r>
        <w:rPr>
          <w:rFonts w:ascii="宋体" w:hAnsi="宋体"/>
        </w:rPr>
        <w:t>名称：</w:t>
      </w:r>
      <w:r>
        <w:rPr>
          <w:rFonts w:ascii="宋体" w:hAnsi="宋体"/>
          <w:u w:val="single"/>
        </w:rPr>
        <w:t xml:space="preserve">                        </w:t>
      </w:r>
    </w:p>
    <w:p>
      <w:pPr>
        <w:spacing w:line="440" w:lineRule="exact"/>
        <w:rPr>
          <w:rFonts w:ascii="宋体" w:hAnsi="宋体"/>
        </w:rPr>
      </w:pPr>
      <w:r>
        <w:rPr>
          <w:rFonts w:ascii="宋体" w:hAnsi="宋体"/>
        </w:rPr>
        <w:t>姓名：</w:t>
      </w:r>
      <w:r>
        <w:rPr>
          <w:rFonts w:ascii="宋体" w:hAnsi="宋体"/>
          <w:u w:val="single"/>
        </w:rPr>
        <w:t xml:space="preserve">                </w:t>
      </w:r>
      <w:r>
        <w:rPr>
          <w:rFonts w:ascii="宋体" w:hAnsi="宋体"/>
        </w:rPr>
        <w:t>性别：</w:t>
      </w:r>
      <w:bookmarkStart w:id="222" w:name="_Toc27897"/>
      <w:bookmarkStart w:id="223" w:name="_Toc352691662"/>
      <w:bookmarkStart w:id="224" w:name="_Toc369531698"/>
      <w:r>
        <w:rPr>
          <w:rFonts w:ascii="宋体" w:hAnsi="宋体"/>
          <w:u w:val="single"/>
        </w:rPr>
        <w:t xml:space="preserve">        </w:t>
      </w:r>
      <w:r>
        <w:rPr>
          <w:rFonts w:ascii="宋体" w:hAnsi="宋体"/>
        </w:rPr>
        <w:t>年</w:t>
      </w:r>
      <w:bookmarkEnd w:id="222"/>
      <w:bookmarkEnd w:id="223"/>
      <w:bookmarkEnd w:id="224"/>
      <w:r>
        <w:rPr>
          <w:rFonts w:ascii="宋体" w:hAnsi="宋体"/>
        </w:rPr>
        <w:t>龄</w:t>
      </w:r>
      <w:bookmarkStart w:id="225" w:name="_Toc384308377"/>
      <w:bookmarkStart w:id="226" w:name="_Toc300835211"/>
      <w:bookmarkStart w:id="227" w:name="_Toc247527829"/>
      <w:bookmarkStart w:id="228" w:name="_Toc152042578"/>
      <w:bookmarkStart w:id="229" w:name="_Toc247514248"/>
      <w:bookmarkStart w:id="230" w:name="_Toc361508754"/>
      <w:bookmarkStart w:id="231" w:name="_Toc352691663"/>
      <w:bookmarkStart w:id="232" w:name="_Toc144974858"/>
      <w:bookmarkStart w:id="233" w:name="_Toc152045789"/>
      <w:bookmarkStart w:id="234" w:name="_Toc15573"/>
      <w:bookmarkStart w:id="235" w:name="_Toc369531699"/>
      <w:r>
        <w:rPr>
          <w:rFonts w:ascii="宋体" w:hAnsi="宋体"/>
        </w:rPr>
        <w:t>：</w:t>
      </w:r>
      <w:bookmarkEnd w:id="225"/>
      <w:bookmarkEnd w:id="226"/>
      <w:bookmarkEnd w:id="227"/>
      <w:bookmarkEnd w:id="228"/>
      <w:bookmarkEnd w:id="229"/>
      <w:bookmarkEnd w:id="230"/>
      <w:bookmarkEnd w:id="231"/>
      <w:bookmarkEnd w:id="232"/>
      <w:bookmarkEnd w:id="233"/>
      <w:bookmarkEnd w:id="234"/>
      <w:bookmarkEnd w:id="235"/>
      <w:r>
        <w:rPr>
          <w:rFonts w:ascii="宋体" w:hAnsi="宋体"/>
          <w:u w:val="single"/>
        </w:rPr>
        <w:t xml:space="preserve">        </w:t>
      </w:r>
      <w:r>
        <w:rPr>
          <w:rFonts w:ascii="宋体" w:hAnsi="宋体"/>
        </w:rPr>
        <w:t>职务：</w:t>
      </w:r>
      <w:r>
        <w:rPr>
          <w:rFonts w:ascii="宋体" w:hAnsi="宋体"/>
          <w:u w:val="single"/>
        </w:rPr>
        <w:t xml:space="preserve">        </w:t>
      </w:r>
    </w:p>
    <w:p>
      <w:pPr>
        <w:spacing w:line="440" w:lineRule="exact"/>
        <w:rPr>
          <w:rFonts w:ascii="宋体" w:hAnsi="宋体"/>
        </w:rPr>
      </w:pPr>
      <w:r>
        <w:rPr>
          <w:rFonts w:ascii="宋体" w:hAnsi="宋体"/>
        </w:rPr>
        <w:t>系</w:t>
      </w:r>
      <w:r>
        <w:rPr>
          <w:rFonts w:ascii="宋体" w:hAnsi="宋体"/>
          <w:u w:val="single"/>
        </w:rPr>
        <w:t xml:space="preserve">                        </w:t>
      </w:r>
      <w:r>
        <w:rPr>
          <w:rFonts w:ascii="宋体" w:hAnsi="宋体"/>
        </w:rPr>
        <w:t>（</w:t>
      </w:r>
      <w:r>
        <w:rPr>
          <w:rFonts w:hint="eastAsia" w:ascii="宋体" w:hAnsi="宋体"/>
        </w:rPr>
        <w:t>报价人</w:t>
      </w:r>
      <w:r>
        <w:rPr>
          <w:rFonts w:ascii="宋体" w:hAnsi="宋体"/>
        </w:rPr>
        <w:t>名称）的法定代表人。</w:t>
      </w:r>
    </w:p>
    <w:p>
      <w:pPr>
        <w:spacing w:line="440" w:lineRule="exact"/>
        <w:ind w:firstLine="420" w:firstLineChars="200"/>
        <w:rPr>
          <w:rFonts w:ascii="宋体" w:hAnsi="宋体"/>
        </w:rPr>
      </w:pPr>
      <w:r>
        <w:rPr>
          <w:rFonts w:ascii="宋体" w:hAnsi="宋体"/>
        </w:rPr>
        <w:t>特此证明。</w:t>
      </w:r>
    </w:p>
    <w:p>
      <w:pPr>
        <w:spacing w:line="440" w:lineRule="exact"/>
        <w:rPr>
          <w:rFonts w:ascii="宋体" w:hAnsi="宋体"/>
        </w:rPr>
      </w:pPr>
    </w:p>
    <w:p>
      <w:pPr>
        <w:spacing w:line="440" w:lineRule="exact"/>
        <w:rPr>
          <w:rFonts w:ascii="宋体" w:hAnsi="宋体"/>
        </w:rPr>
      </w:pPr>
      <w:r>
        <w:rPr>
          <w:rFonts w:ascii="宋体" w:hAnsi="宋体"/>
        </w:rPr>
        <w:t>附：法定代表人身份证复印件</w:t>
      </w:r>
      <w:r>
        <w:rPr>
          <w:rFonts w:hint="eastAsia" w:ascii="宋体" w:hAnsi="宋体"/>
        </w:rPr>
        <w:t>（正、反面）</w:t>
      </w:r>
      <w:r>
        <w:rPr>
          <w:rFonts w:ascii="宋体" w:hAnsi="宋体"/>
        </w:rPr>
        <w:t>。</w:t>
      </w: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jc w:val="center"/>
        <w:rPr>
          <w:rFonts w:ascii="宋体" w:hAnsi="宋体"/>
        </w:rPr>
      </w:pPr>
      <w:r>
        <w:rPr>
          <w:rFonts w:ascii="宋体" w:hAnsi="宋体"/>
        </w:rPr>
        <w:t xml:space="preserve">                              </w:t>
      </w:r>
      <w:r>
        <w:rPr>
          <w:rFonts w:hint="eastAsia" w:ascii="宋体" w:hAnsi="宋体"/>
        </w:rPr>
        <w:t>报价人</w:t>
      </w:r>
      <w:r>
        <w:rPr>
          <w:rFonts w:ascii="宋体" w:hAnsi="宋体"/>
        </w:rPr>
        <w:t>：</w:t>
      </w:r>
      <w:r>
        <w:rPr>
          <w:rFonts w:ascii="宋体" w:hAnsi="宋体"/>
          <w:szCs w:val="21"/>
          <w:u w:val="single"/>
        </w:rPr>
        <w:t xml:space="preserve">          </w:t>
      </w:r>
      <w:r>
        <w:rPr>
          <w:rFonts w:ascii="宋体" w:hAnsi="宋体"/>
          <w:szCs w:val="21"/>
          <w:u w:val="single"/>
        </w:rPr>
        <w:tab/>
      </w:r>
      <w:r>
        <w:rPr>
          <w:rFonts w:ascii="宋体" w:hAnsi="宋体"/>
        </w:rPr>
        <w:t>（</w:t>
      </w:r>
      <w:r>
        <w:rPr>
          <w:rFonts w:hint="eastAsia" w:ascii="宋体" w:hAnsi="宋体"/>
        </w:rPr>
        <w:t>盖</w:t>
      </w:r>
      <w:r>
        <w:rPr>
          <w:rFonts w:ascii="宋体" w:hAnsi="宋体"/>
        </w:rPr>
        <w:t>单位</w:t>
      </w:r>
      <w:r>
        <w:rPr>
          <w:rFonts w:hint="eastAsia" w:ascii="宋体" w:hAnsi="宋体"/>
        </w:rPr>
        <w:t>公章</w:t>
      </w:r>
      <w:r>
        <w:rPr>
          <w:rFonts w:ascii="宋体" w:hAnsi="宋体"/>
        </w:rPr>
        <w:t>）</w:t>
      </w:r>
    </w:p>
    <w:p>
      <w:pPr>
        <w:spacing w:line="440" w:lineRule="exact"/>
        <w:rPr>
          <w:rFonts w:ascii="宋体" w:hAnsi="宋体"/>
        </w:rPr>
      </w:pPr>
    </w:p>
    <w:p>
      <w:pPr>
        <w:spacing w:line="440" w:lineRule="exact"/>
        <w:ind w:firstLine="4620" w:firstLineChars="2200"/>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pPr>
        <w:rPr>
          <w:rFonts w:ascii="宋体" w:hAnsi="宋体"/>
        </w:rPr>
      </w:pPr>
    </w:p>
    <w:p>
      <w:pPr>
        <w:rPr>
          <w:rFonts w:ascii="宋体" w:hAnsi="宋体"/>
        </w:rPr>
      </w:pPr>
    </w:p>
    <w:p>
      <w:pPr>
        <w:spacing w:line="440" w:lineRule="exact"/>
        <w:rPr>
          <w:rFonts w:ascii="宋体" w:hAnsi="宋体"/>
        </w:rPr>
      </w:pPr>
      <w:r>
        <w:rPr>
          <w:rFonts w:ascii="宋体" w:hAnsi="宋体"/>
        </w:rPr>
        <w:t>注：本身份证明需由</w:t>
      </w:r>
      <w:r>
        <w:rPr>
          <w:rFonts w:hint="eastAsia" w:ascii="宋体" w:hAnsi="宋体"/>
        </w:rPr>
        <w:t>报价人</w:t>
      </w:r>
      <w:r>
        <w:rPr>
          <w:rFonts w:ascii="宋体" w:hAnsi="宋体"/>
        </w:rPr>
        <w:t>加盖单位</w:t>
      </w:r>
      <w:r>
        <w:rPr>
          <w:rFonts w:hint="eastAsia" w:ascii="宋体" w:hAnsi="宋体"/>
        </w:rPr>
        <w:t>公章</w:t>
      </w:r>
      <w:r>
        <w:rPr>
          <w:rFonts w:ascii="宋体" w:hAnsi="宋体"/>
        </w:rPr>
        <w:t>。</w:t>
      </w:r>
    </w:p>
    <w:p>
      <w:pPr>
        <w:spacing w:line="440" w:lineRule="exact"/>
        <w:rPr>
          <w:rFonts w:ascii="宋体" w:hAnsi="宋体"/>
          <w:sz w:val="20"/>
        </w:rPr>
      </w:pPr>
    </w:p>
    <w:p>
      <w:pPr>
        <w:spacing w:line="20" w:lineRule="exact"/>
        <w:jc w:val="center"/>
        <w:rPr>
          <w:rFonts w:ascii="宋体" w:hAnsi="宋体"/>
          <w:sz w:val="20"/>
        </w:rPr>
      </w:pPr>
      <w:r>
        <w:rPr>
          <w:rFonts w:ascii="宋体" w:hAnsi="宋体"/>
          <w:sz w:val="20"/>
        </w:rPr>
        <w:br w:type="page"/>
      </w:r>
    </w:p>
    <w:p>
      <w:pPr>
        <w:pStyle w:val="4"/>
        <w:jc w:val="center"/>
        <w:rPr>
          <w:rFonts w:ascii="宋体" w:hAnsi="宋体"/>
          <w:sz w:val="28"/>
          <w:szCs w:val="28"/>
        </w:rPr>
      </w:pPr>
      <w:bookmarkStart w:id="236" w:name="_Toc491883233"/>
      <w:bookmarkStart w:id="237" w:name="_Toc58"/>
      <w:r>
        <w:rPr>
          <w:rFonts w:hint="eastAsia" w:ascii="宋体" w:hAnsi="宋体" w:eastAsia="宋体" w:cs="宋体"/>
          <w:sz w:val="24"/>
          <w:szCs w:val="24"/>
        </w:rPr>
        <w:t>（二）</w:t>
      </w:r>
      <w:bookmarkEnd w:id="236"/>
      <w:r>
        <w:rPr>
          <w:rFonts w:hint="eastAsia" w:ascii="宋体" w:hAnsi="宋体" w:eastAsia="宋体" w:cs="宋体"/>
          <w:sz w:val="24"/>
          <w:szCs w:val="24"/>
        </w:rPr>
        <w:t>法定代表人授权委托书</w:t>
      </w:r>
      <w:bookmarkEnd w:id="237"/>
    </w:p>
    <w:p>
      <w:pPr>
        <w:topLinePunct/>
        <w:spacing w:line="440" w:lineRule="exact"/>
        <w:ind w:firstLine="420" w:firstLineChars="200"/>
        <w:rPr>
          <w:rFonts w:ascii="宋体" w:hAnsi="宋体"/>
        </w:rPr>
      </w:pPr>
      <w:r>
        <w:rPr>
          <w:rFonts w:ascii="宋体" w:hAnsi="宋体"/>
        </w:rPr>
        <w:t>本人</w:t>
      </w:r>
      <w:r>
        <w:rPr>
          <w:rFonts w:ascii="宋体" w:hAnsi="宋体"/>
          <w:u w:val="single"/>
        </w:rPr>
        <w:t xml:space="preserve">              </w:t>
      </w:r>
      <w:r>
        <w:rPr>
          <w:rFonts w:ascii="宋体" w:hAnsi="宋体"/>
        </w:rPr>
        <w:t>（姓名）系</w:t>
      </w:r>
      <w:r>
        <w:rPr>
          <w:rFonts w:ascii="宋体" w:hAnsi="宋体"/>
          <w:u w:val="single"/>
        </w:rPr>
        <w:t xml:space="preserve">                    </w:t>
      </w:r>
      <w:r>
        <w:rPr>
          <w:rFonts w:ascii="宋体" w:hAnsi="宋体"/>
        </w:rPr>
        <w:t>（</w:t>
      </w:r>
      <w:r>
        <w:rPr>
          <w:rFonts w:hint="eastAsia" w:ascii="宋体" w:hAnsi="宋体"/>
        </w:rPr>
        <w:t>报价人</w:t>
      </w:r>
      <w:r>
        <w:rPr>
          <w:rFonts w:ascii="宋体" w:hAnsi="宋体"/>
        </w:rPr>
        <w:t>名称）的法定代表人，现委托</w:t>
      </w:r>
      <w:r>
        <w:rPr>
          <w:rFonts w:ascii="宋体" w:hAnsi="宋体"/>
          <w:u w:val="single"/>
        </w:rPr>
        <w:t xml:space="preserve">            </w:t>
      </w:r>
      <w:r>
        <w:rPr>
          <w:rFonts w:ascii="宋体" w:hAnsi="宋体"/>
        </w:rPr>
        <w:t>（姓名）为我方代理人。代理人根据授权，以我方名义签署、澄清确认、递交、撤回、修改招标项目</w:t>
      </w:r>
      <w:r>
        <w:rPr>
          <w:rFonts w:hint="eastAsia" w:ascii="宋体" w:hAnsi="宋体"/>
        </w:rPr>
        <w:t>比选</w:t>
      </w:r>
      <w:r>
        <w:rPr>
          <w:rFonts w:ascii="宋体" w:hAnsi="宋体"/>
        </w:rPr>
        <w:t>文件、签订合同和处理有关事宜，其法律后果由我方承担。</w:t>
      </w:r>
    </w:p>
    <w:p>
      <w:pPr>
        <w:spacing w:line="440" w:lineRule="exact"/>
        <w:rPr>
          <w:rFonts w:ascii="宋体" w:hAnsi="宋体"/>
        </w:rPr>
      </w:pPr>
      <w:r>
        <w:rPr>
          <w:rFonts w:ascii="宋体" w:hAnsi="宋体"/>
        </w:rPr>
        <w:t>委托期限：</w:t>
      </w:r>
      <w:r>
        <w:rPr>
          <w:rFonts w:ascii="宋体" w:hAnsi="宋体"/>
          <w:u w:val="single"/>
        </w:rPr>
        <w:t xml:space="preserve">                       </w:t>
      </w:r>
      <w:r>
        <w:rPr>
          <w:rFonts w:ascii="宋体" w:hAnsi="宋体"/>
        </w:rPr>
        <w:t>。</w:t>
      </w:r>
    </w:p>
    <w:p>
      <w:pPr>
        <w:spacing w:line="440" w:lineRule="exact"/>
        <w:ind w:firstLine="420" w:firstLineChars="200"/>
        <w:rPr>
          <w:rFonts w:ascii="宋体" w:hAnsi="宋体"/>
        </w:rPr>
      </w:pPr>
      <w:r>
        <w:rPr>
          <w:rFonts w:ascii="宋体" w:hAnsi="宋体"/>
        </w:rPr>
        <w:t>代理人无转委托权。</w:t>
      </w:r>
    </w:p>
    <w:p>
      <w:pPr>
        <w:spacing w:line="440" w:lineRule="exact"/>
        <w:ind w:firstLine="420" w:firstLineChars="200"/>
        <w:rPr>
          <w:rFonts w:ascii="宋体" w:hAnsi="宋体"/>
        </w:rPr>
      </w:pPr>
    </w:p>
    <w:p>
      <w:pPr>
        <w:spacing w:line="440" w:lineRule="exact"/>
        <w:rPr>
          <w:rFonts w:ascii="宋体" w:hAnsi="宋体"/>
        </w:rPr>
      </w:pPr>
      <w:r>
        <w:rPr>
          <w:rFonts w:ascii="宋体" w:hAnsi="宋体"/>
        </w:rPr>
        <w:t>附：法定代表人身份证复印件及委托代理人身份证复印件</w:t>
      </w:r>
      <w:r>
        <w:rPr>
          <w:rFonts w:hint="eastAsia" w:ascii="宋体" w:hAnsi="宋体"/>
        </w:rPr>
        <w:t>（正、反面）</w:t>
      </w: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ind w:firstLine="2692" w:firstLineChars="1282"/>
        <w:rPr>
          <w:rFonts w:ascii="宋体" w:hAnsi="宋体"/>
        </w:rPr>
      </w:pPr>
      <w:r>
        <w:rPr>
          <w:rFonts w:hint="eastAsia" w:ascii="宋体" w:hAnsi="宋体"/>
        </w:rPr>
        <w:t>报  价  人</w:t>
      </w:r>
      <w:r>
        <w:rPr>
          <w:rFonts w:ascii="宋体" w:hAnsi="宋体"/>
        </w:rPr>
        <w:t>：</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r>
        <w:rPr>
          <w:rFonts w:ascii="宋体" w:hAnsi="宋体"/>
        </w:rPr>
        <w:t>（</w:t>
      </w:r>
      <w:r>
        <w:rPr>
          <w:rFonts w:hint="eastAsia" w:ascii="宋体" w:hAnsi="宋体"/>
        </w:rPr>
        <w:t>盖</w:t>
      </w:r>
      <w:r>
        <w:rPr>
          <w:rFonts w:ascii="宋体" w:hAnsi="宋体"/>
        </w:rPr>
        <w:t>单位</w:t>
      </w:r>
      <w:r>
        <w:rPr>
          <w:rFonts w:hint="eastAsia" w:ascii="宋体" w:hAnsi="宋体"/>
        </w:rPr>
        <w:t>公章</w:t>
      </w:r>
      <w:r>
        <w:rPr>
          <w:rFonts w:ascii="宋体" w:hAnsi="宋体"/>
        </w:rPr>
        <w:t>）</w:t>
      </w:r>
    </w:p>
    <w:p>
      <w:pPr>
        <w:spacing w:line="440" w:lineRule="exact"/>
        <w:ind w:firstLine="2690" w:firstLineChars="1281"/>
        <w:jc w:val="left"/>
        <w:rPr>
          <w:rFonts w:ascii="宋体" w:hAnsi="宋体"/>
        </w:rPr>
      </w:pPr>
      <w:r>
        <w:rPr>
          <w:rFonts w:ascii="宋体" w:hAnsi="宋体"/>
        </w:rPr>
        <w:t>法定代表人：</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ab/>
      </w:r>
      <w:r>
        <w:rPr>
          <w:rFonts w:ascii="宋体" w:hAnsi="宋体"/>
        </w:rPr>
        <w:t>（签字</w:t>
      </w:r>
      <w:r>
        <w:rPr>
          <w:rFonts w:hint="eastAsia" w:ascii="宋体" w:hAnsi="宋体"/>
        </w:rPr>
        <w:t xml:space="preserve"> </w:t>
      </w:r>
      <w:r>
        <w:rPr>
          <w:rFonts w:ascii="宋体" w:hAnsi="宋体"/>
        </w:rPr>
        <w:t>）</w:t>
      </w:r>
    </w:p>
    <w:p>
      <w:pPr>
        <w:spacing w:line="440" w:lineRule="exact"/>
        <w:ind w:firstLine="2692" w:firstLineChars="128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p>
    <w:p>
      <w:pPr>
        <w:spacing w:line="440" w:lineRule="exact"/>
        <w:ind w:firstLine="2692" w:firstLineChars="1282"/>
        <w:rPr>
          <w:rFonts w:ascii="宋体" w:hAnsi="宋体"/>
        </w:rPr>
      </w:pPr>
      <w:r>
        <w:rPr>
          <w:rFonts w:ascii="宋体" w:hAnsi="宋体"/>
        </w:rPr>
        <w:t>委托代理人：</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r>
        <w:rPr>
          <w:rFonts w:ascii="宋体" w:hAnsi="宋体"/>
        </w:rPr>
        <w:t>（签字）</w:t>
      </w:r>
    </w:p>
    <w:p>
      <w:pPr>
        <w:spacing w:line="440" w:lineRule="exact"/>
        <w:ind w:firstLine="2692" w:firstLineChars="128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p>
    <w:p>
      <w:pPr>
        <w:spacing w:line="440" w:lineRule="exact"/>
        <w:ind w:firstLine="2692" w:firstLineChars="1282"/>
        <w:rPr>
          <w:rFonts w:ascii="宋体" w:hAnsi="宋体"/>
        </w:rPr>
      </w:pPr>
    </w:p>
    <w:p>
      <w:pPr>
        <w:spacing w:line="440" w:lineRule="exact"/>
        <w:ind w:firstLine="4057" w:firstLineChars="1932"/>
        <w:jc w:val="right"/>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pPr>
        <w:rPr>
          <w:rFonts w:ascii="宋体" w:hAnsi="宋体"/>
        </w:rPr>
      </w:pPr>
    </w:p>
    <w:p>
      <w:pPr>
        <w:rPr>
          <w:rFonts w:ascii="宋体" w:hAnsi="宋体"/>
        </w:rPr>
      </w:pPr>
    </w:p>
    <w:p>
      <w:pPr>
        <w:spacing w:line="440" w:lineRule="exact"/>
        <w:rPr>
          <w:rFonts w:ascii="宋体" w:hAnsi="宋体"/>
        </w:rPr>
      </w:pPr>
      <w:r>
        <w:rPr>
          <w:rFonts w:ascii="宋体" w:hAnsi="宋体"/>
        </w:rPr>
        <w:t>注：本授权委托书需由</w:t>
      </w:r>
      <w:r>
        <w:rPr>
          <w:rFonts w:hint="eastAsia" w:ascii="宋体" w:hAnsi="宋体"/>
        </w:rPr>
        <w:t>报价人</w:t>
      </w:r>
      <w:r>
        <w:rPr>
          <w:rFonts w:ascii="宋体" w:hAnsi="宋体"/>
        </w:rPr>
        <w:t>加盖单位</w:t>
      </w:r>
      <w:r>
        <w:rPr>
          <w:rFonts w:hint="eastAsia" w:ascii="宋体" w:hAnsi="宋体"/>
        </w:rPr>
        <w:t>公章</w:t>
      </w:r>
      <w:r>
        <w:rPr>
          <w:rFonts w:ascii="宋体" w:hAnsi="宋体"/>
        </w:rPr>
        <w:t>并由其法定代表人和委托代理人签字。</w:t>
      </w:r>
    </w:p>
    <w:p>
      <w:pPr>
        <w:pStyle w:val="30"/>
        <w:sectPr>
          <w:pgSz w:w="11906" w:h="16838"/>
          <w:pgMar w:top="1440" w:right="1803" w:bottom="1440" w:left="1803" w:header="851" w:footer="992" w:gutter="0"/>
          <w:cols w:space="720" w:num="1"/>
          <w:titlePg/>
          <w:docGrid w:type="lines" w:linePitch="319" w:charSpace="0"/>
        </w:sectPr>
      </w:pPr>
    </w:p>
    <w:p>
      <w:pPr>
        <w:rPr>
          <w:rFonts w:ascii="宋体" w:hAnsi="宋体" w:cs="宋体"/>
          <w:snapToGrid w:val="0"/>
          <w:kern w:val="0"/>
          <w:szCs w:val="21"/>
        </w:rPr>
      </w:pPr>
    </w:p>
    <w:p>
      <w:pPr>
        <w:jc w:val="center"/>
        <w:outlineLvl w:val="0"/>
        <w:rPr>
          <w:rFonts w:ascii="宋体" w:hAnsi="宋体" w:cs="宋体"/>
          <w:b/>
        </w:rPr>
      </w:pPr>
      <w:bookmarkStart w:id="238" w:name="_Toc11329275"/>
      <w:r>
        <w:rPr>
          <w:rFonts w:hint="eastAsia" w:ascii="宋体" w:hAnsi="宋体" w:cs="宋体"/>
          <w:b/>
          <w:bCs/>
          <w:kern w:val="0"/>
          <w:sz w:val="28"/>
          <w:szCs w:val="32"/>
        </w:rPr>
        <w:t>三、</w:t>
      </w:r>
      <w:bookmarkEnd w:id="216"/>
      <w:bookmarkEnd w:id="217"/>
      <w:bookmarkEnd w:id="218"/>
      <w:bookmarkEnd w:id="238"/>
      <w:r>
        <w:rPr>
          <w:rFonts w:hint="eastAsia" w:ascii="宋体" w:hAnsi="宋体" w:cs="宋体"/>
          <w:b/>
          <w:bCs/>
          <w:kern w:val="0"/>
          <w:sz w:val="28"/>
          <w:szCs w:val="32"/>
        </w:rPr>
        <w:t>报价一览表</w:t>
      </w:r>
    </w:p>
    <w:p>
      <w:pPr>
        <w:ind w:left="765"/>
        <w:jc w:val="center"/>
        <w:rPr>
          <w:rFonts w:ascii="宋体" w:hAnsi="宋体" w:cs="宋体"/>
          <w:szCs w:val="21"/>
        </w:rPr>
      </w:pPr>
    </w:p>
    <w:p>
      <w:pPr>
        <w:pStyle w:val="40"/>
        <w:jc w:val="both"/>
        <w:outlineLvl w:val="1"/>
        <w:rPr>
          <w:rFonts w:hAnsi="宋体"/>
        </w:rPr>
      </w:pPr>
      <w:r>
        <w:rPr>
          <w:rFonts w:hint="eastAsia" w:hAnsi="宋体"/>
        </w:rPr>
        <w:t>重庆首讯科技股份有限公司：</w:t>
      </w:r>
    </w:p>
    <w:p>
      <w:pPr>
        <w:spacing w:line="360" w:lineRule="auto"/>
        <w:ind w:firstLine="480" w:firstLineChars="200"/>
        <w:jc w:val="left"/>
        <w:rPr>
          <w:rFonts w:ascii="宋体" w:hAnsi="宋体"/>
          <w:b/>
          <w:color w:val="000000"/>
          <w:sz w:val="24"/>
        </w:rPr>
      </w:pPr>
      <w:r>
        <w:rPr>
          <w:rFonts w:hint="eastAsia" w:ascii="宋体" w:hAnsi="宋体"/>
          <w:color w:val="000000"/>
          <w:sz w:val="24"/>
        </w:rPr>
        <w:t>在研究了竞争比选文件中所有文件后，我司对</w:t>
      </w:r>
      <w:r>
        <w:rPr>
          <w:rFonts w:hint="eastAsia" w:ascii="Arial" w:hAnsi="Arial" w:cs="Arial"/>
          <w:color w:val="000000"/>
          <w:sz w:val="24"/>
          <w:u w:val="single"/>
          <w:lang w:eastAsia="zh-CN"/>
        </w:rPr>
        <w:t>长大桥梁结构健康监测技术服务</w:t>
      </w:r>
      <w:r>
        <w:rPr>
          <w:rFonts w:hint="eastAsia" w:ascii="宋体" w:hAnsi="宋体"/>
          <w:color w:val="000000"/>
          <w:sz w:val="24"/>
        </w:rPr>
        <w:t>竞</w:t>
      </w:r>
      <w:r>
        <w:rPr>
          <w:rFonts w:hint="eastAsia" w:ascii="Arial" w:hAnsi="Arial" w:cs="Arial"/>
          <w:color w:val="000000"/>
          <w:sz w:val="24"/>
        </w:rPr>
        <w:t>争比选响应</w:t>
      </w:r>
      <w:r>
        <w:rPr>
          <w:rFonts w:hint="eastAsia" w:ascii="宋体" w:hAnsi="宋体"/>
          <w:color w:val="000000"/>
          <w:sz w:val="24"/>
        </w:rPr>
        <w:t>报价如下：</w:t>
      </w:r>
      <w:r>
        <w:rPr>
          <w:rFonts w:hint="eastAsia" w:ascii="宋体" w:hAnsi="宋体"/>
          <w:b/>
          <w:color w:val="000000"/>
          <w:sz w:val="24"/>
        </w:rPr>
        <w:t xml:space="preserve"> </w:t>
      </w:r>
    </w:p>
    <w:p>
      <w:pPr>
        <w:tabs>
          <w:tab w:val="left" w:pos="1680"/>
          <w:tab w:val="left" w:pos="4215"/>
          <w:tab w:val="left" w:pos="4305"/>
          <w:tab w:val="left" w:pos="8000"/>
        </w:tabs>
        <w:autoSpaceDE w:val="0"/>
        <w:autoSpaceDN w:val="0"/>
        <w:adjustRightInd w:val="0"/>
        <w:snapToGrid w:val="0"/>
        <w:spacing w:line="360" w:lineRule="auto"/>
        <w:ind w:firstLine="482" w:firstLineChars="200"/>
        <w:outlineLvl w:val="1"/>
        <w:rPr>
          <w:rFonts w:ascii="宋体" w:hAnsi="宋体" w:cs="宋体"/>
          <w:b/>
          <w:kern w:val="0"/>
          <w:sz w:val="28"/>
          <w:szCs w:val="28"/>
        </w:rPr>
      </w:pPr>
      <w:r>
        <w:rPr>
          <w:rFonts w:hint="eastAsia" w:ascii="宋体" w:hAnsi="宋体"/>
          <w:b/>
          <w:bCs/>
          <w:color w:val="000000"/>
          <w:sz w:val="24"/>
        </w:rPr>
        <w:t>报价采用表格形式，见“工程量清单”。</w:t>
      </w:r>
      <w:r>
        <w:rPr>
          <w:rFonts w:hint="eastAsia" w:ascii="宋体" w:hAnsi="宋体" w:cs="宋体"/>
          <w:b/>
          <w:kern w:val="0"/>
          <w:sz w:val="28"/>
          <w:szCs w:val="28"/>
        </w:rPr>
        <w:t xml:space="preserve"> </w:t>
      </w:r>
    </w:p>
    <w:p>
      <w:pPr>
        <w:spacing w:line="400" w:lineRule="exact"/>
        <w:rPr>
          <w:rFonts w:ascii="宋体" w:hAnsi="宋体" w:cs="宋体"/>
          <w:kern w:val="0"/>
          <w:szCs w:val="21"/>
        </w:rPr>
      </w:pPr>
    </w:p>
    <w:p>
      <w:pPr>
        <w:pStyle w:val="4"/>
        <w:spacing w:before="0" w:after="0" w:line="360" w:lineRule="auto"/>
        <w:jc w:val="center"/>
        <w:rPr>
          <w:rFonts w:ascii="宋体" w:hAnsi="宋体" w:eastAsia="宋体" w:cs="宋体"/>
          <w:sz w:val="28"/>
          <w:highlight w:val="none"/>
        </w:rPr>
      </w:pPr>
      <w:bookmarkStart w:id="239" w:name="_Toc503951050"/>
      <w:bookmarkStart w:id="240" w:name="_Toc11329278"/>
      <w:bookmarkStart w:id="241" w:name="_Toc513633971"/>
      <w:bookmarkStart w:id="242" w:name="_Toc144974871"/>
      <w:bookmarkStart w:id="243" w:name="_Toc179632823"/>
      <w:bookmarkStart w:id="244" w:name="_Toc246996369"/>
      <w:bookmarkStart w:id="245" w:name="_Toc152045803"/>
      <w:bookmarkStart w:id="246" w:name="_Toc152042592"/>
      <w:bookmarkStart w:id="247" w:name="_Toc447827058"/>
      <w:bookmarkStart w:id="248" w:name="_Toc247085887"/>
      <w:bookmarkStart w:id="249" w:name="_Toc246997112"/>
      <w:r>
        <w:rPr>
          <w:rFonts w:hint="eastAsia" w:ascii="宋体" w:hAnsi="宋体" w:eastAsia="宋体" w:cs="宋体"/>
          <w:sz w:val="28"/>
        </w:rPr>
        <w:br w:type="page"/>
      </w:r>
      <w:bookmarkEnd w:id="239"/>
      <w:bookmarkEnd w:id="240"/>
      <w:bookmarkEnd w:id="241"/>
      <w:bookmarkStart w:id="250" w:name="_Toc739161924"/>
      <w:r>
        <w:rPr>
          <w:rFonts w:hint="eastAsia" w:ascii="宋体" w:hAnsi="宋体" w:eastAsia="宋体" w:cs="宋体"/>
          <w:sz w:val="28"/>
          <w:highlight w:val="none"/>
          <w:lang w:val="en-US" w:eastAsia="zh-CN"/>
        </w:rPr>
        <w:t>四</w:t>
      </w:r>
      <w:r>
        <w:rPr>
          <w:rFonts w:hint="eastAsia" w:ascii="宋体" w:hAnsi="宋体" w:eastAsia="宋体" w:cs="宋体"/>
          <w:sz w:val="28"/>
          <w:highlight w:val="none"/>
        </w:rPr>
        <w:t>、审查资料</w:t>
      </w:r>
      <w:bookmarkEnd w:id="250"/>
    </w:p>
    <w:p>
      <w:pPr>
        <w:spacing w:line="360" w:lineRule="auto"/>
        <w:jc w:val="center"/>
        <w:outlineLvl w:val="1"/>
        <w:rPr>
          <w:rFonts w:ascii="宋体" w:hAnsi="宋体" w:cs="宋体"/>
          <w:b/>
          <w:bCs/>
          <w:kern w:val="0"/>
          <w:sz w:val="28"/>
          <w:szCs w:val="32"/>
          <w:highlight w:val="none"/>
        </w:rPr>
      </w:pPr>
      <w:bookmarkStart w:id="251" w:name="_Toc26946"/>
      <w:bookmarkStart w:id="252" w:name="_Toc1658678965"/>
      <w:r>
        <w:rPr>
          <w:rFonts w:hint="eastAsia" w:ascii="宋体" w:hAnsi="宋体" w:cs="宋体"/>
          <w:b/>
          <w:bCs/>
          <w:kern w:val="0"/>
          <w:sz w:val="28"/>
          <w:szCs w:val="32"/>
          <w:highlight w:val="none"/>
        </w:rPr>
        <w:t>（一）资格</w:t>
      </w:r>
      <w:r>
        <w:rPr>
          <w:rFonts w:hint="eastAsia" w:ascii="宋体" w:hAnsi="宋体" w:cs="宋体"/>
          <w:b/>
          <w:bCs/>
          <w:kern w:val="0"/>
          <w:sz w:val="28"/>
          <w:szCs w:val="32"/>
          <w:highlight w:val="none"/>
          <w:lang w:val="en-US" w:eastAsia="zh-CN"/>
        </w:rPr>
        <w:t>审查</w:t>
      </w:r>
      <w:r>
        <w:rPr>
          <w:rFonts w:hint="eastAsia" w:ascii="宋体" w:hAnsi="宋体" w:cs="宋体"/>
          <w:b/>
          <w:bCs/>
          <w:kern w:val="0"/>
          <w:sz w:val="28"/>
          <w:szCs w:val="32"/>
          <w:highlight w:val="none"/>
        </w:rPr>
        <w:t>条件</w:t>
      </w:r>
      <w:bookmarkEnd w:id="251"/>
      <w:bookmarkEnd w:id="252"/>
    </w:p>
    <w:tbl>
      <w:tblPr>
        <w:tblStyle w:val="45"/>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6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highlight w:val="none"/>
              </w:rPr>
            </w:pPr>
            <w:r>
              <w:rPr>
                <w:rFonts w:hint="eastAsia" w:ascii="宋体" w:hAnsi="宋体" w:cs="宋体"/>
                <w:szCs w:val="21"/>
                <w:highlight w:val="none"/>
              </w:rPr>
              <w:t>序号</w:t>
            </w:r>
          </w:p>
        </w:tc>
        <w:tc>
          <w:tcPr>
            <w:tcW w:w="146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highlight w:val="none"/>
                <w:lang w:eastAsia="zh-CN"/>
              </w:rPr>
            </w:pPr>
            <w:r>
              <w:rPr>
                <w:rFonts w:hint="eastAsia" w:ascii="宋体" w:hAnsi="宋体" w:cs="宋体"/>
                <w:szCs w:val="21"/>
                <w:highlight w:val="none"/>
                <w:lang w:val="en-US" w:eastAsia="zh-CN"/>
              </w:rPr>
              <w:t>项目</w:t>
            </w:r>
          </w:p>
        </w:tc>
        <w:tc>
          <w:tcPr>
            <w:tcW w:w="678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highlight w:val="none"/>
              </w:rPr>
            </w:pPr>
            <w:r>
              <w:rPr>
                <w:rFonts w:hint="eastAsia" w:ascii="宋体" w:hAnsi="宋体" w:cs="宋体"/>
                <w:szCs w:val="21"/>
                <w:highlight w:val="none"/>
              </w:rPr>
              <w:t>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trPr>
        <w:tc>
          <w:tcPr>
            <w:tcW w:w="66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highlight w:val="none"/>
                <w:lang w:val="en-US" w:eastAsia="zh-CN"/>
              </w:rPr>
            </w:pPr>
            <w:r>
              <w:rPr>
                <w:rFonts w:hint="eastAsia" w:ascii="宋体" w:hAnsi="宋体" w:cs="宋体"/>
                <w:szCs w:val="21"/>
                <w:highlight w:val="none"/>
                <w:lang w:val="en-US" w:eastAsia="zh-CN"/>
              </w:rPr>
              <w:t>1</w:t>
            </w:r>
          </w:p>
        </w:tc>
        <w:tc>
          <w:tcPr>
            <w:tcW w:w="146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基本要求</w:t>
            </w:r>
          </w:p>
        </w:tc>
        <w:tc>
          <w:tcPr>
            <w:tcW w:w="6784" w:type="dxa"/>
            <w:tcBorders>
              <w:top w:val="single" w:color="auto" w:sz="4" w:space="0"/>
              <w:left w:val="single" w:color="auto" w:sz="4" w:space="0"/>
              <w:bottom w:val="single" w:color="auto" w:sz="4" w:space="0"/>
              <w:right w:val="single" w:color="auto" w:sz="4" w:space="0"/>
            </w:tcBorders>
            <w:vAlign w:val="center"/>
          </w:tcPr>
          <w:p>
            <w:pPr>
              <w:keepNext w:val="0"/>
              <w:keepLines w:val="0"/>
              <w:numPr>
                <w:ilvl w:val="-1"/>
                <w:numId w:val="0"/>
              </w:numPr>
              <w:suppressLineNumbers w:val="0"/>
              <w:spacing w:before="0" w:beforeAutospacing="0" w:after="0" w:afterAutospacing="0" w:line="400" w:lineRule="exact"/>
              <w:ind w:left="0" w:right="0" w:firstLine="420" w:firstLineChars="200"/>
              <w:rPr>
                <w:rFonts w:hint="eastAsia"/>
                <w:lang w:val="en-US" w:eastAsia="zh-CN"/>
              </w:rPr>
            </w:pPr>
            <w:r>
              <w:rPr>
                <w:rFonts w:hint="eastAsia"/>
                <w:lang w:val="en-US" w:eastAsia="zh-CN"/>
              </w:rPr>
              <w:t>1、具有独立法人资格；</w:t>
            </w:r>
          </w:p>
          <w:p>
            <w:pPr>
              <w:keepNext w:val="0"/>
              <w:keepLines w:val="0"/>
              <w:numPr>
                <w:ilvl w:val="-1"/>
                <w:numId w:val="0"/>
              </w:numPr>
              <w:suppressLineNumbers w:val="0"/>
              <w:spacing w:before="0" w:beforeAutospacing="0" w:after="0" w:afterAutospacing="0" w:line="400" w:lineRule="exact"/>
              <w:ind w:left="0" w:right="0" w:firstLine="420" w:firstLineChars="200"/>
              <w:rPr>
                <w:rFonts w:hint="eastAsia"/>
                <w:lang w:val="en-US" w:eastAsia="zh-CN"/>
              </w:rPr>
            </w:pPr>
            <w:r>
              <w:rPr>
                <w:rFonts w:hint="eastAsia"/>
                <w:lang w:val="en-US" w:eastAsia="zh-CN"/>
              </w:rPr>
              <w:t>2、具有有效的营业执照；</w:t>
            </w:r>
          </w:p>
          <w:p>
            <w:pPr>
              <w:keepNext w:val="0"/>
              <w:keepLines w:val="0"/>
              <w:numPr>
                <w:ilvl w:val="-1"/>
                <w:numId w:val="0"/>
              </w:numPr>
              <w:suppressLineNumbers w:val="0"/>
              <w:spacing w:before="0" w:beforeAutospacing="0" w:after="0" w:afterAutospacing="0" w:line="400" w:lineRule="exact"/>
              <w:ind w:left="0" w:right="0" w:firstLine="420" w:firstLineChars="200"/>
              <w:rPr>
                <w:rFonts w:hint="default"/>
                <w:lang w:val="en-US" w:eastAsia="zh-CN"/>
              </w:rPr>
            </w:pPr>
            <w:r>
              <w:rPr>
                <w:rFonts w:hint="eastAsia"/>
                <w:lang w:val="en-US" w:eastAsia="zh-CN"/>
              </w:rPr>
              <w:t>3、报价人具有交通运输部工程质量监督机构核发有效的《公路水运工程试验检测机构等级证书》公路工程桥梁隧道工程专项试验检测机构等级证书。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lang w:val="en-US" w:eastAsia="zh-CN"/>
              </w:rPr>
            </w:pPr>
            <w:r>
              <w:rPr>
                <w:rFonts w:hint="eastAsia" w:ascii="宋体" w:hAnsi="宋体" w:cs="宋体"/>
                <w:szCs w:val="21"/>
                <w:highlight w:val="none"/>
                <w:lang w:val="en-US" w:eastAsia="zh-CN"/>
              </w:rPr>
              <w:t>2</w:t>
            </w:r>
          </w:p>
        </w:tc>
        <w:tc>
          <w:tcPr>
            <w:tcW w:w="146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lang w:val="en-US" w:eastAsia="zh-CN"/>
              </w:rPr>
            </w:pPr>
            <w:r>
              <w:rPr>
                <w:rFonts w:hint="eastAsia" w:ascii="宋体" w:hAnsi="宋体" w:cs="宋体"/>
                <w:szCs w:val="21"/>
                <w:highlight w:val="none"/>
                <w:lang w:val="en-US" w:eastAsia="zh-CN"/>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jc w:val="both"/>
              <w:rPr>
                <w:rFonts w:hint="eastAsia" w:ascii="宋体" w:hAnsi="宋体" w:cs="宋体"/>
                <w:szCs w:val="21"/>
                <w:highlight w:val="none"/>
                <w:shd w:val="clear" w:color="auto" w:fill="FFFFFF"/>
                <w:lang w:val="en-US" w:eastAsia="zh-CN"/>
              </w:rPr>
            </w:pPr>
            <w:r>
              <w:rPr>
                <w:rFonts w:hint="eastAsia" w:ascii="宋体" w:hAnsi="宋体" w:cs="宋体"/>
                <w:szCs w:val="21"/>
                <w:highlight w:val="none"/>
                <w:shd w:val="clear" w:color="auto" w:fill="FFFFFF"/>
                <w:lang w:val="en-US" w:eastAsia="zh-CN"/>
              </w:rPr>
              <w:t>2019年1月1日至报价截止日期（以合同签订时间为准）至少承担一项合同额不低于100万的桥梁健康监测项目服务业绩。（提供合同扫描件，若合同扫描件无法证明关键信息的，可提供业主证明材料）；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lang w:val="en-US" w:eastAsia="zh-CN"/>
              </w:rPr>
            </w:pPr>
            <w:r>
              <w:rPr>
                <w:rFonts w:hint="eastAsia" w:ascii="宋体" w:hAnsi="宋体" w:cs="宋体"/>
                <w:szCs w:val="21"/>
                <w:highlight w:val="none"/>
                <w:lang w:val="en-US" w:eastAsia="zh-CN"/>
              </w:rPr>
              <w:t>3</w:t>
            </w:r>
          </w:p>
        </w:tc>
        <w:tc>
          <w:tcPr>
            <w:tcW w:w="146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jc w:val="both"/>
              <w:rPr>
                <w:rFonts w:hint="eastAsia" w:ascii="宋体" w:hAnsi="宋体" w:cs="宋体"/>
                <w:szCs w:val="21"/>
                <w:highlight w:val="none"/>
                <w:shd w:val="clear" w:color="auto" w:fill="FFFFFF"/>
                <w:lang w:val="en-US" w:eastAsia="zh-CN"/>
              </w:rPr>
            </w:pPr>
            <w:r>
              <w:rPr>
                <w:rFonts w:hint="eastAsia" w:ascii="宋体" w:hAnsi="宋体" w:cs="宋体"/>
                <w:szCs w:val="21"/>
                <w:highlight w:val="none"/>
                <w:shd w:val="clear" w:color="auto" w:fill="FFFFFF"/>
                <w:lang w:val="en-US" w:eastAsia="zh-CN"/>
              </w:rPr>
              <w:t>信誉要求：在国家企业信用信息公示系统（http://www.gsxt.gov.cn/）中未被列入严重违法失信企业名单（黑名单）信息；在“信用中国”网站（http://www.creditchina.gov.cn/）中未被列入失信惩戒执行人名单。</w:t>
            </w:r>
          </w:p>
        </w:tc>
      </w:tr>
    </w:tbl>
    <w:p>
      <w:pPr>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宋体" w:eastAsia="宋体" w:cs="Times New Roman"/>
          <w:b w:val="0"/>
          <w:bCs w:val="0"/>
          <w:color w:val="auto"/>
          <w:kern w:val="0"/>
          <w:sz w:val="21"/>
          <w:szCs w:val="21"/>
          <w:highlight w:val="none"/>
          <w:lang w:val="en-US" w:eastAsia="zh-CN" w:bidi="ar-SA"/>
        </w:rPr>
      </w:pPr>
      <w:r>
        <w:rPr>
          <w:rFonts w:hint="eastAsia" w:ascii="Times New Roman" w:hAnsi="宋体" w:eastAsia="宋体" w:cs="Times New Roman"/>
          <w:b w:val="0"/>
          <w:bCs w:val="0"/>
          <w:color w:val="auto"/>
          <w:kern w:val="0"/>
          <w:sz w:val="21"/>
          <w:szCs w:val="21"/>
          <w:highlight w:val="none"/>
          <w:lang w:val="en-US" w:eastAsia="zh-CN" w:bidi="ar-SA"/>
        </w:rPr>
        <w:t xml:space="preserve"> 注：1.提供营业执照复印件及授权文件，并加盖鲜章。</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cs="宋体"/>
          <w:sz w:val="28"/>
          <w:highlight w:val="none"/>
          <w:lang w:val="en-US"/>
        </w:rPr>
      </w:pPr>
      <w:r>
        <w:rPr>
          <w:rFonts w:hint="eastAsia" w:ascii="Times New Roman" w:hAnsi="宋体" w:eastAsia="宋体" w:cs="Times New Roman"/>
          <w:b w:val="0"/>
          <w:bCs w:val="0"/>
          <w:color w:val="auto"/>
          <w:kern w:val="0"/>
          <w:sz w:val="21"/>
          <w:szCs w:val="21"/>
          <w:highlight w:val="none"/>
          <w:lang w:val="en-US" w:eastAsia="zh-CN" w:bidi="ar-SA"/>
        </w:rPr>
        <w:t xml:space="preserve"> 2.提供企业信用信息公示系统（http://www.gsxt.gov.cn/）中未被列入严重违法失信企业名单（黑名单）信息截图和</w:t>
      </w:r>
      <w:r>
        <w:rPr>
          <w:rFonts w:hint="eastAsia" w:ascii="宋体" w:hAnsi="宋体" w:cs="宋体"/>
          <w:szCs w:val="21"/>
          <w:highlight w:val="none"/>
          <w:shd w:val="clear" w:color="auto" w:fill="FFFFFF"/>
          <w:lang w:val="en-US" w:eastAsia="zh-CN"/>
        </w:rPr>
        <w:t>在“信用中国”网站（http://www.creditchina.gov.cn/）中未被列入失信惩戒执行人名单截图并加盖鲜章。</w:t>
      </w:r>
    </w:p>
    <w:p>
      <w:pPr>
        <w:rPr>
          <w:highlight w:val="none"/>
        </w:rPr>
      </w:pPr>
    </w:p>
    <w:p>
      <w:pPr>
        <w:rPr>
          <w:highlight w:val="none"/>
        </w:rPr>
      </w:pPr>
    </w:p>
    <w:p>
      <w:pPr>
        <w:spacing w:line="240" w:lineRule="auto"/>
        <w:jc w:val="left"/>
        <w:outlineLvl w:val="9"/>
        <w:rPr>
          <w:rFonts w:hint="eastAsia" w:ascii="宋体" w:hAnsi="宋体" w:cs="宋体"/>
          <w:sz w:val="28"/>
          <w:highlight w:val="none"/>
        </w:rPr>
      </w:pPr>
      <w:r>
        <w:rPr>
          <w:rFonts w:hint="eastAsia" w:ascii="宋体" w:hAnsi="宋体" w:cs="宋体"/>
          <w:sz w:val="28"/>
          <w:highlight w:val="none"/>
        </w:rPr>
        <w:br w:type="page"/>
      </w:r>
    </w:p>
    <w:p>
      <w:pPr>
        <w:pStyle w:val="4"/>
        <w:numPr>
          <w:ilvl w:val="0"/>
          <w:numId w:val="7"/>
        </w:numPr>
        <w:spacing w:before="0" w:after="0" w:line="360" w:lineRule="auto"/>
        <w:ind w:left="0" w:leftChars="0" w:firstLine="420" w:firstLineChars="0"/>
        <w:jc w:val="center"/>
        <w:rPr>
          <w:rFonts w:hint="default" w:ascii="宋体" w:hAnsi="宋体" w:eastAsia="宋体" w:cs="宋体"/>
          <w:sz w:val="28"/>
          <w:highlight w:val="none"/>
          <w:lang w:val="en-US" w:eastAsia="zh-CN"/>
        </w:rPr>
      </w:pPr>
      <w:bookmarkStart w:id="253" w:name="_Toc22180"/>
      <w:r>
        <w:rPr>
          <w:rFonts w:hint="eastAsia" w:ascii="宋体" w:hAnsi="宋体" w:eastAsia="宋体" w:cs="宋体"/>
          <w:sz w:val="28"/>
          <w:highlight w:val="none"/>
          <w:lang w:val="en-US" w:eastAsia="zh-CN"/>
        </w:rPr>
        <w:t>营业执照</w:t>
      </w:r>
      <w:bookmarkEnd w:id="253"/>
    </w:p>
    <w:p>
      <w:pPr>
        <w:spacing w:line="400" w:lineRule="exact"/>
        <w:jc w:val="left"/>
        <w:rPr>
          <w:rFonts w:hint="eastAsia" w:ascii="Times New Roman" w:hAnsi="宋体" w:eastAsia="宋体" w:cs="Times New Roman"/>
          <w:b w:val="0"/>
          <w:bCs w:val="0"/>
          <w:color w:val="auto"/>
          <w:kern w:val="0"/>
          <w:sz w:val="21"/>
          <w:szCs w:val="21"/>
          <w:highlight w:val="none"/>
          <w:lang w:val="en-US" w:eastAsia="zh-CN" w:bidi="ar-SA"/>
        </w:rPr>
      </w:pPr>
      <w:r>
        <w:rPr>
          <w:rFonts w:hint="eastAsia" w:ascii="Times New Roman" w:hAnsi="宋体" w:eastAsia="宋体" w:cs="Times New Roman"/>
          <w:b w:val="0"/>
          <w:bCs w:val="0"/>
          <w:color w:val="auto"/>
          <w:kern w:val="0"/>
          <w:sz w:val="21"/>
          <w:szCs w:val="21"/>
          <w:highlight w:val="none"/>
          <w:lang w:val="en-US" w:eastAsia="zh-CN" w:bidi="ar-SA"/>
        </w:rPr>
        <w:t>提供营业执照复印件，并加盖鲜章。</w:t>
      </w:r>
    </w:p>
    <w:p>
      <w:pPr>
        <w:pStyle w:val="16"/>
        <w:rPr>
          <w:rFonts w:hint="eastAsia"/>
          <w:lang w:val="en-US" w:eastAsia="zh-CN"/>
        </w:rPr>
      </w:pPr>
    </w:p>
    <w:p>
      <w:pPr>
        <w:rPr>
          <w:rFonts w:hint="eastAsia"/>
          <w:lang w:val="en-US" w:eastAsia="zh-CN"/>
        </w:rPr>
      </w:pPr>
    </w:p>
    <w:p>
      <w:pPr>
        <w:pStyle w:val="4"/>
        <w:numPr>
          <w:ilvl w:val="0"/>
          <w:numId w:val="7"/>
        </w:numPr>
        <w:spacing w:before="0" w:after="0" w:line="360" w:lineRule="auto"/>
        <w:ind w:left="0" w:leftChars="0" w:firstLine="420" w:firstLineChars="0"/>
        <w:jc w:val="center"/>
        <w:rPr>
          <w:rFonts w:hint="eastAsia" w:ascii="宋体" w:hAnsi="宋体" w:eastAsia="宋体" w:cs="宋体"/>
          <w:sz w:val="28"/>
          <w:highlight w:val="none"/>
          <w:lang w:val="en-US" w:eastAsia="zh-CN"/>
        </w:rPr>
      </w:pPr>
      <w:bookmarkStart w:id="254" w:name="_Toc29865"/>
      <w:r>
        <w:rPr>
          <w:rFonts w:hint="eastAsia" w:ascii="宋体" w:hAnsi="宋体" w:eastAsia="宋体" w:cs="宋体"/>
          <w:sz w:val="28"/>
          <w:highlight w:val="none"/>
          <w:lang w:val="en-US" w:eastAsia="zh-CN"/>
        </w:rPr>
        <w:t>资质要求</w:t>
      </w:r>
    </w:p>
    <w:p>
      <w:pPr>
        <w:rPr>
          <w:rFonts w:hint="eastAsia"/>
          <w:lang w:val="en-US" w:eastAsia="zh-CN"/>
        </w:rPr>
      </w:pPr>
      <w:r>
        <w:rPr>
          <w:rFonts w:hint="eastAsia"/>
          <w:lang w:val="en-US" w:eastAsia="zh-CN"/>
        </w:rPr>
        <w:t>提供交通运输部工程质量监督机构核发有效的《公路水运工程试验检测机构等级证书》公路工程桥梁隧道工程专项试验检测机构等级证书，并加盖鲜章。</w:t>
      </w:r>
    </w:p>
    <w:p>
      <w:pPr>
        <w:pStyle w:val="2"/>
        <w:rPr>
          <w:rFonts w:hint="default"/>
          <w:lang w:val="en-US" w:eastAsia="zh-CN"/>
        </w:rPr>
      </w:pPr>
    </w:p>
    <w:p>
      <w:pPr>
        <w:pStyle w:val="4"/>
        <w:numPr>
          <w:ilvl w:val="0"/>
          <w:numId w:val="7"/>
        </w:numPr>
        <w:spacing w:before="0" w:after="0" w:line="360" w:lineRule="auto"/>
        <w:ind w:left="0" w:leftChars="0" w:firstLine="420" w:firstLineChars="0"/>
        <w:jc w:val="center"/>
        <w:rPr>
          <w:rFonts w:hint="eastAsia" w:ascii="宋体" w:hAnsi="宋体" w:eastAsia="宋体" w:cs="宋体"/>
          <w:sz w:val="28"/>
          <w:highlight w:val="none"/>
          <w:lang w:val="en-US" w:eastAsia="zh-CN"/>
        </w:rPr>
      </w:pPr>
      <w:r>
        <w:rPr>
          <w:rFonts w:hint="eastAsia" w:ascii="宋体" w:hAnsi="宋体" w:eastAsia="宋体" w:cs="宋体"/>
          <w:sz w:val="28"/>
          <w:highlight w:val="none"/>
          <w:lang w:val="en-US" w:eastAsia="zh-CN"/>
        </w:rPr>
        <w:t>业绩要求</w:t>
      </w:r>
    </w:p>
    <w:p>
      <w:pPr>
        <w:rPr>
          <w:rFonts w:hint="eastAsia"/>
          <w:lang w:val="en-US" w:eastAsia="zh-CN"/>
        </w:rPr>
      </w:pPr>
      <w:r>
        <w:rPr>
          <w:rFonts w:hint="eastAsia"/>
          <w:lang w:val="en-US" w:eastAsia="zh-CN"/>
        </w:rPr>
        <w:t>在2019年1月1日至报价截止日期（以合同签订时间为准）至少承担一项合同额不低于100万的桥梁健康监测项目服务业绩。（提供合同扫描件，若合同扫描件无法证明关键信息的，可提供业主证明材料），并加盖鲜章。</w:t>
      </w:r>
    </w:p>
    <w:p>
      <w:pPr>
        <w:pStyle w:val="16"/>
        <w:rPr>
          <w:rFonts w:hint="eastAsia"/>
          <w:lang w:val="en-US" w:eastAsia="zh-CN"/>
        </w:rPr>
      </w:pPr>
    </w:p>
    <w:p>
      <w:pPr>
        <w:rPr>
          <w:rFonts w:hint="eastAsia"/>
          <w:lang w:val="en-US" w:eastAsia="zh-CN"/>
        </w:rPr>
      </w:pPr>
    </w:p>
    <w:p>
      <w:pPr>
        <w:pStyle w:val="16"/>
        <w:rPr>
          <w:rFonts w:hint="eastAsia"/>
          <w:lang w:val="en-US" w:eastAsia="zh-CN"/>
        </w:rPr>
      </w:pPr>
    </w:p>
    <w:p>
      <w:pPr>
        <w:pStyle w:val="4"/>
        <w:numPr>
          <w:ilvl w:val="0"/>
          <w:numId w:val="7"/>
        </w:numPr>
        <w:spacing w:before="0" w:after="0" w:line="360" w:lineRule="auto"/>
        <w:ind w:left="0" w:leftChars="0" w:firstLine="420" w:firstLineChars="0"/>
        <w:jc w:val="center"/>
        <w:rPr>
          <w:rFonts w:hint="eastAsia" w:ascii="宋体" w:hAnsi="宋体" w:eastAsia="宋体" w:cs="宋体"/>
          <w:sz w:val="28"/>
          <w:highlight w:val="none"/>
          <w:lang w:val="en-US" w:eastAsia="zh-CN"/>
        </w:rPr>
      </w:pPr>
      <w:r>
        <w:rPr>
          <w:rFonts w:hint="eastAsia" w:ascii="宋体" w:hAnsi="宋体" w:eastAsia="宋体" w:cs="宋体"/>
          <w:sz w:val="28"/>
          <w:highlight w:val="none"/>
          <w:lang w:val="en-US" w:eastAsia="zh-CN"/>
        </w:rPr>
        <w:t>信誉要求</w:t>
      </w:r>
      <w:bookmarkEnd w:id="254"/>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cs="宋体"/>
          <w:sz w:val="28"/>
          <w:highlight w:val="none"/>
          <w:lang w:val="en-US"/>
        </w:rPr>
      </w:pPr>
      <w:r>
        <w:rPr>
          <w:rFonts w:hint="eastAsia" w:ascii="Times New Roman" w:hAnsi="宋体" w:eastAsia="宋体" w:cs="Times New Roman"/>
          <w:b w:val="0"/>
          <w:bCs w:val="0"/>
          <w:color w:val="auto"/>
          <w:kern w:val="0"/>
          <w:sz w:val="21"/>
          <w:szCs w:val="21"/>
          <w:highlight w:val="none"/>
          <w:lang w:val="en-US" w:eastAsia="zh-CN" w:bidi="ar-SA"/>
        </w:rPr>
        <w:t>提供企业信用信息公示系统（http://www.gsxt.gov.cn/）中未被列入严重违法失信企业名单（黑名单）信息截图和</w:t>
      </w:r>
      <w:r>
        <w:rPr>
          <w:rFonts w:hint="eastAsia" w:ascii="宋体" w:hAnsi="宋体" w:cs="宋体"/>
          <w:szCs w:val="21"/>
          <w:highlight w:val="none"/>
          <w:shd w:val="clear" w:color="auto" w:fill="FFFFFF"/>
          <w:lang w:val="en-US" w:eastAsia="zh-CN"/>
        </w:rPr>
        <w:t>在“信用中国”网站（http://www.creditchina.gov.cn/）中未被列入失信惩戒执行人名单截图并加盖鲜章。</w:t>
      </w:r>
    </w:p>
    <w:p>
      <w:pPr>
        <w:pStyle w:val="4"/>
        <w:spacing w:before="0" w:after="0" w:line="360" w:lineRule="auto"/>
        <w:jc w:val="center"/>
        <w:rPr>
          <w:rFonts w:ascii="宋体" w:hAnsi="宋体" w:eastAsia="宋体" w:cs="宋体"/>
          <w:sz w:val="28"/>
        </w:rPr>
      </w:pPr>
    </w:p>
    <w:bookmarkEnd w:id="242"/>
    <w:bookmarkEnd w:id="243"/>
    <w:bookmarkEnd w:id="244"/>
    <w:bookmarkEnd w:id="245"/>
    <w:bookmarkEnd w:id="246"/>
    <w:bookmarkEnd w:id="247"/>
    <w:bookmarkEnd w:id="248"/>
    <w:bookmarkEnd w:id="249"/>
    <w:p>
      <w:pPr>
        <w:pStyle w:val="4"/>
        <w:spacing w:before="0" w:after="0" w:line="360" w:lineRule="auto"/>
        <w:jc w:val="center"/>
        <w:outlineLvl w:val="0"/>
        <w:rPr>
          <w:rFonts w:ascii="宋体" w:hAnsi="宋体" w:eastAsia="宋体" w:cs="宋体"/>
          <w:sz w:val="28"/>
        </w:rPr>
      </w:pPr>
      <w:bookmarkStart w:id="255" w:name="_Toc503951055"/>
      <w:bookmarkStart w:id="256" w:name="_Toc447827068"/>
      <w:bookmarkStart w:id="257" w:name="_Toc513633973"/>
      <w:bookmarkStart w:id="258" w:name="_Toc11672"/>
      <w:bookmarkStart w:id="259" w:name="_Toc11329281"/>
      <w:r>
        <w:rPr>
          <w:rFonts w:hint="eastAsia" w:ascii="宋体" w:hAnsi="宋体" w:eastAsia="宋体" w:cs="宋体"/>
          <w:sz w:val="28"/>
        </w:rPr>
        <w:br w:type="page"/>
      </w:r>
      <w:bookmarkStart w:id="260" w:name="_Toc11243"/>
      <w:bookmarkStart w:id="261" w:name="_Toc29559"/>
      <w:r>
        <w:rPr>
          <w:rFonts w:hint="eastAsia" w:ascii="宋体" w:hAnsi="宋体" w:eastAsia="宋体" w:cs="宋体"/>
          <w:sz w:val="28"/>
        </w:rPr>
        <w:t>五、</w:t>
      </w:r>
      <w:bookmarkEnd w:id="255"/>
      <w:bookmarkEnd w:id="256"/>
      <w:bookmarkEnd w:id="257"/>
      <w:r>
        <w:rPr>
          <w:rFonts w:hint="eastAsia" w:ascii="宋体" w:hAnsi="宋体" w:eastAsia="宋体" w:cs="宋体"/>
          <w:sz w:val="28"/>
        </w:rPr>
        <w:t>报价人须知前附表规定的材料</w:t>
      </w:r>
      <w:bookmarkEnd w:id="258"/>
      <w:bookmarkEnd w:id="259"/>
      <w:bookmarkEnd w:id="260"/>
      <w:bookmarkEnd w:id="261"/>
    </w:p>
    <w:p>
      <w:pPr>
        <w:jc w:val="center"/>
        <w:rPr>
          <w:b/>
          <w:bCs/>
          <w:sz w:val="32"/>
          <w:szCs w:val="36"/>
        </w:rPr>
      </w:pPr>
      <w:bookmarkStart w:id="262" w:name="_Toc503951058"/>
      <w:bookmarkStart w:id="263" w:name="_Toc513633974"/>
      <w:r>
        <w:rPr>
          <w:rFonts w:hint="eastAsia" w:ascii="Times New Roman" w:hAnsi="Times New Roman" w:eastAsia="宋体" w:cs="Times New Roman"/>
          <w:kern w:val="0"/>
          <w:sz w:val="20"/>
          <w:szCs w:val="20"/>
          <w:highlight w:val="none"/>
          <w:lang w:val="en-US" w:eastAsia="zh-CN" w:bidi="ar"/>
        </w:rPr>
        <w:t xml:space="preserve"> </w:t>
      </w:r>
      <w:bookmarkStart w:id="264" w:name="bookmark81"/>
      <w:r>
        <w:rPr>
          <w:rFonts w:hint="eastAsia"/>
          <w:b/>
          <w:bCs/>
          <w:sz w:val="32"/>
          <w:szCs w:val="36"/>
        </w:rPr>
        <w:t>（一）响应性承诺书</w:t>
      </w:r>
    </w:p>
    <w:p>
      <w:pPr>
        <w:spacing w:line="360" w:lineRule="auto"/>
        <w:rPr>
          <w:sz w:val="24"/>
          <w:szCs w:val="28"/>
        </w:rPr>
      </w:pPr>
      <w:r>
        <w:rPr>
          <w:rFonts w:hint="eastAsia"/>
          <w:sz w:val="24"/>
          <w:szCs w:val="28"/>
        </w:rPr>
        <w:t>致：重庆首讯科技股份有限公司</w:t>
      </w:r>
    </w:p>
    <w:p>
      <w:pPr>
        <w:spacing w:line="360" w:lineRule="auto"/>
        <w:ind w:firstLine="480" w:firstLineChars="200"/>
        <w:rPr>
          <w:rFonts w:hint="eastAsia"/>
          <w:sz w:val="24"/>
          <w:szCs w:val="28"/>
        </w:rPr>
      </w:pPr>
      <w:r>
        <w:rPr>
          <w:rFonts w:hint="eastAsia"/>
          <w:sz w:val="24"/>
          <w:szCs w:val="28"/>
        </w:rPr>
        <w:t>我公司对</w:t>
      </w:r>
      <w:r>
        <w:rPr>
          <w:rFonts w:hint="eastAsia"/>
          <w:sz w:val="24"/>
          <w:szCs w:val="28"/>
          <w:u w:val="single"/>
        </w:rPr>
        <w:t xml:space="preserve">                                 （项目名称）</w:t>
      </w:r>
      <w:r>
        <w:rPr>
          <w:rFonts w:hint="eastAsia"/>
          <w:sz w:val="24"/>
          <w:szCs w:val="28"/>
        </w:rPr>
        <w:t>竞争性比选文件中要求内容完全响应做出以下承诺：</w:t>
      </w:r>
    </w:p>
    <w:p>
      <w:pPr>
        <w:spacing w:line="360" w:lineRule="auto"/>
        <w:ind w:firstLine="480" w:firstLineChars="200"/>
        <w:rPr>
          <w:rFonts w:hint="eastAsia"/>
          <w:sz w:val="24"/>
          <w:szCs w:val="28"/>
        </w:rPr>
      </w:pPr>
      <w:r>
        <w:rPr>
          <w:rFonts w:hint="eastAsia"/>
          <w:sz w:val="24"/>
          <w:szCs w:val="28"/>
        </w:rPr>
        <w:t>1、我方比选响应文件中所有资料都是真实、准确、完整的；</w:t>
      </w:r>
    </w:p>
    <w:p>
      <w:pPr>
        <w:spacing w:line="360" w:lineRule="auto"/>
        <w:ind w:firstLine="480" w:firstLineChars="200"/>
        <w:rPr>
          <w:sz w:val="24"/>
          <w:szCs w:val="28"/>
        </w:rPr>
      </w:pPr>
      <w:r>
        <w:rPr>
          <w:rFonts w:hint="eastAsia"/>
          <w:sz w:val="24"/>
          <w:szCs w:val="28"/>
        </w:rPr>
        <w:t>2、我方不存在资质挂靠或参与串标、围标情形。所报项目相关人员未在其他项目任职。</w:t>
      </w:r>
    </w:p>
    <w:p>
      <w:pPr>
        <w:spacing w:line="360" w:lineRule="auto"/>
        <w:ind w:firstLine="480" w:firstLineChars="200"/>
        <w:rPr>
          <w:rFonts w:hint="eastAsia"/>
          <w:sz w:val="24"/>
          <w:szCs w:val="28"/>
        </w:rPr>
      </w:pPr>
      <w:r>
        <w:rPr>
          <w:rFonts w:hint="eastAsia"/>
          <w:sz w:val="24"/>
          <w:szCs w:val="28"/>
        </w:rPr>
        <w:t>3、完全响应竞争性比选文件中的人员要求、机械设备要求、投标内容要求、报价要求、工期要求、质量标准、安全目标等要求；</w:t>
      </w:r>
    </w:p>
    <w:p>
      <w:pPr>
        <w:spacing w:line="360" w:lineRule="auto"/>
        <w:ind w:firstLine="480" w:firstLineChars="200"/>
        <w:rPr>
          <w:sz w:val="24"/>
          <w:szCs w:val="28"/>
        </w:rPr>
      </w:pPr>
      <w:r>
        <w:rPr>
          <w:rFonts w:hint="eastAsia"/>
          <w:sz w:val="24"/>
          <w:szCs w:val="28"/>
        </w:rPr>
        <w:t>如我方违反上述承诺，隐瞒、提供虚假资料或不按竞争性比选文件要求组织实施，被贵方发现或被他人举报查实，无条件接受贵司的处罚，对造成的损失，任何法律和经济责任完全由我方承担。</w:t>
      </w:r>
    </w:p>
    <w:p>
      <w:pPr>
        <w:spacing w:line="360" w:lineRule="auto"/>
        <w:rPr>
          <w:sz w:val="24"/>
          <w:szCs w:val="28"/>
        </w:rPr>
      </w:pPr>
    </w:p>
    <w:p>
      <w:pPr>
        <w:spacing w:line="360" w:lineRule="auto"/>
        <w:rPr>
          <w:sz w:val="24"/>
          <w:szCs w:val="28"/>
        </w:rPr>
      </w:pPr>
    </w:p>
    <w:p>
      <w:pPr>
        <w:spacing w:line="360" w:lineRule="auto"/>
        <w:rPr>
          <w:rFonts w:hint="eastAsia"/>
          <w:sz w:val="24"/>
          <w:szCs w:val="28"/>
        </w:rPr>
      </w:pPr>
      <w:r>
        <w:rPr>
          <w:rFonts w:hint="eastAsia"/>
          <w:sz w:val="24"/>
          <w:szCs w:val="28"/>
        </w:rPr>
        <w:t xml:space="preserve">                    报价人（单位名称）：</w:t>
      </w:r>
    </w:p>
    <w:p>
      <w:pPr>
        <w:spacing w:line="360" w:lineRule="auto"/>
        <w:rPr>
          <w:rFonts w:hint="eastAsia" w:ascii="宋体" w:hAnsi="宋体"/>
          <w:sz w:val="24"/>
          <w:szCs w:val="28"/>
        </w:rPr>
      </w:pPr>
      <w:r>
        <w:rPr>
          <w:rFonts w:hint="eastAsia"/>
          <w:sz w:val="24"/>
          <w:szCs w:val="28"/>
        </w:rPr>
        <w:t xml:space="preserve">        </w:t>
      </w:r>
      <w:r>
        <w:rPr>
          <w:rFonts w:ascii="宋体" w:hAnsi="宋体"/>
          <w:sz w:val="24"/>
          <w:szCs w:val="28"/>
        </w:rPr>
        <w:t>法定代表人</w:t>
      </w:r>
      <w:r>
        <w:rPr>
          <w:rFonts w:hint="eastAsia" w:ascii="宋体" w:hAnsi="宋体"/>
          <w:sz w:val="24"/>
          <w:szCs w:val="28"/>
        </w:rPr>
        <w:t>（或</w:t>
      </w:r>
      <w:r>
        <w:rPr>
          <w:rFonts w:ascii="宋体" w:hAnsi="宋体"/>
          <w:sz w:val="24"/>
          <w:szCs w:val="28"/>
        </w:rPr>
        <w:t>委托代理人</w:t>
      </w:r>
      <w:r>
        <w:rPr>
          <w:rFonts w:hint="eastAsia" w:ascii="宋体" w:hAnsi="宋体"/>
          <w:sz w:val="24"/>
          <w:szCs w:val="28"/>
        </w:rPr>
        <w:t>）</w:t>
      </w:r>
      <w:r>
        <w:rPr>
          <w:rFonts w:ascii="宋体" w:hAnsi="宋体"/>
          <w:sz w:val="24"/>
          <w:szCs w:val="28"/>
        </w:rPr>
        <w:t>签字</w:t>
      </w:r>
      <w:r>
        <w:rPr>
          <w:rFonts w:hint="eastAsia" w:ascii="宋体" w:hAnsi="宋体"/>
          <w:sz w:val="24"/>
          <w:szCs w:val="28"/>
        </w:rPr>
        <w:t>：</w:t>
      </w:r>
    </w:p>
    <w:p>
      <w:pPr>
        <w:tabs>
          <w:tab w:val="left" w:pos="1680"/>
          <w:tab w:val="left" w:pos="4215"/>
          <w:tab w:val="left" w:pos="4305"/>
          <w:tab w:val="left" w:pos="8000"/>
        </w:tabs>
        <w:autoSpaceDE w:val="0"/>
        <w:autoSpaceDN w:val="0"/>
        <w:adjustRightInd w:val="0"/>
        <w:snapToGrid w:val="0"/>
        <w:spacing w:line="360" w:lineRule="auto"/>
        <w:jc w:val="center"/>
        <w:rPr>
          <w:rFonts w:hint="eastAsia" w:ascii="宋体" w:hAnsi="宋体" w:cs="宋体"/>
          <w:kern w:val="0"/>
          <w:szCs w:val="21"/>
        </w:rPr>
      </w:pPr>
      <w:r>
        <w:rPr>
          <w:rFonts w:hint="eastAsia" w:ascii="宋体" w:hAnsi="宋体"/>
          <w:sz w:val="24"/>
          <w:szCs w:val="28"/>
        </w:rPr>
        <w:t xml:space="preserve">     日期：</w:t>
      </w:r>
    </w:p>
    <w:p>
      <w:pPr>
        <w:pStyle w:val="2"/>
        <w:jc w:val="center"/>
        <w:rPr>
          <w:rFonts w:hint="eastAsia" w:ascii="宋体" w:hAnsi="宋体" w:cs="宋体"/>
          <w:sz w:val="28"/>
          <w:highlight w:val="none"/>
        </w:rPr>
      </w:pPr>
    </w:p>
    <w:p>
      <w:pPr>
        <w:pStyle w:val="2"/>
        <w:jc w:val="center"/>
        <w:rPr>
          <w:rFonts w:hint="eastAsia" w:ascii="宋体" w:hAnsi="宋体" w:cs="宋体"/>
          <w:sz w:val="28"/>
          <w:highlight w:val="none"/>
        </w:rPr>
      </w:pPr>
      <w:r>
        <w:rPr>
          <w:rFonts w:hint="eastAsia" w:ascii="宋体" w:hAnsi="宋体" w:cs="宋体"/>
          <w:sz w:val="28"/>
          <w:highlight w:val="none"/>
        </w:rPr>
        <w:t>（</w:t>
      </w:r>
      <w:r>
        <w:rPr>
          <w:rFonts w:hint="eastAsia" w:ascii="宋体" w:hAnsi="宋体" w:cs="宋体"/>
          <w:sz w:val="28"/>
          <w:highlight w:val="none"/>
          <w:lang w:val="en-US" w:eastAsia="zh-CN"/>
        </w:rPr>
        <w:t>二</w:t>
      </w:r>
      <w:r>
        <w:rPr>
          <w:rFonts w:hint="eastAsia" w:ascii="宋体" w:hAnsi="宋体" w:cs="宋体"/>
          <w:sz w:val="28"/>
          <w:highlight w:val="none"/>
        </w:rPr>
        <w:t>）</w:t>
      </w:r>
      <w:bookmarkEnd w:id="264"/>
      <w:bookmarkStart w:id="265" w:name="_Toc507681700"/>
      <w:bookmarkStart w:id="266" w:name="_Toc504639215"/>
      <w:bookmarkStart w:id="267" w:name="_Toc507681488"/>
      <w:r>
        <w:rPr>
          <w:rFonts w:hint="eastAsia" w:ascii="宋体" w:hAnsi="宋体" w:cs="宋体"/>
          <w:sz w:val="28"/>
          <w:highlight w:val="none"/>
        </w:rPr>
        <w:t>报价人自行承诺部分</w:t>
      </w:r>
      <w:bookmarkEnd w:id="265"/>
      <w:bookmarkEnd w:id="266"/>
      <w:bookmarkEnd w:id="267"/>
    </w:p>
    <w:p>
      <w:pPr>
        <w:spacing w:line="360" w:lineRule="auto"/>
        <w:ind w:firstLine="420" w:firstLineChars="200"/>
        <w:jc w:val="left"/>
        <w:rPr>
          <w:rFonts w:hint="eastAsia" w:ascii="宋体" w:hAnsi="宋体" w:cs="宋体"/>
          <w:kern w:val="0"/>
          <w:szCs w:val="21"/>
          <w:highlight w:val="none"/>
        </w:rPr>
      </w:pPr>
      <w:r>
        <w:rPr>
          <w:rFonts w:hint="eastAsia" w:ascii="宋体" w:hAnsi="宋体" w:cs="宋体"/>
          <w:kern w:val="0"/>
          <w:szCs w:val="21"/>
          <w:highlight w:val="none"/>
        </w:rPr>
        <w:t>比选文件中要求报价人自行承诺的，由报价人按比选文件要求内容承诺，格式自拟。</w:t>
      </w:r>
    </w:p>
    <w:p>
      <w:pPr>
        <w:pStyle w:val="4"/>
        <w:spacing w:before="0" w:after="0" w:line="360" w:lineRule="auto"/>
        <w:jc w:val="center"/>
        <w:rPr>
          <w:rFonts w:ascii="宋体" w:hAnsi="宋体" w:eastAsia="宋体" w:cs="宋体"/>
          <w:sz w:val="28"/>
        </w:rPr>
      </w:pPr>
      <w:r>
        <w:rPr>
          <w:rFonts w:hint="eastAsia" w:ascii="宋体" w:hAnsi="宋体" w:cs="宋体"/>
          <w:sz w:val="28"/>
        </w:rPr>
        <w:br w:type="page"/>
      </w:r>
      <w:r>
        <w:rPr>
          <w:rFonts w:hint="eastAsia" w:ascii="宋体" w:hAnsi="宋体" w:eastAsia="宋体" w:cs="宋体"/>
          <w:sz w:val="28"/>
        </w:rPr>
        <w:t>六、报价人基本信息及其他材料</w:t>
      </w:r>
    </w:p>
    <w:p>
      <w:pPr>
        <w:pStyle w:val="2"/>
        <w:spacing w:before="0" w:after="0" w:line="360" w:lineRule="auto"/>
        <w:jc w:val="center"/>
        <w:rPr>
          <w:sz w:val="28"/>
          <w:szCs w:val="28"/>
        </w:rPr>
      </w:pPr>
      <w:bookmarkStart w:id="268" w:name="_Toc4375"/>
      <w:bookmarkStart w:id="269" w:name="_Toc508110857"/>
      <w:bookmarkStart w:id="270" w:name="_Toc452107137"/>
      <w:r>
        <w:rPr>
          <w:rFonts w:hint="eastAsia"/>
          <w:sz w:val="28"/>
          <w:szCs w:val="28"/>
        </w:rPr>
        <w:t>（一）报价人基本信息表</w:t>
      </w:r>
      <w:bookmarkEnd w:id="268"/>
      <w:bookmarkEnd w:id="269"/>
      <w:bookmarkEnd w:id="270"/>
    </w:p>
    <w:p>
      <w:pPr>
        <w:pStyle w:val="28"/>
      </w:pPr>
    </w:p>
    <w:tbl>
      <w:tblPr>
        <w:tblStyle w:val="45"/>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报价人</w:t>
            </w:r>
          </w:p>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宋体" w:hAnsi="宋体" w:cs="宋体"/>
                <w:color w:val="000000"/>
                <w:szCs w:val="21"/>
              </w:rPr>
            </w:pPr>
          </w:p>
        </w:tc>
        <w:tc>
          <w:tcPr>
            <w:tcW w:w="89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姓名</w:t>
            </w:r>
          </w:p>
        </w:tc>
        <w:tc>
          <w:tcPr>
            <w:tcW w:w="102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电话</w:t>
            </w:r>
          </w:p>
        </w:tc>
        <w:tc>
          <w:tcPr>
            <w:tcW w:w="151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技术负责人</w:t>
            </w:r>
          </w:p>
        </w:tc>
        <w:tc>
          <w:tcPr>
            <w:tcW w:w="89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姓名</w:t>
            </w:r>
          </w:p>
        </w:tc>
        <w:tc>
          <w:tcPr>
            <w:tcW w:w="102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电话</w:t>
            </w:r>
          </w:p>
        </w:tc>
        <w:tc>
          <w:tcPr>
            <w:tcW w:w="151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年 月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firstLine="105" w:firstLineChars="50"/>
              <w:jc w:val="center"/>
              <w:rPr>
                <w:rFonts w:hint="eastAsia" w:ascii="宋体" w:hAnsi="宋体" w:cs="宋体"/>
                <w:color w:val="000000"/>
                <w:szCs w:val="21"/>
              </w:rPr>
            </w:pPr>
            <w:r>
              <w:rPr>
                <w:rFonts w:hint="eastAsia" w:ascii="宋体" w:hAnsi="宋体" w:cs="宋体"/>
                <w:color w:val="000000"/>
                <w:szCs w:val="21"/>
              </w:rPr>
              <w:t>员工总人数：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rPr>
            </w:pPr>
            <w:r>
              <w:rPr>
                <w:rFonts w:hint="eastAsia" w:ascii="宋体" w:hAnsi="宋体" w:cs="宋体"/>
                <w:color w:val="000000"/>
                <w:szCs w:val="21"/>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pPr>
              <w:keepNext w:val="0"/>
              <w:keepLines w:val="0"/>
              <w:suppressLineNumbers w:val="0"/>
              <w:topLinePunct/>
              <w:spacing w:before="0" w:beforeAutospacing="0" w:after="0" w:afterAutospacing="0" w:line="440" w:lineRule="exact"/>
              <w:ind w:left="0" w:right="0" w:firstLine="210" w:firstLineChars="100"/>
              <w:jc w:val="center"/>
              <w:rPr>
                <w:rFonts w:hint="eastAsia" w:ascii="宋体" w:hAnsi="宋体" w:cs="宋体"/>
                <w:color w:val="000000"/>
                <w:szCs w:val="21"/>
              </w:rPr>
            </w:pPr>
            <w:r>
              <w:rPr>
                <w:rFonts w:hint="eastAsia" w:ascii="宋体" w:hAnsi="宋体" w:cs="宋体"/>
                <w:color w:val="000000"/>
                <w:szCs w:val="21"/>
              </w:rPr>
              <w:t>经营范围</w:t>
            </w:r>
          </w:p>
        </w:tc>
        <w:tc>
          <w:tcPr>
            <w:tcW w:w="6839" w:type="dxa"/>
            <w:gridSpan w:val="10"/>
            <w:tcBorders>
              <w:top w:val="single" w:color="auto" w:sz="4" w:space="0"/>
              <w:left w:val="single" w:color="auto" w:sz="4" w:space="0"/>
              <w:bottom w:val="nil"/>
              <w:right w:val="single" w:color="auto" w:sz="4" w:space="0"/>
            </w:tcBorders>
            <w:vAlign w:val="center"/>
          </w:tcPr>
          <w:p>
            <w:pPr>
              <w:keepNext w:val="0"/>
              <w:keepLines w:val="0"/>
              <w:suppressLineNumbers w:val="0"/>
              <w:topLinePunct/>
              <w:spacing w:before="0" w:beforeAutospacing="0" w:after="0" w:afterAutospacing="0" w:line="440" w:lineRule="exact"/>
              <w:ind w:left="0" w:right="0"/>
              <w:rPr>
                <w:rFonts w:hint="eastAsia" w:ascii="宋体" w:hAnsi="宋体" w:cs="宋体"/>
                <w:color w:val="000000"/>
                <w:szCs w:val="21"/>
              </w:rPr>
            </w:pPr>
            <w:r>
              <w:rPr>
                <w:rFonts w:hint="eastAsia" w:ascii="宋体" w:hAnsi="宋体" w:cs="宋体"/>
                <w:color w:val="000000"/>
                <w:szCs w:val="21"/>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r>
    </w:tbl>
    <w:p>
      <w:pPr>
        <w:pStyle w:val="2"/>
        <w:jc w:val="center"/>
        <w:rPr>
          <w:rFonts w:ascii="宋体" w:hAnsi="宋体" w:cs="宋体"/>
          <w:sz w:val="28"/>
        </w:rPr>
      </w:pPr>
    </w:p>
    <w:p>
      <w:pPr>
        <w:pStyle w:val="2"/>
        <w:numPr>
          <w:ilvl w:val="0"/>
          <w:numId w:val="8"/>
        </w:numPr>
        <w:jc w:val="center"/>
        <w:rPr>
          <w:rFonts w:hint="eastAsia" w:ascii="宋体" w:hAnsi="宋体" w:cs="宋体"/>
          <w:sz w:val="28"/>
          <w:lang w:val="en-US" w:eastAsia="zh-CN"/>
        </w:rPr>
      </w:pPr>
      <w:r>
        <w:rPr>
          <w:rFonts w:hint="eastAsia" w:ascii="宋体" w:hAnsi="宋体" w:cs="宋体"/>
          <w:sz w:val="28"/>
        </w:rPr>
        <w:t>其他材料</w:t>
      </w:r>
      <w:r>
        <w:rPr>
          <w:rFonts w:hint="eastAsia" w:ascii="宋体" w:hAnsi="宋体" w:cs="宋体"/>
          <w:sz w:val="28"/>
          <w:lang w:val="en-US" w:eastAsia="zh-CN"/>
        </w:rPr>
        <w:t xml:space="preserve">  </w:t>
      </w:r>
    </w:p>
    <w:p>
      <w:pPr>
        <w:rPr>
          <w:rFonts w:hint="default"/>
          <w:b/>
          <w:bCs/>
          <w:sz w:val="18"/>
          <w:szCs w:val="21"/>
          <w:lang w:val="en-US" w:eastAsia="zh-CN"/>
        </w:rPr>
      </w:pPr>
      <w:r>
        <w:rPr>
          <w:rFonts w:hint="eastAsia" w:ascii="宋体" w:hAnsi="宋体" w:cs="宋体"/>
          <w:b/>
          <w:bCs/>
          <w:sz w:val="22"/>
          <w:szCs w:val="21"/>
          <w:lang w:val="en-US" w:eastAsia="zh-CN"/>
        </w:rPr>
        <w:t>投标保证金转账凭证</w:t>
      </w:r>
    </w:p>
    <w:p>
      <w:pPr>
        <w:pStyle w:val="2"/>
        <w:numPr>
          <w:ilvl w:val="0"/>
          <w:numId w:val="0"/>
        </w:numPr>
        <w:jc w:val="both"/>
        <w:rPr>
          <w:rFonts w:hint="eastAsia" w:ascii="宋体" w:hAnsi="宋体" w:cs="宋体"/>
          <w:sz w:val="22"/>
          <w:szCs w:val="24"/>
          <w:lang w:val="en-US" w:eastAsia="zh-CN"/>
        </w:rPr>
      </w:pPr>
    </w:p>
    <w:p>
      <w:pPr>
        <w:pStyle w:val="2"/>
        <w:numPr>
          <w:ilvl w:val="0"/>
          <w:numId w:val="0"/>
        </w:numPr>
        <w:jc w:val="both"/>
        <w:rPr>
          <w:rFonts w:hint="eastAsia" w:ascii="宋体" w:hAnsi="宋体" w:eastAsia="宋体" w:cs="宋体"/>
          <w:sz w:val="22"/>
          <w:szCs w:val="24"/>
          <w:lang w:eastAsia="zh-CN"/>
        </w:rPr>
      </w:pPr>
      <w:r>
        <w:rPr>
          <w:rFonts w:hint="eastAsia" w:ascii="宋体" w:hAnsi="宋体" w:cs="宋体"/>
          <w:sz w:val="22"/>
          <w:szCs w:val="24"/>
          <w:lang w:val="en-US" w:eastAsia="zh-CN"/>
        </w:rPr>
        <w:t>加分业绩</w:t>
      </w:r>
    </w:p>
    <w:tbl>
      <w:tblPr>
        <w:tblStyle w:val="4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000"/>
        <w:gridCol w:w="2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tcPr>
          <w:p>
            <w:pPr>
              <w:keepNext w:val="0"/>
              <w:keepLines w:val="0"/>
              <w:suppressLineNumbers w:val="0"/>
              <w:spacing w:before="0" w:beforeAutospacing="0" w:after="0" w:afterAutospacing="0"/>
              <w:ind w:left="0" w:right="0"/>
              <w:jc w:val="center"/>
              <w:rPr>
                <w:rFonts w:hint="default" w:eastAsia="宋体"/>
                <w:vertAlign w:val="baseline"/>
                <w:lang w:val="en-US" w:eastAsia="zh-CN"/>
              </w:rPr>
            </w:pPr>
            <w:r>
              <w:rPr>
                <w:rFonts w:hint="eastAsia"/>
                <w:vertAlign w:val="baseline"/>
                <w:lang w:val="en-US" w:eastAsia="zh-CN"/>
              </w:rPr>
              <w:t>商务得分部分</w:t>
            </w:r>
          </w:p>
        </w:tc>
        <w:tc>
          <w:tcPr>
            <w:tcW w:w="2000" w:type="dxa"/>
          </w:tcPr>
          <w:p>
            <w:pPr>
              <w:keepNext w:val="0"/>
              <w:keepLines w:val="0"/>
              <w:suppressLineNumbers w:val="0"/>
              <w:spacing w:before="0" w:beforeAutospacing="0" w:after="0" w:afterAutospacing="0"/>
              <w:ind w:left="0" w:right="0"/>
              <w:jc w:val="center"/>
              <w:rPr>
                <w:rFonts w:hint="eastAsia" w:eastAsia="宋体"/>
                <w:vertAlign w:val="baseline"/>
                <w:lang w:val="en-US" w:eastAsia="zh-CN"/>
              </w:rPr>
            </w:pPr>
            <w:r>
              <w:rPr>
                <w:rFonts w:hint="eastAsia"/>
                <w:vertAlign w:val="baseline"/>
                <w:lang w:val="en-US" w:eastAsia="zh-CN"/>
              </w:rPr>
              <w:t>页码</w:t>
            </w:r>
          </w:p>
        </w:tc>
        <w:tc>
          <w:tcPr>
            <w:tcW w:w="2261" w:type="dxa"/>
          </w:tcPr>
          <w:p>
            <w:pPr>
              <w:keepNext w:val="0"/>
              <w:keepLines w:val="0"/>
              <w:suppressLineNumbers w:val="0"/>
              <w:spacing w:before="0" w:beforeAutospacing="0" w:after="0" w:afterAutospacing="0"/>
              <w:ind w:left="0" w:right="0"/>
              <w:jc w:val="center"/>
              <w:rPr>
                <w:rFonts w:hint="default" w:eastAsia="宋体"/>
                <w:vertAlign w:val="baseline"/>
                <w:lang w:val="en-US" w:eastAsia="zh-CN"/>
              </w:rPr>
            </w:pPr>
            <w:r>
              <w:rPr>
                <w:rFonts w:hint="eastAsia"/>
                <w:vertAlign w:val="baseline"/>
                <w:lang w:val="en-US" w:eastAsia="zh-CN"/>
              </w:rPr>
              <w:t>例;P60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tcPr>
          <w:p>
            <w:pPr>
              <w:keepNext w:val="0"/>
              <w:keepLines w:val="0"/>
              <w:suppressLineNumbers w:val="0"/>
              <w:spacing w:before="0" w:beforeAutospacing="0" w:after="0" w:afterAutospacing="0"/>
              <w:ind w:left="0" w:right="0"/>
              <w:jc w:val="center"/>
              <w:rPr>
                <w:rFonts w:hint="default" w:eastAsia="宋体"/>
                <w:vertAlign w:val="baseline"/>
                <w:lang w:val="en-US" w:eastAsia="zh-CN"/>
              </w:rPr>
            </w:pPr>
            <w:r>
              <w:rPr>
                <w:rFonts w:hint="eastAsia"/>
                <w:vertAlign w:val="baseline"/>
                <w:lang w:val="en-US" w:eastAsia="zh-CN"/>
              </w:rPr>
              <w:t>技术得分部分</w:t>
            </w:r>
          </w:p>
        </w:tc>
        <w:tc>
          <w:tcPr>
            <w:tcW w:w="2000" w:type="dxa"/>
          </w:tcPr>
          <w:p>
            <w:pPr>
              <w:keepNext w:val="0"/>
              <w:keepLines w:val="0"/>
              <w:suppressLineNumbers w:val="0"/>
              <w:spacing w:before="0" w:beforeAutospacing="0" w:after="0" w:afterAutospacing="0"/>
              <w:ind w:left="0" w:right="0"/>
              <w:jc w:val="center"/>
              <w:rPr>
                <w:rFonts w:hint="eastAsia"/>
                <w:vertAlign w:val="baseline"/>
              </w:rPr>
            </w:pPr>
            <w:r>
              <w:rPr>
                <w:rFonts w:hint="eastAsia"/>
                <w:vertAlign w:val="baseline"/>
                <w:lang w:val="en-US" w:eastAsia="zh-CN"/>
              </w:rPr>
              <w:t>页码</w:t>
            </w:r>
          </w:p>
        </w:tc>
        <w:tc>
          <w:tcPr>
            <w:tcW w:w="2261" w:type="dxa"/>
          </w:tcPr>
          <w:p>
            <w:pPr>
              <w:keepNext w:val="0"/>
              <w:keepLines w:val="0"/>
              <w:suppressLineNumbers w:val="0"/>
              <w:spacing w:before="0" w:beforeAutospacing="0" w:after="0" w:afterAutospacing="0"/>
              <w:ind w:left="0" w:right="0"/>
              <w:jc w:val="center"/>
              <w:rPr>
                <w:rFonts w:hint="eastAsia"/>
                <w:vertAlign w:val="baseline"/>
              </w:rPr>
            </w:pPr>
            <w:r>
              <w:rPr>
                <w:rFonts w:hint="eastAsia"/>
                <w:vertAlign w:val="baseline"/>
                <w:lang w:val="en-US" w:eastAsia="zh-CN"/>
              </w:rPr>
              <w:t>例;P70</w:t>
            </w:r>
          </w:p>
        </w:tc>
      </w:tr>
    </w:tbl>
    <w:p/>
    <w:p>
      <w:pPr>
        <w:pStyle w:val="16"/>
      </w:pPr>
    </w:p>
    <w:p/>
    <w:p>
      <w:pPr>
        <w:pStyle w:val="16"/>
      </w:pPr>
    </w:p>
    <w:p/>
    <w:p>
      <w:pPr>
        <w:pStyle w:val="16"/>
      </w:pPr>
    </w:p>
    <w:p/>
    <w:p>
      <w:pPr>
        <w:pStyle w:val="16"/>
      </w:pPr>
    </w:p>
    <w:p/>
    <w:p>
      <w:pPr>
        <w:pStyle w:val="16"/>
      </w:pPr>
    </w:p>
    <w:p/>
    <w:p>
      <w:pPr>
        <w:pStyle w:val="16"/>
      </w:pPr>
    </w:p>
    <w:p/>
    <w:p>
      <w:pPr>
        <w:pStyle w:val="16"/>
      </w:pPr>
    </w:p>
    <w:p/>
    <w:p>
      <w:pPr>
        <w:pStyle w:val="16"/>
      </w:pPr>
    </w:p>
    <w:p/>
    <w:p>
      <w:pPr>
        <w:pStyle w:val="16"/>
      </w:pPr>
    </w:p>
    <w:p/>
    <w:p>
      <w:pPr>
        <w:pStyle w:val="16"/>
      </w:pPr>
    </w:p>
    <w:p/>
    <w:p>
      <w:pPr>
        <w:pStyle w:val="16"/>
      </w:pPr>
    </w:p>
    <w:p/>
    <w:p>
      <w:pPr>
        <w:pStyle w:val="16"/>
      </w:pPr>
    </w:p>
    <w:p/>
    <w:bookmarkEnd w:id="262"/>
    <w:bookmarkEnd w:id="263"/>
    <w:p>
      <w:pPr>
        <w:pStyle w:val="16"/>
      </w:pPr>
    </w:p>
    <w:sectPr>
      <w:footerReference r:id="rId11" w:type="first"/>
      <w:footerReference r:id="rId10" w:type="default"/>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8EA65BFC-E292-4B6C-95A0-7A4749799E13}"/>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Verdana">
    <w:panose1 w:val="020B0604030504040204"/>
    <w:charset w:val="00"/>
    <w:family w:val="swiss"/>
    <w:pitch w:val="default"/>
    <w:sig w:usb0="A00006FF" w:usb1="4000205B" w:usb2="00000010" w:usb3="00000000" w:csb0="2000019F" w:csb1="00000000"/>
  </w:font>
  <w:font w:name="MingLiU">
    <w:altName w:val="PMingLiU-ExtB"/>
    <w:panose1 w:val="02010609000101010101"/>
    <w:charset w:val="88"/>
    <w:family w:val="modern"/>
    <w:pitch w:val="default"/>
    <w:sig w:usb0="00000000" w:usb1="00000000" w:usb2="00000016" w:usb3="00000000" w:csb0="00100001" w:csb1="00000000"/>
  </w:font>
  <w:font w:name="Calibri Light">
    <w:panose1 w:val="020F0302020204030204"/>
    <w:charset w:val="00"/>
    <w:family w:val="swiss"/>
    <w:pitch w:val="default"/>
    <w:sig w:usb0="E4002EFF" w:usb1="C2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203" w:usb1="288F0000" w:usb2="0000000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jc w:val="center"/>
    </w:pPr>
  </w:p>
  <w:p>
    <w:pPr>
      <w:pStyle w:val="2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framePr w:wrap="around" w:vAnchor="text" w:hAnchor="margin" w:xAlign="center" w:y="1"/>
      <w:rPr>
        <w:rStyle w:val="49"/>
      </w:rPr>
    </w:pPr>
    <w:r>
      <w:fldChar w:fldCharType="begin"/>
    </w:r>
    <w:r>
      <w:rPr>
        <w:rStyle w:val="49"/>
      </w:rPr>
      <w:instrText xml:space="preserve">PAGE  </w:instrText>
    </w:r>
    <w:r>
      <w:fldChar w:fldCharType="end"/>
    </w:r>
  </w:p>
  <w:p>
    <w:pPr>
      <w:pStyle w:val="2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jc w:val="center"/>
    </w:pPr>
    <w:r>
      <w:fldChar w:fldCharType="begin"/>
    </w:r>
    <w:r>
      <w:instrText xml:space="preserve">PAGE   \* MERGEFORMAT</w:instrText>
    </w:r>
    <w:r>
      <w:fldChar w:fldCharType="separate"/>
    </w:r>
    <w:r>
      <w:rPr>
        <w:lang w:val="zh-CN"/>
      </w:rPr>
      <w:t>79</w:t>
    </w:r>
    <w:r>
      <w:fldChar w:fldCharType="end"/>
    </w:r>
  </w:p>
  <w:p>
    <w:pPr>
      <w:pStyle w:val="2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jc w:val="center"/>
    </w:pPr>
    <w:r>
      <w:fldChar w:fldCharType="begin"/>
    </w:r>
    <w:r>
      <w:instrText xml:space="preserve">PAGE   \* MERGEFORMAT</w:instrText>
    </w:r>
    <w:r>
      <w:fldChar w:fldCharType="separate"/>
    </w:r>
    <w:r>
      <w:rPr>
        <w:lang w:val="zh-CN"/>
      </w:rPr>
      <w:t>35</w:t>
    </w:r>
    <w:r>
      <w:fldChar w:fldCharType="end"/>
    </w:r>
  </w:p>
  <w:p>
    <w:pPr>
      <w:pStyle w:val="2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framePr w:w="520" w:h="235" w:hRule="exact" w:wrap="around" w:vAnchor="text" w:hAnchor="page" w:x="6073" w:y="-2"/>
      <w:rPr>
        <w:rStyle w:val="49"/>
      </w:rPr>
    </w:pPr>
    <w:r>
      <w:fldChar w:fldCharType="begin"/>
    </w:r>
    <w:r>
      <w:rPr>
        <w:rStyle w:val="49"/>
      </w:rPr>
      <w:instrText xml:space="preserve">PAGE  </w:instrText>
    </w:r>
    <w:r>
      <w:fldChar w:fldCharType="separate"/>
    </w:r>
    <w:r>
      <w:rPr>
        <w:rStyle w:val="49"/>
      </w:rPr>
      <w:t>73</w:t>
    </w:r>
    <w:r>
      <w:fldChar w:fldCharType="end"/>
    </w:r>
  </w:p>
  <w:p>
    <w:pPr>
      <w:pStyle w:val="28"/>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framePr w:w="520" w:h="235" w:hRule="exact" w:wrap="around" w:vAnchor="text" w:hAnchor="page" w:x="6073" w:y="-2"/>
      <w:rPr>
        <w:rStyle w:val="49"/>
      </w:rPr>
    </w:pPr>
    <w:r>
      <w:fldChar w:fldCharType="begin"/>
    </w:r>
    <w:r>
      <w:rPr>
        <w:rStyle w:val="49"/>
      </w:rPr>
      <w:instrText xml:space="preserve">PAGE  </w:instrText>
    </w:r>
    <w:r>
      <w:fldChar w:fldCharType="separate"/>
    </w:r>
    <w:r>
      <w:rPr>
        <w:rStyle w:val="49"/>
      </w:rPr>
      <w:t>78</w:t>
    </w:r>
    <w:r>
      <w:fldChar w:fldCharType="end"/>
    </w:r>
  </w:p>
  <w:p>
    <w:pPr>
      <w:pStyle w:val="28"/>
      <w:ind w:right="36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8"/>
                            <w:rPr>
                              <w:rStyle w:val="49"/>
                            </w:rPr>
                          </w:pPr>
                          <w:r>
                            <w:fldChar w:fldCharType="begin"/>
                          </w:r>
                          <w:r>
                            <w:rPr>
                              <w:rStyle w:val="49"/>
                            </w:rPr>
                            <w:instrText xml:space="preserve">PAGE  </w:instrText>
                          </w:r>
                          <w:r>
                            <w:fldChar w:fldCharType="separate"/>
                          </w:r>
                          <w:r>
                            <w:rPr>
                              <w:rStyle w:val="49"/>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tTgfXLAQAAnAMAAA4AAAAAAAAAAQAgAAAAHgEAAGRycy9lMm9E&#10;b2MueG1sUEsFBgAAAAAGAAYAWQEAAFsFAAAAAA==&#10;">
              <v:fill on="f" focussize="0,0"/>
              <v:stroke on="f"/>
              <v:imagedata o:title=""/>
              <o:lock v:ext="edit" aspectratio="f"/>
              <v:textbox inset="0mm,0mm,0mm,0mm" style="mso-fit-shape-to-text:t;">
                <w:txbxContent>
                  <w:p>
                    <w:pPr>
                      <w:pStyle w:val="28"/>
                      <w:rPr>
                        <w:rStyle w:val="49"/>
                      </w:rPr>
                    </w:pPr>
                    <w:r>
                      <w:fldChar w:fldCharType="begin"/>
                    </w:r>
                    <w:r>
                      <w:rPr>
                        <w:rStyle w:val="49"/>
                      </w:rPr>
                      <w:instrText xml:space="preserve">PAGE  </w:instrText>
                    </w:r>
                    <w:r>
                      <w:fldChar w:fldCharType="separate"/>
                    </w:r>
                    <w:r>
                      <w:rPr>
                        <w:rStyle w:val="49"/>
                      </w:rPr>
                      <w:t>95</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8"/>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pPr>
                      <w:pStyle w:val="28"/>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094FDD"/>
    <w:multiLevelType w:val="singleLevel"/>
    <w:tmpl w:val="83094FDD"/>
    <w:lvl w:ilvl="0" w:tentative="0">
      <w:start w:val="1"/>
      <w:numFmt w:val="decimal"/>
      <w:suff w:val="nothing"/>
      <w:lvlText w:val="（%1）"/>
      <w:lvlJc w:val="left"/>
    </w:lvl>
  </w:abstractNum>
  <w:abstractNum w:abstractNumId="1">
    <w:nsid w:val="A75AE1FA"/>
    <w:multiLevelType w:val="singleLevel"/>
    <w:tmpl w:val="A75AE1FA"/>
    <w:lvl w:ilvl="0" w:tentative="0">
      <w:start w:val="1"/>
      <w:numFmt w:val="chineseCounting"/>
      <w:suff w:val="nothing"/>
      <w:lvlText w:val="（%1）"/>
      <w:lvlJc w:val="left"/>
      <w:pPr>
        <w:ind w:left="0" w:firstLine="420"/>
      </w:pPr>
      <w:rPr>
        <w:rFonts w:hint="eastAsia"/>
      </w:rPr>
    </w:lvl>
  </w:abstractNum>
  <w:abstractNum w:abstractNumId="2">
    <w:nsid w:val="A7AF1576"/>
    <w:multiLevelType w:val="singleLevel"/>
    <w:tmpl w:val="A7AF1576"/>
    <w:lvl w:ilvl="0" w:tentative="0">
      <w:start w:val="1"/>
      <w:numFmt w:val="decimal"/>
      <w:lvlText w:val="%1."/>
      <w:lvlJc w:val="left"/>
      <w:pPr>
        <w:tabs>
          <w:tab w:val="left" w:pos="312"/>
        </w:tabs>
      </w:pPr>
      <w:rPr>
        <w:rFonts w:hint="default"/>
        <w:color w:val="auto"/>
      </w:rPr>
    </w:lvl>
  </w:abstractNum>
  <w:abstractNum w:abstractNumId="3">
    <w:nsid w:val="A857D94E"/>
    <w:multiLevelType w:val="singleLevel"/>
    <w:tmpl w:val="A857D94E"/>
    <w:lvl w:ilvl="0" w:tentative="0">
      <w:start w:val="8"/>
      <w:numFmt w:val="chineseCounting"/>
      <w:suff w:val="space"/>
      <w:lvlText w:val="第%1章"/>
      <w:lvlJc w:val="left"/>
      <w:rPr>
        <w:rFonts w:hint="eastAsia"/>
      </w:rPr>
    </w:lvl>
  </w:abstractNum>
  <w:abstractNum w:abstractNumId="4">
    <w:nsid w:val="CACEFFC6"/>
    <w:multiLevelType w:val="singleLevel"/>
    <w:tmpl w:val="CACEFFC6"/>
    <w:lvl w:ilvl="0" w:tentative="0">
      <w:start w:val="2"/>
      <w:numFmt w:val="chineseCounting"/>
      <w:suff w:val="nothing"/>
      <w:lvlText w:val="（%1）"/>
      <w:lvlJc w:val="left"/>
      <w:rPr>
        <w:rFonts w:hint="eastAsia"/>
      </w:rPr>
    </w:lvl>
  </w:abstractNum>
  <w:abstractNum w:abstractNumId="5">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44"/>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6">
    <w:nsid w:val="3871CE1D"/>
    <w:multiLevelType w:val="singleLevel"/>
    <w:tmpl w:val="3871CE1D"/>
    <w:lvl w:ilvl="0" w:tentative="0">
      <w:start w:val="1"/>
      <w:numFmt w:val="chineseCounting"/>
      <w:suff w:val="nothing"/>
      <w:lvlText w:val="%1、"/>
      <w:lvlJc w:val="left"/>
      <w:rPr>
        <w:rFonts w:hint="eastAsia"/>
      </w:rPr>
    </w:lvl>
  </w:abstractNum>
  <w:abstractNum w:abstractNumId="7">
    <w:nsid w:val="55E7E3B4"/>
    <w:multiLevelType w:val="singleLevel"/>
    <w:tmpl w:val="55E7E3B4"/>
    <w:lvl w:ilvl="0" w:tentative="0">
      <w:start w:val="3"/>
      <w:numFmt w:val="chineseCounting"/>
      <w:suff w:val="space"/>
      <w:lvlText w:val="第%1章"/>
      <w:lvlJc w:val="left"/>
      <w:rPr>
        <w:rFonts w:hint="eastAsia"/>
      </w:rPr>
    </w:lvl>
  </w:abstractNum>
  <w:num w:numId="1">
    <w:abstractNumId w:val="5"/>
  </w:num>
  <w:num w:numId="2">
    <w:abstractNumId w:val="0"/>
  </w:num>
  <w:num w:numId="3">
    <w:abstractNumId w:val="7"/>
  </w:num>
  <w:num w:numId="4">
    <w:abstractNumId w:val="2"/>
  </w:num>
  <w:num w:numId="5">
    <w:abstractNumId w:val="3"/>
  </w:num>
  <w:num w:numId="6">
    <w:abstractNumId w:val="6"/>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TrueTypeFonts/>
  <w:saveSubsetFonts/>
  <w:bordersDoNotSurroundHeader w:val="0"/>
  <w:bordersDoNotSurroundFooter w:val="0"/>
  <w:doNotTrackMoves/>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lMzc0YmY5ZGIxYTRlZTc2ZDIwYzQ2NjFiYWNmOGUifQ=="/>
  </w:docVars>
  <w:rsids>
    <w:rsidRoot w:val="00F1787C"/>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9C1"/>
    <w:rsid w:val="00035D65"/>
    <w:rsid w:val="00035FD9"/>
    <w:rsid w:val="00037178"/>
    <w:rsid w:val="000439F3"/>
    <w:rsid w:val="00046EC8"/>
    <w:rsid w:val="0005109B"/>
    <w:rsid w:val="00055B95"/>
    <w:rsid w:val="000563B8"/>
    <w:rsid w:val="000572DF"/>
    <w:rsid w:val="00057B74"/>
    <w:rsid w:val="0006209E"/>
    <w:rsid w:val="000620D8"/>
    <w:rsid w:val="00066BA0"/>
    <w:rsid w:val="00067251"/>
    <w:rsid w:val="000757B2"/>
    <w:rsid w:val="0007698A"/>
    <w:rsid w:val="00076FDF"/>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5B35"/>
    <w:rsid w:val="00095EDA"/>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D0FF5"/>
    <w:rsid w:val="000D6003"/>
    <w:rsid w:val="000E1956"/>
    <w:rsid w:val="000E2A4B"/>
    <w:rsid w:val="000E313E"/>
    <w:rsid w:val="000E59C6"/>
    <w:rsid w:val="000F2842"/>
    <w:rsid w:val="00100F21"/>
    <w:rsid w:val="0010112E"/>
    <w:rsid w:val="00101194"/>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26B8"/>
    <w:rsid w:val="00133F0F"/>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DF"/>
    <w:rsid w:val="00166289"/>
    <w:rsid w:val="00167BC0"/>
    <w:rsid w:val="00170C4F"/>
    <w:rsid w:val="001743B9"/>
    <w:rsid w:val="00180C54"/>
    <w:rsid w:val="00180EFE"/>
    <w:rsid w:val="00183BEA"/>
    <w:rsid w:val="00184A5E"/>
    <w:rsid w:val="0018579A"/>
    <w:rsid w:val="0019148A"/>
    <w:rsid w:val="001A0539"/>
    <w:rsid w:val="001A09DE"/>
    <w:rsid w:val="001A5CDC"/>
    <w:rsid w:val="001A7336"/>
    <w:rsid w:val="001B37EE"/>
    <w:rsid w:val="001B455F"/>
    <w:rsid w:val="001B7789"/>
    <w:rsid w:val="001C0BBE"/>
    <w:rsid w:val="001C47B4"/>
    <w:rsid w:val="001C7A81"/>
    <w:rsid w:val="001D0E4A"/>
    <w:rsid w:val="001D4A30"/>
    <w:rsid w:val="001D5992"/>
    <w:rsid w:val="001D620B"/>
    <w:rsid w:val="001D748A"/>
    <w:rsid w:val="001E2FBC"/>
    <w:rsid w:val="001E35E5"/>
    <w:rsid w:val="001E37E8"/>
    <w:rsid w:val="001E3AE0"/>
    <w:rsid w:val="001E4ED8"/>
    <w:rsid w:val="001F5D0C"/>
    <w:rsid w:val="001F6241"/>
    <w:rsid w:val="00203576"/>
    <w:rsid w:val="002111A4"/>
    <w:rsid w:val="002136F9"/>
    <w:rsid w:val="00213C13"/>
    <w:rsid w:val="00214A65"/>
    <w:rsid w:val="00214E11"/>
    <w:rsid w:val="0021510A"/>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60EA"/>
    <w:rsid w:val="00246DBB"/>
    <w:rsid w:val="002537F9"/>
    <w:rsid w:val="00253875"/>
    <w:rsid w:val="0025448C"/>
    <w:rsid w:val="00264707"/>
    <w:rsid w:val="002660DD"/>
    <w:rsid w:val="00272FC8"/>
    <w:rsid w:val="00275FE1"/>
    <w:rsid w:val="00277351"/>
    <w:rsid w:val="00277BB5"/>
    <w:rsid w:val="002826F6"/>
    <w:rsid w:val="00287A1A"/>
    <w:rsid w:val="0029648C"/>
    <w:rsid w:val="002966A3"/>
    <w:rsid w:val="00296F6F"/>
    <w:rsid w:val="00297D35"/>
    <w:rsid w:val="002A0370"/>
    <w:rsid w:val="002A055F"/>
    <w:rsid w:val="002A2803"/>
    <w:rsid w:val="002A4245"/>
    <w:rsid w:val="002B19F4"/>
    <w:rsid w:val="002B4E72"/>
    <w:rsid w:val="002B52E8"/>
    <w:rsid w:val="002B6790"/>
    <w:rsid w:val="002B6B13"/>
    <w:rsid w:val="002B6E57"/>
    <w:rsid w:val="002B72CF"/>
    <w:rsid w:val="002C2E51"/>
    <w:rsid w:val="002C471B"/>
    <w:rsid w:val="002C5A0E"/>
    <w:rsid w:val="002C7AB6"/>
    <w:rsid w:val="002D54DB"/>
    <w:rsid w:val="002E1D11"/>
    <w:rsid w:val="002E673F"/>
    <w:rsid w:val="002E695F"/>
    <w:rsid w:val="002F308B"/>
    <w:rsid w:val="002F59DF"/>
    <w:rsid w:val="002F6545"/>
    <w:rsid w:val="002F737A"/>
    <w:rsid w:val="002F73BF"/>
    <w:rsid w:val="002F7968"/>
    <w:rsid w:val="00300BA8"/>
    <w:rsid w:val="0030183E"/>
    <w:rsid w:val="00305027"/>
    <w:rsid w:val="003111A2"/>
    <w:rsid w:val="0031451A"/>
    <w:rsid w:val="0031530B"/>
    <w:rsid w:val="00321B30"/>
    <w:rsid w:val="00322C4B"/>
    <w:rsid w:val="00323A00"/>
    <w:rsid w:val="0032479B"/>
    <w:rsid w:val="00325CDF"/>
    <w:rsid w:val="00326D75"/>
    <w:rsid w:val="003331DE"/>
    <w:rsid w:val="003332D7"/>
    <w:rsid w:val="003349A6"/>
    <w:rsid w:val="00336D14"/>
    <w:rsid w:val="00340515"/>
    <w:rsid w:val="003413B4"/>
    <w:rsid w:val="0034521F"/>
    <w:rsid w:val="003458EB"/>
    <w:rsid w:val="00345A28"/>
    <w:rsid w:val="003467A2"/>
    <w:rsid w:val="003515E2"/>
    <w:rsid w:val="00351749"/>
    <w:rsid w:val="0035184A"/>
    <w:rsid w:val="00355399"/>
    <w:rsid w:val="003600B5"/>
    <w:rsid w:val="00361ABE"/>
    <w:rsid w:val="00362AD2"/>
    <w:rsid w:val="003638FE"/>
    <w:rsid w:val="003668C2"/>
    <w:rsid w:val="00367182"/>
    <w:rsid w:val="0037709D"/>
    <w:rsid w:val="00380543"/>
    <w:rsid w:val="00383AFE"/>
    <w:rsid w:val="00384108"/>
    <w:rsid w:val="00384E9A"/>
    <w:rsid w:val="003856B3"/>
    <w:rsid w:val="0038574E"/>
    <w:rsid w:val="003858BE"/>
    <w:rsid w:val="003859B8"/>
    <w:rsid w:val="0039099F"/>
    <w:rsid w:val="00397134"/>
    <w:rsid w:val="003A063A"/>
    <w:rsid w:val="003A67CF"/>
    <w:rsid w:val="003B5115"/>
    <w:rsid w:val="003B5AAE"/>
    <w:rsid w:val="003B696A"/>
    <w:rsid w:val="003C18C8"/>
    <w:rsid w:val="003C28DD"/>
    <w:rsid w:val="003C4C34"/>
    <w:rsid w:val="003C7632"/>
    <w:rsid w:val="003C7809"/>
    <w:rsid w:val="003D0BF2"/>
    <w:rsid w:val="003D4436"/>
    <w:rsid w:val="003D5153"/>
    <w:rsid w:val="003D5F84"/>
    <w:rsid w:val="003E0D5A"/>
    <w:rsid w:val="003E3829"/>
    <w:rsid w:val="003E38BD"/>
    <w:rsid w:val="003E68AB"/>
    <w:rsid w:val="003F098D"/>
    <w:rsid w:val="003F1C45"/>
    <w:rsid w:val="003F1F45"/>
    <w:rsid w:val="003F34F8"/>
    <w:rsid w:val="003F6AEE"/>
    <w:rsid w:val="003F7927"/>
    <w:rsid w:val="003F7A0C"/>
    <w:rsid w:val="00402F66"/>
    <w:rsid w:val="00403314"/>
    <w:rsid w:val="00404848"/>
    <w:rsid w:val="00411545"/>
    <w:rsid w:val="00412072"/>
    <w:rsid w:val="00415B93"/>
    <w:rsid w:val="00420586"/>
    <w:rsid w:val="00420FC3"/>
    <w:rsid w:val="00421DFA"/>
    <w:rsid w:val="00423CEA"/>
    <w:rsid w:val="00426621"/>
    <w:rsid w:val="0043226B"/>
    <w:rsid w:val="0043326B"/>
    <w:rsid w:val="00434144"/>
    <w:rsid w:val="00435BC6"/>
    <w:rsid w:val="004409EE"/>
    <w:rsid w:val="0044320E"/>
    <w:rsid w:val="00443CBF"/>
    <w:rsid w:val="00443D8E"/>
    <w:rsid w:val="00444730"/>
    <w:rsid w:val="00452AC2"/>
    <w:rsid w:val="00452F25"/>
    <w:rsid w:val="00453BE6"/>
    <w:rsid w:val="00454E6B"/>
    <w:rsid w:val="0045502B"/>
    <w:rsid w:val="004566D2"/>
    <w:rsid w:val="0045695D"/>
    <w:rsid w:val="00461AD0"/>
    <w:rsid w:val="004634AB"/>
    <w:rsid w:val="00466348"/>
    <w:rsid w:val="004706E6"/>
    <w:rsid w:val="0047569F"/>
    <w:rsid w:val="00476803"/>
    <w:rsid w:val="004774EC"/>
    <w:rsid w:val="00480132"/>
    <w:rsid w:val="004802D9"/>
    <w:rsid w:val="00480BDB"/>
    <w:rsid w:val="00481CDD"/>
    <w:rsid w:val="0048320C"/>
    <w:rsid w:val="004851D3"/>
    <w:rsid w:val="00492555"/>
    <w:rsid w:val="00493C71"/>
    <w:rsid w:val="00494844"/>
    <w:rsid w:val="00496C67"/>
    <w:rsid w:val="004A15BA"/>
    <w:rsid w:val="004A1630"/>
    <w:rsid w:val="004A16CA"/>
    <w:rsid w:val="004A19AC"/>
    <w:rsid w:val="004A3E48"/>
    <w:rsid w:val="004B13EB"/>
    <w:rsid w:val="004B24DB"/>
    <w:rsid w:val="004B36BA"/>
    <w:rsid w:val="004B48CF"/>
    <w:rsid w:val="004C00BE"/>
    <w:rsid w:val="004C023B"/>
    <w:rsid w:val="004C0E82"/>
    <w:rsid w:val="004C1326"/>
    <w:rsid w:val="004C1C0B"/>
    <w:rsid w:val="004C42BC"/>
    <w:rsid w:val="004C4B65"/>
    <w:rsid w:val="004C5682"/>
    <w:rsid w:val="004C6795"/>
    <w:rsid w:val="004C71DC"/>
    <w:rsid w:val="004D1ADF"/>
    <w:rsid w:val="004D4A97"/>
    <w:rsid w:val="004D5467"/>
    <w:rsid w:val="004D6EA5"/>
    <w:rsid w:val="004E6A77"/>
    <w:rsid w:val="004F05BD"/>
    <w:rsid w:val="004F5845"/>
    <w:rsid w:val="004F7236"/>
    <w:rsid w:val="005016AD"/>
    <w:rsid w:val="00501C58"/>
    <w:rsid w:val="00502E26"/>
    <w:rsid w:val="00504EDE"/>
    <w:rsid w:val="005118BF"/>
    <w:rsid w:val="005122DB"/>
    <w:rsid w:val="005142E6"/>
    <w:rsid w:val="00514DF5"/>
    <w:rsid w:val="005216B1"/>
    <w:rsid w:val="005230E8"/>
    <w:rsid w:val="005248B7"/>
    <w:rsid w:val="00524AAD"/>
    <w:rsid w:val="00527DED"/>
    <w:rsid w:val="00533989"/>
    <w:rsid w:val="0053576A"/>
    <w:rsid w:val="0053749E"/>
    <w:rsid w:val="0053783C"/>
    <w:rsid w:val="00540A63"/>
    <w:rsid w:val="00541EAD"/>
    <w:rsid w:val="00543B84"/>
    <w:rsid w:val="00551444"/>
    <w:rsid w:val="005516BA"/>
    <w:rsid w:val="00554CE3"/>
    <w:rsid w:val="00565E3C"/>
    <w:rsid w:val="0056641F"/>
    <w:rsid w:val="005668C7"/>
    <w:rsid w:val="00567B81"/>
    <w:rsid w:val="00571660"/>
    <w:rsid w:val="0057233D"/>
    <w:rsid w:val="00573321"/>
    <w:rsid w:val="005758E3"/>
    <w:rsid w:val="005914DA"/>
    <w:rsid w:val="00591F3F"/>
    <w:rsid w:val="00594228"/>
    <w:rsid w:val="005946A1"/>
    <w:rsid w:val="00594DBC"/>
    <w:rsid w:val="0059501D"/>
    <w:rsid w:val="005A0E5B"/>
    <w:rsid w:val="005A1707"/>
    <w:rsid w:val="005A390C"/>
    <w:rsid w:val="005A3A26"/>
    <w:rsid w:val="005A6CF0"/>
    <w:rsid w:val="005B0870"/>
    <w:rsid w:val="005B2C7F"/>
    <w:rsid w:val="005B635A"/>
    <w:rsid w:val="005C1367"/>
    <w:rsid w:val="005C137A"/>
    <w:rsid w:val="005C3C93"/>
    <w:rsid w:val="005C7304"/>
    <w:rsid w:val="005D1938"/>
    <w:rsid w:val="005D1C59"/>
    <w:rsid w:val="005D3202"/>
    <w:rsid w:val="005D48DB"/>
    <w:rsid w:val="005E25FB"/>
    <w:rsid w:val="005E3EBE"/>
    <w:rsid w:val="005E3F38"/>
    <w:rsid w:val="005E782A"/>
    <w:rsid w:val="005F18AC"/>
    <w:rsid w:val="005F2C77"/>
    <w:rsid w:val="00605878"/>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5AF6"/>
    <w:rsid w:val="00626C3A"/>
    <w:rsid w:val="00633525"/>
    <w:rsid w:val="00634491"/>
    <w:rsid w:val="00640A2B"/>
    <w:rsid w:val="006410AE"/>
    <w:rsid w:val="00641DDB"/>
    <w:rsid w:val="00645AA4"/>
    <w:rsid w:val="0064614C"/>
    <w:rsid w:val="006501D9"/>
    <w:rsid w:val="0065343F"/>
    <w:rsid w:val="00662461"/>
    <w:rsid w:val="00663C2A"/>
    <w:rsid w:val="00664ABD"/>
    <w:rsid w:val="00672863"/>
    <w:rsid w:val="0067333E"/>
    <w:rsid w:val="00674008"/>
    <w:rsid w:val="006747F2"/>
    <w:rsid w:val="0067739E"/>
    <w:rsid w:val="00677827"/>
    <w:rsid w:val="00680AC1"/>
    <w:rsid w:val="00681547"/>
    <w:rsid w:val="00681630"/>
    <w:rsid w:val="00682C95"/>
    <w:rsid w:val="00685B7E"/>
    <w:rsid w:val="00685D10"/>
    <w:rsid w:val="00694FA7"/>
    <w:rsid w:val="006A29F5"/>
    <w:rsid w:val="006A2D0D"/>
    <w:rsid w:val="006A4D20"/>
    <w:rsid w:val="006A79F4"/>
    <w:rsid w:val="006B1A0A"/>
    <w:rsid w:val="006B49C1"/>
    <w:rsid w:val="006B60A9"/>
    <w:rsid w:val="006C41F0"/>
    <w:rsid w:val="006C497C"/>
    <w:rsid w:val="006C75C9"/>
    <w:rsid w:val="006C7F0A"/>
    <w:rsid w:val="006D1032"/>
    <w:rsid w:val="006D48FF"/>
    <w:rsid w:val="006D4950"/>
    <w:rsid w:val="006E2BEB"/>
    <w:rsid w:val="006E2F3D"/>
    <w:rsid w:val="006E3F3F"/>
    <w:rsid w:val="006E44D5"/>
    <w:rsid w:val="006F08B7"/>
    <w:rsid w:val="00702554"/>
    <w:rsid w:val="0070267A"/>
    <w:rsid w:val="00704E87"/>
    <w:rsid w:val="00705864"/>
    <w:rsid w:val="0071015C"/>
    <w:rsid w:val="0071261D"/>
    <w:rsid w:val="0071777A"/>
    <w:rsid w:val="00722FD3"/>
    <w:rsid w:val="00724D14"/>
    <w:rsid w:val="00727D4B"/>
    <w:rsid w:val="00733C9A"/>
    <w:rsid w:val="00736D71"/>
    <w:rsid w:val="007372DF"/>
    <w:rsid w:val="00737EEA"/>
    <w:rsid w:val="00741B7A"/>
    <w:rsid w:val="00747B86"/>
    <w:rsid w:val="007504EC"/>
    <w:rsid w:val="007508E2"/>
    <w:rsid w:val="007560DB"/>
    <w:rsid w:val="00756FB5"/>
    <w:rsid w:val="00756FFD"/>
    <w:rsid w:val="00761FD8"/>
    <w:rsid w:val="00766052"/>
    <w:rsid w:val="00767E72"/>
    <w:rsid w:val="00770B52"/>
    <w:rsid w:val="00771915"/>
    <w:rsid w:val="00775C9B"/>
    <w:rsid w:val="00776703"/>
    <w:rsid w:val="007857ED"/>
    <w:rsid w:val="0079289A"/>
    <w:rsid w:val="00795C0E"/>
    <w:rsid w:val="007961C7"/>
    <w:rsid w:val="0079740B"/>
    <w:rsid w:val="00797B24"/>
    <w:rsid w:val="007A0CD6"/>
    <w:rsid w:val="007A0FAF"/>
    <w:rsid w:val="007A113F"/>
    <w:rsid w:val="007A1179"/>
    <w:rsid w:val="007A1D32"/>
    <w:rsid w:val="007A5B10"/>
    <w:rsid w:val="007A6154"/>
    <w:rsid w:val="007A683C"/>
    <w:rsid w:val="007A6D78"/>
    <w:rsid w:val="007B04A9"/>
    <w:rsid w:val="007B119C"/>
    <w:rsid w:val="007B187B"/>
    <w:rsid w:val="007B1FF2"/>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DF1"/>
    <w:rsid w:val="007F2820"/>
    <w:rsid w:val="007F2E31"/>
    <w:rsid w:val="007F2F27"/>
    <w:rsid w:val="007F341C"/>
    <w:rsid w:val="007F3F04"/>
    <w:rsid w:val="007F5056"/>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502D"/>
    <w:rsid w:val="00816118"/>
    <w:rsid w:val="00816C40"/>
    <w:rsid w:val="008170C3"/>
    <w:rsid w:val="00817E08"/>
    <w:rsid w:val="00825742"/>
    <w:rsid w:val="00833989"/>
    <w:rsid w:val="00833FEE"/>
    <w:rsid w:val="00834654"/>
    <w:rsid w:val="008346F1"/>
    <w:rsid w:val="008354B1"/>
    <w:rsid w:val="008365E2"/>
    <w:rsid w:val="00836AA3"/>
    <w:rsid w:val="0084014A"/>
    <w:rsid w:val="00840D93"/>
    <w:rsid w:val="0084176C"/>
    <w:rsid w:val="00842D69"/>
    <w:rsid w:val="00844285"/>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6F6A"/>
    <w:rsid w:val="00887D97"/>
    <w:rsid w:val="00890EBC"/>
    <w:rsid w:val="00891734"/>
    <w:rsid w:val="00895E46"/>
    <w:rsid w:val="008967CB"/>
    <w:rsid w:val="008977A4"/>
    <w:rsid w:val="008A3AA0"/>
    <w:rsid w:val="008A55D4"/>
    <w:rsid w:val="008B1019"/>
    <w:rsid w:val="008B3FC7"/>
    <w:rsid w:val="008B5DEA"/>
    <w:rsid w:val="008B6331"/>
    <w:rsid w:val="008B67BA"/>
    <w:rsid w:val="008B7405"/>
    <w:rsid w:val="008C301B"/>
    <w:rsid w:val="008C4FC9"/>
    <w:rsid w:val="008C5B46"/>
    <w:rsid w:val="008C725C"/>
    <w:rsid w:val="008D00FA"/>
    <w:rsid w:val="008D63E7"/>
    <w:rsid w:val="008D73C7"/>
    <w:rsid w:val="008E0572"/>
    <w:rsid w:val="008E1519"/>
    <w:rsid w:val="008E287D"/>
    <w:rsid w:val="008E45A7"/>
    <w:rsid w:val="00900693"/>
    <w:rsid w:val="009006A6"/>
    <w:rsid w:val="00903037"/>
    <w:rsid w:val="009046B3"/>
    <w:rsid w:val="00905B3A"/>
    <w:rsid w:val="00916B64"/>
    <w:rsid w:val="00917EE0"/>
    <w:rsid w:val="00920C99"/>
    <w:rsid w:val="00925EBF"/>
    <w:rsid w:val="00927097"/>
    <w:rsid w:val="009275AE"/>
    <w:rsid w:val="009279C7"/>
    <w:rsid w:val="00931886"/>
    <w:rsid w:val="009332B4"/>
    <w:rsid w:val="0093372E"/>
    <w:rsid w:val="00933E5E"/>
    <w:rsid w:val="00940847"/>
    <w:rsid w:val="00940FA6"/>
    <w:rsid w:val="0094101C"/>
    <w:rsid w:val="009421B0"/>
    <w:rsid w:val="0094715F"/>
    <w:rsid w:val="009514A5"/>
    <w:rsid w:val="00953549"/>
    <w:rsid w:val="00954247"/>
    <w:rsid w:val="009564C7"/>
    <w:rsid w:val="00956F8D"/>
    <w:rsid w:val="009572C8"/>
    <w:rsid w:val="00962870"/>
    <w:rsid w:val="00962ACC"/>
    <w:rsid w:val="00964B02"/>
    <w:rsid w:val="009661C5"/>
    <w:rsid w:val="00972900"/>
    <w:rsid w:val="00972BE1"/>
    <w:rsid w:val="00974712"/>
    <w:rsid w:val="00974ED2"/>
    <w:rsid w:val="009756CC"/>
    <w:rsid w:val="00984865"/>
    <w:rsid w:val="00993114"/>
    <w:rsid w:val="009933AA"/>
    <w:rsid w:val="009967E9"/>
    <w:rsid w:val="00997538"/>
    <w:rsid w:val="009A2809"/>
    <w:rsid w:val="009A2EF8"/>
    <w:rsid w:val="009A4256"/>
    <w:rsid w:val="009B2BC0"/>
    <w:rsid w:val="009C1CE2"/>
    <w:rsid w:val="009C33B6"/>
    <w:rsid w:val="009C5D1A"/>
    <w:rsid w:val="009C64B8"/>
    <w:rsid w:val="009C672B"/>
    <w:rsid w:val="009C6EA7"/>
    <w:rsid w:val="009D1627"/>
    <w:rsid w:val="009D412F"/>
    <w:rsid w:val="009D797B"/>
    <w:rsid w:val="009D7B9F"/>
    <w:rsid w:val="009E0777"/>
    <w:rsid w:val="009E1498"/>
    <w:rsid w:val="009E1C34"/>
    <w:rsid w:val="009E2FCF"/>
    <w:rsid w:val="009E3D1F"/>
    <w:rsid w:val="009E7FE7"/>
    <w:rsid w:val="009F1F7E"/>
    <w:rsid w:val="009F2D22"/>
    <w:rsid w:val="009F5199"/>
    <w:rsid w:val="009F6408"/>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70CA2"/>
    <w:rsid w:val="00A71A44"/>
    <w:rsid w:val="00A7363E"/>
    <w:rsid w:val="00A805C4"/>
    <w:rsid w:val="00A81C0E"/>
    <w:rsid w:val="00A826A4"/>
    <w:rsid w:val="00A828D4"/>
    <w:rsid w:val="00A83919"/>
    <w:rsid w:val="00A84585"/>
    <w:rsid w:val="00A84832"/>
    <w:rsid w:val="00A8542F"/>
    <w:rsid w:val="00A92E22"/>
    <w:rsid w:val="00A95AFB"/>
    <w:rsid w:val="00AA1ED7"/>
    <w:rsid w:val="00AA2125"/>
    <w:rsid w:val="00AA7B39"/>
    <w:rsid w:val="00AB291E"/>
    <w:rsid w:val="00AB3079"/>
    <w:rsid w:val="00AB454C"/>
    <w:rsid w:val="00AB7314"/>
    <w:rsid w:val="00AC0B60"/>
    <w:rsid w:val="00AC35C8"/>
    <w:rsid w:val="00AC5579"/>
    <w:rsid w:val="00AC77D9"/>
    <w:rsid w:val="00AD254C"/>
    <w:rsid w:val="00AD3F91"/>
    <w:rsid w:val="00AD5063"/>
    <w:rsid w:val="00AE0656"/>
    <w:rsid w:val="00AE0F5B"/>
    <w:rsid w:val="00AE17FA"/>
    <w:rsid w:val="00AE3AEB"/>
    <w:rsid w:val="00AE7FF3"/>
    <w:rsid w:val="00AF1302"/>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307F7"/>
    <w:rsid w:val="00B32CAE"/>
    <w:rsid w:val="00B3421D"/>
    <w:rsid w:val="00B35641"/>
    <w:rsid w:val="00B36173"/>
    <w:rsid w:val="00B41020"/>
    <w:rsid w:val="00B42F9A"/>
    <w:rsid w:val="00B459DA"/>
    <w:rsid w:val="00B4774B"/>
    <w:rsid w:val="00B516E9"/>
    <w:rsid w:val="00B52622"/>
    <w:rsid w:val="00B529B8"/>
    <w:rsid w:val="00B53EAE"/>
    <w:rsid w:val="00B63108"/>
    <w:rsid w:val="00B64A4E"/>
    <w:rsid w:val="00B64BC6"/>
    <w:rsid w:val="00B657A0"/>
    <w:rsid w:val="00B66875"/>
    <w:rsid w:val="00B71C05"/>
    <w:rsid w:val="00B73167"/>
    <w:rsid w:val="00B756D1"/>
    <w:rsid w:val="00B7661F"/>
    <w:rsid w:val="00B77958"/>
    <w:rsid w:val="00B7798B"/>
    <w:rsid w:val="00B82491"/>
    <w:rsid w:val="00B851D0"/>
    <w:rsid w:val="00B92194"/>
    <w:rsid w:val="00B94AC5"/>
    <w:rsid w:val="00B95D90"/>
    <w:rsid w:val="00B96171"/>
    <w:rsid w:val="00B97C03"/>
    <w:rsid w:val="00BA114B"/>
    <w:rsid w:val="00BA4C4A"/>
    <w:rsid w:val="00BA5453"/>
    <w:rsid w:val="00BA65F5"/>
    <w:rsid w:val="00BA7026"/>
    <w:rsid w:val="00BA718D"/>
    <w:rsid w:val="00BA7E13"/>
    <w:rsid w:val="00BB1932"/>
    <w:rsid w:val="00BB471C"/>
    <w:rsid w:val="00BB4F74"/>
    <w:rsid w:val="00BB5003"/>
    <w:rsid w:val="00BB60E7"/>
    <w:rsid w:val="00BC050E"/>
    <w:rsid w:val="00BC12EE"/>
    <w:rsid w:val="00BC1489"/>
    <w:rsid w:val="00BC203B"/>
    <w:rsid w:val="00BC33A9"/>
    <w:rsid w:val="00BD6DC6"/>
    <w:rsid w:val="00BE1BEC"/>
    <w:rsid w:val="00BE4A86"/>
    <w:rsid w:val="00BE4A91"/>
    <w:rsid w:val="00BE60A7"/>
    <w:rsid w:val="00BF28B3"/>
    <w:rsid w:val="00BF6FA8"/>
    <w:rsid w:val="00BF76B0"/>
    <w:rsid w:val="00C02712"/>
    <w:rsid w:val="00C07B2A"/>
    <w:rsid w:val="00C11F6E"/>
    <w:rsid w:val="00C13F63"/>
    <w:rsid w:val="00C15831"/>
    <w:rsid w:val="00C168B7"/>
    <w:rsid w:val="00C21595"/>
    <w:rsid w:val="00C22F13"/>
    <w:rsid w:val="00C22FCC"/>
    <w:rsid w:val="00C24264"/>
    <w:rsid w:val="00C2444F"/>
    <w:rsid w:val="00C30D22"/>
    <w:rsid w:val="00C31744"/>
    <w:rsid w:val="00C33666"/>
    <w:rsid w:val="00C364DD"/>
    <w:rsid w:val="00C37792"/>
    <w:rsid w:val="00C415BC"/>
    <w:rsid w:val="00C44E2D"/>
    <w:rsid w:val="00C46B60"/>
    <w:rsid w:val="00C474B2"/>
    <w:rsid w:val="00C563B6"/>
    <w:rsid w:val="00C624A2"/>
    <w:rsid w:val="00C65656"/>
    <w:rsid w:val="00C66A53"/>
    <w:rsid w:val="00C66FB7"/>
    <w:rsid w:val="00C76490"/>
    <w:rsid w:val="00C848C9"/>
    <w:rsid w:val="00C8655B"/>
    <w:rsid w:val="00C91CDE"/>
    <w:rsid w:val="00C91F22"/>
    <w:rsid w:val="00C92C81"/>
    <w:rsid w:val="00C943E9"/>
    <w:rsid w:val="00CA01B6"/>
    <w:rsid w:val="00CA2781"/>
    <w:rsid w:val="00CA398D"/>
    <w:rsid w:val="00CA45CB"/>
    <w:rsid w:val="00CA6808"/>
    <w:rsid w:val="00CA7567"/>
    <w:rsid w:val="00CB452C"/>
    <w:rsid w:val="00CB4A3D"/>
    <w:rsid w:val="00CB5C0F"/>
    <w:rsid w:val="00CB7FDA"/>
    <w:rsid w:val="00CC505F"/>
    <w:rsid w:val="00CC5715"/>
    <w:rsid w:val="00CD1726"/>
    <w:rsid w:val="00CD225D"/>
    <w:rsid w:val="00CD4175"/>
    <w:rsid w:val="00CD6C71"/>
    <w:rsid w:val="00CD78E5"/>
    <w:rsid w:val="00CE076F"/>
    <w:rsid w:val="00CE0E41"/>
    <w:rsid w:val="00CE2D7F"/>
    <w:rsid w:val="00CE32CD"/>
    <w:rsid w:val="00CE44DD"/>
    <w:rsid w:val="00CF2931"/>
    <w:rsid w:val="00CF3754"/>
    <w:rsid w:val="00CF3D31"/>
    <w:rsid w:val="00CF3FE8"/>
    <w:rsid w:val="00D0363A"/>
    <w:rsid w:val="00D065C5"/>
    <w:rsid w:val="00D0782A"/>
    <w:rsid w:val="00D1077A"/>
    <w:rsid w:val="00D1446B"/>
    <w:rsid w:val="00D230C6"/>
    <w:rsid w:val="00D2649C"/>
    <w:rsid w:val="00D273BE"/>
    <w:rsid w:val="00D3252E"/>
    <w:rsid w:val="00D32643"/>
    <w:rsid w:val="00D3367B"/>
    <w:rsid w:val="00D37D3B"/>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79C7"/>
    <w:rsid w:val="00D9071B"/>
    <w:rsid w:val="00D9317E"/>
    <w:rsid w:val="00D97A95"/>
    <w:rsid w:val="00DA0216"/>
    <w:rsid w:val="00DA24A3"/>
    <w:rsid w:val="00DB0400"/>
    <w:rsid w:val="00DB0B93"/>
    <w:rsid w:val="00DB0CCC"/>
    <w:rsid w:val="00DB227F"/>
    <w:rsid w:val="00DB2BAB"/>
    <w:rsid w:val="00DB49D5"/>
    <w:rsid w:val="00DB759D"/>
    <w:rsid w:val="00DC0B72"/>
    <w:rsid w:val="00DC578C"/>
    <w:rsid w:val="00DC6A1F"/>
    <w:rsid w:val="00DC6F92"/>
    <w:rsid w:val="00DD1747"/>
    <w:rsid w:val="00DD2133"/>
    <w:rsid w:val="00DD38F6"/>
    <w:rsid w:val="00DD4A11"/>
    <w:rsid w:val="00DD4FB9"/>
    <w:rsid w:val="00DD737B"/>
    <w:rsid w:val="00DE1033"/>
    <w:rsid w:val="00DE288F"/>
    <w:rsid w:val="00DE2BFF"/>
    <w:rsid w:val="00DE3226"/>
    <w:rsid w:val="00DE58F9"/>
    <w:rsid w:val="00DE680C"/>
    <w:rsid w:val="00DE7971"/>
    <w:rsid w:val="00DF1985"/>
    <w:rsid w:val="00DF5B31"/>
    <w:rsid w:val="00E02114"/>
    <w:rsid w:val="00E03783"/>
    <w:rsid w:val="00E06502"/>
    <w:rsid w:val="00E0716D"/>
    <w:rsid w:val="00E10E7C"/>
    <w:rsid w:val="00E15007"/>
    <w:rsid w:val="00E17769"/>
    <w:rsid w:val="00E20ABC"/>
    <w:rsid w:val="00E23505"/>
    <w:rsid w:val="00E24890"/>
    <w:rsid w:val="00E26737"/>
    <w:rsid w:val="00E30BDB"/>
    <w:rsid w:val="00E34C6A"/>
    <w:rsid w:val="00E36724"/>
    <w:rsid w:val="00E42612"/>
    <w:rsid w:val="00E42802"/>
    <w:rsid w:val="00E42AF9"/>
    <w:rsid w:val="00E44E76"/>
    <w:rsid w:val="00E457A5"/>
    <w:rsid w:val="00E45EDE"/>
    <w:rsid w:val="00E516C7"/>
    <w:rsid w:val="00E52FD0"/>
    <w:rsid w:val="00E53668"/>
    <w:rsid w:val="00E562C9"/>
    <w:rsid w:val="00E57CE7"/>
    <w:rsid w:val="00E64D73"/>
    <w:rsid w:val="00E65B2B"/>
    <w:rsid w:val="00E84AD3"/>
    <w:rsid w:val="00E8555A"/>
    <w:rsid w:val="00E907D3"/>
    <w:rsid w:val="00E9117E"/>
    <w:rsid w:val="00E91C2B"/>
    <w:rsid w:val="00E9267B"/>
    <w:rsid w:val="00E9477F"/>
    <w:rsid w:val="00EA168E"/>
    <w:rsid w:val="00EA2585"/>
    <w:rsid w:val="00EA416E"/>
    <w:rsid w:val="00EA6533"/>
    <w:rsid w:val="00EA7196"/>
    <w:rsid w:val="00EB209E"/>
    <w:rsid w:val="00EB6899"/>
    <w:rsid w:val="00EC0FB9"/>
    <w:rsid w:val="00EC1329"/>
    <w:rsid w:val="00EC1698"/>
    <w:rsid w:val="00EC21B3"/>
    <w:rsid w:val="00EC26B2"/>
    <w:rsid w:val="00EC4BAC"/>
    <w:rsid w:val="00EC58D0"/>
    <w:rsid w:val="00EC6200"/>
    <w:rsid w:val="00ED29DF"/>
    <w:rsid w:val="00EE220D"/>
    <w:rsid w:val="00EE440D"/>
    <w:rsid w:val="00EE4955"/>
    <w:rsid w:val="00EE5143"/>
    <w:rsid w:val="00EE75C1"/>
    <w:rsid w:val="00EF4112"/>
    <w:rsid w:val="00EF7399"/>
    <w:rsid w:val="00F02127"/>
    <w:rsid w:val="00F03096"/>
    <w:rsid w:val="00F04171"/>
    <w:rsid w:val="00F04CFE"/>
    <w:rsid w:val="00F04E3D"/>
    <w:rsid w:val="00F10690"/>
    <w:rsid w:val="00F14AAD"/>
    <w:rsid w:val="00F15A03"/>
    <w:rsid w:val="00F1614E"/>
    <w:rsid w:val="00F1787C"/>
    <w:rsid w:val="00F23B12"/>
    <w:rsid w:val="00F3551B"/>
    <w:rsid w:val="00F43948"/>
    <w:rsid w:val="00F4432F"/>
    <w:rsid w:val="00F47A3D"/>
    <w:rsid w:val="00F47D02"/>
    <w:rsid w:val="00F518DB"/>
    <w:rsid w:val="00F53D6E"/>
    <w:rsid w:val="00F55898"/>
    <w:rsid w:val="00F55EB1"/>
    <w:rsid w:val="00F56076"/>
    <w:rsid w:val="00F620DD"/>
    <w:rsid w:val="00F6265D"/>
    <w:rsid w:val="00F646A2"/>
    <w:rsid w:val="00F65BF5"/>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7718"/>
    <w:rsid w:val="00F97C4A"/>
    <w:rsid w:val="00FA1207"/>
    <w:rsid w:val="00FA6D96"/>
    <w:rsid w:val="00FA7E59"/>
    <w:rsid w:val="00FB438B"/>
    <w:rsid w:val="00FB5E2B"/>
    <w:rsid w:val="00FB671E"/>
    <w:rsid w:val="00FC070A"/>
    <w:rsid w:val="00FC3792"/>
    <w:rsid w:val="00FC6389"/>
    <w:rsid w:val="00FD2B70"/>
    <w:rsid w:val="00FD480A"/>
    <w:rsid w:val="00FD4E1C"/>
    <w:rsid w:val="00FD5A4F"/>
    <w:rsid w:val="00FE041C"/>
    <w:rsid w:val="00FE3166"/>
    <w:rsid w:val="00FE3EEF"/>
    <w:rsid w:val="00FE5EBF"/>
    <w:rsid w:val="00FE7AEA"/>
    <w:rsid w:val="00FF3180"/>
    <w:rsid w:val="00FF4C28"/>
    <w:rsid w:val="00FF569F"/>
    <w:rsid w:val="00FF7182"/>
    <w:rsid w:val="01110D91"/>
    <w:rsid w:val="01232ED2"/>
    <w:rsid w:val="012D5C45"/>
    <w:rsid w:val="015D18DC"/>
    <w:rsid w:val="0184380B"/>
    <w:rsid w:val="01852BD3"/>
    <w:rsid w:val="018A6C3C"/>
    <w:rsid w:val="01912179"/>
    <w:rsid w:val="01A8609A"/>
    <w:rsid w:val="01A93FA3"/>
    <w:rsid w:val="01B37E92"/>
    <w:rsid w:val="01CA6EA2"/>
    <w:rsid w:val="01E05F01"/>
    <w:rsid w:val="020C0D2B"/>
    <w:rsid w:val="02195A53"/>
    <w:rsid w:val="022831DB"/>
    <w:rsid w:val="02375428"/>
    <w:rsid w:val="02427F54"/>
    <w:rsid w:val="029D41FE"/>
    <w:rsid w:val="02A800C5"/>
    <w:rsid w:val="02B53517"/>
    <w:rsid w:val="02C6499B"/>
    <w:rsid w:val="02C91CAA"/>
    <w:rsid w:val="02D0709E"/>
    <w:rsid w:val="02FA438B"/>
    <w:rsid w:val="0342021E"/>
    <w:rsid w:val="035E20C2"/>
    <w:rsid w:val="037D0CD2"/>
    <w:rsid w:val="038B3366"/>
    <w:rsid w:val="03981B5E"/>
    <w:rsid w:val="03996EAD"/>
    <w:rsid w:val="03A528AE"/>
    <w:rsid w:val="03B659FC"/>
    <w:rsid w:val="03F60BFA"/>
    <w:rsid w:val="04023CC8"/>
    <w:rsid w:val="042674F4"/>
    <w:rsid w:val="042A6EF2"/>
    <w:rsid w:val="042D3C13"/>
    <w:rsid w:val="04566DE4"/>
    <w:rsid w:val="04722D72"/>
    <w:rsid w:val="047475DC"/>
    <w:rsid w:val="047A0BBC"/>
    <w:rsid w:val="04933E65"/>
    <w:rsid w:val="04945913"/>
    <w:rsid w:val="04B32944"/>
    <w:rsid w:val="04BF52ED"/>
    <w:rsid w:val="04C12ED8"/>
    <w:rsid w:val="04DC5749"/>
    <w:rsid w:val="04E26FED"/>
    <w:rsid w:val="04E41F94"/>
    <w:rsid w:val="04FD6633"/>
    <w:rsid w:val="050F1997"/>
    <w:rsid w:val="0515595C"/>
    <w:rsid w:val="052E2B3B"/>
    <w:rsid w:val="054416D2"/>
    <w:rsid w:val="05507F0F"/>
    <w:rsid w:val="055A4D20"/>
    <w:rsid w:val="056F275C"/>
    <w:rsid w:val="05753C79"/>
    <w:rsid w:val="05871A0A"/>
    <w:rsid w:val="058B2628"/>
    <w:rsid w:val="05A42E7B"/>
    <w:rsid w:val="05A70EA9"/>
    <w:rsid w:val="05D55D36"/>
    <w:rsid w:val="060C2525"/>
    <w:rsid w:val="062756FD"/>
    <w:rsid w:val="06465A4B"/>
    <w:rsid w:val="065F7A31"/>
    <w:rsid w:val="067C53E7"/>
    <w:rsid w:val="06820F5E"/>
    <w:rsid w:val="06A7180A"/>
    <w:rsid w:val="06AE2ABA"/>
    <w:rsid w:val="06BA1001"/>
    <w:rsid w:val="06C106CD"/>
    <w:rsid w:val="06C75DF5"/>
    <w:rsid w:val="06DD02BB"/>
    <w:rsid w:val="06E71F51"/>
    <w:rsid w:val="06F965AD"/>
    <w:rsid w:val="07035F04"/>
    <w:rsid w:val="07050666"/>
    <w:rsid w:val="071A6392"/>
    <w:rsid w:val="071C4DB7"/>
    <w:rsid w:val="07362674"/>
    <w:rsid w:val="073B54B2"/>
    <w:rsid w:val="073E79EE"/>
    <w:rsid w:val="07410810"/>
    <w:rsid w:val="07537EF9"/>
    <w:rsid w:val="0760673E"/>
    <w:rsid w:val="076619FA"/>
    <w:rsid w:val="077E1A2E"/>
    <w:rsid w:val="07815EE7"/>
    <w:rsid w:val="0784155A"/>
    <w:rsid w:val="079A613C"/>
    <w:rsid w:val="07E6454D"/>
    <w:rsid w:val="081748AE"/>
    <w:rsid w:val="08483CA7"/>
    <w:rsid w:val="08594641"/>
    <w:rsid w:val="085C3CE3"/>
    <w:rsid w:val="08635851"/>
    <w:rsid w:val="08891E69"/>
    <w:rsid w:val="08A30341"/>
    <w:rsid w:val="08C2359B"/>
    <w:rsid w:val="08ED052C"/>
    <w:rsid w:val="09041814"/>
    <w:rsid w:val="092D7BDC"/>
    <w:rsid w:val="09332D2B"/>
    <w:rsid w:val="093E2D64"/>
    <w:rsid w:val="09455F12"/>
    <w:rsid w:val="09472203"/>
    <w:rsid w:val="098B1DA7"/>
    <w:rsid w:val="09907951"/>
    <w:rsid w:val="099F43E4"/>
    <w:rsid w:val="09A31A61"/>
    <w:rsid w:val="09BA7A85"/>
    <w:rsid w:val="09DE1094"/>
    <w:rsid w:val="09E2475B"/>
    <w:rsid w:val="0A183EA3"/>
    <w:rsid w:val="0A1B0252"/>
    <w:rsid w:val="0A207013"/>
    <w:rsid w:val="0A3F34B7"/>
    <w:rsid w:val="0A4B11BE"/>
    <w:rsid w:val="0A7B4003"/>
    <w:rsid w:val="0A7D7D7B"/>
    <w:rsid w:val="0A8E5B8D"/>
    <w:rsid w:val="0A922065"/>
    <w:rsid w:val="0AA23F09"/>
    <w:rsid w:val="0AA240FA"/>
    <w:rsid w:val="0AAC0CBB"/>
    <w:rsid w:val="0ACC0D02"/>
    <w:rsid w:val="0AD84BD3"/>
    <w:rsid w:val="0AE941D3"/>
    <w:rsid w:val="0AFA761E"/>
    <w:rsid w:val="0B1061C6"/>
    <w:rsid w:val="0B246449"/>
    <w:rsid w:val="0B2B08D5"/>
    <w:rsid w:val="0B3A2110"/>
    <w:rsid w:val="0B896BF3"/>
    <w:rsid w:val="0B8B6E20"/>
    <w:rsid w:val="0B9874FD"/>
    <w:rsid w:val="0BA35012"/>
    <w:rsid w:val="0BB825ED"/>
    <w:rsid w:val="0BC0647C"/>
    <w:rsid w:val="0BD7624B"/>
    <w:rsid w:val="0BF26817"/>
    <w:rsid w:val="0C22464A"/>
    <w:rsid w:val="0C2B72AE"/>
    <w:rsid w:val="0C3A50BE"/>
    <w:rsid w:val="0C486A95"/>
    <w:rsid w:val="0C517E31"/>
    <w:rsid w:val="0C6222A3"/>
    <w:rsid w:val="0C623EAC"/>
    <w:rsid w:val="0C946488"/>
    <w:rsid w:val="0CA8201C"/>
    <w:rsid w:val="0CAB3827"/>
    <w:rsid w:val="0CAD24AF"/>
    <w:rsid w:val="0CB27F34"/>
    <w:rsid w:val="0CC41080"/>
    <w:rsid w:val="0D0D3F93"/>
    <w:rsid w:val="0D12389F"/>
    <w:rsid w:val="0D2820B7"/>
    <w:rsid w:val="0D2B5BA2"/>
    <w:rsid w:val="0D2F6875"/>
    <w:rsid w:val="0D33523D"/>
    <w:rsid w:val="0D5B6D69"/>
    <w:rsid w:val="0D6065F9"/>
    <w:rsid w:val="0D650C0A"/>
    <w:rsid w:val="0D662EE5"/>
    <w:rsid w:val="0D6A3AE7"/>
    <w:rsid w:val="0D7457CA"/>
    <w:rsid w:val="0D860EC5"/>
    <w:rsid w:val="0D9339BE"/>
    <w:rsid w:val="0D991370"/>
    <w:rsid w:val="0D9E6A67"/>
    <w:rsid w:val="0D9F0DC4"/>
    <w:rsid w:val="0DA07FC9"/>
    <w:rsid w:val="0DAE46EF"/>
    <w:rsid w:val="0DC02AA1"/>
    <w:rsid w:val="0DDE695A"/>
    <w:rsid w:val="0DF73A5B"/>
    <w:rsid w:val="0E164CA8"/>
    <w:rsid w:val="0E1F54E6"/>
    <w:rsid w:val="0E231949"/>
    <w:rsid w:val="0E2D072E"/>
    <w:rsid w:val="0E3B295D"/>
    <w:rsid w:val="0E47249B"/>
    <w:rsid w:val="0E551882"/>
    <w:rsid w:val="0E5C239D"/>
    <w:rsid w:val="0E7306EC"/>
    <w:rsid w:val="0E963048"/>
    <w:rsid w:val="0EAD7E50"/>
    <w:rsid w:val="0EB254B2"/>
    <w:rsid w:val="0EB567A2"/>
    <w:rsid w:val="0ED91C40"/>
    <w:rsid w:val="0EFB3F5D"/>
    <w:rsid w:val="0EFC0836"/>
    <w:rsid w:val="0F041CC7"/>
    <w:rsid w:val="0F042317"/>
    <w:rsid w:val="0F1209F8"/>
    <w:rsid w:val="0F4C19DA"/>
    <w:rsid w:val="0F4C7D05"/>
    <w:rsid w:val="0F4F31AF"/>
    <w:rsid w:val="0F5F17BD"/>
    <w:rsid w:val="0F6B0BDE"/>
    <w:rsid w:val="0F7E014D"/>
    <w:rsid w:val="0F7F6CFB"/>
    <w:rsid w:val="0F90531D"/>
    <w:rsid w:val="0FAD64B5"/>
    <w:rsid w:val="0FB21FD4"/>
    <w:rsid w:val="0FC35FC8"/>
    <w:rsid w:val="0FFF5930"/>
    <w:rsid w:val="1018536D"/>
    <w:rsid w:val="103E679C"/>
    <w:rsid w:val="104D6442"/>
    <w:rsid w:val="10740078"/>
    <w:rsid w:val="108E33C3"/>
    <w:rsid w:val="10A265EF"/>
    <w:rsid w:val="10EC4A0F"/>
    <w:rsid w:val="10FA1563"/>
    <w:rsid w:val="10FB7C4C"/>
    <w:rsid w:val="11156FC6"/>
    <w:rsid w:val="11485B0D"/>
    <w:rsid w:val="114C7209"/>
    <w:rsid w:val="11537A88"/>
    <w:rsid w:val="1154158B"/>
    <w:rsid w:val="11677BA5"/>
    <w:rsid w:val="117076B2"/>
    <w:rsid w:val="119E6579"/>
    <w:rsid w:val="11D435DD"/>
    <w:rsid w:val="11DA3C43"/>
    <w:rsid w:val="11E15B8A"/>
    <w:rsid w:val="11F35990"/>
    <w:rsid w:val="1220326C"/>
    <w:rsid w:val="123A67B6"/>
    <w:rsid w:val="125515DD"/>
    <w:rsid w:val="125670E6"/>
    <w:rsid w:val="125E1A9C"/>
    <w:rsid w:val="1276289F"/>
    <w:rsid w:val="1288522D"/>
    <w:rsid w:val="129D6A95"/>
    <w:rsid w:val="12AF4046"/>
    <w:rsid w:val="12CE506D"/>
    <w:rsid w:val="12D036D1"/>
    <w:rsid w:val="12F65490"/>
    <w:rsid w:val="12F73D2A"/>
    <w:rsid w:val="12F9698E"/>
    <w:rsid w:val="13111CF5"/>
    <w:rsid w:val="13112273"/>
    <w:rsid w:val="131C7C5D"/>
    <w:rsid w:val="13511DF6"/>
    <w:rsid w:val="1359610F"/>
    <w:rsid w:val="136F3685"/>
    <w:rsid w:val="138B4634"/>
    <w:rsid w:val="138F1214"/>
    <w:rsid w:val="13BF412F"/>
    <w:rsid w:val="13C00A21"/>
    <w:rsid w:val="13D101C7"/>
    <w:rsid w:val="1400440E"/>
    <w:rsid w:val="14005579"/>
    <w:rsid w:val="142669A3"/>
    <w:rsid w:val="142B5D9F"/>
    <w:rsid w:val="14301CC2"/>
    <w:rsid w:val="143805F9"/>
    <w:rsid w:val="144729D8"/>
    <w:rsid w:val="147A44EB"/>
    <w:rsid w:val="148530C5"/>
    <w:rsid w:val="148E78CB"/>
    <w:rsid w:val="149F4D92"/>
    <w:rsid w:val="14A13E6D"/>
    <w:rsid w:val="14AB614D"/>
    <w:rsid w:val="14B96C2B"/>
    <w:rsid w:val="15067DFC"/>
    <w:rsid w:val="15181495"/>
    <w:rsid w:val="153870BF"/>
    <w:rsid w:val="15436E45"/>
    <w:rsid w:val="154871D8"/>
    <w:rsid w:val="15507C7E"/>
    <w:rsid w:val="1557566D"/>
    <w:rsid w:val="15664AEF"/>
    <w:rsid w:val="158E23E1"/>
    <w:rsid w:val="159D7EA6"/>
    <w:rsid w:val="159F1BF9"/>
    <w:rsid w:val="15A00DC2"/>
    <w:rsid w:val="15B71B1D"/>
    <w:rsid w:val="15B86D74"/>
    <w:rsid w:val="15E63361"/>
    <w:rsid w:val="15FB01ED"/>
    <w:rsid w:val="160B0227"/>
    <w:rsid w:val="1613731C"/>
    <w:rsid w:val="161715F5"/>
    <w:rsid w:val="1658169C"/>
    <w:rsid w:val="16864176"/>
    <w:rsid w:val="169825E7"/>
    <w:rsid w:val="16B34B25"/>
    <w:rsid w:val="16E04880"/>
    <w:rsid w:val="16F86032"/>
    <w:rsid w:val="16FE2244"/>
    <w:rsid w:val="17081A7A"/>
    <w:rsid w:val="17092996"/>
    <w:rsid w:val="17292C0C"/>
    <w:rsid w:val="176F50FE"/>
    <w:rsid w:val="17A35761"/>
    <w:rsid w:val="17D10049"/>
    <w:rsid w:val="17D565E9"/>
    <w:rsid w:val="17D75109"/>
    <w:rsid w:val="17DD0B49"/>
    <w:rsid w:val="17F1563C"/>
    <w:rsid w:val="17F23C73"/>
    <w:rsid w:val="18066F34"/>
    <w:rsid w:val="180D0283"/>
    <w:rsid w:val="180F3B80"/>
    <w:rsid w:val="1812568C"/>
    <w:rsid w:val="18190BFA"/>
    <w:rsid w:val="181B1411"/>
    <w:rsid w:val="181C1400"/>
    <w:rsid w:val="18223BBF"/>
    <w:rsid w:val="18406E44"/>
    <w:rsid w:val="185C1918"/>
    <w:rsid w:val="187A3B4C"/>
    <w:rsid w:val="1880349D"/>
    <w:rsid w:val="18A24E51"/>
    <w:rsid w:val="18BD142C"/>
    <w:rsid w:val="18BD60C6"/>
    <w:rsid w:val="18C3452E"/>
    <w:rsid w:val="18D435BC"/>
    <w:rsid w:val="18E261BC"/>
    <w:rsid w:val="18E6320F"/>
    <w:rsid w:val="190050D9"/>
    <w:rsid w:val="19193365"/>
    <w:rsid w:val="19261639"/>
    <w:rsid w:val="195D5C0E"/>
    <w:rsid w:val="19B116AD"/>
    <w:rsid w:val="19B17485"/>
    <w:rsid w:val="19B64CC2"/>
    <w:rsid w:val="19BA69A5"/>
    <w:rsid w:val="19BF304A"/>
    <w:rsid w:val="19CC487B"/>
    <w:rsid w:val="19DA3CF6"/>
    <w:rsid w:val="19DF6D3F"/>
    <w:rsid w:val="19E24459"/>
    <w:rsid w:val="19E75211"/>
    <w:rsid w:val="19EF2451"/>
    <w:rsid w:val="1A176F08"/>
    <w:rsid w:val="1A194A1B"/>
    <w:rsid w:val="1A305FF4"/>
    <w:rsid w:val="1A3D7EBE"/>
    <w:rsid w:val="1A4274FB"/>
    <w:rsid w:val="1A4353A0"/>
    <w:rsid w:val="1A557489"/>
    <w:rsid w:val="1A89451A"/>
    <w:rsid w:val="1AF45443"/>
    <w:rsid w:val="1AF673AA"/>
    <w:rsid w:val="1B075A0C"/>
    <w:rsid w:val="1B1C7DC9"/>
    <w:rsid w:val="1B67066F"/>
    <w:rsid w:val="1B7229E4"/>
    <w:rsid w:val="1B7A5EC7"/>
    <w:rsid w:val="1B8E5EC0"/>
    <w:rsid w:val="1BBE47DE"/>
    <w:rsid w:val="1BC10D01"/>
    <w:rsid w:val="1BCB334D"/>
    <w:rsid w:val="1BD163B0"/>
    <w:rsid w:val="1C2403B8"/>
    <w:rsid w:val="1C2613A8"/>
    <w:rsid w:val="1C477E44"/>
    <w:rsid w:val="1C871B48"/>
    <w:rsid w:val="1C9B22E2"/>
    <w:rsid w:val="1CA53B30"/>
    <w:rsid w:val="1CB33990"/>
    <w:rsid w:val="1CB94E5F"/>
    <w:rsid w:val="1CBE72D2"/>
    <w:rsid w:val="1CDA422E"/>
    <w:rsid w:val="1CF6260F"/>
    <w:rsid w:val="1CF83AEA"/>
    <w:rsid w:val="1CF911FC"/>
    <w:rsid w:val="1CFC0FD3"/>
    <w:rsid w:val="1CFF7A9C"/>
    <w:rsid w:val="1D0048A3"/>
    <w:rsid w:val="1D34223E"/>
    <w:rsid w:val="1D6914D5"/>
    <w:rsid w:val="1D7C7A22"/>
    <w:rsid w:val="1D7E09CF"/>
    <w:rsid w:val="1D9F1A69"/>
    <w:rsid w:val="1DB50BD0"/>
    <w:rsid w:val="1DE41480"/>
    <w:rsid w:val="1DFF50F3"/>
    <w:rsid w:val="1E191715"/>
    <w:rsid w:val="1E2139B7"/>
    <w:rsid w:val="1E7A14A8"/>
    <w:rsid w:val="1E7F32B0"/>
    <w:rsid w:val="1EA77665"/>
    <w:rsid w:val="1EBA058B"/>
    <w:rsid w:val="1EBB622E"/>
    <w:rsid w:val="1ED17F52"/>
    <w:rsid w:val="1EDD751C"/>
    <w:rsid w:val="1EE170B7"/>
    <w:rsid w:val="1EEA13A6"/>
    <w:rsid w:val="1EEB392A"/>
    <w:rsid w:val="1EFE64E9"/>
    <w:rsid w:val="1F6207D0"/>
    <w:rsid w:val="1FA53BA4"/>
    <w:rsid w:val="1FCA360B"/>
    <w:rsid w:val="1FE1627D"/>
    <w:rsid w:val="1FEA603B"/>
    <w:rsid w:val="20084133"/>
    <w:rsid w:val="20133D98"/>
    <w:rsid w:val="20226856"/>
    <w:rsid w:val="20293E2F"/>
    <w:rsid w:val="20686E43"/>
    <w:rsid w:val="206E3E8E"/>
    <w:rsid w:val="207224C8"/>
    <w:rsid w:val="2076639A"/>
    <w:rsid w:val="2093114F"/>
    <w:rsid w:val="209B57AA"/>
    <w:rsid w:val="20A121FD"/>
    <w:rsid w:val="20C20004"/>
    <w:rsid w:val="20C66F34"/>
    <w:rsid w:val="20D83D6E"/>
    <w:rsid w:val="20DE5531"/>
    <w:rsid w:val="20E1180E"/>
    <w:rsid w:val="20EA6084"/>
    <w:rsid w:val="20F01139"/>
    <w:rsid w:val="20F1461D"/>
    <w:rsid w:val="211641D5"/>
    <w:rsid w:val="21215DBF"/>
    <w:rsid w:val="212B522B"/>
    <w:rsid w:val="213F6312"/>
    <w:rsid w:val="21736537"/>
    <w:rsid w:val="21977807"/>
    <w:rsid w:val="219A6D4B"/>
    <w:rsid w:val="21B30D9B"/>
    <w:rsid w:val="21B32189"/>
    <w:rsid w:val="21C2735E"/>
    <w:rsid w:val="21CE2E82"/>
    <w:rsid w:val="21E57FA3"/>
    <w:rsid w:val="21FB5A74"/>
    <w:rsid w:val="22677BAA"/>
    <w:rsid w:val="226827C0"/>
    <w:rsid w:val="227C6EFF"/>
    <w:rsid w:val="22942795"/>
    <w:rsid w:val="22A10D06"/>
    <w:rsid w:val="22B665A5"/>
    <w:rsid w:val="22C925E0"/>
    <w:rsid w:val="22D84291"/>
    <w:rsid w:val="22E46F4A"/>
    <w:rsid w:val="22E82DE7"/>
    <w:rsid w:val="22F20107"/>
    <w:rsid w:val="22F20159"/>
    <w:rsid w:val="22F42968"/>
    <w:rsid w:val="23005537"/>
    <w:rsid w:val="231852AF"/>
    <w:rsid w:val="231A3C9A"/>
    <w:rsid w:val="232C54A8"/>
    <w:rsid w:val="233C2C53"/>
    <w:rsid w:val="23486890"/>
    <w:rsid w:val="236F1F61"/>
    <w:rsid w:val="23A361CC"/>
    <w:rsid w:val="23AB4CDF"/>
    <w:rsid w:val="23C37A75"/>
    <w:rsid w:val="240404D0"/>
    <w:rsid w:val="24220F3E"/>
    <w:rsid w:val="2423604B"/>
    <w:rsid w:val="243A3F7E"/>
    <w:rsid w:val="24436391"/>
    <w:rsid w:val="2450121E"/>
    <w:rsid w:val="247A4C56"/>
    <w:rsid w:val="2487622C"/>
    <w:rsid w:val="248945BF"/>
    <w:rsid w:val="24973094"/>
    <w:rsid w:val="24AD6D9A"/>
    <w:rsid w:val="24E52AD8"/>
    <w:rsid w:val="24E85B0E"/>
    <w:rsid w:val="251418FC"/>
    <w:rsid w:val="254925FD"/>
    <w:rsid w:val="255249D2"/>
    <w:rsid w:val="256C0CC0"/>
    <w:rsid w:val="25712B23"/>
    <w:rsid w:val="25951FC5"/>
    <w:rsid w:val="25A845B3"/>
    <w:rsid w:val="25EB71B7"/>
    <w:rsid w:val="26154215"/>
    <w:rsid w:val="261A0BE6"/>
    <w:rsid w:val="26385E8A"/>
    <w:rsid w:val="263C7691"/>
    <w:rsid w:val="264E29E7"/>
    <w:rsid w:val="265E2776"/>
    <w:rsid w:val="26666FDC"/>
    <w:rsid w:val="26963D4E"/>
    <w:rsid w:val="26AB763C"/>
    <w:rsid w:val="26B267E7"/>
    <w:rsid w:val="26D794B7"/>
    <w:rsid w:val="26F131DC"/>
    <w:rsid w:val="26F65310"/>
    <w:rsid w:val="27052D05"/>
    <w:rsid w:val="27067FD5"/>
    <w:rsid w:val="27082804"/>
    <w:rsid w:val="270832AE"/>
    <w:rsid w:val="27343A60"/>
    <w:rsid w:val="27357F9F"/>
    <w:rsid w:val="275E35BF"/>
    <w:rsid w:val="27630F8B"/>
    <w:rsid w:val="276332FD"/>
    <w:rsid w:val="276C71C3"/>
    <w:rsid w:val="27A4553F"/>
    <w:rsid w:val="27CA7E10"/>
    <w:rsid w:val="27D35135"/>
    <w:rsid w:val="27DC04E2"/>
    <w:rsid w:val="27DD1D93"/>
    <w:rsid w:val="27EF1935"/>
    <w:rsid w:val="280A1B75"/>
    <w:rsid w:val="28257458"/>
    <w:rsid w:val="283962F8"/>
    <w:rsid w:val="284E28FF"/>
    <w:rsid w:val="285D6583"/>
    <w:rsid w:val="287A36F4"/>
    <w:rsid w:val="288458E7"/>
    <w:rsid w:val="28A33A20"/>
    <w:rsid w:val="28A47F17"/>
    <w:rsid w:val="28A95D87"/>
    <w:rsid w:val="28EC32AF"/>
    <w:rsid w:val="28FE6071"/>
    <w:rsid w:val="290212C1"/>
    <w:rsid w:val="290D5ED8"/>
    <w:rsid w:val="29656DCE"/>
    <w:rsid w:val="29722140"/>
    <w:rsid w:val="298B4B23"/>
    <w:rsid w:val="29AD63FD"/>
    <w:rsid w:val="29B71FDB"/>
    <w:rsid w:val="29CF18DD"/>
    <w:rsid w:val="29D65D23"/>
    <w:rsid w:val="29D875FE"/>
    <w:rsid w:val="29FE44DD"/>
    <w:rsid w:val="2A1169E3"/>
    <w:rsid w:val="2A194E5D"/>
    <w:rsid w:val="2A21554B"/>
    <w:rsid w:val="2A594BC2"/>
    <w:rsid w:val="2A5A558B"/>
    <w:rsid w:val="2A9F7561"/>
    <w:rsid w:val="2AA90FA0"/>
    <w:rsid w:val="2AB103DC"/>
    <w:rsid w:val="2AB31CE2"/>
    <w:rsid w:val="2AB55266"/>
    <w:rsid w:val="2AD71DDB"/>
    <w:rsid w:val="2AF000D8"/>
    <w:rsid w:val="2B311BDC"/>
    <w:rsid w:val="2B487382"/>
    <w:rsid w:val="2B552F60"/>
    <w:rsid w:val="2B5D3585"/>
    <w:rsid w:val="2B751409"/>
    <w:rsid w:val="2B7841A6"/>
    <w:rsid w:val="2BA85AE0"/>
    <w:rsid w:val="2BB367B9"/>
    <w:rsid w:val="2BB62D59"/>
    <w:rsid w:val="2BEC2B5B"/>
    <w:rsid w:val="2C13380B"/>
    <w:rsid w:val="2C184D47"/>
    <w:rsid w:val="2C4602D1"/>
    <w:rsid w:val="2C796A89"/>
    <w:rsid w:val="2C7C10B6"/>
    <w:rsid w:val="2C9837D1"/>
    <w:rsid w:val="2CB204A3"/>
    <w:rsid w:val="2CBD3A96"/>
    <w:rsid w:val="2CC74339"/>
    <w:rsid w:val="2CCC23F7"/>
    <w:rsid w:val="2CCE1414"/>
    <w:rsid w:val="2CF93ABF"/>
    <w:rsid w:val="2D1E27A3"/>
    <w:rsid w:val="2D1E560F"/>
    <w:rsid w:val="2D394FF5"/>
    <w:rsid w:val="2D766528"/>
    <w:rsid w:val="2D797435"/>
    <w:rsid w:val="2D817536"/>
    <w:rsid w:val="2DF50B51"/>
    <w:rsid w:val="2DFB3193"/>
    <w:rsid w:val="2E6111A5"/>
    <w:rsid w:val="2E671D49"/>
    <w:rsid w:val="2E6A704D"/>
    <w:rsid w:val="2E6C0B54"/>
    <w:rsid w:val="2E7A444E"/>
    <w:rsid w:val="2E8A6255"/>
    <w:rsid w:val="2E8B21B7"/>
    <w:rsid w:val="2EB8596B"/>
    <w:rsid w:val="2EC8145A"/>
    <w:rsid w:val="2F033612"/>
    <w:rsid w:val="2F0B1048"/>
    <w:rsid w:val="2F132DA3"/>
    <w:rsid w:val="2F141AAA"/>
    <w:rsid w:val="2F2165A1"/>
    <w:rsid w:val="2F57653D"/>
    <w:rsid w:val="2FCA4353"/>
    <w:rsid w:val="2FE55D75"/>
    <w:rsid w:val="2FF23F99"/>
    <w:rsid w:val="2FF43D8C"/>
    <w:rsid w:val="2FFD0E93"/>
    <w:rsid w:val="2FFF3277"/>
    <w:rsid w:val="30236367"/>
    <w:rsid w:val="30331BC6"/>
    <w:rsid w:val="303E7E03"/>
    <w:rsid w:val="30405AEB"/>
    <w:rsid w:val="304A182B"/>
    <w:rsid w:val="30700C52"/>
    <w:rsid w:val="30757C00"/>
    <w:rsid w:val="30782C0F"/>
    <w:rsid w:val="307D5D65"/>
    <w:rsid w:val="30A51368"/>
    <w:rsid w:val="30B34CE3"/>
    <w:rsid w:val="30BB557A"/>
    <w:rsid w:val="30CB1C83"/>
    <w:rsid w:val="30CE6CD3"/>
    <w:rsid w:val="30E34E96"/>
    <w:rsid w:val="30ED2830"/>
    <w:rsid w:val="310743D8"/>
    <w:rsid w:val="3112096E"/>
    <w:rsid w:val="316B2857"/>
    <w:rsid w:val="317B3D70"/>
    <w:rsid w:val="31832D29"/>
    <w:rsid w:val="31997196"/>
    <w:rsid w:val="319D5339"/>
    <w:rsid w:val="319F2F47"/>
    <w:rsid w:val="31B2277E"/>
    <w:rsid w:val="31BF03BB"/>
    <w:rsid w:val="31D20CDE"/>
    <w:rsid w:val="31F37E23"/>
    <w:rsid w:val="31FE689A"/>
    <w:rsid w:val="32036559"/>
    <w:rsid w:val="32223DC6"/>
    <w:rsid w:val="323A7025"/>
    <w:rsid w:val="32551C6D"/>
    <w:rsid w:val="325A02A1"/>
    <w:rsid w:val="325E612F"/>
    <w:rsid w:val="3282506A"/>
    <w:rsid w:val="329032EF"/>
    <w:rsid w:val="329970EF"/>
    <w:rsid w:val="32AE0B6A"/>
    <w:rsid w:val="32B35AAA"/>
    <w:rsid w:val="32BA56C5"/>
    <w:rsid w:val="32F81DE5"/>
    <w:rsid w:val="32FD11AA"/>
    <w:rsid w:val="330F3777"/>
    <w:rsid w:val="33135210"/>
    <w:rsid w:val="3326373F"/>
    <w:rsid w:val="334459AC"/>
    <w:rsid w:val="33691AE5"/>
    <w:rsid w:val="33705A64"/>
    <w:rsid w:val="338E32D5"/>
    <w:rsid w:val="33A055AF"/>
    <w:rsid w:val="33A51E80"/>
    <w:rsid w:val="33E16D1D"/>
    <w:rsid w:val="33EE589E"/>
    <w:rsid w:val="340329A9"/>
    <w:rsid w:val="340D7B12"/>
    <w:rsid w:val="341E2B5D"/>
    <w:rsid w:val="342645AD"/>
    <w:rsid w:val="342B057B"/>
    <w:rsid w:val="34335C8F"/>
    <w:rsid w:val="345968B4"/>
    <w:rsid w:val="34617CD8"/>
    <w:rsid w:val="346317C9"/>
    <w:rsid w:val="346A286F"/>
    <w:rsid w:val="346C1C91"/>
    <w:rsid w:val="34753860"/>
    <w:rsid w:val="34A61339"/>
    <w:rsid w:val="34AF4725"/>
    <w:rsid w:val="34CC3006"/>
    <w:rsid w:val="34DF8555"/>
    <w:rsid w:val="34F3793E"/>
    <w:rsid w:val="34F66E75"/>
    <w:rsid w:val="34FA09EA"/>
    <w:rsid w:val="354B5D9D"/>
    <w:rsid w:val="35574E9C"/>
    <w:rsid w:val="35580207"/>
    <w:rsid w:val="35681367"/>
    <w:rsid w:val="35712E34"/>
    <w:rsid w:val="35832558"/>
    <w:rsid w:val="359305B1"/>
    <w:rsid w:val="35966E67"/>
    <w:rsid w:val="35A50BC0"/>
    <w:rsid w:val="35A973C7"/>
    <w:rsid w:val="35ED793B"/>
    <w:rsid w:val="35F06F52"/>
    <w:rsid w:val="35F84740"/>
    <w:rsid w:val="36383125"/>
    <w:rsid w:val="36562A90"/>
    <w:rsid w:val="365E28A7"/>
    <w:rsid w:val="366A5CD5"/>
    <w:rsid w:val="366C082D"/>
    <w:rsid w:val="367571F9"/>
    <w:rsid w:val="368816D2"/>
    <w:rsid w:val="368C388A"/>
    <w:rsid w:val="36A26E38"/>
    <w:rsid w:val="36C00E6C"/>
    <w:rsid w:val="36C90DD1"/>
    <w:rsid w:val="36EF2646"/>
    <w:rsid w:val="36F275DD"/>
    <w:rsid w:val="36F55D23"/>
    <w:rsid w:val="37031C33"/>
    <w:rsid w:val="37114931"/>
    <w:rsid w:val="371918BE"/>
    <w:rsid w:val="372A4537"/>
    <w:rsid w:val="374634AB"/>
    <w:rsid w:val="37543CF6"/>
    <w:rsid w:val="37704489"/>
    <w:rsid w:val="37710026"/>
    <w:rsid w:val="37925427"/>
    <w:rsid w:val="37A01319"/>
    <w:rsid w:val="37A55DCC"/>
    <w:rsid w:val="37B97220"/>
    <w:rsid w:val="37C075FB"/>
    <w:rsid w:val="37CA04FF"/>
    <w:rsid w:val="37D30771"/>
    <w:rsid w:val="37E3512E"/>
    <w:rsid w:val="37EC0BB8"/>
    <w:rsid w:val="382F75E3"/>
    <w:rsid w:val="38371ACC"/>
    <w:rsid w:val="389205E6"/>
    <w:rsid w:val="38A748FD"/>
    <w:rsid w:val="38AA7F06"/>
    <w:rsid w:val="38AD10E3"/>
    <w:rsid w:val="38D53666"/>
    <w:rsid w:val="38E70932"/>
    <w:rsid w:val="38ED2171"/>
    <w:rsid w:val="38FF39F5"/>
    <w:rsid w:val="393342D7"/>
    <w:rsid w:val="393A3142"/>
    <w:rsid w:val="394C68A5"/>
    <w:rsid w:val="3952462B"/>
    <w:rsid w:val="395E479A"/>
    <w:rsid w:val="39675804"/>
    <w:rsid w:val="3988749C"/>
    <w:rsid w:val="398A60A0"/>
    <w:rsid w:val="39964534"/>
    <w:rsid w:val="399C03AF"/>
    <w:rsid w:val="39A36C2D"/>
    <w:rsid w:val="39AA29B9"/>
    <w:rsid w:val="39AE63D1"/>
    <w:rsid w:val="39D7D99B"/>
    <w:rsid w:val="39E71AEC"/>
    <w:rsid w:val="39F60058"/>
    <w:rsid w:val="3A104089"/>
    <w:rsid w:val="3A190FBF"/>
    <w:rsid w:val="3A1A692D"/>
    <w:rsid w:val="3A7A55EE"/>
    <w:rsid w:val="3A7B586B"/>
    <w:rsid w:val="3A8217DE"/>
    <w:rsid w:val="3A822B01"/>
    <w:rsid w:val="3A8D375B"/>
    <w:rsid w:val="3AAE2912"/>
    <w:rsid w:val="3AB8426E"/>
    <w:rsid w:val="3ACF765C"/>
    <w:rsid w:val="3AD278CD"/>
    <w:rsid w:val="3AFA4BE5"/>
    <w:rsid w:val="3B196D9D"/>
    <w:rsid w:val="3B2A44B8"/>
    <w:rsid w:val="3B2B6476"/>
    <w:rsid w:val="3B2E718A"/>
    <w:rsid w:val="3B83616D"/>
    <w:rsid w:val="3BA0301A"/>
    <w:rsid w:val="3BA50AE5"/>
    <w:rsid w:val="3BAF3CA2"/>
    <w:rsid w:val="3BBC038E"/>
    <w:rsid w:val="3BEF2858"/>
    <w:rsid w:val="3BF72351"/>
    <w:rsid w:val="3BFE3F02"/>
    <w:rsid w:val="3C2972FD"/>
    <w:rsid w:val="3C3261E8"/>
    <w:rsid w:val="3C524EFE"/>
    <w:rsid w:val="3C5B4444"/>
    <w:rsid w:val="3C852047"/>
    <w:rsid w:val="3CA13116"/>
    <w:rsid w:val="3CA925AE"/>
    <w:rsid w:val="3CC42CCC"/>
    <w:rsid w:val="3CCF4FA4"/>
    <w:rsid w:val="3CF877AB"/>
    <w:rsid w:val="3D306CB2"/>
    <w:rsid w:val="3D32729D"/>
    <w:rsid w:val="3D485E54"/>
    <w:rsid w:val="3D604BEF"/>
    <w:rsid w:val="3D62504C"/>
    <w:rsid w:val="3D667959"/>
    <w:rsid w:val="3D8230F2"/>
    <w:rsid w:val="3D886E2C"/>
    <w:rsid w:val="3D9A6B04"/>
    <w:rsid w:val="3DAA5519"/>
    <w:rsid w:val="3DC413E8"/>
    <w:rsid w:val="3DCA34BB"/>
    <w:rsid w:val="3DD83D60"/>
    <w:rsid w:val="3DEE7764"/>
    <w:rsid w:val="3E044CAE"/>
    <w:rsid w:val="3E12201C"/>
    <w:rsid w:val="3E174CFF"/>
    <w:rsid w:val="3E2E34C3"/>
    <w:rsid w:val="3E427218"/>
    <w:rsid w:val="3E460E59"/>
    <w:rsid w:val="3E8F30B5"/>
    <w:rsid w:val="3E962C89"/>
    <w:rsid w:val="3E9D9EE9"/>
    <w:rsid w:val="3EA27573"/>
    <w:rsid w:val="3EA72ABE"/>
    <w:rsid w:val="3EAD4174"/>
    <w:rsid w:val="3EAD7F9C"/>
    <w:rsid w:val="3EB260B8"/>
    <w:rsid w:val="3EB32892"/>
    <w:rsid w:val="3EBC3336"/>
    <w:rsid w:val="3ED81A0B"/>
    <w:rsid w:val="3EDE47BC"/>
    <w:rsid w:val="3EDE79C6"/>
    <w:rsid w:val="3EF01ED0"/>
    <w:rsid w:val="3EF60080"/>
    <w:rsid w:val="3EF65530"/>
    <w:rsid w:val="3EFEC654"/>
    <w:rsid w:val="3F064AE9"/>
    <w:rsid w:val="3F3B0C43"/>
    <w:rsid w:val="3F4C62B0"/>
    <w:rsid w:val="3F585F31"/>
    <w:rsid w:val="3F6A4BE4"/>
    <w:rsid w:val="3F7279F0"/>
    <w:rsid w:val="3F7C65CA"/>
    <w:rsid w:val="3F7F0FB6"/>
    <w:rsid w:val="3F9717D1"/>
    <w:rsid w:val="3F9B13A5"/>
    <w:rsid w:val="3F9F2EEF"/>
    <w:rsid w:val="3FB2485B"/>
    <w:rsid w:val="3FB50298"/>
    <w:rsid w:val="3FBD3AE8"/>
    <w:rsid w:val="3FEE166B"/>
    <w:rsid w:val="3FF04A5D"/>
    <w:rsid w:val="401E123E"/>
    <w:rsid w:val="402A34B8"/>
    <w:rsid w:val="402C4889"/>
    <w:rsid w:val="40360CD1"/>
    <w:rsid w:val="40361D66"/>
    <w:rsid w:val="404339FD"/>
    <w:rsid w:val="404C1EBB"/>
    <w:rsid w:val="405214DD"/>
    <w:rsid w:val="406060C3"/>
    <w:rsid w:val="40613E30"/>
    <w:rsid w:val="40736573"/>
    <w:rsid w:val="407D7357"/>
    <w:rsid w:val="40860A30"/>
    <w:rsid w:val="408D0A8F"/>
    <w:rsid w:val="409B4A07"/>
    <w:rsid w:val="40BF6E39"/>
    <w:rsid w:val="40C25B7F"/>
    <w:rsid w:val="40C73A02"/>
    <w:rsid w:val="40DB53F4"/>
    <w:rsid w:val="40E02BC9"/>
    <w:rsid w:val="40F66678"/>
    <w:rsid w:val="40FA12EB"/>
    <w:rsid w:val="410A16AB"/>
    <w:rsid w:val="410E1C56"/>
    <w:rsid w:val="4120577A"/>
    <w:rsid w:val="41603084"/>
    <w:rsid w:val="41686388"/>
    <w:rsid w:val="416C142E"/>
    <w:rsid w:val="41E677EA"/>
    <w:rsid w:val="41FD121E"/>
    <w:rsid w:val="42004FD7"/>
    <w:rsid w:val="42117A10"/>
    <w:rsid w:val="421A7627"/>
    <w:rsid w:val="4233112B"/>
    <w:rsid w:val="42401E98"/>
    <w:rsid w:val="42474F8A"/>
    <w:rsid w:val="42675C80"/>
    <w:rsid w:val="42872311"/>
    <w:rsid w:val="428B5762"/>
    <w:rsid w:val="429F3B64"/>
    <w:rsid w:val="42B64F1C"/>
    <w:rsid w:val="42D47C2B"/>
    <w:rsid w:val="42DA32B5"/>
    <w:rsid w:val="42FB45E4"/>
    <w:rsid w:val="4307713D"/>
    <w:rsid w:val="432F0AA7"/>
    <w:rsid w:val="433543AC"/>
    <w:rsid w:val="433E465F"/>
    <w:rsid w:val="43420FE8"/>
    <w:rsid w:val="434513F0"/>
    <w:rsid w:val="43606D1A"/>
    <w:rsid w:val="43702851"/>
    <w:rsid w:val="437269BA"/>
    <w:rsid w:val="437F3C65"/>
    <w:rsid w:val="43B34232"/>
    <w:rsid w:val="43CA4F48"/>
    <w:rsid w:val="43FE78B1"/>
    <w:rsid w:val="440A7CA0"/>
    <w:rsid w:val="441F3AB4"/>
    <w:rsid w:val="4424604A"/>
    <w:rsid w:val="442967DE"/>
    <w:rsid w:val="445014AB"/>
    <w:rsid w:val="44CE660D"/>
    <w:rsid w:val="44F103C7"/>
    <w:rsid w:val="450F3A65"/>
    <w:rsid w:val="452D47A4"/>
    <w:rsid w:val="4545710C"/>
    <w:rsid w:val="454C3E11"/>
    <w:rsid w:val="454F0B76"/>
    <w:rsid w:val="45595C53"/>
    <w:rsid w:val="45795008"/>
    <w:rsid w:val="4579514B"/>
    <w:rsid w:val="457E2BBE"/>
    <w:rsid w:val="457F72E8"/>
    <w:rsid w:val="459D0CC6"/>
    <w:rsid w:val="459F05CE"/>
    <w:rsid w:val="45D72674"/>
    <w:rsid w:val="45DE083B"/>
    <w:rsid w:val="45E076C0"/>
    <w:rsid w:val="45F36067"/>
    <w:rsid w:val="460C0745"/>
    <w:rsid w:val="463122D8"/>
    <w:rsid w:val="4632053D"/>
    <w:rsid w:val="46577675"/>
    <w:rsid w:val="4662415A"/>
    <w:rsid w:val="4662498C"/>
    <w:rsid w:val="46641814"/>
    <w:rsid w:val="466E26B2"/>
    <w:rsid w:val="468425B0"/>
    <w:rsid w:val="46A022D9"/>
    <w:rsid w:val="46A9554B"/>
    <w:rsid w:val="46AF05B5"/>
    <w:rsid w:val="46B04A59"/>
    <w:rsid w:val="46B21457"/>
    <w:rsid w:val="46B411EC"/>
    <w:rsid w:val="46BE1A6C"/>
    <w:rsid w:val="46BE6647"/>
    <w:rsid w:val="46D0431B"/>
    <w:rsid w:val="46D35FF3"/>
    <w:rsid w:val="46EE3897"/>
    <w:rsid w:val="47140585"/>
    <w:rsid w:val="471B3499"/>
    <w:rsid w:val="4730142A"/>
    <w:rsid w:val="47642381"/>
    <w:rsid w:val="476870E2"/>
    <w:rsid w:val="478A0CA0"/>
    <w:rsid w:val="478E4BD2"/>
    <w:rsid w:val="47C848F5"/>
    <w:rsid w:val="47D84DCE"/>
    <w:rsid w:val="47DD756D"/>
    <w:rsid w:val="47F23FFF"/>
    <w:rsid w:val="48037A8A"/>
    <w:rsid w:val="48057880"/>
    <w:rsid w:val="48150BC3"/>
    <w:rsid w:val="482427DA"/>
    <w:rsid w:val="48377D23"/>
    <w:rsid w:val="4851401A"/>
    <w:rsid w:val="486634EE"/>
    <w:rsid w:val="48807890"/>
    <w:rsid w:val="48A64B98"/>
    <w:rsid w:val="48A71804"/>
    <w:rsid w:val="48B30830"/>
    <w:rsid w:val="48B308CE"/>
    <w:rsid w:val="48BC156D"/>
    <w:rsid w:val="48C14CEB"/>
    <w:rsid w:val="48CF5E32"/>
    <w:rsid w:val="48DF62C3"/>
    <w:rsid w:val="48EA3B26"/>
    <w:rsid w:val="48F765BE"/>
    <w:rsid w:val="490445F2"/>
    <w:rsid w:val="49137521"/>
    <w:rsid w:val="49320F23"/>
    <w:rsid w:val="493A087A"/>
    <w:rsid w:val="49831FB1"/>
    <w:rsid w:val="49A10911"/>
    <w:rsid w:val="49CA61CE"/>
    <w:rsid w:val="49DD73AE"/>
    <w:rsid w:val="49E97FD0"/>
    <w:rsid w:val="49F95BD6"/>
    <w:rsid w:val="4A0C7375"/>
    <w:rsid w:val="4A194AA5"/>
    <w:rsid w:val="4A2710F3"/>
    <w:rsid w:val="4A2B3C78"/>
    <w:rsid w:val="4A3B124A"/>
    <w:rsid w:val="4A4915FD"/>
    <w:rsid w:val="4A4934DE"/>
    <w:rsid w:val="4A4D25BF"/>
    <w:rsid w:val="4A5E47CC"/>
    <w:rsid w:val="4A6E0EB3"/>
    <w:rsid w:val="4A9106FD"/>
    <w:rsid w:val="4AA73240"/>
    <w:rsid w:val="4AB72272"/>
    <w:rsid w:val="4AC63E7C"/>
    <w:rsid w:val="4AD703A4"/>
    <w:rsid w:val="4ADF7E5C"/>
    <w:rsid w:val="4B305E1B"/>
    <w:rsid w:val="4B4B6AFE"/>
    <w:rsid w:val="4B5D2E40"/>
    <w:rsid w:val="4B602D44"/>
    <w:rsid w:val="4B842010"/>
    <w:rsid w:val="4BB92D8E"/>
    <w:rsid w:val="4BBB7216"/>
    <w:rsid w:val="4BD07B58"/>
    <w:rsid w:val="4BE87BA5"/>
    <w:rsid w:val="4BFE1C3A"/>
    <w:rsid w:val="4C151D2C"/>
    <w:rsid w:val="4C155F10"/>
    <w:rsid w:val="4C2F7851"/>
    <w:rsid w:val="4C3176AB"/>
    <w:rsid w:val="4C324162"/>
    <w:rsid w:val="4C3C12ED"/>
    <w:rsid w:val="4C415DC1"/>
    <w:rsid w:val="4C571AC7"/>
    <w:rsid w:val="4C6E278E"/>
    <w:rsid w:val="4C9F789F"/>
    <w:rsid w:val="4CA95F3B"/>
    <w:rsid w:val="4CE45067"/>
    <w:rsid w:val="4CFF538B"/>
    <w:rsid w:val="4D2A4B22"/>
    <w:rsid w:val="4D471EEE"/>
    <w:rsid w:val="4D4D7800"/>
    <w:rsid w:val="4D7251FF"/>
    <w:rsid w:val="4DCD0712"/>
    <w:rsid w:val="4DDB4948"/>
    <w:rsid w:val="4DE50C0B"/>
    <w:rsid w:val="4DF831B6"/>
    <w:rsid w:val="4E11105D"/>
    <w:rsid w:val="4E16225A"/>
    <w:rsid w:val="4E253AB8"/>
    <w:rsid w:val="4E472C92"/>
    <w:rsid w:val="4E824D97"/>
    <w:rsid w:val="4E9D5C2D"/>
    <w:rsid w:val="4EBA57C1"/>
    <w:rsid w:val="4EC8768D"/>
    <w:rsid w:val="4EE5084A"/>
    <w:rsid w:val="4EEB58EF"/>
    <w:rsid w:val="4EFC68C1"/>
    <w:rsid w:val="4EFE6975"/>
    <w:rsid w:val="4F047E0A"/>
    <w:rsid w:val="4F33177C"/>
    <w:rsid w:val="4F477F24"/>
    <w:rsid w:val="4F6C3E7C"/>
    <w:rsid w:val="4F80531F"/>
    <w:rsid w:val="4FA91AAC"/>
    <w:rsid w:val="4FBD0FF5"/>
    <w:rsid w:val="4FC854D7"/>
    <w:rsid w:val="50051AD4"/>
    <w:rsid w:val="50142DE1"/>
    <w:rsid w:val="5015687B"/>
    <w:rsid w:val="501926CA"/>
    <w:rsid w:val="502E6B39"/>
    <w:rsid w:val="503109FF"/>
    <w:rsid w:val="503E7F87"/>
    <w:rsid w:val="504544C8"/>
    <w:rsid w:val="505E3D68"/>
    <w:rsid w:val="505F4DFA"/>
    <w:rsid w:val="505F5918"/>
    <w:rsid w:val="506071FC"/>
    <w:rsid w:val="506F5953"/>
    <w:rsid w:val="507A0E74"/>
    <w:rsid w:val="50966E45"/>
    <w:rsid w:val="50A218B6"/>
    <w:rsid w:val="50C2531E"/>
    <w:rsid w:val="50D13748"/>
    <w:rsid w:val="50D43A3A"/>
    <w:rsid w:val="50E87D5C"/>
    <w:rsid w:val="510A120A"/>
    <w:rsid w:val="51426BF5"/>
    <w:rsid w:val="516A440A"/>
    <w:rsid w:val="51B053DC"/>
    <w:rsid w:val="51BA5A6F"/>
    <w:rsid w:val="51C42E16"/>
    <w:rsid w:val="51E5538B"/>
    <w:rsid w:val="520D6221"/>
    <w:rsid w:val="5244074B"/>
    <w:rsid w:val="525351F4"/>
    <w:rsid w:val="525A6FBC"/>
    <w:rsid w:val="526C0997"/>
    <w:rsid w:val="5277467D"/>
    <w:rsid w:val="52855A65"/>
    <w:rsid w:val="529E3DA2"/>
    <w:rsid w:val="52E11882"/>
    <w:rsid w:val="52E44E05"/>
    <w:rsid w:val="530B071F"/>
    <w:rsid w:val="53311AB3"/>
    <w:rsid w:val="53317F44"/>
    <w:rsid w:val="533274BF"/>
    <w:rsid w:val="533D33D1"/>
    <w:rsid w:val="53511F1B"/>
    <w:rsid w:val="5353295D"/>
    <w:rsid w:val="53670B33"/>
    <w:rsid w:val="537735FB"/>
    <w:rsid w:val="53775B6A"/>
    <w:rsid w:val="538F5737"/>
    <w:rsid w:val="53BB3C51"/>
    <w:rsid w:val="53CA0B91"/>
    <w:rsid w:val="53D43855"/>
    <w:rsid w:val="53D6214F"/>
    <w:rsid w:val="53E030A9"/>
    <w:rsid w:val="53EE1101"/>
    <w:rsid w:val="53FC4E8E"/>
    <w:rsid w:val="54111ADD"/>
    <w:rsid w:val="541717DC"/>
    <w:rsid w:val="54271D5C"/>
    <w:rsid w:val="5427740E"/>
    <w:rsid w:val="542B571F"/>
    <w:rsid w:val="542D7E04"/>
    <w:rsid w:val="5473009A"/>
    <w:rsid w:val="54976AA9"/>
    <w:rsid w:val="549A3F89"/>
    <w:rsid w:val="54A022DD"/>
    <w:rsid w:val="54CF639A"/>
    <w:rsid w:val="54DE0134"/>
    <w:rsid w:val="54DE6493"/>
    <w:rsid w:val="54FC0026"/>
    <w:rsid w:val="553C46BA"/>
    <w:rsid w:val="55485688"/>
    <w:rsid w:val="55494082"/>
    <w:rsid w:val="555B3FA7"/>
    <w:rsid w:val="555F54CC"/>
    <w:rsid w:val="557D5B60"/>
    <w:rsid w:val="55834A19"/>
    <w:rsid w:val="559D43FA"/>
    <w:rsid w:val="55CF743F"/>
    <w:rsid w:val="55DF6034"/>
    <w:rsid w:val="55F27046"/>
    <w:rsid w:val="55F526C6"/>
    <w:rsid w:val="56066DC9"/>
    <w:rsid w:val="560B2337"/>
    <w:rsid w:val="56135A4E"/>
    <w:rsid w:val="561A7CC7"/>
    <w:rsid w:val="564E1228"/>
    <w:rsid w:val="56564DBA"/>
    <w:rsid w:val="56A6131D"/>
    <w:rsid w:val="56A7120C"/>
    <w:rsid w:val="56A82B00"/>
    <w:rsid w:val="56BC5AD0"/>
    <w:rsid w:val="56D00C68"/>
    <w:rsid w:val="56D02CD3"/>
    <w:rsid w:val="56EB60FD"/>
    <w:rsid w:val="57005202"/>
    <w:rsid w:val="57022BD1"/>
    <w:rsid w:val="57212B27"/>
    <w:rsid w:val="572809C2"/>
    <w:rsid w:val="57381EA7"/>
    <w:rsid w:val="57480C4D"/>
    <w:rsid w:val="574973B9"/>
    <w:rsid w:val="574C27F3"/>
    <w:rsid w:val="57895A45"/>
    <w:rsid w:val="579D6934"/>
    <w:rsid w:val="57A16858"/>
    <w:rsid w:val="57B30CDA"/>
    <w:rsid w:val="57C5313B"/>
    <w:rsid w:val="57D807D4"/>
    <w:rsid w:val="57E05B57"/>
    <w:rsid w:val="57EA7969"/>
    <w:rsid w:val="57F740F4"/>
    <w:rsid w:val="57FA3D86"/>
    <w:rsid w:val="58425BDC"/>
    <w:rsid w:val="58466FCB"/>
    <w:rsid w:val="58750691"/>
    <w:rsid w:val="58AB575D"/>
    <w:rsid w:val="58AD0DF8"/>
    <w:rsid w:val="58BC728D"/>
    <w:rsid w:val="58BD4DB3"/>
    <w:rsid w:val="58D22E69"/>
    <w:rsid w:val="58D64DCB"/>
    <w:rsid w:val="58DD0763"/>
    <w:rsid w:val="58E829A8"/>
    <w:rsid w:val="58EA22FF"/>
    <w:rsid w:val="58EB59C1"/>
    <w:rsid w:val="59445F91"/>
    <w:rsid w:val="596A4F3B"/>
    <w:rsid w:val="59815208"/>
    <w:rsid w:val="5993057B"/>
    <w:rsid w:val="59A43D8B"/>
    <w:rsid w:val="59A64B68"/>
    <w:rsid w:val="59C63D39"/>
    <w:rsid w:val="59F001A4"/>
    <w:rsid w:val="59F861A7"/>
    <w:rsid w:val="5A1E2DE7"/>
    <w:rsid w:val="5A20427A"/>
    <w:rsid w:val="5A331DE9"/>
    <w:rsid w:val="5A395FB6"/>
    <w:rsid w:val="5A436A2D"/>
    <w:rsid w:val="5A9833A8"/>
    <w:rsid w:val="5AAC047B"/>
    <w:rsid w:val="5AC95404"/>
    <w:rsid w:val="5ACD0648"/>
    <w:rsid w:val="5AEB160B"/>
    <w:rsid w:val="5B0A066E"/>
    <w:rsid w:val="5B123FA7"/>
    <w:rsid w:val="5B1A2268"/>
    <w:rsid w:val="5B1D0885"/>
    <w:rsid w:val="5B2D4966"/>
    <w:rsid w:val="5B4F3422"/>
    <w:rsid w:val="5B5E18A4"/>
    <w:rsid w:val="5B613C0E"/>
    <w:rsid w:val="5B8A736E"/>
    <w:rsid w:val="5B955E96"/>
    <w:rsid w:val="5B9B3675"/>
    <w:rsid w:val="5BA26571"/>
    <w:rsid w:val="5BBA7015"/>
    <w:rsid w:val="5BCA6564"/>
    <w:rsid w:val="5BD66D67"/>
    <w:rsid w:val="5BE24948"/>
    <w:rsid w:val="5BFE7E52"/>
    <w:rsid w:val="5C107D40"/>
    <w:rsid w:val="5C1D1988"/>
    <w:rsid w:val="5C1E3775"/>
    <w:rsid w:val="5C381264"/>
    <w:rsid w:val="5C5E6BE8"/>
    <w:rsid w:val="5C672644"/>
    <w:rsid w:val="5C8132C7"/>
    <w:rsid w:val="5CA23A25"/>
    <w:rsid w:val="5CC26330"/>
    <w:rsid w:val="5CD67F41"/>
    <w:rsid w:val="5CDF760E"/>
    <w:rsid w:val="5CE07ABA"/>
    <w:rsid w:val="5D017C51"/>
    <w:rsid w:val="5D3B00F8"/>
    <w:rsid w:val="5D4165A3"/>
    <w:rsid w:val="5D463591"/>
    <w:rsid w:val="5D4F2A78"/>
    <w:rsid w:val="5D570A59"/>
    <w:rsid w:val="5D792AE4"/>
    <w:rsid w:val="5D9E1D89"/>
    <w:rsid w:val="5DC25C67"/>
    <w:rsid w:val="5DD97571"/>
    <w:rsid w:val="5DDA1D04"/>
    <w:rsid w:val="5DE22BD1"/>
    <w:rsid w:val="5E101ABB"/>
    <w:rsid w:val="5E2F58D3"/>
    <w:rsid w:val="5E5A06FD"/>
    <w:rsid w:val="5E8A56FD"/>
    <w:rsid w:val="5E9342EC"/>
    <w:rsid w:val="5EA27CF7"/>
    <w:rsid w:val="5EBC3C1E"/>
    <w:rsid w:val="5EEE45E3"/>
    <w:rsid w:val="5EF17565"/>
    <w:rsid w:val="5EF706F4"/>
    <w:rsid w:val="5F052BBC"/>
    <w:rsid w:val="5F3815EE"/>
    <w:rsid w:val="5F5C32D6"/>
    <w:rsid w:val="5F9175A8"/>
    <w:rsid w:val="5FB10E83"/>
    <w:rsid w:val="5FC24A29"/>
    <w:rsid w:val="5FDC6467"/>
    <w:rsid w:val="5FFD96AC"/>
    <w:rsid w:val="600E788A"/>
    <w:rsid w:val="60173C67"/>
    <w:rsid w:val="601B025C"/>
    <w:rsid w:val="60206354"/>
    <w:rsid w:val="603911C4"/>
    <w:rsid w:val="604130CF"/>
    <w:rsid w:val="604162CA"/>
    <w:rsid w:val="60572C99"/>
    <w:rsid w:val="60663C94"/>
    <w:rsid w:val="60794FD4"/>
    <w:rsid w:val="60814FEF"/>
    <w:rsid w:val="60946411"/>
    <w:rsid w:val="60A00B94"/>
    <w:rsid w:val="60AE4E89"/>
    <w:rsid w:val="60CD4AC4"/>
    <w:rsid w:val="60D32F5A"/>
    <w:rsid w:val="61001CE1"/>
    <w:rsid w:val="610E2B4C"/>
    <w:rsid w:val="613E3956"/>
    <w:rsid w:val="6151253D"/>
    <w:rsid w:val="617F0AF7"/>
    <w:rsid w:val="619945D7"/>
    <w:rsid w:val="61A865ED"/>
    <w:rsid w:val="61C210E3"/>
    <w:rsid w:val="61C24BFD"/>
    <w:rsid w:val="61DE43D4"/>
    <w:rsid w:val="61E06967"/>
    <w:rsid w:val="61ED083B"/>
    <w:rsid w:val="622F0AD0"/>
    <w:rsid w:val="624216A0"/>
    <w:rsid w:val="626343A0"/>
    <w:rsid w:val="626736F9"/>
    <w:rsid w:val="626B4082"/>
    <w:rsid w:val="626B6B00"/>
    <w:rsid w:val="628E1BE9"/>
    <w:rsid w:val="62A3326C"/>
    <w:rsid w:val="62C126EC"/>
    <w:rsid w:val="62C351CA"/>
    <w:rsid w:val="62CF1703"/>
    <w:rsid w:val="62D06FF9"/>
    <w:rsid w:val="62D358FF"/>
    <w:rsid w:val="62D765EB"/>
    <w:rsid w:val="62E16861"/>
    <w:rsid w:val="63646678"/>
    <w:rsid w:val="636B22CC"/>
    <w:rsid w:val="636C198B"/>
    <w:rsid w:val="63B65AC7"/>
    <w:rsid w:val="63D7428B"/>
    <w:rsid w:val="64002DAD"/>
    <w:rsid w:val="640C4C0D"/>
    <w:rsid w:val="643477F7"/>
    <w:rsid w:val="64374EF8"/>
    <w:rsid w:val="643B5584"/>
    <w:rsid w:val="64550596"/>
    <w:rsid w:val="645830D7"/>
    <w:rsid w:val="64675414"/>
    <w:rsid w:val="646D58E0"/>
    <w:rsid w:val="647258C3"/>
    <w:rsid w:val="64763CBE"/>
    <w:rsid w:val="647F41B9"/>
    <w:rsid w:val="648F5856"/>
    <w:rsid w:val="64AA2E73"/>
    <w:rsid w:val="64B8434A"/>
    <w:rsid w:val="64BD6867"/>
    <w:rsid w:val="64C5008F"/>
    <w:rsid w:val="64E8446E"/>
    <w:rsid w:val="64E959FD"/>
    <w:rsid w:val="64F9CCE6"/>
    <w:rsid w:val="651B5828"/>
    <w:rsid w:val="6530087B"/>
    <w:rsid w:val="65376B47"/>
    <w:rsid w:val="654042F5"/>
    <w:rsid w:val="65434131"/>
    <w:rsid w:val="654C7094"/>
    <w:rsid w:val="65AB2B63"/>
    <w:rsid w:val="65E44DFA"/>
    <w:rsid w:val="65E63B9C"/>
    <w:rsid w:val="65E91151"/>
    <w:rsid w:val="65F66C79"/>
    <w:rsid w:val="660447CA"/>
    <w:rsid w:val="662B5A52"/>
    <w:rsid w:val="665622BC"/>
    <w:rsid w:val="66653739"/>
    <w:rsid w:val="666C4EE6"/>
    <w:rsid w:val="66792487"/>
    <w:rsid w:val="668B794B"/>
    <w:rsid w:val="66E61293"/>
    <w:rsid w:val="66ED2CA0"/>
    <w:rsid w:val="66F722EC"/>
    <w:rsid w:val="66FB0FDC"/>
    <w:rsid w:val="66FC5AFF"/>
    <w:rsid w:val="6709462E"/>
    <w:rsid w:val="6777196F"/>
    <w:rsid w:val="67825F62"/>
    <w:rsid w:val="678A1ED0"/>
    <w:rsid w:val="67AB61F8"/>
    <w:rsid w:val="67BA7741"/>
    <w:rsid w:val="67E6170C"/>
    <w:rsid w:val="67ED1BBE"/>
    <w:rsid w:val="67ED7463"/>
    <w:rsid w:val="67FD51CC"/>
    <w:rsid w:val="67FE41C1"/>
    <w:rsid w:val="680D0CA5"/>
    <w:rsid w:val="684D7F02"/>
    <w:rsid w:val="686C7F9F"/>
    <w:rsid w:val="68A45648"/>
    <w:rsid w:val="68A5668C"/>
    <w:rsid w:val="68BD44C2"/>
    <w:rsid w:val="68D27297"/>
    <w:rsid w:val="68D61A8E"/>
    <w:rsid w:val="68F42855"/>
    <w:rsid w:val="6911241F"/>
    <w:rsid w:val="692055FA"/>
    <w:rsid w:val="69232A11"/>
    <w:rsid w:val="69586B5E"/>
    <w:rsid w:val="69B55D5F"/>
    <w:rsid w:val="69B67115"/>
    <w:rsid w:val="69B82DF4"/>
    <w:rsid w:val="69EF53B4"/>
    <w:rsid w:val="69FB8724"/>
    <w:rsid w:val="6A126DD2"/>
    <w:rsid w:val="6A2B4273"/>
    <w:rsid w:val="6A420E56"/>
    <w:rsid w:val="6A6C78F0"/>
    <w:rsid w:val="6A924E32"/>
    <w:rsid w:val="6A94008C"/>
    <w:rsid w:val="6AA005F1"/>
    <w:rsid w:val="6AC635A8"/>
    <w:rsid w:val="6AC83B0F"/>
    <w:rsid w:val="6AE60947"/>
    <w:rsid w:val="6AED777A"/>
    <w:rsid w:val="6AEF6EB8"/>
    <w:rsid w:val="6AFC79BD"/>
    <w:rsid w:val="6AFD0629"/>
    <w:rsid w:val="6B0B374F"/>
    <w:rsid w:val="6B0E6D92"/>
    <w:rsid w:val="6B17074E"/>
    <w:rsid w:val="6B1F0CCB"/>
    <w:rsid w:val="6B285847"/>
    <w:rsid w:val="6B5A0989"/>
    <w:rsid w:val="6B5F1CFB"/>
    <w:rsid w:val="6B6234E5"/>
    <w:rsid w:val="6B711708"/>
    <w:rsid w:val="6B980A95"/>
    <w:rsid w:val="6BA67A32"/>
    <w:rsid w:val="6BBD11F5"/>
    <w:rsid w:val="6BCE1834"/>
    <w:rsid w:val="6BD12800"/>
    <w:rsid w:val="6C022DB1"/>
    <w:rsid w:val="6C172034"/>
    <w:rsid w:val="6C1B1096"/>
    <w:rsid w:val="6C5E02FC"/>
    <w:rsid w:val="6C611966"/>
    <w:rsid w:val="6C721812"/>
    <w:rsid w:val="6C8B0F52"/>
    <w:rsid w:val="6CC73E80"/>
    <w:rsid w:val="6CDD0DD0"/>
    <w:rsid w:val="6CFA7DB1"/>
    <w:rsid w:val="6D0127E4"/>
    <w:rsid w:val="6D135E16"/>
    <w:rsid w:val="6D1C168A"/>
    <w:rsid w:val="6D2154B9"/>
    <w:rsid w:val="6D344536"/>
    <w:rsid w:val="6D347A31"/>
    <w:rsid w:val="6D3668DD"/>
    <w:rsid w:val="6D471CAB"/>
    <w:rsid w:val="6D70425D"/>
    <w:rsid w:val="6D7C7746"/>
    <w:rsid w:val="6D986796"/>
    <w:rsid w:val="6DAC0977"/>
    <w:rsid w:val="6DB941BD"/>
    <w:rsid w:val="6DC60F63"/>
    <w:rsid w:val="6DE735C7"/>
    <w:rsid w:val="6DF11063"/>
    <w:rsid w:val="6E3B32BE"/>
    <w:rsid w:val="6E4C770B"/>
    <w:rsid w:val="6E5F1098"/>
    <w:rsid w:val="6E6F2793"/>
    <w:rsid w:val="6E703D8E"/>
    <w:rsid w:val="6E7F1EDE"/>
    <w:rsid w:val="6E84323D"/>
    <w:rsid w:val="6E942A76"/>
    <w:rsid w:val="6EA41FA2"/>
    <w:rsid w:val="6EB44AD4"/>
    <w:rsid w:val="6EBA69C8"/>
    <w:rsid w:val="6EBC31C7"/>
    <w:rsid w:val="6ED94AD0"/>
    <w:rsid w:val="6EF65E36"/>
    <w:rsid w:val="6F1718AD"/>
    <w:rsid w:val="6F265009"/>
    <w:rsid w:val="6F313FE8"/>
    <w:rsid w:val="6F381CAC"/>
    <w:rsid w:val="6F5A1FC6"/>
    <w:rsid w:val="6F6128C1"/>
    <w:rsid w:val="6F723264"/>
    <w:rsid w:val="6F9C6902"/>
    <w:rsid w:val="6F9E6156"/>
    <w:rsid w:val="6FA06B69"/>
    <w:rsid w:val="6FA0729C"/>
    <w:rsid w:val="700E142B"/>
    <w:rsid w:val="70100CA2"/>
    <w:rsid w:val="70393572"/>
    <w:rsid w:val="704F6D52"/>
    <w:rsid w:val="706E27A1"/>
    <w:rsid w:val="706F0977"/>
    <w:rsid w:val="707263F3"/>
    <w:rsid w:val="70A24D48"/>
    <w:rsid w:val="70B07280"/>
    <w:rsid w:val="70BA64EF"/>
    <w:rsid w:val="70C42D2B"/>
    <w:rsid w:val="70C900DF"/>
    <w:rsid w:val="70F80524"/>
    <w:rsid w:val="70FB3771"/>
    <w:rsid w:val="71081E5C"/>
    <w:rsid w:val="710A2419"/>
    <w:rsid w:val="710E65A0"/>
    <w:rsid w:val="711C6B89"/>
    <w:rsid w:val="712011DF"/>
    <w:rsid w:val="71326D32"/>
    <w:rsid w:val="71347EB1"/>
    <w:rsid w:val="71442C29"/>
    <w:rsid w:val="71453598"/>
    <w:rsid w:val="714C2CD0"/>
    <w:rsid w:val="715A596A"/>
    <w:rsid w:val="716A44DC"/>
    <w:rsid w:val="717C247D"/>
    <w:rsid w:val="717F26E4"/>
    <w:rsid w:val="71816B8E"/>
    <w:rsid w:val="71832D29"/>
    <w:rsid w:val="71907818"/>
    <w:rsid w:val="71B252F9"/>
    <w:rsid w:val="71DE7E1D"/>
    <w:rsid w:val="71E95916"/>
    <w:rsid w:val="71EB1F0E"/>
    <w:rsid w:val="7203413E"/>
    <w:rsid w:val="72081F64"/>
    <w:rsid w:val="72191ED0"/>
    <w:rsid w:val="721C3014"/>
    <w:rsid w:val="721D0BFB"/>
    <w:rsid w:val="7250588C"/>
    <w:rsid w:val="726F5278"/>
    <w:rsid w:val="7273049E"/>
    <w:rsid w:val="727E786A"/>
    <w:rsid w:val="72887FD4"/>
    <w:rsid w:val="72916342"/>
    <w:rsid w:val="72BD0544"/>
    <w:rsid w:val="72BF20D0"/>
    <w:rsid w:val="72C0472D"/>
    <w:rsid w:val="72CB03A1"/>
    <w:rsid w:val="72D00816"/>
    <w:rsid w:val="72D11D5C"/>
    <w:rsid w:val="72DC3720"/>
    <w:rsid w:val="72DC4121"/>
    <w:rsid w:val="72E4193A"/>
    <w:rsid w:val="72E85DAD"/>
    <w:rsid w:val="73133AF6"/>
    <w:rsid w:val="732303D9"/>
    <w:rsid w:val="73360D13"/>
    <w:rsid w:val="7344428A"/>
    <w:rsid w:val="734979C3"/>
    <w:rsid w:val="73532CC9"/>
    <w:rsid w:val="735C549D"/>
    <w:rsid w:val="736F7373"/>
    <w:rsid w:val="738F6C61"/>
    <w:rsid w:val="73D223F2"/>
    <w:rsid w:val="73D73D11"/>
    <w:rsid w:val="73E95EE8"/>
    <w:rsid w:val="74097ADC"/>
    <w:rsid w:val="744975DD"/>
    <w:rsid w:val="744C34C9"/>
    <w:rsid w:val="74610332"/>
    <w:rsid w:val="746920A5"/>
    <w:rsid w:val="74AD6F4A"/>
    <w:rsid w:val="74AE06FF"/>
    <w:rsid w:val="74B66149"/>
    <w:rsid w:val="74CB1EDB"/>
    <w:rsid w:val="74DE73F5"/>
    <w:rsid w:val="750E239F"/>
    <w:rsid w:val="7517095A"/>
    <w:rsid w:val="751E77AF"/>
    <w:rsid w:val="75702156"/>
    <w:rsid w:val="757A6A57"/>
    <w:rsid w:val="75B00579"/>
    <w:rsid w:val="75D07F8B"/>
    <w:rsid w:val="75EE5669"/>
    <w:rsid w:val="764928A0"/>
    <w:rsid w:val="76806DF8"/>
    <w:rsid w:val="76957051"/>
    <w:rsid w:val="76BD4232"/>
    <w:rsid w:val="76C10199"/>
    <w:rsid w:val="76C57BCB"/>
    <w:rsid w:val="76D474B3"/>
    <w:rsid w:val="76EF6DD7"/>
    <w:rsid w:val="76F927CD"/>
    <w:rsid w:val="77043E82"/>
    <w:rsid w:val="77102E4D"/>
    <w:rsid w:val="772F78A5"/>
    <w:rsid w:val="773B2934"/>
    <w:rsid w:val="773E064E"/>
    <w:rsid w:val="774E1211"/>
    <w:rsid w:val="7767181A"/>
    <w:rsid w:val="776E7DAE"/>
    <w:rsid w:val="777B71D8"/>
    <w:rsid w:val="779415BD"/>
    <w:rsid w:val="77A54D53"/>
    <w:rsid w:val="77AB25AD"/>
    <w:rsid w:val="77B92EBE"/>
    <w:rsid w:val="77D75F2B"/>
    <w:rsid w:val="77FC6767"/>
    <w:rsid w:val="781A0BEC"/>
    <w:rsid w:val="78202415"/>
    <w:rsid w:val="78213FC9"/>
    <w:rsid w:val="78360DC6"/>
    <w:rsid w:val="78572B59"/>
    <w:rsid w:val="78701D9C"/>
    <w:rsid w:val="78C964A3"/>
    <w:rsid w:val="78F9F6D3"/>
    <w:rsid w:val="78FA0671"/>
    <w:rsid w:val="790635D1"/>
    <w:rsid w:val="79393B8B"/>
    <w:rsid w:val="793A634F"/>
    <w:rsid w:val="797A5A56"/>
    <w:rsid w:val="798635EB"/>
    <w:rsid w:val="79A062A8"/>
    <w:rsid w:val="79A5750A"/>
    <w:rsid w:val="79CF368F"/>
    <w:rsid w:val="79EB2FD6"/>
    <w:rsid w:val="79ECAB6F"/>
    <w:rsid w:val="79ED0DA8"/>
    <w:rsid w:val="7A0C1011"/>
    <w:rsid w:val="7A0E7A81"/>
    <w:rsid w:val="7A17211E"/>
    <w:rsid w:val="7A321CDB"/>
    <w:rsid w:val="7A4A1526"/>
    <w:rsid w:val="7A4B626B"/>
    <w:rsid w:val="7A567B6E"/>
    <w:rsid w:val="7A6E32C8"/>
    <w:rsid w:val="7AA5772A"/>
    <w:rsid w:val="7AB0113D"/>
    <w:rsid w:val="7AC900CF"/>
    <w:rsid w:val="7AE56F93"/>
    <w:rsid w:val="7B052FBD"/>
    <w:rsid w:val="7B28499C"/>
    <w:rsid w:val="7B2F54B5"/>
    <w:rsid w:val="7B48416D"/>
    <w:rsid w:val="7B5A5A6C"/>
    <w:rsid w:val="7B5C250E"/>
    <w:rsid w:val="7B5C3BBA"/>
    <w:rsid w:val="7B63305F"/>
    <w:rsid w:val="7B6D0F87"/>
    <w:rsid w:val="7B72691F"/>
    <w:rsid w:val="7B783FD8"/>
    <w:rsid w:val="7B941D50"/>
    <w:rsid w:val="7B9A3DB8"/>
    <w:rsid w:val="7BA113AB"/>
    <w:rsid w:val="7BA46429"/>
    <w:rsid w:val="7BA67BFD"/>
    <w:rsid w:val="7BAC4AE8"/>
    <w:rsid w:val="7BB06590"/>
    <w:rsid w:val="7BD52290"/>
    <w:rsid w:val="7BD568A0"/>
    <w:rsid w:val="7BE22960"/>
    <w:rsid w:val="7BF20E1E"/>
    <w:rsid w:val="7BF73D70"/>
    <w:rsid w:val="7BFF70BE"/>
    <w:rsid w:val="7C120F4C"/>
    <w:rsid w:val="7C1B29E5"/>
    <w:rsid w:val="7C5728ED"/>
    <w:rsid w:val="7C686BCF"/>
    <w:rsid w:val="7C9408F4"/>
    <w:rsid w:val="7CB83597"/>
    <w:rsid w:val="7CB90CC2"/>
    <w:rsid w:val="7CC752E0"/>
    <w:rsid w:val="7CFB2CE9"/>
    <w:rsid w:val="7CFBCE9D"/>
    <w:rsid w:val="7D0C34C4"/>
    <w:rsid w:val="7D1E71EA"/>
    <w:rsid w:val="7D212CA5"/>
    <w:rsid w:val="7D255EE2"/>
    <w:rsid w:val="7D26D855"/>
    <w:rsid w:val="7D293184"/>
    <w:rsid w:val="7D2B742D"/>
    <w:rsid w:val="7D4B3EE6"/>
    <w:rsid w:val="7D6112EF"/>
    <w:rsid w:val="7D68620F"/>
    <w:rsid w:val="7D69777E"/>
    <w:rsid w:val="7D6FB106"/>
    <w:rsid w:val="7D752C5B"/>
    <w:rsid w:val="7D927DC0"/>
    <w:rsid w:val="7D9F5025"/>
    <w:rsid w:val="7DB34706"/>
    <w:rsid w:val="7DCB6D3F"/>
    <w:rsid w:val="7DE9584E"/>
    <w:rsid w:val="7E1A0A9F"/>
    <w:rsid w:val="7E2327E1"/>
    <w:rsid w:val="7E3C401A"/>
    <w:rsid w:val="7E641213"/>
    <w:rsid w:val="7EA7EB6C"/>
    <w:rsid w:val="7EAD3628"/>
    <w:rsid w:val="7EB859C9"/>
    <w:rsid w:val="7ECB4935"/>
    <w:rsid w:val="7EE33139"/>
    <w:rsid w:val="7EEBD690"/>
    <w:rsid w:val="7EF34773"/>
    <w:rsid w:val="7EF931C4"/>
    <w:rsid w:val="7F0144D6"/>
    <w:rsid w:val="7F0D08DC"/>
    <w:rsid w:val="7F173D26"/>
    <w:rsid w:val="7F263BA7"/>
    <w:rsid w:val="7F457705"/>
    <w:rsid w:val="7F4E1AA0"/>
    <w:rsid w:val="7F666017"/>
    <w:rsid w:val="7F6FBE70"/>
    <w:rsid w:val="7F714EE5"/>
    <w:rsid w:val="7F765549"/>
    <w:rsid w:val="7F7F2734"/>
    <w:rsid w:val="7F8B714F"/>
    <w:rsid w:val="7F9B10FB"/>
    <w:rsid w:val="7FA63F96"/>
    <w:rsid w:val="7FB9287C"/>
    <w:rsid w:val="7FC32F20"/>
    <w:rsid w:val="7FCC47FD"/>
    <w:rsid w:val="7FCFFCC4"/>
    <w:rsid w:val="7FD31973"/>
    <w:rsid w:val="7FD92575"/>
    <w:rsid w:val="7FE15B01"/>
    <w:rsid w:val="7FFB1B6E"/>
    <w:rsid w:val="C6F5E4F8"/>
    <w:rsid w:val="CDFDF7C2"/>
    <w:rsid w:val="DCE705B6"/>
    <w:rsid w:val="DE35E862"/>
    <w:rsid w:val="DF77D5E2"/>
    <w:rsid w:val="DFE64E7C"/>
    <w:rsid w:val="E7DF9B21"/>
    <w:rsid w:val="EF9E7FFA"/>
    <w:rsid w:val="F76F081C"/>
    <w:rsid w:val="F7B3F097"/>
    <w:rsid w:val="F7BF1B7E"/>
    <w:rsid w:val="F7E80245"/>
    <w:rsid w:val="FDFFB25B"/>
    <w:rsid w:val="FE77827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qFormat="1" w:uiPriority="99" w:semiHidden="0"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iPriority="0" w:semiHidden="0" w:name="Body Text First Indent 2"/>
    <w:lsdException w:uiPriority="99" w:name="Note Heading"/>
    <w:lsdException w:qFormat="1" w:uiPriority="99"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84"/>
    <w:autoRedefine/>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79"/>
    <w:autoRedefine/>
    <w:qFormat/>
    <w:uiPriority w:val="0"/>
    <w:pPr>
      <w:keepNext/>
      <w:keepLines/>
      <w:spacing w:before="260" w:after="260" w:line="415" w:lineRule="auto"/>
      <w:outlineLvl w:val="1"/>
    </w:pPr>
    <w:rPr>
      <w:rFonts w:ascii="Arial" w:hAnsi="Arial" w:eastAsia="黑体"/>
      <w:b/>
      <w:bCs/>
      <w:kern w:val="0"/>
      <w:sz w:val="32"/>
      <w:szCs w:val="32"/>
    </w:rPr>
  </w:style>
  <w:style w:type="paragraph" w:styleId="2">
    <w:name w:val="heading 3"/>
    <w:basedOn w:val="1"/>
    <w:next w:val="1"/>
    <w:link w:val="58"/>
    <w:autoRedefine/>
    <w:qFormat/>
    <w:uiPriority w:val="0"/>
    <w:pPr>
      <w:keepNext/>
      <w:keepLines/>
      <w:spacing w:before="260" w:after="260" w:line="415" w:lineRule="auto"/>
      <w:outlineLvl w:val="2"/>
    </w:pPr>
    <w:rPr>
      <w:b/>
      <w:bCs/>
      <w:kern w:val="0"/>
      <w:sz w:val="32"/>
      <w:szCs w:val="32"/>
    </w:rPr>
  </w:style>
  <w:style w:type="paragraph" w:styleId="5">
    <w:name w:val="heading 4"/>
    <w:basedOn w:val="1"/>
    <w:next w:val="1"/>
    <w:link w:val="93"/>
    <w:autoRedefine/>
    <w:qFormat/>
    <w:uiPriority w:val="0"/>
    <w:pPr>
      <w:keepNext/>
      <w:keepLines/>
      <w:spacing w:before="280" w:after="290" w:line="374" w:lineRule="auto"/>
      <w:outlineLvl w:val="3"/>
    </w:pPr>
    <w:rPr>
      <w:rFonts w:ascii="Arial" w:hAnsi="Arial" w:eastAsia="黑体"/>
      <w:b/>
      <w:bCs/>
      <w:kern w:val="0"/>
      <w:sz w:val="28"/>
      <w:szCs w:val="28"/>
    </w:rPr>
  </w:style>
  <w:style w:type="paragraph" w:styleId="6">
    <w:name w:val="heading 6"/>
    <w:basedOn w:val="1"/>
    <w:next w:val="1"/>
    <w:link w:val="60"/>
    <w:autoRedefine/>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7">
    <w:name w:val="heading 7"/>
    <w:basedOn w:val="1"/>
    <w:next w:val="1"/>
    <w:link w:val="100"/>
    <w:autoRedefine/>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8">
    <w:name w:val="heading 8"/>
    <w:basedOn w:val="1"/>
    <w:next w:val="1"/>
    <w:link w:val="82"/>
    <w:autoRedefine/>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9">
    <w:name w:val="heading 9"/>
    <w:basedOn w:val="1"/>
    <w:next w:val="1"/>
    <w:link w:val="74"/>
    <w:autoRedefine/>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7">
    <w:name w:val="Default Paragraph Font"/>
    <w:autoRedefine/>
    <w:semiHidden/>
    <w:unhideWhenUsed/>
    <w:qFormat/>
    <w:uiPriority w:val="1"/>
  </w:style>
  <w:style w:type="table" w:default="1" w:styleId="45">
    <w:name w:val="Normal Table"/>
    <w:autoRedefine/>
    <w:semiHidden/>
    <w:unhideWhenUsed/>
    <w:qFormat/>
    <w:uiPriority w:val="99"/>
    <w:pPr>
      <w:keepNext w:val="0"/>
      <w:keepLines w:val="0"/>
      <w:widowControl/>
      <w:suppressLineNumbers w:val="0"/>
      <w:spacing w:before="0" w:beforeAutospacing="0" w:after="0" w:afterAutospacing="0"/>
      <w:ind w:left="0" w:right="0"/>
    </w:pPr>
    <w:rPr>
      <w:rFonts w:hint="eastAsia" w:ascii="等线" w:hAnsi="等线" w:eastAsia="等线" w:cs="等线"/>
      <w:sz w:val="20"/>
      <w:szCs w:val="20"/>
    </w:rPr>
    <w:tblPr>
      <w:tblCellMar>
        <w:top w:w="0" w:type="dxa"/>
        <w:left w:w="108" w:type="dxa"/>
        <w:bottom w:w="0" w:type="dxa"/>
        <w:right w:w="108" w:type="dxa"/>
      </w:tblCellMar>
    </w:tblPr>
  </w:style>
  <w:style w:type="paragraph" w:styleId="10">
    <w:name w:val="toc 7"/>
    <w:basedOn w:val="1"/>
    <w:next w:val="1"/>
    <w:autoRedefine/>
    <w:qFormat/>
    <w:uiPriority w:val="39"/>
    <w:pPr>
      <w:ind w:left="1260"/>
      <w:jc w:val="left"/>
    </w:pPr>
    <w:rPr>
      <w:rFonts w:ascii="Calibri" w:hAnsi="Calibri"/>
      <w:sz w:val="18"/>
      <w:szCs w:val="18"/>
    </w:rPr>
  </w:style>
  <w:style w:type="paragraph" w:styleId="11">
    <w:name w:val="table of authorities"/>
    <w:basedOn w:val="1"/>
    <w:next w:val="1"/>
    <w:autoRedefine/>
    <w:qFormat/>
    <w:uiPriority w:val="99"/>
    <w:pPr>
      <w:ind w:left="420" w:leftChars="200"/>
    </w:pPr>
  </w:style>
  <w:style w:type="paragraph" w:styleId="12">
    <w:name w:val="Normal Indent"/>
    <w:basedOn w:val="1"/>
    <w:link w:val="70"/>
    <w:autoRedefine/>
    <w:qFormat/>
    <w:uiPriority w:val="0"/>
    <w:pPr>
      <w:ind w:firstLine="420" w:firstLineChars="200"/>
    </w:pPr>
  </w:style>
  <w:style w:type="paragraph" w:styleId="13">
    <w:name w:val="Document Map"/>
    <w:basedOn w:val="1"/>
    <w:link w:val="77"/>
    <w:autoRedefine/>
    <w:qFormat/>
    <w:uiPriority w:val="0"/>
    <w:pPr>
      <w:shd w:val="clear" w:color="auto" w:fill="000080"/>
    </w:pPr>
    <w:rPr>
      <w:kern w:val="0"/>
      <w:sz w:val="20"/>
    </w:rPr>
  </w:style>
  <w:style w:type="paragraph" w:styleId="14">
    <w:name w:val="annotation text"/>
    <w:basedOn w:val="1"/>
    <w:link w:val="59"/>
    <w:autoRedefine/>
    <w:unhideWhenUsed/>
    <w:qFormat/>
    <w:uiPriority w:val="99"/>
    <w:pPr>
      <w:jc w:val="left"/>
    </w:pPr>
    <w:rPr>
      <w:kern w:val="0"/>
      <w:sz w:val="20"/>
    </w:rPr>
  </w:style>
  <w:style w:type="paragraph" w:styleId="15">
    <w:name w:val="Body Text 3"/>
    <w:basedOn w:val="1"/>
    <w:link w:val="63"/>
    <w:autoRedefine/>
    <w:qFormat/>
    <w:uiPriority w:val="0"/>
    <w:rPr>
      <w:rFonts w:ascii="宋体"/>
      <w:kern w:val="0"/>
      <w:sz w:val="24"/>
      <w:szCs w:val="20"/>
    </w:rPr>
  </w:style>
  <w:style w:type="paragraph" w:styleId="16">
    <w:name w:val="Body Text"/>
    <w:basedOn w:val="1"/>
    <w:next w:val="17"/>
    <w:link w:val="66"/>
    <w:autoRedefine/>
    <w:qFormat/>
    <w:uiPriority w:val="0"/>
    <w:pPr>
      <w:spacing w:after="120"/>
    </w:pPr>
    <w:rPr>
      <w:kern w:val="0"/>
      <w:sz w:val="20"/>
    </w:rPr>
  </w:style>
  <w:style w:type="paragraph" w:styleId="17">
    <w:name w:val="Body Text 2"/>
    <w:basedOn w:val="1"/>
    <w:autoRedefine/>
    <w:unhideWhenUsed/>
    <w:qFormat/>
    <w:uiPriority w:val="99"/>
    <w:pPr>
      <w:spacing w:after="120" w:line="480" w:lineRule="auto"/>
    </w:pPr>
  </w:style>
  <w:style w:type="paragraph" w:styleId="18">
    <w:name w:val="Body Text Indent"/>
    <w:basedOn w:val="1"/>
    <w:next w:val="19"/>
    <w:link w:val="76"/>
    <w:autoRedefine/>
    <w:qFormat/>
    <w:uiPriority w:val="0"/>
    <w:pPr>
      <w:spacing w:after="120"/>
      <w:ind w:left="420" w:leftChars="200"/>
    </w:pPr>
    <w:rPr>
      <w:kern w:val="0"/>
      <w:sz w:val="20"/>
    </w:rPr>
  </w:style>
  <w:style w:type="paragraph" w:styleId="19">
    <w:name w:val="envelope return"/>
    <w:basedOn w:val="1"/>
    <w:autoRedefine/>
    <w:unhideWhenUsed/>
    <w:qFormat/>
    <w:uiPriority w:val="99"/>
    <w:pPr>
      <w:snapToGrid w:val="0"/>
    </w:pPr>
    <w:rPr>
      <w:rFonts w:ascii="Arial" w:hAnsi="Arial" w:cs="Arial"/>
    </w:rPr>
  </w:style>
  <w:style w:type="paragraph" w:styleId="20">
    <w:name w:val="Block Text"/>
    <w:basedOn w:val="1"/>
    <w:autoRedefine/>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1">
    <w:name w:val="toc 5"/>
    <w:basedOn w:val="1"/>
    <w:next w:val="1"/>
    <w:autoRedefine/>
    <w:qFormat/>
    <w:uiPriority w:val="39"/>
    <w:pPr>
      <w:ind w:left="840"/>
      <w:jc w:val="left"/>
    </w:pPr>
    <w:rPr>
      <w:rFonts w:ascii="Calibri" w:hAnsi="Calibri"/>
      <w:sz w:val="18"/>
      <w:szCs w:val="18"/>
    </w:rPr>
  </w:style>
  <w:style w:type="paragraph" w:styleId="22">
    <w:name w:val="toc 3"/>
    <w:basedOn w:val="1"/>
    <w:next w:val="1"/>
    <w:autoRedefine/>
    <w:qFormat/>
    <w:uiPriority w:val="39"/>
    <w:pPr>
      <w:ind w:left="420"/>
      <w:jc w:val="left"/>
    </w:pPr>
    <w:rPr>
      <w:rFonts w:ascii="Calibri" w:hAnsi="Calibri"/>
      <w:i/>
      <w:iCs/>
      <w:sz w:val="20"/>
      <w:szCs w:val="20"/>
    </w:rPr>
  </w:style>
  <w:style w:type="paragraph" w:styleId="23">
    <w:name w:val="Plain Text"/>
    <w:basedOn w:val="1"/>
    <w:link w:val="99"/>
    <w:autoRedefine/>
    <w:qFormat/>
    <w:uiPriority w:val="99"/>
    <w:rPr>
      <w:rFonts w:ascii="Courier New" w:hAnsi="Courier New"/>
      <w:kern w:val="0"/>
      <w:sz w:val="20"/>
      <w:szCs w:val="20"/>
    </w:rPr>
  </w:style>
  <w:style w:type="paragraph" w:styleId="24">
    <w:name w:val="toc 8"/>
    <w:basedOn w:val="1"/>
    <w:next w:val="1"/>
    <w:autoRedefine/>
    <w:qFormat/>
    <w:uiPriority w:val="39"/>
    <w:pPr>
      <w:ind w:left="1470"/>
      <w:jc w:val="left"/>
    </w:pPr>
    <w:rPr>
      <w:rFonts w:ascii="Calibri" w:hAnsi="Calibri"/>
      <w:sz w:val="18"/>
      <w:szCs w:val="18"/>
    </w:rPr>
  </w:style>
  <w:style w:type="paragraph" w:styleId="25">
    <w:name w:val="Date"/>
    <w:basedOn w:val="1"/>
    <w:next w:val="1"/>
    <w:link w:val="83"/>
    <w:autoRedefine/>
    <w:qFormat/>
    <w:uiPriority w:val="0"/>
    <w:rPr>
      <w:kern w:val="0"/>
      <w:sz w:val="24"/>
      <w:szCs w:val="20"/>
    </w:rPr>
  </w:style>
  <w:style w:type="paragraph" w:styleId="26">
    <w:name w:val="Body Text Indent 2"/>
    <w:basedOn w:val="1"/>
    <w:autoRedefine/>
    <w:qFormat/>
    <w:uiPriority w:val="0"/>
    <w:pPr>
      <w:spacing w:after="120" w:line="480" w:lineRule="auto"/>
      <w:ind w:left="420" w:leftChars="200"/>
    </w:pPr>
  </w:style>
  <w:style w:type="paragraph" w:styleId="27">
    <w:name w:val="Balloon Text"/>
    <w:basedOn w:val="1"/>
    <w:link w:val="81"/>
    <w:autoRedefine/>
    <w:qFormat/>
    <w:uiPriority w:val="0"/>
    <w:rPr>
      <w:kern w:val="0"/>
      <w:sz w:val="18"/>
      <w:szCs w:val="18"/>
    </w:rPr>
  </w:style>
  <w:style w:type="paragraph" w:styleId="28">
    <w:name w:val="footer"/>
    <w:basedOn w:val="1"/>
    <w:link w:val="95"/>
    <w:autoRedefine/>
    <w:qFormat/>
    <w:uiPriority w:val="99"/>
    <w:pPr>
      <w:tabs>
        <w:tab w:val="center" w:pos="4153"/>
        <w:tab w:val="right" w:pos="8306"/>
      </w:tabs>
      <w:snapToGrid w:val="0"/>
      <w:jc w:val="left"/>
    </w:pPr>
    <w:rPr>
      <w:kern w:val="0"/>
      <w:sz w:val="18"/>
      <w:szCs w:val="18"/>
    </w:rPr>
  </w:style>
  <w:style w:type="paragraph" w:styleId="29">
    <w:name w:val="header"/>
    <w:basedOn w:val="1"/>
    <w:link w:val="73"/>
    <w:autoRedefine/>
    <w:qFormat/>
    <w:uiPriority w:val="0"/>
    <w:pPr>
      <w:pBdr>
        <w:bottom w:val="single" w:color="auto" w:sz="6" w:space="1"/>
      </w:pBdr>
      <w:tabs>
        <w:tab w:val="center" w:pos="4153"/>
        <w:tab w:val="right" w:pos="8306"/>
      </w:tabs>
      <w:snapToGrid w:val="0"/>
      <w:jc w:val="center"/>
    </w:pPr>
    <w:rPr>
      <w:kern w:val="0"/>
      <w:sz w:val="18"/>
      <w:szCs w:val="18"/>
    </w:rPr>
  </w:style>
  <w:style w:type="paragraph" w:styleId="30">
    <w:name w:val="toc 1"/>
    <w:basedOn w:val="1"/>
    <w:next w:val="1"/>
    <w:autoRedefine/>
    <w:qFormat/>
    <w:uiPriority w:val="39"/>
    <w:pPr>
      <w:spacing w:before="120" w:after="120"/>
      <w:jc w:val="left"/>
    </w:pPr>
    <w:rPr>
      <w:rFonts w:ascii="Calibri" w:hAnsi="Calibri"/>
      <w:b/>
      <w:bCs/>
      <w:caps/>
      <w:sz w:val="20"/>
      <w:szCs w:val="20"/>
    </w:rPr>
  </w:style>
  <w:style w:type="paragraph" w:styleId="31">
    <w:name w:val="toc 4"/>
    <w:basedOn w:val="1"/>
    <w:next w:val="1"/>
    <w:autoRedefine/>
    <w:qFormat/>
    <w:uiPriority w:val="39"/>
    <w:pPr>
      <w:ind w:left="630"/>
      <w:jc w:val="left"/>
    </w:pPr>
    <w:rPr>
      <w:rFonts w:ascii="Calibri" w:hAnsi="Calibri"/>
      <w:sz w:val="18"/>
      <w:szCs w:val="18"/>
    </w:rPr>
  </w:style>
  <w:style w:type="paragraph" w:styleId="32">
    <w:name w:val="footnote text"/>
    <w:basedOn w:val="1"/>
    <w:link w:val="67"/>
    <w:autoRedefine/>
    <w:qFormat/>
    <w:uiPriority w:val="0"/>
    <w:rPr>
      <w:kern w:val="0"/>
      <w:sz w:val="20"/>
      <w:szCs w:val="20"/>
    </w:rPr>
  </w:style>
  <w:style w:type="paragraph" w:styleId="33">
    <w:name w:val="toc 6"/>
    <w:basedOn w:val="1"/>
    <w:next w:val="1"/>
    <w:autoRedefine/>
    <w:qFormat/>
    <w:uiPriority w:val="39"/>
    <w:pPr>
      <w:ind w:left="1050"/>
      <w:jc w:val="left"/>
    </w:pPr>
    <w:rPr>
      <w:rFonts w:ascii="Calibri" w:hAnsi="Calibri"/>
      <w:sz w:val="18"/>
      <w:szCs w:val="18"/>
    </w:rPr>
  </w:style>
  <w:style w:type="paragraph" w:styleId="34">
    <w:name w:val="Body Text Indent 3"/>
    <w:basedOn w:val="1"/>
    <w:link w:val="87"/>
    <w:autoRedefine/>
    <w:qFormat/>
    <w:uiPriority w:val="0"/>
    <w:pPr>
      <w:spacing w:after="120"/>
      <w:ind w:left="420" w:leftChars="200"/>
    </w:pPr>
    <w:rPr>
      <w:kern w:val="0"/>
      <w:sz w:val="16"/>
      <w:szCs w:val="16"/>
    </w:rPr>
  </w:style>
  <w:style w:type="paragraph" w:styleId="35">
    <w:name w:val="table of figures"/>
    <w:basedOn w:val="1"/>
    <w:next w:val="1"/>
    <w:autoRedefine/>
    <w:qFormat/>
    <w:uiPriority w:val="0"/>
    <w:pPr>
      <w:ind w:left="200" w:leftChars="200" w:hanging="200" w:hangingChars="200"/>
    </w:pPr>
  </w:style>
  <w:style w:type="paragraph" w:styleId="36">
    <w:name w:val="toc 2"/>
    <w:basedOn w:val="1"/>
    <w:next w:val="1"/>
    <w:autoRedefine/>
    <w:qFormat/>
    <w:uiPriority w:val="39"/>
    <w:pPr>
      <w:ind w:left="210"/>
      <w:jc w:val="left"/>
    </w:pPr>
    <w:rPr>
      <w:rFonts w:ascii="Calibri" w:hAnsi="Calibri"/>
      <w:smallCaps/>
      <w:sz w:val="20"/>
      <w:szCs w:val="20"/>
    </w:rPr>
  </w:style>
  <w:style w:type="paragraph" w:styleId="37">
    <w:name w:val="toc 9"/>
    <w:basedOn w:val="1"/>
    <w:next w:val="1"/>
    <w:autoRedefine/>
    <w:qFormat/>
    <w:uiPriority w:val="39"/>
    <w:pPr>
      <w:ind w:left="1680"/>
      <w:jc w:val="left"/>
    </w:pPr>
    <w:rPr>
      <w:rFonts w:ascii="Calibri" w:hAnsi="Calibri"/>
      <w:sz w:val="18"/>
      <w:szCs w:val="18"/>
    </w:rPr>
  </w:style>
  <w:style w:type="paragraph" w:styleId="38">
    <w:name w:val="HTML Preformatted"/>
    <w:basedOn w:val="1"/>
    <w:link w:val="97"/>
    <w:autoRedefine/>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9">
    <w:name w:val="Normal (Web)"/>
    <w:basedOn w:val="1"/>
    <w:autoRedefine/>
    <w:qFormat/>
    <w:uiPriority w:val="99"/>
    <w:pPr>
      <w:widowControl/>
      <w:spacing w:before="100" w:beforeAutospacing="1" w:after="100" w:afterAutospacing="1"/>
      <w:jc w:val="left"/>
    </w:pPr>
    <w:rPr>
      <w:rFonts w:ascii="宋体" w:hAnsi="宋体" w:cs="宋体"/>
      <w:kern w:val="0"/>
      <w:sz w:val="24"/>
    </w:rPr>
  </w:style>
  <w:style w:type="paragraph" w:styleId="40">
    <w:name w:val="index 1"/>
    <w:basedOn w:val="1"/>
    <w:next w:val="1"/>
    <w:autoRedefine/>
    <w:semiHidden/>
    <w:qFormat/>
    <w:uiPriority w:val="0"/>
    <w:pPr>
      <w:spacing w:line="360" w:lineRule="auto"/>
      <w:jc w:val="center"/>
    </w:pPr>
    <w:rPr>
      <w:rFonts w:ascii="宋体" w:hAnsi="Arial" w:cs="Arial"/>
      <w:b/>
      <w:color w:val="000000"/>
      <w:sz w:val="24"/>
    </w:rPr>
  </w:style>
  <w:style w:type="paragraph" w:styleId="41">
    <w:name w:val="Title"/>
    <w:basedOn w:val="1"/>
    <w:link w:val="80"/>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2">
    <w:name w:val="annotation subject"/>
    <w:basedOn w:val="14"/>
    <w:next w:val="14"/>
    <w:link w:val="69"/>
    <w:autoRedefine/>
    <w:qFormat/>
    <w:uiPriority w:val="0"/>
    <w:rPr>
      <w:b/>
      <w:bCs/>
    </w:rPr>
  </w:style>
  <w:style w:type="paragraph" w:styleId="43">
    <w:name w:val="Body Text First Indent"/>
    <w:basedOn w:val="16"/>
    <w:autoRedefine/>
    <w:qFormat/>
    <w:uiPriority w:val="0"/>
    <w:pPr>
      <w:adjustRightInd w:val="0"/>
      <w:spacing w:line="275" w:lineRule="atLeast"/>
      <w:ind w:firstLine="420"/>
      <w:textAlignment w:val="baseline"/>
    </w:pPr>
    <w:rPr>
      <w:rFonts w:ascii="宋体" w:eastAsia="楷体_GB2312"/>
      <w:sz w:val="24"/>
      <w:szCs w:val="20"/>
    </w:rPr>
  </w:style>
  <w:style w:type="paragraph" w:styleId="44">
    <w:name w:val="Body Text First Indent 2"/>
    <w:basedOn w:val="18"/>
    <w:next w:val="1"/>
    <w:autoRedefine/>
    <w:unhideWhenUsed/>
    <w:qFormat/>
    <w:uiPriority w:val="0"/>
    <w:pPr>
      <w:ind w:firstLine="420"/>
    </w:pPr>
  </w:style>
  <w:style w:type="table" w:styleId="46">
    <w:name w:val="Table Grid"/>
    <w:basedOn w:val="45"/>
    <w:autoRedefine/>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8">
    <w:name w:val="Strong"/>
    <w:autoRedefine/>
    <w:qFormat/>
    <w:uiPriority w:val="0"/>
    <w:rPr>
      <w:b/>
      <w:bCs/>
    </w:rPr>
  </w:style>
  <w:style w:type="character" w:styleId="49">
    <w:name w:val="page number"/>
    <w:autoRedefine/>
    <w:qFormat/>
    <w:uiPriority w:val="0"/>
  </w:style>
  <w:style w:type="character" w:styleId="50">
    <w:name w:val="FollowedHyperlink"/>
    <w:basedOn w:val="47"/>
    <w:autoRedefine/>
    <w:qFormat/>
    <w:uiPriority w:val="0"/>
    <w:rPr>
      <w:rFonts w:hint="default" w:ascii="Arial" w:hAnsi="Arial" w:eastAsia="Arial" w:cs="Arial"/>
      <w:color w:val="333333"/>
      <w:sz w:val="21"/>
      <w:szCs w:val="21"/>
      <w:u w:val="none"/>
    </w:rPr>
  </w:style>
  <w:style w:type="character" w:styleId="51">
    <w:name w:val="Hyperlink"/>
    <w:basedOn w:val="47"/>
    <w:autoRedefine/>
    <w:qFormat/>
    <w:uiPriority w:val="99"/>
    <w:rPr>
      <w:rFonts w:ascii="Arial" w:hAnsi="Arial" w:eastAsia="Arial" w:cs="Arial"/>
      <w:color w:val="333333"/>
      <w:sz w:val="21"/>
      <w:szCs w:val="21"/>
      <w:u w:val="none"/>
    </w:rPr>
  </w:style>
  <w:style w:type="character" w:styleId="52">
    <w:name w:val="annotation reference"/>
    <w:autoRedefine/>
    <w:qFormat/>
    <w:uiPriority w:val="0"/>
    <w:rPr>
      <w:sz w:val="21"/>
      <w:szCs w:val="21"/>
    </w:rPr>
  </w:style>
  <w:style w:type="character" w:styleId="53">
    <w:name w:val="footnote reference"/>
    <w:autoRedefine/>
    <w:qFormat/>
    <w:uiPriority w:val="0"/>
    <w:rPr>
      <w:vertAlign w:val="superscript"/>
    </w:rPr>
  </w:style>
  <w:style w:type="character" w:customStyle="1" w:styleId="54">
    <w:name w:val="apple-style-span"/>
    <w:autoRedefine/>
    <w:qFormat/>
    <w:uiPriority w:val="0"/>
    <w:rPr>
      <w:rFonts w:ascii="Verdana" w:hAnsi="Verdana" w:eastAsia="宋体"/>
      <w:sz w:val="21"/>
      <w:lang w:val="en-US" w:eastAsia="en-US" w:bidi="ar-SA"/>
    </w:rPr>
  </w:style>
  <w:style w:type="character" w:customStyle="1" w:styleId="55">
    <w:name w:val="正文文本 3 Char1"/>
    <w:autoRedefine/>
    <w:semiHidden/>
    <w:qFormat/>
    <w:uiPriority w:val="99"/>
    <w:rPr>
      <w:rFonts w:ascii="Times New Roman" w:hAnsi="Times New Roman" w:eastAsia="宋体" w:cs="Times New Roman"/>
      <w:sz w:val="16"/>
      <w:szCs w:val="16"/>
    </w:rPr>
  </w:style>
  <w:style w:type="character" w:customStyle="1" w:styleId="56">
    <w:name w:val="样式 宋体"/>
    <w:autoRedefine/>
    <w:qFormat/>
    <w:uiPriority w:val="0"/>
    <w:rPr>
      <w:rFonts w:ascii="Times New Roman" w:hAnsi="Times New Roman" w:eastAsia="宋体"/>
      <w:sz w:val="21"/>
    </w:rPr>
  </w:style>
  <w:style w:type="character" w:customStyle="1" w:styleId="57">
    <w:name w:val="正文文本 (2) + 9.5 pt"/>
    <w:autoRedefine/>
    <w:qFormat/>
    <w:uiPriority w:val="0"/>
    <w:rPr>
      <w:rFonts w:ascii="MingLiU" w:hAnsi="MingLiU" w:eastAsia="MingLiU" w:cs="MingLiU"/>
      <w:color w:val="000000"/>
      <w:spacing w:val="0"/>
      <w:w w:val="100"/>
      <w:position w:val="0"/>
      <w:sz w:val="19"/>
      <w:szCs w:val="19"/>
      <w:u w:val="none"/>
      <w:lang w:val="zh-TW" w:eastAsia="zh-TW" w:bidi="zh-TW"/>
    </w:rPr>
  </w:style>
  <w:style w:type="character" w:customStyle="1" w:styleId="58">
    <w:name w:val="标题 3 字符"/>
    <w:link w:val="2"/>
    <w:autoRedefine/>
    <w:qFormat/>
    <w:uiPriority w:val="0"/>
    <w:rPr>
      <w:rFonts w:ascii="Times New Roman" w:hAnsi="Times New Roman" w:eastAsia="宋体" w:cs="Times New Roman"/>
      <w:b/>
      <w:bCs/>
      <w:sz w:val="32"/>
      <w:szCs w:val="32"/>
    </w:rPr>
  </w:style>
  <w:style w:type="character" w:customStyle="1" w:styleId="59">
    <w:name w:val="批注文字 字符"/>
    <w:link w:val="14"/>
    <w:autoRedefine/>
    <w:semiHidden/>
    <w:qFormat/>
    <w:uiPriority w:val="99"/>
    <w:rPr>
      <w:rFonts w:ascii="Times New Roman" w:hAnsi="Times New Roman" w:eastAsia="宋体" w:cs="Times New Roman"/>
      <w:szCs w:val="24"/>
    </w:rPr>
  </w:style>
  <w:style w:type="character" w:customStyle="1" w:styleId="60">
    <w:name w:val="标题 6 字符"/>
    <w:link w:val="6"/>
    <w:autoRedefine/>
    <w:qFormat/>
    <w:uiPriority w:val="0"/>
    <w:rPr>
      <w:rFonts w:ascii="Arial" w:hAnsi="Arial" w:eastAsia="黑体" w:cs="Times New Roman"/>
      <w:b/>
      <w:bCs/>
      <w:kern w:val="0"/>
      <w:sz w:val="24"/>
      <w:szCs w:val="24"/>
    </w:rPr>
  </w:style>
  <w:style w:type="character" w:customStyle="1" w:styleId="61">
    <w:name w:val="Char Char8"/>
    <w:autoRedefine/>
    <w:qFormat/>
    <w:uiPriority w:val="0"/>
    <w:rPr>
      <w:rFonts w:ascii="Arial" w:hAnsi="Arial" w:eastAsia="黑体"/>
      <w:b/>
      <w:bCs/>
      <w:kern w:val="2"/>
      <w:sz w:val="32"/>
      <w:szCs w:val="32"/>
      <w:lang w:val="en-US" w:eastAsia="zh-CN" w:bidi="ar-SA"/>
    </w:rPr>
  </w:style>
  <w:style w:type="character" w:customStyle="1" w:styleId="62">
    <w:name w:val="脚注文本 Char1"/>
    <w:autoRedefine/>
    <w:semiHidden/>
    <w:qFormat/>
    <w:uiPriority w:val="99"/>
    <w:rPr>
      <w:rFonts w:ascii="Times New Roman" w:hAnsi="Times New Roman" w:eastAsia="宋体" w:cs="Times New Roman"/>
      <w:sz w:val="18"/>
      <w:szCs w:val="18"/>
    </w:rPr>
  </w:style>
  <w:style w:type="character" w:customStyle="1" w:styleId="63">
    <w:name w:val="正文文本 3 字符"/>
    <w:link w:val="15"/>
    <w:autoRedefine/>
    <w:qFormat/>
    <w:uiPriority w:val="0"/>
    <w:rPr>
      <w:rFonts w:ascii="宋体"/>
      <w:sz w:val="24"/>
    </w:rPr>
  </w:style>
  <w:style w:type="character" w:customStyle="1" w:styleId="64">
    <w:name w:val="页脚 Char1"/>
    <w:autoRedefine/>
    <w:semiHidden/>
    <w:qFormat/>
    <w:uiPriority w:val="99"/>
    <w:rPr>
      <w:rFonts w:ascii="Times New Roman" w:hAnsi="Times New Roman" w:eastAsia="宋体" w:cs="Times New Roman"/>
      <w:sz w:val="18"/>
      <w:szCs w:val="18"/>
    </w:rPr>
  </w:style>
  <w:style w:type="character" w:customStyle="1" w:styleId="65">
    <w:name w:val="标题 Char1"/>
    <w:autoRedefine/>
    <w:qFormat/>
    <w:uiPriority w:val="10"/>
    <w:rPr>
      <w:rFonts w:ascii="Calibri Light" w:hAnsi="Calibri Light" w:eastAsia="宋体" w:cs="Times New Roman"/>
      <w:b/>
      <w:bCs/>
      <w:sz w:val="32"/>
      <w:szCs w:val="32"/>
    </w:rPr>
  </w:style>
  <w:style w:type="character" w:customStyle="1" w:styleId="66">
    <w:name w:val="正文文本 字符"/>
    <w:link w:val="16"/>
    <w:autoRedefine/>
    <w:qFormat/>
    <w:uiPriority w:val="0"/>
    <w:rPr>
      <w:rFonts w:eastAsia="宋体"/>
      <w:szCs w:val="24"/>
    </w:rPr>
  </w:style>
  <w:style w:type="character" w:customStyle="1" w:styleId="67">
    <w:name w:val="脚注文本 字符"/>
    <w:link w:val="32"/>
    <w:autoRedefine/>
    <w:qFormat/>
    <w:uiPriority w:val="0"/>
    <w:rPr>
      <w:rFonts w:eastAsia="宋体"/>
    </w:rPr>
  </w:style>
  <w:style w:type="character" w:customStyle="1" w:styleId="68">
    <w:name w:val="纯文本 Char1"/>
    <w:autoRedefine/>
    <w:semiHidden/>
    <w:qFormat/>
    <w:uiPriority w:val="99"/>
    <w:rPr>
      <w:rFonts w:ascii="宋体" w:hAnsi="Courier New" w:eastAsia="宋体" w:cs="Courier New"/>
      <w:szCs w:val="21"/>
    </w:rPr>
  </w:style>
  <w:style w:type="character" w:customStyle="1" w:styleId="69">
    <w:name w:val="批注主题 字符"/>
    <w:link w:val="42"/>
    <w:autoRedefine/>
    <w:qFormat/>
    <w:uiPriority w:val="0"/>
    <w:rPr>
      <w:rFonts w:ascii="Times New Roman" w:hAnsi="Times New Roman" w:eastAsia="宋体" w:cs="Times New Roman"/>
      <w:b/>
      <w:bCs/>
      <w:szCs w:val="24"/>
    </w:rPr>
  </w:style>
  <w:style w:type="character" w:customStyle="1" w:styleId="70">
    <w:name w:val="正文缩进 字符"/>
    <w:link w:val="12"/>
    <w:autoRedefine/>
    <w:qFormat/>
    <w:locked/>
    <w:uiPriority w:val="0"/>
    <w:rPr>
      <w:kern w:val="2"/>
      <w:sz w:val="21"/>
      <w:szCs w:val="24"/>
    </w:rPr>
  </w:style>
  <w:style w:type="character" w:customStyle="1" w:styleId="71">
    <w:name w:val="font11"/>
    <w:autoRedefine/>
    <w:qFormat/>
    <w:uiPriority w:val="0"/>
    <w:rPr>
      <w:rFonts w:hint="default" w:ascii="Times New Roman" w:hAnsi="Times New Roman" w:cs="Times New Roman"/>
      <w:color w:val="000000"/>
      <w:sz w:val="22"/>
      <w:szCs w:val="22"/>
      <w:u w:val="none"/>
    </w:rPr>
  </w:style>
  <w:style w:type="character" w:customStyle="1" w:styleId="72">
    <w:name w:val="font01"/>
    <w:autoRedefine/>
    <w:qFormat/>
    <w:uiPriority w:val="0"/>
    <w:rPr>
      <w:rFonts w:hint="eastAsia" w:ascii="宋体" w:hAnsi="宋体" w:eastAsia="宋体" w:cs="宋体"/>
      <w:color w:val="000000"/>
      <w:sz w:val="22"/>
      <w:szCs w:val="22"/>
      <w:u w:val="none"/>
    </w:rPr>
  </w:style>
  <w:style w:type="character" w:customStyle="1" w:styleId="73">
    <w:name w:val="页眉 字符"/>
    <w:link w:val="29"/>
    <w:autoRedefine/>
    <w:qFormat/>
    <w:uiPriority w:val="0"/>
    <w:rPr>
      <w:rFonts w:ascii="Times New Roman" w:hAnsi="Times New Roman" w:eastAsia="宋体" w:cs="Times New Roman"/>
      <w:sz w:val="18"/>
      <w:szCs w:val="18"/>
    </w:rPr>
  </w:style>
  <w:style w:type="character" w:customStyle="1" w:styleId="74">
    <w:name w:val="标题 9 字符"/>
    <w:link w:val="9"/>
    <w:autoRedefine/>
    <w:qFormat/>
    <w:uiPriority w:val="0"/>
    <w:rPr>
      <w:rFonts w:ascii="Arial" w:hAnsi="Arial" w:eastAsia="黑体" w:cs="Times New Roman"/>
      <w:kern w:val="0"/>
      <w:szCs w:val="21"/>
    </w:rPr>
  </w:style>
  <w:style w:type="character" w:customStyle="1" w:styleId="75">
    <w:name w:val="标题 2 Char1"/>
    <w:autoRedefine/>
    <w:qFormat/>
    <w:uiPriority w:val="0"/>
    <w:rPr>
      <w:rFonts w:ascii="Arial" w:hAnsi="Arial" w:eastAsia="黑体" w:cs="Times New Roman"/>
      <w:b/>
      <w:bCs/>
      <w:sz w:val="32"/>
      <w:szCs w:val="32"/>
      <w:lang w:val="en-US" w:eastAsia="en-US" w:bidi="ar-SA"/>
    </w:rPr>
  </w:style>
  <w:style w:type="character" w:customStyle="1" w:styleId="76">
    <w:name w:val="正文文本缩进 字符"/>
    <w:link w:val="18"/>
    <w:autoRedefine/>
    <w:qFormat/>
    <w:uiPriority w:val="0"/>
    <w:rPr>
      <w:szCs w:val="24"/>
    </w:rPr>
  </w:style>
  <w:style w:type="character" w:customStyle="1" w:styleId="77">
    <w:name w:val="文档结构图 字符"/>
    <w:link w:val="13"/>
    <w:autoRedefine/>
    <w:qFormat/>
    <w:uiPriority w:val="0"/>
    <w:rPr>
      <w:rFonts w:ascii="Times New Roman" w:hAnsi="Times New Roman" w:eastAsia="宋体" w:cs="Times New Roman"/>
      <w:szCs w:val="24"/>
      <w:shd w:val="clear" w:color="auto" w:fill="000080"/>
    </w:rPr>
  </w:style>
  <w:style w:type="character" w:customStyle="1" w:styleId="78">
    <w:name w:val="font161"/>
    <w:autoRedefine/>
    <w:qFormat/>
    <w:uiPriority w:val="0"/>
    <w:rPr>
      <w:b/>
      <w:bCs/>
      <w:sz w:val="32"/>
      <w:szCs w:val="32"/>
    </w:rPr>
  </w:style>
  <w:style w:type="character" w:customStyle="1" w:styleId="79">
    <w:name w:val="标题 2 字符"/>
    <w:link w:val="4"/>
    <w:autoRedefine/>
    <w:qFormat/>
    <w:uiPriority w:val="0"/>
    <w:rPr>
      <w:rFonts w:ascii="Arial" w:hAnsi="Arial" w:eastAsia="黑体" w:cs="Times New Roman"/>
      <w:b/>
      <w:bCs/>
      <w:sz w:val="32"/>
      <w:szCs w:val="32"/>
    </w:rPr>
  </w:style>
  <w:style w:type="character" w:customStyle="1" w:styleId="80">
    <w:name w:val="标题 字符"/>
    <w:link w:val="41"/>
    <w:autoRedefine/>
    <w:qFormat/>
    <w:uiPriority w:val="0"/>
    <w:rPr>
      <w:rFonts w:ascii="Arial" w:hAnsi="Arial"/>
      <w:b/>
      <w:sz w:val="32"/>
    </w:rPr>
  </w:style>
  <w:style w:type="character" w:customStyle="1" w:styleId="81">
    <w:name w:val="批注框文本 字符"/>
    <w:link w:val="27"/>
    <w:autoRedefine/>
    <w:qFormat/>
    <w:uiPriority w:val="0"/>
    <w:rPr>
      <w:rFonts w:ascii="Times New Roman" w:hAnsi="Times New Roman" w:eastAsia="宋体" w:cs="Times New Roman"/>
      <w:sz w:val="18"/>
      <w:szCs w:val="18"/>
    </w:rPr>
  </w:style>
  <w:style w:type="character" w:customStyle="1" w:styleId="82">
    <w:name w:val="标题 8 字符"/>
    <w:link w:val="8"/>
    <w:autoRedefine/>
    <w:qFormat/>
    <w:uiPriority w:val="0"/>
    <w:rPr>
      <w:rFonts w:ascii="Arial" w:hAnsi="Arial" w:eastAsia="黑体" w:cs="Times New Roman"/>
      <w:kern w:val="0"/>
      <w:sz w:val="24"/>
      <w:szCs w:val="24"/>
    </w:rPr>
  </w:style>
  <w:style w:type="character" w:customStyle="1" w:styleId="83">
    <w:name w:val="日期 字符"/>
    <w:link w:val="25"/>
    <w:autoRedefine/>
    <w:qFormat/>
    <w:uiPriority w:val="0"/>
    <w:rPr>
      <w:rFonts w:ascii="Times New Roman" w:hAnsi="Times New Roman" w:eastAsia="宋体" w:cs="Times New Roman"/>
      <w:sz w:val="24"/>
      <w:szCs w:val="20"/>
    </w:rPr>
  </w:style>
  <w:style w:type="character" w:customStyle="1" w:styleId="84">
    <w:name w:val="标题 1 字符"/>
    <w:link w:val="3"/>
    <w:autoRedefine/>
    <w:qFormat/>
    <w:uiPriority w:val="0"/>
    <w:rPr>
      <w:rFonts w:ascii="Times New Roman" w:hAnsi="Times New Roman" w:eastAsia="宋体" w:cs="Times New Roman"/>
      <w:b/>
      <w:bCs/>
      <w:kern w:val="44"/>
      <w:sz w:val="44"/>
      <w:szCs w:val="44"/>
    </w:rPr>
  </w:style>
  <w:style w:type="character" w:customStyle="1" w:styleId="85">
    <w:name w:val="招标节 Char"/>
    <w:link w:val="86"/>
    <w:autoRedefine/>
    <w:qFormat/>
    <w:locked/>
    <w:uiPriority w:val="0"/>
    <w:rPr>
      <w:b/>
      <w:sz w:val="24"/>
      <w:szCs w:val="24"/>
    </w:rPr>
  </w:style>
  <w:style w:type="paragraph" w:customStyle="1" w:styleId="86">
    <w:name w:val="招标节"/>
    <w:basedOn w:val="1"/>
    <w:next w:val="1"/>
    <w:link w:val="85"/>
    <w:autoRedefine/>
    <w:qFormat/>
    <w:uiPriority w:val="0"/>
    <w:pPr>
      <w:spacing w:beforeLines="50" w:afterLines="50"/>
      <w:outlineLvl w:val="1"/>
    </w:pPr>
    <w:rPr>
      <w:b/>
      <w:kern w:val="0"/>
      <w:sz w:val="24"/>
    </w:rPr>
  </w:style>
  <w:style w:type="character" w:customStyle="1" w:styleId="87">
    <w:name w:val="正文文本缩进 3 字符"/>
    <w:link w:val="34"/>
    <w:autoRedefine/>
    <w:qFormat/>
    <w:uiPriority w:val="0"/>
    <w:rPr>
      <w:rFonts w:ascii="Times New Roman" w:hAnsi="Times New Roman" w:eastAsia="宋体" w:cs="Times New Roman"/>
      <w:sz w:val="16"/>
      <w:szCs w:val="16"/>
    </w:rPr>
  </w:style>
  <w:style w:type="character" w:customStyle="1" w:styleId="88">
    <w:name w:val="tpc_content1"/>
    <w:autoRedefine/>
    <w:qFormat/>
    <w:uiPriority w:val="0"/>
    <w:rPr>
      <w:sz w:val="20"/>
      <w:szCs w:val="20"/>
    </w:rPr>
  </w:style>
  <w:style w:type="character" w:customStyle="1" w:styleId="89">
    <w:name w:val="Char Char"/>
    <w:autoRedefine/>
    <w:qFormat/>
    <w:uiPriority w:val="0"/>
    <w:rPr>
      <w:rFonts w:ascii="Arial" w:hAnsi="Arial" w:eastAsia="黑体"/>
      <w:b/>
      <w:bCs/>
      <w:kern w:val="2"/>
      <w:sz w:val="32"/>
      <w:szCs w:val="32"/>
      <w:lang w:val="en-US" w:eastAsia="zh-CN" w:bidi="ar-SA"/>
    </w:rPr>
  </w:style>
  <w:style w:type="character" w:customStyle="1" w:styleId="90">
    <w:name w:val="正文文本 Char1"/>
    <w:autoRedefine/>
    <w:semiHidden/>
    <w:qFormat/>
    <w:uiPriority w:val="99"/>
    <w:rPr>
      <w:rFonts w:ascii="Times New Roman" w:hAnsi="Times New Roman" w:eastAsia="宋体" w:cs="Times New Roman"/>
      <w:szCs w:val="24"/>
    </w:rPr>
  </w:style>
  <w:style w:type="character" w:customStyle="1" w:styleId="91">
    <w:name w:val="Char Char2"/>
    <w:autoRedefine/>
    <w:qFormat/>
    <w:uiPriority w:val="0"/>
    <w:rPr>
      <w:rFonts w:eastAsia="宋体"/>
      <w:kern w:val="2"/>
      <w:sz w:val="21"/>
      <w:szCs w:val="24"/>
      <w:lang w:val="en-US" w:eastAsia="zh-CN" w:bidi="ar-SA"/>
    </w:rPr>
  </w:style>
  <w:style w:type="character" w:customStyle="1" w:styleId="92">
    <w:name w:val="apple-converted-space"/>
    <w:autoRedefine/>
    <w:qFormat/>
    <w:uiPriority w:val="0"/>
  </w:style>
  <w:style w:type="character" w:customStyle="1" w:styleId="93">
    <w:name w:val="标题 4 字符"/>
    <w:link w:val="5"/>
    <w:autoRedefine/>
    <w:qFormat/>
    <w:uiPriority w:val="0"/>
    <w:rPr>
      <w:rFonts w:ascii="Arial" w:hAnsi="Arial" w:eastAsia="黑体" w:cs="Times New Roman"/>
      <w:b/>
      <w:bCs/>
      <w:sz w:val="28"/>
      <w:szCs w:val="28"/>
    </w:rPr>
  </w:style>
  <w:style w:type="character" w:customStyle="1" w:styleId="94">
    <w:name w:val="正文文本缩进 Char1"/>
    <w:autoRedefine/>
    <w:semiHidden/>
    <w:qFormat/>
    <w:uiPriority w:val="99"/>
    <w:rPr>
      <w:rFonts w:ascii="Times New Roman" w:hAnsi="Times New Roman" w:eastAsia="宋体" w:cs="Times New Roman"/>
      <w:szCs w:val="24"/>
    </w:rPr>
  </w:style>
  <w:style w:type="character" w:customStyle="1" w:styleId="95">
    <w:name w:val="页脚 字符"/>
    <w:link w:val="28"/>
    <w:autoRedefine/>
    <w:qFormat/>
    <w:uiPriority w:val="99"/>
    <w:rPr>
      <w:sz w:val="18"/>
      <w:szCs w:val="18"/>
    </w:rPr>
  </w:style>
  <w:style w:type="character" w:customStyle="1" w:styleId="96">
    <w:name w:val="Char Char7"/>
    <w:autoRedefine/>
    <w:qFormat/>
    <w:uiPriority w:val="0"/>
    <w:rPr>
      <w:rFonts w:ascii="Arial" w:hAnsi="Arial" w:eastAsia="黑体"/>
      <w:b/>
      <w:bCs/>
      <w:kern w:val="2"/>
      <w:sz w:val="32"/>
      <w:szCs w:val="32"/>
      <w:lang w:val="en-US" w:eastAsia="zh-CN" w:bidi="ar-SA"/>
    </w:rPr>
  </w:style>
  <w:style w:type="character" w:customStyle="1" w:styleId="97">
    <w:name w:val="HTML 预设格式 字符"/>
    <w:link w:val="38"/>
    <w:autoRedefine/>
    <w:qFormat/>
    <w:uiPriority w:val="0"/>
    <w:rPr>
      <w:rFonts w:ascii="微软雅黑" w:hAnsi="微软雅黑" w:eastAsia="微软雅黑" w:cs="Times New Roman"/>
      <w:kern w:val="0"/>
      <w:sz w:val="24"/>
      <w:szCs w:val="24"/>
    </w:rPr>
  </w:style>
  <w:style w:type="character" w:customStyle="1" w:styleId="98">
    <w:name w:val="批注文字 Char"/>
    <w:autoRedefine/>
    <w:qFormat/>
    <w:uiPriority w:val="0"/>
    <w:rPr>
      <w:rFonts w:eastAsia="宋体"/>
      <w:kern w:val="2"/>
      <w:sz w:val="21"/>
      <w:szCs w:val="24"/>
      <w:lang w:val="en-US" w:eastAsia="zh-CN" w:bidi="ar-SA"/>
    </w:rPr>
  </w:style>
  <w:style w:type="character" w:customStyle="1" w:styleId="99">
    <w:name w:val="纯文本 字符"/>
    <w:link w:val="23"/>
    <w:autoRedefine/>
    <w:qFormat/>
    <w:uiPriority w:val="99"/>
    <w:rPr>
      <w:rFonts w:ascii="Courier New" w:hAnsi="Courier New"/>
    </w:rPr>
  </w:style>
  <w:style w:type="character" w:customStyle="1" w:styleId="100">
    <w:name w:val="标题 7 字符"/>
    <w:link w:val="7"/>
    <w:autoRedefine/>
    <w:qFormat/>
    <w:uiPriority w:val="0"/>
    <w:rPr>
      <w:rFonts w:ascii="Times New Roman" w:hAnsi="Times New Roman" w:eastAsia="宋体" w:cs="Times New Roman"/>
      <w:b/>
      <w:bCs/>
      <w:kern w:val="0"/>
      <w:sz w:val="24"/>
      <w:szCs w:val="24"/>
    </w:rPr>
  </w:style>
  <w:style w:type="paragraph" w:customStyle="1" w:styleId="101">
    <w:name w:val="样式4"/>
    <w:basedOn w:val="2"/>
    <w:autoRedefine/>
    <w:qFormat/>
    <w:uiPriority w:val="0"/>
    <w:rPr>
      <w:rFonts w:eastAsia="Arial"/>
    </w:rPr>
  </w:style>
  <w:style w:type="paragraph" w:customStyle="1" w:styleId="102">
    <w:name w:val="Normal_95"/>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3">
    <w:name w:val="Normal_67"/>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4">
    <w:name w:val="font10"/>
    <w:basedOn w:val="1"/>
    <w:autoRedefine/>
    <w:qFormat/>
    <w:uiPriority w:val="0"/>
    <w:pPr>
      <w:widowControl/>
      <w:spacing w:before="100" w:beforeAutospacing="1" w:after="100" w:afterAutospacing="1"/>
      <w:jc w:val="left"/>
    </w:pPr>
    <w:rPr>
      <w:kern w:val="0"/>
      <w:sz w:val="28"/>
      <w:szCs w:val="28"/>
    </w:rPr>
  </w:style>
  <w:style w:type="paragraph" w:customStyle="1" w:styleId="105">
    <w:name w:val="Normal_53"/>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6">
    <w:name w:val="Normal_60"/>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7">
    <w:name w:val="样式1"/>
    <w:basedOn w:val="2"/>
    <w:autoRedefine/>
    <w:qFormat/>
    <w:uiPriority w:val="0"/>
    <w:rPr>
      <w:rFonts w:eastAsia="Arial"/>
    </w:rPr>
  </w:style>
  <w:style w:type="paragraph" w:customStyle="1" w:styleId="108">
    <w:name w:val="Normal_250"/>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9">
    <w:name w:val="Normal_57"/>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0">
    <w:name w:val="Char"/>
    <w:basedOn w:val="1"/>
    <w:autoRedefine/>
    <w:qFormat/>
    <w:uiPriority w:val="0"/>
    <w:pPr>
      <w:tabs>
        <w:tab w:val="left" w:pos="360"/>
      </w:tabs>
    </w:pPr>
    <w:rPr>
      <w:sz w:val="24"/>
    </w:rPr>
  </w:style>
  <w:style w:type="paragraph" w:customStyle="1" w:styleId="111">
    <w:name w:val="Normal_93"/>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2">
    <w:name w:val="表格"/>
    <w:basedOn w:val="1"/>
    <w:autoRedefine/>
    <w:qFormat/>
    <w:uiPriority w:val="0"/>
    <w:pPr>
      <w:jc w:val="center"/>
      <w:textAlignment w:val="center"/>
    </w:pPr>
    <w:rPr>
      <w:rFonts w:ascii="华文细黑" w:hAnsi="华文细黑"/>
      <w:kern w:val="0"/>
      <w:szCs w:val="20"/>
    </w:rPr>
  </w:style>
  <w:style w:type="paragraph" w:customStyle="1" w:styleId="113">
    <w:name w:val="Normal_55"/>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4">
    <w:name w:val="Normal_61"/>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5">
    <w:name w:val="Normal_68"/>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样式 居中 首行缩进:  2 字符"/>
    <w:basedOn w:val="1"/>
    <w:autoRedefine/>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7">
    <w:name w:val="Normal_63"/>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8">
    <w:name w:val="Normal_51"/>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9">
    <w:name w:val="Normal_59"/>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0">
    <w:name w:val="Normal_66"/>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1">
    <w:name w:val="Normal_64"/>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2">
    <w:name w:val="列表段落1"/>
    <w:basedOn w:val="1"/>
    <w:autoRedefine/>
    <w:qFormat/>
    <w:uiPriority w:val="34"/>
    <w:pPr>
      <w:ind w:firstLine="420" w:firstLineChars="200"/>
    </w:pPr>
    <w:rPr>
      <w:rFonts w:ascii="Calibri" w:hAnsi="Calibri"/>
      <w:szCs w:val="22"/>
    </w:rPr>
  </w:style>
  <w:style w:type="paragraph" w:customStyle="1" w:styleId="123">
    <w:name w:val="样式 标题 2 + Times New Roman 四号 非加粗 段前: 5 磅 段后: 0 磅 行距: 固定值 20..."/>
    <w:basedOn w:val="4"/>
    <w:autoRedefine/>
    <w:qFormat/>
    <w:uiPriority w:val="0"/>
    <w:pPr>
      <w:spacing w:before="100" w:after="0" w:line="400" w:lineRule="exact"/>
    </w:pPr>
    <w:rPr>
      <w:rFonts w:ascii="Times New Roman" w:hAnsi="Times New Roman" w:cs="宋体"/>
      <w:b w:val="0"/>
      <w:bCs w:val="0"/>
      <w:sz w:val="28"/>
      <w:szCs w:val="20"/>
    </w:rPr>
  </w:style>
  <w:style w:type="paragraph" w:customStyle="1" w:styleId="124">
    <w:name w:val="Normal_50"/>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5">
    <w:name w:val="Normal_65"/>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6">
    <w:name w:val="表中"/>
    <w:basedOn w:val="1"/>
    <w:autoRedefine/>
    <w:qFormat/>
    <w:uiPriority w:val="0"/>
    <w:pPr>
      <w:autoSpaceDE w:val="0"/>
      <w:autoSpaceDN w:val="0"/>
      <w:adjustRightInd w:val="0"/>
      <w:spacing w:line="360" w:lineRule="atLeast"/>
      <w:jc w:val="center"/>
    </w:pPr>
    <w:rPr>
      <w:rFonts w:ascii="宋体"/>
      <w:kern w:val="0"/>
      <w:szCs w:val="20"/>
    </w:rPr>
  </w:style>
  <w:style w:type="paragraph" w:customStyle="1" w:styleId="127">
    <w:name w:val="样式 标题 1 + 黑体 三号 非加粗 居中 段前: 6 磅 段后: 6 磅 行距: 固定值 20 磅"/>
    <w:basedOn w:val="3"/>
    <w:autoRedefine/>
    <w:qFormat/>
    <w:uiPriority w:val="0"/>
    <w:pPr>
      <w:spacing w:before="120" w:after="120" w:line="400" w:lineRule="exact"/>
      <w:jc w:val="center"/>
    </w:pPr>
    <w:rPr>
      <w:rFonts w:ascii="黑体" w:hAnsi="黑体" w:eastAsia="黑体" w:cs="宋体"/>
      <w:b w:val="0"/>
      <w:bCs w:val="0"/>
      <w:sz w:val="32"/>
      <w:szCs w:val="20"/>
    </w:rPr>
  </w:style>
  <w:style w:type="paragraph" w:customStyle="1" w:styleId="128">
    <w:name w:val="1"/>
    <w:basedOn w:val="1"/>
    <w:next w:val="1"/>
    <w:autoRedefine/>
    <w:qFormat/>
    <w:uiPriority w:val="0"/>
  </w:style>
  <w:style w:type="paragraph" w:customStyle="1" w:styleId="129">
    <w:name w:val="Normal_58"/>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0">
    <w:name w:val="Normal_56"/>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1">
    <w:name w:val="规范文本"/>
    <w:basedOn w:val="23"/>
    <w:autoRedefine/>
    <w:qFormat/>
    <w:uiPriority w:val="0"/>
    <w:pPr>
      <w:adjustRightInd w:val="0"/>
      <w:snapToGrid w:val="0"/>
      <w:spacing w:line="360" w:lineRule="exact"/>
      <w:ind w:firstLine="420"/>
    </w:pPr>
    <w:rPr>
      <w:rFonts w:ascii="宋体"/>
      <w:snapToGrid w:val="0"/>
      <w:szCs w:val="21"/>
    </w:rPr>
  </w:style>
  <w:style w:type="paragraph" w:customStyle="1" w:styleId="132">
    <w:name w:val="样式 标题 2 + Times New Roman 四号 非加粗 行距: 单倍行距"/>
    <w:basedOn w:val="4"/>
    <w:autoRedefine/>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33">
    <w:name w:val="节"/>
    <w:basedOn w:val="23"/>
    <w:autoRedefine/>
    <w:qFormat/>
    <w:uiPriority w:val="0"/>
    <w:pPr>
      <w:adjustRightInd w:val="0"/>
      <w:snapToGrid w:val="0"/>
      <w:spacing w:before="600" w:after="600"/>
      <w:jc w:val="center"/>
      <w:outlineLvl w:val="2"/>
    </w:pPr>
    <w:rPr>
      <w:rFonts w:ascii="黑体" w:eastAsia="黑体"/>
      <w:snapToGrid w:val="0"/>
      <w:w w:val="90"/>
      <w:sz w:val="32"/>
    </w:rPr>
  </w:style>
  <w:style w:type="paragraph" w:customStyle="1" w:styleId="134">
    <w:name w:val="Normal_82"/>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5">
    <w:name w:val="样式3"/>
    <w:basedOn w:val="2"/>
    <w:autoRedefine/>
    <w:qFormat/>
    <w:uiPriority w:val="0"/>
    <w:rPr>
      <w:rFonts w:eastAsia="Arial"/>
    </w:rPr>
  </w:style>
  <w:style w:type="paragraph" w:customStyle="1" w:styleId="136">
    <w:name w:val="Normal_96"/>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7">
    <w:name w:val="Normal_52"/>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8">
    <w:name w:val="6'"/>
    <w:basedOn w:val="1"/>
    <w:autoRedefine/>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9">
    <w:name w:val="Normal_92"/>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0">
    <w:name w:val="正文文本 (15)"/>
    <w:basedOn w:val="1"/>
    <w:autoRedefine/>
    <w:qFormat/>
    <w:uiPriority w:val="0"/>
    <w:pPr>
      <w:shd w:val="clear" w:color="auto" w:fill="FFFFFF"/>
      <w:spacing w:line="0" w:lineRule="atLeast"/>
      <w:jc w:val="left"/>
    </w:pPr>
    <w:rPr>
      <w:rFonts w:ascii="MingLiU" w:hAnsi="MingLiU" w:eastAsia="MingLiU"/>
      <w:spacing w:val="10"/>
      <w:kern w:val="0"/>
      <w:sz w:val="19"/>
      <w:szCs w:val="19"/>
    </w:rPr>
  </w:style>
  <w:style w:type="paragraph" w:customStyle="1" w:styleId="141">
    <w:name w:val="Normal_94"/>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2">
    <w:name w:val="Normal_48"/>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3">
    <w:name w:val="正文文本 (2)"/>
    <w:basedOn w:val="1"/>
    <w:autoRedefine/>
    <w:qFormat/>
    <w:uiPriority w:val="0"/>
    <w:pPr>
      <w:shd w:val="clear" w:color="auto" w:fill="FFFFFF"/>
      <w:spacing w:before="300" w:line="439" w:lineRule="exact"/>
      <w:jc w:val="distribute"/>
    </w:pPr>
    <w:rPr>
      <w:rFonts w:ascii="MingLiU" w:hAnsi="MingLiU" w:eastAsia="MingLiU"/>
      <w:kern w:val="0"/>
      <w:sz w:val="22"/>
      <w:szCs w:val="22"/>
    </w:rPr>
  </w:style>
  <w:style w:type="paragraph" w:customStyle="1" w:styleId="144">
    <w:name w:val="设计说明2"/>
    <w:basedOn w:val="1"/>
    <w:autoRedefine/>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5">
    <w:name w:val="Normal_62"/>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6">
    <w:name w:val="样式 宋体 左 首行缩进:  2 字符"/>
    <w:basedOn w:val="1"/>
    <w:autoRedefine/>
    <w:qFormat/>
    <w:uiPriority w:val="0"/>
    <w:pPr>
      <w:widowControl/>
      <w:spacing w:line="360" w:lineRule="auto"/>
      <w:ind w:firstLine="200" w:firstLineChars="200"/>
    </w:pPr>
    <w:rPr>
      <w:rFonts w:cs="宋体"/>
      <w:kern w:val="0"/>
      <w:szCs w:val="20"/>
      <w:lang w:eastAsia="en-US" w:bidi="en-US"/>
    </w:rPr>
  </w:style>
  <w:style w:type="paragraph" w:customStyle="1" w:styleId="147">
    <w:name w:val="Normal_54"/>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8">
    <w:name w:val="Blockquote"/>
    <w:basedOn w:val="1"/>
    <w:autoRedefine/>
    <w:qFormat/>
    <w:uiPriority w:val="0"/>
    <w:pPr>
      <w:autoSpaceDE w:val="0"/>
      <w:autoSpaceDN w:val="0"/>
      <w:adjustRightInd w:val="0"/>
      <w:spacing w:before="100" w:after="100"/>
      <w:ind w:left="360" w:right="360"/>
      <w:jc w:val="left"/>
    </w:pPr>
    <w:rPr>
      <w:kern w:val="0"/>
      <w:sz w:val="24"/>
      <w:szCs w:val="20"/>
    </w:rPr>
  </w:style>
  <w:style w:type="paragraph" w:customStyle="1" w:styleId="149">
    <w:name w:val="第二"/>
    <w:basedOn w:val="1"/>
    <w:autoRedefine/>
    <w:qFormat/>
    <w:uiPriority w:val="0"/>
    <w:pPr>
      <w:adjustRightInd w:val="0"/>
      <w:snapToGrid w:val="0"/>
      <w:spacing w:line="360" w:lineRule="auto"/>
      <w:ind w:right="-108" w:rightChars="-45" w:firstLine="482"/>
    </w:pPr>
    <w:rPr>
      <w:b/>
    </w:rPr>
  </w:style>
  <w:style w:type="paragraph" w:customStyle="1" w:styleId="150">
    <w:name w:val="样式 标题 3 + (中文) 黑体 小四 非加粗 段前: 7.8 磅 段后: 0 磅 行距: 固定值 20 磅"/>
    <w:basedOn w:val="2"/>
    <w:autoRedefine/>
    <w:qFormat/>
    <w:uiPriority w:val="0"/>
    <w:pPr>
      <w:spacing w:before="0" w:after="0" w:line="400" w:lineRule="exact"/>
    </w:pPr>
    <w:rPr>
      <w:rFonts w:eastAsia="黑体" w:cs="宋体"/>
      <w:b w:val="0"/>
      <w:bCs w:val="0"/>
      <w:sz w:val="24"/>
      <w:szCs w:val="20"/>
    </w:rPr>
  </w:style>
  <w:style w:type="paragraph" w:customStyle="1" w:styleId="151">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2">
    <w:name w:val="xl27"/>
    <w:basedOn w:val="1"/>
    <w:autoRedefine/>
    <w:qFormat/>
    <w:uiPriority w:val="0"/>
    <w:pPr>
      <w:widowControl/>
      <w:spacing w:before="100" w:beforeAutospacing="1" w:after="100" w:afterAutospacing="1"/>
      <w:jc w:val="center"/>
      <w:textAlignment w:val="center"/>
    </w:pPr>
    <w:rPr>
      <w:rFonts w:ascii="Arial Unicode MS" w:hAnsi="Arial Unicode MS" w:eastAsia="Arial Unicode MS"/>
      <w:kern w:val="0"/>
      <w:sz w:val="24"/>
    </w:rPr>
  </w:style>
  <w:style w:type="paragraph" w:customStyle="1" w:styleId="153">
    <w:name w:val="内容"/>
    <w:basedOn w:val="1"/>
    <w:autoRedefine/>
    <w:qFormat/>
    <w:uiPriority w:val="0"/>
    <w:pPr>
      <w:spacing w:line="480" w:lineRule="exact"/>
      <w:ind w:firstLine="200" w:firstLineChars="200"/>
    </w:pPr>
  </w:style>
  <w:style w:type="paragraph" w:customStyle="1" w:styleId="154">
    <w:name w:val="正文 New New New New New New New New New New New New New New New New New New New New New New New New New New New New New New New New New New New New"/>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5">
    <w:name w:val="Normal_49"/>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6">
    <w:name w:val="列出段落1"/>
    <w:basedOn w:val="1"/>
    <w:autoRedefine/>
    <w:qFormat/>
    <w:uiPriority w:val="99"/>
    <w:pPr>
      <w:ind w:firstLine="420" w:firstLineChars="200"/>
    </w:pPr>
  </w:style>
  <w:style w:type="paragraph" w:customStyle="1" w:styleId="157">
    <w:name w:val="Normal_47"/>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8">
    <w:name w:val="表格文字"/>
    <w:basedOn w:val="1"/>
    <w:autoRedefine/>
    <w:qFormat/>
    <w:uiPriority w:val="0"/>
    <w:pPr>
      <w:adjustRightInd w:val="0"/>
      <w:spacing w:line="420" w:lineRule="atLeast"/>
      <w:jc w:val="left"/>
      <w:textAlignment w:val="baseline"/>
    </w:pPr>
    <w:rPr>
      <w:kern w:val="0"/>
      <w:szCs w:val="20"/>
    </w:rPr>
  </w:style>
  <w:style w:type="paragraph" w:customStyle="1" w:styleId="159">
    <w:name w:val="须知内容"/>
    <w:autoRedefine/>
    <w:qFormat/>
    <w:uiPriority w:val="0"/>
    <w:pPr>
      <w:tabs>
        <w:tab w:val="left" w:pos="5140"/>
        <w:tab w:val="left" w:pos="8520"/>
      </w:tabs>
      <w:adjustRightInd w:val="0"/>
      <w:snapToGrid w:val="0"/>
      <w:spacing w:line="320" w:lineRule="atLeast"/>
    </w:pPr>
    <w:rPr>
      <w:rFonts w:ascii="仿宋_GB2312" w:hAnsi="宋体" w:eastAsia="仿宋_GB2312" w:cs="Times New Roman"/>
      <w:kern w:val="2"/>
      <w:sz w:val="21"/>
      <w:szCs w:val="21"/>
      <w:lang w:val="en-US" w:eastAsia="zh-CN" w:bidi="ar-SA"/>
    </w:rPr>
  </w:style>
  <w:style w:type="paragraph" w:customStyle="1" w:styleId="160">
    <w:name w:val="样式2"/>
    <w:basedOn w:val="2"/>
    <w:autoRedefine/>
    <w:qFormat/>
    <w:uiPriority w:val="0"/>
  </w:style>
  <w:style w:type="character" w:customStyle="1" w:styleId="161">
    <w:name w:val="after"/>
    <w:basedOn w:val="47"/>
    <w:autoRedefine/>
    <w:qFormat/>
    <w:uiPriority w:val="0"/>
    <w:rPr>
      <w:bdr w:val="dashed" w:color="auto" w:sz="48" w:space="0"/>
    </w:rPr>
  </w:style>
  <w:style w:type="character" w:customStyle="1" w:styleId="162">
    <w:name w:val="before"/>
    <w:basedOn w:val="47"/>
    <w:autoRedefine/>
    <w:qFormat/>
    <w:uiPriority w:val="0"/>
    <w:rPr>
      <w:bdr w:val="single" w:color="auto" w:sz="48" w:space="0"/>
    </w:rPr>
  </w:style>
  <w:style w:type="character" w:customStyle="1" w:styleId="163">
    <w:name w:val="hover48"/>
    <w:basedOn w:val="47"/>
    <w:autoRedefine/>
    <w:qFormat/>
    <w:uiPriority w:val="0"/>
    <w:rPr>
      <w:shd w:val="clear" w:color="auto" w:fill="346AC3"/>
    </w:rPr>
  </w:style>
  <w:style w:type="character" w:customStyle="1" w:styleId="164">
    <w:name w:val="hover49"/>
    <w:basedOn w:val="47"/>
    <w:autoRedefine/>
    <w:qFormat/>
    <w:uiPriority w:val="0"/>
  </w:style>
  <w:style w:type="character" w:customStyle="1" w:styleId="165">
    <w:name w:val="hover50"/>
    <w:basedOn w:val="47"/>
    <w:autoRedefine/>
    <w:qFormat/>
    <w:uiPriority w:val="0"/>
    <w:rPr>
      <w:color w:val="4285F4"/>
      <w:u w:val="none"/>
    </w:rPr>
  </w:style>
  <w:style w:type="character" w:customStyle="1" w:styleId="166">
    <w:name w:val="hover51"/>
    <w:basedOn w:val="47"/>
    <w:autoRedefine/>
    <w:qFormat/>
    <w:uiPriority w:val="0"/>
    <w:rPr>
      <w:color w:val="4285F4"/>
    </w:rPr>
  </w:style>
  <w:style w:type="character" w:customStyle="1" w:styleId="167">
    <w:name w:val="hover52"/>
    <w:basedOn w:val="47"/>
    <w:autoRedefine/>
    <w:qFormat/>
    <w:uiPriority w:val="0"/>
    <w:rPr>
      <w:color w:val="1A85D7"/>
    </w:rPr>
  </w:style>
  <w:style w:type="character" w:customStyle="1" w:styleId="168">
    <w:name w:val="credit"/>
    <w:basedOn w:val="47"/>
    <w:autoRedefine/>
    <w:qFormat/>
    <w:uiPriority w:val="0"/>
    <w:rPr>
      <w:sz w:val="18"/>
      <w:szCs w:val="18"/>
    </w:rPr>
  </w:style>
  <w:style w:type="character" w:customStyle="1" w:styleId="169">
    <w:name w:val="first-child"/>
    <w:basedOn w:val="47"/>
    <w:autoRedefine/>
    <w:qFormat/>
    <w:uiPriority w:val="0"/>
  </w:style>
  <w:style w:type="paragraph" w:customStyle="1" w:styleId="170">
    <w:name w:val="Table Paragraph"/>
    <w:basedOn w:val="1"/>
    <w:autoRedefine/>
    <w:qFormat/>
    <w:uiPriority w:val="1"/>
  </w:style>
  <w:style w:type="table" w:customStyle="1" w:styleId="171">
    <w:name w:val="Table Normal"/>
    <w:autoRedefine/>
    <w:semiHidden/>
    <w:unhideWhenUsed/>
    <w:qFormat/>
    <w:uiPriority w:val="2"/>
    <w:tblPr>
      <w:tblCellMar>
        <w:top w:w="0" w:type="dxa"/>
        <w:left w:w="0" w:type="dxa"/>
        <w:bottom w:w="0" w:type="dxa"/>
        <w:right w:w="0" w:type="dxa"/>
      </w:tblCellMar>
    </w:tblPr>
  </w:style>
  <w:style w:type="paragraph" w:styleId="172">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32</Pages>
  <Words>10052</Words>
  <Characters>10755</Characters>
  <Lines>105</Lines>
  <Paragraphs>29</Paragraphs>
  <TotalTime>3</TotalTime>
  <ScaleCrop>false</ScaleCrop>
  <LinksUpToDate>false</LinksUpToDate>
  <CharactersWithSpaces>11731</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2020-05-04T08:16:00Z</dcterms:created>
  <dc:creator>陈桂兰</dc:creator>
  <cp:lastModifiedBy>Kevin</cp:lastModifiedBy>
  <cp:lastPrinted>2022-06-11T18:10:00Z</cp:lastPrinted>
  <dcterms:modified xsi:type="dcterms:W3CDTF">2024-06-21T02:55:01Z</dcterms:modified>
  <dc:title>项目名称：2019年重庆市取消高速公路省界收费站项目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5FC415C8BC544453A7F391456F7EC709_13</vt:lpwstr>
  </property>
  <property fmtid="{D5CDD505-2E9C-101B-9397-08002B2CF9AE}" pid="4" name="commondata">
    <vt:lpwstr>eyJoZGlkIjoiNmI0YzI4NGJiMjg2ZWZlN2MzZDcyYzg5ZDEwYzBhZDAifQ==</vt:lpwstr>
  </property>
</Properties>
</file>