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color w:val="000000" w:themeColor="text1"/>
          <w:sz w:val="32"/>
          <w:szCs w:val="32"/>
          <w14:textFill>
            <w14:solidFill>
              <w14:schemeClr w14:val="tx1"/>
            </w14:solidFill>
          </w14:textFill>
        </w:rPr>
      </w:pPr>
    </w:p>
    <w:p>
      <w:pPr>
        <w:spacing w:line="400" w:lineRule="exact"/>
        <w:jc w:val="center"/>
        <w:rPr>
          <w:rFonts w:hint="eastAsia" w:ascii="宋体" w:hAnsi="宋体" w:eastAsia="宋体" w:cs="宋体"/>
          <w:b/>
          <w:color w:val="000000" w:themeColor="text1"/>
          <w:sz w:val="32"/>
          <w:szCs w:val="32"/>
          <w:highlight w:val="yellow"/>
          <w:lang w:eastAsia="zh-CN"/>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项目名称：</w:t>
      </w:r>
      <w:r>
        <w:rPr>
          <w:rFonts w:hint="eastAsia" w:ascii="宋体" w:hAnsi="宋体" w:cs="宋体"/>
          <w:b/>
          <w:color w:val="000000" w:themeColor="text1"/>
          <w:sz w:val="32"/>
          <w:szCs w:val="32"/>
          <w:lang w:eastAsia="zh-CN"/>
          <w14:textFill>
            <w14:solidFill>
              <w14:schemeClr w14:val="tx1"/>
            </w14:solidFill>
          </w14:textFill>
        </w:rPr>
        <w:t>巫溪至开州高速公路项目机电工程语音服务平台组件采购</w:t>
      </w:r>
    </w:p>
    <w:p>
      <w:pPr>
        <w:pStyle w:val="19"/>
        <w:ind w:left="0" w:leftChars="0" w:firstLine="0" w:firstLineChars="0"/>
        <w:rPr>
          <w:rFonts w:hint="default" w:ascii="宋体" w:hAnsi="宋体" w:cs="宋体"/>
          <w:b/>
          <w:color w:val="000000" w:themeColor="text1"/>
          <w:sz w:val="32"/>
          <w:szCs w:val="32"/>
          <w:highlight w:val="yellow"/>
          <w:lang w:eastAsia="zh-CN"/>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竞</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争</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性</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比</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选</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文</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96"/>
          <w:szCs w:val="72"/>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件</w:t>
      </w: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采购人：重庆首讯科技股份有限公司</w:t>
      </w:r>
    </w:p>
    <w:p>
      <w:pPr>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u w:val="single"/>
          <w14:textFill>
            <w14:solidFill>
              <w14:schemeClr w14:val="tx1"/>
            </w14:solidFill>
          </w14:textFill>
        </w:rPr>
        <w:t>202</w:t>
      </w:r>
      <w:r>
        <w:rPr>
          <w:rFonts w:hint="default" w:ascii="宋体" w:hAnsi="宋体" w:cs="宋体"/>
          <w:b/>
          <w:color w:val="000000" w:themeColor="text1"/>
          <w:sz w:val="28"/>
          <w:szCs w:val="28"/>
          <w:u w:val="single"/>
          <w14:textFill>
            <w14:solidFill>
              <w14:schemeClr w14:val="tx1"/>
            </w14:solidFill>
          </w14:textFill>
        </w:rPr>
        <w:t>4</w:t>
      </w:r>
      <w:r>
        <w:rPr>
          <w:rFonts w:hint="eastAsia" w:ascii="宋体" w:hAnsi="宋体" w:cs="宋体"/>
          <w:b/>
          <w:color w:val="000000" w:themeColor="text1"/>
          <w:sz w:val="28"/>
          <w:szCs w:val="28"/>
          <w14:textFill>
            <w14:solidFill>
              <w14:schemeClr w14:val="tx1"/>
            </w14:solidFill>
          </w14:textFill>
        </w:rPr>
        <w:t>年</w:t>
      </w:r>
      <w:r>
        <w:rPr>
          <w:rFonts w:hint="eastAsia" w:ascii="宋体" w:hAnsi="宋体" w:cs="宋体"/>
          <w:b/>
          <w:color w:val="000000" w:themeColor="text1"/>
          <w:sz w:val="28"/>
          <w:szCs w:val="28"/>
          <w:u w:val="single"/>
          <w14:textFill>
            <w14:solidFill>
              <w14:schemeClr w14:val="tx1"/>
            </w14:solidFill>
          </w14:textFill>
        </w:rPr>
        <w:t xml:space="preserve"> </w:t>
      </w:r>
      <w:r>
        <w:rPr>
          <w:rFonts w:hint="eastAsia" w:ascii="宋体" w:hAnsi="宋体" w:cs="宋体"/>
          <w:b/>
          <w:color w:val="000000" w:themeColor="text1"/>
          <w:sz w:val="28"/>
          <w:szCs w:val="28"/>
          <w:u w:val="single"/>
          <w:lang w:val="en-US" w:eastAsia="zh-CN"/>
          <w14:textFill>
            <w14:solidFill>
              <w14:schemeClr w14:val="tx1"/>
            </w14:solidFill>
          </w14:textFill>
        </w:rPr>
        <w:t xml:space="preserve">6 </w:t>
      </w:r>
      <w:r>
        <w:rPr>
          <w:rFonts w:hint="eastAsia" w:ascii="宋体" w:hAnsi="宋体" w:cs="宋体"/>
          <w:b/>
          <w:color w:val="000000" w:themeColor="text1"/>
          <w:sz w:val="28"/>
          <w:szCs w:val="28"/>
          <w14:textFill>
            <w14:solidFill>
              <w14:schemeClr w14:val="tx1"/>
            </w14:solidFill>
          </w14:textFill>
        </w:rPr>
        <w:t>月</w:t>
      </w:r>
    </w:p>
    <w:p>
      <w:pPr>
        <w:pStyle w:val="14"/>
        <w:jc w:val="center"/>
        <w:rPr>
          <w:rFonts w:ascii="宋体" w:hAnsi="宋体" w:cs="宋体"/>
          <w:color w:val="000000" w:themeColor="text1"/>
          <w:szCs w:val="21"/>
          <w14:textFill>
            <w14:solidFill>
              <w14:schemeClr w14:val="tx1"/>
            </w14:solidFill>
          </w14:textFill>
        </w:rPr>
      </w:pPr>
      <w:r>
        <w:rPr>
          <w:color w:val="000000" w:themeColor="text1"/>
          <w14:textFill>
            <w14:solidFill>
              <w14:schemeClr w14:val="tx1"/>
            </w14:solidFill>
          </w14:textFill>
        </w:rPr>
        <w:br w:type="page"/>
      </w:r>
      <w:bookmarkStart w:id="0" w:name="_Toc247085669"/>
      <w:bookmarkStart w:id="1" w:name="_Toc296602400"/>
      <w:bookmarkStart w:id="2" w:name="_Toc507319889"/>
      <w:bookmarkStart w:id="3" w:name="_Toc507428442"/>
      <w:bookmarkStart w:id="4" w:name="_Toc246996898"/>
      <w:r>
        <w:rPr>
          <w:rFonts w:hint="eastAsia" w:ascii="宋体" w:hAnsi="宋体" w:cs="宋体"/>
          <w:b w:val="0"/>
          <w:color w:val="000000" w:themeColor="text1"/>
          <w:sz w:val="32"/>
          <w14:textFill>
            <w14:solidFill>
              <w14:schemeClr w14:val="tx1"/>
            </w14:solidFill>
          </w14:textFill>
        </w:rPr>
        <w:t>目   录</w:t>
      </w:r>
      <w:bookmarkEnd w:id="0"/>
      <w:bookmarkEnd w:id="1"/>
      <w:bookmarkEnd w:id="2"/>
      <w:bookmarkEnd w:id="3"/>
      <w:bookmarkEnd w:id="4"/>
    </w:p>
    <w:p>
      <w:pPr>
        <w:pStyle w:val="15"/>
        <w:tabs>
          <w:tab w:val="right" w:leader="dot" w:pos="9628"/>
        </w:tabs>
        <w:ind w:left="0"/>
        <w:rPr>
          <w:b/>
          <w:bCs/>
          <w:caps/>
          <w:smallCaps w:val="0"/>
          <w:color w:val="000000" w:themeColor="text1"/>
          <w:highlight w:val="green"/>
          <w14:textFill>
            <w14:solidFill>
              <w14:schemeClr w14:val="tx1"/>
            </w14:solidFill>
          </w14:textFill>
        </w:rPr>
      </w:pPr>
    </w:p>
    <w:p>
      <w:pPr>
        <w:pStyle w:val="14"/>
        <w:tabs>
          <w:tab w:val="right" w:leader="dot" w:pos="9638"/>
        </w:tabs>
        <w:rPr>
          <w:rFonts w:ascii="宋体" w:hAnsi="宋体" w:cs="宋体"/>
          <w:color w:val="000000" w:themeColor="text1"/>
          <w14:textFill>
            <w14:solidFill>
              <w14:schemeClr w14:val="tx1"/>
            </w14:solidFill>
          </w14:textFill>
        </w:rPr>
      </w:pPr>
      <w:r>
        <w:rPr>
          <w:rFonts w:hint="eastAsia" w:ascii="宋体" w:hAnsi="宋体" w:cs="宋体"/>
          <w:b w:val="0"/>
          <w:bCs w:val="0"/>
          <w:caps w:val="0"/>
          <w:color w:val="000000" w:themeColor="text1"/>
          <w14:textFill>
            <w14:solidFill>
              <w14:schemeClr w14:val="tx1"/>
            </w14:solidFill>
          </w14:textFill>
        </w:rPr>
        <w:fldChar w:fldCharType="begin"/>
      </w:r>
      <w:r>
        <w:rPr>
          <w:rFonts w:hint="eastAsia" w:ascii="宋体" w:hAnsi="宋体" w:cs="宋体"/>
          <w:b w:val="0"/>
          <w:bCs w:val="0"/>
          <w:caps w:val="0"/>
          <w:color w:val="000000" w:themeColor="text1"/>
          <w14:textFill>
            <w14:solidFill>
              <w14:schemeClr w14:val="tx1"/>
            </w14:solidFill>
          </w14:textFill>
        </w:rPr>
        <w:instrText xml:space="preserve"> TOC \o "1-2" \h \z \u </w:instrText>
      </w:r>
      <w:r>
        <w:rPr>
          <w:rFonts w:hint="eastAsia" w:ascii="宋体" w:hAnsi="宋体" w:cs="宋体"/>
          <w:b w:val="0"/>
          <w:bCs w:val="0"/>
          <w:caps w:val="0"/>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"_Toc10533"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第一章 比选公告</w:t>
      </w:r>
      <w:r>
        <w:rPr>
          <w:rFonts w:hint="eastAsia" w:ascii="宋体" w:hAnsi="宋体" w:cs="宋体"/>
          <w:color w:val="000000" w:themeColor="text1"/>
          <w14:textFill>
            <w14:solidFill>
              <w14:schemeClr w14:val="tx1"/>
            </w14:solidFill>
          </w14:textFill>
        </w:rPr>
        <w:fldChar w:fldCharType="end"/>
      </w:r>
    </w:p>
    <w:p>
      <w:pPr>
        <w:pStyle w:val="14"/>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"_Toc21719"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第二章 报价人须知</w:t>
      </w:r>
      <w:r>
        <w:rPr>
          <w:rFonts w:hint="eastAsia" w:ascii="宋体" w:hAnsi="宋体" w:cs="宋体"/>
          <w:color w:val="000000" w:themeColor="text1"/>
          <w14:textFill>
            <w14:solidFill>
              <w14:schemeClr w14:val="tx1"/>
            </w14:solidFill>
          </w14:textFill>
        </w:rPr>
        <w:fldChar w:fldCharType="end"/>
      </w:r>
    </w:p>
    <w:p>
      <w:pPr>
        <w:pStyle w:val="14"/>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"_Toc7682"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第三章 评标办法（</w:t>
      </w:r>
      <w:r>
        <w:rPr>
          <w:rFonts w:hint="eastAsia" w:ascii="宋体" w:hAnsi="宋体" w:cs="宋体"/>
          <w:color w:val="000000" w:themeColor="text1"/>
          <w:lang w:val="en-US" w:eastAsia="zh-CN"/>
          <w14:textFill>
            <w14:solidFill>
              <w14:schemeClr w14:val="tx1"/>
            </w14:solidFill>
          </w14:textFill>
        </w:rPr>
        <w:t>综合评估</w:t>
      </w:r>
      <w:r>
        <w:rPr>
          <w:rFonts w:hint="eastAsia" w:ascii="宋体" w:hAnsi="宋体" w:cs="宋体"/>
          <w:color w:val="000000" w:themeColor="text1"/>
          <w14:textFill>
            <w14:solidFill>
              <w14:schemeClr w14:val="tx1"/>
            </w14:solidFill>
          </w14:textFill>
        </w:rPr>
        <w:t>法）</w:t>
      </w:r>
      <w:r>
        <w:rPr>
          <w:rFonts w:hint="eastAsia" w:ascii="宋体" w:hAnsi="宋体" w:cs="宋体"/>
          <w:color w:val="000000" w:themeColor="text1"/>
          <w14:textFill>
            <w14:solidFill>
              <w14:schemeClr w14:val="tx1"/>
            </w14:solidFill>
          </w14:textFill>
        </w:rPr>
        <w:fldChar w:fldCharType="end"/>
      </w:r>
    </w:p>
    <w:p>
      <w:pPr>
        <w:pStyle w:val="14"/>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"_Toc13787"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第四章 报价说明</w:t>
      </w:r>
      <w:r>
        <w:rPr>
          <w:rFonts w:hint="eastAsia" w:ascii="宋体" w:hAnsi="宋体" w:cs="宋体"/>
          <w:color w:val="000000" w:themeColor="text1"/>
          <w14:textFill>
            <w14:solidFill>
              <w14:schemeClr w14:val="tx1"/>
            </w14:solidFill>
          </w14:textFill>
        </w:rPr>
        <w:fldChar w:fldCharType="end"/>
      </w:r>
    </w:p>
    <w:p>
      <w:pPr>
        <w:pStyle w:val="14"/>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"_Toc24503"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第五章 工程量清单及计量规则</w:t>
      </w:r>
      <w:r>
        <w:rPr>
          <w:rFonts w:hint="eastAsia" w:ascii="宋体" w:hAnsi="宋体" w:cs="宋体"/>
          <w:color w:val="000000" w:themeColor="text1"/>
          <w14:textFill>
            <w14:solidFill>
              <w14:schemeClr w14:val="tx1"/>
            </w14:solidFill>
          </w14:textFill>
        </w:rPr>
        <w:fldChar w:fldCharType="end"/>
      </w:r>
    </w:p>
    <w:p>
      <w:pPr>
        <w:pStyle w:val="14"/>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"_Toc12440"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第六章 图  纸</w:t>
      </w:r>
      <w:r>
        <w:rPr>
          <w:rFonts w:hint="eastAsia" w:ascii="宋体" w:hAnsi="宋体" w:cs="宋体"/>
          <w:color w:val="000000" w:themeColor="text1"/>
          <w14:textFill>
            <w14:solidFill>
              <w14:schemeClr w14:val="tx1"/>
            </w14:solidFill>
          </w14:textFill>
        </w:rPr>
        <w:fldChar w:fldCharType="end"/>
      </w:r>
    </w:p>
    <w:p>
      <w:pPr>
        <w:pStyle w:val="14"/>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"_Toc10887"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第七章 技术标准和工作要求</w:t>
      </w:r>
      <w:r>
        <w:rPr>
          <w:rFonts w:hint="eastAsia" w:ascii="宋体" w:hAnsi="宋体" w:cs="宋体"/>
          <w:color w:val="000000" w:themeColor="text1"/>
          <w14:textFill>
            <w14:solidFill>
              <w14:schemeClr w14:val="tx1"/>
            </w14:solidFill>
          </w14:textFill>
        </w:rPr>
        <w:fldChar w:fldCharType="end"/>
      </w:r>
    </w:p>
    <w:p>
      <w:pPr>
        <w:pStyle w:val="14"/>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"_Toc12089"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第八章 合同范本</w:t>
      </w:r>
      <w:r>
        <w:rPr>
          <w:rFonts w:hint="eastAsia" w:ascii="宋体" w:hAnsi="宋体" w:cs="宋体"/>
          <w:color w:val="000000" w:themeColor="text1"/>
          <w14:textFill>
            <w14:solidFill>
              <w14:schemeClr w14:val="tx1"/>
            </w14:solidFill>
          </w14:textFill>
        </w:rPr>
        <w:fldChar w:fldCharType="end"/>
      </w:r>
    </w:p>
    <w:p>
      <w:pPr>
        <w:pStyle w:val="14"/>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"_Toc24853"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第九章 竞争性比选响应文件格式</w:t>
      </w:r>
      <w:r>
        <w:rPr>
          <w:rFonts w:hint="eastAsia" w:ascii="宋体" w:hAnsi="宋体" w:cs="宋体"/>
          <w:color w:val="000000" w:themeColor="text1"/>
          <w14:textFill>
            <w14:solidFill>
              <w14:schemeClr w14:val="tx1"/>
            </w14:solidFill>
          </w14:textFill>
        </w:rPr>
        <w:fldChar w:fldCharType="end"/>
      </w:r>
    </w:p>
    <w:p>
      <w:pPr>
        <w:rPr>
          <w:color w:val="000000" w:themeColor="text1"/>
          <w:highlight w:val="green"/>
          <w14:textFill>
            <w14:solidFill>
              <w14:schemeClr w14:val="tx1"/>
            </w14:solidFill>
          </w14:textFill>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color w:val="000000" w:themeColor="text1"/>
          <w14:textFill>
            <w14:solidFill>
              <w14:schemeClr w14:val="tx1"/>
            </w14:solidFill>
          </w14:textFill>
        </w:rPr>
        <w:fldChar w:fldCharType="end"/>
      </w:r>
    </w:p>
    <w:p>
      <w:pPr>
        <w:pStyle w:val="2"/>
        <w:spacing w:before="0" w:after="0" w:line="360" w:lineRule="auto"/>
        <w:jc w:val="center"/>
        <w:rPr>
          <w:rFonts w:ascii="宋体" w:hAnsi="宋体" w:cs="宋体"/>
          <w:color w:val="000000" w:themeColor="text1"/>
          <w14:textFill>
            <w14:solidFill>
              <w14:schemeClr w14:val="tx1"/>
            </w14:solidFill>
          </w14:textFill>
        </w:rPr>
      </w:pPr>
      <w:bookmarkStart w:id="5" w:name="_Toc246996900"/>
      <w:bookmarkStart w:id="6" w:name="_Toc246996157"/>
      <w:bookmarkStart w:id="7" w:name="_Toc179632527"/>
      <w:bookmarkStart w:id="8" w:name="_Toc247085671"/>
      <w:bookmarkStart w:id="9" w:name="_Toc2000404"/>
      <w:bookmarkStart w:id="10" w:name="_Toc144974479"/>
      <w:bookmarkStart w:id="11" w:name="_Toc152042287"/>
      <w:bookmarkStart w:id="12" w:name="_Toc507319890"/>
      <w:bookmarkStart w:id="13" w:name="_Toc152045511"/>
      <w:bookmarkStart w:id="14" w:name="_Toc247096243"/>
      <w:bookmarkStart w:id="15" w:name="_Toc10533"/>
      <w:r>
        <w:rPr>
          <w:rFonts w:hint="eastAsia" w:ascii="宋体" w:hAnsi="宋体" w:cs="宋体"/>
          <w:color w:val="000000" w:themeColor="text1"/>
          <w14:textFill>
            <w14:solidFill>
              <w14:schemeClr w14:val="tx1"/>
            </w14:solidFill>
          </w14:textFill>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color w:val="000000" w:themeColor="text1"/>
          <w14:textFill>
            <w14:solidFill>
              <w14:schemeClr w14:val="tx1"/>
            </w14:solidFill>
          </w14:textFill>
        </w:rPr>
        <w:t>比选公告</w:t>
      </w:r>
      <w:bookmarkEnd w:id="15"/>
    </w:p>
    <w:p>
      <w:pPr>
        <w:spacing w:line="440" w:lineRule="exact"/>
        <w:jc w:val="center"/>
        <w:rPr>
          <w:rFonts w:ascii="宋体" w:hAnsi="宋体" w:cs="宋体"/>
          <w:b/>
          <w:color w:val="000000" w:themeColor="text1"/>
          <w:sz w:val="28"/>
          <w:szCs w:val="28"/>
          <w14:textFill>
            <w14:solidFill>
              <w14:schemeClr w14:val="tx1"/>
            </w14:solidFill>
          </w14:textFill>
        </w:rPr>
      </w:pPr>
      <w:bookmarkStart w:id="16" w:name="OLE_LINK2"/>
      <w:bookmarkStart w:id="17" w:name="OLE_LINK3"/>
    </w:p>
    <w:p>
      <w:pPr>
        <w:pStyle w:val="3"/>
        <w:spacing w:before="0" w:after="0" w:line="360" w:lineRule="auto"/>
        <w:rPr>
          <w:rFonts w:ascii="宋体" w:hAnsi="宋体" w:eastAsia="宋体" w:cs="宋体"/>
          <w:color w:val="000000" w:themeColor="text1"/>
          <w14:textFill>
            <w14:solidFill>
              <w14:schemeClr w14:val="tx1"/>
            </w14:solidFill>
          </w14:textFill>
        </w:rPr>
      </w:pPr>
      <w:bookmarkStart w:id="18" w:name="_Toc144974480"/>
      <w:bookmarkStart w:id="19" w:name="_Toc11329213"/>
      <w:bookmarkStart w:id="20" w:name="_Toc179632528"/>
      <w:bookmarkStart w:id="21" w:name="_Toc152042288"/>
      <w:bookmarkStart w:id="22" w:name="_Toc24874"/>
      <w:bookmarkStart w:id="23" w:name="_Toc10076"/>
      <w:bookmarkStart w:id="24" w:name="_Toc507319891"/>
      <w:bookmarkStart w:id="25" w:name="_Toc246996158"/>
      <w:bookmarkStart w:id="26" w:name="_Toc6549"/>
      <w:bookmarkStart w:id="27" w:name="_Toc246996901"/>
      <w:bookmarkStart w:id="28" w:name="_Toc152045512"/>
      <w:bookmarkStart w:id="29" w:name="_Toc247085672"/>
      <w:r>
        <w:rPr>
          <w:rFonts w:hint="eastAsia" w:ascii="宋体" w:hAnsi="宋体" w:eastAsia="宋体" w:cs="宋体"/>
          <w:color w:val="000000" w:themeColor="text1"/>
          <w14:textFill>
            <w14:solidFill>
              <w14:schemeClr w14:val="tx1"/>
            </w14:solidFill>
          </w14:textFill>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本竞争性比选项目</w:t>
      </w:r>
      <w:r>
        <w:rPr>
          <w:rFonts w:hint="default" w:ascii="宋体" w:hAnsi="宋体" w:cs="宋体"/>
          <w:color w:val="000000" w:themeColor="text1"/>
          <w:szCs w:val="21"/>
          <w:u w:val="single"/>
          <w:lang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巫溪至开州高速公路项目机电工程语音服务平台组件采购</w:t>
      </w:r>
      <w:r>
        <w:rPr>
          <w:rFonts w:hint="default"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，采购人为</w:t>
      </w:r>
      <w:r>
        <w:rPr>
          <w:rFonts w:hint="eastAsia" w:ascii="宋体" w:hAnsi="宋体" w:cs="宋体"/>
          <w:color w:val="000000" w:themeColor="text1"/>
          <w:szCs w:val="21"/>
          <w:u w:val="single"/>
          <w14:textFill>
            <w14:solidFill>
              <w14:schemeClr w14:val="tx1"/>
            </w14:solidFill>
          </w14:textFill>
        </w:rPr>
        <w:t xml:space="preserve"> 重庆首讯科技股份有限公司 </w:t>
      </w:r>
      <w:r>
        <w:rPr>
          <w:rFonts w:hint="eastAsia" w:ascii="宋体" w:hAnsi="宋体" w:cs="宋体"/>
          <w:color w:val="000000" w:themeColor="text1"/>
          <w:szCs w:val="21"/>
          <w14:textFill>
            <w14:solidFill>
              <w14:schemeClr w14:val="tx1"/>
            </w14:solidFill>
          </w14:textFill>
        </w:rPr>
        <w:t>，该项目已具备比选条件，现对该项目进行竞争性比选。</w:t>
      </w:r>
    </w:p>
    <w:p>
      <w:pPr>
        <w:pStyle w:val="3"/>
        <w:spacing w:before="120" w:after="0" w:line="360" w:lineRule="auto"/>
        <w:rPr>
          <w:rFonts w:ascii="宋体" w:hAnsi="宋体" w:eastAsia="宋体" w:cs="宋体"/>
          <w:color w:val="000000" w:themeColor="text1"/>
          <w14:textFill>
            <w14:solidFill>
              <w14:schemeClr w14:val="tx1"/>
            </w14:solidFill>
          </w14:textFill>
        </w:rPr>
      </w:pPr>
      <w:bookmarkStart w:id="30" w:name="_Toc247085673"/>
      <w:bookmarkStart w:id="31" w:name="_Toc144974481"/>
      <w:bookmarkStart w:id="32" w:name="_Toc246996159"/>
      <w:bookmarkStart w:id="33" w:name="_Toc21343"/>
      <w:bookmarkStart w:id="34" w:name="_Toc179632529"/>
      <w:bookmarkStart w:id="35" w:name="_Toc152045513"/>
      <w:bookmarkStart w:id="36" w:name="_Toc246996902"/>
      <w:bookmarkStart w:id="37" w:name="_Toc152042289"/>
      <w:bookmarkStart w:id="38" w:name="_Toc18109"/>
      <w:bookmarkStart w:id="39" w:name="_Toc11329214"/>
      <w:bookmarkStart w:id="40" w:name="_Toc10952"/>
      <w:bookmarkStart w:id="41" w:name="_Toc507319892"/>
      <w:r>
        <w:rPr>
          <w:rFonts w:hint="eastAsia" w:ascii="宋体" w:hAnsi="宋体" w:eastAsia="宋体" w:cs="宋体"/>
          <w:color w:val="000000" w:themeColor="text1"/>
          <w14:textFill>
            <w14:solidFill>
              <w14:schemeClr w14:val="tx1"/>
            </w14:solidFill>
          </w14:textFill>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hint="default" w:ascii="宋体" w:hAnsi="宋体" w:cs="宋体"/>
          <w:color w:val="000000" w:themeColor="text1"/>
          <w:lang w:val="en-US"/>
          <w14:textFill>
            <w14:solidFill>
              <w14:schemeClr w14:val="tx1"/>
            </w14:solidFill>
          </w14:textFill>
        </w:rPr>
      </w:pPr>
      <w:bookmarkStart w:id="42" w:name="_Toc446247226"/>
      <w:r>
        <w:rPr>
          <w:rFonts w:hint="eastAsia" w:ascii="宋体" w:hAnsi="宋体" w:cs="宋体"/>
          <w:color w:val="000000" w:themeColor="text1"/>
          <w14:textFill>
            <w14:solidFill>
              <w14:schemeClr w14:val="tx1"/>
            </w14:solidFill>
          </w14:textFill>
        </w:rPr>
        <w:t>2.1 项目地点：</w:t>
      </w:r>
      <w:bookmarkEnd w:id="42"/>
      <w:r>
        <w:rPr>
          <w:rFonts w:hint="eastAsia" w:ascii="宋体" w:hAnsi="宋体" w:cs="宋体"/>
          <w:color w:val="000000" w:themeColor="text1"/>
          <w:lang w:val="en-US" w:eastAsia="zh-CN"/>
          <w14:textFill>
            <w14:solidFill>
              <w14:schemeClr w14:val="tx1"/>
            </w14:solidFill>
          </w14:textFill>
        </w:rPr>
        <w:t>重庆市。</w:t>
      </w:r>
    </w:p>
    <w:p>
      <w:pPr>
        <w:pStyle w:val="7"/>
        <w:adjustRightIn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 项目概况：巫溪至开州高速全线总长118.608km。WYKSS1合同段全长50.927708km,其中短隧道3座，中隧道3座、长隧道4座；WYKSS2合同段全长33.772096km，设置桥梁10133.6m/24座，其中特大桥梁 3722.25m/3 座，设置隧道15278.221m/5 座，其中特长隧道梁 9313.796m/2 座，长隧道梁 5964.425m/3 座，立交 2 处，服务区1处;WYKSS3合同段全长33.922km，共设隧道30036m/7座，其中特长隧道 16430m/2座，长隧道 12792m/4座，短隧道814m/1座，全线隧道共计21座。</w:t>
      </w:r>
    </w:p>
    <w:p>
      <w:pPr>
        <w:keepNext w:val="0"/>
        <w:keepLines w:val="0"/>
        <w:widowControl w:val="0"/>
        <w:suppressLineNumbers w:val="0"/>
        <w:adjustRightInd w:val="0"/>
        <w:spacing w:before="0" w:beforeAutospacing="0" w:after="0" w:afterAutospacing="0" w:line="520" w:lineRule="exact"/>
        <w:ind w:left="0" w:right="0" w:firstLine="420" w:firstLineChars="200"/>
        <w:jc w:val="both"/>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lang w:val="en-US" w:eastAsia="zh-CN"/>
          <w14:textFill>
            <w14:solidFill>
              <w14:schemeClr w14:val="tx1"/>
            </w14:solidFill>
          </w14:textFill>
        </w:rPr>
        <w:t>预计采购金额：</w:t>
      </w:r>
      <w:r>
        <w:rPr>
          <w:rFonts w:hint="eastAsia" w:ascii="宋体" w:hAnsi="宋体" w:cs="宋体"/>
          <w:lang w:val="en-US" w:eastAsia="zh-CN"/>
        </w:rPr>
        <w:t>42.8</w:t>
      </w:r>
      <w:r>
        <w:rPr>
          <w:rFonts w:hint="eastAsia" w:ascii="宋体" w:hAnsi="宋体" w:cs="宋体"/>
          <w:color w:val="000000" w:themeColor="text1"/>
          <w:lang w:val="en-US" w:eastAsia="zh-CN"/>
          <w14:textFill>
            <w14:solidFill>
              <w14:schemeClr w14:val="tx1"/>
            </w14:solidFill>
          </w14:textFill>
        </w:rPr>
        <w:t>万元。</w:t>
      </w:r>
    </w:p>
    <w:p>
      <w:pPr>
        <w:keepNext w:val="0"/>
        <w:keepLines w:val="0"/>
        <w:widowControl w:val="0"/>
        <w:suppressLineNumbers w:val="0"/>
        <w:adjustRightInd w:val="0"/>
        <w:spacing w:before="0" w:beforeAutospacing="0" w:after="0" w:afterAutospacing="0" w:line="520" w:lineRule="exact"/>
        <w:ind w:left="0" w:right="0" w:firstLine="420" w:firstLineChars="200"/>
        <w:jc w:val="both"/>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4 采购内容：</w:t>
      </w:r>
      <w:r>
        <w:rPr>
          <w:rFonts w:hint="eastAsia" w:ascii="宋体" w:hAnsi="宋体" w:cs="宋体"/>
          <w:color w:val="000000" w:themeColor="text1"/>
          <w:szCs w:val="21"/>
          <w14:textFill>
            <w14:solidFill>
              <w14:schemeClr w14:val="tx1"/>
            </w14:solidFill>
          </w14:textFill>
        </w:rPr>
        <w:t>本次采购内容为语音外呼机器人功能模块1套，文本机器人功能模块1套，知识库管理功能模块1套供货、安装、调试等工作</w:t>
      </w:r>
      <w:r>
        <w:rPr>
          <w:rFonts w:hint="eastAsia" w:ascii="宋体" w:hAnsi="宋体" w:cs="宋体"/>
          <w:color w:val="000000" w:themeColor="text1"/>
          <w:szCs w:val="21"/>
          <w:lang w:val="en-US" w:eastAsia="zh-CN"/>
          <w14:textFill>
            <w14:solidFill>
              <w14:schemeClr w14:val="tx1"/>
            </w14:solidFill>
          </w14:textFill>
        </w:rPr>
        <w:t>,详见工程量清单</w:t>
      </w:r>
      <w:r>
        <w:rPr>
          <w:rFonts w:hint="eastAsia" w:ascii="宋体" w:hAnsi="宋体" w:cs="宋体"/>
          <w:color w:val="000000" w:themeColor="text1"/>
          <w:szCs w:val="21"/>
          <w14:textFill>
            <w14:solidFill>
              <w14:schemeClr w14:val="tx1"/>
            </w14:solidFill>
          </w14:textFill>
        </w:rPr>
        <w:t>。</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5</w:t>
      </w:r>
      <w:r>
        <w:rPr>
          <w:rFonts w:hint="eastAsia" w:ascii="宋体" w:hAnsi="宋体" w:cs="宋体"/>
          <w:color w:val="000000" w:themeColor="text1"/>
          <w14:textFill>
            <w14:solidFill>
              <w14:schemeClr w14:val="tx1"/>
            </w14:solidFill>
          </w14:textFill>
        </w:rPr>
        <w:t xml:space="preserve"> 工期要求：</w:t>
      </w:r>
      <w:r>
        <w:rPr>
          <w:rFonts w:hint="eastAsia" w:ascii="宋体" w:hAnsi="宋体" w:eastAsia="宋体" w:cs="宋体"/>
          <w:b w:val="0"/>
          <w:bCs w:val="0"/>
          <w:kern w:val="2"/>
          <w:sz w:val="21"/>
          <w:szCs w:val="24"/>
          <w:highlight w:val="none"/>
          <w:lang w:val="en-US" w:eastAsia="zh-CN" w:bidi="ar-SA"/>
        </w:rPr>
        <w:t>合同签订后15个工作日内完成平台部署，2024年9月30日完成平台对接并运行上线。</w:t>
      </w:r>
    </w:p>
    <w:p>
      <w:pPr>
        <w:pStyle w:val="3"/>
        <w:spacing w:before="120" w:after="0" w:line="360" w:lineRule="auto"/>
        <w:rPr>
          <w:rFonts w:ascii="宋体" w:hAnsi="宋体" w:eastAsia="宋体" w:cs="宋体"/>
          <w:color w:val="000000" w:themeColor="text1"/>
          <w14:textFill>
            <w14:solidFill>
              <w14:schemeClr w14:val="tx1"/>
            </w14:solidFill>
          </w14:textFill>
        </w:rPr>
      </w:pPr>
      <w:bookmarkStart w:id="43" w:name="_Toc247085674"/>
      <w:bookmarkStart w:id="44" w:name="_Toc246996903"/>
      <w:bookmarkStart w:id="45" w:name="_Toc152045514"/>
      <w:bookmarkStart w:id="46" w:name="_Toc11329215"/>
      <w:bookmarkStart w:id="47" w:name="_Toc179632530"/>
      <w:bookmarkStart w:id="48" w:name="_Toc30356"/>
      <w:bookmarkStart w:id="49" w:name="_Toc152042290"/>
      <w:bookmarkStart w:id="50" w:name="_Toc10171"/>
      <w:bookmarkStart w:id="51" w:name="_Toc7065"/>
      <w:bookmarkStart w:id="52" w:name="_Toc144974482"/>
      <w:bookmarkStart w:id="53" w:name="_Toc246996160"/>
      <w:bookmarkStart w:id="54" w:name="_Toc507319893"/>
      <w:r>
        <w:rPr>
          <w:rFonts w:hint="eastAsia" w:ascii="宋体" w:hAnsi="宋体" w:eastAsia="宋体" w:cs="宋体"/>
          <w:color w:val="000000" w:themeColor="text1"/>
          <w14:textFill>
            <w14:solidFill>
              <w14:schemeClr w14:val="tx1"/>
            </w14:solidFill>
          </w14:textFill>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bookmarkStart w:id="55" w:name="_Toc152045515"/>
      <w:bookmarkStart w:id="56" w:name="_Toc144974483"/>
      <w:bookmarkStart w:id="57" w:name="_Toc179632531"/>
      <w:bookmarkStart w:id="58" w:name="_Toc152042291"/>
      <w:bookmarkStart w:id="59" w:name="_Toc246996904"/>
      <w:bookmarkStart w:id="60" w:name="_Toc246996161"/>
      <w:bookmarkStart w:id="61" w:name="_Toc247085675"/>
      <w:r>
        <w:rPr>
          <w:rFonts w:hint="eastAsia" w:ascii="宋体" w:hAnsi="宋体" w:cs="宋体"/>
          <w:color w:val="000000" w:themeColor="text1"/>
          <w:szCs w:val="21"/>
          <w:shd w:val="clear" w:color="auto" w:fill="FFFFFF"/>
          <w14:textFill>
            <w14:solidFill>
              <w14:schemeClr w14:val="tx1"/>
            </w14:solidFill>
          </w14:textFill>
        </w:rPr>
        <w:t>3.1 资质要求：</w:t>
      </w:r>
    </w:p>
    <w:p>
      <w:pPr>
        <w:spacing w:line="400" w:lineRule="exact"/>
        <w:ind w:firstLine="420" w:firstLineChars="200"/>
        <w:rPr>
          <w:rFonts w:hint="eastAsia"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（1）报价人具备独立法人资格，具备有效的营业执照；</w:t>
      </w:r>
    </w:p>
    <w:p>
      <w:pPr>
        <w:spacing w:line="400" w:lineRule="exact"/>
        <w:ind w:firstLine="420" w:firstLineChars="200"/>
        <w:rPr>
          <w:rFonts w:hint="eastAsia"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（2）报价人须为语音外呼机器人或文本机器人或近似软件产品的制造商或经制造商授权的代理商。</w:t>
      </w:r>
    </w:p>
    <w:p>
      <w:pPr>
        <w:spacing w:line="400" w:lineRule="exact"/>
        <w:ind w:firstLine="420" w:firstLineChars="200"/>
        <w:rPr>
          <w:rFonts w:hint="eastAsia" w:ascii="宋体" w:hAnsi="宋体" w:eastAsia="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注：制造商提供对应或近似软件产品的软件著作权证书或代理商提供授权书及制造商的对应软件产品的软件著作权证书。</w:t>
      </w:r>
    </w:p>
    <w:p>
      <w:pPr>
        <w:spacing w:line="400" w:lineRule="exact"/>
        <w:ind w:firstLine="420" w:firstLineChars="200"/>
        <w:rPr>
          <w:rFonts w:hint="eastAsia"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highlight w:val="none"/>
          <w:shd w:val="clear" w:color="auto" w:fill="FFFFFF"/>
          <w14:textFill>
            <w14:solidFill>
              <w14:schemeClr w14:val="tx1"/>
            </w14:solidFill>
          </w14:textFill>
        </w:rPr>
        <w:t>3.2 业绩要求：</w:t>
      </w:r>
      <w:r>
        <w:rPr>
          <w:rFonts w:hint="eastAsia" w:ascii="宋体" w:hAnsi="宋体" w:cs="宋体"/>
          <w:color w:val="000000" w:themeColor="text1"/>
          <w:szCs w:val="21"/>
          <w:highlight w:val="none"/>
          <w:shd w:val="clear" w:color="auto" w:fill="FFFFFF"/>
          <w:lang w:eastAsia="zh-CN"/>
          <w14:textFill>
            <w14:solidFill>
              <w14:schemeClr w14:val="tx1"/>
            </w14:solidFill>
          </w14:textFill>
        </w:rPr>
        <w:t>报价人自2021年1月1日至投标截止日(以合同签订时间为准）至少具备一项文本机器人或智能系统等同类项目业绩（单个合同金额不低于20万元）。</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w:t>
      </w:r>
      <w:r>
        <w:rPr>
          <w:rFonts w:hint="eastAsia" w:ascii="宋体" w:hAnsi="宋体" w:cs="宋体"/>
          <w:color w:val="000000" w:themeColor="text1"/>
          <w:szCs w:val="21"/>
          <w:shd w:val="clear" w:color="auto" w:fill="FFFFFF"/>
          <w:lang w:val="en-US" w:eastAsia="zh-CN"/>
          <w14:textFill>
            <w14:solidFill>
              <w14:schemeClr w14:val="tx1"/>
            </w14:solidFill>
          </w14:textFill>
        </w:rPr>
        <w:t>3</w:t>
      </w:r>
      <w:r>
        <w:rPr>
          <w:rFonts w:hint="eastAsia" w:ascii="宋体" w:hAnsi="宋体" w:cs="宋体"/>
          <w:color w:val="000000" w:themeColor="text1"/>
          <w:szCs w:val="21"/>
          <w:shd w:val="clear" w:color="auto" w:fill="FFFFFF"/>
          <w14:textFill>
            <w14:solidFill>
              <w14:schemeClr w14:val="tx1"/>
            </w14:solidFill>
          </w14:textFill>
        </w:rPr>
        <w:t xml:space="preserve"> 信誉要求：在国家企业信用信息公示系统（http://www.gsxt.gov.cn/）中未被列入严重违法失信企业名单（黑名单）信息；在“信用中国”网站（http://www.creditchina.gov.cn/）中未被列入失信惩戒执行人名单。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w:t>
      </w:r>
      <w:r>
        <w:rPr>
          <w:rFonts w:hint="eastAsia" w:ascii="宋体" w:hAnsi="宋体" w:cs="宋体"/>
          <w:color w:val="000000" w:themeColor="text1"/>
          <w:szCs w:val="21"/>
          <w:shd w:val="clear" w:color="auto" w:fill="FFFFFF"/>
          <w:lang w:val="en-US" w:eastAsia="zh-CN"/>
          <w14:textFill>
            <w14:solidFill>
              <w14:schemeClr w14:val="tx1"/>
            </w14:solidFill>
          </w14:textFill>
        </w:rPr>
        <w:t>4</w:t>
      </w:r>
      <w:r>
        <w:rPr>
          <w:rFonts w:hint="eastAsia" w:ascii="宋体" w:hAnsi="宋体" w:cs="宋体"/>
          <w:color w:val="000000" w:themeColor="text1"/>
          <w:szCs w:val="21"/>
          <w:shd w:val="clear" w:color="auto" w:fill="FFFFFF"/>
          <w14:textFill>
            <w14:solidFill>
              <w14:schemeClr w14:val="tx1"/>
            </w14:solidFill>
          </w14:textFill>
        </w:rPr>
        <w:t xml:space="preserve"> 报价人须提供采购人要求的所有资质要求、业绩要求、信誉要求的复印件并加盖单位鲜公章。</w:t>
      </w:r>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w:t>
      </w:r>
      <w:r>
        <w:rPr>
          <w:rFonts w:hint="eastAsia" w:ascii="宋体" w:hAnsi="宋体" w:cs="宋体"/>
          <w:color w:val="000000" w:themeColor="text1"/>
          <w:szCs w:val="21"/>
          <w:shd w:val="clear" w:color="auto" w:fill="FFFFFF"/>
          <w:lang w:val="en-US" w:eastAsia="zh-CN"/>
          <w14:textFill>
            <w14:solidFill>
              <w14:schemeClr w14:val="tx1"/>
            </w14:solidFill>
          </w14:textFill>
        </w:rPr>
        <w:t>5</w:t>
      </w:r>
      <w:r>
        <w:rPr>
          <w:rFonts w:hint="default" w:ascii="宋体" w:hAnsi="宋体" w:cs="宋体"/>
          <w:color w:val="000000" w:themeColor="text1"/>
          <w:szCs w:val="21"/>
          <w:shd w:val="clear" w:color="auto" w:fill="FFFFFF"/>
          <w14:textFill>
            <w14:solidFill>
              <w14:schemeClr w14:val="tx1"/>
            </w14:solidFill>
          </w14:textFill>
        </w:rPr>
        <w:t xml:space="preserve"> </w:t>
      </w:r>
      <w:r>
        <w:rPr>
          <w:rFonts w:hint="eastAsia" w:ascii="宋体" w:hAnsi="宋体" w:cs="宋体"/>
          <w:color w:val="000000" w:themeColor="text1"/>
          <w:szCs w:val="21"/>
          <w:shd w:val="clear" w:color="auto" w:fill="FFFFFF"/>
          <w14:textFill>
            <w14:solidFill>
              <w14:schemeClr w14:val="tx1"/>
            </w14:solidFill>
          </w14:textFill>
        </w:rPr>
        <w:t>本次比选不接受联合体报价。</w:t>
      </w:r>
    </w:p>
    <w:p>
      <w:pPr>
        <w:spacing w:line="400" w:lineRule="exact"/>
        <w:ind w:firstLine="420" w:firstLineChars="200"/>
        <w:rPr>
          <w:rFonts w:hint="eastAsia"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w:t>
      </w:r>
      <w:r>
        <w:rPr>
          <w:rFonts w:hint="eastAsia" w:ascii="宋体" w:hAnsi="宋体" w:cs="宋体"/>
          <w:color w:val="000000" w:themeColor="text1"/>
          <w:szCs w:val="21"/>
          <w:shd w:val="clear" w:color="auto" w:fill="FFFFFF"/>
          <w:lang w:val="en-US" w:eastAsia="zh-CN"/>
          <w14:textFill>
            <w14:solidFill>
              <w14:schemeClr w14:val="tx1"/>
            </w14:solidFill>
          </w14:textFill>
        </w:rPr>
        <w:t>6</w:t>
      </w:r>
      <w:r>
        <w:rPr>
          <w:rFonts w:hint="eastAsia" w:ascii="宋体" w:hAnsi="宋体" w:cs="宋体"/>
          <w:color w:val="000000" w:themeColor="text1"/>
          <w:szCs w:val="21"/>
          <w:shd w:val="clear" w:color="auto" w:fill="FFFFFF"/>
          <w14:textFill>
            <w14:solidFill>
              <w14:schemeClr w14:val="tx1"/>
            </w14:solidFill>
          </w14:textFill>
        </w:rPr>
        <w:t xml:space="preserve"> 单位负责人为同一人或者存在控股、管理关系的不同单位，不得同时参加本项目报价，否则均按无效报价处理。</w:t>
      </w:r>
    </w:p>
    <w:p>
      <w:pPr>
        <w:pStyle w:val="3"/>
        <w:spacing w:before="120" w:after="0" w:line="360" w:lineRule="auto"/>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评标办法</w:t>
      </w:r>
    </w:p>
    <w:p>
      <w:pPr>
        <w:pStyle w:val="8"/>
        <w:ind w:firstLine="420" w:firstLineChars="200"/>
        <w:rPr>
          <w:rFonts w:hint="default"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本项目采用</w:t>
      </w:r>
      <w:r>
        <w:rPr>
          <w:rFonts w:hint="eastAsia" w:ascii="宋体" w:hAnsi="宋体" w:cs="Times New Roman"/>
          <w:kern w:val="2"/>
          <w:sz w:val="21"/>
          <w:szCs w:val="21"/>
          <w:highlight w:val="none"/>
          <w:lang w:val="en-US" w:eastAsia="zh-CN" w:bidi="ar-SA"/>
        </w:rPr>
        <w:t>综合评估</w:t>
      </w:r>
      <w:r>
        <w:rPr>
          <w:rFonts w:hint="eastAsia" w:ascii="宋体" w:hAnsi="宋体" w:eastAsia="宋体" w:cs="Times New Roman"/>
          <w:kern w:val="2"/>
          <w:sz w:val="21"/>
          <w:szCs w:val="21"/>
          <w:highlight w:val="none"/>
          <w:lang w:val="en-US" w:eastAsia="zh-CN" w:bidi="ar-SA"/>
        </w:rPr>
        <w:t>法。</w:t>
      </w:r>
    </w:p>
    <w:p>
      <w:pPr>
        <w:pStyle w:val="3"/>
        <w:spacing w:before="120" w:after="0" w:line="400" w:lineRule="exact"/>
        <w:rPr>
          <w:rFonts w:ascii="宋体" w:hAnsi="宋体" w:eastAsia="宋体" w:cs="宋体"/>
          <w:color w:val="000000" w:themeColor="text1"/>
          <w14:textFill>
            <w14:solidFill>
              <w14:schemeClr w14:val="tx1"/>
            </w14:solidFill>
          </w14:textFill>
        </w:rPr>
      </w:pPr>
      <w:bookmarkStart w:id="62" w:name="_Toc11329216"/>
      <w:bookmarkStart w:id="63" w:name="_Toc507319894"/>
      <w:bookmarkStart w:id="64" w:name="_Toc25619"/>
      <w:bookmarkStart w:id="65" w:name="_Toc12460"/>
      <w:bookmarkStart w:id="66" w:name="_Toc14361"/>
      <w:r>
        <w:rPr>
          <w:rFonts w:hint="eastAsia" w:ascii="宋体" w:hAnsi="宋体" w:eastAsia="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 比选文件的获取</w:t>
      </w:r>
      <w:bookmarkEnd w:id="55"/>
      <w:bookmarkEnd w:id="56"/>
      <w:bookmarkEnd w:id="57"/>
      <w:bookmarkEnd w:id="58"/>
      <w:bookmarkEnd w:id="59"/>
      <w:bookmarkEnd w:id="60"/>
      <w:bookmarkEnd w:id="61"/>
      <w:bookmarkEnd w:id="62"/>
      <w:bookmarkEnd w:id="63"/>
      <w:bookmarkEnd w:id="64"/>
      <w:bookmarkEnd w:id="65"/>
      <w:bookmarkEnd w:id="66"/>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szCs w:val="21"/>
          <w:highlight w:val="none"/>
          <w:lang w:eastAsia="zh-CN"/>
        </w:rPr>
      </w:pPr>
      <w:bookmarkStart w:id="67" w:name="_Toc246996162"/>
      <w:bookmarkStart w:id="68" w:name="_Toc246996905"/>
      <w:bookmarkStart w:id="69" w:name="_Toc507319895"/>
      <w:bookmarkStart w:id="70" w:name="_Toc152045516"/>
      <w:bookmarkStart w:id="71" w:name="_Toc152042292"/>
      <w:bookmarkStart w:id="72" w:name="_Toc179632532"/>
      <w:bookmarkStart w:id="73" w:name="_Toc11329217"/>
      <w:bookmarkStart w:id="74" w:name="_Toc144974484"/>
      <w:bookmarkStart w:id="75" w:name="_Toc247085676"/>
      <w:bookmarkStart w:id="76" w:name="_Toc16686"/>
      <w:bookmarkStart w:id="77" w:name="_Toc9131"/>
      <w:bookmarkStart w:id="78" w:name="_Toc31493"/>
      <w:bookmarkStart w:id="79" w:name="_Toc393"/>
      <w:bookmarkStart w:id="80" w:name="_Toc247085678"/>
      <w:bookmarkStart w:id="81" w:name="_Toc507319897"/>
      <w:bookmarkStart w:id="82" w:name="_Toc152045517"/>
      <w:bookmarkStart w:id="83" w:name="_Toc11329219"/>
      <w:bookmarkStart w:id="84" w:name="_Toc152042293"/>
      <w:bookmarkStart w:id="85" w:name="_Toc179632534"/>
      <w:bookmarkStart w:id="86" w:name="_Toc144974485"/>
      <w:bookmarkStart w:id="87" w:name="_Toc246996907"/>
      <w:bookmarkStart w:id="88" w:name="_Toc21615"/>
      <w:bookmarkStart w:id="89" w:name="_Toc246996164"/>
      <w:bookmarkStart w:id="90" w:name="_Toc18402"/>
      <w:r>
        <w:rPr>
          <w:rFonts w:hint="eastAsia" w:ascii="宋体" w:hAnsi="宋体" w:cs="宋体"/>
        </w:rPr>
        <w:t>凡愿意参加的潜在报价人，在</w:t>
      </w:r>
      <w:r>
        <w:rPr>
          <w:rFonts w:hint="eastAsia" w:ascii="宋体" w:hAnsi="宋体" w:eastAsia="宋体" w:cs="宋体"/>
          <w:highlight w:val="none"/>
          <w:lang w:val="en-US" w:eastAsia="zh-CN"/>
        </w:rPr>
        <w:t>202</w:t>
      </w:r>
      <w:r>
        <w:rPr>
          <w:rFonts w:hint="eastAsia" w:ascii="宋体" w:hAnsi="宋体" w:cs="宋体"/>
          <w:highlight w:val="none"/>
          <w:lang w:val="en-US" w:eastAsia="zh-CN"/>
        </w:rPr>
        <w:t>4</w:t>
      </w:r>
      <w:r>
        <w:rPr>
          <w:rFonts w:hint="eastAsia" w:ascii="宋体" w:hAnsi="宋体" w:eastAsia="宋体" w:cs="宋体"/>
          <w:highlight w:val="none"/>
          <w:lang w:val="en-US" w:eastAsia="zh-CN"/>
        </w:rPr>
        <w:t>年</w:t>
      </w:r>
      <w:r>
        <w:rPr>
          <w:rFonts w:hint="eastAsia" w:ascii="宋体" w:hAnsi="宋体" w:cs="宋体"/>
          <w:highlight w:val="none"/>
          <w:lang w:val="en-US" w:eastAsia="zh-CN"/>
        </w:rPr>
        <w:t>6</w:t>
      </w:r>
      <w:r>
        <w:rPr>
          <w:rFonts w:hint="eastAsia" w:ascii="宋体" w:hAnsi="宋体" w:eastAsia="宋体" w:cs="宋体"/>
          <w:highlight w:val="none"/>
          <w:lang w:val="en-US" w:eastAsia="zh-CN"/>
        </w:rPr>
        <w:t>月</w:t>
      </w:r>
      <w:r>
        <w:rPr>
          <w:rFonts w:hint="eastAsia" w:ascii="宋体" w:hAnsi="宋体" w:cs="宋体"/>
          <w:highlight w:val="none"/>
          <w:lang w:val="en-US" w:eastAsia="zh-CN"/>
        </w:rPr>
        <w:t>26</w:t>
      </w:r>
      <w:r>
        <w:rPr>
          <w:rFonts w:hint="eastAsia" w:ascii="宋体" w:hAnsi="宋体" w:eastAsia="宋体" w:cs="宋体"/>
          <w:highlight w:val="none"/>
          <w:lang w:val="en-US" w:eastAsia="zh-CN"/>
        </w:rPr>
        <w:t>日</w:t>
      </w:r>
      <w:r>
        <w:rPr>
          <w:rFonts w:hint="eastAsia" w:ascii="宋体" w:hAnsi="宋体"/>
          <w:szCs w:val="21"/>
          <w:highlight w:val="none"/>
          <w:lang w:val="en-US" w:eastAsia="zh-CN"/>
        </w:rPr>
        <w:t>上</w:t>
      </w:r>
      <w:r>
        <w:rPr>
          <w:rFonts w:hint="eastAsia" w:ascii="宋体" w:hAnsi="宋体"/>
          <w:szCs w:val="21"/>
          <w:highlight w:val="none"/>
        </w:rPr>
        <w:t>午</w:t>
      </w:r>
      <w:r>
        <w:rPr>
          <w:rFonts w:hint="eastAsia" w:ascii="宋体" w:hAnsi="宋体"/>
          <w:szCs w:val="21"/>
          <w:highlight w:val="none"/>
          <w:lang w:val="en-US" w:eastAsia="zh-CN"/>
        </w:rPr>
        <w:t>11：00</w:t>
      </w:r>
      <w:r>
        <w:rPr>
          <w:rFonts w:hint="eastAsia" w:ascii="宋体" w:hAnsi="宋体" w:cs="宋体"/>
        </w:rPr>
        <w:t>前在重庆高速集团官网</w:t>
      </w:r>
      <w:r>
        <w:rPr>
          <w:rFonts w:hint="eastAsia" w:ascii="宋体" w:hAnsi="宋体" w:cs="宋体"/>
          <w:lang w:val="en-US" w:eastAsia="zh-CN"/>
        </w:rPr>
        <w:t>（</w:t>
      </w:r>
      <w:r>
        <w:rPr>
          <w:rFonts w:hint="eastAsia" w:ascii="宋体" w:hAnsi="宋体" w:eastAsia="宋体" w:cs="宋体"/>
          <w:highlight w:val="none"/>
          <w:lang w:val="en-US" w:eastAsia="zh-CN"/>
        </w:rPr>
        <w:t>https://www.cegc.com.cn/html/col1810480.html</w:t>
      </w:r>
      <w:r>
        <w:rPr>
          <w:rFonts w:hint="eastAsia" w:ascii="宋体" w:hAnsi="宋体" w:cs="宋体"/>
          <w:lang w:val="en-US" w:eastAsia="zh-CN"/>
        </w:rPr>
        <w:t>）上</w:t>
      </w:r>
      <w:r>
        <w:rPr>
          <w:rFonts w:hint="eastAsia" w:ascii="宋体" w:hAnsi="宋体" w:cs="宋体"/>
        </w:rPr>
        <w:t>获取竞争性比选文件，各报价人应随时关注网上发布的竞争性比选文件答疑、补遗、澄清等文件内容，不管报价人是否下载，均视为已知晓竞争性比选文件的全部内容和有关事宜</w:t>
      </w:r>
      <w:r>
        <w:rPr>
          <w:rFonts w:hint="eastAsia" w:ascii="宋体" w:hAnsi="宋体" w:cs="宋体"/>
          <w:lang w:eastAsia="zh-CN"/>
        </w:rPr>
        <w:t>。</w:t>
      </w:r>
    </w:p>
    <w:p>
      <w:pPr>
        <w:pStyle w:val="3"/>
        <w:spacing w:before="120" w:after="0" w:line="400" w:lineRule="exact"/>
        <w:rPr>
          <w:rFonts w:ascii="宋体" w:hAnsi="宋体" w:eastAsia="宋体" w:cs="宋体"/>
          <w:highlight w:val="none"/>
        </w:rPr>
      </w:pPr>
      <w:r>
        <w:rPr>
          <w:rFonts w:hint="eastAsia" w:ascii="宋体" w:hAnsi="宋体" w:eastAsia="宋体" w:cs="宋体"/>
          <w:highlight w:val="none"/>
          <w:lang w:val="en-US" w:eastAsia="zh-CN"/>
        </w:rPr>
        <w:t>6</w:t>
      </w:r>
      <w:r>
        <w:rPr>
          <w:rFonts w:hint="eastAsia" w:ascii="宋体" w:hAnsi="宋体" w:eastAsia="宋体" w:cs="宋体"/>
          <w:highlight w:val="none"/>
        </w:rPr>
        <w:t>.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highlight w:val="none"/>
        </w:rPr>
        <w:t>及相关事宜</w:t>
      </w:r>
      <w:bookmarkEnd w:id="76"/>
      <w:bookmarkEnd w:id="77"/>
      <w:bookmarkEnd w:id="78"/>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.1报价截止时间和开标时间</w:t>
      </w:r>
      <w:r>
        <w:rPr>
          <w:rFonts w:hint="eastAsia" w:ascii="宋体" w:hAnsi="宋体" w:cs="宋体"/>
          <w:color w:val="auto"/>
          <w:szCs w:val="21"/>
          <w:highlight w:val="none"/>
        </w:rPr>
        <w:t>：</w:t>
      </w:r>
      <w:r>
        <w:rPr>
          <w:rFonts w:hint="eastAsia" w:ascii="宋体" w:hAnsi="宋体" w:eastAsia="宋体" w:cs="宋体"/>
          <w:highlight w:val="none"/>
          <w:lang w:val="en-US" w:eastAsia="zh-CN"/>
        </w:rPr>
        <w:t>202</w:t>
      </w:r>
      <w:r>
        <w:rPr>
          <w:rFonts w:hint="eastAsia" w:ascii="宋体" w:hAnsi="宋体" w:cs="宋体"/>
          <w:highlight w:val="none"/>
          <w:lang w:val="en-US" w:eastAsia="zh-CN"/>
        </w:rPr>
        <w:t>4</w:t>
      </w:r>
      <w:r>
        <w:rPr>
          <w:rFonts w:hint="eastAsia" w:ascii="宋体" w:hAnsi="宋体" w:eastAsia="宋体" w:cs="宋体"/>
          <w:highlight w:val="none"/>
          <w:lang w:val="en-US" w:eastAsia="zh-CN"/>
        </w:rPr>
        <w:t>年</w:t>
      </w:r>
      <w:r>
        <w:rPr>
          <w:rFonts w:hint="eastAsia" w:ascii="宋体" w:hAnsi="宋体" w:cs="宋体"/>
          <w:highlight w:val="none"/>
          <w:lang w:val="en-US" w:eastAsia="zh-CN"/>
        </w:rPr>
        <w:t>6</w:t>
      </w:r>
      <w:r>
        <w:rPr>
          <w:rFonts w:hint="eastAsia" w:ascii="宋体" w:hAnsi="宋体" w:eastAsia="宋体" w:cs="宋体"/>
          <w:highlight w:val="none"/>
          <w:lang w:val="en-US" w:eastAsia="zh-CN"/>
        </w:rPr>
        <w:t>月</w:t>
      </w:r>
      <w:r>
        <w:rPr>
          <w:rFonts w:hint="eastAsia" w:ascii="宋体" w:hAnsi="宋体" w:cs="宋体"/>
          <w:highlight w:val="none"/>
          <w:lang w:val="en-US" w:eastAsia="zh-CN"/>
        </w:rPr>
        <w:t>26</w:t>
      </w:r>
      <w:r>
        <w:rPr>
          <w:rFonts w:hint="eastAsia" w:ascii="宋体" w:hAnsi="宋体" w:eastAsia="宋体" w:cs="宋体"/>
          <w:highlight w:val="none"/>
          <w:lang w:val="en-US" w:eastAsia="zh-CN"/>
        </w:rPr>
        <w:t>日</w:t>
      </w:r>
      <w:r>
        <w:rPr>
          <w:rFonts w:hint="eastAsia" w:ascii="宋体" w:hAnsi="宋体" w:cs="Times New Roman"/>
          <w:szCs w:val="21"/>
          <w:highlight w:val="none"/>
          <w:u w:val="none"/>
          <w:lang w:val="en-US" w:eastAsia="zh-CN"/>
        </w:rPr>
        <w:t>上午</w:t>
      </w:r>
      <w:r>
        <w:rPr>
          <w:rFonts w:hint="eastAsia" w:ascii="宋体" w:hAnsi="宋体" w:cs="宋体"/>
          <w:color w:val="auto"/>
          <w:szCs w:val="21"/>
          <w:highlight w:val="none"/>
          <w:u w:val="none"/>
          <w:lang w:val="en-US" w:eastAsia="zh-CN"/>
        </w:rPr>
        <w:t>11</w:t>
      </w:r>
      <w:r>
        <w:rPr>
          <w:rFonts w:hint="eastAsia" w:ascii="宋体" w:hAnsi="宋体" w:cs="宋体"/>
          <w:color w:val="auto"/>
          <w:szCs w:val="21"/>
          <w:highlight w:val="none"/>
          <w:u w:val="none"/>
        </w:rPr>
        <w:t>时</w:t>
      </w:r>
      <w:r>
        <w:rPr>
          <w:rFonts w:hint="eastAsia" w:ascii="宋体" w:hAnsi="宋体" w:cs="宋体"/>
          <w:color w:val="auto"/>
          <w:szCs w:val="21"/>
          <w:highlight w:val="none"/>
          <w:u w:val="none"/>
          <w:lang w:val="en-US" w:eastAsia="zh-CN"/>
        </w:rPr>
        <w:t>00</w:t>
      </w:r>
      <w:r>
        <w:rPr>
          <w:rFonts w:hint="eastAsia" w:ascii="宋体" w:hAnsi="宋体" w:cs="宋体"/>
          <w:color w:val="auto"/>
          <w:szCs w:val="21"/>
          <w:highlight w:val="none"/>
          <w:u w:val="none"/>
        </w:rPr>
        <w:t>分（</w:t>
      </w:r>
      <w:r>
        <w:rPr>
          <w:rFonts w:hint="eastAsia" w:ascii="宋体" w:hAnsi="宋体" w:cs="宋体"/>
          <w:color w:val="auto"/>
          <w:szCs w:val="21"/>
          <w:highlight w:val="none"/>
        </w:rPr>
        <w:t>北京时间）</w:t>
      </w:r>
      <w:r>
        <w:rPr>
          <w:rFonts w:hint="eastAsia" w:ascii="宋体" w:hAnsi="宋体" w:cs="宋体"/>
          <w:szCs w:val="21"/>
          <w:highlight w:val="none"/>
        </w:rPr>
        <w:t>。</w:t>
      </w:r>
    </w:p>
    <w:p>
      <w:pPr>
        <w:tabs>
          <w:tab w:val="left" w:pos="360"/>
        </w:tabs>
        <w:spacing w:line="400" w:lineRule="exact"/>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6</w:t>
      </w:r>
      <w:r>
        <w:rPr>
          <w:rFonts w:hint="default" w:ascii="宋体" w:hAnsi="宋体" w:cs="宋体"/>
          <w:szCs w:val="21"/>
          <w:highlight w:val="none"/>
          <w:lang w:val="en-US" w:eastAsia="zh-CN"/>
        </w:rPr>
        <w:t>.</w:t>
      </w:r>
      <w:r>
        <w:rPr>
          <w:rFonts w:hint="eastAsia" w:ascii="宋体" w:hAnsi="宋体" w:cs="宋体"/>
          <w:szCs w:val="21"/>
          <w:highlight w:val="none"/>
          <w:lang w:val="en-US" w:eastAsia="zh-CN"/>
        </w:rPr>
        <w:t>2</w:t>
      </w:r>
      <w:r>
        <w:rPr>
          <w:rFonts w:hint="default" w:ascii="宋体" w:hAnsi="宋体" w:cs="宋体"/>
          <w:szCs w:val="21"/>
          <w:highlight w:val="none"/>
          <w:lang w:val="en-US" w:eastAsia="zh-CN"/>
        </w:rPr>
        <w:t xml:space="preserve"> 报价的递交方式：现场递交或邮寄，若采用现场递交方式须在报价截止当天将文件送达并参与现场开标；若采用邮寄方式需在报价截止时间之前将响应文件邮寄到达递交地址，并按要求进行密封，否则采购人有权拒收，采用邮寄方式的报价人默认认可采购人的开标结果，不得由此提出任何质疑。</w:t>
      </w:r>
    </w:p>
    <w:p>
      <w:pPr>
        <w:tabs>
          <w:tab w:val="left" w:pos="360"/>
        </w:tabs>
        <w:spacing w:line="400" w:lineRule="exact"/>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6</w:t>
      </w:r>
      <w:r>
        <w:rPr>
          <w:rFonts w:hint="default" w:ascii="宋体" w:hAnsi="宋体" w:cs="宋体"/>
          <w:szCs w:val="21"/>
          <w:highlight w:val="none"/>
          <w:lang w:val="en-US" w:eastAsia="zh-CN"/>
        </w:rPr>
        <w:t>.3 递交地址：重庆市渝北区新南路52号东界龙湖</w:t>
      </w:r>
      <w:r>
        <w:rPr>
          <w:rFonts w:hint="eastAsia" w:ascii="宋体" w:hAnsi="宋体" w:cs="宋体"/>
          <w:szCs w:val="21"/>
          <w:highlight w:val="none"/>
          <w:lang w:val="en-US" w:eastAsia="zh-CN"/>
        </w:rPr>
        <w:t>一</w:t>
      </w:r>
      <w:r>
        <w:rPr>
          <w:rFonts w:hint="default" w:ascii="宋体" w:hAnsi="宋体" w:cs="宋体"/>
          <w:szCs w:val="21"/>
          <w:highlight w:val="none"/>
          <w:lang w:val="en-US" w:eastAsia="zh-CN"/>
        </w:rPr>
        <w:t>楼。</w:t>
      </w:r>
    </w:p>
    <w:p>
      <w:pPr>
        <w:tabs>
          <w:tab w:val="left" w:pos="360"/>
        </w:tabs>
        <w:spacing w:line="400" w:lineRule="exact"/>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6</w:t>
      </w:r>
      <w:r>
        <w:rPr>
          <w:rFonts w:hint="default" w:ascii="宋体" w:hAnsi="宋体" w:cs="宋体"/>
          <w:szCs w:val="21"/>
          <w:highlight w:val="none"/>
          <w:lang w:val="en-US" w:eastAsia="zh-CN"/>
        </w:rPr>
        <w:t>.4 逾期送达，或未送达指定地点，或未密封的竞争性比选响应文件，采购人不予受理。</w:t>
      </w:r>
    </w:p>
    <w:p>
      <w:pPr>
        <w:tabs>
          <w:tab w:val="left" w:pos="360"/>
        </w:tabs>
        <w:spacing w:line="40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6.5 采购人不组织项目现场踏勘，不召开报价预备会。</w:t>
      </w:r>
    </w:p>
    <w:p>
      <w:pPr>
        <w:pStyle w:val="3"/>
        <w:spacing w:before="120" w:after="0" w:line="400" w:lineRule="exac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 联系方式</w:t>
      </w:r>
      <w:bookmarkEnd w:id="79"/>
      <w:bookmarkEnd w:id="80"/>
      <w:bookmarkEnd w:id="81"/>
      <w:bookmarkEnd w:id="82"/>
      <w:bookmarkEnd w:id="83"/>
      <w:bookmarkEnd w:id="84"/>
      <w:bookmarkEnd w:id="85"/>
      <w:bookmarkEnd w:id="86"/>
      <w:bookmarkEnd w:id="87"/>
      <w:bookmarkEnd w:id="88"/>
      <w:bookmarkEnd w:id="89"/>
      <w:bookmarkEnd w:id="90"/>
    </w:p>
    <w:tbl>
      <w:tblPr>
        <w:tblStyle w:val="20"/>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24"/>
              <w:spacing w:before="0" w:beforeAutospacing="0" w:after="0" w:afterAutospacing="0" w:line="400" w:lineRule="exact"/>
              <w:ind w:firstLine="420" w:firstLineChars="200"/>
              <w:jc w:val="both"/>
              <w:rPr>
                <w:rFonts w:ascii="宋体" w:hAnsi="宋体" w:cs="宋体"/>
                <w:color w:val="000000" w:themeColor="text1"/>
                <w:kern w:val="2"/>
                <w:sz w:val="21"/>
                <w:szCs w:val="21"/>
                <w14:textFill>
                  <w14:solidFill>
                    <w14:schemeClr w14:val="tx1"/>
                  </w14:solidFill>
                </w14:textFill>
              </w:rPr>
            </w:pPr>
            <w:r>
              <w:rPr>
                <w:rFonts w:hint="eastAsia" w:ascii="宋体" w:hAnsi="宋体" w:cs="宋体"/>
                <w:kern w:val="2"/>
                <w:sz w:val="21"/>
                <w:szCs w:val="21"/>
              </w:rPr>
              <w:t>采购人：重庆首讯科技股份有限公司</w:t>
            </w:r>
          </w:p>
        </w:tc>
        <w:tc>
          <w:tcPr>
            <w:tcW w:w="1415" w:type="dxa"/>
            <w:vAlign w:val="center"/>
          </w:tcPr>
          <w:p>
            <w:pPr>
              <w:pStyle w:val="24"/>
              <w:spacing w:before="0" w:beforeAutospacing="0" w:after="0" w:afterAutospacing="0" w:line="400" w:lineRule="exact"/>
              <w:ind w:firstLine="420" w:firstLineChars="200"/>
              <w:jc w:val="both"/>
              <w:rPr>
                <w:rFonts w:ascii="宋体" w:hAnsi="宋体" w:cs="宋体"/>
                <w:color w:val="000000" w:themeColor="text1"/>
                <w:kern w:val="2"/>
                <w:sz w:val="21"/>
                <w:szCs w:val="21"/>
                <w14:textFill>
                  <w14:solidFill>
                    <w14:schemeClr w14:val="tx1"/>
                  </w14:solidFill>
                </w14:textFill>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color w:val="000000" w:themeColor="text1"/>
                <w:szCs w:val="21"/>
                <w14:textFill>
                  <w14:solidFill>
                    <w14:schemeClr w14:val="tx1"/>
                  </w14:solidFill>
                </w14:textFill>
              </w:rPr>
            </w:pPr>
            <w:r>
              <w:rPr>
                <w:rFonts w:hint="eastAsia" w:ascii="宋体" w:hAnsi="宋体" w:cs="宋体"/>
                <w:szCs w:val="21"/>
              </w:rPr>
              <w:t>地址：重庆市渝北区新南路52号东界龙湖</w:t>
            </w:r>
            <w:r>
              <w:rPr>
                <w:rFonts w:hint="eastAsia" w:ascii="宋体" w:hAnsi="宋体" w:cs="宋体"/>
                <w:szCs w:val="21"/>
                <w:lang w:val="en-US" w:eastAsia="zh-CN"/>
              </w:rPr>
              <w:t>三</w:t>
            </w:r>
            <w:r>
              <w:rPr>
                <w:rFonts w:hint="eastAsia" w:ascii="宋体" w:hAnsi="宋体" w:cs="宋体"/>
                <w:szCs w:val="21"/>
              </w:rPr>
              <w:t>楼</w:t>
            </w:r>
          </w:p>
        </w:tc>
        <w:tc>
          <w:tcPr>
            <w:tcW w:w="1415"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eastAsia="宋体"/>
                <w:color w:val="000000" w:themeColor="text1"/>
                <w:lang w:val="en-US" w:eastAsia="zh-CN"/>
                <w14:textFill>
                  <w14:solidFill>
                    <w14:schemeClr w14:val="tx1"/>
                  </w14:solidFill>
                </w14:textFill>
              </w:rPr>
            </w:pPr>
            <w:r>
              <w:rPr>
                <w:rFonts w:hint="eastAsia" w:ascii="宋体" w:hAnsi="宋体" w:cs="宋体"/>
                <w:szCs w:val="21"/>
                <w:highlight w:val="none"/>
              </w:rPr>
              <w:t>商务联系人：</w:t>
            </w:r>
            <w:r>
              <w:rPr>
                <w:rFonts w:hint="eastAsia" w:ascii="宋体" w:hAnsi="宋体" w:cs="宋体"/>
                <w:szCs w:val="21"/>
                <w:highlight w:val="none"/>
                <w:lang w:val="en-US" w:eastAsia="zh-CN"/>
              </w:rPr>
              <w:t>蒋</w:t>
            </w:r>
            <w:bookmarkStart w:id="270" w:name="_GoBack"/>
            <w:bookmarkEnd w:id="270"/>
            <w:r>
              <w:rPr>
                <w:rFonts w:hint="eastAsia" w:ascii="宋体" w:hAnsi="宋体" w:cs="宋体"/>
                <w:szCs w:val="21"/>
                <w:highlight w:val="none"/>
              </w:rPr>
              <w:t>老师  电 话：</w:t>
            </w:r>
            <w:r>
              <w:rPr>
                <w:rFonts w:hint="eastAsia" w:ascii="宋体" w:hAnsi="宋体" w:cs="宋体"/>
                <w:szCs w:val="21"/>
                <w:lang w:val="en-US" w:eastAsia="zh-CN"/>
              </w:rPr>
              <w:t>18523055172</w:t>
            </w:r>
          </w:p>
        </w:tc>
        <w:tc>
          <w:tcPr>
            <w:tcW w:w="1415"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ascii="宋体" w:hAnsi="宋体" w:cs="宋体"/>
                <w:color w:val="000000" w:themeColor="text1"/>
                <w:szCs w:val="21"/>
                <w:lang w:val="en-US"/>
                <w14:textFill>
                  <w14:solidFill>
                    <w14:schemeClr w14:val="tx1"/>
                  </w14:solidFill>
                </w14:textFill>
              </w:rPr>
            </w:pPr>
            <w:r>
              <w:rPr>
                <w:rFonts w:hint="eastAsia" w:ascii="宋体" w:hAnsi="宋体" w:cs="宋体"/>
                <w:szCs w:val="21"/>
                <w:highlight w:val="none"/>
                <w:lang w:val="en-US" w:eastAsia="zh-CN"/>
              </w:rPr>
              <w:t xml:space="preserve">技术联系人：邹老师  </w:t>
            </w:r>
            <w:r>
              <w:rPr>
                <w:rFonts w:hint="eastAsia" w:ascii="宋体" w:hAnsi="宋体" w:cs="宋体"/>
                <w:szCs w:val="21"/>
                <w:highlight w:val="none"/>
              </w:rPr>
              <w:t>电 话：</w:t>
            </w:r>
            <w:r>
              <w:rPr>
                <w:rFonts w:hint="eastAsia" w:ascii="宋体" w:hAnsi="宋体" w:cs="宋体"/>
                <w:szCs w:val="21"/>
                <w:highlight w:val="none"/>
                <w:lang w:val="en-US" w:eastAsia="zh-CN"/>
              </w:rPr>
              <w:t>17623719773</w:t>
            </w:r>
          </w:p>
        </w:tc>
        <w:tc>
          <w:tcPr>
            <w:tcW w:w="1415"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p>
        </w:tc>
      </w:tr>
    </w:tbl>
    <w:p>
      <w:pPr>
        <w:rPr>
          <w:color w:val="000000" w:themeColor="text1"/>
          <w14:textFill>
            <w14:solidFill>
              <w14:schemeClr w14:val="tx1"/>
            </w14:solidFill>
          </w14:textFill>
        </w:rPr>
      </w:pPr>
    </w:p>
    <w:p>
      <w:pPr>
        <w:pStyle w:val="14"/>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4"/>
        <w:rPr>
          <w:color w:val="000000" w:themeColor="text1"/>
          <w14:textFill>
            <w14:solidFill>
              <w14:schemeClr w14:val="tx1"/>
            </w14:solidFill>
          </w14:textFill>
        </w:rPr>
      </w:pPr>
    </w:p>
    <w:p>
      <w:pPr>
        <w:rPr>
          <w:color w:val="000000" w:themeColor="text1"/>
          <w14:textFill>
            <w14:solidFill>
              <w14:schemeClr w14:val="tx1"/>
            </w14:solidFill>
          </w14:textFill>
        </w:rPr>
      </w:pPr>
    </w:p>
    <w:bookmarkEnd w:id="16"/>
    <w:bookmarkEnd w:id="17"/>
    <w:p>
      <w:pPr>
        <w:pStyle w:val="2"/>
        <w:spacing w:before="0" w:after="0" w:line="360" w:lineRule="auto"/>
        <w:jc w:val="center"/>
        <w:rPr>
          <w:rFonts w:ascii="宋体" w:hAnsi="宋体" w:cs="宋体"/>
          <w:color w:val="000000" w:themeColor="text1"/>
          <w14:textFill>
            <w14:solidFill>
              <w14:schemeClr w14:val="tx1"/>
            </w14:solidFill>
          </w14:textFill>
        </w:rPr>
      </w:pPr>
      <w:bookmarkStart w:id="91" w:name="_Toc507319898"/>
      <w:bookmarkStart w:id="92" w:name="_Toc152042303"/>
      <w:bookmarkStart w:id="93" w:name="_Toc246996916"/>
      <w:bookmarkStart w:id="94" w:name="_Toc246996173"/>
      <w:bookmarkStart w:id="95" w:name="_Toc144974495"/>
      <w:bookmarkStart w:id="96" w:name="_Toc21719"/>
      <w:bookmarkStart w:id="97" w:name="_Toc179632544"/>
      <w:bookmarkStart w:id="98" w:name="_Toc152045527"/>
      <w:bookmarkStart w:id="99" w:name="_Toc247085687"/>
      <w:bookmarkStart w:id="100" w:name="_Toc2000405"/>
      <w:r>
        <w:rPr>
          <w:rFonts w:hint="eastAsia" w:ascii="宋体" w:hAnsi="宋体" w:cs="宋体"/>
          <w:color w:val="000000" w:themeColor="text1"/>
          <w14:textFill>
            <w14:solidFill>
              <w14:schemeClr w14:val="tx1"/>
            </w14:solidFill>
          </w14:textFill>
        </w:rPr>
        <w:br w:type="page"/>
      </w:r>
      <w:r>
        <w:rPr>
          <w:rFonts w:hint="eastAsia" w:ascii="宋体" w:hAnsi="宋体" w:cs="宋体"/>
          <w:color w:val="000000" w:themeColor="text1"/>
          <w14:textFill>
            <w14:solidFill>
              <w14:schemeClr w14:val="tx1"/>
            </w14:solidFill>
          </w14:textFill>
        </w:rPr>
        <w:t>第二章 报价人须知</w:t>
      </w:r>
      <w:bookmarkEnd w:id="91"/>
      <w:bookmarkEnd w:id="92"/>
      <w:bookmarkEnd w:id="93"/>
      <w:bookmarkEnd w:id="94"/>
      <w:bookmarkEnd w:id="95"/>
      <w:bookmarkEnd w:id="96"/>
      <w:bookmarkEnd w:id="97"/>
      <w:bookmarkEnd w:id="98"/>
      <w:bookmarkEnd w:id="99"/>
      <w:bookmarkEnd w:id="100"/>
    </w:p>
    <w:p>
      <w:pPr>
        <w:rPr>
          <w:color w:val="000000" w:themeColor="text1"/>
          <w14:textFill>
            <w14:solidFill>
              <w14:schemeClr w14:val="tx1"/>
            </w14:solidFill>
          </w14:textFill>
        </w:rPr>
      </w:pPr>
    </w:p>
    <w:tbl>
      <w:tblPr>
        <w:tblStyle w:val="20"/>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color w:val="000000" w:themeColor="text1"/>
                <w:kern w:val="0"/>
                <w:szCs w:val="21"/>
                <w14:textFill>
                  <w14:solidFill>
                    <w14:schemeClr w14:val="tx1"/>
                  </w14:solidFill>
                </w14:textFill>
              </w:rPr>
            </w:pPr>
            <w:bookmarkStart w:id="101" w:name="_Toc326760840"/>
            <w:r>
              <w:rPr>
                <w:rFonts w:hint="eastAsia" w:ascii="宋体" w:hAnsi="宋体" w:cs="宋体"/>
                <w:b/>
                <w:color w:val="000000" w:themeColor="text1"/>
                <w:kern w:val="0"/>
                <w:szCs w:val="21"/>
                <w14:textFill>
                  <w14:solidFill>
                    <w14:schemeClr w14:val="tx1"/>
                  </w14:solidFill>
                </w14:textFill>
              </w:rPr>
              <w:t>序号</w:t>
            </w:r>
          </w:p>
        </w:tc>
        <w:tc>
          <w:tcPr>
            <w:tcW w:w="2106" w:type="dxa"/>
            <w:vAlign w:val="center"/>
          </w:tcPr>
          <w:p>
            <w:pPr>
              <w:spacing w:line="400" w:lineRule="exac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条款名称</w:t>
            </w:r>
          </w:p>
        </w:tc>
        <w:tc>
          <w:tcPr>
            <w:tcW w:w="7104" w:type="dxa"/>
            <w:vAlign w:val="center"/>
          </w:tcPr>
          <w:p>
            <w:pPr>
              <w:spacing w:line="400" w:lineRule="exact"/>
              <w:ind w:firstLine="422" w:firstLineChars="200"/>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采购人</w:t>
            </w:r>
          </w:p>
        </w:tc>
        <w:tc>
          <w:tcPr>
            <w:tcW w:w="7104"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采购人：重庆首讯科技股份有限公司</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  址：</w:t>
            </w:r>
            <w:r>
              <w:rPr>
                <w:rFonts w:hint="eastAsia" w:ascii="宋体" w:hAnsi="宋体" w:cs="宋体"/>
                <w:szCs w:val="21"/>
                <w:lang w:val="en-US" w:eastAsia="zh-CN"/>
              </w:rPr>
              <w:t>重庆市渝北区新南路52号东界龙湖三楼</w:t>
            </w:r>
          </w:p>
          <w:p>
            <w:pPr>
              <w:spacing w:line="40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r>
              <w:rPr>
                <w:rFonts w:hint="eastAsia" w:ascii="宋体" w:hAnsi="宋体" w:cs="宋体"/>
                <w:szCs w:val="21"/>
                <w:lang w:val="en-US" w:eastAsia="zh-CN"/>
              </w:rPr>
              <w:t>蒋老师</w:t>
            </w:r>
          </w:p>
          <w:p>
            <w:pPr>
              <w:topLinePunct/>
              <w:spacing w:line="420" w:lineRule="exact"/>
              <w:ind w:firstLine="420" w:firstLineChars="200"/>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  话：</w:t>
            </w:r>
            <w:r>
              <w:rPr>
                <w:rFonts w:hint="eastAsia" w:ascii="宋体" w:hAnsi="宋体" w:cs="宋体"/>
                <w:szCs w:val="21"/>
                <w:lang w:val="en-US" w:eastAsia="zh-CN"/>
              </w:rPr>
              <w:t>18523055172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项目名称</w:t>
            </w:r>
          </w:p>
        </w:tc>
        <w:tc>
          <w:tcPr>
            <w:tcW w:w="7104" w:type="dxa"/>
            <w:vAlign w:val="center"/>
          </w:tcPr>
          <w:p>
            <w:pPr>
              <w:spacing w:line="40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巫溪至开州高速公路项目机电工程语音服务平台组件采购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项目地点</w:t>
            </w:r>
          </w:p>
        </w:tc>
        <w:tc>
          <w:tcPr>
            <w:tcW w:w="7104"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2106"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2106"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工期要求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color w:val="000000" w:themeColor="text1"/>
                <w:kern w:val="1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质量要求</w:t>
            </w:r>
          </w:p>
        </w:tc>
        <w:tc>
          <w:tcPr>
            <w:tcW w:w="7104" w:type="dxa"/>
          </w:tcPr>
          <w:p>
            <w:pPr>
              <w:spacing w:line="400" w:lineRule="exact"/>
              <w:ind w:firstLine="420" w:firstLineChars="200"/>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达到国家和地方现行有关质量标准和比选文件第七章技术标准和工作要求，并且一次性验收合格。</w:t>
            </w:r>
            <w:r>
              <w:rPr>
                <w:rFonts w:hint="eastAsia" w:ascii="宋体" w:hAnsi="宋体" w:cs="宋体"/>
                <w:color w:val="000000" w:themeColor="text1"/>
                <w:szCs w:val="21"/>
                <w:lang w:val="en-US" w:eastAsia="zh-CN"/>
                <w14:textFill>
                  <w14:solidFill>
                    <w14:schemeClr w14:val="tx1"/>
                  </w14:solidFill>
                </w14:textFill>
              </w:rPr>
              <w:t>缺陷责任期：12个月，自甲方验收合格之日起算。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安全目标</w:t>
            </w:r>
          </w:p>
        </w:tc>
        <w:tc>
          <w:tcPr>
            <w:tcW w:w="7104" w:type="dxa"/>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报价人资质条件、能力与信誉</w:t>
            </w:r>
          </w:p>
        </w:tc>
        <w:tc>
          <w:tcPr>
            <w:tcW w:w="7104"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（1）资质条件：见比选公告3.1</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（2）业绩要求：见比选公告3.2</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（3）信誉要求：见比选公告3.3</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（4）项目主要人员要求：见附录1</w:t>
            </w:r>
          </w:p>
          <w:p>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（5）其他要求：见附录2、见附录3</w:t>
            </w:r>
          </w:p>
          <w:p>
            <w:pPr>
              <w:pStyle w:val="25"/>
              <w:adjustRightInd/>
              <w:spacing w:line="400" w:lineRule="exact"/>
              <w:ind w:firstLine="422" w:firstLineChars="200"/>
              <w:jc w:val="both"/>
              <w:rPr>
                <w:rFonts w:hint="eastAsia" w:ascii="宋体" w:hAnsi="宋体" w:cs="宋体"/>
                <w:color w:val="000000" w:themeColor="text1"/>
                <w:szCs w:val="21"/>
                <w14:textFill>
                  <w14:solidFill>
                    <w14:schemeClr w14:val="tx1"/>
                  </w14:solidFill>
                </w14:textFill>
              </w:rPr>
            </w:pPr>
            <w:r>
              <w:rPr>
                <w:rFonts w:hint="eastAsia" w:hAnsi="宋体"/>
                <w:b/>
                <w:bCs/>
                <w:color w:val="000000" w:themeColor="text1"/>
                <w:sz w:val="21"/>
                <w:szCs w:val="21"/>
                <w14:textFill>
                  <w14:solidFill>
                    <w14:schemeClr w14:val="tx1"/>
                  </w14:solidFill>
                </w14:textFill>
              </w:rPr>
              <w:t>以上（附录1-附录3中的资格审查）的要求均为强制性条件，其中任何一条不满足要求，则按否决报价处理。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是否接受</w:t>
            </w:r>
          </w:p>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联合体报价</w:t>
            </w:r>
          </w:p>
        </w:tc>
        <w:tc>
          <w:tcPr>
            <w:tcW w:w="7104" w:type="dxa"/>
            <w:vAlign w:val="center"/>
          </w:tcPr>
          <w:p>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踏勘现场</w:t>
            </w:r>
          </w:p>
        </w:tc>
        <w:tc>
          <w:tcPr>
            <w:tcW w:w="7104" w:type="dxa"/>
            <w:vAlign w:val="center"/>
          </w:tcPr>
          <w:p>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分包</w:t>
            </w:r>
          </w:p>
        </w:tc>
        <w:tc>
          <w:tcPr>
            <w:tcW w:w="7104" w:type="dxa"/>
            <w:vAlign w:val="center"/>
          </w:tcPr>
          <w:p>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偏差</w:t>
            </w:r>
          </w:p>
        </w:tc>
        <w:tc>
          <w:tcPr>
            <w:tcW w:w="7104" w:type="dxa"/>
            <w:vAlign w:val="center"/>
          </w:tcPr>
          <w:p>
            <w:pPr>
              <w:spacing w:line="400" w:lineRule="exact"/>
              <w:ind w:firstLine="422" w:firstLineChars="200"/>
              <w:rPr>
                <w:rFonts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w:t>
            </w:r>
          </w:p>
        </w:tc>
        <w:tc>
          <w:tcPr>
            <w:tcW w:w="2106" w:type="dxa"/>
            <w:vAlign w:val="center"/>
          </w:tcPr>
          <w:p>
            <w:pPr>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构成比选文件的其他材料</w:t>
            </w:r>
          </w:p>
        </w:tc>
        <w:tc>
          <w:tcPr>
            <w:tcW w:w="7104" w:type="dxa"/>
            <w:vAlign w:val="center"/>
          </w:tcPr>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bookmarkStart w:id="102" w:name="_Hlt227984024"/>
            <w:bookmarkEnd w:id="102"/>
            <w:r>
              <w:rPr>
                <w:rFonts w:hint="eastAsia" w:ascii="宋体" w:hAnsi="宋体" w:cs="宋体"/>
                <w:color w:val="000000" w:themeColor="text1"/>
                <w:kern w:val="0"/>
                <w:szCs w:val="21"/>
                <w14:textFill>
                  <w14:solidFill>
                    <w14:schemeClr w14:val="tx1"/>
                  </w14:solidFill>
                </w14:textFill>
              </w:rPr>
              <w:t>14</w:t>
            </w:r>
          </w:p>
        </w:tc>
        <w:tc>
          <w:tcPr>
            <w:tcW w:w="2106"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构成竞争性比选响应文件的其他材料</w:t>
            </w:r>
          </w:p>
        </w:tc>
        <w:tc>
          <w:tcPr>
            <w:tcW w:w="7104" w:type="dxa"/>
            <w:vAlign w:val="center"/>
          </w:tcPr>
          <w:p>
            <w:pPr>
              <w:pStyle w:val="25"/>
              <w:spacing w:before="72" w:line="400" w:lineRule="exact"/>
              <w:ind w:firstLine="420" w:firstLineChars="200"/>
              <w:jc w:val="both"/>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w:t>
            </w:r>
          </w:p>
        </w:tc>
        <w:tc>
          <w:tcPr>
            <w:tcW w:w="2106" w:type="dxa"/>
            <w:tcBorders>
              <w:bottom w:val="single" w:color="auto" w:sz="4"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工程量清单的填写方式</w:t>
            </w:r>
          </w:p>
        </w:tc>
        <w:tc>
          <w:tcPr>
            <w:tcW w:w="7104" w:type="dxa"/>
            <w:tcBorders>
              <w:bottom w:val="single" w:color="auto" w:sz="4" w:space="0"/>
            </w:tcBorders>
          </w:tcPr>
          <w:p>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报价人按照采购人提供的工程量清单填写工程量清单。</w:t>
            </w:r>
          </w:p>
          <w:p>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综合单价取小数点后两位，小数点后第三位四舍五入。</w:t>
            </w:r>
          </w:p>
          <w:p>
            <w:pPr>
              <w:spacing w:line="40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w:t>
            </w:r>
          </w:p>
        </w:tc>
        <w:tc>
          <w:tcPr>
            <w:tcW w:w="2106"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最高投标限价</w:t>
            </w:r>
          </w:p>
        </w:tc>
        <w:tc>
          <w:tcPr>
            <w:tcW w:w="7104" w:type="dxa"/>
            <w:tcBorders>
              <w:bottom w:val="single" w:color="auto" w:sz="4" w:space="0"/>
            </w:tcBorders>
          </w:tcPr>
          <w:p>
            <w:pPr>
              <w:spacing w:line="400" w:lineRule="exact"/>
              <w:ind w:firstLine="422" w:firstLineChars="200"/>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b/>
                <w:bCs/>
                <w:szCs w:val="21"/>
                <w:lang w:eastAsia="zh-CN"/>
              </w:rPr>
              <w:t>巫溪至开州高速公路项目机电工程语音服务平台组件采购</w:t>
            </w:r>
            <w:r>
              <w:rPr>
                <w:rFonts w:hint="eastAsia" w:ascii="宋体" w:hAnsi="宋体"/>
                <w:b/>
                <w:bCs/>
                <w:szCs w:val="21"/>
              </w:rPr>
              <w:t>项目最高限价：</w:t>
            </w:r>
            <w:r>
              <w:rPr>
                <w:rFonts w:hint="eastAsia" w:ascii="宋体" w:hAnsi="宋体"/>
                <w:b/>
                <w:bCs/>
                <w:szCs w:val="21"/>
                <w:highlight w:val="none"/>
                <w:u w:val="single"/>
              </w:rPr>
              <w:t>428000.00元。</w:t>
            </w:r>
          </w:p>
          <w:p>
            <w:pPr>
              <w:spacing w:line="400" w:lineRule="exact"/>
              <w:ind w:firstLine="422" w:firstLineChars="200"/>
              <w:rPr>
                <w:rFonts w:ascii="宋体" w:hAnsi="宋体" w:cs="宋体"/>
                <w:b/>
                <w:bCs/>
                <w:color w:val="000000" w:themeColor="text1"/>
                <w:kern w:val="0"/>
                <w:szCs w:val="21"/>
                <w14:textFill>
                  <w14:solidFill>
                    <w14:schemeClr w14:val="tx1"/>
                  </w14:solidFill>
                </w14:textFill>
              </w:rPr>
            </w:pPr>
            <w:r>
              <w:rPr>
                <w:rFonts w:hint="eastAsia" w:ascii="宋体" w:hAnsi="宋体"/>
                <w:b/>
                <w:bCs/>
                <w:szCs w:val="21"/>
                <w:highlight w:val="none"/>
                <w:lang w:val="en-US" w:eastAsia="zh-CN"/>
              </w:rPr>
              <w:t>报价人所报价格不得超过采购人发布的限价，否则</w:t>
            </w:r>
            <w:r>
              <w:rPr>
                <w:rFonts w:hint="eastAsia" w:ascii="宋体" w:hAnsi="宋体" w:cs="宋体"/>
                <w:b/>
                <w:szCs w:val="21"/>
                <w:highlight w:val="none"/>
              </w:rPr>
              <w:t>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w:t>
            </w:r>
          </w:p>
        </w:tc>
        <w:tc>
          <w:tcPr>
            <w:tcW w:w="2106"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合同支付办法</w:t>
            </w:r>
          </w:p>
        </w:tc>
        <w:tc>
          <w:tcPr>
            <w:tcW w:w="7104" w:type="dxa"/>
            <w:tcBorders>
              <w:bottom w:val="single" w:color="auto" w:sz="4" w:space="0"/>
            </w:tcBorders>
          </w:tcPr>
          <w:p>
            <w:pPr>
              <w:numPr>
                <w:ilvl w:val="-1"/>
                <w:numId w:val="0"/>
              </w:numPr>
              <w:spacing w:line="400" w:lineRule="exact"/>
              <w:ind w:firstLine="420" w:firstLineChars="200"/>
              <w:rPr>
                <w:rFonts w:hint="eastAsia"/>
                <w:color w:val="000000" w:themeColor="text1"/>
                <w:highlight w:val="none"/>
                <w14:textFill>
                  <w14:solidFill>
                    <w14:schemeClr w14:val="tx1"/>
                  </w14:solidFill>
                </w14:textFill>
              </w:rPr>
            </w:pPr>
            <w:bookmarkStart w:id="103" w:name="_Hlk132637631"/>
            <w:r>
              <w:rPr>
                <w:rFonts w:hint="eastAsia"/>
                <w:color w:val="000000" w:themeColor="text1"/>
                <w:highlight w:val="none"/>
                <w14:textFill>
                  <w14:solidFill>
                    <w14:schemeClr w14:val="tx1"/>
                  </w14:solidFill>
                </w14:textFill>
              </w:rPr>
              <w:t>（1）平台部署完成并通过甲方验收后10个工作日内支付至合同款30%；</w:t>
            </w:r>
          </w:p>
          <w:p>
            <w:pPr>
              <w:numPr>
                <w:ilvl w:val="-1"/>
                <w:numId w:val="0"/>
              </w:numPr>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（2）项目对接完成并成功上线，通过甲方验收后10工作日内支付至合同款95%；</w:t>
            </w:r>
          </w:p>
          <w:p>
            <w:pPr>
              <w:numPr>
                <w:ilvl w:val="-1"/>
                <w:numId w:val="0"/>
              </w:numPr>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双方已确认的结算价款的5%作为质量保证金，缺陷责任期（或质保期）一年（从甲方验收合格之日起计算）届满后，由乙方主动提出书面申请，经甲方确认后，30个工作日内全额支付（质量保证金不计任何利息），若乙方未提出书面申请，则相应的延迟责任由乙方自行承担。</w:t>
            </w:r>
          </w:p>
          <w:p>
            <w:pPr>
              <w:numPr>
                <w:ilvl w:val="-1"/>
                <w:numId w:val="0"/>
              </w:numPr>
              <w:spacing w:line="400" w:lineRule="exact"/>
              <w:ind w:firstLine="420" w:firstLineChars="200"/>
              <w:rPr>
                <w:color w:val="000000" w:themeColor="text1"/>
                <w14:textFill>
                  <w14:solidFill>
                    <w14:schemeClr w14:val="tx1"/>
                  </w14:solidFill>
                </w14:textFill>
              </w:rPr>
            </w:pPr>
            <w:r>
              <w:rPr>
                <w:rFonts w:hint="eastAsia"/>
                <w:color w:val="000000" w:themeColor="text1"/>
                <w:highlight w:val="none"/>
                <w14:textFill>
                  <w14:solidFill>
                    <w14:schemeClr w14:val="tx1"/>
                  </w14:solidFill>
                </w14:textFill>
              </w:rPr>
              <w:t>（4）乙方应于甲方每次付款（预付款除外）前提供等额增值税专用发票给甲方。</w:t>
            </w:r>
            <w:bookmarkEnd w:id="10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8</w:t>
            </w:r>
          </w:p>
        </w:tc>
        <w:tc>
          <w:tcPr>
            <w:tcW w:w="2106" w:type="dxa"/>
            <w:tcBorders>
              <w:bottom w:val="single" w:color="auto" w:sz="4"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驻点要求</w:t>
            </w:r>
          </w:p>
        </w:tc>
        <w:tc>
          <w:tcPr>
            <w:tcW w:w="7104" w:type="dxa"/>
            <w:tcBorders>
              <w:bottom w:val="single" w:color="auto" w:sz="4" w:space="0"/>
            </w:tcBorders>
          </w:tcPr>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9</w:t>
            </w:r>
          </w:p>
        </w:tc>
        <w:tc>
          <w:tcPr>
            <w:tcW w:w="2106" w:type="dxa"/>
            <w:tcBorders>
              <w:bottom w:val="single" w:color="auto" w:sz="4" w:space="0"/>
            </w:tcBorders>
            <w:vAlign w:val="center"/>
          </w:tcPr>
          <w:p>
            <w:pPr>
              <w:spacing w:line="400" w:lineRule="exact"/>
              <w:jc w:val="center"/>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报价人须知</w:t>
            </w:r>
          </w:p>
        </w:tc>
        <w:tc>
          <w:tcPr>
            <w:tcW w:w="7104" w:type="dxa"/>
            <w:tcBorders>
              <w:bottom w:val="single" w:color="auto" w:sz="4" w:space="0"/>
            </w:tcBorders>
          </w:tcPr>
          <w:p>
            <w:pPr>
              <w:spacing w:line="400" w:lineRule="exact"/>
              <w:ind w:firstLine="42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报价人</w:t>
            </w:r>
            <w:r>
              <w:rPr>
                <w:rFonts w:hint="eastAsia"/>
                <w:color w:val="000000" w:themeColor="text1"/>
                <w14:textFill>
                  <w14:solidFill>
                    <w14:schemeClr w14:val="tx1"/>
                  </w14:solidFill>
                </w14:textFill>
              </w:rPr>
              <w:t>应认真阅读《设备技术参数要求》后以确认在填报单价和价格之前，设备的所在范围已被包括在每个项目内，报出的单价和价格应被认为包括所有劳务、材料、机械、运输、</w:t>
            </w:r>
            <w:r>
              <w:rPr>
                <w:rFonts w:hint="eastAsia"/>
                <w:color w:val="000000" w:themeColor="text1"/>
                <w:lang w:val="en-US" w:eastAsia="zh-CN"/>
                <w14:textFill>
                  <w14:solidFill>
                    <w14:schemeClr w14:val="tx1"/>
                  </w14:solidFill>
                </w14:textFill>
              </w:rPr>
              <w:t>卸货、</w:t>
            </w:r>
            <w:r>
              <w:rPr>
                <w:rFonts w:hint="eastAsia"/>
                <w:color w:val="000000" w:themeColor="text1"/>
                <w14:textFill>
                  <w14:solidFill>
                    <w14:schemeClr w14:val="tx1"/>
                  </w14:solidFill>
                </w14:textFill>
              </w:rPr>
              <w:t>出厂检验、相关</w:t>
            </w:r>
            <w:r>
              <w:rPr>
                <w:rFonts w:hint="eastAsia"/>
                <w:color w:val="000000" w:themeColor="text1"/>
                <w:lang w:val="en-US" w:eastAsia="zh-CN"/>
                <w14:textFill>
                  <w14:solidFill>
                    <w14:schemeClr w14:val="tx1"/>
                  </w14:solidFill>
                </w14:textFill>
              </w:rPr>
              <w:t>税费</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税率</w:t>
            </w:r>
            <w:r>
              <w:rPr>
                <w:rFonts w:hint="eastAsia"/>
                <w:color w:val="000000" w:themeColor="text1"/>
                <w:lang w:val="en-US" w:eastAsia="zh-CN"/>
                <w14:textFill>
                  <w14:solidFill>
                    <w14:schemeClr w14:val="tx1"/>
                  </w14:solidFill>
                </w14:textFill>
              </w:rPr>
              <w:t>为13%</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调试、</w:t>
            </w:r>
            <w:r>
              <w:rPr>
                <w:rFonts w:hint="eastAsia"/>
                <w:color w:val="000000" w:themeColor="text1"/>
                <w14:textFill>
                  <w14:solidFill>
                    <w14:schemeClr w14:val="tx1"/>
                  </w14:solidFill>
                </w14:textFill>
              </w:rPr>
              <w:t>利润和明示或隐含的风险、保险、责任和义务。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20</w:t>
            </w:r>
          </w:p>
        </w:tc>
        <w:tc>
          <w:tcPr>
            <w:tcW w:w="2106" w:type="dxa"/>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中标候选人的人数</w:t>
            </w:r>
          </w:p>
        </w:tc>
        <w:tc>
          <w:tcPr>
            <w:tcW w:w="7104" w:type="dxa"/>
            <w:vAlign w:val="center"/>
          </w:tcPr>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推荐2名中标候选人。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97" w:type="dxa"/>
            <w:vAlign w:val="center"/>
          </w:tcPr>
          <w:p>
            <w:pPr>
              <w:pStyle w:val="25"/>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w:t>
            </w:r>
            <w:r>
              <w:rPr>
                <w:rFonts w:hAnsi="宋体"/>
                <w:color w:val="000000" w:themeColor="text1"/>
                <w:kern w:val="2"/>
                <w:sz w:val="21"/>
                <w:szCs w:val="21"/>
                <w14:textFill>
                  <w14:solidFill>
                    <w14:schemeClr w14:val="tx1"/>
                  </w14:solidFill>
                </w14:textFill>
              </w:rPr>
              <w:t>1</w:t>
            </w:r>
          </w:p>
        </w:tc>
        <w:tc>
          <w:tcPr>
            <w:tcW w:w="2106" w:type="dxa"/>
            <w:vAlign w:val="center"/>
          </w:tcPr>
          <w:p>
            <w:pPr>
              <w:pStyle w:val="25"/>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保证金</w:t>
            </w:r>
          </w:p>
        </w:tc>
        <w:tc>
          <w:tcPr>
            <w:tcW w:w="7104" w:type="dxa"/>
            <w:vAlign w:val="center"/>
          </w:tcPr>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一、投标保证金</w:t>
            </w:r>
          </w:p>
          <w:p>
            <w:pPr>
              <w:keepNext w:val="0"/>
              <w:keepLines w:val="0"/>
              <w:suppressLineNumbers w:val="0"/>
              <w:spacing w:before="0" w:beforeAutospacing="0" w:after="0" w:afterAutospacing="0" w:line="360" w:lineRule="auto"/>
              <w:ind w:left="0" w:right="0" w:firstLine="420" w:firstLineChars="200"/>
              <w:rPr>
                <w:rFonts w:hint="default"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报价人是否提供</w:t>
            </w:r>
            <w:r>
              <w:rPr>
                <w:rFonts w:hint="eastAsia" w:ascii="宋体" w:hAnsi="宋体" w:cs="宋体"/>
                <w:color w:val="000000"/>
                <w:kern w:val="0"/>
                <w:szCs w:val="21"/>
                <w:highlight w:val="none"/>
                <w:lang w:bidi="ar"/>
              </w:rPr>
              <w:t>投标保证金</w:t>
            </w:r>
            <w:r>
              <w:rPr>
                <w:rFonts w:hint="eastAsia" w:ascii="宋体" w:hAnsi="宋体" w:cs="宋体"/>
                <w:color w:val="000000"/>
                <w:kern w:val="0"/>
                <w:szCs w:val="21"/>
                <w:highlight w:val="none"/>
                <w:lang w:eastAsia="zh-CN" w:bidi="ar"/>
              </w:rPr>
              <w:t>：</w:t>
            </w:r>
            <w:r>
              <w:rPr>
                <w:rFonts w:hint="eastAsia" w:ascii="宋体" w:hAnsi="宋体" w:cs="宋体"/>
                <w:b/>
                <w:bCs/>
                <w:color w:val="000000"/>
                <w:kern w:val="0"/>
                <w:szCs w:val="21"/>
                <w:highlight w:val="none"/>
                <w:u w:val="single"/>
                <w:lang w:val="en-US" w:eastAsia="zh-CN" w:bidi="ar"/>
              </w:rPr>
              <w:t>是</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1、报价人须缴纳投标保证金</w:t>
            </w:r>
            <w:r>
              <w:rPr>
                <w:rFonts w:hint="eastAsia" w:ascii="宋体" w:hAnsi="宋体" w:cs="宋体"/>
                <w:color w:val="000000"/>
                <w:kern w:val="0"/>
                <w:szCs w:val="21"/>
                <w:highlight w:val="none"/>
                <w:u w:val="single"/>
                <w:lang w:eastAsia="zh-CN" w:bidi="ar"/>
              </w:rPr>
              <w:t xml:space="preserve"> </w:t>
            </w:r>
            <w:r>
              <w:rPr>
                <w:rFonts w:hint="eastAsia" w:ascii="宋体" w:hAnsi="宋体" w:cs="宋体"/>
                <w:color w:val="000000"/>
                <w:kern w:val="0"/>
                <w:szCs w:val="21"/>
                <w:highlight w:val="none"/>
                <w:u w:val="single"/>
                <w:lang w:val="en-US" w:eastAsia="zh-CN" w:bidi="ar"/>
              </w:rPr>
              <w:t xml:space="preserve"> 5000.00  </w:t>
            </w:r>
            <w:r>
              <w:rPr>
                <w:rFonts w:hint="eastAsia" w:ascii="宋体" w:hAnsi="宋体" w:cs="宋体"/>
                <w:color w:val="000000"/>
                <w:kern w:val="0"/>
                <w:szCs w:val="21"/>
                <w:highlight w:val="none"/>
                <w:lang w:bidi="ar"/>
              </w:rPr>
              <w:t>元，由报价人从公司基本账户将投标保证金汇至以下指定账户：</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保证金到账截止时间：2024年</w:t>
            </w:r>
            <w:r>
              <w:rPr>
                <w:rFonts w:hint="eastAsia" w:ascii="宋体" w:hAnsi="宋体" w:cs="宋体"/>
                <w:color w:val="000000"/>
                <w:kern w:val="0"/>
                <w:szCs w:val="21"/>
                <w:highlight w:val="none"/>
                <w:lang w:val="en-US" w:eastAsia="zh-CN" w:bidi="ar"/>
              </w:rPr>
              <w:t>6</w:t>
            </w:r>
            <w:r>
              <w:rPr>
                <w:rFonts w:hint="eastAsia" w:ascii="宋体" w:hAnsi="宋体" w:cs="宋体"/>
                <w:color w:val="000000"/>
                <w:kern w:val="0"/>
                <w:szCs w:val="21"/>
                <w:highlight w:val="none"/>
                <w:lang w:bidi="ar"/>
              </w:rPr>
              <w:t>月</w:t>
            </w:r>
            <w:r>
              <w:rPr>
                <w:rFonts w:hint="eastAsia" w:ascii="宋体" w:hAnsi="宋体" w:cs="宋体"/>
                <w:color w:val="000000"/>
                <w:kern w:val="0"/>
                <w:szCs w:val="21"/>
                <w:highlight w:val="none"/>
                <w:lang w:val="en-US" w:eastAsia="zh-CN" w:bidi="ar"/>
              </w:rPr>
              <w:t>26</w:t>
            </w:r>
            <w:r>
              <w:rPr>
                <w:rFonts w:hint="eastAsia" w:ascii="宋体" w:hAnsi="宋体" w:cs="宋体"/>
                <w:color w:val="000000"/>
                <w:kern w:val="0"/>
                <w:szCs w:val="21"/>
                <w:highlight w:val="none"/>
                <w:lang w:bidi="ar"/>
              </w:rPr>
              <w:t>日</w:t>
            </w:r>
            <w:r>
              <w:rPr>
                <w:rFonts w:hint="eastAsia" w:ascii="宋体" w:hAnsi="宋体" w:cs="宋体"/>
                <w:color w:val="000000"/>
                <w:kern w:val="0"/>
                <w:szCs w:val="21"/>
                <w:highlight w:val="none"/>
                <w:lang w:val="en-US" w:eastAsia="zh-CN" w:bidi="ar"/>
              </w:rPr>
              <w:t>上午</w:t>
            </w:r>
            <w:r>
              <w:rPr>
                <w:rFonts w:hint="eastAsia" w:ascii="宋体" w:hAnsi="宋体" w:cs="宋体"/>
                <w:color w:val="000000"/>
                <w:kern w:val="0"/>
                <w:szCs w:val="21"/>
                <w:highlight w:val="none"/>
                <w:lang w:bidi="ar"/>
              </w:rPr>
              <w:t>1</w:t>
            </w:r>
            <w:r>
              <w:rPr>
                <w:rFonts w:hint="eastAsia" w:ascii="宋体" w:hAnsi="宋体" w:cs="宋体"/>
                <w:color w:val="000000"/>
                <w:kern w:val="0"/>
                <w:szCs w:val="21"/>
                <w:highlight w:val="none"/>
                <w:lang w:val="en-US" w:eastAsia="zh-CN" w:bidi="ar"/>
              </w:rPr>
              <w:t>1</w:t>
            </w:r>
            <w:r>
              <w:rPr>
                <w:rFonts w:hint="eastAsia" w:ascii="宋体" w:hAnsi="宋体" w:cs="宋体"/>
                <w:color w:val="000000"/>
                <w:kern w:val="0"/>
                <w:szCs w:val="21"/>
                <w:highlight w:val="none"/>
                <w:lang w:bidi="ar"/>
              </w:rPr>
              <w:t>时</w:t>
            </w:r>
            <w:r>
              <w:rPr>
                <w:rFonts w:hint="eastAsia" w:ascii="宋体" w:hAnsi="宋体" w:cs="宋体"/>
                <w:color w:val="000000"/>
                <w:kern w:val="0"/>
                <w:szCs w:val="21"/>
                <w:highlight w:val="none"/>
                <w:lang w:eastAsia="zh-CN" w:bidi="ar"/>
              </w:rPr>
              <w:t>0</w:t>
            </w:r>
            <w:r>
              <w:rPr>
                <w:rFonts w:hint="eastAsia" w:ascii="宋体" w:hAnsi="宋体" w:cs="宋体"/>
                <w:color w:val="000000"/>
                <w:kern w:val="0"/>
                <w:szCs w:val="21"/>
                <w:highlight w:val="none"/>
                <w:lang w:bidi="ar"/>
              </w:rPr>
              <w:t>0分前；</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若竞争性比选响应文件内无投标保证金缴纳凭证，采购人有权作废标处理，若投标保证金存在虚假不实情况，采购人有权作废标处理。</w:t>
            </w:r>
          </w:p>
          <w:p>
            <w:pPr>
              <w:keepNext w:val="0"/>
              <w:keepLines w:val="0"/>
              <w:suppressLineNumbers w:val="0"/>
              <w:spacing w:before="0" w:beforeAutospacing="0" w:after="0" w:afterAutospacing="0" w:line="360" w:lineRule="auto"/>
              <w:ind w:left="0" w:right="0" w:firstLine="420" w:firstLineChars="200"/>
              <w:rPr>
                <w:rFonts w:hint="eastAsia" w:ascii="宋体" w:hAnsi="宋体" w:cs="宋体"/>
                <w:color w:val="000000"/>
                <w:kern w:val="0"/>
                <w:szCs w:val="21"/>
                <w:highlight w:val="none"/>
                <w:lang w:bidi="ar"/>
              </w:rPr>
            </w:pPr>
            <w:r>
              <w:rPr>
                <w:rFonts w:hint="eastAsia" w:hAnsi="宋体"/>
                <w:color w:val="auto"/>
                <w:kern w:val="2"/>
                <w:sz w:val="21"/>
                <w:szCs w:val="21"/>
                <w:highlight w:val="none"/>
                <w:lang w:val="en-US" w:eastAsia="zh-CN"/>
              </w:rPr>
              <w:t>若缴纳现金的，</w:t>
            </w:r>
            <w:r>
              <w:rPr>
                <w:rFonts w:hint="eastAsia" w:ascii="宋体" w:hAnsi="宋体" w:eastAsia="宋体" w:cs="宋体"/>
                <w:i w:val="0"/>
                <w:caps w:val="0"/>
                <w:color w:val="000000"/>
                <w:spacing w:val="0"/>
                <w:sz w:val="21"/>
                <w:szCs w:val="21"/>
                <w:highlight w:val="none"/>
                <w:lang w:val="en-US" w:eastAsia="zh-CN"/>
              </w:rPr>
              <w:t>则需</w:t>
            </w:r>
            <w:r>
              <w:rPr>
                <w:rFonts w:hint="eastAsia" w:ascii="宋体" w:hAnsi="宋体" w:eastAsia="宋体" w:cs="宋体"/>
                <w:i w:val="0"/>
                <w:caps w:val="0"/>
                <w:color w:val="auto"/>
                <w:spacing w:val="0"/>
                <w:sz w:val="21"/>
                <w:szCs w:val="21"/>
                <w:highlight w:val="none"/>
              </w:rPr>
              <w:t>备注</w:t>
            </w:r>
            <w:r>
              <w:rPr>
                <w:rFonts w:hint="eastAsia" w:ascii="宋体" w:hAnsi="宋体" w:eastAsia="宋体" w:cs="宋体"/>
                <w:i w:val="0"/>
                <w:caps w:val="0"/>
                <w:color w:val="auto"/>
                <w:spacing w:val="0"/>
                <w:sz w:val="21"/>
                <w:szCs w:val="21"/>
                <w:highlight w:val="none"/>
                <w:lang w:eastAsia="zh-CN"/>
              </w:rPr>
              <w:t>，</w:t>
            </w:r>
            <w:r>
              <w:rPr>
                <w:rFonts w:hint="eastAsia" w:ascii="宋体" w:hAnsi="宋体" w:eastAsia="宋体" w:cs="宋体"/>
                <w:i w:val="0"/>
                <w:caps w:val="0"/>
                <w:color w:val="auto"/>
                <w:spacing w:val="0"/>
                <w:sz w:val="21"/>
                <w:szCs w:val="21"/>
                <w:highlight w:val="none"/>
              </w:rPr>
              <w:t>转款备注：</w:t>
            </w:r>
            <w:r>
              <w:rPr>
                <w:rFonts w:hint="eastAsia"/>
                <w:color w:val="auto"/>
                <w:sz w:val="21"/>
                <w:szCs w:val="21"/>
                <w:highlight w:val="none"/>
                <w:lang w:eastAsia="zh-CN"/>
              </w:rPr>
              <w:t>巫溪至开州高速公路项目机电工程语音服务平台组件采购</w:t>
            </w:r>
            <w:r>
              <w:rPr>
                <w:rFonts w:hint="eastAsia" w:ascii="宋体" w:hAnsi="宋体" w:cs="宋体"/>
                <w:i w:val="0"/>
                <w:caps w:val="0"/>
                <w:color w:val="auto"/>
                <w:spacing w:val="0"/>
                <w:sz w:val="21"/>
                <w:szCs w:val="21"/>
                <w:highlight w:val="none"/>
                <w:lang w:val="en-US" w:eastAsia="zh-CN"/>
              </w:rPr>
              <w:t>投标</w:t>
            </w:r>
            <w:r>
              <w:rPr>
                <w:rFonts w:hint="eastAsia" w:ascii="宋体" w:hAnsi="宋体" w:eastAsia="宋体" w:cs="宋体"/>
                <w:i w:val="0"/>
                <w:caps w:val="0"/>
                <w:color w:val="auto"/>
                <w:spacing w:val="0"/>
                <w:sz w:val="21"/>
                <w:szCs w:val="21"/>
                <w:highlight w:val="none"/>
              </w:rPr>
              <w:t>保证金</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2、投标保证金退还方式</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为便于及时退还，报价人在递交响应文件的同时，递交本项目保证金银行回单和公司的开户许可证复印件。</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未中标报价人的投标保证金，于该项目结果公示期结束后15个工作日内无息退还至报价人基本账户。</w:t>
            </w:r>
          </w:p>
          <w:p>
            <w:pPr>
              <w:keepNext w:val="0"/>
              <w:keepLines w:val="0"/>
              <w:suppressLineNumbers w:val="0"/>
              <w:spacing w:before="0" w:beforeAutospacing="0" w:after="0" w:afterAutospacing="0" w:line="360" w:lineRule="auto"/>
              <w:ind w:left="0" w:right="0" w:firstLine="420" w:firstLineChars="200"/>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中标人的投标保证金，自合同签订后15个工作日内无息退还至中标人基本账户。</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3、</w:t>
            </w:r>
            <w:r>
              <w:rPr>
                <w:rFonts w:hint="eastAsia" w:ascii="宋体" w:hAnsi="宋体" w:cs="宋体"/>
                <w:color w:val="000000"/>
                <w:kern w:val="0"/>
                <w:szCs w:val="21"/>
                <w:highlight w:val="none"/>
                <w:lang w:bidi="ar"/>
              </w:rPr>
              <w:t>有下列情形之一的，投标保证金将不予退还：</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（1）</w:t>
            </w:r>
            <w:r>
              <w:rPr>
                <w:rFonts w:hint="eastAsia" w:ascii="宋体" w:hAnsi="宋体" w:cs="宋体"/>
                <w:color w:val="000000"/>
                <w:kern w:val="0"/>
                <w:szCs w:val="21"/>
                <w:highlight w:val="none"/>
                <w:lang w:eastAsia="zh-CN" w:bidi="ar"/>
              </w:rPr>
              <w:t>报价人</w:t>
            </w:r>
            <w:r>
              <w:rPr>
                <w:rFonts w:hint="eastAsia" w:ascii="宋体" w:hAnsi="宋体" w:cs="宋体"/>
                <w:color w:val="000000"/>
                <w:kern w:val="0"/>
                <w:szCs w:val="21"/>
                <w:highlight w:val="none"/>
                <w:lang w:bidi="ar"/>
              </w:rPr>
              <w:t>在投标有效期内撤销投标文件；</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（2）中标人在收到中标通知书后，无正当理由不与</w:t>
            </w:r>
            <w:r>
              <w:rPr>
                <w:rFonts w:hint="eastAsia" w:ascii="宋体" w:hAnsi="宋体" w:cs="宋体"/>
                <w:color w:val="000000"/>
                <w:kern w:val="0"/>
                <w:szCs w:val="21"/>
                <w:highlight w:val="none"/>
                <w:lang w:eastAsia="zh-CN" w:bidi="ar"/>
              </w:rPr>
              <w:t>采购人</w:t>
            </w:r>
            <w:r>
              <w:rPr>
                <w:rFonts w:hint="eastAsia" w:ascii="宋体" w:hAnsi="宋体" w:cs="宋体"/>
                <w:color w:val="000000"/>
                <w:kern w:val="0"/>
                <w:szCs w:val="21"/>
                <w:highlight w:val="none"/>
                <w:lang w:bidi="ar"/>
              </w:rPr>
              <w:t>订立合同，在签订合同时向</w:t>
            </w:r>
            <w:r>
              <w:rPr>
                <w:rFonts w:hint="eastAsia" w:ascii="宋体" w:hAnsi="宋体" w:cs="宋体"/>
                <w:color w:val="000000"/>
                <w:kern w:val="0"/>
                <w:szCs w:val="21"/>
                <w:highlight w:val="none"/>
                <w:lang w:eastAsia="zh-CN" w:bidi="ar"/>
              </w:rPr>
              <w:t>采购人</w:t>
            </w:r>
            <w:r>
              <w:rPr>
                <w:rFonts w:hint="eastAsia" w:ascii="宋体" w:hAnsi="宋体" w:cs="宋体"/>
                <w:color w:val="000000"/>
                <w:kern w:val="0"/>
                <w:szCs w:val="21"/>
                <w:highlight w:val="none"/>
                <w:lang w:bidi="ar"/>
              </w:rPr>
              <w:t>提出附加条件，或者不按照招标文件要求提交履约保证金；</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（3）中标人（或拟中标人）拒不提供或者不按时提供低价风险担保（适用于经评审的最低投标价法）；</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（4）</w:t>
            </w:r>
            <w:r>
              <w:rPr>
                <w:rFonts w:hint="eastAsia" w:ascii="宋体" w:hAnsi="宋体" w:cs="宋体"/>
                <w:color w:val="000000"/>
                <w:kern w:val="0"/>
                <w:szCs w:val="21"/>
                <w:highlight w:val="none"/>
                <w:lang w:eastAsia="zh-CN" w:bidi="ar"/>
              </w:rPr>
              <w:t>报价人</w:t>
            </w:r>
            <w:r>
              <w:rPr>
                <w:rFonts w:hint="eastAsia" w:ascii="宋体" w:hAnsi="宋体" w:cs="宋体"/>
                <w:color w:val="000000"/>
                <w:kern w:val="0"/>
                <w:szCs w:val="21"/>
                <w:highlight w:val="none"/>
                <w:lang w:bidi="ar"/>
              </w:rPr>
              <w:t>被发现本次投标存在串通投标、弄虚造假、行贿等违法行为的；</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（5）发生</w:t>
            </w:r>
            <w:r>
              <w:rPr>
                <w:rFonts w:hint="eastAsia" w:ascii="宋体" w:hAnsi="宋体" w:cs="宋体"/>
                <w:color w:val="000000"/>
                <w:kern w:val="0"/>
                <w:szCs w:val="21"/>
                <w:highlight w:val="none"/>
                <w:lang w:eastAsia="zh-CN" w:bidi="ar"/>
              </w:rPr>
              <w:t>报价人</w:t>
            </w:r>
            <w:r>
              <w:rPr>
                <w:rFonts w:hint="eastAsia" w:ascii="宋体" w:hAnsi="宋体" w:cs="宋体"/>
                <w:color w:val="000000"/>
                <w:kern w:val="0"/>
                <w:szCs w:val="21"/>
                <w:highlight w:val="none"/>
                <w:lang w:bidi="ar"/>
              </w:rPr>
              <w:t>须知前附表规定的其他可以不予退还投标保证金的情形。</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二、履约保证金</w:t>
            </w:r>
          </w:p>
          <w:p>
            <w:pPr>
              <w:keepNext w:val="0"/>
              <w:keepLines w:val="0"/>
              <w:suppressLineNumbers w:val="0"/>
              <w:spacing w:before="0" w:beforeAutospacing="0" w:after="0" w:afterAutospacing="0" w:line="360" w:lineRule="auto"/>
              <w:ind w:left="0" w:right="0" w:firstLine="420" w:firstLineChars="200"/>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报价人是否提供履约</w:t>
            </w:r>
            <w:r>
              <w:rPr>
                <w:rFonts w:hint="eastAsia" w:ascii="宋体" w:hAnsi="宋体" w:cs="宋体"/>
                <w:color w:val="000000"/>
                <w:kern w:val="0"/>
                <w:szCs w:val="21"/>
                <w:highlight w:val="none"/>
                <w:lang w:bidi="ar"/>
              </w:rPr>
              <w:t>保证金</w:t>
            </w:r>
            <w:r>
              <w:rPr>
                <w:rFonts w:hint="eastAsia" w:ascii="宋体" w:hAnsi="宋体" w:cs="宋体"/>
                <w:color w:val="000000"/>
                <w:kern w:val="0"/>
                <w:szCs w:val="21"/>
                <w:highlight w:val="none"/>
                <w:lang w:eastAsia="zh-CN" w:bidi="ar"/>
              </w:rPr>
              <w:t>：</w:t>
            </w:r>
            <w:r>
              <w:rPr>
                <w:rFonts w:hint="eastAsia" w:ascii="宋体" w:hAnsi="宋体" w:cs="宋体"/>
                <w:b/>
                <w:bCs/>
                <w:color w:val="000000"/>
                <w:kern w:val="0"/>
                <w:szCs w:val="21"/>
                <w:highlight w:val="none"/>
                <w:u w:val="single"/>
                <w:lang w:val="en-US" w:eastAsia="zh-CN" w:bidi="ar"/>
              </w:rPr>
              <w:t>否</w:t>
            </w:r>
          </w:p>
          <w:p>
            <w:pPr>
              <w:pStyle w:val="25"/>
              <w:keepNext w:val="0"/>
              <w:keepLines w:val="0"/>
              <w:pageBreakBefore w:val="0"/>
              <w:suppressLineNumbers w:val="0"/>
              <w:kinsoku/>
              <w:wordWrap/>
              <w:overflowPunct/>
              <w:topLinePunct w:val="0"/>
              <w:bidi w:val="0"/>
              <w:snapToGrid/>
              <w:spacing w:before="0" w:beforeAutospacing="0" w:after="0" w:afterAutospacing="0" w:line="360" w:lineRule="auto"/>
              <w:ind w:left="0" w:right="0"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1、</w:t>
            </w:r>
            <w:r>
              <w:rPr>
                <w:rFonts w:hint="default" w:hAnsi="宋体"/>
                <w:color w:val="auto"/>
                <w:kern w:val="2"/>
                <w:sz w:val="21"/>
                <w:szCs w:val="21"/>
                <w:highlight w:val="none"/>
                <w:lang w:val="en-US" w:eastAsia="zh-CN"/>
              </w:rPr>
              <w:t>履约担保作为本</w:t>
            </w:r>
            <w:r>
              <w:rPr>
                <w:rFonts w:hint="eastAsia" w:hAnsi="宋体"/>
                <w:color w:val="auto"/>
                <w:kern w:val="2"/>
                <w:sz w:val="21"/>
                <w:szCs w:val="21"/>
                <w:highlight w:val="none"/>
                <w:lang w:val="en-US" w:eastAsia="zh-CN"/>
              </w:rPr>
              <w:t>项目</w:t>
            </w:r>
            <w:r>
              <w:rPr>
                <w:rFonts w:hint="default" w:hAnsi="宋体"/>
                <w:color w:val="auto"/>
                <w:kern w:val="2"/>
                <w:sz w:val="21"/>
                <w:szCs w:val="21"/>
                <w:highlight w:val="none"/>
                <w:lang w:val="en-US" w:eastAsia="zh-CN"/>
              </w:rPr>
              <w:t>合同附件</w:t>
            </w:r>
            <w:r>
              <w:rPr>
                <w:rFonts w:hint="eastAsia" w:hAnsi="宋体"/>
                <w:color w:val="auto"/>
                <w:kern w:val="2"/>
                <w:sz w:val="21"/>
                <w:szCs w:val="21"/>
                <w:highlight w:val="none"/>
                <w:lang w:val="en-US" w:eastAsia="zh-CN"/>
              </w:rPr>
              <w:t>。</w:t>
            </w:r>
          </w:p>
          <w:p>
            <w:pPr>
              <w:pStyle w:val="25"/>
              <w:keepNext w:val="0"/>
              <w:keepLines w:val="0"/>
              <w:pageBreakBefore w:val="0"/>
              <w:suppressLineNumbers w:val="0"/>
              <w:kinsoku/>
              <w:wordWrap/>
              <w:overflowPunct/>
              <w:topLinePunct w:val="0"/>
              <w:bidi w:val="0"/>
              <w:snapToGrid/>
              <w:spacing w:before="0" w:beforeAutospacing="0" w:after="0" w:afterAutospacing="0" w:line="360" w:lineRule="auto"/>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2、履约保证金的金额：/。</w:t>
            </w:r>
          </w:p>
          <w:p>
            <w:pPr>
              <w:pStyle w:val="25"/>
              <w:keepNext w:val="0"/>
              <w:keepLines w:val="0"/>
              <w:pageBreakBefore w:val="0"/>
              <w:suppressLineNumbers w:val="0"/>
              <w:kinsoku/>
              <w:wordWrap/>
              <w:overflowPunct/>
              <w:topLinePunct w:val="0"/>
              <w:bidi w:val="0"/>
              <w:snapToGrid/>
              <w:spacing w:before="0" w:beforeAutospacing="0" w:after="0" w:afterAutospacing="0" w:line="360" w:lineRule="auto"/>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3、履约保证金有效期：自双方签订的合同文件生效之日起，至合同约定的工作验收完成止。</w:t>
            </w:r>
          </w:p>
          <w:p>
            <w:pPr>
              <w:pStyle w:val="25"/>
              <w:keepNext w:val="0"/>
              <w:keepLines w:val="0"/>
              <w:pageBreakBefore w:val="0"/>
              <w:suppressLineNumbers w:val="0"/>
              <w:kinsoku/>
              <w:wordWrap/>
              <w:overflowPunct/>
              <w:topLinePunct w:val="0"/>
              <w:bidi w:val="0"/>
              <w:snapToGrid/>
              <w:spacing w:before="0" w:beforeAutospacing="0" w:after="0" w:afterAutospacing="0" w:line="360" w:lineRule="auto"/>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4、履约保证金缴纳方式：现金或保函</w:t>
            </w:r>
          </w:p>
          <w:p>
            <w:pPr>
              <w:pStyle w:val="16"/>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firstLine="42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5、履约保证金的提交：在甲方发出中标通知书后5个工作日内，中标人向采购人提供履约保证金</w:t>
            </w:r>
            <w:r>
              <w:rPr>
                <w:rFonts w:hint="default" w:hAnsi="宋体"/>
                <w:color w:val="auto"/>
                <w:kern w:val="2"/>
                <w:sz w:val="21"/>
                <w:szCs w:val="21"/>
                <w:highlight w:val="none"/>
                <w:lang w:val="en-US" w:eastAsia="zh-CN"/>
              </w:rPr>
              <w:t>缴纳凭证</w:t>
            </w:r>
            <w:r>
              <w:rPr>
                <w:rFonts w:hint="eastAsia" w:hAnsi="宋体"/>
                <w:color w:val="auto"/>
                <w:kern w:val="2"/>
                <w:sz w:val="21"/>
                <w:szCs w:val="21"/>
                <w:highlight w:val="none"/>
                <w:lang w:val="en-US" w:eastAsia="zh-CN"/>
              </w:rPr>
              <w:t>。若缴纳现金的，</w:t>
            </w:r>
            <w:r>
              <w:rPr>
                <w:rFonts w:hint="eastAsia" w:ascii="宋体" w:hAnsi="宋体" w:eastAsia="宋体" w:cs="宋体"/>
                <w:i w:val="0"/>
                <w:caps w:val="0"/>
                <w:color w:val="000000"/>
                <w:spacing w:val="0"/>
                <w:sz w:val="21"/>
                <w:szCs w:val="21"/>
                <w:highlight w:val="none"/>
                <w:lang w:val="en-US" w:eastAsia="zh-CN"/>
              </w:rPr>
              <w:t>则需</w:t>
            </w:r>
            <w:r>
              <w:rPr>
                <w:rFonts w:hint="eastAsia" w:ascii="宋体" w:hAnsi="宋体" w:eastAsia="宋体" w:cs="宋体"/>
                <w:i w:val="0"/>
                <w:caps w:val="0"/>
                <w:color w:val="auto"/>
                <w:spacing w:val="0"/>
                <w:sz w:val="21"/>
                <w:szCs w:val="21"/>
                <w:highlight w:val="none"/>
              </w:rPr>
              <w:t>备注</w:t>
            </w:r>
            <w:r>
              <w:rPr>
                <w:rFonts w:hint="eastAsia" w:ascii="宋体" w:hAnsi="宋体" w:eastAsia="宋体" w:cs="宋体"/>
                <w:i w:val="0"/>
                <w:caps w:val="0"/>
                <w:color w:val="auto"/>
                <w:spacing w:val="0"/>
                <w:sz w:val="21"/>
                <w:szCs w:val="21"/>
                <w:highlight w:val="none"/>
                <w:lang w:eastAsia="zh-CN"/>
              </w:rPr>
              <w:t>，</w:t>
            </w:r>
            <w:r>
              <w:rPr>
                <w:rFonts w:hint="eastAsia" w:ascii="宋体" w:hAnsi="宋体" w:eastAsia="宋体" w:cs="宋体"/>
                <w:i w:val="0"/>
                <w:caps w:val="0"/>
                <w:color w:val="auto"/>
                <w:spacing w:val="0"/>
                <w:sz w:val="21"/>
                <w:szCs w:val="21"/>
                <w:highlight w:val="none"/>
              </w:rPr>
              <w:t>转款备注：</w:t>
            </w:r>
            <w:r>
              <w:rPr>
                <w:rFonts w:hint="eastAsia"/>
                <w:color w:val="auto"/>
                <w:sz w:val="21"/>
                <w:szCs w:val="21"/>
                <w:highlight w:val="none"/>
                <w:lang w:eastAsia="zh-CN"/>
              </w:rPr>
              <w:t>巫溪至开州高速公路项目机电工程语音服务平台组件采购</w:t>
            </w:r>
            <w:r>
              <w:rPr>
                <w:rFonts w:hint="eastAsia" w:ascii="宋体" w:hAnsi="宋体" w:eastAsia="宋体" w:cs="宋体"/>
                <w:i w:val="0"/>
                <w:caps w:val="0"/>
                <w:color w:val="auto"/>
                <w:spacing w:val="0"/>
                <w:sz w:val="21"/>
                <w:szCs w:val="21"/>
                <w:highlight w:val="none"/>
                <w:lang w:val="en-US" w:eastAsia="zh-CN"/>
              </w:rPr>
              <w:t>履约</w:t>
            </w:r>
            <w:r>
              <w:rPr>
                <w:rFonts w:hint="eastAsia" w:ascii="宋体" w:hAnsi="宋体" w:eastAsia="宋体" w:cs="宋体"/>
                <w:i w:val="0"/>
                <w:caps w:val="0"/>
                <w:color w:val="auto"/>
                <w:spacing w:val="0"/>
                <w:sz w:val="21"/>
                <w:szCs w:val="21"/>
                <w:highlight w:val="none"/>
              </w:rPr>
              <w:t>保证金</w:t>
            </w:r>
          </w:p>
          <w:p>
            <w:pPr>
              <w:keepNext w:val="0"/>
              <w:keepLines w:val="0"/>
              <w:suppressLineNumbers w:val="0"/>
              <w:spacing w:before="0" w:beforeAutospacing="0" w:after="0" w:afterAutospacing="0" w:line="360" w:lineRule="auto"/>
              <w:ind w:left="0" w:right="0"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6、若提供保函的：</w:t>
            </w:r>
            <w:r>
              <w:rPr>
                <w:rFonts w:hint="eastAsia" w:ascii="宋体" w:hAnsi="宋体" w:eastAsia="宋体" w:cs="宋体"/>
                <w:kern w:val="0"/>
                <w:szCs w:val="21"/>
                <w:highlight w:val="none"/>
                <w:lang w:val="en-US" w:eastAsia="zh-CN"/>
              </w:rPr>
              <w:t>纸质</w:t>
            </w:r>
            <w:r>
              <w:rPr>
                <w:rFonts w:hint="eastAsia" w:ascii="宋体" w:hAnsi="宋体" w:eastAsia="宋体" w:cs="宋体"/>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纸质</w:t>
            </w:r>
            <w:r>
              <w:rPr>
                <w:rFonts w:hint="eastAsia" w:ascii="宋体" w:hAnsi="宋体" w:eastAsia="宋体" w:cs="宋体"/>
                <w:kern w:val="0"/>
                <w:szCs w:val="21"/>
                <w:highlight w:val="none"/>
                <w:lang w:eastAsia="zh-CN"/>
              </w:rPr>
              <w:t>保函应合法合规，符合招投标行政监督部门、行业主管部门和金融监管部门的相关规定，满足招标文件约定要求。</w:t>
            </w:r>
            <w:r>
              <w:rPr>
                <w:rFonts w:hint="eastAsia" w:ascii="宋体" w:hAnsi="宋体" w:eastAsia="宋体" w:cs="宋体"/>
                <w:kern w:val="0"/>
                <w:szCs w:val="21"/>
                <w:highlight w:val="none"/>
                <w:lang w:val="en-US" w:eastAsia="zh-CN"/>
              </w:rPr>
              <w:t>报价人对所提交的纸质投标保函的真实性、合法性、有效性负责。</w:t>
            </w:r>
          </w:p>
          <w:p>
            <w:pPr>
              <w:keepNext w:val="0"/>
              <w:keepLines w:val="0"/>
              <w:suppressLineNumbers w:val="0"/>
              <w:spacing w:before="0" w:beforeAutospacing="0" w:after="0" w:afterAutospacing="0" w:line="360" w:lineRule="auto"/>
              <w:ind w:left="0" w:right="0" w:firstLine="420" w:firstLineChars="200"/>
              <w:rPr>
                <w:rFonts w:hint="eastAsia" w:ascii="宋体" w:hAnsi="宋体" w:cs="宋体"/>
                <w:color w:val="000000"/>
                <w:kern w:val="0"/>
                <w:szCs w:val="21"/>
                <w:highlight w:val="none"/>
                <w:lang w:bidi="ar"/>
              </w:rPr>
            </w:pPr>
            <w:r>
              <w:rPr>
                <w:rFonts w:hint="eastAsia" w:hAnsi="宋体"/>
                <w:color w:val="auto"/>
                <w:kern w:val="2"/>
                <w:sz w:val="21"/>
                <w:szCs w:val="21"/>
                <w:highlight w:val="none"/>
                <w:lang w:val="en-US" w:eastAsia="zh-CN"/>
              </w:rPr>
              <w:t>7、</w:t>
            </w:r>
            <w:r>
              <w:rPr>
                <w:rFonts w:hint="default" w:ascii="宋体" w:hAnsi="宋体" w:cs="宋体"/>
                <w:color w:val="auto"/>
                <w:kern w:val="2"/>
                <w:sz w:val="21"/>
                <w:szCs w:val="21"/>
                <w:highlight w:val="none"/>
                <w:lang w:val="en-US" w:eastAsia="zh-CN"/>
              </w:rPr>
              <w:t>履约保证金退还：缴纳现金保函的，在完成合同约定的全部工作内容后28天后无息退还剩余部分。</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三、低价保证金</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1．低价风险担保：中标价低于最高限价的85%时提供，如不按时足额提供，视为中标人放弃中标，</w:t>
            </w:r>
            <w:r>
              <w:rPr>
                <w:rFonts w:hint="eastAsia" w:ascii="宋体" w:hAnsi="宋体" w:cs="宋体"/>
                <w:color w:val="000000"/>
                <w:kern w:val="0"/>
                <w:szCs w:val="21"/>
                <w:highlight w:val="none"/>
                <w:lang w:eastAsia="zh-CN" w:bidi="ar"/>
              </w:rPr>
              <w:t>采购人</w:t>
            </w:r>
            <w:r>
              <w:rPr>
                <w:rFonts w:hint="eastAsia" w:ascii="宋体" w:hAnsi="宋体" w:cs="宋体"/>
                <w:color w:val="000000"/>
                <w:kern w:val="0"/>
                <w:szCs w:val="21"/>
                <w:highlight w:val="none"/>
                <w:lang w:bidi="ar"/>
              </w:rPr>
              <w:t>有权不退还其投标保证金。</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2．中标人提供低价风险担保的形式、金额及期限：</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1）低价风险担保的形式：现金或保函或现金+保函的组合；采用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（2）低价风险担保的金额：（最高限价×85%-中标价）×3，且最高不超过最高限价的85%。</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（3）低价风险担保送达</w:t>
            </w:r>
            <w:r>
              <w:rPr>
                <w:rFonts w:hint="eastAsia" w:ascii="宋体" w:hAnsi="宋体" w:cs="宋体"/>
                <w:color w:val="000000"/>
                <w:kern w:val="0"/>
                <w:szCs w:val="21"/>
                <w:highlight w:val="none"/>
                <w:lang w:eastAsia="zh-CN" w:bidi="ar"/>
              </w:rPr>
              <w:t>采购人</w:t>
            </w:r>
            <w:r>
              <w:rPr>
                <w:rFonts w:hint="eastAsia" w:ascii="宋体" w:hAnsi="宋体" w:cs="宋体"/>
                <w:color w:val="000000"/>
                <w:kern w:val="0"/>
                <w:szCs w:val="21"/>
                <w:highlight w:val="none"/>
                <w:lang w:bidi="ar"/>
              </w:rPr>
              <w:t>的时间：从</w:t>
            </w:r>
            <w:r>
              <w:rPr>
                <w:rFonts w:hint="eastAsia" w:ascii="宋体" w:hAnsi="宋体" w:cs="宋体"/>
                <w:color w:val="000000"/>
                <w:kern w:val="0"/>
                <w:szCs w:val="21"/>
                <w:highlight w:val="none"/>
                <w:lang w:eastAsia="zh-CN" w:bidi="ar"/>
              </w:rPr>
              <w:t>采购人</w:t>
            </w:r>
            <w:r>
              <w:rPr>
                <w:rFonts w:hint="eastAsia" w:ascii="宋体" w:hAnsi="宋体" w:cs="宋体"/>
                <w:color w:val="000000"/>
                <w:kern w:val="0"/>
                <w:szCs w:val="21"/>
                <w:highlight w:val="none"/>
                <w:lang w:bidi="ar"/>
              </w:rPr>
              <w:t xml:space="preserve">中标通知书送达拟中标人之日起 20 </w:t>
            </w:r>
            <w:r>
              <w:rPr>
                <w:rFonts w:hint="eastAsia" w:ascii="宋体" w:hAnsi="宋体" w:cs="宋体"/>
                <w:color w:val="000000"/>
                <w:kern w:val="0"/>
                <w:szCs w:val="21"/>
                <w:highlight w:val="none"/>
                <w:lang w:val="en-US" w:eastAsia="zh-CN" w:bidi="ar"/>
              </w:rPr>
              <w:t>个</w:t>
            </w:r>
            <w:r>
              <w:rPr>
                <w:rFonts w:hint="eastAsia" w:ascii="宋体" w:hAnsi="宋体" w:cs="宋体"/>
                <w:color w:val="000000"/>
                <w:kern w:val="0"/>
                <w:szCs w:val="21"/>
                <w:highlight w:val="none"/>
                <w:lang w:bidi="ar"/>
              </w:rPr>
              <w:t>工作日内。</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（4）中标人因自身原因未按中标通知书规定的时限与</w:t>
            </w:r>
            <w:r>
              <w:rPr>
                <w:rFonts w:hint="eastAsia" w:ascii="宋体" w:hAnsi="宋体" w:cs="宋体"/>
                <w:color w:val="000000"/>
                <w:kern w:val="0"/>
                <w:szCs w:val="21"/>
                <w:highlight w:val="none"/>
                <w:lang w:eastAsia="zh-CN" w:bidi="ar"/>
              </w:rPr>
              <w:t>采购人</w:t>
            </w:r>
            <w:r>
              <w:rPr>
                <w:rFonts w:hint="eastAsia" w:ascii="宋体" w:hAnsi="宋体" w:cs="宋体"/>
                <w:color w:val="000000"/>
                <w:kern w:val="0"/>
                <w:szCs w:val="21"/>
                <w:highlight w:val="none"/>
                <w:lang w:bidi="ar"/>
              </w:rPr>
              <w:t>签订合同的，其以现金形式提交低价风险担保的，</w:t>
            </w:r>
            <w:r>
              <w:rPr>
                <w:rFonts w:hint="eastAsia" w:ascii="宋体" w:hAnsi="宋体" w:cs="宋体"/>
                <w:color w:val="000000"/>
                <w:kern w:val="0"/>
                <w:szCs w:val="21"/>
                <w:highlight w:val="none"/>
                <w:lang w:eastAsia="zh-CN" w:bidi="ar"/>
              </w:rPr>
              <w:t>采购人</w:t>
            </w:r>
            <w:r>
              <w:rPr>
                <w:rFonts w:hint="eastAsia" w:ascii="宋体" w:hAnsi="宋体" w:cs="宋体"/>
                <w:color w:val="000000"/>
                <w:kern w:val="0"/>
                <w:szCs w:val="21"/>
                <w:highlight w:val="none"/>
                <w:lang w:bidi="ar"/>
              </w:rPr>
              <w:t>有权扣除其低价风险担保金并取消其中标资格；以保函形式提交低价风险担保的，</w:t>
            </w:r>
            <w:r>
              <w:rPr>
                <w:rFonts w:hint="eastAsia" w:ascii="宋体" w:hAnsi="宋体" w:cs="宋体"/>
                <w:color w:val="000000"/>
                <w:kern w:val="0"/>
                <w:szCs w:val="21"/>
                <w:highlight w:val="none"/>
                <w:lang w:eastAsia="zh-CN" w:bidi="ar"/>
              </w:rPr>
              <w:t>采购人</w:t>
            </w:r>
            <w:r>
              <w:rPr>
                <w:rFonts w:hint="eastAsia" w:ascii="宋体" w:hAnsi="宋体" w:cs="宋体"/>
                <w:color w:val="000000"/>
                <w:kern w:val="0"/>
                <w:szCs w:val="21"/>
                <w:highlight w:val="none"/>
                <w:lang w:bidi="ar"/>
              </w:rPr>
              <w:t>有权要求保函开立人支付保函担保的与低价风险担保金额等额的款项并取消中标人中标资格；中标人因自身原因未按中标通知书规定的时限与</w:t>
            </w:r>
            <w:r>
              <w:rPr>
                <w:rFonts w:hint="eastAsia" w:ascii="宋体" w:hAnsi="宋体" w:cs="宋体"/>
                <w:color w:val="000000"/>
                <w:kern w:val="0"/>
                <w:szCs w:val="21"/>
                <w:highlight w:val="none"/>
                <w:lang w:eastAsia="zh-CN" w:bidi="ar"/>
              </w:rPr>
              <w:t>采购人</w:t>
            </w:r>
            <w:r>
              <w:rPr>
                <w:rFonts w:hint="eastAsia" w:ascii="宋体" w:hAnsi="宋体" w:cs="宋体"/>
                <w:color w:val="000000"/>
                <w:kern w:val="0"/>
                <w:szCs w:val="21"/>
                <w:highlight w:val="none"/>
                <w:lang w:bidi="ar"/>
              </w:rPr>
              <w:t>签订合同，且未提交低价风险担保金或低价风险保函的，</w:t>
            </w:r>
            <w:r>
              <w:rPr>
                <w:rFonts w:hint="eastAsia" w:ascii="宋体" w:hAnsi="宋体" w:cs="宋体"/>
                <w:color w:val="000000"/>
                <w:kern w:val="0"/>
                <w:szCs w:val="21"/>
                <w:highlight w:val="none"/>
                <w:lang w:eastAsia="zh-CN" w:bidi="ar"/>
              </w:rPr>
              <w:t>采购人</w:t>
            </w:r>
            <w:r>
              <w:rPr>
                <w:rFonts w:hint="eastAsia" w:ascii="宋体" w:hAnsi="宋体" w:cs="宋体"/>
                <w:color w:val="000000"/>
                <w:kern w:val="0"/>
                <w:szCs w:val="21"/>
                <w:highlight w:val="none"/>
                <w:lang w:bidi="ar"/>
              </w:rPr>
              <w:t>有权要求中标人承担低价风险担保金等额的损失并取消中标人资格。</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（5）低价风险担保的期限：自低价风险担保生效之日起至合同设备验收证书或验收款支付函签署之日止。</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3.低价风险担保的退还时间：采用现金担保的，在现场工程师确认供货完成后28天内全额退还，合同履行期间允许</w:t>
            </w:r>
            <w:r>
              <w:rPr>
                <w:rFonts w:hint="eastAsia" w:ascii="宋体" w:hAnsi="宋体" w:cs="宋体"/>
                <w:color w:val="000000"/>
                <w:kern w:val="0"/>
                <w:szCs w:val="21"/>
                <w:highlight w:val="none"/>
                <w:lang w:eastAsia="zh-CN" w:bidi="ar"/>
              </w:rPr>
              <w:t>乙方</w:t>
            </w:r>
            <w:r>
              <w:rPr>
                <w:rFonts w:hint="eastAsia" w:ascii="宋体" w:hAnsi="宋体" w:cs="宋体"/>
                <w:color w:val="000000"/>
                <w:kern w:val="0"/>
                <w:szCs w:val="21"/>
                <w:highlight w:val="none"/>
                <w:lang w:bidi="ar"/>
              </w:rPr>
              <w:t>用符合要求的银行保函进行置换；若所供货物完全满足要求，经现场工程师确认后可在供货金额达到合同金额的一半时，可申请退还一半的低价风险担保金，剩余部分在在现场工程师确认供货完成后28天内全额退还。</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（5）低价风险担保的扣减：</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①</w:t>
            </w:r>
            <w:r>
              <w:rPr>
                <w:rFonts w:hint="eastAsia" w:ascii="宋体" w:hAnsi="宋体" w:cs="宋体"/>
                <w:color w:val="000000"/>
                <w:kern w:val="0"/>
                <w:szCs w:val="21"/>
                <w:highlight w:val="none"/>
                <w:lang w:eastAsia="zh-CN" w:bidi="ar"/>
              </w:rPr>
              <w:t>乙方</w:t>
            </w:r>
            <w:r>
              <w:rPr>
                <w:rFonts w:hint="eastAsia" w:ascii="宋体" w:hAnsi="宋体" w:cs="宋体"/>
                <w:color w:val="000000"/>
                <w:kern w:val="0"/>
                <w:szCs w:val="21"/>
                <w:highlight w:val="none"/>
                <w:lang w:bidi="ar"/>
              </w:rPr>
              <w:t>在合同履行期间，以其投标时填报的价格过低为由拒绝</w:t>
            </w:r>
            <w:r>
              <w:rPr>
                <w:rFonts w:hint="eastAsia" w:ascii="宋体" w:hAnsi="宋体" w:cs="宋体"/>
                <w:color w:val="000000"/>
                <w:kern w:val="0"/>
                <w:szCs w:val="21"/>
                <w:highlight w:val="none"/>
                <w:lang w:val="en-US" w:eastAsia="zh-CN" w:bidi="ar"/>
              </w:rPr>
              <w:t>履行合同义务</w:t>
            </w:r>
            <w:r>
              <w:rPr>
                <w:rFonts w:hint="eastAsia" w:ascii="宋体" w:hAnsi="宋体" w:cs="宋体"/>
                <w:color w:val="000000"/>
                <w:kern w:val="0"/>
                <w:szCs w:val="21"/>
                <w:highlight w:val="none"/>
                <w:lang w:bidi="ar"/>
              </w:rPr>
              <w:t>；或因其自身其他原因导致项目暂停等，给</w:t>
            </w:r>
            <w:r>
              <w:rPr>
                <w:rFonts w:hint="eastAsia" w:ascii="宋体" w:hAnsi="宋体" w:cs="宋体"/>
                <w:color w:val="000000"/>
                <w:kern w:val="0"/>
                <w:szCs w:val="21"/>
                <w:highlight w:val="none"/>
                <w:lang w:eastAsia="zh-CN" w:bidi="ar"/>
              </w:rPr>
              <w:t>甲方</w:t>
            </w:r>
            <w:r>
              <w:rPr>
                <w:rFonts w:hint="eastAsia" w:ascii="宋体" w:hAnsi="宋体" w:cs="宋体"/>
                <w:color w:val="000000"/>
                <w:kern w:val="0"/>
                <w:szCs w:val="21"/>
                <w:highlight w:val="none"/>
                <w:lang w:bidi="ar"/>
              </w:rPr>
              <w:t>造成直接经济损失且拒绝承担的，按低价风险担保金额的50～100%扣减，直至解除合同；</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②因</w:t>
            </w:r>
            <w:r>
              <w:rPr>
                <w:rFonts w:hint="eastAsia" w:ascii="宋体" w:hAnsi="宋体" w:cs="宋体"/>
                <w:color w:val="000000"/>
                <w:kern w:val="0"/>
                <w:szCs w:val="21"/>
                <w:highlight w:val="none"/>
                <w:lang w:eastAsia="zh-CN" w:bidi="ar"/>
              </w:rPr>
              <w:t>乙方</w:t>
            </w:r>
            <w:r>
              <w:rPr>
                <w:rFonts w:hint="eastAsia" w:ascii="宋体" w:hAnsi="宋体" w:cs="宋体"/>
                <w:color w:val="000000"/>
                <w:kern w:val="0"/>
                <w:szCs w:val="21"/>
                <w:highlight w:val="none"/>
                <w:lang w:bidi="ar"/>
              </w:rPr>
              <w:t>违约被解除合同的，低价风险担保将全额扣除；</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③因</w:t>
            </w:r>
            <w:r>
              <w:rPr>
                <w:rFonts w:hint="eastAsia" w:ascii="宋体" w:hAnsi="宋体" w:cs="宋体"/>
                <w:color w:val="000000"/>
                <w:kern w:val="0"/>
                <w:szCs w:val="21"/>
                <w:highlight w:val="none"/>
                <w:lang w:eastAsia="zh-CN" w:bidi="ar"/>
              </w:rPr>
              <w:t>乙方</w:t>
            </w:r>
            <w:r>
              <w:rPr>
                <w:rFonts w:hint="eastAsia" w:ascii="宋体" w:hAnsi="宋体" w:cs="宋体"/>
                <w:color w:val="000000"/>
                <w:kern w:val="0"/>
                <w:szCs w:val="21"/>
                <w:highlight w:val="none"/>
                <w:lang w:bidi="ar"/>
              </w:rPr>
              <w:t>原因导致的其他情形。</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4．采用经评审最低投标价法的项目，拟中标人或者中标人放弃中标项目，无正当理由不与</w:t>
            </w:r>
            <w:r>
              <w:rPr>
                <w:rFonts w:hint="eastAsia" w:ascii="宋体" w:hAnsi="宋体" w:cs="宋体"/>
                <w:color w:val="000000"/>
                <w:kern w:val="0"/>
                <w:szCs w:val="21"/>
                <w:highlight w:val="none"/>
                <w:lang w:eastAsia="zh-CN" w:bidi="ar"/>
              </w:rPr>
              <w:t>采购人</w:t>
            </w:r>
            <w:r>
              <w:rPr>
                <w:rFonts w:hint="eastAsia" w:ascii="宋体" w:hAnsi="宋体" w:cs="宋体"/>
                <w:color w:val="000000"/>
                <w:kern w:val="0"/>
                <w:szCs w:val="21"/>
                <w:highlight w:val="none"/>
                <w:lang w:bidi="ar"/>
              </w:rPr>
              <w:t>签订合同，在签订合同时向</w:t>
            </w:r>
            <w:r>
              <w:rPr>
                <w:rFonts w:hint="eastAsia" w:ascii="宋体" w:hAnsi="宋体" w:cs="宋体"/>
                <w:color w:val="000000"/>
                <w:kern w:val="0"/>
                <w:szCs w:val="21"/>
                <w:highlight w:val="none"/>
                <w:lang w:eastAsia="zh-CN" w:bidi="ar"/>
              </w:rPr>
              <w:t>采购人</w:t>
            </w:r>
            <w:r>
              <w:rPr>
                <w:rFonts w:hint="eastAsia" w:ascii="宋体" w:hAnsi="宋体" w:cs="宋体"/>
                <w:color w:val="000000"/>
                <w:kern w:val="0"/>
                <w:szCs w:val="21"/>
                <w:highlight w:val="none"/>
                <w:lang w:bidi="ar"/>
              </w:rPr>
              <w:t>提出附加条件或者更改合同实质性内容，或者拒不按照招标文件规定提交低价风险担保或履约担保的，取消其中标资格，投标保证金以现金形式交纳的不予退还，以保函形式递交的由保函开立人支付保函担保的与投标保证金等额的款项，给</w:t>
            </w:r>
            <w:r>
              <w:rPr>
                <w:rFonts w:hint="eastAsia" w:ascii="宋体" w:hAnsi="宋体" w:cs="宋体"/>
                <w:color w:val="000000"/>
                <w:kern w:val="0"/>
                <w:szCs w:val="21"/>
                <w:highlight w:val="none"/>
                <w:lang w:eastAsia="zh-CN" w:bidi="ar"/>
              </w:rPr>
              <w:t>采购人</w:t>
            </w:r>
            <w:r>
              <w:rPr>
                <w:rFonts w:hint="eastAsia" w:ascii="宋体" w:hAnsi="宋体" w:cs="宋体"/>
                <w:color w:val="000000"/>
                <w:kern w:val="0"/>
                <w:szCs w:val="21"/>
                <w:highlight w:val="none"/>
                <w:lang w:bidi="ar"/>
              </w:rPr>
              <w:t>造成的损失超过投标保证金数额的，拟中标人或中标人应对超过部分予以赔偿。</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备注：当中标人或拟中标人未按时提交低价风险担保，且属于可以延长低价风险担保提交期限的特殊情形时，经</w:t>
            </w:r>
            <w:r>
              <w:rPr>
                <w:rFonts w:hint="eastAsia" w:ascii="宋体" w:hAnsi="宋体" w:cs="宋体"/>
                <w:color w:val="000000"/>
                <w:kern w:val="0"/>
                <w:szCs w:val="21"/>
                <w:highlight w:val="none"/>
                <w:lang w:eastAsia="zh-CN" w:bidi="ar"/>
              </w:rPr>
              <w:t>采购人</w:t>
            </w:r>
            <w:r>
              <w:rPr>
                <w:rFonts w:hint="eastAsia" w:ascii="宋体" w:hAnsi="宋体" w:cs="宋体"/>
                <w:color w:val="000000"/>
                <w:kern w:val="0"/>
                <w:szCs w:val="21"/>
                <w:highlight w:val="none"/>
                <w:lang w:bidi="ar"/>
              </w:rPr>
              <w:t>同意，可适当延长低价风险担保的提交期限。</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highlight w:val="none"/>
                <w:lang w:bidi="ar"/>
              </w:rPr>
            </w:pPr>
            <w:r>
              <w:rPr>
                <w:rFonts w:hint="eastAsia" w:ascii="宋体" w:hAnsi="宋体" w:cs="宋体"/>
                <w:color w:val="000000"/>
                <w:kern w:val="0"/>
                <w:szCs w:val="21"/>
                <w:highlight w:val="none"/>
                <w:lang w:bidi="ar"/>
              </w:rPr>
              <w:t>投标总报价低于最高限价85%的，</w:t>
            </w:r>
            <w:r>
              <w:rPr>
                <w:rFonts w:hint="eastAsia" w:ascii="宋体" w:hAnsi="宋体" w:cs="宋体"/>
                <w:color w:val="000000"/>
                <w:kern w:val="0"/>
                <w:szCs w:val="21"/>
                <w:highlight w:val="none"/>
                <w:lang w:eastAsia="zh-CN" w:bidi="ar"/>
              </w:rPr>
              <w:t>报价人</w:t>
            </w:r>
            <w:r>
              <w:rPr>
                <w:rFonts w:hint="eastAsia" w:ascii="宋体" w:hAnsi="宋体" w:cs="宋体"/>
                <w:color w:val="000000"/>
                <w:kern w:val="0"/>
                <w:szCs w:val="21"/>
                <w:highlight w:val="none"/>
                <w:lang w:bidi="ar"/>
              </w:rPr>
              <w:t>应在编制投标文件时，在投标函部分中递交低价风险担保提交承诺书。</w:t>
            </w:r>
            <w:r>
              <w:rPr>
                <w:rFonts w:hint="eastAsia" w:ascii="宋体" w:hAnsi="宋体" w:cs="宋体"/>
                <w:color w:val="000000"/>
                <w:kern w:val="0"/>
                <w:szCs w:val="21"/>
                <w:highlight w:val="none"/>
                <w:lang w:val="en-US" w:eastAsia="zh-CN" w:bidi="ar"/>
              </w:rPr>
              <w:t>格式自拟。</w:t>
            </w:r>
          </w:p>
          <w:p>
            <w:pPr>
              <w:keepNext w:val="0"/>
              <w:keepLines w:val="0"/>
              <w:suppressLineNumbers w:val="0"/>
              <w:spacing w:before="0" w:beforeAutospacing="0" w:after="0" w:afterAutospacing="0" w:line="360" w:lineRule="auto"/>
              <w:ind w:left="0" w:right="0" w:firstLine="420" w:firstLineChars="200"/>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pPr>
              <w:keepNext w:val="0"/>
              <w:keepLines w:val="0"/>
              <w:suppressLineNumbers w:val="0"/>
              <w:spacing w:before="0" w:beforeAutospacing="0" w:after="0" w:afterAutospacing="0" w:line="360" w:lineRule="auto"/>
              <w:ind w:left="0" w:right="0" w:firstLine="420" w:firstLineChars="200"/>
              <w:rPr>
                <w:rFonts w:hint="default" w:hAnsi="宋体"/>
                <w:color w:val="auto"/>
                <w:kern w:val="2"/>
                <w:sz w:val="21"/>
                <w:szCs w:val="21"/>
                <w:highlight w:val="none"/>
              </w:rPr>
            </w:pPr>
            <w:r>
              <w:rPr>
                <w:rFonts w:hint="eastAsia" w:hAnsi="宋体"/>
                <w:color w:val="auto"/>
                <w:kern w:val="2"/>
                <w:sz w:val="21"/>
                <w:szCs w:val="21"/>
                <w:highlight w:val="none"/>
                <w:lang w:val="en-US" w:eastAsia="zh-CN"/>
              </w:rPr>
              <w:t>四</w:t>
            </w:r>
            <w:r>
              <w:rPr>
                <w:rFonts w:hint="eastAsia" w:hAnsi="宋体"/>
                <w:color w:val="auto"/>
                <w:kern w:val="2"/>
                <w:sz w:val="21"/>
                <w:szCs w:val="21"/>
                <w:highlight w:val="none"/>
              </w:rPr>
              <w:t>、采购人指定的开户银行及账号如下：</w:t>
            </w:r>
          </w:p>
          <w:p>
            <w:pPr>
              <w:pStyle w:val="25"/>
              <w:keepNext w:val="0"/>
              <w:keepLines w:val="0"/>
              <w:suppressLineNumbers w:val="0"/>
              <w:spacing w:before="0" w:beforeAutospacing="0" w:after="0" w:afterAutospacing="0" w:line="360" w:lineRule="auto"/>
              <w:ind w:left="0" w:right="0" w:firstLine="420" w:firstLineChars="200"/>
              <w:rPr>
                <w:rFonts w:hint="default" w:hAnsi="宋体"/>
                <w:color w:val="auto"/>
                <w:kern w:val="2"/>
                <w:sz w:val="21"/>
                <w:szCs w:val="21"/>
                <w:highlight w:val="none"/>
              </w:rPr>
            </w:pPr>
            <w:r>
              <w:rPr>
                <w:rFonts w:hint="eastAsia" w:hAnsi="宋体"/>
                <w:color w:val="auto"/>
                <w:kern w:val="2"/>
                <w:sz w:val="21"/>
                <w:szCs w:val="21"/>
                <w:highlight w:val="none"/>
              </w:rPr>
              <w:t>账户名称：重庆首讯科技股份有限公司</w:t>
            </w:r>
          </w:p>
          <w:p>
            <w:pPr>
              <w:pStyle w:val="25"/>
              <w:keepNext w:val="0"/>
              <w:keepLines w:val="0"/>
              <w:suppressLineNumbers w:val="0"/>
              <w:spacing w:before="0" w:beforeAutospacing="0" w:after="0" w:afterAutospacing="0" w:line="360" w:lineRule="auto"/>
              <w:ind w:left="0" w:right="0" w:firstLine="420" w:firstLineChars="200"/>
              <w:rPr>
                <w:rFonts w:hint="default" w:hAnsi="宋体"/>
                <w:color w:val="auto"/>
                <w:kern w:val="2"/>
                <w:sz w:val="21"/>
                <w:szCs w:val="21"/>
                <w:highlight w:val="none"/>
              </w:rPr>
            </w:pPr>
            <w:r>
              <w:rPr>
                <w:rFonts w:hint="eastAsia" w:hAnsi="宋体"/>
                <w:color w:val="auto"/>
                <w:kern w:val="2"/>
                <w:sz w:val="21"/>
                <w:szCs w:val="21"/>
                <w:highlight w:val="none"/>
              </w:rPr>
              <w:t>开户银行：兴业银行重庆分行营业部</w:t>
            </w:r>
          </w:p>
          <w:p>
            <w:pPr>
              <w:pStyle w:val="25"/>
              <w:keepNext w:val="0"/>
              <w:keepLines w:val="0"/>
              <w:suppressLineNumbers w:val="0"/>
              <w:spacing w:before="0" w:beforeAutospacing="0" w:after="0" w:afterAutospacing="0" w:line="360" w:lineRule="auto"/>
              <w:ind w:left="0" w:right="0" w:firstLine="420" w:firstLineChars="200"/>
              <w:rPr>
                <w:rFonts w:hint="eastAsia" w:hAnsi="宋体"/>
                <w:color w:val="auto"/>
                <w:kern w:val="2"/>
                <w:sz w:val="21"/>
                <w:szCs w:val="21"/>
                <w:highlight w:val="none"/>
              </w:rPr>
            </w:pPr>
            <w:r>
              <w:rPr>
                <w:rFonts w:hint="eastAsia" w:hAnsi="宋体"/>
                <w:color w:val="auto"/>
                <w:kern w:val="2"/>
                <w:sz w:val="21"/>
                <w:szCs w:val="21"/>
                <w:highlight w:val="none"/>
              </w:rPr>
              <w:t>帐    号：3460 1010 0100 4791 14</w:t>
            </w:r>
          </w:p>
          <w:p>
            <w:pPr>
              <w:pStyle w:val="25"/>
              <w:spacing w:line="400" w:lineRule="exact"/>
              <w:ind w:firstLine="422" w:firstLineChars="200"/>
              <w:rPr>
                <w:rFonts w:hint="eastAsia" w:hAnsi="宋体"/>
                <w:color w:val="auto"/>
                <w:kern w:val="2"/>
                <w:sz w:val="21"/>
                <w:szCs w:val="21"/>
                <w:highlight w:val="none"/>
                <w:lang w:val="en-US" w:eastAsia="zh-CN"/>
              </w:rPr>
            </w:pPr>
            <w:r>
              <w:rPr>
                <w:rFonts w:hint="eastAsia" w:ascii="宋体" w:hAnsi="宋体" w:eastAsia="宋体" w:cs="宋体"/>
                <w:b/>
                <w:bCs/>
                <w:color w:val="auto"/>
                <w:sz w:val="21"/>
                <w:szCs w:val="18"/>
                <w:highlight w:val="none"/>
                <w:lang w:eastAsia="zh-CN"/>
              </w:rPr>
              <w:t>注：</w:t>
            </w:r>
            <w:r>
              <w:rPr>
                <w:rFonts w:hint="eastAsia" w:ascii="宋体" w:hAnsi="宋体" w:eastAsia="宋体" w:cs="宋体"/>
                <w:b/>
                <w:bCs/>
                <w:color w:val="auto"/>
                <w:sz w:val="21"/>
                <w:szCs w:val="18"/>
                <w:highlight w:val="none"/>
              </w:rPr>
              <w:t>根据</w:t>
            </w:r>
            <w:r>
              <w:rPr>
                <w:rFonts w:hint="eastAsia" w:ascii="宋体" w:hAnsi="宋体" w:eastAsia="宋体" w:cs="宋体"/>
                <w:b/>
                <w:bCs/>
                <w:color w:val="auto"/>
                <w:sz w:val="21"/>
                <w:szCs w:val="18"/>
                <w:highlight w:val="none"/>
                <w:lang w:eastAsia="zh-CN"/>
              </w:rPr>
              <w:t>采购人</w:t>
            </w:r>
            <w:r>
              <w:rPr>
                <w:rFonts w:hint="eastAsia" w:ascii="宋体" w:hAnsi="宋体" w:eastAsia="宋体" w:cs="宋体"/>
                <w:b/>
                <w:bCs/>
                <w:color w:val="auto"/>
                <w:sz w:val="21"/>
                <w:szCs w:val="18"/>
                <w:highlight w:val="none"/>
              </w:rPr>
              <w:t>《合格供方库管理办法》，符合免交投标</w:t>
            </w:r>
            <w:r>
              <w:rPr>
                <w:rFonts w:hint="eastAsia" w:ascii="宋体" w:hAnsi="宋体" w:eastAsia="宋体" w:cs="宋体"/>
                <w:b/>
                <w:bCs/>
                <w:color w:val="auto"/>
                <w:sz w:val="21"/>
                <w:szCs w:val="18"/>
                <w:highlight w:val="none"/>
                <w:lang w:eastAsia="zh-CN"/>
              </w:rPr>
              <w:t>保证金</w:t>
            </w:r>
            <w:r>
              <w:rPr>
                <w:rFonts w:hint="eastAsia" w:ascii="宋体" w:hAnsi="宋体" w:eastAsia="宋体" w:cs="宋体"/>
                <w:b/>
                <w:bCs/>
                <w:color w:val="auto"/>
                <w:sz w:val="21"/>
                <w:szCs w:val="18"/>
                <w:highlight w:val="none"/>
              </w:rPr>
              <w:t>及履约</w:t>
            </w:r>
            <w:r>
              <w:rPr>
                <w:rFonts w:hint="eastAsia" w:ascii="宋体" w:hAnsi="宋体" w:eastAsia="宋体" w:cs="宋体"/>
                <w:b/>
                <w:bCs/>
                <w:color w:val="auto"/>
                <w:sz w:val="21"/>
                <w:szCs w:val="18"/>
                <w:highlight w:val="none"/>
                <w:lang w:eastAsia="zh-CN"/>
              </w:rPr>
              <w:t>保证金</w:t>
            </w:r>
            <w:r>
              <w:rPr>
                <w:rFonts w:hint="eastAsia" w:ascii="宋体" w:hAnsi="宋体" w:eastAsia="宋体" w:cs="宋体"/>
                <w:b/>
                <w:bCs/>
                <w:color w:val="auto"/>
                <w:sz w:val="21"/>
                <w:szCs w:val="18"/>
                <w:highlight w:val="none"/>
              </w:rPr>
              <w:t>资格的</w:t>
            </w:r>
            <w:r>
              <w:rPr>
                <w:rFonts w:hint="eastAsia" w:ascii="宋体" w:hAnsi="宋体" w:eastAsia="宋体" w:cs="宋体"/>
                <w:b/>
                <w:bCs/>
                <w:color w:val="auto"/>
                <w:sz w:val="21"/>
                <w:szCs w:val="18"/>
                <w:highlight w:val="none"/>
                <w:lang w:eastAsia="zh-CN"/>
              </w:rPr>
              <w:t>报价人</w:t>
            </w:r>
            <w:r>
              <w:rPr>
                <w:rFonts w:hint="eastAsia" w:ascii="宋体" w:hAnsi="宋体" w:eastAsia="宋体" w:cs="宋体"/>
                <w:b/>
                <w:bCs/>
                <w:color w:val="auto"/>
                <w:sz w:val="21"/>
                <w:szCs w:val="18"/>
                <w:highlight w:val="none"/>
              </w:rPr>
              <w:t>，可提交经</w:t>
            </w:r>
            <w:r>
              <w:rPr>
                <w:rFonts w:hint="eastAsia" w:ascii="宋体" w:hAnsi="宋体" w:eastAsia="宋体" w:cs="宋体"/>
                <w:b/>
                <w:bCs/>
                <w:color w:val="auto"/>
                <w:sz w:val="21"/>
                <w:szCs w:val="18"/>
                <w:highlight w:val="none"/>
                <w:lang w:eastAsia="zh-CN"/>
              </w:rPr>
              <w:t>采购人</w:t>
            </w:r>
            <w:r>
              <w:rPr>
                <w:rFonts w:hint="eastAsia" w:ascii="宋体" w:hAnsi="宋体" w:eastAsia="宋体" w:cs="宋体"/>
                <w:b/>
                <w:bCs/>
                <w:color w:val="auto"/>
                <w:sz w:val="21"/>
                <w:szCs w:val="18"/>
                <w:highlight w:val="none"/>
              </w:rPr>
              <w:t>审批通过并加盖</w:t>
            </w:r>
            <w:r>
              <w:rPr>
                <w:rFonts w:hint="eastAsia" w:ascii="宋体" w:hAnsi="宋体" w:eastAsia="宋体" w:cs="宋体"/>
                <w:b/>
                <w:bCs/>
                <w:color w:val="auto"/>
                <w:sz w:val="21"/>
                <w:szCs w:val="18"/>
                <w:highlight w:val="none"/>
                <w:lang w:eastAsia="zh-CN"/>
              </w:rPr>
              <w:t>采购人</w:t>
            </w:r>
            <w:r>
              <w:rPr>
                <w:rFonts w:hint="eastAsia" w:ascii="宋体" w:hAnsi="宋体" w:eastAsia="宋体" w:cs="宋体"/>
                <w:b/>
                <w:bCs/>
                <w:color w:val="auto"/>
                <w:sz w:val="21"/>
                <w:szCs w:val="18"/>
                <w:highlight w:val="none"/>
              </w:rPr>
              <w:t>单位公章的《免交投标担保及履约担保审批表》代替相关</w:t>
            </w:r>
            <w:r>
              <w:rPr>
                <w:rFonts w:hint="eastAsia" w:ascii="宋体" w:hAnsi="宋体" w:eastAsia="宋体" w:cs="宋体"/>
                <w:b/>
                <w:bCs/>
                <w:color w:val="auto"/>
                <w:sz w:val="21"/>
                <w:szCs w:val="18"/>
                <w:highlight w:val="none"/>
                <w:lang w:eastAsia="zh-CN"/>
              </w:rPr>
              <w:t>投标（或履约）</w:t>
            </w:r>
            <w:r>
              <w:rPr>
                <w:rFonts w:hint="eastAsia" w:ascii="宋体" w:hAnsi="宋体" w:eastAsia="宋体" w:cs="宋体"/>
                <w:b/>
                <w:bCs/>
                <w:color w:val="auto"/>
                <w:sz w:val="21"/>
                <w:szCs w:val="18"/>
                <w:highlight w:val="none"/>
              </w:rPr>
              <w:t>保证金凭证。《免交投标担保及履约担保审批表》须在有效期内</w:t>
            </w:r>
            <w:r>
              <w:rPr>
                <w:rFonts w:hint="eastAsia" w:ascii="宋体" w:hAnsi="宋体" w:eastAsia="宋体" w:cs="宋体"/>
                <w:b/>
                <w:bCs/>
                <w:color w:val="auto"/>
                <w:sz w:val="21"/>
                <w:szCs w:val="18"/>
                <w:highlight w:val="none"/>
                <w:lang w:eastAsia="zh-CN"/>
              </w:rPr>
              <w:t>，资料复印件</w:t>
            </w:r>
            <w:r>
              <w:rPr>
                <w:rFonts w:hint="eastAsia" w:ascii="宋体" w:hAnsi="宋体" w:eastAsia="宋体" w:cs="宋体"/>
                <w:b/>
                <w:bCs/>
                <w:color w:val="auto"/>
                <w:sz w:val="21"/>
                <w:szCs w:val="18"/>
                <w:highlight w:val="none"/>
              </w:rPr>
              <w:t>加盖投标单位法人章并装入投标文件</w:t>
            </w:r>
            <w:r>
              <w:rPr>
                <w:rFonts w:hint="eastAsia" w:ascii="宋体" w:hAnsi="宋体" w:eastAsia="宋体" w:cs="宋体"/>
                <w:b/>
                <w:bCs/>
                <w:color w:val="auto"/>
                <w:sz w:val="21"/>
                <w:szCs w:val="18"/>
                <w:highlight w:val="none"/>
                <w:lang w:eastAsia="zh-CN"/>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97" w:type="dxa"/>
            <w:vAlign w:val="center"/>
          </w:tcPr>
          <w:p>
            <w:pPr>
              <w:pStyle w:val="25"/>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w:t>
            </w:r>
            <w:r>
              <w:rPr>
                <w:rFonts w:hAnsi="宋体"/>
                <w:color w:val="000000" w:themeColor="text1"/>
                <w:sz w:val="21"/>
                <w:szCs w:val="21"/>
                <w14:textFill>
                  <w14:solidFill>
                    <w14:schemeClr w14:val="tx1"/>
                  </w14:solidFill>
                </w14:textFill>
              </w:rPr>
              <w:t>2</w:t>
            </w:r>
          </w:p>
        </w:tc>
        <w:tc>
          <w:tcPr>
            <w:tcW w:w="2106" w:type="dxa"/>
            <w:vAlign w:val="center"/>
          </w:tcPr>
          <w:p>
            <w:pPr>
              <w:pStyle w:val="25"/>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合同签订方式</w:t>
            </w:r>
          </w:p>
        </w:tc>
        <w:tc>
          <w:tcPr>
            <w:tcW w:w="7104" w:type="dxa"/>
            <w:vAlign w:val="center"/>
          </w:tcPr>
          <w:p>
            <w:pPr>
              <w:pStyle w:val="25"/>
              <w:spacing w:line="400" w:lineRule="exact"/>
              <w:ind w:firstLine="420" w:firstLineChars="200"/>
              <w:rPr>
                <w:rFonts w:hint="default" w:hAnsi="宋体" w:eastAsia="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经评审确定中标人后签订采购合同。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97" w:type="dxa"/>
            <w:vAlign w:val="center"/>
          </w:tcPr>
          <w:p>
            <w:pPr>
              <w:pStyle w:val="25"/>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w:t>
            </w:r>
            <w:r>
              <w:rPr>
                <w:rFonts w:hAnsi="宋体"/>
                <w:color w:val="000000" w:themeColor="text1"/>
                <w:sz w:val="21"/>
                <w:szCs w:val="21"/>
                <w14:textFill>
                  <w14:solidFill>
                    <w14:schemeClr w14:val="tx1"/>
                  </w14:solidFill>
                </w14:textFill>
              </w:rPr>
              <w:t>3</w:t>
            </w:r>
          </w:p>
        </w:tc>
        <w:tc>
          <w:tcPr>
            <w:tcW w:w="2106" w:type="dxa"/>
            <w:vAlign w:val="center"/>
          </w:tcPr>
          <w:p>
            <w:pPr>
              <w:pStyle w:val="25"/>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保险</w:t>
            </w:r>
          </w:p>
        </w:tc>
        <w:tc>
          <w:tcPr>
            <w:tcW w:w="7104" w:type="dxa"/>
            <w:vAlign w:val="center"/>
          </w:tcPr>
          <w:p>
            <w:pPr>
              <w:pStyle w:val="25"/>
              <w:spacing w:line="400" w:lineRule="exact"/>
              <w:ind w:firstLine="420" w:firstLineChars="200"/>
              <w:rPr>
                <w:rFonts w:hint="eastAsia" w:hAnsi="宋体" w:eastAsia="宋体"/>
                <w:color w:val="000000" w:themeColor="text1"/>
                <w:kern w:val="2"/>
                <w:sz w:val="21"/>
                <w:szCs w:val="21"/>
                <w:lang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97" w:type="dxa"/>
            <w:vAlign w:val="center"/>
          </w:tcPr>
          <w:p>
            <w:pPr>
              <w:pStyle w:val="25"/>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w:t>
            </w:r>
            <w:r>
              <w:rPr>
                <w:rFonts w:hAnsi="宋体"/>
                <w:color w:val="000000" w:themeColor="text1"/>
                <w:sz w:val="21"/>
                <w:szCs w:val="21"/>
                <w14:textFill>
                  <w14:solidFill>
                    <w14:schemeClr w14:val="tx1"/>
                  </w14:solidFill>
                </w14:textFill>
              </w:rPr>
              <w:t>4</w:t>
            </w:r>
          </w:p>
        </w:tc>
        <w:tc>
          <w:tcPr>
            <w:tcW w:w="2106" w:type="dxa"/>
            <w:vAlign w:val="center"/>
          </w:tcPr>
          <w:p>
            <w:pPr>
              <w:pStyle w:val="25"/>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监督部门</w:t>
            </w:r>
          </w:p>
        </w:tc>
        <w:tc>
          <w:tcPr>
            <w:tcW w:w="7104" w:type="dxa"/>
            <w:vAlign w:val="center"/>
          </w:tcPr>
          <w:p>
            <w:pPr>
              <w:pStyle w:val="25"/>
              <w:spacing w:line="400" w:lineRule="exact"/>
              <w:ind w:firstLine="420" w:firstLineChars="200"/>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监督部门：重庆首讯科技股份有限公司</w:t>
            </w:r>
            <w:r>
              <w:rPr>
                <w:rFonts w:hint="eastAsia" w:hAnsi="宋体"/>
                <w:color w:val="000000" w:themeColor="text1"/>
                <w:kern w:val="2"/>
                <w:sz w:val="21"/>
                <w:szCs w:val="21"/>
                <w:lang w:val="en-US" w:eastAsia="zh-CN"/>
                <w14:textFill>
                  <w14:solidFill>
                    <w14:schemeClr w14:val="tx1"/>
                  </w14:solidFill>
                </w14:textFill>
              </w:rPr>
              <w:t>合规监管</w:t>
            </w:r>
            <w:r>
              <w:rPr>
                <w:rFonts w:hint="eastAsia" w:hAnsi="宋体"/>
                <w:color w:val="000000" w:themeColor="text1"/>
                <w:kern w:val="2"/>
                <w:sz w:val="21"/>
                <w:szCs w:val="21"/>
                <w14:textFill>
                  <w14:solidFill>
                    <w14:schemeClr w14:val="tx1"/>
                  </w14:solidFill>
                </w14:textFill>
              </w:rPr>
              <w:t>部</w:t>
            </w:r>
          </w:p>
          <w:p>
            <w:pPr>
              <w:pStyle w:val="25"/>
              <w:spacing w:line="400" w:lineRule="exact"/>
              <w:ind w:firstLine="420" w:firstLineChars="200"/>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地    址：</w:t>
            </w:r>
            <w:r>
              <w:rPr>
                <w:rFonts w:hint="eastAsia" w:hAnsi="宋体"/>
                <w:color w:val="000000" w:themeColor="text1"/>
                <w:kern w:val="2"/>
                <w:sz w:val="21"/>
                <w:szCs w:val="21"/>
                <w:lang w:val="en-US" w:eastAsia="zh-CN"/>
                <w14:textFill>
                  <w14:solidFill>
                    <w14:schemeClr w14:val="tx1"/>
                  </w14:solidFill>
                </w14:textFill>
              </w:rPr>
              <w:t>重庆市渝北区新南路52号东界龙湖三楼</w:t>
            </w:r>
          </w:p>
          <w:p>
            <w:pPr>
              <w:pStyle w:val="25"/>
              <w:spacing w:line="40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97" w:type="dxa"/>
            <w:vAlign w:val="center"/>
          </w:tcPr>
          <w:p>
            <w:pPr>
              <w:pStyle w:val="25"/>
              <w:spacing w:line="400" w:lineRule="exact"/>
              <w:jc w:val="center"/>
              <w:rPr>
                <w:rFonts w:hint="eastAsia" w:hAnsi="宋体"/>
                <w:color w:val="000000" w:themeColor="text1"/>
                <w:sz w:val="21"/>
                <w:szCs w:val="21"/>
                <w14:textFill>
                  <w14:solidFill>
                    <w14:schemeClr w14:val="tx1"/>
                  </w14:solidFill>
                </w14:textFill>
              </w:rPr>
            </w:pPr>
            <w:r>
              <w:rPr>
                <w:rFonts w:hint="eastAsia" w:hAnsi="宋体" w:cs="宋体"/>
                <w:color w:val="auto"/>
                <w:sz w:val="21"/>
                <w:szCs w:val="21"/>
                <w:highlight w:val="none"/>
                <w:lang w:val="en-US" w:eastAsia="zh-CN" w:bidi="ar-SA"/>
              </w:rPr>
              <w:t>25</w:t>
            </w:r>
          </w:p>
        </w:tc>
        <w:tc>
          <w:tcPr>
            <w:tcW w:w="2106" w:type="dxa"/>
            <w:vAlign w:val="center"/>
          </w:tcPr>
          <w:p>
            <w:pPr>
              <w:pStyle w:val="25"/>
              <w:keepNext w:val="0"/>
              <w:keepLines w:val="0"/>
              <w:suppressLineNumbers w:val="0"/>
              <w:spacing w:before="0" w:beforeAutospacing="0" w:after="0" w:afterAutospacing="0" w:line="400" w:lineRule="exact"/>
              <w:ind w:left="0" w:leftChars="0" w:right="0" w:rightChars="0"/>
              <w:jc w:val="center"/>
              <w:rPr>
                <w:rFonts w:hint="eastAsia" w:hAnsi="宋体"/>
                <w:color w:val="000000" w:themeColor="text1"/>
                <w:kern w:val="2"/>
                <w:sz w:val="21"/>
                <w:szCs w:val="21"/>
                <w14:textFill>
                  <w14:solidFill>
                    <w14:schemeClr w14:val="tx1"/>
                  </w14:solidFill>
                </w14:textFill>
              </w:rPr>
            </w:pPr>
            <w:r>
              <w:rPr>
                <w:rFonts w:hint="eastAsia" w:hAnsi="宋体"/>
                <w:color w:val="auto"/>
                <w:kern w:val="2"/>
                <w:sz w:val="21"/>
                <w:szCs w:val="21"/>
              </w:rPr>
              <w:t>竞争性比选响应文件的</w:t>
            </w:r>
            <w:r>
              <w:rPr>
                <w:rFonts w:hint="eastAsia" w:hAnsi="宋体"/>
                <w:color w:val="auto"/>
                <w:kern w:val="2"/>
                <w:sz w:val="21"/>
                <w:szCs w:val="21"/>
                <w:lang w:val="en-US" w:eastAsia="zh-CN"/>
              </w:rPr>
              <w:t>组成</w:t>
            </w:r>
          </w:p>
        </w:tc>
        <w:tc>
          <w:tcPr>
            <w:tcW w:w="7104" w:type="dxa"/>
            <w:vAlign w:val="center"/>
          </w:tcPr>
          <w:p>
            <w:pPr>
              <w:pStyle w:val="25"/>
              <w:numPr>
                <w:ilvl w:val="-1"/>
                <w:numId w:val="0"/>
              </w:numPr>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lang w:val="en-US" w:eastAsia="zh-CN"/>
              </w:rPr>
              <w:t>1.</w:t>
            </w:r>
            <w:r>
              <w:rPr>
                <w:rFonts w:hint="eastAsia" w:hAnsi="宋体"/>
                <w:b/>
                <w:bCs/>
                <w:color w:val="000000" w:themeColor="text1"/>
                <w:sz w:val="21"/>
                <w:szCs w:val="21"/>
                <w:highlight w:val="none"/>
                <w14:textFill>
                  <w14:solidFill>
                    <w14:schemeClr w14:val="tx1"/>
                  </w14:solidFill>
                </w14:textFill>
              </w:rPr>
              <w:t>竞争性比选文件需逐页加盖报价人的公章</w:t>
            </w:r>
            <w:r>
              <w:rPr>
                <w:rFonts w:hint="eastAsia" w:hAnsi="宋体"/>
                <w:color w:val="000000" w:themeColor="text1"/>
                <w:sz w:val="21"/>
                <w:szCs w:val="21"/>
                <w:highlight w:val="none"/>
                <w14:textFill>
                  <w14:solidFill>
                    <w14:schemeClr w14:val="tx1"/>
                  </w14:solidFill>
                </w14:textFill>
              </w:rPr>
              <w:t>，竞争性比选响应文件提交正本1份，副本1份，副本可为正本的复印件，竞争性比选响应文件需装订成册，</w:t>
            </w:r>
            <w:r>
              <w:rPr>
                <w:rFonts w:hint="eastAsia" w:hAnsi="宋体"/>
                <w:color w:val="auto"/>
                <w:kern w:val="2"/>
                <w:sz w:val="21"/>
                <w:szCs w:val="21"/>
                <w:highlight w:val="none"/>
              </w:rPr>
              <w:t>封面右上角需标注“正本”、“副本”加以区别，所有报价文件需密封到一个封袋中。</w:t>
            </w:r>
          </w:p>
          <w:p>
            <w:pPr>
              <w:pStyle w:val="25"/>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2.</w:t>
            </w:r>
            <w:r>
              <w:rPr>
                <w:rFonts w:hint="eastAsia" w:hAnsi="宋体"/>
                <w:color w:val="000000" w:themeColor="text1"/>
                <w:sz w:val="21"/>
                <w:szCs w:val="21"/>
                <w:highlight w:val="none"/>
                <w14:textFill>
                  <w14:solidFill>
                    <w14:schemeClr w14:val="tx1"/>
                  </w14:solidFill>
                </w14:textFill>
              </w:rPr>
              <w:t>报价人应提供竞争性比选响应文件</w:t>
            </w:r>
            <w:r>
              <w:rPr>
                <w:rFonts w:hint="eastAsia" w:hAnsi="宋体"/>
                <w:b/>
                <w:bCs/>
                <w:color w:val="000000" w:themeColor="text1"/>
                <w:sz w:val="21"/>
                <w:szCs w:val="21"/>
                <w:highlight w:val="none"/>
                <w14:textFill>
                  <w14:solidFill>
                    <w14:schemeClr w14:val="tx1"/>
                  </w14:solidFill>
                </w14:textFill>
              </w:rPr>
              <w:t>电子文件1份</w:t>
            </w:r>
            <w:r>
              <w:rPr>
                <w:rFonts w:hint="eastAsia" w:hAnsi="宋体"/>
                <w:b/>
                <w:bCs/>
                <w:color w:val="000000" w:themeColor="text1"/>
                <w:sz w:val="21"/>
                <w:szCs w:val="21"/>
                <w:highlight w:val="none"/>
                <w:lang w:eastAsia="zh-CN"/>
                <w14:textFill>
                  <w14:solidFill>
                    <w14:schemeClr w14:val="tx1"/>
                  </w14:solidFill>
                </w14:textFill>
              </w:rPr>
              <w:t>，</w:t>
            </w:r>
            <w:r>
              <w:rPr>
                <w:rFonts w:hint="eastAsia" w:hAnsi="宋体"/>
                <w:color w:val="auto"/>
                <w:kern w:val="2"/>
                <w:sz w:val="21"/>
                <w:szCs w:val="21"/>
                <w:highlight w:val="none"/>
                <w:lang w:val="en-US" w:eastAsia="zh-CN"/>
              </w:rPr>
              <w:t>应提供竞争性比选响应文件（正本盖章版）扫描版PDF电子版本和excel版本报价清单（U盘1份，电子文件内容须包括竞争性比选响应文件全部内容）</w:t>
            </w:r>
            <w:r>
              <w:rPr>
                <w:rFonts w:hint="eastAsia" w:hAnsi="宋体"/>
                <w:color w:val="000000" w:themeColor="text1"/>
                <w:sz w:val="21"/>
                <w:szCs w:val="21"/>
                <w:highlight w:val="none"/>
                <w14:textFill>
                  <w14:solidFill>
                    <w14:schemeClr w14:val="tx1"/>
                  </w14:solidFill>
                </w14:textFill>
              </w:rPr>
              <w:t>。</w:t>
            </w:r>
            <w:r>
              <w:rPr>
                <w:rFonts w:hint="eastAsia" w:hAnsi="宋体"/>
                <w:color w:val="auto"/>
                <w:kern w:val="2"/>
                <w:sz w:val="21"/>
                <w:szCs w:val="21"/>
                <w:highlight w:val="none"/>
                <w:lang w:val="en-US" w:eastAsia="zh-CN"/>
              </w:rPr>
              <w:t>当电子文件与纸质版竞争性比选响应文件不一致时，以纸质版竞争性比选响应文件为准，当正本与副本不一致时，以正本为准。</w:t>
            </w:r>
          </w:p>
          <w:p>
            <w:pPr>
              <w:pStyle w:val="25"/>
              <w:spacing w:line="400" w:lineRule="exact"/>
              <w:ind w:firstLine="420" w:firstLineChars="200"/>
              <w:rPr>
                <w:rFonts w:hint="eastAsia" w:hAnsi="宋体"/>
                <w:color w:val="auto"/>
                <w:kern w:val="2"/>
                <w:sz w:val="21"/>
                <w:szCs w:val="21"/>
                <w:highlight w:val="none"/>
                <w:lang w:val="en-US" w:eastAsia="zh-CN"/>
              </w:rPr>
            </w:pPr>
            <w:r>
              <w:rPr>
                <w:rFonts w:hint="eastAsia" w:hAnsi="宋体"/>
                <w:b w:val="0"/>
                <w:bCs w:val="0"/>
                <w:color w:val="auto"/>
                <w:kern w:val="2"/>
                <w:sz w:val="21"/>
                <w:szCs w:val="21"/>
                <w:highlight w:val="none"/>
                <w:lang w:val="en-US" w:eastAsia="zh-CN"/>
              </w:rPr>
              <w:t>3.竞争性比选响应声明书、报价函、资格要求材料、报价人认为需要提供的其他相关文件（注：以</w:t>
            </w:r>
            <w:r>
              <w:rPr>
                <w:rFonts w:hint="eastAsia" w:hAnsi="宋体"/>
                <w:b/>
                <w:bCs/>
                <w:color w:val="auto"/>
                <w:kern w:val="2"/>
                <w:sz w:val="21"/>
                <w:szCs w:val="21"/>
                <w:highlight w:val="none"/>
                <w:lang w:val="en-US" w:eastAsia="zh-CN"/>
              </w:rPr>
              <w:t>上所有文件均须逐页加盖报价人的公章</w:t>
            </w:r>
            <w:r>
              <w:rPr>
                <w:rFonts w:hint="eastAsia" w:hAnsi="宋体"/>
                <w:b w:val="0"/>
                <w:bCs w:val="0"/>
                <w:color w:val="auto"/>
                <w:kern w:val="2"/>
                <w:sz w:val="21"/>
                <w:szCs w:val="21"/>
                <w:highlight w:val="none"/>
                <w:lang w:val="en-US" w:eastAsia="zh-CN"/>
              </w:rPr>
              <w:t>）</w:t>
            </w:r>
            <w:r>
              <w:rPr>
                <w:rFonts w:hint="eastAsia" w:hAnsi="宋体"/>
                <w:color w:val="auto"/>
                <w:kern w:val="2"/>
                <w:sz w:val="21"/>
                <w:szCs w:val="21"/>
                <w:highlight w:val="none"/>
                <w:lang w:val="en-US" w:eastAsia="zh-CN"/>
              </w:rPr>
              <w:t>。</w:t>
            </w:r>
          </w:p>
          <w:p>
            <w:pPr>
              <w:pStyle w:val="25"/>
              <w:spacing w:line="400" w:lineRule="exact"/>
              <w:ind w:firstLine="422" w:firstLineChars="200"/>
              <w:rPr>
                <w:rFonts w:hint="eastAsia" w:hAnsi="宋体"/>
                <w:b/>
                <w:bCs/>
                <w:color w:val="auto"/>
                <w:kern w:val="2"/>
                <w:sz w:val="21"/>
                <w:szCs w:val="21"/>
                <w:highlight w:val="none"/>
                <w:lang w:val="en-US" w:eastAsia="zh-CN"/>
              </w:rPr>
            </w:pPr>
            <w:r>
              <w:rPr>
                <w:rFonts w:hint="eastAsia" w:hAnsi="宋体"/>
                <w:b/>
                <w:bCs/>
                <w:color w:val="auto"/>
                <w:kern w:val="2"/>
                <w:sz w:val="21"/>
                <w:szCs w:val="21"/>
                <w:highlight w:val="none"/>
                <w:lang w:val="en-US" w:eastAsia="zh-CN"/>
              </w:rPr>
              <w:t>3.密封要求：</w:t>
            </w:r>
          </w:p>
          <w:p>
            <w:pPr>
              <w:pStyle w:val="25"/>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竞争性比选响应文件密封到一个封袋中，在封套上写明：</w:t>
            </w:r>
          </w:p>
          <w:p>
            <w:pPr>
              <w:pStyle w:val="25"/>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巫溪至开州高速公路项目机电工程语音服务平台组件采购竞争性比选响应文件（加盖报价人的公章）</w:t>
            </w:r>
          </w:p>
          <w:p>
            <w:pPr>
              <w:pStyle w:val="25"/>
              <w:spacing w:line="400" w:lineRule="exact"/>
              <w:ind w:firstLine="420" w:firstLineChars="200"/>
              <w:rPr>
                <w:rFonts w:hint="eastAsia" w:hAnsi="宋体"/>
                <w:color w:val="000000" w:themeColor="text1"/>
                <w:kern w:val="2"/>
                <w:sz w:val="21"/>
                <w:szCs w:val="21"/>
                <w14:textFill>
                  <w14:solidFill>
                    <w14:schemeClr w14:val="tx1"/>
                  </w14:solidFill>
                </w14:textFill>
              </w:rPr>
            </w:pPr>
            <w:r>
              <w:rPr>
                <w:rFonts w:hint="eastAsia" w:hAnsi="宋体"/>
                <w:color w:val="auto"/>
                <w:kern w:val="2"/>
                <w:sz w:val="21"/>
                <w:szCs w:val="21"/>
                <w:highlight w:val="none"/>
              </w:rPr>
              <w:t>在</w:t>
            </w:r>
            <w:r>
              <w:rPr>
                <w:rFonts w:hint="eastAsia" w:hAnsi="宋体"/>
                <w:color w:val="auto"/>
                <w:kern w:val="2"/>
                <w:sz w:val="21"/>
                <w:szCs w:val="21"/>
                <w:highlight w:val="none"/>
                <w:u w:val="single"/>
              </w:rPr>
              <w:t xml:space="preserve"> </w:t>
            </w:r>
            <w:r>
              <w:rPr>
                <w:rFonts w:hint="eastAsia" w:hAnsi="宋体"/>
                <w:sz w:val="21"/>
                <w:szCs w:val="18"/>
                <w:highlight w:val="none"/>
                <w:u w:val="single"/>
              </w:rPr>
              <w:t>202</w:t>
            </w:r>
            <w:r>
              <w:rPr>
                <w:rFonts w:hint="eastAsia" w:hAnsi="宋体"/>
                <w:sz w:val="21"/>
                <w:szCs w:val="18"/>
                <w:highlight w:val="none"/>
                <w:u w:val="single"/>
                <w:lang w:val="en-US" w:eastAsia="zh-CN"/>
              </w:rPr>
              <w:t>4</w:t>
            </w:r>
            <w:r>
              <w:rPr>
                <w:rFonts w:hint="eastAsia" w:hAnsi="宋体"/>
                <w:sz w:val="21"/>
                <w:szCs w:val="18"/>
                <w:highlight w:val="none"/>
                <w:u w:val="single"/>
              </w:rPr>
              <w:t xml:space="preserve"> </w:t>
            </w:r>
            <w:r>
              <w:rPr>
                <w:rFonts w:hint="eastAsia" w:hAnsi="宋体"/>
                <w:sz w:val="21"/>
                <w:szCs w:val="18"/>
                <w:highlight w:val="none"/>
              </w:rPr>
              <w:t>年</w:t>
            </w:r>
            <w:r>
              <w:rPr>
                <w:rFonts w:hint="eastAsia" w:hAnsi="宋体"/>
                <w:sz w:val="21"/>
                <w:szCs w:val="18"/>
                <w:highlight w:val="none"/>
                <w:u w:val="single"/>
              </w:rPr>
              <w:t xml:space="preserve"> </w:t>
            </w:r>
            <w:r>
              <w:rPr>
                <w:rFonts w:hint="eastAsia" w:hAnsi="宋体"/>
                <w:sz w:val="21"/>
                <w:szCs w:val="18"/>
                <w:highlight w:val="none"/>
                <w:u w:val="single"/>
                <w:lang w:val="en-US" w:eastAsia="zh-CN"/>
              </w:rPr>
              <w:t>6</w:t>
            </w:r>
            <w:r>
              <w:rPr>
                <w:rFonts w:hint="eastAsia" w:hAnsi="宋体"/>
                <w:sz w:val="21"/>
                <w:szCs w:val="18"/>
                <w:highlight w:val="none"/>
                <w:u w:val="single"/>
              </w:rPr>
              <w:t xml:space="preserve"> </w:t>
            </w:r>
            <w:r>
              <w:rPr>
                <w:rFonts w:hint="eastAsia" w:hAnsi="宋体"/>
                <w:sz w:val="21"/>
                <w:szCs w:val="18"/>
                <w:highlight w:val="none"/>
              </w:rPr>
              <w:t>月</w:t>
            </w:r>
            <w:r>
              <w:rPr>
                <w:rFonts w:hint="eastAsia" w:hAnsi="宋体"/>
                <w:sz w:val="21"/>
                <w:szCs w:val="18"/>
                <w:highlight w:val="none"/>
                <w:u w:val="single"/>
              </w:rPr>
              <w:t xml:space="preserve"> </w:t>
            </w:r>
            <w:r>
              <w:rPr>
                <w:rFonts w:hint="eastAsia" w:hAnsi="宋体"/>
                <w:sz w:val="21"/>
                <w:szCs w:val="18"/>
                <w:highlight w:val="none"/>
                <w:u w:val="single"/>
                <w:lang w:val="en-US" w:eastAsia="zh-CN"/>
              </w:rPr>
              <w:t>26</w:t>
            </w:r>
            <w:r>
              <w:rPr>
                <w:rFonts w:hAnsi="宋体"/>
                <w:sz w:val="21"/>
                <w:szCs w:val="18"/>
                <w:highlight w:val="none"/>
                <w:u w:val="single"/>
              </w:rPr>
              <w:t xml:space="preserve"> </w:t>
            </w:r>
            <w:r>
              <w:rPr>
                <w:rFonts w:hint="eastAsia" w:hAnsi="宋体"/>
                <w:sz w:val="21"/>
                <w:szCs w:val="18"/>
                <w:highlight w:val="none"/>
              </w:rPr>
              <w:t>日</w:t>
            </w:r>
            <w:r>
              <w:rPr>
                <w:rFonts w:hint="eastAsia" w:hAnsi="宋体"/>
                <w:sz w:val="21"/>
                <w:szCs w:val="18"/>
                <w:highlight w:val="none"/>
                <w:lang w:val="en-US" w:eastAsia="zh-CN"/>
              </w:rPr>
              <w:t>上</w:t>
            </w:r>
            <w:r>
              <w:rPr>
                <w:rFonts w:hint="eastAsia" w:hAnsi="宋体"/>
                <w:color w:val="auto"/>
                <w:kern w:val="2"/>
                <w:sz w:val="21"/>
                <w:szCs w:val="21"/>
                <w:highlight w:val="none"/>
              </w:rPr>
              <w:t>午1</w:t>
            </w:r>
            <w:r>
              <w:rPr>
                <w:rFonts w:hint="eastAsia" w:hAnsi="宋体"/>
                <w:color w:val="auto"/>
                <w:kern w:val="2"/>
                <w:sz w:val="21"/>
                <w:szCs w:val="21"/>
                <w:highlight w:val="none"/>
                <w:lang w:val="en-US" w:eastAsia="zh-CN"/>
              </w:rPr>
              <w:t>1</w:t>
            </w:r>
            <w:r>
              <w:rPr>
                <w:rFonts w:hint="eastAsia" w:hAnsi="宋体"/>
                <w:color w:val="auto"/>
                <w:kern w:val="2"/>
                <w:sz w:val="21"/>
                <w:szCs w:val="21"/>
                <w:highlight w:val="none"/>
              </w:rPr>
              <w:t>：00时前不得开启。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97" w:type="dxa"/>
            <w:vAlign w:val="center"/>
          </w:tcPr>
          <w:p>
            <w:pPr>
              <w:pStyle w:val="25"/>
              <w:spacing w:line="400" w:lineRule="exact"/>
              <w:jc w:val="center"/>
              <w:rPr>
                <w:rFonts w:hint="eastAsia" w:hAnsi="宋体"/>
                <w:color w:val="000000" w:themeColor="text1"/>
                <w:sz w:val="21"/>
                <w:szCs w:val="21"/>
                <w14:textFill>
                  <w14:solidFill>
                    <w14:schemeClr w14:val="tx1"/>
                  </w14:solidFill>
                </w14:textFill>
              </w:rPr>
            </w:pPr>
            <w:r>
              <w:rPr>
                <w:rFonts w:hint="eastAsia" w:hAnsi="宋体" w:cs="宋体"/>
                <w:color w:val="auto"/>
                <w:sz w:val="21"/>
                <w:szCs w:val="21"/>
                <w:highlight w:val="none"/>
                <w:lang w:val="en-US" w:eastAsia="zh-CN" w:bidi="ar-SA"/>
              </w:rPr>
              <w:t>26</w:t>
            </w:r>
          </w:p>
        </w:tc>
        <w:tc>
          <w:tcPr>
            <w:tcW w:w="2106"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hAnsi="宋体"/>
                <w:color w:val="000000" w:themeColor="text1"/>
                <w:kern w:val="2"/>
                <w:sz w:val="21"/>
                <w:szCs w:val="21"/>
                <w14:textFill>
                  <w14:solidFill>
                    <w14:schemeClr w14:val="tx1"/>
                  </w14:solidFill>
                </w14:textFill>
              </w:rPr>
            </w:pPr>
            <w:r>
              <w:rPr>
                <w:rFonts w:hint="eastAsia"/>
              </w:rPr>
              <w:t>中标候选人公示</w:t>
            </w:r>
          </w:p>
        </w:tc>
        <w:tc>
          <w:tcPr>
            <w:tcW w:w="7104" w:type="dxa"/>
            <w:vAlign w:val="center"/>
          </w:tcPr>
          <w:p>
            <w:pPr>
              <w:spacing w:line="400" w:lineRule="exact"/>
              <w:ind w:firstLine="420" w:firstLineChars="200"/>
              <w:rPr>
                <w:rFonts w:hint="eastAsia" w:hAnsi="宋体"/>
                <w:color w:val="000000" w:themeColor="text1"/>
                <w:kern w:val="2"/>
                <w:sz w:val="21"/>
                <w:szCs w:val="21"/>
                <w14:textFill>
                  <w14:solidFill>
                    <w14:schemeClr w14:val="tx1"/>
                  </w14:solidFill>
                </w14:textFill>
              </w:rPr>
            </w:pPr>
            <w:r>
              <w:rPr>
                <w:rFonts w:hint="eastAsia"/>
              </w:rPr>
              <w:t>评标结果将在重庆高速集团官网（http://www.cegc.com.cn）上进行公示，公示期为3日。公示内容包括中标候选人名称、排序、投标报价；提出异议、投诉的渠道和方式。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25"/>
              <w:spacing w:line="400" w:lineRule="exact"/>
              <w:jc w:val="center"/>
              <w:rPr>
                <w:rFonts w:hint="eastAsia" w:hAnsi="宋体" w:eastAsia="宋体"/>
                <w:color w:val="000000" w:themeColor="text1"/>
                <w:kern w:val="2"/>
                <w:sz w:val="21"/>
                <w:szCs w:val="21"/>
                <w:lang w:eastAsia="zh-CN"/>
                <w14:textFill>
                  <w14:solidFill>
                    <w14:schemeClr w14:val="tx1"/>
                  </w14:solidFill>
                </w14:textFill>
              </w:rPr>
            </w:pPr>
            <w:r>
              <w:rPr>
                <w:rFonts w:hint="eastAsia" w:hAnsi="宋体"/>
                <w:color w:val="000000" w:themeColor="text1"/>
                <w:kern w:val="2"/>
                <w:sz w:val="21"/>
                <w:szCs w:val="21"/>
                <w14:textFill>
                  <w14:solidFill>
                    <w14:schemeClr w14:val="tx1"/>
                  </w14:solidFill>
                </w14:textFill>
              </w:rPr>
              <w:t>2</w:t>
            </w:r>
            <w:r>
              <w:rPr>
                <w:rFonts w:hint="eastAsia" w:hAnsi="宋体"/>
                <w:color w:val="000000" w:themeColor="text1"/>
                <w:kern w:val="2"/>
                <w:sz w:val="21"/>
                <w:szCs w:val="21"/>
                <w:lang w:val="en-US" w:eastAsia="zh-CN"/>
                <w14:textFill>
                  <w14:solidFill>
                    <w14:schemeClr w14:val="tx1"/>
                  </w14:solidFill>
                </w14:textFill>
              </w:rPr>
              <w:t>7</w:t>
            </w:r>
          </w:p>
        </w:tc>
        <w:tc>
          <w:tcPr>
            <w:tcW w:w="9210" w:type="dxa"/>
            <w:gridSpan w:val="2"/>
            <w:vAlign w:val="center"/>
          </w:tcPr>
          <w:p>
            <w:pPr>
              <w:pStyle w:val="25"/>
              <w:spacing w:line="400" w:lineRule="exact"/>
              <w:ind w:firstLine="482" w:firstLineChars="200"/>
              <w:jc w:val="center"/>
              <w:rPr>
                <w:rFonts w:hAnsi="宋体"/>
                <w:color w:val="000000" w:themeColor="text1"/>
                <w:kern w:val="2"/>
                <w:sz w:val="21"/>
                <w:szCs w:val="21"/>
                <w14:textFill>
                  <w14:solidFill>
                    <w14:schemeClr w14:val="tx1"/>
                  </w14:solidFill>
                </w14:textFill>
              </w:rPr>
            </w:pPr>
            <w:r>
              <w:rPr>
                <w:rFonts w:hAnsi="宋体"/>
                <w:b/>
                <w:bCs/>
                <w:color w:val="000000" w:themeColor="text1"/>
                <w:szCs w:val="21"/>
                <w14:textFill>
                  <w14:solidFill>
                    <w14:schemeClr w14:val="tx1"/>
                  </w14:solidFill>
                </w14:textFill>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25"/>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w:t>
            </w:r>
            <w:r>
              <w:rPr>
                <w:rFonts w:hint="eastAsia" w:hAnsi="宋体"/>
                <w:color w:val="000000" w:themeColor="text1"/>
                <w:kern w:val="2"/>
                <w:sz w:val="21"/>
                <w:szCs w:val="21"/>
                <w:lang w:val="en-US" w:eastAsia="zh-CN"/>
                <w14:textFill>
                  <w14:solidFill>
                    <w14:schemeClr w14:val="tx1"/>
                  </w14:solidFill>
                </w14:textFill>
              </w:rPr>
              <w:t>7</w:t>
            </w:r>
            <w:r>
              <w:rPr>
                <w:rFonts w:hint="eastAsia" w:hAnsi="宋体"/>
                <w:color w:val="000000" w:themeColor="text1"/>
                <w:kern w:val="2"/>
                <w:sz w:val="21"/>
                <w:szCs w:val="21"/>
                <w14:textFill>
                  <w14:solidFill>
                    <w14:schemeClr w14:val="tx1"/>
                  </w14:solidFill>
                </w14:textFill>
              </w:rPr>
              <w:t>.1</w:t>
            </w:r>
          </w:p>
        </w:tc>
        <w:tc>
          <w:tcPr>
            <w:tcW w:w="9210" w:type="dxa"/>
            <w:gridSpan w:val="2"/>
            <w:vAlign w:val="center"/>
          </w:tcPr>
          <w:p>
            <w:pPr>
              <w:pStyle w:val="25"/>
              <w:spacing w:line="400" w:lineRule="exact"/>
              <w:ind w:firstLine="420" w:firstLineChars="200"/>
              <w:rPr>
                <w:rFonts w:hAnsi="宋体"/>
                <w:b/>
                <w:bCs/>
                <w:color w:val="000000" w:themeColor="text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截止竞争性比选响应文件递交时间，递交竞争性比选响应文件不足</w:t>
            </w:r>
            <w:r>
              <w:rPr>
                <w:rFonts w:hint="eastAsia" w:hAnsi="宋体"/>
                <w:color w:val="000000" w:themeColor="text1"/>
                <w:sz w:val="21"/>
                <w:szCs w:val="21"/>
                <w:lang w:val="en-US" w:eastAsia="zh-CN"/>
                <w14:textFill>
                  <w14:solidFill>
                    <w14:schemeClr w14:val="tx1"/>
                  </w14:solidFill>
                </w14:textFill>
              </w:rPr>
              <w:t>3</w:t>
            </w:r>
            <w:r>
              <w:rPr>
                <w:rFonts w:hint="eastAsia" w:hAnsi="宋体"/>
                <w:color w:val="000000" w:themeColor="text1"/>
                <w:sz w:val="21"/>
                <w:szCs w:val="21"/>
                <w14:textFill>
                  <w14:solidFill>
                    <w14:schemeClr w14:val="tx1"/>
                  </w14:solidFill>
                </w14:textFill>
              </w:rPr>
              <w:t>家的不得开启竞争性比选文件。重新招标后报价人仍少于3个，按法定程序开标和评标，确定中标人。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25"/>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w:t>
            </w:r>
            <w:r>
              <w:rPr>
                <w:rFonts w:hint="eastAsia" w:hAnsi="宋体"/>
                <w:color w:val="000000" w:themeColor="text1"/>
                <w:kern w:val="2"/>
                <w:sz w:val="21"/>
                <w:szCs w:val="21"/>
                <w:lang w:val="en-US" w:eastAsia="zh-CN"/>
                <w14:textFill>
                  <w14:solidFill>
                    <w14:schemeClr w14:val="tx1"/>
                  </w14:solidFill>
                </w14:textFill>
              </w:rPr>
              <w:t>7</w:t>
            </w:r>
            <w:r>
              <w:rPr>
                <w:rFonts w:hint="eastAsia" w:hAnsi="宋体"/>
                <w:color w:val="000000" w:themeColor="text1"/>
                <w:kern w:val="2"/>
                <w:sz w:val="21"/>
                <w:szCs w:val="21"/>
                <w14:textFill>
                  <w14:solidFill>
                    <w14:schemeClr w14:val="tx1"/>
                  </w14:solidFill>
                </w14:textFill>
              </w:rPr>
              <w:t>.2</w:t>
            </w:r>
          </w:p>
        </w:tc>
        <w:tc>
          <w:tcPr>
            <w:tcW w:w="9210" w:type="dxa"/>
            <w:gridSpan w:val="2"/>
            <w:vAlign w:val="center"/>
          </w:tcPr>
          <w:p>
            <w:pPr>
              <w:pStyle w:val="25"/>
              <w:numPr>
                <w:ilvl w:val="0"/>
                <w:numId w:val="1"/>
              </w:numPr>
              <w:spacing w:line="400" w:lineRule="exact"/>
              <w:ind w:firstLine="420" w:firstLineChars="200"/>
              <w:rPr>
                <w:rFonts w:hint="default" w:hAnsi="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如中标人无法满足工程量清单中任一参数要求，采购人有权退货、终止合同，并扣除合同总金额的10%。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25"/>
              <w:spacing w:line="400" w:lineRule="exact"/>
              <w:jc w:val="center"/>
              <w:rPr>
                <w:rFonts w:hint="default" w:hAnsi="宋体" w:eastAsia="宋体"/>
                <w:color w:val="000000" w:themeColor="text1"/>
                <w:kern w:val="2"/>
                <w:sz w:val="21"/>
                <w:szCs w:val="21"/>
                <w:lang w:val="en-US" w:eastAsia="zh-CN"/>
                <w14:textFill>
                  <w14:solidFill>
                    <w14:schemeClr w14:val="tx1"/>
                  </w14:solidFill>
                </w14:textFill>
              </w:rPr>
            </w:pPr>
            <w:r>
              <w:rPr>
                <w:rFonts w:hint="eastAsia" w:hAnsi="宋体"/>
                <w:color w:val="000000" w:themeColor="text1"/>
                <w:kern w:val="2"/>
                <w:sz w:val="21"/>
                <w:szCs w:val="21"/>
                <w:lang w:val="en-US" w:eastAsia="zh-CN"/>
                <w14:textFill>
                  <w14:solidFill>
                    <w14:schemeClr w14:val="tx1"/>
                  </w14:solidFill>
                </w14:textFill>
              </w:rPr>
              <w:t>27.3</w:t>
            </w:r>
          </w:p>
        </w:tc>
        <w:tc>
          <w:tcPr>
            <w:tcW w:w="9210" w:type="dxa"/>
            <w:gridSpan w:val="2"/>
            <w:vAlign w:val="center"/>
          </w:tcPr>
          <w:p>
            <w:pPr>
              <w:pStyle w:val="25"/>
              <w:spacing w:line="400" w:lineRule="exact"/>
              <w:ind w:firstLine="420" w:firstLineChars="200"/>
              <w:rPr>
                <w:rFonts w:hint="default" w:hAnsi="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1、需提供投标保证金银行回执。</w:t>
            </w:r>
          </w:p>
        </w:tc>
      </w:tr>
      <w:bookmarkEnd w:id="101"/>
    </w:tbl>
    <w:p>
      <w:pPr>
        <w:spacing w:line="360" w:lineRule="auto"/>
        <w:jc w:val="center"/>
        <w:rPr>
          <w:rFonts w:ascii="宋体" w:hAnsi="宋体" w:cs="宋体"/>
          <w:b/>
          <w:color w:val="000000" w:themeColor="text1"/>
          <w:sz w:val="28"/>
          <w:szCs w:val="28"/>
          <w14:textFill>
            <w14:solidFill>
              <w14:schemeClr w14:val="tx1"/>
            </w14:solidFill>
          </w14:textFill>
        </w:rPr>
        <w:sectPr>
          <w:footerReference r:id="rId7" w:type="default"/>
          <w:pgSz w:w="11906" w:h="16838"/>
          <w:pgMar w:top="1418" w:right="1134" w:bottom="1418" w:left="1134" w:header="851" w:footer="992" w:gutter="0"/>
          <w:pgNumType w:start="1"/>
          <w:cols w:space="720" w:num="1"/>
          <w:docGrid w:type="lines" w:linePitch="312" w:charSpace="0"/>
        </w:sectPr>
      </w:pPr>
    </w:p>
    <w:p>
      <w:pPr>
        <w:pStyle w:val="3"/>
        <w:jc w:val="center"/>
        <w:rPr>
          <w:rFonts w:ascii="宋体" w:hAnsi="宋体" w:eastAsia="宋体" w:cs="宋体"/>
          <w:bCs w:val="0"/>
          <w:sz w:val="28"/>
          <w:szCs w:val="28"/>
          <w:highlight w:val="none"/>
        </w:rPr>
      </w:pPr>
      <w:bookmarkStart w:id="104" w:name="_Toc28820"/>
      <w:bookmarkStart w:id="105" w:name="_Toc30198"/>
      <w:bookmarkStart w:id="106" w:name="_Toc11284"/>
      <w:bookmarkStart w:id="107" w:name="_Toc11329222"/>
      <w:bookmarkStart w:id="108" w:name="_Toc32070"/>
      <w:bookmarkStart w:id="109" w:name="_Toc17532"/>
      <w:r>
        <w:rPr>
          <w:rFonts w:hint="eastAsia" w:ascii="宋体" w:hAnsi="宋体" w:eastAsia="宋体" w:cs="宋体"/>
          <w:sz w:val="28"/>
          <w:szCs w:val="28"/>
          <w:highlight w:val="none"/>
        </w:rPr>
        <w:t xml:space="preserve">附录1  </w:t>
      </w:r>
      <w:r>
        <w:rPr>
          <w:rFonts w:hint="eastAsia" w:ascii="宋体" w:hAnsi="宋体" w:eastAsia="宋体" w:cs="宋体"/>
          <w:bCs w:val="0"/>
          <w:sz w:val="28"/>
          <w:szCs w:val="28"/>
          <w:highlight w:val="none"/>
        </w:rPr>
        <w:t>资格审查文件（项目主要管理人员最低要求）</w:t>
      </w:r>
      <w:bookmarkEnd w:id="104"/>
    </w:p>
    <w:p>
      <w:pPr>
        <w:spacing w:line="400" w:lineRule="exact"/>
        <w:jc w:val="center"/>
        <w:rPr>
          <w:highlight w:val="none"/>
        </w:rPr>
      </w:pPr>
      <w:r>
        <w:rPr>
          <w:rFonts w:hint="eastAsia" w:ascii="宋体" w:hAnsi="宋体" w:cs="宋体"/>
          <w:b/>
          <w:szCs w:val="21"/>
          <w:highlight w:val="none"/>
        </w:rPr>
        <w:t>主要管理人员最低要求</w:t>
      </w:r>
    </w:p>
    <w:tbl>
      <w:tblPr>
        <w:tblStyle w:val="20"/>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lang w:bidi="ar"/>
              </w:rPr>
              <w:t>序号</w:t>
            </w:r>
          </w:p>
        </w:tc>
        <w:tc>
          <w:tcPr>
            <w:tcW w:w="146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lang w:bidi="ar"/>
              </w:rPr>
              <w:t>人  员</w:t>
            </w:r>
          </w:p>
        </w:tc>
        <w:tc>
          <w:tcPr>
            <w:tcW w:w="73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lang w:bidi="ar"/>
              </w:rPr>
              <w:t>数量</w:t>
            </w:r>
          </w:p>
        </w:tc>
        <w:tc>
          <w:tcPr>
            <w:tcW w:w="6784"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lang w:bidi="ar"/>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lang w:bidi="ar"/>
              </w:rPr>
              <w:t>1</w:t>
            </w:r>
          </w:p>
        </w:tc>
        <w:tc>
          <w:tcPr>
            <w:tcW w:w="146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bidi="ar"/>
              </w:rPr>
              <w:t>/</w:t>
            </w:r>
          </w:p>
        </w:tc>
        <w:tc>
          <w:tcPr>
            <w:tcW w:w="73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bidi="ar"/>
              </w:rPr>
              <w:t>/</w:t>
            </w:r>
          </w:p>
        </w:tc>
        <w:tc>
          <w:tcPr>
            <w:tcW w:w="6784"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eastAsia="zh-CN"/>
              </w:rPr>
            </w:pPr>
            <w:r>
              <w:rPr>
                <w:rFonts w:hint="eastAsia"/>
                <w:highlight w:val="none"/>
                <w:lang w:val="en-US" w:eastAsia="zh-CN"/>
              </w:rPr>
              <w:t>/</w:t>
            </w:r>
          </w:p>
        </w:tc>
      </w:tr>
    </w:tbl>
    <w:p>
      <w:pPr>
        <w:spacing w:line="400" w:lineRule="exact"/>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lang w:bidi="ar"/>
        </w:rPr>
        <w:t xml:space="preserve"> 注：</w:t>
      </w:r>
      <w:r>
        <w:rPr>
          <w:rFonts w:hint="eastAsia" w:ascii="宋体" w:hAnsi="宋体" w:cs="宋体"/>
          <w:bCs/>
          <w:kern w:val="0"/>
          <w:sz w:val="22"/>
          <w:szCs w:val="20"/>
        </w:rPr>
        <w:t>以上</w:t>
      </w:r>
      <w:r>
        <w:rPr>
          <w:rFonts w:hint="eastAsia" w:ascii="宋体" w:hAnsi="宋体" w:cs="宋体"/>
          <w:bCs/>
          <w:kern w:val="0"/>
          <w:sz w:val="22"/>
          <w:szCs w:val="20"/>
          <w:lang w:val="en-US" w:eastAsia="zh-CN"/>
        </w:rPr>
        <w:t>人员</w:t>
      </w:r>
      <w:r>
        <w:rPr>
          <w:rFonts w:hint="eastAsia" w:ascii="宋体" w:hAnsi="宋体" w:cs="宋体"/>
          <w:kern w:val="0"/>
          <w:sz w:val="22"/>
          <w:szCs w:val="22"/>
        </w:rPr>
        <w:t>由报价人</w:t>
      </w:r>
      <w:r>
        <w:rPr>
          <w:rFonts w:hint="eastAsia" w:ascii="宋体" w:hAnsi="宋体" w:cs="宋体"/>
          <w:b/>
          <w:kern w:val="0"/>
          <w:sz w:val="22"/>
          <w:szCs w:val="22"/>
        </w:rPr>
        <w:t>自行承诺</w:t>
      </w:r>
      <w:r>
        <w:rPr>
          <w:rFonts w:hint="eastAsia" w:ascii="宋体" w:hAnsi="宋体" w:cs="宋体"/>
          <w:kern w:val="0"/>
          <w:sz w:val="22"/>
          <w:szCs w:val="22"/>
        </w:rPr>
        <w:t>，</w:t>
      </w:r>
      <w:r>
        <w:rPr>
          <w:rFonts w:hint="eastAsia" w:ascii="宋体" w:hAnsi="宋体" w:cs="宋体"/>
          <w:kern w:val="0"/>
          <w:sz w:val="22"/>
          <w:szCs w:val="20"/>
        </w:rPr>
        <w:t>并加盖单位鲜公章</w:t>
      </w:r>
      <w:r>
        <w:rPr>
          <w:rFonts w:hint="eastAsia" w:hAnsi="宋体"/>
          <w:b w:val="0"/>
          <w:bCs w:val="0"/>
          <w:color w:val="auto"/>
          <w:sz w:val="20"/>
          <w:szCs w:val="20"/>
          <w:highlight w:val="none"/>
        </w:rPr>
        <w:t>。</w:t>
      </w:r>
    </w:p>
    <w:p>
      <w:pPr>
        <w:pStyle w:val="14"/>
        <w:rPr>
          <w:highlight w:val="none"/>
        </w:rPr>
      </w:pPr>
    </w:p>
    <w:p>
      <w:pPr>
        <w:outlineLvl w:val="1"/>
        <w:rPr>
          <w:rFonts w:ascii="宋体" w:hAnsi="宋体" w:cs="宋体"/>
          <w:b/>
          <w:sz w:val="28"/>
          <w:szCs w:val="28"/>
          <w:highlight w:val="none"/>
        </w:rPr>
        <w:sectPr>
          <w:pgSz w:w="11906" w:h="16838"/>
          <w:pgMar w:top="1418" w:right="1134" w:bottom="1418" w:left="1134" w:header="851" w:footer="992" w:gutter="0"/>
          <w:cols w:space="720" w:num="1"/>
          <w:docGrid w:type="lines" w:linePitch="312" w:charSpace="0"/>
        </w:sectPr>
      </w:pPr>
    </w:p>
    <w:p>
      <w:pPr>
        <w:pStyle w:val="3"/>
        <w:jc w:val="center"/>
        <w:rPr>
          <w:rFonts w:ascii="宋体" w:hAnsi="宋体" w:eastAsia="宋体" w:cs="宋体"/>
          <w:bCs w:val="0"/>
          <w:sz w:val="28"/>
          <w:szCs w:val="28"/>
          <w:highlight w:val="none"/>
        </w:rPr>
      </w:pPr>
      <w:bookmarkStart w:id="110" w:name="_Toc12685"/>
      <w:bookmarkStart w:id="111" w:name="_Toc22513"/>
      <w:r>
        <w:rPr>
          <w:rFonts w:hint="eastAsia" w:ascii="宋体" w:hAnsi="宋体" w:eastAsia="宋体" w:cs="宋体"/>
          <w:bCs w:val="0"/>
          <w:sz w:val="28"/>
          <w:szCs w:val="28"/>
          <w:highlight w:val="none"/>
        </w:rPr>
        <w:t>附录2 资格审查文件（项目其他人员最低要求）</w:t>
      </w:r>
      <w:bookmarkEnd w:id="110"/>
      <w:bookmarkEnd w:id="111"/>
    </w:p>
    <w:tbl>
      <w:tblPr>
        <w:tblStyle w:val="20"/>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bookmarkStart w:id="112" w:name="_Toc507319900"/>
            <w:bookmarkStart w:id="113" w:name="_Toc413241584"/>
            <w:bookmarkStart w:id="114" w:name="_Toc23696"/>
            <w:r>
              <w:rPr>
                <w:rFonts w:hint="eastAsia" w:ascii="宋体" w:hAnsi="宋体" w:cs="宋体"/>
                <w:szCs w:val="21"/>
                <w:highlight w:val="none"/>
              </w:rPr>
              <w:t>项目施工、安装及调试劳务人员最低要求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9160" w:type="dxa"/>
          </w:tcPr>
          <w:p>
            <w:pPr>
              <w:keepNext w:val="0"/>
              <w:keepLines w:val="0"/>
              <w:suppressLineNumbers w:val="0"/>
              <w:spacing w:before="0" w:beforeAutospacing="0" w:after="0" w:afterAutospacing="0"/>
              <w:ind w:left="0" w:right="0" w:firstLine="420" w:firstLineChars="200"/>
              <w:rPr>
                <w:rFonts w:hint="default"/>
                <w:highlight w:val="none"/>
              </w:rPr>
            </w:pPr>
            <w:r>
              <w:rPr>
                <w:rFonts w:hint="eastAsia"/>
                <w:highlight w:val="none"/>
              </w:rPr>
              <w:t>根据项目实际进度情况及时增加人员。</w:t>
            </w:r>
          </w:p>
        </w:tc>
      </w:tr>
    </w:tbl>
    <w:p>
      <w:pPr>
        <w:pStyle w:val="25"/>
        <w:adjustRightInd/>
        <w:spacing w:line="360" w:lineRule="auto"/>
        <w:jc w:val="both"/>
        <w:rPr>
          <w:rFonts w:hAnsi="宋体"/>
          <w:color w:val="FF0000"/>
          <w:sz w:val="21"/>
          <w:szCs w:val="21"/>
          <w:highlight w:val="none"/>
        </w:rPr>
      </w:pPr>
      <w:r>
        <w:rPr>
          <w:rFonts w:hint="eastAsia" w:ascii="宋体" w:hAnsi="宋体" w:cs="宋体"/>
          <w:bCs/>
          <w:kern w:val="0"/>
          <w:sz w:val="22"/>
          <w:szCs w:val="20"/>
        </w:rPr>
        <w:t>注：以上</w:t>
      </w:r>
      <w:r>
        <w:rPr>
          <w:rFonts w:hint="eastAsia" w:ascii="宋体" w:hAnsi="宋体" w:cs="宋体"/>
          <w:bCs/>
          <w:kern w:val="0"/>
          <w:sz w:val="22"/>
          <w:szCs w:val="20"/>
          <w:lang w:val="en-US" w:eastAsia="zh-CN"/>
        </w:rPr>
        <w:t>人员</w:t>
      </w:r>
      <w:r>
        <w:rPr>
          <w:rFonts w:hint="eastAsia" w:ascii="宋体" w:hAnsi="宋体" w:cs="宋体"/>
          <w:kern w:val="0"/>
          <w:sz w:val="22"/>
          <w:szCs w:val="22"/>
        </w:rPr>
        <w:t>由报价人</w:t>
      </w:r>
      <w:r>
        <w:rPr>
          <w:rFonts w:hint="eastAsia" w:ascii="宋体" w:hAnsi="宋体" w:cs="宋体"/>
          <w:b/>
          <w:kern w:val="0"/>
          <w:sz w:val="22"/>
          <w:szCs w:val="22"/>
        </w:rPr>
        <w:t>自行承诺</w:t>
      </w:r>
      <w:r>
        <w:rPr>
          <w:rFonts w:hint="eastAsia" w:ascii="宋体" w:hAnsi="宋体" w:cs="宋体"/>
          <w:kern w:val="0"/>
          <w:sz w:val="22"/>
          <w:szCs w:val="22"/>
        </w:rPr>
        <w:t>，</w:t>
      </w:r>
      <w:r>
        <w:rPr>
          <w:rFonts w:hint="eastAsia" w:ascii="宋体" w:hAnsi="宋体" w:cs="宋体"/>
          <w:kern w:val="0"/>
          <w:sz w:val="22"/>
          <w:szCs w:val="20"/>
        </w:rPr>
        <w:t>并加盖单位鲜公章</w:t>
      </w:r>
      <w:r>
        <w:rPr>
          <w:rFonts w:hint="eastAsia" w:hAnsi="宋体"/>
          <w:b w:val="0"/>
          <w:bCs w:val="0"/>
          <w:color w:val="auto"/>
          <w:sz w:val="20"/>
          <w:szCs w:val="20"/>
          <w:highlight w:val="none"/>
        </w:rPr>
        <w:t>。</w:t>
      </w:r>
    </w:p>
    <w:bookmarkEnd w:id="112"/>
    <w:bookmarkEnd w:id="113"/>
    <w:bookmarkEnd w:id="114"/>
    <w:p>
      <w:pPr>
        <w:pStyle w:val="3"/>
        <w:rPr>
          <w:rStyle w:val="26"/>
          <w:rFonts w:ascii="宋体" w:hAnsi="宋体" w:eastAsia="宋体" w:cs="宋体"/>
          <w:b w:val="0"/>
          <w:bCs w:val="0"/>
          <w:sz w:val="28"/>
          <w:szCs w:val="28"/>
          <w:highlight w:val="none"/>
        </w:rPr>
      </w:pPr>
    </w:p>
    <w:p>
      <w:pPr>
        <w:pStyle w:val="3"/>
        <w:rPr>
          <w:rFonts w:hAnsi="宋体"/>
          <w:b w:val="0"/>
          <w:sz w:val="28"/>
          <w:szCs w:val="28"/>
          <w:highlight w:val="none"/>
        </w:rPr>
      </w:pPr>
      <w:bookmarkStart w:id="115" w:name="_Toc23610"/>
      <w:bookmarkStart w:id="116" w:name="_Toc12175"/>
      <w:r>
        <w:rPr>
          <w:rFonts w:hint="eastAsia" w:ascii="宋体" w:hAnsi="宋体" w:eastAsia="宋体" w:cs="宋体"/>
          <w:bCs w:val="0"/>
          <w:sz w:val="28"/>
          <w:szCs w:val="28"/>
          <w:highlight w:val="none"/>
        </w:rPr>
        <w:t>附录3 资格审查文件（主要机械设备和试验检测设备最低要求）</w:t>
      </w:r>
      <w:bookmarkEnd w:id="115"/>
      <w:bookmarkEnd w:id="116"/>
    </w:p>
    <w:tbl>
      <w:tblPr>
        <w:tblStyle w:val="20"/>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keepNext w:val="0"/>
              <w:keepLines w:val="0"/>
              <w:suppressLineNumbers w:val="0"/>
              <w:spacing w:before="0" w:beforeAutospacing="0" w:after="0" w:afterAutospacing="0"/>
              <w:ind w:left="0" w:right="0" w:firstLine="420" w:firstLineChars="200"/>
              <w:rPr>
                <w:rFonts w:hint="default" w:eastAsia="宋体"/>
                <w:highlight w:val="none"/>
                <w:lang w:val="en-US" w:eastAsia="zh-CN"/>
              </w:rPr>
            </w:pPr>
            <w:r>
              <w:rPr>
                <w:rFonts w:hint="eastAsia"/>
                <w:highlight w:val="none"/>
                <w:lang w:val="en-US" w:eastAsia="zh-CN"/>
              </w:rPr>
              <w:t>无</w:t>
            </w:r>
          </w:p>
        </w:tc>
      </w:tr>
    </w:tbl>
    <w:p>
      <w:pPr>
        <w:spacing w:line="400" w:lineRule="exact"/>
        <w:ind w:firstLine="420"/>
        <w:rPr>
          <w:rFonts w:ascii="宋体" w:hAnsi="宋体" w:cs="宋体"/>
          <w:kern w:val="0"/>
          <w:szCs w:val="21"/>
          <w:highlight w:val="none"/>
        </w:rPr>
      </w:pPr>
      <w:r>
        <w:rPr>
          <w:rFonts w:hint="eastAsia" w:ascii="宋体" w:hAnsi="宋体" w:cs="宋体"/>
          <w:bCs/>
          <w:kern w:val="0"/>
          <w:szCs w:val="21"/>
          <w:highlight w:val="none"/>
        </w:rPr>
        <w:t>注：以上设备</w:t>
      </w:r>
      <w:r>
        <w:rPr>
          <w:rFonts w:hint="eastAsia" w:ascii="宋体" w:hAnsi="宋体" w:cs="宋体"/>
          <w:kern w:val="0"/>
          <w:highlight w:val="none"/>
        </w:rPr>
        <w:t>由报价人</w:t>
      </w:r>
      <w:r>
        <w:rPr>
          <w:rFonts w:hint="eastAsia" w:ascii="宋体" w:hAnsi="宋体" w:cs="宋体"/>
          <w:b/>
          <w:kern w:val="0"/>
          <w:highlight w:val="none"/>
        </w:rPr>
        <w:t>自行承诺</w:t>
      </w:r>
      <w:r>
        <w:rPr>
          <w:rFonts w:hint="eastAsia" w:ascii="Times New Roman" w:hAnsi="宋体" w:cs="Times New Roman"/>
          <w:caps w:val="0"/>
          <w:color w:val="auto"/>
          <w:sz w:val="21"/>
          <w:szCs w:val="21"/>
          <w:highlight w:val="none"/>
        </w:rPr>
        <w:t>，</w:t>
      </w:r>
      <w:r>
        <w:rPr>
          <w:rFonts w:hint="eastAsia" w:ascii="Times New Roman" w:hAnsi="宋体" w:cs="Times New Roman"/>
          <w:caps w:val="0"/>
          <w:color w:val="auto"/>
          <w:sz w:val="21"/>
          <w:szCs w:val="21"/>
          <w:highlight w:val="none"/>
          <w:lang w:val="en-US" w:eastAsia="zh-CN"/>
        </w:rPr>
        <w:t>提供承诺资料并加盖单位公章</w:t>
      </w:r>
      <w:r>
        <w:rPr>
          <w:rFonts w:hint="eastAsia" w:ascii="宋体" w:hAnsi="宋体" w:cs="宋体"/>
          <w:kern w:val="0"/>
          <w:szCs w:val="21"/>
          <w:highlight w:val="none"/>
        </w:rPr>
        <w:t>。</w:t>
      </w:r>
    </w:p>
    <w:p>
      <w:pPr>
        <w:spacing w:line="440" w:lineRule="exact"/>
        <w:jc w:val="center"/>
        <w:rPr>
          <w:rFonts w:hint="eastAsia" w:ascii="宋体" w:hAnsi="宋体" w:eastAsia="宋体" w:cs="宋体"/>
          <w:color w:val="000000" w:themeColor="text1"/>
          <w:szCs w:val="21"/>
          <w:lang w:eastAsia="zh-CN"/>
          <w14:textFill>
            <w14:solidFill>
              <w14:schemeClr w14:val="tx1"/>
            </w14:solidFill>
          </w14:textFill>
        </w:rPr>
        <w:sectPr>
          <w:footerReference r:id="rId8" w:type="default"/>
          <w:pgSz w:w="11906" w:h="16838"/>
          <w:pgMar w:top="1440" w:right="1800" w:bottom="1440" w:left="1800" w:header="851" w:footer="992" w:gutter="0"/>
          <w:cols w:space="720" w:num="1"/>
          <w:titlePg/>
          <w:docGrid w:type="lines" w:linePitch="312" w:charSpace="0"/>
        </w:sectPr>
      </w:pPr>
      <w:r>
        <w:rPr>
          <w:rFonts w:hint="eastAsia" w:hAnsi="宋体"/>
          <w:b/>
          <w:bCs/>
          <w:color w:val="auto"/>
          <w:sz w:val="21"/>
          <w:szCs w:val="21"/>
          <w:highlight w:val="none"/>
        </w:rPr>
        <w:t>以上（附录1-附录3中的资格审查）的要求均为强制性条件，其中任何一条不满足要求，则按否决报价处理。</w:t>
      </w:r>
      <w:bookmarkEnd w:id="105"/>
      <w:bookmarkEnd w:id="106"/>
      <w:bookmarkEnd w:id="107"/>
      <w:bookmarkEnd w:id="108"/>
      <w:bookmarkEnd w:id="109"/>
    </w:p>
    <w:p>
      <w:pPr>
        <w:pStyle w:val="2"/>
        <w:spacing w:before="0" w:after="0" w:line="360" w:lineRule="auto"/>
        <w:jc w:val="center"/>
        <w:rPr>
          <w:rFonts w:ascii="宋体" w:hAnsi="宋体" w:cs="宋体"/>
          <w:color w:val="000000" w:themeColor="text1"/>
          <w14:textFill>
            <w14:solidFill>
              <w14:schemeClr w14:val="tx1"/>
            </w14:solidFill>
          </w14:textFill>
        </w:rPr>
      </w:pPr>
      <w:bookmarkStart w:id="117" w:name="_Toc246996230"/>
      <w:bookmarkStart w:id="118" w:name="_Toc144974554"/>
      <w:bookmarkStart w:id="119" w:name="_Toc507319957"/>
      <w:bookmarkStart w:id="120" w:name="_Toc7682"/>
      <w:bookmarkStart w:id="121" w:name="_Toc247085745"/>
      <w:bookmarkStart w:id="122" w:name="_Toc152042364"/>
      <w:bookmarkStart w:id="123" w:name="_Toc152045587"/>
      <w:bookmarkStart w:id="124" w:name="_Toc246996973"/>
      <w:bookmarkStart w:id="125" w:name="_Toc2000406"/>
      <w:bookmarkStart w:id="126" w:name="_Toc179632605"/>
      <w:r>
        <w:rPr>
          <w:rFonts w:hint="eastAsia" w:ascii="宋体" w:hAnsi="宋体" w:cs="宋体"/>
          <w:color w:val="000000" w:themeColor="text1"/>
          <w14:textFill>
            <w14:solidFill>
              <w14:schemeClr w14:val="tx1"/>
            </w14:solidFill>
          </w14:textFill>
        </w:rPr>
        <w:t xml:space="preserve">第三章 </w:t>
      </w:r>
      <w:r>
        <w:rPr>
          <w:rFonts w:hint="eastAsia" w:ascii="宋体" w:hAnsi="宋体" w:cs="宋体"/>
          <w:highlight w:val="none"/>
        </w:rPr>
        <w:t>评标办法（综合评估法）</w:t>
      </w:r>
      <w:bookmarkEnd w:id="117"/>
      <w:bookmarkEnd w:id="118"/>
      <w:bookmarkEnd w:id="119"/>
      <w:bookmarkEnd w:id="120"/>
      <w:bookmarkEnd w:id="121"/>
      <w:bookmarkEnd w:id="122"/>
      <w:bookmarkEnd w:id="123"/>
      <w:bookmarkEnd w:id="124"/>
      <w:bookmarkEnd w:id="125"/>
      <w:bookmarkEnd w:id="126"/>
    </w:p>
    <w:p>
      <w:pPr>
        <w:rPr>
          <w:rFonts w:hint="eastAsia"/>
          <w:b/>
          <w:bCs/>
          <w:highlight w:val="none"/>
        </w:rPr>
      </w:pPr>
      <w:r>
        <w:rPr>
          <w:rFonts w:hint="eastAsia"/>
          <w:b/>
          <w:bCs/>
          <w:highlight w:val="none"/>
        </w:rPr>
        <w:t>评标办法前附表</w:t>
      </w:r>
    </w:p>
    <w:tbl>
      <w:tblPr>
        <w:tblStyle w:val="20"/>
        <w:tblW w:w="10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159"/>
        <w:gridCol w:w="2022"/>
        <w:gridCol w:w="5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napToGrid w:val="0"/>
              <w:spacing w:line="320" w:lineRule="exact"/>
              <w:jc w:val="center"/>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条款号</w:t>
            </w:r>
          </w:p>
        </w:tc>
        <w:tc>
          <w:tcPr>
            <w:tcW w:w="1159" w:type="dxa"/>
            <w:vAlign w:val="center"/>
          </w:tcPr>
          <w:p>
            <w:pPr>
              <w:snapToGrid w:val="0"/>
              <w:spacing w:line="320" w:lineRule="exact"/>
              <w:jc w:val="center"/>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条款名称</w:t>
            </w:r>
          </w:p>
        </w:tc>
        <w:tc>
          <w:tcPr>
            <w:tcW w:w="2022" w:type="dxa"/>
            <w:vAlign w:val="center"/>
          </w:tcPr>
          <w:p>
            <w:pPr>
              <w:snapToGrid w:val="0"/>
              <w:spacing w:line="320" w:lineRule="exact"/>
              <w:jc w:val="center"/>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评审因素与评审标准</w:t>
            </w:r>
          </w:p>
        </w:tc>
        <w:tc>
          <w:tcPr>
            <w:tcW w:w="5928" w:type="dxa"/>
            <w:vAlign w:val="center"/>
          </w:tcPr>
          <w:p>
            <w:pPr>
              <w:snapToGrid w:val="0"/>
              <w:spacing w:line="320" w:lineRule="exact"/>
              <w:jc w:val="center"/>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条款号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napToGrid w:val="0"/>
              <w:spacing w:line="320" w:lineRule="exact"/>
              <w:jc w:val="center"/>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Cs/>
                <w:kern w:val="0"/>
                <w:szCs w:val="21"/>
                <w:highlight w:val="none"/>
              </w:rPr>
              <w:t>1</w:t>
            </w:r>
          </w:p>
        </w:tc>
        <w:tc>
          <w:tcPr>
            <w:tcW w:w="1159" w:type="dxa"/>
            <w:vAlign w:val="center"/>
          </w:tcPr>
          <w:p>
            <w:pPr>
              <w:snapToGrid w:val="0"/>
              <w:spacing w:line="320" w:lineRule="exact"/>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szCs w:val="21"/>
                <w:highlight w:val="none"/>
              </w:rPr>
              <w:t>评标办</w:t>
            </w:r>
            <w:r>
              <w:rPr>
                <w:rFonts w:hint="eastAsia" w:asciiTheme="minorEastAsia" w:hAnsiTheme="minorEastAsia" w:eastAsiaTheme="minorEastAsia" w:cstheme="minorEastAsia"/>
                <w:spacing w:val="-1"/>
                <w:szCs w:val="21"/>
                <w:highlight w:val="none"/>
              </w:rPr>
              <w:t>法</w:t>
            </w:r>
          </w:p>
        </w:tc>
        <w:tc>
          <w:tcPr>
            <w:tcW w:w="2022" w:type="dxa"/>
            <w:vAlign w:val="center"/>
          </w:tcPr>
          <w:p>
            <w:pPr>
              <w:snapToGrid w:val="0"/>
              <w:spacing w:line="320" w:lineRule="exact"/>
              <w:rPr>
                <w:rFonts w:asciiTheme="minorEastAsia" w:hAnsiTheme="minorEastAsia" w:eastAsiaTheme="minorEastAsia" w:cstheme="minorEastAsia"/>
                <w:b/>
                <w:kern w:val="0"/>
                <w:szCs w:val="21"/>
                <w:highlight w:val="none"/>
              </w:rPr>
            </w:pPr>
            <w:r>
              <w:rPr>
                <w:rFonts w:hint="eastAsia" w:ascii="宋体" w:hAnsi="宋体" w:cs="宋体"/>
                <w:szCs w:val="21"/>
                <w:highlight w:val="none"/>
              </w:rPr>
              <w:t>中标候选人排序方法</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本次评标采用综合评分法，如出现得分(精确到小数点后两位)相等时，按以下原则确定第一中标候选人：</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（1）以评标价低的报价人优先；</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（2）如评标价也相同时，以技术得分较高的报价人优先；</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（3）如技术得分也相同时，以商务得分高的优先；</w:t>
            </w:r>
          </w:p>
          <w:p>
            <w:pPr>
              <w:spacing w:line="400" w:lineRule="exact"/>
              <w:ind w:firstLine="420" w:firstLineChars="200"/>
              <w:rPr>
                <w:rFonts w:asciiTheme="minorEastAsia" w:hAnsiTheme="minorEastAsia" w:eastAsiaTheme="minorEastAsia" w:cstheme="minorEastAsia"/>
                <w:b/>
                <w:kern w:val="0"/>
                <w:szCs w:val="21"/>
                <w:highlight w:val="none"/>
              </w:rPr>
            </w:pPr>
            <w:r>
              <w:rPr>
                <w:rFonts w:hint="eastAsia" w:ascii="宋体" w:hAnsi="宋体" w:cs="宋体"/>
                <w:szCs w:val="21"/>
                <w:highlight w:val="none"/>
              </w:rPr>
              <w:t>（4）如商务得分也相同时，由评标委员会投票决定。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napToGrid w:val="0"/>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
                <w:kern w:val="0"/>
                <w:szCs w:val="21"/>
                <w:highlight w:val="none"/>
              </w:rPr>
              <w:t>条款号</w:t>
            </w:r>
          </w:p>
        </w:tc>
        <w:tc>
          <w:tcPr>
            <w:tcW w:w="1159" w:type="dxa"/>
            <w:vAlign w:val="center"/>
          </w:tcPr>
          <w:p>
            <w:pPr>
              <w:snapToGrid w:val="0"/>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
                <w:kern w:val="0"/>
                <w:szCs w:val="21"/>
                <w:highlight w:val="none"/>
              </w:rPr>
              <w:t>评审因素</w:t>
            </w:r>
          </w:p>
        </w:tc>
        <w:tc>
          <w:tcPr>
            <w:tcW w:w="2022" w:type="dxa"/>
            <w:vAlign w:val="center"/>
          </w:tcPr>
          <w:p>
            <w:pPr>
              <w:snapToGrid w:val="0"/>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b/>
                <w:kern w:val="0"/>
                <w:szCs w:val="21"/>
                <w:highlight w:val="none"/>
              </w:rPr>
              <w:t>评审标准</w:t>
            </w:r>
          </w:p>
        </w:tc>
        <w:tc>
          <w:tcPr>
            <w:tcW w:w="5928" w:type="dxa"/>
            <w:vAlign w:val="center"/>
          </w:tcPr>
          <w:p>
            <w:pPr>
              <w:snapToGrid w:val="0"/>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b/>
                <w:kern w:val="0"/>
                <w:szCs w:val="21"/>
                <w:highlight w:val="none"/>
              </w:rPr>
              <w:t>条款号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2.1</w:t>
            </w:r>
          </w:p>
        </w:tc>
        <w:tc>
          <w:tcPr>
            <w:tcW w:w="1159" w:type="dxa"/>
            <w:vMerge w:val="restart"/>
            <w:vAlign w:val="center"/>
          </w:tcPr>
          <w:p>
            <w:pPr>
              <w:spacing w:line="32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资格评审标准</w:t>
            </w:r>
          </w:p>
        </w:tc>
        <w:tc>
          <w:tcPr>
            <w:tcW w:w="2022" w:type="dxa"/>
            <w:vAlign w:val="center"/>
          </w:tcPr>
          <w:p>
            <w:pPr>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营业执照</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资质要求</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业绩要求</w:t>
            </w:r>
          </w:p>
        </w:tc>
        <w:tc>
          <w:tcPr>
            <w:tcW w:w="5928" w:type="dxa"/>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信誉要求</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项目主要管理人员最低要求</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符合第二章“报价人须知”前附表附录1的规定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其他人员最低要求</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符合第二章“报价人须知”前附表附录2的规定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主要机械设备和试验检测设备最低要求</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符合第二章“报价人须知”前附表附录3的规定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2.2</w:t>
            </w:r>
          </w:p>
        </w:tc>
        <w:tc>
          <w:tcPr>
            <w:tcW w:w="1159" w:type="dxa"/>
            <w:vMerge w:val="restart"/>
            <w:vAlign w:val="center"/>
          </w:tcPr>
          <w:p>
            <w:pPr>
              <w:spacing w:line="32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形式评审标准</w:t>
            </w:r>
          </w:p>
        </w:tc>
        <w:tc>
          <w:tcPr>
            <w:tcW w:w="2022" w:type="dxa"/>
            <w:vAlign w:val="center"/>
          </w:tcPr>
          <w:p>
            <w:pPr>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报价人名称</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报价函签字盖章</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竞争性比选响应文件格式</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符合第九章“竞争性比选响应文件格式”的要求，字迹清晰可辨。</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1.竞争性比选响应声明书的所有数据均符合比选文件的规定；</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2.竞争性比选响应文件附表齐全完整，内容均按规定填写；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已标价工程量清单</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符合第五章“工程量清单”给出的范围及数量。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报价其它要求</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竞争性比选响应文件报价表中的报价与报价书文字报价应保持一致。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竞争性比选响应文件正本中法定代表人或其授权代理人签署</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竞争性比选响应文件正本中法定代表人或授权代理人签署姓名齐全，符合比选文件规定；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其它材料</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单位负责人为同一人或者存在控股、管理关系的不同单位，不得同时参加报价，否则相关报价均无效。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2.3</w:t>
            </w:r>
          </w:p>
        </w:tc>
        <w:tc>
          <w:tcPr>
            <w:tcW w:w="1159" w:type="dxa"/>
            <w:vMerge w:val="restart"/>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响应性评审标准</w:t>
            </w:r>
          </w:p>
        </w:tc>
        <w:tc>
          <w:tcPr>
            <w:tcW w:w="2022" w:type="dxa"/>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投标内容</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符合第二章“报价人须知”第4项规定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报价</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符合比选文件给出的范围及数量，且报价不得超过采购人公布的最高限价，但也不得低于报价人的企业成本。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工期</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符合第二章“报价人须知”第5项规定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质量标准</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符合第二章“报价人须知”第6项规定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安全目标</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符合第二章“报价人须知”第7项规定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w:t>
            </w:r>
          </w:p>
        </w:tc>
        <w:tc>
          <w:tcPr>
            <w:tcW w:w="1159" w:type="dxa"/>
            <w:vAlign w:val="center"/>
          </w:tcPr>
          <w:p>
            <w:pPr>
              <w:spacing w:line="32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分值构</w:t>
            </w:r>
          </w:p>
          <w:p>
            <w:pPr>
              <w:spacing w:line="32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（总分 100 分） </w:t>
            </w:r>
          </w:p>
        </w:tc>
        <w:tc>
          <w:tcPr>
            <w:tcW w:w="7950" w:type="dxa"/>
            <w:gridSpan w:val="2"/>
            <w:vAlign w:val="center"/>
          </w:tcPr>
          <w:p>
            <w:pPr>
              <w:numPr>
                <w:ilvl w:val="0"/>
                <w:numId w:val="0"/>
              </w:numPr>
              <w:spacing w:line="32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投标报价</w:t>
            </w:r>
            <w:r>
              <w:rPr>
                <w:rFonts w:hint="eastAsia" w:asciiTheme="minorEastAsia" w:hAnsiTheme="minorEastAsia" w:eastAsiaTheme="minorEastAsia" w:cstheme="minorEastAsia"/>
                <w:szCs w:val="21"/>
                <w:highlight w:val="none"/>
                <w:lang w:val="en-US" w:eastAsia="zh-CN"/>
              </w:rPr>
              <w:t>7</w:t>
            </w:r>
            <w:r>
              <w:rPr>
                <w:rFonts w:hint="default" w:asciiTheme="minorEastAsia" w:hAnsiTheme="minorEastAsia" w:eastAsiaTheme="minorEastAsia" w:cstheme="minorEastAsia"/>
                <w:szCs w:val="21"/>
                <w:highlight w:val="none"/>
              </w:rPr>
              <w:t>0</w:t>
            </w:r>
            <w:r>
              <w:rPr>
                <w:rFonts w:hint="eastAsia" w:asciiTheme="minorEastAsia" w:hAnsiTheme="minorEastAsia" w:eastAsiaTheme="minorEastAsia" w:cstheme="minorEastAsia"/>
                <w:szCs w:val="21"/>
                <w:highlight w:val="none"/>
              </w:rPr>
              <w:t>分；</w:t>
            </w:r>
          </w:p>
          <w:p>
            <w:pPr>
              <w:numPr>
                <w:ilvl w:val="0"/>
                <w:numId w:val="0"/>
              </w:numPr>
              <w:spacing w:line="32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商务部分</w:t>
            </w:r>
            <w:r>
              <w:rPr>
                <w:rFonts w:hint="eastAsia" w:asciiTheme="minorEastAsia" w:hAnsiTheme="minorEastAsia" w:eastAsiaTheme="minorEastAsia" w:cstheme="minorEastAsia"/>
                <w:szCs w:val="21"/>
                <w:highlight w:val="none"/>
                <w:lang w:val="en-US" w:eastAsia="zh-CN"/>
              </w:rPr>
              <w:t>1</w:t>
            </w:r>
            <w:r>
              <w:rPr>
                <w:rFonts w:hint="default" w:asciiTheme="minorEastAsia" w:hAnsiTheme="minorEastAsia" w:eastAsiaTheme="minorEastAsia" w:cstheme="minorEastAsia"/>
                <w:szCs w:val="21"/>
                <w:highlight w:val="none"/>
              </w:rPr>
              <w:t>0</w:t>
            </w:r>
            <w:r>
              <w:rPr>
                <w:rFonts w:hint="eastAsia" w:asciiTheme="minorEastAsia" w:hAnsiTheme="minorEastAsia" w:eastAsiaTheme="minorEastAsia" w:cstheme="minorEastAsia"/>
                <w:szCs w:val="21"/>
                <w:highlight w:val="none"/>
              </w:rPr>
              <w:t>分；</w:t>
            </w:r>
          </w:p>
          <w:p>
            <w:pPr>
              <w:spacing w:line="32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技术部分</w:t>
            </w:r>
            <w:r>
              <w:rPr>
                <w:rFonts w:hint="eastAsia" w:asciiTheme="minorEastAsia" w:hAnsiTheme="minorEastAsia" w:eastAsiaTheme="minorEastAsia" w:cstheme="minorEastAsia"/>
                <w:szCs w:val="21"/>
                <w:highlight w:val="none"/>
                <w:lang w:val="en-US" w:eastAsia="zh-CN"/>
              </w:rPr>
              <w:t>20</w:t>
            </w:r>
            <w:r>
              <w:rPr>
                <w:rFonts w:hint="eastAsia" w:asciiTheme="minorEastAsia" w:hAnsiTheme="minorEastAsia" w:eastAsiaTheme="minorEastAsia" w:cstheme="minorEastAsia"/>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3.1</w:t>
            </w:r>
          </w:p>
        </w:tc>
        <w:tc>
          <w:tcPr>
            <w:tcW w:w="1159" w:type="dxa"/>
            <w:vMerge w:val="restart"/>
            <w:vAlign w:val="center"/>
          </w:tcPr>
          <w:p>
            <w:pPr>
              <w:spacing w:line="32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投标报价（</w:t>
            </w:r>
            <w:r>
              <w:rPr>
                <w:rFonts w:hint="eastAsia" w:asciiTheme="minorEastAsia" w:hAnsiTheme="minorEastAsia" w:eastAsiaTheme="minorEastAsia" w:cstheme="minorEastAsia"/>
                <w:szCs w:val="21"/>
                <w:highlight w:val="none"/>
                <w:lang w:val="en-US" w:eastAsia="zh-CN"/>
              </w:rPr>
              <w:t>7</w:t>
            </w:r>
            <w:r>
              <w:rPr>
                <w:rFonts w:hint="eastAsia" w:asciiTheme="minorEastAsia" w:hAnsiTheme="minorEastAsia" w:eastAsiaTheme="minorEastAsia" w:cstheme="minorEastAsia"/>
                <w:szCs w:val="21"/>
                <w:highlight w:val="none"/>
              </w:rPr>
              <w:t>0分）</w:t>
            </w:r>
          </w:p>
        </w:tc>
        <w:tc>
          <w:tcPr>
            <w:tcW w:w="2022" w:type="dxa"/>
            <w:vAlign w:val="center"/>
          </w:tcPr>
          <w:p>
            <w:pPr>
              <w:snapToGrid w:val="0"/>
              <w:spacing w:line="400" w:lineRule="exact"/>
              <w:ind w:left="0" w:leftChars="0" w:firstLine="0" w:firstLineChars="0"/>
              <w:jc w:val="center"/>
              <w:rPr>
                <w:rFonts w:hint="eastAsia" w:asciiTheme="minorEastAsia" w:hAnsiTheme="minorEastAsia" w:eastAsiaTheme="minorEastAsia" w:cstheme="minorEastAsia"/>
                <w:szCs w:val="21"/>
                <w:highlight w:val="none"/>
              </w:rPr>
            </w:pPr>
            <w:r>
              <w:rPr>
                <w:rFonts w:hint="eastAsia" w:ascii="宋体" w:hAnsi="宋体" w:eastAsia="宋体" w:cs="宋体"/>
                <w:color w:val="auto"/>
                <w:kern w:val="0"/>
                <w:sz w:val="21"/>
                <w:szCs w:val="21"/>
                <w:highlight w:val="none"/>
                <w:lang w:val="en-US" w:eastAsia="zh-CN"/>
              </w:rPr>
              <w:t>评标基准价计算方法</w:t>
            </w:r>
          </w:p>
        </w:tc>
        <w:tc>
          <w:tcPr>
            <w:tcW w:w="5928" w:type="dxa"/>
            <w:vAlign w:val="top"/>
          </w:tcPr>
          <w:p>
            <w:pPr>
              <w:snapToGrid w:val="0"/>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由评标委员会计算评标基准价：</w:t>
            </w:r>
          </w:p>
          <w:p>
            <w:pPr>
              <w:snapToGrid w:val="0"/>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（1）评标价的确定：评标价＝投标函文字报价</w:t>
            </w:r>
          </w:p>
          <w:p>
            <w:pPr>
              <w:snapToGrid w:val="0"/>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（2）评标基准价的确定：</w:t>
            </w:r>
          </w:p>
          <w:p>
            <w:pPr>
              <w:snapToGrid w:val="0"/>
              <w:spacing w:line="400" w:lineRule="exact"/>
              <w:ind w:firstLine="420" w:firstLineChars="200"/>
              <w:rPr>
                <w:rFonts w:ascii="宋体" w:hAnsi="宋体" w:cs="宋体"/>
                <w:szCs w:val="21"/>
                <w:highlight w:val="none"/>
              </w:rPr>
            </w:pPr>
            <w:r>
              <w:rPr>
                <w:rFonts w:hint="eastAsia" w:ascii="宋体" w:hAnsi="宋体" w:eastAsia="宋体" w:cs="宋体"/>
                <w:kern w:val="0"/>
                <w:sz w:val="21"/>
                <w:szCs w:val="21"/>
                <w:highlight w:val="none"/>
              </w:rPr>
              <w:t>在通过初步评审后且不高于最高限价</w:t>
            </w:r>
            <w:r>
              <w:rPr>
                <w:rFonts w:hint="eastAsia" w:ascii="宋体" w:hAnsi="宋体" w:eastAsia="宋体" w:cs="宋体"/>
                <w:kern w:val="0"/>
                <w:sz w:val="21"/>
                <w:szCs w:val="21"/>
                <w:highlight w:val="none"/>
                <w:lang w:val="en-US" w:eastAsia="zh-CN"/>
              </w:rPr>
              <w:t>和不低于最高限价85%的投标报价</w:t>
            </w:r>
            <w:r>
              <w:rPr>
                <w:rFonts w:hint="eastAsia" w:ascii="宋体" w:hAnsi="宋体" w:eastAsia="宋体" w:cs="宋体"/>
                <w:kern w:val="0"/>
                <w:sz w:val="21"/>
                <w:szCs w:val="21"/>
                <w:highlight w:val="none"/>
              </w:rPr>
              <w:t>中去掉六分之一（不能整除的按小数前整数取整，不足六家报价则不去掉）的最低价和相同家数的最高价后的算术平均值</w:t>
            </w:r>
            <w:r>
              <w:rPr>
                <w:rFonts w:hint="eastAsia" w:ascii="宋体" w:hAnsi="宋体" w:eastAsia="宋体" w:cs="宋体"/>
                <w:kern w:val="0"/>
                <w:sz w:val="21"/>
                <w:szCs w:val="21"/>
                <w:highlight w:val="none"/>
                <w:lang w:val="en-US" w:eastAsia="zh-CN"/>
              </w:rPr>
              <w:t>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szCs w:val="21"/>
                <w:highlight w:val="none"/>
              </w:rPr>
            </w:pPr>
          </w:p>
        </w:tc>
        <w:tc>
          <w:tcPr>
            <w:tcW w:w="2022" w:type="dxa"/>
            <w:vAlign w:val="center"/>
          </w:tcPr>
          <w:p>
            <w:pPr>
              <w:snapToGrid w:val="0"/>
              <w:spacing w:line="400" w:lineRule="exact"/>
              <w:ind w:left="0" w:leftChars="0" w:firstLine="0" w:firstLineChars="0"/>
              <w:jc w:val="center"/>
              <w:rPr>
                <w:rFonts w:hint="eastAsia" w:asciiTheme="minorEastAsia" w:hAnsiTheme="minorEastAsia" w:eastAsiaTheme="minorEastAsia" w:cstheme="minorEastAsia"/>
                <w:szCs w:val="21"/>
                <w:highlight w:val="none"/>
              </w:rPr>
            </w:pPr>
            <w:r>
              <w:rPr>
                <w:rFonts w:hint="eastAsia" w:ascii="宋体" w:hAnsi="宋体" w:eastAsia="宋体" w:cs="宋体"/>
                <w:color w:val="auto"/>
                <w:kern w:val="0"/>
                <w:sz w:val="21"/>
                <w:szCs w:val="21"/>
                <w:highlight w:val="none"/>
                <w:lang w:val="en-US" w:eastAsia="zh-CN"/>
              </w:rPr>
              <w:t>评标价的偏差率计算公式</w:t>
            </w:r>
          </w:p>
        </w:tc>
        <w:tc>
          <w:tcPr>
            <w:tcW w:w="5928" w:type="dxa"/>
            <w:vAlign w:val="center"/>
          </w:tcPr>
          <w:p>
            <w:pPr>
              <w:spacing w:line="320" w:lineRule="exact"/>
              <w:jc w:val="left"/>
              <w:rPr>
                <w:rFonts w:ascii="宋体" w:hAnsi="宋体" w:cs="宋体"/>
                <w:szCs w:val="21"/>
                <w:highlight w:val="none"/>
              </w:rPr>
            </w:pPr>
            <w:r>
              <w:rPr>
                <w:rFonts w:hint="eastAsia" w:ascii="宋体" w:hAnsi="宋体" w:eastAsia="宋体" w:cs="宋体"/>
                <w:b/>
                <w:bCs/>
                <w:sz w:val="21"/>
                <w:szCs w:val="21"/>
                <w:highlight w:val="none"/>
              </w:rPr>
              <w:t>偏差率＝100%×（投标价-评标基准价）/评标基准价，偏差率为百分率（示例：xx.xx%)，偏差率计算保留小数点后两位，小数点后第三位“四舍五入”。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投标报价</w:t>
            </w:r>
          </w:p>
        </w:tc>
        <w:tc>
          <w:tcPr>
            <w:tcW w:w="5928" w:type="dxa"/>
            <w:vAlign w:val="top"/>
          </w:tcPr>
          <w:p>
            <w:pPr>
              <w:pStyle w:val="18"/>
              <w:spacing w:after="0" w:line="320" w:lineRule="exact"/>
              <w:ind w:firstLine="420" w:firstLineChars="200"/>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所有有效投标报价分别与评标基准价相比较，等于基准价得70分，每增加1%扣0.5分；每减少1%扣0.2分，</w:t>
            </w:r>
            <w:r>
              <w:rPr>
                <w:rFonts w:hint="default" w:ascii="宋体" w:hAnsi="宋体" w:eastAsia="宋体" w:cs="宋体"/>
                <w:kern w:val="0"/>
                <w:sz w:val="21"/>
                <w:szCs w:val="21"/>
                <w:highlight w:val="none"/>
                <w:lang w:eastAsia="zh-CN" w:bidi="ar-SA"/>
              </w:rPr>
              <w:t>最多扣10分</w:t>
            </w:r>
            <w:r>
              <w:rPr>
                <w:rFonts w:hint="eastAsia" w:ascii="宋体" w:hAnsi="宋体" w:eastAsia="宋体" w:cs="宋体"/>
                <w:kern w:val="0"/>
                <w:sz w:val="21"/>
                <w:szCs w:val="21"/>
                <w:highlight w:val="none"/>
                <w:lang w:val="en-US" w:eastAsia="zh-CN" w:bidi="ar-SA"/>
              </w:rPr>
              <w:t>。按插入法计算得分。</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kern w:val="0"/>
                <w:sz w:val="21"/>
                <w:szCs w:val="21"/>
                <w:highlight w:val="none"/>
                <w:lang w:val="en-US" w:eastAsia="zh-CN" w:bidi="ar-SA"/>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3.2</w:t>
            </w:r>
          </w:p>
        </w:tc>
        <w:tc>
          <w:tcPr>
            <w:tcW w:w="1159" w:type="dxa"/>
            <w:vMerge w:val="restart"/>
            <w:vAlign w:val="center"/>
          </w:tcPr>
          <w:p>
            <w:pPr>
              <w:spacing w:line="32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商务部分</w:t>
            </w:r>
            <w:r>
              <w:rPr>
                <w:rFonts w:hint="eastAsia" w:ascii="宋体" w:hAnsi="宋体" w:eastAsia="宋体" w:cs="宋体"/>
                <w:sz w:val="21"/>
                <w:szCs w:val="21"/>
                <w:highlight w:val="none"/>
              </w:rPr>
              <w:t>评分标准</w:t>
            </w: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szCs w:val="21"/>
                <w:highlight w:val="none"/>
                <w:lang w:val="en-US" w:eastAsia="zh-CN"/>
              </w:rPr>
              <w:t>10</w:t>
            </w:r>
            <w:r>
              <w:rPr>
                <w:rFonts w:hint="eastAsia" w:asciiTheme="minorEastAsia" w:hAnsiTheme="minorEastAsia" w:eastAsiaTheme="minorEastAsia" w:cstheme="minorEastAsia"/>
                <w:szCs w:val="21"/>
                <w:highlight w:val="none"/>
              </w:rPr>
              <w:t>分）</w:t>
            </w:r>
          </w:p>
        </w:tc>
        <w:tc>
          <w:tcPr>
            <w:tcW w:w="2022" w:type="dxa"/>
            <w:vAlign w:val="center"/>
          </w:tcPr>
          <w:p>
            <w:pPr>
              <w:keepNext w:val="0"/>
              <w:keepLines w:val="0"/>
              <w:suppressLineNumbers w:val="0"/>
              <w:autoSpaceDE w:val="0"/>
              <w:autoSpaceDN w:val="0"/>
              <w:adjustRightInd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szCs w:val="21"/>
                <w:highlight w:val="none"/>
                <w:lang w:eastAsia="zh-CN"/>
              </w:rPr>
            </w:pPr>
            <w:r>
              <w:rPr>
                <w:rFonts w:hint="eastAsia" w:ascii="宋体" w:hAnsi="宋体" w:cs="宋体"/>
                <w:kern w:val="0"/>
                <w:szCs w:val="21"/>
                <w:highlight w:val="none"/>
              </w:rPr>
              <w:t>业绩（</w:t>
            </w:r>
            <w:r>
              <w:rPr>
                <w:rFonts w:hint="eastAsia" w:ascii="宋体" w:hAnsi="宋体" w:cs="宋体"/>
                <w:kern w:val="0"/>
                <w:szCs w:val="21"/>
                <w:highlight w:val="none"/>
                <w:lang w:val="en-US" w:eastAsia="zh-CN"/>
              </w:rPr>
              <w:t>6</w:t>
            </w:r>
            <w:r>
              <w:rPr>
                <w:rFonts w:hint="eastAsia" w:ascii="宋体" w:hAnsi="宋体" w:cs="宋体"/>
                <w:kern w:val="0"/>
                <w:szCs w:val="21"/>
                <w:highlight w:val="none"/>
              </w:rPr>
              <w:t>分）</w:t>
            </w:r>
          </w:p>
        </w:tc>
        <w:tc>
          <w:tcPr>
            <w:tcW w:w="5928" w:type="dxa"/>
            <w:vAlign w:val="center"/>
          </w:tcPr>
          <w:p>
            <w:pPr>
              <w:keepNext w:val="0"/>
              <w:keepLines w:val="0"/>
              <w:suppressLineNumbers w:val="0"/>
              <w:autoSpaceDE w:val="0"/>
              <w:autoSpaceDN w:val="0"/>
              <w:adjustRightInd w:val="0"/>
              <w:spacing w:before="0" w:beforeAutospacing="0" w:after="0" w:afterAutospacing="0" w:line="320" w:lineRule="exact"/>
              <w:ind w:left="0" w:leftChars="0" w:right="0" w:rightChars="0"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满足资格业绩要求得4分。</w:t>
            </w:r>
          </w:p>
          <w:p>
            <w:pPr>
              <w:keepNext w:val="0"/>
              <w:keepLines w:val="0"/>
              <w:suppressLineNumbers w:val="0"/>
              <w:autoSpaceDE w:val="0"/>
              <w:autoSpaceDN w:val="0"/>
              <w:adjustRightInd w:val="0"/>
              <w:spacing w:before="0" w:beforeAutospacing="0" w:after="0" w:afterAutospacing="0" w:line="320" w:lineRule="exact"/>
              <w:ind w:left="0" w:leftChars="0" w:right="0" w:rightChars="0" w:firstLine="420" w:firstLineChars="200"/>
              <w:jc w:val="left"/>
              <w:rPr>
                <w:rFonts w:hint="eastAsia" w:ascii="宋体" w:hAnsi="宋体" w:cs="宋体"/>
                <w:szCs w:val="21"/>
                <w:highlight w:val="none"/>
                <w:lang w:val="en-US" w:eastAsia="zh-CN"/>
              </w:rPr>
            </w:pPr>
            <w:r>
              <w:rPr>
                <w:rFonts w:hint="eastAsia" w:ascii="宋体" w:hAnsi="宋体" w:eastAsia="宋体" w:cs="宋体"/>
                <w:kern w:val="0"/>
                <w:sz w:val="21"/>
                <w:szCs w:val="21"/>
                <w:highlight w:val="none"/>
                <w:lang w:val="en-US" w:eastAsia="zh-CN"/>
              </w:rPr>
              <w:t>在满足资格要求基础上，</w:t>
            </w:r>
            <w:r>
              <w:rPr>
                <w:rFonts w:hint="default"/>
                <w:highlight w:val="none"/>
                <w:lang w:val="en-US" w:eastAsia="zh-CN"/>
              </w:rPr>
              <w:t>报价人自2021年1月1日至投标截止日(以合同签订时间为准）</w:t>
            </w:r>
            <w:r>
              <w:rPr>
                <w:rFonts w:hint="eastAsia"/>
                <w:highlight w:val="none"/>
                <w:lang w:val="en-US" w:eastAsia="zh-CN"/>
              </w:rPr>
              <w:t>每额外增加一项</w:t>
            </w:r>
            <w:r>
              <w:rPr>
                <w:rFonts w:hint="default"/>
                <w:highlight w:val="none"/>
                <w:lang w:val="en-US" w:eastAsia="zh-CN"/>
              </w:rPr>
              <w:t>文本机器人或智能系统等同类项目业绩</w:t>
            </w:r>
            <w:r>
              <w:rPr>
                <w:rFonts w:hint="eastAsia"/>
                <w:highlight w:val="none"/>
                <w:lang w:val="en-US" w:eastAsia="zh-CN"/>
              </w:rPr>
              <w:t>（单个合同金额不低于20万元）</w:t>
            </w:r>
            <w:r>
              <w:rPr>
                <w:rFonts w:hint="eastAsia" w:ascii="宋体" w:hAnsi="宋体" w:cs="宋体"/>
                <w:szCs w:val="21"/>
                <w:highlight w:val="none"/>
                <w:lang w:val="en-US" w:eastAsia="zh-CN"/>
              </w:rPr>
              <w:t>得1分，满分2分，未提供不得分。</w:t>
            </w:r>
          </w:p>
          <w:p>
            <w:pPr>
              <w:keepNext w:val="0"/>
              <w:keepLines w:val="0"/>
              <w:suppressLineNumbers w:val="0"/>
              <w:autoSpaceDE w:val="0"/>
              <w:autoSpaceDN w:val="0"/>
              <w:adjustRightInd w:val="0"/>
              <w:spacing w:before="0" w:beforeAutospacing="0" w:after="0" w:afterAutospacing="0" w:line="320" w:lineRule="exact"/>
              <w:ind w:left="0" w:leftChars="0" w:right="0" w:rightChars="0" w:firstLine="420" w:firstLineChars="200"/>
              <w:jc w:val="left"/>
              <w:rPr>
                <w:rFonts w:hint="eastAsia" w:ascii="宋体" w:hAnsi="宋体" w:eastAsia="宋体" w:cs="宋体"/>
                <w:szCs w:val="21"/>
                <w:highlight w:val="none"/>
                <w:lang w:eastAsia="zh-CN"/>
              </w:rPr>
            </w:pPr>
            <w:r>
              <w:rPr>
                <w:rFonts w:hint="eastAsia" w:ascii="宋体" w:hAnsi="宋体" w:eastAsia="宋体" w:cs="宋体"/>
                <w:color w:val="000000"/>
                <w:sz w:val="21"/>
                <w:szCs w:val="21"/>
                <w:highlight w:val="none"/>
              </w:rPr>
              <w:t>注：</w:t>
            </w: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rPr>
              <w:t>.合同</w:t>
            </w:r>
            <w:r>
              <w:rPr>
                <w:rFonts w:hint="eastAsia" w:ascii="宋体" w:hAnsi="宋体" w:eastAsia="宋体" w:cs="宋体"/>
                <w:kern w:val="0"/>
                <w:sz w:val="21"/>
                <w:szCs w:val="21"/>
                <w:highlight w:val="none"/>
                <w:lang w:val="en-US" w:eastAsia="zh-CN"/>
              </w:rPr>
              <w:t>复印件</w:t>
            </w:r>
            <w:r>
              <w:rPr>
                <w:rFonts w:hint="eastAsia" w:ascii="宋体" w:hAnsi="宋体" w:eastAsia="宋体" w:cs="宋体"/>
                <w:kern w:val="0"/>
                <w:sz w:val="21"/>
                <w:szCs w:val="21"/>
                <w:highlight w:val="none"/>
              </w:rPr>
              <w:t>（合同需清晰反映上述业绩要求的主要内容，包括但不限于合同金额及</w:t>
            </w:r>
            <w:r>
              <w:rPr>
                <w:rFonts w:hint="eastAsia" w:ascii="宋体" w:hAnsi="宋体" w:eastAsia="宋体" w:cs="宋体"/>
                <w:kern w:val="0"/>
                <w:sz w:val="21"/>
                <w:szCs w:val="21"/>
                <w:highlight w:val="none"/>
                <w:lang w:val="en-US" w:eastAsia="zh-CN"/>
              </w:rPr>
              <w:t>工作内容</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合同原件备查。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hint="eastAsia"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hint="eastAsia" w:asciiTheme="minorEastAsia" w:hAnsiTheme="minorEastAsia" w:eastAsiaTheme="minorEastAsia" w:cstheme="minorEastAsia"/>
                <w:szCs w:val="21"/>
                <w:highlight w:val="none"/>
              </w:rPr>
            </w:pPr>
          </w:p>
        </w:tc>
        <w:tc>
          <w:tcPr>
            <w:tcW w:w="2022" w:type="dxa"/>
            <w:vAlign w:val="center"/>
          </w:tcPr>
          <w:p>
            <w:pPr>
              <w:keepNext w:val="0"/>
              <w:keepLines w:val="0"/>
              <w:suppressLineNumbers w:val="0"/>
              <w:autoSpaceDE w:val="0"/>
              <w:autoSpaceDN w:val="0"/>
              <w:adjustRightInd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szCs w:val="21"/>
                <w:highlight w:val="none"/>
                <w:lang w:val="en-US" w:eastAsia="zh-CN"/>
              </w:rPr>
            </w:pPr>
            <w:r>
              <w:rPr>
                <w:rFonts w:hint="eastAsia" w:ascii="宋体" w:hAnsi="宋体" w:eastAsia="宋体" w:cs="宋体"/>
                <w:szCs w:val="21"/>
                <w:highlight w:val="none"/>
              </w:rPr>
              <w:t>企业能力</w:t>
            </w:r>
            <w:r>
              <w:rPr>
                <w:rFonts w:hint="eastAsia" w:ascii="宋体" w:hAnsi="宋体" w:cs="宋体"/>
                <w:kern w:val="0"/>
                <w:szCs w:val="21"/>
                <w:highlight w:val="none"/>
              </w:rPr>
              <w:t>（</w:t>
            </w:r>
            <w:r>
              <w:rPr>
                <w:rFonts w:hint="eastAsia" w:ascii="宋体" w:hAnsi="宋体" w:cs="宋体"/>
                <w:kern w:val="0"/>
                <w:szCs w:val="21"/>
                <w:highlight w:val="none"/>
                <w:lang w:val="en-US" w:eastAsia="zh-CN"/>
              </w:rPr>
              <w:t>4</w:t>
            </w:r>
            <w:r>
              <w:rPr>
                <w:rFonts w:hint="eastAsia" w:ascii="宋体" w:hAnsi="宋体" w:cs="宋体"/>
                <w:kern w:val="0"/>
                <w:szCs w:val="21"/>
                <w:highlight w:val="none"/>
              </w:rPr>
              <w:t>分）</w:t>
            </w:r>
          </w:p>
        </w:tc>
        <w:tc>
          <w:tcPr>
            <w:tcW w:w="5928" w:type="dxa"/>
            <w:vAlign w:val="center"/>
          </w:tcPr>
          <w:p>
            <w:pPr>
              <w:keepNext w:val="0"/>
              <w:keepLines w:val="0"/>
              <w:numPr>
                <w:ilvl w:val="0"/>
                <w:numId w:val="0"/>
              </w:numPr>
              <w:suppressLineNumbers w:val="0"/>
              <w:autoSpaceDE/>
              <w:autoSpaceDN/>
              <w:adjustRightInd/>
              <w:spacing w:before="0" w:beforeAutospacing="0" w:after="0" w:afterAutospacing="0" w:line="240" w:lineRule="auto"/>
              <w:ind w:left="0" w:right="0" w:firstLine="420" w:firstLineChars="20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1.</w:t>
            </w:r>
            <w:r>
              <w:rPr>
                <w:rFonts w:hint="eastAsia" w:ascii="宋体" w:hAnsi="宋体" w:eastAsia="宋体" w:cs="Times New Roman"/>
                <w:b w:val="0"/>
                <w:bCs w:val="0"/>
                <w:caps w:val="0"/>
                <w:kern w:val="0"/>
                <w:sz w:val="21"/>
                <w:szCs w:val="24"/>
                <w:highlight w:val="none"/>
                <w:lang w:val="en-US" w:eastAsia="zh-CN" w:bidi="ar-SA"/>
              </w:rPr>
              <w:t>具备有效的地级市（区）级及以上的高新技术企业证书，得2分；</w:t>
            </w:r>
          </w:p>
          <w:p>
            <w:pPr>
              <w:keepNext w:val="0"/>
              <w:keepLines w:val="0"/>
              <w:numPr>
                <w:ilvl w:val="0"/>
                <w:numId w:val="0"/>
              </w:numPr>
              <w:suppressLineNumbers w:val="0"/>
              <w:autoSpaceDE/>
              <w:autoSpaceDN/>
              <w:adjustRightInd/>
              <w:spacing w:before="0" w:beforeAutospacing="0" w:after="0" w:afterAutospacing="0" w:line="240" w:lineRule="auto"/>
              <w:ind w:left="0" w:right="0" w:firstLine="420" w:firstLineChars="200"/>
              <w:jc w:val="left"/>
              <w:rPr>
                <w:rFonts w:hint="eastAsia" w:ascii="宋体" w:hAnsi="宋体"/>
                <w:kern w:val="0"/>
                <w:highlight w:val="none"/>
                <w:lang w:val="en-US" w:eastAsia="zh-CN"/>
              </w:rPr>
            </w:pPr>
            <w:r>
              <w:rPr>
                <w:rFonts w:hint="eastAsia" w:ascii="宋体" w:hAnsi="宋体" w:cs="宋体"/>
                <w:szCs w:val="21"/>
                <w:highlight w:val="none"/>
                <w:lang w:val="en-US" w:eastAsia="zh-CN"/>
              </w:rPr>
              <w:t>2.</w:t>
            </w:r>
            <w:r>
              <w:rPr>
                <w:rFonts w:hint="eastAsia" w:ascii="宋体" w:hAnsi="宋体"/>
                <w:kern w:val="0"/>
                <w:highlight w:val="none"/>
              </w:rPr>
              <w:t>具有</w:t>
            </w:r>
            <w:r>
              <w:rPr>
                <w:rFonts w:hint="eastAsia" w:ascii="宋体" w:hAnsi="宋体"/>
                <w:kern w:val="0"/>
                <w:highlight w:val="none"/>
                <w:lang w:val="en-US" w:eastAsia="zh-CN"/>
              </w:rPr>
              <w:t>有效的</w:t>
            </w:r>
            <w:r>
              <w:rPr>
                <w:rFonts w:hint="eastAsia" w:ascii="宋体" w:hAnsi="宋体"/>
                <w:kern w:val="0"/>
                <w:highlight w:val="none"/>
              </w:rPr>
              <w:t>三级</w:t>
            </w:r>
            <w:r>
              <w:rPr>
                <w:rFonts w:hint="eastAsia" w:ascii="宋体" w:hAnsi="宋体"/>
                <w:kern w:val="0"/>
                <w:highlight w:val="none"/>
                <w:lang w:val="en-US" w:eastAsia="zh-CN"/>
              </w:rPr>
              <w:t>及</w:t>
            </w:r>
            <w:r>
              <w:rPr>
                <w:rFonts w:hint="eastAsia" w:ascii="宋体" w:hAnsi="宋体"/>
                <w:kern w:val="0"/>
                <w:highlight w:val="none"/>
              </w:rPr>
              <w:t xml:space="preserve">以上CMMI </w:t>
            </w:r>
            <w:r>
              <w:rPr>
                <w:rFonts w:hint="eastAsia" w:ascii="宋体" w:hAnsi="宋体"/>
                <w:kern w:val="0"/>
                <w:highlight w:val="none"/>
                <w:lang w:val="en-US" w:eastAsia="zh-CN"/>
              </w:rPr>
              <w:t>证书</w:t>
            </w:r>
            <w:r>
              <w:rPr>
                <w:rFonts w:hint="eastAsia" w:ascii="宋体" w:hAnsi="宋体"/>
                <w:kern w:val="0"/>
                <w:highlight w:val="none"/>
                <w:lang w:eastAsia="zh-CN"/>
              </w:rPr>
              <w:t>，</w:t>
            </w:r>
            <w:r>
              <w:rPr>
                <w:rFonts w:hint="eastAsia" w:ascii="宋体" w:hAnsi="宋体"/>
                <w:kern w:val="0"/>
                <w:highlight w:val="none"/>
                <w:lang w:val="en-US" w:eastAsia="zh-CN"/>
              </w:rPr>
              <w:t>得1分；</w:t>
            </w:r>
          </w:p>
          <w:p>
            <w:pPr>
              <w:spacing w:before="0" w:after="0"/>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 xml:space="preserve">    3.具备</w:t>
            </w:r>
            <w:r>
              <w:rPr>
                <w:rFonts w:hint="eastAsia" w:ascii="宋体" w:hAnsi="宋体"/>
                <w:kern w:val="0"/>
                <w:highlight w:val="none"/>
                <w:lang w:val="en-US" w:eastAsia="zh-CN"/>
              </w:rPr>
              <w:t>有效的</w:t>
            </w:r>
            <w:r>
              <w:rPr>
                <w:rFonts w:hint="eastAsia" w:ascii="宋体" w:hAnsi="宋体" w:cs="宋体"/>
                <w:szCs w:val="21"/>
                <w:highlight w:val="none"/>
                <w:lang w:val="en-US" w:eastAsia="zh-CN"/>
              </w:rPr>
              <w:t>ISO9001质量体系认证，得1分</w:t>
            </w: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3.3</w:t>
            </w:r>
          </w:p>
        </w:tc>
        <w:tc>
          <w:tcPr>
            <w:tcW w:w="1159" w:type="dxa"/>
            <w:vMerge w:val="restart"/>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技术部分</w:t>
            </w:r>
            <w:r>
              <w:rPr>
                <w:rFonts w:hint="eastAsia" w:ascii="宋体" w:hAnsi="宋体" w:eastAsia="宋体" w:cs="宋体"/>
                <w:sz w:val="21"/>
                <w:szCs w:val="21"/>
                <w:highlight w:val="none"/>
              </w:rPr>
              <w:t>评分标准</w:t>
            </w: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szCs w:val="21"/>
                <w:highlight w:val="none"/>
                <w:lang w:val="en-US" w:eastAsia="zh-CN"/>
              </w:rPr>
              <w:t>2</w:t>
            </w:r>
            <w:r>
              <w:rPr>
                <w:rFonts w:hint="eastAsia" w:asciiTheme="minorEastAsia" w:hAnsiTheme="minorEastAsia" w:eastAsiaTheme="minorEastAsia" w:cstheme="minorEastAsia"/>
                <w:szCs w:val="21"/>
                <w:highlight w:val="none"/>
              </w:rPr>
              <w:t>0分）</w:t>
            </w:r>
          </w:p>
        </w:tc>
        <w:tc>
          <w:tcPr>
            <w:tcW w:w="2022"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软件功能匹配程度</w:t>
            </w:r>
          </w:p>
          <w:p>
            <w:pPr>
              <w:keepNext w:val="0"/>
              <w:keepLines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分）</w:t>
            </w:r>
          </w:p>
        </w:tc>
        <w:tc>
          <w:tcPr>
            <w:tcW w:w="5928" w:type="dxa"/>
            <w:vAlign w:val="center"/>
          </w:tcPr>
          <w:p>
            <w:pPr>
              <w:pStyle w:val="32"/>
              <w:snapToGrid w:val="0"/>
              <w:spacing w:line="320" w:lineRule="exact"/>
              <w:ind w:firstLine="0"/>
              <w:rPr>
                <w:rFonts w:hint="eastAsia" w:ascii="宋体" w:hAnsi="宋体"/>
                <w:sz w:val="21"/>
                <w:szCs w:val="21"/>
                <w:highlight w:val="none"/>
                <w:lang w:val="en-US" w:eastAsia="zh-CN"/>
              </w:rPr>
            </w:pPr>
            <w:r>
              <w:rPr>
                <w:rFonts w:hint="eastAsia" w:ascii="宋体" w:hAnsi="宋体"/>
                <w:sz w:val="21"/>
                <w:szCs w:val="21"/>
                <w:highlight w:val="none"/>
                <w:lang w:val="en-US" w:eastAsia="zh-CN"/>
              </w:rPr>
              <w:t>提供所投软件产品的技术方案：</w:t>
            </w:r>
          </w:p>
          <w:p>
            <w:pPr>
              <w:pStyle w:val="32"/>
              <w:snapToGrid w:val="0"/>
              <w:spacing w:line="320" w:lineRule="exact"/>
              <w:ind w:firstLine="0"/>
              <w:rPr>
                <w:rFonts w:hint="eastAsia" w:ascii="宋体" w:hAnsi="宋体"/>
                <w:sz w:val="21"/>
                <w:szCs w:val="21"/>
                <w:highlight w:val="none"/>
                <w:lang w:val="en-US" w:eastAsia="zh-CN"/>
              </w:rPr>
            </w:pPr>
            <w:r>
              <w:rPr>
                <w:rFonts w:hint="eastAsia" w:ascii="宋体" w:hAnsi="宋体"/>
                <w:sz w:val="21"/>
                <w:szCs w:val="21"/>
                <w:highlight w:val="none"/>
                <w:lang w:val="en-US" w:eastAsia="zh-CN"/>
              </w:rPr>
              <w:t>方案明确，有详细的系统架构分析并配以详细的业务流程图得10~8分；</w:t>
            </w:r>
          </w:p>
          <w:p>
            <w:pPr>
              <w:pStyle w:val="32"/>
              <w:snapToGrid w:val="0"/>
              <w:spacing w:line="320" w:lineRule="exact"/>
              <w:ind w:firstLine="0"/>
              <w:rPr>
                <w:rFonts w:hint="eastAsia" w:ascii="宋体" w:hAnsi="宋体"/>
                <w:sz w:val="21"/>
                <w:szCs w:val="21"/>
                <w:highlight w:val="none"/>
                <w:lang w:val="en-US" w:eastAsia="zh-CN"/>
              </w:rPr>
            </w:pPr>
            <w:r>
              <w:rPr>
                <w:rFonts w:hint="eastAsia" w:ascii="宋体" w:hAnsi="宋体"/>
                <w:sz w:val="21"/>
                <w:szCs w:val="21"/>
                <w:highlight w:val="none"/>
                <w:lang w:val="en-US" w:eastAsia="zh-CN"/>
              </w:rPr>
              <w:t>方案一般，架构分析较详细，业务流程图较清晰得8~6分；</w:t>
            </w:r>
          </w:p>
          <w:p>
            <w:pPr>
              <w:pStyle w:val="32"/>
              <w:snapToGrid w:val="0"/>
              <w:spacing w:line="320" w:lineRule="exact"/>
              <w:ind w:firstLine="0"/>
              <w:rPr>
                <w:rFonts w:hint="eastAsia" w:ascii="宋体" w:hAnsi="宋体"/>
                <w:sz w:val="21"/>
                <w:szCs w:val="21"/>
                <w:highlight w:val="none"/>
                <w:lang w:val="en-US" w:eastAsia="zh-CN"/>
              </w:rPr>
            </w:pPr>
            <w:r>
              <w:rPr>
                <w:rFonts w:hint="eastAsia" w:ascii="宋体" w:hAnsi="宋体"/>
                <w:sz w:val="21"/>
                <w:szCs w:val="21"/>
                <w:highlight w:val="none"/>
                <w:lang w:val="en-US" w:eastAsia="zh-CN"/>
              </w:rPr>
              <w:t>方案模糊，系统架构分析及业务流程图较差得4~0分。</w:t>
            </w:r>
          </w:p>
          <w:p>
            <w:pPr>
              <w:pStyle w:val="8"/>
              <w:keepNext w:val="0"/>
              <w:keepLines w:val="0"/>
              <w:suppressLineNumbers w:val="0"/>
              <w:spacing w:before="0" w:beforeAutospacing="0" w:afterAutospacing="0"/>
              <w:ind w:left="0" w:leftChars="0" w:right="0" w:rightChars="0" w:firstLine="400" w:firstLineChars="200"/>
              <w:rPr>
                <w:rFonts w:hint="eastAsia" w:ascii="宋体" w:hAnsi="宋体" w:eastAsia="宋体" w:cs="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898" w:type="dxa"/>
            <w:vMerge w:val="continue"/>
            <w:vAlign w:val="center"/>
          </w:tcPr>
          <w:p>
            <w:pPr>
              <w:spacing w:line="320" w:lineRule="exact"/>
              <w:jc w:val="center"/>
              <w:rPr>
                <w:rFonts w:hint="eastAsia" w:asciiTheme="minorEastAsia" w:hAnsiTheme="minorEastAsia" w:eastAsiaTheme="minorEastAsia" w:cstheme="minorEastAsia"/>
                <w:szCs w:val="21"/>
                <w:highlight w:val="none"/>
              </w:rPr>
            </w:pPr>
          </w:p>
        </w:tc>
        <w:tc>
          <w:tcPr>
            <w:tcW w:w="1159" w:type="dxa"/>
            <w:vMerge w:val="continue"/>
            <w:vAlign w:val="center"/>
          </w:tcPr>
          <w:p>
            <w:pPr>
              <w:spacing w:line="320" w:lineRule="exact"/>
              <w:jc w:val="center"/>
              <w:rPr>
                <w:rFonts w:hint="eastAsia" w:asciiTheme="minorEastAsia" w:hAnsiTheme="minorEastAsia" w:eastAsiaTheme="minorEastAsia" w:cstheme="minorEastAsia"/>
                <w:szCs w:val="21"/>
                <w:highlight w:val="none"/>
              </w:rPr>
            </w:pPr>
          </w:p>
        </w:tc>
        <w:tc>
          <w:tcPr>
            <w:tcW w:w="2022" w:type="dxa"/>
            <w:vAlign w:val="center"/>
          </w:tcPr>
          <w:p>
            <w:pPr>
              <w:pStyle w:val="19"/>
              <w:keepNext w:val="0"/>
              <w:keepLines w:val="0"/>
              <w:suppressLineNumbers w:val="0"/>
              <w:spacing w:before="0" w:beforeAutospacing="0" w:afterAutospacing="0"/>
              <w:ind w:left="0" w:leftChars="0" w:right="0" w:rightChars="0" w:firstLine="0" w:firstLineChars="0"/>
              <w:jc w:val="center"/>
              <w:rPr>
                <w:rFonts w:hint="eastAsia" w:asciiTheme="minorEastAsia" w:hAnsiTheme="minorEastAsia" w:eastAsiaTheme="minorEastAsia" w:cstheme="minorEastAsia"/>
                <w:szCs w:val="21"/>
                <w:highlight w:val="none"/>
              </w:rPr>
            </w:pPr>
            <w:r>
              <w:rPr>
                <w:rFonts w:hint="eastAsia" w:ascii="宋体" w:hAnsi="宋体" w:cs="宋体"/>
                <w:sz w:val="21"/>
                <w:szCs w:val="22"/>
                <w:highlight w:val="none"/>
                <w:shd w:val="clear" w:color="auto" w:fill="auto"/>
                <w:lang w:val="en-US" w:eastAsia="zh-CN"/>
              </w:rPr>
              <w:t>售后服务方案</w:t>
            </w:r>
            <w:r>
              <w:rPr>
                <w:rFonts w:hint="eastAsia" w:ascii="宋体" w:hAnsi="宋体" w:eastAsia="宋体" w:cs="宋体"/>
                <w:sz w:val="21"/>
                <w:szCs w:val="22"/>
                <w:highlight w:val="none"/>
                <w:shd w:val="clear" w:color="auto" w:fill="auto"/>
                <w:lang w:val="en-US" w:eastAsia="zh-CN"/>
              </w:rPr>
              <w:t>（</w:t>
            </w:r>
            <w:r>
              <w:rPr>
                <w:rFonts w:hint="eastAsia" w:ascii="宋体" w:hAnsi="宋体" w:cs="宋体"/>
                <w:sz w:val="21"/>
                <w:szCs w:val="22"/>
                <w:highlight w:val="none"/>
                <w:shd w:val="clear" w:color="auto" w:fill="auto"/>
                <w:lang w:val="en-US" w:eastAsia="zh-CN"/>
              </w:rPr>
              <w:t>1</w:t>
            </w:r>
            <w:r>
              <w:rPr>
                <w:rFonts w:hint="eastAsia" w:ascii="宋体" w:hAnsi="宋体" w:eastAsia="宋体" w:cs="宋体"/>
                <w:sz w:val="21"/>
                <w:szCs w:val="22"/>
                <w:highlight w:val="none"/>
                <w:shd w:val="clear" w:color="auto" w:fill="auto"/>
                <w:lang w:val="en-US" w:eastAsia="zh-CN"/>
              </w:rPr>
              <w:t>0分）</w:t>
            </w:r>
          </w:p>
        </w:tc>
        <w:tc>
          <w:tcPr>
            <w:tcW w:w="5928" w:type="dxa"/>
            <w:vAlign w:val="center"/>
          </w:tcPr>
          <w:p>
            <w:pPr>
              <w:snapToGrid/>
              <w:spacing w:line="240" w:lineRule="auto"/>
              <w:jc w:val="left"/>
              <w:rPr>
                <w:rFonts w:hint="eastAsia" w:ascii="宋体" w:hAnsi="宋体"/>
                <w:szCs w:val="21"/>
                <w:highlight w:val="none"/>
                <w:lang w:val="en-US" w:eastAsia="zh-CN"/>
              </w:rPr>
            </w:pPr>
            <w:r>
              <w:rPr>
                <w:rFonts w:hint="eastAsia" w:ascii="宋体" w:hAnsi="宋体"/>
                <w:szCs w:val="21"/>
                <w:highlight w:val="none"/>
                <w:lang w:val="en-US" w:eastAsia="zh-CN"/>
              </w:rPr>
              <w:t>报价人根据本项目特点，提供售后服务方案，包括但不限于人员配备、服务流程、服务工具、服务标准、</w:t>
            </w:r>
            <w:r>
              <w:rPr>
                <w:rFonts w:hint="eastAsia" w:ascii="宋体" w:hAnsi="宋体" w:eastAsia="宋体" w:cs="宋体"/>
                <w:kern w:val="0"/>
                <w:sz w:val="22"/>
                <w:szCs w:val="22"/>
                <w:highlight w:val="none"/>
                <w:lang w:val="en-US" w:eastAsia="zh-CN"/>
              </w:rPr>
              <w:t>服务响应的及时性和保障措施</w:t>
            </w:r>
            <w:r>
              <w:rPr>
                <w:rFonts w:hint="eastAsia" w:ascii="宋体" w:hAnsi="宋体"/>
                <w:szCs w:val="21"/>
                <w:highlight w:val="none"/>
                <w:lang w:val="en-US" w:eastAsia="zh-CN"/>
              </w:rPr>
              <w:t>等内容。</w:t>
            </w:r>
          </w:p>
          <w:p>
            <w:pPr>
              <w:keepNext w:val="0"/>
              <w:keepLines w:val="0"/>
              <w:suppressLineNumbers w:val="0"/>
              <w:snapToGrid/>
              <w:spacing w:before="0" w:beforeAutospacing="0" w:after="0" w:afterAutospacing="0" w:line="240" w:lineRule="auto"/>
              <w:ind w:right="0" w:rightChars="0"/>
              <w:jc w:val="left"/>
              <w:rPr>
                <w:rFonts w:hint="eastAsia" w:ascii="宋体" w:hAnsi="宋体" w:eastAsia="宋体" w:cs="宋体"/>
                <w:szCs w:val="21"/>
                <w:highlight w:val="none"/>
                <w:lang w:val="en-US" w:eastAsia="zh-CN"/>
              </w:rPr>
            </w:pPr>
            <w:r>
              <w:rPr>
                <w:rFonts w:hint="eastAsia" w:ascii="宋体" w:hAnsi="宋体" w:eastAsia="宋体" w:cs="宋体"/>
                <w:kern w:val="0"/>
                <w:sz w:val="22"/>
                <w:szCs w:val="22"/>
                <w:highlight w:val="none"/>
                <w:lang w:val="en-US" w:eastAsia="zh-CN"/>
              </w:rPr>
              <w:t>方案齐全、内容详实可操作性高的得</w:t>
            </w:r>
            <w:r>
              <w:rPr>
                <w:rFonts w:hint="eastAsia" w:ascii="宋体" w:hAnsi="宋体" w:eastAsia="宋体" w:cs="宋体"/>
                <w:kern w:val="0"/>
                <w:sz w:val="22"/>
                <w:szCs w:val="22"/>
                <w:highlight w:val="none"/>
                <w:lang w:eastAsia="zh-CN"/>
              </w:rPr>
              <w:t>10</w:t>
            </w:r>
            <w:r>
              <w:rPr>
                <w:rFonts w:hint="eastAsia" w:ascii="宋体" w:hAnsi="宋体" w:eastAsia="宋体" w:cs="宋体"/>
                <w:kern w:val="0"/>
                <w:sz w:val="22"/>
                <w:szCs w:val="22"/>
                <w:highlight w:val="none"/>
                <w:lang w:val="en-US" w:eastAsia="zh-CN"/>
              </w:rPr>
              <w:t>~</w:t>
            </w:r>
            <w:r>
              <w:rPr>
                <w:rFonts w:hint="eastAsia" w:ascii="宋体" w:hAnsi="宋体" w:eastAsia="宋体" w:cs="宋体"/>
                <w:kern w:val="0"/>
                <w:sz w:val="22"/>
                <w:szCs w:val="22"/>
                <w:highlight w:val="none"/>
                <w:lang w:eastAsia="zh-CN"/>
              </w:rPr>
              <w:t>8</w:t>
            </w:r>
            <w:r>
              <w:rPr>
                <w:rFonts w:hint="eastAsia" w:ascii="宋体" w:hAnsi="宋体" w:eastAsia="宋体" w:cs="宋体"/>
                <w:kern w:val="0"/>
                <w:sz w:val="22"/>
                <w:szCs w:val="22"/>
                <w:highlight w:val="none"/>
                <w:lang w:val="en-US" w:eastAsia="zh-CN"/>
              </w:rPr>
              <w:t>分；方案较齐全、内容较详实可操作性较高的得</w:t>
            </w:r>
            <w:r>
              <w:rPr>
                <w:rFonts w:hint="eastAsia" w:ascii="宋体" w:hAnsi="宋体" w:eastAsia="宋体" w:cs="宋体"/>
                <w:kern w:val="0"/>
                <w:sz w:val="22"/>
                <w:szCs w:val="22"/>
                <w:highlight w:val="none"/>
                <w:lang w:eastAsia="zh-CN"/>
              </w:rPr>
              <w:t>8</w:t>
            </w:r>
            <w:r>
              <w:rPr>
                <w:rFonts w:hint="eastAsia" w:ascii="宋体" w:hAnsi="宋体" w:eastAsia="宋体" w:cs="宋体"/>
                <w:kern w:val="0"/>
                <w:sz w:val="22"/>
                <w:szCs w:val="22"/>
                <w:highlight w:val="none"/>
                <w:lang w:val="en-US" w:eastAsia="zh-CN"/>
              </w:rPr>
              <w:t>~</w:t>
            </w:r>
            <w:r>
              <w:rPr>
                <w:rFonts w:hint="eastAsia" w:ascii="宋体" w:hAnsi="宋体" w:eastAsia="宋体" w:cs="宋体"/>
                <w:kern w:val="0"/>
                <w:sz w:val="22"/>
                <w:szCs w:val="22"/>
                <w:highlight w:val="none"/>
                <w:lang w:eastAsia="zh-CN"/>
              </w:rPr>
              <w:t>6</w:t>
            </w:r>
            <w:r>
              <w:rPr>
                <w:rFonts w:hint="eastAsia" w:ascii="宋体" w:hAnsi="宋体" w:eastAsia="宋体" w:cs="宋体"/>
                <w:kern w:val="0"/>
                <w:sz w:val="22"/>
                <w:szCs w:val="22"/>
                <w:highlight w:val="none"/>
                <w:lang w:val="en-US" w:eastAsia="zh-CN"/>
              </w:rPr>
              <w:t>，方案不齐全、内容不详实可操作性差的得</w:t>
            </w:r>
            <w:r>
              <w:rPr>
                <w:rFonts w:hint="eastAsia" w:ascii="宋体" w:hAnsi="宋体" w:eastAsia="宋体" w:cs="宋体"/>
                <w:kern w:val="0"/>
                <w:sz w:val="22"/>
                <w:szCs w:val="22"/>
                <w:highlight w:val="none"/>
                <w:lang w:eastAsia="zh-CN"/>
              </w:rPr>
              <w:t>6</w:t>
            </w:r>
            <w:r>
              <w:rPr>
                <w:rFonts w:hint="eastAsia" w:ascii="宋体" w:hAnsi="宋体" w:eastAsia="宋体" w:cs="宋体"/>
                <w:kern w:val="0"/>
                <w:sz w:val="22"/>
                <w:szCs w:val="22"/>
                <w:highlight w:val="none"/>
                <w:lang w:val="en-US" w:eastAsia="zh-CN"/>
              </w:rPr>
              <w:t>~0分，缺陷不得分。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898" w:type="dxa"/>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
                <w:kern w:val="0"/>
                <w:szCs w:val="21"/>
                <w:highlight w:val="none"/>
              </w:rPr>
              <w:t>条款号</w:t>
            </w:r>
          </w:p>
        </w:tc>
        <w:tc>
          <w:tcPr>
            <w:tcW w:w="3181" w:type="dxa"/>
            <w:gridSpan w:val="2"/>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
                <w:kern w:val="0"/>
                <w:szCs w:val="21"/>
                <w:highlight w:val="none"/>
              </w:rPr>
              <w:t>条款名称</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编列内容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898" w:type="dxa"/>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w:t>
            </w:r>
          </w:p>
        </w:tc>
        <w:tc>
          <w:tcPr>
            <w:tcW w:w="3181" w:type="dxa"/>
            <w:gridSpan w:val="2"/>
            <w:vAlign w:val="center"/>
          </w:tcPr>
          <w:p>
            <w:pPr>
              <w:spacing w:line="320" w:lineRule="exact"/>
              <w:jc w:val="center"/>
              <w:rPr>
                <w:rFonts w:asciiTheme="minorEastAsia" w:hAnsiTheme="minorEastAsia" w:eastAsiaTheme="minorEastAsia" w:cstheme="minorEastAsia"/>
                <w:szCs w:val="21"/>
                <w:highlight w:val="none"/>
              </w:rPr>
            </w:pPr>
            <w:r>
              <w:rPr>
                <w:rFonts w:hint="eastAsia"/>
                <w:spacing w:val="-5"/>
                <w:kern w:val="0"/>
                <w:sz w:val="20"/>
                <w:highlight w:val="none"/>
              </w:rPr>
              <w:t>评标程序</w:t>
            </w:r>
          </w:p>
        </w:tc>
        <w:tc>
          <w:tcPr>
            <w:tcW w:w="5928" w:type="dxa"/>
            <w:vAlign w:val="center"/>
          </w:tcPr>
          <w:p>
            <w:pPr>
              <w:pStyle w:val="29"/>
              <w:spacing w:before="70" w:line="320" w:lineRule="exact"/>
              <w:ind w:left="119" w:right="83" w:firstLine="420"/>
              <w:rPr>
                <w:rFonts w:ascii="宋体" w:hAnsi="宋体" w:cs="宋体"/>
                <w:szCs w:val="21"/>
                <w:highlight w:val="none"/>
              </w:rPr>
            </w:pPr>
            <w:r>
              <w:rPr>
                <w:rFonts w:hint="eastAsia" w:ascii="宋体" w:hAnsi="宋体" w:cs="宋体"/>
                <w:szCs w:val="21"/>
                <w:highlight w:val="none"/>
              </w:rPr>
              <w:t xml:space="preserve">1.按本章评标办法第2.1款、2.2款及2.3款进行初步评审，未通过初步评审或评标委员会认定为无效的投标文件的不再进行后续评审。 </w:t>
            </w:r>
          </w:p>
          <w:p>
            <w:pPr>
              <w:pStyle w:val="29"/>
              <w:spacing w:before="42" w:line="320" w:lineRule="exact"/>
              <w:ind w:left="119" w:right="72" w:firstLine="420"/>
              <w:rPr>
                <w:rFonts w:ascii="宋体" w:hAnsi="宋体" w:cs="宋体"/>
                <w:szCs w:val="21"/>
                <w:highlight w:val="none"/>
              </w:rPr>
            </w:pPr>
            <w:r>
              <w:rPr>
                <w:rFonts w:hint="eastAsia" w:ascii="宋体" w:hAnsi="宋体" w:cs="宋体"/>
                <w:szCs w:val="21"/>
                <w:highlight w:val="none"/>
              </w:rPr>
              <w:t>2.按本章评标办法前附表第3.1款的规定进行报价投标报价部分评审；</w:t>
            </w:r>
          </w:p>
          <w:p>
            <w:pPr>
              <w:pStyle w:val="29"/>
              <w:spacing w:before="15" w:line="320" w:lineRule="exact"/>
              <w:ind w:left="119" w:right="72" w:firstLine="420"/>
              <w:rPr>
                <w:rFonts w:ascii="宋体" w:hAnsi="宋体" w:cs="宋体"/>
                <w:szCs w:val="21"/>
                <w:highlight w:val="none"/>
              </w:rPr>
            </w:pPr>
            <w:r>
              <w:rPr>
                <w:rFonts w:hint="eastAsia" w:ascii="宋体" w:hAnsi="宋体" w:cs="宋体"/>
                <w:szCs w:val="21"/>
                <w:highlight w:val="none"/>
              </w:rPr>
              <w:t>3.按本章评标办法前附表第3.2款的规定进行商务部分的评审；</w:t>
            </w:r>
          </w:p>
          <w:p>
            <w:pPr>
              <w:pStyle w:val="29"/>
              <w:spacing w:before="15" w:line="320" w:lineRule="exact"/>
              <w:ind w:left="119" w:right="72" w:firstLine="420"/>
              <w:rPr>
                <w:rFonts w:ascii="宋体" w:hAnsi="宋体" w:cs="宋体"/>
                <w:szCs w:val="21"/>
                <w:highlight w:val="none"/>
              </w:rPr>
            </w:pPr>
            <w:r>
              <w:rPr>
                <w:rFonts w:hint="eastAsia" w:ascii="宋体" w:hAnsi="宋体" w:cs="宋体"/>
                <w:szCs w:val="21"/>
                <w:highlight w:val="none"/>
              </w:rPr>
              <w:t>4.按本章评标办法前附表第 3.3款的规定进行技术部分的评审；</w:t>
            </w:r>
          </w:p>
          <w:p>
            <w:pPr>
              <w:pStyle w:val="29"/>
              <w:spacing w:before="42" w:line="320" w:lineRule="exact"/>
              <w:ind w:left="119" w:right="-23" w:firstLine="420"/>
              <w:rPr>
                <w:rFonts w:ascii="宋体" w:hAnsi="宋体" w:cs="宋体"/>
                <w:szCs w:val="21"/>
                <w:highlight w:val="none"/>
              </w:rPr>
            </w:pPr>
            <w:r>
              <w:rPr>
                <w:rFonts w:hint="eastAsia" w:ascii="宋体" w:hAnsi="宋体" w:cs="宋体"/>
                <w:szCs w:val="21"/>
                <w:highlight w:val="none"/>
              </w:rPr>
              <w:t>5.因评标委员会作否决投标处理导致有效</w:t>
            </w:r>
            <w:r>
              <w:rPr>
                <w:rFonts w:hint="eastAsia" w:ascii="宋体" w:hAnsi="宋体" w:cs="宋体"/>
                <w:szCs w:val="21"/>
                <w:highlight w:val="none"/>
                <w:lang w:eastAsia="zh-CN"/>
              </w:rPr>
              <w:t>报价人</w:t>
            </w:r>
            <w:r>
              <w:rPr>
                <w:rFonts w:hint="eastAsia" w:ascii="宋体" w:hAnsi="宋体" w:cs="宋体"/>
                <w:szCs w:val="21"/>
                <w:highlight w:val="none"/>
              </w:rPr>
              <w:t>不足三个的，评标委员会应当否决所有投标。但是有效</w:t>
            </w:r>
            <w:r>
              <w:rPr>
                <w:rFonts w:hint="eastAsia" w:ascii="宋体" w:hAnsi="宋体" w:cs="宋体"/>
                <w:szCs w:val="21"/>
                <w:highlight w:val="none"/>
                <w:lang w:eastAsia="zh-CN"/>
              </w:rPr>
              <w:t>报价人</w:t>
            </w:r>
            <w:r>
              <w:rPr>
                <w:rFonts w:hint="eastAsia" w:ascii="宋体" w:hAnsi="宋体" w:cs="宋体"/>
                <w:szCs w:val="21"/>
                <w:highlight w:val="none"/>
              </w:rPr>
              <w:t xml:space="preserve">的经济、技术等指标仍然具有市场竞争力，能够满足采购文件要求的，评标委员会可以继续评标并确定中标候选人。 </w:t>
            </w:r>
          </w:p>
          <w:p>
            <w:pPr>
              <w:pStyle w:val="29"/>
              <w:spacing w:before="47" w:line="320" w:lineRule="exact"/>
              <w:ind w:left="119" w:firstLine="420"/>
              <w:rPr>
                <w:rFonts w:ascii="宋体" w:hAnsi="宋体" w:cs="宋体"/>
                <w:szCs w:val="21"/>
                <w:highlight w:val="none"/>
              </w:rPr>
            </w:pPr>
            <w:r>
              <w:rPr>
                <w:rFonts w:hint="eastAsia" w:ascii="宋体" w:hAnsi="宋体" w:cs="宋体"/>
                <w:szCs w:val="21"/>
                <w:highlight w:val="none"/>
              </w:rPr>
              <w:t>6.对技术部分、商务部分、投标总报价得分进行汇总，确定得分由高至低前2名</w:t>
            </w:r>
            <w:r>
              <w:rPr>
                <w:rFonts w:hint="eastAsia" w:ascii="宋体" w:hAnsi="宋体" w:cs="宋体"/>
                <w:szCs w:val="21"/>
                <w:highlight w:val="none"/>
                <w:lang w:eastAsia="zh-CN"/>
              </w:rPr>
              <w:t>报价人</w:t>
            </w:r>
            <w:r>
              <w:rPr>
                <w:rFonts w:hint="eastAsia" w:ascii="宋体" w:hAnsi="宋体" w:cs="宋体"/>
                <w:szCs w:val="21"/>
                <w:highlight w:val="none"/>
              </w:rPr>
              <w:t xml:space="preserve">为中标候选人。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898" w:type="dxa"/>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w:t>
            </w:r>
          </w:p>
        </w:tc>
        <w:tc>
          <w:tcPr>
            <w:tcW w:w="3181" w:type="dxa"/>
            <w:gridSpan w:val="2"/>
            <w:vAlign w:val="center"/>
          </w:tcPr>
          <w:p>
            <w:pPr>
              <w:spacing w:line="320" w:lineRule="exact"/>
              <w:jc w:val="center"/>
              <w:rPr>
                <w:rFonts w:asciiTheme="minorEastAsia" w:hAnsiTheme="minorEastAsia" w:eastAsiaTheme="minorEastAsia" w:cstheme="minorEastAsia"/>
                <w:szCs w:val="21"/>
                <w:highlight w:val="none"/>
              </w:rPr>
            </w:pPr>
            <w:r>
              <w:rPr>
                <w:rFonts w:hint="eastAsia"/>
                <w:spacing w:val="-5"/>
                <w:kern w:val="0"/>
                <w:sz w:val="20"/>
                <w:highlight w:val="none"/>
                <w:lang w:eastAsia="zh-CN"/>
              </w:rPr>
              <w:t>报价人</w:t>
            </w:r>
            <w:r>
              <w:rPr>
                <w:rFonts w:hint="eastAsia"/>
                <w:spacing w:val="-5"/>
                <w:kern w:val="0"/>
                <w:sz w:val="20"/>
                <w:highlight w:val="none"/>
              </w:rPr>
              <w:t>得分</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lang w:eastAsia="zh-CN"/>
              </w:rPr>
              <w:t>报价人</w:t>
            </w:r>
            <w:r>
              <w:rPr>
                <w:rFonts w:hint="eastAsia" w:ascii="宋体" w:hAnsi="宋体" w:cs="宋体"/>
                <w:szCs w:val="21"/>
                <w:highlight w:val="none"/>
              </w:rPr>
              <w:t>得分=投标报价得分+商务部分得分+技术部分得分</w:t>
            </w:r>
          </w:p>
        </w:tc>
      </w:tr>
    </w:tbl>
    <w:p>
      <w:pPr>
        <w:pStyle w:val="8"/>
      </w:pPr>
    </w:p>
    <w:p>
      <w:pPr>
        <w:pStyle w:val="6"/>
        <w:spacing w:line="418" w:lineRule="exact"/>
        <w:rPr>
          <w:rFonts w:ascii="宋体" w:hAnsi="宋体" w:eastAsia="宋体" w:cs="宋体"/>
          <w:kern w:val="2"/>
          <w:sz w:val="21"/>
          <w:szCs w:val="21"/>
          <w:highlight w:val="none"/>
        </w:rPr>
      </w:pPr>
      <w:r>
        <w:rPr>
          <w:rFonts w:hint="eastAsia" w:ascii="宋体" w:hAnsi="宋体" w:eastAsia="宋体" w:cs="宋体"/>
          <w:kern w:val="2"/>
          <w:sz w:val="21"/>
          <w:szCs w:val="21"/>
          <w:highlight w:val="none"/>
        </w:rPr>
        <w:t xml:space="preserve">1. 评标方法 </w:t>
      </w:r>
    </w:p>
    <w:p>
      <w:pPr>
        <w:pStyle w:val="8"/>
        <w:spacing w:before="119" w:line="352" w:lineRule="auto"/>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本次评标采用综合评分法。评标委员会按照本章评标办法前附表规定的评分标准进行打分，按得分由高到 低顺序推荐中标候选人，若出现</w:t>
      </w:r>
      <w:r>
        <w:rPr>
          <w:rFonts w:hint="eastAsia" w:ascii="宋体" w:hAnsi="宋体" w:cs="宋体"/>
          <w:kern w:val="2"/>
          <w:sz w:val="21"/>
          <w:szCs w:val="21"/>
          <w:highlight w:val="none"/>
          <w:lang w:eastAsia="zh-CN"/>
        </w:rPr>
        <w:t>报价人</w:t>
      </w:r>
      <w:r>
        <w:rPr>
          <w:rFonts w:hint="eastAsia" w:ascii="宋体" w:hAnsi="宋体" w:cs="宋体"/>
          <w:kern w:val="2"/>
          <w:sz w:val="21"/>
          <w:szCs w:val="21"/>
          <w:highlight w:val="none"/>
        </w:rPr>
        <w:t xml:space="preserve">投标报价相同的，以评标办法前附表约定的原则确定排序。 </w:t>
      </w:r>
    </w:p>
    <w:p>
      <w:pPr>
        <w:pStyle w:val="6"/>
        <w:spacing w:before="56"/>
        <w:rPr>
          <w:rFonts w:ascii="宋体" w:hAnsi="宋体" w:eastAsia="宋体" w:cs="宋体"/>
          <w:kern w:val="2"/>
          <w:sz w:val="21"/>
          <w:szCs w:val="21"/>
          <w:highlight w:val="none"/>
        </w:rPr>
      </w:pPr>
      <w:bookmarkStart w:id="127" w:name="2._评审标准"/>
      <w:bookmarkEnd w:id="127"/>
      <w:r>
        <w:rPr>
          <w:rFonts w:hint="eastAsia" w:ascii="宋体" w:hAnsi="宋体" w:eastAsia="宋体" w:cs="宋体"/>
          <w:kern w:val="2"/>
          <w:sz w:val="21"/>
          <w:szCs w:val="21"/>
          <w:highlight w:val="none"/>
        </w:rPr>
        <w:t xml:space="preserve">2. 评审标准 </w:t>
      </w:r>
    </w:p>
    <w:p>
      <w:pPr>
        <w:spacing w:before="156"/>
        <w:ind w:left="106"/>
        <w:rPr>
          <w:rFonts w:ascii="宋体" w:hAnsi="宋体" w:cs="宋体"/>
          <w:szCs w:val="21"/>
          <w:highlight w:val="none"/>
        </w:rPr>
      </w:pPr>
      <w:bookmarkStart w:id="128" w:name="2.1_初步评审标准"/>
      <w:bookmarkEnd w:id="128"/>
      <w:r>
        <w:rPr>
          <w:rFonts w:hint="eastAsia" w:ascii="宋体" w:hAnsi="宋体" w:cs="宋体"/>
          <w:szCs w:val="21"/>
          <w:highlight w:val="none"/>
        </w:rPr>
        <w:t xml:space="preserve">2.1 初步评审标准 </w:t>
      </w:r>
    </w:p>
    <w:p>
      <w:pPr>
        <w:pStyle w:val="8"/>
        <w:spacing w:before="61"/>
        <w:ind w:left="647"/>
        <w:rPr>
          <w:rFonts w:ascii="宋体" w:hAnsi="宋体" w:cs="宋体"/>
          <w:caps/>
          <w:kern w:val="2"/>
          <w:sz w:val="21"/>
          <w:szCs w:val="21"/>
          <w:highlight w:val="none"/>
        </w:rPr>
      </w:pPr>
      <w:r>
        <w:rPr>
          <w:rFonts w:hint="eastAsia" w:ascii="宋体" w:hAnsi="宋体" w:cs="宋体"/>
          <w:caps/>
          <w:kern w:val="2"/>
          <w:sz w:val="21"/>
          <w:szCs w:val="21"/>
          <w:highlight w:val="none"/>
        </w:rPr>
        <w:t xml:space="preserve">2.1.1 资格评审标准：见评标办法前附表。 </w:t>
      </w:r>
    </w:p>
    <w:p>
      <w:pPr>
        <w:pStyle w:val="8"/>
        <w:spacing w:before="130"/>
        <w:ind w:left="647"/>
        <w:rPr>
          <w:rFonts w:ascii="宋体" w:hAnsi="宋体" w:cs="宋体"/>
          <w:caps/>
          <w:kern w:val="2"/>
          <w:sz w:val="21"/>
          <w:szCs w:val="21"/>
          <w:highlight w:val="none"/>
        </w:rPr>
      </w:pPr>
      <w:r>
        <w:rPr>
          <w:rFonts w:hint="eastAsia" w:ascii="宋体" w:hAnsi="宋体" w:cs="宋体"/>
          <w:caps/>
          <w:kern w:val="2"/>
          <w:sz w:val="21"/>
          <w:szCs w:val="21"/>
          <w:highlight w:val="none"/>
        </w:rPr>
        <w:t xml:space="preserve">2.1.2 形式评审标准：见评标办法前附表。 </w:t>
      </w:r>
    </w:p>
    <w:p>
      <w:pPr>
        <w:pStyle w:val="8"/>
        <w:spacing w:before="130"/>
        <w:ind w:left="647"/>
        <w:rPr>
          <w:rFonts w:ascii="宋体" w:hAnsi="宋体" w:cs="宋体"/>
          <w:caps/>
          <w:kern w:val="2"/>
          <w:sz w:val="21"/>
          <w:szCs w:val="21"/>
          <w:highlight w:val="none"/>
        </w:rPr>
      </w:pPr>
      <w:r>
        <w:rPr>
          <w:rFonts w:hint="eastAsia" w:ascii="宋体" w:hAnsi="宋体" w:cs="宋体"/>
          <w:caps/>
          <w:kern w:val="2"/>
          <w:sz w:val="21"/>
          <w:szCs w:val="21"/>
          <w:highlight w:val="none"/>
        </w:rPr>
        <w:t xml:space="preserve">2.1.3 响应性评审标准：见评标办法前附表。 </w:t>
      </w:r>
    </w:p>
    <w:p>
      <w:pPr>
        <w:rPr>
          <w:rFonts w:ascii="宋体" w:hAnsi="宋体" w:cs="宋体"/>
          <w:caps/>
          <w:szCs w:val="21"/>
          <w:highlight w:val="none"/>
        </w:rPr>
      </w:pPr>
    </w:p>
    <w:p>
      <w:pPr>
        <w:ind w:left="106"/>
        <w:rPr>
          <w:rFonts w:ascii="宋体" w:hAnsi="宋体" w:cs="宋体"/>
          <w:caps/>
          <w:szCs w:val="21"/>
          <w:highlight w:val="none"/>
        </w:rPr>
      </w:pPr>
      <w:bookmarkStart w:id="129" w:name="2.2_分值构成与评分标准"/>
      <w:bookmarkEnd w:id="129"/>
      <w:r>
        <w:rPr>
          <w:rFonts w:hint="eastAsia" w:ascii="宋体" w:hAnsi="宋体" w:cs="宋体"/>
          <w:caps/>
          <w:szCs w:val="21"/>
          <w:highlight w:val="none"/>
        </w:rPr>
        <w:t xml:space="preserve">2.2 分值构成与评分标准 </w:t>
      </w:r>
    </w:p>
    <w:p>
      <w:pPr>
        <w:pStyle w:val="8"/>
        <w:spacing w:before="62"/>
        <w:ind w:left="632"/>
        <w:rPr>
          <w:rFonts w:ascii="宋体" w:hAnsi="宋体" w:cs="宋体"/>
          <w:caps/>
          <w:kern w:val="2"/>
          <w:sz w:val="21"/>
          <w:szCs w:val="21"/>
          <w:highlight w:val="none"/>
        </w:rPr>
      </w:pPr>
      <w:r>
        <w:rPr>
          <w:rFonts w:hint="eastAsia" w:ascii="宋体" w:hAnsi="宋体" w:cs="宋体"/>
          <w:caps/>
          <w:kern w:val="2"/>
          <w:sz w:val="21"/>
          <w:szCs w:val="21"/>
          <w:highlight w:val="none"/>
        </w:rPr>
        <w:t xml:space="preserve">2.2.1 分值构成 </w:t>
      </w:r>
    </w:p>
    <w:p>
      <w:pPr>
        <w:pStyle w:val="8"/>
        <w:spacing w:before="130"/>
        <w:ind w:left="526"/>
        <w:rPr>
          <w:rFonts w:ascii="宋体" w:hAnsi="宋体" w:cs="宋体"/>
          <w:caps/>
          <w:kern w:val="2"/>
          <w:sz w:val="21"/>
          <w:szCs w:val="21"/>
          <w:highlight w:val="none"/>
        </w:rPr>
      </w:pPr>
      <w:r>
        <w:rPr>
          <w:rFonts w:hint="eastAsia" w:ascii="宋体" w:hAnsi="宋体" w:cs="宋体"/>
          <w:caps/>
          <w:kern w:val="2"/>
          <w:sz w:val="21"/>
          <w:szCs w:val="21"/>
          <w:highlight w:val="none"/>
        </w:rPr>
        <w:t xml:space="preserve">（1）技术部分：见评标办法前附表； </w:t>
      </w:r>
    </w:p>
    <w:p>
      <w:pPr>
        <w:pStyle w:val="8"/>
        <w:spacing w:before="145"/>
        <w:ind w:left="526"/>
        <w:rPr>
          <w:rFonts w:ascii="宋体" w:hAnsi="宋体" w:cs="宋体"/>
          <w:caps/>
          <w:kern w:val="2"/>
          <w:sz w:val="21"/>
          <w:szCs w:val="21"/>
          <w:highlight w:val="none"/>
        </w:rPr>
      </w:pPr>
      <w:r>
        <w:rPr>
          <w:rFonts w:hint="eastAsia" w:ascii="宋体" w:hAnsi="宋体" w:cs="宋体"/>
          <w:caps/>
          <w:kern w:val="2"/>
          <w:sz w:val="21"/>
          <w:szCs w:val="21"/>
          <w:highlight w:val="none"/>
        </w:rPr>
        <w:t xml:space="preserve">（2）商务部分：见评标办法前附表； </w:t>
      </w:r>
    </w:p>
    <w:p>
      <w:pPr>
        <w:pStyle w:val="8"/>
        <w:spacing w:before="29" w:line="367" w:lineRule="auto"/>
        <w:ind w:firstLine="526"/>
        <w:rPr>
          <w:rFonts w:ascii="宋体" w:hAnsi="宋体" w:cs="宋体"/>
          <w:caps/>
          <w:kern w:val="2"/>
          <w:sz w:val="21"/>
          <w:szCs w:val="21"/>
          <w:highlight w:val="none"/>
        </w:rPr>
      </w:pPr>
      <w:r>
        <w:rPr>
          <w:rFonts w:hint="eastAsia" w:ascii="宋体" w:hAnsi="宋体" w:cs="宋体"/>
          <w:caps/>
          <w:kern w:val="2"/>
          <w:sz w:val="21"/>
          <w:szCs w:val="21"/>
          <w:highlight w:val="none"/>
        </w:rPr>
        <w:t>（3）投标总报价：见评标办法前附表。</w:t>
      </w:r>
    </w:p>
    <w:p>
      <w:pPr>
        <w:pStyle w:val="8"/>
        <w:spacing w:before="145" w:line="355" w:lineRule="auto"/>
        <w:ind w:left="632" w:right="5004" w:hanging="106"/>
        <w:rPr>
          <w:rFonts w:ascii="宋体" w:hAnsi="宋体" w:cs="宋体"/>
          <w:caps/>
          <w:kern w:val="2"/>
          <w:sz w:val="21"/>
          <w:szCs w:val="21"/>
          <w:highlight w:val="none"/>
        </w:rPr>
      </w:pPr>
      <w:r>
        <w:rPr>
          <w:rFonts w:hint="eastAsia" w:ascii="宋体" w:hAnsi="宋体" w:cs="宋体"/>
          <w:caps/>
          <w:kern w:val="2"/>
          <w:sz w:val="21"/>
          <w:szCs w:val="21"/>
          <w:highlight w:val="none"/>
        </w:rPr>
        <w:t xml:space="preserve"> 2.2.2 评审标准 </w:t>
      </w:r>
    </w:p>
    <w:p>
      <w:pPr>
        <w:pStyle w:val="8"/>
        <w:spacing w:before="29" w:line="367" w:lineRule="auto"/>
        <w:ind w:firstLine="526"/>
        <w:rPr>
          <w:rFonts w:ascii="宋体" w:hAnsi="宋体" w:cs="宋体"/>
          <w:caps/>
          <w:kern w:val="2"/>
          <w:sz w:val="21"/>
          <w:szCs w:val="21"/>
          <w:highlight w:val="none"/>
        </w:rPr>
      </w:pPr>
      <w:r>
        <w:rPr>
          <w:rFonts w:hint="eastAsia" w:ascii="宋体" w:hAnsi="宋体" w:cs="宋体"/>
          <w:caps/>
          <w:kern w:val="2"/>
          <w:sz w:val="21"/>
          <w:szCs w:val="21"/>
          <w:highlight w:val="none"/>
        </w:rPr>
        <w:t xml:space="preserve">（1）技术部分评分标准：见评标办法前附表； </w:t>
      </w:r>
    </w:p>
    <w:p>
      <w:pPr>
        <w:pStyle w:val="8"/>
        <w:spacing w:before="19"/>
        <w:ind w:left="647"/>
        <w:rPr>
          <w:rFonts w:ascii="宋体" w:hAnsi="宋体" w:cs="宋体"/>
          <w:caps/>
          <w:kern w:val="2"/>
          <w:sz w:val="21"/>
          <w:szCs w:val="21"/>
          <w:highlight w:val="none"/>
        </w:rPr>
      </w:pPr>
      <w:r>
        <w:rPr>
          <w:rFonts w:hint="eastAsia" w:ascii="宋体" w:hAnsi="宋体" w:cs="宋体"/>
          <w:caps/>
          <w:kern w:val="2"/>
          <w:sz w:val="21"/>
          <w:szCs w:val="21"/>
          <w:highlight w:val="none"/>
        </w:rPr>
        <w:t xml:space="preserve">（2） 商务部分评分标准：见评标办法前附表； </w:t>
      </w:r>
    </w:p>
    <w:p>
      <w:pPr>
        <w:pStyle w:val="8"/>
        <w:spacing w:before="130" w:line="360" w:lineRule="auto"/>
        <w:ind w:left="647" w:right="2891"/>
        <w:rPr>
          <w:rFonts w:ascii="宋体" w:hAnsi="宋体" w:cs="宋体"/>
          <w:caps/>
          <w:kern w:val="2"/>
          <w:sz w:val="21"/>
          <w:szCs w:val="21"/>
          <w:highlight w:val="none"/>
        </w:rPr>
      </w:pPr>
      <w:r>
        <w:rPr>
          <w:rFonts w:hint="eastAsia" w:ascii="宋体" w:hAnsi="宋体" w:cs="宋体"/>
          <w:caps/>
          <w:kern w:val="2"/>
          <w:sz w:val="21"/>
          <w:szCs w:val="21"/>
          <w:highlight w:val="none"/>
        </w:rPr>
        <w:t xml:space="preserve">（3） 报价评审标准：见评标办法前附表； </w:t>
      </w:r>
    </w:p>
    <w:p>
      <w:pPr>
        <w:pStyle w:val="8"/>
        <w:spacing w:before="119" w:line="352" w:lineRule="auto"/>
        <w:ind w:firstLine="420"/>
        <w:rPr>
          <w:rFonts w:ascii="宋体" w:hAnsi="宋体" w:cs="宋体"/>
          <w:caps/>
          <w:kern w:val="2"/>
          <w:sz w:val="21"/>
          <w:szCs w:val="21"/>
          <w:highlight w:val="none"/>
        </w:rPr>
      </w:pPr>
      <w:r>
        <w:rPr>
          <w:rFonts w:hint="eastAsia" w:ascii="宋体" w:hAnsi="宋体" w:cs="宋体"/>
          <w:caps/>
          <w:kern w:val="2"/>
          <w:sz w:val="21"/>
          <w:szCs w:val="21"/>
          <w:highlight w:val="none"/>
        </w:rPr>
        <w:t xml:space="preserve">2.2.3 评标基准价计算 评标基准价的计算方法：见评标办法前附表。 </w:t>
      </w:r>
    </w:p>
    <w:p>
      <w:pPr>
        <w:pStyle w:val="8"/>
        <w:spacing w:before="119" w:line="352" w:lineRule="auto"/>
        <w:ind w:firstLine="420"/>
        <w:rPr>
          <w:rFonts w:ascii="宋体" w:hAnsi="宋体" w:cs="宋体"/>
          <w:caps/>
          <w:kern w:val="2"/>
          <w:sz w:val="21"/>
          <w:szCs w:val="21"/>
          <w:highlight w:val="none"/>
        </w:rPr>
      </w:pPr>
      <w:r>
        <w:rPr>
          <w:rFonts w:hint="eastAsia" w:ascii="宋体" w:hAnsi="宋体" w:cs="宋体"/>
          <w:caps/>
          <w:kern w:val="2"/>
          <w:sz w:val="21"/>
          <w:szCs w:val="21"/>
          <w:highlight w:val="none"/>
        </w:rPr>
        <w:t xml:space="preserve">2.2.4 投标报价的偏差率计算 投标报价的偏差率计算公式：见评标办法前附表。 </w:t>
      </w:r>
    </w:p>
    <w:p>
      <w:pPr>
        <w:pStyle w:val="6"/>
        <w:spacing w:before="54"/>
        <w:rPr>
          <w:rFonts w:ascii="宋体" w:hAnsi="宋体" w:eastAsia="宋体" w:cs="宋体"/>
          <w:caps/>
          <w:kern w:val="2"/>
          <w:sz w:val="21"/>
          <w:szCs w:val="21"/>
          <w:highlight w:val="none"/>
        </w:rPr>
      </w:pPr>
      <w:bookmarkStart w:id="130" w:name="3._评标程序"/>
      <w:bookmarkEnd w:id="130"/>
      <w:r>
        <w:rPr>
          <w:rFonts w:hint="eastAsia" w:ascii="宋体" w:hAnsi="宋体" w:eastAsia="宋体" w:cs="宋体"/>
          <w:caps/>
          <w:kern w:val="2"/>
          <w:sz w:val="21"/>
          <w:szCs w:val="21"/>
          <w:highlight w:val="none"/>
        </w:rPr>
        <w:t xml:space="preserve">3. 评标程序 </w:t>
      </w:r>
    </w:p>
    <w:p>
      <w:pPr>
        <w:spacing w:before="157"/>
        <w:ind w:left="106"/>
        <w:rPr>
          <w:rFonts w:ascii="宋体" w:hAnsi="宋体" w:cs="宋体"/>
          <w:caps/>
          <w:szCs w:val="21"/>
          <w:highlight w:val="none"/>
        </w:rPr>
      </w:pPr>
      <w:bookmarkStart w:id="131" w:name="3.1_初步评审"/>
      <w:bookmarkEnd w:id="131"/>
      <w:r>
        <w:rPr>
          <w:rFonts w:hint="eastAsia" w:ascii="宋体" w:hAnsi="宋体" w:cs="宋体"/>
          <w:caps/>
          <w:szCs w:val="21"/>
          <w:highlight w:val="none"/>
        </w:rPr>
        <w:t xml:space="preserve">3.1 初步评审 </w:t>
      </w:r>
    </w:p>
    <w:p>
      <w:pPr>
        <w:pStyle w:val="8"/>
        <w:spacing w:before="61" w:line="355" w:lineRule="auto"/>
        <w:ind w:firstLine="420"/>
        <w:rPr>
          <w:rFonts w:ascii="宋体" w:hAnsi="宋体" w:cs="宋体"/>
          <w:caps/>
          <w:kern w:val="2"/>
          <w:sz w:val="21"/>
          <w:szCs w:val="21"/>
          <w:highlight w:val="none"/>
        </w:rPr>
      </w:pPr>
      <w:r>
        <w:rPr>
          <w:rFonts w:hint="eastAsia" w:ascii="宋体" w:hAnsi="宋体" w:cs="宋体"/>
          <w:caps/>
          <w:kern w:val="2"/>
          <w:sz w:val="21"/>
          <w:szCs w:val="21"/>
          <w:highlight w:val="none"/>
        </w:rPr>
        <w:t>3.1.1 评标委员会依据本章第2.1款、2.2款及2.3款规定的标准对投标文件进行初步评审。有一项不符合评审标准的，作否决投标处理。</w:t>
      </w:r>
    </w:p>
    <w:p>
      <w:pPr>
        <w:pStyle w:val="8"/>
        <w:spacing w:before="32"/>
        <w:ind w:left="526"/>
        <w:rPr>
          <w:rFonts w:ascii="宋体" w:hAnsi="宋体" w:cs="宋体"/>
          <w:caps/>
          <w:kern w:val="2"/>
          <w:sz w:val="21"/>
          <w:szCs w:val="21"/>
          <w:highlight w:val="none"/>
        </w:rPr>
      </w:pPr>
      <w:r>
        <w:rPr>
          <w:rFonts w:hint="eastAsia" w:ascii="宋体" w:hAnsi="宋体" w:cs="宋体"/>
          <w:caps/>
          <w:kern w:val="2"/>
          <w:sz w:val="21"/>
          <w:szCs w:val="21"/>
          <w:highlight w:val="none"/>
        </w:rPr>
        <w:t xml:space="preserve">3.1.2 </w:t>
      </w:r>
      <w:r>
        <w:rPr>
          <w:rFonts w:hint="eastAsia" w:ascii="宋体" w:hAnsi="宋体" w:cs="宋体"/>
          <w:caps/>
          <w:kern w:val="2"/>
          <w:sz w:val="21"/>
          <w:szCs w:val="21"/>
          <w:highlight w:val="none"/>
          <w:lang w:eastAsia="zh-CN"/>
        </w:rPr>
        <w:t>报价人</w:t>
      </w:r>
      <w:r>
        <w:rPr>
          <w:rFonts w:hint="eastAsia" w:ascii="宋体" w:hAnsi="宋体" w:cs="宋体"/>
          <w:caps/>
          <w:kern w:val="2"/>
          <w:sz w:val="21"/>
          <w:szCs w:val="21"/>
          <w:highlight w:val="none"/>
        </w:rPr>
        <w:t xml:space="preserve">有以下情形之一的，其投标作否决投标处理： </w:t>
      </w:r>
    </w:p>
    <w:p>
      <w:pPr>
        <w:pStyle w:val="8"/>
        <w:spacing w:before="145"/>
        <w:ind w:left="526"/>
        <w:rPr>
          <w:rFonts w:ascii="宋体" w:hAnsi="宋体" w:cs="宋体"/>
          <w:caps/>
          <w:kern w:val="2"/>
          <w:sz w:val="21"/>
          <w:szCs w:val="21"/>
          <w:highlight w:val="none"/>
        </w:rPr>
      </w:pPr>
      <w:r>
        <w:rPr>
          <w:rFonts w:hint="eastAsia" w:ascii="宋体" w:hAnsi="宋体" w:cs="宋体"/>
          <w:caps/>
          <w:kern w:val="2"/>
          <w:sz w:val="21"/>
          <w:szCs w:val="21"/>
          <w:highlight w:val="none"/>
        </w:rPr>
        <w:t>（1）第二章“</w:t>
      </w:r>
      <w:r>
        <w:rPr>
          <w:rFonts w:hint="eastAsia" w:ascii="宋体" w:hAnsi="宋体" w:cs="宋体"/>
          <w:caps/>
          <w:kern w:val="2"/>
          <w:sz w:val="21"/>
          <w:szCs w:val="21"/>
          <w:highlight w:val="none"/>
          <w:lang w:eastAsia="zh-CN"/>
        </w:rPr>
        <w:t>报价人</w:t>
      </w:r>
      <w:r>
        <w:rPr>
          <w:rFonts w:hint="eastAsia" w:ascii="宋体" w:hAnsi="宋体" w:cs="宋体"/>
          <w:caps/>
          <w:kern w:val="2"/>
          <w:sz w:val="21"/>
          <w:szCs w:val="21"/>
          <w:highlight w:val="none"/>
        </w:rPr>
        <w:t xml:space="preserve">须知”第1.4.3项规定的任何一种情形的； </w:t>
      </w:r>
    </w:p>
    <w:p>
      <w:pPr>
        <w:pStyle w:val="8"/>
        <w:spacing w:before="130"/>
        <w:ind w:left="526"/>
        <w:rPr>
          <w:rFonts w:ascii="宋体" w:hAnsi="宋体" w:cs="宋体"/>
          <w:caps/>
          <w:kern w:val="2"/>
          <w:sz w:val="21"/>
          <w:szCs w:val="21"/>
          <w:highlight w:val="none"/>
        </w:rPr>
      </w:pPr>
      <w:r>
        <w:rPr>
          <w:rFonts w:hint="eastAsia" w:ascii="宋体" w:hAnsi="宋体" w:cs="宋体"/>
          <w:caps/>
          <w:kern w:val="2"/>
          <w:sz w:val="21"/>
          <w:szCs w:val="21"/>
          <w:highlight w:val="none"/>
        </w:rPr>
        <w:t xml:space="preserve">（2）本次投标有串通投标、弄虚作假等其他违反招投标相关法律、法规行为的； </w:t>
      </w:r>
    </w:p>
    <w:p>
      <w:pPr>
        <w:pStyle w:val="8"/>
        <w:spacing w:before="130"/>
        <w:ind w:left="526"/>
        <w:rPr>
          <w:rFonts w:ascii="宋体" w:hAnsi="宋体" w:cs="宋体"/>
          <w:caps/>
          <w:kern w:val="2"/>
          <w:sz w:val="21"/>
          <w:szCs w:val="21"/>
          <w:highlight w:val="none"/>
        </w:rPr>
      </w:pPr>
      <w:r>
        <w:rPr>
          <w:rFonts w:hint="eastAsia" w:ascii="宋体" w:hAnsi="宋体" w:cs="宋体"/>
          <w:caps/>
          <w:kern w:val="2"/>
          <w:sz w:val="21"/>
          <w:szCs w:val="21"/>
          <w:highlight w:val="none"/>
        </w:rPr>
        <w:t xml:space="preserve">（3）拒绝按评标委员会要求澄清、说明或补正的。 </w:t>
      </w:r>
    </w:p>
    <w:p>
      <w:pPr>
        <w:pStyle w:val="8"/>
        <w:spacing w:before="6" w:line="352" w:lineRule="auto"/>
        <w:ind w:firstLine="630" w:firstLineChars="300"/>
        <w:rPr>
          <w:rFonts w:ascii="宋体" w:hAnsi="宋体" w:cs="宋体"/>
          <w:caps/>
          <w:kern w:val="2"/>
          <w:sz w:val="21"/>
          <w:szCs w:val="21"/>
          <w:highlight w:val="none"/>
        </w:rPr>
      </w:pPr>
      <w:r>
        <w:rPr>
          <w:rFonts w:hint="eastAsia" w:ascii="宋体" w:hAnsi="宋体" w:cs="宋体"/>
          <w:caps/>
          <w:kern w:val="2"/>
          <w:sz w:val="21"/>
          <w:szCs w:val="21"/>
          <w:highlight w:val="none"/>
        </w:rPr>
        <w:t>3.1.3 投标报价有算术错误的，评标委员会按以下原则对投标报价进行修正，修正的价格经</w:t>
      </w:r>
      <w:r>
        <w:rPr>
          <w:rFonts w:hint="eastAsia" w:ascii="宋体" w:hAnsi="宋体" w:cs="宋体"/>
          <w:caps/>
          <w:kern w:val="2"/>
          <w:sz w:val="21"/>
          <w:szCs w:val="21"/>
          <w:highlight w:val="none"/>
          <w:lang w:eastAsia="zh-CN"/>
        </w:rPr>
        <w:t>报价人</w:t>
      </w:r>
      <w:r>
        <w:rPr>
          <w:rFonts w:hint="eastAsia" w:ascii="宋体" w:hAnsi="宋体" w:cs="宋体"/>
          <w:caps/>
          <w:kern w:val="2"/>
          <w:sz w:val="21"/>
          <w:szCs w:val="21"/>
          <w:highlight w:val="none"/>
        </w:rPr>
        <w:t xml:space="preserve"> 书面确认后具有约束力，修正原则如下： </w:t>
      </w:r>
    </w:p>
    <w:p>
      <w:pPr>
        <w:pStyle w:val="8"/>
        <w:spacing w:before="32"/>
        <w:ind w:firstLine="420" w:firstLineChars="200"/>
        <w:rPr>
          <w:rFonts w:ascii="宋体" w:hAnsi="宋体" w:cs="宋体"/>
          <w:caps/>
          <w:kern w:val="2"/>
          <w:sz w:val="21"/>
          <w:szCs w:val="21"/>
          <w:highlight w:val="none"/>
        </w:rPr>
      </w:pPr>
      <w:r>
        <w:rPr>
          <w:rFonts w:hint="eastAsia" w:ascii="宋体" w:hAnsi="宋体" w:cs="宋体"/>
          <w:caps/>
          <w:kern w:val="2"/>
          <w:sz w:val="21"/>
          <w:szCs w:val="21"/>
          <w:highlight w:val="none"/>
        </w:rPr>
        <w:t xml:space="preserve">（1）投标文件中的大写金额与小写金额不一致的，以大写金额为准； </w:t>
      </w:r>
    </w:p>
    <w:p>
      <w:pPr>
        <w:pStyle w:val="8"/>
        <w:spacing w:before="145"/>
        <w:ind w:firstLine="420"/>
        <w:rPr>
          <w:rFonts w:ascii="宋体" w:hAnsi="宋体" w:cs="宋体"/>
          <w:caps/>
          <w:kern w:val="2"/>
          <w:sz w:val="21"/>
          <w:szCs w:val="21"/>
          <w:highlight w:val="none"/>
        </w:rPr>
      </w:pPr>
      <w:r>
        <w:rPr>
          <w:rFonts w:hint="eastAsia" w:ascii="宋体" w:hAnsi="宋体" w:cs="宋体"/>
          <w:caps/>
          <w:kern w:val="2"/>
          <w:sz w:val="21"/>
          <w:szCs w:val="21"/>
          <w:highlight w:val="none"/>
        </w:rPr>
        <w:t xml:space="preserve">（2）竞争性比选响应声明书的总报价与已标价工程量清单总报价不一致的，由评标委员会作否决投标处理。 </w:t>
      </w:r>
    </w:p>
    <w:p>
      <w:pPr>
        <w:spacing w:before="169"/>
        <w:ind w:left="106"/>
        <w:rPr>
          <w:rFonts w:ascii="宋体" w:hAnsi="宋体" w:cs="宋体"/>
          <w:caps/>
          <w:szCs w:val="21"/>
          <w:highlight w:val="none"/>
        </w:rPr>
      </w:pPr>
      <w:bookmarkStart w:id="132" w:name="3.2_详细评审"/>
      <w:bookmarkEnd w:id="132"/>
      <w:r>
        <w:rPr>
          <w:rFonts w:hint="eastAsia" w:ascii="宋体" w:hAnsi="宋体" w:cs="宋体"/>
          <w:caps/>
          <w:szCs w:val="21"/>
          <w:highlight w:val="none"/>
        </w:rPr>
        <w:t xml:space="preserve">3.2 详细评审 </w:t>
      </w:r>
    </w:p>
    <w:p>
      <w:pPr>
        <w:pStyle w:val="8"/>
        <w:spacing w:before="61"/>
        <w:ind w:left="526"/>
        <w:rPr>
          <w:rFonts w:ascii="宋体" w:hAnsi="宋体" w:cs="宋体"/>
          <w:caps/>
          <w:kern w:val="2"/>
          <w:sz w:val="21"/>
          <w:szCs w:val="21"/>
          <w:highlight w:val="none"/>
        </w:rPr>
      </w:pPr>
      <w:r>
        <w:rPr>
          <w:rFonts w:hint="eastAsia" w:ascii="宋体" w:hAnsi="宋体" w:cs="宋体"/>
          <w:caps/>
          <w:kern w:val="2"/>
          <w:sz w:val="21"/>
          <w:szCs w:val="21"/>
          <w:highlight w:val="none"/>
        </w:rPr>
        <w:t xml:space="preserve">3.2.1 评标委员会按本章第3.1款、3.2款及3.3款规定的量化因素和分值进行打分，并计算出综合评估得分。 </w:t>
      </w:r>
    </w:p>
    <w:p>
      <w:pPr>
        <w:pStyle w:val="8"/>
        <w:spacing w:before="130" w:line="367" w:lineRule="auto"/>
        <w:ind w:firstLine="420"/>
        <w:rPr>
          <w:rFonts w:ascii="宋体" w:hAnsi="宋体" w:cs="宋体"/>
          <w:caps/>
          <w:kern w:val="2"/>
          <w:sz w:val="21"/>
          <w:szCs w:val="21"/>
          <w:highlight w:val="none"/>
        </w:rPr>
      </w:pPr>
      <w:r>
        <w:rPr>
          <w:rFonts w:hint="eastAsia" w:ascii="宋体" w:hAnsi="宋体" w:cs="宋体"/>
          <w:caps/>
          <w:kern w:val="2"/>
          <w:sz w:val="21"/>
          <w:szCs w:val="21"/>
          <w:highlight w:val="none"/>
        </w:rPr>
        <w:t>（1）按本章第3.3目规定的评审因素和分值对技术部分计算出得分A（所有评委打分中去掉一个最高和一个最低分，余下评委打分取算术平均值为该</w:t>
      </w:r>
      <w:r>
        <w:rPr>
          <w:rFonts w:hint="eastAsia" w:ascii="宋体" w:hAnsi="宋体" w:cs="宋体"/>
          <w:caps/>
          <w:kern w:val="2"/>
          <w:sz w:val="21"/>
          <w:szCs w:val="21"/>
          <w:highlight w:val="none"/>
          <w:lang w:eastAsia="zh-CN"/>
        </w:rPr>
        <w:t>报价人</w:t>
      </w:r>
      <w:r>
        <w:rPr>
          <w:rFonts w:hint="eastAsia" w:ascii="宋体" w:hAnsi="宋体" w:cs="宋体"/>
          <w:caps/>
          <w:kern w:val="2"/>
          <w:sz w:val="21"/>
          <w:szCs w:val="21"/>
          <w:highlight w:val="none"/>
        </w:rPr>
        <w:t xml:space="preserve">技术部分得分。） </w:t>
      </w:r>
    </w:p>
    <w:p>
      <w:pPr>
        <w:pStyle w:val="8"/>
        <w:spacing w:before="19"/>
        <w:ind w:left="526"/>
        <w:rPr>
          <w:rFonts w:ascii="宋体" w:hAnsi="宋体" w:cs="宋体"/>
          <w:caps/>
          <w:kern w:val="2"/>
          <w:sz w:val="21"/>
          <w:szCs w:val="21"/>
          <w:highlight w:val="none"/>
        </w:rPr>
      </w:pPr>
      <w:r>
        <w:rPr>
          <w:rFonts w:hint="eastAsia" w:ascii="宋体" w:hAnsi="宋体" w:cs="宋体"/>
          <w:caps/>
          <w:kern w:val="2"/>
          <w:sz w:val="21"/>
          <w:szCs w:val="21"/>
          <w:highlight w:val="none"/>
        </w:rPr>
        <w:t xml:space="preserve">（2）按本章第3.2目规定的评审因素和分值对商务部分计算出得分B。 </w:t>
      </w:r>
    </w:p>
    <w:p>
      <w:pPr>
        <w:pStyle w:val="8"/>
        <w:spacing w:before="130"/>
        <w:ind w:left="526"/>
        <w:rPr>
          <w:rFonts w:ascii="宋体" w:hAnsi="宋体" w:cs="宋体"/>
          <w:caps/>
          <w:kern w:val="2"/>
          <w:sz w:val="21"/>
          <w:szCs w:val="21"/>
          <w:highlight w:val="none"/>
        </w:rPr>
      </w:pPr>
      <w:r>
        <w:rPr>
          <w:rFonts w:hint="eastAsia" w:ascii="宋体" w:hAnsi="宋体" w:cs="宋体"/>
          <w:caps/>
          <w:kern w:val="2"/>
          <w:sz w:val="21"/>
          <w:szCs w:val="21"/>
          <w:highlight w:val="none"/>
        </w:rPr>
        <w:t xml:space="preserve">（3）按本章第3.1目规定的评审因素和分值对投标总报价计算出得分C。 </w:t>
      </w:r>
    </w:p>
    <w:p>
      <w:pPr>
        <w:pStyle w:val="8"/>
        <w:spacing w:before="130"/>
        <w:ind w:left="526"/>
        <w:rPr>
          <w:rFonts w:ascii="宋体" w:hAnsi="宋体" w:cs="宋体"/>
          <w:caps/>
          <w:kern w:val="2"/>
          <w:sz w:val="21"/>
          <w:szCs w:val="21"/>
          <w:highlight w:val="none"/>
        </w:rPr>
      </w:pPr>
      <w:r>
        <w:rPr>
          <w:rFonts w:hint="eastAsia" w:ascii="宋体" w:hAnsi="宋体" w:cs="宋体"/>
          <w:caps/>
          <w:kern w:val="2"/>
          <w:sz w:val="21"/>
          <w:szCs w:val="21"/>
          <w:highlight w:val="none"/>
        </w:rPr>
        <w:t xml:space="preserve">3.2.2 各类评分分值的最终计算结果保留小数点后两位，小数点后第三位“四舍五入”。 </w:t>
      </w:r>
    </w:p>
    <w:p>
      <w:pPr>
        <w:pStyle w:val="8"/>
        <w:spacing w:before="130"/>
        <w:ind w:left="526"/>
        <w:rPr>
          <w:rFonts w:ascii="宋体" w:hAnsi="宋体" w:cs="宋体"/>
          <w:caps/>
          <w:kern w:val="2"/>
          <w:sz w:val="21"/>
          <w:szCs w:val="21"/>
          <w:highlight w:val="none"/>
        </w:rPr>
      </w:pPr>
      <w:r>
        <w:rPr>
          <w:rFonts w:hint="eastAsia" w:ascii="宋体" w:hAnsi="宋体" w:cs="宋体"/>
          <w:caps/>
          <w:kern w:val="2"/>
          <w:sz w:val="21"/>
          <w:szCs w:val="21"/>
          <w:highlight w:val="none"/>
        </w:rPr>
        <w:t xml:space="preserve">3.2.3  </w:t>
      </w:r>
      <w:r>
        <w:rPr>
          <w:rFonts w:hint="eastAsia" w:ascii="宋体" w:hAnsi="宋体" w:cs="宋体"/>
          <w:caps/>
          <w:kern w:val="2"/>
          <w:sz w:val="21"/>
          <w:szCs w:val="21"/>
          <w:highlight w:val="none"/>
          <w:lang w:eastAsia="zh-CN"/>
        </w:rPr>
        <w:t>报价人</w:t>
      </w:r>
      <w:r>
        <w:rPr>
          <w:rFonts w:hint="eastAsia" w:ascii="宋体" w:hAnsi="宋体" w:cs="宋体"/>
          <w:caps/>
          <w:kern w:val="2"/>
          <w:sz w:val="21"/>
          <w:szCs w:val="21"/>
          <w:highlight w:val="none"/>
        </w:rPr>
        <w:t xml:space="preserve">得分=A+B+C。 </w:t>
      </w:r>
    </w:p>
    <w:p>
      <w:pPr>
        <w:spacing w:before="1"/>
        <w:rPr>
          <w:rFonts w:ascii="宋体" w:hAnsi="宋体" w:cs="宋体"/>
          <w:caps/>
          <w:szCs w:val="21"/>
          <w:highlight w:val="none"/>
        </w:rPr>
      </w:pPr>
    </w:p>
    <w:p>
      <w:pPr>
        <w:ind w:left="106"/>
        <w:rPr>
          <w:rFonts w:ascii="宋体" w:hAnsi="宋体" w:cs="宋体"/>
          <w:caps/>
          <w:szCs w:val="21"/>
          <w:highlight w:val="none"/>
        </w:rPr>
      </w:pPr>
      <w:bookmarkStart w:id="133" w:name="3.3_投标文件的澄清和补正"/>
      <w:bookmarkEnd w:id="133"/>
      <w:r>
        <w:rPr>
          <w:rFonts w:hint="eastAsia" w:ascii="宋体" w:hAnsi="宋体" w:cs="宋体"/>
          <w:caps/>
          <w:szCs w:val="21"/>
          <w:highlight w:val="none"/>
        </w:rPr>
        <w:t xml:space="preserve">3.3 投标文件的澄清和补正 </w:t>
      </w:r>
    </w:p>
    <w:p>
      <w:pPr>
        <w:pStyle w:val="8"/>
        <w:spacing w:before="61" w:line="355" w:lineRule="auto"/>
        <w:ind w:firstLine="420"/>
        <w:rPr>
          <w:rFonts w:ascii="宋体" w:hAnsi="宋体" w:cs="宋体"/>
          <w:caps/>
          <w:kern w:val="2"/>
          <w:sz w:val="21"/>
          <w:szCs w:val="21"/>
          <w:highlight w:val="none"/>
        </w:rPr>
      </w:pPr>
      <w:r>
        <w:rPr>
          <w:rFonts w:hint="eastAsia" w:ascii="宋体" w:hAnsi="宋体" w:cs="宋体"/>
          <w:caps/>
          <w:kern w:val="2"/>
          <w:sz w:val="21"/>
          <w:szCs w:val="21"/>
          <w:highlight w:val="none"/>
        </w:rPr>
        <w:t>3.3.1 在评标过程中，评标委员会可以书面形式要求</w:t>
      </w:r>
      <w:r>
        <w:rPr>
          <w:rFonts w:hint="eastAsia" w:ascii="宋体" w:hAnsi="宋体" w:cs="宋体"/>
          <w:caps/>
          <w:kern w:val="2"/>
          <w:sz w:val="21"/>
          <w:szCs w:val="21"/>
          <w:highlight w:val="none"/>
          <w:lang w:eastAsia="zh-CN"/>
        </w:rPr>
        <w:t>报价人</w:t>
      </w:r>
      <w:r>
        <w:rPr>
          <w:rFonts w:hint="eastAsia" w:ascii="宋体" w:hAnsi="宋体" w:cs="宋体"/>
          <w:caps/>
          <w:kern w:val="2"/>
          <w:sz w:val="21"/>
          <w:szCs w:val="21"/>
          <w:highlight w:val="none"/>
        </w:rPr>
        <w:t>对所提交投标文件中不明确的内容进行 书面澄清或说明，或者对细微偏差进行补正。评标委员会不接受</w:t>
      </w:r>
      <w:r>
        <w:rPr>
          <w:rFonts w:hint="eastAsia" w:ascii="宋体" w:hAnsi="宋体" w:cs="宋体"/>
          <w:caps/>
          <w:kern w:val="2"/>
          <w:sz w:val="21"/>
          <w:szCs w:val="21"/>
          <w:highlight w:val="none"/>
          <w:lang w:eastAsia="zh-CN"/>
        </w:rPr>
        <w:t>报价人</w:t>
      </w:r>
      <w:r>
        <w:rPr>
          <w:rFonts w:hint="eastAsia" w:ascii="宋体" w:hAnsi="宋体" w:cs="宋体"/>
          <w:caps/>
          <w:kern w:val="2"/>
          <w:sz w:val="21"/>
          <w:szCs w:val="21"/>
          <w:highlight w:val="none"/>
        </w:rPr>
        <w:t xml:space="preserve">主动提出的澄清、说明或补正。 </w:t>
      </w:r>
    </w:p>
    <w:p>
      <w:pPr>
        <w:pStyle w:val="8"/>
        <w:spacing w:before="29" w:line="367" w:lineRule="auto"/>
        <w:ind w:firstLine="420"/>
        <w:rPr>
          <w:rFonts w:ascii="宋体" w:hAnsi="宋体" w:cs="宋体"/>
          <w:caps/>
          <w:kern w:val="2"/>
          <w:sz w:val="21"/>
          <w:szCs w:val="21"/>
          <w:highlight w:val="none"/>
        </w:rPr>
      </w:pPr>
      <w:r>
        <w:rPr>
          <w:rFonts w:hint="eastAsia" w:ascii="宋体" w:hAnsi="宋体" w:cs="宋体"/>
          <w:caps/>
          <w:kern w:val="2"/>
          <w:sz w:val="21"/>
          <w:szCs w:val="21"/>
          <w:highlight w:val="none"/>
        </w:rPr>
        <w:t>3.3.2 澄清、说明和补正不得改变投标文件的实质性内容（算术性错误修正的除外）。</w:t>
      </w:r>
      <w:r>
        <w:rPr>
          <w:rFonts w:hint="eastAsia" w:ascii="宋体" w:hAnsi="宋体" w:cs="宋体"/>
          <w:caps/>
          <w:kern w:val="2"/>
          <w:sz w:val="21"/>
          <w:szCs w:val="21"/>
          <w:highlight w:val="none"/>
          <w:lang w:eastAsia="zh-CN"/>
        </w:rPr>
        <w:t>报价人</w:t>
      </w:r>
      <w:r>
        <w:rPr>
          <w:rFonts w:hint="eastAsia" w:ascii="宋体" w:hAnsi="宋体" w:cs="宋体"/>
          <w:caps/>
          <w:kern w:val="2"/>
          <w:sz w:val="21"/>
          <w:szCs w:val="21"/>
          <w:highlight w:val="none"/>
        </w:rPr>
        <w:t xml:space="preserve">的书 面澄清、说明和补正属于投标文件的组成部分。 </w:t>
      </w:r>
    </w:p>
    <w:p>
      <w:pPr>
        <w:pStyle w:val="8"/>
        <w:spacing w:before="19" w:line="355" w:lineRule="auto"/>
        <w:ind w:firstLine="420"/>
        <w:rPr>
          <w:rFonts w:ascii="宋体" w:hAnsi="宋体" w:cs="宋体"/>
          <w:caps/>
          <w:kern w:val="2"/>
          <w:sz w:val="21"/>
          <w:szCs w:val="21"/>
          <w:highlight w:val="none"/>
        </w:rPr>
      </w:pPr>
      <w:r>
        <w:rPr>
          <w:rFonts w:hint="eastAsia" w:ascii="宋体" w:hAnsi="宋体" w:cs="宋体"/>
          <w:caps/>
          <w:kern w:val="2"/>
          <w:sz w:val="21"/>
          <w:szCs w:val="21"/>
          <w:highlight w:val="none"/>
        </w:rPr>
        <w:t>3.3.3 评标委员会对</w:t>
      </w:r>
      <w:r>
        <w:rPr>
          <w:rFonts w:hint="eastAsia" w:ascii="宋体" w:hAnsi="宋体" w:cs="宋体"/>
          <w:caps/>
          <w:kern w:val="2"/>
          <w:sz w:val="21"/>
          <w:szCs w:val="21"/>
          <w:highlight w:val="none"/>
          <w:lang w:eastAsia="zh-CN"/>
        </w:rPr>
        <w:t>报价人</w:t>
      </w:r>
      <w:r>
        <w:rPr>
          <w:rFonts w:hint="eastAsia" w:ascii="宋体" w:hAnsi="宋体" w:cs="宋体"/>
          <w:caps/>
          <w:kern w:val="2"/>
          <w:sz w:val="21"/>
          <w:szCs w:val="21"/>
          <w:highlight w:val="none"/>
        </w:rPr>
        <w:t>提交的澄清、说明或补正有疑问的，可以要求</w:t>
      </w:r>
      <w:r>
        <w:rPr>
          <w:rFonts w:hint="eastAsia" w:ascii="宋体" w:hAnsi="宋体" w:cs="宋体"/>
          <w:caps/>
          <w:kern w:val="2"/>
          <w:sz w:val="21"/>
          <w:szCs w:val="21"/>
          <w:highlight w:val="none"/>
          <w:lang w:eastAsia="zh-CN"/>
        </w:rPr>
        <w:t>报价人</w:t>
      </w:r>
      <w:r>
        <w:rPr>
          <w:rFonts w:hint="eastAsia" w:ascii="宋体" w:hAnsi="宋体" w:cs="宋体"/>
          <w:caps/>
          <w:kern w:val="2"/>
          <w:sz w:val="21"/>
          <w:szCs w:val="21"/>
          <w:highlight w:val="none"/>
        </w:rPr>
        <w:t xml:space="preserve">进一步澄清、说明或补正，直至满足评标委员会的要求。 </w:t>
      </w:r>
    </w:p>
    <w:p>
      <w:pPr>
        <w:spacing w:before="68"/>
        <w:ind w:left="106"/>
        <w:rPr>
          <w:rFonts w:ascii="宋体" w:hAnsi="宋体" w:cs="宋体"/>
          <w:caps/>
          <w:szCs w:val="21"/>
          <w:highlight w:val="none"/>
        </w:rPr>
      </w:pPr>
      <w:bookmarkStart w:id="134" w:name="3.4_评标结果"/>
      <w:bookmarkEnd w:id="134"/>
      <w:r>
        <w:rPr>
          <w:rFonts w:hint="eastAsia" w:ascii="宋体" w:hAnsi="宋体" w:cs="宋体"/>
          <w:caps/>
          <w:szCs w:val="21"/>
          <w:highlight w:val="none"/>
        </w:rPr>
        <w:t xml:space="preserve">3.4 评标结果 </w:t>
      </w:r>
    </w:p>
    <w:p>
      <w:pPr>
        <w:pStyle w:val="8"/>
        <w:spacing w:before="76" w:line="355" w:lineRule="auto"/>
        <w:ind w:firstLine="420"/>
        <w:rPr>
          <w:rFonts w:hint="eastAsia" w:ascii="宋体" w:hAnsi="宋体" w:cs="宋体"/>
          <w:caps/>
          <w:kern w:val="2"/>
          <w:sz w:val="21"/>
          <w:szCs w:val="21"/>
          <w:highlight w:val="none"/>
        </w:rPr>
      </w:pPr>
      <w:r>
        <w:rPr>
          <w:rFonts w:hint="eastAsia" w:ascii="宋体" w:hAnsi="宋体" w:cs="宋体"/>
          <w:caps/>
          <w:kern w:val="2"/>
          <w:sz w:val="21"/>
          <w:szCs w:val="21"/>
          <w:highlight w:val="none"/>
        </w:rPr>
        <w:t>3.4.1 除第二章“</w:t>
      </w:r>
      <w:r>
        <w:rPr>
          <w:rFonts w:hint="eastAsia" w:ascii="宋体" w:hAnsi="宋体" w:cs="宋体"/>
          <w:caps/>
          <w:kern w:val="2"/>
          <w:sz w:val="21"/>
          <w:szCs w:val="21"/>
          <w:highlight w:val="none"/>
          <w:lang w:eastAsia="zh-CN"/>
        </w:rPr>
        <w:t>报价人</w:t>
      </w:r>
      <w:r>
        <w:rPr>
          <w:rFonts w:hint="eastAsia" w:ascii="宋体" w:hAnsi="宋体" w:cs="宋体"/>
          <w:caps/>
          <w:kern w:val="2"/>
          <w:sz w:val="21"/>
          <w:szCs w:val="21"/>
          <w:highlight w:val="none"/>
        </w:rPr>
        <w:t xml:space="preserve">须知”前附表授权直接确定中标人外，评标委员会按照得分由高到低的顺 序推荐中标候选人。 </w:t>
      </w:r>
    </w:p>
    <w:p>
      <w:pPr>
        <w:rPr>
          <w:color w:val="000000" w:themeColor="text1"/>
          <w14:textFill>
            <w14:solidFill>
              <w14:schemeClr w14:val="tx1"/>
            </w14:solidFill>
          </w14:textFill>
        </w:rPr>
      </w:pPr>
      <w:r>
        <w:rPr>
          <w:rFonts w:hint="eastAsia" w:ascii="宋体" w:hAnsi="宋体" w:cs="宋体"/>
          <w:b w:val="0"/>
          <w:bCs w:val="0"/>
          <w:sz w:val="21"/>
          <w:szCs w:val="21"/>
          <w:highlight w:val="none"/>
        </w:rPr>
        <w:t>3.4.2 评标委员会完成评标后，应当向</w:t>
      </w:r>
      <w:r>
        <w:rPr>
          <w:rFonts w:hint="eastAsia" w:ascii="宋体" w:hAnsi="宋体" w:cs="宋体"/>
          <w:b w:val="0"/>
          <w:bCs w:val="0"/>
          <w:sz w:val="21"/>
          <w:szCs w:val="21"/>
          <w:highlight w:val="none"/>
          <w:lang w:eastAsia="zh-CN"/>
        </w:rPr>
        <w:t>采购人</w:t>
      </w:r>
      <w:r>
        <w:rPr>
          <w:rFonts w:hint="eastAsia" w:ascii="宋体" w:hAnsi="宋体" w:cs="宋体"/>
          <w:b w:val="0"/>
          <w:bCs w:val="0"/>
          <w:sz w:val="21"/>
          <w:szCs w:val="21"/>
          <w:highlight w:val="none"/>
        </w:rPr>
        <w:t>提交书面评标报告。</w:t>
      </w:r>
    </w:p>
    <w:p>
      <w:pPr>
        <w:rPr>
          <w:rFonts w:ascii="宋体" w:hAnsi="宋体" w:cs="宋体"/>
          <w:color w:val="000000" w:themeColor="text1"/>
          <w14:textFill>
            <w14:solidFill>
              <w14:schemeClr w14:val="tx1"/>
            </w14:solidFill>
          </w14:textFill>
        </w:rPr>
      </w:pPr>
    </w:p>
    <w:p>
      <w:pPr>
        <w:pStyle w:val="1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135" w:name="_Toc13787"/>
      <w:r>
        <w:rPr>
          <w:rStyle w:val="27"/>
          <w:rFonts w:hint="eastAsia"/>
          <w:b/>
          <w:bCs/>
          <w:color w:val="000000" w:themeColor="text1"/>
          <w14:textFill>
            <w14:solidFill>
              <w14:schemeClr w14:val="tx1"/>
            </w14:solidFill>
          </w14:textFill>
        </w:rPr>
        <w:t>第四章 报价说明</w:t>
      </w:r>
      <w:bookmarkEnd w:id="135"/>
    </w:p>
    <w:p>
      <w:pPr>
        <w:pStyle w:val="14"/>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1、工程量清单应与本</w:t>
      </w:r>
      <w:r>
        <w:rPr>
          <w:rFonts w:hint="eastAsia" w:ascii="宋体" w:hAnsi="宋体" w:cs="宋体"/>
          <w:b w:val="0"/>
          <w:bCs w:val="0"/>
          <w:sz w:val="21"/>
          <w:szCs w:val="21"/>
          <w:highlight w:val="none"/>
          <w:lang w:val="en-US" w:eastAsia="zh-CN"/>
        </w:rPr>
        <w:t>项目</w:t>
      </w:r>
      <w:r>
        <w:rPr>
          <w:rFonts w:hint="eastAsia" w:ascii="宋体" w:hAnsi="宋体" w:eastAsia="宋体" w:cs="宋体"/>
          <w:b w:val="0"/>
          <w:bCs w:val="0"/>
          <w:sz w:val="21"/>
          <w:szCs w:val="21"/>
          <w:highlight w:val="none"/>
          <w:lang w:val="en-US" w:eastAsia="zh-CN"/>
        </w:rPr>
        <w:t>竞争性比选文件、技术标准和要求等文件结合起来查阅与理解。</w:t>
      </w:r>
    </w:p>
    <w:p>
      <w:pPr>
        <w:pStyle w:val="14"/>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2、本竞争性比选报价采用综合单价报价。综合单价是指完成工程量清单中一个规定计量单位的分部分项工程量清单费用、措施项目清单费用、其他项目清单费用、规费、税金</w:t>
      </w:r>
      <w:r>
        <w:rPr>
          <w:rFonts w:hint="eastAsia" w:ascii="宋体" w:hAnsi="宋体" w:cs="宋体"/>
          <w:b w:val="0"/>
          <w:bCs w:val="0"/>
          <w:sz w:val="21"/>
          <w:szCs w:val="21"/>
          <w:highlight w:val="none"/>
          <w:lang w:val="en-US" w:eastAsia="zh-CN"/>
        </w:rPr>
        <w:t>（税率为13%）</w:t>
      </w:r>
      <w:r>
        <w:rPr>
          <w:rFonts w:hint="eastAsia" w:ascii="宋体" w:hAnsi="宋体" w:eastAsia="宋体" w:cs="宋体"/>
          <w:b w:val="0"/>
          <w:bCs w:val="0"/>
          <w:sz w:val="21"/>
          <w:szCs w:val="21"/>
          <w:highlight w:val="none"/>
          <w:lang w:val="en-US" w:eastAsia="zh-CN"/>
        </w:rPr>
        <w:t>等完成本项目的一切费用（即人工费、材料设备、安装和调试费、差旅费、交通费、车辆通行费、、竣工资料编制、竣工验收、保险、综合费等），以及竞争性比选文件中明示或暗示的的所有责任、义务和一般风险。</w:t>
      </w:r>
    </w:p>
    <w:p>
      <w:pPr>
        <w:pStyle w:val="14"/>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3、报价人应结合现场实际和现在的市场情况、自身技术及管理水平、经营状况、机械设备及制定的方案的要求自行报价，该报价不低于报价人完成该项目的成本。</w:t>
      </w:r>
    </w:p>
    <w:p>
      <w:pPr>
        <w:pStyle w:val="14"/>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4</w:t>
      </w:r>
      <w:r>
        <w:rPr>
          <w:rFonts w:hint="eastAsia" w:ascii="宋体" w:hAnsi="宋体" w:eastAsia="宋体" w:cs="宋体"/>
          <w:b w:val="0"/>
          <w:bCs w:val="0"/>
          <w:sz w:val="21"/>
          <w:szCs w:val="21"/>
          <w:highlight w:val="none"/>
          <w:lang w:val="en-US" w:eastAsia="zh-CN"/>
        </w:rPr>
        <w:t>、工程量清单中所列工程数量是估算的数量，仅作为报价的共同基础，不能作为最终结算与支付的依据。实际支付应按实际完成的工程量*工程量清单的单价来计算支付金额。</w:t>
      </w:r>
    </w:p>
    <w:p>
      <w:pPr>
        <w:pStyle w:val="14"/>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5</w:t>
      </w:r>
      <w:r>
        <w:rPr>
          <w:rFonts w:hint="eastAsia" w:ascii="宋体" w:hAnsi="宋体" w:eastAsia="宋体" w:cs="宋体"/>
          <w:b w:val="0"/>
          <w:bCs w:val="0"/>
          <w:sz w:val="21"/>
          <w:szCs w:val="21"/>
          <w:highlight w:val="none"/>
          <w:lang w:val="en-US" w:eastAsia="zh-CN"/>
        </w:rPr>
        <w:t>、工程量清单中所列工程量的变动，丝毫不会降低或影响合同条款的效力，也不免除报价人按规定的标准进行</w:t>
      </w:r>
      <w:r>
        <w:rPr>
          <w:rFonts w:hint="eastAsia" w:ascii="宋体" w:hAnsi="宋体" w:cs="宋体"/>
          <w:b w:val="0"/>
          <w:bCs w:val="0"/>
          <w:sz w:val="21"/>
          <w:szCs w:val="21"/>
          <w:highlight w:val="none"/>
          <w:lang w:val="en-US" w:eastAsia="zh-CN"/>
        </w:rPr>
        <w:t>作业</w:t>
      </w:r>
      <w:r>
        <w:rPr>
          <w:rFonts w:hint="eastAsia" w:ascii="宋体" w:hAnsi="宋体" w:eastAsia="宋体" w:cs="宋体"/>
          <w:b w:val="0"/>
          <w:bCs w:val="0"/>
          <w:sz w:val="21"/>
          <w:szCs w:val="21"/>
          <w:highlight w:val="none"/>
          <w:lang w:val="en-US" w:eastAsia="zh-CN"/>
        </w:rPr>
        <w:t>和修复缺陷的责任。</w:t>
      </w:r>
    </w:p>
    <w:p>
      <w:pPr>
        <w:pStyle w:val="14"/>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6</w:t>
      </w:r>
      <w:r>
        <w:rPr>
          <w:rFonts w:hint="eastAsia" w:ascii="宋体" w:hAnsi="宋体" w:eastAsia="宋体" w:cs="宋体"/>
          <w:b w:val="0"/>
          <w:bCs w:val="0"/>
          <w:sz w:val="21"/>
          <w:szCs w:val="21"/>
          <w:highlight w:val="none"/>
          <w:lang w:val="en-US" w:eastAsia="zh-CN"/>
        </w:rPr>
        <w:t>、对工程量清单中的每一个细目，报价人均填单价和合价，对于未填入单价和合价的细目，其费用应视为已包括在工程量清单中的其他细目的单价和合价中，报价人必须按采购人指令完成工程量清单中未填入单价和合价的细目，但不能得到结算与支付，报价人的总报价应是所有</w:t>
      </w:r>
      <w:r>
        <w:rPr>
          <w:rFonts w:hint="eastAsia" w:ascii="宋体" w:hAnsi="宋体" w:cs="宋体"/>
          <w:b w:val="0"/>
          <w:bCs w:val="0"/>
          <w:sz w:val="21"/>
          <w:szCs w:val="21"/>
          <w:highlight w:val="none"/>
          <w:lang w:val="en-US" w:eastAsia="zh-CN"/>
        </w:rPr>
        <w:t>项目</w:t>
      </w:r>
      <w:r>
        <w:rPr>
          <w:rFonts w:hint="eastAsia" w:ascii="宋体" w:hAnsi="宋体" w:eastAsia="宋体" w:cs="宋体"/>
          <w:b w:val="0"/>
          <w:bCs w:val="0"/>
          <w:sz w:val="21"/>
          <w:szCs w:val="21"/>
          <w:highlight w:val="none"/>
          <w:lang w:val="en-US" w:eastAsia="zh-CN"/>
        </w:rPr>
        <w:t>费用的汇总。</w:t>
      </w:r>
    </w:p>
    <w:p>
      <w:pPr>
        <w:pStyle w:val="14"/>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7</w:t>
      </w:r>
      <w:r>
        <w:rPr>
          <w:rFonts w:hint="eastAsia" w:ascii="宋体" w:hAnsi="宋体" w:eastAsia="宋体" w:cs="宋体"/>
          <w:b w:val="0"/>
          <w:bCs w:val="0"/>
          <w:sz w:val="21"/>
          <w:szCs w:val="21"/>
          <w:highlight w:val="none"/>
          <w:lang w:val="en-US" w:eastAsia="zh-CN"/>
        </w:rPr>
        <w:t>、工程量清单中的任何内容不得随意删除或涂改，若有误，在有效时间内书面向采购人提出，以“补遗”资料为准。</w:t>
      </w:r>
    </w:p>
    <w:p>
      <w:pPr>
        <w:pStyle w:val="14"/>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8</w:t>
      </w:r>
      <w:r>
        <w:rPr>
          <w:rFonts w:hint="eastAsia" w:ascii="宋体" w:hAnsi="宋体" w:eastAsia="宋体" w:cs="宋体"/>
          <w:b w:val="0"/>
          <w:bCs w:val="0"/>
          <w:sz w:val="21"/>
          <w:szCs w:val="21"/>
          <w:highlight w:val="none"/>
          <w:lang w:val="en-US" w:eastAsia="zh-CN"/>
        </w:rPr>
        <w:t>、不同单项及单位工程中的分部分项工程量清单中相同项目（项目特征及工作内容相同）的应报价统一，如有差异，按最低的一个报价进行结算；材料设备单价处理办法相同。</w:t>
      </w:r>
    </w:p>
    <w:p>
      <w:pPr>
        <w:pStyle w:val="14"/>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9</w:t>
      </w:r>
      <w:r>
        <w:rPr>
          <w:rFonts w:hint="eastAsia" w:ascii="宋体" w:hAnsi="宋体" w:eastAsia="宋体" w:cs="宋体"/>
          <w:b w:val="0"/>
          <w:bCs w:val="0"/>
          <w:sz w:val="21"/>
          <w:szCs w:val="21"/>
          <w:highlight w:val="none"/>
          <w:lang w:val="en-US" w:eastAsia="zh-CN"/>
        </w:rPr>
        <w:t>、对作业和材料设备的技术标准和要求及一般说明或规定，未重复写入工程量清单内，在给工程量清单各细目报价前，应参阅并满足设计文件及竞争性比选文件中技术标准和要求的有关部分，如不满足相关技术标准和要求，由此对采购人造成的一切损失由报价人承担。</w:t>
      </w:r>
    </w:p>
    <w:p>
      <w:pPr>
        <w:pStyle w:val="14"/>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r>
        <w:rPr>
          <w:rFonts w:hint="eastAsia" w:ascii="宋体" w:hAnsi="宋体" w:cs="宋体"/>
          <w:b w:val="0"/>
          <w:bCs w:val="0"/>
          <w:sz w:val="21"/>
          <w:szCs w:val="21"/>
          <w:highlight w:val="none"/>
          <w:lang w:val="en-US" w:eastAsia="zh-CN"/>
        </w:rPr>
        <w:t>0</w:t>
      </w:r>
      <w:r>
        <w:rPr>
          <w:rFonts w:hint="eastAsia" w:ascii="宋体" w:hAnsi="宋体" w:eastAsia="宋体" w:cs="宋体"/>
          <w:b w:val="0"/>
          <w:bCs w:val="0"/>
          <w:sz w:val="21"/>
          <w:szCs w:val="21"/>
          <w:highlight w:val="none"/>
          <w:lang w:val="en-US" w:eastAsia="zh-CN"/>
        </w:rPr>
        <w:t>、对于符合要求的竞争性比选响应文件，在签订合同协议书前，如发现工程量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报价做废标处理。</w:t>
      </w:r>
    </w:p>
    <w:p>
      <w:pPr>
        <w:pStyle w:val="14"/>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r>
        <w:rPr>
          <w:rFonts w:hint="eastAsia" w:ascii="宋体" w:hAnsi="宋体" w:cs="宋体"/>
          <w:b w:val="0"/>
          <w:bCs w:val="0"/>
          <w:sz w:val="21"/>
          <w:szCs w:val="21"/>
          <w:highlight w:val="none"/>
          <w:lang w:val="en-US" w:eastAsia="zh-CN"/>
        </w:rPr>
        <w:t>1</w:t>
      </w:r>
      <w:r>
        <w:rPr>
          <w:rFonts w:hint="eastAsia" w:ascii="宋体" w:hAnsi="宋体" w:eastAsia="宋体" w:cs="宋体"/>
          <w:b w:val="0"/>
          <w:bCs w:val="0"/>
          <w:sz w:val="21"/>
          <w:szCs w:val="21"/>
          <w:highlight w:val="none"/>
          <w:lang w:val="en-US" w:eastAsia="zh-CN"/>
        </w:rPr>
        <w:t>、报价中的单价和合价全部以人民币（元）表示。</w:t>
      </w:r>
    </w:p>
    <w:p>
      <w:pPr>
        <w:pStyle w:val="14"/>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、对于报价人报价中明显高于市场价的单项报价，采购人有权进行价格审核后调整。调整后应以取得报价人的同意，并确认修正后的最终报价。如果报价人拒绝确认，则其竞争性响应文件将不予评审。</w:t>
      </w:r>
    </w:p>
    <w:p>
      <w:pPr>
        <w:pStyle w:val="14"/>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、合同为单价合同，合同期间不予调价。</w:t>
      </w:r>
    </w:p>
    <w:p>
      <w:pPr>
        <w:pStyle w:val="14"/>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r>
        <w:rPr>
          <w:rFonts w:hint="eastAsia" w:ascii="宋体" w:hAnsi="宋体" w:cs="宋体"/>
          <w:b w:val="0"/>
          <w:bCs w:val="0"/>
          <w:sz w:val="21"/>
          <w:szCs w:val="21"/>
          <w:highlight w:val="none"/>
          <w:lang w:val="en-US" w:eastAsia="zh-CN"/>
        </w:rPr>
        <w:t>4</w:t>
      </w:r>
      <w:r>
        <w:rPr>
          <w:rFonts w:hint="eastAsia" w:ascii="宋体" w:hAnsi="宋体" w:eastAsia="宋体" w:cs="宋体"/>
          <w:b w:val="0"/>
          <w:bCs w:val="0"/>
          <w:sz w:val="21"/>
          <w:szCs w:val="21"/>
          <w:highlight w:val="none"/>
          <w:lang w:val="en-US" w:eastAsia="zh-CN"/>
        </w:rPr>
        <w:t>、报价人应严格按照工程量清单进行报价，不得随意修改采购人发布的工程量清单数量、公式及相关内容。</w:t>
      </w:r>
    </w:p>
    <w:p>
      <w:pPr>
        <w:pStyle w:val="14"/>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eastAsia="宋体" w:cs="Times New Roman"/>
          <w:b w:val="0"/>
          <w:bCs w:val="0"/>
          <w:caps w:val="0"/>
          <w:color w:val="000000" w:themeColor="text1"/>
          <w:kern w:val="2"/>
          <w:sz w:val="21"/>
          <w:szCs w:val="24"/>
          <w:lang w:val="en-US" w:eastAsia="zh-CN" w:bidi="ar-SA"/>
          <w14:textFill>
            <w14:solidFill>
              <w14:schemeClr w14:val="tx1"/>
            </w14:solidFill>
          </w14:textFill>
        </w:rPr>
        <w:sectPr>
          <w:footerReference r:id="rId9" w:type="default"/>
          <w:pgSz w:w="11906" w:h="16838"/>
          <w:pgMar w:top="1440" w:right="1800" w:bottom="1440" w:left="1800" w:header="851" w:footer="992" w:gutter="0"/>
          <w:cols w:space="720" w:num="1"/>
          <w:titlePg/>
          <w:docGrid w:type="lines" w:linePitch="312" w:charSpace="0"/>
        </w:sectPr>
      </w:pPr>
    </w:p>
    <w:p>
      <w:pPr>
        <w:pStyle w:val="2"/>
        <w:spacing w:before="0" w:after="0" w:line="360" w:lineRule="auto"/>
        <w:jc w:val="center"/>
        <w:rPr>
          <w:rFonts w:ascii="宋体" w:hAnsi="宋体" w:cs="宋体"/>
          <w:color w:val="000000" w:themeColor="text1"/>
          <w14:textFill>
            <w14:solidFill>
              <w14:schemeClr w14:val="tx1"/>
            </w14:solidFill>
          </w14:textFill>
        </w:rPr>
      </w:pPr>
      <w:bookmarkStart w:id="136" w:name="_Toc246996340"/>
      <w:bookmarkStart w:id="137" w:name="_Toc2000409"/>
      <w:bookmarkStart w:id="138" w:name="_Toc152045772"/>
      <w:bookmarkStart w:id="139" w:name="_Toc179632789"/>
      <w:bookmarkStart w:id="140" w:name="_Toc514858705"/>
      <w:bookmarkStart w:id="141" w:name="_Toc24503"/>
      <w:bookmarkStart w:id="142" w:name="_Toc144974834"/>
      <w:bookmarkStart w:id="143" w:name="_Toc246997083"/>
      <w:bookmarkStart w:id="144" w:name="_Toc247085855"/>
      <w:bookmarkStart w:id="145" w:name="_Toc152042554"/>
      <w:bookmarkStart w:id="146" w:name="_Toc246997097"/>
      <w:bookmarkStart w:id="147" w:name="_Toc179632806"/>
      <w:bookmarkStart w:id="148" w:name="_Toc246996354"/>
      <w:bookmarkStart w:id="149" w:name="_Toc152042575"/>
      <w:bookmarkStart w:id="150" w:name="_Toc144974855"/>
      <w:bookmarkStart w:id="151" w:name="_Toc152045786"/>
      <w:bookmarkStart w:id="152" w:name="_Toc247085872"/>
      <w:r>
        <w:rPr>
          <w:rFonts w:hint="eastAsia" w:ascii="宋体" w:hAnsi="宋体" w:cs="宋体"/>
          <w:color w:val="000000" w:themeColor="text1"/>
          <w14:textFill>
            <w14:solidFill>
              <w14:schemeClr w14:val="tx1"/>
            </w14:solidFill>
          </w14:textFill>
        </w:rPr>
        <w:t>第五章  工程量清单</w:t>
      </w:r>
      <w:bookmarkEnd w:id="136"/>
      <w:bookmarkEnd w:id="137"/>
      <w:bookmarkEnd w:id="138"/>
      <w:bookmarkEnd w:id="139"/>
      <w:bookmarkEnd w:id="140"/>
      <w:bookmarkEnd w:id="141"/>
      <w:bookmarkEnd w:id="142"/>
      <w:bookmarkEnd w:id="143"/>
      <w:bookmarkEnd w:id="144"/>
      <w:bookmarkEnd w:id="145"/>
    </w:p>
    <w:p>
      <w:pPr>
        <w:ind w:firstLine="420"/>
        <w:jc w:val="left"/>
        <w:rPr>
          <w:rFonts w:ascii="宋体" w:hAnsi="宋体" w:cs="宋体"/>
          <w:b/>
          <w:color w:val="000000" w:themeColor="text1"/>
          <w14:textFill>
            <w14:solidFill>
              <w14:schemeClr w14:val="tx1"/>
            </w14:solidFill>
          </w14:textFill>
        </w:rPr>
      </w:pPr>
      <w:bookmarkStart w:id="153" w:name="_Toc152042571"/>
      <w:bookmarkStart w:id="154" w:name="_Toc247085866"/>
      <w:bookmarkStart w:id="155" w:name="_Toc152045782"/>
      <w:bookmarkStart w:id="156" w:name="_Toc179632800"/>
      <w:bookmarkStart w:id="157" w:name="_Toc246996350"/>
      <w:bookmarkStart w:id="158" w:name="_Toc247096438"/>
      <w:bookmarkStart w:id="159" w:name="_Toc144974851"/>
      <w:bookmarkStart w:id="160" w:name="_Toc246997093"/>
    </w:p>
    <w:p>
      <w:pPr>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详见竞争性比选文件附件。</w:t>
      </w:r>
    </w:p>
    <w:p>
      <w:pPr>
        <w:jc w:val="center"/>
        <w:rPr>
          <w:rFonts w:ascii="宋体" w:hAnsi="宋体" w:cs="宋体"/>
          <w:b/>
          <w:color w:val="000000" w:themeColor="text1"/>
          <w14:textFill>
            <w14:solidFill>
              <w14:schemeClr w14:val="tx1"/>
            </w14:solidFill>
          </w14:textFill>
        </w:rPr>
      </w:pPr>
    </w:p>
    <w:p>
      <w:pPr>
        <w:jc w:val="left"/>
        <w:rPr>
          <w:rFonts w:ascii="宋体" w:hAnsi="宋体" w:cs="宋体"/>
          <w:color w:val="000000" w:themeColor="text1"/>
          <w:szCs w:val="2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sectPr>
          <w:footerReference r:id="rId10" w:type="default"/>
          <w:pgSz w:w="11906" w:h="16838"/>
          <w:pgMar w:top="1440" w:right="1800" w:bottom="1440" w:left="1800" w:header="851" w:footer="992" w:gutter="0"/>
          <w:cols w:space="720" w:num="1"/>
          <w:titlePg/>
          <w:docGrid w:type="lines" w:linePitch="312" w:charSpace="0"/>
        </w:sectPr>
      </w:pPr>
    </w:p>
    <w:p>
      <w:pPr>
        <w:pStyle w:val="2"/>
        <w:spacing w:before="0" w:after="0" w:line="360" w:lineRule="auto"/>
        <w:jc w:val="center"/>
        <w:rPr>
          <w:rFonts w:ascii="宋体" w:hAnsi="宋体" w:cs="宋体"/>
          <w:color w:val="000000" w:themeColor="text1"/>
          <w14:textFill>
            <w14:solidFill>
              <w14:schemeClr w14:val="tx1"/>
            </w14:solidFill>
          </w14:textFill>
        </w:rPr>
      </w:pPr>
      <w:bookmarkStart w:id="161" w:name="_Toc503951042"/>
      <w:bookmarkStart w:id="162" w:name="_Toc447827048"/>
      <w:bookmarkStart w:id="163" w:name="_Toc2000410"/>
      <w:bookmarkStart w:id="164" w:name="_Toc514858706"/>
      <w:bookmarkStart w:id="165" w:name="_Toc513633963"/>
      <w:bookmarkStart w:id="166" w:name="_Toc12440"/>
      <w:r>
        <w:rPr>
          <w:rFonts w:hint="eastAsia" w:ascii="宋体" w:hAnsi="宋体" w:cs="宋体"/>
          <w:color w:val="000000" w:themeColor="text1"/>
          <w14:textFill>
            <w14:solidFill>
              <w14:schemeClr w14:val="tx1"/>
            </w14:solidFill>
          </w14:textFill>
        </w:rPr>
        <w:t>第六章  图  纸</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pPr>
        <w:jc w:val="center"/>
        <w:rPr>
          <w:rFonts w:ascii="宋体" w:hAnsi="宋体" w:cs="宋体"/>
          <w:b/>
          <w:color w:val="000000" w:themeColor="text1"/>
          <w14:textFill>
            <w14:solidFill>
              <w14:schemeClr w14:val="tx1"/>
            </w14:solidFill>
          </w14:textFill>
        </w:rPr>
      </w:pPr>
      <w:r>
        <w:rPr>
          <w:rFonts w:hint="eastAsia" w:ascii="宋体" w:hAnsi="宋体" w:cs="宋体"/>
          <w:b/>
          <w:kern w:val="0"/>
          <w:sz w:val="24"/>
          <w:highlight w:val="none"/>
          <w:lang w:val="en-US" w:eastAsia="zh-CN"/>
        </w:rPr>
        <w:t>无</w:t>
      </w:r>
      <w:r>
        <w:rPr>
          <w:rFonts w:hint="eastAsia" w:ascii="宋体" w:hAnsi="宋体" w:cs="宋体"/>
          <w:b/>
          <w:kern w:val="0"/>
          <w:sz w:val="24"/>
          <w:highlight w:val="none"/>
        </w:rPr>
        <w:t>。</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167" w:name="_Toc152045785"/>
      <w:bookmarkStart w:id="168" w:name="_Toc144974854"/>
      <w:bookmarkStart w:id="169" w:name="_Toc152042574"/>
    </w:p>
    <w:p>
      <w:pPr>
        <w:pStyle w:val="2"/>
        <w:numPr>
          <w:ilvl w:val="0"/>
          <w:numId w:val="2"/>
        </w:numPr>
        <w:spacing w:before="0" w:after="0" w:line="360" w:lineRule="auto"/>
        <w:jc w:val="center"/>
        <w:rPr>
          <w:rFonts w:hint="eastAsia" w:ascii="宋体" w:hAnsi="宋体" w:cs="宋体"/>
          <w:color w:val="000000" w:themeColor="text1"/>
          <w14:textFill>
            <w14:solidFill>
              <w14:schemeClr w14:val="tx1"/>
            </w14:solidFill>
          </w14:textFill>
        </w:rPr>
      </w:pPr>
      <w:bookmarkStart w:id="170" w:name="_Toc514858707"/>
      <w:bookmarkStart w:id="171" w:name="_Toc447827049"/>
      <w:bookmarkStart w:id="172" w:name="_Toc503951043"/>
      <w:bookmarkStart w:id="173" w:name="_Toc2000411"/>
      <w:bookmarkStart w:id="174" w:name="_Toc513633964"/>
      <w:bookmarkStart w:id="175" w:name="_Toc247085870"/>
      <w:bookmarkStart w:id="176" w:name="_Toc179632804"/>
      <w:bookmarkStart w:id="177" w:name="_Toc10887"/>
      <w:bookmarkStart w:id="178" w:name="_Toc246996353"/>
      <w:bookmarkStart w:id="179" w:name="_Toc246997096"/>
      <w:r>
        <w:rPr>
          <w:rFonts w:hint="eastAsia" w:ascii="宋体" w:hAnsi="宋体" w:cs="宋体"/>
          <w:color w:val="000000" w:themeColor="text1"/>
          <w14:textFill>
            <w14:solidFill>
              <w14:schemeClr w14:val="tx1"/>
            </w14:solidFill>
          </w14:textFill>
        </w:rPr>
        <w:t xml:space="preserve"> 技术标准和工作要求</w:t>
      </w:r>
      <w:bookmarkEnd w:id="167"/>
      <w:bookmarkEnd w:id="168"/>
      <w:bookmarkEnd w:id="169"/>
      <w:bookmarkEnd w:id="170"/>
      <w:bookmarkEnd w:id="171"/>
      <w:bookmarkEnd w:id="172"/>
      <w:bookmarkEnd w:id="173"/>
      <w:bookmarkEnd w:id="174"/>
      <w:bookmarkEnd w:id="175"/>
      <w:bookmarkEnd w:id="176"/>
      <w:bookmarkEnd w:id="177"/>
      <w:bookmarkEnd w:id="178"/>
      <w:bookmarkEnd w:id="179"/>
    </w:p>
    <w:p>
      <w:pPr>
        <w:numPr>
          <w:ilvl w:val="0"/>
          <w:numId w:val="0"/>
        </w:numPr>
      </w:pPr>
    </w:p>
    <w:bookmarkEnd w:id="146"/>
    <w:bookmarkEnd w:id="147"/>
    <w:bookmarkEnd w:id="148"/>
    <w:bookmarkEnd w:id="149"/>
    <w:bookmarkEnd w:id="150"/>
    <w:bookmarkEnd w:id="151"/>
    <w:bookmarkEnd w:id="152"/>
    <w:p>
      <w:pPr>
        <w:jc w:val="center"/>
        <w:rPr>
          <w:rFonts w:hint="default" w:ascii="宋体" w:hAnsi="宋体" w:eastAsia="宋体" w:cs="宋体"/>
          <w:b/>
          <w:color w:val="000000" w:themeColor="text1"/>
          <w:kern w:val="0"/>
          <w:sz w:val="24"/>
          <w:lang w:val="en-US" w:eastAsia="zh-CN"/>
          <w14:textFill>
            <w14:solidFill>
              <w14:schemeClr w14:val="tx1"/>
            </w14:solidFill>
          </w14:textFill>
        </w:rPr>
      </w:pPr>
      <w:bookmarkStart w:id="180" w:name="_Toc514858708"/>
      <w:bookmarkStart w:id="181" w:name="_Toc2000412"/>
      <w:bookmarkStart w:id="182" w:name="_Toc12089"/>
      <w:bookmarkStart w:id="183" w:name="_Toc514430114"/>
      <w:bookmarkStart w:id="184" w:name="_Toc246996355"/>
      <w:bookmarkStart w:id="185" w:name="_Toc152042576"/>
      <w:bookmarkStart w:id="186" w:name="_Toc144974856"/>
      <w:bookmarkStart w:id="187" w:name="_Toc179632807"/>
      <w:bookmarkStart w:id="188" w:name="_Toc507320039"/>
      <w:bookmarkStart w:id="189" w:name="_Toc247085873"/>
      <w:bookmarkStart w:id="190" w:name="_Toc246997098"/>
      <w:bookmarkStart w:id="191" w:name="_Toc152045787"/>
      <w:r>
        <w:rPr>
          <w:rFonts w:hint="eastAsia" w:ascii="宋体" w:hAnsi="宋体" w:eastAsia="宋体" w:cs="宋体"/>
          <w:b/>
          <w:color w:val="000000" w:themeColor="text1"/>
          <w:kern w:val="0"/>
          <w:sz w:val="24"/>
          <w:lang w:val="en-US" w:eastAsia="zh-CN"/>
          <w14:textFill>
            <w14:solidFill>
              <w14:schemeClr w14:val="tx1"/>
            </w14:solidFill>
          </w14:textFill>
        </w:rPr>
        <w:t>详见附件</w:t>
      </w:r>
    </w:p>
    <w:p>
      <w:pPr>
        <w:rPr>
          <w:rFonts w:hint="eastAsia" w:ascii="宋体" w:hAnsi="宋体" w:cs="宋体"/>
          <w:color w:val="000000" w:themeColor="text1"/>
          <w14:textFill>
            <w14:solidFill>
              <w14:schemeClr w14:val="tx1"/>
            </w14:solidFill>
          </w14:textFill>
        </w:rPr>
      </w:pPr>
    </w:p>
    <w:p>
      <w:pPr>
        <w:pStyle w:val="8"/>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19"/>
        <w:rPr>
          <w:rFonts w:hint="eastAsia" w:ascii="宋体" w:hAnsi="宋体" w:cs="宋体"/>
          <w:color w:val="000000" w:themeColor="text1"/>
          <w14:textFill>
            <w14:solidFill>
              <w14:schemeClr w14:val="tx1"/>
            </w14:solidFill>
          </w14:textFill>
        </w:rPr>
      </w:pPr>
    </w:p>
    <w:p>
      <w:pPr>
        <w:pStyle w:val="19"/>
        <w:rPr>
          <w:rFonts w:hint="eastAsia" w:ascii="宋体" w:hAnsi="宋体" w:cs="宋体"/>
          <w:color w:val="000000" w:themeColor="text1"/>
          <w14:textFill>
            <w14:solidFill>
              <w14:schemeClr w14:val="tx1"/>
            </w14:solidFill>
          </w14:textFill>
        </w:rPr>
      </w:pPr>
    </w:p>
    <w:p>
      <w:pPr>
        <w:pStyle w:val="19"/>
        <w:rPr>
          <w:rFonts w:hint="eastAsia" w:ascii="宋体" w:hAnsi="宋体" w:cs="宋体"/>
          <w:color w:val="000000" w:themeColor="text1"/>
          <w14:textFill>
            <w14:solidFill>
              <w14:schemeClr w14:val="tx1"/>
            </w14:solidFill>
          </w14:textFill>
        </w:rPr>
      </w:pPr>
    </w:p>
    <w:p>
      <w:pPr>
        <w:pStyle w:val="19"/>
        <w:rPr>
          <w:rFonts w:hint="eastAsia" w:ascii="宋体" w:hAnsi="宋体" w:cs="宋体"/>
          <w:color w:val="000000" w:themeColor="text1"/>
          <w14:textFill>
            <w14:solidFill>
              <w14:schemeClr w14:val="tx1"/>
            </w14:solidFill>
          </w14:textFill>
        </w:rPr>
      </w:pPr>
    </w:p>
    <w:p>
      <w:pPr>
        <w:pStyle w:val="19"/>
        <w:rPr>
          <w:rFonts w:hint="eastAsia" w:ascii="宋体" w:hAnsi="宋体" w:cs="宋体"/>
          <w:color w:val="000000" w:themeColor="text1"/>
          <w14:textFill>
            <w14:solidFill>
              <w14:schemeClr w14:val="tx1"/>
            </w14:solidFill>
          </w14:textFill>
        </w:rPr>
      </w:pPr>
    </w:p>
    <w:p>
      <w:pPr>
        <w:pStyle w:val="19"/>
        <w:rPr>
          <w:rFonts w:hint="eastAsia" w:ascii="宋体" w:hAnsi="宋体" w:cs="宋体"/>
          <w:color w:val="000000" w:themeColor="text1"/>
          <w14:textFill>
            <w14:solidFill>
              <w14:schemeClr w14:val="tx1"/>
            </w14:solidFill>
          </w14:textFill>
        </w:rPr>
      </w:pPr>
    </w:p>
    <w:p>
      <w:pPr>
        <w:pStyle w:val="19"/>
        <w:rPr>
          <w:rFonts w:hint="eastAsia" w:ascii="宋体" w:hAnsi="宋体" w:cs="宋体"/>
          <w:color w:val="000000" w:themeColor="text1"/>
          <w14:textFill>
            <w14:solidFill>
              <w14:schemeClr w14:val="tx1"/>
            </w14:solidFill>
          </w14:textFill>
        </w:rPr>
      </w:pPr>
    </w:p>
    <w:p>
      <w:pPr>
        <w:pStyle w:val="19"/>
        <w:rPr>
          <w:rFonts w:hint="eastAsia" w:ascii="宋体" w:hAnsi="宋体" w:cs="宋体"/>
          <w:color w:val="000000" w:themeColor="text1"/>
          <w14:textFill>
            <w14:solidFill>
              <w14:schemeClr w14:val="tx1"/>
            </w14:solidFill>
          </w14:textFill>
        </w:rPr>
      </w:pPr>
    </w:p>
    <w:p>
      <w:pPr>
        <w:pStyle w:val="19"/>
        <w:rPr>
          <w:rFonts w:hint="eastAsia" w:ascii="宋体" w:hAnsi="宋体" w:cs="宋体"/>
          <w:color w:val="000000" w:themeColor="text1"/>
          <w14:textFill>
            <w14:solidFill>
              <w14:schemeClr w14:val="tx1"/>
            </w14:solidFill>
          </w14:textFill>
        </w:rPr>
      </w:pPr>
    </w:p>
    <w:p>
      <w:pPr>
        <w:pStyle w:val="19"/>
        <w:rPr>
          <w:rFonts w:hint="eastAsia" w:ascii="宋体" w:hAnsi="宋体" w:cs="宋体"/>
          <w:color w:val="000000" w:themeColor="text1"/>
          <w14:textFill>
            <w14:solidFill>
              <w14:schemeClr w14:val="tx1"/>
            </w14:solidFill>
          </w14:textFill>
        </w:rPr>
      </w:pPr>
    </w:p>
    <w:p>
      <w:pPr>
        <w:pStyle w:val="19"/>
        <w:rPr>
          <w:rFonts w:hint="eastAsia" w:ascii="宋体" w:hAnsi="宋体" w:cs="宋体"/>
          <w:color w:val="000000" w:themeColor="text1"/>
          <w14:textFill>
            <w14:solidFill>
              <w14:schemeClr w14:val="tx1"/>
            </w14:solidFill>
          </w14:textFill>
        </w:rPr>
      </w:pPr>
    </w:p>
    <w:p>
      <w:pPr>
        <w:pStyle w:val="19"/>
        <w:rPr>
          <w:rFonts w:hint="eastAsia" w:ascii="宋体" w:hAnsi="宋体" w:cs="宋体"/>
          <w:color w:val="000000" w:themeColor="text1"/>
          <w14:textFill>
            <w14:solidFill>
              <w14:schemeClr w14:val="tx1"/>
            </w14:solidFill>
          </w14:textFill>
        </w:rPr>
      </w:pPr>
    </w:p>
    <w:p>
      <w:pPr>
        <w:pStyle w:val="19"/>
        <w:rPr>
          <w:rFonts w:hint="eastAsia" w:ascii="宋体" w:hAnsi="宋体" w:cs="宋体"/>
          <w:color w:val="000000" w:themeColor="text1"/>
          <w14:textFill>
            <w14:solidFill>
              <w14:schemeClr w14:val="tx1"/>
            </w14:solidFill>
          </w14:textFill>
        </w:rPr>
      </w:pPr>
    </w:p>
    <w:p>
      <w:pPr>
        <w:pStyle w:val="19"/>
        <w:rPr>
          <w:rFonts w:hint="eastAsia" w:ascii="宋体" w:hAnsi="宋体" w:cs="宋体"/>
          <w:color w:val="000000" w:themeColor="text1"/>
          <w14:textFill>
            <w14:solidFill>
              <w14:schemeClr w14:val="tx1"/>
            </w14:solidFill>
          </w14:textFill>
        </w:rPr>
      </w:pPr>
    </w:p>
    <w:p>
      <w:pPr>
        <w:pStyle w:val="19"/>
        <w:rPr>
          <w:rFonts w:hint="eastAsia" w:ascii="宋体" w:hAnsi="宋体" w:cs="宋体"/>
          <w:color w:val="000000" w:themeColor="text1"/>
          <w14:textFill>
            <w14:solidFill>
              <w14:schemeClr w14:val="tx1"/>
            </w14:solidFill>
          </w14:textFill>
        </w:rPr>
      </w:pPr>
    </w:p>
    <w:p>
      <w:pPr>
        <w:pStyle w:val="19"/>
        <w:rPr>
          <w:rFonts w:hint="eastAsia" w:ascii="宋体" w:hAnsi="宋体" w:cs="宋体"/>
          <w:color w:val="000000" w:themeColor="text1"/>
          <w14:textFill>
            <w14:solidFill>
              <w14:schemeClr w14:val="tx1"/>
            </w14:solidFill>
          </w14:textFill>
        </w:rPr>
      </w:pPr>
    </w:p>
    <w:p>
      <w:pPr>
        <w:pStyle w:val="19"/>
        <w:rPr>
          <w:rFonts w:hint="eastAsia" w:ascii="宋体" w:hAnsi="宋体" w:cs="宋体"/>
          <w:color w:val="000000" w:themeColor="text1"/>
          <w14:textFill>
            <w14:solidFill>
              <w14:schemeClr w14:val="tx1"/>
            </w14:solidFill>
          </w14:textFill>
        </w:rPr>
      </w:pPr>
    </w:p>
    <w:p>
      <w:pPr>
        <w:pStyle w:val="19"/>
        <w:rPr>
          <w:rFonts w:hint="eastAsia" w:ascii="宋体" w:hAnsi="宋体" w:cs="宋体"/>
          <w:color w:val="000000" w:themeColor="text1"/>
          <w14:textFill>
            <w14:solidFill>
              <w14:schemeClr w14:val="tx1"/>
            </w14:solidFill>
          </w14:textFill>
        </w:rPr>
      </w:pPr>
    </w:p>
    <w:p>
      <w:pPr>
        <w:pStyle w:val="19"/>
        <w:rPr>
          <w:rFonts w:hint="eastAsia" w:ascii="宋体" w:hAnsi="宋体" w:cs="宋体"/>
          <w:color w:val="000000" w:themeColor="text1"/>
          <w14:textFill>
            <w14:solidFill>
              <w14:schemeClr w14:val="tx1"/>
            </w14:solidFill>
          </w14:textFill>
        </w:rPr>
      </w:pPr>
    </w:p>
    <w:p>
      <w:pPr>
        <w:pStyle w:val="19"/>
        <w:rPr>
          <w:rFonts w:hint="eastAsia" w:ascii="宋体" w:hAnsi="宋体" w:cs="宋体"/>
          <w:color w:val="000000" w:themeColor="text1"/>
          <w14:textFill>
            <w14:solidFill>
              <w14:schemeClr w14:val="tx1"/>
            </w14:solidFill>
          </w14:textFill>
        </w:rPr>
      </w:pPr>
    </w:p>
    <w:p>
      <w:pPr>
        <w:pStyle w:val="19"/>
        <w:rPr>
          <w:rFonts w:hint="eastAsia" w:ascii="宋体" w:hAnsi="宋体" w:cs="宋体"/>
          <w:color w:val="000000" w:themeColor="text1"/>
          <w14:textFill>
            <w14:solidFill>
              <w14:schemeClr w14:val="tx1"/>
            </w14:solidFill>
          </w14:textFill>
        </w:rPr>
      </w:pPr>
    </w:p>
    <w:p>
      <w:pPr>
        <w:pStyle w:val="19"/>
        <w:rPr>
          <w:rFonts w:hint="eastAsia" w:ascii="宋体" w:hAnsi="宋体" w:cs="宋体"/>
          <w:color w:val="000000" w:themeColor="text1"/>
          <w14:textFill>
            <w14:solidFill>
              <w14:schemeClr w14:val="tx1"/>
            </w14:solidFill>
          </w14:textFill>
        </w:rPr>
      </w:pPr>
    </w:p>
    <w:p>
      <w:pPr>
        <w:pStyle w:val="19"/>
        <w:rPr>
          <w:rFonts w:hint="eastAsia" w:ascii="宋体" w:hAnsi="宋体" w:cs="宋体"/>
          <w:color w:val="000000" w:themeColor="text1"/>
          <w14:textFill>
            <w14:solidFill>
              <w14:schemeClr w14:val="tx1"/>
            </w14:solidFill>
          </w14:textFill>
        </w:rPr>
      </w:pPr>
    </w:p>
    <w:p>
      <w:pPr>
        <w:pStyle w:val="19"/>
        <w:rPr>
          <w:rFonts w:hint="eastAsia" w:ascii="宋体" w:hAnsi="宋体" w:cs="宋体"/>
          <w:color w:val="000000" w:themeColor="text1"/>
          <w14:textFill>
            <w14:solidFill>
              <w14:schemeClr w14:val="tx1"/>
            </w14:solidFill>
          </w14:textFill>
        </w:rPr>
      </w:pPr>
    </w:p>
    <w:p>
      <w:pPr>
        <w:pStyle w:val="19"/>
        <w:rPr>
          <w:rFonts w:hint="eastAsia" w:ascii="宋体" w:hAnsi="宋体" w:cs="宋体"/>
          <w:color w:val="000000" w:themeColor="text1"/>
          <w14:textFill>
            <w14:solidFill>
              <w14:schemeClr w14:val="tx1"/>
            </w14:solidFill>
          </w14:textFill>
        </w:rPr>
      </w:pPr>
    </w:p>
    <w:p>
      <w:pPr>
        <w:pStyle w:val="2"/>
        <w:spacing w:before="0" w:after="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第八章  </w:t>
      </w:r>
      <w:bookmarkEnd w:id="180"/>
      <w:bookmarkEnd w:id="181"/>
      <w:bookmarkEnd w:id="182"/>
      <w:bookmarkEnd w:id="183"/>
      <w:r>
        <w:rPr>
          <w:rFonts w:hint="eastAsia" w:ascii="宋体" w:hAnsi="宋体" w:cs="宋体"/>
          <w:color w:val="000000" w:themeColor="text1"/>
          <w14:textFill>
            <w14:solidFill>
              <w14:schemeClr w14:val="tx1"/>
            </w14:solidFill>
          </w14:textFill>
        </w:rPr>
        <w:t>合同范本</w:t>
      </w:r>
    </w:p>
    <w:p>
      <w:pPr>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b/>
          <w:kern w:val="0"/>
          <w:sz w:val="24"/>
          <w:highlight w:val="none"/>
        </w:rPr>
        <w:t>详见竞争性比选文件附件。</w:t>
      </w: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sectPr>
          <w:pgSz w:w="11906" w:h="16838"/>
          <w:pgMar w:top="1440" w:right="1803" w:bottom="1440" w:left="1803" w:header="851" w:footer="992" w:gutter="0"/>
          <w:cols w:space="720" w:num="1"/>
          <w:titlePg/>
          <w:docGrid w:type="lines" w:linePitch="319" w:charSpace="0"/>
        </w:sectPr>
      </w:pPr>
      <w:bookmarkStart w:id="192" w:name="_Toc513633965"/>
    </w:p>
    <w:p>
      <w:pPr>
        <w:pStyle w:val="2"/>
        <w:spacing w:before="0" w:after="0" w:line="360" w:lineRule="auto"/>
        <w:jc w:val="center"/>
        <w:rPr>
          <w:rFonts w:ascii="宋体" w:hAnsi="宋体" w:cs="宋体"/>
          <w:color w:val="000000" w:themeColor="text1"/>
          <w14:textFill>
            <w14:solidFill>
              <w14:schemeClr w14:val="tx1"/>
            </w14:solidFill>
          </w14:textFill>
        </w:rPr>
      </w:pPr>
      <w:bookmarkStart w:id="193" w:name="_Toc24853"/>
      <w:bookmarkStart w:id="194" w:name="_Toc514858709"/>
      <w:bookmarkStart w:id="195" w:name="_Toc2000413"/>
      <w:r>
        <w:rPr>
          <w:rFonts w:hint="eastAsia" w:ascii="宋体" w:hAnsi="宋体" w:cs="宋体"/>
          <w:color w:val="000000" w:themeColor="text1"/>
          <w14:textFill>
            <w14:solidFill>
              <w14:schemeClr w14:val="tx1"/>
            </w14:solidFill>
          </w14:textFill>
        </w:rPr>
        <w:t>第九章  竞争性比选响应文件格式</w:t>
      </w:r>
      <w:bookmarkEnd w:id="192"/>
      <w:bookmarkEnd w:id="193"/>
      <w:bookmarkEnd w:id="194"/>
      <w:bookmarkEnd w:id="195"/>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sectPr>
          <w:pgSz w:w="11906" w:h="16838"/>
          <w:pgMar w:top="1440" w:right="1803" w:bottom="1440" w:left="1803" w:header="851" w:footer="992" w:gutter="0"/>
          <w:cols w:space="720" w:num="1"/>
          <w:titlePg/>
          <w:docGrid w:type="lines" w:linePitch="319" w:charSpace="0"/>
        </w:sectPr>
      </w:pPr>
    </w:p>
    <w:p>
      <w:pP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sz w:val="52"/>
          <w:szCs w:val="52"/>
          <w:u w:val="single"/>
          <w14:textFill>
            <w14:solidFill>
              <w14:schemeClr w14:val="tx1"/>
            </w14:solidFill>
          </w14:textFill>
        </w:rPr>
      </w:pPr>
      <w:bookmarkStart w:id="196" w:name="_Toc513646738"/>
      <w:bookmarkStart w:id="197" w:name="_Toc513633967"/>
      <w:bookmarkStart w:id="198" w:name="_Toc503971829"/>
      <w:bookmarkStart w:id="199" w:name="_Toc503951046"/>
      <w:bookmarkStart w:id="200" w:name="_Toc514858710"/>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sz w:val="52"/>
          <w:szCs w:val="52"/>
          <w:u w:val="single"/>
          <w14:textFill>
            <w14:solidFill>
              <w14:schemeClr w14:val="tx1"/>
            </w14:solidFill>
          </w14:textFill>
        </w:rPr>
        <w:t>（项目名称）</w:t>
      </w:r>
      <w:bookmarkEnd w:id="196"/>
      <w:bookmarkEnd w:id="197"/>
      <w:bookmarkEnd w:id="198"/>
      <w:bookmarkEnd w:id="199"/>
      <w:bookmarkEnd w:id="200"/>
      <w:r>
        <w:rPr>
          <w:rFonts w:hint="eastAsia" w:ascii="宋体" w:hAnsi="宋体" w:cs="宋体"/>
          <w:color w:val="000000" w:themeColor="text1"/>
          <w:sz w:val="52"/>
          <w:szCs w:val="52"/>
          <w:u w:val="single"/>
          <w14:textFill>
            <w14:solidFill>
              <w14:schemeClr w14:val="tx1"/>
            </w14:solidFill>
          </w14:textFill>
        </w:rPr>
        <w:t xml:space="preserve"> </w:t>
      </w:r>
    </w:p>
    <w:p>
      <w:pPr>
        <w:rPr>
          <w:rFonts w:ascii="宋体" w:hAnsi="宋体" w:cs="宋体"/>
          <w:color w:val="000000" w:themeColor="text1"/>
          <w:sz w:val="20"/>
          <w:szCs w:val="20"/>
          <w14:textFill>
            <w14:solidFill>
              <w14:schemeClr w14:val="tx1"/>
            </w14:solidFill>
          </w14:textFill>
        </w:rPr>
      </w:pPr>
    </w:p>
    <w:p>
      <w:pPr>
        <w:jc w:val="center"/>
        <w:rPr>
          <w:rFonts w:ascii="宋体" w:hAnsi="宋体" w:cs="宋体"/>
          <w:color w:val="000000" w:themeColor="text1"/>
          <w:sz w:val="44"/>
          <w:szCs w:val="44"/>
          <w14:textFill>
            <w14:solidFill>
              <w14:schemeClr w14:val="tx1"/>
            </w14:solidFill>
          </w14:textFill>
        </w:rPr>
      </w:pPr>
      <w:r>
        <w:rPr>
          <w:rFonts w:hint="eastAsia" w:ascii="宋体" w:hAnsi="宋体" w:cs="宋体"/>
          <w:color w:val="000000" w:themeColor="text1"/>
          <w:sz w:val="44"/>
          <w:szCs w:val="44"/>
          <w14:textFill>
            <w14:solidFill>
              <w14:schemeClr w14:val="tx1"/>
            </w14:solidFill>
          </w14:textFill>
        </w:rPr>
        <w:t xml:space="preserve"> </w:t>
      </w: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jc w:val="center"/>
        <w:rPr>
          <w:rFonts w:ascii="宋体" w:hAnsi="宋体" w:cs="宋体"/>
          <w:b/>
          <w:color w:val="000000" w:themeColor="text1"/>
          <w:sz w:val="72"/>
          <w:szCs w:val="44"/>
          <w14:textFill>
            <w14:solidFill>
              <w14:schemeClr w14:val="tx1"/>
            </w14:solidFill>
          </w14:textFill>
        </w:rPr>
      </w:pPr>
      <w:r>
        <w:rPr>
          <w:rFonts w:hint="eastAsia" w:ascii="宋体" w:hAnsi="宋体" w:cs="宋体"/>
          <w:b/>
          <w:color w:val="000000" w:themeColor="text1"/>
          <w:sz w:val="72"/>
          <w:szCs w:val="44"/>
          <w14:textFill>
            <w14:solidFill>
              <w14:schemeClr w14:val="tx1"/>
            </w14:solidFill>
          </w14:textFill>
        </w:rPr>
        <w:t>竞争性比选响应文件</w:t>
      </w:r>
    </w:p>
    <w:p>
      <w:pPr>
        <w:jc w:val="center"/>
        <w:rPr>
          <w:rFonts w:ascii="宋体" w:hAnsi="宋体" w:cs="宋体"/>
          <w:b/>
          <w:color w:val="000000" w:themeColor="text1"/>
          <w:sz w:val="32"/>
          <w:szCs w:val="32"/>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pStyle w:val="14"/>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4"/>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4"/>
        <w:rPr>
          <w:color w:val="000000" w:themeColor="text1"/>
          <w14:textFill>
            <w14:solidFill>
              <w14:schemeClr w14:val="tx1"/>
            </w14:solidFill>
          </w14:textFill>
        </w:rPr>
      </w:pPr>
    </w:p>
    <w:p>
      <w:pPr>
        <w:jc w:val="center"/>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报价人：</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（盖单位鲜公章）</w:t>
      </w:r>
    </w:p>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法定代表人或其委托代理人：</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（签字）</w:t>
      </w:r>
    </w:p>
    <w:p>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日</w:t>
      </w: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pStyle w:val="3"/>
        <w:jc w:val="center"/>
        <w:rPr>
          <w:rFonts w:ascii="宋体" w:hAnsi="宋体" w:eastAsia="宋体" w:cs="宋体"/>
          <w:color w:val="000000" w:themeColor="text1"/>
          <w14:textFill>
            <w14:solidFill>
              <w14:schemeClr w14:val="tx1"/>
            </w14:solidFill>
          </w14:textFill>
        </w:rPr>
      </w:pPr>
      <w:bookmarkStart w:id="201" w:name="_Toc1368"/>
      <w:bookmarkStart w:id="202" w:name="_Toc28780"/>
      <w:bookmarkStart w:id="203" w:name="_Toc5459"/>
      <w:bookmarkStart w:id="204" w:name="_Toc11329273"/>
      <w:r>
        <w:rPr>
          <w:rFonts w:hint="eastAsia" w:ascii="宋体" w:hAnsi="宋体" w:eastAsia="宋体" w:cs="宋体"/>
          <w:color w:val="000000" w:themeColor="text1"/>
          <w14:textFill>
            <w14:solidFill>
              <w14:schemeClr w14:val="tx1"/>
            </w14:solidFill>
          </w14:textFill>
        </w:rPr>
        <w:t>目    录</w:t>
      </w:r>
      <w:bookmarkEnd w:id="184"/>
      <w:bookmarkEnd w:id="185"/>
      <w:bookmarkEnd w:id="186"/>
      <w:bookmarkEnd w:id="187"/>
      <w:bookmarkEnd w:id="188"/>
      <w:bookmarkEnd w:id="189"/>
      <w:bookmarkEnd w:id="190"/>
      <w:bookmarkEnd w:id="191"/>
      <w:bookmarkEnd w:id="201"/>
      <w:bookmarkEnd w:id="202"/>
      <w:bookmarkEnd w:id="203"/>
      <w:bookmarkEnd w:id="204"/>
    </w:p>
    <w:p>
      <w:pPr>
        <w:numPr>
          <w:ilvl w:val="0"/>
          <w:numId w:val="3"/>
        </w:num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竞争性响应声明书</w:t>
      </w:r>
    </w:p>
    <w:p>
      <w:pPr>
        <w:numPr>
          <w:ilvl w:val="0"/>
          <w:numId w:val="3"/>
        </w:numPr>
        <w:spacing w:line="400" w:lineRule="exac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法定代表人身份证明或法定代表人授权委托书</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三、报价一览表</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四、资格审查资料</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五、</w:t>
      </w:r>
      <w:r>
        <w:rPr>
          <w:rFonts w:hint="eastAsia" w:ascii="宋体" w:hAnsi="宋体" w:cs="宋体"/>
          <w:color w:val="000000" w:themeColor="text1"/>
          <w:szCs w:val="21"/>
          <w14:textFill>
            <w14:solidFill>
              <w14:schemeClr w14:val="tx1"/>
            </w14:solidFill>
          </w14:textFill>
        </w:rPr>
        <w:t>报价人须知前附表规定要求的资料</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六、报价人基本信息及其他材料</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七</w:t>
      </w:r>
      <w:r>
        <w:rPr>
          <w:rFonts w:hint="eastAsia" w:ascii="宋体" w:hAnsi="宋体" w:cs="宋体"/>
          <w:color w:val="000000" w:themeColor="text1"/>
          <w14:textFill>
            <w14:solidFill>
              <w14:schemeClr w14:val="tx1"/>
            </w14:solidFill>
          </w14:textFill>
        </w:rPr>
        <w:t>、工程量清单</w:t>
      </w: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pStyle w:val="8"/>
        <w:rPr>
          <w:rFonts w:ascii="宋体" w:hAnsi="宋体" w:cs="宋体"/>
          <w:color w:val="000000" w:themeColor="text1"/>
          <w14:textFill>
            <w14:solidFill>
              <w14:schemeClr w14:val="tx1"/>
            </w14:solidFill>
          </w14:textFill>
        </w:rPr>
      </w:pPr>
    </w:p>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pStyle w:val="3"/>
        <w:spacing w:before="0" w:after="0" w:line="360" w:lineRule="auto"/>
        <w:jc w:val="center"/>
        <w:rPr>
          <w:rFonts w:ascii="宋体" w:hAnsi="宋体" w:eastAsia="宋体" w:cs="宋体"/>
          <w:color w:val="000000" w:themeColor="text1"/>
          <w:sz w:val="28"/>
          <w14:textFill>
            <w14:solidFill>
              <w14:schemeClr w14:val="tx1"/>
            </w14:solidFill>
          </w14:textFill>
        </w:rPr>
      </w:pPr>
      <w:bookmarkStart w:id="205" w:name="_Toc8870"/>
      <w:bookmarkStart w:id="206" w:name="_Toc11329274"/>
      <w:bookmarkStart w:id="207" w:name="_Toc25874"/>
      <w:bookmarkStart w:id="208" w:name="_Toc29547"/>
      <w:bookmarkStart w:id="209" w:name="_Toc15863"/>
      <w:bookmarkStart w:id="210" w:name="_Toc447827053"/>
      <w:bookmarkStart w:id="211" w:name="_Toc503951048"/>
      <w:bookmarkStart w:id="212" w:name="_Toc513633969"/>
      <w:r>
        <w:rPr>
          <w:rFonts w:hint="eastAsia" w:ascii="宋体" w:hAnsi="宋体" w:eastAsia="宋体" w:cs="宋体"/>
          <w:color w:val="000000" w:themeColor="text1"/>
          <w:sz w:val="28"/>
          <w14:textFill>
            <w14:solidFill>
              <w14:schemeClr w14:val="tx1"/>
            </w14:solidFill>
          </w14:textFill>
        </w:rPr>
        <w:t>一、</w:t>
      </w:r>
      <w:bookmarkEnd w:id="205"/>
      <w:bookmarkEnd w:id="206"/>
      <w:r>
        <w:rPr>
          <w:rFonts w:hint="eastAsia" w:ascii="宋体" w:hAnsi="宋体" w:eastAsia="宋体" w:cs="宋体"/>
          <w:color w:val="000000" w:themeColor="text1"/>
          <w:sz w:val="28"/>
          <w14:textFill>
            <w14:solidFill>
              <w14:schemeClr w14:val="tx1"/>
            </w14:solidFill>
          </w14:textFill>
        </w:rPr>
        <w:t>竞争比选响应声明书</w:t>
      </w:r>
      <w:bookmarkEnd w:id="207"/>
      <w:bookmarkEnd w:id="208"/>
      <w:bookmarkEnd w:id="209"/>
    </w:p>
    <w:p>
      <w:pPr>
        <w:tabs>
          <w:tab w:val="left" w:pos="900"/>
        </w:tabs>
        <w:spacing w:line="30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w:t>
      </w:r>
      <w:r>
        <w:rPr>
          <w:rFonts w:hint="eastAsia" w:ascii="Arial" w:hAnsi="Arial" w:cs="Arial"/>
          <w:b/>
          <w:color w:val="000000" w:themeColor="text1"/>
          <w:sz w:val="24"/>
          <w14:textFill>
            <w14:solidFill>
              <w14:schemeClr w14:val="tx1"/>
            </w14:solidFill>
          </w14:textFill>
        </w:rPr>
        <w:t>致：</w:t>
      </w:r>
      <w:r>
        <w:rPr>
          <w:rFonts w:hint="eastAsia" w:ascii="Arial" w:hAnsi="Arial" w:cs="Arial"/>
          <w:b/>
          <w:bCs/>
          <w:color w:val="000000" w:themeColor="text1"/>
          <w:sz w:val="24"/>
          <w:u w:val="single"/>
          <w14:textFill>
            <w14:solidFill>
              <w14:schemeClr w14:val="tx1"/>
            </w14:solidFill>
          </w14:textFill>
        </w:rPr>
        <w:t>重庆首讯科技股份有限公司</w:t>
      </w:r>
    </w:p>
    <w:p>
      <w:pPr>
        <w:spacing w:line="700" w:lineRule="atLeast"/>
        <w:ind w:firstLine="480" w:firstLineChars="200"/>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根据贵方为</w:t>
      </w:r>
      <w:r>
        <w:rPr>
          <w:rFonts w:hint="eastAsia" w:ascii="Arial" w:hAnsi="Arial" w:cs="Arial"/>
          <w:color w:val="000000" w:themeColor="text1"/>
          <w:sz w:val="24"/>
          <w:u w:val="single"/>
          <w:lang w:val="en-US" w:eastAsia="zh-CN"/>
          <w14:textFill>
            <w14:solidFill>
              <w14:schemeClr w14:val="tx1"/>
            </w14:solidFill>
          </w14:textFill>
        </w:rPr>
        <w:t>巫溪至开州高速公路项目机电工程语音服务平台组件采购</w:t>
      </w:r>
      <w:r>
        <w:rPr>
          <w:rFonts w:hint="eastAsia" w:ascii="Arial" w:hAnsi="Arial" w:cs="Arial"/>
          <w:color w:val="000000" w:themeColor="text1"/>
          <w:sz w:val="24"/>
          <w14:textFill>
            <w14:solidFill>
              <w14:schemeClr w14:val="tx1"/>
            </w14:solidFill>
          </w14:textFill>
        </w:rPr>
        <w:t>竞争比选项目及服务的竞争比选邀请，签字代表</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（全名、职务）</w:t>
      </w:r>
      <w:r>
        <w:rPr>
          <w:rFonts w:hint="eastAsia" w:ascii="Arial" w:hAnsi="Arial" w:cs="Arial"/>
          <w:color w:val="000000" w:themeColor="text1"/>
          <w:sz w:val="24"/>
          <w14:textFill>
            <w14:solidFill>
              <w14:schemeClr w14:val="tx1"/>
            </w14:solidFill>
          </w14:textFill>
        </w:rPr>
        <w:t>经正式授权并代表竞争比选响应单位</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（竞争比选响应单位名称）</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提交报价文件。</w:t>
      </w:r>
    </w:p>
    <w:p>
      <w:pPr>
        <w:spacing w:line="700" w:lineRule="atLeast"/>
        <w:ind w:firstLine="0" w:firstLineChars="0"/>
        <w:rPr>
          <w:rFonts w:ascii="Arial" w:hAnsi="Arial" w:cs="Arial"/>
          <w:color w:val="000000" w:themeColor="text1"/>
          <w:sz w:val="24"/>
          <w:u w:val="single"/>
          <w14:textFill>
            <w14:solidFill>
              <w14:schemeClr w14:val="tx1"/>
            </w14:solidFill>
          </w14:textFill>
        </w:rPr>
      </w:pPr>
      <w:r>
        <w:rPr>
          <w:rFonts w:hint="eastAsia" w:ascii="Arial" w:hAnsi="Arial" w:cs="Arial"/>
          <w:color w:val="000000" w:themeColor="text1"/>
          <w:sz w:val="24"/>
          <w:u w:val="single"/>
          <w14:textFill>
            <w14:solidFill>
              <w14:schemeClr w14:val="tx1"/>
            </w14:solidFill>
          </w14:textFill>
        </w:rPr>
        <w:t>我方愿以报价金额</w:t>
      </w:r>
      <w:r>
        <w:rPr>
          <w:rFonts w:hint="eastAsia" w:ascii="Arial" w:hAnsi="Arial" w:cs="Arial"/>
          <w:color w:val="000000" w:themeColor="text1"/>
          <w:sz w:val="24"/>
          <w:u w:val="single"/>
          <w:lang w:val="en-US" w:eastAsia="zh-CN"/>
          <w14:textFill>
            <w14:solidFill>
              <w14:schemeClr w14:val="tx1"/>
            </w14:solidFill>
          </w14:textFill>
        </w:rPr>
        <w:t>：</w:t>
      </w:r>
      <w:r>
        <w:rPr>
          <w:rFonts w:hint="default" w:ascii="Arial" w:hAnsi="Arial" w:cs="Arial"/>
          <w:color w:val="000000" w:themeColor="text1"/>
          <w:sz w:val="24"/>
          <w:u w:val="single"/>
          <w:lang w:eastAsia="zh-CN"/>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lang w:val="en-US" w:eastAsia="zh-CN"/>
          <w14:textFill>
            <w14:solidFill>
              <w14:schemeClr w14:val="tx1"/>
            </w14:solidFill>
          </w14:textFill>
        </w:rPr>
        <w:t>元</w:t>
      </w:r>
      <w:r>
        <w:rPr>
          <w:rFonts w:hint="eastAsia" w:ascii="Arial" w:hAnsi="Arial" w:cs="Arial"/>
          <w:color w:val="000000" w:themeColor="text1"/>
          <w:sz w:val="24"/>
          <w:u w:val="single"/>
          <w:lang w:eastAsia="zh-CN"/>
          <w14:textFill>
            <w14:solidFill>
              <w14:schemeClr w14:val="tx1"/>
            </w14:solidFill>
          </w14:textFill>
        </w:rPr>
        <w:t>，</w:t>
      </w:r>
      <w:r>
        <w:rPr>
          <w:rFonts w:hint="eastAsia" w:ascii="Arial" w:hAnsi="Arial" w:cs="Arial"/>
          <w:color w:val="000000" w:themeColor="text1"/>
          <w:sz w:val="24"/>
          <w:u w:val="single"/>
          <w14:textFill>
            <w14:solidFill>
              <w14:schemeClr w14:val="tx1"/>
            </w14:solidFill>
          </w14:textFill>
        </w:rPr>
        <w:t>按照竞争比选文件的要求，承担本次竞争性比选文件要求的</w:t>
      </w:r>
      <w:r>
        <w:rPr>
          <w:rFonts w:hint="eastAsia" w:ascii="Arial" w:hAnsi="Arial" w:cs="Arial"/>
          <w:color w:val="000000" w:themeColor="text1"/>
          <w:sz w:val="24"/>
          <w:u w:val="single"/>
          <w:lang w:val="en-US" w:eastAsia="zh-CN"/>
          <w14:textFill>
            <w14:solidFill>
              <w14:schemeClr w14:val="tx1"/>
            </w14:solidFill>
          </w14:textFill>
        </w:rPr>
        <w:t>任务</w:t>
      </w:r>
      <w:r>
        <w:rPr>
          <w:rFonts w:hint="eastAsia" w:ascii="Arial" w:hAnsi="Arial" w:cs="Arial"/>
          <w:color w:val="000000" w:themeColor="text1"/>
          <w:sz w:val="24"/>
          <w:u w:val="single"/>
          <w14:textFill>
            <w14:solidFill>
              <w14:schemeClr w14:val="tx1"/>
            </w14:solidFill>
          </w14:textFill>
        </w:rPr>
        <w:t>。</w:t>
      </w:r>
    </w:p>
    <w:p>
      <w:pPr>
        <w:tabs>
          <w:tab w:val="left" w:pos="540"/>
          <w:tab w:val="left" w:pos="900"/>
        </w:tabs>
        <w:spacing w:line="30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w:t>
      </w:r>
    </w:p>
    <w:p>
      <w:pPr>
        <w:tabs>
          <w:tab w:val="left" w:pos="540"/>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据此函，签字代表宣布同意如下：</w:t>
      </w:r>
    </w:p>
    <w:p>
      <w:pPr>
        <w:tabs>
          <w:tab w:val="left" w:pos="540"/>
          <w:tab w:val="left" w:pos="900"/>
        </w:tabs>
        <w:spacing w:line="30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1</w:t>
      </w:r>
      <w:r>
        <w:rPr>
          <w:rFonts w:hint="eastAsia" w:ascii="Arial" w:hAnsi="Arial" w:cs="Arial"/>
          <w:color w:val="000000" w:themeColor="text1"/>
          <w:sz w:val="24"/>
          <w14:textFill>
            <w14:solidFill>
              <w14:schemeClr w14:val="tx1"/>
            </w14:solidFill>
          </w14:textFill>
        </w:rPr>
        <w:t>、竞争比选响应单位将按竞争比选文件规定履行合同责任和义务。</w:t>
      </w:r>
    </w:p>
    <w:p>
      <w:pPr>
        <w:tabs>
          <w:tab w:val="left" w:pos="900"/>
        </w:tabs>
        <w:spacing w:line="300" w:lineRule="auto"/>
        <w:rPr>
          <w:rFonts w:ascii="Arial" w:hAnsi="Arial" w:cs="Arial"/>
          <w:b/>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2</w:t>
      </w:r>
      <w:r>
        <w:rPr>
          <w:rFonts w:hint="eastAsia" w:ascii="Arial" w:hAnsi="Arial" w:cs="Arial"/>
          <w:color w:val="000000" w:themeColor="text1"/>
          <w:sz w:val="24"/>
          <w14:textFill>
            <w14:solidFill>
              <w14:schemeClr w14:val="tx1"/>
            </w14:solidFill>
          </w14:textFill>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4、与本竞争比选响应有关的一切正式往来通讯请寄：</w:t>
      </w:r>
    </w:p>
    <w:p>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地址：</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邮编：</w:t>
      </w:r>
      <w:r>
        <w:rPr>
          <w:rFonts w:ascii="Arial" w:hAnsi="Arial" w:cs="Arial"/>
          <w:color w:val="000000" w:themeColor="text1"/>
          <w:sz w:val="24"/>
          <w:u w:val="single"/>
          <w14:textFill>
            <w14:solidFill>
              <w14:schemeClr w14:val="tx1"/>
            </w14:solidFill>
          </w14:textFill>
        </w:rPr>
        <w:t xml:space="preserve">            </w:t>
      </w:r>
      <w:r>
        <w:rPr>
          <w:rFonts w:ascii="Arial" w:hAnsi="Arial" w:cs="Arial"/>
          <w:b/>
          <w:color w:val="000000" w:themeColor="text1"/>
          <w:sz w:val="24"/>
          <w14:textFill>
            <w14:solidFill>
              <w14:schemeClr w14:val="tx1"/>
            </w14:solidFill>
          </w14:textFill>
        </w:rPr>
        <w:t xml:space="preserve">  </w:t>
      </w:r>
    </w:p>
    <w:p>
      <w:pPr>
        <w:tabs>
          <w:tab w:val="left" w:pos="900"/>
        </w:tabs>
        <w:spacing w:line="300" w:lineRule="auto"/>
        <w:rPr>
          <w:rFonts w:ascii="Arial" w:hAnsi="Arial" w:cs="Arial"/>
          <w:color w:val="000000" w:themeColor="text1"/>
          <w:sz w:val="24"/>
          <w:u w:val="single"/>
          <w14:textFill>
            <w14:solidFill>
              <w14:schemeClr w14:val="tx1"/>
            </w14:solidFill>
          </w14:textFill>
        </w:rPr>
      </w:pPr>
      <w:r>
        <w:rPr>
          <w:rFonts w:hint="eastAsia" w:ascii="Arial" w:hAnsi="Arial" w:cs="Arial"/>
          <w:color w:val="000000" w:themeColor="text1"/>
          <w:sz w:val="24"/>
          <w14:textFill>
            <w14:solidFill>
              <w14:schemeClr w14:val="tx1"/>
            </w14:solidFill>
          </w14:textFill>
        </w:rPr>
        <w:t>电话：</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传真：</w:t>
      </w:r>
      <w:r>
        <w:rPr>
          <w:rFonts w:ascii="Arial" w:hAnsi="Arial" w:cs="Arial"/>
          <w:color w:val="000000" w:themeColor="text1"/>
          <w:sz w:val="24"/>
          <w:u w:val="single"/>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竞争比选响应单位法定代表人或授权代表人（签字）：</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竞争比选响应单位法定代表人或授权代表人职务：</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竞争比选响应单位名称（加盖公章）：</w:t>
      </w:r>
      <w:r>
        <w:rPr>
          <w:rFonts w:ascii="Arial" w:hAnsi="Arial" w:cs="Arial"/>
          <w:color w:val="000000" w:themeColor="text1"/>
          <w:sz w:val="24"/>
          <w:u w:val="single"/>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日期：</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年</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月</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日</w:t>
      </w:r>
      <w:r>
        <w:rPr>
          <w:rFonts w:ascii="Arial" w:hAnsi="Arial" w:cs="Arial"/>
          <w:color w:val="000000" w:themeColor="text1"/>
          <w:sz w:val="24"/>
          <w14:textFill>
            <w14:solidFill>
              <w14:schemeClr w14:val="tx1"/>
            </w14:solidFill>
          </w14:textFill>
        </w:rPr>
        <w:t xml:space="preserve"> </w:t>
      </w:r>
    </w:p>
    <w:p>
      <w:pPr>
        <w:outlineLvl w:val="0"/>
        <w:rPr>
          <w:b/>
          <w:color w:val="000000" w:themeColor="text1"/>
          <w:sz w:val="24"/>
          <w14:textFill>
            <w14:solidFill>
              <w14:schemeClr w14:val="tx1"/>
            </w14:solidFill>
          </w14:textFill>
        </w:rPr>
      </w:pPr>
    </w:p>
    <w:p>
      <w:pPr>
        <w:outlineLvl w:val="0"/>
        <w:rPr>
          <w:b/>
          <w:color w:val="000000" w:themeColor="text1"/>
          <w:sz w:val="24"/>
          <w14:textFill>
            <w14:solidFill>
              <w14:schemeClr w14:val="tx1"/>
            </w14:solidFill>
          </w14:textFill>
        </w:rPr>
      </w:pPr>
    </w:p>
    <w:p>
      <w:pPr>
        <w:outlineLvl w:val="0"/>
        <w:rPr>
          <w:b/>
          <w:color w:val="000000" w:themeColor="text1"/>
          <w:sz w:val="24"/>
          <w14:textFill>
            <w14:solidFill>
              <w14:schemeClr w14:val="tx1"/>
            </w14:solidFill>
          </w14:textFill>
        </w:rPr>
      </w:pPr>
    </w:p>
    <w:p>
      <w:pPr>
        <w:pStyle w:val="8"/>
        <w:rPr>
          <w:rFonts w:hint="default" w:eastAsia="宋体"/>
          <w:lang w:val="en-US" w:eastAsia="zh-CN"/>
        </w:rPr>
      </w:pPr>
    </w:p>
    <w:p>
      <w:pPr>
        <w:rPr>
          <w:rFonts w:hint="default"/>
          <w:lang w:val="en-US" w:eastAsia="zh-CN"/>
        </w:rPr>
      </w:pPr>
    </w:p>
    <w:p>
      <w:pPr>
        <w:pStyle w:val="3"/>
        <w:jc w:val="center"/>
        <w:rPr>
          <w:rFonts w:ascii="宋体" w:hAnsi="宋体" w:eastAsia="宋体" w:cs="宋体"/>
          <w:color w:val="000000" w:themeColor="text1"/>
          <w:sz w:val="28"/>
          <w:szCs w:val="28"/>
          <w14:textFill>
            <w14:solidFill>
              <w14:schemeClr w14:val="tx1"/>
            </w14:solidFill>
          </w14:textFill>
        </w:rPr>
      </w:pPr>
      <w:bookmarkStart w:id="213" w:name="_Toc27815"/>
      <w:bookmarkStart w:id="214" w:name="_Toc491883232"/>
      <w:r>
        <w:rPr>
          <w:rFonts w:hint="eastAsia" w:ascii="宋体" w:hAnsi="宋体" w:eastAsia="宋体" w:cs="宋体"/>
          <w:color w:val="000000" w:themeColor="text1"/>
          <w:sz w:val="28"/>
          <w:szCs w:val="28"/>
          <w14:textFill>
            <w14:solidFill>
              <w14:schemeClr w14:val="tx1"/>
            </w14:solidFill>
          </w14:textFill>
        </w:rPr>
        <w:t>二、法定代表人身份证明或法定代表人授权委托书</w:t>
      </w:r>
      <w:bookmarkEnd w:id="213"/>
    </w:p>
    <w:p>
      <w:pPr>
        <w:pStyle w:val="3"/>
        <w:jc w:val="center"/>
        <w:rPr>
          <w:rFonts w:ascii="宋体" w:hAnsi="宋体" w:eastAsia="宋体" w:cs="宋体"/>
          <w:color w:val="000000" w:themeColor="text1"/>
          <w:sz w:val="24"/>
          <w:szCs w:val="24"/>
          <w14:textFill>
            <w14:solidFill>
              <w14:schemeClr w14:val="tx1"/>
            </w14:solidFill>
          </w14:textFill>
        </w:rPr>
      </w:pPr>
      <w:bookmarkStart w:id="215" w:name="_Toc14141"/>
      <w:r>
        <w:rPr>
          <w:rFonts w:hint="eastAsia" w:ascii="宋体" w:hAnsi="宋体" w:eastAsia="宋体" w:cs="宋体"/>
          <w:color w:val="000000" w:themeColor="text1"/>
          <w:sz w:val="24"/>
          <w:szCs w:val="24"/>
          <w14:textFill>
            <w14:solidFill>
              <w14:schemeClr w14:val="tx1"/>
            </w14:solidFill>
          </w14:textFill>
        </w:rPr>
        <w:t>（一）法定代表人身份证明</w:t>
      </w:r>
      <w:bookmarkEnd w:id="214"/>
      <w:bookmarkEnd w:id="215"/>
    </w:p>
    <w:p>
      <w:pPr>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名称：</w:t>
      </w:r>
      <w:r>
        <w:rPr>
          <w:rFonts w:ascii="宋体" w:hAnsi="宋体"/>
          <w:color w:val="000000" w:themeColor="text1"/>
          <w:u w:val="single"/>
          <w14:textFill>
            <w14:solidFill>
              <w14:schemeClr w14:val="tx1"/>
            </w14:solidFill>
          </w14:textFill>
        </w:rPr>
        <w:t xml:space="preserve">                        </w:t>
      </w: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姓名：</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性别：</w:t>
      </w:r>
      <w:bookmarkStart w:id="216" w:name="_Toc352691662"/>
      <w:bookmarkStart w:id="217" w:name="_Toc369531698"/>
      <w:bookmarkStart w:id="218" w:name="_Toc27897"/>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bookmarkEnd w:id="216"/>
      <w:bookmarkEnd w:id="217"/>
      <w:bookmarkEnd w:id="218"/>
      <w:r>
        <w:rPr>
          <w:rFonts w:ascii="宋体" w:hAnsi="宋体"/>
          <w:color w:val="000000" w:themeColor="text1"/>
          <w14:textFill>
            <w14:solidFill>
              <w14:schemeClr w14:val="tx1"/>
            </w14:solidFill>
          </w14:textFill>
        </w:rPr>
        <w:t>龄</w:t>
      </w:r>
      <w:bookmarkStart w:id="219" w:name="_Toc15573"/>
      <w:bookmarkStart w:id="220" w:name="_Toc247514248"/>
      <w:bookmarkStart w:id="221" w:name="_Toc352691663"/>
      <w:bookmarkStart w:id="222" w:name="_Toc384308377"/>
      <w:bookmarkStart w:id="223" w:name="_Toc144974858"/>
      <w:bookmarkStart w:id="224" w:name="_Toc152042578"/>
      <w:bookmarkStart w:id="225" w:name="_Toc247527829"/>
      <w:bookmarkStart w:id="226" w:name="_Toc369531699"/>
      <w:bookmarkStart w:id="227" w:name="_Toc152045789"/>
      <w:bookmarkStart w:id="228" w:name="_Toc361508754"/>
      <w:bookmarkStart w:id="229" w:name="_Toc300835211"/>
      <w:r>
        <w:rPr>
          <w:rFonts w:ascii="宋体" w:hAnsi="宋体"/>
          <w:color w:val="000000" w:themeColor="text1"/>
          <w14:textFill>
            <w14:solidFill>
              <w14:schemeClr w14:val="tx1"/>
            </w14:solidFill>
          </w14:textFill>
        </w:rPr>
        <w:t>：</w:t>
      </w:r>
      <w:bookmarkEnd w:id="219"/>
      <w:bookmarkEnd w:id="220"/>
      <w:bookmarkEnd w:id="221"/>
      <w:bookmarkEnd w:id="222"/>
      <w:bookmarkEnd w:id="223"/>
      <w:bookmarkEnd w:id="224"/>
      <w:bookmarkEnd w:id="225"/>
      <w:bookmarkEnd w:id="226"/>
      <w:bookmarkEnd w:id="227"/>
      <w:bookmarkEnd w:id="228"/>
      <w:bookmarkEnd w:id="229"/>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职务：</w:t>
      </w:r>
      <w:r>
        <w:rPr>
          <w:rFonts w:ascii="宋体" w:hAnsi="宋体"/>
          <w:color w:val="000000" w:themeColor="text1"/>
          <w:u w:val="single"/>
          <w14:textFill>
            <w14:solidFill>
              <w14:schemeClr w14:val="tx1"/>
            </w14:solidFill>
          </w14:textFill>
        </w:rPr>
        <w:t xml:space="preserve">        </w:t>
      </w: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系</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名称）的法定代表人。</w:t>
      </w:r>
    </w:p>
    <w:p>
      <w:pPr>
        <w:spacing w:line="44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特此证明。</w:t>
      </w: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附：法定代表人身份证复印件</w:t>
      </w:r>
      <w:r>
        <w:rPr>
          <w:rFonts w:hint="eastAsia" w:ascii="宋体" w:hAnsi="宋体"/>
          <w:color w:val="000000" w:themeColor="text1"/>
          <w14:textFill>
            <w14:solidFill>
              <w14:schemeClr w14:val="tx1"/>
            </w14:solidFill>
          </w14:textFill>
        </w:rPr>
        <w:t>（正、反面）</w:t>
      </w:r>
      <w:r>
        <w:rPr>
          <w:rFonts w:ascii="宋体" w:hAnsi="宋体"/>
          <w:color w:val="000000" w:themeColor="text1"/>
          <w14:textFill>
            <w14:solidFill>
              <w14:schemeClr w14:val="tx1"/>
            </w14:solidFill>
          </w14:textFill>
        </w:rPr>
        <w:t>。</w:t>
      </w: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盖</w:t>
      </w:r>
      <w:r>
        <w:rPr>
          <w:rFonts w:ascii="宋体" w:hAnsi="宋体"/>
          <w:color w:val="000000" w:themeColor="text1"/>
          <w14:textFill>
            <w14:solidFill>
              <w14:schemeClr w14:val="tx1"/>
            </w14:solidFill>
          </w14:textFill>
        </w:rPr>
        <w:t>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w:t>
      </w:r>
    </w:p>
    <w:p>
      <w:pPr>
        <w:spacing w:line="440" w:lineRule="exact"/>
        <w:rPr>
          <w:rFonts w:ascii="宋体" w:hAnsi="宋体"/>
          <w:color w:val="000000" w:themeColor="text1"/>
          <w14:textFill>
            <w14:solidFill>
              <w14:schemeClr w14:val="tx1"/>
            </w14:solidFill>
          </w14:textFill>
        </w:rPr>
      </w:pPr>
    </w:p>
    <w:p>
      <w:pPr>
        <w:spacing w:line="440" w:lineRule="exact"/>
        <w:ind w:firstLine="4620" w:firstLineChars="2200"/>
        <w:rPr>
          <w:rFonts w:ascii="宋体" w:hAnsi="宋体"/>
          <w:color w:val="000000" w:themeColor="text1"/>
          <w14:textFill>
            <w14:solidFill>
              <w14:schemeClr w14:val="tx1"/>
            </w14:solidFill>
          </w14:textFill>
        </w:rPr>
      </w:pP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日</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注：本身份证明需由</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加盖单位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w:t>
      </w:r>
    </w:p>
    <w:p>
      <w:pPr>
        <w:spacing w:line="440" w:lineRule="exact"/>
        <w:rPr>
          <w:rFonts w:ascii="宋体" w:hAnsi="宋体"/>
          <w:color w:val="000000" w:themeColor="text1"/>
          <w:sz w:val="20"/>
          <w14:textFill>
            <w14:solidFill>
              <w14:schemeClr w14:val="tx1"/>
            </w14:solidFill>
          </w14:textFill>
        </w:rPr>
      </w:pPr>
    </w:p>
    <w:p>
      <w:pPr>
        <w:spacing w:line="20" w:lineRule="exact"/>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br w:type="page"/>
      </w:r>
    </w:p>
    <w:p>
      <w:pPr>
        <w:pStyle w:val="3"/>
        <w:jc w:val="center"/>
        <w:rPr>
          <w:rFonts w:ascii="宋体" w:hAnsi="宋体"/>
          <w:color w:val="000000" w:themeColor="text1"/>
          <w:sz w:val="28"/>
          <w:szCs w:val="28"/>
          <w14:textFill>
            <w14:solidFill>
              <w14:schemeClr w14:val="tx1"/>
            </w14:solidFill>
          </w14:textFill>
        </w:rPr>
      </w:pPr>
      <w:bookmarkStart w:id="230" w:name="_Toc491883233"/>
      <w:bookmarkStart w:id="231" w:name="_Toc58"/>
      <w:r>
        <w:rPr>
          <w:rFonts w:hint="eastAsia" w:ascii="宋体" w:hAnsi="宋体" w:eastAsia="宋体" w:cs="宋体"/>
          <w:color w:val="000000" w:themeColor="text1"/>
          <w:sz w:val="24"/>
          <w:szCs w:val="24"/>
          <w14:textFill>
            <w14:solidFill>
              <w14:schemeClr w14:val="tx1"/>
            </w14:solidFill>
          </w14:textFill>
        </w:rPr>
        <w:t>（二）</w:t>
      </w:r>
      <w:bookmarkEnd w:id="230"/>
      <w:r>
        <w:rPr>
          <w:rFonts w:hint="eastAsia" w:ascii="宋体" w:hAnsi="宋体" w:eastAsia="宋体" w:cs="宋体"/>
          <w:color w:val="000000" w:themeColor="text1"/>
          <w:sz w:val="24"/>
          <w:szCs w:val="24"/>
          <w14:textFill>
            <w14:solidFill>
              <w14:schemeClr w14:val="tx1"/>
            </w14:solidFill>
          </w14:textFill>
        </w:rPr>
        <w:t>法定代表人授权委托书</w:t>
      </w:r>
      <w:bookmarkEnd w:id="231"/>
    </w:p>
    <w:p>
      <w:pPr>
        <w:topLinePunct/>
        <w:spacing w:line="44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本人</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（姓名）系</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名称）的法定代表人，现委托</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（姓名）为我方代理人。代理人根据授权，以我方名义签署、澄清确认、递交、撤回、修改招标项目</w:t>
      </w:r>
      <w:r>
        <w:rPr>
          <w:rFonts w:hint="eastAsia" w:ascii="宋体" w:hAnsi="宋体"/>
          <w:color w:val="000000" w:themeColor="text1"/>
          <w14:textFill>
            <w14:solidFill>
              <w14:schemeClr w14:val="tx1"/>
            </w14:solidFill>
          </w14:textFill>
        </w:rPr>
        <w:t>比选</w:t>
      </w:r>
      <w:r>
        <w:rPr>
          <w:rFonts w:ascii="宋体" w:hAnsi="宋体"/>
          <w:color w:val="000000" w:themeColor="text1"/>
          <w14:textFill>
            <w14:solidFill>
              <w14:schemeClr w14:val="tx1"/>
            </w14:solidFill>
          </w14:textFill>
        </w:rPr>
        <w:t>文件、签订合同和处理有关事宜，其法律后果由我方承担。</w:t>
      </w: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委托期限：</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p>
    <w:p>
      <w:pPr>
        <w:spacing w:line="44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代理人无转委托权。</w:t>
      </w:r>
    </w:p>
    <w:p>
      <w:pPr>
        <w:spacing w:line="440" w:lineRule="exact"/>
        <w:ind w:firstLine="420" w:firstLineChars="200"/>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附：法定代表人身份证复印件及委托代理人身份证复印件</w:t>
      </w:r>
      <w:r>
        <w:rPr>
          <w:rFonts w:hint="eastAsia" w:ascii="宋体" w:hAnsi="宋体"/>
          <w:color w:val="000000" w:themeColor="text1"/>
          <w14:textFill>
            <w14:solidFill>
              <w14:schemeClr w14:val="tx1"/>
            </w14:solidFill>
          </w14:textFill>
        </w:rPr>
        <w:t>（正、反面）</w:t>
      </w: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ind w:firstLine="2692" w:firstLineChars="128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  价  人</w:t>
      </w:r>
      <w:r>
        <w:rPr>
          <w:rFonts w:ascii="宋体" w:hAnsi="宋体"/>
          <w:color w:val="000000" w:themeColor="text1"/>
          <w14:textFill>
            <w14:solidFill>
              <w14:schemeClr w14:val="tx1"/>
            </w14:solidFill>
          </w14:textFill>
        </w:rPr>
        <w:t>：</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盖</w:t>
      </w:r>
      <w:r>
        <w:rPr>
          <w:rFonts w:ascii="宋体" w:hAnsi="宋体"/>
          <w:color w:val="000000" w:themeColor="text1"/>
          <w14:textFill>
            <w14:solidFill>
              <w14:schemeClr w14:val="tx1"/>
            </w14:solidFill>
          </w14:textFill>
        </w:rPr>
        <w:t>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w:t>
      </w:r>
    </w:p>
    <w:p>
      <w:pPr>
        <w:spacing w:line="440" w:lineRule="exact"/>
        <w:ind w:firstLine="2690" w:firstLineChars="1281"/>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法定代表人：</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（签字</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w:t>
      </w:r>
    </w:p>
    <w:p>
      <w:pPr>
        <w:spacing w:line="440" w:lineRule="exact"/>
        <w:ind w:firstLine="2692" w:firstLineChars="128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身份证号码：</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p>
    <w:p>
      <w:pPr>
        <w:spacing w:line="440" w:lineRule="exact"/>
        <w:ind w:firstLine="2692" w:firstLineChars="128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委托代理人：</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（签字）</w:t>
      </w:r>
    </w:p>
    <w:p>
      <w:pPr>
        <w:spacing w:line="440" w:lineRule="exact"/>
        <w:ind w:firstLine="2692" w:firstLineChars="128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身份证号码：</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p>
    <w:p>
      <w:pPr>
        <w:spacing w:line="440" w:lineRule="exact"/>
        <w:ind w:firstLine="2692" w:firstLineChars="1282"/>
        <w:rPr>
          <w:rFonts w:ascii="宋体" w:hAnsi="宋体"/>
          <w:color w:val="000000" w:themeColor="text1"/>
          <w14:textFill>
            <w14:solidFill>
              <w14:schemeClr w14:val="tx1"/>
            </w14:solidFill>
          </w14:textFill>
        </w:rPr>
      </w:pPr>
    </w:p>
    <w:p>
      <w:pPr>
        <w:spacing w:line="440" w:lineRule="exact"/>
        <w:ind w:firstLine="4057" w:firstLineChars="1932"/>
        <w:jc w:val="right"/>
        <w:rPr>
          <w:rFonts w:ascii="宋体" w:hAnsi="宋体"/>
          <w:color w:val="000000" w:themeColor="text1"/>
          <w14:textFill>
            <w14:solidFill>
              <w14:schemeClr w14:val="tx1"/>
            </w14:solidFill>
          </w14:textFill>
        </w:rPr>
      </w:pP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日</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spacing w:line="440" w:lineRule="exact"/>
        <w:rPr>
          <w:color w:val="000000" w:themeColor="text1"/>
          <w14:textFill>
            <w14:solidFill>
              <w14:schemeClr w14:val="tx1"/>
            </w14:solidFill>
          </w14:textFill>
        </w:rPr>
        <w:sectPr>
          <w:pgSz w:w="11906" w:h="16838"/>
          <w:pgMar w:top="1440" w:right="1803" w:bottom="1440" w:left="1803" w:header="851" w:footer="992" w:gutter="0"/>
          <w:cols w:space="720" w:num="1"/>
          <w:titlePg/>
          <w:docGrid w:type="lines" w:linePitch="319" w:charSpace="0"/>
        </w:sectPr>
      </w:pPr>
      <w:r>
        <w:rPr>
          <w:rFonts w:ascii="宋体" w:hAnsi="宋体"/>
          <w:color w:val="000000" w:themeColor="text1"/>
          <w14:textFill>
            <w14:solidFill>
              <w14:schemeClr w14:val="tx1"/>
            </w14:solidFill>
          </w14:textFill>
        </w:rPr>
        <w:t>注：本授权委托书需由</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加盖单位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并由其法定代表人和委托代理人签字。</w:t>
      </w:r>
    </w:p>
    <w:p>
      <w:pPr>
        <w:jc w:val="center"/>
        <w:rPr>
          <w:rFonts w:ascii="宋体" w:hAnsi="宋体" w:cs="宋体"/>
          <w:b/>
          <w:color w:val="000000" w:themeColor="text1"/>
          <w14:textFill>
            <w14:solidFill>
              <w14:schemeClr w14:val="tx1"/>
            </w14:solidFill>
          </w14:textFill>
        </w:rPr>
      </w:pPr>
      <w:bookmarkStart w:id="232" w:name="_Toc11329275"/>
      <w:r>
        <w:rPr>
          <w:rFonts w:hint="eastAsia" w:ascii="宋体" w:hAnsi="宋体" w:cs="宋体"/>
          <w:b/>
          <w:bCs/>
          <w:color w:val="000000" w:themeColor="text1"/>
          <w:kern w:val="0"/>
          <w:sz w:val="28"/>
          <w:szCs w:val="32"/>
          <w14:textFill>
            <w14:solidFill>
              <w14:schemeClr w14:val="tx1"/>
            </w14:solidFill>
          </w14:textFill>
        </w:rPr>
        <w:t>三、</w:t>
      </w:r>
      <w:bookmarkEnd w:id="210"/>
      <w:bookmarkEnd w:id="211"/>
      <w:bookmarkEnd w:id="212"/>
      <w:bookmarkEnd w:id="232"/>
      <w:r>
        <w:rPr>
          <w:rFonts w:hint="eastAsia" w:ascii="宋体" w:hAnsi="宋体" w:cs="宋体"/>
          <w:b/>
          <w:bCs/>
          <w:color w:val="000000" w:themeColor="text1"/>
          <w:kern w:val="0"/>
          <w:sz w:val="28"/>
          <w:szCs w:val="32"/>
          <w14:textFill>
            <w14:solidFill>
              <w14:schemeClr w14:val="tx1"/>
            </w14:solidFill>
          </w14:textFill>
        </w:rPr>
        <w:t>报价一览表</w:t>
      </w:r>
    </w:p>
    <w:p>
      <w:pPr>
        <w:ind w:left="765"/>
        <w:jc w:val="center"/>
        <w:rPr>
          <w:rFonts w:ascii="宋体" w:hAnsi="宋体" w:cs="宋体"/>
          <w:color w:val="000000" w:themeColor="text1"/>
          <w:szCs w:val="21"/>
          <w14:textFill>
            <w14:solidFill>
              <w14:schemeClr w14:val="tx1"/>
            </w14:solidFill>
          </w14:textFill>
        </w:rPr>
      </w:pPr>
    </w:p>
    <w:p>
      <w:pPr>
        <w:pStyle w:val="17"/>
        <w:jc w:val="both"/>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重庆首讯科技股份有限公司：</w:t>
      </w:r>
    </w:p>
    <w:p>
      <w:pPr>
        <w:tabs>
          <w:tab w:val="left" w:pos="1680"/>
          <w:tab w:val="left" w:pos="4215"/>
          <w:tab w:val="left" w:pos="4305"/>
          <w:tab w:val="left" w:pos="8000"/>
        </w:tabs>
        <w:autoSpaceDE w:val="0"/>
        <w:autoSpaceDN w:val="0"/>
        <w:adjustRightInd w:val="0"/>
        <w:snapToGrid w:val="0"/>
        <w:spacing w:line="360" w:lineRule="auto"/>
        <w:ind w:firstLine="480" w:firstLineChars="200"/>
        <w:rPr>
          <w:rFonts w:hint="eastAsia" w:ascii="宋体" w:hAnsi="宋体" w:cs="宋体"/>
          <w:b/>
          <w:color w:val="000000" w:themeColor="text1"/>
          <w:kern w:val="0"/>
          <w:sz w:val="28"/>
          <w:szCs w:val="28"/>
          <w14:textFill>
            <w14:solidFill>
              <w14:schemeClr w14:val="tx1"/>
            </w14:solidFill>
          </w14:textFill>
        </w:rPr>
      </w:pPr>
      <w:r>
        <w:rPr>
          <w:rFonts w:hint="eastAsia" w:ascii="宋体" w:hAnsi="宋体"/>
          <w:color w:val="000000" w:themeColor="text1"/>
          <w:sz w:val="24"/>
          <w14:textFill>
            <w14:solidFill>
              <w14:schemeClr w14:val="tx1"/>
            </w14:solidFill>
          </w14:textFill>
        </w:rPr>
        <w:t>在研究了竞争比选文件中所有文件后，我司对</w:t>
      </w:r>
      <w:r>
        <w:rPr>
          <w:rFonts w:hint="eastAsia" w:ascii="宋体" w:hAnsi="宋体"/>
          <w:color w:val="000000" w:themeColor="text1"/>
          <w:sz w:val="24"/>
          <w:u w:val="single"/>
          <w:lang w:eastAsia="zh-CN"/>
          <w14:textFill>
            <w14:solidFill>
              <w14:schemeClr w14:val="tx1"/>
            </w14:solidFill>
          </w14:textFill>
        </w:rPr>
        <w:t>巫溪至开州高速公路项目机电工程语音服务平台组件采购</w:t>
      </w:r>
      <w:r>
        <w:rPr>
          <w:rFonts w:hint="eastAsia" w:ascii="宋体" w:hAnsi="宋体"/>
          <w:color w:val="000000" w:themeColor="text1"/>
          <w:sz w:val="24"/>
          <w14:textFill>
            <w14:solidFill>
              <w14:schemeClr w14:val="tx1"/>
            </w14:solidFill>
          </w14:textFill>
        </w:rPr>
        <w:t>竞争比选响应报价如下：</w:t>
      </w:r>
      <w:r>
        <w:rPr>
          <w:rFonts w:hint="eastAsia" w:ascii="宋体" w:hAnsi="宋体" w:cs="宋体"/>
          <w:b/>
          <w:color w:val="000000" w:themeColor="text1"/>
          <w:kern w:val="0"/>
          <w:sz w:val="28"/>
          <w:szCs w:val="28"/>
          <w14:textFill>
            <w14:solidFill>
              <w14:schemeClr w14:val="tx1"/>
            </w14:solidFill>
          </w14:textFill>
        </w:rPr>
        <w:t xml:space="preserve"> </w:t>
      </w:r>
    </w:p>
    <w:p>
      <w:pPr>
        <w:tabs>
          <w:tab w:val="left" w:pos="1680"/>
          <w:tab w:val="left" w:pos="4215"/>
          <w:tab w:val="left" w:pos="4305"/>
          <w:tab w:val="left" w:pos="8000"/>
        </w:tabs>
        <w:autoSpaceDE w:val="0"/>
        <w:autoSpaceDN w:val="0"/>
        <w:adjustRightInd w:val="0"/>
        <w:snapToGrid w:val="0"/>
        <w:spacing w:line="360" w:lineRule="auto"/>
        <w:ind w:firstLine="422" w:firstLineChars="200"/>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Times New Roman"/>
          <w:b/>
          <w:bCs/>
          <w:highlight w:val="none"/>
          <w:lang w:eastAsia="zh-CN"/>
        </w:rPr>
        <w:t>报价采用表格形式，见“工程量清单”。</w:t>
      </w:r>
    </w:p>
    <w:p>
      <w:pPr>
        <w:pStyle w:val="3"/>
        <w:spacing w:before="0" w:after="0" w:line="360" w:lineRule="auto"/>
        <w:jc w:val="center"/>
        <w:rPr>
          <w:rFonts w:ascii="宋体" w:hAnsi="宋体" w:eastAsia="宋体" w:cs="宋体"/>
          <w:color w:val="000000" w:themeColor="text1"/>
          <w:sz w:val="28"/>
          <w14:textFill>
            <w14:solidFill>
              <w14:schemeClr w14:val="tx1"/>
            </w14:solidFill>
          </w14:textFill>
        </w:rPr>
      </w:pPr>
      <w:bookmarkStart w:id="233" w:name="_Toc503951050"/>
      <w:bookmarkStart w:id="234" w:name="_Toc11329278"/>
      <w:bookmarkStart w:id="235" w:name="_Toc513633971"/>
      <w:bookmarkStart w:id="236" w:name="_Toc447827058"/>
      <w:bookmarkStart w:id="237" w:name="_Toc144974871"/>
      <w:bookmarkStart w:id="238" w:name="_Toc152045803"/>
      <w:bookmarkStart w:id="239" w:name="_Toc246996369"/>
      <w:bookmarkStart w:id="240" w:name="_Toc152042592"/>
      <w:bookmarkStart w:id="241" w:name="_Toc179632823"/>
      <w:bookmarkStart w:id="242" w:name="_Toc247085887"/>
      <w:bookmarkStart w:id="243" w:name="_Toc246997112"/>
      <w:r>
        <w:rPr>
          <w:rFonts w:hint="eastAsia" w:ascii="宋体" w:hAnsi="宋体" w:eastAsia="宋体" w:cs="宋体"/>
          <w:color w:val="000000" w:themeColor="text1"/>
          <w:sz w:val="28"/>
          <w14:textFill>
            <w14:solidFill>
              <w14:schemeClr w14:val="tx1"/>
            </w14:solidFill>
          </w14:textFill>
        </w:rPr>
        <w:br w:type="page"/>
      </w:r>
      <w:bookmarkStart w:id="244" w:name="_Toc18757"/>
      <w:bookmarkStart w:id="245" w:name="_Toc12910"/>
      <w:bookmarkStart w:id="246" w:name="_Toc11961"/>
      <w:r>
        <w:rPr>
          <w:rFonts w:hint="eastAsia" w:ascii="宋体" w:hAnsi="宋体" w:eastAsia="宋体" w:cs="宋体"/>
          <w:color w:val="000000" w:themeColor="text1"/>
          <w:sz w:val="28"/>
          <w14:textFill>
            <w14:solidFill>
              <w14:schemeClr w14:val="tx1"/>
            </w14:solidFill>
          </w14:textFill>
        </w:rPr>
        <w:t>四、资格审查资料</w:t>
      </w:r>
      <w:bookmarkEnd w:id="233"/>
      <w:bookmarkEnd w:id="234"/>
      <w:bookmarkEnd w:id="235"/>
      <w:bookmarkEnd w:id="244"/>
      <w:bookmarkEnd w:id="245"/>
      <w:bookmarkEnd w:id="246"/>
    </w:p>
    <w:p>
      <w:pPr>
        <w:pStyle w:val="3"/>
        <w:spacing w:before="0" w:after="0" w:line="360" w:lineRule="auto"/>
        <w:jc w:val="center"/>
        <w:rPr>
          <w:rFonts w:ascii="宋体" w:hAnsi="宋体" w:eastAsia="宋体" w:cs="宋体"/>
          <w:color w:val="000000" w:themeColor="text1"/>
          <w:sz w:val="28"/>
          <w14:textFill>
            <w14:solidFill>
              <w14:schemeClr w14:val="tx1"/>
            </w14:solidFill>
          </w14:textFill>
        </w:rPr>
      </w:pPr>
      <w:bookmarkStart w:id="247" w:name="_Toc22003"/>
      <w:bookmarkStart w:id="248" w:name="_Toc17915"/>
      <w:bookmarkStart w:id="249" w:name="_Toc32456"/>
      <w:r>
        <w:rPr>
          <w:rFonts w:hint="eastAsia" w:ascii="宋体" w:hAnsi="宋体" w:eastAsia="宋体" w:cs="宋体"/>
          <w:color w:val="000000" w:themeColor="text1"/>
          <w:sz w:val="28"/>
          <w14:textFill>
            <w14:solidFill>
              <w14:schemeClr w14:val="tx1"/>
            </w14:solidFill>
          </w14:textFill>
        </w:rPr>
        <w:t>（营业执照、资质证书、项目人员资料等）</w:t>
      </w:r>
      <w:bookmarkEnd w:id="247"/>
      <w:bookmarkEnd w:id="248"/>
      <w:bookmarkEnd w:id="249"/>
    </w:p>
    <w:bookmarkEnd w:id="236"/>
    <w:bookmarkEnd w:id="237"/>
    <w:bookmarkEnd w:id="238"/>
    <w:bookmarkEnd w:id="239"/>
    <w:bookmarkEnd w:id="240"/>
    <w:bookmarkEnd w:id="241"/>
    <w:bookmarkEnd w:id="242"/>
    <w:bookmarkEnd w:id="243"/>
    <w:p>
      <w:pPr>
        <w:pStyle w:val="3"/>
        <w:jc w:val="center"/>
        <w:rPr>
          <w:rFonts w:hint="eastAsia" w:ascii="宋体" w:hAnsi="宋体" w:eastAsia="宋体" w:cs="宋体"/>
          <w:bCs w:val="0"/>
          <w:color w:val="auto"/>
          <w:sz w:val="28"/>
          <w:szCs w:val="28"/>
          <w:highlight w:val="none"/>
        </w:rPr>
      </w:pPr>
      <w:bookmarkStart w:id="250" w:name="_Toc513633973"/>
      <w:bookmarkStart w:id="251" w:name="_Toc503951055"/>
      <w:bookmarkStart w:id="252" w:name="_Toc447827068"/>
      <w:bookmarkStart w:id="253" w:name="_Toc29559"/>
      <w:bookmarkStart w:id="254" w:name="_Toc11672"/>
      <w:bookmarkStart w:id="255" w:name="_Toc11329281"/>
      <w:bookmarkStart w:id="256" w:name="_Toc11243"/>
      <w:r>
        <w:rPr>
          <w:rFonts w:hint="eastAsia" w:ascii="宋体" w:hAnsi="宋体" w:eastAsia="宋体" w:cs="宋体"/>
          <w:b/>
          <w:bCs/>
          <w:color w:val="auto"/>
          <w:kern w:val="0"/>
          <w:sz w:val="28"/>
          <w:szCs w:val="32"/>
          <w:highlight w:val="none"/>
          <w:lang w:val="en-US" w:eastAsia="zh-CN" w:bidi="ar-SA"/>
        </w:rPr>
        <w:t>（一）资格审查资料</w:t>
      </w:r>
      <w:r>
        <w:rPr>
          <w:rFonts w:hint="eastAsia" w:ascii="宋体" w:hAnsi="宋体" w:cs="宋体"/>
          <w:color w:val="auto"/>
          <w:szCs w:val="21"/>
          <w:highlight w:val="none"/>
        </w:rPr>
        <w:t xml:space="preserve"> </w:t>
      </w:r>
    </w:p>
    <w:tbl>
      <w:tblPr>
        <w:tblStyle w:val="20"/>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（1）报价人具备独立法人资格，具备有效的营业执照；</w:t>
            </w:r>
          </w:p>
          <w:p>
            <w:pPr>
              <w:spacing w:line="400" w:lineRule="exact"/>
              <w:ind w:firstLine="420" w:firstLineChars="200"/>
              <w:rPr>
                <w:rFonts w:hint="eastAsia"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（2）报价人须为语音外呼机器人或文本机器人或近似软件产品的制造商或经制造商授权的代理商。</w:t>
            </w:r>
          </w:p>
          <w:p>
            <w:pPr>
              <w:spacing w:line="400" w:lineRule="exact"/>
              <w:ind w:firstLine="420" w:firstLineChars="200"/>
              <w:rPr>
                <w:rFonts w:hint="eastAsia"/>
                <w:color w:val="auto"/>
                <w:highlight w:val="none"/>
                <w:lang w:val="en-US" w:eastAsia="zh-CN"/>
              </w:rPr>
            </w:pPr>
            <w:r>
              <w:rPr>
                <w:rFonts w:hint="eastAsia" w:ascii="宋体" w:hAnsi="宋体" w:cs="宋体"/>
                <w:color w:val="000000" w:themeColor="text1"/>
                <w:szCs w:val="21"/>
                <w:shd w:val="clear" w:color="auto" w:fill="FFFFFF"/>
                <w14:textFill>
                  <w14:solidFill>
                    <w14:schemeClr w14:val="tx1"/>
                  </w14:solidFill>
                </w14:textFill>
              </w:rPr>
              <w:t>注：制造商提供对应或近似软件产品的软件著作权证书或代理商提供授权书及制造商的对应软件产品的软件著作权证书。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shd w:val="clear" w:color="auto" w:fill="FFFFFF"/>
              </w:rPr>
              <w:t>报价人自2021年1月1日至投标截止日(以合同签订时间为准）至少具备一项文本机器人或智能系统等同类项目业绩（单个合同金额不低于20万元）。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shd w:val="clear" w:color="auto" w:fill="FFFFFF"/>
                <w:lang w:val="en-US" w:eastAsia="zh-CN"/>
              </w:rPr>
              <w:t>信誉要求：在国家企业信用信息公示系统（http://www.gsxt.gov.cn/）中未被列入严重违法失信企业名单（黑名单）信息</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val="en-US" w:eastAsia="zh-CN"/>
              </w:rPr>
              <w:t>若并非企业，则无需查询）；在“信用中国”网站（http://www.creditchina.gov.cn/）中未被列入失信惩戒执行人名单。</w:t>
            </w:r>
          </w:p>
        </w:tc>
      </w:tr>
    </w:tbl>
    <w:p>
      <w:pPr>
        <w:spacing w:line="400" w:lineRule="exact"/>
        <w:jc w:val="left"/>
        <w:rPr>
          <w:rFonts w:hint="eastAsia" w:ascii="Times New Roman" w:hAnsi="宋体" w:eastAsia="宋体" w:cs="Times New Roman"/>
          <w:b w:val="0"/>
          <w:bCs w:val="0"/>
          <w:color w:val="auto"/>
          <w:kern w:val="0"/>
          <w:sz w:val="21"/>
          <w:szCs w:val="21"/>
          <w:highlight w:val="none"/>
          <w:lang w:val="en-US" w:eastAsia="zh-CN" w:bidi="ar-SA"/>
        </w:rPr>
      </w:pPr>
      <w:r>
        <w:rPr>
          <w:rFonts w:hint="eastAsia" w:ascii="宋体" w:hAnsi="宋体" w:cs="宋体"/>
          <w:color w:val="auto"/>
          <w:szCs w:val="21"/>
          <w:highlight w:val="none"/>
        </w:rPr>
        <w:t xml:space="preserve">  </w:t>
      </w:r>
      <w:r>
        <w:rPr>
          <w:rFonts w:hint="eastAsia" w:ascii="Times New Roman" w:hAnsi="宋体" w:eastAsia="宋体" w:cs="Times New Roman"/>
          <w:b w:val="0"/>
          <w:bCs w:val="0"/>
          <w:color w:val="auto"/>
          <w:kern w:val="0"/>
          <w:sz w:val="21"/>
          <w:szCs w:val="21"/>
          <w:highlight w:val="none"/>
          <w:lang w:val="en-US" w:eastAsia="zh-CN" w:bidi="ar-SA"/>
        </w:rPr>
        <w:t xml:space="preserve"> 注：1.提供</w:t>
      </w:r>
      <w:r>
        <w:rPr>
          <w:rFonts w:hint="eastAsia" w:hAnsi="宋体" w:cs="Times New Roman"/>
          <w:b w:val="0"/>
          <w:bCs w:val="0"/>
          <w:color w:val="auto"/>
          <w:kern w:val="0"/>
          <w:sz w:val="21"/>
          <w:szCs w:val="21"/>
          <w:highlight w:val="none"/>
          <w:lang w:val="en-US" w:eastAsia="zh-CN" w:bidi="ar-SA"/>
        </w:rPr>
        <w:t>公司</w:t>
      </w:r>
      <w:r>
        <w:rPr>
          <w:rFonts w:hint="eastAsia" w:ascii="Times New Roman" w:hAnsi="宋体" w:eastAsia="宋体" w:cs="Times New Roman"/>
          <w:b w:val="0"/>
          <w:bCs w:val="0"/>
          <w:color w:val="auto"/>
          <w:kern w:val="0"/>
          <w:sz w:val="21"/>
          <w:szCs w:val="21"/>
          <w:highlight w:val="none"/>
          <w:lang w:val="en-US" w:eastAsia="zh-CN" w:bidi="ar-SA"/>
        </w:rPr>
        <w:t>营业执照</w:t>
      </w:r>
      <w:r>
        <w:rPr>
          <w:rFonts w:hint="eastAsia" w:hAnsi="宋体" w:cs="Times New Roman"/>
          <w:b w:val="0"/>
          <w:bCs w:val="0"/>
          <w:color w:val="auto"/>
          <w:kern w:val="0"/>
          <w:sz w:val="21"/>
          <w:szCs w:val="21"/>
          <w:highlight w:val="none"/>
          <w:lang w:val="en-US" w:eastAsia="zh-CN" w:bidi="ar-SA"/>
        </w:rPr>
        <w:t>、资质证书、授权书</w:t>
      </w:r>
      <w:r>
        <w:rPr>
          <w:rFonts w:hint="eastAsia" w:ascii="Times New Roman" w:hAnsi="宋体" w:eastAsia="宋体" w:cs="Times New Roman"/>
          <w:b w:val="0"/>
          <w:bCs w:val="0"/>
          <w:color w:val="auto"/>
          <w:kern w:val="0"/>
          <w:sz w:val="21"/>
          <w:szCs w:val="21"/>
          <w:highlight w:val="none"/>
          <w:lang w:val="en-US" w:eastAsia="zh-CN" w:bidi="ar-SA"/>
        </w:rPr>
        <w:t>复印件，</w:t>
      </w:r>
      <w:r>
        <w:rPr>
          <w:rFonts w:hint="eastAsia" w:ascii="宋体" w:hAnsi="宋体" w:eastAsia="宋体" w:cs="宋体"/>
          <w:bCs w:val="0"/>
          <w:color w:val="000000" w:themeColor="text1"/>
          <w:kern w:val="2"/>
          <w:sz w:val="21"/>
          <w:szCs w:val="21"/>
          <w14:textFill>
            <w14:solidFill>
              <w14:schemeClr w14:val="tx1"/>
            </w14:solidFill>
          </w14:textFill>
        </w:rPr>
        <w:t>生产厂家</w:t>
      </w:r>
      <w:r>
        <w:rPr>
          <w:rFonts w:hint="eastAsia" w:ascii="宋体" w:hAnsi="宋体" w:eastAsia="宋体" w:cs="宋体"/>
          <w:bCs w:val="0"/>
          <w:color w:val="000000" w:themeColor="text1"/>
          <w:kern w:val="2"/>
          <w:sz w:val="21"/>
          <w:szCs w:val="21"/>
          <w:lang w:val="en-US" w:eastAsia="zh-CN"/>
          <w14:textFill>
            <w14:solidFill>
              <w14:schemeClr w14:val="tx1"/>
            </w14:solidFill>
          </w14:textFill>
        </w:rPr>
        <w:t>须提供制造商声明</w:t>
      </w:r>
      <w:r>
        <w:rPr>
          <w:rFonts w:hint="eastAsia" w:ascii="宋体" w:hAnsi="宋体" w:eastAsia="宋体" w:cs="宋体"/>
          <w:bCs w:val="0"/>
          <w:color w:val="000000" w:themeColor="text1"/>
          <w:kern w:val="2"/>
          <w:sz w:val="21"/>
          <w:szCs w:val="21"/>
          <w14:textFill>
            <w14:solidFill>
              <w14:schemeClr w14:val="tx1"/>
            </w14:solidFill>
          </w14:textFill>
        </w:rPr>
        <w:t>，并加盖报价人公章</w:t>
      </w:r>
      <w:r>
        <w:rPr>
          <w:rFonts w:hint="eastAsia" w:ascii="Times New Roman" w:hAnsi="宋体" w:eastAsia="宋体" w:cs="Times New Roman"/>
          <w:b w:val="0"/>
          <w:bCs w:val="0"/>
          <w:color w:val="auto"/>
          <w:kern w:val="0"/>
          <w:sz w:val="21"/>
          <w:szCs w:val="21"/>
          <w:highlight w:val="none"/>
          <w:lang w:val="en-US" w:eastAsia="zh-CN" w:bidi="ar-SA"/>
        </w:rPr>
        <w:t>。</w:t>
      </w:r>
    </w:p>
    <w:p>
      <w:pPr>
        <w:numPr>
          <w:ilvl w:val="0"/>
          <w:numId w:val="4"/>
        </w:numPr>
        <w:ind w:left="735" w:leftChars="0" w:firstLine="0" w:firstLineChars="0"/>
        <w:rPr>
          <w:rFonts w:hint="default"/>
          <w:color w:val="auto"/>
          <w:highlight w:val="none"/>
          <w:lang w:val="en-US" w:eastAsia="zh-CN"/>
        </w:rPr>
      </w:pPr>
      <w:r>
        <w:rPr>
          <w:rFonts w:hint="eastAsia" w:asciiTheme="minorEastAsia" w:hAnsiTheme="minorEastAsia" w:eastAsiaTheme="minorEastAsia" w:cstheme="minorEastAsia"/>
          <w:bCs/>
          <w:color w:val="auto"/>
          <w:sz w:val="21"/>
          <w:szCs w:val="21"/>
          <w:highlight w:val="none"/>
        </w:rPr>
        <w:t>提供</w:t>
      </w:r>
      <w:r>
        <w:rPr>
          <w:rFonts w:hint="eastAsia" w:asciiTheme="minorEastAsia" w:hAnsiTheme="minorEastAsia" w:eastAsiaTheme="minorEastAsia" w:cstheme="minorEastAsia"/>
          <w:bCs/>
          <w:color w:val="auto"/>
          <w:sz w:val="21"/>
          <w:szCs w:val="21"/>
          <w:highlight w:val="none"/>
          <w:lang w:val="en-US" w:eastAsia="zh-CN"/>
        </w:rPr>
        <w:t>项目合同书（相关证明材料须能反映出相关数据和内容，否则一律视为未提供）复印件</w:t>
      </w:r>
      <w:r>
        <w:rPr>
          <w:rFonts w:hint="eastAsia" w:asciiTheme="minorEastAsia" w:hAnsiTheme="minorEastAsia" w:eastAsiaTheme="minorEastAsia" w:cstheme="minorEastAsia"/>
          <w:bCs/>
          <w:color w:val="auto"/>
          <w:sz w:val="21"/>
          <w:szCs w:val="21"/>
          <w:highlight w:val="none"/>
        </w:rPr>
        <w:t>，并加盖投标单位公章。</w:t>
      </w:r>
    </w:p>
    <w:p>
      <w:pPr>
        <w:numPr>
          <w:ilvl w:val="0"/>
          <w:numId w:val="4"/>
        </w:numPr>
        <w:ind w:left="735" w:leftChars="0" w:firstLine="0" w:firstLineChars="0"/>
        <w:rPr>
          <w:rFonts w:hint="default" w:eastAsia="宋体"/>
          <w:color w:val="auto"/>
          <w:highlight w:val="none"/>
          <w:lang w:val="en-US" w:eastAsia="zh-CN"/>
        </w:rPr>
      </w:pPr>
      <w:r>
        <w:rPr>
          <w:rFonts w:hint="eastAsia" w:eastAsia="宋体"/>
          <w:color w:val="auto"/>
          <w:highlight w:val="none"/>
          <w:lang w:val="en-US" w:eastAsia="zh-CN"/>
        </w:rPr>
        <w:t>提供企业信用信息公示系统（http://www.gsxt.gov.cn/）中未被列入严重违法失信企业名单（黑名单）信息截图</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val="en-US" w:eastAsia="zh-CN"/>
        </w:rPr>
        <w:t>若并非企业，则无需查询）</w:t>
      </w:r>
      <w:r>
        <w:rPr>
          <w:rFonts w:hint="eastAsia"/>
          <w:color w:val="auto"/>
          <w:highlight w:val="none"/>
          <w:lang w:val="en-US" w:eastAsia="zh-CN"/>
        </w:rPr>
        <w:t>（</w:t>
      </w:r>
      <w:r>
        <w:rPr>
          <w:rFonts w:hint="eastAsia" w:eastAsia="宋体"/>
          <w:color w:val="auto"/>
          <w:highlight w:val="none"/>
          <w:lang w:val="en-US" w:eastAsia="zh-CN"/>
        </w:rPr>
        <w:t>和在“信用中国”网站（http://www.creditchina.gov.cn/）中未被列入失信惩戒执行人名单截图信息并加盖鲜章。</w:t>
      </w:r>
    </w:p>
    <w:p>
      <w:pPr>
        <w:rPr>
          <w:rFonts w:hint="eastAsia"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br w:type="page"/>
      </w:r>
    </w:p>
    <w:p>
      <w:pPr>
        <w:pStyle w:val="3"/>
        <w:spacing w:before="0" w:after="0" w:line="360" w:lineRule="auto"/>
        <w:jc w:val="center"/>
        <w:rPr>
          <w:rFonts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五、</w:t>
      </w:r>
      <w:bookmarkEnd w:id="250"/>
      <w:bookmarkEnd w:id="251"/>
      <w:bookmarkEnd w:id="252"/>
      <w:r>
        <w:rPr>
          <w:rFonts w:hint="eastAsia" w:ascii="宋体" w:hAnsi="宋体" w:eastAsia="宋体" w:cs="宋体"/>
          <w:color w:val="000000" w:themeColor="text1"/>
          <w:sz w:val="28"/>
          <w14:textFill>
            <w14:solidFill>
              <w14:schemeClr w14:val="tx1"/>
            </w14:solidFill>
          </w14:textFill>
        </w:rPr>
        <w:t>报价人须知前附表规定的材料</w:t>
      </w:r>
      <w:bookmarkEnd w:id="253"/>
      <w:bookmarkEnd w:id="254"/>
      <w:bookmarkEnd w:id="255"/>
      <w:bookmarkEnd w:id="256"/>
    </w:p>
    <w:p>
      <w:pPr>
        <w:spacing w:line="360" w:lineRule="auto"/>
        <w:jc w:val="center"/>
        <w:outlineLvl w:val="1"/>
        <w:rPr>
          <w:rFonts w:ascii="宋体" w:hAnsi="宋体" w:cs="宋体"/>
          <w:b/>
          <w:bCs/>
          <w:color w:val="000000" w:themeColor="text1"/>
          <w:sz w:val="24"/>
          <w:szCs w:val="28"/>
          <w:highlight w:val="none"/>
          <w14:textFill>
            <w14:solidFill>
              <w14:schemeClr w14:val="tx1"/>
            </w14:solidFill>
          </w14:textFill>
        </w:rPr>
      </w:pPr>
      <w:bookmarkStart w:id="257" w:name="_Toc8299"/>
      <w:bookmarkStart w:id="258" w:name="_Toc15805"/>
      <w:bookmarkStart w:id="259" w:name="bookmark81"/>
      <w:bookmarkStart w:id="260" w:name="_Toc513633974"/>
      <w:bookmarkStart w:id="261" w:name="_Toc503951058"/>
      <w:r>
        <w:rPr>
          <w:rFonts w:hint="eastAsia" w:ascii="宋体" w:hAnsi="宋体" w:cs="宋体"/>
          <w:b/>
          <w:bCs/>
          <w:kern w:val="0"/>
          <w:sz w:val="28"/>
          <w:szCs w:val="32"/>
          <w:highlight w:val="none"/>
        </w:rPr>
        <w:t>（</w:t>
      </w:r>
      <w:r>
        <w:rPr>
          <w:rFonts w:hint="eastAsia" w:ascii="宋体" w:hAnsi="宋体" w:cs="宋体"/>
          <w:b/>
          <w:bCs/>
          <w:kern w:val="0"/>
          <w:sz w:val="28"/>
          <w:szCs w:val="32"/>
          <w:highlight w:val="none"/>
          <w:lang w:val="en-US" w:eastAsia="zh-CN"/>
        </w:rPr>
        <w:t>一</w:t>
      </w:r>
      <w:r>
        <w:rPr>
          <w:rFonts w:hint="eastAsia" w:ascii="宋体" w:hAnsi="宋体" w:cs="宋体"/>
          <w:b/>
          <w:bCs/>
          <w:kern w:val="0"/>
          <w:sz w:val="28"/>
          <w:szCs w:val="32"/>
          <w:highlight w:val="none"/>
        </w:rPr>
        <w:t>）商务评分资料</w:t>
      </w:r>
      <w:bookmarkEnd w:id="257"/>
      <w:bookmarkEnd w:id="258"/>
    </w:p>
    <w:p>
      <w:pPr>
        <w:pStyle w:val="30"/>
        <w:ind w:firstLine="480"/>
        <w:jc w:val="center"/>
        <w:rPr>
          <w:rFonts w:hint="eastAsia" w:ascii="宋体" w:hAnsi="宋体" w:eastAsia="宋体" w:cs="Times New Roman"/>
          <w:kern w:val="2"/>
          <w:sz w:val="21"/>
          <w:szCs w:val="24"/>
          <w:highlight w:val="none"/>
          <w:lang w:val="en-US" w:eastAsia="zh-CN" w:bidi="ar-SA"/>
        </w:rPr>
      </w:pPr>
      <w:bookmarkStart w:id="262" w:name="OLE_LINK34"/>
      <w:r>
        <w:rPr>
          <w:rFonts w:hint="eastAsia" w:ascii="宋体" w:hAnsi="宋体" w:eastAsia="宋体" w:cs="Times New Roman"/>
          <w:kern w:val="2"/>
          <w:sz w:val="21"/>
          <w:szCs w:val="24"/>
          <w:highlight w:val="none"/>
          <w:lang w:val="en-US" w:eastAsia="zh-CN" w:bidi="ar-SA"/>
        </w:rPr>
        <w:t>商务及技术部分</w:t>
      </w:r>
      <w:bookmarkEnd w:id="262"/>
      <w:r>
        <w:rPr>
          <w:rFonts w:hint="eastAsia" w:ascii="宋体" w:hAnsi="宋体" w:eastAsia="宋体" w:cs="Times New Roman"/>
          <w:kern w:val="2"/>
          <w:sz w:val="21"/>
          <w:szCs w:val="24"/>
          <w:highlight w:val="none"/>
          <w:lang w:val="en-US" w:eastAsia="zh-CN" w:bidi="ar-SA"/>
        </w:rPr>
        <w:t>资料目录</w:t>
      </w:r>
    </w:p>
    <w:tbl>
      <w:tblPr>
        <w:tblStyle w:val="20"/>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29"/>
        <w:gridCol w:w="2492"/>
        <w:gridCol w:w="1736"/>
        <w:gridCol w:w="1395"/>
        <w:gridCol w:w="1052"/>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25" w:type="dxa"/>
            <w:vAlign w:val="center"/>
          </w:tcPr>
          <w:p>
            <w:pPr>
              <w:pStyle w:val="31"/>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highlight w:val="none"/>
              </w:rPr>
            </w:pPr>
            <w:r>
              <w:rPr>
                <w:rFonts w:hint="eastAsia" w:asciiTheme="minorEastAsia" w:hAnsiTheme="minorEastAsia" w:eastAsiaTheme="minorEastAsia" w:cstheme="minorEastAsia"/>
                <w:b w:val="0"/>
                <w:kern w:val="0"/>
                <w:sz w:val="18"/>
                <w:szCs w:val="18"/>
                <w:highlight w:val="none"/>
              </w:rPr>
              <w:t>序号</w:t>
            </w:r>
          </w:p>
        </w:tc>
        <w:tc>
          <w:tcPr>
            <w:tcW w:w="1029" w:type="dxa"/>
            <w:vAlign w:val="center"/>
          </w:tcPr>
          <w:p>
            <w:pPr>
              <w:pStyle w:val="31"/>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highlight w:val="none"/>
              </w:rPr>
            </w:pPr>
            <w:r>
              <w:rPr>
                <w:rFonts w:hint="eastAsia" w:asciiTheme="minorEastAsia" w:hAnsiTheme="minorEastAsia" w:eastAsiaTheme="minorEastAsia" w:cstheme="minorEastAsia"/>
                <w:b w:val="0"/>
                <w:bCs/>
                <w:sz w:val="18"/>
                <w:szCs w:val="18"/>
                <w:highlight w:val="none"/>
              </w:rPr>
              <w:t>对应评分标准</w:t>
            </w:r>
          </w:p>
        </w:tc>
        <w:tc>
          <w:tcPr>
            <w:tcW w:w="2492" w:type="dxa"/>
            <w:vAlign w:val="center"/>
          </w:tcPr>
          <w:p>
            <w:pPr>
              <w:pStyle w:val="31"/>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highlight w:val="none"/>
              </w:rPr>
            </w:pPr>
            <w:r>
              <w:rPr>
                <w:rFonts w:hint="eastAsia" w:asciiTheme="minorEastAsia" w:hAnsiTheme="minorEastAsia" w:eastAsiaTheme="minorEastAsia" w:cstheme="minorEastAsia"/>
                <w:b w:val="0"/>
                <w:kern w:val="0"/>
                <w:sz w:val="18"/>
                <w:szCs w:val="18"/>
                <w:highlight w:val="none"/>
              </w:rPr>
              <w:t>对应评分细则</w:t>
            </w:r>
          </w:p>
        </w:tc>
        <w:tc>
          <w:tcPr>
            <w:tcW w:w="1736" w:type="dxa"/>
            <w:vAlign w:val="center"/>
          </w:tcPr>
          <w:p>
            <w:pPr>
              <w:pStyle w:val="31"/>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highlight w:val="none"/>
              </w:rPr>
            </w:pPr>
            <w:r>
              <w:rPr>
                <w:rFonts w:hint="eastAsia" w:asciiTheme="minorEastAsia" w:hAnsiTheme="minorEastAsia" w:eastAsiaTheme="minorEastAsia" w:cstheme="minorEastAsia"/>
                <w:b w:val="0"/>
                <w:kern w:val="0"/>
                <w:sz w:val="18"/>
                <w:szCs w:val="18"/>
                <w:highlight w:val="none"/>
              </w:rPr>
              <w:t>证明材料名称</w:t>
            </w:r>
          </w:p>
        </w:tc>
        <w:tc>
          <w:tcPr>
            <w:tcW w:w="1395" w:type="dxa"/>
            <w:vAlign w:val="center"/>
          </w:tcPr>
          <w:p>
            <w:pPr>
              <w:pStyle w:val="31"/>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highlight w:val="none"/>
                <w:lang w:val="en-US" w:eastAsia="zh-CN"/>
              </w:rPr>
            </w:pPr>
            <w:r>
              <w:rPr>
                <w:rFonts w:hint="eastAsia" w:asciiTheme="minorEastAsia" w:hAnsiTheme="minorEastAsia" w:eastAsiaTheme="minorEastAsia" w:cstheme="minorEastAsia"/>
                <w:b w:val="0"/>
                <w:kern w:val="0"/>
                <w:sz w:val="18"/>
                <w:szCs w:val="18"/>
                <w:highlight w:val="none"/>
                <w:lang w:val="en-US" w:eastAsia="zh-CN"/>
              </w:rPr>
              <w:t>应加分数</w:t>
            </w:r>
          </w:p>
        </w:tc>
        <w:tc>
          <w:tcPr>
            <w:tcW w:w="1052" w:type="dxa"/>
            <w:vAlign w:val="center"/>
          </w:tcPr>
          <w:p>
            <w:pPr>
              <w:pStyle w:val="31"/>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highlight w:val="none"/>
                <w:lang w:val="en-US" w:eastAsia="zh-CN"/>
              </w:rPr>
            </w:pPr>
            <w:r>
              <w:rPr>
                <w:rFonts w:hint="eastAsia" w:asciiTheme="minorEastAsia" w:hAnsiTheme="minorEastAsia" w:eastAsiaTheme="minorEastAsia" w:cstheme="minorEastAsia"/>
                <w:b w:val="0"/>
                <w:kern w:val="0"/>
                <w:sz w:val="18"/>
                <w:szCs w:val="18"/>
                <w:highlight w:val="none"/>
              </w:rPr>
              <w:t>证明材料对应编号</w:t>
            </w:r>
          </w:p>
        </w:tc>
        <w:tc>
          <w:tcPr>
            <w:tcW w:w="998" w:type="dxa"/>
            <w:vAlign w:val="center"/>
          </w:tcPr>
          <w:p>
            <w:pPr>
              <w:pStyle w:val="31"/>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val="0"/>
                <w:kern w:val="0"/>
                <w:sz w:val="18"/>
                <w:szCs w:val="18"/>
                <w:highlight w:val="none"/>
                <w:lang w:val="en-US" w:eastAsia="zh-CN"/>
              </w:rPr>
            </w:pPr>
            <w:r>
              <w:rPr>
                <w:rFonts w:hint="eastAsia" w:asciiTheme="minorEastAsia" w:hAnsiTheme="minorEastAsia" w:eastAsiaTheme="minorEastAsia" w:cstheme="minorEastAsia"/>
                <w:b w:val="0"/>
                <w:kern w:val="0"/>
                <w:sz w:val="18"/>
                <w:szCs w:val="18"/>
                <w:highlight w:val="none"/>
                <w:lang w:val="en-US" w:eastAsia="zh-CN"/>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例</w:t>
            </w:r>
          </w:p>
        </w:tc>
        <w:tc>
          <w:tcPr>
            <w:tcW w:w="1029"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highlight w:val="none"/>
              </w:rPr>
            </w:pPr>
          </w:p>
        </w:tc>
        <w:tc>
          <w:tcPr>
            <w:tcW w:w="2492"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highlight w:val="none"/>
              </w:rPr>
            </w:pPr>
          </w:p>
        </w:tc>
        <w:tc>
          <w:tcPr>
            <w:tcW w:w="1736"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highlight w:val="none"/>
              </w:rPr>
            </w:pPr>
          </w:p>
        </w:tc>
        <w:tc>
          <w:tcPr>
            <w:tcW w:w="1395"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highlight w:val="none"/>
              </w:rPr>
            </w:pPr>
          </w:p>
        </w:tc>
        <w:tc>
          <w:tcPr>
            <w:tcW w:w="1052"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highlight w:val="none"/>
              </w:rPr>
            </w:pPr>
          </w:p>
        </w:tc>
        <w:tc>
          <w:tcPr>
            <w:tcW w:w="998"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1</w:t>
            </w:r>
          </w:p>
        </w:tc>
        <w:tc>
          <w:tcPr>
            <w:tcW w:w="1029"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sz w:val="18"/>
                <w:szCs w:val="18"/>
                <w:highlight w:val="none"/>
                <w:lang w:val="en-US" w:eastAsia="zh-CN"/>
              </w:rPr>
              <w:t>业绩材料</w:t>
            </w:r>
          </w:p>
        </w:tc>
        <w:tc>
          <w:tcPr>
            <w:tcW w:w="2492" w:type="dxa"/>
            <w:vAlign w:val="center"/>
          </w:tcPr>
          <w:p>
            <w:pPr>
              <w:keepNext w:val="0"/>
              <w:keepLines w:val="0"/>
              <w:suppressLineNumbers w:val="0"/>
              <w:snapToGrid w:val="0"/>
              <w:spacing w:before="0" w:beforeAutospacing="0" w:after="0" w:afterAutospacing="0" w:line="400" w:lineRule="exact"/>
              <w:ind w:left="0" w:leftChars="0" w:right="0" w:rightChars="0"/>
              <w:jc w:val="both"/>
              <w:rPr>
                <w:rFonts w:hint="default" w:asciiTheme="minorEastAsia" w:hAnsiTheme="minorEastAsia" w:eastAsiaTheme="minorEastAsia" w:cstheme="minorEastAsia"/>
                <w:sz w:val="18"/>
                <w:szCs w:val="18"/>
                <w:highlight w:val="none"/>
                <w:lang w:val="en-US" w:eastAsia="zh-CN"/>
              </w:rPr>
            </w:pPr>
          </w:p>
        </w:tc>
        <w:tc>
          <w:tcPr>
            <w:tcW w:w="1736"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XX业绩复印件</w:t>
            </w:r>
          </w:p>
        </w:tc>
        <w:tc>
          <w:tcPr>
            <w:tcW w:w="1395"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4分</w:t>
            </w:r>
          </w:p>
        </w:tc>
        <w:tc>
          <w:tcPr>
            <w:tcW w:w="1052"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证明材料1</w:t>
            </w:r>
          </w:p>
        </w:tc>
        <w:tc>
          <w:tcPr>
            <w:tcW w:w="998"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XX页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2</w:t>
            </w:r>
          </w:p>
        </w:tc>
        <w:tc>
          <w:tcPr>
            <w:tcW w:w="1029"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业绩材料</w:t>
            </w:r>
          </w:p>
        </w:tc>
        <w:tc>
          <w:tcPr>
            <w:tcW w:w="2492" w:type="dxa"/>
            <w:vAlign w:val="center"/>
          </w:tcPr>
          <w:p>
            <w:pPr>
              <w:keepNext w:val="0"/>
              <w:keepLines w:val="0"/>
              <w:suppressLineNumbers w:val="0"/>
              <w:snapToGrid w:val="0"/>
              <w:spacing w:before="0" w:beforeAutospacing="0" w:after="0" w:afterAutospacing="0" w:line="400" w:lineRule="exact"/>
              <w:ind w:left="0" w:leftChars="0" w:right="0" w:rightChars="0"/>
              <w:jc w:val="both"/>
              <w:rPr>
                <w:rFonts w:hint="eastAsia" w:asciiTheme="minorEastAsia" w:hAnsiTheme="minorEastAsia" w:eastAsiaTheme="minorEastAsia" w:cstheme="minorEastAsia"/>
                <w:sz w:val="18"/>
                <w:szCs w:val="18"/>
                <w:highlight w:val="none"/>
                <w:lang w:val="en-US" w:eastAsia="zh-CN"/>
              </w:rPr>
            </w:pPr>
          </w:p>
        </w:tc>
        <w:tc>
          <w:tcPr>
            <w:tcW w:w="1736"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XX业绩复印件</w:t>
            </w:r>
          </w:p>
        </w:tc>
        <w:tc>
          <w:tcPr>
            <w:tcW w:w="1395"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2分</w:t>
            </w:r>
          </w:p>
        </w:tc>
        <w:tc>
          <w:tcPr>
            <w:tcW w:w="1052"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证明材料2</w:t>
            </w:r>
          </w:p>
        </w:tc>
        <w:tc>
          <w:tcPr>
            <w:tcW w:w="998"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XX页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3</w:t>
            </w:r>
          </w:p>
        </w:tc>
        <w:tc>
          <w:tcPr>
            <w:tcW w:w="1029" w:type="dxa"/>
            <w:vAlign w:val="center"/>
          </w:tcPr>
          <w:p>
            <w:pPr>
              <w:keepNext w:val="0"/>
              <w:keepLines w:val="0"/>
              <w:suppressLineNumbers w:val="0"/>
              <w:snapToGrid w:val="0"/>
              <w:spacing w:before="0" w:beforeAutospacing="0" w:after="0" w:afterAutospacing="0" w:line="400" w:lineRule="exact"/>
              <w:ind w:left="0" w:leftChars="0" w:right="0" w:rightChars="0"/>
              <w:jc w:val="both"/>
              <w:rPr>
                <w:rFonts w:hint="default" w:asciiTheme="minorEastAsia" w:hAnsiTheme="minorEastAsia" w:eastAsiaTheme="minorEastAsia" w:cstheme="minorEastAsia"/>
                <w:sz w:val="18"/>
                <w:szCs w:val="18"/>
                <w:highlight w:val="none"/>
                <w:lang w:val="en-US" w:eastAsia="zh-CN"/>
              </w:rPr>
            </w:pPr>
          </w:p>
        </w:tc>
        <w:tc>
          <w:tcPr>
            <w:tcW w:w="2492" w:type="dxa"/>
            <w:vAlign w:val="center"/>
          </w:tcPr>
          <w:p>
            <w:pPr>
              <w:keepNext w:val="0"/>
              <w:keepLines w:val="0"/>
              <w:suppressLineNumbers w:val="0"/>
              <w:snapToGrid w:val="0"/>
              <w:spacing w:before="0" w:beforeAutospacing="0" w:after="0" w:afterAutospacing="0" w:line="400" w:lineRule="exact"/>
              <w:ind w:left="0" w:leftChars="0" w:right="0" w:rightChars="0"/>
              <w:jc w:val="both"/>
              <w:rPr>
                <w:rFonts w:hint="default" w:asciiTheme="minorEastAsia" w:hAnsiTheme="minorEastAsia" w:eastAsiaTheme="minorEastAsia" w:cstheme="minorEastAsia"/>
                <w:sz w:val="18"/>
                <w:szCs w:val="18"/>
                <w:highlight w:val="none"/>
                <w:lang w:val="en-US" w:eastAsia="zh-CN"/>
              </w:rPr>
            </w:pPr>
          </w:p>
        </w:tc>
        <w:tc>
          <w:tcPr>
            <w:tcW w:w="1736"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XX证书</w:t>
            </w:r>
          </w:p>
        </w:tc>
        <w:tc>
          <w:tcPr>
            <w:tcW w:w="1395"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p>
        </w:tc>
        <w:tc>
          <w:tcPr>
            <w:tcW w:w="1052"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证明材料3</w:t>
            </w:r>
          </w:p>
        </w:tc>
        <w:tc>
          <w:tcPr>
            <w:tcW w:w="998"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XX页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keepNext w:val="0"/>
              <w:keepLines w:val="0"/>
              <w:suppressLineNumbers w:val="0"/>
              <w:snapToGrid w:val="0"/>
              <w:spacing w:before="0" w:beforeAutospacing="0" w:after="0" w:afterAutospacing="0" w:line="400" w:lineRule="exact"/>
              <w:ind w:left="0" w:right="0"/>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4</w:t>
            </w:r>
          </w:p>
        </w:tc>
        <w:tc>
          <w:tcPr>
            <w:tcW w:w="1029"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w:t>
            </w:r>
          </w:p>
        </w:tc>
        <w:tc>
          <w:tcPr>
            <w:tcW w:w="2492" w:type="dxa"/>
          </w:tcPr>
          <w:p>
            <w:pPr>
              <w:keepNext w:val="0"/>
              <w:keepLines w:val="0"/>
              <w:suppressLineNumbers w:val="0"/>
              <w:snapToGrid w:val="0"/>
              <w:spacing w:before="0" w:beforeAutospacing="0" w:after="0" w:afterAutospacing="0" w:line="400" w:lineRule="exact"/>
              <w:ind w:left="0" w:leftChars="0" w:right="0" w:rightChars="0"/>
              <w:jc w:val="both"/>
              <w:rPr>
                <w:rFonts w:hint="default" w:asciiTheme="minorEastAsia" w:hAnsiTheme="minorEastAsia" w:eastAsiaTheme="minorEastAsia" w:cstheme="minorEastAsia"/>
                <w:sz w:val="18"/>
                <w:szCs w:val="18"/>
                <w:highlight w:val="none"/>
                <w:lang w:val="en-US" w:eastAsia="zh-CN"/>
              </w:rPr>
            </w:pPr>
          </w:p>
        </w:tc>
        <w:tc>
          <w:tcPr>
            <w:tcW w:w="1736"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XX年财务审计报告</w:t>
            </w:r>
          </w:p>
        </w:tc>
        <w:tc>
          <w:tcPr>
            <w:tcW w:w="1395"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2分</w:t>
            </w:r>
          </w:p>
        </w:tc>
        <w:tc>
          <w:tcPr>
            <w:tcW w:w="1052"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证明材料4</w:t>
            </w:r>
          </w:p>
        </w:tc>
        <w:tc>
          <w:tcPr>
            <w:tcW w:w="998"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XX页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p>
        </w:tc>
        <w:tc>
          <w:tcPr>
            <w:tcW w:w="1029"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w:t>
            </w: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r>
    </w:tbl>
    <w:p>
      <w:pPr>
        <w:pStyle w:val="19"/>
        <w:numPr>
          <w:ilvl w:val="0"/>
          <w:numId w:val="0"/>
        </w:numPr>
        <w:rPr>
          <w:rFonts w:hint="default"/>
          <w:highlight w:val="none"/>
          <w:lang w:val="en-US" w:eastAsia="zh-CN"/>
        </w:rPr>
      </w:pPr>
      <w:bookmarkStart w:id="263" w:name="_Toc30564"/>
    </w:p>
    <w:p>
      <w:pPr>
        <w:spacing w:line="360" w:lineRule="auto"/>
        <w:jc w:val="center"/>
        <w:outlineLvl w:val="1"/>
        <w:rPr>
          <w:rFonts w:hint="eastAsia" w:ascii="宋体" w:hAnsi="宋体" w:cs="宋体"/>
          <w:b/>
          <w:bCs/>
          <w:kern w:val="0"/>
          <w:sz w:val="28"/>
          <w:szCs w:val="32"/>
          <w:highlight w:val="none"/>
        </w:rPr>
      </w:pPr>
    </w:p>
    <w:p>
      <w:pPr>
        <w:spacing w:line="360" w:lineRule="auto"/>
        <w:jc w:val="center"/>
        <w:outlineLvl w:val="1"/>
        <w:rPr>
          <w:rFonts w:ascii="宋体" w:hAnsi="宋体" w:cs="宋体"/>
          <w:b/>
          <w:bCs/>
          <w:kern w:val="0"/>
          <w:sz w:val="28"/>
          <w:szCs w:val="32"/>
          <w:highlight w:val="none"/>
        </w:rPr>
      </w:pPr>
      <w:r>
        <w:rPr>
          <w:rFonts w:hint="eastAsia" w:ascii="宋体" w:hAnsi="宋体" w:cs="宋体"/>
          <w:b/>
          <w:bCs/>
          <w:kern w:val="0"/>
          <w:sz w:val="28"/>
          <w:szCs w:val="32"/>
          <w:highlight w:val="none"/>
        </w:rPr>
        <w:t>（</w:t>
      </w:r>
      <w:r>
        <w:rPr>
          <w:rFonts w:hint="eastAsia" w:ascii="宋体" w:hAnsi="宋体" w:cs="宋体"/>
          <w:b/>
          <w:bCs/>
          <w:kern w:val="0"/>
          <w:sz w:val="28"/>
          <w:szCs w:val="32"/>
          <w:highlight w:val="none"/>
          <w:lang w:val="en-US" w:eastAsia="zh-CN"/>
        </w:rPr>
        <w:t>二</w:t>
      </w:r>
      <w:r>
        <w:rPr>
          <w:rFonts w:hint="eastAsia" w:ascii="宋体" w:hAnsi="宋体" w:cs="宋体"/>
          <w:b/>
          <w:bCs/>
          <w:kern w:val="0"/>
          <w:sz w:val="28"/>
          <w:szCs w:val="32"/>
          <w:highlight w:val="none"/>
        </w:rPr>
        <w:t>）技术方案</w:t>
      </w:r>
      <w:bookmarkEnd w:id="263"/>
    </w:p>
    <w:p>
      <w:pPr>
        <w:pStyle w:val="4"/>
        <w:jc w:val="center"/>
        <w:rPr>
          <w:rFonts w:hint="eastAsia" w:ascii="宋体" w:hAnsi="宋体" w:cs="宋体"/>
          <w:color w:val="000000" w:themeColor="text1"/>
          <w:sz w:val="28"/>
          <w14:textFill>
            <w14:solidFill>
              <w14:schemeClr w14:val="tx1"/>
            </w14:solidFill>
          </w14:textFill>
        </w:rPr>
      </w:pPr>
    </w:p>
    <w:p>
      <w:pPr>
        <w:rPr>
          <w:rFonts w:hint="eastAsia"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br w:type="page"/>
      </w:r>
    </w:p>
    <w:p>
      <w:pPr>
        <w:pStyle w:val="4"/>
        <w:jc w:val="center"/>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w:t>
      </w:r>
      <w:r>
        <w:rPr>
          <w:rFonts w:hint="eastAsia" w:ascii="宋体" w:hAnsi="宋体" w:cs="宋体"/>
          <w:color w:val="000000" w:themeColor="text1"/>
          <w:sz w:val="28"/>
          <w:lang w:val="en-US" w:eastAsia="zh-CN"/>
          <w14:textFill>
            <w14:solidFill>
              <w14:schemeClr w14:val="tx1"/>
            </w14:solidFill>
          </w14:textFill>
        </w:rPr>
        <w:t>三</w:t>
      </w:r>
      <w:r>
        <w:rPr>
          <w:rFonts w:hint="eastAsia" w:ascii="宋体" w:hAnsi="宋体" w:cs="宋体"/>
          <w:color w:val="000000" w:themeColor="text1"/>
          <w:sz w:val="28"/>
          <w14:textFill>
            <w14:solidFill>
              <w14:schemeClr w14:val="tx1"/>
            </w14:solidFill>
          </w14:textFill>
        </w:rPr>
        <w:t>）</w:t>
      </w:r>
      <w:bookmarkEnd w:id="259"/>
      <w:bookmarkStart w:id="264" w:name="_Toc507681700"/>
      <w:bookmarkStart w:id="265" w:name="_Toc507681488"/>
      <w:bookmarkStart w:id="266" w:name="_Toc504639215"/>
      <w:r>
        <w:rPr>
          <w:rFonts w:hint="eastAsia" w:ascii="宋体" w:hAnsi="宋体" w:cs="宋体"/>
          <w:color w:val="000000" w:themeColor="text1"/>
          <w:sz w:val="28"/>
          <w14:textFill>
            <w14:solidFill>
              <w14:schemeClr w14:val="tx1"/>
            </w14:solidFill>
          </w14:textFill>
        </w:rPr>
        <w:t>报价人自行承诺部分</w:t>
      </w:r>
      <w:bookmarkEnd w:id="264"/>
      <w:bookmarkEnd w:id="265"/>
      <w:bookmarkEnd w:id="266"/>
    </w:p>
    <w:p>
      <w:pPr>
        <w:pStyle w:val="17"/>
        <w:keepNext w:val="0"/>
        <w:keepLines w:val="0"/>
        <w:pageBreakBefore w:val="0"/>
        <w:widowControl w:val="0"/>
        <w:kinsoku/>
        <w:wordWrap/>
        <w:overflowPunct/>
        <w:topLinePunct w:val="0"/>
        <w:bidi w:val="0"/>
        <w:spacing w:line="480" w:lineRule="auto"/>
        <w:jc w:val="both"/>
        <w:textAlignment w:val="auto"/>
        <w:rPr>
          <w:rFonts w:hint="eastAsia" w:hAnsi="宋体"/>
          <w:color w:val="auto"/>
          <w:highlight w:val="none"/>
        </w:rPr>
      </w:pPr>
      <w:r>
        <w:rPr>
          <w:rFonts w:hint="eastAsia" w:hAnsi="宋体"/>
          <w:color w:val="auto"/>
          <w:highlight w:val="none"/>
          <w:lang w:val="en-US" w:eastAsia="zh-CN"/>
        </w:rPr>
        <w:t>致：</w:t>
      </w:r>
      <w:r>
        <w:rPr>
          <w:rFonts w:hint="eastAsia" w:hAnsi="宋体"/>
          <w:color w:val="auto"/>
          <w:highlight w:val="none"/>
          <w:u w:val="single"/>
          <w:lang w:eastAsia="zh-CN"/>
        </w:rPr>
        <w:t>重庆首讯科技股份有限公司</w:t>
      </w:r>
    </w:p>
    <w:p>
      <w:pPr>
        <w:rPr>
          <w:rFonts w:hint="eastAsia"/>
          <w:color w:val="auto"/>
          <w:highlight w:val="none"/>
        </w:rPr>
      </w:pP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在研究</w:t>
      </w:r>
      <w:r>
        <w:rPr>
          <w:rFonts w:hint="eastAsia" w:ascii="宋体" w:hAnsi="宋体" w:cs="宋体"/>
          <w:sz w:val="24"/>
          <w:szCs w:val="24"/>
          <w:highlight w:val="none"/>
          <w:u w:val="single"/>
          <w:lang w:eastAsia="zh-CN"/>
        </w:rPr>
        <w:t>巫溪至开州高速公路项目机电工程语音服务平台组件采购</w:t>
      </w:r>
      <w:r>
        <w:rPr>
          <w:rFonts w:hint="eastAsia" w:ascii="宋体" w:hAnsi="宋体"/>
          <w:color w:val="auto"/>
          <w:sz w:val="24"/>
          <w:highlight w:val="none"/>
          <w:u w:val="single"/>
          <w:lang w:val="en-US" w:eastAsia="zh-CN"/>
        </w:rPr>
        <w:t>项目</w:t>
      </w:r>
      <w:r>
        <w:rPr>
          <w:rFonts w:hint="eastAsia" w:ascii="宋体" w:hAnsi="宋体"/>
          <w:color w:val="auto"/>
          <w:sz w:val="24"/>
          <w:highlight w:val="none"/>
          <w:lang w:val="en-US" w:eastAsia="zh-CN"/>
        </w:rPr>
        <w:t>竞争比选文件后，在此郑重承诺我司满足本项目一切报价内容、报价、工期要求及质量标准等相关要求，响应比选函的一切内容，同时申明将按照甲方要求组建服务团队、履行服务义务。若我司中标本项目且无法满足业主相关需求，我司愿承担由此给采购人造成的一切损失。</w:t>
      </w:r>
    </w:p>
    <w:p>
      <w:pPr>
        <w:pStyle w:val="8"/>
        <w:keepNext w:val="0"/>
        <w:keepLines w:val="0"/>
        <w:pageBreakBefore w:val="0"/>
        <w:widowControl w:val="0"/>
        <w:kinsoku/>
        <w:wordWrap/>
        <w:overflowPunct/>
        <w:topLinePunct w:val="0"/>
        <w:bidi w:val="0"/>
        <w:spacing w:line="480" w:lineRule="auto"/>
        <w:textAlignment w:val="auto"/>
        <w:rPr>
          <w:rFonts w:hint="eastAsia" w:ascii="宋体" w:hAnsi="宋体"/>
          <w:color w:val="auto"/>
          <w:sz w:val="24"/>
          <w:highlight w:val="none"/>
          <w:lang w:val="en-US" w:eastAsia="zh-CN"/>
        </w:rPr>
      </w:pPr>
    </w:p>
    <w:p>
      <w:pPr>
        <w:keepNext w:val="0"/>
        <w:keepLines w:val="0"/>
        <w:pageBreakBefore w:val="0"/>
        <w:widowControl w:val="0"/>
        <w:kinsoku/>
        <w:wordWrap/>
        <w:overflowPunct/>
        <w:topLinePunct w:val="0"/>
        <w:bidi w:val="0"/>
        <w:spacing w:line="480" w:lineRule="auto"/>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                                        承诺人：XX公司</w:t>
      </w:r>
    </w:p>
    <w:p>
      <w:pPr>
        <w:pStyle w:val="8"/>
        <w:keepNext w:val="0"/>
        <w:keepLines w:val="0"/>
        <w:pageBreakBefore w:val="0"/>
        <w:widowControl w:val="0"/>
        <w:kinsoku/>
        <w:wordWrap/>
        <w:overflowPunct/>
        <w:topLinePunct w:val="0"/>
        <w:bidi w:val="0"/>
        <w:spacing w:line="480" w:lineRule="auto"/>
        <w:textAlignment w:val="auto"/>
        <w:rPr>
          <w:rFonts w:hint="default"/>
          <w:color w:val="auto"/>
          <w:highlight w:val="none"/>
          <w:lang w:val="en-US" w:eastAsia="zh-CN"/>
        </w:rPr>
      </w:pPr>
      <w:r>
        <w:rPr>
          <w:rFonts w:hint="eastAsia" w:ascii="宋体" w:hAnsi="宋体"/>
          <w:color w:val="auto"/>
          <w:sz w:val="24"/>
          <w:highlight w:val="none"/>
          <w:lang w:val="en-US" w:eastAsia="zh-CN"/>
        </w:rPr>
        <w:t xml:space="preserve">                                        日期：</w:t>
      </w: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pPr>
        <w:pStyle w:val="4"/>
        <w:jc w:val="center"/>
        <w:rPr>
          <w:rFonts w:ascii="宋体" w:hAnsi="宋体" w:cs="宋体"/>
          <w:color w:val="000000" w:themeColor="text1"/>
          <w:sz w:val="28"/>
          <w14:textFill>
            <w14:solidFill>
              <w14:schemeClr w14:val="tx1"/>
            </w14:solidFill>
          </w14:textFill>
        </w:rPr>
      </w:pPr>
    </w:p>
    <w:p>
      <w:pPr>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比选文件中要求报价人自行承诺的，由报价人按比选文件要求内容承诺，格式自拟。</w:t>
      </w:r>
    </w:p>
    <w:p>
      <w:pPr>
        <w:pStyle w:val="4"/>
        <w:jc w:val="center"/>
        <w:rPr>
          <w:rFonts w:ascii="宋体" w:hAnsi="宋体" w:cs="宋体"/>
          <w:color w:val="000000" w:themeColor="text1"/>
          <w:sz w:val="28"/>
          <w14:textFill>
            <w14:solidFill>
              <w14:schemeClr w14:val="tx1"/>
            </w14:solidFill>
          </w14:textFill>
        </w:rPr>
      </w:pPr>
    </w:p>
    <w:p>
      <w:pPr>
        <w:pStyle w:val="3"/>
        <w:spacing w:before="0" w:after="0" w:line="360" w:lineRule="auto"/>
        <w:jc w:val="center"/>
        <w:rPr>
          <w:rFonts w:ascii="宋体" w:hAnsi="宋体" w:eastAsia="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br w:type="page"/>
      </w:r>
      <w:r>
        <w:rPr>
          <w:rFonts w:hint="eastAsia" w:ascii="宋体" w:hAnsi="宋体" w:eastAsia="宋体" w:cs="宋体"/>
          <w:color w:val="000000" w:themeColor="text1"/>
          <w:sz w:val="28"/>
          <w14:textFill>
            <w14:solidFill>
              <w14:schemeClr w14:val="tx1"/>
            </w14:solidFill>
          </w14:textFill>
        </w:rPr>
        <w:t>六、报价人基本信息及其他材料</w:t>
      </w:r>
    </w:p>
    <w:p>
      <w:pPr>
        <w:pStyle w:val="4"/>
        <w:spacing w:before="0" w:after="0" w:line="360" w:lineRule="auto"/>
        <w:jc w:val="center"/>
        <w:rPr>
          <w:color w:val="000000" w:themeColor="text1"/>
          <w:sz w:val="28"/>
          <w:szCs w:val="28"/>
          <w14:textFill>
            <w14:solidFill>
              <w14:schemeClr w14:val="tx1"/>
            </w14:solidFill>
          </w14:textFill>
        </w:rPr>
      </w:pPr>
      <w:bookmarkStart w:id="267" w:name="_Toc452107137"/>
      <w:bookmarkStart w:id="268" w:name="_Toc508110857"/>
      <w:bookmarkStart w:id="269" w:name="_Toc4375"/>
      <w:r>
        <w:rPr>
          <w:rFonts w:hint="eastAsia"/>
          <w:color w:val="000000" w:themeColor="text1"/>
          <w:sz w:val="28"/>
          <w:szCs w:val="28"/>
          <w14:textFill>
            <w14:solidFill>
              <w14:schemeClr w14:val="tx1"/>
            </w14:solidFill>
          </w14:textFill>
        </w:rPr>
        <w:t>（一）报价人基本信息表</w:t>
      </w:r>
      <w:bookmarkEnd w:id="267"/>
      <w:bookmarkEnd w:id="268"/>
      <w:bookmarkEnd w:id="269"/>
    </w:p>
    <w:p>
      <w:pPr>
        <w:pStyle w:val="12"/>
        <w:rPr>
          <w:color w:val="000000" w:themeColor="text1"/>
          <w14:textFill>
            <w14:solidFill>
              <w14:schemeClr w14:val="tx1"/>
            </w14:solidFill>
          </w14:textFill>
        </w:rPr>
      </w:pPr>
    </w:p>
    <w:tbl>
      <w:tblPr>
        <w:tblStyle w:val="20"/>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w:t>
            </w:r>
          </w:p>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bl>
    <w:p>
      <w:pPr>
        <w:pStyle w:val="4"/>
        <w:numPr>
          <w:ilvl w:val="0"/>
          <w:numId w:val="0"/>
        </w:numPr>
        <w:jc w:val="both"/>
        <w:rPr>
          <w:rFonts w:hint="eastAsia" w:ascii="宋体" w:hAnsi="宋体" w:cs="宋体"/>
          <w:color w:val="000000" w:themeColor="text1"/>
          <w:sz w:val="28"/>
          <w14:textFill>
            <w14:solidFill>
              <w14:schemeClr w14:val="tx1"/>
            </w14:solidFill>
          </w14:textFill>
        </w:rPr>
      </w:pPr>
    </w:p>
    <w:p>
      <w:pPr>
        <w:pStyle w:val="4"/>
        <w:numPr>
          <w:ilvl w:val="0"/>
          <w:numId w:val="0"/>
        </w:numPr>
        <w:jc w:val="center"/>
        <w:rPr>
          <w:rFonts w:hint="eastAsia" w:ascii="宋体" w:hAnsi="宋体" w:cs="宋体"/>
          <w:color w:val="000000" w:themeColor="text1"/>
          <w:sz w:val="28"/>
          <w14:textFill>
            <w14:solidFill>
              <w14:schemeClr w14:val="tx1"/>
            </w14:solidFill>
          </w14:textFill>
        </w:rPr>
      </w:pPr>
      <w:r>
        <w:rPr>
          <w:rFonts w:hint="eastAsia" w:ascii="宋体" w:hAnsi="宋体" w:cs="宋体"/>
          <w:color w:val="000000" w:themeColor="text1"/>
          <w:sz w:val="28"/>
          <w:lang w:eastAsia="zh-CN"/>
          <w14:textFill>
            <w14:solidFill>
              <w14:schemeClr w14:val="tx1"/>
            </w14:solidFill>
          </w14:textFill>
        </w:rPr>
        <w:t>（</w:t>
      </w:r>
      <w:r>
        <w:rPr>
          <w:rFonts w:hint="eastAsia" w:ascii="宋体" w:hAnsi="宋体" w:cs="宋体"/>
          <w:color w:val="000000" w:themeColor="text1"/>
          <w:sz w:val="28"/>
          <w:lang w:val="en-US" w:eastAsia="zh-CN"/>
          <w14:textFill>
            <w14:solidFill>
              <w14:schemeClr w14:val="tx1"/>
            </w14:solidFill>
          </w14:textFill>
        </w:rPr>
        <w:t>二</w:t>
      </w:r>
      <w:r>
        <w:rPr>
          <w:rFonts w:hint="eastAsia" w:ascii="宋体" w:hAnsi="宋体" w:cs="宋体"/>
          <w:color w:val="000000" w:themeColor="text1"/>
          <w:sz w:val="28"/>
          <w:lang w:eastAsia="zh-CN"/>
          <w14:textFill>
            <w14:solidFill>
              <w14:schemeClr w14:val="tx1"/>
            </w14:solidFill>
          </w14:textFill>
        </w:rPr>
        <w:t>）</w:t>
      </w:r>
      <w:r>
        <w:rPr>
          <w:rFonts w:hint="eastAsia" w:ascii="宋体" w:hAnsi="宋体" w:cs="宋体"/>
          <w:color w:val="000000" w:themeColor="text1"/>
          <w:sz w:val="28"/>
          <w14:textFill>
            <w14:solidFill>
              <w14:schemeClr w14:val="tx1"/>
            </w14:solidFill>
          </w14:textFill>
        </w:rPr>
        <w:t>其他材料</w:t>
      </w:r>
    </w:p>
    <w:p>
      <w:p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1、投标保证金银行回执等附件。</w:t>
      </w:r>
    </w:p>
    <w:bookmarkEnd w:id="260"/>
    <w:bookmarkEnd w:id="261"/>
    <w:p>
      <w:pPr>
        <w:keepNext w:val="0"/>
        <w:keepLines w:val="0"/>
        <w:spacing w:line="240" w:lineRule="auto"/>
        <w:ind w:firstLine="420" w:firstLineChars="200"/>
        <w:jc w:val="left"/>
        <w:outlineLvl w:val="9"/>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2、其他内容。</w:t>
      </w: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outlineLvl w:val="1"/>
        <w:rPr>
          <w:color w:val="000000" w:themeColor="text1"/>
          <w14:textFill>
            <w14:solidFill>
              <w14:schemeClr w14:val="tx1"/>
            </w14:solidFill>
          </w14:textFill>
        </w:rPr>
      </w:pPr>
    </w:p>
    <w:sectPr>
      <w:footerReference r:id="rId12" w:type="first"/>
      <w:footerReference r:id="rId11"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长城仿宋">
    <w:altName w:val="仿宋"/>
    <w:panose1 w:val="00000000000000000000"/>
    <w:charset w:val="00"/>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79</w:t>
    </w:r>
    <w: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35</w:t>
    </w:r>
    <w:r>
      <w:fldChar w:fldCharType="end"/>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520" w:h="235" w:hRule="exact" w:wrap="around" w:vAnchor="text" w:hAnchor="page" w:x="6073" w:y="-2"/>
      <w:rPr>
        <w:rStyle w:val="23"/>
      </w:rPr>
    </w:pPr>
    <w:r>
      <w:fldChar w:fldCharType="begin"/>
    </w:r>
    <w:r>
      <w:rPr>
        <w:rStyle w:val="23"/>
      </w:rPr>
      <w:instrText xml:space="preserve">PAGE  </w:instrText>
    </w:r>
    <w:r>
      <w:fldChar w:fldCharType="separate"/>
    </w:r>
    <w:r>
      <w:rPr>
        <w:rStyle w:val="23"/>
      </w:rPr>
      <w:t>73</w:t>
    </w:r>
    <w:r>
      <w:fldChar w:fldCharType="end"/>
    </w:r>
  </w:p>
  <w:p>
    <w:pPr>
      <w:pStyle w:val="12"/>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520" w:h="235" w:hRule="exact" w:wrap="around" w:vAnchor="text" w:hAnchor="page" w:x="6073" w:y="-2"/>
      <w:rPr>
        <w:rStyle w:val="23"/>
      </w:rPr>
    </w:pPr>
    <w:r>
      <w:fldChar w:fldCharType="begin"/>
    </w:r>
    <w:r>
      <w:rPr>
        <w:rStyle w:val="23"/>
      </w:rPr>
      <w:instrText xml:space="preserve">PAGE  </w:instrText>
    </w:r>
    <w:r>
      <w:fldChar w:fldCharType="separate"/>
    </w:r>
    <w:r>
      <w:rPr>
        <w:rStyle w:val="23"/>
      </w:rPr>
      <w:t>19</w:t>
    </w:r>
    <w:r>
      <w:fldChar w:fldCharType="end"/>
    </w:r>
  </w:p>
  <w:p>
    <w:pPr>
      <w:pStyle w:val="12"/>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520" w:h="235" w:hRule="exact" w:wrap="around" w:vAnchor="text" w:hAnchor="page" w:x="6073" w:y="-2"/>
      <w:rPr>
        <w:rStyle w:val="23"/>
      </w:rPr>
    </w:pPr>
    <w:r>
      <w:fldChar w:fldCharType="begin"/>
    </w:r>
    <w:r>
      <w:rPr>
        <w:rStyle w:val="23"/>
      </w:rPr>
      <w:instrText xml:space="preserve">PAGE  </w:instrText>
    </w:r>
    <w:r>
      <w:fldChar w:fldCharType="separate"/>
    </w:r>
    <w:r>
      <w:rPr>
        <w:rStyle w:val="23"/>
      </w:rPr>
      <w:t>78</w:t>
    </w:r>
    <w:r>
      <w:fldChar w:fldCharType="end"/>
    </w:r>
  </w:p>
  <w:p>
    <w:pPr>
      <w:pStyle w:val="12"/>
      <w:ind w:right="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Style w:val="23"/>
                            </w:rPr>
                          </w:pPr>
                          <w:r>
                            <w:fldChar w:fldCharType="begin"/>
                          </w:r>
                          <w:r>
                            <w:rPr>
                              <w:rStyle w:val="23"/>
                            </w:rPr>
                            <w:instrText xml:space="preserve">PAGE  </w:instrText>
                          </w:r>
                          <w:r>
                            <w:fldChar w:fldCharType="separate"/>
                          </w:r>
                          <w:r>
                            <w:rPr>
                              <w:rStyle w:val="23"/>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12"/>
                      <w:rPr>
                        <w:rStyle w:val="23"/>
                      </w:rPr>
                    </w:pPr>
                    <w:r>
                      <w:fldChar w:fldCharType="begin"/>
                    </w:r>
                    <w:r>
                      <w:rPr>
                        <w:rStyle w:val="23"/>
                      </w:rPr>
                      <w:instrText xml:space="preserve">PAGE  </w:instrText>
                    </w:r>
                    <w:r>
                      <w:fldChar w:fldCharType="separate"/>
                    </w:r>
                    <w:r>
                      <w:rPr>
                        <w:rStyle w:val="23"/>
                      </w:rPr>
                      <w:t>95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3A48B3"/>
    <w:multiLevelType w:val="singleLevel"/>
    <w:tmpl w:val="C43A48B3"/>
    <w:lvl w:ilvl="0" w:tentative="0">
      <w:start w:val="7"/>
      <w:numFmt w:val="chineseCounting"/>
      <w:suff w:val="space"/>
      <w:lvlText w:val="第%1章"/>
      <w:lvlJc w:val="left"/>
      <w:rPr>
        <w:rFonts w:hint="eastAsia"/>
      </w:rPr>
    </w:lvl>
  </w:abstractNum>
  <w:abstractNum w:abstractNumId="1">
    <w:nsid w:val="0AA38CF7"/>
    <w:multiLevelType w:val="singleLevel"/>
    <w:tmpl w:val="0AA38CF7"/>
    <w:lvl w:ilvl="0" w:tentative="0">
      <w:start w:val="2"/>
      <w:numFmt w:val="decimal"/>
      <w:lvlText w:val="%1."/>
      <w:lvlJc w:val="left"/>
      <w:pPr>
        <w:tabs>
          <w:tab w:val="left" w:pos="312"/>
        </w:tabs>
        <w:ind w:left="735" w:leftChars="0" w:firstLine="0" w:firstLineChars="0"/>
      </w:pPr>
    </w:lvl>
  </w:abstractNum>
  <w:abstractNum w:abstractNumId="2">
    <w:nsid w:val="0FF842B9"/>
    <w:multiLevelType w:val="singleLevel"/>
    <w:tmpl w:val="0FF842B9"/>
    <w:lvl w:ilvl="0" w:tentative="0">
      <w:start w:val="1"/>
      <w:numFmt w:val="decimal"/>
      <w:suff w:val="nothing"/>
      <w:lvlText w:val="%1、"/>
      <w:lvlJc w:val="left"/>
    </w:lvl>
  </w:abstractNum>
  <w:abstractNum w:abstractNumId="3">
    <w:nsid w:val="3871CE1D"/>
    <w:multiLevelType w:val="singleLevel"/>
    <w:tmpl w:val="3871CE1D"/>
    <w:lvl w:ilvl="0" w:tentative="0">
      <w:start w:val="1"/>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YzI4NGJiMjg2ZWZlN2MzZDcyYzg5ZDEwYzBhZDAifQ=="/>
  </w:docVars>
  <w:rsids>
    <w:rsidRoot w:val="40562453"/>
    <w:rsid w:val="00F546A3"/>
    <w:rsid w:val="01B74972"/>
    <w:rsid w:val="02FA0434"/>
    <w:rsid w:val="048F2C39"/>
    <w:rsid w:val="05506B2F"/>
    <w:rsid w:val="055C337C"/>
    <w:rsid w:val="060D37AF"/>
    <w:rsid w:val="077D719C"/>
    <w:rsid w:val="07C52E34"/>
    <w:rsid w:val="08C663D4"/>
    <w:rsid w:val="090977DD"/>
    <w:rsid w:val="09447A34"/>
    <w:rsid w:val="0A1E5C91"/>
    <w:rsid w:val="0A693330"/>
    <w:rsid w:val="0A7D16CE"/>
    <w:rsid w:val="0B1A4809"/>
    <w:rsid w:val="0B602F55"/>
    <w:rsid w:val="0C132AFC"/>
    <w:rsid w:val="0CCE6579"/>
    <w:rsid w:val="0D993FB0"/>
    <w:rsid w:val="0E393859"/>
    <w:rsid w:val="0E3B58C3"/>
    <w:rsid w:val="0EA57CDD"/>
    <w:rsid w:val="0EC73541"/>
    <w:rsid w:val="10343BF8"/>
    <w:rsid w:val="10A44CAE"/>
    <w:rsid w:val="10E943BC"/>
    <w:rsid w:val="1250098C"/>
    <w:rsid w:val="125C66E7"/>
    <w:rsid w:val="13223B44"/>
    <w:rsid w:val="13573D7A"/>
    <w:rsid w:val="141A6BA3"/>
    <w:rsid w:val="1433393F"/>
    <w:rsid w:val="15EA5356"/>
    <w:rsid w:val="17AC5EFC"/>
    <w:rsid w:val="18331236"/>
    <w:rsid w:val="187C5B16"/>
    <w:rsid w:val="18A35434"/>
    <w:rsid w:val="18C96881"/>
    <w:rsid w:val="197E141A"/>
    <w:rsid w:val="19C679E0"/>
    <w:rsid w:val="1A1717FA"/>
    <w:rsid w:val="1A8C400A"/>
    <w:rsid w:val="1AFD0644"/>
    <w:rsid w:val="1CAB253E"/>
    <w:rsid w:val="1CB25FAA"/>
    <w:rsid w:val="1CBE3220"/>
    <w:rsid w:val="1CEE24ED"/>
    <w:rsid w:val="1CFD7C36"/>
    <w:rsid w:val="1D8B5B65"/>
    <w:rsid w:val="1DAF6D5D"/>
    <w:rsid w:val="1DBB4B97"/>
    <w:rsid w:val="1F0614F2"/>
    <w:rsid w:val="1F6752DC"/>
    <w:rsid w:val="1FBF03F0"/>
    <w:rsid w:val="1FCB7587"/>
    <w:rsid w:val="20031B05"/>
    <w:rsid w:val="216D4BF6"/>
    <w:rsid w:val="218C0355"/>
    <w:rsid w:val="21D97A24"/>
    <w:rsid w:val="221B2A67"/>
    <w:rsid w:val="22A86A88"/>
    <w:rsid w:val="22BC4191"/>
    <w:rsid w:val="22E44999"/>
    <w:rsid w:val="22E87B5F"/>
    <w:rsid w:val="23805560"/>
    <w:rsid w:val="23F67C94"/>
    <w:rsid w:val="243B2F6E"/>
    <w:rsid w:val="2641214D"/>
    <w:rsid w:val="26D63897"/>
    <w:rsid w:val="27814E36"/>
    <w:rsid w:val="289861F3"/>
    <w:rsid w:val="299C149B"/>
    <w:rsid w:val="29C42E79"/>
    <w:rsid w:val="29D51C23"/>
    <w:rsid w:val="29D873B1"/>
    <w:rsid w:val="2A103287"/>
    <w:rsid w:val="2A9144DF"/>
    <w:rsid w:val="2AC50370"/>
    <w:rsid w:val="2B013C59"/>
    <w:rsid w:val="2B7F1563"/>
    <w:rsid w:val="2BA8559F"/>
    <w:rsid w:val="2C552E35"/>
    <w:rsid w:val="2DF53829"/>
    <w:rsid w:val="2E463ABE"/>
    <w:rsid w:val="2F072CF9"/>
    <w:rsid w:val="2F927AAF"/>
    <w:rsid w:val="302047D7"/>
    <w:rsid w:val="318206FC"/>
    <w:rsid w:val="31C64AB1"/>
    <w:rsid w:val="31FB7654"/>
    <w:rsid w:val="32CB318E"/>
    <w:rsid w:val="33182487"/>
    <w:rsid w:val="338C1033"/>
    <w:rsid w:val="339441CF"/>
    <w:rsid w:val="33AF0723"/>
    <w:rsid w:val="33C6271F"/>
    <w:rsid w:val="33FB61D0"/>
    <w:rsid w:val="343E5272"/>
    <w:rsid w:val="34473D81"/>
    <w:rsid w:val="345179FF"/>
    <w:rsid w:val="35705DCF"/>
    <w:rsid w:val="360B60DB"/>
    <w:rsid w:val="369C3A80"/>
    <w:rsid w:val="371116F1"/>
    <w:rsid w:val="377313B5"/>
    <w:rsid w:val="37A14E61"/>
    <w:rsid w:val="37D026C8"/>
    <w:rsid w:val="37F214F9"/>
    <w:rsid w:val="382805C6"/>
    <w:rsid w:val="38EB5754"/>
    <w:rsid w:val="38FD0B34"/>
    <w:rsid w:val="3911775D"/>
    <w:rsid w:val="39277C8A"/>
    <w:rsid w:val="392A1279"/>
    <w:rsid w:val="39952550"/>
    <w:rsid w:val="3B1E244D"/>
    <w:rsid w:val="3BA2510C"/>
    <w:rsid w:val="3C065E33"/>
    <w:rsid w:val="3C3145CE"/>
    <w:rsid w:val="3C443027"/>
    <w:rsid w:val="3E8679F3"/>
    <w:rsid w:val="3EB82ED9"/>
    <w:rsid w:val="3F640884"/>
    <w:rsid w:val="3FED6E84"/>
    <w:rsid w:val="40207DC4"/>
    <w:rsid w:val="40562453"/>
    <w:rsid w:val="40582115"/>
    <w:rsid w:val="40606BAD"/>
    <w:rsid w:val="410E3E10"/>
    <w:rsid w:val="41317ABC"/>
    <w:rsid w:val="4153517C"/>
    <w:rsid w:val="41632342"/>
    <w:rsid w:val="41C841CE"/>
    <w:rsid w:val="42095CD1"/>
    <w:rsid w:val="421D53C4"/>
    <w:rsid w:val="42FA0482"/>
    <w:rsid w:val="431D401F"/>
    <w:rsid w:val="43F87E97"/>
    <w:rsid w:val="444C419C"/>
    <w:rsid w:val="44845974"/>
    <w:rsid w:val="449D5083"/>
    <w:rsid w:val="44AB792B"/>
    <w:rsid w:val="45913036"/>
    <w:rsid w:val="46C2478C"/>
    <w:rsid w:val="47371FC7"/>
    <w:rsid w:val="478A6F17"/>
    <w:rsid w:val="48123D9C"/>
    <w:rsid w:val="48307A3B"/>
    <w:rsid w:val="483D78A3"/>
    <w:rsid w:val="498034A5"/>
    <w:rsid w:val="4A5219AA"/>
    <w:rsid w:val="4A77137D"/>
    <w:rsid w:val="4ADF47D6"/>
    <w:rsid w:val="4B717EB6"/>
    <w:rsid w:val="4C074E5C"/>
    <w:rsid w:val="4C8524E4"/>
    <w:rsid w:val="4D2C5ABB"/>
    <w:rsid w:val="4DEC0901"/>
    <w:rsid w:val="4DF51D19"/>
    <w:rsid w:val="4F2F3164"/>
    <w:rsid w:val="4F9E1ABE"/>
    <w:rsid w:val="4FAE3D60"/>
    <w:rsid w:val="500135C9"/>
    <w:rsid w:val="501A21FF"/>
    <w:rsid w:val="509E4783"/>
    <w:rsid w:val="51244DF0"/>
    <w:rsid w:val="51765DA8"/>
    <w:rsid w:val="51A23DC6"/>
    <w:rsid w:val="51AE63EB"/>
    <w:rsid w:val="51BA67E3"/>
    <w:rsid w:val="51D51818"/>
    <w:rsid w:val="53861634"/>
    <w:rsid w:val="55261643"/>
    <w:rsid w:val="55B26AC6"/>
    <w:rsid w:val="55B65E31"/>
    <w:rsid w:val="565A6E77"/>
    <w:rsid w:val="569A4274"/>
    <w:rsid w:val="58424522"/>
    <w:rsid w:val="587A1119"/>
    <w:rsid w:val="595606C3"/>
    <w:rsid w:val="5964211A"/>
    <w:rsid w:val="598C3505"/>
    <w:rsid w:val="5A5C300D"/>
    <w:rsid w:val="5A623871"/>
    <w:rsid w:val="5AB056BB"/>
    <w:rsid w:val="5B0A122A"/>
    <w:rsid w:val="5B696055"/>
    <w:rsid w:val="5B9625EC"/>
    <w:rsid w:val="5CEC43FE"/>
    <w:rsid w:val="5D693538"/>
    <w:rsid w:val="5D8F03E6"/>
    <w:rsid w:val="5E3E0745"/>
    <w:rsid w:val="5F497D13"/>
    <w:rsid w:val="5F667D46"/>
    <w:rsid w:val="5FCC661E"/>
    <w:rsid w:val="5FD650D9"/>
    <w:rsid w:val="5FF27AE1"/>
    <w:rsid w:val="607B064C"/>
    <w:rsid w:val="60DE22A3"/>
    <w:rsid w:val="613735AE"/>
    <w:rsid w:val="61542052"/>
    <w:rsid w:val="61C62EC2"/>
    <w:rsid w:val="6245633B"/>
    <w:rsid w:val="627D665A"/>
    <w:rsid w:val="62AF64DB"/>
    <w:rsid w:val="62DD22DA"/>
    <w:rsid w:val="62FD557A"/>
    <w:rsid w:val="63485E56"/>
    <w:rsid w:val="63D95197"/>
    <w:rsid w:val="64671A02"/>
    <w:rsid w:val="64FC134F"/>
    <w:rsid w:val="66091FA1"/>
    <w:rsid w:val="661D040C"/>
    <w:rsid w:val="67E1553D"/>
    <w:rsid w:val="68ED60B6"/>
    <w:rsid w:val="6AB53B3C"/>
    <w:rsid w:val="6AEF1CE7"/>
    <w:rsid w:val="6AF66C20"/>
    <w:rsid w:val="6B867CDB"/>
    <w:rsid w:val="6C172D01"/>
    <w:rsid w:val="6CE73B06"/>
    <w:rsid w:val="6E382763"/>
    <w:rsid w:val="6E6A7525"/>
    <w:rsid w:val="6FD76303"/>
    <w:rsid w:val="703E64E3"/>
    <w:rsid w:val="707929C1"/>
    <w:rsid w:val="70BD7F95"/>
    <w:rsid w:val="7139707D"/>
    <w:rsid w:val="719A09DE"/>
    <w:rsid w:val="72170CD9"/>
    <w:rsid w:val="730C0A49"/>
    <w:rsid w:val="73A81DB5"/>
    <w:rsid w:val="73CB47CA"/>
    <w:rsid w:val="742B542B"/>
    <w:rsid w:val="744675ED"/>
    <w:rsid w:val="755748DA"/>
    <w:rsid w:val="755D644F"/>
    <w:rsid w:val="76770A05"/>
    <w:rsid w:val="767A0FBD"/>
    <w:rsid w:val="773504DF"/>
    <w:rsid w:val="775A0916"/>
    <w:rsid w:val="780515CF"/>
    <w:rsid w:val="78182ECC"/>
    <w:rsid w:val="782B4CE1"/>
    <w:rsid w:val="783D79DF"/>
    <w:rsid w:val="789B398A"/>
    <w:rsid w:val="78D43970"/>
    <w:rsid w:val="78E1748A"/>
    <w:rsid w:val="793F2C89"/>
    <w:rsid w:val="79A24936"/>
    <w:rsid w:val="79D6185E"/>
    <w:rsid w:val="79F4531C"/>
    <w:rsid w:val="7A716688"/>
    <w:rsid w:val="7AB6702C"/>
    <w:rsid w:val="7AC44CB6"/>
    <w:rsid w:val="7C36570A"/>
    <w:rsid w:val="7C3A66A0"/>
    <w:rsid w:val="7C8B0BA1"/>
    <w:rsid w:val="7CDC4FC8"/>
    <w:rsid w:val="7CF20F04"/>
    <w:rsid w:val="7D051F47"/>
    <w:rsid w:val="7DC72008"/>
    <w:rsid w:val="7E484F9C"/>
    <w:rsid w:val="7F604826"/>
    <w:rsid w:val="7FB7532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26"/>
    <w:autoRedefine/>
    <w:qFormat/>
    <w:uiPriority w:val="0"/>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autoRedefine/>
    <w:qFormat/>
    <w:uiPriority w:val="0"/>
    <w:pPr>
      <w:keepNext/>
      <w:keepLines/>
      <w:spacing w:before="260" w:after="260" w:line="415" w:lineRule="auto"/>
      <w:outlineLvl w:val="2"/>
    </w:pPr>
    <w:rPr>
      <w:b/>
      <w:bCs/>
      <w:kern w:val="0"/>
      <w:sz w:val="32"/>
      <w:szCs w:val="32"/>
    </w:rPr>
  </w:style>
  <w:style w:type="paragraph" w:styleId="5">
    <w:name w:val="heading 4"/>
    <w:basedOn w:val="1"/>
    <w:next w:val="1"/>
    <w:autoRedefine/>
    <w:qFormat/>
    <w:uiPriority w:val="0"/>
    <w:pPr>
      <w:keepNext/>
      <w:keepLines/>
      <w:spacing w:before="280" w:after="290" w:line="374" w:lineRule="auto"/>
      <w:outlineLvl w:val="3"/>
    </w:pPr>
    <w:rPr>
      <w:rFonts w:ascii="Arial" w:hAnsi="Arial" w:eastAsia="黑体"/>
      <w:b/>
      <w:bCs/>
      <w:kern w:val="0"/>
      <w:sz w:val="28"/>
      <w:szCs w:val="28"/>
    </w:rPr>
  </w:style>
  <w:style w:type="paragraph" w:styleId="6">
    <w:name w:val="heading 8"/>
    <w:basedOn w:val="1"/>
    <w:next w:val="1"/>
    <w:autoRedefine/>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7">
    <w:name w:val="Normal Indent"/>
    <w:basedOn w:val="1"/>
    <w:autoRedefine/>
    <w:qFormat/>
    <w:uiPriority w:val="0"/>
    <w:pPr>
      <w:ind w:firstLine="420" w:firstLineChars="200"/>
    </w:pPr>
  </w:style>
  <w:style w:type="paragraph" w:styleId="8">
    <w:name w:val="Body Text"/>
    <w:basedOn w:val="1"/>
    <w:next w:val="9"/>
    <w:autoRedefine/>
    <w:qFormat/>
    <w:uiPriority w:val="0"/>
    <w:pPr>
      <w:spacing w:after="120"/>
    </w:pPr>
    <w:rPr>
      <w:kern w:val="0"/>
      <w:sz w:val="20"/>
    </w:rPr>
  </w:style>
  <w:style w:type="paragraph" w:styleId="9">
    <w:name w:val="Body Text 2"/>
    <w:basedOn w:val="1"/>
    <w:unhideWhenUsed/>
    <w:qFormat/>
    <w:uiPriority w:val="99"/>
    <w:pPr>
      <w:spacing w:after="120" w:line="480" w:lineRule="auto"/>
    </w:pPr>
  </w:style>
  <w:style w:type="paragraph" w:styleId="10">
    <w:name w:val="Body Text Indent"/>
    <w:basedOn w:val="1"/>
    <w:next w:val="11"/>
    <w:autoRedefine/>
    <w:qFormat/>
    <w:uiPriority w:val="0"/>
    <w:pPr>
      <w:spacing w:after="120"/>
      <w:ind w:left="420" w:leftChars="200"/>
    </w:pPr>
    <w:rPr>
      <w:kern w:val="0"/>
      <w:sz w:val="20"/>
    </w:rPr>
  </w:style>
  <w:style w:type="paragraph" w:styleId="11">
    <w:name w:val="envelope return"/>
    <w:basedOn w:val="1"/>
    <w:unhideWhenUsed/>
    <w:qFormat/>
    <w:uiPriority w:val="99"/>
    <w:pPr>
      <w:snapToGrid w:val="0"/>
    </w:pPr>
    <w:rPr>
      <w:rFonts w:ascii="Arial" w:hAnsi="Arial" w:cs="Arial"/>
    </w:rPr>
  </w:style>
  <w:style w:type="paragraph" w:styleId="12">
    <w:name w:val="footer"/>
    <w:basedOn w:val="1"/>
    <w:autoRedefine/>
    <w:qFormat/>
    <w:uiPriority w:val="99"/>
    <w:pPr>
      <w:tabs>
        <w:tab w:val="center" w:pos="4153"/>
        <w:tab w:val="right" w:pos="8306"/>
      </w:tabs>
      <w:snapToGrid w:val="0"/>
      <w:jc w:val="left"/>
    </w:pPr>
    <w:rPr>
      <w:kern w:val="0"/>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autoRedefine/>
    <w:qFormat/>
    <w:uiPriority w:val="39"/>
    <w:pPr>
      <w:spacing w:before="120" w:after="120"/>
      <w:jc w:val="left"/>
    </w:pPr>
    <w:rPr>
      <w:rFonts w:ascii="Calibri" w:hAnsi="Calibri"/>
      <w:b/>
      <w:bCs/>
      <w:caps/>
      <w:sz w:val="20"/>
      <w:szCs w:val="20"/>
    </w:rPr>
  </w:style>
  <w:style w:type="paragraph" w:styleId="15">
    <w:name w:val="toc 2"/>
    <w:basedOn w:val="1"/>
    <w:next w:val="1"/>
    <w:autoRedefine/>
    <w:qFormat/>
    <w:uiPriority w:val="39"/>
    <w:pPr>
      <w:ind w:left="210"/>
      <w:jc w:val="left"/>
    </w:pPr>
    <w:rPr>
      <w:rFonts w:ascii="Calibri" w:hAnsi="Calibri"/>
      <w:smallCaps/>
      <w:sz w:val="20"/>
      <w:szCs w:val="20"/>
    </w:rPr>
  </w:style>
  <w:style w:type="paragraph" w:styleId="1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7">
    <w:name w:val="index 1"/>
    <w:basedOn w:val="1"/>
    <w:next w:val="1"/>
    <w:autoRedefine/>
    <w:semiHidden/>
    <w:qFormat/>
    <w:uiPriority w:val="0"/>
    <w:pPr>
      <w:spacing w:line="360" w:lineRule="auto"/>
      <w:jc w:val="center"/>
    </w:pPr>
    <w:rPr>
      <w:rFonts w:ascii="宋体" w:hAnsi="Arial" w:cs="Arial"/>
      <w:b/>
      <w:color w:val="000000"/>
      <w:sz w:val="24"/>
    </w:rPr>
  </w:style>
  <w:style w:type="paragraph" w:styleId="18">
    <w:name w:val="Body Text First Indent"/>
    <w:basedOn w:val="8"/>
    <w:autoRedefine/>
    <w:qFormat/>
    <w:uiPriority w:val="0"/>
    <w:pPr>
      <w:ind w:firstLine="420" w:firstLineChars="100"/>
    </w:pPr>
    <w:rPr>
      <w:rFonts w:ascii="Calibri" w:hAnsi="Calibri" w:eastAsia="方正仿宋_GBK" w:cs="Times New Roman"/>
      <w:sz w:val="32"/>
      <w:szCs w:val="20"/>
    </w:rPr>
  </w:style>
  <w:style w:type="paragraph" w:styleId="19">
    <w:name w:val="Body Text First Indent 2"/>
    <w:basedOn w:val="10"/>
    <w:next w:val="1"/>
    <w:autoRedefine/>
    <w:unhideWhenUsed/>
    <w:qFormat/>
    <w:uiPriority w:val="0"/>
    <w:pPr>
      <w:ind w:firstLine="420"/>
    </w:pPr>
  </w:style>
  <w:style w:type="table" w:styleId="21">
    <w:name w:val="Table Grid"/>
    <w:basedOn w:val="20"/>
    <w:autoRedefine/>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autoRedefine/>
    <w:qFormat/>
    <w:uiPriority w:val="0"/>
  </w:style>
  <w:style w:type="paragraph" w:customStyle="1" w:styleId="24">
    <w:name w:val="font10"/>
    <w:basedOn w:val="1"/>
    <w:autoRedefine/>
    <w:qFormat/>
    <w:uiPriority w:val="0"/>
    <w:pPr>
      <w:widowControl/>
      <w:spacing w:before="100" w:beforeAutospacing="1" w:after="100" w:afterAutospacing="1"/>
      <w:jc w:val="left"/>
    </w:pPr>
    <w:rPr>
      <w:kern w:val="0"/>
      <w:sz w:val="28"/>
      <w:szCs w:val="28"/>
    </w:rPr>
  </w:style>
  <w:style w:type="paragraph" w:customStyle="1" w:styleId="2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6">
    <w:name w:val="标题 2 字符"/>
    <w:link w:val="3"/>
    <w:autoRedefine/>
    <w:qFormat/>
    <w:uiPriority w:val="0"/>
    <w:rPr>
      <w:rFonts w:ascii="Arial" w:hAnsi="Arial" w:eastAsia="黑体"/>
      <w:b/>
      <w:bCs/>
      <w:kern w:val="0"/>
      <w:sz w:val="32"/>
      <w:szCs w:val="32"/>
    </w:rPr>
  </w:style>
  <w:style w:type="character" w:customStyle="1" w:styleId="27">
    <w:name w:val="标题 1 字符"/>
    <w:link w:val="2"/>
    <w:autoRedefine/>
    <w:qFormat/>
    <w:uiPriority w:val="0"/>
    <w:rPr>
      <w:b/>
      <w:bCs/>
      <w:kern w:val="44"/>
      <w:sz w:val="44"/>
      <w:szCs w:val="44"/>
    </w:rPr>
  </w:style>
  <w:style w:type="paragraph" w:styleId="28">
    <w:name w:val="List Paragraph"/>
    <w:basedOn w:val="1"/>
    <w:autoRedefine/>
    <w:qFormat/>
    <w:uiPriority w:val="99"/>
    <w:pPr>
      <w:ind w:firstLine="420" w:firstLineChars="200"/>
    </w:pPr>
  </w:style>
  <w:style w:type="paragraph" w:customStyle="1" w:styleId="29">
    <w:name w:val="Table Paragraph"/>
    <w:basedOn w:val="1"/>
    <w:autoRedefine/>
    <w:qFormat/>
    <w:uiPriority w:val="1"/>
  </w:style>
  <w:style w:type="paragraph" w:customStyle="1" w:styleId="30">
    <w:name w:val="*正文"/>
    <w:basedOn w:val="1"/>
    <w:autoRedefine/>
    <w:qFormat/>
    <w:uiPriority w:val="0"/>
    <w:pPr>
      <w:widowControl/>
      <w:ind w:firstLine="200" w:firstLineChars="200"/>
    </w:pPr>
    <w:rPr>
      <w:rFonts w:ascii="仿宋_GB2312" w:eastAsia="仿宋_GB2312" w:cstheme="minorBidi"/>
      <w:sz w:val="24"/>
      <w:szCs w:val="28"/>
    </w:rPr>
  </w:style>
  <w:style w:type="paragraph" w:customStyle="1" w:styleId="31">
    <w:name w:val="表体"/>
    <w:basedOn w:val="1"/>
    <w:next w:val="1"/>
    <w:autoRedefine/>
    <w:qFormat/>
    <w:uiPriority w:val="0"/>
    <w:pPr>
      <w:snapToGrid w:val="0"/>
      <w:spacing w:line="0" w:lineRule="atLeast"/>
    </w:pPr>
    <w:rPr>
      <w:b/>
      <w:szCs w:val="20"/>
    </w:rPr>
  </w:style>
  <w:style w:type="paragraph" w:customStyle="1" w:styleId="32">
    <w:name w:val="文档正文"/>
    <w:basedOn w:val="1"/>
    <w:autoRedefine/>
    <w:qFormat/>
    <w:uiPriority w:val="0"/>
    <w:pPr>
      <w:adjustRightInd w:val="0"/>
      <w:spacing w:line="480" w:lineRule="atLeast"/>
      <w:ind w:firstLine="567"/>
    </w:pPr>
    <w:rPr>
      <w:rFonts w:ascii="长城仿宋"/>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Words>12609</Words>
  <Characters>13416</Characters>
  <Lines>0</Lines>
  <Paragraphs>0</Paragraphs>
  <TotalTime>14</TotalTime>
  <ScaleCrop>false</ScaleCrop>
  <LinksUpToDate>false</LinksUpToDate>
  <CharactersWithSpaces>14420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2023-06-05T17:31:00Z</dcterms:created>
  <dc:creator>Kevin</dc:creator>
  <cp:lastModifiedBy>Kevin</cp:lastModifiedBy>
  <dcterms:modified xsi:type="dcterms:W3CDTF">2024-06-20T05:56:40Z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1C0E4C7F4D65457FB45D112C1DF3B61C</vt:lpwstr>
  </property>
</Properties>
</file>