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pacing w:val="20"/>
          <w:sz w:val="84"/>
          <w:szCs w:val="84"/>
        </w:rPr>
      </w:pPr>
    </w:p>
    <w:p>
      <w:pPr>
        <w:jc w:val="center"/>
        <w:rPr>
          <w:rFonts w:ascii="宋体" w:hAnsi="宋体"/>
          <w:b/>
          <w:spacing w:val="20"/>
          <w:sz w:val="84"/>
          <w:szCs w:val="84"/>
        </w:rPr>
      </w:pPr>
      <w:r>
        <w:rPr>
          <w:rFonts w:hint="eastAsia" w:ascii="宋体" w:hAnsi="宋体"/>
          <w:b/>
          <w:spacing w:val="20"/>
          <w:sz w:val="84"/>
          <w:szCs w:val="84"/>
        </w:rPr>
        <w:t>竞争性比选文件</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pacing w:val="100"/>
          <w:szCs w:val="21"/>
        </w:rPr>
      </w:pPr>
    </w:p>
    <w:p>
      <w:pPr>
        <w:spacing w:line="360" w:lineRule="auto"/>
        <w:ind w:left="99" w:leftChars="47"/>
        <w:jc w:val="center"/>
        <w:rPr>
          <w:rFonts w:ascii="宋体" w:hAnsi="宋体"/>
          <w:b/>
          <w:sz w:val="32"/>
          <w:szCs w:val="32"/>
        </w:rPr>
      </w:pPr>
      <w:bookmarkStart w:id="0" w:name="_Hlk51597946"/>
      <w:r>
        <w:rPr>
          <w:rFonts w:hint="eastAsia" w:ascii="宋体" w:hAnsi="宋体"/>
          <w:b/>
          <w:sz w:val="32"/>
          <w:szCs w:val="32"/>
        </w:rPr>
        <w:t>重庆高速石油科技有限责任公司</w:t>
      </w:r>
    </w:p>
    <w:bookmarkEnd w:id="0"/>
    <w:p>
      <w:pPr>
        <w:spacing w:line="360" w:lineRule="auto"/>
        <w:ind w:left="99" w:leftChars="47"/>
        <w:jc w:val="center"/>
        <w:rPr>
          <w:rFonts w:ascii="宋体" w:hAnsi="宋体"/>
          <w:b/>
          <w:sz w:val="32"/>
          <w:szCs w:val="32"/>
        </w:rPr>
      </w:pPr>
      <w:r>
        <w:rPr>
          <w:rFonts w:hint="eastAsia" w:ascii="宋体" w:hAnsi="宋体"/>
          <w:b/>
          <w:sz w:val="32"/>
          <w:szCs w:val="32"/>
        </w:rPr>
        <w:t>20</w:t>
      </w:r>
      <w:r>
        <w:rPr>
          <w:rFonts w:ascii="宋体" w:hAnsi="宋体"/>
          <w:b/>
          <w:sz w:val="32"/>
          <w:szCs w:val="32"/>
        </w:rPr>
        <w:t>2</w:t>
      </w:r>
      <w:r>
        <w:rPr>
          <w:rFonts w:hint="eastAsia" w:ascii="宋体" w:hAnsi="宋体"/>
          <w:b/>
          <w:sz w:val="32"/>
          <w:szCs w:val="32"/>
        </w:rPr>
        <w:t>4年</w:t>
      </w:r>
      <w:r>
        <w:rPr>
          <w:rFonts w:hint="eastAsia" w:ascii="宋体" w:hAnsi="宋体"/>
          <w:b/>
          <w:sz w:val="32"/>
          <w:szCs w:val="32"/>
          <w:lang w:val="en-US" w:eastAsia="zh-CN"/>
        </w:rPr>
        <w:t>6</w:t>
      </w:r>
      <w:r>
        <w:rPr>
          <w:rFonts w:hint="eastAsia" w:ascii="宋体" w:hAnsi="宋体"/>
          <w:b/>
          <w:sz w:val="32"/>
          <w:szCs w:val="32"/>
        </w:rPr>
        <w:t>月</w:t>
      </w:r>
    </w:p>
    <w:p>
      <w:pPr>
        <w:widowControl/>
        <w:jc w:val="center"/>
        <w:rPr>
          <w:rFonts w:ascii="宋体" w:hAnsi="宋体"/>
          <w:b/>
          <w:sz w:val="30"/>
          <w:szCs w:val="30"/>
        </w:rPr>
      </w:pPr>
      <w:r>
        <w:rPr>
          <w:rFonts w:ascii="宋体" w:hAnsi="宋体"/>
          <w:b/>
          <w:sz w:val="32"/>
          <w:szCs w:val="32"/>
        </w:rPr>
        <w:br w:type="page"/>
      </w:r>
      <w:r>
        <w:rPr>
          <w:rFonts w:hint="eastAsia" w:ascii="宋体" w:hAnsi="宋体"/>
          <w:b/>
          <w:sz w:val="30"/>
          <w:szCs w:val="30"/>
        </w:rPr>
        <w:t>梁平</w:t>
      </w:r>
      <w:r>
        <w:rPr>
          <w:rFonts w:hint="eastAsia" w:ascii="宋体" w:hAnsi="宋体"/>
          <w:b/>
          <w:sz w:val="30"/>
          <w:szCs w:val="30"/>
          <w:lang w:eastAsia="zh-CN"/>
        </w:rPr>
        <w:t>、</w:t>
      </w:r>
      <w:r>
        <w:rPr>
          <w:rFonts w:hint="eastAsia" w:ascii="宋体" w:hAnsi="宋体"/>
          <w:b/>
          <w:sz w:val="30"/>
          <w:szCs w:val="30"/>
          <w:lang w:val="en-US" w:eastAsia="zh-CN"/>
        </w:rPr>
        <w:t>龙兴</w:t>
      </w:r>
      <w:r>
        <w:rPr>
          <w:rFonts w:hint="eastAsia" w:ascii="宋体" w:hAnsi="宋体"/>
          <w:b/>
          <w:sz w:val="30"/>
          <w:szCs w:val="30"/>
        </w:rPr>
        <w:t>等5座加油站项目权益市场价值资产评估</w:t>
      </w:r>
    </w:p>
    <w:p>
      <w:pPr>
        <w:jc w:val="center"/>
        <w:rPr>
          <w:rFonts w:ascii="宋体" w:hAnsi="宋体"/>
          <w:b/>
          <w:sz w:val="30"/>
          <w:szCs w:val="30"/>
        </w:rPr>
      </w:pPr>
      <w:r>
        <w:rPr>
          <w:rFonts w:hint="eastAsia" w:ascii="宋体" w:hAnsi="宋体"/>
          <w:b/>
          <w:sz w:val="30"/>
          <w:szCs w:val="30"/>
        </w:rPr>
        <w:t>竞争性比选文件</w:t>
      </w:r>
    </w:p>
    <w:p>
      <w:pPr>
        <w:wordWrap w:val="0"/>
        <w:spacing w:line="360" w:lineRule="auto"/>
        <w:ind w:firstLine="480" w:firstLineChars="200"/>
        <w:jc w:val="left"/>
        <w:rPr>
          <w:rFonts w:ascii="宋体" w:hAnsi="宋体"/>
          <w:sz w:val="24"/>
        </w:rPr>
      </w:pPr>
      <w:bookmarkStart w:id="1" w:name="_Toc247085682"/>
      <w:bookmarkStart w:id="2" w:name="_Toc152042297"/>
      <w:bookmarkStart w:id="3" w:name="_Toc179632538"/>
      <w:bookmarkStart w:id="4" w:name="_Toc296602412"/>
      <w:bookmarkStart w:id="5" w:name="_Toc152045521"/>
      <w:bookmarkStart w:id="6" w:name="_Toc246996911"/>
      <w:bookmarkStart w:id="7" w:name="_Toc246996168"/>
      <w:bookmarkStart w:id="8" w:name="_Toc144974489"/>
      <w:r>
        <w:rPr>
          <w:rFonts w:ascii="宋体" w:hAnsi="宋体"/>
          <w:sz w:val="24"/>
        </w:rPr>
        <w:t>本项目</w:t>
      </w:r>
      <w:r>
        <w:rPr>
          <w:rFonts w:hint="eastAsia" w:ascii="宋体" w:hAnsi="宋体"/>
          <w:sz w:val="24"/>
        </w:rPr>
        <w:t>重庆梁平</w:t>
      </w:r>
      <w:r>
        <w:rPr>
          <w:rFonts w:hint="eastAsia" w:ascii="宋体" w:hAnsi="宋体"/>
          <w:sz w:val="24"/>
          <w:lang w:eastAsia="zh-CN"/>
        </w:rPr>
        <w:t>、</w:t>
      </w:r>
      <w:r>
        <w:rPr>
          <w:rFonts w:hint="eastAsia" w:ascii="宋体" w:hAnsi="宋体"/>
          <w:sz w:val="24"/>
          <w:lang w:val="en-US" w:eastAsia="zh-CN"/>
        </w:rPr>
        <w:t>龙兴</w:t>
      </w:r>
      <w:r>
        <w:rPr>
          <w:rFonts w:hint="eastAsia" w:ascii="宋体" w:hAnsi="宋体"/>
          <w:sz w:val="24"/>
        </w:rPr>
        <w:t>等5座加油站项目权益市场价值资产评估工作</w:t>
      </w:r>
      <w:r>
        <w:rPr>
          <w:rFonts w:ascii="宋体" w:hAnsi="宋体"/>
          <w:sz w:val="24"/>
        </w:rPr>
        <w:t>准备组织实施</w:t>
      </w:r>
      <w:r>
        <w:rPr>
          <w:rFonts w:hint="eastAsia" w:ascii="宋体" w:hAnsi="宋体"/>
          <w:sz w:val="24"/>
        </w:rPr>
        <w:t>，重庆高速石油科技有限责任公司计划以竞争性比选的方式确定项目的资产评估机构，具体情况如下：</w:t>
      </w:r>
    </w:p>
    <w:p>
      <w:pPr>
        <w:spacing w:line="360" w:lineRule="auto"/>
        <w:rPr>
          <w:rFonts w:ascii="宋体" w:hAnsi="宋体"/>
          <w:b/>
          <w:sz w:val="24"/>
        </w:rPr>
      </w:pPr>
      <w:bookmarkStart w:id="9" w:name="_Toc246996910"/>
      <w:bookmarkStart w:id="10" w:name="_Toc152045520"/>
      <w:bookmarkStart w:id="11" w:name="_Toc247085681"/>
      <w:bookmarkStart w:id="12" w:name="_Toc296602411"/>
      <w:bookmarkStart w:id="13" w:name="_Toc179632537"/>
      <w:bookmarkStart w:id="14" w:name="_Toc246996167"/>
      <w:bookmarkStart w:id="15" w:name="_Toc152042296"/>
      <w:bookmarkStart w:id="16" w:name="_Toc144974488"/>
      <w:r>
        <w:rPr>
          <w:rFonts w:hint="eastAsia" w:ascii="宋体" w:hAnsi="宋体"/>
          <w:b/>
          <w:sz w:val="24"/>
        </w:rPr>
        <w:t>一、项目概况与竞争性比选范围</w:t>
      </w:r>
      <w:bookmarkEnd w:id="9"/>
      <w:bookmarkEnd w:id="10"/>
      <w:bookmarkEnd w:id="11"/>
      <w:bookmarkEnd w:id="12"/>
      <w:bookmarkEnd w:id="13"/>
      <w:bookmarkEnd w:id="14"/>
      <w:bookmarkEnd w:id="15"/>
      <w:bookmarkEnd w:id="16"/>
      <w:r>
        <w:rPr>
          <w:rFonts w:hint="eastAsia" w:ascii="宋体" w:hAnsi="宋体"/>
          <w:b/>
          <w:sz w:val="24"/>
        </w:rPr>
        <w:t xml:space="preserve"> </w:t>
      </w:r>
    </w:p>
    <w:p>
      <w:pPr>
        <w:spacing w:line="360" w:lineRule="auto"/>
        <w:ind w:firstLine="420"/>
        <w:rPr>
          <w:rFonts w:ascii="宋体" w:hAnsi="宋体"/>
          <w:sz w:val="24"/>
        </w:rPr>
      </w:pPr>
      <w:r>
        <w:rPr>
          <w:rFonts w:hint="eastAsia" w:ascii="宋体" w:hAnsi="宋体"/>
          <w:b/>
          <w:bCs/>
          <w:sz w:val="24"/>
        </w:rPr>
        <w:t>1.项目概况：</w:t>
      </w:r>
      <w:r>
        <w:rPr>
          <w:rFonts w:hint="eastAsia" w:ascii="宋体" w:hAnsi="宋体"/>
          <w:sz w:val="24"/>
        </w:rPr>
        <w:t>梁平、</w:t>
      </w:r>
      <w:r>
        <w:rPr>
          <w:rFonts w:hint="eastAsia" w:ascii="宋体" w:hAnsi="宋体"/>
          <w:sz w:val="24"/>
          <w:lang w:val="en-US" w:eastAsia="zh-CN"/>
        </w:rPr>
        <w:t>龙兴13、</w:t>
      </w:r>
      <w:r>
        <w:rPr>
          <w:rFonts w:hint="eastAsia" w:ascii="宋体" w:hAnsi="宋体"/>
          <w:sz w:val="24"/>
        </w:rPr>
        <w:t>水土06、水土10、永川5座加油站。</w:t>
      </w:r>
    </w:p>
    <w:p>
      <w:pPr>
        <w:spacing w:line="360" w:lineRule="auto"/>
        <w:ind w:firstLine="419" w:firstLineChars="174"/>
        <w:rPr>
          <w:rFonts w:ascii="宋体" w:hAnsi="宋体"/>
          <w:b/>
          <w:bCs/>
          <w:sz w:val="24"/>
        </w:rPr>
      </w:pPr>
      <w:r>
        <w:rPr>
          <w:rFonts w:hint="eastAsia" w:ascii="宋体" w:hAnsi="宋体"/>
          <w:b/>
          <w:bCs/>
          <w:sz w:val="24"/>
        </w:rPr>
        <w:t>2.竞争性比选范围：</w:t>
      </w:r>
    </w:p>
    <w:p>
      <w:pPr>
        <w:spacing w:line="360" w:lineRule="auto"/>
        <w:ind w:firstLine="480" w:firstLineChars="200"/>
        <w:rPr>
          <w:rFonts w:ascii="宋体" w:hAnsi="宋体"/>
          <w:sz w:val="24"/>
        </w:rPr>
      </w:pPr>
      <w:r>
        <w:rPr>
          <w:rFonts w:hint="eastAsia" w:ascii="宋体" w:hAnsi="宋体"/>
          <w:sz w:val="24"/>
        </w:rPr>
        <w:t>梁平、</w:t>
      </w:r>
      <w:r>
        <w:rPr>
          <w:rFonts w:hint="eastAsia" w:ascii="宋体" w:hAnsi="宋体"/>
          <w:sz w:val="24"/>
          <w:lang w:val="en-US" w:eastAsia="zh-CN"/>
        </w:rPr>
        <w:t>龙兴13、</w:t>
      </w:r>
      <w:r>
        <w:rPr>
          <w:rFonts w:hint="eastAsia" w:ascii="宋体" w:hAnsi="宋体"/>
          <w:sz w:val="24"/>
        </w:rPr>
        <w:t>水土06、水土10、永川5座加油站评估工作，包括评估主要程序及时间安排、项目团队安排、评估程序实施过程和情况、评估方法的选用以及公司优势、关键环节控制、质量保证措施及服务等。</w:t>
      </w:r>
    </w:p>
    <w:p>
      <w:pPr>
        <w:spacing w:line="580" w:lineRule="exact"/>
        <w:ind w:firstLine="482" w:firstLineChars="200"/>
        <w:rPr>
          <w:rFonts w:ascii="宋体" w:hAnsi="宋体"/>
          <w:sz w:val="24"/>
        </w:rPr>
      </w:pPr>
      <w:r>
        <w:rPr>
          <w:rFonts w:hint="eastAsia" w:ascii="宋体" w:hAnsi="宋体"/>
          <w:b/>
          <w:bCs/>
          <w:sz w:val="24"/>
        </w:rPr>
        <w:t>3.项目地点：</w:t>
      </w:r>
      <w:r>
        <w:rPr>
          <w:rFonts w:ascii="宋体" w:hAnsi="宋体"/>
          <w:sz w:val="24"/>
        </w:rPr>
        <w:t>5座加油站</w:t>
      </w:r>
      <w:r>
        <w:rPr>
          <w:rFonts w:hint="eastAsia" w:ascii="宋体" w:hAnsi="宋体"/>
          <w:sz w:val="24"/>
        </w:rPr>
        <w:t>的坐落位置。</w:t>
      </w:r>
    </w:p>
    <w:p>
      <w:pPr>
        <w:spacing w:line="360" w:lineRule="auto"/>
        <w:ind w:firstLine="482" w:firstLineChars="200"/>
        <w:rPr>
          <w:rFonts w:ascii="宋体" w:hAnsi="宋体"/>
          <w:sz w:val="24"/>
        </w:rPr>
      </w:pPr>
      <w:r>
        <w:rPr>
          <w:rFonts w:ascii="宋体" w:hAnsi="宋体"/>
          <w:b/>
          <w:bCs/>
          <w:sz w:val="24"/>
        </w:rPr>
        <w:t>4</w:t>
      </w:r>
      <w:r>
        <w:rPr>
          <w:rFonts w:hint="eastAsia" w:ascii="宋体" w:hAnsi="宋体"/>
          <w:b/>
          <w:bCs/>
          <w:sz w:val="24"/>
        </w:rPr>
        <w:t>.中选及合同签订：</w:t>
      </w:r>
      <w:r>
        <w:rPr>
          <w:rFonts w:hint="eastAsia" w:ascii="宋体" w:hAnsi="宋体"/>
          <w:sz w:val="24"/>
        </w:rPr>
        <w:t>竞争性比选人确定成交单位后，向其发出成交通知书。中选单位在接到竞争性比选人通知书后，须</w:t>
      </w:r>
      <w:r>
        <w:rPr>
          <w:rFonts w:ascii="宋体" w:hAnsi="宋体"/>
          <w:sz w:val="24"/>
        </w:rPr>
        <w:t>2</w:t>
      </w:r>
      <w:r>
        <w:rPr>
          <w:rFonts w:hint="eastAsia" w:ascii="宋体" w:hAnsi="宋体"/>
          <w:sz w:val="24"/>
        </w:rPr>
        <w:t>个工作日内派代表与竞争性比选人进行合同的签署工作，并立即开始工作接洽及编制工作。否则视为自动放弃中选资格。</w:t>
      </w:r>
    </w:p>
    <w:p>
      <w:pPr>
        <w:spacing w:line="360" w:lineRule="auto"/>
        <w:rPr>
          <w:rFonts w:ascii="宋体" w:hAnsi="宋体" w:cs="宋体"/>
          <w:b/>
          <w:sz w:val="24"/>
          <w:highlight w:val="red"/>
        </w:rPr>
      </w:pPr>
      <w:r>
        <w:rPr>
          <w:rFonts w:hint="eastAsia" w:ascii="宋体" w:hAnsi="宋体" w:cs="宋体"/>
          <w:b/>
          <w:sz w:val="24"/>
        </w:rPr>
        <w:t>二、竞标人要求</w:t>
      </w:r>
    </w:p>
    <w:bookmarkEnd w:id="1"/>
    <w:bookmarkEnd w:id="2"/>
    <w:bookmarkEnd w:id="3"/>
    <w:bookmarkEnd w:id="4"/>
    <w:bookmarkEnd w:id="5"/>
    <w:bookmarkEnd w:id="6"/>
    <w:bookmarkEnd w:id="7"/>
    <w:bookmarkEnd w:id="8"/>
    <w:p>
      <w:pPr>
        <w:spacing w:line="360" w:lineRule="auto"/>
        <w:ind w:firstLine="420" w:firstLineChars="175"/>
        <w:rPr>
          <w:rFonts w:ascii="宋体" w:hAnsi="宋体"/>
          <w:sz w:val="24"/>
        </w:rPr>
      </w:pPr>
      <w:bookmarkStart w:id="17" w:name="_Toc246996169"/>
      <w:bookmarkStart w:id="18" w:name="_Toc152045522"/>
      <w:bookmarkStart w:id="19" w:name="_Toc247085683"/>
      <w:bookmarkStart w:id="20" w:name="_Toc152042298"/>
      <w:bookmarkStart w:id="21" w:name="_Toc246996912"/>
      <w:bookmarkStart w:id="22" w:name="_Toc179632539"/>
      <w:bookmarkStart w:id="23" w:name="_Toc296602413"/>
      <w:bookmarkStart w:id="24" w:name="_Toc144974490"/>
      <w:r>
        <w:rPr>
          <w:rFonts w:hint="eastAsia" w:ascii="宋体" w:hAnsi="宋体"/>
          <w:sz w:val="24"/>
        </w:rPr>
        <w:t>1</w:t>
      </w:r>
      <w:r>
        <w:rPr>
          <w:rFonts w:ascii="宋体" w:hAnsi="宋体"/>
          <w:sz w:val="24"/>
        </w:rPr>
        <w:t>.</w:t>
      </w:r>
      <w:r>
        <w:rPr>
          <w:rFonts w:hint="eastAsia" w:ascii="宋体" w:hAnsi="宋体"/>
          <w:sz w:val="24"/>
        </w:rPr>
        <w:t>竞标人须提供有效的营业执照</w:t>
      </w:r>
      <w:r>
        <w:rPr>
          <w:rFonts w:hint="eastAsia" w:ascii="宋体" w:hAnsi="宋体"/>
          <w:b/>
          <w:bCs/>
          <w:sz w:val="24"/>
        </w:rPr>
        <w:t>（提供复印件并加盖公章）</w:t>
      </w:r>
      <w:r>
        <w:rPr>
          <w:rFonts w:hint="eastAsia" w:ascii="宋体" w:hAnsi="宋体"/>
          <w:sz w:val="24"/>
        </w:rPr>
        <w:t>；</w:t>
      </w:r>
    </w:p>
    <w:p>
      <w:pPr>
        <w:spacing w:line="360" w:lineRule="auto"/>
        <w:ind w:firstLine="420" w:firstLineChars="175"/>
        <w:rPr>
          <w:rFonts w:ascii="宋体" w:hAnsi="宋体"/>
          <w:sz w:val="24"/>
        </w:rPr>
      </w:pPr>
      <w:r>
        <w:rPr>
          <w:rFonts w:ascii="宋体" w:hAnsi="宋体"/>
          <w:sz w:val="24"/>
        </w:rPr>
        <w:t>2.</w:t>
      </w:r>
      <w:r>
        <w:rPr>
          <w:rFonts w:hint="eastAsia" w:ascii="宋体" w:hAnsi="宋体"/>
          <w:sz w:val="24"/>
        </w:rPr>
        <w:t>竞标人须具有省级及以上财政部门颁发的资产评估资质并在人员等方面具有相应的能力；</w:t>
      </w:r>
      <w:r>
        <w:rPr>
          <w:rFonts w:hint="eastAsia" w:ascii="宋体" w:hAnsi="宋体"/>
          <w:b/>
          <w:bCs/>
          <w:sz w:val="24"/>
        </w:rPr>
        <w:t>（提供复印件并加盖单位公章）</w:t>
      </w:r>
      <w:r>
        <w:rPr>
          <w:rFonts w:hint="eastAsia" w:ascii="宋体" w:hAnsi="宋体"/>
          <w:sz w:val="24"/>
        </w:rPr>
        <w:t>；</w:t>
      </w:r>
    </w:p>
    <w:p>
      <w:pPr>
        <w:spacing w:line="360" w:lineRule="auto"/>
        <w:ind w:firstLine="360" w:firstLineChars="150"/>
      </w:pPr>
      <w:r>
        <w:rPr>
          <w:rFonts w:ascii="宋体" w:hAnsi="宋体"/>
          <w:sz w:val="24"/>
        </w:rPr>
        <w:t>3.</w:t>
      </w:r>
      <w:r>
        <w:rPr>
          <w:rFonts w:hint="eastAsia" w:ascii="宋体" w:hAnsi="宋体"/>
          <w:sz w:val="24"/>
        </w:rPr>
        <w:t>竞标人须具有证券期货评估资质。</w:t>
      </w:r>
    </w:p>
    <w:p>
      <w:pPr>
        <w:spacing w:line="360" w:lineRule="auto"/>
        <w:rPr>
          <w:rFonts w:ascii="宋体" w:hAnsi="宋体" w:cs="宋体"/>
          <w:b/>
          <w:sz w:val="24"/>
        </w:rPr>
      </w:pPr>
      <w:r>
        <w:rPr>
          <w:rFonts w:hint="eastAsia" w:ascii="宋体" w:hAnsi="宋体" w:cs="宋体"/>
          <w:b/>
          <w:sz w:val="24"/>
        </w:rPr>
        <w:t>三、竞争性比选响应文件的相关要求：</w:t>
      </w:r>
    </w:p>
    <w:p>
      <w:pPr>
        <w:spacing w:line="360" w:lineRule="auto"/>
        <w:ind w:firstLine="482" w:firstLineChars="200"/>
        <w:rPr>
          <w:rFonts w:ascii="宋体" w:hAnsi="宋体"/>
          <w:sz w:val="24"/>
        </w:rPr>
      </w:pPr>
      <w:r>
        <w:rPr>
          <w:rFonts w:hint="eastAsia" w:ascii="宋体" w:hAnsi="宋体"/>
          <w:b/>
          <w:bCs/>
          <w:sz w:val="24"/>
        </w:rPr>
        <w:t>1.周期</w:t>
      </w:r>
      <w:r>
        <w:rPr>
          <w:rFonts w:hint="eastAsia" w:ascii="宋体" w:hAnsi="宋体"/>
          <w:sz w:val="24"/>
        </w:rPr>
        <w:t>：</w:t>
      </w:r>
      <w:r>
        <w:rPr>
          <w:rFonts w:hint="eastAsia" w:ascii="宋体" w:hAnsi="宋体"/>
          <w:sz w:val="24"/>
          <w:u w:val="single"/>
        </w:rPr>
        <w:t xml:space="preserve"> 30 </w:t>
      </w:r>
      <w:r>
        <w:rPr>
          <w:rFonts w:hint="eastAsia" w:ascii="宋体" w:hAnsi="宋体"/>
          <w:sz w:val="24"/>
        </w:rPr>
        <w:t>日历天（具体工作开始时间以竞争性比选人通知为准）。</w:t>
      </w:r>
    </w:p>
    <w:bookmarkEnd w:id="17"/>
    <w:bookmarkEnd w:id="18"/>
    <w:bookmarkEnd w:id="19"/>
    <w:bookmarkEnd w:id="20"/>
    <w:bookmarkEnd w:id="21"/>
    <w:bookmarkEnd w:id="22"/>
    <w:bookmarkEnd w:id="23"/>
    <w:bookmarkEnd w:id="24"/>
    <w:p>
      <w:pPr>
        <w:spacing w:line="360" w:lineRule="auto"/>
        <w:ind w:firstLine="482" w:firstLineChars="200"/>
        <w:rPr>
          <w:rFonts w:ascii="宋体" w:hAnsi="宋体"/>
          <w:sz w:val="24"/>
        </w:rPr>
      </w:pPr>
      <w:r>
        <w:rPr>
          <w:rFonts w:hint="eastAsia" w:ascii="宋体" w:hAnsi="宋体"/>
          <w:b/>
          <w:bCs/>
          <w:sz w:val="24"/>
        </w:rPr>
        <w:t>2.报价说明：</w:t>
      </w:r>
      <w:r>
        <w:rPr>
          <w:rFonts w:hint="eastAsia" w:ascii="宋体" w:hAnsi="宋体"/>
          <w:sz w:val="24"/>
        </w:rPr>
        <w:t>竞标人结合本项目的特点以及自身承受能力进行自主报价，本项目最高限价：</w:t>
      </w:r>
      <w:r>
        <w:rPr>
          <w:rFonts w:hint="eastAsia" w:ascii="宋体" w:hAnsi="宋体"/>
          <w:sz w:val="24"/>
          <w:u w:val="single"/>
        </w:rPr>
        <w:t xml:space="preserve"> </w:t>
      </w:r>
      <w:r>
        <w:rPr>
          <w:rFonts w:ascii="宋体" w:hAnsi="宋体"/>
          <w:sz w:val="24"/>
          <w:u w:val="single"/>
        </w:rPr>
        <w:t>4</w:t>
      </w:r>
      <w:r>
        <w:rPr>
          <w:rFonts w:hint="eastAsia" w:ascii="宋体" w:hAnsi="宋体"/>
          <w:sz w:val="24"/>
          <w:u w:val="single"/>
        </w:rPr>
        <w:t xml:space="preserve">0 </w:t>
      </w:r>
      <w:r>
        <w:rPr>
          <w:rFonts w:hint="eastAsia" w:ascii="宋体" w:hAnsi="宋体"/>
          <w:sz w:val="24"/>
        </w:rPr>
        <w:t>万元。竞标人的竞标报价不得超过最高限价，否则，将作否决投标处理。</w:t>
      </w:r>
    </w:p>
    <w:p>
      <w:pPr>
        <w:spacing w:line="500" w:lineRule="exact"/>
        <w:ind w:firstLine="482" w:firstLineChars="200"/>
        <w:rPr>
          <w:rFonts w:ascii="宋体" w:hAnsi="宋体"/>
          <w:sz w:val="24"/>
        </w:rPr>
      </w:pPr>
      <w:r>
        <w:rPr>
          <w:rFonts w:hint="eastAsia" w:ascii="宋体" w:hAnsi="宋体"/>
          <w:b/>
          <w:bCs/>
          <w:sz w:val="24"/>
        </w:rPr>
        <w:t>3.特别说明：</w:t>
      </w:r>
      <w:r>
        <w:rPr>
          <w:rFonts w:hint="eastAsia" w:ascii="宋体" w:hAnsi="宋体"/>
          <w:sz w:val="24"/>
        </w:rPr>
        <w:t>各竞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spacing w:line="500" w:lineRule="exact"/>
        <w:ind w:firstLine="482" w:firstLineChars="200"/>
        <w:rPr>
          <w:rFonts w:ascii="宋体" w:hAnsi="宋体"/>
          <w:b/>
          <w:bCs/>
          <w:sz w:val="24"/>
        </w:rPr>
      </w:pPr>
      <w:r>
        <w:rPr>
          <w:rFonts w:hint="eastAsia" w:ascii="宋体" w:hAnsi="宋体"/>
          <w:b/>
          <w:bCs/>
          <w:sz w:val="24"/>
        </w:rPr>
        <w:t>4.竞争性比选响应文件的组成：</w:t>
      </w:r>
    </w:p>
    <w:p>
      <w:pPr>
        <w:spacing w:line="400" w:lineRule="exact"/>
        <w:ind w:firstLine="480" w:firstLineChars="200"/>
        <w:rPr>
          <w:rFonts w:ascii="宋体" w:hAnsi="宋体"/>
          <w:sz w:val="24"/>
        </w:rPr>
      </w:pPr>
      <w:r>
        <w:rPr>
          <w:rFonts w:hint="eastAsia" w:ascii="宋体" w:hAnsi="宋体"/>
          <w:sz w:val="24"/>
        </w:rPr>
        <w:t>①报价书；</w:t>
      </w:r>
    </w:p>
    <w:p>
      <w:pPr>
        <w:spacing w:line="400" w:lineRule="exact"/>
        <w:ind w:firstLine="480" w:firstLineChars="200"/>
        <w:rPr>
          <w:rFonts w:ascii="宋体" w:hAnsi="宋体"/>
          <w:sz w:val="24"/>
        </w:rPr>
      </w:pPr>
      <w:r>
        <w:rPr>
          <w:rFonts w:hint="eastAsia" w:ascii="宋体" w:hAnsi="宋体"/>
          <w:sz w:val="24"/>
        </w:rPr>
        <w:t>②法定代表人身份证明及授权委托书；</w:t>
      </w:r>
    </w:p>
    <w:p>
      <w:pPr>
        <w:spacing w:line="400" w:lineRule="exact"/>
        <w:ind w:firstLine="480" w:firstLineChars="200"/>
        <w:rPr>
          <w:rFonts w:ascii="宋体" w:hAnsi="宋体"/>
          <w:sz w:val="24"/>
        </w:rPr>
      </w:pPr>
      <w:r>
        <w:rPr>
          <w:rFonts w:hint="eastAsia" w:ascii="宋体" w:hAnsi="宋体"/>
          <w:sz w:val="24"/>
        </w:rPr>
        <w:t>③竞争性比选响应单位有效的营业执照复印件；</w:t>
      </w:r>
    </w:p>
    <w:p>
      <w:pPr>
        <w:spacing w:line="400" w:lineRule="exact"/>
        <w:ind w:firstLine="480" w:firstLineChars="200"/>
        <w:rPr>
          <w:rFonts w:ascii="宋体" w:hAnsi="宋体"/>
          <w:sz w:val="24"/>
        </w:rPr>
      </w:pPr>
      <w:r>
        <w:rPr>
          <w:rFonts w:hint="eastAsia" w:ascii="宋体" w:hAnsi="宋体"/>
          <w:sz w:val="24"/>
        </w:rPr>
        <w:t>④单位资质证明材料；</w:t>
      </w:r>
    </w:p>
    <w:p>
      <w:pPr>
        <w:spacing w:line="400" w:lineRule="exact"/>
        <w:ind w:firstLine="480" w:firstLineChars="200"/>
        <w:rPr>
          <w:rFonts w:ascii="宋体" w:hAnsi="宋体"/>
          <w:sz w:val="24"/>
        </w:rPr>
      </w:pPr>
      <w:r>
        <w:rPr>
          <w:rFonts w:hint="eastAsia" w:ascii="宋体" w:hAnsi="宋体"/>
          <w:sz w:val="24"/>
        </w:rPr>
        <w:t>⑤报价明细表；</w:t>
      </w:r>
    </w:p>
    <w:p>
      <w:pPr>
        <w:spacing w:line="400" w:lineRule="exact"/>
        <w:ind w:firstLine="480" w:firstLineChars="200"/>
        <w:rPr>
          <w:rFonts w:ascii="宋体" w:hAnsi="宋体"/>
          <w:sz w:val="24"/>
        </w:rPr>
      </w:pPr>
      <w:r>
        <w:rPr>
          <w:rFonts w:hint="eastAsia" w:ascii="宋体" w:hAnsi="宋体"/>
          <w:sz w:val="24"/>
        </w:rPr>
        <w:t xml:space="preserve">⑥国有企业资产评估项目业绩（提供合同协议书复印件加盖公司鲜章）； </w:t>
      </w:r>
    </w:p>
    <w:p>
      <w:pPr>
        <w:spacing w:line="400" w:lineRule="exact"/>
        <w:ind w:firstLine="480" w:firstLineChars="200"/>
        <w:rPr>
          <w:rFonts w:ascii="宋体" w:hAnsi="宋体"/>
          <w:sz w:val="24"/>
        </w:rPr>
      </w:pPr>
      <w:r>
        <w:rPr>
          <w:rFonts w:hint="eastAsia" w:ascii="宋体" w:hAnsi="宋体"/>
          <w:sz w:val="24"/>
        </w:rPr>
        <w:t>⑦拟承担本资产评估项目负责人相关证书和业绩（提供证书及相关业绩资料复印件加盖公司鲜章）；</w:t>
      </w:r>
    </w:p>
    <w:p>
      <w:pPr>
        <w:spacing w:line="400" w:lineRule="exact"/>
        <w:ind w:firstLine="480" w:firstLineChars="200"/>
        <w:rPr>
          <w:rFonts w:ascii="宋体" w:hAnsi="宋体"/>
          <w:b/>
          <w:bCs/>
          <w:sz w:val="24"/>
        </w:rPr>
      </w:pPr>
      <w:r>
        <w:rPr>
          <w:rFonts w:hint="eastAsia" w:ascii="宋体" w:hAnsi="宋体"/>
          <w:sz w:val="24"/>
        </w:rPr>
        <w:t>⑧其他资料；</w:t>
      </w:r>
    </w:p>
    <w:p>
      <w:pPr>
        <w:spacing w:line="400" w:lineRule="exact"/>
        <w:ind w:firstLine="482" w:firstLineChars="200"/>
        <w:rPr>
          <w:rFonts w:ascii="宋体" w:hAnsi="宋体"/>
          <w:b/>
          <w:bCs/>
          <w:sz w:val="24"/>
        </w:rPr>
      </w:pPr>
      <w:r>
        <w:rPr>
          <w:rFonts w:hint="eastAsia" w:ascii="宋体" w:hAnsi="宋体"/>
          <w:b/>
          <w:bCs/>
          <w:sz w:val="24"/>
        </w:rPr>
        <w:t>注：以上所有文件均须加盖单位公章</w:t>
      </w:r>
    </w:p>
    <w:p>
      <w:pPr>
        <w:spacing w:line="400" w:lineRule="exact"/>
        <w:ind w:firstLine="482" w:firstLineChars="200"/>
        <w:rPr>
          <w:rFonts w:ascii="宋体" w:hAnsi="宋体"/>
          <w:b/>
          <w:bCs/>
          <w:sz w:val="24"/>
        </w:rPr>
      </w:pPr>
      <w:r>
        <w:rPr>
          <w:rFonts w:hint="eastAsia" w:ascii="宋体" w:hAnsi="宋体"/>
          <w:b/>
          <w:bCs/>
          <w:sz w:val="24"/>
        </w:rPr>
        <w:t>5.竞争性比选响应文件的份数及编制要求</w:t>
      </w:r>
    </w:p>
    <w:p>
      <w:pPr>
        <w:spacing w:line="400" w:lineRule="exact"/>
        <w:ind w:firstLine="480" w:firstLineChars="200"/>
        <w:rPr>
          <w:rFonts w:ascii="宋体" w:hAnsi="宋体"/>
          <w:sz w:val="24"/>
        </w:rPr>
      </w:pPr>
      <w:r>
        <w:rPr>
          <w:rFonts w:hint="eastAsia" w:ascii="宋体" w:hAnsi="宋体"/>
          <w:sz w:val="24"/>
        </w:rPr>
        <w:t>竞争性比选响应文件正本1份，副本1份，竞争性比选响应文件按竞争性比选文件中规定格式排版，并编制目录。</w:t>
      </w:r>
    </w:p>
    <w:p>
      <w:pPr>
        <w:numPr>
          <w:ilvl w:val="0"/>
          <w:numId w:val="1"/>
        </w:numPr>
        <w:spacing w:line="360" w:lineRule="auto"/>
        <w:rPr>
          <w:rFonts w:ascii="宋体" w:hAnsi="宋体" w:cs="宋体"/>
          <w:b/>
          <w:sz w:val="24"/>
        </w:rPr>
      </w:pPr>
      <w:r>
        <w:rPr>
          <w:rFonts w:hint="eastAsia" w:ascii="宋体" w:hAnsi="宋体" w:cs="宋体"/>
          <w:b/>
          <w:sz w:val="24"/>
        </w:rPr>
        <w:t>评审办法（本项目采用综合评估法）：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29"/>
        <w:gridCol w:w="1137"/>
        <w:gridCol w:w="1143"/>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3" w:type="dxa"/>
            <w:gridSpan w:val="2"/>
            <w:vAlign w:val="center"/>
          </w:tcPr>
          <w:p>
            <w:pPr>
              <w:jc w:val="center"/>
              <w:rPr>
                <w:rFonts w:ascii="宋体" w:hAnsi="宋体"/>
                <w:b/>
                <w:szCs w:val="21"/>
              </w:rPr>
            </w:pPr>
            <w:r>
              <w:rPr>
                <w:rFonts w:ascii="宋体" w:hAnsi="宋体"/>
                <w:b/>
                <w:szCs w:val="21"/>
              </w:rPr>
              <w:t>条款名称</w:t>
            </w:r>
          </w:p>
        </w:tc>
        <w:tc>
          <w:tcPr>
            <w:tcW w:w="7787" w:type="dxa"/>
            <w:gridSpan w:val="3"/>
            <w:vAlign w:val="center"/>
          </w:tcPr>
          <w:p>
            <w:pPr>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3" w:type="dxa"/>
            <w:gridSpan w:val="2"/>
            <w:vAlign w:val="center"/>
          </w:tcPr>
          <w:p>
            <w:pPr>
              <w:jc w:val="center"/>
              <w:rPr>
                <w:rFonts w:ascii="宋体" w:hAnsi="宋体"/>
                <w:szCs w:val="21"/>
              </w:rPr>
            </w:pPr>
            <w:r>
              <w:rPr>
                <w:rFonts w:ascii="宋体" w:hAnsi="宋体"/>
                <w:szCs w:val="21"/>
              </w:rPr>
              <w:t>初步评审</w:t>
            </w:r>
          </w:p>
        </w:tc>
        <w:tc>
          <w:tcPr>
            <w:tcW w:w="7787" w:type="dxa"/>
            <w:gridSpan w:val="3"/>
            <w:vAlign w:val="center"/>
          </w:tcPr>
          <w:p>
            <w:pPr>
              <w:spacing w:line="324" w:lineRule="auto"/>
              <w:rPr>
                <w:rFonts w:ascii="宋体" w:hAnsi="宋体"/>
                <w:szCs w:val="21"/>
              </w:rPr>
            </w:pPr>
            <w:r>
              <w:rPr>
                <w:rFonts w:hint="eastAsia" w:ascii="宋体" w:hAnsi="宋体"/>
                <w:szCs w:val="21"/>
              </w:rPr>
              <w:t>（1）竞争性比选响应文件</w:t>
            </w:r>
            <w:r>
              <w:rPr>
                <w:rFonts w:ascii="宋体" w:hAnsi="宋体"/>
                <w:szCs w:val="21"/>
              </w:rPr>
              <w:t>按照</w:t>
            </w:r>
            <w:r>
              <w:rPr>
                <w:rFonts w:hint="eastAsia" w:ascii="宋体" w:hAnsi="宋体"/>
                <w:szCs w:val="21"/>
              </w:rPr>
              <w:t>竞争性比选文件</w:t>
            </w:r>
            <w:r>
              <w:rPr>
                <w:rFonts w:ascii="宋体" w:hAnsi="宋体"/>
                <w:szCs w:val="21"/>
              </w:rPr>
              <w:t>规定的格式、内容填写，字迹清晰可辨；</w:t>
            </w:r>
            <w:r>
              <w:rPr>
                <w:rFonts w:hint="eastAsia" w:ascii="宋体" w:hAnsi="宋体"/>
                <w:szCs w:val="21"/>
              </w:rPr>
              <w:t xml:space="preserve"> </w:t>
            </w:r>
          </w:p>
          <w:p>
            <w:pPr>
              <w:spacing w:line="324" w:lineRule="auto"/>
              <w:rPr>
                <w:rFonts w:ascii="宋体" w:hAnsi="宋体"/>
                <w:szCs w:val="21"/>
              </w:rPr>
            </w:pPr>
            <w:r>
              <w:rPr>
                <w:rFonts w:hint="eastAsia" w:ascii="宋体" w:hAnsi="宋体"/>
                <w:szCs w:val="21"/>
              </w:rPr>
              <w:t>（2）竞争性比选响应文件</w:t>
            </w:r>
            <w:r>
              <w:rPr>
                <w:rFonts w:ascii="宋体" w:hAnsi="宋体"/>
                <w:szCs w:val="21"/>
              </w:rPr>
              <w:t>上法定代表人或其授权代理人的签字、</w:t>
            </w:r>
            <w:r>
              <w:rPr>
                <w:rFonts w:hint="eastAsia" w:ascii="宋体" w:hAnsi="宋体"/>
                <w:szCs w:val="21"/>
              </w:rPr>
              <w:t>竞标人</w:t>
            </w:r>
            <w:r>
              <w:rPr>
                <w:rFonts w:ascii="宋体" w:hAnsi="宋体"/>
                <w:szCs w:val="21"/>
              </w:rPr>
              <w:t>的单位章齐全，符合</w:t>
            </w:r>
            <w:r>
              <w:rPr>
                <w:rFonts w:hint="eastAsia" w:ascii="宋体" w:hAnsi="宋体"/>
                <w:szCs w:val="21"/>
              </w:rPr>
              <w:t>竞争性比选文件</w:t>
            </w:r>
            <w:r>
              <w:rPr>
                <w:rFonts w:ascii="宋体" w:hAnsi="宋体"/>
                <w:szCs w:val="21"/>
              </w:rPr>
              <w:t>规定；</w:t>
            </w:r>
          </w:p>
          <w:p>
            <w:pPr>
              <w:spacing w:line="324" w:lineRule="auto"/>
              <w:rPr>
                <w:rFonts w:ascii="宋体" w:hAnsi="宋体"/>
                <w:szCs w:val="21"/>
              </w:rPr>
            </w:pPr>
            <w:r>
              <w:rPr>
                <w:rFonts w:hint="eastAsia" w:ascii="宋体" w:hAnsi="宋体"/>
                <w:szCs w:val="21"/>
              </w:rPr>
              <w:t>（3）竞标人按照前述要求提供了法定代表人的授权委托书或法定代表人身份证明。</w:t>
            </w:r>
          </w:p>
          <w:p>
            <w:pPr>
              <w:spacing w:line="324" w:lineRule="auto"/>
              <w:rPr>
                <w:rFonts w:ascii="宋体" w:hAnsi="宋体"/>
                <w:szCs w:val="21"/>
              </w:rPr>
            </w:pPr>
            <w:r>
              <w:rPr>
                <w:rFonts w:hint="eastAsia" w:ascii="宋体" w:hAnsi="宋体"/>
                <w:szCs w:val="21"/>
              </w:rPr>
              <w:t>（4）竞标人未提供虚假资料；</w:t>
            </w:r>
          </w:p>
          <w:p>
            <w:pPr>
              <w:spacing w:line="324" w:lineRule="auto"/>
              <w:rPr>
                <w:rFonts w:ascii="宋体" w:hAnsi="宋体"/>
                <w:szCs w:val="21"/>
              </w:rPr>
            </w:pPr>
            <w:r>
              <w:rPr>
                <w:rFonts w:hint="eastAsia" w:ascii="宋体" w:hAnsi="宋体"/>
                <w:szCs w:val="21"/>
              </w:rPr>
              <w:t>（5）在报价函上填写了竞标总价（包括大写金额和小写金额），竞标总价不高于竞争性比选人公布的最高竞标限价，且报价唯一；</w:t>
            </w:r>
          </w:p>
          <w:p>
            <w:pPr>
              <w:spacing w:line="324" w:lineRule="auto"/>
              <w:rPr>
                <w:rFonts w:ascii="宋体" w:hAnsi="宋体"/>
                <w:szCs w:val="21"/>
              </w:rPr>
            </w:pPr>
            <w:r>
              <w:rPr>
                <w:rFonts w:hint="eastAsia" w:ascii="宋体" w:hAnsi="宋体"/>
                <w:szCs w:val="21"/>
              </w:rPr>
              <w:t>（6）竞标人没有围标串标行为。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3" w:type="dxa"/>
            <w:gridSpan w:val="2"/>
            <w:vAlign w:val="center"/>
          </w:tcPr>
          <w:p>
            <w:pPr>
              <w:jc w:val="center"/>
              <w:rPr>
                <w:rFonts w:ascii="宋体" w:hAnsi="宋体"/>
                <w:b/>
                <w:szCs w:val="21"/>
              </w:rPr>
            </w:pPr>
            <w:r>
              <w:rPr>
                <w:rFonts w:ascii="宋体" w:hAnsi="宋体"/>
                <w:b/>
                <w:szCs w:val="21"/>
              </w:rPr>
              <w:t>条款名称</w:t>
            </w:r>
          </w:p>
        </w:tc>
        <w:tc>
          <w:tcPr>
            <w:tcW w:w="7787" w:type="dxa"/>
            <w:gridSpan w:val="3"/>
            <w:vAlign w:val="center"/>
          </w:tcPr>
          <w:p>
            <w:pPr>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gridSpan w:val="2"/>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详细评审</w:t>
            </w:r>
          </w:p>
        </w:tc>
        <w:tc>
          <w:tcPr>
            <w:tcW w:w="7787" w:type="dxa"/>
            <w:gridSpan w:val="3"/>
            <w:vAlign w:val="center"/>
          </w:tcPr>
          <w:p>
            <w:pPr>
              <w:spacing w:line="400" w:lineRule="exact"/>
              <w:ind w:right="420" w:rightChars="200"/>
              <w:jc w:val="left"/>
            </w:pPr>
            <w:r>
              <w:rPr>
                <w:rFonts w:hint="eastAsia"/>
              </w:rPr>
              <w:t>评审因素</w:t>
            </w:r>
            <w:r>
              <w:tab/>
            </w:r>
            <w:r>
              <w:rPr>
                <w:rFonts w:hint="eastAsia"/>
              </w:rPr>
              <w:t xml:space="preserve">                               评分值</w:t>
            </w:r>
          </w:p>
          <w:p>
            <w:pPr>
              <w:numPr>
                <w:ilvl w:val="0"/>
                <w:numId w:val="2"/>
              </w:numPr>
              <w:spacing w:line="400" w:lineRule="exact"/>
              <w:ind w:right="420" w:rightChars="200"/>
              <w:jc w:val="left"/>
              <w:rPr>
                <w:u w:val="single"/>
              </w:rPr>
            </w:pPr>
            <w:r>
              <w:rPr>
                <w:rFonts w:hint="eastAsia"/>
              </w:rPr>
              <w:t xml:space="preserve">商务部分                   ：        </w:t>
            </w:r>
            <w:r>
              <w:rPr>
                <w:rFonts w:hint="eastAsia"/>
                <w:u w:val="single"/>
              </w:rPr>
              <w:t>20 分</w:t>
            </w:r>
          </w:p>
          <w:p>
            <w:pPr>
              <w:autoSpaceDE w:val="0"/>
              <w:autoSpaceDN w:val="0"/>
              <w:spacing w:line="400" w:lineRule="exact"/>
              <w:ind w:firstLine="630" w:firstLineChars="3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 xml:space="preserve">）行业排名 </w:t>
            </w:r>
            <w:r>
              <w:rPr>
                <w:rFonts w:ascii="宋体" w:hAnsi="宋体" w:cs="宋体"/>
                <w:kern w:val="0"/>
                <w:szCs w:val="21"/>
              </w:rPr>
              <w:t xml:space="preserve">                         </w:t>
            </w:r>
            <w:r>
              <w:rPr>
                <w:rFonts w:hint="eastAsia" w:ascii="宋体" w:hAnsi="宋体" w:cs="宋体"/>
                <w:kern w:val="0"/>
                <w:szCs w:val="21"/>
                <w:lang w:val="en-US" w:eastAsia="zh-CN"/>
              </w:rPr>
              <w:t>4</w:t>
            </w:r>
            <w:r>
              <w:rPr>
                <w:rFonts w:hint="eastAsia" w:ascii="宋体" w:hAnsi="宋体" w:cs="宋体"/>
                <w:kern w:val="0"/>
                <w:szCs w:val="21"/>
              </w:rPr>
              <w:t>分</w:t>
            </w:r>
          </w:p>
          <w:p>
            <w:pPr>
              <w:spacing w:line="400" w:lineRule="exact"/>
              <w:ind w:right="420" w:rightChars="200" w:firstLine="630" w:firstLineChars="300"/>
              <w:jc w:val="left"/>
              <w:rPr>
                <w:rFonts w:hint="eastAsia" w:ascii="宋体" w:cs="宋体"/>
                <w:kern w:val="0"/>
                <w:szCs w:val="21"/>
              </w:rPr>
            </w:pPr>
            <w:r>
              <w:rPr>
                <w:rFonts w:hint="eastAsia" w:ascii="宋体" w:cs="宋体"/>
                <w:kern w:val="0"/>
                <w:szCs w:val="21"/>
              </w:rPr>
              <w:t>（</w:t>
            </w:r>
            <w:r>
              <w:rPr>
                <w:rFonts w:hint="eastAsia" w:ascii="宋体" w:cs="宋体"/>
                <w:kern w:val="0"/>
                <w:szCs w:val="21"/>
                <w:lang w:val="en-US" w:eastAsia="zh-CN"/>
              </w:rPr>
              <w:t>2</w:t>
            </w:r>
            <w:r>
              <w:rPr>
                <w:rFonts w:hint="eastAsia" w:ascii="宋体" w:cs="宋体"/>
                <w:kern w:val="0"/>
                <w:szCs w:val="21"/>
              </w:rPr>
              <w:t>）机构资质</w:t>
            </w:r>
            <w:r>
              <w:rPr>
                <w:rFonts w:hint="eastAsia" w:ascii="宋体" w:cs="宋体"/>
                <w:kern w:val="0"/>
                <w:szCs w:val="21"/>
                <w:lang w:val="en-US" w:eastAsia="zh-CN"/>
              </w:rPr>
              <w:t xml:space="preserve">                    </w:t>
            </w:r>
            <w:r>
              <w:rPr>
                <w:rFonts w:hint="eastAsia" w:ascii="宋体" w:cs="宋体"/>
                <w:kern w:val="0"/>
                <w:szCs w:val="21"/>
              </w:rPr>
              <w:t xml:space="preserve">      </w:t>
            </w:r>
            <w:r>
              <w:rPr>
                <w:rFonts w:hint="eastAsia" w:ascii="宋体" w:cs="宋体"/>
                <w:kern w:val="0"/>
                <w:szCs w:val="21"/>
                <w:lang w:val="en-US" w:eastAsia="zh-CN"/>
              </w:rPr>
              <w:t>4</w:t>
            </w:r>
            <w:r>
              <w:rPr>
                <w:rFonts w:hint="eastAsia" w:ascii="宋体" w:cs="宋体"/>
                <w:kern w:val="0"/>
                <w:szCs w:val="21"/>
              </w:rPr>
              <w:t>分</w:t>
            </w:r>
          </w:p>
          <w:p>
            <w:pPr>
              <w:spacing w:line="400" w:lineRule="exact"/>
              <w:ind w:right="420" w:rightChars="200" w:firstLine="630" w:firstLineChars="300"/>
              <w:jc w:val="left"/>
              <w:rPr>
                <w:rFonts w:hint="default" w:eastAsia="宋体"/>
                <w:lang w:val="en-US" w:eastAsia="zh-CN"/>
              </w:rPr>
            </w:pPr>
            <w:r>
              <w:rPr>
                <w:rFonts w:hint="eastAsia" w:ascii="宋体" w:cs="宋体"/>
                <w:kern w:val="0"/>
                <w:szCs w:val="21"/>
                <w:lang w:eastAsia="zh-CN"/>
              </w:rPr>
              <w:t>（</w:t>
            </w:r>
            <w:r>
              <w:rPr>
                <w:rFonts w:hint="eastAsia" w:ascii="宋体" w:cs="宋体"/>
                <w:kern w:val="0"/>
                <w:szCs w:val="21"/>
                <w:lang w:val="en-US" w:eastAsia="zh-CN"/>
              </w:rPr>
              <w:t>3</w:t>
            </w:r>
            <w:r>
              <w:rPr>
                <w:rFonts w:hint="eastAsia" w:ascii="宋体" w:cs="宋体"/>
                <w:kern w:val="0"/>
                <w:szCs w:val="21"/>
                <w:lang w:eastAsia="zh-CN"/>
              </w:rPr>
              <w:t>）</w:t>
            </w:r>
            <w:r>
              <w:rPr>
                <w:rFonts w:hint="eastAsia"/>
              </w:rPr>
              <w:t>服务方案</w:t>
            </w:r>
            <w:r>
              <w:rPr>
                <w:rFonts w:hint="eastAsia"/>
                <w:lang w:val="en-US" w:eastAsia="zh-CN"/>
              </w:rPr>
              <w:t xml:space="preserve">                          12分</w:t>
            </w:r>
          </w:p>
          <w:p>
            <w:r>
              <w:rPr>
                <w:rFonts w:hint="eastAsia"/>
              </w:rPr>
              <w:t>（二）</w:t>
            </w:r>
            <w:r>
              <w:rPr>
                <w:rFonts w:hint="eastAsia" w:ascii="宋体" w:cs="宋体"/>
                <w:kern w:val="0"/>
                <w:szCs w:val="21"/>
              </w:rPr>
              <w:t>投标价</w:t>
            </w:r>
            <w:r>
              <w:rPr>
                <w:rFonts w:hint="eastAsia"/>
              </w:rPr>
              <w:t xml:space="preserve">                   ：         </w:t>
            </w:r>
            <w:r>
              <w:rPr>
                <w:rFonts w:hint="eastAsia"/>
                <w:u w:val="single"/>
              </w:rPr>
              <w:t xml:space="preserve"> </w:t>
            </w:r>
            <w:r>
              <w:rPr>
                <w:rFonts w:hint="eastAsia"/>
                <w:u w:val="single"/>
                <w:lang w:val="en-US" w:eastAsia="zh-CN"/>
              </w:rPr>
              <w:t>8</w:t>
            </w:r>
            <w:r>
              <w:rPr>
                <w:rFonts w:hint="eastAsia"/>
                <w:u w:val="single"/>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33" w:type="dxa"/>
            <w:gridSpan w:val="2"/>
            <w:vAlign w:val="center"/>
          </w:tcPr>
          <w:p>
            <w:pPr>
              <w:spacing w:line="400" w:lineRule="exact"/>
              <w:jc w:val="center"/>
              <w:rPr>
                <w:rFonts w:ascii="宋体" w:hAnsi="宋体"/>
                <w:szCs w:val="21"/>
              </w:rPr>
            </w:pPr>
            <w:r>
              <w:rPr>
                <w:rFonts w:hint="eastAsia" w:ascii="宋体" w:hAnsi="宋体"/>
                <w:szCs w:val="21"/>
              </w:rPr>
              <w:t>澄</w:t>
            </w:r>
          </w:p>
          <w:p>
            <w:pPr>
              <w:spacing w:line="400" w:lineRule="exact"/>
              <w:jc w:val="center"/>
              <w:rPr>
                <w:rFonts w:ascii="宋体" w:hAnsi="宋体"/>
                <w:szCs w:val="21"/>
              </w:rPr>
            </w:pPr>
            <w:r>
              <w:rPr>
                <w:rFonts w:hint="eastAsia" w:ascii="宋体" w:hAnsi="宋体"/>
                <w:szCs w:val="21"/>
              </w:rPr>
              <w:t>清</w:t>
            </w:r>
          </w:p>
        </w:tc>
        <w:tc>
          <w:tcPr>
            <w:tcW w:w="7787" w:type="dxa"/>
            <w:gridSpan w:val="3"/>
            <w:vAlign w:val="center"/>
          </w:tcPr>
          <w:p>
            <w:pPr>
              <w:spacing w:line="400" w:lineRule="exact"/>
              <w:ind w:right="420" w:rightChars="200"/>
              <w:rPr>
                <w:rFonts w:ascii="宋体" w:hAnsi="宋体"/>
                <w:szCs w:val="21"/>
              </w:rPr>
            </w:pPr>
            <w:r>
              <w:rPr>
                <w:rFonts w:hint="eastAsia" w:ascii="宋体" w:hAnsi="宋体"/>
                <w:szCs w:val="21"/>
              </w:rPr>
              <w:t>发生以下任一情形的，作否决处理：</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）竞标人拒绝确认算术性修正后的报价；</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）修正后的最终竞标报价超过最高竞标限价；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33" w:type="dxa"/>
            <w:gridSpan w:val="2"/>
            <w:vAlign w:val="center"/>
          </w:tcPr>
          <w:p>
            <w:pPr>
              <w:spacing w:line="400" w:lineRule="exact"/>
              <w:jc w:val="center"/>
              <w:rPr>
                <w:rFonts w:ascii="宋体" w:hAnsi="宋体"/>
                <w:szCs w:val="21"/>
              </w:rPr>
            </w:pPr>
            <w:r>
              <w:rPr>
                <w:rFonts w:hint="eastAsia" w:ascii="宋体" w:hAnsi="宋体"/>
                <w:szCs w:val="21"/>
              </w:rPr>
              <w:t>视为竞标人相互串通投标的情形</w:t>
            </w:r>
          </w:p>
        </w:tc>
        <w:tc>
          <w:tcPr>
            <w:tcW w:w="7787" w:type="dxa"/>
            <w:gridSpan w:val="3"/>
            <w:vAlign w:val="center"/>
          </w:tcPr>
          <w:p>
            <w:pPr>
              <w:spacing w:line="400" w:lineRule="exact"/>
              <w:ind w:right="420" w:rightChars="200"/>
              <w:rPr>
                <w:b/>
                <w:bCs/>
              </w:rPr>
            </w:pPr>
            <w:r>
              <w:rPr>
                <w:rFonts w:hint="eastAsia"/>
                <w:b/>
                <w:bCs/>
              </w:rPr>
              <w:t>有下列情况之一的，视为竞标人相互串通投标，做否决处理。</w:t>
            </w:r>
          </w:p>
          <w:p>
            <w:pPr>
              <w:numPr>
                <w:ilvl w:val="0"/>
                <w:numId w:val="3"/>
              </w:numPr>
              <w:spacing w:line="400" w:lineRule="exact"/>
              <w:ind w:right="420" w:rightChars="200"/>
            </w:pPr>
            <w:r>
              <w:rPr>
                <w:rFonts w:hint="eastAsia"/>
              </w:rPr>
              <w:t>不同竞标人的竞争性比选响应文件由同一单位或者个人编制；</w:t>
            </w:r>
          </w:p>
          <w:p>
            <w:pPr>
              <w:numPr>
                <w:ilvl w:val="0"/>
                <w:numId w:val="3"/>
              </w:numPr>
              <w:spacing w:line="400" w:lineRule="exact"/>
              <w:ind w:right="420" w:rightChars="200"/>
            </w:pPr>
            <w:r>
              <w:rPr>
                <w:rFonts w:hint="eastAsia"/>
              </w:rPr>
              <w:t>不同竞标人委托同一单位或者个人办理投标事宜；</w:t>
            </w:r>
          </w:p>
          <w:p>
            <w:pPr>
              <w:numPr>
                <w:ilvl w:val="0"/>
                <w:numId w:val="3"/>
              </w:numPr>
              <w:spacing w:line="400" w:lineRule="exact"/>
              <w:ind w:right="420" w:rightChars="200"/>
            </w:pPr>
            <w:r>
              <w:rPr>
                <w:rFonts w:hint="eastAsia"/>
              </w:rPr>
              <w:t>不同竞标人的竞争性比选响应文件载明的项目管理成员为同一人；</w:t>
            </w:r>
          </w:p>
          <w:p>
            <w:pPr>
              <w:numPr>
                <w:ilvl w:val="0"/>
                <w:numId w:val="3"/>
              </w:numPr>
              <w:spacing w:line="400" w:lineRule="exact"/>
              <w:ind w:right="420" w:rightChars="200"/>
            </w:pPr>
            <w:r>
              <w:rPr>
                <w:rFonts w:hint="eastAsia"/>
              </w:rPr>
              <w:t>不同竞标人的竞争性比选响应文件异常一致或者竞标报价呈规律性差异；</w:t>
            </w:r>
          </w:p>
          <w:p>
            <w:pPr>
              <w:tabs>
                <w:tab w:val="right" w:leader="dot" w:pos="8805"/>
              </w:tabs>
              <w:spacing w:line="400" w:lineRule="exact"/>
              <w:ind w:right="420" w:rightChars="200"/>
            </w:pPr>
            <w:r>
              <w:rPr>
                <w:rFonts w:hint="eastAsia"/>
              </w:rPr>
              <w:t>（5）  不同竞标人的竞争性比选响应文件相互混装；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13" w:type="dxa"/>
            <w:gridSpan w:val="4"/>
            <w:vAlign w:val="center"/>
          </w:tcPr>
          <w:p>
            <w:pPr>
              <w:spacing w:line="360" w:lineRule="exact"/>
              <w:rPr>
                <w:rFonts w:ascii="宋体" w:hAnsi="宋体"/>
                <w:b/>
                <w:szCs w:val="21"/>
              </w:rPr>
            </w:pPr>
            <w:r>
              <w:rPr>
                <w:rFonts w:ascii="宋体" w:hAnsi="宋体"/>
                <w:b/>
                <w:szCs w:val="21"/>
              </w:rPr>
              <w:t>评审因素与评分值</w:t>
            </w:r>
          </w:p>
        </w:tc>
        <w:tc>
          <w:tcPr>
            <w:tcW w:w="5507" w:type="dxa"/>
            <w:vMerge w:val="restart"/>
            <w:vAlign w:val="center"/>
          </w:tcPr>
          <w:p>
            <w:pPr>
              <w:spacing w:line="360" w:lineRule="exac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04" w:type="dxa"/>
            <w:vAlign w:val="center"/>
          </w:tcPr>
          <w:p>
            <w:pPr>
              <w:spacing w:line="240" w:lineRule="exact"/>
              <w:jc w:val="center"/>
              <w:rPr>
                <w:rFonts w:ascii="宋体" w:hAnsi="宋体"/>
                <w:b/>
                <w:szCs w:val="21"/>
              </w:rPr>
            </w:pPr>
            <w:r>
              <w:rPr>
                <w:rFonts w:ascii="宋体" w:hAnsi="宋体"/>
                <w:b/>
                <w:szCs w:val="21"/>
              </w:rPr>
              <w:t>序号</w:t>
            </w:r>
          </w:p>
        </w:tc>
        <w:tc>
          <w:tcPr>
            <w:tcW w:w="1266" w:type="dxa"/>
            <w:gridSpan w:val="2"/>
            <w:vAlign w:val="center"/>
          </w:tcPr>
          <w:p>
            <w:pPr>
              <w:spacing w:line="240" w:lineRule="exact"/>
              <w:jc w:val="center"/>
              <w:rPr>
                <w:rFonts w:ascii="宋体" w:hAnsi="宋体"/>
                <w:b/>
                <w:szCs w:val="21"/>
              </w:rPr>
            </w:pPr>
            <w:r>
              <w:rPr>
                <w:rFonts w:ascii="宋体" w:hAnsi="宋体"/>
                <w:b/>
                <w:szCs w:val="21"/>
              </w:rPr>
              <w:t>评审</w:t>
            </w:r>
          </w:p>
          <w:p>
            <w:pPr>
              <w:spacing w:line="240" w:lineRule="exact"/>
              <w:jc w:val="center"/>
              <w:rPr>
                <w:rFonts w:ascii="宋体" w:hAnsi="宋体"/>
                <w:b/>
                <w:szCs w:val="21"/>
              </w:rPr>
            </w:pPr>
            <w:r>
              <w:rPr>
                <w:rFonts w:ascii="宋体" w:hAnsi="宋体"/>
                <w:b/>
                <w:szCs w:val="21"/>
              </w:rPr>
              <w:t>因素</w:t>
            </w:r>
          </w:p>
        </w:tc>
        <w:tc>
          <w:tcPr>
            <w:tcW w:w="1143" w:type="dxa"/>
            <w:vAlign w:val="center"/>
          </w:tcPr>
          <w:p>
            <w:pPr>
              <w:spacing w:line="240" w:lineRule="exact"/>
              <w:rPr>
                <w:rFonts w:ascii="宋体" w:hAnsi="宋体"/>
                <w:b/>
                <w:szCs w:val="21"/>
              </w:rPr>
            </w:pPr>
            <w:r>
              <w:rPr>
                <w:rFonts w:ascii="宋体" w:hAnsi="宋体"/>
                <w:b/>
                <w:szCs w:val="21"/>
              </w:rPr>
              <w:t>评审因素评分值</w:t>
            </w:r>
          </w:p>
        </w:tc>
        <w:tc>
          <w:tcPr>
            <w:tcW w:w="5507" w:type="dxa"/>
            <w:vMerge w:val="continue"/>
            <w:vAlign w:val="center"/>
          </w:tcPr>
          <w:p>
            <w:pPr>
              <w:spacing w:line="3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04" w:type="dxa"/>
            <w:vMerge w:val="restart"/>
            <w:vAlign w:val="center"/>
          </w:tcPr>
          <w:p>
            <w:pPr>
              <w:spacing w:line="324" w:lineRule="auto"/>
              <w:rPr>
                <w:rFonts w:ascii="宋体" w:hAnsi="宋体" w:cs="宋体"/>
                <w:kern w:val="0"/>
                <w:szCs w:val="21"/>
              </w:rPr>
            </w:pPr>
            <w:r>
              <w:rPr>
                <w:rFonts w:ascii="宋体" w:hAnsi="宋体" w:cs="宋体"/>
                <w:kern w:val="0"/>
                <w:szCs w:val="21"/>
              </w:rPr>
              <w:t>A</w:t>
            </w:r>
          </w:p>
          <w:p>
            <w:pPr>
              <w:spacing w:line="324" w:lineRule="auto"/>
              <w:rPr>
                <w:rFonts w:ascii="宋体" w:hAnsi="宋体" w:cs="宋体"/>
                <w:kern w:val="0"/>
                <w:szCs w:val="21"/>
              </w:rPr>
            </w:pPr>
          </w:p>
        </w:tc>
        <w:tc>
          <w:tcPr>
            <w:tcW w:w="1266" w:type="dxa"/>
            <w:gridSpan w:val="2"/>
            <w:vMerge w:val="restart"/>
            <w:vAlign w:val="center"/>
          </w:tcPr>
          <w:p>
            <w:pPr>
              <w:autoSpaceDE w:val="0"/>
              <w:autoSpaceDN w:val="0"/>
              <w:spacing w:line="300" w:lineRule="exact"/>
              <w:jc w:val="center"/>
              <w:rPr>
                <w:rFonts w:ascii="宋体" w:hAnsi="宋体" w:cs="宋体"/>
                <w:kern w:val="0"/>
                <w:szCs w:val="21"/>
              </w:rPr>
            </w:pPr>
            <w:r>
              <w:rPr>
                <w:rFonts w:hint="eastAsia" w:ascii="宋体" w:hAnsi="宋体" w:cs="宋体"/>
                <w:kern w:val="0"/>
                <w:szCs w:val="21"/>
              </w:rPr>
              <w:t>商务部分</w:t>
            </w:r>
          </w:p>
        </w:tc>
        <w:tc>
          <w:tcPr>
            <w:tcW w:w="1143" w:type="dxa"/>
            <w:vAlign w:val="center"/>
          </w:tcPr>
          <w:p>
            <w:pPr>
              <w:spacing w:line="240" w:lineRule="exact"/>
              <w:rPr>
                <w:rFonts w:ascii="宋体" w:hAnsi="宋体"/>
                <w:bCs/>
                <w:szCs w:val="21"/>
              </w:rPr>
            </w:pPr>
            <w:r>
              <w:rPr>
                <w:rFonts w:hint="eastAsia" w:ascii="宋体" w:hAnsi="宋体"/>
                <w:bCs/>
                <w:szCs w:val="21"/>
              </w:rPr>
              <w:t>行业排名（</w:t>
            </w:r>
            <w:r>
              <w:rPr>
                <w:rFonts w:hint="eastAsia" w:ascii="宋体" w:hAnsi="宋体"/>
                <w:bCs/>
                <w:szCs w:val="21"/>
                <w:lang w:val="en-US" w:eastAsia="zh-CN"/>
              </w:rPr>
              <w:t>4分</w:t>
            </w:r>
            <w:r>
              <w:rPr>
                <w:rFonts w:hint="eastAsia" w:ascii="宋体" w:hAnsi="宋体"/>
                <w:bCs/>
                <w:szCs w:val="21"/>
              </w:rPr>
              <w:t>）</w:t>
            </w:r>
          </w:p>
        </w:tc>
        <w:tc>
          <w:tcPr>
            <w:tcW w:w="5507" w:type="dxa"/>
            <w:vAlign w:val="center"/>
          </w:tcPr>
          <w:p>
            <w:pPr>
              <w:rPr>
                <w:rFonts w:ascii="宋体" w:hAnsi="宋体"/>
                <w:szCs w:val="21"/>
              </w:rPr>
            </w:pPr>
            <w:r>
              <w:rPr>
                <w:rFonts w:hint="eastAsia" w:hAnsi="宋体"/>
                <w:szCs w:val="21"/>
              </w:rPr>
              <w:t>中国资产评估协会关于发布</w:t>
            </w:r>
            <w:r>
              <w:rPr>
                <w:rFonts w:hAnsi="宋体"/>
                <w:szCs w:val="21"/>
              </w:rPr>
              <w:t>2021</w:t>
            </w:r>
            <w:r>
              <w:rPr>
                <w:rFonts w:hint="eastAsia" w:hAnsi="宋体"/>
                <w:szCs w:val="21"/>
              </w:rPr>
              <w:t>年度资产评估机构综合评价前百家机构名单公告前</w:t>
            </w:r>
            <w:r>
              <w:rPr>
                <w:rFonts w:hAnsi="宋体"/>
                <w:szCs w:val="21"/>
              </w:rPr>
              <w:t>50</w:t>
            </w:r>
            <w:r>
              <w:rPr>
                <w:rFonts w:hint="eastAsia" w:hAnsi="宋体"/>
                <w:szCs w:val="21"/>
              </w:rPr>
              <w:t>名（含第</w:t>
            </w:r>
            <w:r>
              <w:rPr>
                <w:rFonts w:hAnsi="宋体"/>
                <w:szCs w:val="21"/>
              </w:rPr>
              <w:t>50</w:t>
            </w:r>
            <w:r>
              <w:rPr>
                <w:rFonts w:hint="eastAsia" w:hAnsi="宋体"/>
                <w:szCs w:val="21"/>
              </w:rPr>
              <w:t>名）得</w:t>
            </w:r>
            <w:r>
              <w:rPr>
                <w:rFonts w:hint="eastAsia" w:hAnsi="宋体"/>
                <w:szCs w:val="21"/>
                <w:lang w:val="en-US" w:eastAsia="zh-CN"/>
              </w:rPr>
              <w:t>4</w:t>
            </w:r>
            <w:r>
              <w:rPr>
                <w:rFonts w:hint="eastAsia" w:hAnsi="宋体"/>
                <w:szCs w:val="21"/>
              </w:rPr>
              <w:t>分，第</w:t>
            </w:r>
            <w:r>
              <w:rPr>
                <w:rFonts w:hAnsi="宋体"/>
                <w:szCs w:val="21"/>
              </w:rPr>
              <w:t>51</w:t>
            </w:r>
            <w:r>
              <w:rPr>
                <w:rFonts w:hint="eastAsia" w:hAnsi="宋体"/>
                <w:szCs w:val="21"/>
              </w:rPr>
              <w:t>名至第1</w:t>
            </w:r>
            <w:r>
              <w:rPr>
                <w:rFonts w:hAnsi="宋体"/>
                <w:szCs w:val="21"/>
              </w:rPr>
              <w:t>00</w:t>
            </w:r>
            <w:r>
              <w:rPr>
                <w:rFonts w:hint="eastAsia" w:hAnsi="宋体"/>
                <w:szCs w:val="21"/>
              </w:rPr>
              <w:t>名（含第1</w:t>
            </w:r>
            <w:r>
              <w:rPr>
                <w:rFonts w:hAnsi="宋体"/>
                <w:szCs w:val="21"/>
              </w:rPr>
              <w:t>00</w:t>
            </w:r>
            <w:r>
              <w:rPr>
                <w:rFonts w:hint="eastAsia" w:hAnsi="宋体"/>
                <w:szCs w:val="21"/>
              </w:rPr>
              <w:t>名）得</w:t>
            </w:r>
            <w:r>
              <w:rPr>
                <w:rFonts w:hint="eastAsia" w:hAnsi="宋体"/>
                <w:szCs w:val="21"/>
                <w:lang w:val="en-US" w:eastAsia="zh-CN"/>
              </w:rPr>
              <w:t>2</w:t>
            </w:r>
            <w:r>
              <w:rPr>
                <w:rFonts w:hint="eastAsia" w:hAnsi="宋体"/>
                <w:szCs w:val="21"/>
              </w:rPr>
              <w:t>分，第1</w:t>
            </w:r>
            <w:r>
              <w:rPr>
                <w:rFonts w:hAnsi="宋体"/>
                <w:szCs w:val="21"/>
              </w:rPr>
              <w:t>00</w:t>
            </w:r>
            <w:r>
              <w:rPr>
                <w:rFonts w:hint="eastAsia" w:hAnsi="宋体"/>
                <w:szCs w:val="21"/>
              </w:rPr>
              <w:t>名以后得</w:t>
            </w:r>
            <w:r>
              <w:rPr>
                <w:rFonts w:hAnsi="宋体"/>
                <w:szCs w:val="21"/>
              </w:rPr>
              <w:t>1</w:t>
            </w:r>
            <w:r>
              <w:rPr>
                <w:rFonts w:hint="eastAsia" w:hAnsi="宋体"/>
                <w:szCs w:val="21"/>
              </w:rPr>
              <w:t>分，分支机构或分所投标人不得以总所排名计算得分，统一排名得分为</w:t>
            </w:r>
            <w:r>
              <w:rPr>
                <w:rFonts w:hAnsi="宋体"/>
                <w:szCs w:val="21"/>
              </w:rPr>
              <w:t>1</w:t>
            </w:r>
            <w:r>
              <w:rPr>
                <w:rFonts w:hint="eastAsia"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604" w:type="dxa"/>
            <w:vMerge w:val="continue"/>
            <w:vAlign w:val="center"/>
          </w:tcPr>
          <w:p>
            <w:pPr>
              <w:spacing w:line="324" w:lineRule="auto"/>
              <w:rPr>
                <w:rFonts w:ascii="宋体" w:hAnsi="宋体" w:cs="宋体"/>
                <w:kern w:val="0"/>
                <w:szCs w:val="21"/>
              </w:rPr>
            </w:pPr>
          </w:p>
        </w:tc>
        <w:tc>
          <w:tcPr>
            <w:tcW w:w="1266" w:type="dxa"/>
            <w:gridSpan w:val="2"/>
            <w:vMerge w:val="continue"/>
            <w:vAlign w:val="center"/>
          </w:tcPr>
          <w:p>
            <w:pPr>
              <w:spacing w:line="324" w:lineRule="auto"/>
              <w:rPr>
                <w:rFonts w:ascii="宋体" w:hAnsi="宋体" w:cs="宋体"/>
                <w:kern w:val="0"/>
                <w:szCs w:val="21"/>
              </w:rPr>
            </w:pPr>
          </w:p>
        </w:tc>
        <w:tc>
          <w:tcPr>
            <w:tcW w:w="1143" w:type="dxa"/>
            <w:vAlign w:val="center"/>
          </w:tcPr>
          <w:p>
            <w:pPr>
              <w:spacing w:line="240" w:lineRule="exact"/>
              <w:rPr>
                <w:rFonts w:ascii="宋体" w:hAnsi="宋体"/>
                <w:bCs/>
                <w:szCs w:val="21"/>
              </w:rPr>
            </w:pPr>
            <w:r>
              <w:rPr>
                <w:rFonts w:hint="eastAsia" w:ascii="宋体" w:hAnsi="宋体"/>
                <w:bCs/>
                <w:szCs w:val="21"/>
              </w:rPr>
              <w:t>机构资质（</w:t>
            </w:r>
            <w:r>
              <w:rPr>
                <w:rFonts w:hint="eastAsia" w:ascii="宋体" w:hAnsi="宋体"/>
                <w:bCs/>
                <w:szCs w:val="21"/>
                <w:lang w:val="en-US" w:eastAsia="zh-CN"/>
              </w:rPr>
              <w:t>4分</w:t>
            </w:r>
            <w:r>
              <w:rPr>
                <w:rFonts w:hint="eastAsia" w:ascii="宋体" w:hAnsi="宋体"/>
                <w:bCs/>
                <w:szCs w:val="21"/>
              </w:rPr>
              <w:t>）</w:t>
            </w:r>
          </w:p>
        </w:tc>
        <w:tc>
          <w:tcPr>
            <w:tcW w:w="5507" w:type="dxa"/>
            <w:vAlign w:val="center"/>
          </w:tcPr>
          <w:p>
            <w:pPr>
              <w:spacing w:line="360" w:lineRule="exact"/>
              <w:jc w:val="left"/>
              <w:rPr>
                <w:rFonts w:hAnsi="宋体"/>
                <w:szCs w:val="21"/>
              </w:rPr>
            </w:pPr>
            <w:r>
              <w:rPr>
                <w:rFonts w:hint="eastAsia" w:hAnsi="宋体"/>
                <w:szCs w:val="21"/>
              </w:rPr>
              <w:t>（1）具有证券期货评估资质，得</w:t>
            </w:r>
            <w:r>
              <w:rPr>
                <w:rFonts w:hint="eastAsia" w:hAnsi="宋体"/>
                <w:szCs w:val="21"/>
                <w:lang w:val="en-US" w:eastAsia="zh-CN"/>
              </w:rPr>
              <w:t>3</w:t>
            </w:r>
            <w:r>
              <w:rPr>
                <w:rFonts w:hint="eastAsia" w:hAnsi="宋体"/>
                <w:szCs w:val="21"/>
              </w:rPr>
              <w:t>分；</w:t>
            </w:r>
          </w:p>
          <w:p>
            <w:pPr>
              <w:spacing w:line="360" w:lineRule="exact"/>
              <w:jc w:val="left"/>
              <w:rPr>
                <w:rFonts w:hAnsi="宋体"/>
                <w:szCs w:val="21"/>
              </w:rPr>
            </w:pPr>
            <w:r>
              <w:rPr>
                <w:rFonts w:hint="eastAsia" w:hAnsi="宋体"/>
                <w:szCs w:val="21"/>
              </w:rPr>
              <w:t>（</w:t>
            </w:r>
            <w:r>
              <w:rPr>
                <w:rFonts w:hint="eastAsia" w:hAnsi="宋体"/>
                <w:szCs w:val="21"/>
                <w:lang w:val="en-US" w:eastAsia="zh-CN"/>
              </w:rPr>
              <w:t>2</w:t>
            </w:r>
            <w:r>
              <w:rPr>
                <w:rFonts w:hint="eastAsia" w:hAnsi="宋体"/>
                <w:szCs w:val="21"/>
              </w:rPr>
              <w:t>）具有房地产1级估价资质</w:t>
            </w:r>
            <w:r>
              <w:rPr>
                <w:rFonts w:hint="eastAsia" w:hAnsi="宋体"/>
                <w:szCs w:val="21"/>
                <w:lang w:eastAsia="zh-CN"/>
              </w:rPr>
              <w:t>、</w:t>
            </w:r>
            <w:r>
              <w:rPr>
                <w:rFonts w:hint="eastAsia" w:hAnsi="宋体"/>
                <w:szCs w:val="21"/>
              </w:rPr>
              <w:t>土地A级资信，得1分；</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604" w:type="dxa"/>
            <w:vMerge w:val="continue"/>
            <w:vAlign w:val="center"/>
          </w:tcPr>
          <w:p>
            <w:pPr>
              <w:spacing w:line="324" w:lineRule="auto"/>
              <w:rPr>
                <w:rFonts w:ascii="宋体" w:hAnsi="宋体" w:cs="宋体"/>
                <w:kern w:val="0"/>
                <w:szCs w:val="21"/>
              </w:rPr>
            </w:pPr>
          </w:p>
        </w:tc>
        <w:tc>
          <w:tcPr>
            <w:tcW w:w="1266" w:type="dxa"/>
            <w:gridSpan w:val="2"/>
            <w:vMerge w:val="continue"/>
            <w:vAlign w:val="center"/>
          </w:tcPr>
          <w:p>
            <w:pPr>
              <w:spacing w:line="324" w:lineRule="auto"/>
              <w:rPr>
                <w:rFonts w:ascii="宋体" w:hAnsi="宋体" w:cs="宋体"/>
                <w:kern w:val="0"/>
                <w:szCs w:val="21"/>
              </w:rPr>
            </w:pPr>
          </w:p>
        </w:tc>
        <w:tc>
          <w:tcPr>
            <w:tcW w:w="1143" w:type="dxa"/>
            <w:vAlign w:val="center"/>
          </w:tcPr>
          <w:p>
            <w:pPr>
              <w:spacing w:line="324" w:lineRule="auto"/>
              <w:rPr>
                <w:rFonts w:ascii="宋体" w:hAnsi="宋体"/>
                <w:bCs/>
                <w:szCs w:val="21"/>
              </w:rPr>
            </w:pPr>
            <w:r>
              <w:rPr>
                <w:rFonts w:hint="eastAsia" w:ascii="宋体" w:hAnsi="宋体"/>
                <w:szCs w:val="21"/>
                <w:lang w:val="en-US" w:eastAsia="zh-CN"/>
              </w:rPr>
              <w:t>服务方案（12</w:t>
            </w:r>
            <w:r>
              <w:rPr>
                <w:rFonts w:hint="eastAsia" w:ascii="宋体" w:hAnsi="宋体"/>
                <w:szCs w:val="21"/>
              </w:rPr>
              <w:t>分</w:t>
            </w:r>
            <w:r>
              <w:rPr>
                <w:rFonts w:hint="eastAsia" w:ascii="宋体" w:hAnsi="宋体"/>
                <w:szCs w:val="21"/>
                <w:lang w:val="en-US" w:eastAsia="zh-CN"/>
              </w:rPr>
              <w:t>）</w:t>
            </w:r>
          </w:p>
        </w:tc>
        <w:tc>
          <w:tcPr>
            <w:tcW w:w="5507" w:type="dxa"/>
            <w:vAlign w:val="center"/>
          </w:tcPr>
          <w:p>
            <w:pPr>
              <w:spacing w:line="324" w:lineRule="auto"/>
              <w:rPr>
                <w:szCs w:val="21"/>
              </w:rPr>
            </w:pPr>
            <w:r>
              <w:rPr>
                <w:rFonts w:hint="eastAsia" w:hAnsi="宋体"/>
                <w:szCs w:val="21"/>
              </w:rPr>
              <w:t>供应商根据采购需求从项目理解、项目整体思路和框架、和项目组织安排等方面制定实施方案，磋商小组依据投标人所递交的方案内容按照优、良、中、差四个档次比较评审，方案非常详细、完善、合理，能完全满足并高于采购文件的要求为优档，得</w:t>
            </w:r>
            <w:r>
              <w:rPr>
                <w:rFonts w:hint="eastAsia" w:hAnsi="宋体"/>
                <w:szCs w:val="21"/>
                <w:lang w:val="en-US" w:eastAsia="zh-CN"/>
              </w:rPr>
              <w:t>10</w:t>
            </w:r>
            <w:r>
              <w:rPr>
                <w:rFonts w:hint="eastAsia" w:hAnsi="宋体"/>
                <w:szCs w:val="21"/>
              </w:rPr>
              <w:t>-</w:t>
            </w:r>
            <w:r>
              <w:rPr>
                <w:rFonts w:hint="eastAsia" w:hAnsi="宋体"/>
                <w:szCs w:val="21"/>
                <w:lang w:val="en-US" w:eastAsia="zh-CN"/>
              </w:rPr>
              <w:t>12</w:t>
            </w:r>
            <w:r>
              <w:rPr>
                <w:rFonts w:hint="eastAsia" w:hAnsi="宋体"/>
                <w:szCs w:val="21"/>
              </w:rPr>
              <w:t>分；方案较为完善、合理，能较好满足采购文件的要求为良档，得</w:t>
            </w:r>
            <w:r>
              <w:rPr>
                <w:rFonts w:hint="eastAsia" w:hAnsi="宋体"/>
                <w:szCs w:val="21"/>
                <w:lang w:val="en-US" w:eastAsia="zh-CN"/>
              </w:rPr>
              <w:t>7</w:t>
            </w:r>
            <w:r>
              <w:rPr>
                <w:rFonts w:hint="eastAsia" w:hAnsi="宋体"/>
                <w:szCs w:val="21"/>
              </w:rPr>
              <w:t>-</w:t>
            </w:r>
            <w:r>
              <w:rPr>
                <w:rFonts w:hint="eastAsia" w:hAnsi="宋体"/>
                <w:szCs w:val="21"/>
                <w:lang w:val="en-US" w:eastAsia="zh-CN"/>
              </w:rPr>
              <w:t>9</w:t>
            </w:r>
            <w:r>
              <w:rPr>
                <w:rFonts w:hint="eastAsia" w:hAnsi="宋体"/>
                <w:szCs w:val="21"/>
              </w:rPr>
              <w:t>分；方案相对简单，能基本满足采购文件要求的为中档，得</w:t>
            </w:r>
            <w:r>
              <w:rPr>
                <w:rFonts w:hint="eastAsia" w:hAnsi="宋体"/>
                <w:szCs w:val="21"/>
                <w:lang w:val="en-US" w:eastAsia="zh-CN"/>
              </w:rPr>
              <w:t>4</w:t>
            </w:r>
            <w:r>
              <w:rPr>
                <w:rFonts w:hint="eastAsia" w:hAnsi="宋体"/>
                <w:szCs w:val="21"/>
              </w:rPr>
              <w:t>-</w:t>
            </w:r>
            <w:r>
              <w:rPr>
                <w:rFonts w:hint="eastAsia" w:hAnsi="宋体"/>
                <w:szCs w:val="21"/>
                <w:lang w:val="en-US" w:eastAsia="zh-CN"/>
              </w:rPr>
              <w:t>6</w:t>
            </w:r>
            <w:r>
              <w:rPr>
                <w:rFonts w:hint="eastAsia" w:hAnsi="宋体"/>
                <w:szCs w:val="21"/>
              </w:rPr>
              <w:t>分；方案较差，不能完全满足采购文件的要求为差档的得0-</w:t>
            </w:r>
            <w:r>
              <w:rPr>
                <w:rFonts w:hint="eastAsia" w:hAnsi="宋体"/>
                <w:szCs w:val="21"/>
                <w:lang w:val="en-US" w:eastAsia="zh-CN"/>
              </w:rPr>
              <w:t>3</w:t>
            </w:r>
            <w:r>
              <w:rPr>
                <w:rFonts w:hint="eastAsia"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04" w:type="dxa"/>
            <w:vAlign w:val="center"/>
          </w:tcPr>
          <w:p>
            <w:pPr>
              <w:spacing w:line="324" w:lineRule="auto"/>
              <w:rPr>
                <w:rFonts w:ascii="宋体" w:hAnsi="宋体" w:cs="宋体"/>
                <w:kern w:val="0"/>
                <w:szCs w:val="21"/>
              </w:rPr>
            </w:pPr>
            <w:r>
              <w:rPr>
                <w:rFonts w:hint="eastAsia" w:ascii="宋体" w:hAnsi="宋体" w:cs="宋体"/>
                <w:kern w:val="0"/>
                <w:szCs w:val="21"/>
              </w:rPr>
              <w:t>B</w:t>
            </w:r>
          </w:p>
        </w:tc>
        <w:tc>
          <w:tcPr>
            <w:tcW w:w="1266" w:type="dxa"/>
            <w:gridSpan w:val="2"/>
            <w:vAlign w:val="center"/>
          </w:tcPr>
          <w:p>
            <w:pPr>
              <w:autoSpaceDE w:val="0"/>
              <w:autoSpaceDN w:val="0"/>
              <w:spacing w:line="300" w:lineRule="exact"/>
              <w:jc w:val="center"/>
              <w:rPr>
                <w:rFonts w:ascii="宋体" w:hAnsi="宋体" w:cs="宋体"/>
                <w:kern w:val="0"/>
                <w:szCs w:val="21"/>
              </w:rPr>
            </w:pPr>
            <w:r>
              <w:rPr>
                <w:rFonts w:hint="eastAsia" w:ascii="宋体" w:hAnsi="宋体" w:cs="宋体"/>
                <w:kern w:val="0"/>
                <w:szCs w:val="21"/>
              </w:rPr>
              <w:t>投标价</w:t>
            </w:r>
          </w:p>
        </w:tc>
        <w:tc>
          <w:tcPr>
            <w:tcW w:w="1143" w:type="dxa"/>
            <w:vAlign w:val="center"/>
          </w:tcPr>
          <w:p>
            <w:pPr>
              <w:autoSpaceDE w:val="0"/>
              <w:autoSpaceDN w:val="0"/>
              <w:spacing w:line="300" w:lineRule="exact"/>
              <w:jc w:val="center"/>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0分</w:t>
            </w:r>
          </w:p>
        </w:tc>
        <w:tc>
          <w:tcPr>
            <w:tcW w:w="5507" w:type="dxa"/>
          </w:tcPr>
          <w:p>
            <w:pPr>
              <w:pStyle w:val="4"/>
              <w:spacing w:line="360" w:lineRule="auto"/>
              <w:rPr>
                <w:rFonts w:hint="eastAsia" w:hAnsi="宋体" w:eastAsia="宋体"/>
                <w:lang w:eastAsia="zh-CN"/>
              </w:rPr>
            </w:pPr>
            <w:r>
              <w:rPr>
                <w:rFonts w:hint="eastAsia" w:hAnsi="宋体"/>
              </w:rPr>
              <w:t>A、梁平、</w:t>
            </w:r>
            <w:r>
              <w:rPr>
                <w:rFonts w:hint="eastAsia" w:hAnsi="宋体"/>
                <w:lang w:val="en-US" w:eastAsia="zh-CN"/>
              </w:rPr>
              <w:t>龙兴13、</w:t>
            </w:r>
            <w:r>
              <w:rPr>
                <w:rFonts w:hint="eastAsia" w:hAnsi="宋体"/>
              </w:rPr>
              <w:t>水土06、水土10、永川5座加油站最高限价：最高总限价</w:t>
            </w:r>
            <w:r>
              <w:rPr>
                <w:rFonts w:hAnsi="宋体" w:cs="宋体"/>
                <w:kern w:val="0"/>
                <w:sz w:val="22"/>
                <w:szCs w:val="22"/>
                <w:lang w:bidi="ar"/>
              </w:rPr>
              <w:t>40</w:t>
            </w:r>
            <w:r>
              <w:rPr>
                <w:rFonts w:hint="eastAsia" w:hAnsi="宋体" w:cs="宋体"/>
                <w:kern w:val="0"/>
                <w:sz w:val="22"/>
                <w:szCs w:val="22"/>
                <w:lang w:bidi="ar"/>
              </w:rPr>
              <w:t>万元</w:t>
            </w:r>
            <w:r>
              <w:rPr>
                <w:rFonts w:hint="eastAsia" w:hAnsi="宋体" w:cs="宋体"/>
                <w:kern w:val="0"/>
                <w:sz w:val="22"/>
                <w:szCs w:val="22"/>
                <w:lang w:eastAsia="zh-CN" w:bidi="ar"/>
              </w:rPr>
              <w:t>。</w:t>
            </w:r>
          </w:p>
          <w:p>
            <w:pPr>
              <w:pStyle w:val="4"/>
              <w:spacing w:line="360" w:lineRule="auto"/>
              <w:rPr>
                <w:rFonts w:hAnsi="宋体"/>
                <w:bCs/>
              </w:rPr>
            </w:pPr>
            <w:r>
              <w:rPr>
                <w:rFonts w:hint="eastAsia" w:hAnsi="宋体"/>
                <w:bCs/>
              </w:rPr>
              <w:t>B、竞标价</w:t>
            </w:r>
            <w:r>
              <w:rPr>
                <w:rFonts w:hAnsi="宋体"/>
                <w:bCs/>
              </w:rPr>
              <w:t>得分的计算程序：</w:t>
            </w:r>
          </w:p>
          <w:p>
            <w:pPr>
              <w:pStyle w:val="4"/>
              <w:spacing w:line="360" w:lineRule="auto"/>
              <w:rPr>
                <w:rFonts w:hAnsi="宋体"/>
              </w:rPr>
            </w:pPr>
            <w:r>
              <w:rPr>
                <w:rFonts w:hint="eastAsia" w:hAnsi="宋体"/>
              </w:rPr>
              <w:t>（1）有效竞标价的确定：不大于最高投标限价A的竞标报价，高于最高投标限价的竞标报价按否决处理，不予进一步评审，并不参与评标基准价的计算。</w:t>
            </w: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投标基准价</w:t>
            </w:r>
            <w:r>
              <w:rPr>
                <w:rFonts w:ascii="宋体" w:hAnsi="宋体"/>
                <w:szCs w:val="21"/>
              </w:rPr>
              <w:t>（</w:t>
            </w:r>
            <w:r>
              <w:rPr>
                <w:rFonts w:hint="eastAsia" w:ascii="宋体" w:hAnsi="宋体"/>
                <w:szCs w:val="21"/>
              </w:rPr>
              <w:t>D</w:t>
            </w:r>
            <w:r>
              <w:rPr>
                <w:rFonts w:ascii="宋体" w:hAnsi="宋体"/>
                <w:szCs w:val="21"/>
              </w:rPr>
              <w:t>）的计算：</w:t>
            </w:r>
          </w:p>
          <w:p>
            <w:pPr>
              <w:spacing w:line="360" w:lineRule="auto"/>
              <w:rPr>
                <w:rFonts w:ascii="宋体" w:hAnsi="宋体"/>
                <w:szCs w:val="21"/>
              </w:rPr>
            </w:pPr>
            <w:r>
              <w:rPr>
                <w:rFonts w:hint="eastAsia" w:ascii="宋体" w:hAnsi="宋体"/>
                <w:szCs w:val="21"/>
              </w:rPr>
              <w:t>D．所有被宣读竞标价在有效竞标价范围内</w:t>
            </w:r>
            <w:r>
              <w:rPr>
                <w:rFonts w:ascii="宋体" w:hAnsi="宋体"/>
                <w:szCs w:val="21"/>
              </w:rPr>
              <w:t>的投标人</w:t>
            </w:r>
            <w:r>
              <w:rPr>
                <w:rFonts w:hint="eastAsia" w:ascii="宋体" w:hAnsi="宋体"/>
                <w:szCs w:val="21"/>
              </w:rPr>
              <w:t>竞标价</w:t>
            </w:r>
            <w:r>
              <w:rPr>
                <w:rFonts w:ascii="宋体" w:hAnsi="宋体"/>
                <w:szCs w:val="21"/>
              </w:rPr>
              <w:t>的算术平均值即为</w:t>
            </w:r>
            <w:r>
              <w:rPr>
                <w:rFonts w:hint="eastAsia" w:ascii="宋体" w:hAnsi="宋体"/>
                <w:szCs w:val="21"/>
              </w:rPr>
              <w:t>投标基准价</w:t>
            </w:r>
            <w:r>
              <w:rPr>
                <w:rFonts w:ascii="宋体" w:hAnsi="宋体"/>
                <w:szCs w:val="21"/>
              </w:rPr>
              <w:t>（</w:t>
            </w:r>
            <w:r>
              <w:rPr>
                <w:rFonts w:hint="eastAsia" w:ascii="宋体" w:hAnsi="宋体"/>
                <w:szCs w:val="21"/>
              </w:rPr>
              <w:t>D</w:t>
            </w:r>
            <w:r>
              <w:rPr>
                <w:rFonts w:ascii="宋体" w:hAnsi="宋体"/>
                <w:szCs w:val="21"/>
              </w:rPr>
              <w:t>）</w:t>
            </w:r>
            <w:r>
              <w:rPr>
                <w:rFonts w:hint="eastAsia" w:ascii="宋体" w:hAnsi="宋体"/>
                <w:szCs w:val="21"/>
              </w:rPr>
              <w:t>；</w:t>
            </w:r>
            <w:r>
              <w:rPr>
                <w:rFonts w:ascii="宋体" w:hAnsi="宋体"/>
                <w:szCs w:val="21"/>
              </w:rPr>
              <w:t xml:space="preserve"> </w:t>
            </w:r>
          </w:p>
          <w:p>
            <w:pPr>
              <w:spacing w:line="324" w:lineRule="auto"/>
              <w:rPr>
                <w:rFonts w:ascii="宋体" w:hAnsi="宋体" w:cs="宋体"/>
                <w:kern w:val="0"/>
                <w:szCs w:val="21"/>
              </w:rPr>
            </w:pPr>
            <w:r>
              <w:rPr>
                <w:rFonts w:ascii="宋体" w:hAnsi="宋体"/>
                <w:szCs w:val="21"/>
              </w:rPr>
              <w:t>（</w:t>
            </w:r>
            <w:r>
              <w:rPr>
                <w:rFonts w:hint="eastAsia" w:ascii="宋体" w:hAnsi="宋体"/>
                <w:szCs w:val="21"/>
              </w:rPr>
              <w:t>3</w:t>
            </w:r>
            <w:r>
              <w:rPr>
                <w:rFonts w:ascii="宋体" w:hAnsi="宋体"/>
                <w:szCs w:val="21"/>
              </w:rPr>
              <w:t>）当投标人</w:t>
            </w:r>
            <w:r>
              <w:rPr>
                <w:rFonts w:hint="eastAsia" w:ascii="宋体" w:hAnsi="宋体"/>
                <w:szCs w:val="21"/>
              </w:rPr>
              <w:t>竞标价</w:t>
            </w:r>
            <w:r>
              <w:rPr>
                <w:rFonts w:ascii="宋体" w:hAnsi="宋体"/>
                <w:szCs w:val="21"/>
              </w:rPr>
              <w:t>等于D时得满分（</w:t>
            </w:r>
            <w:r>
              <w:rPr>
                <w:rFonts w:hint="eastAsia" w:ascii="宋体" w:hAnsi="宋体"/>
                <w:szCs w:val="21"/>
                <w:lang w:val="en-US" w:eastAsia="zh-CN"/>
              </w:rPr>
              <w:t>80</w:t>
            </w:r>
            <w:r>
              <w:rPr>
                <w:rFonts w:ascii="宋体" w:hAnsi="宋体"/>
                <w:szCs w:val="21"/>
              </w:rPr>
              <w:t>分），</w:t>
            </w:r>
            <w:r>
              <w:rPr>
                <w:rFonts w:hint="eastAsia" w:hAnsi="宋体"/>
                <w:szCs w:val="21"/>
              </w:rPr>
              <w:t>与评标基准价每相差（高于或低于）1万，扣分数1分（相差不足1万按1万计算），最多扣</w:t>
            </w:r>
            <w:r>
              <w:rPr>
                <w:rFonts w:hint="eastAsia" w:hAnsi="宋体"/>
                <w:szCs w:val="21"/>
                <w:lang w:val="en-US" w:eastAsia="zh-CN"/>
              </w:rPr>
              <w:t>10%，即8</w:t>
            </w:r>
            <w:r>
              <w:rPr>
                <w:rFonts w:hint="eastAsia"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70" w:type="dxa"/>
            <w:gridSpan w:val="3"/>
            <w:vAlign w:val="center"/>
          </w:tcPr>
          <w:p>
            <w:pPr>
              <w:spacing w:line="324" w:lineRule="auto"/>
              <w:rPr>
                <w:szCs w:val="21"/>
              </w:rPr>
            </w:pPr>
            <w:r>
              <w:rPr>
                <w:rFonts w:hint="eastAsia"/>
                <w:szCs w:val="21"/>
              </w:rPr>
              <w:t>中标候选人最终得分</w:t>
            </w:r>
          </w:p>
        </w:tc>
        <w:tc>
          <w:tcPr>
            <w:tcW w:w="6650" w:type="dxa"/>
            <w:gridSpan w:val="2"/>
            <w:vAlign w:val="center"/>
          </w:tcPr>
          <w:p>
            <w:pPr>
              <w:spacing w:line="324" w:lineRule="auto"/>
              <w:rPr>
                <w:rFonts w:ascii="宋体" w:hAnsi="宋体" w:cs="宋体"/>
                <w:kern w:val="0"/>
                <w:szCs w:val="21"/>
              </w:rPr>
            </w:pPr>
            <w:r>
              <w:rPr>
                <w:rFonts w:hint="eastAsia" w:ascii="宋体" w:hAnsi="宋体"/>
                <w:szCs w:val="21"/>
              </w:rPr>
              <w:t>投标人评标得分＝综合得分（商务得分+竞标价得分+服务方案得分）</w:t>
            </w:r>
          </w:p>
        </w:tc>
      </w:tr>
    </w:tbl>
    <w:p>
      <w:pPr>
        <w:spacing w:line="420" w:lineRule="exact"/>
        <w:rPr>
          <w:rFonts w:ascii="宋体" w:hAnsi="宋体" w:cs="宋体"/>
          <w:b/>
          <w:sz w:val="24"/>
        </w:rPr>
      </w:pPr>
      <w:r>
        <w:rPr>
          <w:rFonts w:hint="eastAsia" w:ascii="宋体" w:hAnsi="宋体" w:cs="宋体"/>
          <w:b/>
          <w:sz w:val="24"/>
        </w:rPr>
        <w:t>五、竞争性比选须知</w:t>
      </w:r>
    </w:p>
    <w:p>
      <w:pPr>
        <w:spacing w:line="420" w:lineRule="exact"/>
        <w:ind w:firstLine="480" w:firstLineChars="200"/>
        <w:rPr>
          <w:rFonts w:ascii="宋体" w:hAnsi="宋体" w:cs="宋体"/>
          <w:sz w:val="24"/>
        </w:rPr>
      </w:pPr>
      <w:r>
        <w:rPr>
          <w:rFonts w:hint="eastAsia" w:ascii="宋体" w:hAnsi="宋体" w:cs="宋体"/>
          <w:sz w:val="24"/>
        </w:rPr>
        <w:t>（一）竞争性比选公告发布时间：20</w:t>
      </w:r>
      <w:r>
        <w:rPr>
          <w:rFonts w:ascii="宋体" w:hAnsi="宋体" w:cs="宋体"/>
          <w:sz w:val="24"/>
        </w:rPr>
        <w:t>24</w:t>
      </w:r>
      <w:r>
        <w:rPr>
          <w:rFonts w:hint="eastAsia" w:ascii="宋体" w:hAnsi="宋体" w:cs="宋体"/>
          <w:sz w:val="24"/>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rPr>
        <w:t>日起在高速集团官网（</w:t>
      </w:r>
      <w:r>
        <w:fldChar w:fldCharType="begin"/>
      </w:r>
      <w:r>
        <w:instrText xml:space="preserve"> HYPERLINK "http://43.240.248.114:8088/sys/portal/page.jsp" </w:instrText>
      </w:r>
      <w:r>
        <w:fldChar w:fldCharType="separate"/>
      </w:r>
      <w:r>
        <w:rPr>
          <w:rFonts w:hint="eastAsia" w:ascii="宋体" w:hAnsi="宋体" w:cs="宋体"/>
          <w:sz w:val="24"/>
        </w:rPr>
        <w:t>http://43.240.248.114:8088/sys/portal/page.jsp</w:t>
      </w:r>
      <w:r>
        <w:rPr>
          <w:rFonts w:hint="eastAsia" w:ascii="宋体" w:hAnsi="宋体" w:cs="宋体"/>
          <w:sz w:val="24"/>
        </w:rPr>
        <w:fldChar w:fldCharType="end"/>
      </w:r>
      <w:r>
        <w:rPr>
          <w:rFonts w:hint="eastAsia" w:ascii="宋体" w:hAnsi="宋体" w:cs="宋体"/>
          <w:sz w:val="24"/>
        </w:rPr>
        <w:t>）、集团招投标平台（</w:t>
      </w:r>
      <w:r>
        <w:fldChar w:fldCharType="begin"/>
      </w:r>
      <w:r>
        <w:instrText xml:space="preserve"> HYPERLINK "http://43.240.249.108:8088" </w:instrText>
      </w:r>
      <w:r>
        <w:fldChar w:fldCharType="separate"/>
      </w:r>
      <w:r>
        <w:rPr>
          <w:rFonts w:hint="eastAsia" w:ascii="宋体" w:hAnsi="宋体" w:cs="宋体"/>
          <w:sz w:val="24"/>
        </w:rPr>
        <w:t>http://43.240.249.108:8088</w:t>
      </w:r>
      <w:r>
        <w:rPr>
          <w:rFonts w:hint="eastAsia" w:ascii="宋体" w:hAnsi="宋体" w:cs="宋体"/>
          <w:sz w:val="24"/>
        </w:rPr>
        <w:fldChar w:fldCharType="end"/>
      </w:r>
      <w:r>
        <w:rPr>
          <w:rFonts w:hint="eastAsia" w:ascii="宋体" w:hAnsi="宋体" w:cs="宋体"/>
          <w:sz w:val="24"/>
        </w:rPr>
        <w:t>）上发布竞争性比选公告。</w:t>
      </w:r>
    </w:p>
    <w:p>
      <w:pPr>
        <w:spacing w:line="420" w:lineRule="exact"/>
        <w:ind w:firstLine="480" w:firstLineChars="200"/>
        <w:rPr>
          <w:rFonts w:ascii="宋体" w:hAnsi="宋体" w:cs="宋体"/>
          <w:sz w:val="24"/>
        </w:rPr>
      </w:pPr>
      <w:r>
        <w:rPr>
          <w:rFonts w:hint="eastAsia" w:ascii="宋体" w:hAnsi="宋体" w:cs="宋体"/>
          <w:sz w:val="24"/>
        </w:rPr>
        <w:t>（二）竞争性比选文件报名时间、方式</w:t>
      </w:r>
      <w:r>
        <w:rPr>
          <w:rFonts w:ascii="宋体" w:hAnsi="宋体" w:cs="宋体"/>
          <w:sz w:val="24"/>
        </w:rPr>
        <w:t>及</w:t>
      </w:r>
      <w:r>
        <w:rPr>
          <w:rFonts w:hint="eastAsia" w:ascii="宋体" w:hAnsi="宋体" w:cs="宋体"/>
          <w:sz w:val="24"/>
        </w:rPr>
        <w:t>地点：竞标人在</w:t>
      </w:r>
      <w:r>
        <w:rPr>
          <w:rFonts w:ascii="宋体" w:hAnsi="宋体" w:cs="宋体"/>
          <w:sz w:val="24"/>
        </w:rPr>
        <w:t>2024年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24</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rPr>
        <w:t>14时00分至2024</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rPr>
        <w:t xml:space="preserve"> 2</w:t>
      </w:r>
      <w:r>
        <w:rPr>
          <w:rFonts w:hint="eastAsia" w:ascii="宋体" w:hAnsi="宋体" w:cs="宋体"/>
          <w:sz w:val="24"/>
          <w:highlight w:val="none"/>
          <w:u w:val="single"/>
          <w:lang w:val="en-US" w:eastAsia="zh-CN"/>
        </w:rPr>
        <w:t>7</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rPr>
        <w:t>16</w:t>
      </w:r>
      <w:r>
        <w:rPr>
          <w:rFonts w:hint="eastAsia" w:ascii="宋体" w:hAnsi="宋体" w:cs="宋体"/>
          <w:sz w:val="24"/>
        </w:rPr>
        <w:t>时00分前（法定公休日、法定节假日除外）自行下载项目竞争性比选文件，逾期不予受理。</w:t>
      </w:r>
    </w:p>
    <w:p>
      <w:pPr>
        <w:spacing w:line="420" w:lineRule="exact"/>
        <w:ind w:firstLine="480" w:firstLineChars="200"/>
        <w:rPr>
          <w:rFonts w:ascii="宋体" w:hAnsi="宋体" w:cs="宋体"/>
          <w:sz w:val="24"/>
        </w:rPr>
      </w:pPr>
      <w:r>
        <w:rPr>
          <w:rFonts w:hint="eastAsia" w:ascii="宋体" w:hAnsi="宋体" w:cs="宋体"/>
          <w:sz w:val="24"/>
        </w:rPr>
        <w:t>（三）竞争性比选地点：重庆市渝北区财富大道</w:t>
      </w:r>
      <w:r>
        <w:rPr>
          <w:rFonts w:ascii="宋体" w:hAnsi="宋体" w:cs="宋体"/>
          <w:sz w:val="24"/>
        </w:rPr>
        <w:t>15号财富园二号A栋5楼6号</w:t>
      </w:r>
      <w:r>
        <w:rPr>
          <w:rFonts w:hint="eastAsia"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（四）竞争性比选</w:t>
      </w:r>
      <w:r>
        <w:rPr>
          <w:rFonts w:hint="eastAsia" w:ascii="宋体" w:hAnsi="宋体" w:cs="宋体"/>
          <w:sz w:val="24"/>
          <w:lang w:val="en-US" w:eastAsia="zh-CN"/>
        </w:rPr>
        <w:t>开标</w:t>
      </w:r>
      <w:r>
        <w:rPr>
          <w:rFonts w:hint="eastAsia" w:ascii="宋体" w:hAnsi="宋体" w:cs="宋体"/>
          <w:sz w:val="24"/>
        </w:rPr>
        <w:t>时间：</w:t>
      </w:r>
      <w:r>
        <w:rPr>
          <w:rFonts w:ascii="宋体" w:hAnsi="宋体" w:cs="宋体"/>
          <w:sz w:val="24"/>
        </w:rPr>
        <w:t>2024</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28</w:t>
      </w:r>
      <w:r>
        <w:rPr>
          <w:rFonts w:hint="eastAsia" w:ascii="宋体" w:hAnsi="宋体" w:cs="宋体"/>
          <w:sz w:val="24"/>
          <w:highlight w:val="none"/>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rPr>
        <w:t>10</w:t>
      </w:r>
      <w:r>
        <w:rPr>
          <w:rFonts w:hint="eastAsia" w:ascii="宋体" w:hAnsi="宋体" w:cs="宋体"/>
          <w:sz w:val="24"/>
        </w:rPr>
        <w:t>时00分（北京时间）。</w:t>
      </w:r>
    </w:p>
    <w:p>
      <w:pPr>
        <w:spacing w:line="420" w:lineRule="exact"/>
        <w:ind w:firstLine="480" w:firstLineChars="200"/>
        <w:rPr>
          <w:rFonts w:ascii="宋体" w:hAnsi="宋体" w:cs="宋体"/>
          <w:sz w:val="24"/>
        </w:rPr>
      </w:pPr>
      <w:r>
        <w:rPr>
          <w:rFonts w:hint="eastAsia" w:ascii="宋体" w:hAnsi="宋体" w:cs="宋体"/>
          <w:sz w:val="24"/>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20" w:lineRule="exact"/>
        <w:ind w:firstLine="480" w:firstLineChars="200"/>
        <w:rPr>
          <w:rFonts w:ascii="宋体" w:hAnsi="宋体" w:cs="宋体"/>
          <w:sz w:val="24"/>
        </w:rPr>
      </w:pPr>
      <w:r>
        <w:rPr>
          <w:rFonts w:hint="eastAsia" w:ascii="宋体" w:hAnsi="宋体" w:cs="宋体"/>
          <w:sz w:val="24"/>
        </w:rPr>
        <w:t>（六）竞争性比选响应文件的份数及编制要求</w:t>
      </w:r>
    </w:p>
    <w:p>
      <w:pPr>
        <w:spacing w:line="420" w:lineRule="exact"/>
        <w:ind w:firstLine="480" w:firstLineChars="200"/>
        <w:rPr>
          <w:rFonts w:ascii="宋体" w:hAnsi="宋体" w:cs="宋体"/>
          <w:sz w:val="24"/>
        </w:rPr>
      </w:pPr>
      <w:r>
        <w:rPr>
          <w:rFonts w:hint="eastAsia" w:ascii="宋体" w:hAnsi="宋体" w:cs="宋体"/>
          <w:sz w:val="24"/>
        </w:rPr>
        <w:t>竞争性比选响应文件1份，竞争性比选响应文件按竞争性比选文件中规定格式排版，并应编制目录，逐页标注页码。</w:t>
      </w:r>
    </w:p>
    <w:p>
      <w:pPr>
        <w:spacing w:line="420" w:lineRule="exact"/>
        <w:ind w:firstLine="480" w:firstLineChars="200"/>
        <w:rPr>
          <w:rFonts w:ascii="宋体" w:hAnsi="宋体" w:cs="宋体"/>
          <w:sz w:val="24"/>
        </w:rPr>
      </w:pPr>
      <w:r>
        <w:rPr>
          <w:rFonts w:hint="eastAsia" w:ascii="宋体" w:hAnsi="宋体" w:cs="宋体"/>
          <w:sz w:val="24"/>
        </w:rPr>
        <w:t>（七）密封要求</w:t>
      </w:r>
    </w:p>
    <w:p>
      <w:pPr>
        <w:spacing w:line="420" w:lineRule="exact"/>
        <w:ind w:firstLine="480" w:firstLineChars="200"/>
        <w:rPr>
          <w:rFonts w:ascii="宋体" w:hAnsi="宋体" w:cs="宋体"/>
          <w:sz w:val="24"/>
        </w:rPr>
      </w:pPr>
      <w:r>
        <w:rPr>
          <w:rFonts w:hint="eastAsia" w:ascii="宋体" w:hAnsi="宋体" w:cs="宋体"/>
          <w:sz w:val="24"/>
        </w:rPr>
        <w:t>将竞争性比选响应文件密封到一个封套中，再在封套上写明</w:t>
      </w:r>
    </w:p>
    <w:p>
      <w:pPr>
        <w:spacing w:line="420" w:lineRule="exact"/>
        <w:ind w:firstLine="480" w:firstLineChars="200"/>
        <w:jc w:val="center"/>
        <w:rPr>
          <w:rFonts w:ascii="宋体" w:hAnsi="宋体" w:cs="宋体"/>
          <w:sz w:val="24"/>
          <w:u w:val="single"/>
        </w:rPr>
      </w:pPr>
      <w:r>
        <w:rPr>
          <w:rFonts w:hint="eastAsia" w:ascii="宋体" w:hAnsi="宋体" w:cs="宋体"/>
          <w:sz w:val="24"/>
          <w:u w:val="single"/>
        </w:rPr>
        <w:t>梁平</w:t>
      </w:r>
      <w:r>
        <w:rPr>
          <w:rFonts w:hint="eastAsia" w:ascii="宋体" w:hAnsi="宋体" w:cs="宋体"/>
          <w:sz w:val="24"/>
          <w:u w:val="single"/>
          <w:lang w:eastAsia="zh-CN"/>
        </w:rPr>
        <w:t>、</w:t>
      </w:r>
      <w:r>
        <w:rPr>
          <w:rFonts w:hint="eastAsia" w:ascii="宋体" w:hAnsi="宋体" w:cs="宋体"/>
          <w:sz w:val="24"/>
          <w:u w:val="single"/>
          <w:lang w:val="en-US" w:eastAsia="zh-CN"/>
        </w:rPr>
        <w:t>龙兴</w:t>
      </w:r>
      <w:r>
        <w:rPr>
          <w:rFonts w:hint="eastAsia" w:ascii="宋体" w:hAnsi="宋体" w:cs="宋体"/>
          <w:sz w:val="24"/>
          <w:u w:val="single"/>
        </w:rPr>
        <w:t>等5座加油站项目权益市场价值资产评估项目</w:t>
      </w:r>
    </w:p>
    <w:p>
      <w:pPr>
        <w:spacing w:line="420" w:lineRule="exact"/>
        <w:ind w:firstLine="3480" w:firstLineChars="1450"/>
        <w:rPr>
          <w:rFonts w:ascii="宋体" w:hAnsi="宋体" w:cs="宋体"/>
          <w:sz w:val="24"/>
          <w:u w:val="single"/>
        </w:rPr>
      </w:pPr>
      <w:r>
        <w:rPr>
          <w:rFonts w:hint="eastAsia" w:ascii="宋体" w:hAnsi="宋体" w:cs="宋体"/>
          <w:sz w:val="24"/>
          <w:u w:val="single"/>
        </w:rPr>
        <w:t>竞争性比选响应性文件</w:t>
      </w:r>
    </w:p>
    <w:p>
      <w:pPr>
        <w:spacing w:line="420" w:lineRule="exact"/>
        <w:ind w:firstLine="480" w:firstLineChars="200"/>
        <w:jc w:val="center"/>
        <w:rPr>
          <w:rFonts w:ascii="宋体" w:hAnsi="宋体" w:cs="宋体"/>
          <w:sz w:val="24"/>
          <w:u w:val="single"/>
        </w:rPr>
      </w:pPr>
      <w:r>
        <w:rPr>
          <w:rFonts w:hint="eastAsia" w:ascii="宋体" w:hAnsi="宋体" w:cs="宋体"/>
          <w:sz w:val="24"/>
          <w:u w:val="single"/>
        </w:rPr>
        <w:t>在</w:t>
      </w:r>
      <w:r>
        <w:rPr>
          <w:rFonts w:ascii="宋体" w:hAnsi="宋体" w:cs="宋体"/>
          <w:sz w:val="24"/>
          <w:u w:val="single"/>
        </w:rPr>
        <w:t>202</w:t>
      </w:r>
      <w:r>
        <w:rPr>
          <w:rFonts w:hint="eastAsia" w:ascii="宋体" w:hAnsi="宋体" w:cs="宋体"/>
          <w:sz w:val="24"/>
          <w:u w:val="single"/>
        </w:rPr>
        <w:t>4年</w:t>
      </w:r>
      <w:r>
        <w:rPr>
          <w:rFonts w:hint="eastAsia" w:ascii="宋体" w:hAnsi="宋体" w:cs="宋体"/>
          <w:sz w:val="24"/>
          <w:u w:val="single"/>
          <w:lang w:val="en-US" w:eastAsia="zh-CN"/>
        </w:rPr>
        <w:t>6</w:t>
      </w:r>
      <w:r>
        <w:rPr>
          <w:rFonts w:hint="eastAsia" w:ascii="宋体" w:hAnsi="宋体" w:cs="宋体"/>
          <w:sz w:val="24"/>
          <w:u w:val="single"/>
        </w:rPr>
        <w:t xml:space="preserve"> </w:t>
      </w:r>
      <w:r>
        <w:rPr>
          <w:rFonts w:ascii="宋体" w:hAnsi="宋体" w:cs="宋体"/>
          <w:sz w:val="24"/>
          <w:u w:val="single"/>
        </w:rPr>
        <w:t>月</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 xml:space="preserve"> 日9时00分前不得开启</w:t>
      </w:r>
    </w:p>
    <w:p>
      <w:pPr>
        <w:spacing w:line="420" w:lineRule="exact"/>
        <w:ind w:firstLine="420"/>
        <w:rPr>
          <w:rFonts w:ascii="宋体" w:hAnsi="宋体"/>
          <w:b/>
          <w:bCs/>
          <w:sz w:val="24"/>
        </w:rPr>
      </w:pPr>
      <w:r>
        <w:rPr>
          <w:rFonts w:hint="eastAsia" w:ascii="宋体" w:hAnsi="宋体"/>
          <w:b/>
          <w:bCs/>
          <w:sz w:val="24"/>
        </w:rPr>
        <w:t>六、费用的结算原则</w:t>
      </w:r>
    </w:p>
    <w:p>
      <w:pPr>
        <w:spacing w:line="420" w:lineRule="exact"/>
        <w:ind w:firstLine="420"/>
        <w:rPr>
          <w:rFonts w:ascii="宋体" w:hAnsi="宋体"/>
          <w:sz w:val="24"/>
        </w:rPr>
      </w:pPr>
      <w:r>
        <w:rPr>
          <w:rFonts w:hint="eastAsia" w:ascii="宋体" w:hAnsi="宋体"/>
          <w:sz w:val="24"/>
        </w:rPr>
        <w:t>（一）评估费用结算原则</w:t>
      </w:r>
    </w:p>
    <w:p>
      <w:pPr>
        <w:spacing w:line="420" w:lineRule="exact"/>
        <w:ind w:firstLine="480" w:firstLineChars="200"/>
        <w:rPr>
          <w:rFonts w:ascii="宋体" w:hAnsi="宋体"/>
          <w:color w:val="000000"/>
          <w:sz w:val="24"/>
        </w:rPr>
      </w:pPr>
      <w:r>
        <w:rPr>
          <w:rFonts w:hint="eastAsia" w:ascii="宋体" w:hAnsi="宋体"/>
          <w:color w:val="000000"/>
          <w:sz w:val="24"/>
        </w:rPr>
        <w:t>中标结果公示完成并签订该合同，由中选人与重庆高速石油科技有限责任公司根据评估工作进度协商评估费支付进度和原则。</w:t>
      </w:r>
    </w:p>
    <w:p>
      <w:pPr>
        <w:spacing w:line="420" w:lineRule="exact"/>
        <w:ind w:firstLine="482" w:firstLineChars="200"/>
        <w:rPr>
          <w:rFonts w:ascii="宋体" w:hAnsi="宋体"/>
          <w:b/>
          <w:bCs/>
          <w:sz w:val="24"/>
        </w:rPr>
      </w:pPr>
      <w:r>
        <w:rPr>
          <w:rFonts w:hint="eastAsia" w:ascii="宋体" w:hAnsi="宋体"/>
          <w:b/>
          <w:bCs/>
          <w:sz w:val="24"/>
        </w:rPr>
        <w:t>七、联系方式</w:t>
      </w:r>
    </w:p>
    <w:p>
      <w:pPr>
        <w:spacing w:line="420" w:lineRule="exact"/>
        <w:ind w:firstLine="960" w:firstLineChars="400"/>
        <w:rPr>
          <w:rFonts w:ascii="宋体" w:hAnsi="宋体"/>
          <w:sz w:val="24"/>
        </w:rPr>
      </w:pPr>
      <w:r>
        <w:rPr>
          <w:rFonts w:hint="eastAsia" w:ascii="宋体" w:hAnsi="宋体"/>
          <w:sz w:val="24"/>
        </w:rPr>
        <w:t>招标代理机构：重庆高速石油科技有限责任公司</w:t>
      </w:r>
    </w:p>
    <w:p>
      <w:pPr>
        <w:spacing w:line="420" w:lineRule="exact"/>
        <w:ind w:firstLine="960" w:firstLineChars="400"/>
        <w:rPr>
          <w:rFonts w:ascii="宋体" w:hAnsi="宋体"/>
          <w:sz w:val="24"/>
        </w:rPr>
      </w:pPr>
      <w:r>
        <w:rPr>
          <w:rFonts w:hint="eastAsia" w:ascii="宋体" w:hAnsi="宋体"/>
          <w:sz w:val="24"/>
        </w:rPr>
        <w:t>地</w:t>
      </w:r>
      <w:r>
        <w:rPr>
          <w:rFonts w:ascii="宋体" w:hAnsi="宋体"/>
          <w:sz w:val="24"/>
        </w:rPr>
        <w:t xml:space="preserve">  址：</w:t>
      </w:r>
      <w:r>
        <w:rPr>
          <w:rFonts w:hint="eastAsia" w:ascii="宋体" w:hAnsi="宋体" w:cs="宋体"/>
          <w:sz w:val="24"/>
        </w:rPr>
        <w:t>重庆市渝北区财富大道15号财富园二号A栋5楼6号</w:t>
      </w:r>
    </w:p>
    <w:p>
      <w:pPr>
        <w:spacing w:line="420" w:lineRule="exact"/>
        <w:ind w:firstLine="960" w:firstLineChars="400"/>
        <w:rPr>
          <w:rFonts w:ascii="宋体" w:hAnsi="宋体"/>
          <w:sz w:val="24"/>
        </w:rPr>
      </w:pPr>
      <w:r>
        <w:rPr>
          <w:rFonts w:hint="eastAsia" w:ascii="宋体" w:hAnsi="宋体"/>
          <w:sz w:val="24"/>
        </w:rPr>
        <w:t>联系人：李老师</w:t>
      </w:r>
    </w:p>
    <w:p>
      <w:pPr>
        <w:spacing w:line="420" w:lineRule="exact"/>
        <w:ind w:firstLine="960" w:firstLineChars="400"/>
        <w:rPr>
          <w:rFonts w:ascii="宋体" w:hAnsi="宋体"/>
          <w:sz w:val="24"/>
        </w:rPr>
      </w:pPr>
      <w:r>
        <w:rPr>
          <w:rFonts w:hint="eastAsia" w:ascii="宋体" w:hAnsi="宋体"/>
          <w:sz w:val="24"/>
        </w:rPr>
        <w:t>电</w:t>
      </w:r>
      <w:r>
        <w:rPr>
          <w:rFonts w:ascii="宋体" w:hAnsi="宋体"/>
          <w:sz w:val="24"/>
        </w:rPr>
        <w:t xml:space="preserve">  话：</w:t>
      </w:r>
      <w:r>
        <w:rPr>
          <w:rFonts w:hint="eastAsia" w:ascii="宋体" w:hAnsi="宋体"/>
          <w:sz w:val="24"/>
        </w:rPr>
        <w:t>13368493361</w:t>
      </w:r>
    </w:p>
    <w:p>
      <w:pPr>
        <w:jc w:val="center"/>
        <w:rPr>
          <w:rFonts w:ascii="宋体" w:hAnsi="宋体"/>
          <w:b/>
          <w:sz w:val="24"/>
          <w:szCs w:val="20"/>
        </w:rPr>
      </w:pPr>
      <w:r>
        <w:rPr>
          <w:rFonts w:hint="eastAsia" w:ascii="宋体" w:hAnsi="宋体"/>
          <w:b/>
          <w:sz w:val="24"/>
          <w:szCs w:val="20"/>
        </w:rPr>
        <w:t>竞争性比选响应文件格式</w:t>
      </w:r>
    </w:p>
    <w:p>
      <w:pPr>
        <w:jc w:val="center"/>
        <w:rPr>
          <w:rFonts w:ascii="宋体" w:hAnsi="宋体"/>
          <w:b/>
          <w:sz w:val="24"/>
          <w:szCs w:val="20"/>
        </w:rPr>
      </w:pPr>
    </w:p>
    <w:p>
      <w:pPr>
        <w:jc w:val="center"/>
        <w:rPr>
          <w:rFonts w:ascii="宋体" w:hAnsi="宋体"/>
          <w:b/>
          <w:sz w:val="24"/>
          <w:szCs w:val="20"/>
        </w:rPr>
      </w:pPr>
      <w:r>
        <w:rPr>
          <w:rFonts w:hint="eastAsia" w:ascii="宋体" w:hAnsi="宋体"/>
          <w:b/>
          <w:sz w:val="24"/>
          <w:szCs w:val="20"/>
        </w:rPr>
        <w:t>（以下内容为示例）</w:t>
      </w:r>
    </w:p>
    <w:p>
      <w:pPr>
        <w:jc w:val="center"/>
        <w:rPr>
          <w:rFonts w:ascii="宋体" w:hAnsi="宋体"/>
          <w:b/>
          <w:sz w:val="24"/>
          <w:szCs w:val="20"/>
        </w:rPr>
      </w:pPr>
    </w:p>
    <w:p>
      <w:pPr>
        <w:ind w:right="480" w:firstLine="2849" w:firstLineChars="946"/>
        <w:rPr>
          <w:rFonts w:ascii="宋体" w:hAnsi="宋体"/>
          <w:b/>
          <w:sz w:val="30"/>
          <w:szCs w:val="30"/>
        </w:rPr>
      </w:pPr>
    </w:p>
    <w:p>
      <w:pPr>
        <w:ind w:right="480" w:firstLine="2849" w:firstLineChars="946"/>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ind w:right="480" w:firstLine="2849" w:firstLineChars="946"/>
        <w:rPr>
          <w:rFonts w:ascii="宋体" w:hAnsi="宋体"/>
          <w:b/>
          <w:sz w:val="30"/>
          <w:szCs w:val="30"/>
        </w:rPr>
      </w:pPr>
    </w:p>
    <w:p>
      <w:pPr>
        <w:ind w:right="-313" w:rightChars="-149"/>
        <w:jc w:val="center"/>
        <w:rPr>
          <w:rFonts w:ascii="宋体" w:hAnsi="宋体"/>
          <w:b/>
          <w:sz w:val="44"/>
          <w:szCs w:val="44"/>
        </w:rPr>
      </w:pPr>
      <w:r>
        <w:rPr>
          <w:rFonts w:hint="eastAsia" w:ascii="宋体" w:hAnsi="宋体"/>
          <w:b/>
          <w:sz w:val="44"/>
          <w:szCs w:val="44"/>
        </w:rPr>
        <w:t>梁平</w:t>
      </w:r>
      <w:r>
        <w:rPr>
          <w:rFonts w:hint="eastAsia" w:ascii="宋体" w:hAnsi="宋体"/>
          <w:b/>
          <w:sz w:val="44"/>
          <w:szCs w:val="44"/>
          <w:lang w:eastAsia="zh-CN"/>
        </w:rPr>
        <w:t>、</w:t>
      </w:r>
      <w:r>
        <w:rPr>
          <w:rFonts w:hint="eastAsia" w:ascii="宋体" w:hAnsi="宋体"/>
          <w:b/>
          <w:sz w:val="44"/>
          <w:szCs w:val="44"/>
          <w:lang w:val="en-US" w:eastAsia="zh-CN"/>
        </w:rPr>
        <w:t>龙兴</w:t>
      </w:r>
      <w:r>
        <w:rPr>
          <w:rFonts w:hint="eastAsia" w:ascii="宋体" w:hAnsi="宋体"/>
          <w:b/>
          <w:sz w:val="44"/>
          <w:szCs w:val="44"/>
        </w:rPr>
        <w:t>等5座加油站项目权益市场价值资产评估报告项目</w:t>
      </w:r>
    </w:p>
    <w:p>
      <w:pPr>
        <w:ind w:leftChars="-200" w:right="-313" w:rightChars="-149" w:hanging="420" w:hangingChars="95"/>
        <w:jc w:val="center"/>
        <w:rPr>
          <w:rFonts w:ascii="宋体" w:hAnsi="宋体"/>
          <w:b/>
          <w:sz w:val="44"/>
          <w:szCs w:val="44"/>
        </w:rPr>
      </w:pPr>
    </w:p>
    <w:p>
      <w:pPr>
        <w:ind w:leftChars="-200" w:right="-313" w:rightChars="-149" w:hanging="420" w:hangingChars="95"/>
        <w:jc w:val="center"/>
        <w:rPr>
          <w:rFonts w:ascii="宋体" w:hAnsi="宋体"/>
          <w:b/>
          <w:sz w:val="44"/>
          <w:szCs w:val="44"/>
        </w:rPr>
      </w:pPr>
      <w:r>
        <w:rPr>
          <w:rFonts w:hint="eastAsia" w:ascii="宋体" w:hAnsi="宋体"/>
          <w:b/>
          <w:sz w:val="44"/>
          <w:szCs w:val="44"/>
        </w:rPr>
        <w:t>竞争性比选响应文件</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竞标人单位名称：</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（盖单位公章）</w:t>
      </w:r>
    </w:p>
    <w:p>
      <w:pPr>
        <w:jc w:val="center"/>
        <w:rPr>
          <w:rFonts w:ascii="宋体" w:hAnsi="宋体"/>
          <w:sz w:val="32"/>
          <w:szCs w:val="32"/>
          <w:u w:val="single"/>
        </w:rPr>
      </w:pPr>
    </w:p>
    <w:p>
      <w:pPr>
        <w:pStyle w:val="2"/>
        <w:rPr>
          <w:rFonts w:ascii="宋体" w:hAnsi="宋体"/>
          <w:color w:val="auto"/>
          <w:sz w:val="32"/>
          <w:szCs w:val="32"/>
          <w:u w:val="single"/>
        </w:rPr>
      </w:pPr>
    </w:p>
    <w:p>
      <w:pPr>
        <w:rPr>
          <w:rFonts w:ascii="宋体" w:hAnsi="宋体"/>
          <w:sz w:val="32"/>
          <w:szCs w:val="32"/>
          <w:u w:val="single"/>
        </w:rPr>
      </w:pPr>
    </w:p>
    <w:p>
      <w:pPr>
        <w:pStyle w:val="2"/>
        <w:rPr>
          <w:rFonts w:ascii="宋体" w:hAnsi="宋体"/>
          <w:color w:val="auto"/>
          <w:sz w:val="32"/>
          <w:szCs w:val="32"/>
          <w:u w:val="single"/>
        </w:rPr>
      </w:pPr>
    </w:p>
    <w:p>
      <w:pPr>
        <w:rPr>
          <w:rFonts w:ascii="宋体" w:hAnsi="宋体"/>
          <w:sz w:val="32"/>
          <w:szCs w:val="32"/>
          <w:u w:val="single"/>
        </w:rPr>
      </w:pPr>
    </w:p>
    <w:p>
      <w:pPr>
        <w:pStyle w:val="2"/>
        <w:rPr>
          <w:rFonts w:ascii="宋体" w:hAnsi="宋体" w:cs="Arial"/>
          <w:b/>
          <w:color w:val="auto"/>
          <w:sz w:val="28"/>
          <w:szCs w:val="21"/>
        </w:rPr>
      </w:pPr>
      <w:r>
        <w:rPr>
          <w:rFonts w:ascii="宋体" w:hAnsi="宋体"/>
          <w:color w:val="auto"/>
          <w:sz w:val="32"/>
          <w:szCs w:val="32"/>
          <w:u w:val="single"/>
        </w:rPr>
        <w:br w:type="page"/>
      </w:r>
      <w:r>
        <w:rPr>
          <w:rFonts w:hint="eastAsia" w:ascii="宋体" w:hAnsi="宋体" w:cs="Arial"/>
          <w:b/>
          <w:color w:val="auto"/>
          <w:sz w:val="28"/>
          <w:szCs w:val="21"/>
        </w:rPr>
        <w:t>目 录</w:t>
      </w:r>
    </w:p>
    <w:p>
      <w:pPr>
        <w:tabs>
          <w:tab w:val="left" w:pos="900"/>
          <w:tab w:val="left" w:pos="1080"/>
        </w:tabs>
        <w:spacing w:line="300" w:lineRule="auto"/>
        <w:jc w:val="center"/>
        <w:outlineLvl w:val="0"/>
        <w:rPr>
          <w:rFonts w:ascii="宋体" w:hAnsi="宋体" w:cs="Arial"/>
          <w:b/>
          <w:sz w:val="24"/>
          <w:szCs w:val="20"/>
        </w:rPr>
      </w:pPr>
    </w:p>
    <w:p>
      <w:pPr>
        <w:spacing w:line="400" w:lineRule="exact"/>
        <w:ind w:firstLine="482" w:firstLineChars="200"/>
        <w:rPr>
          <w:rFonts w:ascii="宋体" w:hAnsi="宋体"/>
          <w:b/>
          <w:sz w:val="24"/>
        </w:rPr>
      </w:pPr>
      <w:r>
        <w:rPr>
          <w:rFonts w:hint="eastAsia" w:ascii="宋体" w:hAnsi="宋体"/>
          <w:b/>
          <w:sz w:val="24"/>
        </w:rPr>
        <w:t>一、报价书；</w:t>
      </w:r>
    </w:p>
    <w:p>
      <w:pPr>
        <w:spacing w:line="400" w:lineRule="exact"/>
        <w:ind w:firstLine="482" w:firstLineChars="200"/>
        <w:rPr>
          <w:rFonts w:ascii="宋体" w:hAnsi="宋体"/>
          <w:b/>
          <w:sz w:val="24"/>
        </w:rPr>
      </w:pPr>
      <w:r>
        <w:rPr>
          <w:rFonts w:hint="eastAsia" w:ascii="宋体" w:hAnsi="宋体"/>
          <w:b/>
          <w:sz w:val="24"/>
        </w:rPr>
        <w:t>二、法定代表人身份证明及授权委托书；</w:t>
      </w:r>
    </w:p>
    <w:p>
      <w:pPr>
        <w:spacing w:line="400" w:lineRule="exact"/>
        <w:ind w:firstLine="482" w:firstLineChars="200"/>
        <w:rPr>
          <w:rFonts w:ascii="宋体" w:hAnsi="宋体"/>
          <w:b/>
          <w:sz w:val="24"/>
        </w:rPr>
      </w:pPr>
      <w:r>
        <w:rPr>
          <w:rFonts w:hint="eastAsia" w:ascii="宋体" w:hAnsi="宋体"/>
          <w:b/>
          <w:sz w:val="24"/>
        </w:rPr>
        <w:t>三、竞争性比选响应单位有效的营业执照复印件；</w:t>
      </w:r>
    </w:p>
    <w:p>
      <w:pPr>
        <w:spacing w:line="400" w:lineRule="exact"/>
        <w:ind w:firstLine="482" w:firstLineChars="200"/>
        <w:rPr>
          <w:rFonts w:ascii="宋体" w:hAnsi="宋体"/>
          <w:b/>
          <w:sz w:val="24"/>
        </w:rPr>
      </w:pPr>
      <w:r>
        <w:rPr>
          <w:rFonts w:hint="eastAsia" w:ascii="宋体" w:hAnsi="宋体"/>
          <w:b/>
          <w:sz w:val="24"/>
        </w:rPr>
        <w:t>四、单位资质证明材料；</w:t>
      </w:r>
    </w:p>
    <w:p>
      <w:pPr>
        <w:spacing w:line="400" w:lineRule="exact"/>
        <w:ind w:firstLine="482" w:firstLineChars="200"/>
        <w:rPr>
          <w:rFonts w:ascii="宋体" w:hAnsi="宋体"/>
          <w:b/>
          <w:sz w:val="24"/>
        </w:rPr>
      </w:pPr>
      <w:r>
        <w:rPr>
          <w:rFonts w:hint="eastAsia" w:ascii="宋体" w:hAnsi="宋体"/>
          <w:b/>
          <w:sz w:val="24"/>
        </w:rPr>
        <w:t>五、报价明细表；</w:t>
      </w:r>
    </w:p>
    <w:p>
      <w:pPr>
        <w:pStyle w:val="2"/>
        <w:spacing w:line="400" w:lineRule="exact"/>
        <w:ind w:firstLine="482" w:firstLineChars="200"/>
        <w:jc w:val="both"/>
        <w:rPr>
          <w:rFonts w:ascii="宋体" w:hAnsi="宋体"/>
          <w:b/>
          <w:sz w:val="24"/>
        </w:rPr>
      </w:pPr>
      <w:r>
        <w:rPr>
          <w:rFonts w:hint="eastAsia" w:ascii="宋体" w:hAnsi="宋体"/>
          <w:b/>
          <w:sz w:val="24"/>
        </w:rPr>
        <w:t>六、</w:t>
      </w:r>
      <w:r>
        <w:rPr>
          <w:rFonts w:hint="eastAsia" w:ascii="宋体" w:hAnsi="宋体"/>
          <w:b/>
          <w:color w:val="auto"/>
          <w:sz w:val="24"/>
          <w:szCs w:val="24"/>
        </w:rPr>
        <w:t>企业</w:t>
      </w:r>
      <w:r>
        <w:rPr>
          <w:rFonts w:hint="eastAsia" w:ascii="宋体" w:hAnsi="宋体" w:cs="宋体"/>
          <w:b/>
          <w:bCs/>
          <w:color w:val="auto"/>
          <w:sz w:val="24"/>
          <w:szCs w:val="24"/>
        </w:rPr>
        <w:t>资产评估业绩（提供合同协议书复印件加盖公司鲜章）；</w:t>
      </w:r>
    </w:p>
    <w:p>
      <w:pPr>
        <w:pStyle w:val="2"/>
        <w:spacing w:line="400" w:lineRule="exact"/>
        <w:ind w:firstLine="482" w:firstLineChars="200"/>
        <w:jc w:val="both"/>
        <w:rPr>
          <w:rFonts w:ascii="宋体" w:hAnsi="宋体"/>
          <w:b/>
          <w:bCs/>
          <w:color w:val="auto"/>
          <w:sz w:val="24"/>
          <w:szCs w:val="24"/>
        </w:rPr>
      </w:pPr>
      <w:r>
        <w:rPr>
          <w:rFonts w:hint="eastAsia" w:ascii="宋体" w:hAnsi="宋体"/>
          <w:b/>
          <w:color w:val="auto"/>
          <w:sz w:val="24"/>
          <w:szCs w:val="24"/>
        </w:rPr>
        <w:t>七、</w:t>
      </w:r>
      <w:r>
        <w:rPr>
          <w:rFonts w:hint="eastAsia" w:ascii="宋体" w:hAnsi="宋体"/>
          <w:b/>
          <w:bCs/>
          <w:color w:val="auto"/>
          <w:sz w:val="24"/>
          <w:szCs w:val="24"/>
        </w:rPr>
        <w:t>拟承担本资产评估项目负责人相关证书和业绩（提供证书及相关业绩资料复印件加盖公司鲜章）</w:t>
      </w:r>
    </w:p>
    <w:p>
      <w:pPr>
        <w:pStyle w:val="2"/>
        <w:spacing w:line="400" w:lineRule="exact"/>
        <w:ind w:firstLine="482" w:firstLineChars="200"/>
        <w:jc w:val="both"/>
        <w:rPr>
          <w:rFonts w:ascii="宋体" w:hAnsi="宋体" w:cs="宋体"/>
          <w:b/>
          <w:bCs/>
          <w:color w:val="auto"/>
          <w:sz w:val="24"/>
          <w:szCs w:val="24"/>
        </w:rPr>
      </w:pPr>
      <w:r>
        <w:rPr>
          <w:rFonts w:hint="eastAsia" w:ascii="宋体" w:hAnsi="宋体" w:cs="宋体"/>
          <w:b/>
          <w:bCs/>
          <w:color w:val="auto"/>
          <w:sz w:val="24"/>
          <w:szCs w:val="24"/>
        </w:rPr>
        <w:t>八、</w:t>
      </w:r>
      <w:r>
        <w:rPr>
          <w:rFonts w:hint="eastAsia" w:ascii="宋体" w:hAnsi="宋体"/>
          <w:b/>
          <w:bCs/>
          <w:color w:val="auto"/>
          <w:sz w:val="24"/>
          <w:szCs w:val="24"/>
        </w:rPr>
        <w:t>其他材料。</w:t>
      </w: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tabs>
          <w:tab w:val="left" w:pos="900"/>
          <w:tab w:val="left" w:pos="1080"/>
        </w:tabs>
        <w:spacing w:line="300" w:lineRule="auto"/>
        <w:jc w:val="center"/>
        <w:outlineLvl w:val="0"/>
        <w:rPr>
          <w:rFonts w:ascii="宋体" w:hAnsi="宋体" w:cs="Arial"/>
          <w:b/>
          <w:sz w:val="24"/>
          <w:szCs w:val="20"/>
        </w:rPr>
      </w:pPr>
    </w:p>
    <w:p>
      <w:pPr>
        <w:pStyle w:val="2"/>
        <w:rPr>
          <w:rFonts w:ascii="宋体" w:hAnsi="宋体" w:cs="Arial"/>
          <w:b/>
          <w:color w:val="auto"/>
          <w:sz w:val="24"/>
        </w:rPr>
      </w:pPr>
    </w:p>
    <w:p/>
    <w:p>
      <w:pPr>
        <w:tabs>
          <w:tab w:val="left" w:pos="900"/>
          <w:tab w:val="left" w:pos="1080"/>
        </w:tabs>
        <w:spacing w:line="300" w:lineRule="auto"/>
        <w:jc w:val="center"/>
        <w:outlineLvl w:val="0"/>
        <w:rPr>
          <w:rFonts w:ascii="宋体" w:hAnsi="宋体" w:cs="Arial"/>
          <w:b/>
          <w:sz w:val="24"/>
          <w:szCs w:val="20"/>
        </w:rPr>
      </w:pPr>
    </w:p>
    <w:p>
      <w:pPr>
        <w:pStyle w:val="2"/>
        <w:rPr>
          <w:color w:val="auto"/>
        </w:rPr>
      </w:pPr>
    </w:p>
    <w:p>
      <w:pPr>
        <w:tabs>
          <w:tab w:val="left" w:pos="900"/>
          <w:tab w:val="left" w:pos="1080"/>
        </w:tabs>
        <w:spacing w:line="300" w:lineRule="auto"/>
        <w:outlineLvl w:val="0"/>
        <w:rPr>
          <w:rFonts w:ascii="宋体" w:hAnsi="宋体" w:cs="Arial"/>
          <w:b/>
          <w:sz w:val="24"/>
          <w:szCs w:val="20"/>
        </w:rPr>
      </w:pPr>
    </w:p>
    <w:p>
      <w:pPr>
        <w:spacing w:line="440" w:lineRule="exact"/>
        <w:jc w:val="center"/>
        <w:outlineLvl w:val="1"/>
        <w:rPr>
          <w:rFonts w:ascii="宋体" w:hAnsi="宋体"/>
          <w:b/>
          <w:sz w:val="28"/>
          <w:szCs w:val="28"/>
        </w:rPr>
      </w:pPr>
      <w:bookmarkStart w:id="25" w:name="_Toc265510122"/>
      <w:r>
        <w:rPr>
          <w:rFonts w:hint="eastAsia" w:ascii="宋体" w:hAnsi="宋体"/>
          <w:b/>
          <w:sz w:val="28"/>
          <w:szCs w:val="28"/>
        </w:rPr>
        <w:t>一、报价</w:t>
      </w:r>
      <w:bookmarkEnd w:id="25"/>
      <w:r>
        <w:rPr>
          <w:rFonts w:hint="eastAsia" w:ascii="宋体" w:hAnsi="宋体"/>
          <w:b/>
          <w:sz w:val="28"/>
          <w:szCs w:val="28"/>
        </w:rPr>
        <w:t>书</w:t>
      </w:r>
    </w:p>
    <w:p>
      <w:pPr>
        <w:spacing w:line="440" w:lineRule="exact"/>
        <w:rPr>
          <w:rFonts w:ascii="宋体" w:hAnsi="宋体"/>
          <w:sz w:val="22"/>
        </w:rPr>
      </w:pPr>
      <w:r>
        <w:rPr>
          <w:rFonts w:hint="eastAsia" w:ascii="宋体" w:hAnsi="宋体"/>
          <w:b/>
          <w:sz w:val="22"/>
          <w:szCs w:val="21"/>
          <w:u w:val="single"/>
        </w:rPr>
        <w:t>致：重庆高速石油科技有限责任公司</w:t>
      </w:r>
      <w:r>
        <w:rPr>
          <w:rFonts w:ascii="宋体" w:hAnsi="宋体"/>
          <w:sz w:val="22"/>
        </w:rPr>
        <w:t>：</w:t>
      </w:r>
    </w:p>
    <w:p>
      <w:pPr>
        <w:pStyle w:val="10"/>
        <w:numPr>
          <w:ilvl w:val="0"/>
          <w:numId w:val="4"/>
        </w:numPr>
        <w:spacing w:line="440" w:lineRule="exact"/>
        <w:ind w:left="0" w:firstLine="440" w:firstLineChars="0"/>
        <w:rPr>
          <w:rFonts w:ascii="宋体" w:hAnsi="宋体"/>
          <w:sz w:val="22"/>
        </w:rPr>
      </w:pPr>
      <w:r>
        <w:rPr>
          <w:rFonts w:ascii="宋体" w:hAnsi="宋体"/>
          <w:sz w:val="22"/>
        </w:rPr>
        <w:t>我方已仔细研究了</w:t>
      </w:r>
      <w:r>
        <w:rPr>
          <w:rFonts w:hint="eastAsia" w:ascii="宋体" w:hAnsi="宋体"/>
          <w:b/>
          <w:sz w:val="22"/>
          <w:u w:val="single"/>
        </w:rPr>
        <w:t>梁平</w:t>
      </w:r>
      <w:r>
        <w:rPr>
          <w:rFonts w:hint="eastAsia" w:ascii="宋体" w:hAnsi="宋体"/>
          <w:b/>
          <w:sz w:val="22"/>
          <w:u w:val="single"/>
          <w:lang w:eastAsia="zh-CN"/>
        </w:rPr>
        <w:t>、</w:t>
      </w:r>
      <w:r>
        <w:rPr>
          <w:rFonts w:hint="eastAsia" w:ascii="宋体" w:hAnsi="宋体"/>
          <w:b/>
          <w:sz w:val="22"/>
          <w:u w:val="single"/>
          <w:lang w:val="en-US" w:eastAsia="zh-CN"/>
        </w:rPr>
        <w:t>龙兴</w:t>
      </w:r>
      <w:r>
        <w:rPr>
          <w:rFonts w:hint="eastAsia" w:ascii="宋体" w:hAnsi="宋体"/>
          <w:b/>
          <w:sz w:val="22"/>
          <w:u w:val="single"/>
        </w:rPr>
        <w:t>等5座加油站项目权益市场价值资产评估项目</w:t>
      </w:r>
      <w:r>
        <w:rPr>
          <w:rFonts w:hint="eastAsia" w:ascii="宋体" w:hAnsi="宋体"/>
          <w:bCs/>
          <w:sz w:val="22"/>
        </w:rPr>
        <w:t>竞争性比选文件</w:t>
      </w:r>
      <w:r>
        <w:rPr>
          <w:rFonts w:ascii="宋体" w:hAnsi="宋体"/>
          <w:sz w:val="22"/>
        </w:rPr>
        <w:t>的全部内容，</w:t>
      </w:r>
      <w:r>
        <w:rPr>
          <w:rFonts w:hint="eastAsia" w:ascii="宋体" w:hAnsi="宋体"/>
          <w:sz w:val="22"/>
        </w:rPr>
        <w:t>愿意以</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rPr>
        <w:t>万元作为本项目</w:t>
      </w:r>
      <w:r>
        <w:rPr>
          <w:rFonts w:hint="eastAsia" w:ascii="宋体" w:hAnsi="宋体"/>
          <w:sz w:val="22"/>
          <w:u w:val="single"/>
        </w:rPr>
        <w:t xml:space="preserve">   （项目</w:t>
      </w:r>
      <w:r>
        <w:rPr>
          <w:rFonts w:ascii="宋体" w:hAnsi="宋体"/>
          <w:sz w:val="22"/>
          <w:u w:val="single"/>
        </w:rPr>
        <w:t>名称</w:t>
      </w:r>
      <w:r>
        <w:rPr>
          <w:rFonts w:hint="eastAsia" w:ascii="宋体" w:hAnsi="宋体"/>
          <w:sz w:val="22"/>
          <w:u w:val="single"/>
        </w:rPr>
        <w:t xml:space="preserve">）      </w:t>
      </w:r>
      <w:r>
        <w:rPr>
          <w:rFonts w:hint="eastAsia" w:ascii="宋体" w:hAnsi="宋体"/>
          <w:sz w:val="22"/>
        </w:rPr>
        <w:t>的竞标价并按合同约定实施完成勘察设计工作。</w:t>
      </w:r>
    </w:p>
    <w:p>
      <w:pPr>
        <w:spacing w:line="440" w:lineRule="exact"/>
        <w:ind w:firstLine="440" w:firstLineChars="200"/>
        <w:rPr>
          <w:rFonts w:ascii="宋体" w:hAnsi="宋体"/>
          <w:sz w:val="22"/>
        </w:rPr>
      </w:pPr>
      <w:r>
        <w:rPr>
          <w:rFonts w:ascii="宋体" w:hAnsi="宋体"/>
          <w:sz w:val="22"/>
        </w:rPr>
        <w:t>2．我方承诺在投标有效期内不修改、撤销</w:t>
      </w:r>
      <w:r>
        <w:rPr>
          <w:rFonts w:hint="eastAsia" w:ascii="宋体" w:hAnsi="宋体"/>
          <w:sz w:val="22"/>
        </w:rPr>
        <w:t>竞争性比选响应</w:t>
      </w:r>
      <w:r>
        <w:rPr>
          <w:rFonts w:ascii="宋体" w:hAnsi="宋体"/>
          <w:sz w:val="22"/>
        </w:rPr>
        <w:t>文件。</w:t>
      </w:r>
    </w:p>
    <w:p>
      <w:pPr>
        <w:spacing w:line="440" w:lineRule="exact"/>
        <w:ind w:firstLine="440" w:firstLineChars="200"/>
        <w:rPr>
          <w:rFonts w:ascii="宋体" w:hAnsi="宋体"/>
          <w:sz w:val="22"/>
        </w:rPr>
      </w:pPr>
      <w:r>
        <w:rPr>
          <w:rFonts w:ascii="宋体" w:hAnsi="宋体"/>
          <w:sz w:val="22"/>
        </w:rPr>
        <w:t>3．</w:t>
      </w:r>
      <w:r>
        <w:rPr>
          <w:rFonts w:hint="eastAsia" w:ascii="宋体" w:hAnsi="宋体"/>
          <w:sz w:val="22"/>
          <w:szCs w:val="21"/>
        </w:rPr>
        <w:t>我方在此声明，所递交的竞争性比选响应文件及有关资料内容完整、真实和准确。</w:t>
      </w:r>
    </w:p>
    <w:p>
      <w:pPr>
        <w:spacing w:line="440" w:lineRule="exact"/>
        <w:ind w:firstLine="440" w:firstLineChars="200"/>
        <w:rPr>
          <w:rFonts w:ascii="宋体" w:hAnsi="宋体"/>
          <w:sz w:val="22"/>
        </w:rPr>
      </w:pPr>
      <w:r>
        <w:rPr>
          <w:rFonts w:ascii="宋体" w:hAnsi="宋体"/>
          <w:sz w:val="22"/>
        </w:rPr>
        <w:t>4</w:t>
      </w:r>
      <w:r>
        <w:rPr>
          <w:rFonts w:hint="eastAsia" w:ascii="宋体" w:hAnsi="宋体"/>
          <w:sz w:val="22"/>
        </w:rPr>
        <w:t>．我方承诺在收到成交通知信息后，在</w:t>
      </w:r>
      <w:r>
        <w:rPr>
          <w:rFonts w:ascii="宋体" w:hAnsi="宋体"/>
          <w:sz w:val="22"/>
        </w:rPr>
        <w:t>2</w:t>
      </w:r>
      <w:r>
        <w:rPr>
          <w:rFonts w:hint="eastAsia" w:ascii="宋体" w:hAnsi="宋体"/>
          <w:sz w:val="22"/>
        </w:rPr>
        <w:t>个工作日内与竞争性比选人签订合同。</w:t>
      </w:r>
    </w:p>
    <w:p>
      <w:pPr>
        <w:spacing w:line="440" w:lineRule="exact"/>
        <w:ind w:firstLine="440" w:firstLineChars="200"/>
        <w:rPr>
          <w:rFonts w:ascii="宋体" w:hAnsi="宋体"/>
          <w:sz w:val="22"/>
        </w:rPr>
      </w:pPr>
      <w:r>
        <w:rPr>
          <w:rFonts w:hint="eastAsia" w:ascii="宋体" w:hAnsi="宋体"/>
          <w:sz w:val="22"/>
        </w:rPr>
        <w:t>5.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宋体" w:hAnsi="宋体"/>
          <w:sz w:val="22"/>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ind w:firstLine="3850" w:firstLineChars="1750"/>
        <w:rPr>
          <w:rFonts w:ascii="宋体" w:hAnsi="宋体"/>
          <w:sz w:val="22"/>
        </w:rPr>
      </w:pPr>
      <w:r>
        <w:rPr>
          <w:rFonts w:hint="eastAsia" w:ascii="宋体" w:hAnsi="宋体"/>
          <w:sz w:val="22"/>
        </w:rPr>
        <w:t>竞  标</w:t>
      </w:r>
      <w:r>
        <w:rPr>
          <w:rFonts w:ascii="宋体" w:hAnsi="宋体"/>
          <w:sz w:val="22"/>
        </w:rPr>
        <w:t xml:space="preserve"> 人：</w:t>
      </w:r>
      <w:r>
        <w:rPr>
          <w:rFonts w:ascii="宋体" w:hAnsi="宋体"/>
          <w:sz w:val="22"/>
          <w:u w:val="single"/>
        </w:rPr>
        <w:t xml:space="preserve">                    </w:t>
      </w:r>
      <w:r>
        <w:rPr>
          <w:rFonts w:ascii="宋体" w:hAnsi="宋体"/>
          <w:sz w:val="22"/>
        </w:rPr>
        <w:t>（盖单位</w:t>
      </w:r>
      <w:r>
        <w:rPr>
          <w:rFonts w:hint="eastAsia" w:ascii="宋体" w:hAnsi="宋体"/>
          <w:sz w:val="22"/>
        </w:rPr>
        <w:t>鲜公</w:t>
      </w:r>
      <w:r>
        <w:rPr>
          <w:rFonts w:ascii="宋体" w:hAnsi="宋体"/>
          <w:sz w:val="22"/>
        </w:rPr>
        <w:t>章）</w:t>
      </w:r>
    </w:p>
    <w:p>
      <w:pPr>
        <w:spacing w:line="440" w:lineRule="exact"/>
        <w:ind w:firstLine="3850" w:firstLineChars="1750"/>
        <w:rPr>
          <w:rFonts w:ascii="宋体" w:hAnsi="宋体"/>
          <w:sz w:val="22"/>
        </w:rPr>
      </w:pPr>
      <w:r>
        <w:rPr>
          <w:rFonts w:ascii="宋体" w:hAnsi="宋体"/>
          <w:sz w:val="22"/>
        </w:rPr>
        <w:t>法定代表人或其委托代理人：</w:t>
      </w:r>
      <w:r>
        <w:rPr>
          <w:rFonts w:ascii="宋体" w:hAnsi="宋体"/>
          <w:sz w:val="22"/>
          <w:u w:val="single"/>
        </w:rPr>
        <w:t xml:space="preserve">      </w:t>
      </w:r>
      <w:r>
        <w:rPr>
          <w:rFonts w:hint="eastAsia" w:ascii="宋体" w:hAnsi="宋体"/>
          <w:sz w:val="22"/>
          <w:u w:val="single"/>
        </w:rPr>
        <w:t xml:space="preserve">   </w:t>
      </w:r>
      <w:r>
        <w:rPr>
          <w:rFonts w:ascii="宋体" w:hAnsi="宋体"/>
          <w:sz w:val="22"/>
          <w:u w:val="single"/>
        </w:rPr>
        <w:t xml:space="preserve"> </w:t>
      </w:r>
      <w:r>
        <w:rPr>
          <w:rFonts w:ascii="宋体" w:hAnsi="宋体"/>
          <w:sz w:val="22"/>
        </w:rPr>
        <w:t>（签字）</w:t>
      </w:r>
    </w:p>
    <w:p>
      <w:pPr>
        <w:spacing w:line="440" w:lineRule="exact"/>
        <w:ind w:firstLine="3850" w:firstLineChars="1750"/>
        <w:rPr>
          <w:rFonts w:ascii="宋体" w:hAnsi="宋体"/>
          <w:sz w:val="22"/>
        </w:rPr>
      </w:pPr>
      <w:r>
        <w:rPr>
          <w:rFonts w:ascii="宋体" w:hAnsi="宋体"/>
          <w:sz w:val="22"/>
        </w:rPr>
        <w:t>地址：</w:t>
      </w:r>
      <w:r>
        <w:rPr>
          <w:rFonts w:ascii="宋体" w:hAnsi="宋体"/>
          <w:sz w:val="22"/>
          <w:u w:val="single"/>
        </w:rPr>
        <w:t xml:space="preserve">                                     </w:t>
      </w:r>
    </w:p>
    <w:p>
      <w:pPr>
        <w:spacing w:line="440" w:lineRule="exact"/>
        <w:ind w:firstLine="3850" w:firstLineChars="1750"/>
        <w:rPr>
          <w:rFonts w:ascii="宋体" w:hAnsi="宋体"/>
          <w:sz w:val="22"/>
        </w:rPr>
      </w:pPr>
      <w:r>
        <w:rPr>
          <w:rFonts w:ascii="宋体" w:hAnsi="宋体"/>
          <w:sz w:val="22"/>
        </w:rPr>
        <w:t>网址：</w:t>
      </w:r>
      <w:r>
        <w:rPr>
          <w:rFonts w:ascii="宋体" w:hAnsi="宋体"/>
          <w:sz w:val="22"/>
          <w:u w:val="single"/>
        </w:rPr>
        <w:t xml:space="preserve">                                     </w:t>
      </w:r>
    </w:p>
    <w:p>
      <w:pPr>
        <w:spacing w:line="440" w:lineRule="exact"/>
        <w:ind w:firstLine="3850" w:firstLineChars="1750"/>
        <w:rPr>
          <w:rFonts w:ascii="宋体" w:hAnsi="宋体"/>
          <w:sz w:val="22"/>
        </w:rPr>
      </w:pPr>
      <w:r>
        <w:rPr>
          <w:rFonts w:ascii="宋体" w:hAnsi="宋体"/>
          <w:sz w:val="22"/>
        </w:rPr>
        <w:t>电话：</w:t>
      </w:r>
      <w:r>
        <w:rPr>
          <w:rFonts w:ascii="宋体" w:hAnsi="宋体"/>
          <w:sz w:val="22"/>
          <w:u w:val="single"/>
        </w:rPr>
        <w:t xml:space="preserve">                                     </w:t>
      </w:r>
    </w:p>
    <w:p>
      <w:pPr>
        <w:spacing w:line="440" w:lineRule="exact"/>
        <w:ind w:firstLine="3850" w:firstLineChars="1750"/>
        <w:rPr>
          <w:rFonts w:ascii="宋体" w:hAnsi="宋体"/>
          <w:sz w:val="22"/>
        </w:rPr>
      </w:pPr>
      <w:r>
        <w:rPr>
          <w:rFonts w:ascii="宋体" w:hAnsi="宋体"/>
          <w:sz w:val="22"/>
        </w:rPr>
        <w:t>传真：</w:t>
      </w:r>
      <w:r>
        <w:rPr>
          <w:rFonts w:ascii="宋体" w:hAnsi="宋体"/>
          <w:sz w:val="22"/>
          <w:u w:val="single"/>
        </w:rPr>
        <w:t xml:space="preserve">                                     </w:t>
      </w:r>
    </w:p>
    <w:p>
      <w:pPr>
        <w:spacing w:line="440" w:lineRule="exact"/>
        <w:ind w:firstLine="3850" w:firstLineChars="1750"/>
        <w:rPr>
          <w:rFonts w:ascii="宋体" w:hAnsi="宋体"/>
          <w:sz w:val="22"/>
        </w:rPr>
      </w:pPr>
      <w:r>
        <w:rPr>
          <w:rFonts w:ascii="宋体" w:hAnsi="宋体"/>
          <w:sz w:val="22"/>
        </w:rPr>
        <w:t>邮政编码：</w:t>
      </w:r>
      <w:r>
        <w:rPr>
          <w:rFonts w:ascii="宋体" w:hAnsi="宋体"/>
          <w:sz w:val="22"/>
          <w:u w:val="single"/>
        </w:rPr>
        <w:t xml:space="preserve">                                 </w:t>
      </w:r>
    </w:p>
    <w:p>
      <w:pPr>
        <w:spacing w:line="440" w:lineRule="exact"/>
        <w:ind w:firstLine="3850" w:firstLineChars="1750"/>
        <w:rPr>
          <w:rFonts w:ascii="宋体" w:hAnsi="宋体"/>
          <w:sz w:val="22"/>
        </w:rPr>
      </w:pPr>
    </w:p>
    <w:p>
      <w:pPr>
        <w:spacing w:line="400" w:lineRule="atLeast"/>
        <w:jc w:val="right"/>
        <w:rPr>
          <w:rFonts w:ascii="宋体" w:hAnsi="宋体"/>
          <w:sz w:val="22"/>
        </w:rPr>
      </w:pPr>
      <w:r>
        <w:rPr>
          <w:rFonts w:hint="eastAsia" w:ascii="宋体" w:hAnsi="宋体"/>
          <w:sz w:val="22"/>
          <w:u w:val="single"/>
        </w:rPr>
        <w:t xml:space="preserve">        </w:t>
      </w:r>
      <w:r>
        <w:rPr>
          <w:rFonts w:ascii="宋体" w:hAnsi="宋体"/>
          <w:sz w:val="22"/>
        </w:rPr>
        <w:t>年</w:t>
      </w:r>
      <w:r>
        <w:rPr>
          <w:rFonts w:hint="eastAsia" w:ascii="宋体" w:hAnsi="宋体"/>
          <w:sz w:val="22"/>
          <w:u w:val="single"/>
        </w:rPr>
        <w:t xml:space="preserve">        </w:t>
      </w:r>
      <w:r>
        <w:rPr>
          <w:rFonts w:ascii="宋体" w:hAnsi="宋体"/>
          <w:sz w:val="22"/>
        </w:rPr>
        <w:t>月</w:t>
      </w:r>
      <w:r>
        <w:rPr>
          <w:rFonts w:hint="eastAsia" w:ascii="宋体" w:hAnsi="宋体"/>
          <w:sz w:val="22"/>
          <w:u w:val="single"/>
        </w:rPr>
        <w:t xml:space="preserve">        </w:t>
      </w:r>
      <w:r>
        <w:rPr>
          <w:rFonts w:ascii="宋体" w:hAnsi="宋体"/>
          <w:sz w:val="22"/>
        </w:rPr>
        <w:t>日</w:t>
      </w:r>
    </w:p>
    <w:p>
      <w:pPr>
        <w:spacing w:line="440" w:lineRule="exact"/>
        <w:ind w:firstLine="2098" w:firstLineChars="950"/>
        <w:outlineLvl w:val="1"/>
        <w:rPr>
          <w:rFonts w:ascii="宋体" w:hAnsi="宋体"/>
          <w:b/>
          <w:sz w:val="22"/>
          <w:szCs w:val="21"/>
        </w:rPr>
      </w:pPr>
    </w:p>
    <w:p>
      <w:pPr>
        <w:spacing w:line="440" w:lineRule="exact"/>
        <w:ind w:firstLine="2098" w:firstLineChars="950"/>
        <w:outlineLvl w:val="1"/>
        <w:rPr>
          <w:rFonts w:ascii="宋体" w:hAnsi="宋体"/>
          <w:b/>
          <w:sz w:val="22"/>
          <w:szCs w:val="21"/>
        </w:rPr>
      </w:pPr>
    </w:p>
    <w:p>
      <w:pPr>
        <w:spacing w:line="440" w:lineRule="exact"/>
        <w:ind w:firstLine="2098" w:firstLineChars="950"/>
        <w:outlineLvl w:val="1"/>
        <w:rPr>
          <w:rFonts w:ascii="宋体" w:hAnsi="宋体"/>
          <w:b/>
          <w:sz w:val="22"/>
          <w:szCs w:val="21"/>
        </w:rPr>
      </w:pPr>
    </w:p>
    <w:p>
      <w:pPr>
        <w:widowControl/>
        <w:jc w:val="left"/>
        <w:rPr>
          <w:rFonts w:ascii="宋体" w:hAnsi="宋体"/>
          <w:b/>
          <w:sz w:val="22"/>
          <w:szCs w:val="21"/>
        </w:rPr>
      </w:pPr>
      <w:r>
        <w:rPr>
          <w:rFonts w:ascii="宋体" w:hAnsi="宋体"/>
          <w:b/>
          <w:sz w:val="22"/>
          <w:szCs w:val="21"/>
        </w:rPr>
        <w:br w:type="page"/>
      </w:r>
    </w:p>
    <w:p>
      <w:pPr>
        <w:spacing w:line="440" w:lineRule="exact"/>
        <w:jc w:val="center"/>
        <w:outlineLvl w:val="1"/>
        <w:rPr>
          <w:rFonts w:ascii="宋体" w:hAnsi="宋体"/>
          <w:b/>
          <w:sz w:val="28"/>
          <w:szCs w:val="28"/>
        </w:rPr>
      </w:pPr>
      <w:r>
        <w:rPr>
          <w:rFonts w:hint="eastAsia" w:ascii="宋体" w:hAnsi="宋体"/>
          <w:b/>
          <w:sz w:val="28"/>
          <w:szCs w:val="28"/>
        </w:rPr>
        <w:t>二、法定代表人身份证明及授权委托书</w:t>
      </w:r>
    </w:p>
    <w:p>
      <w:pPr>
        <w:topLinePunct/>
        <w:spacing w:line="360" w:lineRule="auto"/>
        <w:ind w:firstLine="562" w:firstLineChars="200"/>
        <w:jc w:val="center"/>
        <w:outlineLvl w:val="2"/>
        <w:rPr>
          <w:rFonts w:ascii="宋体" w:hAnsi="宋体"/>
          <w:b/>
          <w:sz w:val="28"/>
          <w:szCs w:val="28"/>
        </w:rPr>
      </w:pPr>
      <w:bookmarkStart w:id="26" w:name="_Toc262547328"/>
      <w:r>
        <w:rPr>
          <w:rFonts w:hint="eastAsia" w:ascii="宋体" w:hAnsi="宋体"/>
          <w:b/>
          <w:sz w:val="28"/>
          <w:szCs w:val="28"/>
        </w:rPr>
        <w:t>（一）法定代表人身份证明</w:t>
      </w:r>
      <w:bookmarkEnd w:id="26"/>
    </w:p>
    <w:p>
      <w:pPr>
        <w:spacing w:line="360" w:lineRule="auto"/>
        <w:rPr>
          <w:rFonts w:ascii="宋体" w:hAnsi="宋体"/>
          <w:sz w:val="22"/>
        </w:rPr>
      </w:pPr>
      <w:r>
        <w:rPr>
          <w:rFonts w:hint="eastAsia" w:ascii="宋体" w:hAnsi="宋体"/>
          <w:sz w:val="22"/>
        </w:rPr>
        <w:t>竞标人名称：</w:t>
      </w:r>
      <w:r>
        <w:rPr>
          <w:rFonts w:ascii="宋体" w:hAnsi="宋体"/>
          <w:sz w:val="22"/>
        </w:rPr>
        <w:t xml:space="preserve"> </w:t>
      </w:r>
      <w:r>
        <w:rPr>
          <w:rFonts w:ascii="宋体" w:hAnsi="宋体"/>
          <w:sz w:val="22"/>
          <w:u w:val="single"/>
        </w:rPr>
        <w:t xml:space="preserve">                         </w:t>
      </w:r>
      <w:r>
        <w:rPr>
          <w:rFonts w:hint="eastAsia" w:ascii="宋体" w:hAnsi="宋体"/>
          <w:sz w:val="22"/>
          <w:u w:val="single"/>
        </w:rPr>
        <w:t xml:space="preserve"> </w:t>
      </w:r>
      <w:r>
        <w:rPr>
          <w:rFonts w:ascii="宋体" w:hAnsi="宋体"/>
          <w:sz w:val="22"/>
          <w:u w:val="single"/>
        </w:rPr>
        <w:t xml:space="preserve">   </w:t>
      </w:r>
    </w:p>
    <w:p>
      <w:pPr>
        <w:spacing w:line="360" w:lineRule="auto"/>
        <w:rPr>
          <w:rFonts w:ascii="宋体" w:hAnsi="宋体"/>
          <w:sz w:val="22"/>
        </w:rPr>
      </w:pPr>
      <w:r>
        <w:rPr>
          <w:rFonts w:hint="eastAsia" w:ascii="宋体" w:hAnsi="宋体"/>
          <w:sz w:val="22"/>
        </w:rPr>
        <w:t>单位性质：</w:t>
      </w:r>
      <w:r>
        <w:rPr>
          <w:rFonts w:ascii="宋体" w:hAnsi="宋体"/>
          <w:sz w:val="22"/>
          <w:u w:val="single"/>
        </w:rPr>
        <w:t xml:space="preserve">                               </w:t>
      </w:r>
      <w:r>
        <w:rPr>
          <w:rFonts w:ascii="宋体" w:hAnsi="宋体"/>
          <w:sz w:val="22"/>
        </w:rPr>
        <w:t xml:space="preserve"> </w:t>
      </w:r>
    </w:p>
    <w:p>
      <w:pPr>
        <w:spacing w:line="360" w:lineRule="auto"/>
        <w:rPr>
          <w:rFonts w:ascii="宋体" w:hAnsi="宋体"/>
          <w:sz w:val="22"/>
        </w:rPr>
      </w:pPr>
      <w:r>
        <w:rPr>
          <w:rFonts w:hint="eastAsia" w:ascii="宋体" w:hAnsi="宋体"/>
          <w:sz w:val="22"/>
        </w:rPr>
        <w:t>地址：</w:t>
      </w:r>
      <w:r>
        <w:rPr>
          <w:rFonts w:ascii="宋体" w:hAnsi="宋体"/>
          <w:sz w:val="22"/>
          <w:u w:val="single"/>
        </w:rPr>
        <w:t xml:space="preserve">                                   </w:t>
      </w:r>
    </w:p>
    <w:p>
      <w:pPr>
        <w:spacing w:line="360" w:lineRule="auto"/>
        <w:rPr>
          <w:rFonts w:ascii="宋体" w:hAnsi="宋体"/>
          <w:sz w:val="22"/>
        </w:rPr>
      </w:pPr>
      <w:r>
        <w:rPr>
          <w:rFonts w:hint="eastAsia" w:ascii="宋体" w:hAnsi="宋体"/>
          <w:sz w:val="22"/>
        </w:rPr>
        <w:t>成立时间：</w:t>
      </w:r>
      <w:r>
        <w:rPr>
          <w:rFonts w:ascii="宋体" w:hAnsi="宋体"/>
          <w:sz w:val="22"/>
          <w:u w:val="single"/>
        </w:rPr>
        <w:t xml:space="preserve">         </w:t>
      </w:r>
      <w:r>
        <w:rPr>
          <w:rFonts w:ascii="宋体" w:hAnsi="宋体"/>
          <w:sz w:val="22"/>
        </w:rPr>
        <w:t xml:space="preserve"> </w:t>
      </w:r>
      <w:r>
        <w:rPr>
          <w:rFonts w:hint="eastAsia" w:ascii="宋体" w:hAnsi="宋体"/>
          <w:sz w:val="22"/>
        </w:rPr>
        <w:t>年</w:t>
      </w:r>
      <w:r>
        <w:rPr>
          <w:rFonts w:ascii="宋体" w:hAnsi="宋体"/>
          <w:sz w:val="22"/>
          <w:u w:val="single"/>
        </w:rPr>
        <w:t xml:space="preserve">       </w:t>
      </w:r>
      <w:r>
        <w:rPr>
          <w:rFonts w:ascii="宋体" w:hAnsi="宋体"/>
          <w:sz w:val="22"/>
        </w:rPr>
        <w:t xml:space="preserve"> </w:t>
      </w:r>
      <w:r>
        <w:rPr>
          <w:rFonts w:hint="eastAsia" w:ascii="宋体" w:hAnsi="宋体"/>
          <w:sz w:val="22"/>
        </w:rPr>
        <w:t>月</w:t>
      </w:r>
      <w:r>
        <w:rPr>
          <w:rFonts w:ascii="宋体" w:hAnsi="宋体"/>
          <w:sz w:val="22"/>
          <w:u w:val="single"/>
        </w:rPr>
        <w:t xml:space="preserve">       </w:t>
      </w:r>
      <w:r>
        <w:rPr>
          <w:rFonts w:ascii="宋体" w:hAnsi="宋体"/>
          <w:sz w:val="22"/>
        </w:rPr>
        <w:t xml:space="preserve"> </w:t>
      </w:r>
      <w:r>
        <w:rPr>
          <w:rFonts w:hint="eastAsia" w:ascii="宋体" w:hAnsi="宋体"/>
          <w:sz w:val="22"/>
        </w:rPr>
        <w:t>日</w:t>
      </w:r>
    </w:p>
    <w:p>
      <w:pPr>
        <w:spacing w:line="360" w:lineRule="auto"/>
        <w:rPr>
          <w:rFonts w:ascii="宋体" w:hAnsi="宋体"/>
          <w:sz w:val="22"/>
        </w:rPr>
      </w:pPr>
      <w:r>
        <w:rPr>
          <w:rFonts w:hint="eastAsia" w:ascii="宋体" w:hAnsi="宋体"/>
          <w:sz w:val="22"/>
        </w:rPr>
        <w:t>经营期限：</w:t>
      </w:r>
      <w:r>
        <w:rPr>
          <w:rFonts w:ascii="宋体" w:hAnsi="宋体"/>
          <w:sz w:val="22"/>
          <w:u w:val="single"/>
        </w:rPr>
        <w:t xml:space="preserve">                               </w:t>
      </w:r>
    </w:p>
    <w:p>
      <w:pPr>
        <w:spacing w:line="360" w:lineRule="auto"/>
        <w:rPr>
          <w:rFonts w:ascii="宋体" w:hAnsi="宋体"/>
          <w:sz w:val="22"/>
        </w:rPr>
      </w:pPr>
      <w:r>
        <w:rPr>
          <w:rFonts w:hint="eastAsia" w:ascii="宋体" w:hAnsi="宋体"/>
          <w:sz w:val="22"/>
        </w:rPr>
        <w:t>姓名：</w:t>
      </w:r>
      <w:r>
        <w:rPr>
          <w:rFonts w:ascii="宋体" w:hAnsi="宋体"/>
          <w:sz w:val="22"/>
        </w:rPr>
        <w:t xml:space="preserve"> </w:t>
      </w:r>
      <w:r>
        <w:rPr>
          <w:rFonts w:ascii="宋体" w:hAnsi="宋体"/>
          <w:sz w:val="22"/>
          <w:u w:val="single"/>
        </w:rPr>
        <w:t xml:space="preserve">        </w:t>
      </w:r>
      <w:r>
        <w:rPr>
          <w:rFonts w:hint="eastAsia" w:ascii="宋体" w:hAnsi="宋体"/>
          <w:sz w:val="22"/>
          <w:u w:val="single"/>
        </w:rPr>
        <w:t xml:space="preserve">               </w:t>
      </w:r>
      <w:r>
        <w:rPr>
          <w:rFonts w:ascii="宋体" w:hAnsi="宋体"/>
          <w:sz w:val="22"/>
        </w:rPr>
        <w:t xml:space="preserve"> </w:t>
      </w:r>
      <w:r>
        <w:rPr>
          <w:rFonts w:hint="eastAsia" w:ascii="宋体" w:hAnsi="宋体"/>
          <w:sz w:val="22"/>
        </w:rPr>
        <w:t>性别：</w:t>
      </w:r>
      <w:r>
        <w:rPr>
          <w:rFonts w:ascii="宋体" w:hAnsi="宋体"/>
          <w:sz w:val="22"/>
          <w:u w:val="single"/>
        </w:rPr>
        <w:t xml:space="preserve">         </w:t>
      </w:r>
      <w:r>
        <w:rPr>
          <w:rFonts w:ascii="宋体" w:hAnsi="宋体"/>
          <w:sz w:val="22"/>
        </w:rPr>
        <w:t xml:space="preserve"> </w:t>
      </w:r>
      <w:r>
        <w:rPr>
          <w:rFonts w:hint="eastAsia" w:ascii="宋体" w:hAnsi="宋体"/>
          <w:sz w:val="22"/>
        </w:rPr>
        <w:t>年龄：</w:t>
      </w:r>
      <w:r>
        <w:rPr>
          <w:rFonts w:ascii="宋体" w:hAnsi="宋体"/>
          <w:sz w:val="22"/>
          <w:u w:val="single"/>
        </w:rPr>
        <w:t xml:space="preserve">        </w:t>
      </w:r>
      <w:r>
        <w:rPr>
          <w:rFonts w:hint="eastAsia" w:ascii="宋体" w:hAnsi="宋体"/>
          <w:sz w:val="22"/>
        </w:rPr>
        <w:t>职务：</w:t>
      </w:r>
      <w:r>
        <w:rPr>
          <w:rFonts w:ascii="宋体" w:hAnsi="宋体"/>
          <w:sz w:val="22"/>
          <w:u w:val="single"/>
        </w:rPr>
        <w:t xml:space="preserve">        </w:t>
      </w:r>
    </w:p>
    <w:p>
      <w:pPr>
        <w:spacing w:line="360" w:lineRule="auto"/>
        <w:rPr>
          <w:rFonts w:ascii="宋体" w:hAnsi="宋体"/>
          <w:sz w:val="22"/>
        </w:rPr>
      </w:pPr>
      <w:r>
        <w:rPr>
          <w:rFonts w:hint="eastAsia" w:ascii="宋体" w:hAnsi="宋体"/>
          <w:sz w:val="22"/>
        </w:rPr>
        <w:t>系</w:t>
      </w:r>
      <w:r>
        <w:rPr>
          <w:rFonts w:ascii="宋体" w:hAnsi="宋体"/>
          <w:sz w:val="22"/>
          <w:u w:val="single"/>
        </w:rPr>
        <w:t xml:space="preserve">                             </w:t>
      </w:r>
      <w:r>
        <w:rPr>
          <w:rFonts w:ascii="宋体" w:hAnsi="宋体"/>
          <w:sz w:val="22"/>
        </w:rPr>
        <w:t xml:space="preserve"> </w:t>
      </w:r>
      <w:r>
        <w:rPr>
          <w:rFonts w:hint="eastAsia" w:ascii="宋体" w:hAnsi="宋体"/>
          <w:sz w:val="22"/>
        </w:rPr>
        <w:t>（竞标人名称）的法定代表人。</w:t>
      </w:r>
    </w:p>
    <w:p>
      <w:pPr>
        <w:spacing w:line="360" w:lineRule="auto"/>
        <w:ind w:firstLine="440" w:firstLineChars="200"/>
        <w:rPr>
          <w:rFonts w:ascii="宋体" w:hAnsi="宋体"/>
          <w:sz w:val="22"/>
        </w:rPr>
      </w:pPr>
      <w:r>
        <w:rPr>
          <w:rFonts w:hint="eastAsia" w:ascii="宋体" w:hAnsi="宋体"/>
          <w:sz w:val="22"/>
        </w:rPr>
        <w:t>特此证明。</w:t>
      </w:r>
    </w:p>
    <w:p>
      <w:pPr>
        <w:spacing w:line="360" w:lineRule="auto"/>
        <w:ind w:firstLine="440" w:firstLineChars="200"/>
        <w:rPr>
          <w:rFonts w:ascii="宋体" w:hAnsi="宋体"/>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rPr>
      </w:pPr>
      <w:r>
        <w:rPr>
          <w:rFonts w:hint="eastAsia" w:ascii="宋体" w:hAnsi="宋体" w:cs="MingLiU"/>
          <w:kern w:val="0"/>
          <w:sz w:val="22"/>
        </w:rPr>
        <w:t>附：法定代表人身份证双面复印件。</w:t>
      </w:r>
    </w:p>
    <w:p>
      <w:pPr>
        <w:spacing w:line="360" w:lineRule="auto"/>
        <w:rPr>
          <w:rFonts w:ascii="宋体" w:hAnsi="宋体"/>
          <w:sz w:val="22"/>
        </w:rPr>
      </w:pPr>
    </w:p>
    <w:p>
      <w:pPr>
        <w:spacing w:line="360" w:lineRule="auto"/>
        <w:rPr>
          <w:rFonts w:ascii="宋体" w:hAnsi="宋体"/>
          <w:sz w:val="22"/>
        </w:rPr>
      </w:pPr>
    </w:p>
    <w:p>
      <w:pPr>
        <w:spacing w:line="360" w:lineRule="auto"/>
        <w:rPr>
          <w:rFonts w:ascii="宋体" w:hAnsi="宋体"/>
          <w:sz w:val="22"/>
        </w:rPr>
      </w:pPr>
      <w:r>
        <w:rPr>
          <w:rFonts w:ascii="宋体" w:hAnsi="宋体"/>
          <w:sz w:val="22"/>
        </w:rPr>
        <w:t xml:space="preserve">                          </w:t>
      </w:r>
      <w:r>
        <w:rPr>
          <w:rFonts w:hint="eastAsia" w:ascii="宋体" w:hAnsi="宋体"/>
          <w:sz w:val="22"/>
        </w:rPr>
        <w:t>竞标人：</w:t>
      </w:r>
      <w:r>
        <w:rPr>
          <w:rFonts w:ascii="宋体" w:hAnsi="宋体"/>
          <w:sz w:val="22"/>
          <w:u w:val="single"/>
        </w:rPr>
        <w:t xml:space="preserve">                 </w:t>
      </w:r>
      <w:r>
        <w:rPr>
          <w:rFonts w:hint="eastAsia" w:ascii="宋体" w:hAnsi="宋体"/>
          <w:sz w:val="22"/>
        </w:rPr>
        <w:t>（盖单位鲜公章）</w:t>
      </w:r>
    </w:p>
    <w:p>
      <w:pPr>
        <w:spacing w:line="360" w:lineRule="auto"/>
        <w:rPr>
          <w:rFonts w:ascii="宋体" w:hAnsi="宋体"/>
          <w:sz w:val="22"/>
        </w:rPr>
      </w:pPr>
      <w:r>
        <w:rPr>
          <w:rFonts w:ascii="宋体" w:hAnsi="宋体"/>
          <w:sz w:val="22"/>
        </w:rPr>
        <w:t xml:space="preserve">                                   </w:t>
      </w:r>
      <w:r>
        <w:rPr>
          <w:rFonts w:ascii="宋体" w:hAnsi="宋体"/>
          <w:sz w:val="22"/>
          <w:u w:val="single"/>
        </w:rPr>
        <w:t xml:space="preserve">       </w:t>
      </w:r>
      <w:r>
        <w:rPr>
          <w:rFonts w:hint="eastAsia" w:ascii="宋体" w:hAnsi="宋体"/>
          <w:sz w:val="22"/>
        </w:rPr>
        <w:t>年</w:t>
      </w:r>
      <w:r>
        <w:rPr>
          <w:rFonts w:ascii="宋体" w:hAnsi="宋体"/>
          <w:sz w:val="22"/>
          <w:u w:val="single"/>
        </w:rPr>
        <w:t xml:space="preserve">       </w:t>
      </w:r>
      <w:r>
        <w:rPr>
          <w:rFonts w:hint="eastAsia" w:ascii="宋体" w:hAnsi="宋体"/>
          <w:sz w:val="22"/>
        </w:rPr>
        <w:t>月</w:t>
      </w:r>
      <w:r>
        <w:rPr>
          <w:rFonts w:ascii="宋体" w:hAnsi="宋体"/>
          <w:sz w:val="22"/>
          <w:u w:val="single"/>
        </w:rPr>
        <w:t xml:space="preserve">       </w:t>
      </w:r>
      <w:r>
        <w:rPr>
          <w:rFonts w:hint="eastAsia" w:ascii="宋体" w:hAnsi="宋体"/>
          <w:sz w:val="22"/>
        </w:rPr>
        <w:t>日</w:t>
      </w:r>
      <w:r>
        <w:rPr>
          <w:rFonts w:ascii="宋体" w:hAnsi="宋体"/>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topLinePunct/>
        <w:spacing w:line="440" w:lineRule="exact"/>
        <w:ind w:firstLine="400" w:firstLineChars="200"/>
        <w:jc w:val="center"/>
        <w:outlineLvl w:val="2"/>
        <w:rPr>
          <w:rFonts w:ascii="宋体" w:hAnsi="宋体"/>
          <w:b/>
          <w:szCs w:val="21"/>
        </w:rPr>
      </w:pPr>
      <w:r>
        <w:rPr>
          <w:rFonts w:ascii="宋体" w:hAnsi="宋体"/>
          <w:sz w:val="20"/>
          <w:szCs w:val="20"/>
        </w:rPr>
        <w:br w:type="page"/>
      </w:r>
      <w:bookmarkStart w:id="27" w:name="_Toc262547329"/>
      <w:r>
        <w:rPr>
          <w:rFonts w:hint="eastAsia" w:ascii="宋体" w:hAnsi="宋体"/>
          <w:b/>
          <w:sz w:val="28"/>
          <w:szCs w:val="28"/>
        </w:rPr>
        <w:t>（二）授权委托书</w:t>
      </w:r>
      <w:bookmarkEnd w:id="27"/>
      <w:r>
        <w:rPr>
          <w:rFonts w:hint="eastAsia" w:ascii="宋体" w:hAnsi="宋体"/>
          <w:b/>
          <w:sz w:val="28"/>
          <w:szCs w:val="28"/>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szCs w:val="20"/>
        </w:rPr>
      </w:pPr>
    </w:p>
    <w:p>
      <w:pPr>
        <w:rPr>
          <w:rFonts w:ascii="宋体" w:hAnsi="宋体"/>
          <w:szCs w:val="20"/>
        </w:rPr>
      </w:pPr>
    </w:p>
    <w:p>
      <w:pPr>
        <w:spacing w:line="360" w:lineRule="auto"/>
        <w:ind w:left="480"/>
        <w:rPr>
          <w:rFonts w:ascii="宋体" w:hAnsi="宋体"/>
          <w:szCs w:val="21"/>
          <w:u w:val="single"/>
        </w:rPr>
      </w:pPr>
    </w:p>
    <w:p>
      <w:pPr>
        <w:tabs>
          <w:tab w:val="left" w:pos="900"/>
          <w:tab w:val="left" w:pos="1080"/>
        </w:tabs>
        <w:spacing w:line="300" w:lineRule="auto"/>
        <w:jc w:val="left"/>
        <w:outlineLvl w:val="0"/>
        <w:rPr>
          <w:rFonts w:ascii="宋体" w:hAnsi="宋体" w:cs="Arial"/>
          <w:b/>
          <w:sz w:val="24"/>
          <w:szCs w:val="20"/>
        </w:rPr>
      </w:pPr>
    </w:p>
    <w:p>
      <w:pPr>
        <w:spacing w:line="440" w:lineRule="exact"/>
        <w:jc w:val="center"/>
        <w:outlineLvl w:val="1"/>
        <w:rPr>
          <w:rFonts w:ascii="宋体" w:hAnsi="宋体"/>
          <w:b/>
          <w:sz w:val="28"/>
          <w:szCs w:val="28"/>
        </w:rPr>
      </w:pPr>
      <w:r>
        <w:rPr>
          <w:rFonts w:hint="eastAsia" w:ascii="宋体" w:hAnsi="宋体"/>
          <w:b/>
          <w:sz w:val="28"/>
          <w:szCs w:val="28"/>
        </w:rPr>
        <w:t>三、竞争性比选响应单位有效的营业执照复印件</w:t>
      </w: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spacing w:line="440" w:lineRule="exact"/>
        <w:jc w:val="center"/>
        <w:outlineLvl w:val="1"/>
        <w:rPr>
          <w:rFonts w:ascii="宋体" w:hAnsi="宋体"/>
          <w:b/>
          <w:sz w:val="28"/>
          <w:szCs w:val="28"/>
        </w:rPr>
      </w:pPr>
      <w:r>
        <w:rPr>
          <w:rFonts w:hint="eastAsia" w:ascii="宋体" w:hAnsi="宋体"/>
          <w:b/>
          <w:sz w:val="28"/>
          <w:szCs w:val="28"/>
        </w:rPr>
        <w:t>四、单位资质文件</w:t>
      </w: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jc w:val="left"/>
        <w:outlineLvl w:val="0"/>
        <w:rPr>
          <w:rFonts w:ascii="宋体" w:hAnsi="宋体" w:cs="Arial"/>
          <w:b/>
          <w:sz w:val="24"/>
          <w:szCs w:val="20"/>
        </w:rPr>
      </w:pPr>
    </w:p>
    <w:p>
      <w:pPr>
        <w:tabs>
          <w:tab w:val="left" w:pos="900"/>
          <w:tab w:val="left" w:pos="1080"/>
        </w:tabs>
        <w:spacing w:line="300" w:lineRule="auto"/>
        <w:outlineLvl w:val="0"/>
        <w:rPr>
          <w:rFonts w:ascii="宋体" w:hAnsi="宋体"/>
          <w:b/>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spacing w:line="440" w:lineRule="exact"/>
        <w:jc w:val="center"/>
        <w:outlineLvl w:val="1"/>
        <w:rPr>
          <w:rFonts w:ascii="宋体" w:hAnsi="宋体"/>
          <w:b/>
          <w:sz w:val="28"/>
          <w:szCs w:val="28"/>
        </w:rPr>
      </w:pPr>
    </w:p>
    <w:p>
      <w:pPr>
        <w:spacing w:line="440" w:lineRule="exact"/>
        <w:outlineLvl w:val="1"/>
        <w:rPr>
          <w:rFonts w:ascii="宋体" w:hAnsi="宋体"/>
          <w:b/>
          <w:sz w:val="28"/>
          <w:szCs w:val="28"/>
        </w:rPr>
      </w:pPr>
    </w:p>
    <w:p>
      <w:pPr>
        <w:pStyle w:val="2"/>
      </w:pPr>
    </w:p>
    <w:p>
      <w:pPr>
        <w:spacing w:line="440" w:lineRule="exact"/>
        <w:jc w:val="center"/>
        <w:outlineLvl w:val="1"/>
        <w:rPr>
          <w:rFonts w:ascii="宋体" w:hAnsi="宋体"/>
          <w:b/>
          <w:sz w:val="28"/>
          <w:szCs w:val="28"/>
        </w:rPr>
      </w:pPr>
      <w:r>
        <w:rPr>
          <w:rFonts w:hint="eastAsia" w:ascii="宋体" w:hAnsi="宋体"/>
          <w:b/>
          <w:sz w:val="28"/>
          <w:szCs w:val="28"/>
        </w:rPr>
        <w:t>五、报价明细表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941"/>
        <w:gridCol w:w="1001"/>
        <w:gridCol w:w="882"/>
        <w:gridCol w:w="1073"/>
        <w:gridCol w:w="3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1030" w:type="dxa"/>
            <w:vMerge w:val="restart"/>
            <w:tcMar>
              <w:top w:w="15" w:type="dxa"/>
              <w:left w:w="15" w:type="dxa"/>
              <w:right w:w="15" w:type="dxa"/>
            </w:tcMar>
            <w:vAlign w:val="center"/>
          </w:tcPr>
          <w:p>
            <w:pPr>
              <w:widowControl/>
              <w:spacing w:line="300" w:lineRule="exact"/>
              <w:jc w:val="center"/>
              <w:textAlignment w:val="center"/>
              <w:rPr>
                <w:rFonts w:ascii="宋体" w:hAnsi="宋体" w:cs="宋体"/>
                <w:sz w:val="22"/>
              </w:rPr>
            </w:pPr>
            <w:r>
              <w:rPr>
                <w:rFonts w:hint="eastAsia" w:ascii="宋体" w:hAnsi="宋体" w:cs="宋体"/>
                <w:kern w:val="0"/>
                <w:sz w:val="22"/>
                <w:lang w:bidi="ar"/>
              </w:rPr>
              <w:t>序号</w:t>
            </w:r>
          </w:p>
        </w:tc>
        <w:tc>
          <w:tcPr>
            <w:tcW w:w="941" w:type="dxa"/>
            <w:vMerge w:val="restart"/>
            <w:tcMar>
              <w:top w:w="15" w:type="dxa"/>
              <w:left w:w="15" w:type="dxa"/>
              <w:right w:w="15" w:type="dxa"/>
            </w:tcMar>
            <w:vAlign w:val="center"/>
          </w:tcPr>
          <w:p>
            <w:pPr>
              <w:widowControl/>
              <w:spacing w:line="300" w:lineRule="exact"/>
              <w:jc w:val="center"/>
              <w:textAlignment w:val="center"/>
              <w:rPr>
                <w:rFonts w:ascii="宋体" w:hAnsi="宋体" w:cs="宋体"/>
                <w:sz w:val="22"/>
              </w:rPr>
            </w:pPr>
            <w:r>
              <w:rPr>
                <w:rFonts w:hint="eastAsia" w:ascii="宋体" w:hAnsi="宋体" w:cs="宋体"/>
                <w:kern w:val="0"/>
                <w:sz w:val="22"/>
                <w:lang w:bidi="ar"/>
              </w:rPr>
              <w:t>费用明细</w:t>
            </w:r>
          </w:p>
        </w:tc>
        <w:tc>
          <w:tcPr>
            <w:tcW w:w="1001" w:type="dxa"/>
            <w:vMerge w:val="restart"/>
            <w:tcMar>
              <w:top w:w="15" w:type="dxa"/>
              <w:left w:w="15" w:type="dxa"/>
              <w:right w:w="15" w:type="dxa"/>
            </w:tcMar>
            <w:vAlign w:val="center"/>
          </w:tcPr>
          <w:p>
            <w:pPr>
              <w:widowControl/>
              <w:spacing w:line="300" w:lineRule="exact"/>
              <w:jc w:val="center"/>
              <w:textAlignment w:val="center"/>
              <w:rPr>
                <w:rFonts w:ascii="宋体" w:hAnsi="宋体" w:cs="宋体"/>
                <w:kern w:val="0"/>
                <w:sz w:val="22"/>
                <w:lang w:bidi="ar"/>
              </w:rPr>
            </w:pPr>
            <w:r>
              <w:rPr>
                <w:rFonts w:hint="eastAsia" w:ascii="宋体" w:hAnsi="宋体" w:cs="宋体"/>
                <w:kern w:val="0"/>
                <w:sz w:val="22"/>
                <w:lang w:bidi="ar"/>
              </w:rPr>
              <w:t>限价</w:t>
            </w:r>
          </w:p>
          <w:p>
            <w:pPr>
              <w:widowControl/>
              <w:spacing w:line="300" w:lineRule="exact"/>
              <w:jc w:val="center"/>
              <w:textAlignment w:val="center"/>
              <w:rPr>
                <w:rFonts w:ascii="宋体" w:hAnsi="宋体" w:cs="宋体"/>
                <w:sz w:val="22"/>
              </w:rPr>
            </w:pPr>
            <w:r>
              <w:rPr>
                <w:rFonts w:hint="eastAsia" w:ascii="宋体" w:hAnsi="宋体" w:cs="宋体"/>
                <w:kern w:val="0"/>
                <w:sz w:val="22"/>
                <w:lang w:bidi="ar"/>
              </w:rPr>
              <w:t>（万元）</w:t>
            </w:r>
          </w:p>
        </w:tc>
        <w:tc>
          <w:tcPr>
            <w:tcW w:w="1955" w:type="dxa"/>
            <w:gridSpan w:val="2"/>
            <w:tcMar>
              <w:top w:w="15" w:type="dxa"/>
              <w:left w:w="15" w:type="dxa"/>
              <w:right w:w="15" w:type="dxa"/>
            </w:tcMar>
            <w:vAlign w:val="center"/>
          </w:tcPr>
          <w:p>
            <w:pPr>
              <w:widowControl/>
              <w:spacing w:line="300" w:lineRule="exact"/>
              <w:jc w:val="center"/>
              <w:textAlignment w:val="center"/>
              <w:rPr>
                <w:rFonts w:ascii="宋体" w:hAnsi="宋体" w:cs="宋体"/>
                <w:sz w:val="22"/>
              </w:rPr>
            </w:pPr>
            <w:r>
              <w:rPr>
                <w:rFonts w:hint="eastAsia" w:ascii="宋体" w:hAnsi="宋体" w:cs="宋体"/>
                <w:kern w:val="0"/>
                <w:sz w:val="22"/>
                <w:lang w:bidi="ar"/>
              </w:rPr>
              <w:t>投标人报价（万元）</w:t>
            </w:r>
          </w:p>
        </w:tc>
        <w:tc>
          <w:tcPr>
            <w:tcW w:w="3416" w:type="dxa"/>
            <w:vMerge w:val="restart"/>
            <w:tcMar>
              <w:top w:w="15" w:type="dxa"/>
              <w:left w:w="15" w:type="dxa"/>
              <w:right w:w="15" w:type="dxa"/>
            </w:tcMar>
            <w:vAlign w:val="center"/>
          </w:tcPr>
          <w:p>
            <w:pPr>
              <w:widowControl/>
              <w:spacing w:line="300" w:lineRule="exact"/>
              <w:jc w:val="center"/>
              <w:textAlignment w:val="center"/>
              <w:rPr>
                <w:rFonts w:ascii="宋体" w:hAnsi="宋体" w:cs="宋体"/>
                <w:sz w:val="22"/>
              </w:rPr>
            </w:pPr>
            <w:r>
              <w:rPr>
                <w:rFonts w:hint="eastAsia" w:ascii="宋体" w:hAnsi="宋体" w:cs="宋体"/>
                <w:kern w:val="0"/>
                <w:sz w:val="22"/>
                <w:lang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1030" w:type="dxa"/>
            <w:vMerge w:val="continue"/>
            <w:tcMar>
              <w:top w:w="15" w:type="dxa"/>
              <w:left w:w="15" w:type="dxa"/>
              <w:right w:w="15" w:type="dxa"/>
            </w:tcMar>
            <w:vAlign w:val="center"/>
          </w:tcPr>
          <w:p>
            <w:pPr>
              <w:widowControl/>
              <w:spacing w:line="300" w:lineRule="exact"/>
              <w:jc w:val="center"/>
              <w:rPr>
                <w:rFonts w:ascii="宋体" w:hAnsi="宋体" w:cs="宋体"/>
                <w:sz w:val="22"/>
              </w:rPr>
            </w:pPr>
          </w:p>
        </w:tc>
        <w:tc>
          <w:tcPr>
            <w:tcW w:w="941" w:type="dxa"/>
            <w:vMerge w:val="continue"/>
            <w:tcMar>
              <w:top w:w="15" w:type="dxa"/>
              <w:left w:w="15" w:type="dxa"/>
              <w:right w:w="15" w:type="dxa"/>
            </w:tcMar>
            <w:vAlign w:val="center"/>
          </w:tcPr>
          <w:p>
            <w:pPr>
              <w:widowControl/>
              <w:spacing w:line="300" w:lineRule="exact"/>
              <w:jc w:val="center"/>
              <w:rPr>
                <w:rFonts w:ascii="宋体" w:hAnsi="宋体" w:cs="宋体"/>
                <w:sz w:val="22"/>
              </w:rPr>
            </w:pPr>
          </w:p>
        </w:tc>
        <w:tc>
          <w:tcPr>
            <w:tcW w:w="1001" w:type="dxa"/>
            <w:vMerge w:val="continue"/>
            <w:tcMar>
              <w:top w:w="15" w:type="dxa"/>
              <w:left w:w="15" w:type="dxa"/>
              <w:right w:w="15" w:type="dxa"/>
            </w:tcMar>
            <w:vAlign w:val="center"/>
          </w:tcPr>
          <w:p>
            <w:pPr>
              <w:widowControl/>
              <w:spacing w:line="300" w:lineRule="exact"/>
              <w:jc w:val="center"/>
              <w:rPr>
                <w:rFonts w:ascii="宋体" w:hAnsi="宋体" w:cs="宋体"/>
                <w:sz w:val="22"/>
              </w:rPr>
            </w:pPr>
          </w:p>
        </w:tc>
        <w:tc>
          <w:tcPr>
            <w:tcW w:w="882" w:type="dxa"/>
            <w:tcMar>
              <w:top w:w="15" w:type="dxa"/>
              <w:left w:w="15" w:type="dxa"/>
              <w:right w:w="15" w:type="dxa"/>
            </w:tcMar>
            <w:vAlign w:val="center"/>
          </w:tcPr>
          <w:p>
            <w:pPr>
              <w:widowControl/>
              <w:spacing w:line="300" w:lineRule="exact"/>
              <w:jc w:val="center"/>
              <w:textAlignment w:val="center"/>
              <w:rPr>
                <w:rFonts w:ascii="宋体" w:hAnsi="宋体" w:cs="宋体"/>
                <w:sz w:val="22"/>
              </w:rPr>
            </w:pPr>
            <w:r>
              <w:rPr>
                <w:rFonts w:hint="eastAsia" w:ascii="宋体" w:hAnsi="宋体" w:cs="宋体"/>
                <w:kern w:val="0"/>
                <w:sz w:val="22"/>
                <w:lang w:bidi="ar"/>
              </w:rPr>
              <w:t>报价</w:t>
            </w:r>
          </w:p>
        </w:tc>
        <w:tc>
          <w:tcPr>
            <w:tcW w:w="1073" w:type="dxa"/>
            <w:tcMar>
              <w:top w:w="15" w:type="dxa"/>
              <w:left w:w="15" w:type="dxa"/>
              <w:right w:w="15" w:type="dxa"/>
            </w:tcMar>
            <w:vAlign w:val="center"/>
          </w:tcPr>
          <w:p>
            <w:pPr>
              <w:widowControl/>
              <w:spacing w:line="300" w:lineRule="exact"/>
              <w:jc w:val="center"/>
              <w:textAlignment w:val="center"/>
              <w:rPr>
                <w:rFonts w:ascii="宋体" w:hAnsi="宋体" w:cs="宋体"/>
                <w:sz w:val="22"/>
              </w:rPr>
            </w:pPr>
            <w:r>
              <w:rPr>
                <w:rFonts w:hint="eastAsia" w:ascii="宋体" w:hAnsi="宋体" w:cs="宋体"/>
                <w:kern w:val="0"/>
                <w:sz w:val="22"/>
                <w:lang w:bidi="ar"/>
              </w:rPr>
              <w:t>小计</w:t>
            </w:r>
          </w:p>
        </w:tc>
        <w:tc>
          <w:tcPr>
            <w:tcW w:w="3416" w:type="dxa"/>
            <w:vMerge w:val="continue"/>
            <w:tcMar>
              <w:top w:w="15" w:type="dxa"/>
              <w:left w:w="15" w:type="dxa"/>
              <w:right w:w="15" w:type="dxa"/>
            </w:tcMar>
            <w:vAlign w:val="center"/>
          </w:tcPr>
          <w:p>
            <w:pPr>
              <w:widowControl/>
              <w:spacing w:line="30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030" w:type="dxa"/>
            <w:tcMar>
              <w:top w:w="15" w:type="dxa"/>
              <w:left w:w="15" w:type="dxa"/>
              <w:right w:w="15" w:type="dxa"/>
            </w:tcMar>
            <w:vAlign w:val="center"/>
          </w:tcPr>
          <w:p>
            <w:pPr>
              <w:widowControl/>
              <w:spacing w:line="300" w:lineRule="exact"/>
              <w:jc w:val="center"/>
              <w:textAlignment w:val="center"/>
              <w:rPr>
                <w:rFonts w:ascii="宋体" w:hAnsi="宋体" w:cs="宋体"/>
                <w:b/>
                <w:sz w:val="22"/>
              </w:rPr>
            </w:pPr>
            <w:r>
              <w:rPr>
                <w:rFonts w:hint="eastAsia" w:ascii="宋体" w:hAnsi="宋体" w:cs="宋体"/>
                <w:b/>
                <w:kern w:val="0"/>
                <w:sz w:val="22"/>
                <w:lang w:bidi="ar"/>
              </w:rPr>
              <w:t>一</w:t>
            </w:r>
          </w:p>
        </w:tc>
        <w:tc>
          <w:tcPr>
            <w:tcW w:w="941" w:type="dxa"/>
            <w:tcMar>
              <w:top w:w="15" w:type="dxa"/>
              <w:left w:w="15" w:type="dxa"/>
              <w:right w:w="15" w:type="dxa"/>
            </w:tcMar>
            <w:vAlign w:val="center"/>
          </w:tcPr>
          <w:p>
            <w:pPr>
              <w:widowControl/>
              <w:spacing w:line="300" w:lineRule="exact"/>
              <w:jc w:val="center"/>
              <w:textAlignment w:val="center"/>
              <w:rPr>
                <w:rFonts w:ascii="宋体" w:hAnsi="宋体" w:cs="宋体"/>
                <w:b/>
                <w:sz w:val="22"/>
              </w:rPr>
            </w:pPr>
            <w:r>
              <w:rPr>
                <w:rFonts w:hint="eastAsia" w:ascii="宋体" w:hAnsi="宋体" w:cs="宋体"/>
                <w:b/>
                <w:kern w:val="0"/>
                <w:sz w:val="22"/>
                <w:lang w:bidi="ar"/>
              </w:rPr>
              <w:t>服务费用</w:t>
            </w:r>
          </w:p>
        </w:tc>
        <w:tc>
          <w:tcPr>
            <w:tcW w:w="1001" w:type="dxa"/>
            <w:tcMar>
              <w:top w:w="15" w:type="dxa"/>
              <w:left w:w="15" w:type="dxa"/>
              <w:right w:w="15" w:type="dxa"/>
            </w:tcMar>
            <w:vAlign w:val="center"/>
          </w:tcPr>
          <w:p>
            <w:pPr>
              <w:widowControl/>
              <w:spacing w:line="300" w:lineRule="exact"/>
              <w:jc w:val="center"/>
              <w:rPr>
                <w:rFonts w:ascii="宋体" w:hAnsi="宋体" w:cs="宋体"/>
                <w:sz w:val="22"/>
              </w:rPr>
            </w:pPr>
          </w:p>
        </w:tc>
        <w:tc>
          <w:tcPr>
            <w:tcW w:w="882" w:type="dxa"/>
            <w:tcMar>
              <w:top w:w="15" w:type="dxa"/>
              <w:left w:w="15" w:type="dxa"/>
              <w:right w:w="15" w:type="dxa"/>
            </w:tcMar>
            <w:vAlign w:val="center"/>
          </w:tcPr>
          <w:p>
            <w:pPr>
              <w:widowControl/>
              <w:spacing w:line="300" w:lineRule="exact"/>
              <w:jc w:val="center"/>
              <w:rPr>
                <w:rFonts w:ascii="宋体" w:hAnsi="宋体" w:cs="宋体"/>
                <w:sz w:val="22"/>
              </w:rPr>
            </w:pPr>
          </w:p>
        </w:tc>
        <w:tc>
          <w:tcPr>
            <w:tcW w:w="1073" w:type="dxa"/>
            <w:tcMar>
              <w:top w:w="15" w:type="dxa"/>
              <w:left w:w="15" w:type="dxa"/>
              <w:right w:w="15" w:type="dxa"/>
            </w:tcMar>
            <w:vAlign w:val="center"/>
          </w:tcPr>
          <w:p>
            <w:pPr>
              <w:widowControl/>
              <w:spacing w:line="300" w:lineRule="exact"/>
              <w:jc w:val="center"/>
              <w:rPr>
                <w:rFonts w:ascii="宋体" w:hAnsi="宋体" w:cs="宋体"/>
                <w:sz w:val="22"/>
              </w:rPr>
            </w:pPr>
          </w:p>
        </w:tc>
        <w:tc>
          <w:tcPr>
            <w:tcW w:w="3416" w:type="dxa"/>
            <w:tcMar>
              <w:top w:w="15" w:type="dxa"/>
              <w:left w:w="15" w:type="dxa"/>
              <w:right w:w="15" w:type="dxa"/>
            </w:tcMar>
            <w:vAlign w:val="center"/>
          </w:tcPr>
          <w:p>
            <w:pPr>
              <w:widowControl/>
              <w:spacing w:line="30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030" w:type="dxa"/>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41" w:type="dxa"/>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资产评估费</w:t>
            </w:r>
          </w:p>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（万元）</w:t>
            </w:r>
          </w:p>
        </w:tc>
        <w:tc>
          <w:tcPr>
            <w:tcW w:w="1001" w:type="dxa"/>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ascii="宋体" w:hAnsi="宋体" w:cs="宋体"/>
                <w:color w:val="000000"/>
                <w:sz w:val="18"/>
                <w:szCs w:val="18"/>
              </w:rPr>
              <w:t>40</w:t>
            </w:r>
          </w:p>
        </w:tc>
        <w:tc>
          <w:tcPr>
            <w:tcW w:w="882" w:type="dxa"/>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p>
        </w:tc>
        <w:tc>
          <w:tcPr>
            <w:tcW w:w="1073" w:type="dxa"/>
            <w:tcMar>
              <w:top w:w="15" w:type="dxa"/>
              <w:left w:w="15" w:type="dxa"/>
              <w:right w:w="15" w:type="dxa"/>
            </w:tcMar>
            <w:vAlign w:val="center"/>
          </w:tcPr>
          <w:p>
            <w:pPr>
              <w:widowControl/>
              <w:spacing w:line="300" w:lineRule="exact"/>
              <w:jc w:val="center"/>
              <w:textAlignment w:val="center"/>
              <w:rPr>
                <w:rFonts w:ascii="宋体" w:hAnsi="宋体" w:cs="宋体"/>
                <w:sz w:val="18"/>
                <w:szCs w:val="18"/>
              </w:rPr>
            </w:pPr>
          </w:p>
        </w:tc>
        <w:tc>
          <w:tcPr>
            <w:tcW w:w="3416" w:type="dxa"/>
            <w:vMerge w:val="restart"/>
            <w:tcMar>
              <w:top w:w="15" w:type="dxa"/>
              <w:left w:w="15" w:type="dxa"/>
              <w:right w:w="15" w:type="dxa"/>
            </w:tcMar>
            <w:vAlign w:val="center"/>
          </w:tcPr>
          <w:p>
            <w:pPr>
              <w:widowControl/>
              <w:spacing w:line="300" w:lineRule="exact"/>
              <w:jc w:val="left"/>
              <w:textAlignment w:val="center"/>
              <w:rPr>
                <w:rFonts w:ascii="宋体" w:hAnsi="宋体" w:cs="宋体"/>
                <w:sz w:val="18"/>
                <w:szCs w:val="18"/>
              </w:rPr>
            </w:pPr>
            <w:r>
              <w:rPr>
                <w:rFonts w:hint="eastAsia"/>
              </w:rPr>
              <w:t>本表提供的基数仅作为报价的基础，各潜在竞争性比选申请人不得修改，否则按照废标处理。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1030" w:type="dxa"/>
            <w:tcMar>
              <w:top w:w="15" w:type="dxa"/>
              <w:left w:w="15" w:type="dxa"/>
              <w:right w:w="15" w:type="dxa"/>
            </w:tcMar>
            <w:vAlign w:val="center"/>
          </w:tcPr>
          <w:p>
            <w:pPr>
              <w:widowControl/>
              <w:spacing w:line="300" w:lineRule="exact"/>
              <w:jc w:val="center"/>
              <w:textAlignment w:val="center"/>
              <w:rPr>
                <w:rFonts w:ascii="宋体" w:hAnsi="宋体" w:cs="宋体"/>
                <w:b/>
                <w:bCs/>
                <w:kern w:val="0"/>
                <w:sz w:val="22"/>
                <w:lang w:bidi="ar"/>
              </w:rPr>
            </w:pPr>
          </w:p>
        </w:tc>
        <w:tc>
          <w:tcPr>
            <w:tcW w:w="941" w:type="dxa"/>
            <w:tcMar>
              <w:top w:w="15" w:type="dxa"/>
              <w:left w:w="15" w:type="dxa"/>
              <w:right w:w="15" w:type="dxa"/>
            </w:tcMar>
            <w:vAlign w:val="center"/>
          </w:tcPr>
          <w:p>
            <w:pPr>
              <w:widowControl/>
              <w:spacing w:line="300" w:lineRule="exact"/>
              <w:jc w:val="center"/>
              <w:textAlignment w:val="center"/>
              <w:rPr>
                <w:rFonts w:ascii="宋体" w:hAnsi="宋体" w:cs="宋体"/>
                <w:sz w:val="18"/>
                <w:szCs w:val="18"/>
                <w:lang w:bidi="ar"/>
              </w:rPr>
            </w:pPr>
          </w:p>
        </w:tc>
        <w:tc>
          <w:tcPr>
            <w:tcW w:w="1001" w:type="dxa"/>
            <w:tcMar>
              <w:top w:w="15" w:type="dxa"/>
              <w:left w:w="15" w:type="dxa"/>
              <w:right w:w="15" w:type="dxa"/>
            </w:tcMar>
            <w:vAlign w:val="center"/>
          </w:tcPr>
          <w:p>
            <w:pPr>
              <w:widowControl/>
              <w:spacing w:line="300" w:lineRule="exact"/>
              <w:jc w:val="center"/>
              <w:textAlignment w:val="center"/>
              <w:rPr>
                <w:rFonts w:ascii="宋体" w:hAnsi="宋体" w:cs="宋体"/>
                <w:kern w:val="0"/>
                <w:sz w:val="22"/>
                <w:lang w:bidi="ar"/>
              </w:rPr>
            </w:pPr>
          </w:p>
        </w:tc>
        <w:tc>
          <w:tcPr>
            <w:tcW w:w="882" w:type="dxa"/>
            <w:tcMar>
              <w:top w:w="15" w:type="dxa"/>
              <w:left w:w="15" w:type="dxa"/>
              <w:right w:w="15" w:type="dxa"/>
            </w:tcMar>
            <w:vAlign w:val="center"/>
          </w:tcPr>
          <w:p>
            <w:pPr>
              <w:widowControl/>
              <w:spacing w:line="300" w:lineRule="exact"/>
              <w:jc w:val="center"/>
              <w:rPr>
                <w:rFonts w:ascii="宋体" w:hAnsi="宋体" w:cs="宋体"/>
                <w:b/>
                <w:sz w:val="22"/>
              </w:rPr>
            </w:pPr>
          </w:p>
        </w:tc>
        <w:tc>
          <w:tcPr>
            <w:tcW w:w="1073" w:type="dxa"/>
            <w:tcMar>
              <w:top w:w="15" w:type="dxa"/>
              <w:left w:w="15" w:type="dxa"/>
              <w:right w:w="15" w:type="dxa"/>
            </w:tcMar>
            <w:vAlign w:val="center"/>
          </w:tcPr>
          <w:p>
            <w:pPr>
              <w:widowControl/>
              <w:spacing w:line="300" w:lineRule="exact"/>
              <w:jc w:val="center"/>
              <w:rPr>
                <w:rFonts w:ascii="宋体" w:hAnsi="宋体" w:cs="宋体"/>
                <w:b/>
                <w:sz w:val="22"/>
              </w:rPr>
            </w:pPr>
          </w:p>
        </w:tc>
        <w:tc>
          <w:tcPr>
            <w:tcW w:w="3416" w:type="dxa"/>
            <w:vMerge w:val="continue"/>
            <w:tcMar>
              <w:top w:w="15" w:type="dxa"/>
              <w:left w:w="15" w:type="dxa"/>
              <w:right w:w="15" w:type="dxa"/>
            </w:tcMar>
            <w:vAlign w:val="center"/>
          </w:tcPr>
          <w:p>
            <w:pPr>
              <w:widowControl/>
              <w:spacing w:line="300" w:lineRule="exact"/>
              <w:jc w:val="left"/>
              <w:textAlignment w:val="center"/>
              <w:rPr>
                <w:rFonts w:ascii="宋体" w:hAnsi="宋体" w:cs="宋体"/>
                <w:kern w:val="0"/>
                <w:sz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030" w:type="dxa"/>
            <w:tcMar>
              <w:top w:w="15" w:type="dxa"/>
              <w:left w:w="15" w:type="dxa"/>
              <w:right w:w="15" w:type="dxa"/>
            </w:tcMar>
            <w:vAlign w:val="center"/>
          </w:tcPr>
          <w:p>
            <w:pPr>
              <w:widowControl/>
              <w:spacing w:line="300" w:lineRule="exact"/>
              <w:jc w:val="center"/>
              <w:textAlignment w:val="center"/>
              <w:rPr>
                <w:rFonts w:ascii="宋体" w:hAnsi="宋体" w:cs="宋体"/>
                <w:b/>
                <w:bCs/>
                <w:sz w:val="22"/>
              </w:rPr>
            </w:pPr>
            <w:r>
              <w:rPr>
                <w:rFonts w:hint="eastAsia" w:ascii="宋体" w:hAnsi="宋体" w:cs="宋体"/>
                <w:b/>
                <w:bCs/>
                <w:kern w:val="0"/>
                <w:sz w:val="22"/>
                <w:lang w:bidi="ar"/>
              </w:rPr>
              <w:t>二</w:t>
            </w:r>
          </w:p>
        </w:tc>
        <w:tc>
          <w:tcPr>
            <w:tcW w:w="941" w:type="dxa"/>
            <w:tcMar>
              <w:top w:w="15" w:type="dxa"/>
              <w:left w:w="15" w:type="dxa"/>
              <w:right w:w="15" w:type="dxa"/>
            </w:tcMar>
            <w:vAlign w:val="center"/>
          </w:tcPr>
          <w:p>
            <w:pPr>
              <w:widowControl/>
              <w:spacing w:line="300" w:lineRule="exact"/>
              <w:jc w:val="center"/>
              <w:textAlignment w:val="center"/>
              <w:rPr>
                <w:rFonts w:ascii="宋体" w:hAnsi="宋体" w:cs="宋体"/>
                <w:b/>
                <w:bCs/>
                <w:kern w:val="0"/>
                <w:sz w:val="22"/>
                <w:lang w:bidi="ar"/>
              </w:rPr>
            </w:pPr>
            <w:r>
              <w:rPr>
                <w:rFonts w:hint="eastAsia" w:ascii="宋体" w:hAnsi="宋体" w:cs="宋体"/>
                <w:b/>
                <w:bCs/>
                <w:kern w:val="0"/>
                <w:sz w:val="22"/>
                <w:lang w:bidi="ar"/>
              </w:rPr>
              <w:t>合计</w:t>
            </w:r>
          </w:p>
          <w:p>
            <w:pPr>
              <w:widowControl/>
              <w:spacing w:line="300" w:lineRule="exact"/>
              <w:jc w:val="center"/>
              <w:textAlignment w:val="center"/>
              <w:rPr>
                <w:rFonts w:ascii="宋体" w:hAnsi="宋体" w:cs="宋体"/>
                <w:b/>
                <w:bCs/>
                <w:sz w:val="22"/>
              </w:rPr>
            </w:pPr>
            <w:r>
              <w:rPr>
                <w:rFonts w:hint="eastAsia" w:ascii="宋体" w:hAnsi="宋体" w:cs="宋体"/>
                <w:b/>
                <w:bCs/>
                <w:kern w:val="0"/>
                <w:sz w:val="22"/>
                <w:lang w:bidi="ar"/>
              </w:rPr>
              <w:t>（万元）</w:t>
            </w:r>
          </w:p>
        </w:tc>
        <w:tc>
          <w:tcPr>
            <w:tcW w:w="1001" w:type="dxa"/>
            <w:tcMar>
              <w:top w:w="15" w:type="dxa"/>
              <w:left w:w="15" w:type="dxa"/>
              <w:right w:w="15" w:type="dxa"/>
            </w:tcMar>
            <w:vAlign w:val="center"/>
          </w:tcPr>
          <w:p>
            <w:pPr>
              <w:widowControl/>
              <w:spacing w:line="300" w:lineRule="exact"/>
              <w:jc w:val="center"/>
              <w:textAlignment w:val="center"/>
              <w:rPr>
                <w:rFonts w:ascii="宋体" w:hAnsi="宋体" w:cs="宋体"/>
                <w:sz w:val="22"/>
              </w:rPr>
            </w:pPr>
            <w:r>
              <w:rPr>
                <w:rFonts w:ascii="宋体" w:hAnsi="宋体" w:cs="宋体"/>
                <w:sz w:val="22"/>
              </w:rPr>
              <w:t>40</w:t>
            </w:r>
          </w:p>
        </w:tc>
        <w:tc>
          <w:tcPr>
            <w:tcW w:w="882" w:type="dxa"/>
            <w:tcMar>
              <w:top w:w="15" w:type="dxa"/>
              <w:left w:w="15" w:type="dxa"/>
              <w:right w:w="15" w:type="dxa"/>
            </w:tcMar>
            <w:vAlign w:val="center"/>
          </w:tcPr>
          <w:p>
            <w:pPr>
              <w:widowControl/>
              <w:spacing w:line="300" w:lineRule="exact"/>
              <w:jc w:val="center"/>
              <w:rPr>
                <w:rFonts w:ascii="宋体" w:hAnsi="宋体" w:cs="宋体"/>
                <w:b/>
                <w:sz w:val="22"/>
              </w:rPr>
            </w:pPr>
          </w:p>
        </w:tc>
        <w:tc>
          <w:tcPr>
            <w:tcW w:w="1073" w:type="dxa"/>
            <w:tcMar>
              <w:top w:w="15" w:type="dxa"/>
              <w:left w:w="15" w:type="dxa"/>
              <w:right w:w="15" w:type="dxa"/>
            </w:tcMar>
            <w:vAlign w:val="center"/>
          </w:tcPr>
          <w:p>
            <w:pPr>
              <w:widowControl/>
              <w:spacing w:line="300" w:lineRule="exact"/>
              <w:jc w:val="center"/>
              <w:rPr>
                <w:rFonts w:ascii="宋体" w:hAnsi="宋体" w:cs="宋体"/>
                <w:b/>
                <w:sz w:val="22"/>
              </w:rPr>
            </w:pPr>
          </w:p>
        </w:tc>
        <w:tc>
          <w:tcPr>
            <w:tcW w:w="3416" w:type="dxa"/>
            <w:tcMar>
              <w:top w:w="15" w:type="dxa"/>
              <w:left w:w="15" w:type="dxa"/>
              <w:right w:w="15" w:type="dxa"/>
            </w:tcMar>
            <w:vAlign w:val="center"/>
          </w:tcPr>
          <w:p>
            <w:pPr>
              <w:widowControl/>
              <w:spacing w:line="300" w:lineRule="exact"/>
              <w:jc w:val="left"/>
              <w:textAlignment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3" w:hRule="atLeast"/>
          <w:jc w:val="center"/>
        </w:trPr>
        <w:tc>
          <w:tcPr>
            <w:tcW w:w="8343" w:type="dxa"/>
            <w:gridSpan w:val="6"/>
            <w:tcMar>
              <w:top w:w="15" w:type="dxa"/>
              <w:left w:w="15" w:type="dxa"/>
              <w:right w:w="15" w:type="dxa"/>
            </w:tcMar>
          </w:tcPr>
          <w:p>
            <w:pPr>
              <w:widowControl/>
              <w:ind w:firstLine="420" w:firstLineChars="200"/>
              <w:jc w:val="center"/>
              <w:textAlignment w:val="top"/>
              <w:rPr>
                <w:rFonts w:ascii="黑体" w:hAnsi="宋体" w:eastAsia="黑体" w:cs="黑体"/>
                <w:kern w:val="0"/>
                <w:szCs w:val="21"/>
                <w:lang w:bidi="ar"/>
              </w:rPr>
            </w:pPr>
          </w:p>
          <w:p>
            <w:pPr>
              <w:widowControl/>
              <w:ind w:firstLine="420" w:firstLineChars="200"/>
              <w:jc w:val="left"/>
              <w:textAlignment w:val="top"/>
              <w:rPr>
                <w:rFonts w:ascii="黑体" w:hAnsi="宋体" w:eastAsia="黑体" w:cs="黑体"/>
                <w:kern w:val="0"/>
                <w:szCs w:val="21"/>
                <w:lang w:bidi="ar"/>
              </w:rPr>
            </w:pPr>
            <w:r>
              <w:rPr>
                <w:rFonts w:hint="eastAsia" w:ascii="黑体" w:hAnsi="宋体" w:eastAsia="黑体" w:cs="黑体"/>
                <w:kern w:val="0"/>
                <w:szCs w:val="21"/>
                <w:lang w:bidi="ar"/>
              </w:rPr>
              <w:t>根据上述分析计算，我方愿以竞标总报价人民币（大写）</w:t>
            </w:r>
            <w:r>
              <w:rPr>
                <w:rFonts w:hint="eastAsia" w:ascii="黑体" w:hAnsi="宋体" w:eastAsia="黑体" w:cs="黑体"/>
                <w:kern w:val="0"/>
                <w:szCs w:val="21"/>
                <w:u w:val="single"/>
                <w:lang w:bidi="ar"/>
              </w:rPr>
              <w:t xml:space="preserve">     </w:t>
            </w:r>
            <w:r>
              <w:rPr>
                <w:rFonts w:hint="eastAsia" w:ascii="黑体" w:hAnsi="宋体" w:eastAsia="黑体" w:cs="黑体"/>
                <w:kern w:val="0"/>
                <w:szCs w:val="21"/>
                <w:lang w:bidi="ar"/>
              </w:rPr>
              <w:t>[￥</w:t>
            </w:r>
            <w:r>
              <w:rPr>
                <w:rFonts w:hint="eastAsia" w:ascii="黑体" w:hAnsi="宋体" w:eastAsia="黑体" w:cs="黑体"/>
                <w:kern w:val="0"/>
                <w:szCs w:val="21"/>
                <w:u w:val="single"/>
                <w:lang w:bidi="ar"/>
              </w:rPr>
              <w:t xml:space="preserve">      </w:t>
            </w:r>
            <w:r>
              <w:rPr>
                <w:rFonts w:hint="eastAsia" w:ascii="黑体" w:hAnsi="宋体" w:eastAsia="黑体" w:cs="黑体"/>
                <w:kern w:val="0"/>
                <w:szCs w:val="21"/>
                <w:lang w:bidi="ar"/>
              </w:rPr>
              <w:t>]，完成本项目规定的所有工作内容。同时，乙方承诺：本竞标报价最终受“合同条款”的约束和调整。</w:t>
            </w:r>
          </w:p>
          <w:p>
            <w:pPr>
              <w:pStyle w:val="2"/>
            </w:pPr>
          </w:p>
          <w:p>
            <w:pPr>
              <w:widowControl/>
              <w:ind w:firstLine="420" w:firstLineChars="200"/>
              <w:jc w:val="center"/>
              <w:textAlignment w:val="top"/>
              <w:rPr>
                <w:rFonts w:ascii="黑体" w:hAnsi="宋体" w:eastAsia="黑体" w:cs="黑体"/>
                <w:kern w:val="0"/>
                <w:szCs w:val="21"/>
                <w:lang w:bidi="ar"/>
              </w:rPr>
            </w:pPr>
          </w:p>
          <w:p>
            <w:pPr>
              <w:widowControl/>
              <w:ind w:firstLine="420" w:firstLineChars="200"/>
              <w:jc w:val="center"/>
              <w:textAlignment w:val="top"/>
              <w:rPr>
                <w:rFonts w:ascii="黑体" w:hAnsi="宋体" w:eastAsia="黑体" w:cs="黑体"/>
                <w:kern w:val="0"/>
                <w:szCs w:val="21"/>
                <w:lang w:bidi="ar"/>
              </w:rPr>
            </w:pPr>
          </w:p>
          <w:p>
            <w:pPr>
              <w:widowControl/>
              <w:ind w:firstLine="420" w:firstLineChars="200"/>
              <w:jc w:val="center"/>
              <w:textAlignment w:val="top"/>
              <w:rPr>
                <w:rFonts w:ascii="黑体" w:hAnsi="宋体" w:eastAsia="黑体" w:cs="黑体"/>
                <w:kern w:val="0"/>
                <w:szCs w:val="21"/>
                <w:lang w:bidi="ar"/>
              </w:rPr>
            </w:pPr>
          </w:p>
          <w:p>
            <w:pPr>
              <w:widowControl/>
              <w:ind w:firstLine="420" w:firstLineChars="200"/>
              <w:jc w:val="center"/>
              <w:textAlignment w:val="top"/>
              <w:rPr>
                <w:rFonts w:ascii="黑体" w:hAnsi="宋体" w:eastAsia="黑体" w:cs="黑体"/>
                <w:kern w:val="0"/>
                <w:szCs w:val="21"/>
                <w:lang w:bidi="ar"/>
              </w:rPr>
            </w:pPr>
            <w:r>
              <w:rPr>
                <w:rFonts w:hint="eastAsia" w:ascii="黑体" w:hAnsi="宋体" w:eastAsia="黑体" w:cs="黑体"/>
                <w:kern w:val="0"/>
                <w:szCs w:val="21"/>
                <w:lang w:bidi="ar"/>
              </w:rPr>
              <w:t xml:space="preserve">  竞标人：（单位全称）（盖单位鲜公章）</w:t>
            </w:r>
          </w:p>
          <w:p>
            <w:pPr>
              <w:widowControl/>
              <w:ind w:left="2730" w:leftChars="1300"/>
              <w:jc w:val="left"/>
              <w:textAlignment w:val="top"/>
              <w:rPr>
                <w:rFonts w:ascii="黑体" w:hAnsi="宋体" w:eastAsia="黑体" w:cs="黑体"/>
                <w:kern w:val="0"/>
                <w:szCs w:val="21"/>
                <w:lang w:bidi="ar"/>
              </w:rPr>
            </w:pPr>
            <w:r>
              <w:rPr>
                <w:rFonts w:hint="eastAsia" w:ascii="黑体" w:hAnsi="宋体" w:eastAsia="黑体" w:cs="黑体"/>
                <w:kern w:val="0"/>
                <w:szCs w:val="21"/>
                <w:lang w:bidi="ar"/>
              </w:rPr>
              <w:t>法定代表人或</w:t>
            </w:r>
          </w:p>
          <w:p>
            <w:pPr>
              <w:widowControl/>
              <w:ind w:left="2730" w:leftChars="1300"/>
              <w:jc w:val="left"/>
              <w:textAlignment w:val="top"/>
              <w:rPr>
                <w:rFonts w:ascii="黑体" w:hAnsi="宋体" w:eastAsia="黑体" w:cs="黑体"/>
                <w:kern w:val="0"/>
                <w:szCs w:val="21"/>
                <w:lang w:bidi="ar"/>
              </w:rPr>
            </w:pPr>
            <w:r>
              <w:rPr>
                <w:rFonts w:hint="eastAsia" w:ascii="黑体" w:hAnsi="宋体" w:eastAsia="黑体" w:cs="黑体"/>
                <w:kern w:val="0"/>
                <w:szCs w:val="21"/>
                <w:lang w:bidi="ar"/>
              </w:rPr>
              <w:t>其委托代理人：（签字）</w:t>
            </w:r>
          </w:p>
          <w:p>
            <w:pPr>
              <w:widowControl/>
              <w:ind w:left="2730" w:leftChars="1300"/>
              <w:jc w:val="left"/>
              <w:textAlignment w:val="top"/>
              <w:rPr>
                <w:rFonts w:ascii="黑体" w:hAnsi="宋体" w:eastAsia="黑体" w:cs="黑体"/>
                <w:szCs w:val="21"/>
              </w:rPr>
            </w:pPr>
            <w:r>
              <w:rPr>
                <w:rFonts w:hint="eastAsia" w:ascii="黑体" w:hAnsi="宋体" w:eastAsia="黑体" w:cs="黑体"/>
                <w:kern w:val="0"/>
                <w:szCs w:val="21"/>
                <w:lang w:bidi="ar"/>
              </w:rPr>
              <w:t>日期：    年   月   日</w:t>
            </w:r>
          </w:p>
        </w:tc>
      </w:tr>
    </w:tbl>
    <w:p>
      <w:pPr>
        <w:pStyle w:val="2"/>
        <w:jc w:val="both"/>
        <w:rPr>
          <w:color w:val="auto"/>
        </w:rPr>
        <w:sectPr>
          <w:pgSz w:w="11906" w:h="16838"/>
          <w:pgMar w:top="1440" w:right="1304" w:bottom="1440" w:left="1304" w:header="851" w:footer="992" w:gutter="0"/>
          <w:cols w:space="720" w:num="1"/>
          <w:docGrid w:type="lines" w:linePitch="312" w:charSpace="0"/>
        </w:sectPr>
      </w:pPr>
    </w:p>
    <w:p>
      <w:pPr>
        <w:spacing w:line="440" w:lineRule="exact"/>
        <w:jc w:val="center"/>
        <w:outlineLvl w:val="1"/>
        <w:rPr>
          <w:rFonts w:ascii="宋体" w:hAnsi="宋体"/>
          <w:b/>
          <w:sz w:val="28"/>
          <w:szCs w:val="28"/>
        </w:rPr>
        <w:sectPr>
          <w:pgSz w:w="11906" w:h="16838"/>
          <w:pgMar w:top="1440" w:right="1304" w:bottom="1440" w:left="1304" w:header="851" w:footer="992" w:gutter="0"/>
          <w:cols w:space="720" w:num="1"/>
          <w:docGrid w:type="lines" w:linePitch="312" w:charSpace="0"/>
        </w:sectPr>
      </w:pPr>
      <w:r>
        <w:rPr>
          <w:rFonts w:hint="eastAsia" w:ascii="宋体" w:hAnsi="宋体"/>
          <w:b/>
          <w:sz w:val="28"/>
          <w:szCs w:val="28"/>
        </w:rPr>
        <w:t>六、企业资产评估业绩</w:t>
      </w:r>
    </w:p>
    <w:p>
      <w:pPr>
        <w:spacing w:line="440" w:lineRule="exact"/>
        <w:jc w:val="center"/>
        <w:outlineLvl w:val="1"/>
        <w:rPr>
          <w:rFonts w:ascii="宋体" w:hAnsi="宋体"/>
          <w:b/>
          <w:sz w:val="28"/>
          <w:szCs w:val="28"/>
        </w:rPr>
      </w:pPr>
      <w:r>
        <w:rPr>
          <w:rFonts w:hint="eastAsia" w:ascii="宋体" w:hAnsi="宋体"/>
          <w:b/>
          <w:sz w:val="28"/>
          <w:szCs w:val="28"/>
        </w:rPr>
        <w:t>七、拟承担本资产评估项目负责人相关证书和业绩</w:t>
      </w:r>
    </w:p>
    <w:p>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jc w:val="both"/>
      </w:pPr>
    </w:p>
    <w:p>
      <w:pPr>
        <w:spacing w:line="440" w:lineRule="exact"/>
        <w:jc w:val="center"/>
        <w:outlineLvl w:val="1"/>
        <w:rPr>
          <w:rFonts w:ascii="宋体" w:hAnsi="宋体"/>
          <w:b/>
          <w:sz w:val="28"/>
          <w:szCs w:val="28"/>
        </w:rPr>
      </w:pPr>
    </w:p>
    <w:p>
      <w:pPr>
        <w:spacing w:line="440" w:lineRule="exact"/>
        <w:jc w:val="center"/>
        <w:outlineLvl w:val="1"/>
        <w:rPr>
          <w:rFonts w:ascii="宋体" w:hAnsi="宋体"/>
          <w:b/>
          <w:sz w:val="28"/>
          <w:szCs w:val="28"/>
        </w:rPr>
      </w:pPr>
    </w:p>
    <w:p>
      <w:pPr>
        <w:spacing w:line="440" w:lineRule="exact"/>
        <w:jc w:val="center"/>
        <w:outlineLvl w:val="1"/>
        <w:rPr>
          <w:rFonts w:ascii="宋体" w:hAnsi="宋体"/>
          <w:b/>
          <w:sz w:val="28"/>
          <w:szCs w:val="28"/>
        </w:rPr>
      </w:pPr>
      <w:r>
        <w:rPr>
          <w:rFonts w:hint="eastAsia" w:ascii="宋体" w:hAnsi="宋体"/>
          <w:b/>
          <w:sz w:val="28"/>
          <w:szCs w:val="28"/>
        </w:rPr>
        <w:t>八、其他资料</w:t>
      </w:r>
    </w:p>
    <w:p>
      <w:r>
        <w:br w:type="textWrapping"/>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jc w:val="both"/>
      </w:pPr>
    </w:p>
    <w:p/>
    <w:tbl>
      <w:tblPr>
        <w:tblStyle w:val="8"/>
        <w:tblW w:w="0" w:type="auto"/>
        <w:tblInd w:w="0" w:type="dxa"/>
        <w:tblLayout w:type="autofit"/>
        <w:tblCellMar>
          <w:top w:w="0" w:type="dxa"/>
          <w:left w:w="108" w:type="dxa"/>
          <w:bottom w:w="0" w:type="dxa"/>
          <w:right w:w="108" w:type="dxa"/>
        </w:tblCellMar>
      </w:tblPr>
      <w:tblGrid>
        <w:gridCol w:w="8472"/>
      </w:tblGrid>
      <w:tr>
        <w:trPr>
          <w:trHeight w:val="1134" w:hRule="exact"/>
        </w:trPr>
        <w:tc>
          <w:tcPr>
            <w:tcW w:w="8472" w:type="dxa"/>
            <w:shd w:val="clear" w:color="auto" w:fill="auto"/>
          </w:tcPr>
          <w:p>
            <w:r>
              <w:rPr>
                <w:rFonts w:hint="eastAsia"/>
              </w:rPr>
              <w:t>编号：</w:t>
            </w:r>
          </w:p>
        </w:tc>
      </w:tr>
      <w:tr>
        <w:tblPrEx>
          <w:tblCellMar>
            <w:top w:w="0" w:type="dxa"/>
            <w:left w:w="108" w:type="dxa"/>
            <w:bottom w:w="0" w:type="dxa"/>
            <w:right w:w="108" w:type="dxa"/>
          </w:tblCellMar>
        </w:tblPrEx>
        <w:trPr>
          <w:trHeight w:val="1134" w:hRule="exact"/>
        </w:trPr>
        <w:tc>
          <w:tcPr>
            <w:tcW w:w="8472" w:type="dxa"/>
            <w:shd w:val="clear" w:color="auto" w:fill="auto"/>
          </w:tcPr>
          <w:p/>
        </w:tc>
      </w:tr>
      <w:tr>
        <w:trPr>
          <w:trHeight w:val="1134" w:hRule="exact"/>
        </w:trPr>
        <w:tc>
          <w:tcPr>
            <w:tcW w:w="8472" w:type="dxa"/>
            <w:shd w:val="clear" w:color="auto" w:fill="auto"/>
          </w:tcPr>
          <w:p/>
        </w:tc>
      </w:tr>
      <w:tr>
        <w:trPr>
          <w:trHeight w:val="1134" w:hRule="exact"/>
        </w:trPr>
        <w:tc>
          <w:tcPr>
            <w:tcW w:w="8472" w:type="dxa"/>
            <w:shd w:val="clear" w:color="auto" w:fill="auto"/>
            <w:vAlign w:val="center"/>
          </w:tcPr>
          <w:p>
            <w:pPr>
              <w:jc w:val="center"/>
            </w:pPr>
            <w:r>
              <w:rPr>
                <w:rFonts w:hint="eastAsia" w:ascii="方正小标宋_GBK" w:hAnsi="方正小标宋_GBK" w:eastAsia="方正小标宋_GBK" w:cs="方正小标宋_GBK"/>
                <w:kern w:val="0"/>
                <w:position w:val="-5"/>
                <w:sz w:val="44"/>
                <w:szCs w:val="44"/>
              </w:rPr>
              <w:t>资产评估委托协议</w:t>
            </w:r>
          </w:p>
        </w:tc>
      </w:tr>
      <w:tr>
        <w:tblPrEx>
          <w:tblCellMar>
            <w:top w:w="0" w:type="dxa"/>
            <w:left w:w="108" w:type="dxa"/>
            <w:bottom w:w="0" w:type="dxa"/>
            <w:right w:w="108" w:type="dxa"/>
          </w:tblCellMar>
        </w:tblPrEx>
        <w:trPr>
          <w:trHeight w:val="1134" w:hRule="exact"/>
        </w:trPr>
        <w:tc>
          <w:tcPr>
            <w:tcW w:w="8472" w:type="dxa"/>
            <w:shd w:val="clear" w:color="auto" w:fill="auto"/>
          </w:tcPr>
          <w:p/>
        </w:tc>
      </w:tr>
      <w:tr>
        <w:tblPrEx>
          <w:tblCellMar>
            <w:top w:w="0" w:type="dxa"/>
            <w:left w:w="108" w:type="dxa"/>
            <w:bottom w:w="0" w:type="dxa"/>
            <w:right w:w="108" w:type="dxa"/>
          </w:tblCellMar>
        </w:tblPrEx>
        <w:trPr>
          <w:trHeight w:val="1134" w:hRule="exact"/>
        </w:trPr>
        <w:tc>
          <w:tcPr>
            <w:tcW w:w="8472" w:type="dxa"/>
            <w:shd w:val="clear" w:color="auto" w:fill="auto"/>
          </w:tcPr>
          <w:p/>
        </w:tc>
      </w:tr>
      <w:tr>
        <w:tblPrEx>
          <w:tblCellMar>
            <w:top w:w="0" w:type="dxa"/>
            <w:left w:w="108" w:type="dxa"/>
            <w:bottom w:w="0" w:type="dxa"/>
            <w:right w:w="108" w:type="dxa"/>
          </w:tblCellMar>
        </w:tblPrEx>
        <w:trPr>
          <w:trHeight w:val="1134" w:hRule="exact"/>
        </w:trPr>
        <w:tc>
          <w:tcPr>
            <w:tcW w:w="8472" w:type="dxa"/>
            <w:shd w:val="clear" w:color="auto" w:fill="auto"/>
          </w:tcPr>
          <w:p/>
        </w:tc>
      </w:tr>
      <w:tr>
        <w:tblPrEx>
          <w:tblCellMar>
            <w:top w:w="0" w:type="dxa"/>
            <w:left w:w="108" w:type="dxa"/>
            <w:bottom w:w="0" w:type="dxa"/>
            <w:right w:w="108" w:type="dxa"/>
          </w:tblCellMar>
        </w:tblPrEx>
        <w:trPr>
          <w:trHeight w:val="1134" w:hRule="exact"/>
        </w:trPr>
        <w:tc>
          <w:tcPr>
            <w:tcW w:w="8472" w:type="dxa"/>
            <w:shd w:val="clear" w:color="auto" w:fill="auto"/>
          </w:tcPr>
          <w:p/>
        </w:tc>
      </w:tr>
      <w:tr>
        <w:trPr>
          <w:trHeight w:val="1134" w:hRule="exact"/>
        </w:trPr>
        <w:tc>
          <w:tcPr>
            <w:tcW w:w="8472" w:type="dxa"/>
            <w:shd w:val="clear" w:color="auto" w:fill="auto"/>
          </w:tcPr>
          <w:p/>
        </w:tc>
      </w:tr>
      <w:tr>
        <w:trPr>
          <w:trHeight w:val="1134" w:hRule="exact"/>
        </w:trPr>
        <w:tc>
          <w:tcPr>
            <w:tcW w:w="8472" w:type="dxa"/>
            <w:shd w:val="clear" w:color="auto" w:fill="auto"/>
            <w:vAlign w:val="center"/>
          </w:tcPr>
          <w:p>
            <w:pPr>
              <w:jc w:val="center"/>
            </w:pPr>
            <w:r>
              <w:rPr>
                <w:rFonts w:hint="eastAsia" w:ascii="方正小标宋_GBK" w:hAnsi="方正小标宋_GBK" w:eastAsia="方正小标宋_GBK" w:cs="方正小标宋_GBK"/>
                <w:kern w:val="0"/>
                <w:position w:val="-5"/>
                <w:sz w:val="44"/>
                <w:szCs w:val="44"/>
              </w:rPr>
              <w:t>年  月  日</w:t>
            </w:r>
          </w:p>
        </w:tc>
      </w:tr>
    </w:tbl>
    <w:p>
      <w:pPr>
        <w:sectPr>
          <w:footerReference r:id="rId5" w:type="default"/>
          <w:pgSz w:w="11906" w:h="16838"/>
          <w:pgMar w:top="1440" w:right="1800" w:bottom="1440" w:left="1800" w:header="851" w:footer="992" w:gutter="0"/>
          <w:cols w:space="720" w:num="1"/>
          <w:docGrid w:type="lines" w:linePitch="312" w:charSpace="0"/>
        </w:sectPr>
      </w:pPr>
    </w:p>
    <w:tbl>
      <w:tblPr>
        <w:tblStyle w:val="8"/>
        <w:tblW w:w="0" w:type="auto"/>
        <w:tblInd w:w="0" w:type="dxa"/>
        <w:tblLayout w:type="autofit"/>
        <w:tblCellMar>
          <w:top w:w="0" w:type="dxa"/>
          <w:left w:w="108" w:type="dxa"/>
          <w:bottom w:w="0" w:type="dxa"/>
          <w:right w:w="108" w:type="dxa"/>
        </w:tblCellMar>
      </w:tblPr>
      <w:tblGrid>
        <w:gridCol w:w="8330"/>
      </w:tblGrid>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r>
              <w:rPr>
                <w:rFonts w:hint="eastAsia" w:ascii="方正黑体_GBK" w:hAnsi="方正黑体_GBK" w:eastAsia="方正黑体_GBK" w:cs="方正黑体_GBK"/>
                <w:sz w:val="32"/>
                <w:szCs w:val="32"/>
              </w:rPr>
              <w:t>协议</w:t>
            </w:r>
          </w:p>
        </w:tc>
      </w:tr>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p>
        </w:tc>
      </w:tr>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r>
              <w:rPr>
                <w:rFonts w:hint="eastAsia" w:ascii="宋体" w:hAnsi="宋体" w:cs="宋体"/>
                <w:szCs w:val="21"/>
              </w:rPr>
              <w:t>甲方：重庆高速石油科技有限责任公司</w:t>
            </w:r>
          </w:p>
        </w:tc>
      </w:tr>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r>
              <w:rPr>
                <w:rFonts w:hint="eastAsia" w:ascii="宋体" w:hAnsi="宋体" w:cs="宋体"/>
                <w:szCs w:val="21"/>
              </w:rPr>
              <w:t>住所地：重庆市渝北区财富大道15号财富园二号A栋5楼（5#-8#）</w:t>
            </w:r>
          </w:p>
        </w:tc>
      </w:tr>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r>
              <w:rPr>
                <w:rFonts w:hint="eastAsia" w:ascii="宋体" w:hAnsi="宋体" w:cs="宋体"/>
                <w:szCs w:val="21"/>
              </w:rPr>
              <w:t>法定代表人：王家明</w:t>
            </w:r>
          </w:p>
        </w:tc>
      </w:tr>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p>
        </w:tc>
      </w:tr>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r>
              <w:rPr>
                <w:rFonts w:hint="eastAsia" w:ascii="宋体" w:hAnsi="宋体" w:cs="宋体"/>
                <w:szCs w:val="21"/>
              </w:rPr>
              <w:t>乙方：</w:t>
            </w:r>
          </w:p>
        </w:tc>
      </w:tr>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r>
              <w:rPr>
                <w:rFonts w:hint="eastAsia" w:ascii="宋体" w:hAnsi="宋体" w:cs="宋体"/>
                <w:szCs w:val="21"/>
              </w:rPr>
              <w:t>住所地：</w:t>
            </w:r>
          </w:p>
        </w:tc>
      </w:tr>
      <w:tr>
        <w:tblPrEx>
          <w:tblCellMar>
            <w:top w:w="0" w:type="dxa"/>
            <w:left w:w="108" w:type="dxa"/>
            <w:bottom w:w="0" w:type="dxa"/>
            <w:right w:w="108" w:type="dxa"/>
          </w:tblCellMar>
        </w:tblPrEx>
        <w:tc>
          <w:tcPr>
            <w:tcW w:w="8330" w:type="dxa"/>
            <w:shd w:val="clear" w:color="auto" w:fill="auto"/>
          </w:tcPr>
          <w:p>
            <w:pPr>
              <w:rPr>
                <w:rFonts w:ascii="宋体" w:hAnsi="宋体" w:cs="宋体"/>
                <w:szCs w:val="21"/>
              </w:rPr>
            </w:pPr>
            <w:r>
              <w:rPr>
                <w:rFonts w:hint="eastAsia" w:ascii="宋体" w:hAnsi="宋体" w:cs="宋体"/>
                <w:szCs w:val="21"/>
              </w:rPr>
              <w:t>法定代表人：</w:t>
            </w:r>
          </w:p>
        </w:tc>
      </w:tr>
    </w:tbl>
    <w:p>
      <w:pPr>
        <w:rPr>
          <w:rFonts w:ascii="宋体" w:hAnsi="宋体" w:cs="宋体"/>
          <w:szCs w:val="21"/>
        </w:rPr>
      </w:pPr>
    </w:p>
    <w:p>
      <w:pPr>
        <w:spacing w:line="440" w:lineRule="exact"/>
        <w:rPr>
          <w:rFonts w:ascii="宋体" w:hAnsi="宋体" w:cs="宋体"/>
          <w:szCs w:val="21"/>
        </w:rPr>
      </w:pPr>
    </w:p>
    <w:p>
      <w:pPr>
        <w:spacing w:line="440" w:lineRule="exact"/>
        <w:rPr>
          <w:rFonts w:ascii="宋体" w:hAnsi="宋体"/>
          <w:b/>
          <w:sz w:val="24"/>
          <w:szCs w:val="24"/>
        </w:rPr>
      </w:pPr>
      <w:r>
        <w:rPr>
          <w:rFonts w:hint="eastAsia" w:ascii="宋体" w:hAnsi="宋体"/>
          <w:b/>
          <w:sz w:val="24"/>
          <w:szCs w:val="24"/>
        </w:rPr>
        <w:t>本协议</w:t>
      </w:r>
    </w:p>
    <w:p>
      <w:pPr>
        <w:spacing w:line="440" w:lineRule="exact"/>
        <w:ind w:firstLine="400" w:firstLineChars="200"/>
        <w:rPr>
          <w:rFonts w:ascii="宋体" w:hAnsi="宋体" w:cs="宋体"/>
          <w:sz w:val="20"/>
          <w:szCs w:val="20"/>
        </w:rPr>
      </w:pPr>
      <w:r>
        <w:rPr>
          <w:rFonts w:hint="eastAsia" w:ascii="宋体" w:hAnsi="宋体" w:cs="宋体"/>
          <w:sz w:val="20"/>
          <w:szCs w:val="20"/>
        </w:rPr>
        <w:t>一、</w:t>
      </w:r>
      <w:r>
        <w:rPr>
          <w:rFonts w:hint="eastAsia" w:ascii="宋体" w:hAnsi="宋体"/>
          <w:b/>
          <w:sz w:val="24"/>
          <w:szCs w:val="24"/>
        </w:rPr>
        <w:t>委托评估内容</w:t>
      </w:r>
    </w:p>
    <w:p>
      <w:pPr>
        <w:spacing w:line="480" w:lineRule="exact"/>
        <w:ind w:firstLine="480" w:firstLineChars="200"/>
        <w:rPr>
          <w:rFonts w:ascii="宋体" w:hAnsi="宋体"/>
          <w:sz w:val="24"/>
          <w:szCs w:val="24"/>
        </w:rPr>
      </w:pPr>
      <w:r>
        <w:rPr>
          <w:rFonts w:hint="eastAsia" w:ascii="宋体" w:hAnsi="宋体"/>
          <w:sz w:val="24"/>
          <w:szCs w:val="24"/>
        </w:rPr>
        <w:t>1、评估目的</w:t>
      </w:r>
    </w:p>
    <w:p>
      <w:pPr>
        <w:spacing w:line="480" w:lineRule="exact"/>
        <w:ind w:firstLine="480" w:firstLineChars="200"/>
        <w:rPr>
          <w:rFonts w:ascii="宋体" w:hAnsi="宋体"/>
          <w:sz w:val="24"/>
          <w:szCs w:val="24"/>
        </w:rPr>
      </w:pPr>
      <w:r>
        <w:rPr>
          <w:rFonts w:hint="eastAsia" w:ascii="宋体" w:hAnsi="宋体"/>
          <w:sz w:val="24"/>
          <w:szCs w:val="24"/>
        </w:rPr>
        <w:t>为重庆高速石油科技有限责任公司拟对外寻找合作方，提供所涉及的梁平</w:t>
      </w:r>
      <w:r>
        <w:rPr>
          <w:rFonts w:hint="eastAsia" w:ascii="宋体" w:hAnsi="宋体"/>
          <w:sz w:val="24"/>
          <w:szCs w:val="24"/>
          <w:lang w:eastAsia="zh-CN"/>
        </w:rPr>
        <w:t>、</w:t>
      </w:r>
      <w:r>
        <w:rPr>
          <w:rFonts w:hint="eastAsia" w:ascii="宋体" w:hAnsi="宋体"/>
          <w:sz w:val="24"/>
          <w:szCs w:val="24"/>
          <w:lang w:val="en-US" w:eastAsia="zh-CN"/>
        </w:rPr>
        <w:t>龙兴</w:t>
      </w:r>
      <w:r>
        <w:rPr>
          <w:rFonts w:hint="eastAsia" w:ascii="宋体" w:hAnsi="宋体"/>
          <w:sz w:val="24"/>
          <w:szCs w:val="24"/>
        </w:rPr>
        <w:t>等5座综合能源站项目权益在评估基准日的市场价值参考。</w:t>
      </w:r>
    </w:p>
    <w:p>
      <w:pPr>
        <w:spacing w:line="480" w:lineRule="exact"/>
        <w:ind w:firstLine="480" w:firstLineChars="200"/>
        <w:rPr>
          <w:rFonts w:ascii="宋体" w:hAnsi="宋体"/>
          <w:sz w:val="24"/>
          <w:szCs w:val="24"/>
        </w:rPr>
      </w:pPr>
      <w:r>
        <w:rPr>
          <w:rFonts w:hint="eastAsia" w:ascii="宋体" w:hAnsi="宋体"/>
          <w:sz w:val="24"/>
          <w:szCs w:val="24"/>
        </w:rPr>
        <w:t>2、评估对象和范围</w:t>
      </w:r>
    </w:p>
    <w:p>
      <w:pPr>
        <w:spacing w:line="480" w:lineRule="exact"/>
        <w:ind w:firstLine="480" w:firstLineChars="200"/>
        <w:rPr>
          <w:rFonts w:ascii="宋体" w:hAnsi="宋体"/>
          <w:sz w:val="24"/>
          <w:szCs w:val="24"/>
        </w:rPr>
      </w:pPr>
      <w:r>
        <w:rPr>
          <w:rFonts w:hint="eastAsia" w:ascii="宋体" w:hAnsi="宋体"/>
          <w:sz w:val="24"/>
          <w:szCs w:val="24"/>
        </w:rPr>
        <w:t>重庆高速石油科技有限责任公司申报的梁平</w:t>
      </w:r>
      <w:r>
        <w:rPr>
          <w:rFonts w:hint="eastAsia" w:ascii="宋体" w:hAnsi="宋体"/>
          <w:sz w:val="24"/>
          <w:szCs w:val="24"/>
          <w:lang w:eastAsia="zh-CN"/>
        </w:rPr>
        <w:t>、</w:t>
      </w:r>
      <w:r>
        <w:rPr>
          <w:rFonts w:hint="eastAsia" w:ascii="宋体" w:hAnsi="宋体"/>
          <w:sz w:val="24"/>
          <w:szCs w:val="24"/>
          <w:lang w:val="en-US" w:eastAsia="zh-CN"/>
        </w:rPr>
        <w:t>龙兴</w:t>
      </w:r>
      <w:r>
        <w:rPr>
          <w:rFonts w:hint="eastAsia" w:ascii="宋体" w:hAnsi="宋体"/>
          <w:sz w:val="24"/>
          <w:szCs w:val="24"/>
        </w:rPr>
        <w:t>等 座综合能源站项目权益。</w:t>
      </w:r>
    </w:p>
    <w:p>
      <w:pPr>
        <w:spacing w:line="480" w:lineRule="exact"/>
        <w:ind w:firstLine="480" w:firstLineChars="200"/>
        <w:rPr>
          <w:rFonts w:ascii="宋体" w:hAnsi="宋体"/>
          <w:sz w:val="24"/>
          <w:szCs w:val="24"/>
        </w:rPr>
      </w:pPr>
      <w:r>
        <w:rPr>
          <w:rFonts w:hint="eastAsia" w:ascii="宋体" w:hAnsi="宋体"/>
          <w:sz w:val="24"/>
          <w:szCs w:val="24"/>
        </w:rPr>
        <w:t>具体明细以资产评估申报明细表为准。</w:t>
      </w:r>
    </w:p>
    <w:p>
      <w:pPr>
        <w:spacing w:line="480" w:lineRule="exact"/>
        <w:ind w:firstLine="480" w:firstLineChars="200"/>
        <w:rPr>
          <w:rFonts w:ascii="宋体" w:hAnsi="宋体"/>
          <w:sz w:val="24"/>
          <w:szCs w:val="24"/>
        </w:rPr>
      </w:pPr>
      <w:r>
        <w:rPr>
          <w:rFonts w:hint="eastAsia" w:ascii="宋体" w:hAnsi="宋体"/>
          <w:sz w:val="24"/>
          <w:szCs w:val="24"/>
        </w:rPr>
        <w:t>3、评估基准日</w:t>
      </w:r>
    </w:p>
    <w:p>
      <w:pPr>
        <w:spacing w:line="480" w:lineRule="exact"/>
        <w:ind w:firstLine="960" w:firstLineChars="400"/>
        <w:rPr>
          <w:rFonts w:ascii="宋体" w:hAnsi="宋体"/>
          <w:sz w:val="24"/>
          <w:szCs w:val="24"/>
        </w:rPr>
      </w:pPr>
      <w:r>
        <w:rPr>
          <w:rFonts w:hint="eastAsia" w:ascii="宋体" w:hAnsi="宋体"/>
          <w:sz w:val="24"/>
          <w:szCs w:val="24"/>
        </w:rPr>
        <w:t>年  月  日。</w:t>
      </w:r>
    </w:p>
    <w:p>
      <w:pPr>
        <w:spacing w:line="480" w:lineRule="exact"/>
        <w:ind w:firstLine="480" w:firstLineChars="200"/>
        <w:rPr>
          <w:rFonts w:ascii="宋体" w:hAnsi="宋体"/>
          <w:sz w:val="24"/>
          <w:szCs w:val="24"/>
        </w:rPr>
      </w:pPr>
      <w:r>
        <w:rPr>
          <w:rFonts w:hint="eastAsia" w:ascii="宋体" w:hAnsi="宋体"/>
          <w:sz w:val="24"/>
          <w:szCs w:val="24"/>
        </w:rPr>
        <w:t>4、价值类型</w:t>
      </w:r>
    </w:p>
    <w:p>
      <w:pPr>
        <w:spacing w:line="480" w:lineRule="exact"/>
        <w:ind w:firstLine="480" w:firstLineChars="200"/>
        <w:rPr>
          <w:rFonts w:ascii="宋体" w:hAnsi="宋体"/>
          <w:sz w:val="24"/>
          <w:szCs w:val="24"/>
        </w:rPr>
      </w:pPr>
      <w:r>
        <w:rPr>
          <w:rFonts w:hint="eastAsia" w:ascii="宋体" w:hAnsi="宋体"/>
          <w:sz w:val="24"/>
          <w:szCs w:val="24"/>
        </w:rPr>
        <w:t>市场价值。</w:t>
      </w:r>
    </w:p>
    <w:p>
      <w:pPr>
        <w:spacing w:line="480" w:lineRule="exact"/>
        <w:ind w:firstLine="482" w:firstLineChars="200"/>
        <w:rPr>
          <w:rFonts w:ascii="宋体" w:hAnsi="宋体"/>
          <w:b/>
          <w:sz w:val="24"/>
          <w:szCs w:val="24"/>
        </w:rPr>
      </w:pPr>
      <w:r>
        <w:rPr>
          <w:rFonts w:hint="eastAsia" w:ascii="宋体" w:hAnsi="宋体"/>
          <w:b/>
          <w:sz w:val="24"/>
          <w:szCs w:val="24"/>
        </w:rPr>
        <w:t>二、评估报告书使用人</w:t>
      </w:r>
    </w:p>
    <w:p>
      <w:pPr>
        <w:spacing w:line="500" w:lineRule="exact"/>
        <w:ind w:firstLine="480" w:firstLineChars="200"/>
        <w:rPr>
          <w:rFonts w:ascii="宋体" w:hAnsi="宋体"/>
          <w:sz w:val="24"/>
          <w:szCs w:val="24"/>
        </w:rPr>
      </w:pPr>
      <w:r>
        <w:rPr>
          <w:rFonts w:hint="eastAsia" w:ascii="宋体" w:hAnsi="宋体"/>
          <w:sz w:val="24"/>
          <w:szCs w:val="24"/>
        </w:rPr>
        <w:t>1、评估报告使用人</w:t>
      </w:r>
    </w:p>
    <w:p>
      <w:pPr>
        <w:spacing w:line="500" w:lineRule="exact"/>
        <w:ind w:firstLine="480" w:firstLineChars="200"/>
        <w:rPr>
          <w:rFonts w:ascii="宋体" w:hAnsi="宋体"/>
          <w:sz w:val="24"/>
          <w:szCs w:val="24"/>
        </w:rPr>
      </w:pPr>
      <w:r>
        <w:rPr>
          <w:rFonts w:hint="eastAsia" w:ascii="宋体" w:hAnsi="宋体"/>
          <w:sz w:val="24"/>
          <w:szCs w:val="24"/>
        </w:rPr>
        <w:t>本评估报告仅供本合同约定的和法律、行政法规规定的使用人在本次评估目的前提下使用，除本合同约定的评估报告使用人外，其他任何机构和个人不能成为资产评估报告的使用人。</w:t>
      </w:r>
    </w:p>
    <w:p>
      <w:pPr>
        <w:spacing w:line="500" w:lineRule="exact"/>
        <w:ind w:firstLine="480" w:firstLineChars="200"/>
        <w:rPr>
          <w:rFonts w:ascii="宋体" w:hAnsi="宋体"/>
          <w:sz w:val="24"/>
          <w:szCs w:val="24"/>
        </w:rPr>
      </w:pPr>
      <w:r>
        <w:rPr>
          <w:rFonts w:hint="eastAsia" w:ascii="宋体" w:hAnsi="宋体"/>
          <w:sz w:val="24"/>
          <w:szCs w:val="24"/>
        </w:rPr>
        <w:t>甲乙双方约定报告使用人为委托人。</w:t>
      </w:r>
    </w:p>
    <w:p>
      <w:pPr>
        <w:spacing w:line="500" w:lineRule="exact"/>
        <w:ind w:firstLine="480" w:firstLineChars="200"/>
        <w:rPr>
          <w:rFonts w:ascii="宋体" w:hAnsi="宋体"/>
          <w:sz w:val="24"/>
          <w:szCs w:val="24"/>
        </w:rPr>
      </w:pPr>
      <w:r>
        <w:rPr>
          <w:rFonts w:hint="eastAsia" w:ascii="宋体" w:hAnsi="宋体"/>
          <w:sz w:val="24"/>
          <w:szCs w:val="24"/>
        </w:rPr>
        <w:t>2、评估报告的使用目的及用途</w:t>
      </w:r>
    </w:p>
    <w:p>
      <w:pPr>
        <w:spacing w:line="500" w:lineRule="exact"/>
        <w:ind w:firstLine="480" w:firstLineChars="200"/>
        <w:rPr>
          <w:rFonts w:ascii="宋体" w:hAnsi="宋体"/>
          <w:sz w:val="24"/>
          <w:szCs w:val="24"/>
        </w:rPr>
      </w:pPr>
      <w:r>
        <w:rPr>
          <w:rFonts w:hint="eastAsia" w:ascii="宋体" w:hAnsi="宋体"/>
          <w:sz w:val="24"/>
          <w:szCs w:val="24"/>
        </w:rPr>
        <w:t>委托人或者其他资产评估报告使用人应当按照法律、行政法规规定和资产评估报告载明的使用目的及用途使用资产评估报告。</w:t>
      </w:r>
    </w:p>
    <w:p>
      <w:pPr>
        <w:spacing w:line="500" w:lineRule="exact"/>
        <w:ind w:firstLine="480" w:firstLineChars="200"/>
        <w:rPr>
          <w:rFonts w:ascii="宋体" w:hAnsi="宋体"/>
          <w:sz w:val="24"/>
          <w:szCs w:val="24"/>
        </w:rPr>
      </w:pPr>
      <w:r>
        <w:rPr>
          <w:rFonts w:hint="eastAsia" w:ascii="宋体" w:hAnsi="宋体"/>
          <w:sz w:val="24"/>
          <w:szCs w:val="24"/>
        </w:rPr>
        <w:t>委托人或者其他资产评估报告使用人违反前述约定使用资产评估报告的，资产评估机构及其资产评估专业人员不承担责任。</w:t>
      </w:r>
    </w:p>
    <w:p>
      <w:pPr>
        <w:spacing w:line="500" w:lineRule="exact"/>
        <w:ind w:firstLine="480" w:firstLineChars="200"/>
        <w:rPr>
          <w:rFonts w:ascii="宋体" w:hAnsi="宋体"/>
          <w:sz w:val="24"/>
          <w:szCs w:val="24"/>
        </w:rPr>
      </w:pPr>
      <w:r>
        <w:rPr>
          <w:rFonts w:hint="eastAsia" w:ascii="宋体" w:hAnsi="宋体"/>
          <w:sz w:val="24"/>
          <w:szCs w:val="24"/>
        </w:rPr>
        <w:t>3、评估结论使用的有效期限</w:t>
      </w:r>
    </w:p>
    <w:p>
      <w:pPr>
        <w:spacing w:line="500" w:lineRule="exact"/>
        <w:ind w:firstLine="480" w:firstLineChars="200"/>
        <w:rPr>
          <w:rFonts w:ascii="宋体" w:hAnsi="宋体"/>
          <w:sz w:val="24"/>
          <w:szCs w:val="24"/>
        </w:rPr>
      </w:pPr>
      <w:r>
        <w:rPr>
          <w:rFonts w:hint="eastAsia" w:ascii="宋体" w:hAnsi="宋体"/>
          <w:sz w:val="24"/>
          <w:szCs w:val="24"/>
        </w:rPr>
        <w:t>本资产评估报告的评估结论使用有效期限为自评估基准日起一年内有效。</w:t>
      </w:r>
    </w:p>
    <w:p>
      <w:pPr>
        <w:spacing w:line="480" w:lineRule="exact"/>
        <w:ind w:firstLine="482" w:firstLineChars="200"/>
        <w:rPr>
          <w:rFonts w:ascii="宋体" w:hAnsi="宋体"/>
          <w:b/>
          <w:sz w:val="24"/>
          <w:szCs w:val="24"/>
        </w:rPr>
      </w:pPr>
      <w:r>
        <w:rPr>
          <w:rFonts w:hint="eastAsia" w:ascii="宋体" w:hAnsi="宋体"/>
          <w:b/>
          <w:sz w:val="24"/>
          <w:szCs w:val="24"/>
        </w:rPr>
        <w:t>三、评估报告提交期限和方式</w:t>
      </w:r>
    </w:p>
    <w:p>
      <w:pPr>
        <w:spacing w:line="480" w:lineRule="exact"/>
        <w:ind w:firstLine="480" w:firstLineChars="200"/>
        <w:rPr>
          <w:rFonts w:ascii="宋体" w:hAnsi="宋体"/>
          <w:sz w:val="24"/>
          <w:szCs w:val="24"/>
        </w:rPr>
      </w:pPr>
      <w:r>
        <w:rPr>
          <w:rFonts w:hint="eastAsia" w:ascii="宋体" w:hAnsi="宋体"/>
          <w:sz w:val="24"/>
          <w:szCs w:val="24"/>
        </w:rPr>
        <w:t>1、乙方从进场评估日起，在不超过10个工作日内完成工作并出具评估报告初稿。因甲方配合或提供资料不及时，乙方提供评估报告时间顺延。</w:t>
      </w:r>
    </w:p>
    <w:p>
      <w:pPr>
        <w:spacing w:line="480" w:lineRule="exact"/>
        <w:ind w:firstLine="480" w:firstLineChars="200"/>
        <w:rPr>
          <w:rFonts w:ascii="宋体" w:hAnsi="宋体"/>
          <w:sz w:val="24"/>
          <w:szCs w:val="24"/>
        </w:rPr>
      </w:pPr>
      <w:r>
        <w:rPr>
          <w:rFonts w:hint="eastAsia" w:ascii="宋体" w:hAnsi="宋体"/>
          <w:sz w:val="24"/>
          <w:szCs w:val="24"/>
        </w:rPr>
        <w:t>2、乙方向甲方出具的评估报告书壹式肆份，由甲方到乙方住所领取或邮寄至甲方指定地点并按约定的报告使用人分发使用。</w:t>
      </w:r>
    </w:p>
    <w:p>
      <w:pPr>
        <w:spacing w:line="480" w:lineRule="exact"/>
        <w:ind w:firstLine="482" w:firstLineChars="200"/>
        <w:rPr>
          <w:rFonts w:ascii="宋体" w:hAnsi="宋体"/>
          <w:b/>
          <w:sz w:val="24"/>
          <w:szCs w:val="24"/>
        </w:rPr>
      </w:pPr>
      <w:r>
        <w:rPr>
          <w:rFonts w:hint="eastAsia" w:ascii="宋体" w:hAnsi="宋体"/>
          <w:b/>
          <w:sz w:val="24"/>
          <w:szCs w:val="24"/>
        </w:rPr>
        <w:t>四、双方的权利与义务</w:t>
      </w:r>
    </w:p>
    <w:p>
      <w:pPr>
        <w:spacing w:line="500" w:lineRule="exact"/>
        <w:ind w:firstLine="480" w:firstLineChars="200"/>
        <w:rPr>
          <w:rFonts w:ascii="宋体" w:hAnsi="宋体"/>
          <w:sz w:val="24"/>
          <w:szCs w:val="24"/>
        </w:rPr>
      </w:pPr>
      <w:r>
        <w:rPr>
          <w:rFonts w:hint="eastAsia" w:ascii="宋体" w:hAnsi="宋体"/>
          <w:sz w:val="24"/>
          <w:szCs w:val="24"/>
        </w:rPr>
        <w:t>根据《资产评估执业准则—资产评估委托合同》的规定，遵守相关法律、行政法规和资产评估准则，对评估对象在评估基准日特定目的下的价值进行分析和估算并出具资产评估报告，是资产评估机构及其资产评估专业人员的责任。依法提供资产评估业务需要的资料并保证资料的真实性、完整性、合法性，恰当使用资产评估报告是委托人和其他相关当事人的责任。</w:t>
      </w:r>
    </w:p>
    <w:p>
      <w:pPr>
        <w:spacing w:line="500" w:lineRule="exact"/>
        <w:ind w:firstLine="480" w:firstLineChars="200"/>
        <w:rPr>
          <w:rFonts w:ascii="宋体" w:hAnsi="宋体"/>
          <w:sz w:val="24"/>
          <w:szCs w:val="24"/>
        </w:rPr>
      </w:pPr>
      <w:r>
        <w:rPr>
          <w:rFonts w:hint="eastAsia" w:ascii="宋体" w:hAnsi="宋体"/>
          <w:sz w:val="24"/>
          <w:szCs w:val="24"/>
        </w:rPr>
        <w:t>（一）委托人的责任</w:t>
      </w:r>
    </w:p>
    <w:p>
      <w:pPr>
        <w:spacing w:line="500" w:lineRule="exact"/>
        <w:ind w:firstLine="480" w:firstLineChars="200"/>
        <w:rPr>
          <w:rFonts w:ascii="宋体" w:hAnsi="宋体"/>
          <w:sz w:val="24"/>
          <w:szCs w:val="24"/>
        </w:rPr>
      </w:pPr>
      <w:r>
        <w:rPr>
          <w:rFonts w:hint="eastAsia" w:ascii="宋体" w:hAnsi="宋体"/>
          <w:sz w:val="24"/>
          <w:szCs w:val="24"/>
        </w:rPr>
        <w:t>1、甲方不得以任何方式对乙方资产评估工作的独立性和评估结果的客观公正性施加影响。</w:t>
      </w:r>
    </w:p>
    <w:p>
      <w:pPr>
        <w:spacing w:line="500" w:lineRule="exact"/>
        <w:ind w:firstLine="480" w:firstLineChars="200"/>
        <w:rPr>
          <w:rFonts w:ascii="宋体" w:hAnsi="宋体"/>
          <w:sz w:val="24"/>
          <w:szCs w:val="24"/>
        </w:rPr>
      </w:pPr>
      <w:r>
        <w:rPr>
          <w:rFonts w:hint="eastAsia" w:ascii="宋体" w:hAnsi="宋体"/>
          <w:sz w:val="24"/>
          <w:szCs w:val="24"/>
        </w:rPr>
        <w:t>2、甲方根据乙方提出的资料清单，在乙方进场评估前准备好产权证明等法律性文件、相关的经济技术文件及其他资料，对提供的相关资料签字、盖章，并对所提供资料的完整性、合法性和真实性承担相应的法律责任。</w:t>
      </w:r>
    </w:p>
    <w:p>
      <w:pPr>
        <w:spacing w:line="500" w:lineRule="exact"/>
        <w:ind w:firstLine="480" w:firstLineChars="200"/>
        <w:rPr>
          <w:rFonts w:ascii="宋体" w:hAnsi="宋体"/>
          <w:sz w:val="24"/>
          <w:szCs w:val="24"/>
        </w:rPr>
      </w:pPr>
      <w:r>
        <w:rPr>
          <w:rFonts w:hint="eastAsia" w:ascii="宋体" w:hAnsi="宋体"/>
          <w:sz w:val="24"/>
          <w:szCs w:val="24"/>
        </w:rPr>
        <w:t>3、甲方组织力量对委托评估范围内的资产进行自查，按乙方的要求填列有关清查评估明细表，加盖公章后作为确定本次资产评估范围的依据。</w:t>
      </w:r>
    </w:p>
    <w:p>
      <w:pPr>
        <w:spacing w:line="500" w:lineRule="exact"/>
        <w:ind w:firstLine="480" w:firstLineChars="200"/>
        <w:rPr>
          <w:rFonts w:ascii="宋体" w:hAnsi="宋体"/>
          <w:sz w:val="24"/>
          <w:szCs w:val="24"/>
        </w:rPr>
      </w:pPr>
      <w:r>
        <w:rPr>
          <w:rFonts w:hint="eastAsia" w:ascii="宋体" w:hAnsi="宋体"/>
          <w:sz w:val="24"/>
          <w:szCs w:val="24"/>
        </w:rPr>
        <w:t>4、乙方进场后，甲方协助乙方进行资产的核实工作。</w:t>
      </w:r>
    </w:p>
    <w:p>
      <w:pPr>
        <w:spacing w:line="500" w:lineRule="exact"/>
        <w:ind w:firstLine="480" w:firstLineChars="200"/>
        <w:rPr>
          <w:rFonts w:ascii="宋体" w:hAnsi="宋体"/>
          <w:sz w:val="24"/>
          <w:szCs w:val="24"/>
        </w:rPr>
      </w:pPr>
      <w:r>
        <w:rPr>
          <w:rFonts w:hint="eastAsia" w:ascii="宋体" w:hAnsi="宋体"/>
          <w:sz w:val="24"/>
          <w:szCs w:val="24"/>
        </w:rPr>
        <w:t>5、甲方应当为乙方开展资产评估业务提供必要的工作条件和协助；根据资产评估业务需要，负责乙方与其他相关当事人之间的协调。</w:t>
      </w:r>
    </w:p>
    <w:p>
      <w:pPr>
        <w:spacing w:line="500" w:lineRule="exact"/>
        <w:ind w:firstLine="480" w:firstLineChars="200"/>
        <w:rPr>
          <w:rFonts w:ascii="宋体" w:hAnsi="宋体"/>
          <w:sz w:val="24"/>
          <w:szCs w:val="24"/>
        </w:rPr>
      </w:pPr>
      <w:r>
        <w:rPr>
          <w:rFonts w:hint="eastAsia" w:ascii="宋体" w:hAnsi="宋体"/>
          <w:sz w:val="24"/>
          <w:szCs w:val="24"/>
        </w:rPr>
        <w:t>6、甲方未征得乙方同意，资产评估报告的内容不得被摘抄、引用或者披露于公开媒体，法律、行政法规规定以及相关当事人另有约定的除外。</w:t>
      </w:r>
    </w:p>
    <w:p>
      <w:pPr>
        <w:spacing w:line="500" w:lineRule="exact"/>
        <w:ind w:firstLine="480" w:firstLineChars="200"/>
        <w:rPr>
          <w:rFonts w:ascii="宋体" w:hAnsi="宋体"/>
          <w:sz w:val="24"/>
          <w:szCs w:val="24"/>
        </w:rPr>
      </w:pPr>
      <w:r>
        <w:rPr>
          <w:rFonts w:hint="eastAsia" w:ascii="宋体" w:hAnsi="宋体"/>
          <w:sz w:val="24"/>
          <w:szCs w:val="24"/>
        </w:rPr>
        <w:t>（二）乙方责任</w:t>
      </w:r>
    </w:p>
    <w:p>
      <w:pPr>
        <w:spacing w:line="500" w:lineRule="exact"/>
        <w:ind w:firstLine="480" w:firstLineChars="200"/>
        <w:rPr>
          <w:rFonts w:ascii="宋体" w:hAnsi="宋体"/>
          <w:sz w:val="24"/>
          <w:szCs w:val="24"/>
        </w:rPr>
      </w:pPr>
      <w:r>
        <w:rPr>
          <w:rFonts w:hint="eastAsia" w:ascii="宋体" w:hAnsi="宋体"/>
          <w:sz w:val="24"/>
          <w:szCs w:val="24"/>
        </w:rPr>
        <w:t>1、乙方应按照国家有关法律、行政法规、资产评估准则的要求，独立出具资产评估报告书，并对评估报告书的真实性、合法性和公正性承担相关责任。</w:t>
      </w:r>
    </w:p>
    <w:p>
      <w:pPr>
        <w:spacing w:line="500" w:lineRule="exact"/>
        <w:ind w:firstLine="480" w:firstLineChars="200"/>
        <w:rPr>
          <w:rFonts w:ascii="宋体" w:hAnsi="宋体"/>
          <w:sz w:val="24"/>
          <w:szCs w:val="24"/>
        </w:rPr>
      </w:pPr>
      <w:r>
        <w:rPr>
          <w:rFonts w:hint="eastAsia" w:ascii="宋体" w:hAnsi="宋体"/>
          <w:sz w:val="24"/>
          <w:szCs w:val="24"/>
        </w:rPr>
        <w:t>2、乙方在进场前应向甲方提供本次评估需要的资料清单，并派人指导甲方填列清查评估明细表。</w:t>
      </w:r>
    </w:p>
    <w:p>
      <w:pPr>
        <w:spacing w:line="500" w:lineRule="exact"/>
        <w:ind w:firstLine="480" w:firstLineChars="200"/>
        <w:rPr>
          <w:rFonts w:ascii="宋体" w:hAnsi="宋体"/>
          <w:sz w:val="24"/>
          <w:szCs w:val="24"/>
        </w:rPr>
      </w:pPr>
      <w:r>
        <w:rPr>
          <w:rFonts w:hint="eastAsia" w:ascii="宋体" w:hAnsi="宋体"/>
          <w:sz w:val="24"/>
          <w:szCs w:val="24"/>
        </w:rPr>
        <w:t>3、乙方应在甲方评估资料准备完毕并能满足评估要求以后，3天内组织评估人员到达现场进行评估工作。</w:t>
      </w:r>
    </w:p>
    <w:p>
      <w:pPr>
        <w:spacing w:line="500" w:lineRule="exact"/>
        <w:ind w:firstLine="480" w:firstLineChars="200"/>
        <w:rPr>
          <w:rFonts w:ascii="宋体" w:hAnsi="宋体"/>
          <w:sz w:val="24"/>
          <w:szCs w:val="24"/>
        </w:rPr>
      </w:pPr>
      <w:r>
        <w:rPr>
          <w:rFonts w:hint="eastAsia" w:ascii="宋体" w:hAnsi="宋体"/>
          <w:sz w:val="24"/>
          <w:szCs w:val="24"/>
        </w:rPr>
        <w:t>4、乙方及其工作人员对甲方提供的评估依据、相关资料及知悉的商业秘密负有保密义务。</w:t>
      </w:r>
    </w:p>
    <w:p>
      <w:pPr>
        <w:spacing w:line="500" w:lineRule="exact"/>
        <w:ind w:firstLine="480" w:firstLineChars="200"/>
        <w:rPr>
          <w:rFonts w:ascii="宋体" w:hAnsi="宋体"/>
          <w:sz w:val="24"/>
          <w:szCs w:val="24"/>
          <w:highlight w:val="yellow"/>
        </w:rPr>
      </w:pPr>
      <w:r>
        <w:rPr>
          <w:rFonts w:hint="eastAsia" w:ascii="宋体" w:hAnsi="宋体"/>
          <w:sz w:val="24"/>
          <w:szCs w:val="24"/>
        </w:rPr>
        <w:t>5、未经甲方书面许可，乙方及其资产评估专业人员不得将资产评估报告的内容向第三方提供或者公开，法律、行政法规另有规定的除外。</w:t>
      </w:r>
    </w:p>
    <w:p>
      <w:pPr>
        <w:spacing w:line="480" w:lineRule="exact"/>
        <w:ind w:firstLine="482" w:firstLineChars="200"/>
        <w:rPr>
          <w:rFonts w:ascii="宋体" w:hAnsi="宋体"/>
          <w:b/>
          <w:sz w:val="24"/>
          <w:szCs w:val="24"/>
        </w:rPr>
      </w:pPr>
      <w:r>
        <w:rPr>
          <w:rFonts w:hint="eastAsia" w:ascii="宋体" w:hAnsi="宋体"/>
          <w:b/>
          <w:sz w:val="24"/>
          <w:szCs w:val="24"/>
        </w:rPr>
        <w:t>五、评估服务收费及方式</w:t>
      </w:r>
    </w:p>
    <w:p>
      <w:pPr>
        <w:spacing w:line="480" w:lineRule="exact"/>
        <w:ind w:firstLine="480" w:firstLineChars="200"/>
        <w:rPr>
          <w:rFonts w:ascii="宋体" w:hAnsi="宋体"/>
          <w:sz w:val="24"/>
          <w:szCs w:val="24"/>
        </w:rPr>
      </w:pPr>
      <w:r>
        <w:rPr>
          <w:rFonts w:hint="eastAsia" w:ascii="宋体" w:hAnsi="宋体"/>
          <w:sz w:val="24"/>
          <w:szCs w:val="24"/>
        </w:rPr>
        <w:t>1、评估服务费</w:t>
      </w:r>
    </w:p>
    <w:p>
      <w:pPr>
        <w:spacing w:line="480" w:lineRule="exact"/>
        <w:ind w:firstLine="480" w:firstLineChars="200"/>
        <w:rPr>
          <w:rFonts w:ascii="宋体" w:hAnsi="宋体"/>
          <w:sz w:val="24"/>
          <w:szCs w:val="24"/>
        </w:rPr>
      </w:pPr>
      <w:r>
        <w:rPr>
          <w:rFonts w:hint="eastAsia" w:ascii="宋体" w:hAnsi="宋体"/>
          <w:sz w:val="24"/>
          <w:szCs w:val="24"/>
        </w:rPr>
        <w:t>参照有关资产评估收费标准，以资产规模为计费依据，考虑本次工作所涉及的工作难度及工作量，同时经甲乙双方商定，本次含税评估服务费总额为   元（大写：人民币），评估服务费由甲方支付给乙方。</w:t>
      </w:r>
      <w:bookmarkStart w:id="28" w:name="_GoBack"/>
      <w:bookmarkEnd w:id="28"/>
    </w:p>
    <w:p>
      <w:pPr>
        <w:spacing w:line="480" w:lineRule="exact"/>
        <w:ind w:firstLine="480" w:firstLineChars="200"/>
        <w:rPr>
          <w:rFonts w:ascii="宋体" w:hAnsi="宋体" w:cs="楷体"/>
          <w:kern w:val="0"/>
          <w:sz w:val="24"/>
          <w:szCs w:val="24"/>
        </w:rPr>
      </w:pPr>
      <w:r>
        <w:rPr>
          <w:rFonts w:hint="eastAsia" w:ascii="宋体" w:hAnsi="宋体" w:cs="楷体"/>
          <w:kern w:val="0"/>
          <w:sz w:val="24"/>
          <w:szCs w:val="24"/>
        </w:rPr>
        <w:t>评估服务过程中发生的差旅费用由乙方承担。</w:t>
      </w:r>
    </w:p>
    <w:p>
      <w:pPr>
        <w:spacing w:line="500" w:lineRule="exact"/>
        <w:ind w:firstLine="480" w:firstLineChars="200"/>
        <w:rPr>
          <w:rFonts w:ascii="宋体" w:hAnsi="宋体"/>
          <w:sz w:val="24"/>
          <w:szCs w:val="24"/>
        </w:rPr>
      </w:pPr>
      <w:r>
        <w:rPr>
          <w:rFonts w:hint="eastAsia" w:ascii="宋体" w:hAnsi="宋体"/>
          <w:sz w:val="24"/>
          <w:szCs w:val="24"/>
        </w:rPr>
        <w:t>2、评估服务费的具体支付方式</w:t>
      </w:r>
    </w:p>
    <w:p>
      <w:pPr>
        <w:spacing w:line="500" w:lineRule="exact"/>
        <w:ind w:firstLine="480" w:firstLineChars="200"/>
        <w:rPr>
          <w:rFonts w:ascii="宋体" w:hAnsi="宋体"/>
          <w:sz w:val="24"/>
          <w:szCs w:val="24"/>
        </w:rPr>
      </w:pPr>
      <w:r>
        <w:rPr>
          <w:rFonts w:hint="eastAsia" w:ascii="宋体" w:hAnsi="宋体"/>
          <w:sz w:val="24"/>
          <w:szCs w:val="24"/>
        </w:rPr>
        <w:t>由中选人与重庆高速石油科技有限责任公司根据评估工作进度协商评估费支付进度和原则。</w:t>
      </w:r>
    </w:p>
    <w:p>
      <w:pPr>
        <w:spacing w:line="500" w:lineRule="exact"/>
        <w:ind w:firstLine="480" w:firstLineChars="200"/>
        <w:rPr>
          <w:rFonts w:ascii="宋体" w:hAnsi="宋体"/>
          <w:sz w:val="24"/>
          <w:szCs w:val="24"/>
        </w:rPr>
      </w:pPr>
      <w:r>
        <w:rPr>
          <w:rFonts w:hint="eastAsia" w:ascii="宋体" w:hAnsi="宋体"/>
          <w:sz w:val="24"/>
          <w:szCs w:val="24"/>
        </w:rPr>
        <w:t>注：乙方未开具发票或开具的发票不符合约定的，甲方有权拒绝付款且不承担任何违约责任。</w:t>
      </w:r>
    </w:p>
    <w:p>
      <w:pPr>
        <w:spacing w:line="500" w:lineRule="exact"/>
        <w:ind w:firstLine="480" w:firstLineChars="200"/>
        <w:rPr>
          <w:rFonts w:ascii="宋体" w:hAnsi="宋体"/>
          <w:sz w:val="24"/>
          <w:szCs w:val="24"/>
        </w:rPr>
      </w:pPr>
      <w:r>
        <w:rPr>
          <w:rFonts w:hint="eastAsia" w:ascii="宋体" w:hAnsi="宋体"/>
          <w:sz w:val="24"/>
          <w:szCs w:val="24"/>
        </w:rPr>
        <w:t>3、乙方的收款账户</w:t>
      </w:r>
    </w:p>
    <w:p>
      <w:pPr>
        <w:spacing w:line="500" w:lineRule="exact"/>
        <w:ind w:firstLine="480" w:firstLineChars="200"/>
        <w:rPr>
          <w:rFonts w:ascii="宋体" w:hAnsi="宋体" w:cs="楷体"/>
          <w:kern w:val="0"/>
          <w:sz w:val="24"/>
          <w:szCs w:val="24"/>
        </w:rPr>
      </w:pPr>
      <w:r>
        <w:rPr>
          <w:rFonts w:hint="eastAsia" w:ascii="宋体" w:hAnsi="宋体" w:cs="楷体"/>
          <w:kern w:val="0"/>
          <w:sz w:val="24"/>
          <w:szCs w:val="24"/>
        </w:rPr>
        <w:t>甲方应付款至乙方指定的以下账户：</w:t>
      </w:r>
    </w:p>
    <w:p>
      <w:pPr>
        <w:autoSpaceDE w:val="0"/>
        <w:autoSpaceDN w:val="0"/>
        <w:adjustRightInd w:val="0"/>
        <w:spacing w:line="540" w:lineRule="exact"/>
        <w:ind w:firstLine="480" w:firstLineChars="200"/>
        <w:rPr>
          <w:rFonts w:ascii="宋体" w:hAnsi="宋体" w:cs="楷体"/>
          <w:kern w:val="0"/>
          <w:sz w:val="24"/>
          <w:szCs w:val="24"/>
        </w:rPr>
      </w:pPr>
      <w:r>
        <w:rPr>
          <w:rFonts w:hint="eastAsia" w:ascii="宋体" w:hAnsi="宋体" w:cs="楷体"/>
          <w:kern w:val="0"/>
          <w:sz w:val="24"/>
          <w:szCs w:val="24"/>
        </w:rPr>
        <w:t>户名：</w:t>
      </w:r>
    </w:p>
    <w:p>
      <w:pPr>
        <w:autoSpaceDE w:val="0"/>
        <w:autoSpaceDN w:val="0"/>
        <w:adjustRightInd w:val="0"/>
        <w:spacing w:line="540" w:lineRule="exact"/>
        <w:ind w:firstLine="480" w:firstLineChars="200"/>
        <w:rPr>
          <w:rFonts w:ascii="宋体" w:hAnsi="宋体" w:cs="楷体"/>
          <w:kern w:val="0"/>
          <w:sz w:val="24"/>
          <w:szCs w:val="24"/>
        </w:rPr>
      </w:pPr>
      <w:r>
        <w:rPr>
          <w:rFonts w:hint="eastAsia" w:ascii="宋体" w:hAnsi="宋体" w:cs="楷体"/>
          <w:kern w:val="0"/>
          <w:sz w:val="24"/>
          <w:szCs w:val="24"/>
        </w:rPr>
        <w:t>开户行：</w:t>
      </w:r>
    </w:p>
    <w:p>
      <w:pPr>
        <w:autoSpaceDE w:val="0"/>
        <w:autoSpaceDN w:val="0"/>
        <w:adjustRightInd w:val="0"/>
        <w:spacing w:line="540" w:lineRule="exact"/>
        <w:ind w:firstLine="480" w:firstLineChars="200"/>
        <w:rPr>
          <w:rFonts w:ascii="宋体" w:hAnsi="宋体" w:cs="楷体"/>
          <w:kern w:val="0"/>
          <w:sz w:val="24"/>
          <w:szCs w:val="24"/>
        </w:rPr>
      </w:pPr>
      <w:r>
        <w:rPr>
          <w:rFonts w:hint="eastAsia" w:ascii="宋体" w:hAnsi="宋体" w:cs="楷体"/>
          <w:kern w:val="0"/>
          <w:sz w:val="24"/>
          <w:szCs w:val="24"/>
        </w:rPr>
        <w:t>账号：</w:t>
      </w:r>
    </w:p>
    <w:p>
      <w:pPr>
        <w:spacing w:line="480" w:lineRule="exact"/>
        <w:ind w:firstLine="482" w:firstLineChars="200"/>
        <w:rPr>
          <w:rFonts w:ascii="宋体" w:hAnsi="宋体"/>
          <w:b/>
          <w:sz w:val="24"/>
          <w:szCs w:val="24"/>
        </w:rPr>
      </w:pPr>
      <w:r>
        <w:rPr>
          <w:rFonts w:hint="eastAsia" w:ascii="宋体" w:hAnsi="宋体"/>
          <w:b/>
          <w:sz w:val="24"/>
          <w:szCs w:val="24"/>
        </w:rPr>
        <w:t>六、合同的变更、中止和终止履行</w:t>
      </w:r>
    </w:p>
    <w:p>
      <w:pPr>
        <w:snapToGrid w:val="0"/>
        <w:spacing w:line="500" w:lineRule="exact"/>
        <w:ind w:firstLine="480" w:firstLineChars="200"/>
        <w:rPr>
          <w:rFonts w:ascii="宋体" w:hAnsi="宋体"/>
          <w:sz w:val="24"/>
          <w:szCs w:val="24"/>
        </w:rPr>
      </w:pPr>
      <w:r>
        <w:rPr>
          <w:rFonts w:hint="eastAsia" w:ascii="宋体" w:hAnsi="宋体"/>
          <w:sz w:val="24"/>
          <w:szCs w:val="24"/>
        </w:rPr>
        <w:t>1、变更</w:t>
      </w:r>
    </w:p>
    <w:p>
      <w:pPr>
        <w:snapToGrid w:val="0"/>
        <w:spacing w:line="500" w:lineRule="exact"/>
        <w:ind w:firstLine="480" w:firstLineChars="200"/>
        <w:rPr>
          <w:rFonts w:ascii="宋体" w:hAnsi="宋体"/>
          <w:sz w:val="24"/>
          <w:szCs w:val="24"/>
        </w:rPr>
      </w:pPr>
      <w:r>
        <w:rPr>
          <w:rFonts w:hint="eastAsia" w:ascii="宋体" w:hAnsi="宋体"/>
          <w:sz w:val="24"/>
          <w:szCs w:val="24"/>
        </w:rPr>
        <w:t>资产评估委托合同签订后，因评估目的、评估对象、评估基准日发生变化，或者评估范围发生重大变化，甲乙双方签订补充合同或者重新签订合同，相关费用由甲乙双方友好协商确定。</w:t>
      </w:r>
    </w:p>
    <w:p>
      <w:pPr>
        <w:spacing w:line="500" w:lineRule="exact"/>
        <w:ind w:firstLine="480" w:firstLineChars="200"/>
        <w:rPr>
          <w:rFonts w:ascii="宋体" w:hAnsi="宋体"/>
          <w:sz w:val="24"/>
          <w:szCs w:val="24"/>
        </w:rPr>
      </w:pPr>
      <w:r>
        <w:rPr>
          <w:rFonts w:hint="eastAsia" w:ascii="宋体" w:hAnsi="宋体"/>
          <w:sz w:val="24"/>
          <w:szCs w:val="24"/>
        </w:rPr>
        <w:t>2、中止履行和终止履行</w:t>
      </w:r>
    </w:p>
    <w:p>
      <w:pPr>
        <w:pStyle w:val="3"/>
        <w:snapToGrid w:val="0"/>
        <w:spacing w:line="500" w:lineRule="exact"/>
        <w:ind w:firstLine="480" w:firstLineChars="200"/>
        <w:jc w:val="both"/>
        <w:rPr>
          <w:rFonts w:ascii="宋体" w:hAnsi="宋体" w:eastAsia="宋体"/>
          <w:sz w:val="24"/>
          <w:szCs w:val="24"/>
        </w:rPr>
      </w:pPr>
      <w:r>
        <w:rPr>
          <w:rFonts w:hint="eastAsia" w:ascii="宋体" w:hAnsi="宋体" w:eastAsia="宋体"/>
          <w:sz w:val="24"/>
          <w:szCs w:val="24"/>
        </w:rPr>
        <w:t xml:space="preserve">（1）当评估程序受到甲方限制或者不可抗力对与评估目的相对应的评估结论构成重大影响时，乙方可以中止履行评估合同；因前述影响无法排除时，甲乙双方可以解除评估合同。 </w:t>
      </w:r>
    </w:p>
    <w:p>
      <w:pPr>
        <w:pStyle w:val="3"/>
        <w:snapToGrid w:val="0"/>
        <w:spacing w:line="500" w:lineRule="exact"/>
        <w:ind w:firstLine="480" w:firstLineChars="200"/>
        <w:jc w:val="both"/>
        <w:rPr>
          <w:rFonts w:ascii="宋体" w:hAnsi="宋体" w:eastAsia="宋体"/>
          <w:sz w:val="24"/>
          <w:szCs w:val="24"/>
        </w:rPr>
      </w:pPr>
      <w:r>
        <w:rPr>
          <w:rFonts w:hint="eastAsia" w:ascii="宋体" w:hAnsi="宋体" w:eastAsia="宋体"/>
          <w:sz w:val="24"/>
          <w:szCs w:val="24"/>
        </w:rPr>
        <w:t>（2）甲方和其他相关当事人如果拒绝提供或者不如实提供开展资产评业务所需的权属证明、财务会计信息或者其他相关资料的，乙方有权拒绝履行评估合同。</w:t>
      </w:r>
    </w:p>
    <w:p>
      <w:pPr>
        <w:pStyle w:val="3"/>
        <w:snapToGrid w:val="0"/>
        <w:spacing w:line="500" w:lineRule="exact"/>
        <w:ind w:firstLine="480" w:firstLineChars="200"/>
        <w:jc w:val="both"/>
        <w:rPr>
          <w:rFonts w:ascii="宋体" w:hAnsi="宋体" w:eastAsia="宋体"/>
          <w:sz w:val="24"/>
          <w:szCs w:val="24"/>
        </w:rPr>
      </w:pPr>
      <w:r>
        <w:rPr>
          <w:rFonts w:hint="eastAsia" w:ascii="宋体" w:hAnsi="宋体" w:eastAsia="宋体"/>
          <w:sz w:val="24"/>
          <w:szCs w:val="24"/>
        </w:rPr>
        <w:t>（3）甲方要求出具虚假资产评估报告或者有其他非法干预评估结论情形的，乙方有权单方解除评估合同。</w:t>
      </w:r>
    </w:p>
    <w:p>
      <w:pPr>
        <w:pStyle w:val="3"/>
        <w:snapToGrid w:val="0"/>
        <w:spacing w:line="500" w:lineRule="exact"/>
        <w:ind w:firstLine="480" w:firstLineChars="200"/>
        <w:jc w:val="both"/>
        <w:rPr>
          <w:rFonts w:ascii="宋体" w:hAnsi="宋体" w:eastAsia="宋体"/>
          <w:sz w:val="24"/>
          <w:szCs w:val="24"/>
        </w:rPr>
      </w:pPr>
      <w:r>
        <w:rPr>
          <w:rFonts w:hint="eastAsia" w:ascii="宋体" w:hAnsi="宋体" w:eastAsia="宋体"/>
          <w:sz w:val="24"/>
          <w:szCs w:val="24"/>
        </w:rPr>
        <w:t>（4）因受到甲方、资产使用单位限制的原因或者不可抗力或者上述事项造成评估业务中止或终止履行时，</w:t>
      </w:r>
      <w:r>
        <w:rPr>
          <w:rFonts w:hint="eastAsia" w:ascii="宋体" w:hAnsi="宋体" w:eastAsia="宋体" w:cs="楷体"/>
          <w:kern w:val="0"/>
          <w:sz w:val="24"/>
          <w:szCs w:val="24"/>
        </w:rPr>
        <w:t>若乙方已进现场，已经预付的评估费用不退还；</w:t>
      </w:r>
      <w:r>
        <w:rPr>
          <w:rFonts w:hint="eastAsia" w:ascii="宋体" w:hAnsi="宋体" w:eastAsia="宋体"/>
          <w:sz w:val="24"/>
          <w:szCs w:val="24"/>
        </w:rPr>
        <w:t>若乙方已完成现场工作或已经出具完整的评估报告初稿，则甲方应支付本合同约定费用的80%给乙方。</w:t>
      </w:r>
    </w:p>
    <w:p>
      <w:pPr>
        <w:spacing w:line="480" w:lineRule="exact"/>
        <w:ind w:firstLine="482" w:firstLineChars="200"/>
        <w:rPr>
          <w:rFonts w:ascii="宋体" w:hAnsi="宋体"/>
          <w:b/>
          <w:sz w:val="24"/>
          <w:szCs w:val="24"/>
        </w:rPr>
      </w:pPr>
      <w:r>
        <w:rPr>
          <w:rFonts w:hint="eastAsia" w:ascii="宋体" w:hAnsi="宋体"/>
          <w:b/>
          <w:sz w:val="24"/>
          <w:szCs w:val="24"/>
        </w:rPr>
        <w:t>七、违约责任和争议的解决</w:t>
      </w:r>
    </w:p>
    <w:p>
      <w:pPr>
        <w:spacing w:line="500" w:lineRule="exact"/>
        <w:ind w:firstLine="480" w:firstLineChars="200"/>
        <w:rPr>
          <w:rFonts w:ascii="宋体" w:hAnsi="宋体"/>
          <w:sz w:val="24"/>
          <w:szCs w:val="24"/>
        </w:rPr>
      </w:pPr>
      <w:r>
        <w:rPr>
          <w:rFonts w:hint="eastAsia" w:ascii="宋体" w:hAnsi="宋体"/>
          <w:sz w:val="24"/>
          <w:szCs w:val="24"/>
        </w:rPr>
        <w:t>1、违约责任</w:t>
      </w:r>
    </w:p>
    <w:p>
      <w:pPr>
        <w:spacing w:line="500" w:lineRule="exact"/>
        <w:ind w:firstLine="480" w:firstLineChars="200"/>
        <w:rPr>
          <w:rFonts w:ascii="宋体" w:hAnsi="宋体"/>
          <w:sz w:val="24"/>
          <w:szCs w:val="24"/>
        </w:rPr>
      </w:pPr>
      <w:r>
        <w:rPr>
          <w:rFonts w:hint="eastAsia" w:ascii="宋体" w:hAnsi="宋体"/>
          <w:sz w:val="24"/>
          <w:szCs w:val="24"/>
        </w:rPr>
        <w:t>甲乙双方按照《中华人民共和国民法典》的规定承担违约责任。</w:t>
      </w:r>
    </w:p>
    <w:p>
      <w:pPr>
        <w:spacing w:line="500" w:lineRule="exact"/>
        <w:ind w:firstLine="480" w:firstLineChars="200"/>
        <w:rPr>
          <w:rFonts w:ascii="宋体" w:hAnsi="宋体"/>
          <w:sz w:val="24"/>
          <w:szCs w:val="24"/>
        </w:rPr>
      </w:pPr>
      <w:r>
        <w:rPr>
          <w:rFonts w:hint="eastAsia" w:ascii="宋体" w:hAnsi="宋体"/>
          <w:sz w:val="24"/>
          <w:szCs w:val="24"/>
        </w:rPr>
        <w:t>乙方需按时出具评估报告，乙方逾期出具的，每逾期一日，应按合同总价款的万分之五向甲方支付逾期完成违约金。</w:t>
      </w:r>
    </w:p>
    <w:p>
      <w:pPr>
        <w:snapToGrid w:val="0"/>
        <w:spacing w:line="500" w:lineRule="exact"/>
        <w:ind w:firstLine="480" w:firstLineChars="200"/>
        <w:rPr>
          <w:rFonts w:ascii="宋体" w:hAnsi="宋体"/>
          <w:sz w:val="24"/>
          <w:szCs w:val="24"/>
        </w:rPr>
      </w:pPr>
      <w:r>
        <w:rPr>
          <w:rFonts w:hint="eastAsia" w:ascii="宋体" w:hAnsi="宋体"/>
          <w:sz w:val="24"/>
          <w:szCs w:val="24"/>
        </w:rPr>
        <w:t>2、争议的解决</w:t>
      </w:r>
    </w:p>
    <w:p>
      <w:pPr>
        <w:snapToGrid w:val="0"/>
        <w:spacing w:line="500" w:lineRule="exact"/>
        <w:ind w:firstLine="480" w:firstLineChars="200"/>
        <w:rPr>
          <w:rFonts w:ascii="宋体" w:hAnsi="宋体"/>
          <w:color w:val="000000"/>
          <w:sz w:val="24"/>
          <w:szCs w:val="24"/>
        </w:rPr>
      </w:pPr>
      <w:r>
        <w:rPr>
          <w:rFonts w:hint="eastAsia" w:ascii="宋体" w:hAnsi="宋体"/>
          <w:sz w:val="24"/>
          <w:szCs w:val="24"/>
        </w:rPr>
        <w:t>在本委托合同履行过程中产生争议时，由甲乙双方协商解决；协商不能达成一致意见的，甲乙双方可以向甲方所在地人民法院起诉。</w:t>
      </w:r>
    </w:p>
    <w:p>
      <w:pPr>
        <w:numPr>
          <w:ilvl w:val="0"/>
          <w:numId w:val="5"/>
        </w:numPr>
        <w:spacing w:line="480" w:lineRule="exact"/>
        <w:ind w:firstLine="482" w:firstLineChars="200"/>
        <w:rPr>
          <w:rFonts w:ascii="宋体" w:hAnsi="宋体"/>
          <w:b/>
          <w:sz w:val="24"/>
          <w:szCs w:val="24"/>
        </w:rPr>
      </w:pPr>
      <w:r>
        <w:rPr>
          <w:rFonts w:hint="eastAsia" w:ascii="宋体" w:hAnsi="宋体"/>
          <w:b/>
          <w:sz w:val="24"/>
          <w:szCs w:val="24"/>
        </w:rPr>
        <w:t>保密条款</w:t>
      </w:r>
    </w:p>
    <w:p>
      <w:pPr>
        <w:snapToGrid w:val="0"/>
        <w:spacing w:line="500" w:lineRule="exact"/>
        <w:ind w:firstLine="480" w:firstLineChars="200"/>
        <w:rPr>
          <w:rFonts w:ascii="宋体" w:hAnsi="宋体"/>
          <w:b/>
          <w:sz w:val="24"/>
          <w:szCs w:val="24"/>
        </w:rPr>
      </w:pPr>
      <w:r>
        <w:rPr>
          <w:rFonts w:hint="eastAsia" w:ascii="宋体" w:hAnsi="宋体"/>
          <w:sz w:val="24"/>
          <w:szCs w:val="24"/>
        </w:rPr>
        <w:t>甲、乙双方保证对在讨论、签订、执行本合同过程中所获悉的属于对方且无法自公开渠道获得的文件及资料等均应予以保密。未经该资料和文件的原提供方书面同意，任一方不得向任何第三方泄露、出售、公开或转卖该商业秘密的全部或部分内容。但法律、法规另有规定或另有约定的除外。因违反保密义务而给对方造成的经济损失由违约方负责全部承担。</w:t>
      </w:r>
    </w:p>
    <w:p>
      <w:pPr>
        <w:spacing w:line="480" w:lineRule="exact"/>
        <w:ind w:firstLine="482" w:firstLineChars="200"/>
        <w:rPr>
          <w:rFonts w:ascii="宋体" w:hAnsi="宋体"/>
          <w:b/>
          <w:sz w:val="24"/>
          <w:szCs w:val="24"/>
        </w:rPr>
      </w:pPr>
      <w:r>
        <w:rPr>
          <w:rFonts w:hint="eastAsia" w:ascii="宋体" w:hAnsi="宋体"/>
          <w:b/>
          <w:sz w:val="24"/>
          <w:szCs w:val="24"/>
        </w:rPr>
        <w:t>九、其他约定事项</w:t>
      </w:r>
    </w:p>
    <w:p>
      <w:pPr>
        <w:spacing w:line="500" w:lineRule="exact"/>
        <w:ind w:firstLine="480" w:firstLineChars="200"/>
        <w:rPr>
          <w:rFonts w:ascii="宋体" w:hAnsi="宋体"/>
          <w:sz w:val="24"/>
          <w:szCs w:val="24"/>
        </w:rPr>
      </w:pPr>
      <w:r>
        <w:rPr>
          <w:rFonts w:hint="eastAsia" w:ascii="宋体" w:hAnsi="宋体"/>
          <w:sz w:val="24"/>
          <w:szCs w:val="24"/>
        </w:rPr>
        <w:t>本合同一式肆份，甲、乙方各两份，并具有同等法律效力。本合同自甲乙双方签字、盖章之日起生效，并在乙方出具评估报告书，且由甲方支付完毕评估费用后自然失效。</w:t>
      </w:r>
    </w:p>
    <w:p>
      <w:pPr>
        <w:spacing w:line="440" w:lineRule="exact"/>
        <w:rPr>
          <w:rFonts w:ascii="宋体" w:hAnsi="宋体" w:cs="楷体"/>
          <w:kern w:val="0"/>
          <w:sz w:val="28"/>
          <w:szCs w:val="28"/>
        </w:rPr>
      </w:pPr>
    </w:p>
    <w:p>
      <w:pPr>
        <w:spacing w:line="440" w:lineRule="exact"/>
        <w:rPr>
          <w:rFonts w:ascii="宋体" w:hAnsi="宋体" w:cs="楷体"/>
          <w:kern w:val="0"/>
          <w:sz w:val="28"/>
          <w:szCs w:val="28"/>
        </w:rPr>
      </w:pPr>
    </w:p>
    <w:p>
      <w:pPr>
        <w:spacing w:line="440" w:lineRule="exact"/>
        <w:rPr>
          <w:rFonts w:ascii="宋体" w:hAnsi="宋体" w:cs="楷体"/>
          <w:kern w:val="0"/>
          <w:sz w:val="28"/>
          <w:szCs w:val="28"/>
        </w:rPr>
      </w:pPr>
    </w:p>
    <w:p>
      <w:pPr>
        <w:spacing w:line="440" w:lineRule="exact"/>
        <w:rPr>
          <w:rFonts w:ascii="宋体" w:hAnsi="宋体" w:cs="楷体"/>
          <w:kern w:val="0"/>
          <w:sz w:val="28"/>
          <w:szCs w:val="28"/>
        </w:rPr>
      </w:pPr>
    </w:p>
    <w:p>
      <w:pPr>
        <w:spacing w:line="440" w:lineRule="exact"/>
        <w:rPr>
          <w:rFonts w:ascii="宋体" w:hAnsi="宋体" w:cs="楷体"/>
          <w:kern w:val="0"/>
          <w:sz w:val="28"/>
          <w:szCs w:val="28"/>
        </w:rPr>
      </w:pPr>
    </w:p>
    <w:p>
      <w:pPr>
        <w:spacing w:line="440" w:lineRule="exact"/>
        <w:rPr>
          <w:rFonts w:ascii="宋体" w:hAnsi="宋体" w:cs="楷体"/>
          <w:kern w:val="0"/>
          <w:sz w:val="28"/>
          <w:szCs w:val="28"/>
        </w:rPr>
      </w:pPr>
    </w:p>
    <w:p>
      <w:pPr>
        <w:spacing w:line="440" w:lineRule="exact"/>
        <w:ind w:firstLine="420" w:firstLineChars="200"/>
        <w:rPr>
          <w:rFonts w:ascii="宋体" w:hAnsi="宋体" w:cs="宋体"/>
          <w:szCs w:val="21"/>
        </w:rPr>
      </w:pPr>
      <w:r>
        <w:rPr>
          <w:rFonts w:hint="eastAsia" w:ascii="宋体" w:hAnsi="宋体" w:cs="宋体"/>
          <w:szCs w:val="21"/>
        </w:rPr>
        <w:t>本协议一式捌份，具有同等法律效力，甲乙双方各持肆份，经双方法定代表人或授权代表签字盖章后生效。</w:t>
      </w:r>
    </w:p>
    <w:tbl>
      <w:tblPr>
        <w:tblStyle w:val="8"/>
        <w:tblpPr w:leftFromText="180" w:rightFromText="180" w:vertAnchor="text" w:horzAnchor="page" w:tblpX="2038" w:tblpY="1774"/>
        <w:tblOverlap w:val="never"/>
        <w:tblW w:w="0" w:type="auto"/>
        <w:tblInd w:w="0" w:type="dxa"/>
        <w:tblLayout w:type="autofit"/>
        <w:tblCellMar>
          <w:top w:w="0" w:type="dxa"/>
          <w:left w:w="108" w:type="dxa"/>
          <w:bottom w:w="0" w:type="dxa"/>
          <w:right w:w="108" w:type="dxa"/>
        </w:tblCellMar>
      </w:tblPr>
      <w:tblGrid>
        <w:gridCol w:w="4236"/>
        <w:gridCol w:w="4236"/>
      </w:tblGrid>
      <w:tr>
        <w:tblPrEx>
          <w:tblCellMar>
            <w:top w:w="0" w:type="dxa"/>
            <w:left w:w="108" w:type="dxa"/>
            <w:bottom w:w="0" w:type="dxa"/>
            <w:right w:w="108" w:type="dxa"/>
          </w:tblCellMar>
        </w:tblPrEx>
        <w:tc>
          <w:tcPr>
            <w:tcW w:w="4236" w:type="dxa"/>
            <w:shd w:val="clear" w:color="auto" w:fill="auto"/>
          </w:tcPr>
          <w:p>
            <w:r>
              <w:rPr>
                <w:rFonts w:hint="eastAsia" w:ascii="宋体" w:hAnsi="宋体"/>
                <w:kern w:val="0"/>
                <w:szCs w:val="21"/>
              </w:rPr>
              <w:t>甲方</w:t>
            </w:r>
            <w:r>
              <w:rPr>
                <w:rFonts w:ascii="宋体" w:hAnsi="宋体"/>
                <w:kern w:val="0"/>
                <w:szCs w:val="21"/>
              </w:rPr>
              <w:t>（盖单位章）：</w:t>
            </w:r>
          </w:p>
        </w:tc>
        <w:tc>
          <w:tcPr>
            <w:tcW w:w="4236" w:type="dxa"/>
            <w:shd w:val="clear" w:color="auto" w:fill="auto"/>
          </w:tcPr>
          <w:p>
            <w:r>
              <w:rPr>
                <w:rFonts w:hint="eastAsia"/>
              </w:rPr>
              <w:t>乙方</w:t>
            </w:r>
            <w:r>
              <w:t>（盖单位章）：</w:t>
            </w:r>
          </w:p>
        </w:tc>
      </w:tr>
      <w:tr>
        <w:tblPrEx>
          <w:tblCellMar>
            <w:top w:w="0" w:type="dxa"/>
            <w:left w:w="108" w:type="dxa"/>
            <w:bottom w:w="0" w:type="dxa"/>
            <w:right w:w="108" w:type="dxa"/>
          </w:tblCellMar>
        </w:tblPrEx>
        <w:tc>
          <w:tcPr>
            <w:tcW w:w="4236" w:type="dxa"/>
            <w:shd w:val="clear" w:color="auto" w:fill="auto"/>
          </w:tcPr>
          <w:p>
            <w:pPr>
              <w:rPr>
                <w:rFonts w:ascii="宋体" w:hAnsi="宋体"/>
                <w:kern w:val="0"/>
                <w:szCs w:val="21"/>
              </w:rPr>
            </w:p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pPr>
              <w:rPr>
                <w:rFonts w:ascii="宋体" w:hAnsi="宋体"/>
                <w:kern w:val="0"/>
                <w:szCs w:val="21"/>
              </w:rPr>
            </w:p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pPr>
              <w:rPr>
                <w:rFonts w:ascii="宋体" w:hAnsi="宋体"/>
                <w:kern w:val="0"/>
                <w:szCs w:val="21"/>
              </w:rPr>
            </w:p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pPr>
              <w:rPr>
                <w:rFonts w:ascii="宋体" w:hAnsi="宋体"/>
                <w:kern w:val="0"/>
                <w:szCs w:val="21"/>
              </w:rPr>
            </w:p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pPr>
              <w:rPr>
                <w:rFonts w:ascii="宋体" w:hAnsi="宋体"/>
                <w:kern w:val="0"/>
                <w:szCs w:val="21"/>
              </w:rPr>
            </w:pPr>
          </w:p>
        </w:tc>
        <w:tc>
          <w:tcPr>
            <w:tcW w:w="4236" w:type="dxa"/>
            <w:shd w:val="clear" w:color="auto" w:fill="auto"/>
          </w:tcPr>
          <w:p/>
        </w:tc>
      </w:tr>
      <w:tr>
        <w:tc>
          <w:tcPr>
            <w:tcW w:w="4236" w:type="dxa"/>
            <w:shd w:val="clear" w:color="auto" w:fill="auto"/>
          </w:tcPr>
          <w:p>
            <w:r>
              <w:t>法定代表人</w:t>
            </w:r>
            <w:r>
              <w:rPr>
                <w:rFonts w:hint="eastAsia"/>
              </w:rPr>
              <w:t>：</w:t>
            </w:r>
          </w:p>
        </w:tc>
        <w:tc>
          <w:tcPr>
            <w:tcW w:w="4236" w:type="dxa"/>
            <w:shd w:val="clear" w:color="auto" w:fill="auto"/>
          </w:tcPr>
          <w:p>
            <w:r>
              <w:t>法定代表人</w:t>
            </w:r>
            <w:r>
              <w:rPr>
                <w:rFonts w:hint="eastAsia"/>
              </w:rPr>
              <w:t>：</w:t>
            </w: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r>
              <w:rPr>
                <w:rFonts w:hint="eastAsia"/>
              </w:rPr>
              <w:t>经办人</w:t>
            </w:r>
            <w:r>
              <w:t>：</w:t>
            </w:r>
          </w:p>
        </w:tc>
        <w:tc>
          <w:tcPr>
            <w:tcW w:w="4236" w:type="dxa"/>
            <w:shd w:val="clear" w:color="auto" w:fill="auto"/>
          </w:tcPr>
          <w:p>
            <w:r>
              <w:rPr>
                <w:rFonts w:hint="eastAsia"/>
              </w:rPr>
              <w:t>经办人</w:t>
            </w:r>
            <w:r>
              <w:t>：</w:t>
            </w: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r>
        <w:tc>
          <w:tcPr>
            <w:tcW w:w="4236" w:type="dxa"/>
            <w:shd w:val="clear" w:color="auto" w:fill="auto"/>
          </w:tcPr>
          <w:p/>
        </w:tc>
        <w:tc>
          <w:tcPr>
            <w:tcW w:w="4236" w:type="dxa"/>
            <w:shd w:val="clear" w:color="auto" w:fill="auto"/>
          </w:tcPr>
          <w:p/>
        </w:tc>
      </w:tr>
      <w:tr>
        <w:tblPrEx>
          <w:tblCellMar>
            <w:top w:w="0" w:type="dxa"/>
            <w:left w:w="108" w:type="dxa"/>
            <w:bottom w:w="0" w:type="dxa"/>
            <w:right w:w="108" w:type="dxa"/>
          </w:tblCellMar>
        </w:tblPrEx>
        <w:tc>
          <w:tcPr>
            <w:tcW w:w="4236" w:type="dxa"/>
            <w:shd w:val="clear" w:color="auto" w:fill="auto"/>
          </w:tcPr>
          <w:p/>
        </w:tc>
        <w:tc>
          <w:tcPr>
            <w:tcW w:w="4236" w:type="dxa"/>
            <w:shd w:val="clear" w:color="auto" w:fill="auto"/>
          </w:tcPr>
          <w:p/>
        </w:tc>
      </w:tr>
    </w:tbl>
    <w:p>
      <w:pPr>
        <w:spacing w:line="440" w:lineRule="exact"/>
        <w:sectPr>
          <w:pgSz w:w="11906" w:h="16838"/>
          <w:pgMar w:top="1440" w:right="1800" w:bottom="1440" w:left="1800" w:header="851" w:footer="992" w:gutter="0"/>
          <w:cols w:space="720" w:num="1"/>
          <w:docGrid w:type="lines" w:linePitch="312" w:charSpace="0"/>
        </w:sectPr>
      </w:pPr>
      <w:r>
        <w:rPr>
          <w:rFonts w:hint="eastAsia" w:ascii="宋体" w:hAnsi="宋体" w:cs="宋体"/>
          <w:szCs w:val="21"/>
        </w:rPr>
        <w:t>（以下无正文）</w:t>
      </w:r>
    </w:p>
    <w:p>
      <w:pPr>
        <w:rPr>
          <w:rFonts w:hint="eastAsia"/>
        </w:rPr>
      </w:pPr>
    </w:p>
    <w:p>
      <w:pPr>
        <w:pStyle w:val="2"/>
      </w:pPr>
    </w:p>
    <w:sectPr>
      <w:headerReference r:id="rId6" w:type="default"/>
      <w:footerReference r:id="rId7"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u01psPAgAADwQAAA4AAABkcnMvZTJvRG9jLnhtbK1TS27bMBDdF+gd&#10;CO5r2XHcBILlII3hokD6AdIegKYoi6jIIYa0pfQA7Q266qb7nsvn6JCS3DTdZNGNMCJn3sx787i8&#10;6kzDDgq9Blvw2WTKmbISSm13Bf/0cfPikjMfhC1FA1YV/F55frV6/mzZulydQQ1NqZARiPV56wpe&#10;h+DyLPOyVkb4CThl6bICNCLQL+6yEkVL6KbJzqbTl1kLWDoEqbyn03V/yQdEfAogVJWWag1yb5QN&#10;PSqqRgSi5GvtPF+laatKyfC+qrwKrCk4MQ3pS00o3sZvtlqKfIfC1VoOI4injPCIkxHaUtMT1FoE&#10;wfao/4EyWiJ4qMJEgsl6IkkRYjGbPtLmrhZOJS4ktXcn0f3/g5XvDh+Q6bLgc86sMLTw4/dvxx+/&#10;jj+/snmUp3U+p6w7R3mhewUdmSZR9e4W5GfPLNzUwu7UNSK0tRIljTeLldmD0h7HR5Bt+xZK6iP2&#10;ARJQV6GJ2pEajNBpNfen1aguMEmHi4uLywVnkm5m89n5+SI1EPlY69CH1woMi0HBkRafsMXh1oc4&#10;i8jHlNjKwkY3TVp+Y/86oMT+RCX3DNWRSRy+pxG6bTcos4Xynjgh9M6id0VBDfiFs5ZcVXBLj4iz&#10;5o0lVaIBxwDHYDsGwkoqLHjgrA9vQm/UvUO9qwl31P2alNvoRCsO1s8w6E0+SWwHT0cjPvx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u01psPAgAADw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3</w:t>
    </w:r>
    <w:r>
      <w:rPr>
        <w:b/>
        <w:bCs/>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5580"/>
    <w:multiLevelType w:val="singleLevel"/>
    <w:tmpl w:val="99ED5580"/>
    <w:lvl w:ilvl="0" w:tentative="0">
      <w:start w:val="1"/>
      <w:numFmt w:val="chineseCounting"/>
      <w:suff w:val="nothing"/>
      <w:lvlText w:val="（%1）"/>
      <w:lvlJc w:val="left"/>
      <w:rPr>
        <w:rFonts w:hint="eastAsia"/>
      </w:rPr>
    </w:lvl>
  </w:abstractNum>
  <w:abstractNum w:abstractNumId="1">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F2ACDF"/>
    <w:multiLevelType w:val="singleLevel"/>
    <w:tmpl w:val="4EF2ACDF"/>
    <w:lvl w:ilvl="0" w:tentative="0">
      <w:start w:val="8"/>
      <w:numFmt w:val="chineseCounting"/>
      <w:suff w:val="nothing"/>
      <w:lvlText w:val="%1、"/>
      <w:lvlJc w:val="left"/>
      <w:rPr>
        <w:rFonts w:hint="eastAsia"/>
      </w:rPr>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D9F0553"/>
    <w:rsid w:val="001A342C"/>
    <w:rsid w:val="003F38C7"/>
    <w:rsid w:val="004F648B"/>
    <w:rsid w:val="005B3F45"/>
    <w:rsid w:val="006F4F94"/>
    <w:rsid w:val="007B0CFF"/>
    <w:rsid w:val="008A33DD"/>
    <w:rsid w:val="008F7EBE"/>
    <w:rsid w:val="00A650DE"/>
    <w:rsid w:val="00BD06B6"/>
    <w:rsid w:val="00CC409E"/>
    <w:rsid w:val="00E34387"/>
    <w:rsid w:val="2B407E46"/>
    <w:rsid w:val="2D9F0553"/>
    <w:rsid w:val="2EA0100A"/>
    <w:rsid w:val="4A9C35D5"/>
    <w:rsid w:val="538B373A"/>
    <w:rsid w:val="5C1E0988"/>
    <w:rsid w:val="60D3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szCs w:val="20"/>
    </w:rPr>
  </w:style>
  <w:style w:type="paragraph" w:styleId="3">
    <w:name w:val="annotation text"/>
    <w:basedOn w:val="1"/>
    <w:unhideWhenUsed/>
    <w:qFormat/>
    <w:uiPriority w:val="0"/>
    <w:pPr>
      <w:jc w:val="left"/>
    </w:pPr>
    <w:rPr>
      <w:rFonts w:eastAsia="仿宋_GB2312"/>
      <w:sz w:val="30"/>
      <w:szCs w:val="30"/>
    </w:rPr>
  </w:style>
  <w:style w:type="paragraph" w:styleId="4">
    <w:name w:val="Plain Text"/>
    <w:basedOn w:val="1"/>
    <w:unhideWhenUsed/>
    <w:qFormat/>
    <w:uiPriority w:val="99"/>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Cambria" w:hAnsi="Cambria"/>
      <w:b/>
      <w:bCs/>
    </w:rPr>
  </w:style>
  <w:style w:type="paragraph" w:styleId="10">
    <w:name w:val="List Paragraph"/>
    <w:basedOn w:val="1"/>
    <w:qFormat/>
    <w:uiPriority w:val="34"/>
    <w:pPr>
      <w:ind w:firstLine="420" w:firstLineChars="200"/>
    </w:pPr>
  </w:style>
  <w:style w:type="paragraph" w:customStyle="1" w:styleId="11">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1315</Words>
  <Characters>7499</Characters>
  <Lines>62</Lines>
  <Paragraphs>17</Paragraphs>
  <TotalTime>12</TotalTime>
  <ScaleCrop>false</ScaleCrop>
  <LinksUpToDate>false</LinksUpToDate>
  <CharactersWithSpaces>8797</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2024-04-19T01:30:00Z</dcterms:created>
  <dc:creator>DELL</dc:creator>
  <cp:lastModifiedBy>DELL</cp:lastModifiedBy>
  <dcterms:modified xsi:type="dcterms:W3CDTF">2024-06-17T07:03:36Z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A72A122049A643C9998F591283421FB6</vt:lpwstr>
  </property>
</Properties>
</file>