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both"/>
        <w:rPr>
          <w:rFonts w:ascii="方正小标宋_GBK" w:eastAsia="方正小标宋_GBK"/>
          <w:b/>
          <w:sz w:val="44"/>
          <w:szCs w:val="44"/>
        </w:rPr>
      </w:pPr>
      <w:bookmarkStart w:id="0" w:name="_Toc259693303"/>
      <w:bookmarkStart w:id="1" w:name="_Toc259694434"/>
      <w:bookmarkStart w:id="2" w:name="_Toc259637652"/>
      <w:bookmarkStart w:id="3" w:name="_Toc259694429"/>
      <w:bookmarkStart w:id="4" w:name="_Toc248117630"/>
      <w:bookmarkStart w:id="5" w:name="_Toc248117635"/>
      <w:bookmarkStart w:id="6" w:name="_Toc259694437"/>
    </w:p>
    <w:p>
      <w:pPr>
        <w:pStyle w:val="2"/>
      </w:pPr>
    </w:p>
    <w:p>
      <w:pPr>
        <w:spacing w:line="579" w:lineRule="exact"/>
        <w:jc w:val="center"/>
        <w:rPr>
          <w:rFonts w:ascii="方正小标宋_GBK" w:eastAsia="方正小标宋_GBK"/>
          <w:b/>
          <w:sz w:val="44"/>
          <w:szCs w:val="44"/>
        </w:rPr>
      </w:pPr>
    </w:p>
    <w:p>
      <w:pPr>
        <w:spacing w:line="579"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重庆高速资产经营管理有限公司</w:t>
      </w:r>
    </w:p>
    <w:p>
      <w:pPr>
        <w:spacing w:line="579" w:lineRule="exact"/>
        <w:jc w:val="center"/>
        <w:rPr>
          <w:rFonts w:ascii="方正小标宋_GBK" w:hAnsi="方正小标宋_GBK" w:eastAsia="方正小标宋_GBK" w:cs="宋体"/>
          <w:b/>
          <w:spacing w:val="20"/>
          <w:sz w:val="72"/>
          <w:szCs w:val="72"/>
        </w:rPr>
      </w:pPr>
      <w:r>
        <w:rPr>
          <w:rFonts w:hint="eastAsia" w:ascii="方正小标宋_GBK" w:hAnsi="方正小标宋_GBK" w:eastAsia="方正小标宋_GBK" w:cs="方正小标宋_GBK"/>
          <w:sz w:val="44"/>
          <w:szCs w:val="44"/>
          <w:lang w:eastAsia="zh-CN"/>
        </w:rPr>
        <w:t>下属非成品油公司</w:t>
      </w:r>
      <w:r>
        <w:rPr>
          <w:rFonts w:hint="eastAsia" w:ascii="方正小标宋_GBK" w:hAnsi="方正小标宋_GBK" w:eastAsia="方正小标宋_GBK" w:cs="方正小标宋_GBK"/>
          <w:sz w:val="44"/>
          <w:szCs w:val="44"/>
        </w:rPr>
        <w:t>常年法律顾问聘用</w:t>
      </w:r>
    </w:p>
    <w:p>
      <w:pPr>
        <w:spacing w:line="579" w:lineRule="exact"/>
        <w:jc w:val="center"/>
        <w:rPr>
          <w:rFonts w:ascii="方正小标宋_GBK" w:eastAsia="方正小标宋_GBK"/>
          <w:b/>
          <w:sz w:val="48"/>
          <w:szCs w:val="48"/>
        </w:rPr>
      </w:pPr>
    </w:p>
    <w:p>
      <w:pPr>
        <w:spacing w:line="579" w:lineRule="exact"/>
        <w:jc w:val="center"/>
        <w:rPr>
          <w:rFonts w:ascii="方正小标宋_GBK" w:eastAsia="方正小标宋_GBK"/>
          <w:b/>
          <w:sz w:val="48"/>
          <w:szCs w:val="48"/>
        </w:rPr>
      </w:pPr>
    </w:p>
    <w:p>
      <w:pPr>
        <w:spacing w:line="579" w:lineRule="exact"/>
        <w:jc w:val="center"/>
        <w:rPr>
          <w:rFonts w:ascii="方正小标宋_GBK" w:eastAsia="方正小标宋_GBK"/>
          <w:b/>
          <w:sz w:val="48"/>
          <w:szCs w:val="48"/>
        </w:rPr>
      </w:pPr>
    </w:p>
    <w:p>
      <w:pPr>
        <w:spacing w:line="579" w:lineRule="exact"/>
        <w:jc w:val="center"/>
        <w:rPr>
          <w:rFonts w:ascii="方正小标宋_GBK" w:eastAsia="方正小标宋_GBK"/>
          <w:b/>
          <w:sz w:val="48"/>
          <w:szCs w:val="48"/>
        </w:rPr>
      </w:pPr>
    </w:p>
    <w:p>
      <w:pPr>
        <w:spacing w:line="579" w:lineRule="exact"/>
        <w:jc w:val="center"/>
        <w:rPr>
          <w:rFonts w:ascii="方正小标宋_GBK" w:eastAsia="方正小标宋_GBK"/>
          <w:b/>
          <w:sz w:val="48"/>
          <w:szCs w:val="48"/>
        </w:rPr>
      </w:pPr>
    </w:p>
    <w:p>
      <w:pPr>
        <w:spacing w:line="579" w:lineRule="exact"/>
        <w:jc w:val="center"/>
        <w:rPr>
          <w:rFonts w:ascii="方正小标宋_GBK" w:hAnsi="方正小标宋_GBK" w:eastAsia="方正小标宋_GBK" w:cs="方正小标宋_GBK"/>
          <w:b/>
          <w:sz w:val="52"/>
          <w:szCs w:val="52"/>
        </w:rPr>
      </w:pPr>
      <w:r>
        <w:rPr>
          <w:rFonts w:hint="eastAsia" w:ascii="方正小标宋_GBK" w:hAnsi="方正小标宋_GBK" w:eastAsia="方正小标宋_GBK" w:cs="方正小标宋_GBK"/>
          <w:b/>
          <w:sz w:val="52"/>
          <w:szCs w:val="52"/>
        </w:rPr>
        <w:t>竞争性比选文件</w:t>
      </w:r>
    </w:p>
    <w:p>
      <w:pPr>
        <w:spacing w:line="579" w:lineRule="exact"/>
        <w:jc w:val="center"/>
        <w:rPr>
          <w:rFonts w:ascii="方正小标宋_GBK" w:eastAsia="方正小标宋_GBK"/>
          <w:b/>
          <w:sz w:val="44"/>
          <w:szCs w:val="44"/>
        </w:rPr>
      </w:pPr>
    </w:p>
    <w:p>
      <w:pPr>
        <w:spacing w:line="579" w:lineRule="exact"/>
        <w:jc w:val="center"/>
        <w:rPr>
          <w:rFonts w:ascii="方正小标宋_GBK" w:eastAsia="方正小标宋_GBK"/>
          <w:b/>
          <w:sz w:val="44"/>
          <w:szCs w:val="44"/>
        </w:rPr>
      </w:pPr>
    </w:p>
    <w:p>
      <w:pPr>
        <w:spacing w:line="579" w:lineRule="exact"/>
        <w:jc w:val="center"/>
        <w:rPr>
          <w:rFonts w:ascii="方正小标宋_GBK" w:eastAsia="方正小标宋_GBK"/>
          <w:b/>
          <w:sz w:val="44"/>
          <w:szCs w:val="44"/>
        </w:rPr>
      </w:pPr>
    </w:p>
    <w:p>
      <w:pPr>
        <w:spacing w:line="579" w:lineRule="exact"/>
        <w:jc w:val="center"/>
        <w:rPr>
          <w:rFonts w:ascii="方正小标宋_GBK" w:eastAsia="方正小标宋_GBK"/>
          <w:b/>
          <w:sz w:val="44"/>
          <w:szCs w:val="44"/>
        </w:rPr>
      </w:pPr>
    </w:p>
    <w:p>
      <w:pPr>
        <w:spacing w:line="579" w:lineRule="exact"/>
        <w:jc w:val="center"/>
        <w:rPr>
          <w:rFonts w:ascii="方正小标宋_GBK" w:eastAsia="方正小标宋_GBK"/>
          <w:b/>
          <w:sz w:val="44"/>
          <w:szCs w:val="44"/>
        </w:rPr>
      </w:pPr>
    </w:p>
    <w:p>
      <w:pPr>
        <w:spacing w:line="579" w:lineRule="exact"/>
        <w:rPr>
          <w:rFonts w:ascii="方正小标宋_GBK" w:eastAsia="方正小标宋_GBK"/>
          <w:b/>
          <w:sz w:val="44"/>
          <w:szCs w:val="44"/>
        </w:rPr>
      </w:pPr>
    </w:p>
    <w:p>
      <w:pPr>
        <w:spacing w:line="579" w:lineRule="exact"/>
        <w:jc w:val="center"/>
        <w:rPr>
          <w:rFonts w:ascii="方正小标宋_GBK" w:eastAsia="方正小标宋_GBK"/>
          <w:b/>
          <w:sz w:val="44"/>
          <w:szCs w:val="44"/>
        </w:rPr>
      </w:pPr>
    </w:p>
    <w:p>
      <w:pPr>
        <w:spacing w:line="579" w:lineRule="exact"/>
        <w:jc w:val="center"/>
        <w:rPr>
          <w:rFonts w:ascii="方正小标宋_GBK" w:eastAsia="方正小标宋_GBK"/>
          <w:b/>
          <w:sz w:val="44"/>
          <w:szCs w:val="44"/>
        </w:rPr>
      </w:pPr>
    </w:p>
    <w:p>
      <w:pPr>
        <w:spacing w:line="579" w:lineRule="exact"/>
        <w:jc w:val="center"/>
        <w:rPr>
          <w:rFonts w:ascii="方正小标宋_GBK" w:eastAsia="方正小标宋_GBK"/>
          <w:b/>
          <w:sz w:val="44"/>
          <w:szCs w:val="44"/>
        </w:rPr>
      </w:pPr>
    </w:p>
    <w:p>
      <w:pPr>
        <w:spacing w:line="579" w:lineRule="exact"/>
        <w:jc w:val="center"/>
        <w:rPr>
          <w:rFonts w:ascii="方正小标宋_GBK" w:eastAsia="方正小标宋_GBK"/>
          <w:b/>
          <w:sz w:val="44"/>
          <w:szCs w:val="44"/>
        </w:rPr>
      </w:pPr>
    </w:p>
    <w:p>
      <w:pPr>
        <w:spacing w:line="579" w:lineRule="exact"/>
        <w:jc w:val="center"/>
        <w:rPr>
          <w:rFonts w:ascii="方正仿宋_GBK" w:hAnsi="方正仿宋_GBK" w:eastAsia="方正仿宋_GBK"/>
          <w:b/>
          <w:sz w:val="30"/>
          <w:szCs w:val="30"/>
        </w:rPr>
      </w:pPr>
      <w:r>
        <w:rPr>
          <w:rFonts w:hint="eastAsia" w:ascii="方正仿宋_GBK" w:hAnsi="方正仿宋_GBK" w:eastAsia="方正仿宋_GBK"/>
          <w:b/>
          <w:sz w:val="30"/>
          <w:szCs w:val="30"/>
        </w:rPr>
        <w:t>竞争比选人：重庆高速资产经营管理有限公司</w:t>
      </w:r>
    </w:p>
    <w:p>
      <w:pPr>
        <w:spacing w:line="579" w:lineRule="exact"/>
        <w:jc w:val="center"/>
        <w:rPr>
          <w:rFonts w:ascii="方正仿宋_GBK" w:hAnsi="方正仿宋_GBK" w:eastAsia="方正仿宋_GBK"/>
          <w:b/>
          <w:sz w:val="30"/>
          <w:szCs w:val="30"/>
        </w:rPr>
      </w:pPr>
      <w:r>
        <w:rPr>
          <w:rFonts w:hint="eastAsia" w:ascii="方正仿宋_GBK" w:hAnsi="方正仿宋_GBK" w:eastAsia="方正仿宋_GBK"/>
          <w:b/>
          <w:sz w:val="30"/>
          <w:szCs w:val="30"/>
        </w:rPr>
        <w:t>二零二四年</w:t>
      </w:r>
      <w:r>
        <w:rPr>
          <w:rFonts w:hint="eastAsia" w:ascii="方正仿宋_GBK" w:hAnsi="方正仿宋_GBK" w:eastAsia="方正仿宋_GBK"/>
          <w:b/>
          <w:sz w:val="30"/>
          <w:szCs w:val="30"/>
          <w:lang w:eastAsia="zh-CN"/>
        </w:rPr>
        <w:t>五</w:t>
      </w:r>
      <w:r>
        <w:rPr>
          <w:rFonts w:hint="eastAsia" w:ascii="方正仿宋_GBK" w:hAnsi="方正仿宋_GBK" w:eastAsia="方正仿宋_GBK"/>
          <w:b/>
          <w:sz w:val="30"/>
          <w:szCs w:val="30"/>
        </w:rPr>
        <w:t>月</w:t>
      </w:r>
    </w:p>
    <w:p>
      <w:pPr>
        <w:spacing w:line="579" w:lineRule="exact"/>
        <w:jc w:val="center"/>
        <w:rPr>
          <w:rFonts w:ascii="方正小标宋_GBK" w:eastAsia="方正小标宋_GBK"/>
          <w:b/>
          <w:sz w:val="44"/>
          <w:szCs w:val="44"/>
        </w:rPr>
      </w:pPr>
    </w:p>
    <w:p>
      <w:pPr>
        <w:spacing w:line="579" w:lineRule="exact"/>
        <w:jc w:val="center"/>
        <w:rPr>
          <w:rFonts w:ascii="方正小标宋_GBK" w:eastAsia="方正小标宋_GBK"/>
          <w:b/>
          <w:sz w:val="44"/>
          <w:szCs w:val="44"/>
        </w:rPr>
      </w:pPr>
    </w:p>
    <w:p>
      <w:pPr>
        <w:spacing w:line="579" w:lineRule="exact"/>
        <w:jc w:val="center"/>
        <w:rPr>
          <w:rFonts w:ascii="方正小标宋_GBK" w:eastAsia="方正小标宋_GBK"/>
          <w:b/>
          <w:sz w:val="44"/>
          <w:szCs w:val="44"/>
        </w:rPr>
      </w:pPr>
    </w:p>
    <w:p>
      <w:pPr>
        <w:spacing w:line="579" w:lineRule="exact"/>
        <w:jc w:val="center"/>
        <w:rPr>
          <w:rFonts w:ascii="方正小标宋_GBK" w:eastAsia="方正小标宋_GBK"/>
          <w:b/>
          <w:sz w:val="44"/>
          <w:szCs w:val="44"/>
        </w:rPr>
      </w:pPr>
    </w:p>
    <w:p>
      <w:pPr>
        <w:spacing w:line="579" w:lineRule="exact"/>
        <w:jc w:val="center"/>
        <w:rPr>
          <w:rFonts w:ascii="方正小标宋_GBK" w:eastAsia="方正小标宋_GBK"/>
          <w:b/>
          <w:sz w:val="44"/>
          <w:szCs w:val="44"/>
        </w:rPr>
      </w:pPr>
    </w:p>
    <w:p>
      <w:pPr>
        <w:spacing w:line="579" w:lineRule="exact"/>
        <w:jc w:val="center"/>
        <w:rPr>
          <w:rFonts w:ascii="方正小标宋_GBK" w:eastAsia="方正小标宋_GBK"/>
          <w:b/>
          <w:sz w:val="44"/>
          <w:szCs w:val="44"/>
        </w:rPr>
      </w:pPr>
    </w:p>
    <w:p>
      <w:pPr>
        <w:spacing w:line="579" w:lineRule="exact"/>
        <w:jc w:val="center"/>
        <w:rPr>
          <w:rFonts w:ascii="方正小标宋_GBK" w:eastAsia="方正小标宋_GBK"/>
          <w:b/>
          <w:sz w:val="44"/>
          <w:szCs w:val="44"/>
        </w:rPr>
      </w:pPr>
    </w:p>
    <w:p>
      <w:pPr>
        <w:spacing w:line="579" w:lineRule="exact"/>
        <w:jc w:val="center"/>
        <w:rPr>
          <w:rFonts w:ascii="方正小标宋_GBK" w:eastAsia="方正小标宋_GBK"/>
          <w:b/>
          <w:sz w:val="44"/>
          <w:szCs w:val="44"/>
        </w:rPr>
      </w:pPr>
    </w:p>
    <w:p>
      <w:pPr>
        <w:spacing w:line="579" w:lineRule="exact"/>
        <w:jc w:val="center"/>
        <w:rPr>
          <w:rFonts w:ascii="方正小标宋_GBK" w:eastAsia="方正小标宋_GBK"/>
          <w:b/>
          <w:sz w:val="44"/>
          <w:szCs w:val="44"/>
        </w:rPr>
      </w:pPr>
    </w:p>
    <w:p>
      <w:pPr>
        <w:spacing w:line="579" w:lineRule="exact"/>
        <w:jc w:val="center"/>
        <w:rPr>
          <w:rFonts w:ascii="方正小标宋_GBK" w:eastAsia="方正小标宋_GBK"/>
          <w:b/>
          <w:sz w:val="44"/>
          <w:szCs w:val="44"/>
        </w:rPr>
      </w:pPr>
    </w:p>
    <w:p>
      <w:pPr>
        <w:spacing w:line="579" w:lineRule="exact"/>
        <w:jc w:val="center"/>
        <w:rPr>
          <w:rFonts w:ascii="方正小标宋_GBK" w:eastAsia="方正小标宋_GBK"/>
          <w:b/>
          <w:sz w:val="44"/>
          <w:szCs w:val="44"/>
        </w:rPr>
      </w:pPr>
    </w:p>
    <w:p>
      <w:pPr>
        <w:tabs>
          <w:tab w:val="left" w:pos="426"/>
        </w:tabs>
        <w:snapToGrid w:val="0"/>
        <w:spacing w:line="579" w:lineRule="exact"/>
        <w:jc w:val="center"/>
        <w:rPr>
          <w:rFonts w:ascii="方正小标宋_GBK" w:hAnsi="方正小标宋_GBK" w:eastAsia="方正小标宋_GBK"/>
          <w:b/>
          <w:sz w:val="44"/>
          <w:szCs w:val="44"/>
        </w:rPr>
      </w:pPr>
      <w:r>
        <w:rPr>
          <w:rFonts w:hint="eastAsia" w:ascii="方正小标宋_GBK" w:hAnsi="方正小标宋_GBK" w:eastAsia="方正小标宋_GBK"/>
          <w:b/>
          <w:sz w:val="44"/>
          <w:szCs w:val="44"/>
        </w:rPr>
        <w:t>第一章  竞争性比选函</w:t>
      </w:r>
    </w:p>
    <w:p>
      <w:pPr>
        <w:spacing w:line="579" w:lineRule="exact"/>
        <w:jc w:val="center"/>
        <w:rPr>
          <w:rFonts w:ascii="方正小标宋_GBK" w:eastAsia="方正小标宋_GBK"/>
          <w:b/>
          <w:sz w:val="44"/>
          <w:szCs w:val="44"/>
        </w:rPr>
      </w:pPr>
    </w:p>
    <w:p>
      <w:pPr>
        <w:tabs>
          <w:tab w:val="left" w:pos="426"/>
        </w:tabs>
        <w:snapToGrid w:val="0"/>
        <w:spacing w:line="579" w:lineRule="exact"/>
        <w:jc w:val="center"/>
        <w:rPr>
          <w:rFonts w:hint="eastAsia" w:ascii="方正小标宋_GBK" w:hAnsi="方正小标宋_GBK" w:eastAsia="方正小标宋_GBK" w:cs="方正小标宋_GBK"/>
          <w:sz w:val="28"/>
          <w:szCs w:val="28"/>
        </w:rPr>
      </w:pPr>
      <w:r>
        <w:rPr>
          <w:rFonts w:hint="eastAsia" w:ascii="方正小标宋_GBK" w:eastAsia="方正小标宋_GBK"/>
          <w:b/>
          <w:sz w:val="44"/>
          <w:szCs w:val="44"/>
        </w:rPr>
        <w:br w:type="page"/>
      </w:r>
      <w:r>
        <w:rPr>
          <w:rFonts w:hint="eastAsia" w:ascii="方正小标宋_GBK" w:hAnsi="方正小标宋_GBK" w:eastAsia="方正小标宋_GBK" w:cs="方正小标宋_GBK"/>
          <w:sz w:val="28"/>
          <w:szCs w:val="28"/>
        </w:rPr>
        <w:t>重庆高速资产经营管理有限公司下属非成品油公司</w:t>
      </w:r>
    </w:p>
    <w:p>
      <w:pPr>
        <w:tabs>
          <w:tab w:val="left" w:pos="426"/>
        </w:tabs>
        <w:snapToGrid w:val="0"/>
        <w:spacing w:line="579" w:lineRule="exact"/>
        <w:jc w:val="center"/>
        <w:rPr>
          <w:rFonts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常年法律顾问聘用</w:t>
      </w:r>
    </w:p>
    <w:p>
      <w:pPr>
        <w:tabs>
          <w:tab w:val="left" w:pos="426"/>
        </w:tabs>
        <w:snapToGrid w:val="0"/>
        <w:spacing w:line="579" w:lineRule="exact"/>
        <w:jc w:val="center"/>
        <w:rPr>
          <w:rFonts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竞争性比选函</w:t>
      </w:r>
    </w:p>
    <w:p>
      <w:pPr>
        <w:spacing w:line="579" w:lineRule="exact"/>
        <w:jc w:val="center"/>
        <w:rPr>
          <w:rFonts w:ascii="方正小标宋_GBK" w:eastAsia="方正小标宋_GBK"/>
          <w:b/>
          <w:sz w:val="44"/>
          <w:szCs w:val="44"/>
        </w:rPr>
      </w:pPr>
    </w:p>
    <w:p>
      <w:pPr>
        <w:spacing w:line="579" w:lineRule="exact"/>
        <w:rPr>
          <w:rFonts w:ascii="方正仿宋_GBK" w:hAnsi="方正仿宋_GBK" w:eastAsia="方正仿宋_GBK" w:cs="方正小标宋_GBK"/>
          <w:bCs/>
        </w:rPr>
      </w:pPr>
      <w:r>
        <w:rPr>
          <w:rFonts w:hint="eastAsia" w:ascii="方正仿宋_GBK" w:hAnsi="方正仿宋_GBK" w:eastAsia="方正仿宋_GBK" w:cs="方正小标宋_GBK"/>
          <w:bCs/>
          <w:sz w:val="28"/>
          <w:szCs w:val="28"/>
        </w:rPr>
        <w:t>各单位：</w:t>
      </w:r>
    </w:p>
    <w:p>
      <w:pPr>
        <w:tabs>
          <w:tab w:val="left" w:pos="426"/>
        </w:tabs>
        <w:snapToGrid w:val="0"/>
        <w:spacing w:line="579" w:lineRule="exact"/>
        <w:jc w:val="left"/>
        <w:rPr>
          <w:rFonts w:ascii="方正仿宋_GBK" w:hAnsi="方正仿宋_GBK" w:eastAsia="方正仿宋_GBK" w:cs="方正仿宋_GBK"/>
          <w:sz w:val="28"/>
          <w:szCs w:val="28"/>
        </w:rPr>
      </w:pPr>
      <w:r>
        <w:rPr>
          <w:rFonts w:hint="eastAsia" w:ascii="方正仿宋_GBK" w:hAnsi="方正仿宋_GBK" w:eastAsia="方正仿宋_GBK" w:cs="宋体"/>
          <w:sz w:val="28"/>
          <w:szCs w:val="28"/>
        </w:rPr>
        <w:t xml:space="preserve">    </w:t>
      </w:r>
      <w:r>
        <w:rPr>
          <w:rFonts w:hint="eastAsia" w:ascii="方正仿宋_GBK" w:hAnsi="方正仿宋_GBK" w:eastAsia="方正仿宋_GBK" w:cs="方正仿宋_GBK"/>
          <w:sz w:val="28"/>
          <w:szCs w:val="28"/>
        </w:rPr>
        <w:t>重庆高速资产经营管理有限公司拟</w:t>
      </w:r>
      <w:r>
        <w:rPr>
          <w:rFonts w:hint="eastAsia" w:ascii="方正仿宋_GBK" w:hAnsi="方正仿宋_GBK" w:eastAsia="方正仿宋_GBK" w:cs="方正仿宋_GBK"/>
          <w:sz w:val="28"/>
          <w:szCs w:val="28"/>
          <w:lang w:eastAsia="zh-CN"/>
        </w:rPr>
        <w:t>为下属非成品油公司</w:t>
      </w:r>
      <w:r>
        <w:rPr>
          <w:rFonts w:hint="eastAsia" w:ascii="方正仿宋_GBK" w:hAnsi="方正仿宋_GBK" w:eastAsia="方正仿宋_GBK" w:cs="方正仿宋_GBK"/>
          <w:sz w:val="28"/>
          <w:szCs w:val="28"/>
        </w:rPr>
        <w:t>聘请一家律师事务所负责提供常年法律服务工作，服务期限为</w:t>
      </w:r>
      <w:r>
        <w:rPr>
          <w:rFonts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rPr>
        <w:t>年（采用“1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”模式，合同一年一签，一年期满后根据公司考核情况决定是否续签），</w:t>
      </w:r>
      <w:r>
        <w:rPr>
          <w:rFonts w:hint="eastAsia" w:ascii="方正仿宋_GBK" w:hAnsi="方正仿宋_GBK" w:eastAsia="方正仿宋_GBK" w:cs="方正仿宋_GBK"/>
          <w:sz w:val="28"/>
          <w:szCs w:val="28"/>
        </w:rPr>
        <w:t>为确保项目顺利开展，我司拟通过竞争性比选确定本项目实施单位，欢迎符合资格条件的律师事务所参与比选</w:t>
      </w:r>
      <w:r>
        <w:rPr>
          <w:rFonts w:hint="eastAsia" w:ascii="方正仿宋_GBK" w:hAnsi="方正仿宋_GBK" w:eastAsia="方正仿宋_GBK" w:cs="方正仿宋_GBK"/>
          <w:sz w:val="28"/>
          <w:szCs w:val="28"/>
          <w:lang w:eastAsia="zh-CN"/>
        </w:rPr>
        <w:t>。鉴于集团律所非必须招标项目合作供方库是以律所团队为单位入库，若同一律所抽选到多个团队的，由其中一个团队（由所在律所确定）代表律所参与报价。</w:t>
      </w:r>
      <w:r>
        <w:rPr>
          <w:rFonts w:hint="eastAsia" w:ascii="方正仿宋_GBK" w:hAnsi="方正仿宋_GBK" w:eastAsia="方正仿宋_GBK" w:cs="方正仿宋_GBK"/>
          <w:sz w:val="28"/>
          <w:szCs w:val="28"/>
        </w:rPr>
        <w:t>具体事项公布如下：</w:t>
      </w:r>
    </w:p>
    <w:p>
      <w:pPr>
        <w:numPr>
          <w:ilvl w:val="0"/>
          <w:numId w:val="1"/>
        </w:numPr>
        <w:spacing w:line="579" w:lineRule="exact"/>
        <w:ind w:firstLine="562" w:firstLineChars="200"/>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 xml:space="preserve"> 公司简介</w:t>
      </w:r>
    </w:p>
    <w:p>
      <w:pPr>
        <w:spacing w:line="579" w:lineRule="exact"/>
        <w:ind w:firstLine="56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高速资产经营管理有限公司为重庆高速公路集团有限公司下属全资子公司，主要从事投资业务及相关资产经营、管理，房地产开发，房屋租赁，货物运输代理，仓储，成品油销售，天然气销售、建设运营充电桩，建材销售等。注册资本金82,864.1413万元，截至2022年底，下属全资、控股子公司15家，投资或参股公司7家，员工70余人。</w:t>
      </w:r>
    </w:p>
    <w:p>
      <w:pPr>
        <w:spacing w:line="579" w:lineRule="exact"/>
        <w:ind w:firstLine="56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第二条  主要工作内容</w:t>
      </w:r>
    </w:p>
    <w:p>
      <w:pPr>
        <w:spacing w:line="579" w:lineRule="exact"/>
        <w:ind w:firstLine="560"/>
        <w:jc w:val="left"/>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本次服务周期为2年。</w:t>
      </w:r>
      <w:r>
        <w:rPr>
          <w:rFonts w:hint="eastAsia" w:ascii="方正仿宋_GBK" w:hAnsi="方正仿宋_GBK" w:eastAsia="方正仿宋_GBK" w:cs="方正仿宋_GBK"/>
          <w:color w:val="000000"/>
          <w:sz w:val="28"/>
          <w:szCs w:val="28"/>
          <w:lang w:eastAsia="zh-CN"/>
        </w:rPr>
        <w:t>需为资产公司下属非成品油公司：</w:t>
      </w:r>
      <w:r>
        <w:rPr>
          <w:rFonts w:hint="eastAsia" w:ascii="方正仿宋_GBK" w:hAnsi="方正仿宋_GBK" w:eastAsia="方正仿宋_GBK" w:cs="方正仿宋_GBK"/>
          <w:color w:val="000000"/>
          <w:sz w:val="28"/>
          <w:szCs w:val="28"/>
        </w:rPr>
        <w:t>高速管家(重庆)实业有限公司、重庆鹏途企业管理咨询有限公司、重庆高速文化传媒股份有限公司、重庆渝通宾馆有限公司、重庆高速利百客供应链有限公司、重庆交通速运汽车租赁有限公司</w:t>
      </w:r>
      <w:r>
        <w:rPr>
          <w:rFonts w:hint="eastAsia" w:ascii="方正仿宋_GBK" w:hAnsi="方正仿宋_GBK" w:eastAsia="方正仿宋_GBK" w:cs="方正仿宋_GBK"/>
          <w:color w:val="000000"/>
          <w:sz w:val="28"/>
          <w:szCs w:val="28"/>
          <w:lang w:eastAsia="zh-CN"/>
        </w:rPr>
        <w:t>共</w:t>
      </w:r>
      <w:r>
        <w:rPr>
          <w:rFonts w:hint="eastAsia" w:ascii="方正仿宋_GBK" w:hAnsi="方正仿宋_GBK" w:eastAsia="方正仿宋_GBK" w:cs="方正仿宋_GBK"/>
          <w:color w:val="000000"/>
          <w:sz w:val="28"/>
          <w:szCs w:val="28"/>
          <w:lang w:val="en-US" w:eastAsia="zh-CN"/>
        </w:rPr>
        <w:t>6家公司提供法律服务工作</w:t>
      </w:r>
      <w:r>
        <w:rPr>
          <w:rFonts w:hint="eastAsia" w:ascii="方正仿宋_GBK" w:hAnsi="方正仿宋_GBK" w:eastAsia="方正仿宋_GBK" w:cs="方正仿宋_GBK"/>
          <w:color w:val="000000"/>
          <w:sz w:val="28"/>
          <w:szCs w:val="28"/>
          <w:lang w:eastAsia="zh-CN"/>
        </w:rPr>
        <w:t>。因各公司原常年法律顾问服务到期时间不一致，各公司服务起始时间以比选人通知为准。</w:t>
      </w:r>
    </w:p>
    <w:p>
      <w:pPr>
        <w:spacing w:line="579" w:lineRule="exact"/>
        <w:ind w:firstLine="560"/>
        <w:jc w:val="lef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工作</w:t>
      </w:r>
      <w:r>
        <w:rPr>
          <w:rFonts w:hint="eastAsia" w:ascii="方正仿宋_GBK" w:hAnsi="方正仿宋_GBK" w:eastAsia="方正仿宋_GBK" w:cs="方正仿宋_GBK"/>
          <w:sz w:val="28"/>
          <w:szCs w:val="28"/>
        </w:rPr>
        <w:t>内容包括但不限于：</w:t>
      </w:r>
    </w:p>
    <w:p>
      <w:pPr>
        <w:spacing w:line="579" w:lineRule="exact"/>
        <w:ind w:firstLine="56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2.1</w:t>
      </w:r>
      <w:r>
        <w:rPr>
          <w:rFonts w:hint="eastAsia" w:ascii="方正仿宋_GBK" w:hAnsi="方正仿宋_GBK" w:eastAsia="方正仿宋_GBK" w:cs="方正仿宋_GBK"/>
          <w:sz w:val="28"/>
          <w:szCs w:val="28"/>
        </w:rPr>
        <w:t>解答顾问单位日常法律咨询、依法提供法律建议；</w:t>
      </w:r>
    </w:p>
    <w:p>
      <w:pPr>
        <w:spacing w:line="579" w:lineRule="exact"/>
        <w:ind w:firstLine="56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应顾问单位要求，出具法律意见书、律师函；</w:t>
      </w:r>
    </w:p>
    <w:p>
      <w:pPr>
        <w:spacing w:line="579" w:lineRule="exact"/>
        <w:ind w:firstLine="56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3草拟、制定、审查或者修改合同等法律文书；</w:t>
      </w:r>
    </w:p>
    <w:p>
      <w:pPr>
        <w:spacing w:line="579" w:lineRule="exact"/>
        <w:ind w:firstLine="56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4应顾问单位要求，参与磋商、谈判，进行法律分析、论证；</w:t>
      </w:r>
    </w:p>
    <w:p>
      <w:pPr>
        <w:spacing w:line="579" w:lineRule="exact"/>
        <w:ind w:firstLine="56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2.5</w:t>
      </w:r>
      <w:r>
        <w:rPr>
          <w:rFonts w:hint="eastAsia" w:ascii="方正仿宋_GBK" w:hAnsi="方正仿宋_GBK" w:eastAsia="方正仿宋_GBK" w:cs="方正仿宋_GBK"/>
          <w:sz w:val="28"/>
          <w:szCs w:val="28"/>
        </w:rPr>
        <w:t>受顾问单位委托、签署、送达或者接受法律文件；</w:t>
      </w:r>
    </w:p>
    <w:p>
      <w:pPr>
        <w:spacing w:line="579" w:lineRule="exact"/>
        <w:ind w:firstLine="56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2.6</w:t>
      </w:r>
      <w:r>
        <w:rPr>
          <w:rFonts w:hint="eastAsia" w:ascii="方正仿宋_GBK" w:hAnsi="方正仿宋_GBK" w:eastAsia="方正仿宋_GBK" w:cs="方正仿宋_GBK"/>
          <w:sz w:val="28"/>
          <w:szCs w:val="28"/>
        </w:rPr>
        <w:t>为顾问单位生产、经营、管理方面重大决策的合法性、风险预测及对策提供法律依据和书面的法律意见；</w:t>
      </w:r>
    </w:p>
    <w:p>
      <w:pPr>
        <w:spacing w:line="579" w:lineRule="exact"/>
        <w:ind w:firstLine="56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2.7</w:t>
      </w:r>
      <w:r>
        <w:rPr>
          <w:rFonts w:hint="eastAsia" w:ascii="方正仿宋_GBK" w:hAnsi="方正仿宋_GBK" w:eastAsia="方正仿宋_GBK" w:cs="方正仿宋_GBK"/>
          <w:sz w:val="28"/>
          <w:szCs w:val="28"/>
        </w:rPr>
        <w:t>就顾问单位深化企业改革、完善法人治理结构、加强生产经营管理、提高企业经济效益等有关问题提供法律意见；</w:t>
      </w:r>
    </w:p>
    <w:p>
      <w:pPr>
        <w:spacing w:line="579" w:lineRule="exact"/>
        <w:ind w:firstLine="56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2.8</w:t>
      </w:r>
      <w:r>
        <w:rPr>
          <w:rFonts w:hint="eastAsia" w:ascii="方正仿宋_GBK" w:hAnsi="方正仿宋_GBK" w:eastAsia="方正仿宋_GBK" w:cs="方正仿宋_GBK"/>
          <w:sz w:val="28"/>
          <w:szCs w:val="28"/>
        </w:rPr>
        <w:t>根据顾问单位要求，提供顾问单位经营业务相关的法律信息；</w:t>
      </w:r>
    </w:p>
    <w:p>
      <w:pPr>
        <w:spacing w:line="579" w:lineRule="exact"/>
        <w:ind w:firstLine="56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2.9</w:t>
      </w:r>
      <w:r>
        <w:rPr>
          <w:rFonts w:hint="eastAsia" w:ascii="方正仿宋_GBK" w:hAnsi="方正仿宋_GBK" w:eastAsia="方正仿宋_GBK" w:cs="方正仿宋_GBK"/>
          <w:sz w:val="28"/>
          <w:szCs w:val="28"/>
        </w:rPr>
        <w:t>应顾问单位要求，对顾问单位相关人员进行法律知识和运用技巧的培训或举办法律讲座；</w:t>
      </w:r>
    </w:p>
    <w:p>
      <w:pPr>
        <w:spacing w:line="579" w:lineRule="exact"/>
        <w:ind w:firstLine="56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2.10</w:t>
      </w:r>
      <w:r>
        <w:rPr>
          <w:rFonts w:hint="eastAsia" w:ascii="方正仿宋_GBK" w:hAnsi="方正仿宋_GBK" w:eastAsia="方正仿宋_GBK" w:cs="方正仿宋_GBK"/>
          <w:sz w:val="28"/>
          <w:szCs w:val="28"/>
        </w:rPr>
        <w:t>经另行委托，须以不高于服务于同类企业的优惠价格代理顾问单位各类诉讼、仲裁等案件或其他专项法律事务、尽职调查等相关事宜。</w:t>
      </w:r>
    </w:p>
    <w:p>
      <w:pPr>
        <w:tabs>
          <w:tab w:val="left" w:pos="426"/>
        </w:tabs>
        <w:snapToGrid w:val="0"/>
        <w:spacing w:line="579" w:lineRule="exact"/>
        <w:ind w:firstLine="562" w:firstLineChars="200"/>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第三条  竞选人资格</w:t>
      </w:r>
    </w:p>
    <w:p>
      <w:pPr>
        <w:spacing w:line="579"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w:t>
      </w:r>
      <w:r>
        <w:rPr>
          <w:rFonts w:hint="eastAsia" w:ascii="方正仿宋_GBK" w:hAnsi="方正仿宋_GBK" w:eastAsia="方正仿宋_GBK" w:cs="方正仿宋_GBK"/>
          <w:bCs/>
          <w:sz w:val="28"/>
          <w:szCs w:val="28"/>
        </w:rPr>
        <w:t>竞选单位均应具备以下资格：</w:t>
      </w:r>
    </w:p>
    <w:p>
      <w:pPr>
        <w:spacing w:line="579" w:lineRule="exact"/>
        <w:ind w:firstLine="56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3.1律所资质要求：</w:t>
      </w:r>
      <w:r>
        <w:rPr>
          <w:rFonts w:hint="eastAsia" w:ascii="方正仿宋_GBK" w:hAnsi="方正仿宋_GBK" w:eastAsia="方正仿宋_GBK" w:cs="方正仿宋_GBK"/>
          <w:bCs/>
          <w:sz w:val="28"/>
          <w:szCs w:val="28"/>
        </w:rPr>
        <w:t>竞选</w:t>
      </w:r>
      <w:r>
        <w:rPr>
          <w:rFonts w:hint="eastAsia" w:ascii="方正仿宋_GBK" w:hAnsi="方正仿宋_GBK" w:eastAsia="方正仿宋_GBK" w:cs="方正仿宋_GBK"/>
          <w:sz w:val="28"/>
          <w:szCs w:val="28"/>
          <w:shd w:val="clear" w:color="auto" w:fill="FFFFFF"/>
        </w:rPr>
        <w:t>人须具备有效的律师事务所执业许可证</w:t>
      </w:r>
      <w:r>
        <w:rPr>
          <w:rFonts w:hint="eastAsia" w:ascii="方正仿宋_GBK" w:hAnsi="方正仿宋_GBK" w:eastAsia="方正仿宋_GBK" w:cs="方正仿宋_GBK"/>
          <w:kern w:val="0"/>
          <w:sz w:val="28"/>
          <w:szCs w:val="28"/>
        </w:rPr>
        <w:t>。</w:t>
      </w:r>
    </w:p>
    <w:p>
      <w:pPr>
        <w:spacing w:line="579" w:lineRule="exact"/>
        <w:ind w:firstLine="560"/>
        <w:jc w:val="left"/>
        <w:rPr>
          <w:rFonts w:hint="eastAsia" w:ascii="方正仿宋_GBK" w:hAnsi="方正仿宋_GBK" w:eastAsia="方正仿宋_GBK" w:cs="方正仿宋_GBK"/>
          <w:b w:val="0"/>
          <w:bCs w:val="0"/>
          <w:kern w:val="0"/>
          <w:sz w:val="28"/>
          <w:szCs w:val="28"/>
          <w:lang w:val="en-US" w:eastAsia="zh-CN" w:bidi="ar-SA"/>
        </w:rPr>
      </w:pPr>
      <w:r>
        <w:rPr>
          <w:rFonts w:hint="eastAsia" w:ascii="方正仿宋_GBK" w:hAnsi="方正仿宋_GBK" w:eastAsia="方正仿宋_GBK" w:cs="方正仿宋_GBK"/>
          <w:kern w:val="0"/>
          <w:sz w:val="28"/>
          <w:szCs w:val="28"/>
        </w:rPr>
        <w:t>3.1</w:t>
      </w:r>
      <w:r>
        <w:rPr>
          <w:rFonts w:ascii="方正仿宋_GBK" w:hAnsi="方正仿宋_GBK" w:eastAsia="方正仿宋_GBK" w:cs="方正仿宋_GBK"/>
          <w:kern w:val="0"/>
          <w:sz w:val="28"/>
          <w:szCs w:val="28"/>
        </w:rPr>
        <w:t>.1</w:t>
      </w:r>
      <w:r>
        <w:rPr>
          <w:rFonts w:hint="eastAsia" w:ascii="方正仿宋_GBK" w:hAnsi="方正仿宋_GBK" w:eastAsia="方正仿宋_GBK" w:cs="方正仿宋_GBK"/>
          <w:kern w:val="0"/>
          <w:sz w:val="28"/>
          <w:szCs w:val="28"/>
        </w:rPr>
        <w:t>律所（或分所）注册地址在重庆，成立时间</w:t>
      </w:r>
      <w:r>
        <w:rPr>
          <w:rFonts w:ascii="方正仿宋_GBK" w:hAnsi="方正仿宋_GBK" w:eastAsia="方正仿宋_GBK" w:cs="方正仿宋_GBK"/>
          <w:kern w:val="0"/>
          <w:sz w:val="28"/>
          <w:szCs w:val="28"/>
        </w:rPr>
        <w:t>3</w:t>
      </w:r>
      <w:r>
        <w:rPr>
          <w:rFonts w:hint="eastAsia" w:ascii="方正仿宋_GBK" w:hAnsi="方正仿宋_GBK" w:eastAsia="方正仿宋_GBK" w:cs="方正仿宋_GBK"/>
          <w:kern w:val="0"/>
          <w:sz w:val="28"/>
          <w:szCs w:val="28"/>
        </w:rPr>
        <w:t>年以上（截至比选文件发布之日），近3年无违反职业道德和违法、违规执业行为，未受到主管（监管）部门或者律师协会的处罚。</w:t>
      </w:r>
    </w:p>
    <w:p>
      <w:pPr>
        <w:spacing w:line="579" w:lineRule="exact"/>
        <w:ind w:firstLine="560"/>
        <w:jc w:val="left"/>
        <w:rPr>
          <w:rFonts w:hint="eastAsia" w:ascii="方正仿宋_GBK" w:hAnsi="方正仿宋_GBK" w:eastAsia="方正仿宋_GBK" w:cs="方正仿宋_GBK"/>
          <w:b w:val="0"/>
          <w:bCs w:val="0"/>
          <w:kern w:val="0"/>
          <w:sz w:val="28"/>
          <w:szCs w:val="28"/>
          <w:lang w:val="en-US" w:eastAsia="zh-CN" w:bidi="ar-SA"/>
        </w:rPr>
      </w:pPr>
      <w:r>
        <w:rPr>
          <w:rFonts w:hint="eastAsia" w:ascii="方正仿宋_GBK" w:hAnsi="方正仿宋_GBK" w:eastAsia="方正仿宋_GBK" w:cs="方正仿宋_GBK"/>
          <w:b w:val="0"/>
          <w:bCs w:val="0"/>
          <w:kern w:val="0"/>
          <w:sz w:val="28"/>
          <w:szCs w:val="28"/>
          <w:lang w:val="en-US" w:eastAsia="zh-CN" w:bidi="ar-SA"/>
        </w:rPr>
        <w:t>3.1.2具有50名以上执业律师，其中具备5年以上执业工作经历的执业律师5名以上。</w:t>
      </w:r>
    </w:p>
    <w:p>
      <w:pPr>
        <w:spacing w:line="579" w:lineRule="exact"/>
        <w:ind w:firstLine="56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b w:val="0"/>
          <w:bCs w:val="0"/>
          <w:kern w:val="0"/>
          <w:sz w:val="28"/>
          <w:szCs w:val="28"/>
          <w:lang w:val="en-US" w:eastAsia="zh-CN" w:bidi="ar-SA"/>
        </w:rPr>
        <w:t>3.2服务团队要求：拟派服务团队不少于3名律师(含项目负责人、主办律师)组成，项</w:t>
      </w:r>
      <w:r>
        <w:rPr>
          <w:rFonts w:hint="eastAsia" w:ascii="方正仿宋_GBK" w:hAnsi="方正仿宋_GBK" w:eastAsia="方正仿宋_GBK" w:cs="方正仿宋_GBK"/>
          <w:kern w:val="0"/>
          <w:sz w:val="28"/>
          <w:szCs w:val="28"/>
        </w:rPr>
        <w:t>目负责人具有10年及以上执业或司法系统从业经验，主办律师具有5年及以上执业或司法系统从业经验,其余成员均执业3年及以上。</w:t>
      </w:r>
    </w:p>
    <w:p>
      <w:pPr>
        <w:spacing w:line="579"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3.</w:t>
      </w:r>
      <w:r>
        <w:rPr>
          <w:rFonts w:ascii="方正仿宋_GBK" w:hAnsi="方正仿宋_GBK" w:eastAsia="方正仿宋_GBK" w:cs="方正仿宋_GBK"/>
          <w:kern w:val="0"/>
          <w:sz w:val="28"/>
          <w:szCs w:val="28"/>
        </w:rPr>
        <w:t>2.1</w:t>
      </w:r>
      <w:r>
        <w:rPr>
          <w:rFonts w:hint="eastAsia" w:ascii="方正仿宋_GBK" w:hAnsi="方正仿宋_GBK" w:eastAsia="方正仿宋_GBK" w:cs="方正仿宋_GBK"/>
          <w:kern w:val="0"/>
          <w:sz w:val="28"/>
          <w:szCs w:val="28"/>
        </w:rPr>
        <w:t>项目负责人和主办律师需具有为国有企业提供常年法律服务的经验，须提供相应证明材料</w:t>
      </w:r>
      <w:r>
        <w:rPr>
          <w:rFonts w:hint="eastAsia" w:ascii="方正仿宋_GBK" w:hAnsi="方正仿宋_GBK" w:eastAsia="方正仿宋_GBK" w:cs="方正仿宋_GBK"/>
          <w:sz w:val="28"/>
          <w:szCs w:val="28"/>
        </w:rPr>
        <w:t>。</w:t>
      </w:r>
    </w:p>
    <w:p>
      <w:pPr>
        <w:spacing w:line="579" w:lineRule="exact"/>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w:t>
      </w:r>
      <w:r>
        <w:rPr>
          <w:rFonts w:ascii="方正仿宋_GBK" w:hAnsi="方正仿宋_GBK" w:eastAsia="方正仿宋_GBK" w:cs="方正仿宋_GBK"/>
          <w:bCs/>
          <w:sz w:val="28"/>
          <w:szCs w:val="28"/>
        </w:rPr>
        <w:t>3</w:t>
      </w:r>
      <w:r>
        <w:rPr>
          <w:rFonts w:hint="eastAsia" w:ascii="方正仿宋_GBK" w:hAnsi="方正仿宋_GBK" w:eastAsia="方正仿宋_GBK" w:cs="方正仿宋_GBK"/>
          <w:bCs/>
          <w:sz w:val="28"/>
          <w:szCs w:val="28"/>
        </w:rPr>
        <w:t>本次比选不接受联合体参加。</w:t>
      </w:r>
    </w:p>
    <w:p>
      <w:pPr>
        <w:spacing w:line="579" w:lineRule="exact"/>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w:t>
      </w:r>
      <w:r>
        <w:rPr>
          <w:rFonts w:ascii="方正仿宋_GBK" w:hAnsi="方正仿宋_GBK" w:eastAsia="方正仿宋_GBK" w:cs="方正仿宋_GBK"/>
          <w:bCs/>
          <w:sz w:val="28"/>
          <w:szCs w:val="28"/>
        </w:rPr>
        <w:t>4</w:t>
      </w:r>
      <w:r>
        <w:rPr>
          <w:rFonts w:hint="eastAsia" w:ascii="方正仿宋_GBK" w:hAnsi="方正仿宋_GBK" w:eastAsia="方正仿宋_GBK" w:cs="方正仿宋_GBK"/>
          <w:bCs/>
          <w:sz w:val="28"/>
          <w:szCs w:val="28"/>
        </w:rPr>
        <w:t>竞选人不得递交备选比选方案。</w:t>
      </w:r>
    </w:p>
    <w:p>
      <w:pPr>
        <w:spacing w:line="579" w:lineRule="exact"/>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w:t>
      </w:r>
      <w:r>
        <w:rPr>
          <w:rFonts w:ascii="方正仿宋_GBK" w:hAnsi="方正仿宋_GBK" w:eastAsia="方正仿宋_GBK" w:cs="方正仿宋_GBK"/>
          <w:bCs/>
          <w:sz w:val="28"/>
          <w:szCs w:val="28"/>
        </w:rPr>
        <w:t>5</w:t>
      </w:r>
      <w:r>
        <w:rPr>
          <w:rFonts w:hint="eastAsia" w:ascii="方正仿宋_GBK" w:hAnsi="方正仿宋_GBK" w:eastAsia="方正仿宋_GBK" w:cs="方正仿宋_GBK"/>
          <w:bCs/>
          <w:sz w:val="28"/>
          <w:szCs w:val="28"/>
        </w:rPr>
        <w:t>如果竞选人实质上不符合上述资格，即使已领取竞争性比选文件、已提交报价文件，</w:t>
      </w:r>
      <w:r>
        <w:rPr>
          <w:rFonts w:hint="eastAsia" w:ascii="方正仿宋_GBK" w:hAnsi="方正仿宋_GBK" w:eastAsia="方正仿宋_GBK" w:cs="方正仿宋_GBK"/>
          <w:bCs/>
          <w:kern w:val="0"/>
          <w:sz w:val="28"/>
          <w:szCs w:val="28"/>
        </w:rPr>
        <w:t>将按无效投标处理，并且比选人</w:t>
      </w:r>
      <w:r>
        <w:rPr>
          <w:rFonts w:hint="eastAsia" w:ascii="方正仿宋_GBK" w:hAnsi="方正仿宋_GBK" w:eastAsia="方正仿宋_GBK" w:cs="方正仿宋_GBK"/>
          <w:bCs/>
          <w:sz w:val="28"/>
          <w:szCs w:val="28"/>
        </w:rPr>
        <w:t>可以随时取消其中标资格，并对此不负任何责任。</w:t>
      </w:r>
    </w:p>
    <w:p>
      <w:pPr>
        <w:widowControl/>
        <w:spacing w:line="579" w:lineRule="exact"/>
        <w:ind w:firstLine="560" w:firstLineChars="200"/>
        <w:jc w:val="lef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w:t>
      </w:r>
      <w:r>
        <w:rPr>
          <w:rFonts w:ascii="方正仿宋_GBK" w:hAnsi="方正仿宋_GBK" w:eastAsia="方正仿宋_GBK" w:cs="方正仿宋_GBK"/>
          <w:bCs/>
          <w:sz w:val="28"/>
          <w:szCs w:val="28"/>
        </w:rPr>
        <w:t>6</w:t>
      </w:r>
      <w:r>
        <w:rPr>
          <w:rFonts w:hint="eastAsia" w:ascii="方正仿宋_GBK" w:hAnsi="方正仿宋_GBK" w:eastAsia="方正仿宋_GBK" w:cs="方正仿宋_GBK"/>
          <w:bCs/>
          <w:sz w:val="28"/>
          <w:szCs w:val="28"/>
        </w:rPr>
        <w:t>竞选人有下列情形之一，将被公司纳入内部黑名单，影响以后项目合作。</w:t>
      </w:r>
    </w:p>
    <w:p>
      <w:pPr>
        <w:widowControl/>
        <w:spacing w:line="579"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bCs/>
          <w:sz w:val="28"/>
          <w:szCs w:val="28"/>
        </w:rPr>
        <w:t>竞选</w:t>
      </w:r>
      <w:r>
        <w:rPr>
          <w:rFonts w:hint="eastAsia" w:ascii="方正仿宋_GBK" w:hAnsi="方正仿宋_GBK" w:eastAsia="方正仿宋_GBK" w:cs="方正仿宋_GBK"/>
          <w:sz w:val="28"/>
          <w:szCs w:val="28"/>
        </w:rPr>
        <w:t>人在规定的比选有效期内撤销或修改其比选文件；</w:t>
      </w:r>
    </w:p>
    <w:p>
      <w:pPr>
        <w:widowControl/>
        <w:spacing w:line="579"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bCs/>
          <w:sz w:val="28"/>
          <w:szCs w:val="28"/>
        </w:rPr>
        <w:t>竞选</w:t>
      </w:r>
      <w:r>
        <w:rPr>
          <w:rFonts w:hint="eastAsia" w:ascii="方正仿宋_GBK" w:hAnsi="方正仿宋_GBK" w:eastAsia="方正仿宋_GBK" w:cs="方正仿宋_GBK"/>
          <w:sz w:val="28"/>
          <w:szCs w:val="28"/>
        </w:rPr>
        <w:t>人不按竞争性比选文件要求履行签字确认手续；</w:t>
      </w:r>
    </w:p>
    <w:p>
      <w:pPr>
        <w:widowControl/>
        <w:spacing w:line="579"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（3）比选后确定为</w:t>
      </w:r>
      <w:r>
        <w:rPr>
          <w:rFonts w:hint="eastAsia" w:ascii="方正仿宋_GBK" w:hAnsi="方正仿宋_GBK" w:eastAsia="方正仿宋_GBK" w:cs="方正仿宋_GBK"/>
          <w:bCs/>
          <w:sz w:val="28"/>
          <w:szCs w:val="28"/>
        </w:rPr>
        <w:t>竞选</w:t>
      </w:r>
      <w:r>
        <w:rPr>
          <w:rFonts w:hint="eastAsia" w:ascii="方正仿宋_GBK" w:hAnsi="方正仿宋_GBK" w:eastAsia="方正仿宋_GBK" w:cs="方正仿宋_GBK"/>
          <w:sz w:val="28"/>
          <w:szCs w:val="28"/>
        </w:rPr>
        <w:t>候选人，又主动放弃</w:t>
      </w:r>
      <w:r>
        <w:rPr>
          <w:rFonts w:hint="eastAsia" w:ascii="方正仿宋_GBK" w:hAnsi="方正仿宋_GBK" w:eastAsia="方正仿宋_GBK" w:cs="方正仿宋_GBK"/>
          <w:bCs/>
          <w:sz w:val="28"/>
          <w:szCs w:val="28"/>
        </w:rPr>
        <w:t>竞选</w:t>
      </w:r>
      <w:r>
        <w:rPr>
          <w:rFonts w:hint="eastAsia" w:ascii="方正仿宋_GBK" w:hAnsi="方正仿宋_GBK" w:eastAsia="方正仿宋_GBK" w:cs="方正仿宋_GBK"/>
          <w:sz w:val="28"/>
          <w:szCs w:val="28"/>
        </w:rPr>
        <w:t>候选人资格；</w:t>
      </w:r>
    </w:p>
    <w:p>
      <w:pPr>
        <w:spacing w:line="579" w:lineRule="exact"/>
        <w:ind w:firstLine="560" w:firstLineChars="200"/>
      </w:pP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bCs/>
          <w:sz w:val="28"/>
          <w:szCs w:val="28"/>
        </w:rPr>
        <w:t>竞选</w:t>
      </w:r>
      <w:r>
        <w:rPr>
          <w:rFonts w:hint="eastAsia" w:ascii="方正仿宋_GBK" w:hAnsi="方正仿宋_GBK" w:eastAsia="方正仿宋_GBK" w:cs="方正仿宋_GBK"/>
          <w:sz w:val="28"/>
          <w:szCs w:val="28"/>
        </w:rPr>
        <w:t>候选人确定为合作单位，无正当理由拒签合同协议书。</w:t>
      </w:r>
    </w:p>
    <w:p>
      <w:pPr>
        <w:tabs>
          <w:tab w:val="left" w:pos="426"/>
        </w:tabs>
        <w:snapToGrid w:val="0"/>
        <w:spacing w:line="579" w:lineRule="exact"/>
        <w:ind w:firstLine="562" w:firstLineChars="200"/>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第四条  比选文件</w:t>
      </w:r>
    </w:p>
    <w:p>
      <w:pPr>
        <w:spacing w:line="579"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4.1 比选文件包括商务技术文件和报价文件。各</w:t>
      </w:r>
      <w:r>
        <w:rPr>
          <w:rFonts w:hint="eastAsia" w:ascii="方正仿宋_GBK" w:hAnsi="方正仿宋_GBK" w:eastAsia="方正仿宋_GBK" w:cs="方正仿宋_GBK"/>
          <w:bCs/>
          <w:sz w:val="28"/>
          <w:szCs w:val="28"/>
        </w:rPr>
        <w:t>竞选</w:t>
      </w:r>
      <w:r>
        <w:rPr>
          <w:rFonts w:hint="eastAsia" w:ascii="方正仿宋_GBK" w:hAnsi="方正仿宋_GBK" w:eastAsia="方正仿宋_GBK" w:cs="方正仿宋_GBK"/>
          <w:sz w:val="28"/>
          <w:szCs w:val="28"/>
        </w:rPr>
        <w:t>人应提交商务文件</w:t>
      </w:r>
      <w:r>
        <w:rPr>
          <w:rFonts w:hint="eastAsia" w:ascii="方正仿宋_GBK" w:hAnsi="方正仿宋_GBK" w:eastAsia="方正仿宋_GBK"/>
          <w:sz w:val="28"/>
          <w:szCs w:val="28"/>
        </w:rPr>
        <w:t>正副本各一份</w:t>
      </w:r>
      <w:r>
        <w:rPr>
          <w:rFonts w:hint="eastAsia" w:ascii="方正仿宋_GBK" w:hAnsi="方正仿宋_GBK" w:eastAsia="方正仿宋_GBK" w:cs="方正仿宋_GBK"/>
          <w:sz w:val="28"/>
          <w:szCs w:val="28"/>
        </w:rPr>
        <w:t>、报价文件</w:t>
      </w:r>
      <w:r>
        <w:rPr>
          <w:rFonts w:hint="eastAsia" w:ascii="方正仿宋_GBK" w:hAnsi="方正仿宋_GBK" w:eastAsia="方正仿宋_GBK"/>
          <w:sz w:val="28"/>
          <w:szCs w:val="28"/>
        </w:rPr>
        <w:t>正副本各一份</w:t>
      </w:r>
      <w:r>
        <w:rPr>
          <w:rFonts w:hint="eastAsia" w:ascii="方正仿宋_GBK" w:hAnsi="方正仿宋_GBK" w:eastAsia="方正仿宋_GBK" w:cs="方正仿宋_GBK"/>
          <w:sz w:val="28"/>
          <w:szCs w:val="28"/>
        </w:rPr>
        <w:t>。比选文件须按以下格式要求（具体内容及要求见第二章：投标文件格式）分别成册，商务技术文件与报价文件分开装袋密封。在封套上分别写明“重庆高速资产经营管理有限公司下属非成品油公司2</w:t>
      </w:r>
      <w:r>
        <w:rPr>
          <w:rFonts w:ascii="方正仿宋_GBK" w:hAnsi="方正仿宋_GBK" w:eastAsia="方正仿宋_GBK" w:cs="方正仿宋_GBK"/>
          <w:sz w:val="28"/>
          <w:szCs w:val="28"/>
        </w:rPr>
        <w:t>024-2025</w:t>
      </w:r>
      <w:r>
        <w:rPr>
          <w:rFonts w:hint="eastAsia" w:ascii="方正仿宋_GBK" w:hAnsi="方正仿宋_GBK" w:eastAsia="方正仿宋_GBK" w:cs="方正仿宋_GBK"/>
          <w:sz w:val="28"/>
          <w:szCs w:val="28"/>
        </w:rPr>
        <w:t>年度常年法律顾问聘用项目竞争性比选响应文件 第一卷”、“ 重庆高速资产经营管理有限公司下属非成品油公司2</w:t>
      </w:r>
      <w:r>
        <w:rPr>
          <w:rFonts w:ascii="方正仿宋_GBK" w:hAnsi="方正仿宋_GBK" w:eastAsia="方正仿宋_GBK" w:cs="方正仿宋_GBK"/>
          <w:sz w:val="28"/>
          <w:szCs w:val="28"/>
        </w:rPr>
        <w:t>024-2025</w:t>
      </w:r>
      <w:r>
        <w:rPr>
          <w:rFonts w:hint="eastAsia" w:ascii="方正仿宋_GBK" w:hAnsi="方正仿宋_GBK" w:eastAsia="方正仿宋_GBK" w:cs="方正仿宋_GBK"/>
          <w:sz w:val="28"/>
          <w:szCs w:val="28"/>
        </w:rPr>
        <w:t>年度常年法律顾问聘用项目竞争性比选响应文件 第二卷”，密封完好并在封口处加盖公章。比选文件的内容及要求必须按如下顺序依次装订，并编制目录，且从目录开始逐页标注</w:t>
      </w:r>
      <w:r>
        <w:rPr>
          <w:rFonts w:hint="eastAsia" w:ascii="方正仿宋_GBK" w:hAnsi="方正仿宋_GBK" w:eastAsia="方正仿宋_GBK" w:cs="方正仿宋_GBK"/>
          <w:bCs/>
          <w:sz w:val="28"/>
          <w:szCs w:val="28"/>
        </w:rPr>
        <w:t>连续页码：</w:t>
      </w:r>
    </w:p>
    <w:p>
      <w:pPr>
        <w:spacing w:line="579"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第一卷 商务技术文件</w:t>
      </w:r>
    </w:p>
    <w:p>
      <w:pPr>
        <w:spacing w:line="579"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1、封面；</w:t>
      </w:r>
    </w:p>
    <w:p>
      <w:pPr>
        <w:spacing w:line="579"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2、目录；</w:t>
      </w:r>
    </w:p>
    <w:p>
      <w:pPr>
        <w:spacing w:line="579"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3、投标函；</w:t>
      </w:r>
    </w:p>
    <w:p>
      <w:pPr>
        <w:spacing w:line="579"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shd w:val="clear" w:color="auto" w:fill="FFFFFF"/>
        </w:rPr>
        <w:t>律师事务所</w:t>
      </w:r>
      <w:r>
        <w:rPr>
          <w:rFonts w:hint="eastAsia" w:ascii="方正仿宋_GBK" w:hAnsi="方正仿宋_GBK" w:eastAsia="方正仿宋_GBK" w:cs="方正仿宋_GBK"/>
          <w:sz w:val="28"/>
          <w:szCs w:val="28"/>
        </w:rPr>
        <w:t>负责人身份证明或授权委托书；</w:t>
      </w:r>
    </w:p>
    <w:p>
      <w:pPr>
        <w:spacing w:line="579" w:lineRule="exact"/>
        <w:ind w:firstLine="560" w:firstLineChars="200"/>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rPr>
        <w:t>5、</w:t>
      </w:r>
      <w:r>
        <w:rPr>
          <w:rFonts w:hint="eastAsia" w:ascii="方正仿宋_GBK" w:hAnsi="方正仿宋_GBK" w:eastAsia="方正仿宋_GBK" w:cs="方正仿宋_GBK"/>
          <w:sz w:val="28"/>
          <w:szCs w:val="28"/>
          <w:shd w:val="clear" w:color="auto" w:fill="FFFFFF"/>
        </w:rPr>
        <w:t>律师事务所执业许可证</w:t>
      </w:r>
      <w:r>
        <w:rPr>
          <w:rFonts w:hint="eastAsia" w:ascii="方正仿宋_GBK" w:hAnsi="方正仿宋_GBK" w:eastAsia="方正仿宋_GBK" w:cs="方正仿宋_GBK"/>
          <w:sz w:val="28"/>
          <w:szCs w:val="28"/>
        </w:rPr>
        <w:t>复印</w:t>
      </w:r>
      <w:r>
        <w:rPr>
          <w:rFonts w:hint="eastAsia" w:ascii="方正仿宋_GBK" w:hAnsi="方正仿宋_GBK" w:eastAsia="方正仿宋_GBK" w:cs="方正仿宋_GBK"/>
          <w:sz w:val="28"/>
          <w:szCs w:val="28"/>
          <w:shd w:val="clear" w:color="auto" w:fill="FFFFFF"/>
        </w:rPr>
        <w:t>件（含登记事项、变更登记、年度检查考核记录、处罚记录页等）；</w:t>
      </w:r>
    </w:p>
    <w:p>
      <w:pPr>
        <w:spacing w:line="579" w:lineRule="exact"/>
        <w:ind w:firstLine="560" w:firstLineChars="200"/>
        <w:rPr>
          <w:rFonts w:ascii="方正仿宋_GBK" w:hAnsi="方正仿宋_GBK" w:eastAsia="方正仿宋_GBK"/>
        </w:rPr>
      </w:pPr>
      <w:r>
        <w:rPr>
          <w:rFonts w:hint="eastAsia" w:ascii="方正仿宋_GBK" w:hAnsi="方正仿宋_GBK" w:eastAsia="方正仿宋_GBK" w:cs="方正仿宋_GBK"/>
          <w:sz w:val="28"/>
          <w:szCs w:val="28"/>
          <w:shd w:val="clear" w:color="auto" w:fill="FFFFFF"/>
        </w:rPr>
        <w:t>6、省级律师协会网站截屏执业律师名单或提供律师执业证</w:t>
      </w:r>
      <w:r>
        <w:rPr>
          <w:rFonts w:hint="eastAsia" w:ascii="方正仿宋_GBK" w:hAnsi="方正仿宋_GBK" w:eastAsia="方正仿宋_GBK" w:cs="方正仿宋_GBK"/>
          <w:color w:val="000000"/>
          <w:sz w:val="28"/>
          <w:szCs w:val="28"/>
          <w:shd w:val="clear" w:color="auto" w:fill="FFFFFF"/>
        </w:rPr>
        <w:t>（50名以上，含5名以上执业5年的律师执业证）；</w:t>
      </w:r>
    </w:p>
    <w:p>
      <w:pPr>
        <w:spacing w:line="579"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7、拟服务的团队负责人、主办律师和协办律师人员汇总表；</w:t>
      </w:r>
    </w:p>
    <w:p>
      <w:pPr>
        <w:spacing w:line="579"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8、拟服务的团队负责人、主办律师和协办律师资历表及相关证明材料；</w:t>
      </w:r>
    </w:p>
    <w:p>
      <w:pPr>
        <w:pStyle w:val="20"/>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9、律师事务所所获荣誉；</w:t>
      </w:r>
    </w:p>
    <w:p>
      <w:pPr>
        <w:pStyle w:val="20"/>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10、服务团队业绩；</w:t>
      </w:r>
    </w:p>
    <w:p>
      <w:pPr>
        <w:spacing w:line="579"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11、服务方案：包含但不限于总体安排、法律顾问服务工作思路、工作流程、服务团队等；</w:t>
      </w:r>
    </w:p>
    <w:p>
      <w:pPr>
        <w:spacing w:line="579"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12、承诺函。</w:t>
      </w:r>
    </w:p>
    <w:p>
      <w:pPr>
        <w:spacing w:line="579"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第二卷 报价文件</w:t>
      </w:r>
    </w:p>
    <w:p>
      <w:pPr>
        <w:spacing w:line="579"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1、封面</w:t>
      </w:r>
    </w:p>
    <w:p>
      <w:pPr>
        <w:spacing w:line="579"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2、报价函</w:t>
      </w:r>
    </w:p>
    <w:p>
      <w:pPr>
        <w:spacing w:line="579" w:lineRule="exact"/>
        <w:ind w:firstLine="562" w:firstLineChars="200"/>
        <w:rPr>
          <w:rFonts w:ascii="方正仿宋_GBK" w:hAnsi="方正仿宋_GBK" w:eastAsia="方正仿宋_GBK" w:cs="方正仿宋_GBK"/>
          <w:b/>
          <w:sz w:val="28"/>
          <w:szCs w:val="28"/>
          <w:u w:val="single"/>
        </w:rPr>
      </w:pPr>
      <w:r>
        <w:rPr>
          <w:rFonts w:hint="eastAsia" w:ascii="方正仿宋_GBK" w:hAnsi="方正仿宋_GBK" w:eastAsia="方正仿宋_GBK" w:cs="方正仿宋_GBK"/>
          <w:b/>
          <w:sz w:val="28"/>
          <w:szCs w:val="28"/>
        </w:rPr>
        <w:t>第五条  限价及投标报价</w:t>
      </w:r>
    </w:p>
    <w:p>
      <w:pPr>
        <w:widowControl/>
        <w:spacing w:line="579" w:lineRule="exact"/>
        <w:ind w:firstLine="560"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5.1 最高报价不高于人民币</w:t>
      </w:r>
      <w:r>
        <w:rPr>
          <w:rFonts w:hint="eastAsia" w:ascii="方正仿宋_GBK" w:hAnsi="方正仿宋_GBK" w:eastAsia="方正仿宋_GBK" w:cs="方正仿宋_GBK"/>
          <w:sz w:val="28"/>
          <w:szCs w:val="28"/>
          <w:lang w:val="en-US" w:eastAsia="zh-CN"/>
        </w:rPr>
        <w:t>12.47</w:t>
      </w:r>
      <w:r>
        <w:rPr>
          <w:rFonts w:hint="eastAsia" w:ascii="方正仿宋_GBK" w:hAnsi="方正仿宋_GBK" w:eastAsia="方正仿宋_GBK" w:cs="方正仿宋_GBK"/>
          <w:sz w:val="28"/>
          <w:szCs w:val="28"/>
        </w:rPr>
        <w:t>万元/年。</w:t>
      </w:r>
    </w:p>
    <w:p>
      <w:pPr>
        <w:pStyle w:val="20"/>
        <w:widowControl/>
        <w:autoSpaceDE/>
        <w:autoSpaceDN/>
        <w:adjustRightInd/>
        <w:spacing w:line="579" w:lineRule="exact"/>
        <w:ind w:firstLine="560" w:firstLineChars="200"/>
        <w:rPr>
          <w:rFonts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5.2 结算方式</w:t>
      </w:r>
    </w:p>
    <w:p>
      <w:pPr>
        <w:pStyle w:val="20"/>
        <w:widowControl/>
        <w:autoSpaceDE/>
        <w:autoSpaceDN/>
        <w:adjustRightInd/>
        <w:spacing w:line="579" w:lineRule="exact"/>
        <w:ind w:firstLine="560" w:firstLineChars="200"/>
        <w:rPr>
          <w:rFonts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每年费用支付分两期执行，在律所开具符合要求的发票后十五日内支付50%；余款待合同期届满律所提供年度报告，且开具符合要求的发票后十五日内支付剩余50%。</w:t>
      </w:r>
    </w:p>
    <w:p>
      <w:pPr>
        <w:adjustRightInd w:val="0"/>
        <w:spacing w:line="579" w:lineRule="exact"/>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 xml:space="preserve">5.3 </w:t>
      </w:r>
      <w:r>
        <w:rPr>
          <w:rFonts w:hint="eastAsia" w:ascii="方正仿宋_GBK" w:hAnsi="方正仿宋_GBK" w:eastAsia="方正仿宋_GBK" w:cs="方正仿宋_GBK"/>
          <w:bCs/>
          <w:sz w:val="28"/>
          <w:szCs w:val="28"/>
        </w:rPr>
        <w:t>竞选</w:t>
      </w:r>
      <w:r>
        <w:rPr>
          <w:rFonts w:hint="eastAsia" w:ascii="方正仿宋_GBK" w:hAnsi="方正仿宋_GBK" w:eastAsia="方正仿宋_GBK" w:cs="方正仿宋_GBK"/>
          <w:sz w:val="28"/>
          <w:szCs w:val="28"/>
        </w:rPr>
        <w:t>人所报价款包括为实施完成合同任务所需的劳务、材料、管理、税费、利润、现场调研等所有费用，以及该项任务明示或暗示的所有责任、义务和风险。</w:t>
      </w:r>
    </w:p>
    <w:p>
      <w:pPr>
        <w:adjustRightInd w:val="0"/>
        <w:spacing w:line="579"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5.4 比选文件报送时间：</w:t>
      </w:r>
      <w:r>
        <w:rPr>
          <w:rFonts w:hint="eastAsia" w:ascii="方正仿宋_GBK" w:hAnsi="方正仿宋_GBK" w:eastAsia="方正仿宋_GBK" w:cs="方正仿宋_GBK"/>
          <w:bCs/>
          <w:color w:val="auto"/>
          <w:sz w:val="28"/>
          <w:szCs w:val="28"/>
        </w:rPr>
        <w:t>202</w:t>
      </w:r>
      <w:r>
        <w:rPr>
          <w:rFonts w:ascii="方正仿宋_GBK" w:hAnsi="方正仿宋_GBK" w:eastAsia="方正仿宋_GBK" w:cs="方正仿宋_GBK"/>
          <w:bCs/>
          <w:color w:val="auto"/>
          <w:sz w:val="28"/>
          <w:szCs w:val="28"/>
        </w:rPr>
        <w:t>4</w:t>
      </w:r>
      <w:r>
        <w:rPr>
          <w:rFonts w:hint="eastAsia" w:ascii="方正仿宋_GBK" w:hAnsi="方正仿宋_GBK" w:eastAsia="方正仿宋_GBK" w:cs="方正仿宋_GBK"/>
          <w:bCs/>
          <w:color w:val="auto"/>
          <w:sz w:val="28"/>
          <w:szCs w:val="28"/>
        </w:rPr>
        <w:t>年</w:t>
      </w:r>
      <w:r>
        <w:rPr>
          <w:rFonts w:hint="eastAsia" w:ascii="方正仿宋_GBK" w:hAnsi="方正仿宋_GBK" w:eastAsia="方正仿宋_GBK" w:cs="方正仿宋_GBK"/>
          <w:bCs/>
          <w:color w:val="auto"/>
          <w:sz w:val="28"/>
          <w:szCs w:val="28"/>
          <w:lang w:val="en-US" w:eastAsia="zh-CN"/>
        </w:rPr>
        <w:t>7</w:t>
      </w:r>
      <w:r>
        <w:rPr>
          <w:rFonts w:hint="eastAsia" w:ascii="方正仿宋_GBK" w:hAnsi="方正仿宋_GBK" w:eastAsia="方正仿宋_GBK" w:cs="方正仿宋_GBK"/>
          <w:bCs/>
          <w:color w:val="auto"/>
          <w:sz w:val="28"/>
          <w:szCs w:val="28"/>
        </w:rPr>
        <w:t>月</w:t>
      </w:r>
      <w:r>
        <w:rPr>
          <w:rFonts w:hint="eastAsia" w:ascii="方正仿宋_GBK" w:hAnsi="方正仿宋_GBK" w:eastAsia="方正仿宋_GBK" w:cs="方正仿宋_GBK"/>
          <w:bCs/>
          <w:color w:val="auto"/>
          <w:sz w:val="28"/>
          <w:szCs w:val="28"/>
          <w:lang w:val="en-US" w:eastAsia="zh-CN"/>
        </w:rPr>
        <w:t>3</w:t>
      </w:r>
      <w:r>
        <w:rPr>
          <w:rFonts w:hint="eastAsia" w:ascii="方正仿宋_GBK" w:hAnsi="方正仿宋_GBK" w:eastAsia="方正仿宋_GBK" w:cs="方正仿宋_GBK"/>
          <w:bCs/>
          <w:color w:val="auto"/>
          <w:sz w:val="28"/>
          <w:szCs w:val="28"/>
        </w:rPr>
        <w:t>日，上午</w:t>
      </w:r>
      <w:r>
        <w:rPr>
          <w:rFonts w:hint="eastAsia" w:ascii="方正仿宋_GBK" w:hAnsi="方正仿宋_GBK" w:eastAsia="方正仿宋_GBK" w:cs="方正仿宋_GBK"/>
          <w:bCs/>
          <w:color w:val="auto"/>
          <w:sz w:val="28"/>
          <w:szCs w:val="28"/>
          <w:lang w:val="en-US" w:eastAsia="zh-CN"/>
        </w:rPr>
        <w:t>10:00</w:t>
      </w:r>
      <w:bookmarkStart w:id="16" w:name="_GoBack"/>
      <w:bookmarkEnd w:id="16"/>
      <w:r>
        <w:rPr>
          <w:rFonts w:hint="eastAsia" w:ascii="方正仿宋_GBK" w:hAnsi="方正仿宋_GBK" w:eastAsia="方正仿宋_GBK" w:cs="方正仿宋_GBK"/>
          <w:color w:val="auto"/>
          <w:sz w:val="28"/>
          <w:szCs w:val="28"/>
        </w:rPr>
        <w:t>（北京时间，下同）递交至重庆市渝北区人和香锦路4号重庆高速资产经营管理有限公司交建大厦6楼会议室。</w:t>
      </w:r>
    </w:p>
    <w:p>
      <w:pPr>
        <w:adjustRightInd w:val="0"/>
        <w:spacing w:line="579" w:lineRule="exact"/>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5.5 逾期送达、未送达指定地点、未按竞争性比选文件要求密封的投标文件，公司将予以拒收。</w:t>
      </w:r>
    </w:p>
    <w:p>
      <w:pPr>
        <w:spacing w:line="579" w:lineRule="exact"/>
        <w:ind w:firstLine="562"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第六条  比选</w:t>
      </w:r>
    </w:p>
    <w:p>
      <w:pPr>
        <w:spacing w:line="579" w:lineRule="exact"/>
        <w:ind w:firstLine="560" w:firstLineChars="200"/>
        <w:outlineLvl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6.1 比选方式：现场开启。</w:t>
      </w:r>
    </w:p>
    <w:p>
      <w:pPr>
        <w:spacing w:line="579" w:lineRule="exact"/>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6.2 比选时间：</w:t>
      </w:r>
      <w:r>
        <w:rPr>
          <w:rFonts w:hint="eastAsia" w:ascii="方正仿宋_GBK" w:hAnsi="方正仿宋_GBK" w:eastAsia="方正仿宋_GBK" w:cs="方正仿宋_GBK"/>
          <w:bCs/>
          <w:color w:val="auto"/>
          <w:sz w:val="28"/>
          <w:szCs w:val="28"/>
        </w:rPr>
        <w:t>202</w:t>
      </w:r>
      <w:r>
        <w:rPr>
          <w:rFonts w:ascii="方正仿宋_GBK" w:hAnsi="方正仿宋_GBK" w:eastAsia="方正仿宋_GBK" w:cs="方正仿宋_GBK"/>
          <w:bCs/>
          <w:color w:val="auto"/>
          <w:sz w:val="28"/>
          <w:szCs w:val="28"/>
        </w:rPr>
        <w:t>4</w:t>
      </w:r>
      <w:r>
        <w:rPr>
          <w:rFonts w:hint="eastAsia" w:ascii="方正仿宋_GBK" w:hAnsi="方正仿宋_GBK" w:eastAsia="方正仿宋_GBK" w:cs="方正仿宋_GBK"/>
          <w:bCs/>
          <w:color w:val="auto"/>
          <w:sz w:val="28"/>
          <w:szCs w:val="28"/>
        </w:rPr>
        <w:t>年</w:t>
      </w:r>
      <w:r>
        <w:rPr>
          <w:rFonts w:hint="eastAsia" w:ascii="方正仿宋_GBK" w:hAnsi="方正仿宋_GBK" w:eastAsia="方正仿宋_GBK" w:cs="方正仿宋_GBK"/>
          <w:bCs/>
          <w:color w:val="auto"/>
          <w:sz w:val="28"/>
          <w:szCs w:val="28"/>
          <w:lang w:val="en-US" w:eastAsia="zh-CN"/>
        </w:rPr>
        <w:t>7</w:t>
      </w:r>
      <w:r>
        <w:rPr>
          <w:rFonts w:hint="eastAsia" w:ascii="方正仿宋_GBK" w:hAnsi="方正仿宋_GBK" w:eastAsia="方正仿宋_GBK" w:cs="方正仿宋_GBK"/>
          <w:bCs/>
          <w:color w:val="auto"/>
          <w:sz w:val="28"/>
          <w:szCs w:val="28"/>
        </w:rPr>
        <w:t>月</w:t>
      </w:r>
      <w:r>
        <w:rPr>
          <w:rFonts w:hint="eastAsia" w:ascii="方正仿宋_GBK" w:hAnsi="方正仿宋_GBK" w:eastAsia="方正仿宋_GBK" w:cs="方正仿宋_GBK"/>
          <w:bCs/>
          <w:color w:val="auto"/>
          <w:sz w:val="28"/>
          <w:szCs w:val="28"/>
          <w:lang w:val="en-US" w:eastAsia="zh-CN"/>
        </w:rPr>
        <w:t>3</w:t>
      </w:r>
      <w:r>
        <w:rPr>
          <w:rFonts w:hint="eastAsia" w:ascii="方正仿宋_GBK" w:hAnsi="方正仿宋_GBK" w:eastAsia="方正仿宋_GBK" w:cs="方正仿宋_GBK"/>
          <w:bCs/>
          <w:color w:val="auto"/>
          <w:sz w:val="28"/>
          <w:szCs w:val="28"/>
        </w:rPr>
        <w:t>日上午</w:t>
      </w:r>
      <w:r>
        <w:rPr>
          <w:rFonts w:hint="eastAsia" w:ascii="方正仿宋_GBK" w:hAnsi="方正仿宋_GBK" w:eastAsia="方正仿宋_GBK" w:cs="方正仿宋_GBK"/>
          <w:bCs/>
          <w:color w:val="auto"/>
          <w:sz w:val="28"/>
          <w:szCs w:val="28"/>
          <w:lang w:val="en-US" w:eastAsia="zh-CN"/>
        </w:rPr>
        <w:t>10:00</w:t>
      </w:r>
      <w:r>
        <w:rPr>
          <w:rFonts w:hint="eastAsia" w:ascii="方正仿宋_GBK" w:hAnsi="方正仿宋_GBK" w:eastAsia="方正仿宋_GBK" w:cs="方正仿宋_GBK"/>
          <w:color w:val="auto"/>
          <w:sz w:val="28"/>
          <w:szCs w:val="28"/>
        </w:rPr>
        <w:t>完</w:t>
      </w:r>
      <w:r>
        <w:rPr>
          <w:rFonts w:hint="eastAsia" w:ascii="方正仿宋_GBK" w:hAnsi="方正仿宋_GBK" w:eastAsia="方正仿宋_GBK" w:cs="方正仿宋_GBK"/>
          <w:sz w:val="28"/>
          <w:szCs w:val="28"/>
        </w:rPr>
        <w:t>成接收投标文件后，</w:t>
      </w:r>
      <w:r>
        <w:rPr>
          <w:rFonts w:hint="eastAsia" w:ascii="方正仿宋_GBK" w:hAnsi="方正仿宋_GBK" w:eastAsia="方正仿宋_GBK"/>
          <w:snapToGrid w:val="0"/>
          <w:color w:val="000000"/>
          <w:spacing w:val="-4"/>
          <w:kern w:val="0"/>
          <w:sz w:val="28"/>
          <w:szCs w:val="28"/>
        </w:rPr>
        <w:t>分两个阶段进行比选。第一阶段，对报价部分评分，</w:t>
      </w:r>
      <w:r>
        <w:rPr>
          <w:rFonts w:hint="eastAsia" w:ascii="方正仿宋_GBK" w:hAnsi="方正仿宋_GBK" w:eastAsia="方正仿宋_GBK" w:cs="方正仿宋_GBK"/>
          <w:sz w:val="28"/>
          <w:szCs w:val="28"/>
        </w:rPr>
        <w:t>各</w:t>
      </w:r>
      <w:r>
        <w:rPr>
          <w:rFonts w:hint="eastAsia" w:ascii="方正仿宋_GBK" w:hAnsi="方正仿宋_GBK" w:eastAsia="方正仿宋_GBK" w:cs="方正仿宋_GBK"/>
          <w:bCs/>
          <w:sz w:val="28"/>
          <w:szCs w:val="28"/>
        </w:rPr>
        <w:t>竞选</w:t>
      </w:r>
      <w:r>
        <w:rPr>
          <w:rFonts w:hint="eastAsia" w:ascii="方正仿宋_GBK" w:hAnsi="方正仿宋_GBK" w:eastAsia="方正仿宋_GBK" w:cs="方正仿宋_GBK"/>
          <w:sz w:val="28"/>
          <w:szCs w:val="28"/>
        </w:rPr>
        <w:t>人律师事务所负责人（或委托代理人）应到现场等候开标结果，并签字确认</w:t>
      </w:r>
      <w:r>
        <w:rPr>
          <w:rFonts w:hint="eastAsia" w:ascii="方正仿宋_GBK" w:hAnsi="方正仿宋_GBK" w:eastAsia="方正仿宋_GBK"/>
          <w:snapToGrid w:val="0"/>
          <w:color w:val="000000"/>
          <w:spacing w:val="-4"/>
          <w:kern w:val="0"/>
          <w:sz w:val="28"/>
          <w:szCs w:val="28"/>
        </w:rPr>
        <w:t>；第二阶段，比选人将组织评标委员会以综合评定的评审方法，选择符合要求的</w:t>
      </w:r>
      <w:r>
        <w:rPr>
          <w:rFonts w:hint="eastAsia" w:ascii="方正仿宋_GBK" w:hAnsi="方正仿宋_GBK" w:eastAsia="方正仿宋_GBK" w:cs="方正仿宋_GBK"/>
          <w:bCs/>
          <w:sz w:val="28"/>
          <w:szCs w:val="28"/>
        </w:rPr>
        <w:t>竞选人</w:t>
      </w:r>
      <w:r>
        <w:rPr>
          <w:rFonts w:hint="eastAsia" w:ascii="方正仿宋_GBK" w:hAnsi="方正仿宋_GBK" w:eastAsia="方正仿宋_GBK"/>
          <w:snapToGrid w:val="0"/>
          <w:color w:val="000000"/>
          <w:spacing w:val="-4"/>
          <w:kern w:val="0"/>
          <w:sz w:val="28"/>
          <w:szCs w:val="28"/>
        </w:rPr>
        <w:t>。</w:t>
      </w:r>
    </w:p>
    <w:p>
      <w:pPr>
        <w:spacing w:line="579" w:lineRule="exact"/>
        <w:ind w:firstLine="560" w:firstLineChars="200"/>
        <w:outlineLvl w:val="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rPr>
        <w:t>6.3 比</w:t>
      </w:r>
      <w:r>
        <w:rPr>
          <w:rFonts w:hint="eastAsia" w:ascii="方正仿宋_GBK" w:hAnsi="方正仿宋_GBK" w:eastAsia="方正仿宋_GBK" w:cs="方正仿宋_GBK"/>
          <w:color w:val="auto"/>
          <w:sz w:val="28"/>
          <w:szCs w:val="28"/>
        </w:rPr>
        <w:t>选地点：重庆市渝北区人和香锦路4号重庆高速资产经营管理有限公司交建大厦6楼会议室。</w:t>
      </w:r>
    </w:p>
    <w:p>
      <w:pPr>
        <w:spacing w:line="579" w:lineRule="exact"/>
        <w:ind w:firstLine="560" w:firstLineChars="200"/>
        <w:outlineLvl w:val="0"/>
        <w:rPr>
          <w:rFonts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6.4 比选异议：</w:t>
      </w:r>
      <w:r>
        <w:rPr>
          <w:rFonts w:hint="eastAsia" w:ascii="方正仿宋_GBK" w:hAnsi="方正仿宋_GBK" w:eastAsia="方正仿宋_GBK" w:cs="方正仿宋_GBK"/>
          <w:bCs/>
          <w:color w:val="auto"/>
          <w:sz w:val="28"/>
          <w:szCs w:val="28"/>
        </w:rPr>
        <w:t>竞选</w:t>
      </w:r>
      <w:r>
        <w:rPr>
          <w:rFonts w:hint="eastAsia" w:ascii="方正仿宋_GBK" w:hAnsi="方正仿宋_GBK" w:eastAsia="方正仿宋_GBK" w:cs="方正仿宋_GBK"/>
          <w:color w:val="auto"/>
          <w:sz w:val="28"/>
          <w:szCs w:val="28"/>
        </w:rPr>
        <w:t>人对比选有异议的，应在比选现场提出，比选人当场作出答复，并制作记录，有异议的比选人代</w:t>
      </w:r>
      <w:r>
        <w:rPr>
          <w:rFonts w:hint="eastAsia" w:ascii="方正仿宋_GBK" w:hAnsi="方正仿宋_GBK" w:eastAsia="方正仿宋_GBK" w:cs="方正仿宋_GBK"/>
          <w:sz w:val="28"/>
          <w:szCs w:val="28"/>
        </w:rPr>
        <w:t>表、公司代表、记录人等有关人员在记录上签字确认。</w:t>
      </w:r>
    </w:p>
    <w:p>
      <w:pPr>
        <w:spacing w:line="579" w:lineRule="exact"/>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 xml:space="preserve">6.5 </w:t>
      </w:r>
      <w:r>
        <w:rPr>
          <w:rFonts w:hint="eastAsia" w:ascii="方正仿宋_GBK" w:hAnsi="方正仿宋_GBK" w:eastAsia="方正仿宋_GBK" w:cs="方正仿宋_GBK"/>
          <w:bCs/>
          <w:sz w:val="28"/>
          <w:szCs w:val="28"/>
        </w:rPr>
        <w:t>如截止比选时间竞选人少于3家，则重新安排竞争比选。</w:t>
      </w:r>
    </w:p>
    <w:p>
      <w:pPr>
        <w:spacing w:line="579" w:lineRule="exact"/>
        <w:ind w:firstLine="562" w:firstLineChars="200"/>
        <w:outlineLvl w:val="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第七条  评标办法</w:t>
      </w:r>
    </w:p>
    <w:p>
      <w:pPr>
        <w:spacing w:line="579" w:lineRule="exact"/>
        <w:ind w:firstLine="56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7.1 采用综合评分法，满分</w:t>
      </w:r>
      <w:r>
        <w:rPr>
          <w:rFonts w:ascii="方正仿宋_GBK" w:hAnsi="方正仿宋_GBK" w:eastAsia="方正仿宋_GBK" w:cs="方正仿宋_GBK"/>
          <w:bCs/>
          <w:color w:val="000000"/>
          <w:sz w:val="28"/>
          <w:szCs w:val="28"/>
        </w:rPr>
        <w:t>100</w:t>
      </w:r>
      <w:r>
        <w:rPr>
          <w:rFonts w:hint="eastAsia" w:ascii="方正仿宋_GBK" w:hAnsi="方正仿宋_GBK" w:eastAsia="方正仿宋_GBK" w:cs="方正仿宋_GBK"/>
          <w:bCs/>
          <w:color w:val="000000"/>
          <w:sz w:val="28"/>
          <w:szCs w:val="28"/>
        </w:rPr>
        <w:t>分，具体为经济分</w:t>
      </w:r>
      <w:r>
        <w:rPr>
          <w:rFonts w:ascii="方正仿宋_GBK" w:hAnsi="方正仿宋_GBK" w:eastAsia="方正仿宋_GBK" w:cs="方正仿宋_GBK"/>
          <w:bCs/>
          <w:color w:val="000000"/>
          <w:sz w:val="28"/>
          <w:szCs w:val="28"/>
        </w:rPr>
        <w:t>6</w:t>
      </w:r>
      <w:r>
        <w:rPr>
          <w:rFonts w:hint="eastAsia" w:ascii="方正仿宋_GBK" w:hAnsi="方正仿宋_GBK" w:eastAsia="方正仿宋_GBK" w:cs="方正仿宋_GBK"/>
          <w:bCs/>
          <w:color w:val="000000"/>
          <w:sz w:val="28"/>
          <w:szCs w:val="28"/>
        </w:rPr>
        <w:t>0分，服务方案分</w:t>
      </w:r>
      <w:r>
        <w:rPr>
          <w:rFonts w:ascii="方正仿宋_GBK" w:hAnsi="方正仿宋_GBK" w:eastAsia="方正仿宋_GBK" w:cs="方正仿宋_GBK"/>
          <w:bCs/>
          <w:color w:val="000000"/>
          <w:sz w:val="28"/>
          <w:szCs w:val="28"/>
        </w:rPr>
        <w:t>3</w:t>
      </w:r>
      <w:r>
        <w:rPr>
          <w:rFonts w:hint="eastAsia" w:ascii="方正仿宋_GBK" w:hAnsi="方正仿宋_GBK" w:eastAsia="方正仿宋_GBK" w:cs="方正仿宋_GBK"/>
          <w:bCs/>
          <w:color w:val="000000"/>
          <w:sz w:val="28"/>
          <w:szCs w:val="28"/>
        </w:rPr>
        <w:t>0分，商务分10分。每项评标得分保留2位小数，小数点后第三位按四舍五入原则进行。</w:t>
      </w:r>
    </w:p>
    <w:p>
      <w:pPr>
        <w:pStyle w:val="2"/>
        <w:rPr>
          <w:rFonts w:ascii="Verdana" w:hAnsi="Verdana" w:eastAsia="黑体"/>
          <w:kern w:val="0"/>
          <w:sz w:val="21"/>
        </w:rPr>
      </w:pPr>
    </w:p>
    <w:p>
      <w:pPr>
        <w:pStyle w:val="2"/>
        <w:rPr>
          <w:rFonts w:ascii="Verdana" w:hAnsi="Verdana" w:eastAsia="黑体"/>
          <w:kern w:val="0"/>
          <w:sz w:val="21"/>
        </w:rPr>
      </w:pPr>
    </w:p>
    <w:tbl>
      <w:tblPr>
        <w:tblStyle w:val="16"/>
        <w:tblW w:w="10601" w:type="dxa"/>
        <w:tblInd w:w="-993" w:type="dxa"/>
        <w:tblLayout w:type="autofit"/>
        <w:tblCellMar>
          <w:top w:w="0" w:type="dxa"/>
          <w:left w:w="108" w:type="dxa"/>
          <w:bottom w:w="0" w:type="dxa"/>
          <w:right w:w="108" w:type="dxa"/>
        </w:tblCellMar>
      </w:tblPr>
      <w:tblGrid>
        <w:gridCol w:w="9782"/>
        <w:gridCol w:w="819"/>
      </w:tblGrid>
      <w:tr>
        <w:tblPrEx>
          <w:tblCellMar>
            <w:top w:w="0" w:type="dxa"/>
            <w:left w:w="108" w:type="dxa"/>
            <w:bottom w:w="0" w:type="dxa"/>
            <w:right w:w="108" w:type="dxa"/>
          </w:tblCellMar>
        </w:tblPrEx>
        <w:trPr>
          <w:trHeight w:val="426" w:hRule="atLeast"/>
        </w:trPr>
        <w:tc>
          <w:tcPr>
            <w:tcW w:w="10601" w:type="dxa"/>
            <w:gridSpan w:val="2"/>
            <w:tcBorders>
              <w:top w:val="nil"/>
              <w:left w:val="nil"/>
              <w:bottom w:val="single" w:color="auto" w:sz="4" w:space="0"/>
              <w:right w:val="nil"/>
            </w:tcBorders>
            <w:noWrap/>
            <w:vAlign w:val="center"/>
          </w:tcPr>
          <w:p>
            <w:pPr>
              <w:widowControl/>
              <w:spacing w:line="600" w:lineRule="exact"/>
              <w:jc w:val="center"/>
              <w:rPr>
                <w:rFonts w:ascii="方正仿宋_GBK" w:hAnsi="方正仿宋_GBK" w:eastAsia="方正仿宋_GBK" w:cs="宋体"/>
                <w:kern w:val="0"/>
                <w:sz w:val="28"/>
                <w:szCs w:val="28"/>
              </w:rPr>
            </w:pPr>
            <w:r>
              <w:rPr>
                <w:rFonts w:hint="eastAsia" w:ascii="方正仿宋_GBK" w:hAnsi="方正仿宋_GBK" w:eastAsia="方正仿宋_GBK" w:cs="宋体"/>
                <w:kern w:val="0"/>
                <w:sz w:val="28"/>
                <w:szCs w:val="28"/>
              </w:rPr>
              <w:t>重庆高速资产经营管理有限公司下属非成品油公司</w:t>
            </w:r>
          </w:p>
          <w:p>
            <w:pPr>
              <w:widowControl/>
              <w:spacing w:line="600" w:lineRule="exact"/>
              <w:jc w:val="center"/>
              <w:rPr>
                <w:rFonts w:ascii="方正仿宋_GBK" w:hAnsi="方正仿宋_GBK" w:eastAsia="方正仿宋_GBK" w:cs="宋体"/>
                <w:kern w:val="0"/>
                <w:sz w:val="36"/>
                <w:szCs w:val="36"/>
              </w:rPr>
            </w:pPr>
            <w:r>
              <w:rPr>
                <w:rFonts w:hint="eastAsia" w:ascii="方正仿宋_GBK" w:hAnsi="方正仿宋_GBK" w:eastAsia="方正仿宋_GBK" w:cs="宋体"/>
                <w:kern w:val="0"/>
                <w:sz w:val="28"/>
                <w:szCs w:val="28"/>
              </w:rPr>
              <w:t>常年法律顾问比选综合评分细则</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cs="宋体"/>
                <w:kern w:val="0"/>
                <w:sz w:val="24"/>
              </w:rPr>
            </w:pPr>
            <w:r>
              <w:rPr>
                <w:rFonts w:hint="eastAsia" w:ascii="方正仿宋_GBK" w:hAnsi="方正仿宋_GBK" w:eastAsia="方正仿宋_GBK" w:cs="方正仿宋_GBK"/>
                <w:bCs/>
                <w:sz w:val="24"/>
              </w:rPr>
              <w:t>竞选</w:t>
            </w:r>
            <w:r>
              <w:rPr>
                <w:rFonts w:hint="eastAsia" w:ascii="方正仿宋_GBK" w:hAnsi="方正仿宋_GBK" w:eastAsia="方正仿宋_GBK" w:cs="宋体"/>
                <w:kern w:val="0"/>
                <w:sz w:val="24"/>
              </w:rPr>
              <w:t>单位：</w:t>
            </w:r>
          </w:p>
        </w:tc>
        <w:tc>
          <w:tcPr>
            <w:tcW w:w="8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得分</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cs="宋体"/>
                <w:b/>
                <w:bCs/>
                <w:kern w:val="0"/>
                <w:sz w:val="24"/>
              </w:rPr>
            </w:pPr>
            <w:r>
              <w:rPr>
                <w:rFonts w:hint="eastAsia" w:ascii="方正仿宋_GBK" w:hAnsi="方正仿宋_GBK" w:eastAsia="方正仿宋_GBK" w:cs="宋体"/>
                <w:b/>
                <w:bCs/>
                <w:kern w:val="0"/>
                <w:sz w:val="24"/>
              </w:rPr>
              <w:t>一、竞选报价评分（满分为60分）</w:t>
            </w:r>
          </w:p>
        </w:tc>
        <w:tc>
          <w:tcPr>
            <w:tcW w:w="8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438150" cy="152400"/>
                      <wp:effectExtent l="1270" t="4445" r="17780" b="14605"/>
                      <wp:wrapNone/>
                      <wp:docPr id="3" name="直接连接符 15"/>
                      <wp:cNvGraphicFramePr/>
                      <a:graphic xmlns:a="http://schemas.openxmlformats.org/drawingml/2006/main">
                        <a:graphicData uri="http://schemas.microsoft.com/office/word/2010/wordprocessingShape">
                          <wps:wsp>
                            <wps:cNvCnPr/>
                            <wps:spPr>
                              <a:xfrm flipV="1">
                                <a:off x="0" y="0"/>
                                <a:ext cx="438150" cy="152400"/>
                              </a:xfrm>
                              <a:prstGeom prst="line">
                                <a:avLst/>
                              </a:prstGeom>
                              <a:ln w="9525" cap="flat" cmpd="sng">
                                <a:solidFill>
                                  <a:srgbClr val="457BBA"/>
                                </a:solidFill>
                                <a:prstDash val="solid"/>
                                <a:headEnd type="none" w="med" len="med"/>
                                <a:tailEnd type="none" w="med" len="med"/>
                              </a:ln>
                            </wps:spPr>
                            <wps:bodyPr upright="1"/>
                          </wps:wsp>
                        </a:graphicData>
                      </a:graphic>
                    </wp:anchor>
                  </w:drawing>
                </mc:Choice>
                <mc:Fallback>
                  <w:pict>
                    <v:line id="直接连接符 15" o:spid="_x0000_s1026" o:spt="20" style="position:absolute;left:0pt;flip:y;margin-left:0pt;margin-top:1.15pt;height:12pt;width:34.5pt;z-index:251659264;mso-width-relative:page;mso-height-relative:page;" filled="f" stroked="t" coordsize="21600,21600" o:gfxdata="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1F7Ob0wAAAAQBAAAPAAAAAAAAAAEAIAAAACIAAABkcnMv&#10;ZG93bnJldi54bWxQSwECFAAUAAAACACHTuJAQzOBiAgCAADzAwAADgAAAAAAAAABACAAAAAiAQAA&#10;ZHJzL2Uyb0RvYy54bWxQSwUGAAAAAAYABgBZAQAAnAUAAAAA&#10;">
                      <v:fill on="f" focussize="0,0"/>
                      <v:stroke color="#457BBA" joinstyle="round"/>
                      <v:imagedata o:title=""/>
                      <o:lock v:ext="edit" aspectratio="f"/>
                    </v:line>
                  </w:pict>
                </mc:Fallback>
              </mc:AlternateContent>
            </w:r>
          </w:p>
        </w:tc>
      </w:tr>
      <w:tr>
        <w:tblPrEx>
          <w:tblCellMar>
            <w:top w:w="0" w:type="dxa"/>
            <w:left w:w="108" w:type="dxa"/>
            <w:bottom w:w="0" w:type="dxa"/>
            <w:right w:w="108" w:type="dxa"/>
          </w:tblCellMar>
        </w:tblPrEx>
        <w:trPr>
          <w:trHeight w:val="630" w:hRule="atLeast"/>
        </w:trPr>
        <w:tc>
          <w:tcPr>
            <w:tcW w:w="978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方正仿宋_GBK" w:eastAsia="方正仿宋_GBK"/>
                <w:kern w:val="0"/>
                <w:sz w:val="24"/>
              </w:rPr>
            </w:pPr>
            <w:r>
              <w:rPr>
                <w:rFonts w:hint="eastAsia" w:ascii="方正仿宋_GBK" w:hAnsi="方正仿宋_GBK" w:eastAsia="方正仿宋_GBK"/>
                <w:kern w:val="0"/>
                <w:sz w:val="24"/>
              </w:rPr>
              <w:t>竞选价得分的计算程序：</w:t>
            </w:r>
          </w:p>
          <w:p>
            <w:pPr>
              <w:widowControl/>
              <w:spacing w:line="300" w:lineRule="exact"/>
              <w:jc w:val="left"/>
              <w:rPr>
                <w:rFonts w:ascii="方正仿宋_GBK" w:hAnsi="方正仿宋_GBK" w:eastAsia="方正仿宋_GBK"/>
                <w:kern w:val="0"/>
                <w:sz w:val="24"/>
              </w:rPr>
            </w:pPr>
            <w:r>
              <w:rPr>
                <w:rFonts w:hint="eastAsia" w:ascii="方正仿宋_GBK" w:hAnsi="方正仿宋_GBK" w:eastAsia="方正仿宋_GBK"/>
                <w:kern w:val="0"/>
                <w:sz w:val="24"/>
              </w:rPr>
              <w:t>（1）有效竞选价的确定：不大于最高限价A的竞选报价，高于最高限价的竞选报价按否决处理，不予进一步评审，并不参与评标基准价的计算。</w:t>
            </w:r>
          </w:p>
          <w:p>
            <w:pPr>
              <w:widowControl/>
              <w:spacing w:line="300" w:lineRule="exact"/>
              <w:jc w:val="left"/>
              <w:rPr>
                <w:rFonts w:ascii="方正仿宋_GBK" w:hAnsi="方正仿宋_GBK" w:eastAsia="方正仿宋_GBK"/>
                <w:kern w:val="0"/>
                <w:sz w:val="24"/>
              </w:rPr>
            </w:pPr>
            <w:r>
              <w:rPr>
                <w:rFonts w:hint="eastAsia" w:ascii="方正仿宋_GBK" w:hAnsi="方正仿宋_GBK" w:eastAsia="方正仿宋_GBK"/>
                <w:kern w:val="0"/>
                <w:sz w:val="24"/>
              </w:rPr>
              <w:t>（2）竞选基准价（D）的计算：</w:t>
            </w:r>
          </w:p>
          <w:p>
            <w:pPr>
              <w:widowControl/>
              <w:spacing w:line="300" w:lineRule="exact"/>
              <w:jc w:val="left"/>
              <w:rPr>
                <w:rFonts w:ascii="方正仿宋_GBK" w:hAnsi="方正仿宋_GBK" w:eastAsia="方正仿宋_GBK"/>
                <w:kern w:val="0"/>
                <w:sz w:val="24"/>
              </w:rPr>
            </w:pPr>
            <w:r>
              <w:rPr>
                <w:rFonts w:hint="eastAsia" w:ascii="方正仿宋_GBK" w:hAnsi="方正仿宋_GBK" w:eastAsia="方正仿宋_GBK"/>
                <w:kern w:val="0"/>
                <w:sz w:val="24"/>
              </w:rPr>
              <w:t>a．有效竞选价大于5家时：所有被宣读竞选价（应为经修正后的）在限价范围内的竞选人竞选价，去掉一个最高值和一个最低值后的算术平均值即为比选基准价（D）；</w:t>
            </w:r>
          </w:p>
          <w:p>
            <w:pPr>
              <w:widowControl/>
              <w:spacing w:line="300" w:lineRule="exact"/>
              <w:jc w:val="left"/>
              <w:rPr>
                <w:rFonts w:ascii="方正仿宋_GBK" w:hAnsi="方正仿宋_GBK" w:eastAsia="方正仿宋_GBK"/>
                <w:color w:val="auto"/>
                <w:kern w:val="0"/>
                <w:sz w:val="24"/>
              </w:rPr>
            </w:pPr>
            <w:r>
              <w:rPr>
                <w:rFonts w:hint="eastAsia" w:ascii="方正仿宋_GBK" w:hAnsi="方正仿宋_GBK" w:eastAsia="方正仿宋_GBK"/>
                <w:kern w:val="0"/>
                <w:sz w:val="24"/>
              </w:rPr>
              <w:t>b．有效竞选价小于或等于5家时：所有被宣读竞选价在限价范围内的竞选人竞选价的算术平</w:t>
            </w:r>
            <w:r>
              <w:rPr>
                <w:rFonts w:hint="eastAsia" w:ascii="方正仿宋_GBK" w:hAnsi="方正仿宋_GBK" w:eastAsia="方正仿宋_GBK"/>
                <w:color w:val="auto"/>
                <w:kern w:val="0"/>
                <w:sz w:val="24"/>
              </w:rPr>
              <w:t xml:space="preserve">均值即为比选基准价（D）； </w:t>
            </w:r>
          </w:p>
          <w:p>
            <w:pPr>
              <w:widowControl/>
              <w:spacing w:line="300" w:lineRule="exact"/>
              <w:jc w:val="left"/>
              <w:rPr>
                <w:rFonts w:ascii="方正仿宋_GBK" w:hAnsi="方正仿宋_GBK" w:eastAsia="方正仿宋_GBK"/>
                <w:color w:val="auto"/>
                <w:kern w:val="0"/>
                <w:sz w:val="24"/>
              </w:rPr>
            </w:pPr>
            <w:r>
              <w:rPr>
                <w:rFonts w:hint="eastAsia" w:ascii="方正仿宋_GBK" w:hAnsi="方正仿宋_GBK" w:eastAsia="方正仿宋_GBK"/>
                <w:color w:val="auto"/>
                <w:kern w:val="0"/>
                <w:sz w:val="24"/>
              </w:rPr>
              <w:t>（3）当竞选人竞选价等于D时得满分（60分），每高于D一个百分点扣0.2分，每低于D一个百分点扣0.1分，中间值按比例内插。</w:t>
            </w:r>
          </w:p>
          <w:p>
            <w:pPr>
              <w:widowControl/>
              <w:spacing w:line="300" w:lineRule="exact"/>
              <w:jc w:val="left"/>
              <w:rPr>
                <w:rFonts w:ascii="方正仿宋_GBK" w:hAnsi="方正仿宋_GBK" w:eastAsia="方正仿宋_GBK"/>
              </w:rPr>
            </w:pPr>
            <w:r>
              <w:rPr>
                <w:rFonts w:hint="eastAsia" w:ascii="方正仿宋_GBK" w:hAnsi="方正仿宋_GBK" w:eastAsia="方正仿宋_GBK"/>
                <w:kern w:val="0"/>
                <w:sz w:val="24"/>
              </w:rPr>
              <w:t>竞选价得分用公式表示如下：</w:t>
            </w:r>
          </w:p>
          <w:p>
            <w:r>
              <w:rPr>
                <w:rFonts w:hint="eastAsia" w:ascii="方正仿宋_GBK" w:hAnsi="方正仿宋_GBK" w:eastAsia="方正仿宋_GBK" w:cs="宋体"/>
                <w:szCs w:val="21"/>
              </w:rPr>
              <w:object>
                <v:shape id="_x0000_i1025" o:spt="75" type="#_x0000_t75" style="height:31.5pt;width:142pt;" o:ole="t" fillcolor="#595959"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p>
          <w:p>
            <w:pPr>
              <w:widowControl/>
              <w:spacing w:line="300" w:lineRule="exact"/>
              <w:jc w:val="left"/>
              <w:rPr>
                <w:rFonts w:ascii="方正仿宋_GBK" w:hAnsi="方正仿宋_GBK" w:eastAsia="方正仿宋_GBK"/>
                <w:kern w:val="0"/>
                <w:sz w:val="24"/>
              </w:rPr>
            </w:pPr>
            <w:r>
              <w:rPr>
                <w:rFonts w:hint="eastAsia" w:ascii="方正仿宋_GBK" w:hAnsi="方正仿宋_GBK" w:eastAsia="方正仿宋_GBK"/>
                <w:kern w:val="0"/>
                <w:sz w:val="24"/>
              </w:rPr>
              <w:t xml:space="preserve"> 式中：F1=竞选价得分；</w:t>
            </w:r>
          </w:p>
          <w:p>
            <w:pPr>
              <w:widowControl/>
              <w:spacing w:line="300" w:lineRule="exact"/>
              <w:jc w:val="left"/>
              <w:rPr>
                <w:rFonts w:ascii="方正仿宋_GBK" w:hAnsi="方正仿宋_GBK" w:eastAsia="方正仿宋_GBK"/>
                <w:kern w:val="0"/>
                <w:sz w:val="24"/>
              </w:rPr>
            </w:pPr>
            <w:r>
              <w:rPr>
                <w:rFonts w:hint="eastAsia" w:ascii="方正仿宋_GBK" w:hAnsi="方正仿宋_GBK" w:eastAsia="方正仿宋_GBK"/>
                <w:kern w:val="0"/>
                <w:sz w:val="24"/>
              </w:rPr>
              <w:t>F=</w:t>
            </w:r>
            <w:r>
              <w:rPr>
                <w:rFonts w:hint="eastAsia" w:ascii="方正仿宋_GBK" w:hAnsi="方正仿宋_GBK" w:eastAsia="方正仿宋_GBK"/>
                <w:kern w:val="0"/>
                <w:sz w:val="24"/>
                <w:lang w:val="en-US" w:eastAsia="zh-CN"/>
              </w:rPr>
              <w:t>6</w:t>
            </w:r>
            <w:r>
              <w:rPr>
                <w:rFonts w:hint="eastAsia" w:ascii="方正仿宋_GBK" w:hAnsi="方正仿宋_GBK" w:eastAsia="方正仿宋_GBK"/>
                <w:kern w:val="0"/>
                <w:sz w:val="24"/>
              </w:rPr>
              <w:t>0；</w:t>
            </w:r>
          </w:p>
          <w:p>
            <w:pPr>
              <w:widowControl/>
              <w:spacing w:line="300" w:lineRule="exact"/>
              <w:jc w:val="left"/>
              <w:rPr>
                <w:rFonts w:ascii="方正仿宋_GBK" w:hAnsi="方正仿宋_GBK" w:eastAsia="方正仿宋_GBK"/>
                <w:kern w:val="0"/>
                <w:sz w:val="24"/>
              </w:rPr>
            </w:pPr>
            <w:r>
              <w:rPr>
                <w:rFonts w:hint="eastAsia" w:ascii="方正仿宋_GBK" w:hAnsi="方正仿宋_GBK" w:eastAsia="方正仿宋_GBK"/>
                <w:kern w:val="0"/>
                <w:sz w:val="24"/>
              </w:rPr>
              <w:t>D1=竞选人的竞选价；</w:t>
            </w:r>
          </w:p>
          <w:p>
            <w:pPr>
              <w:widowControl/>
              <w:spacing w:line="300" w:lineRule="exact"/>
              <w:jc w:val="left"/>
              <w:rPr>
                <w:rFonts w:ascii="方正仿宋_GBK" w:hAnsi="方正仿宋_GBK" w:eastAsia="方正仿宋_GBK"/>
                <w:kern w:val="0"/>
                <w:sz w:val="24"/>
              </w:rPr>
            </w:pPr>
            <w:r>
              <w:rPr>
                <w:rFonts w:hint="eastAsia" w:ascii="方正仿宋_GBK" w:hAnsi="方正仿宋_GBK" w:eastAsia="方正仿宋_GBK"/>
                <w:kern w:val="0"/>
                <w:sz w:val="24"/>
              </w:rPr>
              <w:t>D=比选基准价。</w:t>
            </w:r>
          </w:p>
          <w:p>
            <w:pPr>
              <w:widowControl/>
              <w:spacing w:line="300" w:lineRule="exact"/>
              <w:jc w:val="left"/>
              <w:rPr>
                <w:rFonts w:ascii="方正仿宋_GBK" w:hAnsi="方正仿宋_GBK" w:eastAsia="方正仿宋_GBK"/>
                <w:kern w:val="0"/>
                <w:sz w:val="24"/>
              </w:rPr>
            </w:pPr>
            <w:r>
              <w:rPr>
                <w:rFonts w:hint="eastAsia" w:ascii="方正仿宋_GBK" w:hAnsi="方正仿宋_GBK" w:eastAsia="方正仿宋_GBK"/>
                <w:kern w:val="0"/>
                <w:sz w:val="24"/>
              </w:rPr>
              <w:t>若D1＞D，则E=0.2；若D1&lt;D，则E=0.1。</w:t>
            </w:r>
          </w:p>
          <w:p>
            <w:pPr>
              <w:widowControl/>
              <w:spacing w:line="300" w:lineRule="exact"/>
              <w:jc w:val="left"/>
              <w:rPr>
                <w:rFonts w:ascii="方正仿宋_GBK" w:hAnsi="方正仿宋_GBK" w:eastAsia="方正仿宋_GBK"/>
                <w:kern w:val="0"/>
                <w:sz w:val="24"/>
              </w:rPr>
            </w:pPr>
            <w:r>
              <w:rPr>
                <w:rFonts w:hint="eastAsia" w:ascii="方正仿宋_GBK" w:hAnsi="方正仿宋_GBK" w:eastAsia="方正仿宋_GBK"/>
                <w:kern w:val="0"/>
                <w:sz w:val="24"/>
              </w:rPr>
              <w:t>即使某竞选人资格审查未通过初步评审与响应性评审及资格审查，如其报价处于参与评标基准价的计算的竞标报价的有效范围以内，其报价仍应参与比选基准价的计算。</w:t>
            </w:r>
          </w:p>
        </w:tc>
        <w:tc>
          <w:tcPr>
            <w:tcW w:w="8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cs="宋体"/>
                <w:b/>
                <w:bCs/>
                <w:kern w:val="0"/>
                <w:sz w:val="24"/>
              </w:rPr>
            </w:pPr>
            <w:r>
              <w:rPr>
                <w:rFonts w:hint="eastAsia" w:ascii="方正仿宋_GBK" w:hAnsi="方正仿宋_GBK" w:eastAsia="方正仿宋_GBK" w:cs="宋体"/>
                <w:b/>
                <w:bCs/>
                <w:kern w:val="0"/>
                <w:sz w:val="24"/>
              </w:rPr>
              <w:t>二、服务方案评分（满分为30分）</w:t>
            </w:r>
          </w:p>
        </w:tc>
        <w:tc>
          <w:tcPr>
            <w:tcW w:w="8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24130</wp:posOffset>
                      </wp:positionV>
                      <wp:extent cx="438150" cy="152400"/>
                      <wp:effectExtent l="1270" t="4445" r="17780" b="14605"/>
                      <wp:wrapNone/>
                      <wp:docPr id="4" name="直接连接符 14"/>
                      <wp:cNvGraphicFramePr/>
                      <a:graphic xmlns:a="http://schemas.openxmlformats.org/drawingml/2006/main">
                        <a:graphicData uri="http://schemas.microsoft.com/office/word/2010/wordprocessingShape">
                          <wps:wsp>
                            <wps:cNvCnPr/>
                            <wps:spPr>
                              <a:xfrm flipV="1">
                                <a:off x="0" y="0"/>
                                <a:ext cx="438150" cy="152400"/>
                              </a:xfrm>
                              <a:prstGeom prst="line">
                                <a:avLst/>
                              </a:prstGeom>
                              <a:ln w="9525" cap="flat" cmpd="sng">
                                <a:solidFill>
                                  <a:srgbClr val="457BBA"/>
                                </a:solidFill>
                                <a:prstDash val="solid"/>
                                <a:headEnd type="none" w="med" len="med"/>
                                <a:tailEnd type="none" w="med" len="med"/>
                              </a:ln>
                            </wps:spPr>
                            <wps:bodyPr upright="1"/>
                          </wps:wsp>
                        </a:graphicData>
                      </a:graphic>
                    </wp:anchor>
                  </w:drawing>
                </mc:Choice>
                <mc:Fallback>
                  <w:pict>
                    <v:line id="直接连接符 14" o:spid="_x0000_s1026" o:spt="20" style="position:absolute;left:0pt;flip:y;margin-left:0pt;margin-top:1.9pt;height:12pt;width:34.5pt;z-index:251660288;mso-width-relative:page;mso-height-relative:page;" filled="f" stroked="t" coordsize="21600,21600" o:gfxdata="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b8xYDTAAAABAEAAA8AAAAAAAAAAQAgAAAAIgAAAGRycy9k&#10;b3ducmV2LnhtbFBLAQIUABQAAAAIAIdO4kDiwsDXBwIAAPMDAAAOAAAAAAAAAAEAIAAAACIBAABk&#10;cnMvZTJvRG9jLnhtbFBLBQYAAAAABgAGAFkBAACbBQAAAAA=&#10;">
                      <v:fill on="f" focussize="0,0"/>
                      <v:stroke color="#457BBA" joinstyle="round"/>
                      <v:imagedata o:title=""/>
                      <o:lock v:ext="edit" aspectratio="f"/>
                    </v:line>
                  </w:pict>
                </mc:Fallback>
              </mc:AlternateConten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1</w:t>
            </w:r>
            <w:r>
              <w:rPr>
                <w:rFonts w:hint="eastAsia" w:ascii="方正仿宋_GBK" w:hAnsi="方正仿宋_GBK" w:eastAsia="方正仿宋_GBK"/>
                <w:kern w:val="0"/>
                <w:sz w:val="24"/>
              </w:rPr>
              <w:t>、比选文件材料制作（</w:t>
            </w:r>
            <w:r>
              <w:rPr>
                <w:rFonts w:ascii="方正仿宋_GBK" w:hAnsi="方正仿宋_GBK" w:eastAsia="方正仿宋_GBK"/>
                <w:kern w:val="0"/>
                <w:sz w:val="24"/>
              </w:rPr>
              <w:t>3</w:t>
            </w:r>
            <w:r>
              <w:rPr>
                <w:rFonts w:hint="eastAsia" w:ascii="方正仿宋_GBK" w:hAnsi="方正仿宋_GBK" w:eastAsia="方正仿宋_GBK"/>
                <w:kern w:val="0"/>
                <w:sz w:val="24"/>
              </w:rPr>
              <w:t>分）</w:t>
            </w:r>
          </w:p>
        </w:tc>
        <w:tc>
          <w:tcPr>
            <w:tcW w:w="81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比选文件制作规范、材料完备，最高得3</w:t>
            </w:r>
            <w:r>
              <w:rPr>
                <w:rFonts w:hint="eastAsia" w:ascii="方正仿宋_GBK" w:hAnsi="方正仿宋_GBK" w:eastAsia="方正仿宋_GBK"/>
                <w:kern w:val="0"/>
                <w:sz w:val="24"/>
              </w:rPr>
              <w:t>分</w:t>
            </w:r>
          </w:p>
        </w:tc>
        <w:tc>
          <w:tcPr>
            <w:tcW w:w="8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方正仿宋_GBK" w:eastAsia="方正仿宋_GBK"/>
                <w:kern w:val="0"/>
                <w:sz w:val="24"/>
              </w:rPr>
            </w:pP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2</w:t>
            </w:r>
            <w:r>
              <w:rPr>
                <w:rFonts w:hint="eastAsia" w:ascii="方正仿宋_GBK" w:hAnsi="方正仿宋_GBK" w:eastAsia="方正仿宋_GBK"/>
                <w:kern w:val="0"/>
                <w:sz w:val="24"/>
              </w:rPr>
              <w:t>、服务方案内容（</w:t>
            </w:r>
            <w:r>
              <w:rPr>
                <w:rFonts w:ascii="方正仿宋_GBK" w:hAnsi="方正仿宋_GBK" w:eastAsia="方正仿宋_GBK"/>
                <w:kern w:val="0"/>
                <w:sz w:val="24"/>
              </w:rPr>
              <w:t>7</w:t>
            </w:r>
            <w:r>
              <w:rPr>
                <w:rFonts w:hint="eastAsia" w:ascii="方正仿宋_GBK" w:hAnsi="方正仿宋_GBK" w:eastAsia="方正仿宋_GBK"/>
                <w:kern w:val="0"/>
                <w:sz w:val="24"/>
              </w:rPr>
              <w:t>分）</w:t>
            </w:r>
          </w:p>
        </w:tc>
        <w:tc>
          <w:tcPr>
            <w:tcW w:w="81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对照询价函中的询价范围，全部包含得7</w:t>
            </w:r>
            <w:r>
              <w:rPr>
                <w:rFonts w:hint="eastAsia" w:ascii="方正仿宋_GBK" w:hAnsi="方正仿宋_GBK" w:eastAsia="方正仿宋_GBK"/>
                <w:kern w:val="0"/>
                <w:sz w:val="24"/>
              </w:rPr>
              <w:t>分，每缺少一项扣</w:t>
            </w:r>
            <w:r>
              <w:rPr>
                <w:rFonts w:ascii="方正仿宋_GBK" w:hAnsi="方正仿宋_GBK" w:eastAsia="方正仿宋_GBK"/>
                <w:kern w:val="0"/>
                <w:sz w:val="24"/>
              </w:rPr>
              <w:t>4</w:t>
            </w:r>
            <w:r>
              <w:rPr>
                <w:rFonts w:hint="eastAsia" w:ascii="方正仿宋_GBK" w:hAnsi="方正仿宋_GBK" w:eastAsia="方正仿宋_GBK"/>
                <w:kern w:val="0"/>
                <w:sz w:val="24"/>
              </w:rPr>
              <w:t>分，最低得</w:t>
            </w:r>
            <w:r>
              <w:rPr>
                <w:rFonts w:ascii="方正仿宋_GBK" w:hAnsi="方正仿宋_GBK" w:eastAsia="方正仿宋_GBK"/>
                <w:kern w:val="0"/>
                <w:sz w:val="24"/>
              </w:rPr>
              <w:t>0</w:t>
            </w:r>
            <w:r>
              <w:rPr>
                <w:rFonts w:hint="eastAsia" w:ascii="方正仿宋_GBK" w:hAnsi="方正仿宋_GBK" w:eastAsia="方正仿宋_GBK"/>
                <w:kern w:val="0"/>
                <w:sz w:val="24"/>
              </w:rPr>
              <w:t>分</w:t>
            </w:r>
          </w:p>
        </w:tc>
        <w:tc>
          <w:tcPr>
            <w:tcW w:w="8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方正仿宋_GBK" w:eastAsia="方正仿宋_GBK"/>
                <w:kern w:val="0"/>
                <w:sz w:val="24"/>
              </w:rPr>
            </w:pP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3</w:t>
            </w:r>
            <w:r>
              <w:rPr>
                <w:rFonts w:hint="eastAsia" w:ascii="方正仿宋_GBK" w:hAnsi="方正仿宋_GBK" w:eastAsia="方正仿宋_GBK"/>
                <w:kern w:val="0"/>
                <w:sz w:val="24"/>
              </w:rPr>
              <w:t>、服务内容是否具有针对性、专业性（</w:t>
            </w:r>
            <w:r>
              <w:rPr>
                <w:rFonts w:ascii="方正仿宋_GBK" w:hAnsi="方正仿宋_GBK" w:eastAsia="方正仿宋_GBK"/>
                <w:kern w:val="0"/>
                <w:sz w:val="24"/>
              </w:rPr>
              <w:t>3</w:t>
            </w:r>
            <w:r>
              <w:rPr>
                <w:rFonts w:hint="eastAsia" w:ascii="方正仿宋_GBK" w:hAnsi="方正仿宋_GBK" w:eastAsia="方正仿宋_GBK"/>
                <w:kern w:val="0"/>
                <w:sz w:val="24"/>
              </w:rPr>
              <w:t>分）</w:t>
            </w:r>
          </w:p>
        </w:tc>
        <w:tc>
          <w:tcPr>
            <w:tcW w:w="81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hint="eastAsia" w:ascii="方正仿宋_GBK" w:hAnsi="方正仿宋_GBK" w:eastAsia="方正仿宋_GBK"/>
                <w:kern w:val="0"/>
                <w:sz w:val="24"/>
              </w:rPr>
              <w:t>很满意：</w:t>
            </w:r>
            <w:r>
              <w:rPr>
                <w:rFonts w:ascii="方正仿宋_GBK" w:hAnsi="方正仿宋_GBK" w:eastAsia="方正仿宋_GBK"/>
                <w:kern w:val="0"/>
                <w:sz w:val="24"/>
              </w:rPr>
              <w:t>3</w:t>
            </w:r>
            <w:r>
              <w:rPr>
                <w:rFonts w:hint="eastAsia" w:ascii="方正仿宋_GBK" w:hAnsi="方正仿宋_GBK" w:eastAsia="方正仿宋_GBK"/>
                <w:kern w:val="0"/>
                <w:sz w:val="24"/>
              </w:rPr>
              <w:t>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比较满意：</w:t>
            </w:r>
            <w:r>
              <w:rPr>
                <w:rFonts w:ascii="方正仿宋_GBK" w:hAnsi="方正仿宋_GBK" w:eastAsia="方正仿宋_GBK"/>
                <w:kern w:val="0"/>
                <w:sz w:val="24"/>
              </w:rPr>
              <w:t>3</w:t>
            </w:r>
            <w:r>
              <w:rPr>
                <w:rFonts w:hint="eastAsia" w:ascii="方正仿宋_GBK" w:hAnsi="方正仿宋_GBK" w:eastAsia="方正仿宋_GBK"/>
                <w:kern w:val="0"/>
                <w:sz w:val="24"/>
              </w:rPr>
              <w:t>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基本满意：</w:t>
            </w:r>
            <w:r>
              <w:rPr>
                <w:rFonts w:ascii="方正仿宋_GBK" w:hAnsi="方正仿宋_GBK" w:eastAsia="方正仿宋_GBK"/>
                <w:kern w:val="0"/>
                <w:sz w:val="24"/>
              </w:rPr>
              <w:t>1</w:t>
            </w:r>
            <w:r>
              <w:rPr>
                <w:rFonts w:hint="eastAsia" w:ascii="方正仿宋_GBK" w:hAnsi="方正仿宋_GBK" w:eastAsia="方正仿宋_GBK"/>
                <w:kern w:val="0"/>
                <w:sz w:val="24"/>
              </w:rPr>
              <w:t>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不满意：</w:t>
            </w:r>
            <w:r>
              <w:rPr>
                <w:rFonts w:ascii="方正仿宋_GBK" w:hAnsi="方正仿宋_GBK" w:eastAsia="方正仿宋_GBK"/>
                <w:kern w:val="0"/>
                <w:sz w:val="24"/>
              </w:rPr>
              <w:t>0</w:t>
            </w:r>
            <w:r>
              <w:rPr>
                <w:rFonts w:hint="eastAsia" w:ascii="方正仿宋_GBK" w:hAnsi="方正仿宋_GBK" w:eastAsia="方正仿宋_GBK"/>
                <w:kern w:val="0"/>
                <w:sz w:val="24"/>
              </w:rPr>
              <w:t>分</w:t>
            </w:r>
          </w:p>
        </w:tc>
        <w:tc>
          <w:tcPr>
            <w:tcW w:w="8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方正仿宋_GBK" w:eastAsia="方正仿宋_GBK"/>
                <w:kern w:val="0"/>
                <w:sz w:val="24"/>
              </w:rPr>
            </w:pP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4</w:t>
            </w:r>
            <w:r>
              <w:rPr>
                <w:rFonts w:hint="eastAsia" w:ascii="方正仿宋_GBK" w:hAnsi="方正仿宋_GBK" w:eastAsia="方正仿宋_GBK"/>
                <w:kern w:val="0"/>
                <w:sz w:val="24"/>
              </w:rPr>
              <w:t>、服务方式是否对我司具有针对性、专业性，是否满足要求（</w:t>
            </w:r>
            <w:r>
              <w:rPr>
                <w:rFonts w:ascii="方正仿宋_GBK" w:hAnsi="方正仿宋_GBK" w:eastAsia="方正仿宋_GBK"/>
                <w:kern w:val="0"/>
                <w:sz w:val="24"/>
              </w:rPr>
              <w:t>3</w:t>
            </w:r>
            <w:r>
              <w:rPr>
                <w:rFonts w:hint="eastAsia" w:ascii="方正仿宋_GBK" w:hAnsi="方正仿宋_GBK" w:eastAsia="方正仿宋_GBK"/>
                <w:kern w:val="0"/>
                <w:sz w:val="24"/>
              </w:rPr>
              <w:t>分）</w:t>
            </w:r>
          </w:p>
        </w:tc>
        <w:tc>
          <w:tcPr>
            <w:tcW w:w="81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很满意：3</w:t>
            </w:r>
            <w:r>
              <w:rPr>
                <w:rFonts w:hint="eastAsia" w:ascii="方正仿宋_GBK" w:hAnsi="方正仿宋_GBK" w:eastAsia="方正仿宋_GBK"/>
                <w:kern w:val="0"/>
                <w:sz w:val="24"/>
              </w:rPr>
              <w:t>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比较满意：</w:t>
            </w:r>
            <w:r>
              <w:rPr>
                <w:rFonts w:ascii="方正仿宋_GBK" w:hAnsi="方正仿宋_GBK" w:eastAsia="方正仿宋_GBK"/>
                <w:kern w:val="0"/>
                <w:sz w:val="24"/>
              </w:rPr>
              <w:t>3</w:t>
            </w:r>
            <w:r>
              <w:rPr>
                <w:rFonts w:hint="eastAsia" w:ascii="方正仿宋_GBK" w:hAnsi="方正仿宋_GBK" w:eastAsia="方正仿宋_GBK"/>
                <w:kern w:val="0"/>
                <w:sz w:val="24"/>
              </w:rPr>
              <w:t>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基本满意：</w:t>
            </w:r>
            <w:r>
              <w:rPr>
                <w:rFonts w:ascii="方正仿宋_GBK" w:hAnsi="方正仿宋_GBK" w:eastAsia="方正仿宋_GBK"/>
                <w:kern w:val="0"/>
                <w:sz w:val="24"/>
              </w:rPr>
              <w:t>1</w:t>
            </w:r>
            <w:r>
              <w:rPr>
                <w:rFonts w:hint="eastAsia" w:ascii="方正仿宋_GBK" w:hAnsi="方正仿宋_GBK" w:eastAsia="方正仿宋_GBK"/>
                <w:kern w:val="0"/>
                <w:sz w:val="24"/>
              </w:rPr>
              <w:t>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不满意：</w:t>
            </w:r>
            <w:r>
              <w:rPr>
                <w:rFonts w:ascii="方正仿宋_GBK" w:hAnsi="方正仿宋_GBK" w:eastAsia="方正仿宋_GBK"/>
                <w:kern w:val="0"/>
                <w:sz w:val="24"/>
              </w:rPr>
              <w:t>0</w:t>
            </w:r>
            <w:r>
              <w:rPr>
                <w:rFonts w:hint="eastAsia" w:ascii="方正仿宋_GBK" w:hAnsi="方正仿宋_GBK" w:eastAsia="方正仿宋_GBK"/>
                <w:kern w:val="0"/>
                <w:sz w:val="24"/>
              </w:rPr>
              <w:t>分</w:t>
            </w:r>
          </w:p>
        </w:tc>
        <w:tc>
          <w:tcPr>
            <w:tcW w:w="8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方正仿宋_GBK" w:eastAsia="方正仿宋_GBK"/>
                <w:kern w:val="0"/>
                <w:sz w:val="24"/>
              </w:rPr>
            </w:pPr>
          </w:p>
        </w:tc>
      </w:tr>
      <w:tr>
        <w:tblPrEx>
          <w:tblCellMar>
            <w:top w:w="0" w:type="dxa"/>
            <w:left w:w="108" w:type="dxa"/>
            <w:bottom w:w="0" w:type="dxa"/>
            <w:right w:w="108" w:type="dxa"/>
          </w:tblCellMar>
        </w:tblPrEx>
        <w:trPr>
          <w:trHeight w:val="691" w:hRule="atLeast"/>
        </w:trPr>
        <w:tc>
          <w:tcPr>
            <w:tcW w:w="978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5</w:t>
            </w:r>
            <w:r>
              <w:rPr>
                <w:rFonts w:hint="eastAsia" w:ascii="方正仿宋_GBK" w:hAnsi="方正仿宋_GBK" w:eastAsia="方正仿宋_GBK"/>
                <w:kern w:val="0"/>
                <w:sz w:val="24"/>
              </w:rPr>
              <w:t>、服务方法是否全面且到位（是否按照法律体检、风险分析、法律培训、自我考核评价的服务方法）（</w:t>
            </w:r>
            <w:r>
              <w:rPr>
                <w:rFonts w:ascii="方正仿宋_GBK" w:hAnsi="方正仿宋_GBK" w:eastAsia="方正仿宋_GBK"/>
                <w:kern w:val="0"/>
                <w:sz w:val="24"/>
              </w:rPr>
              <w:t>3</w:t>
            </w:r>
            <w:r>
              <w:rPr>
                <w:rFonts w:hint="eastAsia" w:ascii="方正仿宋_GBK" w:hAnsi="方正仿宋_GBK" w:eastAsia="方正仿宋_GBK"/>
                <w:kern w:val="0"/>
                <w:sz w:val="24"/>
              </w:rPr>
              <w:t>分）</w:t>
            </w:r>
          </w:p>
        </w:tc>
        <w:tc>
          <w:tcPr>
            <w:tcW w:w="81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完全能够：3</w:t>
            </w:r>
            <w:r>
              <w:rPr>
                <w:rFonts w:hint="eastAsia" w:ascii="方正仿宋_GBK" w:hAnsi="方正仿宋_GBK" w:eastAsia="方正仿宋_GBK"/>
                <w:kern w:val="0"/>
                <w:sz w:val="24"/>
              </w:rPr>
              <w:t>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基本能够：</w:t>
            </w:r>
            <w:r>
              <w:rPr>
                <w:rFonts w:ascii="方正仿宋_GBK" w:hAnsi="方正仿宋_GBK" w:eastAsia="方正仿宋_GBK"/>
                <w:kern w:val="0"/>
                <w:sz w:val="24"/>
              </w:rPr>
              <w:t>2</w:t>
            </w:r>
            <w:r>
              <w:rPr>
                <w:rFonts w:hint="eastAsia" w:ascii="方正仿宋_GBK" w:hAnsi="方正仿宋_GBK" w:eastAsia="方正仿宋_GBK"/>
                <w:kern w:val="0"/>
                <w:sz w:val="24"/>
              </w:rPr>
              <w:t>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未能够：</w:t>
            </w:r>
            <w:r>
              <w:rPr>
                <w:rFonts w:ascii="方正仿宋_GBK" w:hAnsi="方正仿宋_GBK" w:eastAsia="方正仿宋_GBK"/>
                <w:kern w:val="0"/>
                <w:sz w:val="24"/>
              </w:rPr>
              <w:t>0</w:t>
            </w:r>
            <w:r>
              <w:rPr>
                <w:rFonts w:hint="eastAsia" w:ascii="方正仿宋_GBK" w:hAnsi="方正仿宋_GBK" w:eastAsia="方正仿宋_GBK"/>
                <w:kern w:val="0"/>
                <w:sz w:val="24"/>
              </w:rPr>
              <w:t>分</w:t>
            </w:r>
          </w:p>
        </w:tc>
        <w:tc>
          <w:tcPr>
            <w:tcW w:w="8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方正仿宋_GBK" w:eastAsia="方正仿宋_GBK"/>
                <w:kern w:val="0"/>
                <w:sz w:val="24"/>
              </w:rPr>
            </w:pPr>
          </w:p>
        </w:tc>
      </w:tr>
      <w:tr>
        <w:tblPrEx>
          <w:tblCellMar>
            <w:top w:w="0" w:type="dxa"/>
            <w:left w:w="108" w:type="dxa"/>
            <w:bottom w:w="0" w:type="dxa"/>
            <w:right w:w="108" w:type="dxa"/>
          </w:tblCellMar>
        </w:tblPrEx>
        <w:trPr>
          <w:trHeight w:val="650" w:hRule="atLeast"/>
        </w:trPr>
        <w:tc>
          <w:tcPr>
            <w:tcW w:w="978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6</w:t>
            </w:r>
            <w:r>
              <w:rPr>
                <w:rFonts w:hint="eastAsia" w:ascii="方正仿宋_GBK" w:hAnsi="方正仿宋_GBK" w:eastAsia="方正仿宋_GBK"/>
                <w:kern w:val="0"/>
                <w:sz w:val="24"/>
              </w:rPr>
              <w:t>、服务流程是否规范（是否按照投标与签约、计划与调整、实施与控制、总结与改进的服务流程）（</w:t>
            </w:r>
            <w:r>
              <w:rPr>
                <w:rFonts w:ascii="方正仿宋_GBK" w:hAnsi="方正仿宋_GBK" w:eastAsia="方正仿宋_GBK"/>
                <w:kern w:val="0"/>
                <w:sz w:val="24"/>
              </w:rPr>
              <w:t>3</w:t>
            </w:r>
            <w:r>
              <w:rPr>
                <w:rFonts w:hint="eastAsia" w:ascii="方正仿宋_GBK" w:hAnsi="方正仿宋_GBK" w:eastAsia="方正仿宋_GBK"/>
                <w:kern w:val="0"/>
                <w:sz w:val="24"/>
              </w:rPr>
              <w:t>分）</w:t>
            </w:r>
          </w:p>
        </w:tc>
        <w:tc>
          <w:tcPr>
            <w:tcW w:w="81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完全能够：3</w:t>
            </w:r>
            <w:r>
              <w:rPr>
                <w:rFonts w:hint="eastAsia" w:ascii="方正仿宋_GBK" w:hAnsi="方正仿宋_GBK" w:eastAsia="方正仿宋_GBK"/>
                <w:kern w:val="0"/>
                <w:sz w:val="24"/>
              </w:rPr>
              <w:t>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基本能够：</w:t>
            </w:r>
            <w:r>
              <w:rPr>
                <w:rFonts w:ascii="方正仿宋_GBK" w:hAnsi="方正仿宋_GBK" w:eastAsia="方正仿宋_GBK"/>
                <w:kern w:val="0"/>
                <w:sz w:val="24"/>
              </w:rPr>
              <w:t>2</w:t>
            </w:r>
            <w:r>
              <w:rPr>
                <w:rFonts w:hint="eastAsia" w:ascii="方正仿宋_GBK" w:hAnsi="方正仿宋_GBK" w:eastAsia="方正仿宋_GBK"/>
                <w:kern w:val="0"/>
                <w:sz w:val="24"/>
              </w:rPr>
              <w:t>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未能够：</w:t>
            </w:r>
            <w:r>
              <w:rPr>
                <w:rFonts w:ascii="方正仿宋_GBK" w:hAnsi="方正仿宋_GBK" w:eastAsia="方正仿宋_GBK"/>
                <w:kern w:val="0"/>
                <w:sz w:val="24"/>
              </w:rPr>
              <w:t>0</w:t>
            </w:r>
            <w:r>
              <w:rPr>
                <w:rFonts w:hint="eastAsia" w:ascii="方正仿宋_GBK" w:hAnsi="方正仿宋_GBK" w:eastAsia="方正仿宋_GBK"/>
                <w:kern w:val="0"/>
                <w:sz w:val="24"/>
              </w:rPr>
              <w:t>分</w:t>
            </w:r>
          </w:p>
        </w:tc>
        <w:tc>
          <w:tcPr>
            <w:tcW w:w="8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方正仿宋_GBK" w:eastAsia="方正仿宋_GBK"/>
                <w:kern w:val="0"/>
                <w:sz w:val="24"/>
              </w:rPr>
            </w:pP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7</w:t>
            </w:r>
            <w:r>
              <w:rPr>
                <w:rFonts w:hint="eastAsia" w:ascii="方正仿宋_GBK" w:hAnsi="方正仿宋_GBK" w:eastAsia="方正仿宋_GBK"/>
                <w:kern w:val="0"/>
                <w:sz w:val="24"/>
              </w:rPr>
              <w:t>、顾问合同草案允诺程度（</w:t>
            </w:r>
            <w:r>
              <w:rPr>
                <w:rFonts w:ascii="方正仿宋_GBK" w:hAnsi="方正仿宋_GBK" w:eastAsia="方正仿宋_GBK"/>
                <w:kern w:val="0"/>
                <w:sz w:val="24"/>
              </w:rPr>
              <w:t>4</w:t>
            </w:r>
            <w:r>
              <w:rPr>
                <w:rFonts w:hint="eastAsia" w:ascii="方正仿宋_GBK" w:hAnsi="方正仿宋_GBK" w:eastAsia="方正仿宋_GBK"/>
                <w:kern w:val="0"/>
                <w:sz w:val="24"/>
              </w:rPr>
              <w:t>分）</w:t>
            </w:r>
          </w:p>
        </w:tc>
        <w:tc>
          <w:tcPr>
            <w:tcW w:w="81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完全符合：4</w:t>
            </w:r>
            <w:r>
              <w:rPr>
                <w:rFonts w:hint="eastAsia" w:ascii="方正仿宋_GBK" w:hAnsi="方正仿宋_GBK" w:eastAsia="方正仿宋_GBK"/>
                <w:kern w:val="0"/>
                <w:sz w:val="24"/>
              </w:rPr>
              <w:t>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基本符合：</w:t>
            </w:r>
            <w:r>
              <w:rPr>
                <w:rFonts w:ascii="方正仿宋_GBK" w:hAnsi="方正仿宋_GBK" w:eastAsia="方正仿宋_GBK"/>
                <w:kern w:val="0"/>
                <w:sz w:val="24"/>
              </w:rPr>
              <w:t>2</w:t>
            </w:r>
            <w:r>
              <w:rPr>
                <w:rFonts w:hint="eastAsia" w:ascii="方正仿宋_GBK" w:hAnsi="方正仿宋_GBK" w:eastAsia="方正仿宋_GBK"/>
                <w:kern w:val="0"/>
                <w:sz w:val="24"/>
              </w:rPr>
              <w:t>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部分符合：</w:t>
            </w:r>
            <w:r>
              <w:rPr>
                <w:rFonts w:ascii="方正仿宋_GBK" w:hAnsi="方正仿宋_GBK" w:eastAsia="方正仿宋_GBK"/>
                <w:kern w:val="0"/>
                <w:sz w:val="24"/>
              </w:rPr>
              <w:t>0</w:t>
            </w:r>
            <w:r>
              <w:rPr>
                <w:rFonts w:hint="eastAsia" w:ascii="方正仿宋_GBK" w:hAnsi="方正仿宋_GBK" w:eastAsia="方正仿宋_GBK"/>
                <w:kern w:val="0"/>
                <w:sz w:val="24"/>
              </w:rPr>
              <w:t>分</w:t>
            </w:r>
          </w:p>
        </w:tc>
        <w:tc>
          <w:tcPr>
            <w:tcW w:w="8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方正仿宋_GBK" w:eastAsia="方正仿宋_GBK"/>
                <w:kern w:val="0"/>
                <w:sz w:val="24"/>
              </w:rPr>
            </w:pP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8</w:t>
            </w:r>
            <w:r>
              <w:rPr>
                <w:rFonts w:hint="eastAsia" w:ascii="方正仿宋_GBK" w:hAnsi="方正仿宋_GBK" w:eastAsia="方正仿宋_GBK"/>
                <w:kern w:val="0"/>
                <w:sz w:val="24"/>
              </w:rPr>
              <w:t>、诉讼</w:t>
            </w:r>
            <w:r>
              <w:rPr>
                <w:rFonts w:ascii="方正仿宋_GBK" w:hAnsi="方正仿宋_GBK" w:eastAsia="方正仿宋_GBK"/>
                <w:kern w:val="0"/>
                <w:sz w:val="24"/>
              </w:rPr>
              <w:t>.</w:t>
            </w:r>
            <w:r>
              <w:rPr>
                <w:rFonts w:hint="eastAsia" w:ascii="方正仿宋_GBK" w:hAnsi="方正仿宋_GBK" w:eastAsia="方正仿宋_GBK"/>
                <w:kern w:val="0"/>
                <w:sz w:val="24"/>
              </w:rPr>
              <w:t>仲裁</w:t>
            </w:r>
            <w:r>
              <w:rPr>
                <w:rFonts w:ascii="方正仿宋_GBK" w:hAnsi="方正仿宋_GBK" w:eastAsia="方正仿宋_GBK"/>
                <w:kern w:val="0"/>
                <w:sz w:val="24"/>
              </w:rPr>
              <w:t>/</w:t>
            </w:r>
            <w:r>
              <w:rPr>
                <w:rFonts w:hint="eastAsia" w:ascii="方正仿宋_GBK" w:hAnsi="方正仿宋_GBK" w:eastAsia="方正仿宋_GBK"/>
                <w:kern w:val="0"/>
                <w:sz w:val="24"/>
              </w:rPr>
              <w:t>非诉专项收费方案（</w:t>
            </w:r>
            <w:r>
              <w:rPr>
                <w:rFonts w:ascii="方正仿宋_GBK" w:hAnsi="方正仿宋_GBK" w:eastAsia="方正仿宋_GBK"/>
                <w:kern w:val="0"/>
                <w:sz w:val="24"/>
              </w:rPr>
              <w:t>4</w:t>
            </w:r>
            <w:r>
              <w:rPr>
                <w:rFonts w:hint="eastAsia" w:ascii="方正仿宋_GBK" w:hAnsi="方正仿宋_GBK" w:eastAsia="方正仿宋_GBK"/>
                <w:kern w:val="0"/>
                <w:sz w:val="24"/>
              </w:rPr>
              <w:t>分）</w:t>
            </w:r>
          </w:p>
        </w:tc>
        <w:tc>
          <w:tcPr>
            <w:tcW w:w="81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十分优惠：4</w:t>
            </w:r>
            <w:r>
              <w:rPr>
                <w:rFonts w:hint="eastAsia" w:ascii="方正仿宋_GBK" w:hAnsi="方正仿宋_GBK" w:eastAsia="方正仿宋_GBK"/>
                <w:kern w:val="0"/>
                <w:sz w:val="24"/>
              </w:rPr>
              <w:t>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较优惠：</w:t>
            </w:r>
            <w:r>
              <w:rPr>
                <w:rFonts w:ascii="方正仿宋_GBK" w:hAnsi="方正仿宋_GBK" w:eastAsia="方正仿宋_GBK"/>
                <w:kern w:val="0"/>
                <w:sz w:val="24"/>
              </w:rPr>
              <w:t>3</w:t>
            </w:r>
            <w:r>
              <w:rPr>
                <w:rFonts w:hint="eastAsia" w:ascii="方正仿宋_GBK" w:hAnsi="方正仿宋_GBK" w:eastAsia="方正仿宋_GBK"/>
                <w:kern w:val="0"/>
                <w:sz w:val="24"/>
              </w:rPr>
              <w:t>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可以接受：</w:t>
            </w:r>
            <w:r>
              <w:rPr>
                <w:rFonts w:ascii="方正仿宋_GBK" w:hAnsi="方正仿宋_GBK" w:eastAsia="方正仿宋_GBK"/>
                <w:kern w:val="0"/>
                <w:sz w:val="24"/>
              </w:rPr>
              <w:t>1</w:t>
            </w:r>
            <w:r>
              <w:rPr>
                <w:rFonts w:hint="eastAsia" w:ascii="方正仿宋_GBK" w:hAnsi="方正仿宋_GBK" w:eastAsia="方正仿宋_GBK"/>
                <w:kern w:val="0"/>
                <w:sz w:val="24"/>
              </w:rPr>
              <w:t>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难以接受：</w:t>
            </w:r>
            <w:r>
              <w:rPr>
                <w:rFonts w:ascii="方正仿宋_GBK" w:hAnsi="方正仿宋_GBK" w:eastAsia="方正仿宋_GBK"/>
                <w:kern w:val="0"/>
                <w:sz w:val="24"/>
              </w:rPr>
              <w:t>0</w:t>
            </w:r>
            <w:r>
              <w:rPr>
                <w:rFonts w:hint="eastAsia" w:ascii="方正仿宋_GBK" w:hAnsi="方正仿宋_GBK" w:eastAsia="方正仿宋_GBK"/>
                <w:kern w:val="0"/>
                <w:sz w:val="24"/>
              </w:rPr>
              <w:t>分</w:t>
            </w:r>
          </w:p>
        </w:tc>
        <w:tc>
          <w:tcPr>
            <w:tcW w:w="8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方正仿宋_GBK" w:eastAsia="方正仿宋_GBK"/>
                <w:kern w:val="0"/>
                <w:sz w:val="24"/>
              </w:rPr>
            </w:pP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cs="宋体"/>
                <w:b/>
                <w:bCs/>
                <w:color w:val="FF0000"/>
                <w:kern w:val="0"/>
                <w:sz w:val="24"/>
              </w:rPr>
            </w:pPr>
            <w:r>
              <w:rPr>
                <w:rFonts w:hint="eastAsia" w:ascii="方正仿宋_GBK" w:hAnsi="方正仿宋_GBK" w:eastAsia="方正仿宋_GBK" w:cs="宋体"/>
                <w:b/>
                <w:bCs/>
                <w:kern w:val="0"/>
                <w:sz w:val="24"/>
              </w:rPr>
              <w:t>三、商务评分（10分）</w:t>
            </w:r>
          </w:p>
        </w:tc>
        <w:tc>
          <w:tcPr>
            <w:tcW w:w="8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1</w:t>
            </w:r>
            <w:r>
              <w:rPr>
                <w:rFonts w:hint="eastAsia" w:ascii="方正仿宋_GBK" w:hAnsi="方正仿宋_GBK" w:eastAsia="方正仿宋_GBK"/>
                <w:kern w:val="0"/>
                <w:sz w:val="24"/>
              </w:rPr>
              <w:t>、律师事务所综合情况（5分）</w:t>
            </w:r>
          </w:p>
        </w:tc>
        <w:tc>
          <w:tcPr>
            <w:tcW w:w="8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(1).</w:t>
            </w:r>
            <w:r>
              <w:rPr>
                <w:rFonts w:hint="eastAsia" w:ascii="方正仿宋_GBK" w:hAnsi="方正仿宋_GBK" w:eastAsia="方正仿宋_GBK"/>
                <w:kern w:val="0"/>
                <w:sz w:val="24"/>
              </w:rPr>
              <w:t>律师事务所成立年限（1分）</w:t>
            </w:r>
          </w:p>
        </w:tc>
        <w:tc>
          <w:tcPr>
            <w:tcW w:w="81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hint="eastAsia" w:ascii="方正仿宋_GBK" w:hAnsi="方正仿宋_GBK" w:eastAsia="方正仿宋_GBK"/>
                <w:kern w:val="0"/>
                <w:sz w:val="24"/>
              </w:rPr>
              <w:t>5年以上：1分；</w:t>
            </w:r>
            <w:r>
              <w:rPr>
                <w:rFonts w:ascii="方正仿宋_GBK" w:hAnsi="方正仿宋_GBK" w:eastAsia="方正仿宋_GBK"/>
                <w:kern w:val="0"/>
                <w:sz w:val="24"/>
              </w:rPr>
              <w:t xml:space="preserve">              </w:t>
            </w:r>
            <w:r>
              <w:rPr>
                <w:rFonts w:hint="eastAsia" w:ascii="方正仿宋_GBK" w:hAnsi="方正仿宋_GBK" w:eastAsia="方正仿宋_GBK"/>
                <w:kern w:val="0"/>
                <w:sz w:val="24"/>
                <w:lang w:val="en-US" w:eastAsia="zh-CN"/>
              </w:rPr>
              <w:t>4</w:t>
            </w:r>
            <w:r>
              <w:rPr>
                <w:rFonts w:hint="eastAsia" w:ascii="方正仿宋_GBK" w:hAnsi="方正仿宋_GBK" w:eastAsia="方正仿宋_GBK"/>
                <w:kern w:val="0"/>
                <w:sz w:val="24"/>
              </w:rPr>
              <w:t>年以上：0.5分；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3年</w:t>
            </w:r>
            <w:r>
              <w:rPr>
                <w:rFonts w:hint="eastAsia" w:ascii="方正仿宋_GBK" w:hAnsi="方正仿宋_GBK" w:eastAsia="方正仿宋_GBK"/>
                <w:kern w:val="0"/>
                <w:sz w:val="24"/>
                <w:lang w:eastAsia="zh-CN"/>
              </w:rPr>
              <w:t>以上</w:t>
            </w:r>
            <w:r>
              <w:rPr>
                <w:rFonts w:hint="eastAsia" w:ascii="方正仿宋_GBK" w:hAnsi="方正仿宋_GBK" w:eastAsia="方正仿宋_GBK"/>
                <w:kern w:val="0"/>
                <w:sz w:val="24"/>
              </w:rPr>
              <w:t>：</w:t>
            </w:r>
            <w:r>
              <w:rPr>
                <w:rFonts w:ascii="方正仿宋_GBK" w:hAnsi="方正仿宋_GBK" w:eastAsia="方正仿宋_GBK"/>
                <w:kern w:val="0"/>
                <w:sz w:val="24"/>
              </w:rPr>
              <w:t>0</w:t>
            </w:r>
            <w:r>
              <w:rPr>
                <w:rFonts w:hint="eastAsia" w:ascii="方正仿宋_GBK" w:hAnsi="方正仿宋_GBK" w:eastAsia="方正仿宋_GBK"/>
                <w:kern w:val="0"/>
                <w:sz w:val="24"/>
              </w:rPr>
              <w:t>分</w:t>
            </w:r>
          </w:p>
        </w:tc>
        <w:tc>
          <w:tcPr>
            <w:tcW w:w="8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方正仿宋_GBK" w:eastAsia="方正仿宋_GBK"/>
                <w:kern w:val="0"/>
                <w:sz w:val="24"/>
              </w:rPr>
            </w:pPr>
          </w:p>
        </w:tc>
      </w:tr>
      <w:tr>
        <w:tblPrEx>
          <w:tblCellMar>
            <w:top w:w="0" w:type="dxa"/>
            <w:left w:w="108" w:type="dxa"/>
            <w:bottom w:w="0" w:type="dxa"/>
            <w:right w:w="108" w:type="dxa"/>
          </w:tblCellMar>
        </w:tblPrEx>
        <w:trPr>
          <w:trHeight w:val="323"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(2)</w:t>
            </w:r>
            <w:r>
              <w:rPr>
                <w:rFonts w:hint="eastAsia" w:ascii="方正仿宋_GBK" w:hAnsi="方正仿宋_GBK" w:eastAsia="方正仿宋_GBK"/>
                <w:kern w:val="0"/>
                <w:sz w:val="24"/>
              </w:rPr>
              <w:t>专职律师人数（1分）</w:t>
            </w:r>
          </w:p>
        </w:tc>
        <w:tc>
          <w:tcPr>
            <w:tcW w:w="81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hint="eastAsia" w:ascii="方正仿宋_GBK" w:hAnsi="方正仿宋_GBK" w:eastAsia="方正仿宋_GBK"/>
                <w:kern w:val="0"/>
                <w:sz w:val="24"/>
              </w:rPr>
              <w:t>10</w:t>
            </w:r>
            <w:r>
              <w:rPr>
                <w:rFonts w:ascii="方正仿宋_GBK" w:hAnsi="方正仿宋_GBK" w:eastAsia="方正仿宋_GBK"/>
                <w:kern w:val="0"/>
                <w:sz w:val="24"/>
              </w:rPr>
              <w:t>0</w:t>
            </w:r>
            <w:r>
              <w:rPr>
                <w:rFonts w:hint="eastAsia" w:ascii="方正仿宋_GBK" w:hAnsi="方正仿宋_GBK" w:eastAsia="方正仿宋_GBK"/>
                <w:kern w:val="0"/>
                <w:sz w:val="24"/>
              </w:rPr>
              <w:t>人以上：1分；</w:t>
            </w:r>
            <w:r>
              <w:rPr>
                <w:rFonts w:ascii="方正仿宋_GBK" w:hAnsi="方正仿宋_GBK" w:eastAsia="方正仿宋_GBK"/>
                <w:kern w:val="0"/>
                <w:sz w:val="24"/>
              </w:rPr>
              <w:t xml:space="preserve">            </w:t>
            </w:r>
            <w:r>
              <w:rPr>
                <w:rFonts w:hint="eastAsia" w:ascii="方正仿宋_GBK" w:hAnsi="方正仿宋_GBK" w:eastAsia="方正仿宋_GBK"/>
                <w:kern w:val="0"/>
                <w:sz w:val="24"/>
                <w:lang w:val="en-US" w:eastAsia="zh-CN"/>
              </w:rPr>
              <w:t>75</w:t>
            </w:r>
            <w:r>
              <w:rPr>
                <w:rFonts w:hint="eastAsia" w:ascii="方正仿宋_GBK" w:hAnsi="方正仿宋_GBK" w:eastAsia="方正仿宋_GBK"/>
                <w:kern w:val="0"/>
                <w:sz w:val="24"/>
              </w:rPr>
              <w:t>人以上：0.5分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5</w:t>
            </w:r>
            <w:r>
              <w:rPr>
                <w:rFonts w:ascii="方正仿宋_GBK" w:hAnsi="方正仿宋_GBK" w:eastAsia="方正仿宋_GBK"/>
                <w:kern w:val="0"/>
                <w:sz w:val="24"/>
              </w:rPr>
              <w:t>0</w:t>
            </w:r>
            <w:r>
              <w:rPr>
                <w:rFonts w:hint="eastAsia" w:ascii="方正仿宋_GBK" w:hAnsi="方正仿宋_GBK" w:eastAsia="方正仿宋_GBK"/>
                <w:kern w:val="0"/>
                <w:sz w:val="24"/>
              </w:rPr>
              <w:t>人</w:t>
            </w:r>
            <w:r>
              <w:rPr>
                <w:rFonts w:hint="eastAsia" w:ascii="方正仿宋_GBK" w:hAnsi="方正仿宋_GBK" w:eastAsia="方正仿宋_GBK"/>
                <w:kern w:val="0"/>
                <w:sz w:val="24"/>
                <w:lang w:eastAsia="zh-CN"/>
              </w:rPr>
              <w:t>以上</w:t>
            </w:r>
            <w:r>
              <w:rPr>
                <w:rFonts w:hint="eastAsia" w:ascii="方正仿宋_GBK" w:hAnsi="方正仿宋_GBK" w:eastAsia="方正仿宋_GBK"/>
                <w:kern w:val="0"/>
                <w:sz w:val="24"/>
              </w:rPr>
              <w:t>：</w:t>
            </w:r>
            <w:r>
              <w:rPr>
                <w:rFonts w:ascii="方正仿宋_GBK" w:hAnsi="方正仿宋_GBK" w:eastAsia="方正仿宋_GBK"/>
                <w:kern w:val="0"/>
                <w:sz w:val="24"/>
              </w:rPr>
              <w:t>0</w:t>
            </w:r>
            <w:r>
              <w:rPr>
                <w:rFonts w:hint="eastAsia" w:ascii="方正仿宋_GBK" w:hAnsi="方正仿宋_GBK" w:eastAsia="方正仿宋_GBK"/>
                <w:kern w:val="0"/>
                <w:sz w:val="24"/>
              </w:rPr>
              <w:t>分</w:t>
            </w:r>
          </w:p>
        </w:tc>
        <w:tc>
          <w:tcPr>
            <w:tcW w:w="8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方正仿宋_GBK" w:eastAsia="方正仿宋_GBK"/>
                <w:kern w:val="0"/>
                <w:sz w:val="24"/>
              </w:rPr>
            </w:pP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(3).</w:t>
            </w:r>
            <w:r>
              <w:rPr>
                <w:rFonts w:hint="eastAsia" w:ascii="方正仿宋_GBK" w:hAnsi="方正仿宋_GBK" w:eastAsia="方正仿宋_GBK"/>
                <w:kern w:val="0"/>
                <w:sz w:val="24"/>
              </w:rPr>
              <w:t>是否曾经为公司或其下属企业提供过法律服务（1分）</w:t>
            </w:r>
          </w:p>
        </w:tc>
        <w:tc>
          <w:tcPr>
            <w:tcW w:w="81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有：</w:t>
            </w:r>
            <w:r>
              <w:rPr>
                <w:rFonts w:hint="eastAsia" w:ascii="方正仿宋_GBK" w:hAnsi="方正仿宋_GBK" w:eastAsia="方正仿宋_GBK"/>
                <w:kern w:val="0"/>
                <w:sz w:val="24"/>
              </w:rPr>
              <w:t>1分；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没有：</w:t>
            </w:r>
            <w:r>
              <w:rPr>
                <w:rFonts w:ascii="方正仿宋_GBK" w:hAnsi="方正仿宋_GBK" w:eastAsia="方正仿宋_GBK"/>
                <w:kern w:val="0"/>
                <w:sz w:val="24"/>
              </w:rPr>
              <w:t>0</w:t>
            </w:r>
            <w:r>
              <w:rPr>
                <w:rFonts w:hint="eastAsia" w:ascii="方正仿宋_GBK" w:hAnsi="方正仿宋_GBK" w:eastAsia="方正仿宋_GBK"/>
                <w:kern w:val="0"/>
                <w:sz w:val="24"/>
              </w:rPr>
              <w:t>分</w:t>
            </w:r>
          </w:p>
        </w:tc>
        <w:tc>
          <w:tcPr>
            <w:tcW w:w="8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方正仿宋_GBK" w:eastAsia="方正仿宋_GBK"/>
                <w:kern w:val="0"/>
                <w:sz w:val="24"/>
              </w:rPr>
            </w:pP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(4).</w:t>
            </w:r>
            <w:r>
              <w:rPr>
                <w:rFonts w:hint="eastAsia" w:ascii="方正仿宋_GBK" w:hAnsi="方正仿宋_GBK" w:eastAsia="方正仿宋_GBK"/>
                <w:kern w:val="0"/>
                <w:sz w:val="24"/>
              </w:rPr>
              <w:t>律师事务所近三年获得市级及以上荣誉的，每一项得</w:t>
            </w:r>
            <w:r>
              <w:rPr>
                <w:rFonts w:ascii="方正仿宋_GBK" w:hAnsi="方正仿宋_GBK" w:eastAsia="方正仿宋_GBK"/>
                <w:kern w:val="0"/>
                <w:sz w:val="24"/>
              </w:rPr>
              <w:t>1</w:t>
            </w:r>
            <w:r>
              <w:rPr>
                <w:rFonts w:hint="eastAsia" w:ascii="方正仿宋_GBK" w:hAnsi="方正仿宋_GBK" w:eastAsia="方正仿宋_GBK"/>
                <w:kern w:val="0"/>
                <w:sz w:val="24"/>
              </w:rPr>
              <w:t>分，最高</w:t>
            </w:r>
            <w:r>
              <w:rPr>
                <w:rFonts w:ascii="方正仿宋_GBK" w:hAnsi="方正仿宋_GBK" w:eastAsia="方正仿宋_GBK"/>
                <w:kern w:val="0"/>
                <w:sz w:val="24"/>
              </w:rPr>
              <w:t>2</w:t>
            </w:r>
            <w:r>
              <w:rPr>
                <w:rFonts w:hint="eastAsia" w:ascii="方正仿宋_GBK" w:hAnsi="方正仿宋_GBK" w:eastAsia="方正仿宋_GBK"/>
                <w:kern w:val="0"/>
                <w:sz w:val="24"/>
              </w:rPr>
              <w:t>分</w:t>
            </w:r>
          </w:p>
        </w:tc>
        <w:tc>
          <w:tcPr>
            <w:tcW w:w="81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2</w:t>
            </w:r>
            <w:r>
              <w:rPr>
                <w:rFonts w:hint="eastAsia" w:ascii="方正仿宋_GBK" w:hAnsi="方正仿宋_GBK" w:eastAsia="方正仿宋_GBK"/>
                <w:kern w:val="0"/>
                <w:sz w:val="24"/>
              </w:rPr>
              <w:t>、服务团队综合情况（5分）</w:t>
            </w:r>
          </w:p>
        </w:tc>
        <w:tc>
          <w:tcPr>
            <w:tcW w:w="8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方正仿宋_GBK" w:eastAsia="方正仿宋_GBK"/>
                <w:kern w:val="0"/>
                <w:sz w:val="24"/>
              </w:rPr>
            </w:pP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w:t>
            </w:r>
            <w:r>
              <w:rPr>
                <w:rFonts w:hint="eastAsia" w:ascii="方正仿宋_GBK" w:hAnsi="方正仿宋_GBK" w:eastAsia="方正仿宋_GBK"/>
                <w:kern w:val="0"/>
                <w:sz w:val="24"/>
              </w:rPr>
              <w:t>1</w:t>
            </w:r>
            <w:r>
              <w:rPr>
                <w:rFonts w:ascii="方正仿宋_GBK" w:hAnsi="方正仿宋_GBK" w:eastAsia="方正仿宋_GBK"/>
                <w:kern w:val="0"/>
                <w:sz w:val="24"/>
              </w:rPr>
              <w:t>).</w:t>
            </w:r>
            <w:r>
              <w:rPr>
                <w:rFonts w:hint="eastAsia" w:ascii="方正仿宋_GBK" w:hAnsi="方正仿宋_GBK" w:eastAsia="方正仿宋_GBK"/>
                <w:kern w:val="0"/>
                <w:sz w:val="24"/>
              </w:rPr>
              <w:t>执业经验（4分）</w:t>
            </w:r>
          </w:p>
        </w:tc>
        <w:tc>
          <w:tcPr>
            <w:tcW w:w="8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1)</w:t>
            </w:r>
            <w:r>
              <w:rPr>
                <w:rFonts w:hint="eastAsia" w:ascii="方正仿宋_GBK" w:hAnsi="方正仿宋_GBK" w:eastAsia="方正仿宋_GBK"/>
                <w:kern w:val="0"/>
                <w:sz w:val="24"/>
              </w:rPr>
              <w:t>曾担任大型国有企业法律顾问：</w:t>
            </w:r>
            <w:r>
              <w:rPr>
                <w:rFonts w:ascii="方正仿宋_GBK" w:hAnsi="方正仿宋_GBK" w:eastAsia="方正仿宋_GBK"/>
                <w:kern w:val="0"/>
                <w:sz w:val="24"/>
              </w:rPr>
              <w:t xml:space="preserve">          3-5</w:t>
            </w:r>
            <w:r>
              <w:rPr>
                <w:rFonts w:hint="eastAsia" w:ascii="方正仿宋_GBK" w:hAnsi="方正仿宋_GBK" w:eastAsia="方正仿宋_GBK"/>
                <w:kern w:val="0"/>
                <w:sz w:val="24"/>
              </w:rPr>
              <w:t>家或以上：</w:t>
            </w:r>
            <w:r>
              <w:rPr>
                <w:rFonts w:ascii="方正仿宋_GBK" w:hAnsi="方正仿宋_GBK" w:eastAsia="方正仿宋_GBK"/>
                <w:kern w:val="0"/>
                <w:sz w:val="24"/>
              </w:rPr>
              <w:t>1</w:t>
            </w:r>
            <w:r>
              <w:rPr>
                <w:rFonts w:hint="eastAsia" w:ascii="方正仿宋_GBK" w:hAnsi="方正仿宋_GBK" w:eastAsia="方正仿宋_GBK"/>
                <w:kern w:val="0"/>
                <w:sz w:val="24"/>
              </w:rPr>
              <w:t>分；</w:t>
            </w:r>
            <w:r>
              <w:rPr>
                <w:rFonts w:ascii="方正仿宋_GBK" w:hAnsi="方正仿宋_GBK" w:eastAsia="方正仿宋_GBK"/>
                <w:kern w:val="0"/>
                <w:sz w:val="24"/>
              </w:rPr>
              <w:t xml:space="preserve">        2</w:t>
            </w:r>
            <w:r>
              <w:rPr>
                <w:rFonts w:hint="eastAsia" w:ascii="方正仿宋_GBK" w:hAnsi="方正仿宋_GBK" w:eastAsia="方正仿宋_GBK"/>
                <w:kern w:val="0"/>
                <w:sz w:val="24"/>
              </w:rPr>
              <w:t>家以下：</w:t>
            </w:r>
            <w:r>
              <w:rPr>
                <w:rFonts w:ascii="方正仿宋_GBK" w:hAnsi="方正仿宋_GBK" w:eastAsia="方正仿宋_GBK"/>
                <w:kern w:val="0"/>
                <w:sz w:val="24"/>
              </w:rPr>
              <w:t>0</w:t>
            </w:r>
            <w:r>
              <w:rPr>
                <w:rFonts w:hint="eastAsia" w:ascii="方正仿宋_GBK" w:hAnsi="方正仿宋_GBK" w:eastAsia="方正仿宋_GBK"/>
                <w:kern w:val="0"/>
                <w:sz w:val="24"/>
              </w:rPr>
              <w:t>分</w:t>
            </w:r>
          </w:p>
        </w:tc>
        <w:tc>
          <w:tcPr>
            <w:tcW w:w="8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2)</w:t>
            </w:r>
            <w:r>
              <w:rPr>
                <w:rFonts w:hint="eastAsia" w:ascii="方正仿宋_GBK" w:hAnsi="方正仿宋_GBK" w:eastAsia="方正仿宋_GBK"/>
                <w:kern w:val="0"/>
                <w:sz w:val="24"/>
              </w:rPr>
              <w:t>主办律师执业年限：</w:t>
            </w:r>
            <w:r>
              <w:rPr>
                <w:rFonts w:ascii="方正仿宋_GBK" w:hAnsi="方正仿宋_GBK" w:eastAsia="方正仿宋_GBK"/>
                <w:kern w:val="0"/>
                <w:sz w:val="24"/>
              </w:rPr>
              <w:t xml:space="preserve">                </w:t>
            </w:r>
            <w:r>
              <w:rPr>
                <w:rFonts w:hint="eastAsia" w:ascii="方正仿宋_GBK" w:hAnsi="方正仿宋_GBK" w:eastAsia="方正仿宋_GBK"/>
                <w:kern w:val="0"/>
                <w:sz w:val="24"/>
                <w:lang w:val="en-US" w:eastAsia="zh-CN"/>
              </w:rPr>
              <w:t>8</w:t>
            </w:r>
            <w:r>
              <w:rPr>
                <w:rFonts w:hint="eastAsia" w:ascii="方正仿宋_GBK" w:hAnsi="方正仿宋_GBK" w:eastAsia="方正仿宋_GBK"/>
                <w:kern w:val="0"/>
                <w:sz w:val="24"/>
              </w:rPr>
              <w:t>到</w:t>
            </w:r>
            <w:r>
              <w:rPr>
                <w:rFonts w:ascii="方正仿宋_GBK" w:hAnsi="方正仿宋_GBK" w:eastAsia="方正仿宋_GBK"/>
                <w:kern w:val="0"/>
                <w:sz w:val="24"/>
              </w:rPr>
              <w:t>10</w:t>
            </w:r>
            <w:r>
              <w:rPr>
                <w:rFonts w:hint="eastAsia" w:ascii="方正仿宋_GBK" w:hAnsi="方正仿宋_GBK" w:eastAsia="方正仿宋_GBK"/>
                <w:kern w:val="0"/>
                <w:sz w:val="24"/>
              </w:rPr>
              <w:t>年：1分；</w:t>
            </w:r>
            <w:r>
              <w:rPr>
                <w:rFonts w:ascii="方正仿宋_GBK" w:hAnsi="方正仿宋_GBK" w:eastAsia="方正仿宋_GBK"/>
                <w:kern w:val="0"/>
                <w:sz w:val="24"/>
              </w:rPr>
              <w:t xml:space="preserve">              5</w:t>
            </w:r>
            <w:r>
              <w:rPr>
                <w:rFonts w:hint="eastAsia" w:ascii="方正仿宋_GBK" w:hAnsi="方正仿宋_GBK" w:eastAsia="方正仿宋_GBK"/>
                <w:kern w:val="0"/>
                <w:sz w:val="24"/>
              </w:rPr>
              <w:t>年以</w:t>
            </w:r>
            <w:r>
              <w:rPr>
                <w:rFonts w:hint="eastAsia" w:ascii="方正仿宋_GBK" w:hAnsi="方正仿宋_GBK" w:eastAsia="方正仿宋_GBK"/>
                <w:kern w:val="0"/>
                <w:sz w:val="24"/>
                <w:lang w:eastAsia="zh-CN"/>
              </w:rPr>
              <w:t>上</w:t>
            </w:r>
            <w:r>
              <w:rPr>
                <w:rFonts w:hint="eastAsia" w:ascii="方正仿宋_GBK" w:hAnsi="方正仿宋_GBK" w:eastAsia="方正仿宋_GBK"/>
                <w:kern w:val="0"/>
                <w:sz w:val="24"/>
              </w:rPr>
              <w:t>：</w:t>
            </w:r>
            <w:r>
              <w:rPr>
                <w:rFonts w:ascii="方正仿宋_GBK" w:hAnsi="方正仿宋_GBK" w:eastAsia="方正仿宋_GBK"/>
                <w:kern w:val="0"/>
                <w:sz w:val="24"/>
              </w:rPr>
              <w:t>0</w:t>
            </w:r>
            <w:r>
              <w:rPr>
                <w:rFonts w:hint="eastAsia" w:ascii="方正仿宋_GBK" w:hAnsi="方正仿宋_GBK" w:eastAsia="方正仿宋_GBK"/>
                <w:kern w:val="0"/>
                <w:sz w:val="24"/>
              </w:rPr>
              <w:t>分</w:t>
            </w:r>
          </w:p>
        </w:tc>
        <w:tc>
          <w:tcPr>
            <w:tcW w:w="8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731" w:hRule="atLeast"/>
        </w:trPr>
        <w:tc>
          <w:tcPr>
            <w:tcW w:w="978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3).</w:t>
            </w:r>
            <w:r>
              <w:rPr>
                <w:rFonts w:hint="eastAsia" w:ascii="方正仿宋_GBK" w:hAnsi="方正仿宋_GBK" w:eastAsia="方正仿宋_GBK"/>
                <w:kern w:val="0"/>
                <w:sz w:val="24"/>
              </w:rPr>
              <w:t>近三年主要法律工作专业领域及业绩（合同纠纷特别是租赁、买卖、运输、委托等与公司、企业有关的纠纷，法律尽职调查等）（2分）</w:t>
            </w:r>
          </w:p>
        </w:tc>
        <w:tc>
          <w:tcPr>
            <w:tcW w:w="81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有极为丰富的相关经验：</w:t>
            </w:r>
            <w:r>
              <w:rPr>
                <w:rFonts w:hint="eastAsia" w:ascii="方正仿宋_GBK" w:hAnsi="方正仿宋_GBK" w:eastAsia="方正仿宋_GBK"/>
                <w:kern w:val="0"/>
                <w:sz w:val="24"/>
              </w:rPr>
              <w:t>2分；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较为丰富的职业经验：1分；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无相关经验：</w:t>
            </w:r>
            <w:r>
              <w:rPr>
                <w:rFonts w:ascii="方正仿宋_GBK" w:hAnsi="方正仿宋_GBK" w:eastAsia="方正仿宋_GBK"/>
                <w:kern w:val="0"/>
                <w:sz w:val="24"/>
              </w:rPr>
              <w:t>0</w:t>
            </w:r>
            <w:r>
              <w:rPr>
                <w:rFonts w:hint="eastAsia" w:ascii="方正仿宋_GBK" w:hAnsi="方正仿宋_GBK" w:eastAsia="方正仿宋_GBK"/>
                <w:kern w:val="0"/>
                <w:sz w:val="24"/>
              </w:rPr>
              <w:t>分</w:t>
            </w:r>
          </w:p>
        </w:tc>
        <w:tc>
          <w:tcPr>
            <w:tcW w:w="8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方正仿宋_GBK" w:eastAsia="方正仿宋_GBK"/>
                <w:kern w:val="0"/>
                <w:sz w:val="24"/>
              </w:rPr>
            </w:pP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w:t>
            </w:r>
            <w:r>
              <w:rPr>
                <w:rFonts w:hint="eastAsia" w:ascii="方正仿宋_GBK" w:hAnsi="方正仿宋_GBK" w:eastAsia="方正仿宋_GBK"/>
                <w:kern w:val="0"/>
                <w:sz w:val="24"/>
              </w:rPr>
              <w:t>2</w:t>
            </w:r>
            <w:r>
              <w:rPr>
                <w:rFonts w:ascii="方正仿宋_GBK" w:hAnsi="方正仿宋_GBK" w:eastAsia="方正仿宋_GBK"/>
                <w:kern w:val="0"/>
                <w:sz w:val="24"/>
              </w:rPr>
              <w:t>).</w:t>
            </w:r>
            <w:r>
              <w:rPr>
                <w:rFonts w:hint="eastAsia" w:ascii="方正仿宋_GBK" w:hAnsi="方正仿宋_GBK" w:eastAsia="方正仿宋_GBK"/>
                <w:kern w:val="0"/>
                <w:sz w:val="24"/>
              </w:rPr>
              <w:t>是否熟悉国资委、交通局、国土、规划、房管、建设、环保等政府部门办事流程及相关法规（</w:t>
            </w:r>
            <w:r>
              <w:rPr>
                <w:rFonts w:ascii="方正仿宋_GBK" w:hAnsi="方正仿宋_GBK" w:eastAsia="方正仿宋_GBK"/>
                <w:kern w:val="0"/>
                <w:sz w:val="24"/>
              </w:rPr>
              <w:t>1</w:t>
            </w:r>
            <w:r>
              <w:rPr>
                <w:rFonts w:hint="eastAsia" w:ascii="方正仿宋_GBK" w:hAnsi="方正仿宋_GBK" w:eastAsia="方正仿宋_GBK"/>
                <w:kern w:val="0"/>
                <w:sz w:val="24"/>
              </w:rPr>
              <w:t>分）</w:t>
            </w:r>
          </w:p>
        </w:tc>
        <w:tc>
          <w:tcPr>
            <w:tcW w:w="81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熟悉：1</w:t>
            </w:r>
            <w:r>
              <w:rPr>
                <w:rFonts w:hint="eastAsia" w:ascii="方正仿宋_GBK" w:hAnsi="方正仿宋_GBK" w:eastAsia="方正仿宋_GBK"/>
                <w:kern w:val="0"/>
                <w:sz w:val="24"/>
              </w:rPr>
              <w:t>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不甚熟悉：</w:t>
            </w:r>
            <w:r>
              <w:rPr>
                <w:rFonts w:ascii="方正仿宋_GBK" w:hAnsi="方正仿宋_GBK" w:eastAsia="方正仿宋_GBK"/>
                <w:kern w:val="0"/>
                <w:sz w:val="24"/>
              </w:rPr>
              <w:t>0</w:t>
            </w:r>
            <w:r>
              <w:rPr>
                <w:rFonts w:hint="eastAsia" w:ascii="方正仿宋_GBK" w:hAnsi="方正仿宋_GBK" w:eastAsia="方正仿宋_GBK"/>
                <w:kern w:val="0"/>
                <w:sz w:val="24"/>
              </w:rPr>
              <w:t>分</w:t>
            </w:r>
          </w:p>
        </w:tc>
        <w:tc>
          <w:tcPr>
            <w:tcW w:w="8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方正仿宋_GBK" w:eastAsia="方正仿宋_GBK"/>
                <w:kern w:val="0"/>
                <w:sz w:val="24"/>
              </w:rPr>
            </w:pP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cs="宋体"/>
                <w:kern w:val="0"/>
                <w:sz w:val="24"/>
              </w:rPr>
            </w:pPr>
            <w:r>
              <w:rPr>
                <w:rFonts w:hint="eastAsia" w:ascii="方正仿宋_GBK" w:hAnsi="方正仿宋_GBK" w:eastAsia="方正仿宋_GBK" w:cs="宋体"/>
                <w:kern w:val="0"/>
                <w:sz w:val="24"/>
              </w:rPr>
              <w:t>合计</w:t>
            </w:r>
          </w:p>
        </w:tc>
        <w:tc>
          <w:tcPr>
            <w:tcW w:w="8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bl>
    <w:p>
      <w:pPr>
        <w:spacing w:line="579" w:lineRule="exact"/>
        <w:ind w:firstLine="56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xml:space="preserve">第八条 </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挂网地址</w:t>
      </w:r>
    </w:p>
    <w:p>
      <w:pPr>
        <w:spacing w:line="579" w:lineRule="exact"/>
        <w:ind w:firstLine="56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竞争性比选公告网址：</w:t>
      </w:r>
    </w:p>
    <w:p>
      <w:pPr>
        <w:spacing w:line="579" w:lineRule="exact"/>
        <w:ind w:firstLine="56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高速集团官网：http://www.cegc.com.cn/gw/index</w:t>
      </w:r>
    </w:p>
    <w:p>
      <w:pPr>
        <w:spacing w:line="579" w:lineRule="exact"/>
        <w:ind w:firstLine="562"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第九条  确定中标人</w:t>
      </w:r>
    </w:p>
    <w:p>
      <w:pPr>
        <w:spacing w:line="579"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9</w:t>
      </w:r>
      <w:r>
        <w:rPr>
          <w:rFonts w:hint="eastAsia" w:ascii="方正仿宋_GBK" w:hAnsi="方正仿宋_GBK" w:eastAsia="方正仿宋_GBK" w:cs="方正仿宋_GBK"/>
          <w:sz w:val="28"/>
          <w:szCs w:val="28"/>
        </w:rPr>
        <w:t>.1 评标委员会依次按照以下顺序确定竞选候选人：</w:t>
      </w:r>
    </w:p>
    <w:p>
      <w:pPr>
        <w:spacing w:line="579"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总得分按由高到低顺序，总得分排名1～3名为竞选候选人。若总得分相同，以报价部分得分高的优先。若存在总得分相同且报价部分得分相同情况，以与公司有良好合作业绩的单位确定为竞选候选人。</w:t>
      </w:r>
    </w:p>
    <w:p>
      <w:pPr>
        <w:spacing w:line="579"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9</w:t>
      </w:r>
      <w:r>
        <w:rPr>
          <w:rFonts w:hint="eastAsia" w:ascii="方正仿宋_GBK" w:hAnsi="方正仿宋_GBK" w:eastAsia="方正仿宋_GBK" w:cs="方正仿宋_GBK"/>
          <w:sz w:val="28"/>
          <w:szCs w:val="28"/>
        </w:rPr>
        <w:t>.2 依据评审委员会推荐的竞选候选人顺序，公司确定排名第一的竞选候选人为中标人。若第一竞选候选人放弃资格的，比选人可按照评审委员会提出的竞选候选人名单排序依次确定其他竞选候选人为中标人。</w:t>
      </w:r>
    </w:p>
    <w:p>
      <w:pPr>
        <w:adjustRightInd w:val="0"/>
        <w:spacing w:line="579"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9</w:t>
      </w:r>
      <w:r>
        <w:rPr>
          <w:rFonts w:hint="eastAsia" w:ascii="方正仿宋_GBK" w:hAnsi="方正仿宋_GBK" w:eastAsia="方正仿宋_GBK" w:cs="方正仿宋_GBK"/>
          <w:sz w:val="28"/>
          <w:szCs w:val="28"/>
        </w:rPr>
        <w:t>.3比选人有权拒绝所有报价，而不必向竞选人说明原因。竞选的一切费用由投标人自行承担。</w:t>
      </w:r>
    </w:p>
    <w:p>
      <w:pPr>
        <w:spacing w:line="579" w:lineRule="exact"/>
        <w:ind w:firstLine="562"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第十条  合同价格、签定及款项支付方法</w:t>
      </w:r>
    </w:p>
    <w:p>
      <w:pPr>
        <w:spacing w:line="579"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10</w:t>
      </w:r>
      <w:r>
        <w:rPr>
          <w:rFonts w:hint="eastAsia" w:ascii="方正仿宋_GBK" w:hAnsi="方正仿宋_GBK" w:eastAsia="方正仿宋_GBK" w:cs="方正仿宋_GBK"/>
          <w:sz w:val="28"/>
          <w:szCs w:val="28"/>
        </w:rPr>
        <w:t>.1 在发布中标通知书后20个工作日内签署合同。</w:t>
      </w:r>
    </w:p>
    <w:p>
      <w:pPr>
        <w:spacing w:line="579"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10</w:t>
      </w:r>
      <w:r>
        <w:rPr>
          <w:rFonts w:hint="eastAsia" w:ascii="方正仿宋_GBK" w:hAnsi="方正仿宋_GBK" w:eastAsia="方正仿宋_GBK" w:cs="方正仿宋_GBK"/>
          <w:sz w:val="28"/>
          <w:szCs w:val="28"/>
        </w:rPr>
        <w:t>.2 合同价款按签订的合同方式支付。</w:t>
      </w:r>
    </w:p>
    <w:p>
      <w:pPr>
        <w:spacing w:line="579" w:lineRule="exact"/>
        <w:ind w:firstLine="562"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第十一条 廉政约定</w:t>
      </w:r>
    </w:p>
    <w:p>
      <w:pPr>
        <w:spacing w:line="579"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杜绝商业贿赂现象，共同营造公平、公正的竞争环境，敬请各投标人在参与投标报价过程中，将竞争比选人明示或暗示要求宴请、招待，或索取礼金、礼品、礼券、其他利益，或故意刁难、显失公平现象，向公司举报。具体举报渠道如下：</w:t>
      </w:r>
    </w:p>
    <w:p>
      <w:pPr>
        <w:pStyle w:val="23"/>
        <w:spacing w:line="579" w:lineRule="exact"/>
        <w:ind w:firstLine="560"/>
        <w:jc w:val="lef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重庆高速</w:t>
      </w:r>
      <w:r>
        <w:rPr>
          <w:rFonts w:hint="eastAsia" w:ascii="方正仿宋_GBK" w:hAnsi="方正仿宋_GBK" w:eastAsia="方正仿宋_GBK" w:cs="方正仿宋_GBK"/>
          <w:kern w:val="2"/>
          <w:sz w:val="28"/>
          <w:szCs w:val="28"/>
          <w:lang w:val="en-US" w:eastAsia="zh-CN" w:bidi="ar-SA"/>
        </w:rPr>
        <w:t>资产管理有限公司纪律检查办公室</w:t>
      </w:r>
    </w:p>
    <w:p>
      <w:pPr>
        <w:pStyle w:val="23"/>
        <w:spacing w:line="579" w:lineRule="exact"/>
        <w:ind w:firstLine="560"/>
        <w:jc w:val="lef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举报电话：（023）89186701</w:t>
      </w:r>
    </w:p>
    <w:p>
      <w:pPr>
        <w:spacing w:line="579"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kern w:val="2"/>
          <w:sz w:val="28"/>
          <w:szCs w:val="28"/>
          <w:lang w:val="en-US" w:eastAsia="zh-CN" w:bidi="ar-SA"/>
        </w:rPr>
        <w:t>竞争比选人承诺：</w:t>
      </w:r>
      <w:r>
        <w:rPr>
          <w:rFonts w:hint="eastAsia" w:ascii="方正仿宋_GBK" w:hAnsi="方正仿宋_GBK" w:eastAsia="方正仿宋_GBK" w:cs="方正仿宋_GBK"/>
          <w:sz w:val="28"/>
          <w:szCs w:val="28"/>
        </w:rPr>
        <w:t>对所有举报信息及时调查处理，对举报来源严格保守秘密，对举报单位因举报所可能遭受的利益损害采取特别措施予以保护。</w:t>
      </w:r>
    </w:p>
    <w:p>
      <w:pPr>
        <w:spacing w:line="579" w:lineRule="exact"/>
        <w:ind w:firstLine="562"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第十二条 纪律和监督</w:t>
      </w:r>
    </w:p>
    <w:p>
      <w:pPr>
        <w:spacing w:line="579"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 对竞争比选人的纪律要求。竞争比选人不得与竞选人串通损害国家利益、社会公共利益或他人合法权益。</w:t>
      </w:r>
    </w:p>
    <w:p>
      <w:pPr>
        <w:spacing w:line="579"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.2 对竞选人的纪律要求。竞选人不得相互串通投标或与竞争比选人串通投标，不得向竞争比选人或评审委员会成员行贿谋取中标，不得以他人名义竞选或以其他方式弄虚作假骗取中标；竞选人不得以任何方式干扰、影响评审工作。</w:t>
      </w:r>
    </w:p>
    <w:p>
      <w:pPr>
        <w:spacing w:line="579"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.3 对评审委员会成员的纪律要求。评审委员会成员不得收受他人的财物或其他好处，不得向他人透露对比选文件的评审和比较、竞选候选人的推荐情况以及评标有关的其他情况。在评审活动中，评审委员会成员应客观、公正地履行职责，遵守职业道德，不得擅离职守，影响评神农程序正常进行，不得使用“评审办法”没有规定的评审因素和标准进行评审。</w:t>
      </w:r>
    </w:p>
    <w:p>
      <w:pPr>
        <w:spacing w:line="579"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.4 对与比选活动有关的工作人员的纪律要求。与比选活动有关的工作人员不得收受他人的财物或其他好处，不得向他人透露对比选文件的评审和比较、竞选候选人的推荐情况以及评审有关的其他情况。在评审活动中，与评审活动有关的工作人员不得擅离职守，影响评审程序正常进行。投诉应有明确的请求和必要的证明材料。</w:t>
      </w:r>
    </w:p>
    <w:p>
      <w:pPr>
        <w:spacing w:line="579"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竞选人或其他利害关系人对评审结果提出投诉的，应按照第 6.4 款的规定先向竞争比选人提出异议。</w:t>
      </w:r>
    </w:p>
    <w:p>
      <w:pPr>
        <w:spacing w:line="579"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监督部门联系方式：（023）89186701</w:t>
      </w:r>
    </w:p>
    <w:p>
      <w:pPr>
        <w:spacing w:line="579" w:lineRule="exact"/>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第十二条  联系方式</w:t>
      </w:r>
    </w:p>
    <w:p>
      <w:pPr>
        <w:pStyle w:val="7"/>
        <w:spacing w:line="579" w:lineRule="exact"/>
        <w:ind w:firstLine="562"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竞争比选人：重庆高速资产经营有限公司</w:t>
      </w:r>
    </w:p>
    <w:p>
      <w:pPr>
        <w:pStyle w:val="7"/>
        <w:spacing w:line="579" w:lineRule="exact"/>
        <w:ind w:firstLine="562"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地址：重庆市渝北区人和香锦路4号     邮编：401121</w:t>
      </w:r>
    </w:p>
    <w:p>
      <w:pPr>
        <w:pStyle w:val="7"/>
        <w:spacing w:line="579" w:lineRule="exact"/>
        <w:ind w:firstLine="562" w:firstLineChars="200"/>
        <w:jc w:val="both"/>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rPr>
        <w:t>联系人：</w:t>
      </w:r>
      <w:r>
        <w:rPr>
          <w:rFonts w:hint="eastAsia" w:ascii="方正仿宋_GBK" w:hAnsi="方正仿宋_GBK" w:eastAsia="方正仿宋_GBK" w:cs="方正仿宋_GBK"/>
          <w:b/>
          <w:bCs/>
          <w:sz w:val="28"/>
          <w:szCs w:val="28"/>
          <w:lang w:eastAsia="zh-CN"/>
        </w:rPr>
        <w:t>曾女士</w:t>
      </w:r>
      <w:r>
        <w:rPr>
          <w:rFonts w:hint="eastAsia" w:ascii="方正仿宋_GBK" w:hAnsi="方正仿宋_GBK" w:eastAsia="方正仿宋_GBK" w:cs="方正仿宋_GBK"/>
          <w:b/>
          <w:bCs/>
          <w:sz w:val="28"/>
          <w:szCs w:val="28"/>
        </w:rPr>
        <w:t xml:space="preserve">              电话：1</w:t>
      </w:r>
      <w:r>
        <w:rPr>
          <w:rFonts w:hint="eastAsia" w:ascii="方正仿宋_GBK" w:hAnsi="方正仿宋_GBK" w:eastAsia="方正仿宋_GBK" w:cs="方正仿宋_GBK"/>
          <w:b/>
          <w:bCs/>
          <w:sz w:val="28"/>
          <w:szCs w:val="28"/>
          <w:lang w:val="en-US" w:eastAsia="zh-CN"/>
        </w:rPr>
        <w:t>7338660218</w:t>
      </w:r>
    </w:p>
    <w:p>
      <w:pPr>
        <w:pStyle w:val="7"/>
        <w:spacing w:line="579" w:lineRule="exact"/>
        <w:ind w:firstLine="1687" w:firstLineChars="6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pStyle w:val="7"/>
        <w:spacing w:line="579" w:lineRule="exact"/>
        <w:ind w:firstLine="562"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pStyle w:val="7"/>
        <w:spacing w:line="579" w:lineRule="exact"/>
        <w:jc w:val="right"/>
        <w:rPr>
          <w:rFonts w:ascii="方正仿宋_GBK" w:hAnsi="方正仿宋_GBK" w:eastAsia="方正仿宋_GBK" w:cs="方正仿宋_GBK"/>
          <w:sz w:val="28"/>
          <w:szCs w:val="28"/>
        </w:rPr>
      </w:pPr>
    </w:p>
    <w:p>
      <w:pPr>
        <w:pStyle w:val="7"/>
        <w:spacing w:line="579" w:lineRule="exact"/>
        <w:jc w:val="right"/>
        <w:rPr>
          <w:rFonts w:ascii="方正仿宋_GBK" w:hAnsi="方正仿宋_GBK" w:eastAsia="方正仿宋_GBK" w:cs="方正仿宋_GBK"/>
          <w:sz w:val="28"/>
          <w:szCs w:val="28"/>
        </w:rPr>
        <w:sectPr>
          <w:headerReference r:id="rId3" w:type="default"/>
          <w:footerReference r:id="rId4" w:type="default"/>
          <w:pgSz w:w="11906" w:h="16838"/>
          <w:pgMar w:top="1103" w:right="1800" w:bottom="993" w:left="1800" w:header="851" w:footer="992" w:gutter="0"/>
          <w:cols w:space="720" w:num="1"/>
          <w:docGrid w:type="lines" w:linePitch="312" w:charSpace="0"/>
        </w:sectPr>
      </w:pPr>
      <w:r>
        <w:rPr>
          <w:rFonts w:hint="eastAsia" w:ascii="方正仿宋_GBK" w:hAnsi="方正仿宋_GBK" w:eastAsia="方正仿宋_GBK" w:cs="方正仿宋_GBK"/>
          <w:sz w:val="28"/>
          <w:szCs w:val="28"/>
        </w:rPr>
        <w:t>【结束】</w:t>
      </w:r>
    </w:p>
    <w:p>
      <w:pPr>
        <w:spacing w:line="579" w:lineRule="exact"/>
        <w:ind w:firstLine="640" w:firstLineChars="200"/>
        <w:rPr>
          <w:rFonts w:ascii="宋体" w:hAnsi="宋体" w:cs="宋体"/>
          <w:sz w:val="32"/>
          <w:szCs w:val="32"/>
        </w:rPr>
      </w:pPr>
    </w:p>
    <w:p>
      <w:pPr>
        <w:spacing w:line="579" w:lineRule="exact"/>
      </w:pPr>
    </w:p>
    <w:p>
      <w:pPr>
        <w:spacing w:line="579" w:lineRule="exact"/>
        <w:jc w:val="center"/>
        <w:rPr>
          <w:rFonts w:eastAsia="黑体"/>
          <w:sz w:val="44"/>
          <w:szCs w:val="44"/>
        </w:rPr>
      </w:pPr>
    </w:p>
    <w:p>
      <w:pPr>
        <w:spacing w:line="579" w:lineRule="exact"/>
        <w:jc w:val="center"/>
        <w:rPr>
          <w:rFonts w:eastAsia="黑体"/>
          <w:sz w:val="44"/>
          <w:szCs w:val="44"/>
        </w:rPr>
      </w:pPr>
    </w:p>
    <w:p>
      <w:pPr>
        <w:spacing w:line="579" w:lineRule="exact"/>
        <w:jc w:val="center"/>
        <w:rPr>
          <w:rFonts w:eastAsia="黑体"/>
          <w:sz w:val="44"/>
          <w:szCs w:val="44"/>
        </w:rPr>
      </w:pPr>
    </w:p>
    <w:p>
      <w:pPr>
        <w:spacing w:line="579" w:lineRule="exact"/>
        <w:jc w:val="center"/>
        <w:rPr>
          <w:rFonts w:eastAsia="黑体"/>
          <w:sz w:val="44"/>
          <w:szCs w:val="44"/>
        </w:rPr>
      </w:pPr>
    </w:p>
    <w:p>
      <w:pPr>
        <w:spacing w:line="579" w:lineRule="exact"/>
        <w:jc w:val="center"/>
        <w:rPr>
          <w:rFonts w:eastAsia="黑体"/>
          <w:sz w:val="44"/>
          <w:szCs w:val="44"/>
        </w:rPr>
      </w:pPr>
    </w:p>
    <w:p>
      <w:pPr>
        <w:spacing w:line="579" w:lineRule="exact"/>
        <w:jc w:val="center"/>
        <w:rPr>
          <w:rFonts w:eastAsia="黑体"/>
          <w:sz w:val="44"/>
          <w:szCs w:val="44"/>
        </w:rPr>
      </w:pPr>
    </w:p>
    <w:p>
      <w:pPr>
        <w:spacing w:line="579" w:lineRule="exact"/>
        <w:jc w:val="center"/>
        <w:rPr>
          <w:rFonts w:eastAsia="黑体"/>
          <w:sz w:val="44"/>
          <w:szCs w:val="44"/>
        </w:rPr>
      </w:pPr>
    </w:p>
    <w:p>
      <w:pPr>
        <w:spacing w:line="579" w:lineRule="exact"/>
        <w:jc w:val="center"/>
        <w:rPr>
          <w:rFonts w:eastAsia="黑体"/>
          <w:sz w:val="44"/>
          <w:szCs w:val="44"/>
        </w:rPr>
      </w:pPr>
    </w:p>
    <w:p>
      <w:pPr>
        <w:spacing w:line="579" w:lineRule="exact"/>
        <w:jc w:val="center"/>
        <w:rPr>
          <w:rFonts w:eastAsia="黑体"/>
          <w:sz w:val="44"/>
          <w:szCs w:val="44"/>
        </w:rPr>
      </w:pPr>
    </w:p>
    <w:p>
      <w:pPr>
        <w:spacing w:line="579" w:lineRule="exact"/>
        <w:jc w:val="center"/>
        <w:rPr>
          <w:rFonts w:ascii="方正小标宋_GBK" w:hAnsi="方正小标宋_GBK" w:eastAsia="方正小标宋_GBK"/>
          <w:b/>
          <w:sz w:val="44"/>
          <w:szCs w:val="44"/>
        </w:rPr>
      </w:pPr>
      <w:r>
        <w:rPr>
          <w:rFonts w:hint="eastAsia" w:ascii="方正小标宋_GBK" w:hAnsi="方正小标宋_GBK" w:eastAsia="方正小标宋_GBK"/>
          <w:b/>
          <w:sz w:val="44"/>
          <w:szCs w:val="44"/>
        </w:rPr>
        <w:t>第二章  比选文件格式</w:t>
      </w:r>
    </w:p>
    <w:p>
      <w:pPr>
        <w:spacing w:line="579" w:lineRule="exact"/>
      </w:pPr>
    </w:p>
    <w:p>
      <w:pPr>
        <w:spacing w:line="579" w:lineRule="exact"/>
        <w:jc w:val="center"/>
        <w:rPr>
          <w:rFonts w:ascii="仿宋_GB2312" w:hAnsi="宋体" w:eastAsia="仿宋_GB2312"/>
          <w:b/>
          <w:sz w:val="28"/>
          <w:szCs w:val="28"/>
        </w:rPr>
      </w:pPr>
    </w:p>
    <w:p>
      <w:pPr>
        <w:spacing w:line="579" w:lineRule="exact"/>
        <w:jc w:val="center"/>
        <w:rPr>
          <w:rFonts w:ascii="仿宋_GB2312" w:hAnsi="宋体" w:eastAsia="仿宋_GB2312"/>
          <w:b/>
          <w:sz w:val="28"/>
          <w:szCs w:val="28"/>
        </w:rPr>
      </w:pPr>
    </w:p>
    <w:p>
      <w:pPr>
        <w:spacing w:line="579" w:lineRule="exact"/>
        <w:jc w:val="center"/>
        <w:rPr>
          <w:rFonts w:ascii="仿宋_GB2312" w:hAnsi="宋体" w:eastAsia="仿宋_GB2312"/>
          <w:b/>
          <w:sz w:val="28"/>
          <w:szCs w:val="28"/>
        </w:rPr>
      </w:pPr>
    </w:p>
    <w:p>
      <w:pPr>
        <w:spacing w:line="579" w:lineRule="exact"/>
        <w:jc w:val="center"/>
        <w:rPr>
          <w:rFonts w:ascii="仿宋_GB2312" w:hAnsi="宋体" w:eastAsia="仿宋_GB2312"/>
          <w:b/>
          <w:sz w:val="28"/>
          <w:szCs w:val="28"/>
        </w:rPr>
      </w:pPr>
    </w:p>
    <w:p>
      <w:pPr>
        <w:spacing w:line="579" w:lineRule="exact"/>
        <w:jc w:val="center"/>
        <w:rPr>
          <w:rFonts w:ascii="仿宋_GB2312" w:hAnsi="宋体" w:eastAsia="仿宋_GB2312"/>
          <w:b/>
          <w:sz w:val="28"/>
          <w:szCs w:val="28"/>
        </w:rPr>
      </w:pPr>
    </w:p>
    <w:p>
      <w:pPr>
        <w:spacing w:line="579" w:lineRule="exact"/>
        <w:jc w:val="center"/>
        <w:rPr>
          <w:rFonts w:ascii="仿宋_GB2312" w:hAnsi="宋体" w:eastAsia="仿宋_GB2312"/>
          <w:b/>
          <w:sz w:val="28"/>
          <w:szCs w:val="28"/>
        </w:rPr>
      </w:pPr>
    </w:p>
    <w:p>
      <w:pPr>
        <w:spacing w:line="579" w:lineRule="exact"/>
        <w:jc w:val="center"/>
        <w:rPr>
          <w:rFonts w:ascii="仿宋_GB2312" w:hAnsi="宋体" w:eastAsia="仿宋_GB2312"/>
          <w:b/>
          <w:sz w:val="28"/>
          <w:szCs w:val="28"/>
        </w:rPr>
      </w:pPr>
    </w:p>
    <w:p>
      <w:pPr>
        <w:spacing w:line="579" w:lineRule="exact"/>
        <w:jc w:val="center"/>
        <w:rPr>
          <w:rFonts w:ascii="仿宋_GB2312" w:hAnsi="宋体" w:eastAsia="仿宋_GB2312"/>
          <w:b/>
          <w:sz w:val="28"/>
          <w:szCs w:val="28"/>
        </w:rPr>
      </w:pPr>
    </w:p>
    <w:p>
      <w:pPr>
        <w:spacing w:line="579" w:lineRule="exact"/>
        <w:jc w:val="center"/>
        <w:rPr>
          <w:rFonts w:ascii="仿宋_GB2312" w:hAnsi="宋体" w:eastAsia="仿宋_GB2312"/>
          <w:b/>
          <w:sz w:val="28"/>
          <w:szCs w:val="28"/>
        </w:rPr>
      </w:pPr>
    </w:p>
    <w:p>
      <w:pPr>
        <w:spacing w:line="579" w:lineRule="exact"/>
        <w:jc w:val="center"/>
        <w:rPr>
          <w:rFonts w:ascii="仿宋_GB2312" w:hAnsi="宋体" w:eastAsia="仿宋_GB2312"/>
          <w:b/>
          <w:sz w:val="28"/>
          <w:szCs w:val="28"/>
        </w:rPr>
      </w:pPr>
    </w:p>
    <w:p>
      <w:pPr>
        <w:spacing w:line="579" w:lineRule="exact"/>
        <w:jc w:val="center"/>
        <w:rPr>
          <w:rFonts w:ascii="仿宋_GB2312" w:hAnsi="宋体" w:eastAsia="仿宋_GB2312"/>
          <w:b/>
          <w:sz w:val="28"/>
          <w:szCs w:val="28"/>
        </w:rPr>
      </w:pPr>
    </w:p>
    <w:p>
      <w:pPr>
        <w:spacing w:line="579" w:lineRule="exact"/>
        <w:jc w:val="center"/>
        <w:rPr>
          <w:rFonts w:ascii="宋体" w:hAnsi="宋体" w:cs="宋体"/>
          <w:b/>
          <w:bCs/>
          <w:sz w:val="44"/>
          <w:szCs w:val="44"/>
        </w:rPr>
      </w:pPr>
    </w:p>
    <w:p>
      <w:pPr>
        <w:spacing w:line="579" w:lineRule="exact"/>
        <w:jc w:val="center"/>
        <w:rPr>
          <w:rFonts w:ascii="宋体" w:hAnsi="宋体" w:cs="宋体"/>
          <w:b/>
          <w:bCs/>
          <w:sz w:val="44"/>
          <w:szCs w:val="44"/>
        </w:rPr>
      </w:pPr>
      <w:r>
        <w:rPr>
          <w:rFonts w:hint="eastAsia" w:ascii="宋体" w:hAnsi="宋体" w:cs="宋体"/>
          <w:b/>
          <w:bCs/>
          <w:sz w:val="44"/>
          <w:szCs w:val="44"/>
        </w:rPr>
        <w:t>重庆高速资产经营管理有限公司</w:t>
      </w:r>
    </w:p>
    <w:p>
      <w:pPr>
        <w:spacing w:line="579" w:lineRule="exact"/>
        <w:jc w:val="center"/>
        <w:rPr>
          <w:rFonts w:ascii="宋体" w:hAnsi="宋体" w:cs="宋体"/>
          <w:b/>
          <w:bCs/>
          <w:sz w:val="44"/>
          <w:szCs w:val="44"/>
        </w:rPr>
      </w:pPr>
      <w:r>
        <w:rPr>
          <w:rFonts w:hint="eastAsia" w:ascii="宋体" w:hAnsi="宋体" w:cs="宋体"/>
          <w:b/>
          <w:bCs/>
          <w:sz w:val="44"/>
          <w:szCs w:val="44"/>
          <w:lang w:eastAsia="zh-CN"/>
        </w:rPr>
        <w:t>下属非成品油公司</w:t>
      </w:r>
      <w:r>
        <w:rPr>
          <w:rFonts w:hint="eastAsia" w:ascii="宋体" w:hAnsi="宋体" w:cs="宋体"/>
          <w:b/>
          <w:bCs/>
          <w:sz w:val="44"/>
          <w:szCs w:val="44"/>
        </w:rPr>
        <w:t>常年法律顾问聘用</w:t>
      </w:r>
    </w:p>
    <w:p>
      <w:pPr>
        <w:spacing w:line="579" w:lineRule="exact"/>
        <w:rPr>
          <w:rFonts w:ascii="宋体" w:hAnsi="宋体" w:cs="宋体"/>
          <w:b/>
          <w:bCs/>
          <w:sz w:val="44"/>
          <w:szCs w:val="44"/>
        </w:rPr>
      </w:pPr>
    </w:p>
    <w:p>
      <w:pPr>
        <w:spacing w:line="579" w:lineRule="exact"/>
        <w:rPr>
          <w:rFonts w:ascii="宋体" w:hAnsi="宋体" w:cs="宋体"/>
          <w:b/>
          <w:bCs/>
          <w:sz w:val="20"/>
        </w:rPr>
      </w:pPr>
    </w:p>
    <w:p>
      <w:pPr>
        <w:spacing w:line="579" w:lineRule="exact"/>
        <w:jc w:val="center"/>
        <w:rPr>
          <w:rFonts w:ascii="宋体" w:hAnsi="宋体" w:cs="宋体"/>
          <w:b/>
          <w:bCs/>
          <w:sz w:val="44"/>
          <w:szCs w:val="44"/>
        </w:rPr>
      </w:pPr>
      <w:r>
        <w:rPr>
          <w:rFonts w:hint="eastAsia" w:ascii="宋体" w:hAnsi="宋体" w:cs="宋体"/>
          <w:b/>
          <w:bCs/>
          <w:sz w:val="44"/>
          <w:szCs w:val="44"/>
        </w:rPr>
        <w:t>比  选  文  件</w:t>
      </w:r>
    </w:p>
    <w:p>
      <w:pPr>
        <w:spacing w:line="579" w:lineRule="exact"/>
        <w:jc w:val="center"/>
        <w:rPr>
          <w:rFonts w:ascii="宋体" w:hAnsi="宋体" w:cs="宋体"/>
          <w:b/>
          <w:bCs/>
          <w:sz w:val="44"/>
          <w:szCs w:val="44"/>
        </w:rPr>
      </w:pPr>
      <w:r>
        <w:rPr>
          <w:rFonts w:hint="eastAsia" w:ascii="宋体" w:hAnsi="宋体" w:cs="宋体"/>
          <w:b/>
          <w:bCs/>
          <w:sz w:val="44"/>
          <w:szCs w:val="44"/>
        </w:rPr>
        <w:t>第一卷</w:t>
      </w:r>
    </w:p>
    <w:p>
      <w:pPr>
        <w:spacing w:line="579" w:lineRule="exact"/>
        <w:jc w:val="center"/>
        <w:rPr>
          <w:rFonts w:ascii="宋体" w:hAnsi="宋体" w:cs="宋体"/>
          <w:b/>
          <w:sz w:val="30"/>
          <w:szCs w:val="30"/>
        </w:rPr>
      </w:pPr>
    </w:p>
    <w:p>
      <w:pPr>
        <w:spacing w:line="579" w:lineRule="exact"/>
        <w:jc w:val="center"/>
        <w:rPr>
          <w:b/>
          <w:sz w:val="30"/>
          <w:szCs w:val="30"/>
        </w:rPr>
      </w:pPr>
      <w:r>
        <w:rPr>
          <w:rFonts w:hint="eastAsia"/>
          <w:b/>
          <w:sz w:val="30"/>
          <w:szCs w:val="30"/>
        </w:rPr>
        <w:t>（商务技术文件）</w:t>
      </w:r>
    </w:p>
    <w:p>
      <w:pPr>
        <w:spacing w:line="579" w:lineRule="exact"/>
        <w:rPr>
          <w:rFonts w:eastAsia="黑体"/>
          <w:sz w:val="28"/>
          <w:szCs w:val="28"/>
        </w:rPr>
      </w:pPr>
    </w:p>
    <w:p>
      <w:pPr>
        <w:spacing w:line="579" w:lineRule="exact"/>
        <w:rPr>
          <w:rFonts w:eastAsia="黑体"/>
          <w:sz w:val="28"/>
          <w:szCs w:val="28"/>
        </w:rPr>
      </w:pPr>
    </w:p>
    <w:p>
      <w:pPr>
        <w:spacing w:line="579" w:lineRule="exact"/>
        <w:rPr>
          <w:rFonts w:eastAsia="黑体"/>
          <w:sz w:val="28"/>
          <w:szCs w:val="28"/>
        </w:rPr>
      </w:pPr>
    </w:p>
    <w:p>
      <w:pPr>
        <w:spacing w:line="579" w:lineRule="exact"/>
        <w:rPr>
          <w:rFonts w:eastAsia="黑体"/>
          <w:sz w:val="28"/>
          <w:szCs w:val="28"/>
        </w:rPr>
      </w:pPr>
    </w:p>
    <w:p>
      <w:pPr>
        <w:spacing w:line="579" w:lineRule="exact"/>
        <w:rPr>
          <w:rFonts w:eastAsia="黑体"/>
          <w:sz w:val="28"/>
          <w:szCs w:val="28"/>
        </w:rPr>
      </w:pPr>
    </w:p>
    <w:p>
      <w:pPr>
        <w:spacing w:line="579" w:lineRule="exact"/>
        <w:rPr>
          <w:rFonts w:eastAsia="黑体"/>
          <w:sz w:val="28"/>
          <w:szCs w:val="28"/>
        </w:rPr>
      </w:pPr>
    </w:p>
    <w:p>
      <w:pPr>
        <w:spacing w:line="579" w:lineRule="exact"/>
        <w:rPr>
          <w:rFonts w:eastAsia="黑体"/>
          <w:sz w:val="28"/>
          <w:szCs w:val="28"/>
        </w:rPr>
      </w:pPr>
    </w:p>
    <w:p>
      <w:pPr>
        <w:spacing w:line="579" w:lineRule="exact"/>
        <w:rPr>
          <w:rFonts w:eastAsia="黑体"/>
          <w:sz w:val="28"/>
          <w:szCs w:val="28"/>
        </w:rPr>
      </w:pPr>
    </w:p>
    <w:p>
      <w:pPr>
        <w:spacing w:line="579" w:lineRule="exact"/>
        <w:rPr>
          <w:rFonts w:eastAsia="黑体"/>
          <w:sz w:val="28"/>
          <w:szCs w:val="28"/>
        </w:rPr>
      </w:pPr>
    </w:p>
    <w:p>
      <w:pPr>
        <w:spacing w:line="579" w:lineRule="exact"/>
        <w:jc w:val="center"/>
        <w:rPr>
          <w:rFonts w:ascii="宋体" w:hAnsi="宋体" w:cs="宋体"/>
          <w:b/>
          <w:bCs/>
          <w:sz w:val="28"/>
          <w:szCs w:val="28"/>
          <w:u w:val="single"/>
        </w:rPr>
      </w:pPr>
      <w:r>
        <w:rPr>
          <w:rFonts w:hint="eastAsia" w:ascii="宋体" w:hAnsi="宋体" w:cs="宋体"/>
          <w:b/>
          <w:bCs/>
          <w:sz w:val="28"/>
          <w:szCs w:val="28"/>
        </w:rPr>
        <w:t>投标人：</w:t>
      </w:r>
      <w:r>
        <w:rPr>
          <w:rFonts w:hint="eastAsia" w:ascii="宋体" w:hAnsi="宋体" w:cs="宋体"/>
          <w:b/>
          <w:bCs/>
          <w:sz w:val="28"/>
          <w:szCs w:val="28"/>
          <w:u w:val="single"/>
        </w:rPr>
        <w:t xml:space="preserve">                              </w:t>
      </w:r>
      <w:r>
        <w:rPr>
          <w:rFonts w:hint="eastAsia" w:ascii="宋体" w:hAnsi="宋体" w:cs="宋体"/>
          <w:b/>
          <w:bCs/>
          <w:sz w:val="28"/>
          <w:szCs w:val="28"/>
        </w:rPr>
        <w:t>（盖单位章）</w:t>
      </w:r>
    </w:p>
    <w:p>
      <w:pPr>
        <w:spacing w:line="579" w:lineRule="exact"/>
        <w:jc w:val="center"/>
        <w:rPr>
          <w:rFonts w:ascii="宋体" w:hAnsi="宋体" w:cs="宋体"/>
          <w:b/>
          <w:bCs/>
          <w:sz w:val="28"/>
          <w:szCs w:val="28"/>
        </w:rPr>
      </w:pPr>
      <w:r>
        <w:rPr>
          <w:rFonts w:hint="eastAsia" w:ascii="宋体" w:hAnsi="宋体" w:cs="宋体"/>
          <w:b/>
          <w:bCs/>
          <w:sz w:val="28"/>
          <w:szCs w:val="28"/>
          <w:u w:val="single"/>
        </w:rPr>
        <w:t xml:space="preserve">        </w:t>
      </w:r>
      <w:r>
        <w:rPr>
          <w:rFonts w:hint="eastAsia" w:ascii="宋体" w:hAnsi="宋体" w:cs="宋体"/>
          <w:b/>
          <w:bCs/>
          <w:sz w:val="28"/>
          <w:szCs w:val="28"/>
        </w:rPr>
        <w:t>年</w:t>
      </w:r>
      <w:r>
        <w:rPr>
          <w:rFonts w:hint="eastAsia" w:ascii="宋体" w:hAnsi="宋体" w:cs="宋体"/>
          <w:b/>
          <w:bCs/>
          <w:sz w:val="28"/>
          <w:szCs w:val="28"/>
          <w:u w:val="single"/>
        </w:rPr>
        <w:t xml:space="preserve">        </w:t>
      </w:r>
      <w:r>
        <w:rPr>
          <w:rFonts w:hint="eastAsia" w:ascii="宋体" w:hAnsi="宋体" w:cs="宋体"/>
          <w:b/>
          <w:bCs/>
          <w:sz w:val="28"/>
          <w:szCs w:val="28"/>
        </w:rPr>
        <w:t>月</w:t>
      </w:r>
      <w:r>
        <w:rPr>
          <w:rFonts w:hint="eastAsia" w:ascii="宋体" w:hAnsi="宋体" w:cs="宋体"/>
          <w:b/>
          <w:bCs/>
          <w:sz w:val="28"/>
          <w:szCs w:val="28"/>
          <w:u w:val="single"/>
        </w:rPr>
        <w:t xml:space="preserve">        </w:t>
      </w:r>
      <w:r>
        <w:rPr>
          <w:rFonts w:hint="eastAsia" w:ascii="宋体" w:hAnsi="宋体" w:cs="宋体"/>
          <w:b/>
          <w:bCs/>
          <w:sz w:val="28"/>
          <w:szCs w:val="28"/>
        </w:rPr>
        <w:t>日</w:t>
      </w:r>
    </w:p>
    <w:p>
      <w:pPr>
        <w:pStyle w:val="40"/>
        <w:spacing w:before="0" w:line="579" w:lineRule="exact"/>
        <w:jc w:val="center"/>
        <w:rPr>
          <w:rFonts w:cs="Times New Roman"/>
        </w:rPr>
        <w:sectPr>
          <w:headerReference r:id="rId5" w:type="default"/>
          <w:footerReference r:id="rId6" w:type="default"/>
          <w:pgSz w:w="11906" w:h="16838"/>
          <w:pgMar w:top="1440" w:right="1800" w:bottom="1440" w:left="1800" w:header="851" w:footer="992" w:gutter="0"/>
          <w:cols w:space="720" w:num="1"/>
          <w:docGrid w:type="lines" w:linePitch="312" w:charSpace="0"/>
        </w:sectPr>
      </w:pPr>
    </w:p>
    <w:p>
      <w:pPr>
        <w:spacing w:line="579" w:lineRule="exact"/>
      </w:pPr>
      <w:bookmarkStart w:id="7" w:name="_Toc248117619"/>
      <w:bookmarkStart w:id="8" w:name="_Toc152045787"/>
      <w:bookmarkStart w:id="9" w:name="_Toc152042576"/>
      <w:bookmarkStart w:id="10" w:name="_Toc144974856"/>
    </w:p>
    <w:p>
      <w:pPr>
        <w:spacing w:line="579" w:lineRule="exact"/>
      </w:pPr>
    </w:p>
    <w:p>
      <w:pPr>
        <w:spacing w:line="579" w:lineRule="exact"/>
        <w:jc w:val="center"/>
        <w:rPr>
          <w:rFonts w:ascii="宋体" w:hAnsi="宋体" w:cs="宋体"/>
          <w:b/>
          <w:bCs/>
          <w:sz w:val="52"/>
          <w:szCs w:val="52"/>
        </w:rPr>
      </w:pPr>
      <w:r>
        <w:rPr>
          <w:rFonts w:hint="eastAsia" w:ascii="宋体" w:hAnsi="宋体" w:cs="宋体"/>
          <w:b/>
          <w:bCs/>
          <w:sz w:val="52"/>
          <w:szCs w:val="52"/>
        </w:rPr>
        <w:t>目 录</w:t>
      </w:r>
      <w:bookmarkEnd w:id="7"/>
      <w:bookmarkEnd w:id="8"/>
      <w:bookmarkEnd w:id="9"/>
      <w:bookmarkEnd w:id="10"/>
    </w:p>
    <w:p>
      <w:pPr>
        <w:spacing w:line="579" w:lineRule="exact"/>
        <w:rPr>
          <w:rFonts w:ascii="宋体" w:hAnsi="宋体" w:cs="宋体"/>
          <w:sz w:val="28"/>
          <w:szCs w:val="28"/>
        </w:rPr>
      </w:pPr>
    </w:p>
    <w:p>
      <w:pPr>
        <w:spacing w:line="579" w:lineRule="exact"/>
        <w:rPr>
          <w:rFonts w:ascii="宋体" w:hAnsi="宋体" w:cs="宋体"/>
          <w:sz w:val="28"/>
          <w:szCs w:val="28"/>
        </w:rPr>
      </w:pPr>
      <w:r>
        <w:rPr>
          <w:rFonts w:hint="eastAsia" w:ascii="宋体" w:hAnsi="宋体" w:cs="宋体"/>
          <w:sz w:val="28"/>
          <w:szCs w:val="28"/>
        </w:rPr>
        <w:t>一、投标函  ………………………………………………………**</w:t>
      </w:r>
    </w:p>
    <w:p>
      <w:pPr>
        <w:spacing w:line="579" w:lineRule="exact"/>
        <w:jc w:val="left"/>
        <w:rPr>
          <w:rFonts w:ascii="宋体" w:hAnsi="宋体" w:cs="宋体"/>
          <w:sz w:val="28"/>
          <w:szCs w:val="28"/>
        </w:rPr>
      </w:pPr>
      <w:r>
        <w:rPr>
          <w:rFonts w:hint="eastAsia" w:ascii="宋体" w:hAnsi="宋体" w:cs="宋体"/>
          <w:sz w:val="28"/>
          <w:szCs w:val="28"/>
        </w:rPr>
        <w:t>二、律师事务所负责人身份证明或授权委托书  …………………**</w:t>
      </w:r>
    </w:p>
    <w:p>
      <w:pPr>
        <w:spacing w:line="579" w:lineRule="exact"/>
        <w:rPr>
          <w:rFonts w:ascii="宋体" w:hAnsi="宋体" w:cs="宋体"/>
          <w:sz w:val="28"/>
          <w:szCs w:val="28"/>
        </w:rPr>
      </w:pPr>
      <w:r>
        <w:rPr>
          <w:rFonts w:hint="eastAsia" w:ascii="宋体" w:hAnsi="宋体" w:cs="宋体"/>
          <w:sz w:val="28"/>
          <w:szCs w:val="28"/>
        </w:rPr>
        <w:t>三、投标人律师事务所执业许可证复印件  ………………………**</w:t>
      </w:r>
    </w:p>
    <w:p>
      <w:pPr>
        <w:spacing w:line="579" w:lineRule="exact"/>
        <w:rPr>
          <w:rFonts w:ascii="方正仿宋_GBK" w:hAnsi="方正仿宋_GBK" w:eastAsia="方正仿宋_GBK" w:cs="方正仿宋_GBK"/>
          <w:sz w:val="28"/>
          <w:szCs w:val="28"/>
          <w:shd w:val="clear" w:color="auto" w:fill="FFFFFF"/>
        </w:rPr>
      </w:pPr>
      <w:r>
        <w:rPr>
          <w:rFonts w:hint="eastAsia" w:ascii="宋体" w:hAnsi="宋体" w:cs="宋体"/>
          <w:sz w:val="28"/>
          <w:szCs w:val="28"/>
        </w:rPr>
        <w:t>四、省级律师协会网站截屏执业律师名单或提供律师执业证……**</w:t>
      </w:r>
    </w:p>
    <w:p>
      <w:pPr>
        <w:spacing w:line="579" w:lineRule="exact"/>
        <w:rPr>
          <w:rFonts w:ascii="宋体" w:hAnsi="宋体" w:cs="宋体"/>
          <w:sz w:val="28"/>
          <w:szCs w:val="28"/>
        </w:rPr>
      </w:pPr>
      <w:r>
        <w:rPr>
          <w:rFonts w:hint="eastAsia" w:ascii="宋体" w:hAnsi="宋体" w:cs="宋体"/>
          <w:sz w:val="28"/>
          <w:szCs w:val="28"/>
        </w:rPr>
        <w:t>五、拟服务的团队负责人、现场办公律师和协办律师人员汇总表…**</w:t>
      </w:r>
    </w:p>
    <w:p>
      <w:pPr>
        <w:spacing w:line="579" w:lineRule="exact"/>
        <w:rPr>
          <w:rFonts w:ascii="宋体" w:hAnsi="宋体" w:cs="宋体"/>
          <w:sz w:val="28"/>
          <w:szCs w:val="28"/>
        </w:rPr>
      </w:pPr>
      <w:r>
        <w:rPr>
          <w:rFonts w:hint="eastAsia" w:ascii="宋体" w:hAnsi="宋体" w:cs="宋体"/>
          <w:sz w:val="28"/>
          <w:szCs w:val="28"/>
        </w:rPr>
        <w:t>六、拟服务的团队负责人资历表………………………………………**</w:t>
      </w:r>
    </w:p>
    <w:p>
      <w:pPr>
        <w:spacing w:line="579" w:lineRule="exact"/>
        <w:rPr>
          <w:rFonts w:ascii="宋体" w:hAnsi="宋体" w:cs="宋体"/>
          <w:sz w:val="28"/>
          <w:szCs w:val="28"/>
        </w:rPr>
      </w:pPr>
      <w:r>
        <w:rPr>
          <w:rFonts w:hint="eastAsia" w:ascii="宋体" w:hAnsi="宋体" w:cs="宋体"/>
          <w:sz w:val="28"/>
          <w:szCs w:val="28"/>
        </w:rPr>
        <w:t>七、拟服务的主（协）办律师资历表………………………………**</w:t>
      </w:r>
    </w:p>
    <w:p>
      <w:pPr>
        <w:spacing w:line="579" w:lineRule="exact"/>
        <w:rPr>
          <w:rFonts w:ascii="宋体" w:hAnsi="宋体" w:cs="宋体"/>
          <w:sz w:val="28"/>
          <w:szCs w:val="28"/>
        </w:rPr>
      </w:pPr>
      <w:r>
        <w:rPr>
          <w:rFonts w:hint="eastAsia" w:ascii="宋体" w:hAnsi="宋体" w:cs="宋体"/>
          <w:sz w:val="28"/>
          <w:szCs w:val="28"/>
        </w:rPr>
        <w:t>八、律师事务所所获荣誉……………………………………**</w:t>
      </w:r>
    </w:p>
    <w:p>
      <w:pPr>
        <w:spacing w:line="579" w:lineRule="exact"/>
        <w:rPr>
          <w:rFonts w:ascii="宋体" w:hAnsi="宋体" w:cs="宋体"/>
          <w:sz w:val="28"/>
          <w:szCs w:val="28"/>
        </w:rPr>
      </w:pPr>
      <w:r>
        <w:rPr>
          <w:rFonts w:hint="eastAsia" w:ascii="宋体" w:hAnsi="宋体" w:cs="宋体"/>
          <w:sz w:val="28"/>
          <w:szCs w:val="28"/>
        </w:rPr>
        <w:t>九、服务团队业绩…………………………………………**</w:t>
      </w:r>
    </w:p>
    <w:p>
      <w:pPr>
        <w:spacing w:line="579" w:lineRule="exact"/>
        <w:rPr>
          <w:rFonts w:ascii="宋体" w:hAnsi="宋体" w:cs="宋体"/>
          <w:sz w:val="28"/>
          <w:szCs w:val="28"/>
        </w:rPr>
      </w:pPr>
      <w:r>
        <w:rPr>
          <w:rFonts w:hint="eastAsia" w:ascii="宋体" w:hAnsi="宋体" w:cs="宋体"/>
          <w:sz w:val="28"/>
          <w:szCs w:val="28"/>
        </w:rPr>
        <w:t>十、服务方案……………………………………………………**</w:t>
      </w:r>
    </w:p>
    <w:p>
      <w:pPr>
        <w:spacing w:line="579" w:lineRule="exact"/>
        <w:rPr>
          <w:rFonts w:ascii="宋体" w:hAnsi="宋体" w:cs="宋体"/>
          <w:sz w:val="28"/>
          <w:szCs w:val="28"/>
        </w:rPr>
      </w:pPr>
      <w:r>
        <w:rPr>
          <w:rFonts w:hint="eastAsia" w:ascii="宋体" w:hAnsi="宋体" w:cs="宋体"/>
          <w:sz w:val="28"/>
          <w:szCs w:val="28"/>
        </w:rPr>
        <w:t>十一、承诺函………………………………………………………**</w:t>
      </w:r>
    </w:p>
    <w:p>
      <w:pPr>
        <w:spacing w:line="579" w:lineRule="exact"/>
        <w:jc w:val="center"/>
      </w:pPr>
    </w:p>
    <w:p>
      <w:pPr>
        <w:spacing w:line="579" w:lineRule="exact"/>
        <w:jc w:val="center"/>
      </w:pPr>
    </w:p>
    <w:p>
      <w:pPr>
        <w:spacing w:line="579" w:lineRule="exact"/>
        <w:jc w:val="center"/>
      </w:pPr>
    </w:p>
    <w:p>
      <w:pPr>
        <w:spacing w:line="579" w:lineRule="exact"/>
        <w:jc w:val="center"/>
      </w:pPr>
    </w:p>
    <w:p>
      <w:pPr>
        <w:spacing w:line="579" w:lineRule="exact"/>
        <w:jc w:val="center"/>
      </w:pPr>
    </w:p>
    <w:p>
      <w:pPr>
        <w:spacing w:line="579" w:lineRule="exact"/>
        <w:jc w:val="center"/>
      </w:pPr>
    </w:p>
    <w:p>
      <w:pPr>
        <w:spacing w:line="579" w:lineRule="exact"/>
        <w:jc w:val="center"/>
      </w:pPr>
    </w:p>
    <w:p>
      <w:pPr>
        <w:spacing w:line="579" w:lineRule="exact"/>
        <w:jc w:val="both"/>
      </w:pPr>
    </w:p>
    <w:p>
      <w:pPr>
        <w:pStyle w:val="4"/>
        <w:spacing w:line="579" w:lineRule="exact"/>
        <w:rPr>
          <w:rFonts w:ascii="宋体" w:hAnsi="宋体" w:eastAsia="宋体" w:cs="宋体"/>
        </w:rPr>
      </w:pPr>
      <w:bookmarkStart w:id="11" w:name="_Toc2000455"/>
      <w:bookmarkStart w:id="12" w:name="_Toc8870"/>
      <w:r>
        <w:rPr>
          <w:rFonts w:hint="eastAsia" w:ascii="宋体" w:hAnsi="宋体" w:eastAsia="宋体" w:cs="宋体"/>
        </w:rPr>
        <w:t>一、投标函</w:t>
      </w:r>
      <w:bookmarkEnd w:id="11"/>
      <w:bookmarkEnd w:id="12"/>
    </w:p>
    <w:p>
      <w:pPr>
        <w:spacing w:line="579" w:lineRule="exact"/>
        <w:rPr>
          <w:rFonts w:ascii="宋体" w:hAnsi="宋体" w:cs="宋体"/>
          <w:szCs w:val="21"/>
        </w:rPr>
      </w:pPr>
      <w:r>
        <w:rPr>
          <w:rFonts w:hint="eastAsia" w:ascii="宋体" w:hAnsi="宋体" w:cs="宋体"/>
          <w:szCs w:val="21"/>
          <w:u w:val="single"/>
        </w:rPr>
        <w:t>重庆高速资产经营管理有限公司</w:t>
      </w:r>
      <w:r>
        <w:rPr>
          <w:rFonts w:hint="eastAsia" w:ascii="宋体" w:hAnsi="宋体" w:cs="宋体"/>
          <w:szCs w:val="21"/>
        </w:rPr>
        <w:t>：</w:t>
      </w:r>
    </w:p>
    <w:p>
      <w:pPr>
        <w:spacing w:line="579" w:lineRule="exact"/>
        <w:ind w:firstLine="420" w:firstLineChars="200"/>
        <w:rPr>
          <w:rFonts w:ascii="宋体" w:hAnsi="宋体" w:cs="宋体"/>
          <w:szCs w:val="21"/>
        </w:rPr>
      </w:pPr>
      <w:r>
        <w:rPr>
          <w:rFonts w:hint="eastAsia" w:ascii="宋体" w:hAnsi="宋体" w:cs="宋体"/>
          <w:szCs w:val="21"/>
        </w:rPr>
        <w:t>1．我方已仔细研究</w:t>
      </w:r>
      <w:r>
        <w:rPr>
          <w:rFonts w:hint="eastAsia" w:ascii="宋体" w:hAnsi="宋体" w:cs="宋体"/>
          <w:szCs w:val="21"/>
          <w:u w:val="single"/>
        </w:rPr>
        <w:t xml:space="preserve">  重庆高速资产经营管理有限公司</w:t>
      </w:r>
      <w:r>
        <w:rPr>
          <w:rFonts w:hint="eastAsia" w:ascii="宋体" w:hAnsi="宋体" w:cs="宋体"/>
          <w:szCs w:val="21"/>
          <w:u w:val="single"/>
          <w:lang w:eastAsia="zh-CN"/>
        </w:rPr>
        <w:t>下属非成品油公司</w:t>
      </w:r>
      <w:r>
        <w:rPr>
          <w:rFonts w:hint="eastAsia" w:ascii="宋体" w:hAnsi="宋体" w:cs="宋体"/>
          <w:szCs w:val="21"/>
          <w:u w:val="single"/>
        </w:rPr>
        <w:t>常年法律顾问聘用</w:t>
      </w:r>
      <w:r>
        <w:rPr>
          <w:rFonts w:hint="eastAsia" w:ascii="宋体" w:hAnsi="宋体" w:cs="宋体"/>
          <w:kern w:val="0"/>
          <w:sz w:val="28"/>
          <w:szCs w:val="28"/>
          <w:u w:val="single"/>
        </w:rPr>
        <w:t xml:space="preserve"> </w:t>
      </w:r>
      <w:r>
        <w:rPr>
          <w:rFonts w:hint="eastAsia" w:ascii="宋体" w:hAnsi="宋体" w:cs="宋体"/>
          <w:szCs w:val="21"/>
        </w:rPr>
        <w:t>竞争性比选文件的全部内容，</w:t>
      </w:r>
      <w:r>
        <w:rPr>
          <w:rFonts w:ascii="宋体" w:hAnsi="宋体"/>
          <w:szCs w:val="21"/>
        </w:rPr>
        <w:t>愿意</w:t>
      </w:r>
      <w:r>
        <w:rPr>
          <w:rFonts w:hint="eastAsia" w:ascii="宋体" w:hAnsi="宋体"/>
          <w:szCs w:val="21"/>
        </w:rPr>
        <w:t>以第一卷承诺的条件，竞争性比选文件约定的方式，及后续签订的</w:t>
      </w:r>
      <w:r>
        <w:rPr>
          <w:rFonts w:hint="eastAsia" w:ascii="宋体" w:hAnsi="宋体"/>
          <w:color w:val="000000"/>
          <w:kern w:val="0"/>
          <w:szCs w:val="21"/>
        </w:rPr>
        <w:t>合同条款要求去</w:t>
      </w:r>
      <w:r>
        <w:rPr>
          <w:rFonts w:ascii="宋体" w:hAnsi="宋体"/>
          <w:color w:val="000000"/>
          <w:kern w:val="0"/>
          <w:szCs w:val="21"/>
        </w:rPr>
        <w:t>实施</w:t>
      </w:r>
      <w:r>
        <w:rPr>
          <w:rFonts w:hint="eastAsia" w:ascii="宋体" w:hAnsi="宋体"/>
          <w:color w:val="000000"/>
          <w:kern w:val="0"/>
          <w:szCs w:val="21"/>
        </w:rPr>
        <w:t>常年法律顾问任务</w:t>
      </w:r>
      <w:r>
        <w:rPr>
          <w:rFonts w:hint="eastAsia" w:ascii="宋体" w:hAnsi="宋体" w:cs="宋体"/>
          <w:szCs w:val="21"/>
        </w:rPr>
        <w:t>。</w:t>
      </w:r>
    </w:p>
    <w:p>
      <w:pPr>
        <w:spacing w:line="579" w:lineRule="exact"/>
        <w:ind w:firstLine="420" w:firstLineChars="200"/>
        <w:rPr>
          <w:rFonts w:ascii="宋体" w:hAnsi="宋体" w:cs="宋体"/>
          <w:szCs w:val="21"/>
        </w:rPr>
      </w:pPr>
      <w:r>
        <w:rPr>
          <w:rFonts w:hint="eastAsia" w:ascii="宋体" w:hAnsi="宋体" w:cs="宋体"/>
          <w:szCs w:val="21"/>
        </w:rPr>
        <w:t>2．我方承诺在竞争比选文件规定的投标有效期内不撤销比选文件。</w:t>
      </w:r>
    </w:p>
    <w:p>
      <w:pPr>
        <w:spacing w:line="579" w:lineRule="exact"/>
        <w:ind w:firstLine="420" w:firstLineChars="200"/>
        <w:rPr>
          <w:rFonts w:ascii="宋体" w:hAnsi="宋体" w:cs="宋体"/>
          <w:szCs w:val="21"/>
        </w:rPr>
      </w:pPr>
      <w:r>
        <w:rPr>
          <w:rFonts w:ascii="宋体" w:hAnsi="宋体" w:cs="宋体"/>
          <w:szCs w:val="21"/>
        </w:rPr>
        <w:t>3</w:t>
      </w:r>
      <w:r>
        <w:rPr>
          <w:rFonts w:hint="eastAsia" w:ascii="宋体" w:hAnsi="宋体" w:cs="宋体"/>
          <w:szCs w:val="21"/>
        </w:rPr>
        <w:t>．如我方中标，我方承诺：</w:t>
      </w:r>
    </w:p>
    <w:p>
      <w:pPr>
        <w:spacing w:line="579" w:lineRule="exact"/>
        <w:ind w:firstLine="420" w:firstLineChars="200"/>
        <w:rPr>
          <w:rFonts w:ascii="宋体" w:hAnsi="宋体" w:cs="宋体"/>
          <w:szCs w:val="21"/>
        </w:rPr>
      </w:pPr>
      <w:r>
        <w:rPr>
          <w:rFonts w:hint="eastAsia" w:ascii="宋体" w:hAnsi="宋体" w:cs="宋体"/>
          <w:szCs w:val="21"/>
        </w:rPr>
        <w:t>（1）在收到中标通知书后，在中标通知书规定的期限内与你方签订合同；</w:t>
      </w:r>
    </w:p>
    <w:p>
      <w:pPr>
        <w:spacing w:line="579" w:lineRule="exact"/>
        <w:ind w:firstLine="420" w:firstLineChars="200"/>
        <w:rPr>
          <w:rFonts w:ascii="宋体" w:hAnsi="宋体" w:cs="宋体"/>
          <w:szCs w:val="21"/>
        </w:rPr>
      </w:pPr>
      <w:r>
        <w:rPr>
          <w:rFonts w:hint="eastAsia" w:ascii="宋体" w:hAnsi="宋体" w:cs="宋体"/>
          <w:szCs w:val="21"/>
        </w:rPr>
        <w:t>（2）在签订合同时不向你方提出附加条件；</w:t>
      </w:r>
    </w:p>
    <w:p>
      <w:pPr>
        <w:spacing w:line="579" w:lineRule="exact"/>
        <w:ind w:firstLine="420" w:firstLineChars="200"/>
        <w:rPr>
          <w:rFonts w:ascii="宋体" w:hAnsi="宋体" w:cs="宋体"/>
          <w:szCs w:val="21"/>
        </w:rPr>
      </w:pPr>
      <w:r>
        <w:rPr>
          <w:rFonts w:hint="eastAsia" w:ascii="宋体" w:hAnsi="宋体" w:cs="宋体"/>
          <w:szCs w:val="21"/>
        </w:rPr>
        <w:t>（3）在合同约定的期限内完成合同规定的全部义务；</w:t>
      </w:r>
    </w:p>
    <w:p>
      <w:pPr>
        <w:spacing w:line="579"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）根据竞争比选文件填报拟派人员名单，经你方审查确认后作为派驻本项目人员且不进行更换。如我方拟派驻的人员不满足竞争性比选文件要求，你方有权取消我方中标资格。</w:t>
      </w:r>
    </w:p>
    <w:p>
      <w:pPr>
        <w:spacing w:line="579" w:lineRule="exact"/>
        <w:ind w:firstLine="420" w:firstLineChars="200"/>
        <w:rPr>
          <w:rFonts w:ascii="宋体" w:hAnsi="宋体" w:cs="宋体"/>
          <w:szCs w:val="21"/>
        </w:rPr>
      </w:pPr>
      <w:r>
        <w:rPr>
          <w:rFonts w:ascii="宋体" w:hAnsi="宋体" w:cs="宋体"/>
          <w:szCs w:val="21"/>
        </w:rPr>
        <w:t>4</w:t>
      </w:r>
      <w:r>
        <w:rPr>
          <w:rFonts w:hint="eastAsia" w:ascii="宋体" w:hAnsi="宋体" w:cs="宋体"/>
          <w:szCs w:val="21"/>
        </w:rPr>
        <w:t>．我方在此声明，所递交的投标文件及有关资料内容完整、真实和准确。</w:t>
      </w:r>
    </w:p>
    <w:p>
      <w:pPr>
        <w:spacing w:line="579" w:lineRule="exact"/>
        <w:ind w:firstLine="420" w:firstLineChars="200"/>
        <w:rPr>
          <w:rFonts w:ascii="宋体" w:hAnsi="宋体" w:cs="宋体"/>
          <w:szCs w:val="21"/>
        </w:rPr>
      </w:pPr>
      <w:r>
        <w:rPr>
          <w:rFonts w:ascii="宋体" w:hAnsi="宋体" w:cs="宋体"/>
          <w:szCs w:val="21"/>
        </w:rPr>
        <w:t>5</w:t>
      </w:r>
      <w:r>
        <w:rPr>
          <w:rFonts w:hint="eastAsia" w:ascii="宋体" w:hAnsi="宋体" w:cs="宋体"/>
          <w:szCs w:val="21"/>
        </w:rPr>
        <w:t>．在合同协议书正式签署生效之前，本投标函连同你方的中标通知书将构成我们双方之间共同遵守的文件，对双方具有约束力。</w:t>
      </w:r>
    </w:p>
    <w:p>
      <w:pPr>
        <w:spacing w:line="579" w:lineRule="exact"/>
        <w:ind w:firstLine="420" w:firstLineChars="200"/>
        <w:rPr>
          <w:rFonts w:ascii="宋体" w:hAnsi="宋体" w:cs="宋体"/>
          <w:szCs w:val="21"/>
        </w:rPr>
      </w:pPr>
      <w:r>
        <w:rPr>
          <w:rFonts w:ascii="宋体" w:hAnsi="宋体" w:cs="宋体"/>
          <w:szCs w:val="21"/>
        </w:rPr>
        <w:t>6</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（其他补充说明）。</w:t>
      </w:r>
    </w:p>
    <w:p>
      <w:pPr>
        <w:spacing w:line="579" w:lineRule="exact"/>
        <w:ind w:firstLine="3675" w:firstLineChars="1750"/>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（盖单位</w:t>
      </w:r>
      <w:r>
        <w:rPr>
          <w:rFonts w:ascii="宋体" w:hAnsi="宋体" w:cs="宋体"/>
          <w:szCs w:val="21"/>
        </w:rPr>
        <w:t>鲜公章</w:t>
      </w:r>
      <w:r>
        <w:rPr>
          <w:rFonts w:hint="eastAsia" w:ascii="宋体" w:hAnsi="宋体" w:cs="宋体"/>
          <w:szCs w:val="21"/>
        </w:rPr>
        <w:t>）</w:t>
      </w:r>
    </w:p>
    <w:p>
      <w:pPr>
        <w:spacing w:line="579" w:lineRule="exact"/>
        <w:jc w:val="right"/>
        <w:rPr>
          <w:rFonts w:ascii="宋体" w:hAnsi="宋体" w:cs="宋体"/>
          <w:szCs w:val="21"/>
        </w:rPr>
      </w:pPr>
      <w:r>
        <w:rPr>
          <w:rFonts w:hint="eastAsia" w:ascii="宋体" w:hAnsi="宋体" w:cs="宋体"/>
          <w:szCs w:val="21"/>
        </w:rPr>
        <w:t>律师事务所负责人或其委托代理人：</w:t>
      </w:r>
      <w:r>
        <w:rPr>
          <w:rFonts w:hint="eastAsia" w:ascii="宋体" w:hAnsi="宋体" w:cs="宋体"/>
          <w:szCs w:val="21"/>
          <w:u w:val="single"/>
        </w:rPr>
        <w:t xml:space="preserve">          </w:t>
      </w:r>
      <w:r>
        <w:rPr>
          <w:rFonts w:hint="eastAsia" w:ascii="宋体" w:hAnsi="宋体" w:cs="宋体"/>
          <w:szCs w:val="21"/>
        </w:rPr>
        <w:t>（亲笔签名）</w:t>
      </w:r>
    </w:p>
    <w:p>
      <w:pPr>
        <w:spacing w:line="579" w:lineRule="exact"/>
        <w:ind w:firstLine="3675" w:firstLineChars="1750"/>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pPr>
        <w:spacing w:line="579" w:lineRule="exact"/>
        <w:ind w:firstLine="3675" w:firstLineChars="1750"/>
        <w:rPr>
          <w:rFonts w:ascii="宋体" w:hAnsi="宋体" w:cs="宋体"/>
          <w:szCs w:val="21"/>
        </w:rPr>
      </w:pPr>
      <w:r>
        <w:rPr>
          <w:rFonts w:hint="eastAsia" w:ascii="宋体" w:hAnsi="宋体" w:cs="宋体"/>
          <w:szCs w:val="21"/>
        </w:rPr>
        <w:t>电话：</w:t>
      </w:r>
      <w:r>
        <w:rPr>
          <w:rFonts w:hint="eastAsia" w:ascii="宋体" w:hAnsi="宋体" w:cs="宋体"/>
          <w:szCs w:val="21"/>
          <w:u w:val="single"/>
        </w:rPr>
        <w:t xml:space="preserve">                                     </w:t>
      </w:r>
    </w:p>
    <w:p>
      <w:pPr>
        <w:spacing w:line="579" w:lineRule="exact"/>
        <w:ind w:firstLine="3675" w:firstLineChars="1750"/>
        <w:rPr>
          <w:rFonts w:ascii="宋体" w:hAnsi="宋体" w:cs="宋体"/>
          <w:szCs w:val="21"/>
        </w:rPr>
      </w:pPr>
      <w:r>
        <w:rPr>
          <w:rFonts w:hint="eastAsia" w:ascii="宋体" w:hAnsi="宋体" w:cs="宋体"/>
          <w:szCs w:val="21"/>
        </w:rPr>
        <w:t>传真：</w:t>
      </w:r>
      <w:r>
        <w:rPr>
          <w:rFonts w:hint="eastAsia" w:ascii="宋体" w:hAnsi="宋体" w:cs="宋体"/>
          <w:szCs w:val="21"/>
          <w:u w:val="single"/>
        </w:rPr>
        <w:t xml:space="preserve">                                     </w:t>
      </w:r>
    </w:p>
    <w:p>
      <w:pPr>
        <w:spacing w:line="579" w:lineRule="exact"/>
        <w:ind w:firstLine="3675" w:firstLineChars="1750"/>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pPr>
        <w:spacing w:line="579" w:lineRule="exact"/>
        <w:ind w:firstLine="5040" w:firstLineChars="24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4"/>
        <w:spacing w:line="579" w:lineRule="exact"/>
      </w:pPr>
      <w:r>
        <w:br w:type="page"/>
      </w:r>
      <w:r>
        <w:rPr>
          <w:rFonts w:hint="eastAsia" w:ascii="宋体" w:hAnsi="宋体" w:eastAsia="宋体" w:cs="宋体"/>
        </w:rPr>
        <w:t>二</w:t>
      </w:r>
      <w:r>
        <w:rPr>
          <w:rFonts w:ascii="宋体" w:hAnsi="宋体" w:eastAsia="宋体" w:cs="宋体"/>
        </w:rPr>
        <w:t>、</w:t>
      </w:r>
      <w:r>
        <w:rPr>
          <w:rFonts w:hint="eastAsia" w:ascii="宋体" w:hAnsi="宋体" w:eastAsia="宋体" w:cs="宋体"/>
        </w:rPr>
        <w:t>律师事务所负责人</w:t>
      </w:r>
      <w:r>
        <w:rPr>
          <w:rFonts w:ascii="宋体" w:hAnsi="宋体" w:eastAsia="宋体" w:cs="宋体"/>
        </w:rPr>
        <w:t>身份证明</w:t>
      </w:r>
      <w:r>
        <w:rPr>
          <w:rFonts w:hint="eastAsia" w:ascii="宋体" w:hAnsi="宋体" w:eastAsia="宋体" w:cs="宋体"/>
        </w:rPr>
        <w:t>或</w:t>
      </w:r>
      <w:r>
        <w:rPr>
          <w:rFonts w:ascii="宋体" w:hAnsi="宋体" w:eastAsia="宋体" w:cs="宋体"/>
        </w:rPr>
        <w:t>授权委托书</w:t>
      </w:r>
    </w:p>
    <w:p>
      <w:pPr>
        <w:spacing w:line="579" w:lineRule="exact"/>
        <w:rPr>
          <w:sz w:val="20"/>
        </w:rPr>
      </w:pPr>
    </w:p>
    <w:p>
      <w:pPr>
        <w:topLinePunct/>
        <w:spacing w:line="579" w:lineRule="exact"/>
        <w:ind w:firstLine="422" w:firstLineChars="200"/>
        <w:jc w:val="center"/>
        <w:outlineLvl w:val="2"/>
        <w:rPr>
          <w:b/>
          <w:szCs w:val="21"/>
        </w:rPr>
      </w:pPr>
      <w:r>
        <w:rPr>
          <w:b/>
          <w:szCs w:val="21"/>
        </w:rPr>
        <w:t>（一）</w:t>
      </w:r>
      <w:r>
        <w:rPr>
          <w:rFonts w:hint="eastAsia"/>
          <w:b/>
          <w:szCs w:val="21"/>
        </w:rPr>
        <w:t>律师事务所负责人</w:t>
      </w:r>
      <w:r>
        <w:rPr>
          <w:b/>
          <w:szCs w:val="21"/>
        </w:rPr>
        <w:t>身份证明</w:t>
      </w:r>
    </w:p>
    <w:p>
      <w:pPr>
        <w:spacing w:line="579" w:lineRule="exact"/>
        <w:rPr>
          <w:szCs w:val="21"/>
        </w:rPr>
      </w:pPr>
      <w:r>
        <w:rPr>
          <w:rFonts w:hint="eastAsia"/>
          <w:szCs w:val="21"/>
        </w:rPr>
        <w:t>竞选</w:t>
      </w:r>
      <w:r>
        <w:rPr>
          <w:szCs w:val="21"/>
        </w:rPr>
        <w:t>人名称：</w:t>
      </w:r>
      <w:r>
        <w:rPr>
          <w:szCs w:val="21"/>
          <w:u w:val="single"/>
        </w:rPr>
        <w:t xml:space="preserve">  </w:t>
      </w:r>
      <w:r>
        <w:rPr>
          <w:rFonts w:hint="eastAsia"/>
          <w:szCs w:val="21"/>
          <w:u w:val="single"/>
        </w:rPr>
        <w:t>（竞选人全称）</w:t>
      </w:r>
      <w:r>
        <w:rPr>
          <w:szCs w:val="21"/>
          <w:u w:val="single"/>
        </w:rPr>
        <w:t xml:space="preserve"> </w:t>
      </w:r>
      <w:r>
        <w:rPr>
          <w:kern w:val="0"/>
          <w:szCs w:val="21"/>
          <w:u w:val="single"/>
        </w:rPr>
        <w:tab/>
      </w:r>
      <w:r>
        <w:rPr>
          <w:kern w:val="0"/>
          <w:szCs w:val="21"/>
          <w:u w:val="single"/>
        </w:rPr>
        <w:tab/>
      </w:r>
      <w:r>
        <w:rPr>
          <w:szCs w:val="21"/>
          <w:u w:val="single"/>
        </w:rPr>
        <w:t xml:space="preserve">                         </w:t>
      </w:r>
      <w:r>
        <w:rPr>
          <w:szCs w:val="21"/>
        </w:rPr>
        <w:t xml:space="preserve"> </w:t>
      </w:r>
    </w:p>
    <w:p>
      <w:pPr>
        <w:spacing w:line="579" w:lineRule="exact"/>
        <w:rPr>
          <w:szCs w:val="21"/>
        </w:rPr>
      </w:pPr>
      <w:r>
        <w:rPr>
          <w:szCs w:val="21"/>
        </w:rPr>
        <w:t>单位性质：</w:t>
      </w:r>
      <w:r>
        <w:rPr>
          <w:kern w:val="0"/>
          <w:szCs w:val="21"/>
          <w:u w:val="single"/>
        </w:rPr>
        <w:tab/>
      </w:r>
      <w:r>
        <w:rPr>
          <w:kern w:val="0"/>
          <w:szCs w:val="21"/>
          <w:u w:val="single"/>
        </w:rPr>
        <w:tab/>
      </w:r>
      <w:r>
        <w:rPr>
          <w:kern w:val="0"/>
          <w:szCs w:val="21"/>
          <w:u w:val="single"/>
        </w:rPr>
        <w:tab/>
      </w:r>
      <w:r>
        <w:rPr>
          <w:kern w:val="0"/>
          <w:szCs w:val="21"/>
          <w:u w:val="single"/>
        </w:rPr>
        <w:tab/>
      </w:r>
      <w:r>
        <w:rPr>
          <w:kern w:val="0"/>
          <w:szCs w:val="21"/>
          <w:u w:val="single"/>
        </w:rPr>
        <w:tab/>
      </w:r>
      <w:r>
        <w:rPr>
          <w:szCs w:val="21"/>
          <w:u w:val="single"/>
        </w:rPr>
        <w:t xml:space="preserve">              </w:t>
      </w:r>
      <w:r>
        <w:rPr>
          <w:szCs w:val="21"/>
        </w:rPr>
        <w:t xml:space="preserve"> </w:t>
      </w:r>
    </w:p>
    <w:p>
      <w:pPr>
        <w:spacing w:line="579" w:lineRule="exact"/>
        <w:rPr>
          <w:szCs w:val="21"/>
        </w:rPr>
      </w:pPr>
      <w:r>
        <w:rPr>
          <w:szCs w:val="21"/>
        </w:rPr>
        <w:t>地址：</w:t>
      </w:r>
      <w:r>
        <w:rPr>
          <w:kern w:val="0"/>
          <w:szCs w:val="21"/>
          <w:u w:val="single"/>
        </w:rPr>
        <w:tab/>
      </w:r>
      <w:r>
        <w:rPr>
          <w:kern w:val="0"/>
          <w:szCs w:val="21"/>
          <w:u w:val="single"/>
        </w:rPr>
        <w:tab/>
      </w:r>
      <w:r>
        <w:rPr>
          <w:kern w:val="0"/>
          <w:szCs w:val="21"/>
          <w:u w:val="single"/>
        </w:rPr>
        <w:tab/>
      </w:r>
      <w:r>
        <w:rPr>
          <w:kern w:val="0"/>
          <w:szCs w:val="21"/>
          <w:u w:val="single"/>
        </w:rPr>
        <w:tab/>
      </w:r>
      <w:r>
        <w:rPr>
          <w:kern w:val="0"/>
          <w:szCs w:val="21"/>
          <w:u w:val="single"/>
        </w:rPr>
        <w:tab/>
      </w:r>
      <w:r>
        <w:rPr>
          <w:szCs w:val="21"/>
          <w:u w:val="single"/>
        </w:rPr>
        <w:t xml:space="preserve">                                   </w:t>
      </w:r>
    </w:p>
    <w:p>
      <w:pPr>
        <w:spacing w:line="579" w:lineRule="exact"/>
        <w:rPr>
          <w:szCs w:val="21"/>
        </w:rPr>
      </w:pPr>
      <w:r>
        <w:rPr>
          <w:szCs w:val="21"/>
        </w:rPr>
        <w:t>成立时间：</w:t>
      </w:r>
      <w:r>
        <w:rPr>
          <w:szCs w:val="21"/>
          <w:u w:val="single"/>
        </w:rPr>
        <w:t xml:space="preserve">         </w:t>
      </w:r>
      <w:r>
        <w:rPr>
          <w:szCs w:val="21"/>
        </w:rPr>
        <w:t xml:space="preserve"> 年</w:t>
      </w:r>
      <w:r>
        <w:rPr>
          <w:szCs w:val="21"/>
          <w:u w:val="single"/>
        </w:rPr>
        <w:t xml:space="preserve">       </w:t>
      </w:r>
      <w:r>
        <w:rPr>
          <w:szCs w:val="21"/>
        </w:rPr>
        <w:t xml:space="preserve"> 月</w:t>
      </w:r>
      <w:r>
        <w:rPr>
          <w:szCs w:val="21"/>
          <w:u w:val="single"/>
        </w:rPr>
        <w:t xml:space="preserve">       </w:t>
      </w:r>
      <w:r>
        <w:rPr>
          <w:szCs w:val="21"/>
        </w:rPr>
        <w:t xml:space="preserve"> 日</w:t>
      </w:r>
    </w:p>
    <w:p>
      <w:pPr>
        <w:spacing w:line="579" w:lineRule="exact"/>
        <w:rPr>
          <w:szCs w:val="21"/>
        </w:rPr>
      </w:pPr>
      <w:r>
        <w:rPr>
          <w:szCs w:val="21"/>
        </w:rPr>
        <w:t>经营期限：</w:t>
      </w:r>
      <w:r>
        <w:rPr>
          <w:kern w:val="0"/>
          <w:szCs w:val="21"/>
          <w:u w:val="single"/>
        </w:rPr>
        <w:tab/>
      </w:r>
      <w:r>
        <w:rPr>
          <w:kern w:val="0"/>
          <w:szCs w:val="21"/>
          <w:u w:val="single"/>
        </w:rPr>
        <w:tab/>
      </w:r>
      <w:r>
        <w:rPr>
          <w:kern w:val="0"/>
          <w:szCs w:val="21"/>
          <w:u w:val="single"/>
        </w:rPr>
        <w:tab/>
      </w:r>
      <w:r>
        <w:rPr>
          <w:kern w:val="0"/>
          <w:szCs w:val="21"/>
          <w:u w:val="single"/>
        </w:rPr>
        <w:tab/>
      </w:r>
      <w:r>
        <w:rPr>
          <w:szCs w:val="21"/>
          <w:u w:val="single"/>
        </w:rPr>
        <w:t xml:space="preserve">                               </w:t>
      </w:r>
    </w:p>
    <w:p>
      <w:pPr>
        <w:spacing w:line="579" w:lineRule="exact"/>
        <w:rPr>
          <w:szCs w:val="21"/>
          <w:u w:val="single"/>
        </w:rPr>
      </w:pPr>
      <w:r>
        <w:rPr>
          <w:szCs w:val="21"/>
        </w:rPr>
        <w:t xml:space="preserve">姓名： </w:t>
      </w:r>
      <w:r>
        <w:rPr>
          <w:szCs w:val="21"/>
          <w:u w:val="single"/>
        </w:rPr>
        <w:t xml:space="preserve">        （</w:t>
      </w:r>
      <w:r>
        <w:rPr>
          <w:rFonts w:hint="eastAsia"/>
          <w:szCs w:val="21"/>
          <w:u w:val="single"/>
        </w:rPr>
        <w:t>律师事务所负责人亲笔签名</w:t>
      </w:r>
      <w:r>
        <w:rPr>
          <w:szCs w:val="21"/>
          <w:u w:val="single"/>
        </w:rPr>
        <w:t>）</w:t>
      </w:r>
      <w:r>
        <w:rPr>
          <w:szCs w:val="21"/>
        </w:rPr>
        <w:t xml:space="preserve"> 性别：</w:t>
      </w:r>
      <w:r>
        <w:rPr>
          <w:szCs w:val="21"/>
          <w:u w:val="single"/>
        </w:rPr>
        <w:t xml:space="preserve">         </w:t>
      </w:r>
      <w:r>
        <w:rPr>
          <w:szCs w:val="21"/>
        </w:rPr>
        <w:t xml:space="preserve"> 年龄：</w:t>
      </w:r>
      <w:r>
        <w:rPr>
          <w:szCs w:val="21"/>
          <w:u w:val="single"/>
        </w:rPr>
        <w:t xml:space="preserve">        </w:t>
      </w:r>
      <w:r>
        <w:rPr>
          <w:szCs w:val="21"/>
        </w:rPr>
        <w:t>职务</w:t>
      </w:r>
      <w:r>
        <w:rPr>
          <w:rFonts w:hint="eastAsia"/>
          <w:szCs w:val="21"/>
        </w:rPr>
        <w:t>：</w:t>
      </w:r>
      <w:r>
        <w:rPr>
          <w:kern w:val="0"/>
          <w:szCs w:val="21"/>
          <w:u w:val="single"/>
        </w:rPr>
        <w:tab/>
      </w:r>
      <w:r>
        <w:rPr>
          <w:kern w:val="0"/>
          <w:szCs w:val="21"/>
          <w:u w:val="single"/>
        </w:rPr>
        <w:tab/>
      </w:r>
      <w:r>
        <w:rPr>
          <w:rFonts w:hint="eastAsia"/>
          <w:kern w:val="0"/>
          <w:szCs w:val="21"/>
          <w:u w:val="single"/>
        </w:rPr>
        <w:t xml:space="preserve">   </w:t>
      </w:r>
      <w:r>
        <w:rPr>
          <w:rFonts w:hint="eastAsia"/>
          <w:szCs w:val="21"/>
          <w:u w:val="single"/>
        </w:rPr>
        <w:t xml:space="preserve">         </w:t>
      </w:r>
      <w:r>
        <w:rPr>
          <w:szCs w:val="21"/>
        </w:rPr>
        <w:t>系</w:t>
      </w:r>
      <w:r>
        <w:rPr>
          <w:szCs w:val="21"/>
          <w:u w:val="single"/>
        </w:rPr>
        <w:t xml:space="preserve">                             </w:t>
      </w:r>
      <w:r>
        <w:rPr>
          <w:szCs w:val="21"/>
        </w:rPr>
        <w:t xml:space="preserve"> （投标人名称）的法定代表人。</w:t>
      </w:r>
    </w:p>
    <w:p>
      <w:pPr>
        <w:spacing w:line="579" w:lineRule="exact"/>
        <w:ind w:firstLine="420" w:firstLineChars="200"/>
        <w:rPr>
          <w:szCs w:val="21"/>
        </w:rPr>
      </w:pPr>
      <w:r>
        <w:rPr>
          <w:szCs w:val="21"/>
        </w:rPr>
        <w:t>特此证明。</w:t>
      </w:r>
    </w:p>
    <w:p>
      <w:pPr>
        <w:tabs>
          <w:tab w:val="left" w:pos="1680"/>
          <w:tab w:val="left" w:pos="4215"/>
          <w:tab w:val="left" w:pos="4305"/>
          <w:tab w:val="left" w:pos="8000"/>
        </w:tabs>
        <w:autoSpaceDE w:val="0"/>
        <w:autoSpaceDN w:val="0"/>
        <w:adjustRightInd w:val="0"/>
        <w:snapToGrid w:val="0"/>
        <w:spacing w:line="579" w:lineRule="exact"/>
        <w:ind w:firstLine="420"/>
        <w:rPr>
          <w:kern w:val="0"/>
          <w:szCs w:val="21"/>
        </w:rPr>
      </w:pPr>
      <w:r>
        <w:rPr>
          <w:kern w:val="0"/>
          <w:szCs w:val="21"/>
        </w:rPr>
        <w:t>附：</w:t>
      </w:r>
      <w:r>
        <w:rPr>
          <w:rFonts w:hint="eastAsia"/>
          <w:kern w:val="0"/>
          <w:szCs w:val="21"/>
        </w:rPr>
        <w:t>律师事务所负责人</w:t>
      </w:r>
      <w:r>
        <w:rPr>
          <w:kern w:val="0"/>
          <w:szCs w:val="21"/>
        </w:rPr>
        <w:t>身份证</w:t>
      </w:r>
      <w:r>
        <w:rPr>
          <w:rFonts w:hint="eastAsia"/>
          <w:kern w:val="0"/>
          <w:szCs w:val="21"/>
        </w:rPr>
        <w:t>复印件</w:t>
      </w:r>
      <w:r>
        <w:rPr>
          <w:kern w:val="0"/>
          <w:szCs w:val="21"/>
        </w:rPr>
        <w:t>。</w:t>
      </w:r>
    </w:p>
    <w:p>
      <w:pPr>
        <w:spacing w:line="579" w:lineRule="exact"/>
        <w:ind w:firstLine="420" w:firstLineChars="200"/>
        <w:rPr>
          <w:szCs w:val="21"/>
        </w:rPr>
      </w:pPr>
    </w:p>
    <w:p>
      <w:pPr>
        <w:spacing w:line="579" w:lineRule="exact"/>
        <w:rPr>
          <w:szCs w:val="21"/>
        </w:rPr>
      </w:pPr>
    </w:p>
    <w:p>
      <w:pPr>
        <w:spacing w:line="579" w:lineRule="exact"/>
        <w:rPr>
          <w:szCs w:val="21"/>
        </w:rPr>
      </w:pPr>
    </w:p>
    <w:p>
      <w:pPr>
        <w:spacing w:line="579" w:lineRule="exact"/>
        <w:rPr>
          <w:szCs w:val="21"/>
        </w:rPr>
      </w:pPr>
      <w:r>
        <w:rPr>
          <w:szCs w:val="21"/>
        </w:rPr>
        <w:t xml:space="preserve">                          投标人：</w:t>
      </w:r>
      <w:r>
        <w:rPr>
          <w:szCs w:val="21"/>
          <w:u w:val="single"/>
        </w:rPr>
        <w:t xml:space="preserve">                 </w:t>
      </w:r>
      <w:r>
        <w:rPr>
          <w:szCs w:val="21"/>
        </w:rPr>
        <w:t>（盖单位章）</w:t>
      </w:r>
    </w:p>
    <w:p>
      <w:pPr>
        <w:spacing w:line="579" w:lineRule="exact"/>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p>
    <w:p>
      <w:pPr>
        <w:spacing w:line="579" w:lineRule="exact"/>
        <w:ind w:firstLine="105" w:firstLineChars="50"/>
        <w:rPr>
          <w:szCs w:val="21"/>
        </w:rPr>
      </w:pPr>
    </w:p>
    <w:p>
      <w:pPr>
        <w:spacing w:line="579" w:lineRule="exact"/>
        <w:ind w:firstLine="105" w:firstLineChars="50"/>
        <w:rPr>
          <w:szCs w:val="21"/>
        </w:rPr>
      </w:pPr>
    </w:p>
    <w:p>
      <w:pPr>
        <w:spacing w:line="579" w:lineRule="exact"/>
        <w:ind w:firstLine="105" w:firstLineChars="50"/>
        <w:rPr>
          <w:szCs w:val="21"/>
        </w:rPr>
      </w:pPr>
    </w:p>
    <w:p>
      <w:pPr>
        <w:spacing w:line="579" w:lineRule="exact"/>
        <w:rPr>
          <w:szCs w:val="21"/>
        </w:rPr>
      </w:pPr>
    </w:p>
    <w:p>
      <w:pPr>
        <w:spacing w:line="579" w:lineRule="exact"/>
        <w:ind w:firstLine="105" w:firstLineChars="50"/>
        <w:rPr>
          <w:szCs w:val="21"/>
        </w:rPr>
      </w:pPr>
      <w:r>
        <w:rPr>
          <w:rFonts w:hint="eastAsia"/>
          <w:szCs w:val="21"/>
        </w:rPr>
        <w:t>注：律师事务所负责人的签字必须是亲笔签名，不得使用印章、签名章或其他电子制版签名代替。</w:t>
      </w:r>
    </w:p>
    <w:p>
      <w:pPr>
        <w:topLinePunct/>
        <w:spacing w:line="579" w:lineRule="exact"/>
        <w:ind w:firstLine="400" w:firstLineChars="200"/>
        <w:jc w:val="center"/>
        <w:outlineLvl w:val="2"/>
        <w:rPr>
          <w:b/>
          <w:bCs/>
          <w:szCs w:val="21"/>
        </w:rPr>
      </w:pPr>
      <w:r>
        <w:rPr>
          <w:sz w:val="20"/>
        </w:rPr>
        <w:br w:type="page"/>
      </w:r>
      <w:r>
        <w:rPr>
          <w:b/>
          <w:bCs/>
          <w:szCs w:val="21"/>
        </w:rPr>
        <w:t xml:space="preserve">（二）授权委托书 </w:t>
      </w:r>
    </w:p>
    <w:p>
      <w:pPr>
        <w:autoSpaceDE w:val="0"/>
        <w:autoSpaceDN w:val="0"/>
        <w:adjustRightInd w:val="0"/>
        <w:snapToGrid w:val="0"/>
        <w:spacing w:line="579" w:lineRule="exact"/>
        <w:jc w:val="left"/>
        <w:rPr>
          <w:kern w:val="0"/>
          <w:sz w:val="12"/>
          <w:szCs w:val="12"/>
        </w:rPr>
      </w:pPr>
    </w:p>
    <w:p>
      <w:pPr>
        <w:tabs>
          <w:tab w:val="left" w:pos="1680"/>
          <w:tab w:val="left" w:pos="4215"/>
          <w:tab w:val="left" w:pos="4305"/>
          <w:tab w:val="left" w:pos="8000"/>
        </w:tabs>
        <w:autoSpaceDE w:val="0"/>
        <w:autoSpaceDN w:val="0"/>
        <w:adjustRightInd w:val="0"/>
        <w:snapToGrid w:val="0"/>
        <w:spacing w:line="579" w:lineRule="exact"/>
        <w:ind w:firstLine="420"/>
        <w:rPr>
          <w:kern w:val="0"/>
          <w:szCs w:val="21"/>
        </w:rPr>
      </w:pPr>
      <w:r>
        <w:rPr>
          <w:kern w:val="0"/>
          <w:szCs w:val="21"/>
        </w:rPr>
        <w:t>本人</w:t>
      </w:r>
      <w:r>
        <w:rPr>
          <w:w w:val="200"/>
          <w:kern w:val="0"/>
          <w:szCs w:val="21"/>
          <w:u w:val="single"/>
        </w:rPr>
        <w:t xml:space="preserve"> </w:t>
      </w:r>
      <w:r>
        <w:rPr>
          <w:kern w:val="0"/>
          <w:szCs w:val="21"/>
          <w:u w:val="single"/>
        </w:rPr>
        <w:tab/>
      </w:r>
      <w:r>
        <w:rPr>
          <w:kern w:val="0"/>
          <w:szCs w:val="21"/>
        </w:rPr>
        <w:t>（姓名）系</w:t>
      </w:r>
      <w:r>
        <w:rPr>
          <w:w w:val="200"/>
          <w:kern w:val="0"/>
          <w:szCs w:val="21"/>
          <w:u w:val="single"/>
        </w:rPr>
        <w:t xml:space="preserve"> </w:t>
      </w:r>
      <w:r>
        <w:rPr>
          <w:kern w:val="0"/>
          <w:szCs w:val="21"/>
          <w:u w:val="single"/>
        </w:rPr>
        <w:tab/>
      </w:r>
      <w:r>
        <w:rPr>
          <w:kern w:val="0"/>
          <w:szCs w:val="21"/>
        </w:rPr>
        <w:t>（</w:t>
      </w:r>
      <w:r>
        <w:rPr>
          <w:spacing w:val="-1"/>
          <w:kern w:val="0"/>
          <w:szCs w:val="21"/>
        </w:rPr>
        <w:t>投</w:t>
      </w:r>
      <w:r>
        <w:rPr>
          <w:kern w:val="0"/>
          <w:szCs w:val="21"/>
        </w:rPr>
        <w:t>标人名称</w:t>
      </w:r>
      <w:r>
        <w:rPr>
          <w:spacing w:val="1"/>
          <w:kern w:val="0"/>
          <w:szCs w:val="21"/>
        </w:rPr>
        <w:t>）</w:t>
      </w:r>
      <w:r>
        <w:rPr>
          <w:kern w:val="0"/>
          <w:szCs w:val="21"/>
        </w:rPr>
        <w:t>的</w:t>
      </w:r>
      <w:r>
        <w:rPr>
          <w:rFonts w:hint="eastAsia"/>
          <w:kern w:val="0"/>
          <w:szCs w:val="21"/>
        </w:rPr>
        <w:t>律师事务所负责人</w:t>
      </w:r>
      <w:r>
        <w:rPr>
          <w:kern w:val="0"/>
          <w:szCs w:val="21"/>
        </w:rPr>
        <w:t>，现委托</w:t>
      </w:r>
      <w:r>
        <w:rPr>
          <w:w w:val="200"/>
          <w:kern w:val="0"/>
          <w:szCs w:val="21"/>
          <w:u w:val="single"/>
        </w:rPr>
        <w:t xml:space="preserve"> </w:t>
      </w:r>
      <w:r>
        <w:rPr>
          <w:kern w:val="0"/>
          <w:szCs w:val="21"/>
          <w:u w:val="single"/>
        </w:rPr>
        <w:tab/>
      </w:r>
      <w:r>
        <w:rPr>
          <w:kern w:val="0"/>
          <w:szCs w:val="21"/>
        </w:rPr>
        <w:t>（姓 名）为我方代理人。代理人根据授权，以我方名义签署、澄清、说明、补正、递交、撤回、 修改</w:t>
      </w:r>
      <w:r>
        <w:rPr>
          <w:w w:val="200"/>
          <w:kern w:val="0"/>
          <w:szCs w:val="21"/>
          <w:u w:val="single"/>
        </w:rPr>
        <w:t xml:space="preserve"> </w:t>
      </w:r>
      <w:r>
        <w:rPr>
          <w:kern w:val="0"/>
          <w:szCs w:val="21"/>
          <w:u w:val="single"/>
        </w:rPr>
        <w:tab/>
      </w:r>
      <w:r>
        <w:rPr>
          <w:kern w:val="0"/>
          <w:szCs w:val="21"/>
        </w:rPr>
        <w:t>（项</w:t>
      </w:r>
      <w:r>
        <w:rPr>
          <w:spacing w:val="-1"/>
          <w:kern w:val="0"/>
          <w:szCs w:val="21"/>
        </w:rPr>
        <w:t>目</w:t>
      </w:r>
      <w:r>
        <w:rPr>
          <w:kern w:val="0"/>
          <w:szCs w:val="21"/>
        </w:rPr>
        <w:t>名称）</w:t>
      </w:r>
      <w:r>
        <w:rPr>
          <w:w w:val="200"/>
          <w:kern w:val="0"/>
          <w:szCs w:val="21"/>
          <w:u w:val="single"/>
        </w:rPr>
        <w:t xml:space="preserve">       </w:t>
      </w:r>
      <w:r>
        <w:rPr>
          <w:kern w:val="0"/>
          <w:szCs w:val="21"/>
        </w:rPr>
        <w:t>投标文件、签订合同和处理有关事宜，其法律后果由我方承担。</w:t>
      </w:r>
    </w:p>
    <w:p>
      <w:pPr>
        <w:tabs>
          <w:tab w:val="left" w:pos="1680"/>
          <w:tab w:val="left" w:pos="4215"/>
          <w:tab w:val="left" w:pos="4305"/>
          <w:tab w:val="left" w:pos="8000"/>
        </w:tabs>
        <w:autoSpaceDE w:val="0"/>
        <w:autoSpaceDN w:val="0"/>
        <w:adjustRightInd w:val="0"/>
        <w:snapToGrid w:val="0"/>
        <w:spacing w:line="579" w:lineRule="exact"/>
        <w:ind w:firstLine="420"/>
        <w:rPr>
          <w:kern w:val="0"/>
          <w:szCs w:val="21"/>
        </w:rPr>
      </w:pPr>
      <w:r>
        <w:rPr>
          <w:kern w:val="0"/>
          <w:szCs w:val="21"/>
        </w:rPr>
        <w:t>委托</w:t>
      </w:r>
      <w:r>
        <w:rPr>
          <w:spacing w:val="-1"/>
          <w:kern w:val="0"/>
          <w:szCs w:val="21"/>
        </w:rPr>
        <w:t>期</w:t>
      </w:r>
      <w:r>
        <w:rPr>
          <w:kern w:val="0"/>
          <w:szCs w:val="21"/>
        </w:rPr>
        <w:t>限：</w:t>
      </w:r>
      <w:r>
        <w:rPr>
          <w:rFonts w:hint="eastAsia"/>
          <w:kern w:val="0"/>
          <w:szCs w:val="21"/>
          <w:u w:val="single"/>
        </w:rPr>
        <w:t>自本委托书签署之日起至</w:t>
      </w:r>
      <w:r>
        <w:rPr>
          <w:kern w:val="0"/>
          <w:szCs w:val="21"/>
          <w:u w:val="single"/>
        </w:rPr>
        <w:t>投标有效期</w:t>
      </w:r>
      <w:r>
        <w:rPr>
          <w:rFonts w:hint="eastAsia"/>
          <w:kern w:val="0"/>
          <w:szCs w:val="21"/>
          <w:u w:val="single"/>
        </w:rPr>
        <w:t>满</w:t>
      </w:r>
      <w:r>
        <w:rPr>
          <w:kern w:val="0"/>
          <w:szCs w:val="21"/>
          <w:u w:val="single"/>
        </w:rPr>
        <w:t>。</w:t>
      </w:r>
      <w:r>
        <w:rPr>
          <w:kern w:val="0"/>
          <w:sz w:val="18"/>
          <w:szCs w:val="18"/>
        </w:rPr>
        <w:t xml:space="preserve"> </w:t>
      </w:r>
    </w:p>
    <w:p>
      <w:pPr>
        <w:tabs>
          <w:tab w:val="left" w:pos="1680"/>
          <w:tab w:val="left" w:pos="4215"/>
          <w:tab w:val="left" w:pos="4305"/>
          <w:tab w:val="left" w:pos="8000"/>
        </w:tabs>
        <w:autoSpaceDE w:val="0"/>
        <w:autoSpaceDN w:val="0"/>
        <w:adjustRightInd w:val="0"/>
        <w:snapToGrid w:val="0"/>
        <w:spacing w:line="579" w:lineRule="exact"/>
        <w:ind w:firstLine="420"/>
        <w:rPr>
          <w:kern w:val="0"/>
          <w:szCs w:val="21"/>
        </w:rPr>
      </w:pPr>
      <w:r>
        <w:rPr>
          <w:kern w:val="0"/>
          <w:szCs w:val="21"/>
        </w:rPr>
        <w:t>代理人无转委托权。</w:t>
      </w:r>
    </w:p>
    <w:p>
      <w:pPr>
        <w:tabs>
          <w:tab w:val="left" w:pos="1680"/>
          <w:tab w:val="left" w:pos="4215"/>
          <w:tab w:val="left" w:pos="4305"/>
          <w:tab w:val="left" w:pos="8000"/>
        </w:tabs>
        <w:autoSpaceDE w:val="0"/>
        <w:autoSpaceDN w:val="0"/>
        <w:adjustRightInd w:val="0"/>
        <w:snapToGrid w:val="0"/>
        <w:spacing w:line="579" w:lineRule="exact"/>
        <w:ind w:firstLine="420"/>
        <w:rPr>
          <w:kern w:val="0"/>
          <w:szCs w:val="21"/>
        </w:rPr>
      </w:pPr>
      <w:r>
        <w:rPr>
          <w:kern w:val="0"/>
          <w:szCs w:val="21"/>
        </w:rPr>
        <w:t>附：</w:t>
      </w:r>
      <w:r>
        <w:rPr>
          <w:rFonts w:hint="eastAsia"/>
          <w:kern w:val="0"/>
          <w:szCs w:val="21"/>
        </w:rPr>
        <w:t>律师事务所负责人</w:t>
      </w:r>
      <w:r>
        <w:rPr>
          <w:kern w:val="0"/>
          <w:szCs w:val="21"/>
        </w:rPr>
        <w:t>身份证</w:t>
      </w:r>
      <w:r>
        <w:rPr>
          <w:rFonts w:hint="eastAsia"/>
          <w:kern w:val="0"/>
          <w:szCs w:val="21"/>
        </w:rPr>
        <w:t>复印件</w:t>
      </w:r>
      <w:r>
        <w:rPr>
          <w:rFonts w:ascii="宋体" w:hAnsi="宋体"/>
        </w:rPr>
        <w:t>及委托代理人身份证复印件</w:t>
      </w:r>
      <w:r>
        <w:rPr>
          <w:kern w:val="0"/>
          <w:szCs w:val="21"/>
        </w:rPr>
        <w:t>。</w:t>
      </w:r>
    </w:p>
    <w:p>
      <w:pPr>
        <w:autoSpaceDE w:val="0"/>
        <w:autoSpaceDN w:val="0"/>
        <w:adjustRightInd w:val="0"/>
        <w:snapToGrid w:val="0"/>
        <w:spacing w:line="579" w:lineRule="exact"/>
        <w:jc w:val="left"/>
        <w:rPr>
          <w:kern w:val="0"/>
          <w:sz w:val="12"/>
          <w:szCs w:val="12"/>
        </w:rPr>
      </w:pPr>
    </w:p>
    <w:p>
      <w:pPr>
        <w:autoSpaceDE w:val="0"/>
        <w:autoSpaceDN w:val="0"/>
        <w:adjustRightInd w:val="0"/>
        <w:snapToGrid w:val="0"/>
        <w:spacing w:line="579" w:lineRule="exact"/>
        <w:jc w:val="left"/>
        <w:rPr>
          <w:kern w:val="0"/>
          <w:sz w:val="20"/>
        </w:rPr>
      </w:pPr>
    </w:p>
    <w:p>
      <w:pPr>
        <w:tabs>
          <w:tab w:val="left" w:pos="4200"/>
          <w:tab w:val="left" w:pos="4620"/>
        </w:tabs>
        <w:autoSpaceDE w:val="0"/>
        <w:autoSpaceDN w:val="0"/>
        <w:adjustRightInd w:val="0"/>
        <w:snapToGrid w:val="0"/>
        <w:spacing w:line="579" w:lineRule="exact"/>
        <w:ind w:firstLine="1694"/>
        <w:jc w:val="left"/>
        <w:rPr>
          <w:kern w:val="0"/>
          <w:szCs w:val="21"/>
        </w:rPr>
      </w:pPr>
      <w:r>
        <w:rPr>
          <w:kern w:val="0"/>
          <w:szCs w:val="21"/>
        </w:rPr>
        <w:t>投  标  人：</w:t>
      </w:r>
      <w:r>
        <w:rPr>
          <w:w w:val="200"/>
          <w:kern w:val="0"/>
          <w:szCs w:val="21"/>
          <w:u w:val="single"/>
        </w:rPr>
        <w:t xml:space="preserve">              </w:t>
      </w:r>
      <w:r>
        <w:rPr>
          <w:kern w:val="0"/>
          <w:szCs w:val="21"/>
          <w:u w:val="single"/>
        </w:rPr>
        <w:tab/>
      </w:r>
      <w:r>
        <w:rPr>
          <w:kern w:val="0"/>
          <w:szCs w:val="21"/>
          <w:u w:val="single"/>
        </w:rPr>
        <w:t xml:space="preserve">    </w:t>
      </w:r>
      <w:r>
        <w:rPr>
          <w:kern w:val="0"/>
          <w:szCs w:val="21"/>
        </w:rPr>
        <w:t>（</w:t>
      </w:r>
      <w:r>
        <w:rPr>
          <w:spacing w:val="-1"/>
          <w:kern w:val="0"/>
          <w:szCs w:val="21"/>
        </w:rPr>
        <w:t>盖</w:t>
      </w:r>
      <w:r>
        <w:rPr>
          <w:kern w:val="0"/>
          <w:szCs w:val="21"/>
        </w:rPr>
        <w:t xml:space="preserve">单位公章） </w:t>
      </w:r>
    </w:p>
    <w:p>
      <w:pPr>
        <w:tabs>
          <w:tab w:val="left" w:pos="6300"/>
        </w:tabs>
        <w:autoSpaceDE w:val="0"/>
        <w:autoSpaceDN w:val="0"/>
        <w:adjustRightInd w:val="0"/>
        <w:snapToGrid w:val="0"/>
        <w:spacing w:line="579" w:lineRule="exact"/>
        <w:ind w:firstLine="1680"/>
        <w:jc w:val="left"/>
        <w:rPr>
          <w:kern w:val="0"/>
          <w:szCs w:val="21"/>
        </w:rPr>
      </w:pPr>
      <w:r>
        <w:rPr>
          <w:rFonts w:hint="eastAsia"/>
          <w:kern w:val="0"/>
          <w:szCs w:val="21"/>
        </w:rPr>
        <w:t>律师事务所负责人</w:t>
      </w:r>
      <w:r>
        <w:rPr>
          <w:kern w:val="0"/>
          <w:szCs w:val="21"/>
        </w:rPr>
        <w:t>：</w:t>
      </w:r>
      <w:r>
        <w:rPr>
          <w:w w:val="200"/>
          <w:kern w:val="0"/>
          <w:szCs w:val="21"/>
          <w:u w:val="single"/>
        </w:rPr>
        <w:t xml:space="preserve"> </w:t>
      </w:r>
      <w:r>
        <w:rPr>
          <w:kern w:val="0"/>
          <w:szCs w:val="21"/>
          <w:u w:val="single"/>
        </w:rPr>
        <w:tab/>
      </w:r>
      <w:r>
        <w:rPr>
          <w:kern w:val="0"/>
          <w:szCs w:val="21"/>
          <w:u w:val="single"/>
        </w:rPr>
        <w:tab/>
      </w:r>
      <w:r>
        <w:rPr>
          <w:kern w:val="0"/>
          <w:szCs w:val="21"/>
        </w:rPr>
        <w:t>（</w:t>
      </w:r>
      <w:r>
        <w:rPr>
          <w:rFonts w:hint="eastAsia"/>
          <w:kern w:val="0"/>
          <w:szCs w:val="21"/>
        </w:rPr>
        <w:t>亲笔</w:t>
      </w:r>
      <w:r>
        <w:rPr>
          <w:kern w:val="0"/>
          <w:szCs w:val="21"/>
        </w:rPr>
        <w:t>签</w:t>
      </w:r>
      <w:r>
        <w:rPr>
          <w:rFonts w:hint="eastAsia"/>
          <w:kern w:val="0"/>
          <w:szCs w:val="21"/>
        </w:rPr>
        <w:t>名</w:t>
      </w:r>
      <w:r>
        <w:rPr>
          <w:kern w:val="0"/>
          <w:szCs w:val="21"/>
        </w:rPr>
        <w:t>）</w:t>
      </w:r>
    </w:p>
    <w:p>
      <w:pPr>
        <w:tabs>
          <w:tab w:val="left" w:pos="5260"/>
        </w:tabs>
        <w:autoSpaceDE w:val="0"/>
        <w:autoSpaceDN w:val="0"/>
        <w:adjustRightInd w:val="0"/>
        <w:snapToGrid w:val="0"/>
        <w:spacing w:line="579" w:lineRule="exact"/>
        <w:ind w:firstLine="1680"/>
        <w:jc w:val="left"/>
        <w:rPr>
          <w:kern w:val="0"/>
          <w:szCs w:val="21"/>
        </w:rPr>
      </w:pPr>
      <w:r>
        <w:rPr>
          <w:kern w:val="0"/>
          <w:szCs w:val="21"/>
        </w:rPr>
        <w:t>身份证号码：</w:t>
      </w:r>
      <w:r>
        <w:rPr>
          <w:w w:val="200"/>
          <w:kern w:val="0"/>
          <w:szCs w:val="21"/>
          <w:u w:val="single"/>
        </w:rPr>
        <w:t xml:space="preserve">                 </w:t>
      </w:r>
      <w:r>
        <w:rPr>
          <w:kern w:val="0"/>
          <w:szCs w:val="21"/>
          <w:u w:val="single"/>
        </w:rPr>
        <w:tab/>
      </w:r>
    </w:p>
    <w:p>
      <w:pPr>
        <w:tabs>
          <w:tab w:val="left" w:pos="6720"/>
        </w:tabs>
        <w:autoSpaceDE w:val="0"/>
        <w:autoSpaceDN w:val="0"/>
        <w:adjustRightInd w:val="0"/>
        <w:snapToGrid w:val="0"/>
        <w:spacing w:line="579" w:lineRule="exact"/>
        <w:ind w:firstLine="1680"/>
        <w:jc w:val="left"/>
        <w:rPr>
          <w:kern w:val="0"/>
          <w:szCs w:val="21"/>
        </w:rPr>
      </w:pPr>
      <w:r>
        <w:rPr>
          <w:kern w:val="0"/>
          <w:szCs w:val="21"/>
        </w:rPr>
        <w:t>委托代理人：</w:t>
      </w:r>
      <w:r>
        <w:rPr>
          <w:w w:val="200"/>
          <w:kern w:val="0"/>
          <w:szCs w:val="21"/>
          <w:u w:val="single"/>
        </w:rPr>
        <w:t xml:space="preserve"> </w:t>
      </w:r>
      <w:r>
        <w:rPr>
          <w:kern w:val="0"/>
          <w:szCs w:val="21"/>
          <w:u w:val="single"/>
        </w:rPr>
        <w:tab/>
      </w:r>
      <w:r>
        <w:rPr>
          <w:kern w:val="0"/>
          <w:szCs w:val="21"/>
        </w:rPr>
        <w:t>（</w:t>
      </w:r>
      <w:r>
        <w:rPr>
          <w:rFonts w:hint="eastAsia"/>
          <w:kern w:val="0"/>
          <w:szCs w:val="21"/>
        </w:rPr>
        <w:t>亲笔</w:t>
      </w:r>
      <w:r>
        <w:rPr>
          <w:kern w:val="0"/>
          <w:szCs w:val="21"/>
        </w:rPr>
        <w:t>签</w:t>
      </w:r>
      <w:r>
        <w:rPr>
          <w:rFonts w:hint="eastAsia"/>
          <w:spacing w:val="-1"/>
          <w:kern w:val="0"/>
          <w:szCs w:val="21"/>
        </w:rPr>
        <w:t>名</w:t>
      </w:r>
      <w:r>
        <w:rPr>
          <w:kern w:val="0"/>
          <w:szCs w:val="21"/>
        </w:rPr>
        <w:t>）</w:t>
      </w:r>
    </w:p>
    <w:p>
      <w:pPr>
        <w:tabs>
          <w:tab w:val="left" w:pos="6825"/>
        </w:tabs>
        <w:autoSpaceDE w:val="0"/>
        <w:autoSpaceDN w:val="0"/>
        <w:adjustRightInd w:val="0"/>
        <w:snapToGrid w:val="0"/>
        <w:spacing w:line="579" w:lineRule="exact"/>
        <w:ind w:firstLine="1680"/>
        <w:jc w:val="left"/>
        <w:rPr>
          <w:kern w:val="0"/>
          <w:szCs w:val="21"/>
        </w:rPr>
      </w:pPr>
      <w:r>
        <w:rPr>
          <w:kern w:val="0"/>
          <w:szCs w:val="21"/>
        </w:rPr>
        <w:t>身份证号码：</w:t>
      </w:r>
      <w:r>
        <w:rPr>
          <w:w w:val="200"/>
          <w:kern w:val="0"/>
          <w:szCs w:val="21"/>
          <w:u w:val="single"/>
        </w:rPr>
        <w:t xml:space="preserve"> </w:t>
      </w:r>
      <w:r>
        <w:rPr>
          <w:kern w:val="0"/>
          <w:szCs w:val="21"/>
          <w:u w:val="single"/>
        </w:rPr>
        <w:tab/>
      </w:r>
    </w:p>
    <w:p>
      <w:pPr>
        <w:autoSpaceDE w:val="0"/>
        <w:autoSpaceDN w:val="0"/>
        <w:adjustRightInd w:val="0"/>
        <w:snapToGrid w:val="0"/>
        <w:spacing w:line="579" w:lineRule="exact"/>
        <w:jc w:val="left"/>
        <w:rPr>
          <w:kern w:val="0"/>
          <w:sz w:val="20"/>
        </w:rPr>
      </w:pPr>
    </w:p>
    <w:p>
      <w:pPr>
        <w:autoSpaceDE w:val="0"/>
        <w:autoSpaceDN w:val="0"/>
        <w:adjustRightInd w:val="0"/>
        <w:snapToGrid w:val="0"/>
        <w:spacing w:line="579" w:lineRule="exact"/>
        <w:jc w:val="left"/>
        <w:rPr>
          <w:kern w:val="0"/>
          <w:sz w:val="20"/>
        </w:rPr>
      </w:pPr>
    </w:p>
    <w:p>
      <w:pPr>
        <w:autoSpaceDE w:val="0"/>
        <w:autoSpaceDN w:val="0"/>
        <w:adjustRightInd w:val="0"/>
        <w:snapToGrid w:val="0"/>
        <w:spacing w:line="579" w:lineRule="exact"/>
        <w:jc w:val="left"/>
        <w:rPr>
          <w:kern w:val="0"/>
          <w:sz w:val="20"/>
        </w:rPr>
      </w:pPr>
    </w:p>
    <w:p>
      <w:pPr>
        <w:autoSpaceDE w:val="0"/>
        <w:autoSpaceDN w:val="0"/>
        <w:adjustRightInd w:val="0"/>
        <w:snapToGrid w:val="0"/>
        <w:spacing w:line="579" w:lineRule="exact"/>
        <w:jc w:val="left"/>
        <w:rPr>
          <w:kern w:val="0"/>
          <w:sz w:val="28"/>
          <w:szCs w:val="28"/>
        </w:rPr>
      </w:pPr>
    </w:p>
    <w:p>
      <w:pPr>
        <w:tabs>
          <w:tab w:val="left" w:pos="4005"/>
          <w:tab w:val="left" w:pos="4100"/>
          <w:tab w:val="left" w:pos="5040"/>
        </w:tabs>
        <w:autoSpaceDE w:val="0"/>
        <w:autoSpaceDN w:val="0"/>
        <w:adjustRightInd w:val="0"/>
        <w:snapToGrid w:val="0"/>
        <w:spacing w:line="579" w:lineRule="exact"/>
        <w:ind w:firstLine="3780"/>
        <w:jc w:val="left"/>
        <w:rPr>
          <w:kern w:val="0"/>
          <w:szCs w:val="21"/>
        </w:rPr>
      </w:pPr>
      <w:r>
        <w:rPr>
          <w:w w:val="200"/>
          <w:kern w:val="0"/>
          <w:szCs w:val="21"/>
          <w:u w:val="single"/>
        </w:rPr>
        <w:t xml:space="preserve">     </w:t>
      </w:r>
      <w:r>
        <w:rPr>
          <w:kern w:val="0"/>
          <w:szCs w:val="21"/>
          <w:u w:val="single"/>
        </w:rPr>
        <w:tab/>
      </w:r>
      <w:r>
        <w:rPr>
          <w:kern w:val="0"/>
          <w:szCs w:val="21"/>
        </w:rPr>
        <w:t>年</w:t>
      </w:r>
      <w:r>
        <w:rPr>
          <w:w w:val="200"/>
          <w:kern w:val="0"/>
          <w:szCs w:val="21"/>
          <w:u w:val="single"/>
        </w:rPr>
        <w:t xml:space="preserve">  </w:t>
      </w:r>
      <w:r>
        <w:rPr>
          <w:kern w:val="0"/>
          <w:szCs w:val="21"/>
          <w:u w:val="single"/>
        </w:rPr>
        <w:tab/>
      </w:r>
      <w:r>
        <w:rPr>
          <w:kern w:val="0"/>
          <w:szCs w:val="21"/>
        </w:rPr>
        <w:t>月</w:t>
      </w:r>
      <w:r>
        <w:rPr>
          <w:w w:val="200"/>
          <w:kern w:val="0"/>
          <w:szCs w:val="21"/>
          <w:u w:val="single"/>
        </w:rPr>
        <w:t xml:space="preserve"> </w:t>
      </w:r>
      <w:r>
        <w:rPr>
          <w:kern w:val="0"/>
          <w:szCs w:val="21"/>
          <w:u w:val="single"/>
        </w:rPr>
        <w:tab/>
      </w:r>
      <w:r>
        <w:rPr>
          <w:kern w:val="0"/>
          <w:szCs w:val="21"/>
        </w:rPr>
        <w:t>日</w:t>
      </w:r>
    </w:p>
    <w:p>
      <w:pPr>
        <w:spacing w:line="579" w:lineRule="exact"/>
        <w:ind w:firstLine="105" w:firstLineChars="50"/>
        <w:rPr>
          <w:szCs w:val="21"/>
        </w:rPr>
      </w:pPr>
    </w:p>
    <w:p>
      <w:pPr>
        <w:spacing w:line="579" w:lineRule="exact"/>
        <w:ind w:firstLine="105" w:firstLineChars="50"/>
      </w:pPr>
      <w:r>
        <w:rPr>
          <w:rFonts w:hint="eastAsia"/>
          <w:szCs w:val="21"/>
        </w:rPr>
        <w:t>注：1.律师事务所负责人的签字必须是亲笔签名，不得使用印章、签名章或其他电子制版签名代替。</w:t>
      </w:r>
      <w:bookmarkStart w:id="13" w:name="_Toc294175077"/>
    </w:p>
    <w:p>
      <w:pPr>
        <w:pStyle w:val="4"/>
        <w:spacing w:line="579" w:lineRule="exact"/>
        <w:rPr>
          <w:rFonts w:ascii="宋体" w:hAnsi="宋体" w:eastAsia="宋体" w:cs="宋体"/>
        </w:rPr>
      </w:pPr>
      <w:r>
        <w:rPr>
          <w:rFonts w:hint="eastAsia" w:ascii="宋体" w:hAnsi="宋体" w:eastAsia="宋体" w:cs="宋体"/>
        </w:rPr>
        <w:t>三</w:t>
      </w:r>
      <w:r>
        <w:rPr>
          <w:rFonts w:ascii="宋体" w:hAnsi="宋体" w:eastAsia="宋体" w:cs="宋体"/>
        </w:rPr>
        <w:t>、</w:t>
      </w:r>
      <w:r>
        <w:rPr>
          <w:rFonts w:hint="eastAsia" w:ascii="宋体" w:hAnsi="宋体" w:eastAsia="宋体" w:cs="宋体"/>
        </w:rPr>
        <w:t>律师事务所执业许可证</w:t>
      </w:r>
    </w:p>
    <w:p>
      <w:pPr>
        <w:topLinePunct/>
        <w:spacing w:line="579" w:lineRule="exact"/>
        <w:jc w:val="center"/>
        <w:outlineLvl w:val="2"/>
        <w:rPr>
          <w:sz w:val="28"/>
          <w:szCs w:val="28"/>
        </w:rPr>
      </w:pPr>
      <w:r>
        <w:rPr>
          <w:rFonts w:hint="eastAsia"/>
          <w:sz w:val="28"/>
          <w:szCs w:val="28"/>
        </w:rPr>
        <w:t>律师事务所执业许可证（副本）复印件应</w:t>
      </w:r>
      <w:r>
        <w:rPr>
          <w:spacing w:val="-1"/>
          <w:kern w:val="0"/>
          <w:sz w:val="28"/>
          <w:szCs w:val="28"/>
        </w:rPr>
        <w:t>盖</w:t>
      </w:r>
      <w:r>
        <w:rPr>
          <w:kern w:val="0"/>
          <w:sz w:val="28"/>
          <w:szCs w:val="28"/>
        </w:rPr>
        <w:t>单位</w:t>
      </w:r>
      <w:r>
        <w:rPr>
          <w:rFonts w:hint="eastAsia"/>
          <w:kern w:val="0"/>
          <w:sz w:val="28"/>
          <w:szCs w:val="28"/>
        </w:rPr>
        <w:t>公章（鲜</w:t>
      </w:r>
      <w:r>
        <w:rPr>
          <w:kern w:val="0"/>
          <w:sz w:val="28"/>
          <w:szCs w:val="28"/>
        </w:rPr>
        <w:t>章</w:t>
      </w:r>
      <w:r>
        <w:rPr>
          <w:rFonts w:hint="eastAsia"/>
          <w:kern w:val="0"/>
          <w:sz w:val="28"/>
          <w:szCs w:val="28"/>
        </w:rPr>
        <w:t>）</w:t>
      </w:r>
      <w:bookmarkEnd w:id="13"/>
      <w:r>
        <w:rPr>
          <w:rFonts w:hint="eastAsia"/>
          <w:sz w:val="28"/>
          <w:szCs w:val="28"/>
        </w:rPr>
        <w:t>，含登记事项、变更登记、年度检查考核记录、处罚记录页等。</w:t>
      </w:r>
    </w:p>
    <w:p>
      <w:pPr>
        <w:topLinePunct/>
        <w:spacing w:line="579" w:lineRule="exact"/>
        <w:outlineLvl w:val="2"/>
        <w:rPr>
          <w:rFonts w:ascii="宋体" w:hAnsi="宋体" w:cs="宋体"/>
          <w:b/>
          <w:bCs/>
          <w:sz w:val="28"/>
          <w:szCs w:val="32"/>
        </w:rPr>
      </w:pPr>
      <w:r>
        <w:rPr>
          <w:rFonts w:hint="eastAsia"/>
          <w:szCs w:val="21"/>
        </w:rPr>
        <w:t xml:space="preserve">         </w:t>
      </w:r>
      <w:r>
        <w:rPr>
          <w:szCs w:val="21"/>
        </w:rPr>
        <w:br w:type="page"/>
      </w:r>
      <w:r>
        <w:rPr>
          <w:rFonts w:hint="eastAsia" w:ascii="宋体" w:hAnsi="宋体" w:cs="宋体"/>
          <w:b/>
          <w:bCs/>
          <w:sz w:val="28"/>
          <w:szCs w:val="32"/>
        </w:rPr>
        <w:t>四、省级律师协会网站截屏执业律师名单或提供律师执业证</w:t>
      </w:r>
    </w:p>
    <w:p>
      <w:pPr>
        <w:topLinePunct/>
        <w:spacing w:line="579" w:lineRule="exact"/>
        <w:jc w:val="center"/>
        <w:outlineLvl w:val="2"/>
        <w:rPr>
          <w:rFonts w:ascii="宋体" w:hAnsi="宋体" w:cs="宋体"/>
          <w:b/>
          <w:bCs/>
          <w:sz w:val="28"/>
          <w:szCs w:val="32"/>
        </w:rPr>
      </w:pPr>
      <w:r>
        <w:rPr>
          <w:rFonts w:hint="eastAsia" w:ascii="宋体" w:hAnsi="宋体" w:cs="宋体"/>
          <w:b/>
          <w:bCs/>
          <w:sz w:val="28"/>
          <w:szCs w:val="32"/>
        </w:rPr>
        <w:t>（50名以上，含5名以上执业5年的律师执业证）</w:t>
      </w: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outlineLvl w:val="2"/>
        <w:rPr>
          <w:rFonts w:ascii="宋体" w:hAnsi="宋体" w:cs="宋体"/>
          <w:b/>
          <w:bCs/>
          <w:sz w:val="28"/>
          <w:szCs w:val="32"/>
        </w:rPr>
      </w:pPr>
    </w:p>
    <w:p>
      <w:pPr>
        <w:pStyle w:val="20"/>
        <w:rPr>
          <w:rFonts w:ascii="宋体" w:hAnsi="宋体" w:cs="宋体"/>
          <w:b/>
          <w:bCs/>
          <w:sz w:val="28"/>
          <w:szCs w:val="32"/>
        </w:rPr>
      </w:pPr>
    </w:p>
    <w:p>
      <w:pPr>
        <w:pStyle w:val="20"/>
        <w:rPr>
          <w:rFonts w:ascii="宋体" w:hAnsi="宋体" w:cs="宋体"/>
          <w:b/>
          <w:bCs/>
          <w:sz w:val="28"/>
          <w:szCs w:val="32"/>
        </w:rPr>
      </w:pPr>
    </w:p>
    <w:p>
      <w:pPr>
        <w:pStyle w:val="20"/>
        <w:rPr>
          <w:rFonts w:ascii="宋体" w:hAnsi="宋体" w:cs="宋体"/>
          <w:b/>
          <w:bCs/>
          <w:sz w:val="28"/>
          <w:szCs w:val="32"/>
        </w:rPr>
      </w:pPr>
    </w:p>
    <w:p>
      <w:pPr>
        <w:pStyle w:val="20"/>
        <w:rPr>
          <w:rFonts w:ascii="宋体" w:hAnsi="宋体" w:cs="宋体"/>
          <w:b/>
          <w:bCs/>
          <w:sz w:val="28"/>
          <w:szCs w:val="32"/>
        </w:rPr>
      </w:pPr>
    </w:p>
    <w:p>
      <w:pPr>
        <w:topLinePunct/>
        <w:spacing w:line="579" w:lineRule="exact"/>
        <w:jc w:val="center"/>
        <w:outlineLvl w:val="2"/>
        <w:rPr>
          <w:rFonts w:ascii="宋体" w:hAnsi="宋体" w:cs="宋体"/>
          <w:b/>
          <w:bCs/>
          <w:sz w:val="28"/>
          <w:szCs w:val="32"/>
        </w:rPr>
      </w:pPr>
      <w:r>
        <w:rPr>
          <w:rFonts w:hint="eastAsia" w:ascii="宋体" w:hAnsi="宋体" w:cs="宋体"/>
          <w:b/>
          <w:bCs/>
          <w:sz w:val="28"/>
          <w:szCs w:val="32"/>
        </w:rPr>
        <w:t>五、</w:t>
      </w:r>
      <w:r>
        <w:rPr>
          <w:rFonts w:ascii="宋体" w:hAnsi="宋体" w:cs="宋体"/>
          <w:b/>
          <w:bCs/>
          <w:sz w:val="28"/>
          <w:szCs w:val="32"/>
        </w:rPr>
        <w:t>拟</w:t>
      </w:r>
      <w:r>
        <w:rPr>
          <w:rFonts w:hint="eastAsia" w:ascii="宋体" w:hAnsi="宋体" w:cs="宋体"/>
          <w:b/>
          <w:bCs/>
          <w:sz w:val="28"/>
          <w:szCs w:val="32"/>
        </w:rPr>
        <w:t>服务</w:t>
      </w:r>
      <w:r>
        <w:rPr>
          <w:rFonts w:ascii="宋体" w:hAnsi="宋体" w:cs="宋体"/>
          <w:b/>
          <w:bCs/>
          <w:sz w:val="28"/>
          <w:szCs w:val="32"/>
        </w:rPr>
        <w:t>的</w:t>
      </w:r>
      <w:r>
        <w:rPr>
          <w:rFonts w:hint="eastAsia" w:ascii="宋体" w:hAnsi="宋体" w:cs="宋体"/>
          <w:b/>
          <w:bCs/>
          <w:sz w:val="28"/>
          <w:szCs w:val="32"/>
        </w:rPr>
        <w:t>团队负责人、主办公律师</w:t>
      </w:r>
      <w:r>
        <w:rPr>
          <w:rFonts w:ascii="宋体" w:hAnsi="宋体" w:cs="宋体"/>
          <w:b/>
          <w:bCs/>
          <w:sz w:val="28"/>
          <w:szCs w:val="32"/>
        </w:rPr>
        <w:t>和</w:t>
      </w:r>
      <w:r>
        <w:rPr>
          <w:rFonts w:hint="eastAsia" w:ascii="宋体" w:hAnsi="宋体" w:cs="宋体"/>
          <w:b/>
          <w:bCs/>
          <w:sz w:val="28"/>
          <w:szCs w:val="32"/>
        </w:rPr>
        <w:t>协办律师</w:t>
      </w:r>
      <w:r>
        <w:rPr>
          <w:rFonts w:ascii="宋体" w:hAnsi="宋体" w:cs="宋体"/>
          <w:b/>
          <w:bCs/>
          <w:sz w:val="28"/>
          <w:szCs w:val="32"/>
        </w:rPr>
        <w:t>汇总表</w:t>
      </w:r>
    </w:p>
    <w:p>
      <w:pPr>
        <w:spacing w:line="579" w:lineRule="exact"/>
        <w:ind w:left="405"/>
        <w:rPr>
          <w:sz w:val="20"/>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734"/>
        <w:gridCol w:w="2144"/>
        <w:gridCol w:w="939"/>
        <w:gridCol w:w="846"/>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rPr>
                <w:sz w:val="20"/>
              </w:rPr>
            </w:pPr>
            <w:r>
              <w:rPr>
                <w:sz w:val="20"/>
              </w:rPr>
              <w:t>姓名</w:t>
            </w:r>
          </w:p>
        </w:tc>
        <w:tc>
          <w:tcPr>
            <w:tcW w:w="734" w:type="dxa"/>
            <w:noWrap w:val="0"/>
            <w:vAlign w:val="top"/>
          </w:tcPr>
          <w:p>
            <w:pPr>
              <w:rPr>
                <w:sz w:val="20"/>
              </w:rPr>
            </w:pPr>
            <w:r>
              <w:rPr>
                <w:sz w:val="20"/>
              </w:rPr>
              <w:t>年龄</w:t>
            </w:r>
          </w:p>
        </w:tc>
        <w:tc>
          <w:tcPr>
            <w:tcW w:w="2144" w:type="dxa"/>
            <w:noWrap w:val="0"/>
            <w:vAlign w:val="top"/>
          </w:tcPr>
          <w:p>
            <w:pPr>
              <w:rPr>
                <w:sz w:val="20"/>
              </w:rPr>
            </w:pPr>
            <w:r>
              <w:rPr>
                <w:sz w:val="20"/>
              </w:rPr>
              <w:t>拟在本项目中担任的职务</w:t>
            </w:r>
          </w:p>
        </w:tc>
        <w:tc>
          <w:tcPr>
            <w:tcW w:w="939" w:type="dxa"/>
            <w:noWrap w:val="0"/>
            <w:vAlign w:val="top"/>
          </w:tcPr>
          <w:p>
            <w:pPr>
              <w:rPr>
                <w:sz w:val="20"/>
              </w:rPr>
            </w:pPr>
            <w:r>
              <w:rPr>
                <w:sz w:val="20"/>
              </w:rPr>
              <w:t>技术职称</w:t>
            </w:r>
          </w:p>
        </w:tc>
        <w:tc>
          <w:tcPr>
            <w:tcW w:w="846" w:type="dxa"/>
            <w:noWrap w:val="0"/>
            <w:vAlign w:val="top"/>
          </w:tcPr>
          <w:p>
            <w:pPr>
              <w:rPr>
                <w:sz w:val="20"/>
              </w:rPr>
            </w:pPr>
            <w:r>
              <w:rPr>
                <w:rFonts w:hint="eastAsia"/>
                <w:sz w:val="20"/>
              </w:rPr>
              <w:t>执业</w:t>
            </w:r>
            <w:r>
              <w:rPr>
                <w:sz w:val="20"/>
              </w:rPr>
              <w:t>年限</w:t>
            </w:r>
          </w:p>
        </w:tc>
        <w:tc>
          <w:tcPr>
            <w:tcW w:w="1583" w:type="dxa"/>
            <w:noWrap w:val="0"/>
            <w:vAlign w:val="top"/>
          </w:tcPr>
          <w:p>
            <w:pPr>
              <w:rPr>
                <w:sz w:val="20"/>
              </w:rPr>
            </w:pPr>
            <w:r>
              <w:rPr>
                <w:sz w:val="20"/>
              </w:rPr>
              <w:t>类似</w:t>
            </w:r>
            <w:r>
              <w:rPr>
                <w:rFonts w:hint="eastAsia"/>
                <w:sz w:val="20"/>
              </w:rPr>
              <w:t>工作</w:t>
            </w:r>
            <w:r>
              <w:rPr>
                <w:sz w:val="20"/>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91" w:type="dxa"/>
            <w:noWrap w:val="0"/>
            <w:vAlign w:val="top"/>
          </w:tcPr>
          <w:p>
            <w:pPr>
              <w:spacing w:line="579" w:lineRule="exact"/>
              <w:rPr>
                <w:sz w:val="20"/>
              </w:rPr>
            </w:pPr>
          </w:p>
        </w:tc>
        <w:tc>
          <w:tcPr>
            <w:tcW w:w="734" w:type="dxa"/>
            <w:noWrap w:val="0"/>
            <w:vAlign w:val="top"/>
          </w:tcPr>
          <w:p>
            <w:pPr>
              <w:spacing w:line="579" w:lineRule="exact"/>
              <w:rPr>
                <w:sz w:val="20"/>
              </w:rPr>
            </w:pPr>
          </w:p>
        </w:tc>
        <w:tc>
          <w:tcPr>
            <w:tcW w:w="2144" w:type="dxa"/>
            <w:noWrap w:val="0"/>
            <w:vAlign w:val="top"/>
          </w:tcPr>
          <w:p>
            <w:pPr>
              <w:spacing w:line="579" w:lineRule="exact"/>
              <w:rPr>
                <w:sz w:val="20"/>
              </w:rPr>
            </w:pPr>
          </w:p>
        </w:tc>
        <w:tc>
          <w:tcPr>
            <w:tcW w:w="939" w:type="dxa"/>
            <w:noWrap w:val="0"/>
            <w:vAlign w:val="top"/>
          </w:tcPr>
          <w:p>
            <w:pPr>
              <w:spacing w:line="579" w:lineRule="exact"/>
              <w:rPr>
                <w:sz w:val="20"/>
              </w:rPr>
            </w:pPr>
          </w:p>
        </w:tc>
        <w:tc>
          <w:tcPr>
            <w:tcW w:w="846" w:type="dxa"/>
            <w:noWrap w:val="0"/>
            <w:vAlign w:val="top"/>
          </w:tcPr>
          <w:p>
            <w:pPr>
              <w:spacing w:line="579" w:lineRule="exact"/>
              <w:rPr>
                <w:sz w:val="20"/>
              </w:rPr>
            </w:pPr>
          </w:p>
        </w:tc>
        <w:tc>
          <w:tcPr>
            <w:tcW w:w="1583" w:type="dxa"/>
            <w:noWrap w:val="0"/>
            <w:vAlign w:val="top"/>
          </w:tcPr>
          <w:p>
            <w:pPr>
              <w:spacing w:line="579" w:lineRule="exac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1" w:type="dxa"/>
            <w:noWrap w:val="0"/>
            <w:vAlign w:val="top"/>
          </w:tcPr>
          <w:p>
            <w:pPr>
              <w:spacing w:line="579" w:lineRule="exact"/>
              <w:rPr>
                <w:sz w:val="20"/>
              </w:rPr>
            </w:pPr>
          </w:p>
        </w:tc>
        <w:tc>
          <w:tcPr>
            <w:tcW w:w="734" w:type="dxa"/>
            <w:noWrap w:val="0"/>
            <w:vAlign w:val="top"/>
          </w:tcPr>
          <w:p>
            <w:pPr>
              <w:spacing w:line="579" w:lineRule="exact"/>
              <w:rPr>
                <w:sz w:val="20"/>
              </w:rPr>
            </w:pPr>
          </w:p>
        </w:tc>
        <w:tc>
          <w:tcPr>
            <w:tcW w:w="2144" w:type="dxa"/>
            <w:noWrap w:val="0"/>
            <w:vAlign w:val="top"/>
          </w:tcPr>
          <w:p>
            <w:pPr>
              <w:spacing w:line="579" w:lineRule="exact"/>
              <w:rPr>
                <w:sz w:val="20"/>
              </w:rPr>
            </w:pPr>
          </w:p>
        </w:tc>
        <w:tc>
          <w:tcPr>
            <w:tcW w:w="939" w:type="dxa"/>
            <w:noWrap w:val="0"/>
            <w:vAlign w:val="top"/>
          </w:tcPr>
          <w:p>
            <w:pPr>
              <w:spacing w:line="579" w:lineRule="exact"/>
              <w:rPr>
                <w:sz w:val="20"/>
              </w:rPr>
            </w:pPr>
          </w:p>
        </w:tc>
        <w:tc>
          <w:tcPr>
            <w:tcW w:w="846" w:type="dxa"/>
            <w:noWrap w:val="0"/>
            <w:vAlign w:val="top"/>
          </w:tcPr>
          <w:p>
            <w:pPr>
              <w:spacing w:line="579" w:lineRule="exact"/>
              <w:rPr>
                <w:sz w:val="20"/>
              </w:rPr>
            </w:pPr>
          </w:p>
        </w:tc>
        <w:tc>
          <w:tcPr>
            <w:tcW w:w="1583" w:type="dxa"/>
            <w:noWrap w:val="0"/>
            <w:vAlign w:val="top"/>
          </w:tcPr>
          <w:p>
            <w:pPr>
              <w:spacing w:line="579" w:lineRule="exac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1" w:type="dxa"/>
            <w:noWrap w:val="0"/>
            <w:vAlign w:val="top"/>
          </w:tcPr>
          <w:p>
            <w:pPr>
              <w:spacing w:line="579" w:lineRule="exact"/>
              <w:rPr>
                <w:sz w:val="20"/>
              </w:rPr>
            </w:pPr>
          </w:p>
        </w:tc>
        <w:tc>
          <w:tcPr>
            <w:tcW w:w="734" w:type="dxa"/>
            <w:noWrap w:val="0"/>
            <w:vAlign w:val="top"/>
          </w:tcPr>
          <w:p>
            <w:pPr>
              <w:spacing w:line="579" w:lineRule="exact"/>
              <w:rPr>
                <w:sz w:val="20"/>
              </w:rPr>
            </w:pPr>
          </w:p>
        </w:tc>
        <w:tc>
          <w:tcPr>
            <w:tcW w:w="2144" w:type="dxa"/>
            <w:noWrap w:val="0"/>
            <w:vAlign w:val="top"/>
          </w:tcPr>
          <w:p>
            <w:pPr>
              <w:spacing w:line="579" w:lineRule="exact"/>
              <w:rPr>
                <w:sz w:val="20"/>
              </w:rPr>
            </w:pPr>
          </w:p>
        </w:tc>
        <w:tc>
          <w:tcPr>
            <w:tcW w:w="939" w:type="dxa"/>
            <w:noWrap w:val="0"/>
            <w:vAlign w:val="top"/>
          </w:tcPr>
          <w:p>
            <w:pPr>
              <w:spacing w:line="579" w:lineRule="exact"/>
              <w:rPr>
                <w:sz w:val="20"/>
              </w:rPr>
            </w:pPr>
          </w:p>
        </w:tc>
        <w:tc>
          <w:tcPr>
            <w:tcW w:w="846" w:type="dxa"/>
            <w:noWrap w:val="0"/>
            <w:vAlign w:val="top"/>
          </w:tcPr>
          <w:p>
            <w:pPr>
              <w:spacing w:line="579" w:lineRule="exact"/>
              <w:rPr>
                <w:sz w:val="20"/>
              </w:rPr>
            </w:pPr>
          </w:p>
        </w:tc>
        <w:tc>
          <w:tcPr>
            <w:tcW w:w="1583" w:type="dxa"/>
            <w:noWrap w:val="0"/>
            <w:vAlign w:val="top"/>
          </w:tcPr>
          <w:p>
            <w:pPr>
              <w:spacing w:line="579" w:lineRule="exac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1" w:type="dxa"/>
            <w:noWrap w:val="0"/>
            <w:vAlign w:val="top"/>
          </w:tcPr>
          <w:p>
            <w:pPr>
              <w:spacing w:line="579" w:lineRule="exact"/>
              <w:rPr>
                <w:sz w:val="20"/>
              </w:rPr>
            </w:pPr>
          </w:p>
        </w:tc>
        <w:tc>
          <w:tcPr>
            <w:tcW w:w="734" w:type="dxa"/>
            <w:noWrap w:val="0"/>
            <w:vAlign w:val="top"/>
          </w:tcPr>
          <w:p>
            <w:pPr>
              <w:spacing w:line="579" w:lineRule="exact"/>
              <w:rPr>
                <w:sz w:val="20"/>
              </w:rPr>
            </w:pPr>
          </w:p>
        </w:tc>
        <w:tc>
          <w:tcPr>
            <w:tcW w:w="2144" w:type="dxa"/>
            <w:noWrap w:val="0"/>
            <w:vAlign w:val="top"/>
          </w:tcPr>
          <w:p>
            <w:pPr>
              <w:spacing w:line="579" w:lineRule="exact"/>
              <w:rPr>
                <w:sz w:val="20"/>
              </w:rPr>
            </w:pPr>
          </w:p>
        </w:tc>
        <w:tc>
          <w:tcPr>
            <w:tcW w:w="939" w:type="dxa"/>
            <w:noWrap w:val="0"/>
            <w:vAlign w:val="top"/>
          </w:tcPr>
          <w:p>
            <w:pPr>
              <w:spacing w:line="579" w:lineRule="exact"/>
              <w:rPr>
                <w:sz w:val="20"/>
              </w:rPr>
            </w:pPr>
          </w:p>
        </w:tc>
        <w:tc>
          <w:tcPr>
            <w:tcW w:w="846" w:type="dxa"/>
            <w:noWrap w:val="0"/>
            <w:vAlign w:val="top"/>
          </w:tcPr>
          <w:p>
            <w:pPr>
              <w:spacing w:line="579" w:lineRule="exact"/>
              <w:rPr>
                <w:sz w:val="20"/>
              </w:rPr>
            </w:pPr>
          </w:p>
        </w:tc>
        <w:tc>
          <w:tcPr>
            <w:tcW w:w="1583" w:type="dxa"/>
            <w:noWrap w:val="0"/>
            <w:vAlign w:val="top"/>
          </w:tcPr>
          <w:p>
            <w:pPr>
              <w:spacing w:line="579" w:lineRule="exac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1" w:type="dxa"/>
            <w:noWrap w:val="0"/>
            <w:vAlign w:val="top"/>
          </w:tcPr>
          <w:p>
            <w:pPr>
              <w:spacing w:line="579" w:lineRule="exact"/>
              <w:rPr>
                <w:sz w:val="20"/>
              </w:rPr>
            </w:pPr>
          </w:p>
        </w:tc>
        <w:tc>
          <w:tcPr>
            <w:tcW w:w="734" w:type="dxa"/>
            <w:noWrap w:val="0"/>
            <w:vAlign w:val="top"/>
          </w:tcPr>
          <w:p>
            <w:pPr>
              <w:spacing w:line="579" w:lineRule="exact"/>
              <w:rPr>
                <w:sz w:val="20"/>
              </w:rPr>
            </w:pPr>
          </w:p>
        </w:tc>
        <w:tc>
          <w:tcPr>
            <w:tcW w:w="2144" w:type="dxa"/>
            <w:noWrap w:val="0"/>
            <w:vAlign w:val="top"/>
          </w:tcPr>
          <w:p>
            <w:pPr>
              <w:spacing w:line="579" w:lineRule="exact"/>
              <w:rPr>
                <w:sz w:val="20"/>
              </w:rPr>
            </w:pPr>
          </w:p>
        </w:tc>
        <w:tc>
          <w:tcPr>
            <w:tcW w:w="939" w:type="dxa"/>
            <w:noWrap w:val="0"/>
            <w:vAlign w:val="top"/>
          </w:tcPr>
          <w:p>
            <w:pPr>
              <w:spacing w:line="579" w:lineRule="exact"/>
              <w:rPr>
                <w:sz w:val="20"/>
              </w:rPr>
            </w:pPr>
          </w:p>
        </w:tc>
        <w:tc>
          <w:tcPr>
            <w:tcW w:w="846" w:type="dxa"/>
            <w:noWrap w:val="0"/>
            <w:vAlign w:val="top"/>
          </w:tcPr>
          <w:p>
            <w:pPr>
              <w:spacing w:line="579" w:lineRule="exact"/>
              <w:rPr>
                <w:sz w:val="20"/>
              </w:rPr>
            </w:pPr>
          </w:p>
        </w:tc>
        <w:tc>
          <w:tcPr>
            <w:tcW w:w="1583" w:type="dxa"/>
            <w:noWrap w:val="0"/>
            <w:vAlign w:val="top"/>
          </w:tcPr>
          <w:p>
            <w:pPr>
              <w:spacing w:line="579" w:lineRule="exac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91" w:type="dxa"/>
            <w:noWrap w:val="0"/>
            <w:vAlign w:val="top"/>
          </w:tcPr>
          <w:p>
            <w:pPr>
              <w:spacing w:line="579" w:lineRule="exact"/>
              <w:rPr>
                <w:sz w:val="20"/>
              </w:rPr>
            </w:pPr>
          </w:p>
        </w:tc>
        <w:tc>
          <w:tcPr>
            <w:tcW w:w="734" w:type="dxa"/>
            <w:noWrap w:val="0"/>
            <w:vAlign w:val="top"/>
          </w:tcPr>
          <w:p>
            <w:pPr>
              <w:spacing w:line="579" w:lineRule="exact"/>
              <w:rPr>
                <w:sz w:val="20"/>
              </w:rPr>
            </w:pPr>
          </w:p>
        </w:tc>
        <w:tc>
          <w:tcPr>
            <w:tcW w:w="2144" w:type="dxa"/>
            <w:noWrap w:val="0"/>
            <w:vAlign w:val="top"/>
          </w:tcPr>
          <w:p>
            <w:pPr>
              <w:spacing w:line="579" w:lineRule="exact"/>
              <w:rPr>
                <w:sz w:val="20"/>
              </w:rPr>
            </w:pPr>
          </w:p>
        </w:tc>
        <w:tc>
          <w:tcPr>
            <w:tcW w:w="939" w:type="dxa"/>
            <w:noWrap w:val="0"/>
            <w:vAlign w:val="top"/>
          </w:tcPr>
          <w:p>
            <w:pPr>
              <w:spacing w:line="579" w:lineRule="exact"/>
              <w:rPr>
                <w:sz w:val="20"/>
              </w:rPr>
            </w:pPr>
          </w:p>
        </w:tc>
        <w:tc>
          <w:tcPr>
            <w:tcW w:w="846" w:type="dxa"/>
            <w:noWrap w:val="0"/>
            <w:vAlign w:val="top"/>
          </w:tcPr>
          <w:p>
            <w:pPr>
              <w:spacing w:line="579" w:lineRule="exact"/>
              <w:rPr>
                <w:sz w:val="20"/>
              </w:rPr>
            </w:pPr>
          </w:p>
        </w:tc>
        <w:tc>
          <w:tcPr>
            <w:tcW w:w="1583" w:type="dxa"/>
            <w:noWrap w:val="0"/>
            <w:vAlign w:val="top"/>
          </w:tcPr>
          <w:p>
            <w:pPr>
              <w:spacing w:line="579" w:lineRule="exac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1" w:type="dxa"/>
            <w:noWrap w:val="0"/>
            <w:vAlign w:val="top"/>
          </w:tcPr>
          <w:p>
            <w:pPr>
              <w:spacing w:line="579" w:lineRule="exact"/>
              <w:rPr>
                <w:sz w:val="20"/>
              </w:rPr>
            </w:pPr>
          </w:p>
        </w:tc>
        <w:tc>
          <w:tcPr>
            <w:tcW w:w="734" w:type="dxa"/>
            <w:noWrap w:val="0"/>
            <w:vAlign w:val="top"/>
          </w:tcPr>
          <w:p>
            <w:pPr>
              <w:spacing w:line="579" w:lineRule="exact"/>
              <w:rPr>
                <w:sz w:val="20"/>
              </w:rPr>
            </w:pPr>
          </w:p>
        </w:tc>
        <w:tc>
          <w:tcPr>
            <w:tcW w:w="2144" w:type="dxa"/>
            <w:noWrap w:val="0"/>
            <w:vAlign w:val="top"/>
          </w:tcPr>
          <w:p>
            <w:pPr>
              <w:spacing w:line="579" w:lineRule="exact"/>
              <w:rPr>
                <w:sz w:val="20"/>
              </w:rPr>
            </w:pPr>
          </w:p>
        </w:tc>
        <w:tc>
          <w:tcPr>
            <w:tcW w:w="939" w:type="dxa"/>
            <w:noWrap w:val="0"/>
            <w:vAlign w:val="top"/>
          </w:tcPr>
          <w:p>
            <w:pPr>
              <w:spacing w:line="579" w:lineRule="exact"/>
              <w:rPr>
                <w:sz w:val="20"/>
              </w:rPr>
            </w:pPr>
          </w:p>
        </w:tc>
        <w:tc>
          <w:tcPr>
            <w:tcW w:w="846" w:type="dxa"/>
            <w:noWrap w:val="0"/>
            <w:vAlign w:val="top"/>
          </w:tcPr>
          <w:p>
            <w:pPr>
              <w:spacing w:line="579" w:lineRule="exact"/>
              <w:rPr>
                <w:sz w:val="20"/>
              </w:rPr>
            </w:pPr>
          </w:p>
        </w:tc>
        <w:tc>
          <w:tcPr>
            <w:tcW w:w="1583" w:type="dxa"/>
            <w:noWrap w:val="0"/>
            <w:vAlign w:val="top"/>
          </w:tcPr>
          <w:p>
            <w:pPr>
              <w:spacing w:line="579" w:lineRule="exac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1" w:type="dxa"/>
            <w:noWrap w:val="0"/>
            <w:vAlign w:val="top"/>
          </w:tcPr>
          <w:p>
            <w:pPr>
              <w:spacing w:line="579" w:lineRule="exact"/>
              <w:rPr>
                <w:sz w:val="20"/>
              </w:rPr>
            </w:pPr>
          </w:p>
        </w:tc>
        <w:tc>
          <w:tcPr>
            <w:tcW w:w="734" w:type="dxa"/>
            <w:noWrap w:val="0"/>
            <w:vAlign w:val="top"/>
          </w:tcPr>
          <w:p>
            <w:pPr>
              <w:spacing w:line="579" w:lineRule="exact"/>
              <w:rPr>
                <w:sz w:val="20"/>
              </w:rPr>
            </w:pPr>
          </w:p>
        </w:tc>
        <w:tc>
          <w:tcPr>
            <w:tcW w:w="2144" w:type="dxa"/>
            <w:noWrap w:val="0"/>
            <w:vAlign w:val="top"/>
          </w:tcPr>
          <w:p>
            <w:pPr>
              <w:spacing w:line="579" w:lineRule="exact"/>
              <w:rPr>
                <w:sz w:val="20"/>
              </w:rPr>
            </w:pPr>
          </w:p>
        </w:tc>
        <w:tc>
          <w:tcPr>
            <w:tcW w:w="939" w:type="dxa"/>
            <w:noWrap w:val="0"/>
            <w:vAlign w:val="top"/>
          </w:tcPr>
          <w:p>
            <w:pPr>
              <w:spacing w:line="579" w:lineRule="exact"/>
              <w:rPr>
                <w:sz w:val="20"/>
              </w:rPr>
            </w:pPr>
          </w:p>
        </w:tc>
        <w:tc>
          <w:tcPr>
            <w:tcW w:w="846" w:type="dxa"/>
            <w:noWrap w:val="0"/>
            <w:vAlign w:val="top"/>
          </w:tcPr>
          <w:p>
            <w:pPr>
              <w:spacing w:line="579" w:lineRule="exact"/>
              <w:rPr>
                <w:sz w:val="20"/>
              </w:rPr>
            </w:pPr>
          </w:p>
        </w:tc>
        <w:tc>
          <w:tcPr>
            <w:tcW w:w="1583" w:type="dxa"/>
            <w:noWrap w:val="0"/>
            <w:vAlign w:val="top"/>
          </w:tcPr>
          <w:p>
            <w:pPr>
              <w:spacing w:line="579" w:lineRule="exac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1" w:type="dxa"/>
            <w:noWrap w:val="0"/>
            <w:vAlign w:val="top"/>
          </w:tcPr>
          <w:p>
            <w:pPr>
              <w:spacing w:line="579" w:lineRule="exact"/>
              <w:rPr>
                <w:sz w:val="20"/>
              </w:rPr>
            </w:pPr>
          </w:p>
        </w:tc>
        <w:tc>
          <w:tcPr>
            <w:tcW w:w="734" w:type="dxa"/>
            <w:noWrap w:val="0"/>
            <w:vAlign w:val="top"/>
          </w:tcPr>
          <w:p>
            <w:pPr>
              <w:spacing w:line="579" w:lineRule="exact"/>
              <w:rPr>
                <w:sz w:val="20"/>
              </w:rPr>
            </w:pPr>
          </w:p>
        </w:tc>
        <w:tc>
          <w:tcPr>
            <w:tcW w:w="2144" w:type="dxa"/>
            <w:noWrap w:val="0"/>
            <w:vAlign w:val="top"/>
          </w:tcPr>
          <w:p>
            <w:pPr>
              <w:spacing w:line="579" w:lineRule="exact"/>
              <w:rPr>
                <w:sz w:val="20"/>
              </w:rPr>
            </w:pPr>
          </w:p>
        </w:tc>
        <w:tc>
          <w:tcPr>
            <w:tcW w:w="939" w:type="dxa"/>
            <w:noWrap w:val="0"/>
            <w:vAlign w:val="top"/>
          </w:tcPr>
          <w:p>
            <w:pPr>
              <w:spacing w:line="579" w:lineRule="exact"/>
              <w:rPr>
                <w:sz w:val="20"/>
              </w:rPr>
            </w:pPr>
          </w:p>
        </w:tc>
        <w:tc>
          <w:tcPr>
            <w:tcW w:w="846" w:type="dxa"/>
            <w:noWrap w:val="0"/>
            <w:vAlign w:val="top"/>
          </w:tcPr>
          <w:p>
            <w:pPr>
              <w:spacing w:line="579" w:lineRule="exact"/>
              <w:rPr>
                <w:sz w:val="20"/>
              </w:rPr>
            </w:pPr>
          </w:p>
        </w:tc>
        <w:tc>
          <w:tcPr>
            <w:tcW w:w="1583" w:type="dxa"/>
            <w:noWrap w:val="0"/>
            <w:vAlign w:val="top"/>
          </w:tcPr>
          <w:p>
            <w:pPr>
              <w:spacing w:line="579" w:lineRule="exac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1" w:type="dxa"/>
            <w:noWrap w:val="0"/>
            <w:vAlign w:val="top"/>
          </w:tcPr>
          <w:p>
            <w:pPr>
              <w:spacing w:line="579" w:lineRule="exact"/>
              <w:rPr>
                <w:sz w:val="20"/>
              </w:rPr>
            </w:pPr>
          </w:p>
        </w:tc>
        <w:tc>
          <w:tcPr>
            <w:tcW w:w="734" w:type="dxa"/>
            <w:noWrap w:val="0"/>
            <w:vAlign w:val="top"/>
          </w:tcPr>
          <w:p>
            <w:pPr>
              <w:spacing w:line="579" w:lineRule="exact"/>
              <w:rPr>
                <w:sz w:val="20"/>
              </w:rPr>
            </w:pPr>
          </w:p>
        </w:tc>
        <w:tc>
          <w:tcPr>
            <w:tcW w:w="2144" w:type="dxa"/>
            <w:noWrap w:val="0"/>
            <w:vAlign w:val="top"/>
          </w:tcPr>
          <w:p>
            <w:pPr>
              <w:spacing w:line="579" w:lineRule="exact"/>
              <w:rPr>
                <w:sz w:val="20"/>
              </w:rPr>
            </w:pPr>
          </w:p>
        </w:tc>
        <w:tc>
          <w:tcPr>
            <w:tcW w:w="939" w:type="dxa"/>
            <w:noWrap w:val="0"/>
            <w:vAlign w:val="top"/>
          </w:tcPr>
          <w:p>
            <w:pPr>
              <w:spacing w:line="579" w:lineRule="exact"/>
              <w:rPr>
                <w:sz w:val="20"/>
              </w:rPr>
            </w:pPr>
          </w:p>
        </w:tc>
        <w:tc>
          <w:tcPr>
            <w:tcW w:w="846" w:type="dxa"/>
            <w:noWrap w:val="0"/>
            <w:vAlign w:val="top"/>
          </w:tcPr>
          <w:p>
            <w:pPr>
              <w:spacing w:line="579" w:lineRule="exact"/>
              <w:rPr>
                <w:sz w:val="20"/>
              </w:rPr>
            </w:pPr>
          </w:p>
        </w:tc>
        <w:tc>
          <w:tcPr>
            <w:tcW w:w="1583" w:type="dxa"/>
            <w:noWrap w:val="0"/>
            <w:vAlign w:val="top"/>
          </w:tcPr>
          <w:p>
            <w:pPr>
              <w:spacing w:line="579" w:lineRule="exac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91" w:type="dxa"/>
            <w:noWrap w:val="0"/>
            <w:vAlign w:val="top"/>
          </w:tcPr>
          <w:p>
            <w:pPr>
              <w:spacing w:line="579" w:lineRule="exact"/>
              <w:rPr>
                <w:sz w:val="20"/>
              </w:rPr>
            </w:pPr>
          </w:p>
        </w:tc>
        <w:tc>
          <w:tcPr>
            <w:tcW w:w="734" w:type="dxa"/>
            <w:noWrap w:val="0"/>
            <w:vAlign w:val="top"/>
          </w:tcPr>
          <w:p>
            <w:pPr>
              <w:spacing w:line="579" w:lineRule="exact"/>
              <w:rPr>
                <w:sz w:val="20"/>
              </w:rPr>
            </w:pPr>
          </w:p>
        </w:tc>
        <w:tc>
          <w:tcPr>
            <w:tcW w:w="2144" w:type="dxa"/>
            <w:noWrap w:val="0"/>
            <w:vAlign w:val="top"/>
          </w:tcPr>
          <w:p>
            <w:pPr>
              <w:spacing w:line="579" w:lineRule="exact"/>
              <w:rPr>
                <w:sz w:val="20"/>
              </w:rPr>
            </w:pPr>
          </w:p>
        </w:tc>
        <w:tc>
          <w:tcPr>
            <w:tcW w:w="939" w:type="dxa"/>
            <w:noWrap w:val="0"/>
            <w:vAlign w:val="top"/>
          </w:tcPr>
          <w:p>
            <w:pPr>
              <w:spacing w:line="579" w:lineRule="exact"/>
              <w:rPr>
                <w:sz w:val="20"/>
              </w:rPr>
            </w:pPr>
          </w:p>
        </w:tc>
        <w:tc>
          <w:tcPr>
            <w:tcW w:w="846" w:type="dxa"/>
            <w:noWrap w:val="0"/>
            <w:vAlign w:val="top"/>
          </w:tcPr>
          <w:p>
            <w:pPr>
              <w:spacing w:line="579" w:lineRule="exact"/>
              <w:rPr>
                <w:sz w:val="20"/>
              </w:rPr>
            </w:pPr>
          </w:p>
        </w:tc>
        <w:tc>
          <w:tcPr>
            <w:tcW w:w="1583" w:type="dxa"/>
            <w:noWrap w:val="0"/>
            <w:vAlign w:val="top"/>
          </w:tcPr>
          <w:p>
            <w:pPr>
              <w:spacing w:line="579" w:lineRule="exac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1" w:type="dxa"/>
            <w:noWrap w:val="0"/>
            <w:vAlign w:val="top"/>
          </w:tcPr>
          <w:p>
            <w:pPr>
              <w:spacing w:line="579" w:lineRule="exact"/>
              <w:rPr>
                <w:sz w:val="20"/>
              </w:rPr>
            </w:pPr>
          </w:p>
        </w:tc>
        <w:tc>
          <w:tcPr>
            <w:tcW w:w="734" w:type="dxa"/>
            <w:noWrap w:val="0"/>
            <w:vAlign w:val="top"/>
          </w:tcPr>
          <w:p>
            <w:pPr>
              <w:spacing w:line="579" w:lineRule="exact"/>
              <w:rPr>
                <w:sz w:val="20"/>
              </w:rPr>
            </w:pPr>
          </w:p>
        </w:tc>
        <w:tc>
          <w:tcPr>
            <w:tcW w:w="2144" w:type="dxa"/>
            <w:noWrap w:val="0"/>
            <w:vAlign w:val="top"/>
          </w:tcPr>
          <w:p>
            <w:pPr>
              <w:spacing w:line="579" w:lineRule="exact"/>
              <w:rPr>
                <w:sz w:val="20"/>
              </w:rPr>
            </w:pPr>
          </w:p>
        </w:tc>
        <w:tc>
          <w:tcPr>
            <w:tcW w:w="939" w:type="dxa"/>
            <w:noWrap w:val="0"/>
            <w:vAlign w:val="top"/>
          </w:tcPr>
          <w:p>
            <w:pPr>
              <w:spacing w:line="579" w:lineRule="exact"/>
              <w:rPr>
                <w:sz w:val="20"/>
              </w:rPr>
            </w:pPr>
          </w:p>
        </w:tc>
        <w:tc>
          <w:tcPr>
            <w:tcW w:w="846" w:type="dxa"/>
            <w:noWrap w:val="0"/>
            <w:vAlign w:val="top"/>
          </w:tcPr>
          <w:p>
            <w:pPr>
              <w:spacing w:line="579" w:lineRule="exact"/>
              <w:rPr>
                <w:sz w:val="20"/>
              </w:rPr>
            </w:pPr>
          </w:p>
        </w:tc>
        <w:tc>
          <w:tcPr>
            <w:tcW w:w="1583" w:type="dxa"/>
            <w:noWrap w:val="0"/>
            <w:vAlign w:val="top"/>
          </w:tcPr>
          <w:p>
            <w:pPr>
              <w:spacing w:line="579" w:lineRule="exact"/>
              <w:rPr>
                <w:sz w:val="20"/>
              </w:rPr>
            </w:pPr>
          </w:p>
        </w:tc>
      </w:tr>
    </w:tbl>
    <w:p>
      <w:pPr>
        <w:spacing w:line="579" w:lineRule="exact"/>
        <w:ind w:firstLine="100" w:firstLineChars="50"/>
        <w:rPr>
          <w:b/>
          <w:sz w:val="20"/>
        </w:rPr>
      </w:pPr>
      <w:r>
        <w:rPr>
          <w:rFonts w:hint="eastAsia"/>
          <w:b/>
          <w:sz w:val="20"/>
        </w:rPr>
        <w:t xml:space="preserve">     </w:t>
      </w:r>
      <w:r>
        <w:rPr>
          <w:b/>
          <w:sz w:val="20"/>
        </w:rPr>
        <w:t>注：</w:t>
      </w:r>
      <w:r>
        <w:rPr>
          <w:rFonts w:hint="eastAsia"/>
          <w:b/>
          <w:sz w:val="20"/>
        </w:rPr>
        <w:t>本表表头处投标人需盖鲜章。</w:t>
      </w:r>
    </w:p>
    <w:p>
      <w:pPr>
        <w:spacing w:line="579" w:lineRule="exact"/>
        <w:ind w:left="405"/>
        <w:rPr>
          <w:sz w:val="20"/>
        </w:rPr>
      </w:pPr>
    </w:p>
    <w:p>
      <w:pPr>
        <w:topLinePunct/>
        <w:spacing w:line="440" w:lineRule="exact"/>
        <w:ind w:firstLine="400" w:firstLineChars="200"/>
        <w:jc w:val="center"/>
        <w:outlineLvl w:val="2"/>
        <w:rPr>
          <w:rFonts w:ascii="宋体" w:hAnsi="宋体" w:cs="宋体"/>
          <w:b/>
          <w:bCs/>
          <w:sz w:val="28"/>
          <w:szCs w:val="32"/>
        </w:rPr>
      </w:pPr>
      <w:r>
        <w:rPr>
          <w:sz w:val="20"/>
        </w:rPr>
        <w:br w:type="page"/>
      </w:r>
      <w:r>
        <w:rPr>
          <w:rFonts w:hint="eastAsia" w:ascii="宋体" w:hAnsi="宋体" w:cs="宋体"/>
          <w:b/>
          <w:bCs/>
          <w:sz w:val="28"/>
          <w:szCs w:val="32"/>
        </w:rPr>
        <w:t>六、拟服务的团队负责人律师资历表</w:t>
      </w:r>
    </w:p>
    <w:p>
      <w:pPr>
        <w:widowControl/>
        <w:jc w:val="left"/>
        <w:rPr>
          <w:rFonts w:ascii="Verdana" w:hAnsi="Verdana" w:eastAsia="黑体"/>
          <w:szCs w:val="20"/>
        </w:rPr>
      </w:pPr>
    </w:p>
    <w:tbl>
      <w:tblPr>
        <w:tblStyle w:val="16"/>
        <w:tblW w:w="0" w:type="auto"/>
        <w:tblInd w:w="96" w:type="dxa"/>
        <w:tblLayout w:type="fixed"/>
        <w:tblCellMar>
          <w:top w:w="0" w:type="dxa"/>
          <w:left w:w="108" w:type="dxa"/>
          <w:bottom w:w="0" w:type="dxa"/>
          <w:right w:w="108" w:type="dxa"/>
        </w:tblCellMar>
      </w:tblPr>
      <w:tblGrid>
        <w:gridCol w:w="880"/>
        <w:gridCol w:w="600"/>
        <w:gridCol w:w="1280"/>
        <w:gridCol w:w="1100"/>
        <w:gridCol w:w="1380"/>
        <w:gridCol w:w="380"/>
        <w:gridCol w:w="580"/>
        <w:gridCol w:w="2135"/>
      </w:tblGrid>
      <w:tr>
        <w:tblPrEx>
          <w:tblCellMar>
            <w:top w:w="0" w:type="dxa"/>
            <w:left w:w="108" w:type="dxa"/>
            <w:bottom w:w="0" w:type="dxa"/>
            <w:right w:w="108" w:type="dxa"/>
          </w:tblCellMar>
        </w:tblPrEx>
        <w:trPr>
          <w:trHeight w:val="516" w:hRule="atLeast"/>
        </w:trPr>
        <w:tc>
          <w:tcPr>
            <w:tcW w:w="880" w:type="dxa"/>
            <w:tcBorders>
              <w:top w:val="single" w:color="auto" w:sz="8" w:space="0"/>
              <w:left w:val="single" w:color="auto" w:sz="8" w:space="0"/>
              <w:bottom w:val="single" w:color="auto" w:sz="8"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姓名</w:t>
            </w:r>
          </w:p>
        </w:tc>
        <w:tc>
          <w:tcPr>
            <w:tcW w:w="600" w:type="dxa"/>
            <w:tcBorders>
              <w:top w:val="single" w:color="auto" w:sz="8" w:space="0"/>
              <w:left w:val="nil"/>
              <w:bottom w:val="single" w:color="auto" w:sz="8" w:space="0"/>
              <w:right w:val="single" w:color="auto" w:sz="4" w:space="0"/>
            </w:tcBorders>
            <w:noWrap w:val="0"/>
            <w:vAlign w:val="center"/>
          </w:tcPr>
          <w:p>
            <w:pPr>
              <w:widowControl/>
              <w:jc w:val="center"/>
              <w:rPr>
                <w:color w:val="000000"/>
                <w:kern w:val="0"/>
                <w:szCs w:val="21"/>
              </w:rPr>
            </w:pPr>
            <w:r>
              <w:rPr>
                <w:color w:val="000000"/>
                <w:kern w:val="0"/>
                <w:szCs w:val="21"/>
              </w:rPr>
              <w:t>　</w:t>
            </w:r>
          </w:p>
        </w:tc>
        <w:tc>
          <w:tcPr>
            <w:tcW w:w="1280"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性别</w:t>
            </w:r>
          </w:p>
        </w:tc>
        <w:tc>
          <w:tcPr>
            <w:tcW w:w="2480" w:type="dxa"/>
            <w:gridSpan w:val="2"/>
            <w:tcBorders>
              <w:top w:val="single" w:color="auto" w:sz="8" w:space="0"/>
              <w:left w:val="nil"/>
              <w:bottom w:val="single" w:color="auto" w:sz="8" w:space="0"/>
              <w:right w:val="single" w:color="auto" w:sz="4" w:space="0"/>
            </w:tcBorders>
            <w:noWrap w:val="0"/>
            <w:vAlign w:val="center"/>
          </w:tcPr>
          <w:p>
            <w:pPr>
              <w:widowControl/>
              <w:jc w:val="center"/>
              <w:rPr>
                <w:color w:val="000000"/>
                <w:kern w:val="0"/>
                <w:szCs w:val="21"/>
              </w:rPr>
            </w:pPr>
          </w:p>
        </w:tc>
        <w:tc>
          <w:tcPr>
            <w:tcW w:w="960" w:type="dxa"/>
            <w:gridSpan w:val="2"/>
            <w:tcBorders>
              <w:top w:val="single" w:color="auto" w:sz="8" w:space="0"/>
              <w:left w:val="nil"/>
              <w:bottom w:val="single" w:color="auto" w:sz="8"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年龄</w:t>
            </w:r>
          </w:p>
        </w:tc>
        <w:tc>
          <w:tcPr>
            <w:tcW w:w="2135" w:type="dxa"/>
            <w:tcBorders>
              <w:top w:val="single" w:color="auto" w:sz="8" w:space="0"/>
              <w:left w:val="nil"/>
              <w:bottom w:val="single" w:color="auto" w:sz="8" w:space="0"/>
              <w:right w:val="single" w:color="auto" w:sz="8" w:space="0"/>
            </w:tcBorders>
            <w:noWrap w:val="0"/>
            <w:vAlign w:val="center"/>
          </w:tcPr>
          <w:p>
            <w:pPr>
              <w:widowControl/>
              <w:jc w:val="center"/>
              <w:rPr>
                <w:color w:val="000000"/>
                <w:kern w:val="0"/>
                <w:szCs w:val="21"/>
              </w:rPr>
            </w:pPr>
          </w:p>
        </w:tc>
      </w:tr>
      <w:tr>
        <w:tblPrEx>
          <w:tblCellMar>
            <w:top w:w="0" w:type="dxa"/>
            <w:left w:w="108" w:type="dxa"/>
            <w:bottom w:w="0" w:type="dxa"/>
            <w:right w:w="108" w:type="dxa"/>
          </w:tblCellMar>
        </w:tblPrEx>
        <w:trPr>
          <w:trHeight w:val="706" w:hRule="atLeast"/>
        </w:trPr>
        <w:tc>
          <w:tcPr>
            <w:tcW w:w="880" w:type="dxa"/>
            <w:vMerge w:val="restart"/>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执业资格及取得资格时间</w:t>
            </w:r>
          </w:p>
        </w:tc>
        <w:tc>
          <w:tcPr>
            <w:tcW w:w="600"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1</w:t>
            </w:r>
          </w:p>
        </w:tc>
        <w:tc>
          <w:tcPr>
            <w:tcW w:w="12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**年取得</w:t>
            </w:r>
          </w:p>
        </w:tc>
        <w:tc>
          <w:tcPr>
            <w:tcW w:w="5575" w:type="dxa"/>
            <w:gridSpan w:val="5"/>
            <w:tcBorders>
              <w:top w:val="nil"/>
              <w:left w:val="nil"/>
              <w:bottom w:val="single" w:color="auto" w:sz="4" w:space="0"/>
              <w:right w:val="single" w:color="000000" w:sz="8" w:space="0"/>
            </w:tcBorders>
            <w:noWrap w:val="0"/>
            <w:vAlign w:val="center"/>
          </w:tcPr>
          <w:p>
            <w:pPr>
              <w:widowControl/>
              <w:jc w:val="center"/>
              <w:rPr>
                <w:color w:val="000000"/>
                <w:kern w:val="0"/>
                <w:szCs w:val="21"/>
              </w:rPr>
            </w:pPr>
            <w:r>
              <w:rPr>
                <w:rFonts w:hint="eastAsia"/>
                <w:color w:val="000000"/>
                <w:kern w:val="0"/>
                <w:szCs w:val="21"/>
              </w:rPr>
              <w:t>***</w:t>
            </w:r>
          </w:p>
        </w:tc>
      </w:tr>
      <w:tr>
        <w:tblPrEx>
          <w:tblCellMar>
            <w:top w:w="0" w:type="dxa"/>
            <w:left w:w="108" w:type="dxa"/>
            <w:bottom w:w="0" w:type="dxa"/>
            <w:right w:w="108" w:type="dxa"/>
          </w:tblCellMar>
        </w:tblPrEx>
        <w:trPr>
          <w:trHeight w:val="527" w:hRule="atLeast"/>
        </w:trPr>
        <w:tc>
          <w:tcPr>
            <w:tcW w:w="880"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2</w:t>
            </w:r>
          </w:p>
        </w:tc>
        <w:tc>
          <w:tcPr>
            <w:tcW w:w="12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**年取得</w:t>
            </w:r>
          </w:p>
        </w:tc>
        <w:tc>
          <w:tcPr>
            <w:tcW w:w="5575" w:type="dxa"/>
            <w:gridSpan w:val="5"/>
            <w:tcBorders>
              <w:top w:val="single" w:color="auto" w:sz="4" w:space="0"/>
              <w:left w:val="nil"/>
              <w:bottom w:val="single" w:color="auto" w:sz="4" w:space="0"/>
              <w:right w:val="single" w:color="000000"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480" w:hRule="atLeast"/>
        </w:trPr>
        <w:tc>
          <w:tcPr>
            <w:tcW w:w="880" w:type="dxa"/>
            <w:vMerge w:val="restart"/>
            <w:tcBorders>
              <w:top w:val="nil"/>
              <w:left w:val="single" w:color="auto" w:sz="8" w:space="0"/>
              <w:bottom w:val="single" w:color="auto" w:sz="4" w:space="0"/>
              <w:right w:val="single" w:color="auto" w:sz="4" w:space="0"/>
            </w:tcBorders>
            <w:noWrap w:val="0"/>
            <w:textDirection w:val="tbRlV"/>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工作经历</w:t>
            </w:r>
          </w:p>
        </w:tc>
        <w:tc>
          <w:tcPr>
            <w:tcW w:w="6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期间</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单位</w:t>
            </w:r>
          </w:p>
        </w:tc>
        <w:tc>
          <w:tcPr>
            <w:tcW w:w="176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职务</w:t>
            </w:r>
          </w:p>
        </w:tc>
        <w:tc>
          <w:tcPr>
            <w:tcW w:w="2715" w:type="dxa"/>
            <w:gridSpan w:val="2"/>
            <w:tcBorders>
              <w:top w:val="single" w:color="auto" w:sz="4" w:space="0"/>
              <w:left w:val="nil"/>
              <w:bottom w:val="single" w:color="auto" w:sz="4" w:space="0"/>
              <w:right w:val="single" w:color="000000"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主要工作内容</w:t>
            </w:r>
          </w:p>
        </w:tc>
      </w:tr>
      <w:tr>
        <w:tblPrEx>
          <w:tblCellMar>
            <w:top w:w="0" w:type="dxa"/>
            <w:left w:w="108" w:type="dxa"/>
            <w:bottom w:w="0" w:type="dxa"/>
            <w:right w:w="108" w:type="dxa"/>
          </w:tblCellMar>
        </w:tblPrEx>
        <w:trPr>
          <w:trHeight w:val="384" w:hRule="atLeast"/>
        </w:trPr>
        <w:tc>
          <w:tcPr>
            <w:tcW w:w="880"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1</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**年*月-**年*月</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760" w:type="dxa"/>
            <w:gridSpan w:val="2"/>
            <w:tcBorders>
              <w:top w:val="single" w:color="auto" w:sz="4" w:space="0"/>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c>
          <w:tcPr>
            <w:tcW w:w="2715" w:type="dxa"/>
            <w:gridSpan w:val="2"/>
            <w:tcBorders>
              <w:top w:val="single" w:color="auto" w:sz="4" w:space="0"/>
              <w:left w:val="nil"/>
              <w:bottom w:val="single" w:color="auto" w:sz="4" w:space="0"/>
              <w:right w:val="single" w:color="000000" w:sz="8" w:space="0"/>
            </w:tcBorders>
            <w:noWrap w:val="0"/>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84" w:hRule="atLeast"/>
        </w:trPr>
        <w:tc>
          <w:tcPr>
            <w:tcW w:w="880"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2</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**年*月-**年*月</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760" w:type="dxa"/>
            <w:gridSpan w:val="2"/>
            <w:tcBorders>
              <w:top w:val="single" w:color="auto" w:sz="4" w:space="0"/>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c>
          <w:tcPr>
            <w:tcW w:w="2715" w:type="dxa"/>
            <w:gridSpan w:val="2"/>
            <w:tcBorders>
              <w:top w:val="single" w:color="auto" w:sz="4" w:space="0"/>
              <w:left w:val="nil"/>
              <w:bottom w:val="single" w:color="auto" w:sz="4" w:space="0"/>
              <w:right w:val="single" w:color="000000" w:sz="8" w:space="0"/>
            </w:tcBorders>
            <w:noWrap w:val="0"/>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84" w:hRule="atLeast"/>
        </w:trPr>
        <w:tc>
          <w:tcPr>
            <w:tcW w:w="880"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3</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**年*月-**年*月</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760" w:type="dxa"/>
            <w:gridSpan w:val="2"/>
            <w:tcBorders>
              <w:top w:val="single" w:color="auto" w:sz="4" w:space="0"/>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c>
          <w:tcPr>
            <w:tcW w:w="2715" w:type="dxa"/>
            <w:gridSpan w:val="2"/>
            <w:tcBorders>
              <w:top w:val="single" w:color="auto" w:sz="4" w:space="0"/>
              <w:left w:val="nil"/>
              <w:bottom w:val="single" w:color="auto" w:sz="4" w:space="0"/>
              <w:right w:val="single" w:color="000000" w:sz="8" w:space="0"/>
            </w:tcBorders>
            <w:noWrap w:val="0"/>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84" w:hRule="atLeast"/>
        </w:trPr>
        <w:tc>
          <w:tcPr>
            <w:tcW w:w="880"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760" w:type="dxa"/>
            <w:gridSpan w:val="2"/>
            <w:tcBorders>
              <w:top w:val="single" w:color="auto" w:sz="4" w:space="0"/>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c>
          <w:tcPr>
            <w:tcW w:w="2715" w:type="dxa"/>
            <w:gridSpan w:val="2"/>
            <w:tcBorders>
              <w:top w:val="single" w:color="auto" w:sz="4" w:space="0"/>
              <w:left w:val="nil"/>
              <w:bottom w:val="single" w:color="auto" w:sz="4" w:space="0"/>
              <w:right w:val="single" w:color="000000" w:sz="8" w:space="0"/>
            </w:tcBorders>
            <w:noWrap w:val="0"/>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528" w:hRule="atLeast"/>
        </w:trPr>
        <w:tc>
          <w:tcPr>
            <w:tcW w:w="880" w:type="dxa"/>
            <w:vMerge w:val="restart"/>
            <w:tcBorders>
              <w:top w:val="nil"/>
              <w:left w:val="single" w:color="auto" w:sz="8" w:space="0"/>
              <w:bottom w:val="single" w:color="000000" w:sz="8"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工作业绩</w:t>
            </w:r>
          </w:p>
        </w:tc>
        <w:tc>
          <w:tcPr>
            <w:tcW w:w="6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期间</w:t>
            </w:r>
          </w:p>
        </w:tc>
        <w:tc>
          <w:tcPr>
            <w:tcW w:w="5575" w:type="dxa"/>
            <w:gridSpan w:val="5"/>
            <w:tcBorders>
              <w:top w:val="single" w:color="auto" w:sz="4" w:space="0"/>
              <w:left w:val="nil"/>
              <w:bottom w:val="single" w:color="auto" w:sz="4" w:space="0"/>
              <w:right w:val="single" w:color="auto"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业绩描述</w:t>
            </w:r>
          </w:p>
        </w:tc>
      </w:tr>
      <w:tr>
        <w:tblPrEx>
          <w:tblCellMar>
            <w:top w:w="0" w:type="dxa"/>
            <w:left w:w="108" w:type="dxa"/>
            <w:bottom w:w="0" w:type="dxa"/>
            <w:right w:w="108" w:type="dxa"/>
          </w:tblCellMar>
        </w:tblPrEx>
        <w:trPr>
          <w:trHeight w:val="384" w:hRule="atLeast"/>
        </w:trPr>
        <w:tc>
          <w:tcPr>
            <w:tcW w:w="880" w:type="dxa"/>
            <w:vMerge w:val="continue"/>
            <w:tcBorders>
              <w:top w:val="nil"/>
              <w:left w:val="single" w:color="auto" w:sz="8" w:space="0"/>
              <w:bottom w:val="single" w:color="000000" w:sz="8" w:space="0"/>
              <w:right w:val="single" w:color="auto" w:sz="4" w:space="0"/>
            </w:tcBorders>
            <w:noWrap w:val="0"/>
            <w:vAlign w:val="center"/>
          </w:tcPr>
          <w:p>
            <w:pPr>
              <w:widowControl/>
              <w:jc w:val="left"/>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bottom"/>
          </w:tcPr>
          <w:p>
            <w:pPr>
              <w:widowControl/>
              <w:jc w:val="center"/>
              <w:rPr>
                <w:color w:val="000000"/>
                <w:kern w:val="0"/>
                <w:szCs w:val="21"/>
              </w:rPr>
            </w:pPr>
            <w:r>
              <w:rPr>
                <w:color w:val="000000"/>
                <w:kern w:val="0"/>
                <w:szCs w:val="21"/>
              </w:rPr>
              <w:t>1</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**年*月-**年*月</w:t>
            </w:r>
          </w:p>
        </w:tc>
        <w:tc>
          <w:tcPr>
            <w:tcW w:w="5575" w:type="dxa"/>
            <w:gridSpan w:val="5"/>
            <w:tcBorders>
              <w:top w:val="single" w:color="auto" w:sz="4" w:space="0"/>
              <w:left w:val="nil"/>
              <w:bottom w:val="single" w:color="auto" w:sz="4" w:space="0"/>
              <w:right w:val="single" w:color="auto" w:sz="8" w:space="0"/>
            </w:tcBorders>
            <w:noWrap w:val="0"/>
            <w:vAlign w:val="bottom"/>
          </w:tcPr>
          <w:p>
            <w:pPr>
              <w:widowControl/>
              <w:jc w:val="center"/>
              <w:rPr>
                <w:color w:val="000000"/>
                <w:kern w:val="0"/>
                <w:szCs w:val="21"/>
              </w:rPr>
            </w:pPr>
            <w:r>
              <w:rPr>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72" w:hRule="atLeast"/>
        </w:trPr>
        <w:tc>
          <w:tcPr>
            <w:tcW w:w="880" w:type="dxa"/>
            <w:vMerge w:val="continue"/>
            <w:tcBorders>
              <w:top w:val="nil"/>
              <w:left w:val="single" w:color="auto" w:sz="8" w:space="0"/>
              <w:bottom w:val="single" w:color="000000" w:sz="8" w:space="0"/>
              <w:right w:val="single" w:color="auto" w:sz="4" w:space="0"/>
            </w:tcBorders>
            <w:noWrap w:val="0"/>
            <w:vAlign w:val="center"/>
          </w:tcPr>
          <w:p>
            <w:pPr>
              <w:widowControl/>
              <w:jc w:val="left"/>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bottom"/>
          </w:tcPr>
          <w:p>
            <w:pPr>
              <w:widowControl/>
              <w:jc w:val="center"/>
              <w:rPr>
                <w:color w:val="000000"/>
                <w:kern w:val="0"/>
                <w:szCs w:val="21"/>
              </w:rPr>
            </w:pPr>
            <w:r>
              <w:rPr>
                <w:color w:val="000000"/>
                <w:kern w:val="0"/>
                <w:szCs w:val="21"/>
              </w:rPr>
              <w:t>2</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**年*月-**年*月</w:t>
            </w:r>
          </w:p>
        </w:tc>
        <w:tc>
          <w:tcPr>
            <w:tcW w:w="5575" w:type="dxa"/>
            <w:gridSpan w:val="5"/>
            <w:tcBorders>
              <w:top w:val="single" w:color="auto" w:sz="4" w:space="0"/>
              <w:left w:val="nil"/>
              <w:bottom w:val="single" w:color="auto" w:sz="4" w:space="0"/>
              <w:right w:val="single" w:color="auto" w:sz="8" w:space="0"/>
            </w:tcBorders>
            <w:noWrap w:val="0"/>
            <w:vAlign w:val="bottom"/>
          </w:tcPr>
          <w:p>
            <w:pPr>
              <w:widowControl/>
              <w:jc w:val="center"/>
              <w:rPr>
                <w:color w:val="000000"/>
                <w:kern w:val="0"/>
                <w:szCs w:val="21"/>
              </w:rPr>
            </w:pPr>
            <w:r>
              <w:rPr>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84" w:hRule="atLeast"/>
        </w:trPr>
        <w:tc>
          <w:tcPr>
            <w:tcW w:w="880" w:type="dxa"/>
            <w:vMerge w:val="continue"/>
            <w:tcBorders>
              <w:top w:val="nil"/>
              <w:left w:val="single" w:color="auto" w:sz="8" w:space="0"/>
              <w:bottom w:val="single" w:color="000000" w:sz="8" w:space="0"/>
              <w:right w:val="single" w:color="auto" w:sz="4" w:space="0"/>
            </w:tcBorders>
            <w:noWrap w:val="0"/>
            <w:vAlign w:val="center"/>
          </w:tcPr>
          <w:p>
            <w:pPr>
              <w:widowControl/>
              <w:jc w:val="left"/>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bottom"/>
          </w:tcPr>
          <w:p>
            <w:pPr>
              <w:widowControl/>
              <w:jc w:val="center"/>
              <w:rPr>
                <w:color w:val="000000"/>
                <w:kern w:val="0"/>
                <w:szCs w:val="21"/>
              </w:rPr>
            </w:pPr>
            <w:r>
              <w:rPr>
                <w:color w:val="000000"/>
                <w:kern w:val="0"/>
                <w:szCs w:val="21"/>
              </w:rPr>
              <w:t>3</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**年*月-**年*月</w:t>
            </w:r>
          </w:p>
        </w:tc>
        <w:tc>
          <w:tcPr>
            <w:tcW w:w="5575" w:type="dxa"/>
            <w:gridSpan w:val="5"/>
            <w:tcBorders>
              <w:top w:val="single" w:color="auto" w:sz="4" w:space="0"/>
              <w:left w:val="nil"/>
              <w:bottom w:val="single" w:color="auto" w:sz="4" w:space="0"/>
              <w:right w:val="single" w:color="auto" w:sz="8" w:space="0"/>
            </w:tcBorders>
            <w:noWrap w:val="0"/>
            <w:vAlign w:val="bottom"/>
          </w:tcPr>
          <w:p>
            <w:pPr>
              <w:widowControl/>
              <w:jc w:val="center"/>
              <w:rPr>
                <w:color w:val="000000"/>
                <w:kern w:val="0"/>
                <w:szCs w:val="21"/>
              </w:rPr>
            </w:pPr>
            <w:r>
              <w:rPr>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432" w:hRule="atLeast"/>
        </w:trPr>
        <w:tc>
          <w:tcPr>
            <w:tcW w:w="880" w:type="dxa"/>
            <w:vMerge w:val="continue"/>
            <w:tcBorders>
              <w:top w:val="nil"/>
              <w:left w:val="single" w:color="auto" w:sz="8" w:space="0"/>
              <w:bottom w:val="single" w:color="000000" w:sz="8" w:space="0"/>
              <w:right w:val="single" w:color="auto" w:sz="4" w:space="0"/>
            </w:tcBorders>
            <w:noWrap w:val="0"/>
            <w:vAlign w:val="center"/>
          </w:tcPr>
          <w:p>
            <w:pPr>
              <w:widowControl/>
              <w:jc w:val="left"/>
              <w:rPr>
                <w:rFonts w:ascii="宋体" w:hAnsi="宋体" w:cs="宋体"/>
                <w:color w:val="000000"/>
                <w:kern w:val="0"/>
                <w:szCs w:val="21"/>
              </w:rPr>
            </w:pPr>
          </w:p>
        </w:tc>
        <w:tc>
          <w:tcPr>
            <w:tcW w:w="600" w:type="dxa"/>
            <w:tcBorders>
              <w:top w:val="nil"/>
              <w:left w:val="nil"/>
              <w:bottom w:val="single" w:color="auto" w:sz="8" w:space="0"/>
              <w:right w:val="single" w:color="auto" w:sz="4" w:space="0"/>
            </w:tcBorders>
            <w:noWrap w:val="0"/>
            <w:vAlign w:val="bottom"/>
          </w:tcPr>
          <w:p>
            <w:pPr>
              <w:widowControl/>
              <w:jc w:val="center"/>
              <w:rPr>
                <w:color w:val="000000"/>
                <w:kern w:val="0"/>
                <w:szCs w:val="21"/>
              </w:rPr>
            </w:pPr>
            <w:r>
              <w:rPr>
                <w:color w:val="000000"/>
                <w:kern w:val="0"/>
                <w:szCs w:val="21"/>
              </w:rPr>
              <w:t>…</w:t>
            </w:r>
          </w:p>
        </w:tc>
        <w:tc>
          <w:tcPr>
            <w:tcW w:w="1280" w:type="dxa"/>
            <w:tcBorders>
              <w:top w:val="nil"/>
              <w:left w:val="nil"/>
              <w:bottom w:val="single" w:color="auto" w:sz="8" w:space="0"/>
              <w:right w:val="single" w:color="auto" w:sz="4" w:space="0"/>
            </w:tcBorders>
            <w:noWrap w:val="0"/>
            <w:vAlign w:val="bottom"/>
          </w:tcPr>
          <w:p>
            <w:pPr>
              <w:widowControl/>
              <w:rPr>
                <w:color w:val="000000"/>
                <w:kern w:val="0"/>
                <w:szCs w:val="21"/>
              </w:rPr>
            </w:pPr>
            <w:r>
              <w:rPr>
                <w:color w:val="000000"/>
                <w:kern w:val="0"/>
                <w:szCs w:val="21"/>
              </w:rPr>
              <w:t>　</w:t>
            </w:r>
          </w:p>
        </w:tc>
        <w:tc>
          <w:tcPr>
            <w:tcW w:w="5575" w:type="dxa"/>
            <w:gridSpan w:val="5"/>
            <w:tcBorders>
              <w:top w:val="single" w:color="auto" w:sz="4" w:space="0"/>
              <w:left w:val="nil"/>
              <w:bottom w:val="single" w:color="auto" w:sz="8" w:space="0"/>
              <w:right w:val="single" w:color="auto" w:sz="8" w:space="0"/>
            </w:tcBorders>
            <w:noWrap w:val="0"/>
            <w:vAlign w:val="bottom"/>
          </w:tcPr>
          <w:p>
            <w:pPr>
              <w:widowControl/>
              <w:jc w:val="center"/>
              <w:rPr>
                <w:color w:val="000000"/>
                <w:kern w:val="0"/>
                <w:szCs w:val="21"/>
              </w:rPr>
            </w:pPr>
            <w:r>
              <w:rPr>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topLinePunct/>
        <w:spacing w:line="400" w:lineRule="exact"/>
        <w:outlineLvl w:val="2"/>
        <w:rPr>
          <w:b/>
          <w:sz w:val="20"/>
          <w:szCs w:val="20"/>
        </w:rPr>
      </w:pPr>
      <w:r>
        <w:rPr>
          <w:b/>
          <w:sz w:val="20"/>
          <w:szCs w:val="20"/>
        </w:rPr>
        <w:t>注：</w:t>
      </w:r>
    </w:p>
    <w:p>
      <w:pPr>
        <w:numPr>
          <w:ilvl w:val="0"/>
          <w:numId w:val="2"/>
        </w:numPr>
        <w:topLinePunct/>
        <w:spacing w:line="400" w:lineRule="exact"/>
        <w:outlineLvl w:val="2"/>
        <w:rPr>
          <w:b/>
          <w:sz w:val="20"/>
          <w:szCs w:val="20"/>
        </w:rPr>
      </w:pPr>
      <w:r>
        <w:rPr>
          <w:rFonts w:hint="eastAsia"/>
          <w:b/>
          <w:sz w:val="20"/>
          <w:szCs w:val="20"/>
        </w:rPr>
        <w:t>业绩必须附上清晰的、盖有申请单位鲜章的能体现参与人员的合同协议书复印件或司法文书复印件（或扫描件）；</w:t>
      </w:r>
    </w:p>
    <w:p>
      <w:pPr>
        <w:numPr>
          <w:ilvl w:val="0"/>
          <w:numId w:val="2"/>
        </w:numPr>
        <w:topLinePunct/>
        <w:spacing w:line="400" w:lineRule="exact"/>
        <w:outlineLvl w:val="2"/>
        <w:rPr>
          <w:b/>
          <w:sz w:val="20"/>
          <w:szCs w:val="20"/>
        </w:rPr>
      </w:pPr>
      <w:r>
        <w:rPr>
          <w:b/>
          <w:sz w:val="20"/>
          <w:szCs w:val="20"/>
        </w:rPr>
        <w:t>本表后应附</w:t>
      </w:r>
      <w:r>
        <w:rPr>
          <w:rFonts w:hint="eastAsia"/>
          <w:b/>
          <w:sz w:val="20"/>
          <w:szCs w:val="20"/>
        </w:rPr>
        <w:t>所有拟投入人员</w:t>
      </w:r>
      <w:r>
        <w:rPr>
          <w:b/>
          <w:sz w:val="20"/>
          <w:szCs w:val="20"/>
        </w:rPr>
        <w:t>的身份证、职称</w:t>
      </w:r>
      <w:r>
        <w:rPr>
          <w:rFonts w:hint="eastAsia"/>
          <w:b/>
          <w:sz w:val="20"/>
          <w:szCs w:val="20"/>
        </w:rPr>
        <w:t>证书、执业</w:t>
      </w:r>
      <w:r>
        <w:rPr>
          <w:b/>
          <w:sz w:val="20"/>
          <w:szCs w:val="20"/>
        </w:rPr>
        <w:t>资格证书</w:t>
      </w:r>
      <w:r>
        <w:rPr>
          <w:rFonts w:hint="eastAsia"/>
          <w:b/>
          <w:sz w:val="20"/>
          <w:szCs w:val="20"/>
        </w:rPr>
        <w:t>复印件，且竞选人需在所有复印件上盖鲜章；</w:t>
      </w:r>
    </w:p>
    <w:p>
      <w:pPr>
        <w:topLinePunct/>
        <w:spacing w:line="400" w:lineRule="exact"/>
        <w:outlineLvl w:val="2"/>
        <w:rPr>
          <w:b/>
          <w:sz w:val="20"/>
          <w:szCs w:val="20"/>
        </w:rPr>
      </w:pPr>
      <w:r>
        <w:rPr>
          <w:rFonts w:hint="eastAsia"/>
          <w:b/>
          <w:sz w:val="20"/>
          <w:szCs w:val="20"/>
        </w:rPr>
        <w:t>3. 一人一表；</w:t>
      </w:r>
    </w:p>
    <w:p>
      <w:pPr>
        <w:topLinePunct/>
        <w:spacing w:line="400" w:lineRule="exact"/>
        <w:outlineLvl w:val="2"/>
        <w:rPr>
          <w:b/>
          <w:sz w:val="20"/>
          <w:szCs w:val="20"/>
        </w:rPr>
      </w:pPr>
      <w:r>
        <w:rPr>
          <w:rFonts w:hint="eastAsia"/>
          <w:b/>
          <w:sz w:val="20"/>
          <w:szCs w:val="20"/>
        </w:rPr>
        <w:t>4. 本表表头处竞选人需盖鲜章。</w:t>
      </w:r>
    </w:p>
    <w:p>
      <w:pPr>
        <w:topLinePunct/>
        <w:spacing w:line="440" w:lineRule="exact"/>
        <w:ind w:firstLine="562" w:firstLineChars="200"/>
        <w:jc w:val="center"/>
        <w:outlineLvl w:val="2"/>
        <w:rPr>
          <w:rFonts w:ascii="宋体" w:hAnsi="宋体" w:cs="宋体"/>
          <w:b/>
          <w:bCs/>
          <w:sz w:val="28"/>
          <w:szCs w:val="32"/>
        </w:rPr>
      </w:pPr>
    </w:p>
    <w:p>
      <w:pPr>
        <w:topLinePunct/>
        <w:spacing w:line="579" w:lineRule="exact"/>
        <w:outlineLvl w:val="2"/>
        <w:rPr>
          <w:b/>
          <w:sz w:val="20"/>
          <w:szCs w:val="20"/>
        </w:rPr>
      </w:pPr>
    </w:p>
    <w:p>
      <w:pPr>
        <w:topLinePunct/>
        <w:spacing w:line="440" w:lineRule="exact"/>
        <w:ind w:firstLine="562" w:firstLineChars="200"/>
        <w:jc w:val="center"/>
        <w:outlineLvl w:val="2"/>
        <w:rPr>
          <w:rFonts w:ascii="宋体" w:hAnsi="宋体" w:cs="宋体"/>
          <w:b/>
          <w:bCs/>
          <w:sz w:val="28"/>
          <w:szCs w:val="32"/>
        </w:rPr>
      </w:pPr>
      <w:bookmarkStart w:id="14" w:name="_Toc248117632"/>
      <w:bookmarkStart w:id="15" w:name="_Toc259694435"/>
      <w:r>
        <w:rPr>
          <w:rFonts w:hint="eastAsia" w:ascii="宋体" w:hAnsi="宋体" w:cs="宋体"/>
          <w:b/>
          <w:bCs/>
          <w:sz w:val="28"/>
          <w:szCs w:val="32"/>
        </w:rPr>
        <w:t>七、拟服务的主（协）办律师资历表</w:t>
      </w:r>
    </w:p>
    <w:p>
      <w:pPr>
        <w:widowControl/>
        <w:jc w:val="left"/>
        <w:rPr>
          <w:rFonts w:ascii="Verdana" w:hAnsi="Verdana" w:eastAsia="黑体"/>
          <w:szCs w:val="20"/>
        </w:rPr>
      </w:pPr>
    </w:p>
    <w:tbl>
      <w:tblPr>
        <w:tblStyle w:val="16"/>
        <w:tblW w:w="0" w:type="auto"/>
        <w:tblInd w:w="96" w:type="dxa"/>
        <w:tblLayout w:type="fixed"/>
        <w:tblCellMar>
          <w:top w:w="0" w:type="dxa"/>
          <w:left w:w="108" w:type="dxa"/>
          <w:bottom w:w="0" w:type="dxa"/>
          <w:right w:w="108" w:type="dxa"/>
        </w:tblCellMar>
      </w:tblPr>
      <w:tblGrid>
        <w:gridCol w:w="880"/>
        <w:gridCol w:w="600"/>
        <w:gridCol w:w="1280"/>
        <w:gridCol w:w="1100"/>
        <w:gridCol w:w="1380"/>
        <w:gridCol w:w="380"/>
        <w:gridCol w:w="580"/>
        <w:gridCol w:w="2135"/>
      </w:tblGrid>
      <w:tr>
        <w:tblPrEx>
          <w:tblCellMar>
            <w:top w:w="0" w:type="dxa"/>
            <w:left w:w="108" w:type="dxa"/>
            <w:bottom w:w="0" w:type="dxa"/>
            <w:right w:w="108" w:type="dxa"/>
          </w:tblCellMar>
        </w:tblPrEx>
        <w:trPr>
          <w:trHeight w:val="516" w:hRule="atLeast"/>
        </w:trPr>
        <w:tc>
          <w:tcPr>
            <w:tcW w:w="880" w:type="dxa"/>
            <w:tcBorders>
              <w:top w:val="single" w:color="auto" w:sz="8" w:space="0"/>
              <w:left w:val="single" w:color="auto" w:sz="8" w:space="0"/>
              <w:bottom w:val="single" w:color="auto" w:sz="8"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姓名</w:t>
            </w:r>
          </w:p>
        </w:tc>
        <w:tc>
          <w:tcPr>
            <w:tcW w:w="600" w:type="dxa"/>
            <w:tcBorders>
              <w:top w:val="single" w:color="auto" w:sz="8" w:space="0"/>
              <w:left w:val="nil"/>
              <w:bottom w:val="single" w:color="auto" w:sz="8" w:space="0"/>
              <w:right w:val="single" w:color="auto" w:sz="4" w:space="0"/>
            </w:tcBorders>
            <w:noWrap w:val="0"/>
            <w:vAlign w:val="center"/>
          </w:tcPr>
          <w:p>
            <w:pPr>
              <w:widowControl/>
              <w:jc w:val="center"/>
              <w:rPr>
                <w:color w:val="000000"/>
                <w:kern w:val="0"/>
                <w:szCs w:val="21"/>
              </w:rPr>
            </w:pPr>
            <w:r>
              <w:rPr>
                <w:color w:val="000000"/>
                <w:kern w:val="0"/>
                <w:szCs w:val="21"/>
              </w:rPr>
              <w:t>　</w:t>
            </w:r>
          </w:p>
        </w:tc>
        <w:tc>
          <w:tcPr>
            <w:tcW w:w="1280"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性别</w:t>
            </w:r>
          </w:p>
        </w:tc>
        <w:tc>
          <w:tcPr>
            <w:tcW w:w="2480" w:type="dxa"/>
            <w:gridSpan w:val="2"/>
            <w:tcBorders>
              <w:top w:val="single" w:color="auto" w:sz="8" w:space="0"/>
              <w:left w:val="nil"/>
              <w:bottom w:val="single" w:color="auto" w:sz="8" w:space="0"/>
              <w:right w:val="single" w:color="auto" w:sz="4" w:space="0"/>
            </w:tcBorders>
            <w:noWrap w:val="0"/>
            <w:vAlign w:val="center"/>
          </w:tcPr>
          <w:p>
            <w:pPr>
              <w:widowControl/>
              <w:jc w:val="center"/>
              <w:rPr>
                <w:color w:val="000000"/>
                <w:kern w:val="0"/>
                <w:szCs w:val="21"/>
              </w:rPr>
            </w:pPr>
          </w:p>
        </w:tc>
        <w:tc>
          <w:tcPr>
            <w:tcW w:w="960" w:type="dxa"/>
            <w:gridSpan w:val="2"/>
            <w:tcBorders>
              <w:top w:val="single" w:color="auto" w:sz="8" w:space="0"/>
              <w:left w:val="nil"/>
              <w:bottom w:val="single" w:color="auto" w:sz="8"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年龄</w:t>
            </w:r>
          </w:p>
        </w:tc>
        <w:tc>
          <w:tcPr>
            <w:tcW w:w="2135" w:type="dxa"/>
            <w:tcBorders>
              <w:top w:val="single" w:color="auto" w:sz="8" w:space="0"/>
              <w:left w:val="nil"/>
              <w:bottom w:val="single" w:color="auto" w:sz="8" w:space="0"/>
              <w:right w:val="single" w:color="auto" w:sz="8" w:space="0"/>
            </w:tcBorders>
            <w:noWrap w:val="0"/>
            <w:vAlign w:val="center"/>
          </w:tcPr>
          <w:p>
            <w:pPr>
              <w:widowControl/>
              <w:jc w:val="center"/>
              <w:rPr>
                <w:color w:val="000000"/>
                <w:kern w:val="0"/>
                <w:szCs w:val="21"/>
              </w:rPr>
            </w:pPr>
          </w:p>
        </w:tc>
      </w:tr>
      <w:tr>
        <w:tblPrEx>
          <w:tblCellMar>
            <w:top w:w="0" w:type="dxa"/>
            <w:left w:w="108" w:type="dxa"/>
            <w:bottom w:w="0" w:type="dxa"/>
            <w:right w:w="108" w:type="dxa"/>
          </w:tblCellMar>
        </w:tblPrEx>
        <w:trPr>
          <w:trHeight w:val="706" w:hRule="atLeast"/>
        </w:trPr>
        <w:tc>
          <w:tcPr>
            <w:tcW w:w="880" w:type="dxa"/>
            <w:vMerge w:val="restart"/>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执业资格及取得资格时间</w:t>
            </w:r>
          </w:p>
        </w:tc>
        <w:tc>
          <w:tcPr>
            <w:tcW w:w="600"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1</w:t>
            </w:r>
          </w:p>
        </w:tc>
        <w:tc>
          <w:tcPr>
            <w:tcW w:w="12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**年取得</w:t>
            </w:r>
          </w:p>
        </w:tc>
        <w:tc>
          <w:tcPr>
            <w:tcW w:w="5575" w:type="dxa"/>
            <w:gridSpan w:val="5"/>
            <w:tcBorders>
              <w:top w:val="nil"/>
              <w:left w:val="nil"/>
              <w:bottom w:val="single" w:color="auto" w:sz="4" w:space="0"/>
              <w:right w:val="single" w:color="000000" w:sz="8" w:space="0"/>
            </w:tcBorders>
            <w:noWrap w:val="0"/>
            <w:vAlign w:val="center"/>
          </w:tcPr>
          <w:p>
            <w:pPr>
              <w:widowControl/>
              <w:jc w:val="center"/>
              <w:rPr>
                <w:color w:val="000000"/>
                <w:kern w:val="0"/>
                <w:szCs w:val="21"/>
              </w:rPr>
            </w:pPr>
            <w:r>
              <w:rPr>
                <w:rFonts w:hint="eastAsia"/>
                <w:color w:val="000000"/>
                <w:kern w:val="0"/>
                <w:szCs w:val="21"/>
              </w:rPr>
              <w:t>***</w:t>
            </w:r>
            <w:r>
              <w:rPr>
                <w:rFonts w:hint="eastAsia" w:ascii="宋体" w:hAnsi="宋体"/>
                <w:color w:val="000000"/>
                <w:kern w:val="0"/>
                <w:szCs w:val="21"/>
              </w:rPr>
              <w:t>师</w:t>
            </w:r>
          </w:p>
        </w:tc>
      </w:tr>
      <w:tr>
        <w:tblPrEx>
          <w:tblCellMar>
            <w:top w:w="0" w:type="dxa"/>
            <w:left w:w="108" w:type="dxa"/>
            <w:bottom w:w="0" w:type="dxa"/>
            <w:right w:w="108" w:type="dxa"/>
          </w:tblCellMar>
        </w:tblPrEx>
        <w:trPr>
          <w:trHeight w:val="527" w:hRule="atLeast"/>
        </w:trPr>
        <w:tc>
          <w:tcPr>
            <w:tcW w:w="880"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2</w:t>
            </w:r>
          </w:p>
        </w:tc>
        <w:tc>
          <w:tcPr>
            <w:tcW w:w="12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**年取得</w:t>
            </w:r>
          </w:p>
        </w:tc>
        <w:tc>
          <w:tcPr>
            <w:tcW w:w="5575" w:type="dxa"/>
            <w:gridSpan w:val="5"/>
            <w:tcBorders>
              <w:top w:val="single" w:color="auto" w:sz="4" w:space="0"/>
              <w:left w:val="nil"/>
              <w:bottom w:val="single" w:color="auto" w:sz="4" w:space="0"/>
              <w:right w:val="single" w:color="000000"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***师</w:t>
            </w:r>
          </w:p>
        </w:tc>
      </w:tr>
      <w:tr>
        <w:tblPrEx>
          <w:tblCellMar>
            <w:top w:w="0" w:type="dxa"/>
            <w:left w:w="108" w:type="dxa"/>
            <w:bottom w:w="0" w:type="dxa"/>
            <w:right w:w="108" w:type="dxa"/>
          </w:tblCellMar>
        </w:tblPrEx>
        <w:trPr>
          <w:trHeight w:val="480" w:hRule="atLeast"/>
        </w:trPr>
        <w:tc>
          <w:tcPr>
            <w:tcW w:w="880" w:type="dxa"/>
            <w:vMerge w:val="restart"/>
            <w:tcBorders>
              <w:top w:val="nil"/>
              <w:left w:val="single" w:color="auto" w:sz="8" w:space="0"/>
              <w:bottom w:val="single" w:color="auto" w:sz="4" w:space="0"/>
              <w:right w:val="single" w:color="auto" w:sz="4" w:space="0"/>
            </w:tcBorders>
            <w:noWrap w:val="0"/>
            <w:textDirection w:val="tbRlV"/>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工作经历</w:t>
            </w:r>
          </w:p>
        </w:tc>
        <w:tc>
          <w:tcPr>
            <w:tcW w:w="6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期间</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单位</w:t>
            </w:r>
          </w:p>
        </w:tc>
        <w:tc>
          <w:tcPr>
            <w:tcW w:w="176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处（科）室</w:t>
            </w:r>
          </w:p>
        </w:tc>
        <w:tc>
          <w:tcPr>
            <w:tcW w:w="2715" w:type="dxa"/>
            <w:gridSpan w:val="2"/>
            <w:tcBorders>
              <w:top w:val="single" w:color="auto" w:sz="4" w:space="0"/>
              <w:left w:val="nil"/>
              <w:bottom w:val="single" w:color="auto" w:sz="4" w:space="0"/>
              <w:right w:val="single" w:color="000000"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主要工作内容</w:t>
            </w:r>
          </w:p>
        </w:tc>
      </w:tr>
      <w:tr>
        <w:tblPrEx>
          <w:tblCellMar>
            <w:top w:w="0" w:type="dxa"/>
            <w:left w:w="108" w:type="dxa"/>
            <w:bottom w:w="0" w:type="dxa"/>
            <w:right w:w="108" w:type="dxa"/>
          </w:tblCellMar>
        </w:tblPrEx>
        <w:trPr>
          <w:trHeight w:val="384" w:hRule="atLeast"/>
        </w:trPr>
        <w:tc>
          <w:tcPr>
            <w:tcW w:w="880"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1</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**年*月-**年*月</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760" w:type="dxa"/>
            <w:gridSpan w:val="2"/>
            <w:tcBorders>
              <w:top w:val="single" w:color="auto" w:sz="4" w:space="0"/>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c>
          <w:tcPr>
            <w:tcW w:w="2715" w:type="dxa"/>
            <w:gridSpan w:val="2"/>
            <w:tcBorders>
              <w:top w:val="single" w:color="auto" w:sz="4" w:space="0"/>
              <w:left w:val="nil"/>
              <w:bottom w:val="single" w:color="auto" w:sz="4" w:space="0"/>
              <w:right w:val="single" w:color="000000" w:sz="8" w:space="0"/>
            </w:tcBorders>
            <w:noWrap w:val="0"/>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84" w:hRule="atLeast"/>
        </w:trPr>
        <w:tc>
          <w:tcPr>
            <w:tcW w:w="880"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2</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**年*月-**年*月</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760" w:type="dxa"/>
            <w:gridSpan w:val="2"/>
            <w:tcBorders>
              <w:top w:val="single" w:color="auto" w:sz="4" w:space="0"/>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c>
          <w:tcPr>
            <w:tcW w:w="2715" w:type="dxa"/>
            <w:gridSpan w:val="2"/>
            <w:tcBorders>
              <w:top w:val="single" w:color="auto" w:sz="4" w:space="0"/>
              <w:left w:val="nil"/>
              <w:bottom w:val="single" w:color="auto" w:sz="4" w:space="0"/>
              <w:right w:val="single" w:color="000000" w:sz="8" w:space="0"/>
            </w:tcBorders>
            <w:noWrap w:val="0"/>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84" w:hRule="atLeast"/>
        </w:trPr>
        <w:tc>
          <w:tcPr>
            <w:tcW w:w="880"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3</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**年*月-**年*月</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760" w:type="dxa"/>
            <w:gridSpan w:val="2"/>
            <w:tcBorders>
              <w:top w:val="single" w:color="auto" w:sz="4" w:space="0"/>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c>
          <w:tcPr>
            <w:tcW w:w="2715" w:type="dxa"/>
            <w:gridSpan w:val="2"/>
            <w:tcBorders>
              <w:top w:val="single" w:color="auto" w:sz="4" w:space="0"/>
              <w:left w:val="nil"/>
              <w:bottom w:val="single" w:color="auto" w:sz="4" w:space="0"/>
              <w:right w:val="single" w:color="000000" w:sz="8" w:space="0"/>
            </w:tcBorders>
            <w:noWrap w:val="0"/>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84" w:hRule="atLeast"/>
        </w:trPr>
        <w:tc>
          <w:tcPr>
            <w:tcW w:w="880"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760" w:type="dxa"/>
            <w:gridSpan w:val="2"/>
            <w:tcBorders>
              <w:top w:val="single" w:color="auto" w:sz="4" w:space="0"/>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c>
          <w:tcPr>
            <w:tcW w:w="2715" w:type="dxa"/>
            <w:gridSpan w:val="2"/>
            <w:tcBorders>
              <w:top w:val="single" w:color="auto" w:sz="4" w:space="0"/>
              <w:left w:val="nil"/>
              <w:bottom w:val="single" w:color="auto" w:sz="4" w:space="0"/>
              <w:right w:val="single" w:color="000000" w:sz="8" w:space="0"/>
            </w:tcBorders>
            <w:noWrap w:val="0"/>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528" w:hRule="atLeast"/>
        </w:trPr>
        <w:tc>
          <w:tcPr>
            <w:tcW w:w="880" w:type="dxa"/>
            <w:vMerge w:val="restart"/>
            <w:tcBorders>
              <w:top w:val="nil"/>
              <w:left w:val="single" w:color="auto" w:sz="8" w:space="0"/>
              <w:bottom w:val="single" w:color="000000" w:sz="8"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工作业绩</w:t>
            </w:r>
          </w:p>
        </w:tc>
        <w:tc>
          <w:tcPr>
            <w:tcW w:w="6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期间</w:t>
            </w:r>
          </w:p>
        </w:tc>
        <w:tc>
          <w:tcPr>
            <w:tcW w:w="5575" w:type="dxa"/>
            <w:gridSpan w:val="5"/>
            <w:tcBorders>
              <w:top w:val="single" w:color="auto" w:sz="4" w:space="0"/>
              <w:left w:val="nil"/>
              <w:bottom w:val="single" w:color="auto" w:sz="4" w:space="0"/>
              <w:right w:val="single" w:color="auto"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业绩描述</w:t>
            </w:r>
          </w:p>
        </w:tc>
      </w:tr>
      <w:tr>
        <w:tblPrEx>
          <w:tblCellMar>
            <w:top w:w="0" w:type="dxa"/>
            <w:left w:w="108" w:type="dxa"/>
            <w:bottom w:w="0" w:type="dxa"/>
            <w:right w:w="108" w:type="dxa"/>
          </w:tblCellMar>
        </w:tblPrEx>
        <w:trPr>
          <w:trHeight w:val="384" w:hRule="atLeast"/>
        </w:trPr>
        <w:tc>
          <w:tcPr>
            <w:tcW w:w="880" w:type="dxa"/>
            <w:vMerge w:val="continue"/>
            <w:tcBorders>
              <w:top w:val="nil"/>
              <w:left w:val="single" w:color="auto" w:sz="8" w:space="0"/>
              <w:bottom w:val="single" w:color="000000" w:sz="8" w:space="0"/>
              <w:right w:val="single" w:color="auto" w:sz="4" w:space="0"/>
            </w:tcBorders>
            <w:noWrap w:val="0"/>
            <w:vAlign w:val="center"/>
          </w:tcPr>
          <w:p>
            <w:pPr>
              <w:widowControl/>
              <w:jc w:val="left"/>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bottom"/>
          </w:tcPr>
          <w:p>
            <w:pPr>
              <w:widowControl/>
              <w:jc w:val="center"/>
              <w:rPr>
                <w:color w:val="000000"/>
                <w:kern w:val="0"/>
                <w:szCs w:val="21"/>
              </w:rPr>
            </w:pPr>
            <w:r>
              <w:rPr>
                <w:color w:val="000000"/>
                <w:kern w:val="0"/>
                <w:szCs w:val="21"/>
              </w:rPr>
              <w:t>1</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**年*月-**年*月</w:t>
            </w:r>
          </w:p>
        </w:tc>
        <w:tc>
          <w:tcPr>
            <w:tcW w:w="5575" w:type="dxa"/>
            <w:gridSpan w:val="5"/>
            <w:tcBorders>
              <w:top w:val="single" w:color="auto" w:sz="4" w:space="0"/>
              <w:left w:val="nil"/>
              <w:bottom w:val="single" w:color="auto" w:sz="4" w:space="0"/>
              <w:right w:val="single" w:color="auto" w:sz="8" w:space="0"/>
            </w:tcBorders>
            <w:noWrap w:val="0"/>
            <w:vAlign w:val="bottom"/>
          </w:tcPr>
          <w:p>
            <w:pPr>
              <w:widowControl/>
              <w:jc w:val="center"/>
              <w:rPr>
                <w:color w:val="000000"/>
                <w:kern w:val="0"/>
                <w:szCs w:val="21"/>
              </w:rPr>
            </w:pPr>
            <w:r>
              <w:rPr>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72" w:hRule="atLeast"/>
        </w:trPr>
        <w:tc>
          <w:tcPr>
            <w:tcW w:w="880" w:type="dxa"/>
            <w:vMerge w:val="continue"/>
            <w:tcBorders>
              <w:top w:val="nil"/>
              <w:left w:val="single" w:color="auto" w:sz="8" w:space="0"/>
              <w:bottom w:val="single" w:color="000000" w:sz="8" w:space="0"/>
              <w:right w:val="single" w:color="auto" w:sz="4" w:space="0"/>
            </w:tcBorders>
            <w:noWrap w:val="0"/>
            <w:vAlign w:val="center"/>
          </w:tcPr>
          <w:p>
            <w:pPr>
              <w:widowControl/>
              <w:jc w:val="left"/>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bottom"/>
          </w:tcPr>
          <w:p>
            <w:pPr>
              <w:widowControl/>
              <w:jc w:val="center"/>
              <w:rPr>
                <w:color w:val="000000"/>
                <w:kern w:val="0"/>
                <w:szCs w:val="21"/>
              </w:rPr>
            </w:pPr>
            <w:r>
              <w:rPr>
                <w:color w:val="000000"/>
                <w:kern w:val="0"/>
                <w:szCs w:val="21"/>
              </w:rPr>
              <w:t>2</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**年*月-**年*月</w:t>
            </w:r>
          </w:p>
        </w:tc>
        <w:tc>
          <w:tcPr>
            <w:tcW w:w="5575" w:type="dxa"/>
            <w:gridSpan w:val="5"/>
            <w:tcBorders>
              <w:top w:val="single" w:color="auto" w:sz="4" w:space="0"/>
              <w:left w:val="nil"/>
              <w:bottom w:val="single" w:color="auto" w:sz="4" w:space="0"/>
              <w:right w:val="single" w:color="auto" w:sz="8" w:space="0"/>
            </w:tcBorders>
            <w:noWrap w:val="0"/>
            <w:vAlign w:val="bottom"/>
          </w:tcPr>
          <w:p>
            <w:pPr>
              <w:widowControl/>
              <w:jc w:val="center"/>
              <w:rPr>
                <w:color w:val="000000"/>
                <w:kern w:val="0"/>
                <w:szCs w:val="21"/>
              </w:rPr>
            </w:pPr>
            <w:r>
              <w:rPr>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84" w:hRule="atLeast"/>
        </w:trPr>
        <w:tc>
          <w:tcPr>
            <w:tcW w:w="880" w:type="dxa"/>
            <w:vMerge w:val="continue"/>
            <w:tcBorders>
              <w:top w:val="nil"/>
              <w:left w:val="single" w:color="auto" w:sz="8" w:space="0"/>
              <w:bottom w:val="single" w:color="000000" w:sz="8" w:space="0"/>
              <w:right w:val="single" w:color="auto" w:sz="4" w:space="0"/>
            </w:tcBorders>
            <w:noWrap w:val="0"/>
            <w:vAlign w:val="center"/>
          </w:tcPr>
          <w:p>
            <w:pPr>
              <w:widowControl/>
              <w:jc w:val="left"/>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bottom"/>
          </w:tcPr>
          <w:p>
            <w:pPr>
              <w:widowControl/>
              <w:jc w:val="center"/>
              <w:rPr>
                <w:color w:val="000000"/>
                <w:kern w:val="0"/>
                <w:szCs w:val="21"/>
              </w:rPr>
            </w:pPr>
            <w:r>
              <w:rPr>
                <w:color w:val="000000"/>
                <w:kern w:val="0"/>
                <w:szCs w:val="21"/>
              </w:rPr>
              <w:t>3</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**年*月-**年*月</w:t>
            </w:r>
          </w:p>
        </w:tc>
        <w:tc>
          <w:tcPr>
            <w:tcW w:w="5575" w:type="dxa"/>
            <w:gridSpan w:val="5"/>
            <w:tcBorders>
              <w:top w:val="single" w:color="auto" w:sz="4" w:space="0"/>
              <w:left w:val="nil"/>
              <w:bottom w:val="single" w:color="auto" w:sz="4" w:space="0"/>
              <w:right w:val="single" w:color="auto" w:sz="8" w:space="0"/>
            </w:tcBorders>
            <w:noWrap w:val="0"/>
            <w:vAlign w:val="bottom"/>
          </w:tcPr>
          <w:p>
            <w:pPr>
              <w:widowControl/>
              <w:jc w:val="center"/>
              <w:rPr>
                <w:color w:val="000000"/>
                <w:kern w:val="0"/>
                <w:szCs w:val="21"/>
              </w:rPr>
            </w:pPr>
            <w:r>
              <w:rPr>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815" w:hRule="atLeast"/>
        </w:trPr>
        <w:tc>
          <w:tcPr>
            <w:tcW w:w="880" w:type="dxa"/>
            <w:vMerge w:val="continue"/>
            <w:tcBorders>
              <w:top w:val="nil"/>
              <w:left w:val="single" w:color="auto" w:sz="8" w:space="0"/>
              <w:bottom w:val="single" w:color="000000" w:sz="8" w:space="0"/>
              <w:right w:val="single" w:color="auto" w:sz="4" w:space="0"/>
            </w:tcBorders>
            <w:noWrap w:val="0"/>
            <w:vAlign w:val="center"/>
          </w:tcPr>
          <w:p>
            <w:pPr>
              <w:widowControl/>
              <w:jc w:val="left"/>
              <w:rPr>
                <w:rFonts w:ascii="宋体" w:hAnsi="宋体" w:cs="宋体"/>
                <w:color w:val="000000"/>
                <w:kern w:val="0"/>
                <w:szCs w:val="21"/>
              </w:rPr>
            </w:pPr>
          </w:p>
        </w:tc>
        <w:tc>
          <w:tcPr>
            <w:tcW w:w="600" w:type="dxa"/>
            <w:tcBorders>
              <w:top w:val="nil"/>
              <w:left w:val="nil"/>
              <w:bottom w:val="single" w:color="auto" w:sz="8" w:space="0"/>
              <w:right w:val="single" w:color="auto" w:sz="4" w:space="0"/>
            </w:tcBorders>
            <w:noWrap w:val="0"/>
            <w:vAlign w:val="bottom"/>
          </w:tcPr>
          <w:p>
            <w:pPr>
              <w:widowControl/>
              <w:jc w:val="center"/>
              <w:rPr>
                <w:color w:val="000000"/>
                <w:kern w:val="0"/>
                <w:szCs w:val="21"/>
              </w:rPr>
            </w:pPr>
            <w:r>
              <w:rPr>
                <w:color w:val="000000"/>
                <w:kern w:val="0"/>
                <w:szCs w:val="21"/>
              </w:rPr>
              <w:t>…</w:t>
            </w:r>
          </w:p>
        </w:tc>
        <w:tc>
          <w:tcPr>
            <w:tcW w:w="1280" w:type="dxa"/>
            <w:tcBorders>
              <w:top w:val="nil"/>
              <w:left w:val="nil"/>
              <w:bottom w:val="single" w:color="auto" w:sz="8" w:space="0"/>
              <w:right w:val="single" w:color="auto" w:sz="4" w:space="0"/>
            </w:tcBorders>
            <w:noWrap w:val="0"/>
            <w:vAlign w:val="bottom"/>
          </w:tcPr>
          <w:p>
            <w:pPr>
              <w:widowControl/>
              <w:rPr>
                <w:color w:val="000000"/>
                <w:kern w:val="0"/>
                <w:szCs w:val="21"/>
              </w:rPr>
            </w:pPr>
            <w:r>
              <w:rPr>
                <w:color w:val="000000"/>
                <w:kern w:val="0"/>
                <w:szCs w:val="21"/>
              </w:rPr>
              <w:t>　</w:t>
            </w:r>
          </w:p>
        </w:tc>
        <w:tc>
          <w:tcPr>
            <w:tcW w:w="5575" w:type="dxa"/>
            <w:gridSpan w:val="5"/>
            <w:tcBorders>
              <w:top w:val="single" w:color="auto" w:sz="4" w:space="0"/>
              <w:left w:val="nil"/>
              <w:bottom w:val="single" w:color="auto" w:sz="8" w:space="0"/>
              <w:right w:val="single" w:color="auto" w:sz="8" w:space="0"/>
            </w:tcBorders>
            <w:noWrap w:val="0"/>
            <w:vAlign w:val="bottom"/>
          </w:tcPr>
          <w:p>
            <w:pPr>
              <w:widowControl/>
              <w:jc w:val="center"/>
              <w:rPr>
                <w:rFonts w:ascii="宋体" w:hAnsi="宋体" w:cs="宋体"/>
                <w:color w:val="000000"/>
                <w:kern w:val="0"/>
                <w:szCs w:val="21"/>
              </w:rPr>
            </w:pPr>
          </w:p>
          <w:p>
            <w:pPr>
              <w:widowControl/>
              <w:jc w:val="left"/>
              <w:rPr>
                <w:rFonts w:ascii="宋体" w:hAnsi="宋体" w:cs="宋体"/>
                <w:color w:val="000000"/>
                <w:kern w:val="0"/>
                <w:szCs w:val="21"/>
              </w:rPr>
            </w:pPr>
            <w:r>
              <w:rPr>
                <w:color w:val="000000"/>
                <w:kern w:val="0"/>
                <w:szCs w:val="21"/>
              </w:rPr>
              <w:t>　</w:t>
            </w:r>
          </w:p>
        </w:tc>
      </w:tr>
    </w:tbl>
    <w:p>
      <w:pPr>
        <w:topLinePunct/>
        <w:spacing w:line="400" w:lineRule="exact"/>
        <w:outlineLvl w:val="2"/>
        <w:rPr>
          <w:b/>
          <w:sz w:val="20"/>
          <w:szCs w:val="20"/>
        </w:rPr>
      </w:pPr>
      <w:r>
        <w:rPr>
          <w:b/>
          <w:sz w:val="20"/>
          <w:szCs w:val="20"/>
        </w:rPr>
        <w:t>注：</w:t>
      </w:r>
    </w:p>
    <w:p>
      <w:pPr>
        <w:topLinePunct/>
        <w:spacing w:line="400" w:lineRule="exact"/>
        <w:outlineLvl w:val="2"/>
        <w:rPr>
          <w:b/>
          <w:sz w:val="20"/>
          <w:szCs w:val="20"/>
        </w:rPr>
      </w:pPr>
      <w:r>
        <w:rPr>
          <w:rFonts w:hint="eastAsia"/>
          <w:b/>
          <w:sz w:val="20"/>
          <w:szCs w:val="20"/>
        </w:rPr>
        <w:t>1.业绩必须附上清晰的、盖有申请单位鲜章的能体现参与人员的合同协议书复印件或司法文书复印件（或扫描件）；</w:t>
      </w:r>
    </w:p>
    <w:p>
      <w:pPr>
        <w:topLinePunct/>
        <w:spacing w:line="400" w:lineRule="exact"/>
        <w:outlineLvl w:val="2"/>
        <w:rPr>
          <w:b/>
          <w:sz w:val="20"/>
          <w:szCs w:val="20"/>
        </w:rPr>
      </w:pPr>
      <w:r>
        <w:rPr>
          <w:rFonts w:hint="eastAsia"/>
          <w:b/>
          <w:sz w:val="20"/>
          <w:szCs w:val="20"/>
        </w:rPr>
        <w:t>2</w:t>
      </w:r>
      <w:r>
        <w:rPr>
          <w:b/>
          <w:sz w:val="20"/>
          <w:szCs w:val="20"/>
        </w:rPr>
        <w:t>.</w:t>
      </w:r>
      <w:r>
        <w:rPr>
          <w:rFonts w:hint="eastAsia"/>
          <w:b/>
          <w:sz w:val="20"/>
          <w:szCs w:val="20"/>
        </w:rPr>
        <w:t xml:space="preserve"> </w:t>
      </w:r>
      <w:r>
        <w:rPr>
          <w:b/>
          <w:sz w:val="20"/>
          <w:szCs w:val="20"/>
        </w:rPr>
        <w:t>本表后应附</w:t>
      </w:r>
      <w:r>
        <w:rPr>
          <w:rFonts w:hint="eastAsia"/>
          <w:b/>
          <w:sz w:val="20"/>
          <w:szCs w:val="20"/>
        </w:rPr>
        <w:t>所有拟投入人员</w:t>
      </w:r>
      <w:r>
        <w:rPr>
          <w:b/>
          <w:sz w:val="20"/>
          <w:szCs w:val="20"/>
        </w:rPr>
        <w:t>的身份证</w:t>
      </w:r>
      <w:r>
        <w:rPr>
          <w:rFonts w:hint="eastAsia"/>
          <w:b/>
          <w:sz w:val="20"/>
          <w:szCs w:val="20"/>
        </w:rPr>
        <w:t>、执业</w:t>
      </w:r>
      <w:r>
        <w:rPr>
          <w:b/>
          <w:sz w:val="20"/>
          <w:szCs w:val="20"/>
        </w:rPr>
        <w:t>资格证书</w:t>
      </w:r>
      <w:r>
        <w:rPr>
          <w:rFonts w:hint="eastAsia"/>
          <w:b/>
          <w:sz w:val="20"/>
          <w:szCs w:val="20"/>
        </w:rPr>
        <w:t>复印件，且投标人需在所有复印件上盖鲜章；</w:t>
      </w:r>
    </w:p>
    <w:p>
      <w:pPr>
        <w:topLinePunct/>
        <w:spacing w:line="400" w:lineRule="exact"/>
        <w:outlineLvl w:val="2"/>
        <w:rPr>
          <w:b/>
          <w:sz w:val="20"/>
          <w:szCs w:val="20"/>
        </w:rPr>
      </w:pPr>
      <w:r>
        <w:rPr>
          <w:rFonts w:hint="eastAsia"/>
          <w:b/>
          <w:sz w:val="20"/>
          <w:szCs w:val="20"/>
        </w:rPr>
        <w:t>3. 一人一表；</w:t>
      </w:r>
    </w:p>
    <w:p>
      <w:pPr>
        <w:topLinePunct/>
        <w:spacing w:line="400" w:lineRule="exact"/>
        <w:outlineLvl w:val="2"/>
        <w:rPr>
          <w:b/>
          <w:sz w:val="20"/>
          <w:szCs w:val="20"/>
        </w:rPr>
      </w:pPr>
      <w:r>
        <w:rPr>
          <w:rFonts w:hint="eastAsia"/>
          <w:b/>
          <w:sz w:val="20"/>
          <w:szCs w:val="20"/>
        </w:rPr>
        <w:t>4. 本表表头处投标人需盖鲜章。</w:t>
      </w:r>
    </w:p>
    <w:p>
      <w:pPr>
        <w:topLinePunct/>
        <w:spacing w:line="579" w:lineRule="exact"/>
        <w:outlineLvl w:val="2"/>
        <w:rPr>
          <w:b/>
          <w:sz w:val="20"/>
          <w:szCs w:val="20"/>
        </w:rPr>
      </w:pPr>
    </w:p>
    <w:p>
      <w:pPr>
        <w:pStyle w:val="20"/>
        <w:rPr>
          <w:b/>
          <w:sz w:val="20"/>
          <w:szCs w:val="20"/>
        </w:rPr>
      </w:pPr>
    </w:p>
    <w:p>
      <w:pPr>
        <w:pStyle w:val="20"/>
        <w:rPr>
          <w:b/>
          <w:sz w:val="20"/>
          <w:szCs w:val="20"/>
        </w:rPr>
      </w:pPr>
    </w:p>
    <w:p>
      <w:pPr>
        <w:topLinePunct/>
        <w:spacing w:line="579" w:lineRule="exact"/>
        <w:jc w:val="center"/>
        <w:outlineLvl w:val="2"/>
        <w:rPr>
          <w:rFonts w:ascii="宋体" w:hAnsi="宋体" w:cs="宋体"/>
          <w:b/>
          <w:bCs/>
          <w:sz w:val="28"/>
          <w:szCs w:val="32"/>
        </w:rPr>
      </w:pPr>
      <w:r>
        <w:rPr>
          <w:rFonts w:hint="eastAsia" w:ascii="宋体" w:hAnsi="宋体" w:cs="宋体"/>
          <w:b/>
          <w:bCs/>
          <w:sz w:val="28"/>
          <w:szCs w:val="32"/>
        </w:rPr>
        <w:t>八、律师事务所所获荣誉</w:t>
      </w:r>
    </w:p>
    <w:p>
      <w:pPr>
        <w:topLinePunct/>
        <w:spacing w:line="579" w:lineRule="exact"/>
        <w:outlineLvl w:val="2"/>
        <w:rPr>
          <w:rFonts w:ascii="宋体" w:hAnsi="宋体" w:cs="宋体"/>
          <w:sz w:val="28"/>
          <w:szCs w:val="32"/>
        </w:rPr>
      </w:pPr>
      <w:r>
        <w:rPr>
          <w:rFonts w:hint="eastAsia" w:ascii="宋体" w:hAnsi="宋体" w:cs="方正楷体_GBK"/>
          <w:sz w:val="28"/>
          <w:szCs w:val="32"/>
        </w:rPr>
        <w:t>（20</w:t>
      </w:r>
      <w:r>
        <w:rPr>
          <w:rFonts w:ascii="宋体" w:hAnsi="宋体" w:cs="方正楷体_GBK"/>
          <w:sz w:val="28"/>
          <w:szCs w:val="32"/>
        </w:rPr>
        <w:t>20</w:t>
      </w:r>
      <w:r>
        <w:rPr>
          <w:rFonts w:hint="eastAsia" w:ascii="宋体" w:hAnsi="宋体" w:cs="方正楷体_GBK"/>
          <w:sz w:val="28"/>
          <w:szCs w:val="32"/>
        </w:rPr>
        <w:t>年1月1月至20</w:t>
      </w:r>
      <w:r>
        <w:rPr>
          <w:rFonts w:ascii="宋体" w:hAnsi="宋体" w:cs="方正楷体_GBK"/>
          <w:sz w:val="28"/>
          <w:szCs w:val="32"/>
        </w:rPr>
        <w:t>23</w:t>
      </w:r>
      <w:r>
        <w:rPr>
          <w:rFonts w:hint="eastAsia" w:ascii="宋体" w:hAnsi="宋体" w:cs="方正楷体_GBK"/>
          <w:sz w:val="28"/>
          <w:szCs w:val="32"/>
        </w:rPr>
        <w:t>年12月31日所获荣誉证书需投标人盖鲜章）</w:t>
      </w: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outlineLvl w:val="2"/>
        <w:rPr>
          <w:rFonts w:ascii="宋体" w:hAnsi="宋体" w:cs="宋体"/>
          <w:b/>
          <w:bCs/>
          <w:sz w:val="28"/>
          <w:szCs w:val="32"/>
        </w:rPr>
      </w:pPr>
    </w:p>
    <w:p>
      <w:pPr>
        <w:pStyle w:val="20"/>
      </w:pPr>
    </w:p>
    <w:p>
      <w:pPr>
        <w:topLinePunct/>
        <w:spacing w:line="579" w:lineRule="exact"/>
        <w:jc w:val="center"/>
        <w:outlineLvl w:val="2"/>
        <w:rPr>
          <w:rFonts w:ascii="宋体" w:hAnsi="宋体" w:cs="宋体"/>
          <w:b/>
          <w:bCs/>
          <w:sz w:val="28"/>
          <w:szCs w:val="32"/>
        </w:rPr>
      </w:pPr>
      <w:r>
        <w:rPr>
          <w:rFonts w:hint="eastAsia" w:ascii="宋体" w:hAnsi="宋体" w:cs="宋体"/>
          <w:b/>
          <w:bCs/>
          <w:sz w:val="28"/>
          <w:szCs w:val="32"/>
          <w:lang w:eastAsia="zh-CN"/>
        </w:rPr>
        <w:t>九</w:t>
      </w:r>
      <w:r>
        <w:rPr>
          <w:rFonts w:hint="eastAsia" w:ascii="宋体" w:hAnsi="宋体" w:cs="宋体"/>
          <w:b/>
          <w:bCs/>
          <w:sz w:val="28"/>
          <w:szCs w:val="32"/>
        </w:rPr>
        <w:t>、服务团队业绩</w:t>
      </w:r>
      <w:r>
        <w:rPr>
          <w:rFonts w:ascii="宋体" w:hAnsi="宋体" w:cs="宋体"/>
          <w:b/>
          <w:bCs/>
          <w:sz w:val="28"/>
          <w:szCs w:val="32"/>
        </w:rPr>
        <w:t>情况</w:t>
      </w:r>
      <w:r>
        <w:rPr>
          <w:rFonts w:hint="eastAsia" w:ascii="宋体" w:hAnsi="宋体" w:cs="宋体"/>
          <w:b/>
          <w:bCs/>
          <w:sz w:val="28"/>
          <w:szCs w:val="32"/>
        </w:rPr>
        <w:t>证明</w:t>
      </w:r>
    </w:p>
    <w:p>
      <w:pPr>
        <w:pStyle w:val="20"/>
        <w:rPr>
          <w:szCs w:val="21"/>
        </w:rPr>
      </w:pPr>
    </w:p>
    <w:p>
      <w:pPr>
        <w:pStyle w:val="20"/>
        <w:spacing w:line="360" w:lineRule="auto"/>
        <w:ind w:firstLine="560" w:firstLineChars="200"/>
        <w:rPr>
          <w:sz w:val="28"/>
          <w:szCs w:val="28"/>
        </w:rPr>
      </w:pPr>
      <w:r>
        <w:rPr>
          <w:rFonts w:hint="eastAsia"/>
          <w:sz w:val="28"/>
          <w:szCs w:val="28"/>
        </w:rPr>
        <w:t>法律服务合同复印件，应</w:t>
      </w:r>
      <w:r>
        <w:rPr>
          <w:spacing w:val="-1"/>
          <w:sz w:val="28"/>
          <w:szCs w:val="28"/>
        </w:rPr>
        <w:t>盖</w:t>
      </w:r>
      <w:r>
        <w:rPr>
          <w:sz w:val="28"/>
          <w:szCs w:val="28"/>
        </w:rPr>
        <w:t>单位</w:t>
      </w:r>
      <w:r>
        <w:rPr>
          <w:rFonts w:hint="eastAsia"/>
          <w:sz w:val="28"/>
          <w:szCs w:val="28"/>
        </w:rPr>
        <w:t>公章（鲜</w:t>
      </w:r>
      <w:r>
        <w:rPr>
          <w:sz w:val="28"/>
          <w:szCs w:val="28"/>
        </w:rPr>
        <w:t>章</w:t>
      </w:r>
      <w:r>
        <w:rPr>
          <w:rFonts w:hint="eastAsia"/>
          <w:sz w:val="28"/>
          <w:szCs w:val="28"/>
        </w:rPr>
        <w:t>）</w:t>
      </w:r>
    </w:p>
    <w:bookmarkEnd w:id="14"/>
    <w:bookmarkEnd w:id="15"/>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28"/>
        </w:rPr>
      </w:pPr>
    </w:p>
    <w:p>
      <w:pPr>
        <w:pStyle w:val="20"/>
        <w:rPr>
          <w:rFonts w:ascii="宋体" w:hAnsi="宋体" w:cs="宋体"/>
          <w:b/>
          <w:bCs/>
          <w:sz w:val="28"/>
          <w:szCs w:val="28"/>
        </w:rPr>
      </w:pPr>
    </w:p>
    <w:p>
      <w:pPr>
        <w:pStyle w:val="20"/>
        <w:rPr>
          <w:rFonts w:ascii="宋体" w:hAnsi="宋体" w:cs="宋体"/>
          <w:b/>
          <w:bCs/>
          <w:sz w:val="28"/>
          <w:szCs w:val="28"/>
        </w:rPr>
      </w:pPr>
    </w:p>
    <w:p>
      <w:pPr>
        <w:pStyle w:val="20"/>
        <w:rPr>
          <w:rFonts w:ascii="宋体" w:hAnsi="宋体" w:cs="宋体"/>
          <w:b/>
          <w:bCs/>
          <w:sz w:val="28"/>
          <w:szCs w:val="28"/>
        </w:rPr>
      </w:pPr>
    </w:p>
    <w:p>
      <w:pPr>
        <w:pStyle w:val="20"/>
        <w:rPr>
          <w:rFonts w:ascii="宋体" w:hAnsi="宋体" w:cs="宋体"/>
          <w:b/>
          <w:bCs/>
          <w:sz w:val="28"/>
          <w:szCs w:val="28"/>
        </w:rPr>
      </w:pPr>
    </w:p>
    <w:p>
      <w:pPr>
        <w:pStyle w:val="20"/>
        <w:rPr>
          <w:rFonts w:ascii="宋体" w:hAnsi="宋体" w:cs="宋体"/>
          <w:b/>
          <w:bCs/>
          <w:sz w:val="28"/>
          <w:szCs w:val="28"/>
        </w:rPr>
      </w:pPr>
    </w:p>
    <w:p>
      <w:pPr>
        <w:pStyle w:val="20"/>
        <w:rPr>
          <w:rFonts w:ascii="宋体" w:hAnsi="宋体" w:cs="宋体"/>
          <w:b/>
          <w:bCs/>
          <w:sz w:val="28"/>
          <w:szCs w:val="28"/>
        </w:rPr>
      </w:pPr>
    </w:p>
    <w:p>
      <w:pPr>
        <w:pStyle w:val="20"/>
        <w:rPr>
          <w:rFonts w:ascii="宋体" w:hAnsi="宋体" w:cs="宋体"/>
          <w:b/>
          <w:bCs/>
          <w:sz w:val="28"/>
          <w:szCs w:val="28"/>
        </w:rPr>
      </w:pPr>
    </w:p>
    <w:p>
      <w:pPr>
        <w:pStyle w:val="20"/>
        <w:rPr>
          <w:rFonts w:ascii="宋体" w:hAnsi="宋体" w:cs="宋体"/>
          <w:b/>
          <w:bCs/>
          <w:sz w:val="28"/>
          <w:szCs w:val="28"/>
        </w:rPr>
      </w:pPr>
    </w:p>
    <w:p>
      <w:pPr>
        <w:pStyle w:val="20"/>
        <w:rPr>
          <w:rFonts w:ascii="宋体" w:hAnsi="宋体" w:cs="宋体"/>
          <w:b/>
          <w:bCs/>
          <w:sz w:val="28"/>
          <w:szCs w:val="28"/>
        </w:rPr>
      </w:pPr>
    </w:p>
    <w:p>
      <w:pPr>
        <w:pStyle w:val="20"/>
        <w:rPr>
          <w:rFonts w:ascii="宋体" w:hAnsi="宋体" w:cs="宋体"/>
          <w:b/>
          <w:bCs/>
          <w:sz w:val="28"/>
          <w:szCs w:val="28"/>
        </w:rPr>
      </w:pPr>
    </w:p>
    <w:p>
      <w:pPr>
        <w:pStyle w:val="20"/>
        <w:rPr>
          <w:rFonts w:ascii="宋体" w:hAnsi="宋体" w:cs="宋体"/>
          <w:b/>
          <w:bCs/>
          <w:sz w:val="28"/>
          <w:szCs w:val="28"/>
        </w:rPr>
      </w:pPr>
    </w:p>
    <w:p>
      <w:pPr>
        <w:pStyle w:val="20"/>
        <w:rPr>
          <w:rFonts w:ascii="宋体" w:hAnsi="宋体" w:cs="宋体"/>
          <w:b/>
          <w:bCs/>
          <w:sz w:val="28"/>
          <w:szCs w:val="28"/>
        </w:rPr>
      </w:pPr>
    </w:p>
    <w:p>
      <w:pPr>
        <w:pStyle w:val="20"/>
        <w:rPr>
          <w:rFonts w:ascii="宋体" w:hAnsi="宋体" w:cs="宋体"/>
          <w:b/>
          <w:bCs/>
          <w:sz w:val="28"/>
          <w:szCs w:val="28"/>
        </w:rPr>
      </w:pPr>
    </w:p>
    <w:p>
      <w:pPr>
        <w:pStyle w:val="20"/>
        <w:rPr>
          <w:rFonts w:ascii="宋体" w:hAnsi="宋体" w:cs="宋体"/>
          <w:b/>
          <w:bCs/>
          <w:sz w:val="28"/>
          <w:szCs w:val="28"/>
        </w:rPr>
      </w:pPr>
    </w:p>
    <w:p>
      <w:pPr>
        <w:pStyle w:val="20"/>
        <w:rPr>
          <w:rFonts w:ascii="宋体" w:hAnsi="宋体" w:cs="宋体"/>
          <w:b/>
          <w:bCs/>
          <w:sz w:val="28"/>
          <w:szCs w:val="28"/>
        </w:rPr>
      </w:pPr>
    </w:p>
    <w:p>
      <w:pPr>
        <w:pStyle w:val="20"/>
        <w:rPr>
          <w:rFonts w:ascii="宋体" w:hAnsi="宋体" w:cs="宋体"/>
          <w:b/>
          <w:bCs/>
          <w:sz w:val="28"/>
          <w:szCs w:val="28"/>
        </w:rPr>
      </w:pPr>
    </w:p>
    <w:p/>
    <w:p>
      <w:pPr>
        <w:topLinePunct/>
        <w:spacing w:line="579" w:lineRule="exact"/>
        <w:jc w:val="center"/>
        <w:outlineLvl w:val="2"/>
        <w:rPr>
          <w:rFonts w:hint="eastAsia" w:ascii="宋体" w:hAnsi="宋体" w:cs="宋体"/>
          <w:b/>
          <w:bCs/>
          <w:sz w:val="28"/>
          <w:szCs w:val="28"/>
        </w:rPr>
      </w:pPr>
    </w:p>
    <w:p>
      <w:pPr>
        <w:topLinePunct/>
        <w:spacing w:line="579" w:lineRule="exact"/>
        <w:jc w:val="center"/>
        <w:outlineLvl w:val="2"/>
        <w:rPr>
          <w:rFonts w:ascii="宋体" w:hAnsi="宋体" w:cs="宋体"/>
          <w:sz w:val="28"/>
          <w:szCs w:val="28"/>
        </w:rPr>
      </w:pPr>
      <w:r>
        <w:rPr>
          <w:rFonts w:hint="eastAsia" w:ascii="宋体" w:hAnsi="宋体" w:cs="宋体"/>
          <w:b/>
          <w:bCs/>
          <w:sz w:val="28"/>
          <w:szCs w:val="28"/>
        </w:rPr>
        <w:t>十、服务方案</w:t>
      </w:r>
    </w:p>
    <w:p>
      <w:pPr>
        <w:topLinePunct/>
        <w:spacing w:line="579" w:lineRule="exact"/>
        <w:ind w:firstLine="400"/>
        <w:outlineLvl w:val="2"/>
        <w:rPr>
          <w:rFonts w:ascii="宋体" w:hAnsi="宋体" w:cs="方正楷体_GBK"/>
          <w:sz w:val="28"/>
          <w:szCs w:val="28"/>
        </w:rPr>
      </w:pPr>
      <w:r>
        <w:rPr>
          <w:rFonts w:hint="eastAsia" w:ascii="宋体" w:hAnsi="宋体" w:cs="方正楷体_GBK"/>
          <w:sz w:val="28"/>
          <w:szCs w:val="28"/>
        </w:rPr>
        <w:t>说明：包含但不限于总体安排、法律顾问服务工作思路、工作流程、服务团队等。</w:t>
      </w:r>
    </w:p>
    <w:p>
      <w:pPr>
        <w:spacing w:line="579" w:lineRule="exact"/>
        <w:jc w:val="center"/>
        <w:rPr>
          <w:rFonts w:ascii="宋体" w:hAnsi="宋体" w:cs="宋体"/>
          <w:b/>
          <w:bCs/>
          <w:sz w:val="28"/>
          <w:szCs w:val="28"/>
        </w:rPr>
      </w:pPr>
      <w:r>
        <w:rPr>
          <w:rFonts w:hint="eastAsia" w:ascii="方正楷体_GBK" w:hAnsi="方正楷体_GBK" w:eastAsia="方正楷体_GBK" w:cs="宋体"/>
          <w:sz w:val="28"/>
          <w:szCs w:val="28"/>
        </w:rPr>
        <w:br w:type="page"/>
      </w:r>
      <w:r>
        <w:rPr>
          <w:rFonts w:hint="eastAsia" w:ascii="宋体" w:hAnsi="宋体" w:cs="宋体"/>
          <w:b/>
          <w:bCs/>
          <w:sz w:val="28"/>
          <w:szCs w:val="28"/>
        </w:rPr>
        <w:t>十</w:t>
      </w:r>
      <w:r>
        <w:rPr>
          <w:rFonts w:hint="eastAsia" w:ascii="宋体" w:hAnsi="宋体" w:cs="宋体"/>
          <w:b/>
          <w:bCs/>
          <w:sz w:val="28"/>
          <w:szCs w:val="28"/>
          <w:lang w:eastAsia="zh-CN"/>
        </w:rPr>
        <w:t>一</w:t>
      </w:r>
      <w:r>
        <w:rPr>
          <w:rFonts w:hint="eastAsia" w:ascii="宋体" w:hAnsi="宋体" w:cs="宋体"/>
          <w:b/>
          <w:bCs/>
          <w:sz w:val="28"/>
          <w:szCs w:val="28"/>
        </w:rPr>
        <w:t>、承诺函</w:t>
      </w:r>
    </w:p>
    <w:p>
      <w:pPr>
        <w:pStyle w:val="7"/>
        <w:spacing w:line="579" w:lineRule="exact"/>
        <w:rPr>
          <w:rFonts w:ascii="宋体" w:hAnsi="宋体" w:cs="宋体"/>
          <w:sz w:val="28"/>
          <w:szCs w:val="28"/>
        </w:rPr>
      </w:pPr>
    </w:p>
    <w:p>
      <w:pPr>
        <w:pStyle w:val="7"/>
        <w:spacing w:line="579" w:lineRule="exact"/>
        <w:rPr>
          <w:rFonts w:ascii="宋体" w:hAnsi="宋体" w:cs="宋体"/>
          <w:sz w:val="28"/>
          <w:szCs w:val="28"/>
        </w:rPr>
      </w:pPr>
      <w:r>
        <w:rPr>
          <w:rFonts w:hint="eastAsia" w:ascii="宋体" w:hAnsi="宋体" w:cs="宋体"/>
          <w:sz w:val="28"/>
          <w:szCs w:val="28"/>
        </w:rPr>
        <w:t>重庆高速资产经营管理有限公司：</w:t>
      </w:r>
    </w:p>
    <w:p>
      <w:pPr>
        <w:widowControl/>
        <w:spacing w:line="579" w:lineRule="exact"/>
        <w:jc w:val="left"/>
        <w:rPr>
          <w:rFonts w:ascii="宋体" w:hAnsi="宋体" w:cs="宋体"/>
          <w:sz w:val="28"/>
          <w:szCs w:val="28"/>
        </w:rPr>
      </w:pPr>
      <w:r>
        <w:rPr>
          <w:rFonts w:hint="eastAsia" w:ascii="宋体" w:hAnsi="宋体" w:cs="宋体"/>
          <w:sz w:val="28"/>
          <w:szCs w:val="28"/>
        </w:rPr>
        <w:t xml:space="preserve">    本所承诺： </w:t>
      </w:r>
      <w:r>
        <w:rPr>
          <w:rFonts w:hint="eastAsia" w:ascii="宋体" w:hAnsi="宋体" w:cs="宋体"/>
          <w:sz w:val="28"/>
          <w:szCs w:val="28"/>
          <w:u w:val="single"/>
        </w:rPr>
        <w:t xml:space="preserve">                                                        </w:t>
      </w:r>
    </w:p>
    <w:p>
      <w:pPr>
        <w:widowControl/>
        <w:numPr>
          <w:ilvl w:val="0"/>
          <w:numId w:val="3"/>
        </w:numPr>
        <w:spacing w:line="579" w:lineRule="exact"/>
        <w:ind w:firstLine="560" w:firstLineChars="200"/>
        <w:jc w:val="left"/>
        <w:rPr>
          <w:rFonts w:ascii="宋体" w:hAnsi="宋体" w:cs="宋体"/>
          <w:sz w:val="28"/>
          <w:szCs w:val="28"/>
        </w:rPr>
      </w:pPr>
      <w:r>
        <w:rPr>
          <w:rFonts w:hint="eastAsia" w:ascii="宋体" w:hAnsi="宋体" w:cs="宋体"/>
          <w:sz w:val="28"/>
          <w:szCs w:val="28"/>
        </w:rPr>
        <w:t>严格按竞争比选人要求配备满足本次常年法律顾问工作的律师团队；如需临时增派工作人员，承诺将按照竞争比选人要求及时增派相关专业人员，切实满足工作需要。</w:t>
      </w:r>
    </w:p>
    <w:p>
      <w:pPr>
        <w:widowControl/>
        <w:numPr>
          <w:ilvl w:val="0"/>
          <w:numId w:val="3"/>
        </w:numPr>
        <w:spacing w:line="579" w:lineRule="exact"/>
        <w:ind w:firstLine="560" w:firstLineChars="200"/>
        <w:jc w:val="left"/>
        <w:rPr>
          <w:rFonts w:ascii="宋体" w:hAnsi="宋体" w:cs="宋体"/>
          <w:sz w:val="28"/>
          <w:szCs w:val="28"/>
          <w:lang w:bidi="ar"/>
        </w:rPr>
      </w:pPr>
      <w:r>
        <w:rPr>
          <w:rFonts w:hint="eastAsia" w:ascii="宋体" w:hAnsi="宋体" w:cs="宋体"/>
          <w:sz w:val="28"/>
          <w:szCs w:val="28"/>
          <w:lang w:bidi="ar"/>
        </w:rPr>
        <w:t>按照国家有关规定和准则的要求，确保法律服务的合法性。</w:t>
      </w:r>
    </w:p>
    <w:p>
      <w:pPr>
        <w:widowControl/>
        <w:numPr>
          <w:ilvl w:val="0"/>
          <w:numId w:val="3"/>
        </w:numPr>
        <w:spacing w:line="579" w:lineRule="exact"/>
        <w:ind w:firstLine="560" w:firstLineChars="200"/>
        <w:jc w:val="left"/>
        <w:rPr>
          <w:rFonts w:ascii="宋体" w:hAnsi="宋体" w:cs="宋体"/>
          <w:sz w:val="28"/>
          <w:szCs w:val="28"/>
          <w:lang w:bidi="ar"/>
        </w:rPr>
      </w:pPr>
      <w:r>
        <w:rPr>
          <w:rFonts w:hint="eastAsia" w:ascii="宋体" w:hAnsi="宋体" w:cs="宋体"/>
          <w:sz w:val="28"/>
          <w:szCs w:val="28"/>
          <w:lang w:bidi="ar"/>
        </w:rPr>
        <w:t>本所近3年没有违法违规等不良记录，现场办公律师近5年没有重大工作失误、违法违纪及违反执业道德的记录。</w:t>
      </w:r>
    </w:p>
    <w:p>
      <w:pPr>
        <w:widowControl/>
        <w:spacing w:line="579" w:lineRule="exact"/>
        <w:ind w:firstLine="560" w:firstLineChars="200"/>
        <w:jc w:val="left"/>
        <w:rPr>
          <w:rFonts w:hint="eastAsia" w:ascii="宋体" w:hAnsi="宋体" w:eastAsia="宋体" w:cs="宋体"/>
          <w:sz w:val="28"/>
          <w:szCs w:val="28"/>
          <w:lang w:bidi="ar"/>
        </w:rPr>
      </w:pPr>
      <w:r>
        <w:rPr>
          <w:rFonts w:hint="eastAsia" w:ascii="宋体" w:hAnsi="宋体" w:cs="宋体"/>
          <w:sz w:val="28"/>
          <w:szCs w:val="28"/>
          <w:lang w:bidi="ar"/>
        </w:rPr>
        <w:t>4、除经公司书面同意外，不得为其他目的而复制、传播及使用本邀请函，不得向第三方透露与本次委托有关的信息，否则需承担相</w:t>
      </w:r>
      <w:r>
        <w:rPr>
          <w:rFonts w:hint="eastAsia" w:ascii="宋体" w:hAnsi="宋体" w:eastAsia="宋体" w:cs="宋体"/>
          <w:sz w:val="28"/>
          <w:szCs w:val="28"/>
          <w:lang w:bidi="ar"/>
        </w:rPr>
        <w:t>应赔偿责任。</w:t>
      </w:r>
    </w:p>
    <w:p>
      <w:pPr>
        <w:widowControl/>
        <w:spacing w:line="579" w:lineRule="exact"/>
        <w:ind w:firstLine="560" w:firstLineChars="200"/>
        <w:jc w:val="left"/>
        <w:rPr>
          <w:rFonts w:hint="eastAsia" w:ascii="宋体" w:hAnsi="宋体" w:eastAsia="宋体" w:cs="宋体"/>
          <w:sz w:val="28"/>
          <w:szCs w:val="28"/>
          <w:lang w:bidi="ar"/>
        </w:rPr>
      </w:pPr>
      <w:r>
        <w:rPr>
          <w:rFonts w:hint="eastAsia" w:ascii="宋体" w:hAnsi="宋体" w:eastAsia="宋体" w:cs="宋体"/>
          <w:sz w:val="28"/>
          <w:szCs w:val="28"/>
          <w:lang w:bidi="ar"/>
        </w:rPr>
        <w:t>5、中标后同意按公司提供的标准格式签署合同。</w:t>
      </w:r>
    </w:p>
    <w:p>
      <w:pPr>
        <w:pStyle w:val="7"/>
        <w:spacing w:line="579" w:lineRule="exact"/>
        <w:ind w:left="598" w:leftChars="285" w:firstLine="914" w:firstLineChars="325"/>
        <w:rPr>
          <w:rFonts w:ascii="宋体" w:hAnsi="宋体" w:cs="宋体"/>
          <w:sz w:val="28"/>
          <w:szCs w:val="28"/>
        </w:rPr>
      </w:pPr>
    </w:p>
    <w:p>
      <w:pPr>
        <w:pStyle w:val="7"/>
        <w:spacing w:line="579" w:lineRule="exact"/>
        <w:ind w:firstLine="3233" w:firstLineChars="1150"/>
        <w:rPr>
          <w:rFonts w:ascii="宋体" w:hAnsi="宋体" w:cs="宋体"/>
          <w:sz w:val="28"/>
          <w:szCs w:val="28"/>
          <w:u w:val="single"/>
        </w:rPr>
      </w:pPr>
      <w:r>
        <w:rPr>
          <w:rFonts w:hint="eastAsia" w:ascii="宋体" w:hAnsi="宋体" w:cs="宋体"/>
          <w:sz w:val="28"/>
          <w:szCs w:val="28"/>
        </w:rPr>
        <w:t>投标人：</w:t>
      </w:r>
      <w:r>
        <w:rPr>
          <w:rFonts w:hint="eastAsia" w:ascii="宋体" w:hAnsi="宋体" w:cs="宋体"/>
          <w:sz w:val="28"/>
          <w:szCs w:val="28"/>
          <w:u w:val="single"/>
        </w:rPr>
        <w:t xml:space="preserve"> （填写单位名称并盖单位鲜章）</w:t>
      </w:r>
    </w:p>
    <w:p>
      <w:pPr>
        <w:pStyle w:val="7"/>
        <w:spacing w:line="579" w:lineRule="exact"/>
        <w:ind w:left="598" w:leftChars="285" w:firstLine="3373" w:firstLineChars="1200"/>
        <w:rPr>
          <w:rFonts w:ascii="宋体" w:hAnsi="宋体" w:cs="宋体"/>
          <w:sz w:val="28"/>
          <w:szCs w:val="28"/>
        </w:rPr>
      </w:pPr>
    </w:p>
    <w:p>
      <w:pPr>
        <w:pStyle w:val="7"/>
        <w:spacing w:line="579" w:lineRule="exact"/>
        <w:ind w:firstLine="2530" w:firstLineChars="900"/>
        <w:rPr>
          <w:rFonts w:ascii="宋体" w:hAnsi="宋体" w:cs="宋体"/>
          <w:sz w:val="28"/>
          <w:szCs w:val="28"/>
          <w:u w:val="single"/>
        </w:rPr>
      </w:pPr>
      <w:r>
        <w:rPr>
          <w:rFonts w:hint="eastAsia" w:ascii="宋体" w:hAnsi="宋体" w:cs="宋体"/>
          <w:sz w:val="28"/>
          <w:szCs w:val="28"/>
        </w:rPr>
        <w:t xml:space="preserve">法定代表人或者委托代理人：  </w:t>
      </w:r>
      <w:r>
        <w:rPr>
          <w:rFonts w:hint="eastAsia" w:ascii="宋体" w:hAnsi="宋体" w:cs="宋体"/>
          <w:sz w:val="28"/>
          <w:szCs w:val="28"/>
          <w:u w:val="single"/>
        </w:rPr>
        <w:t xml:space="preserve">     （签字） </w:t>
      </w:r>
    </w:p>
    <w:p>
      <w:pPr>
        <w:pStyle w:val="7"/>
        <w:spacing w:line="579" w:lineRule="exact"/>
        <w:ind w:left="598" w:leftChars="285"/>
        <w:jc w:val="right"/>
        <w:rPr>
          <w:rFonts w:ascii="宋体" w:hAnsi="宋体" w:cs="宋体"/>
          <w:sz w:val="28"/>
          <w:szCs w:val="28"/>
        </w:rPr>
      </w:pPr>
      <w:r>
        <w:rPr>
          <w:rFonts w:hint="eastAsia" w:ascii="宋体" w:hAnsi="宋体" w:cs="宋体"/>
          <w:sz w:val="28"/>
          <w:szCs w:val="28"/>
        </w:rPr>
        <w:t xml:space="preserve"> 年   月   日</w:t>
      </w:r>
    </w:p>
    <w:p>
      <w:pPr>
        <w:spacing w:line="579" w:lineRule="exact"/>
        <w:jc w:val="center"/>
        <w:rPr>
          <w:rFonts w:ascii="仿宋_GB2312" w:hAnsi="宋体" w:eastAsia="仿宋_GB2312"/>
          <w:sz w:val="28"/>
          <w:szCs w:val="28"/>
        </w:rPr>
      </w:pPr>
    </w:p>
    <w:p>
      <w:pPr>
        <w:spacing w:line="579" w:lineRule="exact"/>
        <w:jc w:val="center"/>
        <w:rPr>
          <w:rFonts w:ascii="宋体" w:hAnsi="宋体" w:cs="宋体"/>
          <w:b/>
          <w:bCs/>
          <w:sz w:val="28"/>
          <w:szCs w:val="28"/>
        </w:rPr>
      </w:pPr>
      <w:r>
        <w:rPr>
          <w:rFonts w:hint="eastAsia" w:ascii="仿宋_GB2312" w:hAnsi="宋体" w:eastAsia="仿宋_GB2312"/>
          <w:sz w:val="28"/>
          <w:szCs w:val="28"/>
        </w:rPr>
        <w:br w:type="page"/>
      </w:r>
    </w:p>
    <w:p>
      <w:pPr>
        <w:spacing w:line="579" w:lineRule="exact"/>
        <w:jc w:val="center"/>
        <w:rPr>
          <w:rFonts w:ascii="宋体" w:hAnsi="宋体" w:cs="宋体"/>
          <w:b/>
          <w:bCs/>
          <w:sz w:val="44"/>
          <w:szCs w:val="44"/>
        </w:rPr>
      </w:pPr>
      <w:r>
        <w:rPr>
          <w:rFonts w:hint="eastAsia" w:ascii="宋体" w:hAnsi="宋体" w:cs="宋体"/>
          <w:b/>
          <w:bCs/>
          <w:sz w:val="44"/>
          <w:szCs w:val="44"/>
        </w:rPr>
        <w:t>重庆高速资产经营管理有限公司</w:t>
      </w:r>
    </w:p>
    <w:p>
      <w:pPr>
        <w:spacing w:line="579" w:lineRule="exact"/>
        <w:jc w:val="center"/>
        <w:rPr>
          <w:rFonts w:ascii="宋体" w:hAnsi="宋体" w:cs="宋体"/>
          <w:b/>
          <w:bCs/>
          <w:sz w:val="44"/>
          <w:szCs w:val="44"/>
        </w:rPr>
      </w:pPr>
      <w:r>
        <w:rPr>
          <w:rFonts w:hint="eastAsia" w:ascii="宋体" w:hAnsi="宋体" w:cs="宋体"/>
          <w:b/>
          <w:bCs/>
          <w:sz w:val="44"/>
          <w:szCs w:val="44"/>
          <w:lang w:eastAsia="zh-CN"/>
        </w:rPr>
        <w:t>下属非成品油公司</w:t>
      </w:r>
      <w:r>
        <w:rPr>
          <w:rFonts w:hint="eastAsia" w:ascii="宋体" w:hAnsi="宋体" w:cs="宋体"/>
          <w:b/>
          <w:bCs/>
          <w:sz w:val="44"/>
          <w:szCs w:val="44"/>
        </w:rPr>
        <w:t>常年法律顾问聘用</w:t>
      </w:r>
    </w:p>
    <w:p>
      <w:pPr>
        <w:spacing w:line="579" w:lineRule="exact"/>
        <w:jc w:val="center"/>
        <w:rPr>
          <w:rFonts w:ascii="宋体" w:hAnsi="宋体" w:cs="宋体"/>
          <w:b/>
          <w:bCs/>
          <w:sz w:val="44"/>
          <w:szCs w:val="44"/>
        </w:rPr>
      </w:pPr>
    </w:p>
    <w:p>
      <w:pPr>
        <w:spacing w:line="579" w:lineRule="exact"/>
        <w:jc w:val="center"/>
        <w:rPr>
          <w:rFonts w:ascii="宋体" w:hAnsi="宋体" w:cs="宋体"/>
          <w:b/>
          <w:bCs/>
          <w:sz w:val="20"/>
        </w:rPr>
      </w:pPr>
    </w:p>
    <w:p>
      <w:pPr>
        <w:spacing w:line="579" w:lineRule="exact"/>
        <w:jc w:val="center"/>
        <w:rPr>
          <w:rFonts w:ascii="宋体" w:hAnsi="宋体" w:cs="宋体"/>
          <w:b/>
          <w:bCs/>
          <w:sz w:val="44"/>
          <w:szCs w:val="44"/>
        </w:rPr>
      </w:pPr>
      <w:r>
        <w:rPr>
          <w:rFonts w:hint="eastAsia" w:ascii="宋体" w:hAnsi="宋体" w:cs="宋体"/>
          <w:b/>
          <w:bCs/>
          <w:sz w:val="44"/>
          <w:szCs w:val="44"/>
        </w:rPr>
        <w:t>比  选  文  件</w:t>
      </w:r>
    </w:p>
    <w:p>
      <w:pPr>
        <w:spacing w:line="579" w:lineRule="exact"/>
        <w:jc w:val="center"/>
        <w:rPr>
          <w:rFonts w:ascii="宋体" w:hAnsi="宋体" w:cs="宋体"/>
          <w:b/>
          <w:bCs/>
          <w:sz w:val="44"/>
          <w:szCs w:val="44"/>
        </w:rPr>
      </w:pPr>
      <w:r>
        <w:rPr>
          <w:rFonts w:hint="eastAsia" w:ascii="宋体" w:hAnsi="宋体" w:cs="宋体"/>
          <w:b/>
          <w:bCs/>
          <w:sz w:val="44"/>
          <w:szCs w:val="44"/>
        </w:rPr>
        <w:t>第二卷</w:t>
      </w:r>
    </w:p>
    <w:p>
      <w:pPr>
        <w:spacing w:line="579" w:lineRule="exact"/>
        <w:jc w:val="center"/>
        <w:rPr>
          <w:rFonts w:ascii="宋体" w:hAnsi="宋体" w:cs="宋体"/>
          <w:b/>
          <w:bCs/>
          <w:sz w:val="30"/>
          <w:szCs w:val="30"/>
        </w:rPr>
      </w:pPr>
    </w:p>
    <w:p>
      <w:pPr>
        <w:spacing w:line="579" w:lineRule="exact"/>
        <w:jc w:val="center"/>
        <w:rPr>
          <w:b/>
          <w:sz w:val="30"/>
          <w:szCs w:val="30"/>
        </w:rPr>
      </w:pPr>
      <w:r>
        <w:rPr>
          <w:rFonts w:hint="eastAsia"/>
          <w:b/>
          <w:sz w:val="30"/>
          <w:szCs w:val="30"/>
        </w:rPr>
        <w:t>（报价文件）</w:t>
      </w:r>
    </w:p>
    <w:p>
      <w:pPr>
        <w:spacing w:line="579" w:lineRule="exact"/>
        <w:rPr>
          <w:rFonts w:eastAsia="黑体"/>
          <w:sz w:val="28"/>
          <w:szCs w:val="28"/>
        </w:rPr>
      </w:pPr>
    </w:p>
    <w:p>
      <w:pPr>
        <w:spacing w:line="579" w:lineRule="exact"/>
        <w:rPr>
          <w:rFonts w:eastAsia="黑体"/>
          <w:sz w:val="28"/>
          <w:szCs w:val="28"/>
        </w:rPr>
      </w:pPr>
    </w:p>
    <w:p>
      <w:pPr>
        <w:spacing w:line="579" w:lineRule="exact"/>
        <w:rPr>
          <w:rFonts w:eastAsia="黑体"/>
          <w:sz w:val="28"/>
          <w:szCs w:val="28"/>
        </w:rPr>
      </w:pPr>
    </w:p>
    <w:p>
      <w:pPr>
        <w:spacing w:line="579" w:lineRule="exact"/>
        <w:rPr>
          <w:rFonts w:eastAsia="黑体"/>
          <w:sz w:val="28"/>
          <w:szCs w:val="28"/>
        </w:rPr>
      </w:pPr>
    </w:p>
    <w:p>
      <w:pPr>
        <w:spacing w:line="579" w:lineRule="exact"/>
        <w:rPr>
          <w:rFonts w:eastAsia="黑体"/>
          <w:sz w:val="28"/>
          <w:szCs w:val="28"/>
        </w:rPr>
      </w:pPr>
    </w:p>
    <w:p>
      <w:pPr>
        <w:spacing w:line="579" w:lineRule="exact"/>
        <w:rPr>
          <w:rFonts w:eastAsia="黑体"/>
          <w:sz w:val="28"/>
          <w:szCs w:val="28"/>
        </w:rPr>
      </w:pPr>
    </w:p>
    <w:p>
      <w:pPr>
        <w:spacing w:line="579" w:lineRule="exact"/>
        <w:rPr>
          <w:rFonts w:eastAsia="黑体"/>
          <w:sz w:val="28"/>
          <w:szCs w:val="28"/>
        </w:rPr>
      </w:pPr>
    </w:p>
    <w:p>
      <w:pPr>
        <w:spacing w:line="579" w:lineRule="exact"/>
        <w:rPr>
          <w:rFonts w:eastAsia="黑体"/>
          <w:sz w:val="28"/>
          <w:szCs w:val="28"/>
        </w:rPr>
      </w:pPr>
    </w:p>
    <w:p>
      <w:pPr>
        <w:spacing w:line="579" w:lineRule="exact"/>
        <w:rPr>
          <w:rFonts w:eastAsia="黑体"/>
          <w:sz w:val="28"/>
          <w:szCs w:val="28"/>
        </w:rPr>
      </w:pPr>
    </w:p>
    <w:p>
      <w:pPr>
        <w:spacing w:line="579" w:lineRule="exact"/>
        <w:jc w:val="center"/>
        <w:rPr>
          <w:rFonts w:ascii="宋体" w:hAnsi="宋体" w:cs="宋体"/>
          <w:b/>
          <w:bCs/>
          <w:sz w:val="28"/>
          <w:szCs w:val="28"/>
          <w:u w:val="single"/>
        </w:rPr>
      </w:pPr>
      <w:r>
        <w:rPr>
          <w:rFonts w:hint="eastAsia" w:ascii="宋体" w:hAnsi="宋体" w:cs="宋体"/>
          <w:b/>
          <w:bCs/>
          <w:sz w:val="28"/>
          <w:szCs w:val="28"/>
        </w:rPr>
        <w:t>投标人：</w:t>
      </w:r>
      <w:r>
        <w:rPr>
          <w:rFonts w:hint="eastAsia" w:ascii="宋体" w:hAnsi="宋体" w:cs="宋体"/>
          <w:b/>
          <w:bCs/>
          <w:sz w:val="28"/>
          <w:szCs w:val="28"/>
          <w:u w:val="single"/>
        </w:rPr>
        <w:t xml:space="preserve">                              </w:t>
      </w:r>
      <w:r>
        <w:rPr>
          <w:rFonts w:hint="eastAsia" w:ascii="宋体" w:hAnsi="宋体" w:cs="宋体"/>
          <w:b/>
          <w:bCs/>
          <w:sz w:val="28"/>
          <w:szCs w:val="28"/>
        </w:rPr>
        <w:t>（盖单位章）</w:t>
      </w:r>
    </w:p>
    <w:p>
      <w:pPr>
        <w:spacing w:line="579" w:lineRule="exact"/>
        <w:jc w:val="center"/>
        <w:rPr>
          <w:rFonts w:ascii="宋体" w:hAnsi="宋体" w:cs="宋体"/>
          <w:b/>
          <w:bCs/>
        </w:rPr>
        <w:sectPr>
          <w:pgSz w:w="11906" w:h="16838"/>
          <w:pgMar w:top="1440" w:right="1800" w:bottom="1440" w:left="1800" w:header="851" w:footer="992" w:gutter="0"/>
          <w:cols w:space="720" w:num="1"/>
          <w:docGrid w:type="lines" w:linePitch="312" w:charSpace="0"/>
        </w:sectPr>
      </w:pPr>
      <w:r>
        <w:rPr>
          <w:rFonts w:hint="eastAsia" w:ascii="宋体" w:hAnsi="宋体" w:cs="宋体"/>
          <w:b/>
          <w:bCs/>
          <w:sz w:val="28"/>
          <w:szCs w:val="28"/>
          <w:u w:val="single"/>
        </w:rPr>
        <w:t xml:space="preserve">        </w:t>
      </w:r>
      <w:r>
        <w:rPr>
          <w:rFonts w:hint="eastAsia" w:ascii="宋体" w:hAnsi="宋体" w:cs="宋体"/>
          <w:b/>
          <w:bCs/>
          <w:sz w:val="28"/>
          <w:szCs w:val="28"/>
        </w:rPr>
        <w:t>年</w:t>
      </w:r>
      <w:r>
        <w:rPr>
          <w:rFonts w:hint="eastAsia" w:ascii="宋体" w:hAnsi="宋体" w:cs="宋体"/>
          <w:b/>
          <w:bCs/>
          <w:sz w:val="28"/>
          <w:szCs w:val="28"/>
          <w:u w:val="single"/>
        </w:rPr>
        <w:t xml:space="preserve">        </w:t>
      </w:r>
      <w:r>
        <w:rPr>
          <w:rFonts w:hint="eastAsia" w:ascii="宋体" w:hAnsi="宋体" w:cs="宋体"/>
          <w:b/>
          <w:bCs/>
          <w:sz w:val="28"/>
          <w:szCs w:val="28"/>
        </w:rPr>
        <w:t>月</w:t>
      </w:r>
      <w:r>
        <w:rPr>
          <w:rFonts w:hint="eastAsia" w:ascii="宋体" w:hAnsi="宋体" w:cs="宋体"/>
          <w:b/>
          <w:bCs/>
          <w:sz w:val="28"/>
          <w:szCs w:val="28"/>
          <w:u w:val="single"/>
        </w:rPr>
        <w:t xml:space="preserve">        </w:t>
      </w:r>
      <w:r>
        <w:rPr>
          <w:rFonts w:hint="eastAsia" w:ascii="宋体" w:hAnsi="宋体" w:cs="宋体"/>
          <w:b/>
          <w:bCs/>
          <w:sz w:val="28"/>
          <w:szCs w:val="28"/>
        </w:rPr>
        <w:t>日</w:t>
      </w:r>
    </w:p>
    <w:p>
      <w:pPr>
        <w:spacing w:line="579" w:lineRule="exact"/>
      </w:pPr>
    </w:p>
    <w:p>
      <w:pPr>
        <w:spacing w:line="579" w:lineRule="exact"/>
        <w:jc w:val="center"/>
        <w:rPr>
          <w:rFonts w:ascii="宋体" w:hAnsi="宋体" w:cs="宋体"/>
          <w:b/>
          <w:bCs/>
          <w:sz w:val="28"/>
          <w:szCs w:val="28"/>
        </w:rPr>
      </w:pPr>
      <w:r>
        <w:rPr>
          <w:rFonts w:hint="eastAsia" w:ascii="宋体" w:hAnsi="宋体" w:cs="宋体"/>
          <w:b/>
          <w:bCs/>
          <w:sz w:val="28"/>
          <w:szCs w:val="28"/>
        </w:rPr>
        <w:t>报价函</w:t>
      </w:r>
    </w:p>
    <w:p>
      <w:pPr>
        <w:pStyle w:val="7"/>
        <w:spacing w:line="579" w:lineRule="exact"/>
        <w:rPr>
          <w:rFonts w:ascii="宋体" w:hAnsi="宋体" w:cs="宋体"/>
          <w:sz w:val="28"/>
          <w:szCs w:val="28"/>
        </w:rPr>
      </w:pPr>
    </w:p>
    <w:p>
      <w:pPr>
        <w:pStyle w:val="7"/>
        <w:spacing w:line="579" w:lineRule="exact"/>
        <w:rPr>
          <w:rFonts w:ascii="宋体" w:hAnsi="宋体" w:cs="宋体"/>
          <w:sz w:val="28"/>
          <w:szCs w:val="28"/>
        </w:rPr>
      </w:pPr>
      <w:r>
        <w:rPr>
          <w:rFonts w:hint="eastAsia" w:ascii="宋体" w:hAnsi="宋体" w:cs="宋体"/>
          <w:sz w:val="28"/>
          <w:szCs w:val="28"/>
        </w:rPr>
        <w:t>重庆高速资产经营管理有限公司：</w:t>
      </w:r>
    </w:p>
    <w:p>
      <w:pPr>
        <w:spacing w:line="579" w:lineRule="exact"/>
        <w:ind w:firstLine="560" w:firstLineChars="200"/>
        <w:jc w:val="left"/>
        <w:rPr>
          <w:rFonts w:ascii="宋体" w:hAnsi="宋体" w:cs="宋体"/>
          <w:b/>
          <w:sz w:val="28"/>
          <w:szCs w:val="28"/>
        </w:rPr>
      </w:pPr>
      <w:r>
        <w:rPr>
          <w:rFonts w:hint="eastAsia" w:ascii="宋体" w:hAnsi="宋体" w:cs="宋体"/>
          <w:sz w:val="28"/>
          <w:szCs w:val="28"/>
        </w:rPr>
        <w:t>我方已仔细研究了</w:t>
      </w:r>
      <w:r>
        <w:rPr>
          <w:rFonts w:hint="eastAsia" w:ascii="宋体" w:hAnsi="宋体" w:cs="宋体"/>
          <w:sz w:val="28"/>
          <w:szCs w:val="28"/>
          <w:u w:val="single"/>
        </w:rPr>
        <w:t xml:space="preserve">  重庆高速资产经营管理公司</w:t>
      </w:r>
      <w:r>
        <w:rPr>
          <w:rFonts w:hint="eastAsia" w:ascii="宋体" w:hAnsi="宋体" w:cs="宋体"/>
          <w:sz w:val="28"/>
          <w:szCs w:val="28"/>
          <w:u w:val="single"/>
          <w:lang w:eastAsia="zh-CN"/>
        </w:rPr>
        <w:t>下属非成品油公司</w:t>
      </w:r>
      <w:r>
        <w:rPr>
          <w:rFonts w:hint="eastAsia" w:ascii="宋体" w:hAnsi="宋体" w:cs="宋体"/>
          <w:sz w:val="28"/>
          <w:szCs w:val="28"/>
          <w:u w:val="single"/>
        </w:rPr>
        <w:t>常年法律顾问聘用</w:t>
      </w:r>
      <w:r>
        <w:rPr>
          <w:rFonts w:hint="eastAsia" w:ascii="宋体" w:hAnsi="宋体" w:cs="宋体"/>
          <w:kern w:val="0"/>
          <w:sz w:val="28"/>
          <w:szCs w:val="28"/>
          <w:u w:val="single"/>
        </w:rPr>
        <w:t xml:space="preserve"> </w:t>
      </w:r>
      <w:r>
        <w:rPr>
          <w:rFonts w:hint="eastAsia" w:ascii="宋体" w:hAnsi="宋体" w:cs="宋体"/>
          <w:sz w:val="28"/>
          <w:szCs w:val="28"/>
        </w:rPr>
        <w:t>竞争性比选文件的全部内容，我方报价为：</w:t>
      </w:r>
      <w:r>
        <w:rPr>
          <w:rFonts w:hint="eastAsia" w:ascii="宋体" w:hAnsi="宋体" w:cs="宋体"/>
          <w:sz w:val="28"/>
          <w:szCs w:val="28"/>
          <w:u w:val="single"/>
        </w:rPr>
        <w:t xml:space="preserve">     元/年（人民币）</w:t>
      </w:r>
      <w:r>
        <w:rPr>
          <w:rFonts w:hint="eastAsia" w:ascii="宋体" w:hAnsi="宋体" w:cs="宋体"/>
          <w:sz w:val="28"/>
          <w:szCs w:val="28"/>
        </w:rPr>
        <w:t xml:space="preserve"> 。我方愿承担并完成文件中要求的常年法律顾问工作，愿以竞争比选人在文件中告知的费用结算方式结算费用，并以优质的服务在竞争比选人规定的时期内完成全部工作，在工作过程中，接受竞争比选人的监督、指导，对项目资料严格保密。</w:t>
      </w:r>
    </w:p>
    <w:p>
      <w:pPr>
        <w:pStyle w:val="7"/>
        <w:spacing w:line="579" w:lineRule="exact"/>
        <w:ind w:firstLine="562" w:firstLineChars="200"/>
        <w:rPr>
          <w:rFonts w:ascii="宋体" w:hAnsi="宋体" w:cs="宋体"/>
          <w:sz w:val="28"/>
          <w:szCs w:val="28"/>
        </w:rPr>
      </w:pPr>
    </w:p>
    <w:p>
      <w:pPr>
        <w:pStyle w:val="7"/>
        <w:spacing w:line="579" w:lineRule="exact"/>
        <w:ind w:left="598" w:leftChars="285" w:firstLine="914" w:firstLineChars="325"/>
        <w:rPr>
          <w:rFonts w:ascii="宋体" w:hAnsi="宋体" w:cs="宋体"/>
          <w:sz w:val="28"/>
          <w:szCs w:val="28"/>
        </w:rPr>
      </w:pPr>
    </w:p>
    <w:p>
      <w:pPr>
        <w:pStyle w:val="7"/>
        <w:spacing w:line="579" w:lineRule="exact"/>
        <w:ind w:firstLine="3233" w:firstLineChars="1150"/>
        <w:rPr>
          <w:rFonts w:ascii="宋体" w:hAnsi="宋体" w:cs="宋体"/>
          <w:sz w:val="28"/>
          <w:szCs w:val="28"/>
          <w:u w:val="single"/>
        </w:rPr>
      </w:pPr>
      <w:r>
        <w:rPr>
          <w:rFonts w:hint="eastAsia" w:ascii="宋体" w:hAnsi="宋体" w:cs="宋体"/>
          <w:sz w:val="28"/>
          <w:szCs w:val="28"/>
        </w:rPr>
        <w:t>投标人：</w:t>
      </w:r>
      <w:r>
        <w:rPr>
          <w:rFonts w:hint="eastAsia" w:ascii="宋体" w:hAnsi="宋体" w:cs="宋体"/>
          <w:sz w:val="28"/>
          <w:szCs w:val="28"/>
          <w:u w:val="single"/>
        </w:rPr>
        <w:t xml:space="preserve"> （填写单位名称并盖单位鲜章）</w:t>
      </w:r>
    </w:p>
    <w:p>
      <w:pPr>
        <w:pStyle w:val="7"/>
        <w:spacing w:line="579" w:lineRule="exact"/>
        <w:ind w:left="598" w:leftChars="285" w:firstLine="3373" w:firstLineChars="1200"/>
        <w:rPr>
          <w:rFonts w:ascii="宋体" w:hAnsi="宋体" w:cs="宋体"/>
          <w:sz w:val="28"/>
          <w:szCs w:val="28"/>
        </w:rPr>
      </w:pPr>
    </w:p>
    <w:p>
      <w:pPr>
        <w:pStyle w:val="7"/>
        <w:spacing w:line="579" w:lineRule="exact"/>
        <w:ind w:firstLine="1968" w:firstLineChars="700"/>
        <w:rPr>
          <w:rFonts w:ascii="宋体" w:hAnsi="宋体" w:cs="宋体"/>
          <w:sz w:val="28"/>
          <w:szCs w:val="28"/>
          <w:u w:val="single"/>
        </w:rPr>
      </w:pPr>
      <w:r>
        <w:rPr>
          <w:rFonts w:hint="eastAsia" w:ascii="宋体" w:hAnsi="宋体" w:cs="宋体"/>
          <w:sz w:val="28"/>
          <w:szCs w:val="28"/>
        </w:rPr>
        <w:t xml:space="preserve">律师事务所负责人或者委托代理人：  </w:t>
      </w:r>
      <w:r>
        <w:rPr>
          <w:rFonts w:hint="eastAsia" w:ascii="宋体" w:hAnsi="宋体" w:cs="宋体"/>
          <w:sz w:val="28"/>
          <w:szCs w:val="28"/>
          <w:u w:val="single"/>
        </w:rPr>
        <w:t xml:space="preserve">     （签字） </w:t>
      </w:r>
    </w:p>
    <w:p>
      <w:pPr>
        <w:pStyle w:val="7"/>
        <w:spacing w:line="579" w:lineRule="exact"/>
        <w:ind w:left="598" w:leftChars="285"/>
        <w:jc w:val="right"/>
        <w:rPr>
          <w:rFonts w:ascii="宋体" w:hAnsi="宋体" w:cs="宋体"/>
          <w:sz w:val="28"/>
          <w:szCs w:val="28"/>
        </w:rPr>
      </w:pPr>
      <w:r>
        <w:rPr>
          <w:rFonts w:hint="eastAsia" w:ascii="宋体" w:hAnsi="宋体" w:cs="宋体"/>
          <w:sz w:val="28"/>
          <w:szCs w:val="28"/>
        </w:rPr>
        <w:t>年   月   日</w:t>
      </w:r>
    </w:p>
    <w:p>
      <w:pPr>
        <w:pStyle w:val="7"/>
        <w:spacing w:line="579" w:lineRule="exact"/>
        <w:ind w:firstLine="2530" w:firstLineChars="900"/>
        <w:rPr>
          <w:rFonts w:ascii="宋体" w:hAnsi="宋体" w:cs="宋体"/>
          <w:sz w:val="28"/>
          <w:szCs w:val="28"/>
          <w:u w:val="single"/>
        </w:rPr>
      </w:pPr>
      <w:r>
        <w:rPr>
          <w:rFonts w:hint="eastAsia" w:ascii="宋体" w:hAnsi="宋体" w:cs="宋体"/>
          <w:sz w:val="28"/>
          <w:szCs w:val="28"/>
          <w:u w:val="single"/>
        </w:rPr>
        <w:t xml:space="preserve"> </w:t>
      </w:r>
    </w:p>
    <w:p>
      <w:pPr>
        <w:pStyle w:val="7"/>
        <w:spacing w:line="579" w:lineRule="exact"/>
        <w:ind w:firstLine="2530" w:firstLineChars="900"/>
        <w:rPr>
          <w:rFonts w:ascii="宋体" w:hAnsi="宋体" w:cs="宋体"/>
          <w:sz w:val="28"/>
          <w:szCs w:val="28"/>
          <w:u w:val="single"/>
        </w:rPr>
      </w:pPr>
    </w:p>
    <w:p>
      <w:pPr>
        <w:pStyle w:val="7"/>
        <w:spacing w:line="579" w:lineRule="exact"/>
        <w:ind w:firstLine="2530" w:firstLineChars="900"/>
        <w:rPr>
          <w:rFonts w:ascii="宋体" w:hAnsi="宋体" w:cs="宋体"/>
          <w:sz w:val="28"/>
          <w:szCs w:val="28"/>
          <w:u w:val="single"/>
        </w:rPr>
      </w:pPr>
    </w:p>
    <w:p>
      <w:pPr>
        <w:pStyle w:val="7"/>
        <w:spacing w:line="579" w:lineRule="exact"/>
        <w:ind w:firstLine="2530" w:firstLineChars="900"/>
        <w:rPr>
          <w:rFonts w:ascii="宋体" w:hAnsi="宋体" w:cs="宋体"/>
          <w:sz w:val="28"/>
          <w:szCs w:val="28"/>
          <w:u w:val="single"/>
        </w:rPr>
      </w:pPr>
    </w:p>
    <w:p>
      <w:pPr>
        <w:pStyle w:val="7"/>
        <w:spacing w:line="579" w:lineRule="exact"/>
        <w:ind w:firstLine="2530" w:firstLineChars="900"/>
        <w:rPr>
          <w:rFonts w:ascii="宋体" w:hAnsi="宋体" w:cs="宋体"/>
          <w:sz w:val="28"/>
          <w:szCs w:val="28"/>
          <w:u w:val="single"/>
        </w:rPr>
      </w:pPr>
    </w:p>
    <w:p>
      <w:pPr>
        <w:pStyle w:val="7"/>
        <w:spacing w:line="579" w:lineRule="exact"/>
        <w:ind w:firstLine="2530" w:firstLineChars="900"/>
        <w:rPr>
          <w:rFonts w:ascii="宋体" w:hAnsi="宋体" w:cs="宋体"/>
          <w:sz w:val="28"/>
          <w:szCs w:val="28"/>
          <w:u w:val="single"/>
        </w:rPr>
      </w:pPr>
    </w:p>
    <w:p>
      <w:pPr>
        <w:pStyle w:val="7"/>
        <w:spacing w:line="579" w:lineRule="exact"/>
        <w:ind w:firstLine="2530" w:firstLineChars="900"/>
        <w:rPr>
          <w:rFonts w:ascii="宋体" w:hAnsi="宋体" w:cs="宋体"/>
          <w:sz w:val="28"/>
          <w:szCs w:val="28"/>
          <w:u w:val="single"/>
        </w:rPr>
      </w:pPr>
    </w:p>
    <w:p>
      <w:pPr>
        <w:pStyle w:val="7"/>
        <w:spacing w:line="579" w:lineRule="exact"/>
        <w:ind w:firstLine="2530" w:firstLineChars="900"/>
        <w:rPr>
          <w:rFonts w:ascii="宋体" w:hAnsi="宋体" w:cs="宋体"/>
          <w:sz w:val="28"/>
          <w:szCs w:val="28"/>
          <w:u w:val="single"/>
        </w:rPr>
      </w:pPr>
    </w:p>
    <w:tbl>
      <w:tblPr>
        <w:tblStyle w:val="16"/>
        <w:tblW w:w="0" w:type="auto"/>
        <w:tblInd w:w="0" w:type="dxa"/>
        <w:tblLayout w:type="autofit"/>
        <w:tblCellMar>
          <w:top w:w="0" w:type="dxa"/>
          <w:left w:w="108" w:type="dxa"/>
          <w:bottom w:w="0" w:type="dxa"/>
          <w:right w:w="108" w:type="dxa"/>
        </w:tblCellMar>
      </w:tblPr>
      <w:tblGrid>
        <w:gridCol w:w="8472"/>
      </w:tblGrid>
      <w:tr>
        <w:tblPrEx>
          <w:tblCellMar>
            <w:top w:w="0" w:type="dxa"/>
            <w:left w:w="108" w:type="dxa"/>
            <w:bottom w:w="0" w:type="dxa"/>
            <w:right w:w="108" w:type="dxa"/>
          </w:tblCellMar>
        </w:tblPrEx>
        <w:trPr>
          <w:trHeight w:val="1134" w:hRule="exact"/>
        </w:trPr>
        <w:tc>
          <w:tcPr>
            <w:tcW w:w="8472" w:type="dxa"/>
            <w:noWrap w:val="0"/>
            <w:vAlign w:val="top"/>
          </w:tcPr>
          <w:p>
            <w:pPr>
              <w:rPr>
                <w:rFonts w:ascii="Calibri" w:hAnsi="Calibri"/>
              </w:rPr>
            </w:pPr>
            <w:r>
              <w:rPr>
                <w:rFonts w:hint="eastAsia" w:ascii="Calibri" w:hAnsi="Calibri"/>
              </w:rPr>
              <w:t>编号：</w:t>
            </w:r>
          </w:p>
        </w:tc>
      </w:tr>
      <w:tr>
        <w:tblPrEx>
          <w:tblCellMar>
            <w:top w:w="0" w:type="dxa"/>
            <w:left w:w="108" w:type="dxa"/>
            <w:bottom w:w="0" w:type="dxa"/>
            <w:right w:w="108" w:type="dxa"/>
          </w:tblCellMar>
        </w:tblPrEx>
        <w:trPr>
          <w:trHeight w:val="1134" w:hRule="exact"/>
        </w:trPr>
        <w:tc>
          <w:tcPr>
            <w:tcW w:w="8472" w:type="dxa"/>
            <w:noWrap w:val="0"/>
            <w:vAlign w:val="top"/>
          </w:tcPr>
          <w:p>
            <w:pPr>
              <w:rPr>
                <w:rFonts w:ascii="Calibri" w:hAnsi="Calibri"/>
              </w:rPr>
            </w:pPr>
          </w:p>
        </w:tc>
      </w:tr>
      <w:tr>
        <w:tblPrEx>
          <w:tblCellMar>
            <w:top w:w="0" w:type="dxa"/>
            <w:left w:w="108" w:type="dxa"/>
            <w:bottom w:w="0" w:type="dxa"/>
            <w:right w:w="108" w:type="dxa"/>
          </w:tblCellMar>
        </w:tblPrEx>
        <w:trPr>
          <w:trHeight w:val="1134" w:hRule="exact"/>
        </w:trPr>
        <w:tc>
          <w:tcPr>
            <w:tcW w:w="8472" w:type="dxa"/>
            <w:noWrap w:val="0"/>
            <w:vAlign w:val="top"/>
          </w:tcPr>
          <w:p>
            <w:pPr>
              <w:rPr>
                <w:rFonts w:ascii="Calibri" w:hAnsi="Calibri"/>
              </w:rPr>
            </w:pPr>
          </w:p>
        </w:tc>
      </w:tr>
      <w:tr>
        <w:tblPrEx>
          <w:tblCellMar>
            <w:top w:w="0" w:type="dxa"/>
            <w:left w:w="108" w:type="dxa"/>
            <w:bottom w:w="0" w:type="dxa"/>
            <w:right w:w="108" w:type="dxa"/>
          </w:tblCellMar>
        </w:tblPrEx>
        <w:trPr>
          <w:trHeight w:val="1134" w:hRule="exact"/>
        </w:trPr>
        <w:tc>
          <w:tcPr>
            <w:tcW w:w="8472" w:type="dxa"/>
            <w:noWrap w:val="0"/>
            <w:vAlign w:val="center"/>
          </w:tcPr>
          <w:p>
            <w:pPr>
              <w:jc w:val="center"/>
              <w:rPr>
                <w:rFonts w:ascii="Calibri" w:hAnsi="Calibri"/>
              </w:rPr>
            </w:pPr>
            <w:r>
              <w:rPr>
                <w:rFonts w:hint="eastAsia" w:ascii="方正小标宋_GBK" w:hAnsi="方正小标宋_GBK" w:eastAsia="方正小标宋_GBK" w:cs="方正小标宋_GBK"/>
                <w:kern w:val="0"/>
                <w:position w:val="-5"/>
                <w:sz w:val="44"/>
                <w:szCs w:val="44"/>
              </w:rPr>
              <w:t>常年法律顾问协议</w:t>
            </w:r>
          </w:p>
        </w:tc>
      </w:tr>
      <w:tr>
        <w:tblPrEx>
          <w:tblCellMar>
            <w:top w:w="0" w:type="dxa"/>
            <w:left w:w="108" w:type="dxa"/>
            <w:bottom w:w="0" w:type="dxa"/>
            <w:right w:w="108" w:type="dxa"/>
          </w:tblCellMar>
        </w:tblPrEx>
        <w:trPr>
          <w:trHeight w:val="1134" w:hRule="exact"/>
        </w:trPr>
        <w:tc>
          <w:tcPr>
            <w:tcW w:w="8472" w:type="dxa"/>
            <w:noWrap w:val="0"/>
            <w:vAlign w:val="top"/>
          </w:tcPr>
          <w:p>
            <w:pPr>
              <w:rPr>
                <w:rFonts w:ascii="Calibri" w:hAnsi="Calibri"/>
              </w:rPr>
            </w:pPr>
          </w:p>
        </w:tc>
      </w:tr>
      <w:tr>
        <w:tblPrEx>
          <w:tblCellMar>
            <w:top w:w="0" w:type="dxa"/>
            <w:left w:w="108" w:type="dxa"/>
            <w:bottom w:w="0" w:type="dxa"/>
            <w:right w:w="108" w:type="dxa"/>
          </w:tblCellMar>
        </w:tblPrEx>
        <w:trPr>
          <w:trHeight w:val="1134" w:hRule="exact"/>
        </w:trPr>
        <w:tc>
          <w:tcPr>
            <w:tcW w:w="8472" w:type="dxa"/>
            <w:noWrap w:val="0"/>
            <w:vAlign w:val="top"/>
          </w:tcPr>
          <w:p>
            <w:pPr>
              <w:rPr>
                <w:rFonts w:ascii="Calibri" w:hAnsi="Calibri"/>
              </w:rPr>
            </w:pPr>
          </w:p>
        </w:tc>
      </w:tr>
      <w:tr>
        <w:tblPrEx>
          <w:tblCellMar>
            <w:top w:w="0" w:type="dxa"/>
            <w:left w:w="108" w:type="dxa"/>
            <w:bottom w:w="0" w:type="dxa"/>
            <w:right w:w="108" w:type="dxa"/>
          </w:tblCellMar>
        </w:tblPrEx>
        <w:trPr>
          <w:trHeight w:val="1134" w:hRule="exact"/>
        </w:trPr>
        <w:tc>
          <w:tcPr>
            <w:tcW w:w="8472" w:type="dxa"/>
            <w:noWrap w:val="0"/>
            <w:vAlign w:val="top"/>
          </w:tcPr>
          <w:p>
            <w:pPr>
              <w:rPr>
                <w:rFonts w:ascii="Calibri" w:hAnsi="Calibri"/>
              </w:rPr>
            </w:pPr>
          </w:p>
        </w:tc>
      </w:tr>
      <w:tr>
        <w:tblPrEx>
          <w:tblCellMar>
            <w:top w:w="0" w:type="dxa"/>
            <w:left w:w="108" w:type="dxa"/>
            <w:bottom w:w="0" w:type="dxa"/>
            <w:right w:w="108" w:type="dxa"/>
          </w:tblCellMar>
        </w:tblPrEx>
        <w:trPr>
          <w:trHeight w:val="1134" w:hRule="exact"/>
        </w:trPr>
        <w:tc>
          <w:tcPr>
            <w:tcW w:w="8472" w:type="dxa"/>
            <w:noWrap w:val="0"/>
            <w:vAlign w:val="top"/>
          </w:tcPr>
          <w:p>
            <w:pPr>
              <w:rPr>
                <w:rFonts w:ascii="Calibri" w:hAnsi="Calibri"/>
              </w:rPr>
            </w:pPr>
          </w:p>
        </w:tc>
      </w:tr>
      <w:tr>
        <w:tblPrEx>
          <w:tblCellMar>
            <w:top w:w="0" w:type="dxa"/>
            <w:left w:w="108" w:type="dxa"/>
            <w:bottom w:w="0" w:type="dxa"/>
            <w:right w:w="108" w:type="dxa"/>
          </w:tblCellMar>
        </w:tblPrEx>
        <w:trPr>
          <w:trHeight w:val="1134" w:hRule="exact"/>
        </w:trPr>
        <w:tc>
          <w:tcPr>
            <w:tcW w:w="8472" w:type="dxa"/>
            <w:noWrap w:val="0"/>
            <w:vAlign w:val="top"/>
          </w:tcPr>
          <w:p>
            <w:pPr>
              <w:rPr>
                <w:rFonts w:ascii="Calibri" w:hAnsi="Calibri"/>
              </w:rPr>
            </w:pPr>
          </w:p>
        </w:tc>
      </w:tr>
      <w:tr>
        <w:tblPrEx>
          <w:tblCellMar>
            <w:top w:w="0" w:type="dxa"/>
            <w:left w:w="108" w:type="dxa"/>
            <w:bottom w:w="0" w:type="dxa"/>
            <w:right w:w="108" w:type="dxa"/>
          </w:tblCellMar>
        </w:tblPrEx>
        <w:trPr>
          <w:trHeight w:val="1134" w:hRule="exact"/>
        </w:trPr>
        <w:tc>
          <w:tcPr>
            <w:tcW w:w="8472" w:type="dxa"/>
            <w:noWrap w:val="0"/>
            <w:vAlign w:val="center"/>
          </w:tcPr>
          <w:p>
            <w:pPr>
              <w:jc w:val="center"/>
              <w:rPr>
                <w:rFonts w:ascii="Calibri" w:hAnsi="Calibri"/>
              </w:rPr>
            </w:pPr>
            <w:r>
              <w:rPr>
                <w:rFonts w:hint="eastAsia" w:ascii="方正小标宋_GBK" w:hAnsi="方正小标宋_GBK" w:eastAsia="方正小标宋_GBK" w:cs="方正小标宋_GBK"/>
                <w:kern w:val="0"/>
                <w:position w:val="-5"/>
                <w:sz w:val="44"/>
                <w:szCs w:val="44"/>
              </w:rPr>
              <w:t>年  月  日</w:t>
            </w:r>
          </w:p>
        </w:tc>
      </w:tr>
    </w:tbl>
    <w:p>
      <w:pPr>
        <w:sectPr>
          <w:footerReference r:id="rId7" w:type="default"/>
          <w:pgSz w:w="11906" w:h="16838"/>
          <w:pgMar w:top="1440" w:right="1800" w:bottom="1440" w:left="1800" w:header="851" w:footer="992" w:gutter="0"/>
          <w:cols w:space="720" w:num="1"/>
          <w:docGrid w:type="lines" w:linePitch="312" w:charSpace="0"/>
        </w:sectPr>
      </w:pPr>
    </w:p>
    <w:tbl>
      <w:tblPr>
        <w:tblStyle w:val="16"/>
        <w:tblW w:w="0" w:type="auto"/>
        <w:tblInd w:w="0" w:type="dxa"/>
        <w:tblLayout w:type="autofit"/>
        <w:tblCellMar>
          <w:top w:w="0" w:type="dxa"/>
          <w:left w:w="108" w:type="dxa"/>
          <w:bottom w:w="0" w:type="dxa"/>
          <w:right w:w="108" w:type="dxa"/>
        </w:tblCellMar>
      </w:tblPr>
      <w:tblGrid>
        <w:gridCol w:w="8330"/>
      </w:tblGrid>
      <w:tr>
        <w:tblPrEx>
          <w:tblCellMar>
            <w:top w:w="0" w:type="dxa"/>
            <w:left w:w="108" w:type="dxa"/>
            <w:bottom w:w="0" w:type="dxa"/>
            <w:right w:w="108" w:type="dxa"/>
          </w:tblCellMar>
        </w:tblPrEx>
        <w:tc>
          <w:tcPr>
            <w:tcW w:w="8330" w:type="dxa"/>
            <w:noWrap w:val="0"/>
            <w:vAlign w:val="top"/>
          </w:tcPr>
          <w:p>
            <w:pPr>
              <w:rPr>
                <w:rFonts w:ascii="宋体" w:hAnsi="宋体" w:cs="宋体"/>
                <w:szCs w:val="21"/>
              </w:rPr>
            </w:pPr>
            <w:r>
              <w:rPr>
                <w:rFonts w:hint="eastAsia" w:ascii="方正黑体_GBK" w:hAnsi="方正黑体_GBK" w:eastAsia="方正黑体_GBK" w:cs="方正黑体_GBK"/>
                <w:sz w:val="32"/>
                <w:szCs w:val="32"/>
              </w:rPr>
              <w:t>常年法律顾问协议</w:t>
            </w:r>
          </w:p>
        </w:tc>
      </w:tr>
      <w:tr>
        <w:tblPrEx>
          <w:tblCellMar>
            <w:top w:w="0" w:type="dxa"/>
            <w:left w:w="108" w:type="dxa"/>
            <w:bottom w:w="0" w:type="dxa"/>
            <w:right w:w="108" w:type="dxa"/>
          </w:tblCellMar>
        </w:tblPrEx>
        <w:tc>
          <w:tcPr>
            <w:tcW w:w="8330" w:type="dxa"/>
            <w:noWrap w:val="0"/>
            <w:vAlign w:val="top"/>
          </w:tcPr>
          <w:p>
            <w:pPr>
              <w:rPr>
                <w:rFonts w:ascii="宋体" w:hAnsi="宋体" w:cs="宋体"/>
                <w:szCs w:val="21"/>
              </w:rPr>
            </w:pPr>
          </w:p>
        </w:tc>
      </w:tr>
      <w:tr>
        <w:tblPrEx>
          <w:tblCellMar>
            <w:top w:w="0" w:type="dxa"/>
            <w:left w:w="108" w:type="dxa"/>
            <w:bottom w:w="0" w:type="dxa"/>
            <w:right w:w="108" w:type="dxa"/>
          </w:tblCellMar>
        </w:tblPrEx>
        <w:tc>
          <w:tcPr>
            <w:tcW w:w="8330" w:type="dxa"/>
            <w:noWrap w:val="0"/>
            <w:vAlign w:val="top"/>
          </w:tcPr>
          <w:p>
            <w:pPr>
              <w:rPr>
                <w:rFonts w:ascii="宋体" w:hAnsi="宋体" w:cs="宋体"/>
                <w:szCs w:val="21"/>
              </w:rPr>
            </w:pPr>
            <w:r>
              <w:rPr>
                <w:rFonts w:hint="eastAsia" w:ascii="宋体" w:hAnsi="宋体" w:cs="宋体"/>
                <w:szCs w:val="21"/>
              </w:rPr>
              <w:t>甲方：重庆高速资产经营管理有限公司</w:t>
            </w:r>
          </w:p>
        </w:tc>
      </w:tr>
      <w:tr>
        <w:tblPrEx>
          <w:tblCellMar>
            <w:top w:w="0" w:type="dxa"/>
            <w:left w:w="108" w:type="dxa"/>
            <w:bottom w:w="0" w:type="dxa"/>
            <w:right w:w="108" w:type="dxa"/>
          </w:tblCellMar>
        </w:tblPrEx>
        <w:tc>
          <w:tcPr>
            <w:tcW w:w="8330" w:type="dxa"/>
            <w:noWrap w:val="0"/>
            <w:vAlign w:val="top"/>
          </w:tcPr>
          <w:p>
            <w:pPr>
              <w:rPr>
                <w:rFonts w:ascii="宋体" w:hAnsi="宋体" w:cs="宋体"/>
                <w:szCs w:val="21"/>
              </w:rPr>
            </w:pPr>
            <w:r>
              <w:rPr>
                <w:rFonts w:hint="eastAsia" w:ascii="宋体" w:hAnsi="宋体" w:cs="宋体"/>
                <w:szCs w:val="21"/>
              </w:rPr>
              <w:t>住所地：重庆市渝北区银杉路66号</w:t>
            </w:r>
          </w:p>
        </w:tc>
      </w:tr>
      <w:tr>
        <w:tblPrEx>
          <w:tblCellMar>
            <w:top w:w="0" w:type="dxa"/>
            <w:left w:w="108" w:type="dxa"/>
            <w:bottom w:w="0" w:type="dxa"/>
            <w:right w:w="108" w:type="dxa"/>
          </w:tblCellMar>
        </w:tblPrEx>
        <w:tc>
          <w:tcPr>
            <w:tcW w:w="8330" w:type="dxa"/>
            <w:noWrap w:val="0"/>
            <w:vAlign w:val="top"/>
          </w:tcPr>
          <w:p>
            <w:pPr>
              <w:rPr>
                <w:rFonts w:ascii="宋体" w:hAnsi="宋体" w:cs="宋体"/>
                <w:szCs w:val="21"/>
              </w:rPr>
            </w:pPr>
            <w:r>
              <w:rPr>
                <w:rFonts w:hint="eastAsia" w:ascii="宋体" w:hAnsi="宋体" w:cs="宋体"/>
                <w:szCs w:val="21"/>
              </w:rPr>
              <w:t>法定代表人：于泳泉</w:t>
            </w:r>
          </w:p>
        </w:tc>
      </w:tr>
      <w:tr>
        <w:tblPrEx>
          <w:tblCellMar>
            <w:top w:w="0" w:type="dxa"/>
            <w:left w:w="108" w:type="dxa"/>
            <w:bottom w:w="0" w:type="dxa"/>
            <w:right w:w="108" w:type="dxa"/>
          </w:tblCellMar>
        </w:tblPrEx>
        <w:tc>
          <w:tcPr>
            <w:tcW w:w="8330" w:type="dxa"/>
            <w:noWrap w:val="0"/>
            <w:vAlign w:val="top"/>
          </w:tcPr>
          <w:p>
            <w:pPr>
              <w:rPr>
                <w:rFonts w:ascii="宋体" w:hAnsi="宋体" w:cs="宋体"/>
                <w:szCs w:val="21"/>
              </w:rPr>
            </w:pPr>
          </w:p>
        </w:tc>
      </w:tr>
      <w:tr>
        <w:tblPrEx>
          <w:tblCellMar>
            <w:top w:w="0" w:type="dxa"/>
            <w:left w:w="108" w:type="dxa"/>
            <w:bottom w:w="0" w:type="dxa"/>
            <w:right w:w="108" w:type="dxa"/>
          </w:tblCellMar>
        </w:tblPrEx>
        <w:tc>
          <w:tcPr>
            <w:tcW w:w="8330" w:type="dxa"/>
            <w:noWrap w:val="0"/>
            <w:vAlign w:val="top"/>
          </w:tcPr>
          <w:p>
            <w:pPr>
              <w:rPr>
                <w:rFonts w:ascii="宋体" w:hAnsi="宋体" w:cs="宋体"/>
                <w:szCs w:val="21"/>
              </w:rPr>
            </w:pPr>
            <w:r>
              <w:rPr>
                <w:rFonts w:hint="eastAsia" w:ascii="宋体" w:hAnsi="宋体" w:cs="宋体"/>
                <w:szCs w:val="21"/>
              </w:rPr>
              <w:t>乙方：</w:t>
            </w:r>
            <w:r>
              <w:rPr>
                <w:rFonts w:ascii="宋体" w:hAnsi="宋体" w:cs="宋体"/>
                <w:szCs w:val="21"/>
              </w:rPr>
              <w:t>XXX</w:t>
            </w:r>
          </w:p>
        </w:tc>
      </w:tr>
      <w:tr>
        <w:tblPrEx>
          <w:tblCellMar>
            <w:top w:w="0" w:type="dxa"/>
            <w:left w:w="108" w:type="dxa"/>
            <w:bottom w:w="0" w:type="dxa"/>
            <w:right w:w="108" w:type="dxa"/>
          </w:tblCellMar>
        </w:tblPrEx>
        <w:tc>
          <w:tcPr>
            <w:tcW w:w="8330" w:type="dxa"/>
            <w:noWrap w:val="0"/>
            <w:vAlign w:val="top"/>
          </w:tcPr>
          <w:p>
            <w:pPr>
              <w:rPr>
                <w:rFonts w:ascii="宋体" w:hAnsi="宋体" w:cs="宋体"/>
                <w:szCs w:val="21"/>
              </w:rPr>
            </w:pPr>
            <w:r>
              <w:rPr>
                <w:rFonts w:hint="eastAsia" w:ascii="宋体" w:hAnsi="宋体" w:cs="宋体"/>
                <w:szCs w:val="21"/>
              </w:rPr>
              <w:t>住所地：</w:t>
            </w:r>
            <w:r>
              <w:rPr>
                <w:rFonts w:ascii="宋体" w:hAnsi="宋体" w:cs="宋体"/>
                <w:szCs w:val="21"/>
              </w:rPr>
              <w:t>XXX</w:t>
            </w:r>
          </w:p>
        </w:tc>
      </w:tr>
      <w:tr>
        <w:tblPrEx>
          <w:tblCellMar>
            <w:top w:w="0" w:type="dxa"/>
            <w:left w:w="108" w:type="dxa"/>
            <w:bottom w:w="0" w:type="dxa"/>
            <w:right w:w="108" w:type="dxa"/>
          </w:tblCellMar>
        </w:tblPrEx>
        <w:tc>
          <w:tcPr>
            <w:tcW w:w="8330" w:type="dxa"/>
            <w:noWrap w:val="0"/>
            <w:vAlign w:val="top"/>
          </w:tcPr>
          <w:p>
            <w:pPr>
              <w:rPr>
                <w:rFonts w:ascii="宋体" w:hAnsi="宋体" w:cs="宋体"/>
                <w:szCs w:val="21"/>
              </w:rPr>
            </w:pPr>
            <w:r>
              <w:rPr>
                <w:rFonts w:hint="eastAsia" w:ascii="宋体" w:hAnsi="宋体" w:cs="宋体"/>
                <w:szCs w:val="21"/>
              </w:rPr>
              <w:t>法定代表人：X</w:t>
            </w:r>
            <w:r>
              <w:rPr>
                <w:rFonts w:ascii="宋体" w:hAnsi="宋体" w:cs="宋体"/>
                <w:szCs w:val="21"/>
              </w:rPr>
              <w:t>XX</w:t>
            </w:r>
          </w:p>
        </w:tc>
      </w:tr>
    </w:tbl>
    <w:p>
      <w:pPr>
        <w:rPr>
          <w:rFonts w:ascii="宋体" w:hAnsi="宋体" w:cs="宋体"/>
          <w:szCs w:val="21"/>
        </w:rPr>
      </w:pPr>
    </w:p>
    <w:p>
      <w:pPr>
        <w:spacing w:line="440" w:lineRule="exact"/>
        <w:rPr>
          <w:rFonts w:ascii="等线" w:hAnsi="等线" w:eastAsia="等线" w:cs="宋体"/>
          <w:szCs w:val="21"/>
        </w:rPr>
      </w:pPr>
    </w:p>
    <w:p>
      <w:pPr>
        <w:spacing w:line="440" w:lineRule="exact"/>
        <w:rPr>
          <w:rFonts w:ascii="等线" w:hAnsi="等线" w:eastAsia="等线" w:cs="宋体"/>
          <w:szCs w:val="21"/>
        </w:rPr>
      </w:pPr>
      <w:r>
        <w:rPr>
          <w:rFonts w:hint="eastAsia" w:ascii="等线" w:hAnsi="等线" w:eastAsia="等线" w:cs="宋体"/>
          <w:szCs w:val="21"/>
        </w:rPr>
        <w:t>为借助职业化律师的专业知识、经验和执业技能，维护企业合法权益，预防或减少对企业不利的法律行为或纠纷的发生，及时处理企业法人内外法律事务，促进其高效和良性发展，甲乙双方在相互了解和信任的基础上，本着平等、自愿、公平、有偿原则，协商一致，达成以下聘请常年法律顾问协议。</w:t>
      </w:r>
    </w:p>
    <w:p>
      <w:pPr>
        <w:spacing w:line="440" w:lineRule="exact"/>
        <w:rPr>
          <w:rFonts w:ascii="等线" w:hAnsi="等线" w:eastAsia="等线" w:cs="宋体"/>
          <w:szCs w:val="21"/>
        </w:rPr>
      </w:pPr>
      <w:r>
        <w:rPr>
          <w:rFonts w:hint="eastAsia" w:ascii="等线" w:hAnsi="等线" w:eastAsia="等线" w:cs="宋体"/>
          <w:szCs w:val="21"/>
        </w:rPr>
        <w:t>一、接受聘请及指派律师</w:t>
      </w:r>
    </w:p>
    <w:p>
      <w:pPr>
        <w:spacing w:line="440" w:lineRule="exact"/>
        <w:rPr>
          <w:rFonts w:ascii="等线" w:hAnsi="等线" w:eastAsia="等线" w:cs="宋体"/>
          <w:szCs w:val="21"/>
        </w:rPr>
      </w:pPr>
      <w:r>
        <w:rPr>
          <w:rFonts w:hint="eastAsia" w:ascii="等线" w:hAnsi="等线" w:eastAsia="等线" w:cs="宋体"/>
          <w:szCs w:val="21"/>
        </w:rPr>
        <w:t>乙方接受甲方的委托，委派乙方XXX律师担任甲方常年法律顾问。乙方委派律师将在本协议生效后，为甲方提供本协议第二条约定范围内的日常法律服务。</w:t>
      </w:r>
    </w:p>
    <w:p>
      <w:pPr>
        <w:spacing w:line="440" w:lineRule="exact"/>
        <w:rPr>
          <w:rFonts w:ascii="等线" w:hAnsi="等线" w:eastAsia="等线" w:cs="宋体"/>
          <w:szCs w:val="21"/>
        </w:rPr>
      </w:pPr>
      <w:r>
        <w:rPr>
          <w:rFonts w:hint="eastAsia" w:ascii="等线" w:hAnsi="等线" w:eastAsia="等线" w:cs="宋体"/>
          <w:szCs w:val="21"/>
        </w:rPr>
        <w:t>二、服务范围与内容</w:t>
      </w:r>
    </w:p>
    <w:p>
      <w:pPr>
        <w:spacing w:line="440" w:lineRule="exact"/>
        <w:rPr>
          <w:rFonts w:ascii="等线" w:hAnsi="等线" w:eastAsia="等线" w:cs="宋体"/>
          <w:szCs w:val="21"/>
        </w:rPr>
      </w:pPr>
      <w:r>
        <w:rPr>
          <w:rFonts w:hint="eastAsia" w:ascii="等线" w:hAnsi="等线" w:eastAsia="等线" w:cs="宋体"/>
          <w:szCs w:val="21"/>
        </w:rPr>
        <w:t>乙方受指派律师担任甲方常年法律顾问的义务，为甲方提供下列法律服务，具体包括：</w:t>
      </w:r>
    </w:p>
    <w:p>
      <w:pPr>
        <w:spacing w:line="440" w:lineRule="exact"/>
        <w:rPr>
          <w:rFonts w:ascii="等线" w:hAnsi="等线" w:eastAsia="等线" w:cs="宋体"/>
          <w:szCs w:val="21"/>
        </w:rPr>
      </w:pPr>
      <w:r>
        <w:rPr>
          <w:rFonts w:hint="eastAsia" w:ascii="等线" w:hAnsi="等线" w:eastAsia="等线" w:cs="宋体"/>
          <w:szCs w:val="21"/>
        </w:rPr>
        <w:t>1、就甲方日常经营管理活动中涉及的有关法律问题，提供咨询意见；</w:t>
      </w:r>
    </w:p>
    <w:p>
      <w:pPr>
        <w:spacing w:line="440" w:lineRule="exact"/>
        <w:rPr>
          <w:rFonts w:ascii="等线" w:hAnsi="等线" w:eastAsia="等线" w:cs="宋体"/>
          <w:szCs w:val="21"/>
        </w:rPr>
      </w:pPr>
      <w:r>
        <w:rPr>
          <w:rFonts w:hint="eastAsia" w:ascii="等线" w:hAnsi="等线" w:eastAsia="等线" w:cs="宋体"/>
          <w:szCs w:val="21"/>
        </w:rPr>
        <w:t>2、就甲方资产重组、重大项目、重大招商引资工作、招投标、重大决策事项等生产、经营、管理活动事项提供法律意见，进行法律咨询服务；</w:t>
      </w:r>
    </w:p>
    <w:p>
      <w:pPr>
        <w:spacing w:line="440" w:lineRule="exact"/>
        <w:rPr>
          <w:rFonts w:ascii="等线" w:hAnsi="等线" w:eastAsia="等线" w:cs="宋体"/>
          <w:szCs w:val="21"/>
        </w:rPr>
      </w:pPr>
      <w:r>
        <w:rPr>
          <w:rFonts w:hint="eastAsia" w:ascii="等线" w:hAnsi="等线" w:eastAsia="等线" w:cs="宋体"/>
          <w:szCs w:val="21"/>
        </w:rPr>
        <w:t>3、起草、修改或审议甲方针对专门事项的声明、承诺、保证或公告等文书；</w:t>
      </w:r>
    </w:p>
    <w:p>
      <w:pPr>
        <w:spacing w:line="440" w:lineRule="exact"/>
        <w:rPr>
          <w:rFonts w:ascii="等线" w:hAnsi="等线" w:eastAsia="等线" w:cs="宋体"/>
          <w:szCs w:val="21"/>
        </w:rPr>
      </w:pPr>
      <w:r>
        <w:rPr>
          <w:rFonts w:hint="eastAsia" w:ascii="等线" w:hAnsi="等线" w:eastAsia="等线" w:cs="宋体"/>
          <w:szCs w:val="21"/>
        </w:rPr>
        <w:t>4、起草、修改或审议与他方的意向书、合同、纪要及其他法律文书；</w:t>
      </w:r>
    </w:p>
    <w:p>
      <w:pPr>
        <w:spacing w:line="440" w:lineRule="exact"/>
        <w:rPr>
          <w:rFonts w:ascii="等线" w:hAnsi="等线" w:eastAsia="等线" w:cs="宋体"/>
          <w:szCs w:val="21"/>
        </w:rPr>
      </w:pPr>
      <w:r>
        <w:rPr>
          <w:rFonts w:hint="eastAsia" w:ascii="等线" w:hAnsi="等线" w:eastAsia="等线" w:cs="宋体"/>
          <w:szCs w:val="21"/>
        </w:rPr>
        <w:t>5、应甲方要求，参加甲方合同或合作项目的谈判，并提供相关的意见或建议；</w:t>
      </w:r>
    </w:p>
    <w:p>
      <w:pPr>
        <w:spacing w:line="440" w:lineRule="exact"/>
        <w:rPr>
          <w:rFonts w:ascii="等线" w:hAnsi="等线" w:eastAsia="等线" w:cs="宋体"/>
          <w:szCs w:val="21"/>
        </w:rPr>
      </w:pPr>
      <w:r>
        <w:rPr>
          <w:rFonts w:hint="eastAsia" w:ascii="等线" w:hAnsi="等线" w:eastAsia="等线" w:cs="宋体"/>
          <w:szCs w:val="21"/>
        </w:rPr>
        <w:t>6、为甲方审查企业管理制度或重大决策；</w:t>
      </w:r>
    </w:p>
    <w:p>
      <w:pPr>
        <w:spacing w:line="440" w:lineRule="exact"/>
        <w:rPr>
          <w:rFonts w:ascii="等线" w:hAnsi="等线" w:eastAsia="等线" w:cs="宋体"/>
          <w:szCs w:val="21"/>
        </w:rPr>
      </w:pPr>
      <w:r>
        <w:rPr>
          <w:rFonts w:hint="eastAsia" w:ascii="等线" w:hAnsi="等线" w:eastAsia="等线" w:cs="宋体"/>
          <w:szCs w:val="21"/>
        </w:rPr>
        <w:t>7、参加相关的重要会议，提供决策法律咨询；</w:t>
      </w:r>
    </w:p>
    <w:p>
      <w:pPr>
        <w:spacing w:line="440" w:lineRule="exact"/>
        <w:rPr>
          <w:rFonts w:ascii="等线" w:hAnsi="等线" w:eastAsia="等线" w:cs="宋体"/>
          <w:szCs w:val="21"/>
        </w:rPr>
      </w:pPr>
      <w:r>
        <w:rPr>
          <w:rFonts w:hint="eastAsia" w:ascii="等线" w:hAnsi="等线" w:eastAsia="等线" w:cs="宋体"/>
          <w:szCs w:val="21"/>
        </w:rPr>
        <w:t>8、对甲方格式合同和其他标准格式的文件进行必要的审订、修改；</w:t>
      </w:r>
    </w:p>
    <w:p>
      <w:pPr>
        <w:spacing w:line="440" w:lineRule="exact"/>
        <w:rPr>
          <w:rFonts w:ascii="等线" w:hAnsi="等线" w:eastAsia="等线" w:cs="宋体"/>
          <w:szCs w:val="21"/>
        </w:rPr>
      </w:pPr>
      <w:r>
        <w:rPr>
          <w:rFonts w:hint="eastAsia" w:ascii="等线" w:hAnsi="等线" w:eastAsia="等线" w:cs="宋体"/>
          <w:szCs w:val="21"/>
        </w:rPr>
        <w:t>9、以发律师函的方式，协助甲方主张权利或回应他方的权利请求；</w:t>
      </w:r>
    </w:p>
    <w:p>
      <w:pPr>
        <w:spacing w:line="440" w:lineRule="exact"/>
        <w:rPr>
          <w:rFonts w:ascii="等线" w:hAnsi="等线" w:eastAsia="等线" w:cs="宋体"/>
          <w:szCs w:val="21"/>
        </w:rPr>
      </w:pPr>
      <w:r>
        <w:rPr>
          <w:rFonts w:hint="eastAsia" w:ascii="等线" w:hAnsi="等线" w:eastAsia="等线" w:cs="宋体"/>
          <w:szCs w:val="21"/>
        </w:rPr>
        <w:t>10、协助或代理甲方以非诉讼、非仲裁的方式处理甲方与他方的争议；</w:t>
      </w:r>
    </w:p>
    <w:p>
      <w:pPr>
        <w:spacing w:line="440" w:lineRule="exact"/>
        <w:rPr>
          <w:rFonts w:ascii="等线" w:hAnsi="等线" w:eastAsia="等线" w:cs="宋体"/>
          <w:szCs w:val="21"/>
        </w:rPr>
      </w:pPr>
      <w:r>
        <w:rPr>
          <w:rFonts w:hint="eastAsia" w:ascii="等线" w:hAnsi="等线" w:eastAsia="等线" w:cs="宋体"/>
          <w:szCs w:val="21"/>
        </w:rPr>
        <w:t>11、根据甲方经营、管理情况，在需要时以专题讲座、座谈等恰当形式，对顾问单位相关工作人员进行每年不少于一次专题法律培训。（根据甲方需求，具体培训次数不限）；</w:t>
      </w:r>
    </w:p>
    <w:p>
      <w:pPr>
        <w:spacing w:line="440" w:lineRule="exact"/>
        <w:rPr>
          <w:rFonts w:ascii="等线" w:hAnsi="等线" w:eastAsia="等线" w:cs="宋体"/>
          <w:szCs w:val="21"/>
        </w:rPr>
      </w:pPr>
      <w:r>
        <w:rPr>
          <w:rFonts w:hint="eastAsia" w:ascii="等线" w:hAnsi="等线" w:eastAsia="等线" w:cs="宋体"/>
          <w:szCs w:val="21"/>
        </w:rPr>
        <w:t>12、参与甲方重大项目，协助甲方健全和完善各项规章制度，根据甲方要求参与甲方的风险控制体系建设并参与风险控制调查检查工作，为甲方的生产、经营、管理方面重大决策的合法性、可行性、风险预测及对策提供法律依据和法律意见；</w:t>
      </w:r>
    </w:p>
    <w:p>
      <w:pPr>
        <w:spacing w:line="440" w:lineRule="exact"/>
        <w:rPr>
          <w:rFonts w:ascii="等线" w:hAnsi="等线" w:eastAsia="等线" w:cs="宋体"/>
          <w:szCs w:val="21"/>
        </w:rPr>
      </w:pPr>
      <w:r>
        <w:rPr>
          <w:rFonts w:hint="eastAsia" w:ascii="等线" w:hAnsi="等线" w:eastAsia="等线" w:cs="宋体"/>
          <w:szCs w:val="21"/>
        </w:rPr>
        <w:t>13、检索和提供与甲方生产经营活动相关的法律法规信息；</w:t>
      </w:r>
    </w:p>
    <w:p>
      <w:pPr>
        <w:spacing w:line="440" w:lineRule="exact"/>
        <w:rPr>
          <w:rFonts w:ascii="等线" w:hAnsi="等线" w:eastAsia="等线" w:cs="宋体"/>
          <w:szCs w:val="21"/>
        </w:rPr>
      </w:pPr>
      <w:r>
        <w:rPr>
          <w:rFonts w:hint="eastAsia" w:ascii="等线" w:hAnsi="等线" w:eastAsia="等线" w:cs="宋体"/>
          <w:szCs w:val="21"/>
        </w:rPr>
        <w:t>14、对工作中发现的法律风险事项提出风险警示或建议；</w:t>
      </w:r>
    </w:p>
    <w:p>
      <w:pPr>
        <w:spacing w:line="440" w:lineRule="exact"/>
        <w:rPr>
          <w:rFonts w:ascii="等线" w:hAnsi="等线" w:eastAsia="等线" w:cs="宋体"/>
          <w:szCs w:val="21"/>
        </w:rPr>
      </w:pPr>
      <w:r>
        <w:rPr>
          <w:rFonts w:hint="eastAsia" w:ascii="等线" w:hAnsi="等线" w:eastAsia="等线" w:cs="宋体"/>
          <w:szCs w:val="21"/>
        </w:rPr>
        <w:t>15、应甲方要求，就甲方已经面临、或者可能发生的纠纷，进行法律论证，提出解决方案，出具律师函，发表律师意见，或参与非诉讼谈判、协调、调解；</w:t>
      </w:r>
    </w:p>
    <w:p>
      <w:pPr>
        <w:spacing w:line="440" w:lineRule="exact"/>
        <w:rPr>
          <w:rFonts w:ascii="等线" w:hAnsi="等线" w:eastAsia="等线" w:cs="宋体"/>
          <w:szCs w:val="21"/>
        </w:rPr>
      </w:pPr>
      <w:r>
        <w:rPr>
          <w:rFonts w:hint="eastAsia" w:ascii="等线" w:hAnsi="等线" w:eastAsia="等线" w:cs="宋体"/>
          <w:szCs w:val="21"/>
        </w:rPr>
        <w:t>16、应甲方要求对其合作伙伴、客户进行必要的资信调查，并出具法律尽职调查意见书；</w:t>
      </w:r>
    </w:p>
    <w:p>
      <w:pPr>
        <w:spacing w:line="440" w:lineRule="exact"/>
        <w:rPr>
          <w:rFonts w:ascii="等线" w:hAnsi="等线" w:eastAsia="等线" w:cs="宋体"/>
          <w:szCs w:val="21"/>
        </w:rPr>
      </w:pPr>
      <w:r>
        <w:rPr>
          <w:rFonts w:hint="eastAsia" w:ascii="等线" w:hAnsi="等线" w:eastAsia="等线" w:cs="宋体"/>
          <w:szCs w:val="21"/>
        </w:rPr>
        <w:t>17、根据甲方委托，签订、送达或接受法律文书，起草并发送律师函（次数不限）；</w:t>
      </w:r>
    </w:p>
    <w:p>
      <w:pPr>
        <w:spacing w:line="440" w:lineRule="exact"/>
        <w:rPr>
          <w:rFonts w:ascii="等线" w:hAnsi="等线" w:eastAsia="等线" w:cs="宋体"/>
          <w:szCs w:val="21"/>
        </w:rPr>
      </w:pPr>
      <w:r>
        <w:rPr>
          <w:rFonts w:hint="eastAsia" w:ascii="等线" w:hAnsi="等线" w:eastAsia="等线" w:cs="宋体"/>
          <w:szCs w:val="21"/>
        </w:rPr>
        <w:t>18、配合甲方工作人员完善诉讼或非诉讼争议事项的资料档案整理；</w:t>
      </w:r>
    </w:p>
    <w:p>
      <w:pPr>
        <w:spacing w:line="440" w:lineRule="exact"/>
        <w:rPr>
          <w:rFonts w:ascii="等线" w:hAnsi="等线" w:eastAsia="等线" w:cs="宋体"/>
          <w:szCs w:val="21"/>
        </w:rPr>
      </w:pPr>
      <w:r>
        <w:rPr>
          <w:rFonts w:hint="eastAsia" w:ascii="等线" w:hAnsi="等线" w:eastAsia="等线" w:cs="宋体"/>
          <w:szCs w:val="21"/>
        </w:rPr>
        <w:t>19、应甲方要求，结合企业实际，协助企业开展法治建设。应甲方要求或邀请，推进法治企业建设，为甲方才开展普法宣传工作提供必要的支持、提升企业员工法律素养和法治意识。</w:t>
      </w:r>
    </w:p>
    <w:p>
      <w:pPr>
        <w:spacing w:line="440" w:lineRule="exact"/>
        <w:rPr>
          <w:rFonts w:ascii="等线" w:hAnsi="等线" w:eastAsia="等线" w:cs="宋体"/>
          <w:szCs w:val="21"/>
        </w:rPr>
      </w:pPr>
      <w:r>
        <w:rPr>
          <w:rFonts w:hint="eastAsia" w:ascii="等线" w:hAnsi="等线" w:eastAsia="等线" w:cs="宋体"/>
          <w:szCs w:val="21"/>
        </w:rPr>
        <w:t>20、风险排查服务，针对甲方存续状况、资产状况、合同及其履行状况、债权债务状况、诉讼仲裁状况等根据甲方的要求进行一次全面细致的排查。最大限度地防范和化解甲方可能存在的法律风险，保障甲方生产经营活动的顺利开展，保护甲方的资产安全及合法权益。</w:t>
      </w:r>
    </w:p>
    <w:p>
      <w:pPr>
        <w:spacing w:line="440" w:lineRule="exact"/>
        <w:rPr>
          <w:rFonts w:ascii="等线" w:hAnsi="等线" w:eastAsia="等线" w:cs="宋体"/>
          <w:szCs w:val="21"/>
        </w:rPr>
      </w:pPr>
      <w:r>
        <w:rPr>
          <w:rFonts w:hint="eastAsia" w:ascii="等线" w:hAnsi="等线" w:eastAsia="等线" w:cs="宋体"/>
          <w:szCs w:val="21"/>
        </w:rPr>
        <w:t>三、乙方提供服务方式</w:t>
      </w:r>
    </w:p>
    <w:p>
      <w:pPr>
        <w:spacing w:line="440" w:lineRule="exact"/>
        <w:rPr>
          <w:rFonts w:ascii="等线" w:hAnsi="等线" w:eastAsia="等线" w:cs="宋体"/>
          <w:szCs w:val="21"/>
        </w:rPr>
      </w:pPr>
      <w:r>
        <w:rPr>
          <w:rFonts w:hint="eastAsia" w:ascii="等线" w:hAnsi="等线" w:eastAsia="等线" w:cs="宋体"/>
          <w:szCs w:val="21"/>
        </w:rPr>
        <w:t>1、根据甲方的服务需求，为甲方提供常年法律服务，通过包括现场、电话、视频、电子邮件等多形式及时提供服务。根据甲方咨询的具体事件复杂程度、甲方工作习惯等，保持24小时电话开机状态，以便能够随时为甲方解答电话咨询。</w:t>
      </w:r>
    </w:p>
    <w:p>
      <w:pPr>
        <w:spacing w:line="440" w:lineRule="exact"/>
        <w:rPr>
          <w:rFonts w:ascii="等线" w:hAnsi="等线" w:eastAsia="等线" w:cs="宋体"/>
          <w:szCs w:val="21"/>
        </w:rPr>
      </w:pPr>
      <w:r>
        <w:rPr>
          <w:rFonts w:hint="eastAsia" w:ascii="等线" w:hAnsi="等线" w:eastAsia="等线" w:cs="宋体"/>
          <w:szCs w:val="21"/>
        </w:rPr>
        <w:t>2、对甲方的法律咨询及法律事务按要求进行专业解答,一般情况在4小时(紧急事务应在2小时)内回应(包括口头答复),并对相关问题提出具体的可操作方案和解决途径。</w:t>
      </w:r>
    </w:p>
    <w:p>
      <w:pPr>
        <w:spacing w:line="440" w:lineRule="exact"/>
        <w:rPr>
          <w:rFonts w:ascii="等线" w:hAnsi="等线" w:eastAsia="等线" w:cs="宋体"/>
          <w:szCs w:val="21"/>
        </w:rPr>
      </w:pPr>
      <w:r>
        <w:rPr>
          <w:rFonts w:hint="eastAsia" w:ascii="等线" w:hAnsi="等线" w:eastAsia="等线" w:cs="宋体"/>
          <w:szCs w:val="21"/>
        </w:rPr>
        <w:t>3、保证在甲方咨询的问题较为复杂需要进行现场解答时，在甲方提出后并在甲方确定的指定时间内，前往约定地点为甲方提供现场咨询服务。</w:t>
      </w:r>
    </w:p>
    <w:p>
      <w:pPr>
        <w:spacing w:line="440" w:lineRule="exact"/>
        <w:rPr>
          <w:rFonts w:ascii="等线" w:hAnsi="等线" w:eastAsia="等线" w:cs="宋体"/>
          <w:szCs w:val="21"/>
        </w:rPr>
      </w:pPr>
      <w:r>
        <w:rPr>
          <w:rFonts w:hint="eastAsia" w:ascii="等线" w:hAnsi="等线" w:eastAsia="等线" w:cs="宋体"/>
          <w:szCs w:val="21"/>
        </w:rPr>
        <w:t>4、在甲方遇到特殊或重大、疑难法律问题时，发挥各部门业务专长的优势，乙方律师团队或其他相关专业律师组成专项小组，就该问题进行详细论证，并将论证内容及结果向甲方进行解答，以极具针对性的方式为甲方排忧解难。</w:t>
      </w:r>
    </w:p>
    <w:p>
      <w:pPr>
        <w:spacing w:line="440" w:lineRule="exact"/>
        <w:rPr>
          <w:rFonts w:ascii="等线" w:hAnsi="等线" w:eastAsia="等线" w:cs="宋体"/>
          <w:szCs w:val="21"/>
        </w:rPr>
      </w:pPr>
      <w:r>
        <w:rPr>
          <w:rFonts w:hint="eastAsia" w:ascii="等线" w:hAnsi="等线" w:eastAsia="等线" w:cs="宋体"/>
          <w:szCs w:val="21"/>
        </w:rPr>
        <w:t>5、草拟、修改、审核甲方在经营管理及对外活动中的各种法律事务文书，甲方内部管理文件及规章制度，在甲方指定的合理期限内提供。</w:t>
      </w:r>
    </w:p>
    <w:p>
      <w:pPr>
        <w:spacing w:line="440" w:lineRule="exact"/>
        <w:rPr>
          <w:rFonts w:ascii="等线" w:hAnsi="等线" w:eastAsia="等线" w:cs="宋体"/>
          <w:szCs w:val="21"/>
        </w:rPr>
      </w:pPr>
      <w:r>
        <w:rPr>
          <w:rFonts w:hint="eastAsia" w:ascii="等线" w:hAnsi="等线" w:eastAsia="等线" w:cs="宋体"/>
          <w:szCs w:val="21"/>
        </w:rPr>
        <w:t>6、根据甲方要求针对具体事项出具法律咨询意见、发送律师函（次数不限）。</w:t>
      </w:r>
    </w:p>
    <w:p>
      <w:pPr>
        <w:spacing w:line="440" w:lineRule="exact"/>
        <w:rPr>
          <w:rFonts w:ascii="等线" w:hAnsi="等线" w:eastAsia="等线" w:cs="宋体"/>
          <w:szCs w:val="21"/>
        </w:rPr>
      </w:pPr>
      <w:r>
        <w:rPr>
          <w:rFonts w:hint="eastAsia" w:ascii="等线" w:hAnsi="等线" w:eastAsia="等线" w:cs="宋体"/>
          <w:szCs w:val="21"/>
        </w:rPr>
        <w:t>7、参与重大经济事项的商务（合同）谈判，尤其针对与海事海商、建设工程等较为复杂交易的项目，原则上由项目负责人亲自参与谈判，共同设计交易架构，由主办律师准备谈判所需的法律文件，草拟合同，并交项目负责人审核。</w:t>
      </w:r>
    </w:p>
    <w:p>
      <w:pPr>
        <w:spacing w:line="440" w:lineRule="exact"/>
        <w:rPr>
          <w:rFonts w:ascii="等线" w:hAnsi="等线" w:eastAsia="等线" w:cs="宋体"/>
          <w:szCs w:val="21"/>
        </w:rPr>
      </w:pPr>
      <w:r>
        <w:rPr>
          <w:rFonts w:hint="eastAsia" w:ascii="等线" w:hAnsi="等线" w:eastAsia="等线" w:cs="宋体"/>
          <w:szCs w:val="21"/>
        </w:rPr>
        <w:t>8、依据甲方的经营状况及要求，将对甲方相关工作人员进行每年不少于一次专题法律培训（具体次数以甲方通知为准）。在整理讲稿前，充分搜集甲方单位员工在工作中所遇到的相关法律问题，针对前述问题对甲方的员工进行培训。或者与甲方协商后，根据甲方自身经营和开展业务的需要，确定培训内容。</w:t>
      </w:r>
    </w:p>
    <w:p>
      <w:pPr>
        <w:spacing w:line="440" w:lineRule="exact"/>
        <w:rPr>
          <w:rFonts w:ascii="等线" w:hAnsi="等线" w:eastAsia="等线" w:cs="宋体"/>
          <w:szCs w:val="21"/>
        </w:rPr>
      </w:pPr>
      <w:r>
        <w:rPr>
          <w:rFonts w:hint="eastAsia" w:ascii="等线" w:hAnsi="等线" w:eastAsia="等线" w:cs="宋体"/>
          <w:szCs w:val="21"/>
        </w:rPr>
        <w:t>9、对于案件代理服务，提前介入仲裁或诉讼案件，代为收集证据、参与论证和谈判斡旋；接受甲方的委托担任代理人，参与诉讼、非诉讼、调解、仲裁活动。</w:t>
      </w:r>
    </w:p>
    <w:p>
      <w:pPr>
        <w:spacing w:line="440" w:lineRule="exact"/>
        <w:rPr>
          <w:rFonts w:ascii="等线" w:hAnsi="等线" w:eastAsia="等线" w:cs="宋体"/>
          <w:szCs w:val="21"/>
        </w:rPr>
      </w:pPr>
      <w:r>
        <w:rPr>
          <w:rFonts w:hint="eastAsia" w:ascii="等线" w:hAnsi="等线" w:eastAsia="等线" w:cs="宋体"/>
          <w:szCs w:val="21"/>
        </w:rPr>
        <w:t>10、进行工作考核，建立对团队承办律师的内部考核制度，每月由团队负责人律师对上月案件的承办情况进行汇总，对承办律师的工作量、工作效果进行评定，对下月的工作进行指导，根据评定等级适当发放奖金，对不合格的律师进行必要惩戒。</w:t>
      </w:r>
    </w:p>
    <w:p>
      <w:pPr>
        <w:spacing w:line="440" w:lineRule="exact"/>
        <w:rPr>
          <w:rFonts w:ascii="等线" w:hAnsi="等线" w:eastAsia="等线" w:cs="宋体"/>
          <w:szCs w:val="21"/>
        </w:rPr>
      </w:pPr>
      <w:r>
        <w:rPr>
          <w:rFonts w:hint="eastAsia" w:ascii="等线" w:hAnsi="等线" w:eastAsia="等线" w:cs="宋体"/>
          <w:szCs w:val="21"/>
        </w:rPr>
        <w:t>11、对于合同审查服务、法律意见书出具等采取协办律师初审-主办律师审查-项目负责人终审的流程，高效、专业、严谨为甲方提供服务。</w:t>
      </w:r>
    </w:p>
    <w:p>
      <w:pPr>
        <w:spacing w:line="440" w:lineRule="exact"/>
        <w:rPr>
          <w:rFonts w:ascii="等线" w:hAnsi="等线" w:eastAsia="等线" w:cs="宋体"/>
          <w:szCs w:val="21"/>
        </w:rPr>
      </w:pPr>
      <w:r>
        <w:rPr>
          <w:rFonts w:hint="eastAsia" w:ascii="等线" w:hAnsi="等线" w:eastAsia="等线" w:cs="宋体"/>
          <w:szCs w:val="21"/>
        </w:rPr>
        <w:t>四、甲方义务</w:t>
      </w:r>
    </w:p>
    <w:p>
      <w:pPr>
        <w:spacing w:line="440" w:lineRule="exact"/>
        <w:rPr>
          <w:rFonts w:ascii="等线" w:hAnsi="等线" w:eastAsia="等线" w:cs="宋体"/>
          <w:szCs w:val="21"/>
        </w:rPr>
      </w:pPr>
      <w:r>
        <w:rPr>
          <w:rFonts w:hint="eastAsia" w:ascii="等线" w:hAnsi="等线" w:eastAsia="等线" w:cs="宋体"/>
          <w:szCs w:val="21"/>
        </w:rPr>
        <w:t>1、甲方同意接受乙方指派律师为甲方提供上述服务，并保证为其工作提供必要的工作条件（包括业务资料和信息查阅、参加有关业务会议、使用办公设施以及交通工具［仅限于特定工作需要和甲方实际条件许可的情况）。</w:t>
      </w:r>
    </w:p>
    <w:p>
      <w:pPr>
        <w:spacing w:line="440" w:lineRule="exact"/>
        <w:rPr>
          <w:rFonts w:ascii="等线" w:hAnsi="等线" w:eastAsia="等线" w:cs="宋体"/>
          <w:szCs w:val="21"/>
        </w:rPr>
      </w:pPr>
      <w:r>
        <w:rPr>
          <w:rFonts w:hint="eastAsia" w:ascii="等线" w:hAnsi="等线" w:eastAsia="等线" w:cs="宋体"/>
          <w:szCs w:val="21"/>
        </w:rPr>
        <w:t>2、甲方应当及时、真实、客观地向乙方提供与法律事务有关的文件、资料信息以及其他合理方便。</w:t>
      </w:r>
    </w:p>
    <w:p>
      <w:pPr>
        <w:spacing w:line="440" w:lineRule="exact"/>
        <w:rPr>
          <w:rFonts w:ascii="等线" w:hAnsi="等线" w:eastAsia="等线" w:cs="宋体"/>
          <w:szCs w:val="21"/>
        </w:rPr>
      </w:pPr>
      <w:r>
        <w:rPr>
          <w:rFonts w:hint="eastAsia" w:ascii="等线" w:hAnsi="等线" w:eastAsia="等线" w:cs="宋体"/>
          <w:szCs w:val="21"/>
        </w:rPr>
        <w:t>3、甲方应当按时向乙方支付的常年法律顾问费和相关费用。</w:t>
      </w:r>
    </w:p>
    <w:p>
      <w:pPr>
        <w:spacing w:line="440" w:lineRule="exact"/>
        <w:rPr>
          <w:rFonts w:ascii="等线" w:hAnsi="等线" w:eastAsia="等线" w:cs="宋体"/>
          <w:szCs w:val="21"/>
        </w:rPr>
      </w:pPr>
      <w:r>
        <w:rPr>
          <w:rFonts w:hint="eastAsia" w:ascii="等线" w:hAnsi="等线" w:eastAsia="等线" w:cs="宋体"/>
          <w:szCs w:val="21"/>
        </w:rPr>
        <w:t>4、甲方指定专人为常年法律顾问的联系人，负责转达甲方的指示和要求，提供文件和资料等，甲方更换联系人应当通知常年法律顾问。</w:t>
      </w:r>
    </w:p>
    <w:p>
      <w:pPr>
        <w:spacing w:line="440" w:lineRule="exact"/>
        <w:rPr>
          <w:rFonts w:ascii="等线" w:hAnsi="等线" w:eastAsia="等线" w:cs="宋体"/>
          <w:szCs w:val="21"/>
        </w:rPr>
      </w:pPr>
      <w:r>
        <w:rPr>
          <w:rFonts w:hint="eastAsia" w:ascii="等线" w:hAnsi="等线" w:eastAsia="等线" w:cs="宋体"/>
          <w:szCs w:val="21"/>
        </w:rPr>
        <w:t>5、不向乙方提出非法或有违律师职业道德的服务要求。</w:t>
      </w:r>
    </w:p>
    <w:p>
      <w:pPr>
        <w:spacing w:line="440" w:lineRule="exact"/>
        <w:rPr>
          <w:rFonts w:ascii="等线" w:hAnsi="等线" w:eastAsia="等线" w:cs="宋体"/>
          <w:szCs w:val="21"/>
        </w:rPr>
      </w:pPr>
      <w:r>
        <w:rPr>
          <w:rFonts w:hint="eastAsia" w:ascii="等线" w:hAnsi="等线" w:eastAsia="等线" w:cs="宋体"/>
          <w:szCs w:val="21"/>
        </w:rPr>
        <w:t>6、甲方有责任对委托事项作出独立的判断、决策，甲方根据乙方律师提供的法律意见、建议、方案所作出的决定而导致损失，非因乙方律师错误运用法律、重大权利义务条款审核不到位等失职行为造成的，由甲方自行承担。</w:t>
      </w:r>
    </w:p>
    <w:p>
      <w:pPr>
        <w:spacing w:line="440" w:lineRule="exact"/>
        <w:rPr>
          <w:rFonts w:ascii="等线" w:hAnsi="等线" w:eastAsia="等线" w:cs="宋体"/>
          <w:szCs w:val="21"/>
        </w:rPr>
      </w:pPr>
      <w:r>
        <w:rPr>
          <w:rFonts w:hint="eastAsia" w:ascii="等线" w:hAnsi="等线" w:eastAsia="等线" w:cs="宋体"/>
          <w:szCs w:val="21"/>
        </w:rPr>
        <w:t>五、乙方义务</w:t>
      </w:r>
    </w:p>
    <w:p>
      <w:pPr>
        <w:spacing w:line="440" w:lineRule="exact"/>
        <w:rPr>
          <w:rFonts w:ascii="等线" w:hAnsi="等线" w:eastAsia="等线" w:cs="宋体"/>
          <w:szCs w:val="21"/>
        </w:rPr>
      </w:pPr>
      <w:r>
        <w:rPr>
          <w:rFonts w:hint="eastAsia" w:ascii="等线" w:hAnsi="等线" w:eastAsia="等线" w:cs="宋体"/>
          <w:szCs w:val="21"/>
        </w:rPr>
        <w:t>1、乙方应依法维护甲方的权益，协助甲方预防或避免纠纷的发生，并协助甲方妥善处理纠纷。</w:t>
      </w:r>
    </w:p>
    <w:p>
      <w:pPr>
        <w:spacing w:line="440" w:lineRule="exact"/>
        <w:rPr>
          <w:rFonts w:ascii="等线" w:hAnsi="等线" w:eastAsia="等线" w:cs="宋体"/>
          <w:szCs w:val="21"/>
        </w:rPr>
      </w:pPr>
      <w:r>
        <w:rPr>
          <w:rFonts w:hint="eastAsia" w:ascii="等线" w:hAnsi="等线" w:eastAsia="等线" w:cs="宋体"/>
          <w:szCs w:val="21"/>
        </w:rPr>
        <w:t>2、乙方律师应当对出具法律意见书所依据的事实和材料进行核查验证，以其依据法律作出的判断，尽最大努力维护甲方利益。 乙方应尽可能的熟悉甲方经营管理、向甲方收集工作信息资料，提高法律分析意见明确具体，并对企业有较强针对性和可操作性。乙方对所出具的法律意见合法性、完整性负责。</w:t>
      </w:r>
    </w:p>
    <w:p>
      <w:pPr>
        <w:spacing w:line="440" w:lineRule="exact"/>
        <w:rPr>
          <w:rFonts w:ascii="等线" w:hAnsi="等线" w:eastAsia="等线" w:cs="宋体"/>
          <w:szCs w:val="21"/>
        </w:rPr>
      </w:pPr>
      <w:r>
        <w:rPr>
          <w:rFonts w:hint="eastAsia" w:ascii="等线" w:hAnsi="等线" w:eastAsia="等线" w:cs="宋体"/>
          <w:szCs w:val="21"/>
        </w:rPr>
        <w:t>3、乙方对甲方业务应当单独建档，应当保存完整的工作记录，对涉及甲方的原始证据、法律文件和财物应当妥善保管。在乙方担任甲方常年法律顾问单位期间，乙方律师所提供的专项法律服务、诉讼案件代理等服务项目，无论本协议是否终止或解除，甲方有权向乙方复印相应事项信息档案。</w:t>
      </w:r>
    </w:p>
    <w:p>
      <w:pPr>
        <w:spacing w:line="440" w:lineRule="exact"/>
        <w:rPr>
          <w:rFonts w:ascii="等线" w:hAnsi="等线" w:eastAsia="等线" w:cs="宋体"/>
          <w:szCs w:val="21"/>
        </w:rPr>
      </w:pPr>
      <w:r>
        <w:rPr>
          <w:rFonts w:hint="eastAsia" w:ascii="等线" w:hAnsi="等线" w:eastAsia="等线" w:cs="宋体"/>
          <w:szCs w:val="21"/>
        </w:rPr>
        <w:t>4、每一阶段期限届满后，向甲方提交工作报告、完整的工作资料清单、相关档案资料。</w:t>
      </w:r>
    </w:p>
    <w:p>
      <w:pPr>
        <w:spacing w:line="440" w:lineRule="exact"/>
        <w:rPr>
          <w:rFonts w:ascii="等线" w:hAnsi="等线" w:eastAsia="等线" w:cs="宋体"/>
          <w:szCs w:val="21"/>
        </w:rPr>
      </w:pPr>
      <w:r>
        <w:rPr>
          <w:rFonts w:hint="eastAsia" w:ascii="等线" w:hAnsi="等线" w:eastAsia="等线" w:cs="宋体"/>
          <w:szCs w:val="21"/>
        </w:rPr>
        <w:t>5、乙方及受指派律师对于在上述工作中所接触到的甲方商业秘密或隐私等，负有保密义务。</w:t>
      </w:r>
    </w:p>
    <w:p>
      <w:pPr>
        <w:spacing w:line="440" w:lineRule="exact"/>
        <w:rPr>
          <w:rFonts w:ascii="等线" w:hAnsi="等线" w:eastAsia="等线" w:cs="宋体"/>
          <w:szCs w:val="21"/>
        </w:rPr>
      </w:pPr>
      <w:r>
        <w:rPr>
          <w:rFonts w:hint="eastAsia" w:ascii="等线" w:hAnsi="等线" w:eastAsia="等线" w:cs="宋体"/>
          <w:szCs w:val="21"/>
        </w:rPr>
        <w:t>六、违约责任和索赔</w:t>
      </w:r>
    </w:p>
    <w:p>
      <w:pPr>
        <w:spacing w:line="440" w:lineRule="exact"/>
        <w:rPr>
          <w:rFonts w:ascii="等线" w:hAnsi="等线" w:eastAsia="等线" w:cs="宋体"/>
          <w:szCs w:val="21"/>
        </w:rPr>
      </w:pPr>
      <w:r>
        <w:rPr>
          <w:rFonts w:hint="eastAsia" w:ascii="等线" w:hAnsi="等线" w:eastAsia="等线" w:cs="宋体"/>
          <w:szCs w:val="21"/>
        </w:rPr>
        <w:t>1、甲方逾期支付本协议项下任何费用的，应向乙方承担违约责任。</w:t>
      </w:r>
    </w:p>
    <w:p>
      <w:pPr>
        <w:spacing w:line="440" w:lineRule="exact"/>
        <w:rPr>
          <w:rFonts w:ascii="等线" w:hAnsi="等线" w:eastAsia="等线" w:cs="宋体"/>
          <w:szCs w:val="21"/>
        </w:rPr>
      </w:pPr>
      <w:r>
        <w:rPr>
          <w:rFonts w:hint="eastAsia" w:ascii="等线" w:hAnsi="等线" w:eastAsia="等线" w:cs="宋体"/>
          <w:szCs w:val="21"/>
        </w:rPr>
        <w:t>2、乙方律师因工作延误、失职、失误导致甲方蒙受损失，或者严重违反合同约定义务的，乙方应向甲方承担相应的赔偿责任。</w:t>
      </w:r>
    </w:p>
    <w:p>
      <w:pPr>
        <w:spacing w:line="440" w:lineRule="exact"/>
        <w:rPr>
          <w:rFonts w:ascii="等线" w:hAnsi="等线" w:eastAsia="等线" w:cs="宋体"/>
          <w:szCs w:val="21"/>
        </w:rPr>
      </w:pPr>
      <w:r>
        <w:rPr>
          <w:rFonts w:hint="eastAsia" w:ascii="等线" w:hAnsi="等线" w:eastAsia="等线" w:cs="宋体"/>
          <w:szCs w:val="21"/>
        </w:rPr>
        <w:t>3、对于重大事项，出现乙方提供法律分析意见无正当理由未能及时完成、常识性错误或缺陷、质量水平低下，并因此致使甲方（业务单元）受到上级管理部门负面评价或通报批评的，每发生1次，扣减顾问费5000元，累计超过2次，则甲方有权单方面解除常年法律顾问合同，常年顾问费用按截至出现首次解除事由时乙方实际提供服务的时间计算。</w:t>
      </w:r>
    </w:p>
    <w:p>
      <w:pPr>
        <w:spacing w:line="440" w:lineRule="exact"/>
        <w:rPr>
          <w:rFonts w:ascii="等线" w:hAnsi="等线" w:eastAsia="等线" w:cs="宋体"/>
          <w:szCs w:val="21"/>
        </w:rPr>
      </w:pPr>
      <w:r>
        <w:rPr>
          <w:rFonts w:hint="eastAsia" w:ascii="等线" w:hAnsi="等线" w:eastAsia="等线" w:cs="宋体"/>
          <w:szCs w:val="21"/>
        </w:rPr>
        <w:t>4、合同期间，发生未经甲方书面同意，乙方律师在涉及甲方（及分公司、全资及控股子公司）的对抗性案件或者交易活动中，担任了另一方的法律顾问或者代理人的，乙方应及时妥善退出。乙方未及时妥善退出的，每出现一次，甲方有权对乙方扣减顾问费5000元，出现2次及以上，甲方有权单方面解除合同，乙方退还已经支付的常年法律顾问费用并承担本协议总金额20%的违约金。</w:t>
      </w:r>
    </w:p>
    <w:p>
      <w:pPr>
        <w:spacing w:line="440" w:lineRule="exact"/>
        <w:rPr>
          <w:rFonts w:ascii="等线" w:hAnsi="等线" w:eastAsia="等线" w:cs="宋体"/>
          <w:szCs w:val="21"/>
        </w:rPr>
      </w:pPr>
      <w:r>
        <w:rPr>
          <w:rFonts w:hint="eastAsia" w:ascii="等线" w:hAnsi="等线" w:eastAsia="等线" w:cs="宋体"/>
          <w:szCs w:val="21"/>
        </w:rPr>
        <w:t>5、国资委等有关国有企业上级政府主管部门对法律审核的责任要求和标准，同样适用于乙方。经乙方把关审核的重要工作事项，被上级政府主管部门认定为法律审核不合格不严谨、存在重大缺陷、重大失误等，甲方及员工因此被追究责任（包括通报批评、赔偿、记过、赔偿等经济或行政责任之任何一种）的，乙方承担法律顾问费总金额20%的违约金，该违约金不足以弥补经济损失的，应进行相应赔偿。</w:t>
      </w:r>
    </w:p>
    <w:p>
      <w:pPr>
        <w:spacing w:line="440" w:lineRule="exact"/>
        <w:rPr>
          <w:rFonts w:ascii="等线" w:hAnsi="等线" w:eastAsia="等线" w:cs="宋体"/>
          <w:szCs w:val="21"/>
        </w:rPr>
      </w:pPr>
      <w:r>
        <w:rPr>
          <w:rFonts w:hint="eastAsia" w:ascii="等线" w:hAnsi="等线" w:eastAsia="等线" w:cs="宋体"/>
          <w:szCs w:val="21"/>
        </w:rPr>
        <w:t>七、法律顾问费及其他费用的支付</w:t>
      </w:r>
    </w:p>
    <w:p>
      <w:pPr>
        <w:spacing w:line="440" w:lineRule="exact"/>
        <w:rPr>
          <w:rFonts w:ascii="等线" w:hAnsi="等线" w:eastAsia="等线" w:cs="宋体"/>
          <w:szCs w:val="21"/>
        </w:rPr>
      </w:pPr>
      <w:r>
        <w:rPr>
          <w:rFonts w:hint="eastAsia" w:ascii="等线" w:hAnsi="等线" w:eastAsia="等线" w:cs="宋体"/>
          <w:szCs w:val="21"/>
        </w:rPr>
        <w:t>1、甲方同意就本协议第二条约定的服务工作向乙方支付常年法律顾问代理费    元人民币（大写：     元整；不含税价为   元人民币，大写：    元整 ）。该费用包括乙方律师为履行服务工作所需的重庆市主城九区差旅费和国内通讯、文字处理和资料复印等杂费。上述顾问费将在本协议生效后，甲方收到乙方开具的符合要求的发票后 十五日 内支付50%，服务期满乙方提交年度总结报告，甲方评价合格收到发票后，十五日内支付50%。乙方未开具发票的，甲方有权拒绝付款，且不承担相应违约责任。</w:t>
      </w:r>
    </w:p>
    <w:p>
      <w:pPr>
        <w:spacing w:line="440" w:lineRule="exact"/>
        <w:rPr>
          <w:rFonts w:ascii="等线" w:hAnsi="等线" w:eastAsia="等线" w:cs="宋体"/>
          <w:szCs w:val="21"/>
        </w:rPr>
      </w:pPr>
      <w:r>
        <w:rPr>
          <w:rFonts w:hint="eastAsia" w:ascii="等线" w:hAnsi="等线" w:eastAsia="等线" w:cs="宋体"/>
          <w:szCs w:val="21"/>
        </w:rPr>
        <w:t>2、前述费用不包括重庆市主城九区外的差旅费和杂费，亦不包括甲方为处理有关法律事务可能发生的招待应酬费以及政府部门、司法机关、行政机关和其他服务机构依法核收的有关费用。本款所列费用的开支，须事先征得甲方同意，并依照甲方财务管理制度向甲方另行借支并及时实报实销。</w:t>
      </w:r>
    </w:p>
    <w:p>
      <w:pPr>
        <w:spacing w:line="440" w:lineRule="exact"/>
        <w:rPr>
          <w:rFonts w:ascii="等线" w:hAnsi="等线" w:eastAsia="等线" w:cs="宋体"/>
          <w:szCs w:val="21"/>
        </w:rPr>
      </w:pPr>
      <w:r>
        <w:rPr>
          <w:rFonts w:hint="eastAsia" w:ascii="等线" w:hAnsi="等线" w:eastAsia="等线" w:cs="宋体"/>
          <w:szCs w:val="21"/>
        </w:rPr>
        <w:t>3、双方同意，除本协议第二条约定的日常法律服务事项外，如遇甲方发生下列临时、重大法律事务时，甲方拟委托乙方从事专项事务的代理，参照重庆市物价局、重庆市司法局通过的《重庆市实行政府指导价的律师服务收费标准》规定的标准，依照其标的和难易程度为计算基数，按下浮</w:t>
      </w:r>
      <w:r>
        <w:rPr>
          <w:rFonts w:ascii="等线" w:hAnsi="等线" w:eastAsia="等线" w:cs="宋体"/>
          <w:szCs w:val="21"/>
        </w:rPr>
        <w:t xml:space="preserve">  </w:t>
      </w:r>
      <w:r>
        <w:rPr>
          <w:rFonts w:hint="eastAsia" w:ascii="等线" w:hAnsi="等线" w:eastAsia="等线" w:cs="宋体"/>
          <w:szCs w:val="21"/>
        </w:rPr>
        <w:t>%的优惠比例收取代理费（具体数额双方在个案中另行确定）：</w:t>
      </w:r>
    </w:p>
    <w:p>
      <w:pPr>
        <w:spacing w:line="440" w:lineRule="exact"/>
        <w:rPr>
          <w:rFonts w:ascii="等线" w:hAnsi="等线" w:eastAsia="等线" w:cs="宋体"/>
          <w:szCs w:val="21"/>
        </w:rPr>
      </w:pPr>
      <w:r>
        <w:rPr>
          <w:rFonts w:hint="eastAsia" w:ascii="等线" w:hAnsi="等线" w:eastAsia="等线" w:cs="宋体"/>
          <w:szCs w:val="21"/>
        </w:rPr>
        <w:t>所有仲裁或诉讼案件；</w:t>
      </w:r>
    </w:p>
    <w:p>
      <w:pPr>
        <w:spacing w:line="440" w:lineRule="exact"/>
        <w:rPr>
          <w:rFonts w:ascii="等线" w:hAnsi="等线" w:eastAsia="等线" w:cs="宋体"/>
          <w:szCs w:val="21"/>
        </w:rPr>
      </w:pPr>
      <w:r>
        <w:rPr>
          <w:rFonts w:hint="eastAsia" w:ascii="等线" w:hAnsi="等线" w:eastAsia="等线" w:cs="宋体"/>
          <w:szCs w:val="21"/>
        </w:rPr>
        <w:t>重大复杂非诉讼（即交涉、调解、斡旋、协调、谈判）法律纠纷处理；</w:t>
      </w:r>
    </w:p>
    <w:p>
      <w:pPr>
        <w:spacing w:line="440" w:lineRule="exact"/>
        <w:rPr>
          <w:rFonts w:ascii="等线" w:hAnsi="等线" w:eastAsia="等线" w:cs="宋体"/>
          <w:szCs w:val="21"/>
        </w:rPr>
      </w:pPr>
      <w:r>
        <w:rPr>
          <w:rFonts w:hint="eastAsia" w:ascii="等线" w:hAnsi="等线" w:eastAsia="等线" w:cs="宋体"/>
          <w:szCs w:val="21"/>
        </w:rPr>
        <w:t>重大复杂合资、合作、融资、联营、兼并、收购、股份及产权转让和重组、技术转让、公司分立与合并，公司解散、清算或破产，投资与证券决策；</w:t>
      </w:r>
    </w:p>
    <w:p>
      <w:pPr>
        <w:spacing w:line="440" w:lineRule="exact"/>
        <w:rPr>
          <w:rFonts w:ascii="等线" w:hAnsi="等线" w:eastAsia="等线" w:cs="宋体"/>
          <w:szCs w:val="21"/>
        </w:rPr>
      </w:pPr>
      <w:r>
        <w:rPr>
          <w:rFonts w:hint="eastAsia" w:ascii="等线" w:hAnsi="等线" w:eastAsia="等线" w:cs="宋体"/>
          <w:szCs w:val="21"/>
        </w:rPr>
        <w:t>其它双方约定的重大法律专项事务。</w:t>
      </w:r>
    </w:p>
    <w:p>
      <w:pPr>
        <w:spacing w:line="440" w:lineRule="exact"/>
        <w:rPr>
          <w:rFonts w:ascii="等线" w:hAnsi="等线" w:eastAsia="等线" w:cs="宋体"/>
          <w:szCs w:val="21"/>
        </w:rPr>
      </w:pPr>
      <w:r>
        <w:rPr>
          <w:rFonts w:hint="eastAsia" w:ascii="等线" w:hAnsi="等线" w:eastAsia="等线" w:cs="宋体"/>
          <w:szCs w:val="21"/>
        </w:rPr>
        <w:t>该报价将是本所提供本方案项下服务的全部收费，已包含了本所的管理费、税费、服务利润和服务律师的服务报酬、通讯费、文件制作费、重庆市主城九区的差旅费、个人所得税等计费项目；但不包括服务律师因提供本协议项下的服务而前往重庆市主城九区以外的合理差旅住宿费。</w:t>
      </w:r>
    </w:p>
    <w:p>
      <w:pPr>
        <w:spacing w:line="440" w:lineRule="exact"/>
        <w:rPr>
          <w:rFonts w:ascii="等线" w:hAnsi="等线" w:eastAsia="等线" w:cs="宋体"/>
          <w:szCs w:val="21"/>
        </w:rPr>
      </w:pPr>
      <w:r>
        <w:rPr>
          <w:rFonts w:hint="eastAsia" w:ascii="等线" w:hAnsi="等线" w:eastAsia="等线" w:cs="宋体"/>
          <w:szCs w:val="21"/>
        </w:rPr>
        <w:t>八、合同期限</w:t>
      </w:r>
    </w:p>
    <w:p>
      <w:pPr>
        <w:spacing w:line="440" w:lineRule="exact"/>
        <w:rPr>
          <w:rFonts w:ascii="等线" w:hAnsi="等线" w:eastAsia="等线" w:cs="宋体"/>
          <w:szCs w:val="21"/>
        </w:rPr>
      </w:pPr>
      <w:r>
        <w:rPr>
          <w:rFonts w:hint="eastAsia" w:ascii="等线" w:hAnsi="等线" w:eastAsia="等线" w:cs="宋体"/>
          <w:szCs w:val="21"/>
        </w:rPr>
        <w:t>本协议期限为    年，服务期自     年      月      日至      年      月      日止。期满前，由甲方风控法审部根据服务期间的服务评价、企业管理实际等因素决定是否续签合同，在评价为优秀的情况下，经甲方内部程序决策同意后，乙方同等条件下有优先签约权利。本协议终止并不免除双方基于本协议项下产生的义务与附属责任，包括但不限于源于本协议项下职责的全面履行及对于对方商业秘密的保密。</w:t>
      </w:r>
    </w:p>
    <w:p>
      <w:pPr>
        <w:spacing w:line="440" w:lineRule="exact"/>
        <w:rPr>
          <w:rFonts w:ascii="等线" w:hAnsi="等线" w:eastAsia="等线" w:cs="宋体"/>
          <w:szCs w:val="21"/>
        </w:rPr>
      </w:pPr>
      <w:r>
        <w:rPr>
          <w:rFonts w:hint="eastAsia" w:ascii="等线" w:hAnsi="等线" w:eastAsia="等线" w:cs="宋体"/>
          <w:szCs w:val="21"/>
        </w:rPr>
        <w:t>九、其他事项</w:t>
      </w:r>
    </w:p>
    <w:p>
      <w:pPr>
        <w:spacing w:line="440" w:lineRule="exact"/>
        <w:rPr>
          <w:rFonts w:ascii="等线" w:hAnsi="等线" w:eastAsia="等线" w:cs="宋体"/>
          <w:szCs w:val="21"/>
        </w:rPr>
      </w:pPr>
      <w:r>
        <w:rPr>
          <w:rFonts w:hint="eastAsia" w:ascii="等线" w:hAnsi="等线" w:eastAsia="等线" w:cs="宋体"/>
          <w:szCs w:val="21"/>
        </w:rPr>
        <w:t>1、甲、乙双方因理解、执行本协议或与本协议有关的任何性质的争议，均应尽可能以友好协商的方式解决。如协商未能解决争议，则应将争议提交重庆仲裁委员会并按其仲裁规则进行仲裁。</w:t>
      </w:r>
    </w:p>
    <w:p>
      <w:pPr>
        <w:spacing w:line="440" w:lineRule="exact"/>
        <w:rPr>
          <w:rFonts w:ascii="等线" w:hAnsi="等线" w:eastAsia="等线" w:cs="宋体"/>
          <w:szCs w:val="21"/>
        </w:rPr>
      </w:pPr>
      <w:r>
        <w:rPr>
          <w:rFonts w:hint="eastAsia" w:ascii="等线" w:hAnsi="等线" w:eastAsia="等线" w:cs="宋体"/>
          <w:szCs w:val="21"/>
        </w:rPr>
        <w:t>2、本协议生效后，双方应自觉履行。如一方违反本协议约定，违约方在收到对方发出的书面通知后15天内仍未继续履行本协议时，守约方有权终止本协议。</w:t>
      </w:r>
    </w:p>
    <w:p>
      <w:pPr>
        <w:spacing w:line="440" w:lineRule="exact"/>
        <w:rPr>
          <w:rFonts w:ascii="等线" w:hAnsi="等线" w:eastAsia="等线" w:cs="宋体"/>
          <w:szCs w:val="21"/>
        </w:rPr>
      </w:pPr>
      <w:r>
        <w:rPr>
          <w:rFonts w:hint="eastAsia" w:ascii="等线" w:hAnsi="等线" w:eastAsia="等线" w:cs="宋体"/>
          <w:szCs w:val="21"/>
        </w:rPr>
        <w:t>3、本协议一式捌份，具有同等法律效力，甲乙双方各持肆份，经双方法定代表人或授权代表签字盖章后生效。</w:t>
      </w:r>
    </w:p>
    <w:p>
      <w:pPr>
        <w:spacing w:line="440" w:lineRule="exact"/>
      </w:pPr>
      <w:r>
        <w:rPr>
          <w:rFonts w:hint="eastAsia" w:ascii="等线" w:hAnsi="等线" w:eastAsia="等线" w:cs="宋体"/>
          <w:szCs w:val="21"/>
        </w:rPr>
        <w:t>（以下无正文）</w:t>
      </w:r>
    </w:p>
    <w:p>
      <w:pPr>
        <w:sectPr>
          <w:pgSz w:w="11906" w:h="16838"/>
          <w:pgMar w:top="1440" w:right="1800" w:bottom="1440" w:left="1800" w:header="851" w:footer="992" w:gutter="0"/>
          <w:cols w:space="720" w:num="1"/>
          <w:docGrid w:type="lines" w:linePitch="312" w:charSpace="0"/>
        </w:sectPr>
      </w:pPr>
    </w:p>
    <w:p/>
    <w:tbl>
      <w:tblPr>
        <w:tblStyle w:val="16"/>
        <w:tblW w:w="0" w:type="auto"/>
        <w:tblInd w:w="0" w:type="dxa"/>
        <w:tblLayout w:type="autofit"/>
        <w:tblCellMar>
          <w:top w:w="0" w:type="dxa"/>
          <w:left w:w="108" w:type="dxa"/>
          <w:bottom w:w="0" w:type="dxa"/>
          <w:right w:w="108" w:type="dxa"/>
        </w:tblCellMar>
      </w:tblPr>
      <w:tblGrid>
        <w:gridCol w:w="4236"/>
        <w:gridCol w:w="4236"/>
      </w:tblGrid>
      <w:tr>
        <w:tblPrEx>
          <w:tblCellMar>
            <w:top w:w="0" w:type="dxa"/>
            <w:left w:w="108" w:type="dxa"/>
            <w:bottom w:w="0" w:type="dxa"/>
            <w:right w:w="108" w:type="dxa"/>
          </w:tblCellMar>
        </w:tblPrEx>
        <w:tc>
          <w:tcPr>
            <w:tcW w:w="4236" w:type="dxa"/>
            <w:noWrap w:val="0"/>
            <w:vAlign w:val="top"/>
          </w:tcPr>
          <w:p>
            <w:pPr>
              <w:rPr>
                <w:rFonts w:ascii="Calibri" w:hAnsi="Calibri"/>
              </w:rPr>
            </w:pPr>
            <w:r>
              <w:rPr>
                <w:rFonts w:hint="eastAsia" w:ascii="宋体" w:hAnsi="宋体"/>
                <w:kern w:val="0"/>
                <w:szCs w:val="21"/>
              </w:rPr>
              <w:t>甲方</w:t>
            </w:r>
            <w:r>
              <w:rPr>
                <w:rFonts w:ascii="宋体" w:hAnsi="宋体"/>
                <w:kern w:val="0"/>
                <w:szCs w:val="21"/>
              </w:rPr>
              <w:t>（盖单位章）：</w:t>
            </w:r>
          </w:p>
        </w:tc>
        <w:tc>
          <w:tcPr>
            <w:tcW w:w="4236" w:type="dxa"/>
            <w:noWrap w:val="0"/>
            <w:vAlign w:val="top"/>
          </w:tcPr>
          <w:p>
            <w:pPr>
              <w:rPr>
                <w:rFonts w:ascii="Calibri" w:hAnsi="Calibri"/>
              </w:rPr>
            </w:pPr>
            <w:r>
              <w:rPr>
                <w:rFonts w:hint="eastAsia" w:ascii="Calibri" w:hAnsi="Calibri"/>
              </w:rPr>
              <w:t>乙方</w:t>
            </w:r>
            <w:r>
              <w:rPr>
                <w:rFonts w:ascii="Calibri" w:hAnsi="Calibri"/>
              </w:rPr>
              <w:t>（盖单位章）：</w:t>
            </w:r>
          </w:p>
        </w:tc>
      </w:tr>
      <w:tr>
        <w:tblPrEx>
          <w:tblCellMar>
            <w:top w:w="0" w:type="dxa"/>
            <w:left w:w="108" w:type="dxa"/>
            <w:bottom w:w="0" w:type="dxa"/>
            <w:right w:w="108" w:type="dxa"/>
          </w:tblCellMar>
        </w:tblPrEx>
        <w:tc>
          <w:tcPr>
            <w:tcW w:w="4236" w:type="dxa"/>
            <w:noWrap w:val="0"/>
            <w:vAlign w:val="top"/>
          </w:tcPr>
          <w:p>
            <w:pPr>
              <w:rPr>
                <w:rFonts w:ascii="宋体" w:hAnsi="宋体"/>
                <w:kern w:val="0"/>
                <w:szCs w:val="21"/>
              </w:rPr>
            </w:pPr>
          </w:p>
        </w:tc>
        <w:tc>
          <w:tcPr>
            <w:tcW w:w="4236" w:type="dxa"/>
            <w:noWrap w:val="0"/>
            <w:vAlign w:val="top"/>
          </w:tcPr>
          <w:p>
            <w:pPr>
              <w:rPr>
                <w:rFonts w:ascii="Calibri" w:hAnsi="Calibri"/>
              </w:rPr>
            </w:pPr>
          </w:p>
        </w:tc>
      </w:tr>
      <w:tr>
        <w:tblPrEx>
          <w:tblCellMar>
            <w:top w:w="0" w:type="dxa"/>
            <w:left w:w="108" w:type="dxa"/>
            <w:bottom w:w="0" w:type="dxa"/>
            <w:right w:w="108" w:type="dxa"/>
          </w:tblCellMar>
        </w:tblPrEx>
        <w:tc>
          <w:tcPr>
            <w:tcW w:w="4236" w:type="dxa"/>
            <w:noWrap w:val="0"/>
            <w:vAlign w:val="top"/>
          </w:tcPr>
          <w:p>
            <w:pPr>
              <w:rPr>
                <w:rFonts w:ascii="宋体" w:hAnsi="宋体"/>
                <w:kern w:val="0"/>
                <w:szCs w:val="21"/>
              </w:rPr>
            </w:pPr>
          </w:p>
        </w:tc>
        <w:tc>
          <w:tcPr>
            <w:tcW w:w="4236" w:type="dxa"/>
            <w:noWrap w:val="0"/>
            <w:vAlign w:val="top"/>
          </w:tcPr>
          <w:p>
            <w:pPr>
              <w:rPr>
                <w:rFonts w:ascii="Calibri" w:hAnsi="Calibri"/>
              </w:rPr>
            </w:pPr>
          </w:p>
        </w:tc>
      </w:tr>
      <w:tr>
        <w:tblPrEx>
          <w:tblCellMar>
            <w:top w:w="0" w:type="dxa"/>
            <w:left w:w="108" w:type="dxa"/>
            <w:bottom w:w="0" w:type="dxa"/>
            <w:right w:w="108" w:type="dxa"/>
          </w:tblCellMar>
        </w:tblPrEx>
        <w:tc>
          <w:tcPr>
            <w:tcW w:w="4236" w:type="dxa"/>
            <w:noWrap w:val="0"/>
            <w:vAlign w:val="top"/>
          </w:tcPr>
          <w:p>
            <w:pPr>
              <w:rPr>
                <w:rFonts w:ascii="宋体" w:hAnsi="宋体"/>
                <w:kern w:val="0"/>
                <w:szCs w:val="21"/>
              </w:rPr>
            </w:pPr>
          </w:p>
        </w:tc>
        <w:tc>
          <w:tcPr>
            <w:tcW w:w="4236" w:type="dxa"/>
            <w:noWrap w:val="0"/>
            <w:vAlign w:val="top"/>
          </w:tcPr>
          <w:p>
            <w:pPr>
              <w:rPr>
                <w:rFonts w:ascii="Calibri" w:hAnsi="Calibri"/>
              </w:rPr>
            </w:pPr>
          </w:p>
        </w:tc>
      </w:tr>
      <w:tr>
        <w:tblPrEx>
          <w:tblCellMar>
            <w:top w:w="0" w:type="dxa"/>
            <w:left w:w="108" w:type="dxa"/>
            <w:bottom w:w="0" w:type="dxa"/>
            <w:right w:w="108" w:type="dxa"/>
          </w:tblCellMar>
        </w:tblPrEx>
        <w:tc>
          <w:tcPr>
            <w:tcW w:w="4236" w:type="dxa"/>
            <w:noWrap w:val="0"/>
            <w:vAlign w:val="top"/>
          </w:tcPr>
          <w:p>
            <w:pPr>
              <w:rPr>
                <w:rFonts w:ascii="宋体" w:hAnsi="宋体"/>
                <w:kern w:val="0"/>
                <w:szCs w:val="21"/>
              </w:rPr>
            </w:pPr>
          </w:p>
        </w:tc>
        <w:tc>
          <w:tcPr>
            <w:tcW w:w="4236" w:type="dxa"/>
            <w:noWrap w:val="0"/>
            <w:vAlign w:val="top"/>
          </w:tcPr>
          <w:p>
            <w:pPr>
              <w:rPr>
                <w:rFonts w:ascii="Calibri" w:hAnsi="Calibri"/>
              </w:rPr>
            </w:pPr>
          </w:p>
        </w:tc>
      </w:tr>
      <w:tr>
        <w:tblPrEx>
          <w:tblCellMar>
            <w:top w:w="0" w:type="dxa"/>
            <w:left w:w="108" w:type="dxa"/>
            <w:bottom w:w="0" w:type="dxa"/>
            <w:right w:w="108" w:type="dxa"/>
          </w:tblCellMar>
        </w:tblPrEx>
        <w:tc>
          <w:tcPr>
            <w:tcW w:w="4236" w:type="dxa"/>
            <w:noWrap w:val="0"/>
            <w:vAlign w:val="top"/>
          </w:tcPr>
          <w:p>
            <w:pPr>
              <w:rPr>
                <w:rFonts w:ascii="宋体" w:hAnsi="宋体"/>
                <w:kern w:val="0"/>
                <w:szCs w:val="21"/>
              </w:rPr>
            </w:pPr>
          </w:p>
        </w:tc>
        <w:tc>
          <w:tcPr>
            <w:tcW w:w="4236" w:type="dxa"/>
            <w:noWrap w:val="0"/>
            <w:vAlign w:val="top"/>
          </w:tcPr>
          <w:p>
            <w:pPr>
              <w:rPr>
                <w:rFonts w:ascii="Calibri" w:hAnsi="Calibri"/>
              </w:rPr>
            </w:pPr>
          </w:p>
        </w:tc>
      </w:tr>
      <w:tr>
        <w:tblPrEx>
          <w:tblCellMar>
            <w:top w:w="0" w:type="dxa"/>
            <w:left w:w="108" w:type="dxa"/>
            <w:bottom w:w="0" w:type="dxa"/>
            <w:right w:w="108" w:type="dxa"/>
          </w:tblCellMar>
        </w:tblPrEx>
        <w:tc>
          <w:tcPr>
            <w:tcW w:w="4236" w:type="dxa"/>
            <w:noWrap w:val="0"/>
            <w:vAlign w:val="top"/>
          </w:tcPr>
          <w:p>
            <w:pPr>
              <w:rPr>
                <w:rFonts w:ascii="Calibri" w:hAnsi="Calibri"/>
              </w:rPr>
            </w:pPr>
            <w:r>
              <w:rPr>
                <w:rFonts w:ascii="Calibri" w:hAnsi="Calibri"/>
              </w:rPr>
              <w:t>法定代表人</w:t>
            </w:r>
          </w:p>
        </w:tc>
        <w:tc>
          <w:tcPr>
            <w:tcW w:w="4236" w:type="dxa"/>
            <w:noWrap w:val="0"/>
            <w:vAlign w:val="top"/>
          </w:tcPr>
          <w:p>
            <w:pPr>
              <w:rPr>
                <w:rFonts w:ascii="Calibri" w:hAnsi="Calibri"/>
              </w:rPr>
            </w:pPr>
            <w:r>
              <w:rPr>
                <w:rFonts w:ascii="Calibri" w:hAnsi="Calibri"/>
              </w:rPr>
              <w:t>法定代表人</w:t>
            </w:r>
          </w:p>
        </w:tc>
      </w:tr>
      <w:tr>
        <w:tblPrEx>
          <w:tblCellMar>
            <w:top w:w="0" w:type="dxa"/>
            <w:left w:w="108" w:type="dxa"/>
            <w:bottom w:w="0" w:type="dxa"/>
            <w:right w:w="108" w:type="dxa"/>
          </w:tblCellMar>
        </w:tblPrEx>
        <w:tc>
          <w:tcPr>
            <w:tcW w:w="4236" w:type="dxa"/>
            <w:noWrap w:val="0"/>
            <w:vAlign w:val="top"/>
          </w:tcPr>
          <w:p>
            <w:pPr>
              <w:rPr>
                <w:rFonts w:ascii="Calibri" w:hAnsi="Calibri"/>
              </w:rPr>
            </w:pPr>
          </w:p>
        </w:tc>
        <w:tc>
          <w:tcPr>
            <w:tcW w:w="4236" w:type="dxa"/>
            <w:noWrap w:val="0"/>
            <w:vAlign w:val="top"/>
          </w:tcPr>
          <w:p>
            <w:pPr>
              <w:rPr>
                <w:rFonts w:ascii="Calibri" w:hAnsi="Calibri"/>
              </w:rPr>
            </w:pPr>
          </w:p>
        </w:tc>
      </w:tr>
      <w:tr>
        <w:tblPrEx>
          <w:tblCellMar>
            <w:top w:w="0" w:type="dxa"/>
            <w:left w:w="108" w:type="dxa"/>
            <w:bottom w:w="0" w:type="dxa"/>
            <w:right w:w="108" w:type="dxa"/>
          </w:tblCellMar>
        </w:tblPrEx>
        <w:tc>
          <w:tcPr>
            <w:tcW w:w="4236" w:type="dxa"/>
            <w:noWrap w:val="0"/>
            <w:vAlign w:val="top"/>
          </w:tcPr>
          <w:p>
            <w:pPr>
              <w:rPr>
                <w:rFonts w:ascii="Calibri" w:hAnsi="Calibri"/>
              </w:rPr>
            </w:pPr>
          </w:p>
        </w:tc>
        <w:tc>
          <w:tcPr>
            <w:tcW w:w="4236" w:type="dxa"/>
            <w:noWrap w:val="0"/>
            <w:vAlign w:val="top"/>
          </w:tcPr>
          <w:p>
            <w:pPr>
              <w:rPr>
                <w:rFonts w:ascii="Calibri" w:hAnsi="Calibri"/>
              </w:rPr>
            </w:pPr>
          </w:p>
        </w:tc>
      </w:tr>
      <w:tr>
        <w:tblPrEx>
          <w:tblCellMar>
            <w:top w:w="0" w:type="dxa"/>
            <w:left w:w="108" w:type="dxa"/>
            <w:bottom w:w="0" w:type="dxa"/>
            <w:right w:w="108" w:type="dxa"/>
          </w:tblCellMar>
        </w:tblPrEx>
        <w:tc>
          <w:tcPr>
            <w:tcW w:w="4236" w:type="dxa"/>
            <w:noWrap w:val="0"/>
            <w:vAlign w:val="top"/>
          </w:tcPr>
          <w:p>
            <w:pPr>
              <w:rPr>
                <w:rFonts w:ascii="Calibri" w:hAnsi="Calibri"/>
              </w:rPr>
            </w:pPr>
          </w:p>
        </w:tc>
        <w:tc>
          <w:tcPr>
            <w:tcW w:w="4236" w:type="dxa"/>
            <w:noWrap w:val="0"/>
            <w:vAlign w:val="top"/>
          </w:tcPr>
          <w:p>
            <w:pPr>
              <w:rPr>
                <w:rFonts w:ascii="Calibri" w:hAnsi="Calibri"/>
              </w:rPr>
            </w:pPr>
          </w:p>
        </w:tc>
      </w:tr>
      <w:tr>
        <w:tblPrEx>
          <w:tblCellMar>
            <w:top w:w="0" w:type="dxa"/>
            <w:left w:w="108" w:type="dxa"/>
            <w:bottom w:w="0" w:type="dxa"/>
            <w:right w:w="108" w:type="dxa"/>
          </w:tblCellMar>
        </w:tblPrEx>
        <w:tc>
          <w:tcPr>
            <w:tcW w:w="4236" w:type="dxa"/>
            <w:noWrap w:val="0"/>
            <w:vAlign w:val="top"/>
          </w:tcPr>
          <w:p>
            <w:pPr>
              <w:rPr>
                <w:rFonts w:ascii="Calibri" w:hAnsi="Calibri"/>
              </w:rPr>
            </w:pPr>
          </w:p>
        </w:tc>
        <w:tc>
          <w:tcPr>
            <w:tcW w:w="4236" w:type="dxa"/>
            <w:noWrap w:val="0"/>
            <w:vAlign w:val="top"/>
          </w:tcPr>
          <w:p>
            <w:pPr>
              <w:rPr>
                <w:rFonts w:ascii="Calibri" w:hAnsi="Calibri"/>
              </w:rPr>
            </w:pPr>
          </w:p>
        </w:tc>
      </w:tr>
      <w:tr>
        <w:tblPrEx>
          <w:tblCellMar>
            <w:top w:w="0" w:type="dxa"/>
            <w:left w:w="108" w:type="dxa"/>
            <w:bottom w:w="0" w:type="dxa"/>
            <w:right w:w="108" w:type="dxa"/>
          </w:tblCellMar>
        </w:tblPrEx>
        <w:tc>
          <w:tcPr>
            <w:tcW w:w="4236" w:type="dxa"/>
            <w:noWrap w:val="0"/>
            <w:vAlign w:val="top"/>
          </w:tcPr>
          <w:p>
            <w:pPr>
              <w:rPr>
                <w:rFonts w:ascii="Calibri" w:hAnsi="Calibri"/>
              </w:rPr>
            </w:pPr>
          </w:p>
        </w:tc>
        <w:tc>
          <w:tcPr>
            <w:tcW w:w="4236" w:type="dxa"/>
            <w:noWrap w:val="0"/>
            <w:vAlign w:val="top"/>
          </w:tcPr>
          <w:p>
            <w:pPr>
              <w:rPr>
                <w:rFonts w:ascii="Calibri" w:hAnsi="Calibri"/>
              </w:rPr>
            </w:pPr>
          </w:p>
        </w:tc>
      </w:tr>
      <w:tr>
        <w:tblPrEx>
          <w:tblCellMar>
            <w:top w:w="0" w:type="dxa"/>
            <w:left w:w="108" w:type="dxa"/>
            <w:bottom w:w="0" w:type="dxa"/>
            <w:right w:w="108" w:type="dxa"/>
          </w:tblCellMar>
        </w:tblPrEx>
        <w:tc>
          <w:tcPr>
            <w:tcW w:w="4236" w:type="dxa"/>
            <w:noWrap w:val="0"/>
            <w:vAlign w:val="top"/>
          </w:tcPr>
          <w:p>
            <w:pPr>
              <w:rPr>
                <w:rFonts w:ascii="Calibri" w:hAnsi="Calibri"/>
              </w:rPr>
            </w:pPr>
            <w:r>
              <w:rPr>
                <w:rFonts w:hint="eastAsia" w:ascii="Calibri" w:hAnsi="Calibri"/>
              </w:rPr>
              <w:t>经办人</w:t>
            </w:r>
            <w:r>
              <w:rPr>
                <w:rFonts w:ascii="Calibri" w:hAnsi="Calibri"/>
              </w:rPr>
              <w:t>：</w:t>
            </w:r>
          </w:p>
        </w:tc>
        <w:tc>
          <w:tcPr>
            <w:tcW w:w="4236" w:type="dxa"/>
            <w:noWrap w:val="0"/>
            <w:vAlign w:val="top"/>
          </w:tcPr>
          <w:p>
            <w:pPr>
              <w:rPr>
                <w:rFonts w:ascii="Calibri" w:hAnsi="Calibri"/>
              </w:rPr>
            </w:pPr>
            <w:r>
              <w:rPr>
                <w:rFonts w:hint="eastAsia" w:ascii="Calibri" w:hAnsi="Calibri"/>
              </w:rPr>
              <w:t>经办人</w:t>
            </w:r>
            <w:r>
              <w:rPr>
                <w:rFonts w:ascii="Calibri" w:hAnsi="Calibri"/>
              </w:rPr>
              <w:t>：</w:t>
            </w:r>
          </w:p>
        </w:tc>
      </w:tr>
      <w:tr>
        <w:tblPrEx>
          <w:tblCellMar>
            <w:top w:w="0" w:type="dxa"/>
            <w:left w:w="108" w:type="dxa"/>
            <w:bottom w:w="0" w:type="dxa"/>
            <w:right w:w="108" w:type="dxa"/>
          </w:tblCellMar>
        </w:tblPrEx>
        <w:tc>
          <w:tcPr>
            <w:tcW w:w="4236" w:type="dxa"/>
            <w:noWrap w:val="0"/>
            <w:vAlign w:val="top"/>
          </w:tcPr>
          <w:p>
            <w:pPr>
              <w:rPr>
                <w:rFonts w:ascii="Calibri" w:hAnsi="Calibri"/>
              </w:rPr>
            </w:pPr>
          </w:p>
        </w:tc>
        <w:tc>
          <w:tcPr>
            <w:tcW w:w="4236" w:type="dxa"/>
            <w:noWrap w:val="0"/>
            <w:vAlign w:val="top"/>
          </w:tcPr>
          <w:p>
            <w:pPr>
              <w:rPr>
                <w:rFonts w:ascii="Calibri" w:hAnsi="Calibri"/>
              </w:rPr>
            </w:pPr>
          </w:p>
        </w:tc>
      </w:tr>
      <w:tr>
        <w:tblPrEx>
          <w:tblCellMar>
            <w:top w:w="0" w:type="dxa"/>
            <w:left w:w="108" w:type="dxa"/>
            <w:bottom w:w="0" w:type="dxa"/>
            <w:right w:w="108" w:type="dxa"/>
          </w:tblCellMar>
        </w:tblPrEx>
        <w:tc>
          <w:tcPr>
            <w:tcW w:w="4236" w:type="dxa"/>
            <w:noWrap w:val="0"/>
            <w:vAlign w:val="top"/>
          </w:tcPr>
          <w:p>
            <w:pPr>
              <w:rPr>
                <w:rFonts w:ascii="Calibri" w:hAnsi="Calibri"/>
              </w:rPr>
            </w:pPr>
          </w:p>
        </w:tc>
        <w:tc>
          <w:tcPr>
            <w:tcW w:w="4236" w:type="dxa"/>
            <w:noWrap w:val="0"/>
            <w:vAlign w:val="top"/>
          </w:tcPr>
          <w:p>
            <w:pPr>
              <w:rPr>
                <w:rFonts w:ascii="Calibri" w:hAnsi="Calibri"/>
              </w:rPr>
            </w:pPr>
          </w:p>
        </w:tc>
      </w:tr>
      <w:tr>
        <w:tblPrEx>
          <w:tblCellMar>
            <w:top w:w="0" w:type="dxa"/>
            <w:left w:w="108" w:type="dxa"/>
            <w:bottom w:w="0" w:type="dxa"/>
            <w:right w:w="108" w:type="dxa"/>
          </w:tblCellMar>
        </w:tblPrEx>
        <w:tc>
          <w:tcPr>
            <w:tcW w:w="4236" w:type="dxa"/>
            <w:noWrap w:val="0"/>
            <w:vAlign w:val="top"/>
          </w:tcPr>
          <w:p>
            <w:pPr>
              <w:rPr>
                <w:rFonts w:ascii="Calibri" w:hAnsi="Calibri"/>
              </w:rPr>
            </w:pPr>
          </w:p>
        </w:tc>
        <w:tc>
          <w:tcPr>
            <w:tcW w:w="4236" w:type="dxa"/>
            <w:noWrap w:val="0"/>
            <w:vAlign w:val="top"/>
          </w:tcPr>
          <w:p>
            <w:pPr>
              <w:rPr>
                <w:rFonts w:ascii="Calibri" w:hAnsi="Calibri"/>
              </w:rPr>
            </w:pPr>
          </w:p>
        </w:tc>
      </w:tr>
      <w:tr>
        <w:tblPrEx>
          <w:tblCellMar>
            <w:top w:w="0" w:type="dxa"/>
            <w:left w:w="108" w:type="dxa"/>
            <w:bottom w:w="0" w:type="dxa"/>
            <w:right w:w="108" w:type="dxa"/>
          </w:tblCellMar>
        </w:tblPrEx>
        <w:tc>
          <w:tcPr>
            <w:tcW w:w="4236" w:type="dxa"/>
            <w:noWrap w:val="0"/>
            <w:vAlign w:val="top"/>
          </w:tcPr>
          <w:p>
            <w:pPr>
              <w:rPr>
                <w:rFonts w:ascii="Calibri" w:hAnsi="Calibri"/>
              </w:rPr>
            </w:pPr>
          </w:p>
        </w:tc>
        <w:tc>
          <w:tcPr>
            <w:tcW w:w="4236" w:type="dxa"/>
            <w:noWrap w:val="0"/>
            <w:vAlign w:val="top"/>
          </w:tcPr>
          <w:p>
            <w:pPr>
              <w:rPr>
                <w:rFonts w:ascii="Calibri" w:hAnsi="Calibri"/>
              </w:rPr>
            </w:pPr>
          </w:p>
        </w:tc>
      </w:tr>
      <w:tr>
        <w:tblPrEx>
          <w:tblCellMar>
            <w:top w:w="0" w:type="dxa"/>
            <w:left w:w="108" w:type="dxa"/>
            <w:bottom w:w="0" w:type="dxa"/>
            <w:right w:w="108" w:type="dxa"/>
          </w:tblCellMar>
        </w:tblPrEx>
        <w:tc>
          <w:tcPr>
            <w:tcW w:w="4236" w:type="dxa"/>
            <w:noWrap w:val="0"/>
            <w:vAlign w:val="top"/>
          </w:tcPr>
          <w:p>
            <w:pPr>
              <w:rPr>
                <w:rFonts w:ascii="Calibri" w:hAnsi="Calibri"/>
              </w:rPr>
            </w:pPr>
          </w:p>
        </w:tc>
        <w:tc>
          <w:tcPr>
            <w:tcW w:w="4236" w:type="dxa"/>
            <w:noWrap w:val="0"/>
            <w:vAlign w:val="top"/>
          </w:tcPr>
          <w:p>
            <w:pPr>
              <w:rPr>
                <w:rFonts w:ascii="Calibri" w:hAnsi="Calibri"/>
              </w:rPr>
            </w:pPr>
          </w:p>
        </w:tc>
      </w:tr>
    </w:tbl>
    <w:p/>
    <w:p>
      <w:pPr>
        <w:pStyle w:val="7"/>
        <w:spacing w:line="579" w:lineRule="exact"/>
        <w:ind w:firstLine="2530" w:firstLineChars="900"/>
        <w:rPr>
          <w:rFonts w:ascii="宋体" w:hAnsi="宋体" w:cs="宋体"/>
          <w:sz w:val="28"/>
          <w:szCs w:val="28"/>
          <w:u w:val="single"/>
        </w:rPr>
      </w:pPr>
    </w:p>
    <w:p>
      <w:pPr>
        <w:tabs>
          <w:tab w:val="left" w:pos="2822"/>
        </w:tabs>
        <w:spacing w:line="560" w:lineRule="exact"/>
        <w:jc w:val="center"/>
      </w:pPr>
    </w:p>
    <w:p>
      <w:pPr>
        <w:pStyle w:val="6"/>
        <w:numPr>
          <w:ilvl w:val="0"/>
          <w:numId w:val="0"/>
        </w:numPr>
        <w:tabs>
          <w:tab w:val="left" w:pos="567"/>
        </w:tabs>
        <w:ind w:left="567" w:leftChars="0"/>
      </w:pPr>
    </w:p>
    <w:p/>
    <w:p>
      <w:pPr>
        <w:pStyle w:val="6"/>
        <w:numPr>
          <w:ilvl w:val="0"/>
          <w:numId w:val="0"/>
        </w:numPr>
        <w:tabs>
          <w:tab w:val="left" w:pos="567"/>
        </w:tabs>
        <w:ind w:left="567" w:leftChars="0"/>
      </w:pPr>
    </w:p>
    <w:p/>
    <w:p>
      <w:pPr>
        <w:pStyle w:val="6"/>
        <w:numPr>
          <w:ilvl w:val="0"/>
          <w:numId w:val="0"/>
        </w:numPr>
        <w:tabs>
          <w:tab w:val="left" w:pos="567"/>
        </w:tabs>
        <w:ind w:left="567" w:leftChars="0"/>
      </w:pPr>
    </w:p>
    <w:bookmarkEnd w:id="0"/>
    <w:bookmarkEnd w:id="1"/>
    <w:bookmarkEnd w:id="2"/>
    <w:bookmarkEnd w:id="3"/>
    <w:bookmarkEnd w:id="4"/>
    <w:bookmarkEnd w:id="5"/>
    <w:bookmarkEnd w:id="6"/>
    <w:p>
      <w:pPr>
        <w:tabs>
          <w:tab w:val="left" w:pos="2822"/>
        </w:tabs>
        <w:spacing w:line="560" w:lineRule="exact"/>
        <w:jc w:val="both"/>
      </w:pPr>
    </w:p>
    <w:sectPr>
      <w:headerReference r:id="rId8" w:type="default"/>
      <w:footerReference r:id="rId9"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3</w: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36</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重庆高速资产经营管理有限公司竞争性比选文件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重庆高速资产经营管理有限公司竞争性比选文件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r>
      <w:rPr>
        <w:rFonts w:hint="eastAsia"/>
      </w:rPr>
      <w:t>重庆高速资产经营管理有限公司竞争性比选文件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1C26CF"/>
    <w:multiLevelType w:val="singleLevel"/>
    <w:tmpl w:val="281C26CF"/>
    <w:lvl w:ilvl="0" w:tentative="0">
      <w:start w:val="1"/>
      <w:numFmt w:val="decimal"/>
      <w:suff w:val="space"/>
      <w:lvlText w:val="%1."/>
      <w:lvlJc w:val="left"/>
    </w:lvl>
  </w:abstractNum>
  <w:abstractNum w:abstractNumId="1">
    <w:nsid w:val="582180CE"/>
    <w:multiLevelType w:val="singleLevel"/>
    <w:tmpl w:val="582180CE"/>
    <w:lvl w:ilvl="0" w:tentative="0">
      <w:start w:val="1"/>
      <w:numFmt w:val="decimal"/>
      <w:suff w:val="nothing"/>
      <w:lvlText w:val="%1、"/>
      <w:lvlJc w:val="left"/>
    </w:lvl>
  </w:abstractNum>
  <w:abstractNum w:abstractNumId="2">
    <w:nsid w:val="6205CB24"/>
    <w:multiLevelType w:val="singleLevel"/>
    <w:tmpl w:val="6205CB24"/>
    <w:lvl w:ilvl="0" w:tentative="0">
      <w:start w:val="1"/>
      <w:numFmt w:val="chineseCounting"/>
      <w:suff w:val="space"/>
      <w:lvlText w:val="第%1条"/>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MGZmMzcxZDhkMzQwNDQ0YWE5M2Q4YTA2ZjU1NGIifQ=="/>
  </w:docVars>
  <w:rsids>
    <w:rsidRoot w:val="00914F80"/>
    <w:rsid w:val="00000CF6"/>
    <w:rsid w:val="00002A97"/>
    <w:rsid w:val="000033CE"/>
    <w:rsid w:val="00003965"/>
    <w:rsid w:val="00005E12"/>
    <w:rsid w:val="00007F00"/>
    <w:rsid w:val="000160F8"/>
    <w:rsid w:val="0001701B"/>
    <w:rsid w:val="000172FD"/>
    <w:rsid w:val="0002116F"/>
    <w:rsid w:val="00023185"/>
    <w:rsid w:val="00024709"/>
    <w:rsid w:val="00024760"/>
    <w:rsid w:val="00024C19"/>
    <w:rsid w:val="00026015"/>
    <w:rsid w:val="000314B8"/>
    <w:rsid w:val="000319D3"/>
    <w:rsid w:val="000340E6"/>
    <w:rsid w:val="00036C85"/>
    <w:rsid w:val="00040FBB"/>
    <w:rsid w:val="00042FFA"/>
    <w:rsid w:val="00043A66"/>
    <w:rsid w:val="00044BA7"/>
    <w:rsid w:val="00053915"/>
    <w:rsid w:val="00054058"/>
    <w:rsid w:val="00054E6F"/>
    <w:rsid w:val="000606E8"/>
    <w:rsid w:val="00060B97"/>
    <w:rsid w:val="00060DC9"/>
    <w:rsid w:val="0006237C"/>
    <w:rsid w:val="00062D12"/>
    <w:rsid w:val="00070AD4"/>
    <w:rsid w:val="000730B1"/>
    <w:rsid w:val="00073DC4"/>
    <w:rsid w:val="000822CF"/>
    <w:rsid w:val="00082950"/>
    <w:rsid w:val="00082F65"/>
    <w:rsid w:val="000847B7"/>
    <w:rsid w:val="00090385"/>
    <w:rsid w:val="00091DF5"/>
    <w:rsid w:val="000927B0"/>
    <w:rsid w:val="00094628"/>
    <w:rsid w:val="0009682E"/>
    <w:rsid w:val="00096CDF"/>
    <w:rsid w:val="00097424"/>
    <w:rsid w:val="000A133B"/>
    <w:rsid w:val="000A1485"/>
    <w:rsid w:val="000A1B1C"/>
    <w:rsid w:val="000A21F7"/>
    <w:rsid w:val="000A47AD"/>
    <w:rsid w:val="000B156F"/>
    <w:rsid w:val="000B50B2"/>
    <w:rsid w:val="000B5301"/>
    <w:rsid w:val="000B751B"/>
    <w:rsid w:val="000C4AD9"/>
    <w:rsid w:val="000C5586"/>
    <w:rsid w:val="000D2361"/>
    <w:rsid w:val="000D3486"/>
    <w:rsid w:val="000D5841"/>
    <w:rsid w:val="000E57B5"/>
    <w:rsid w:val="000E77A2"/>
    <w:rsid w:val="000F071B"/>
    <w:rsid w:val="000F0D5C"/>
    <w:rsid w:val="000F0E46"/>
    <w:rsid w:val="000F1650"/>
    <w:rsid w:val="000F5D1F"/>
    <w:rsid w:val="000F6C52"/>
    <w:rsid w:val="00103BAD"/>
    <w:rsid w:val="00103DA3"/>
    <w:rsid w:val="00111D95"/>
    <w:rsid w:val="0011210B"/>
    <w:rsid w:val="00114C98"/>
    <w:rsid w:val="00121B5D"/>
    <w:rsid w:val="00121F82"/>
    <w:rsid w:val="00124EED"/>
    <w:rsid w:val="001261F6"/>
    <w:rsid w:val="001265D4"/>
    <w:rsid w:val="00126630"/>
    <w:rsid w:val="00132BB0"/>
    <w:rsid w:val="00133799"/>
    <w:rsid w:val="0014327F"/>
    <w:rsid w:val="00146284"/>
    <w:rsid w:val="00146604"/>
    <w:rsid w:val="00150B15"/>
    <w:rsid w:val="001512E3"/>
    <w:rsid w:val="00151445"/>
    <w:rsid w:val="00151602"/>
    <w:rsid w:val="00151E36"/>
    <w:rsid w:val="00161C97"/>
    <w:rsid w:val="00166359"/>
    <w:rsid w:val="00175AB1"/>
    <w:rsid w:val="001769CB"/>
    <w:rsid w:val="00177710"/>
    <w:rsid w:val="00180B0E"/>
    <w:rsid w:val="00182FE2"/>
    <w:rsid w:val="0018402A"/>
    <w:rsid w:val="001846B6"/>
    <w:rsid w:val="00186972"/>
    <w:rsid w:val="00187E9E"/>
    <w:rsid w:val="001912F4"/>
    <w:rsid w:val="001921AF"/>
    <w:rsid w:val="00193201"/>
    <w:rsid w:val="00195EDA"/>
    <w:rsid w:val="00196A55"/>
    <w:rsid w:val="00197914"/>
    <w:rsid w:val="001A127B"/>
    <w:rsid w:val="001A3CEC"/>
    <w:rsid w:val="001A539B"/>
    <w:rsid w:val="001A68BA"/>
    <w:rsid w:val="001B0809"/>
    <w:rsid w:val="001B16AF"/>
    <w:rsid w:val="001B2F01"/>
    <w:rsid w:val="001B353A"/>
    <w:rsid w:val="001B6A80"/>
    <w:rsid w:val="001C1293"/>
    <w:rsid w:val="001C1887"/>
    <w:rsid w:val="001C3BA6"/>
    <w:rsid w:val="001C5842"/>
    <w:rsid w:val="001C7721"/>
    <w:rsid w:val="001D0DB2"/>
    <w:rsid w:val="001D187B"/>
    <w:rsid w:val="001D1974"/>
    <w:rsid w:val="001D2A52"/>
    <w:rsid w:val="001D3D76"/>
    <w:rsid w:val="001D5881"/>
    <w:rsid w:val="001D7CBE"/>
    <w:rsid w:val="001E0353"/>
    <w:rsid w:val="001E0783"/>
    <w:rsid w:val="001E0EFA"/>
    <w:rsid w:val="001E31E3"/>
    <w:rsid w:val="001E636B"/>
    <w:rsid w:val="001E7866"/>
    <w:rsid w:val="001F1188"/>
    <w:rsid w:val="001F13EB"/>
    <w:rsid w:val="001F257C"/>
    <w:rsid w:val="001F299C"/>
    <w:rsid w:val="001F2D0A"/>
    <w:rsid w:val="001F3253"/>
    <w:rsid w:val="001F3500"/>
    <w:rsid w:val="00200BF3"/>
    <w:rsid w:val="00203AEB"/>
    <w:rsid w:val="002040A9"/>
    <w:rsid w:val="00205C28"/>
    <w:rsid w:val="002068D9"/>
    <w:rsid w:val="00207470"/>
    <w:rsid w:val="002118AA"/>
    <w:rsid w:val="002165F7"/>
    <w:rsid w:val="00216AA3"/>
    <w:rsid w:val="002207E0"/>
    <w:rsid w:val="00221207"/>
    <w:rsid w:val="0022622F"/>
    <w:rsid w:val="00227109"/>
    <w:rsid w:val="00230C42"/>
    <w:rsid w:val="00230E34"/>
    <w:rsid w:val="0023131A"/>
    <w:rsid w:val="00231675"/>
    <w:rsid w:val="00232AF2"/>
    <w:rsid w:val="00232EA0"/>
    <w:rsid w:val="00233826"/>
    <w:rsid w:val="00234B17"/>
    <w:rsid w:val="00235442"/>
    <w:rsid w:val="00236C47"/>
    <w:rsid w:val="0023734E"/>
    <w:rsid w:val="00242E0E"/>
    <w:rsid w:val="00242F94"/>
    <w:rsid w:val="002479B3"/>
    <w:rsid w:val="002541CA"/>
    <w:rsid w:val="0025542B"/>
    <w:rsid w:val="00255908"/>
    <w:rsid w:val="00257237"/>
    <w:rsid w:val="0025727F"/>
    <w:rsid w:val="00260941"/>
    <w:rsid w:val="002618B9"/>
    <w:rsid w:val="0026232B"/>
    <w:rsid w:val="002624EB"/>
    <w:rsid w:val="00263B32"/>
    <w:rsid w:val="00264428"/>
    <w:rsid w:val="00265F3E"/>
    <w:rsid w:val="00266EBE"/>
    <w:rsid w:val="00267D48"/>
    <w:rsid w:val="00274181"/>
    <w:rsid w:val="002750F8"/>
    <w:rsid w:val="002761C0"/>
    <w:rsid w:val="002821AA"/>
    <w:rsid w:val="00285A3B"/>
    <w:rsid w:val="00290E03"/>
    <w:rsid w:val="00294C90"/>
    <w:rsid w:val="00295156"/>
    <w:rsid w:val="002972AB"/>
    <w:rsid w:val="002A0281"/>
    <w:rsid w:val="002A4D99"/>
    <w:rsid w:val="002A5D1F"/>
    <w:rsid w:val="002B0550"/>
    <w:rsid w:val="002B179A"/>
    <w:rsid w:val="002B1CD0"/>
    <w:rsid w:val="002B5BF5"/>
    <w:rsid w:val="002B7431"/>
    <w:rsid w:val="002C31C5"/>
    <w:rsid w:val="002C7B26"/>
    <w:rsid w:val="002D1980"/>
    <w:rsid w:val="002D5EBE"/>
    <w:rsid w:val="002E0BCF"/>
    <w:rsid w:val="002E150C"/>
    <w:rsid w:val="002E3E30"/>
    <w:rsid w:val="002E4D5F"/>
    <w:rsid w:val="002E4F2D"/>
    <w:rsid w:val="002E6588"/>
    <w:rsid w:val="002E7313"/>
    <w:rsid w:val="002E75EF"/>
    <w:rsid w:val="002F57C6"/>
    <w:rsid w:val="002F6209"/>
    <w:rsid w:val="002F66C2"/>
    <w:rsid w:val="002F75AE"/>
    <w:rsid w:val="0030265D"/>
    <w:rsid w:val="00305854"/>
    <w:rsid w:val="003062E4"/>
    <w:rsid w:val="00310CCB"/>
    <w:rsid w:val="003150EC"/>
    <w:rsid w:val="00316118"/>
    <w:rsid w:val="00322466"/>
    <w:rsid w:val="00323753"/>
    <w:rsid w:val="00327CC8"/>
    <w:rsid w:val="0033044C"/>
    <w:rsid w:val="00334A23"/>
    <w:rsid w:val="003354F2"/>
    <w:rsid w:val="00337AAF"/>
    <w:rsid w:val="003401F5"/>
    <w:rsid w:val="003426C2"/>
    <w:rsid w:val="00345191"/>
    <w:rsid w:val="00346A42"/>
    <w:rsid w:val="00346C23"/>
    <w:rsid w:val="00347F09"/>
    <w:rsid w:val="003515F5"/>
    <w:rsid w:val="00353D17"/>
    <w:rsid w:val="00353E71"/>
    <w:rsid w:val="003616C0"/>
    <w:rsid w:val="0036280A"/>
    <w:rsid w:val="003632E8"/>
    <w:rsid w:val="003642E8"/>
    <w:rsid w:val="00365FEE"/>
    <w:rsid w:val="00370137"/>
    <w:rsid w:val="003716B5"/>
    <w:rsid w:val="00372CE5"/>
    <w:rsid w:val="00373303"/>
    <w:rsid w:val="00374699"/>
    <w:rsid w:val="00377B97"/>
    <w:rsid w:val="00386952"/>
    <w:rsid w:val="00387A29"/>
    <w:rsid w:val="00391033"/>
    <w:rsid w:val="003967FE"/>
    <w:rsid w:val="00396E7E"/>
    <w:rsid w:val="0039797B"/>
    <w:rsid w:val="003A0FB0"/>
    <w:rsid w:val="003A72F4"/>
    <w:rsid w:val="003B22FA"/>
    <w:rsid w:val="003B3F52"/>
    <w:rsid w:val="003B689B"/>
    <w:rsid w:val="003B6B5C"/>
    <w:rsid w:val="003B7969"/>
    <w:rsid w:val="003B7E7E"/>
    <w:rsid w:val="003C2864"/>
    <w:rsid w:val="003C37B6"/>
    <w:rsid w:val="003C5ECD"/>
    <w:rsid w:val="003C70C8"/>
    <w:rsid w:val="003C7615"/>
    <w:rsid w:val="003D0F60"/>
    <w:rsid w:val="003D4950"/>
    <w:rsid w:val="003D4AE1"/>
    <w:rsid w:val="003D4D28"/>
    <w:rsid w:val="003E0972"/>
    <w:rsid w:val="003E579B"/>
    <w:rsid w:val="003E69E9"/>
    <w:rsid w:val="003E6AAF"/>
    <w:rsid w:val="003E77AE"/>
    <w:rsid w:val="003F17DA"/>
    <w:rsid w:val="003F5E1D"/>
    <w:rsid w:val="003F74F2"/>
    <w:rsid w:val="0040120D"/>
    <w:rsid w:val="004057B9"/>
    <w:rsid w:val="00407442"/>
    <w:rsid w:val="00410413"/>
    <w:rsid w:val="00412C9C"/>
    <w:rsid w:val="00421261"/>
    <w:rsid w:val="004252DD"/>
    <w:rsid w:val="00430368"/>
    <w:rsid w:val="00430B5D"/>
    <w:rsid w:val="00433856"/>
    <w:rsid w:val="00433BAF"/>
    <w:rsid w:val="00434652"/>
    <w:rsid w:val="004351C3"/>
    <w:rsid w:val="00436A36"/>
    <w:rsid w:val="00440BB4"/>
    <w:rsid w:val="00441799"/>
    <w:rsid w:val="00443349"/>
    <w:rsid w:val="0044485C"/>
    <w:rsid w:val="004454F0"/>
    <w:rsid w:val="004459A7"/>
    <w:rsid w:val="00447BA8"/>
    <w:rsid w:val="0045204A"/>
    <w:rsid w:val="004520E9"/>
    <w:rsid w:val="00453ED9"/>
    <w:rsid w:val="00454307"/>
    <w:rsid w:val="00461B62"/>
    <w:rsid w:val="00465077"/>
    <w:rsid w:val="0046688A"/>
    <w:rsid w:val="00480231"/>
    <w:rsid w:val="00480DE4"/>
    <w:rsid w:val="0048369F"/>
    <w:rsid w:val="00483CEC"/>
    <w:rsid w:val="00484C1E"/>
    <w:rsid w:val="00484F4F"/>
    <w:rsid w:val="00490244"/>
    <w:rsid w:val="00494B5A"/>
    <w:rsid w:val="00497469"/>
    <w:rsid w:val="004A05AF"/>
    <w:rsid w:val="004A171E"/>
    <w:rsid w:val="004A379B"/>
    <w:rsid w:val="004B20FD"/>
    <w:rsid w:val="004B228B"/>
    <w:rsid w:val="004B3805"/>
    <w:rsid w:val="004B3FFC"/>
    <w:rsid w:val="004C1162"/>
    <w:rsid w:val="004C1A38"/>
    <w:rsid w:val="004C4AAE"/>
    <w:rsid w:val="004C4C27"/>
    <w:rsid w:val="004D0F25"/>
    <w:rsid w:val="004D45B1"/>
    <w:rsid w:val="004D64C7"/>
    <w:rsid w:val="004D7BB6"/>
    <w:rsid w:val="004E2121"/>
    <w:rsid w:val="004E6376"/>
    <w:rsid w:val="004F034B"/>
    <w:rsid w:val="004F252F"/>
    <w:rsid w:val="004F357D"/>
    <w:rsid w:val="004F5308"/>
    <w:rsid w:val="004F5C90"/>
    <w:rsid w:val="005013D6"/>
    <w:rsid w:val="005024C3"/>
    <w:rsid w:val="00504067"/>
    <w:rsid w:val="0050569B"/>
    <w:rsid w:val="00507321"/>
    <w:rsid w:val="00511372"/>
    <w:rsid w:val="00511605"/>
    <w:rsid w:val="005151EA"/>
    <w:rsid w:val="005235B8"/>
    <w:rsid w:val="00526384"/>
    <w:rsid w:val="00532126"/>
    <w:rsid w:val="00532129"/>
    <w:rsid w:val="00533315"/>
    <w:rsid w:val="00535029"/>
    <w:rsid w:val="005352A8"/>
    <w:rsid w:val="005354FA"/>
    <w:rsid w:val="00535CB4"/>
    <w:rsid w:val="00543E87"/>
    <w:rsid w:val="00546746"/>
    <w:rsid w:val="00554D35"/>
    <w:rsid w:val="0055539E"/>
    <w:rsid w:val="005567B2"/>
    <w:rsid w:val="00557D96"/>
    <w:rsid w:val="00562A3D"/>
    <w:rsid w:val="00562F22"/>
    <w:rsid w:val="005635B4"/>
    <w:rsid w:val="00571F3F"/>
    <w:rsid w:val="00574AE0"/>
    <w:rsid w:val="0057621B"/>
    <w:rsid w:val="00582688"/>
    <w:rsid w:val="005857E0"/>
    <w:rsid w:val="00586278"/>
    <w:rsid w:val="00586386"/>
    <w:rsid w:val="00586FCC"/>
    <w:rsid w:val="00595EE8"/>
    <w:rsid w:val="00596A86"/>
    <w:rsid w:val="00597108"/>
    <w:rsid w:val="005A05D5"/>
    <w:rsid w:val="005A1126"/>
    <w:rsid w:val="005A1A56"/>
    <w:rsid w:val="005A27F4"/>
    <w:rsid w:val="005A2F3E"/>
    <w:rsid w:val="005A447B"/>
    <w:rsid w:val="005A5257"/>
    <w:rsid w:val="005A6FCC"/>
    <w:rsid w:val="005A6FE1"/>
    <w:rsid w:val="005B0EBB"/>
    <w:rsid w:val="005B30A4"/>
    <w:rsid w:val="005B5792"/>
    <w:rsid w:val="005C2F3F"/>
    <w:rsid w:val="005C3944"/>
    <w:rsid w:val="005C5557"/>
    <w:rsid w:val="005C6F3E"/>
    <w:rsid w:val="005C7599"/>
    <w:rsid w:val="005D032D"/>
    <w:rsid w:val="005D113E"/>
    <w:rsid w:val="005D20B8"/>
    <w:rsid w:val="005D4A99"/>
    <w:rsid w:val="005E354A"/>
    <w:rsid w:val="005E4A7B"/>
    <w:rsid w:val="005F315D"/>
    <w:rsid w:val="005F45DF"/>
    <w:rsid w:val="005F7223"/>
    <w:rsid w:val="00600E50"/>
    <w:rsid w:val="00601816"/>
    <w:rsid w:val="00602613"/>
    <w:rsid w:val="006041DE"/>
    <w:rsid w:val="00605F84"/>
    <w:rsid w:val="00606019"/>
    <w:rsid w:val="00606978"/>
    <w:rsid w:val="006101C0"/>
    <w:rsid w:val="00612375"/>
    <w:rsid w:val="006123DB"/>
    <w:rsid w:val="00613B78"/>
    <w:rsid w:val="006147BC"/>
    <w:rsid w:val="00614CED"/>
    <w:rsid w:val="0061700D"/>
    <w:rsid w:val="00617A1D"/>
    <w:rsid w:val="006212FF"/>
    <w:rsid w:val="00623271"/>
    <w:rsid w:val="00626720"/>
    <w:rsid w:val="00630B6A"/>
    <w:rsid w:val="00633CD8"/>
    <w:rsid w:val="00636E28"/>
    <w:rsid w:val="00645D30"/>
    <w:rsid w:val="00647099"/>
    <w:rsid w:val="00647930"/>
    <w:rsid w:val="00653810"/>
    <w:rsid w:val="006576E9"/>
    <w:rsid w:val="00660B3B"/>
    <w:rsid w:val="00665576"/>
    <w:rsid w:val="006658F9"/>
    <w:rsid w:val="00666076"/>
    <w:rsid w:val="006715AC"/>
    <w:rsid w:val="00673882"/>
    <w:rsid w:val="00673925"/>
    <w:rsid w:val="00676C88"/>
    <w:rsid w:val="00682413"/>
    <w:rsid w:val="0068286E"/>
    <w:rsid w:val="00684743"/>
    <w:rsid w:val="00684B8E"/>
    <w:rsid w:val="00685779"/>
    <w:rsid w:val="00687ED2"/>
    <w:rsid w:val="00691130"/>
    <w:rsid w:val="00694F90"/>
    <w:rsid w:val="00695D95"/>
    <w:rsid w:val="00697047"/>
    <w:rsid w:val="0069710B"/>
    <w:rsid w:val="006A1641"/>
    <w:rsid w:val="006A1ED6"/>
    <w:rsid w:val="006A350D"/>
    <w:rsid w:val="006A3A8A"/>
    <w:rsid w:val="006A3AE7"/>
    <w:rsid w:val="006A59CA"/>
    <w:rsid w:val="006A5A94"/>
    <w:rsid w:val="006A6E76"/>
    <w:rsid w:val="006A726F"/>
    <w:rsid w:val="006A74EC"/>
    <w:rsid w:val="006A7D1F"/>
    <w:rsid w:val="006B0334"/>
    <w:rsid w:val="006B39DC"/>
    <w:rsid w:val="006B464B"/>
    <w:rsid w:val="006B4A47"/>
    <w:rsid w:val="006B73F6"/>
    <w:rsid w:val="006B768F"/>
    <w:rsid w:val="006C450F"/>
    <w:rsid w:val="006D1E6A"/>
    <w:rsid w:val="006D1EA2"/>
    <w:rsid w:val="006D5247"/>
    <w:rsid w:val="006D550C"/>
    <w:rsid w:val="006D652B"/>
    <w:rsid w:val="006E0D4A"/>
    <w:rsid w:val="006E1FBB"/>
    <w:rsid w:val="006E5FE4"/>
    <w:rsid w:val="006F1D58"/>
    <w:rsid w:val="006F3031"/>
    <w:rsid w:val="006F4E82"/>
    <w:rsid w:val="006F7DDB"/>
    <w:rsid w:val="007008B8"/>
    <w:rsid w:val="00705D85"/>
    <w:rsid w:val="00707598"/>
    <w:rsid w:val="00710431"/>
    <w:rsid w:val="007129DC"/>
    <w:rsid w:val="007177E2"/>
    <w:rsid w:val="00720D85"/>
    <w:rsid w:val="0072159A"/>
    <w:rsid w:val="0072228A"/>
    <w:rsid w:val="00726DC1"/>
    <w:rsid w:val="00727637"/>
    <w:rsid w:val="00727A56"/>
    <w:rsid w:val="0073231F"/>
    <w:rsid w:val="00733F37"/>
    <w:rsid w:val="007353FE"/>
    <w:rsid w:val="007363CA"/>
    <w:rsid w:val="0073793A"/>
    <w:rsid w:val="00740967"/>
    <w:rsid w:val="00740A19"/>
    <w:rsid w:val="007452DC"/>
    <w:rsid w:val="00745C46"/>
    <w:rsid w:val="00751897"/>
    <w:rsid w:val="007558A3"/>
    <w:rsid w:val="007616F3"/>
    <w:rsid w:val="0076513D"/>
    <w:rsid w:val="00765E66"/>
    <w:rsid w:val="007676F5"/>
    <w:rsid w:val="007717A7"/>
    <w:rsid w:val="00771A6F"/>
    <w:rsid w:val="00773189"/>
    <w:rsid w:val="00773A29"/>
    <w:rsid w:val="00780500"/>
    <w:rsid w:val="0078155B"/>
    <w:rsid w:val="007819A2"/>
    <w:rsid w:val="00781CE3"/>
    <w:rsid w:val="00782DC9"/>
    <w:rsid w:val="0078473E"/>
    <w:rsid w:val="0078518C"/>
    <w:rsid w:val="00790499"/>
    <w:rsid w:val="00791E97"/>
    <w:rsid w:val="007930F5"/>
    <w:rsid w:val="007939A2"/>
    <w:rsid w:val="007960F6"/>
    <w:rsid w:val="007A6AE6"/>
    <w:rsid w:val="007B014B"/>
    <w:rsid w:val="007B07CE"/>
    <w:rsid w:val="007B3A9C"/>
    <w:rsid w:val="007B41B8"/>
    <w:rsid w:val="007C12AE"/>
    <w:rsid w:val="007C141B"/>
    <w:rsid w:val="007C3185"/>
    <w:rsid w:val="007C3339"/>
    <w:rsid w:val="007D0A77"/>
    <w:rsid w:val="007D18FB"/>
    <w:rsid w:val="007D1987"/>
    <w:rsid w:val="007D1A1D"/>
    <w:rsid w:val="007D31F0"/>
    <w:rsid w:val="007D3286"/>
    <w:rsid w:val="007D6B3D"/>
    <w:rsid w:val="007E7D29"/>
    <w:rsid w:val="007F024E"/>
    <w:rsid w:val="007F096A"/>
    <w:rsid w:val="007F1D2A"/>
    <w:rsid w:val="007F324C"/>
    <w:rsid w:val="007F49E6"/>
    <w:rsid w:val="00800295"/>
    <w:rsid w:val="0080097B"/>
    <w:rsid w:val="008031B3"/>
    <w:rsid w:val="0080484B"/>
    <w:rsid w:val="0081069E"/>
    <w:rsid w:val="0081232F"/>
    <w:rsid w:val="00812F94"/>
    <w:rsid w:val="0081366E"/>
    <w:rsid w:val="008137F8"/>
    <w:rsid w:val="008144B8"/>
    <w:rsid w:val="00821BE4"/>
    <w:rsid w:val="00826674"/>
    <w:rsid w:val="00830A52"/>
    <w:rsid w:val="00831FCE"/>
    <w:rsid w:val="00832381"/>
    <w:rsid w:val="00833B55"/>
    <w:rsid w:val="008341F5"/>
    <w:rsid w:val="00836BCB"/>
    <w:rsid w:val="00836D79"/>
    <w:rsid w:val="00840A7C"/>
    <w:rsid w:val="00845301"/>
    <w:rsid w:val="008454D3"/>
    <w:rsid w:val="008509D4"/>
    <w:rsid w:val="00852FA2"/>
    <w:rsid w:val="00855FC1"/>
    <w:rsid w:val="00860DE5"/>
    <w:rsid w:val="008618EF"/>
    <w:rsid w:val="00864350"/>
    <w:rsid w:val="00872B25"/>
    <w:rsid w:val="008759D1"/>
    <w:rsid w:val="00875E5D"/>
    <w:rsid w:val="00877321"/>
    <w:rsid w:val="008800C0"/>
    <w:rsid w:val="00884FE1"/>
    <w:rsid w:val="00885745"/>
    <w:rsid w:val="00886131"/>
    <w:rsid w:val="0089117E"/>
    <w:rsid w:val="00891B26"/>
    <w:rsid w:val="00893D08"/>
    <w:rsid w:val="008A52CC"/>
    <w:rsid w:val="008A7DB9"/>
    <w:rsid w:val="008A7E72"/>
    <w:rsid w:val="008B14CA"/>
    <w:rsid w:val="008B25C5"/>
    <w:rsid w:val="008B27FA"/>
    <w:rsid w:val="008B2A20"/>
    <w:rsid w:val="008B4D3F"/>
    <w:rsid w:val="008B5D45"/>
    <w:rsid w:val="008B5E92"/>
    <w:rsid w:val="008B730E"/>
    <w:rsid w:val="008C15D5"/>
    <w:rsid w:val="008C29CE"/>
    <w:rsid w:val="008C5085"/>
    <w:rsid w:val="008C79EC"/>
    <w:rsid w:val="008D4166"/>
    <w:rsid w:val="008D7965"/>
    <w:rsid w:val="008E4CEB"/>
    <w:rsid w:val="008F0438"/>
    <w:rsid w:val="008F0BD0"/>
    <w:rsid w:val="008F0FE9"/>
    <w:rsid w:val="008F331D"/>
    <w:rsid w:val="008F49AB"/>
    <w:rsid w:val="008F6CEE"/>
    <w:rsid w:val="00900C21"/>
    <w:rsid w:val="00903E7C"/>
    <w:rsid w:val="00904DAC"/>
    <w:rsid w:val="0091133B"/>
    <w:rsid w:val="00914F24"/>
    <w:rsid w:val="00914F80"/>
    <w:rsid w:val="0091717A"/>
    <w:rsid w:val="009216A1"/>
    <w:rsid w:val="009258F8"/>
    <w:rsid w:val="0092696C"/>
    <w:rsid w:val="0093067C"/>
    <w:rsid w:val="00932B3C"/>
    <w:rsid w:val="009462E9"/>
    <w:rsid w:val="00947159"/>
    <w:rsid w:val="00947980"/>
    <w:rsid w:val="00950060"/>
    <w:rsid w:val="00952593"/>
    <w:rsid w:val="00954A9D"/>
    <w:rsid w:val="0095719A"/>
    <w:rsid w:val="00960598"/>
    <w:rsid w:val="0096114B"/>
    <w:rsid w:val="009615FF"/>
    <w:rsid w:val="009617F9"/>
    <w:rsid w:val="00966AD8"/>
    <w:rsid w:val="009719AC"/>
    <w:rsid w:val="0097536A"/>
    <w:rsid w:val="009755D7"/>
    <w:rsid w:val="00976388"/>
    <w:rsid w:val="0097700B"/>
    <w:rsid w:val="00977EB1"/>
    <w:rsid w:val="0098005D"/>
    <w:rsid w:val="00983437"/>
    <w:rsid w:val="009848A2"/>
    <w:rsid w:val="00987183"/>
    <w:rsid w:val="00990935"/>
    <w:rsid w:val="00990DE2"/>
    <w:rsid w:val="009949E1"/>
    <w:rsid w:val="0099660D"/>
    <w:rsid w:val="00997674"/>
    <w:rsid w:val="00997E78"/>
    <w:rsid w:val="009A1BC4"/>
    <w:rsid w:val="009A2AFD"/>
    <w:rsid w:val="009A2BFF"/>
    <w:rsid w:val="009A44D1"/>
    <w:rsid w:val="009A4E4F"/>
    <w:rsid w:val="009A7FC2"/>
    <w:rsid w:val="009B050D"/>
    <w:rsid w:val="009B149A"/>
    <w:rsid w:val="009B1FAF"/>
    <w:rsid w:val="009B5BB5"/>
    <w:rsid w:val="009B6404"/>
    <w:rsid w:val="009C2F42"/>
    <w:rsid w:val="009C3AA4"/>
    <w:rsid w:val="009C3D76"/>
    <w:rsid w:val="009C57F6"/>
    <w:rsid w:val="009C5A87"/>
    <w:rsid w:val="009D2C9E"/>
    <w:rsid w:val="009D39D3"/>
    <w:rsid w:val="009E1A57"/>
    <w:rsid w:val="009F111B"/>
    <w:rsid w:val="009F13EC"/>
    <w:rsid w:val="009F5107"/>
    <w:rsid w:val="009F5CC5"/>
    <w:rsid w:val="009F6034"/>
    <w:rsid w:val="009F6DB6"/>
    <w:rsid w:val="00A023E9"/>
    <w:rsid w:val="00A05A2E"/>
    <w:rsid w:val="00A10743"/>
    <w:rsid w:val="00A11ECB"/>
    <w:rsid w:val="00A1457F"/>
    <w:rsid w:val="00A16783"/>
    <w:rsid w:val="00A210D9"/>
    <w:rsid w:val="00A2272F"/>
    <w:rsid w:val="00A26182"/>
    <w:rsid w:val="00A301C7"/>
    <w:rsid w:val="00A31D8F"/>
    <w:rsid w:val="00A3209E"/>
    <w:rsid w:val="00A329F9"/>
    <w:rsid w:val="00A34B22"/>
    <w:rsid w:val="00A36057"/>
    <w:rsid w:val="00A36162"/>
    <w:rsid w:val="00A40984"/>
    <w:rsid w:val="00A42238"/>
    <w:rsid w:val="00A449C5"/>
    <w:rsid w:val="00A461BD"/>
    <w:rsid w:val="00A52F13"/>
    <w:rsid w:val="00A542B9"/>
    <w:rsid w:val="00A55433"/>
    <w:rsid w:val="00A55B9E"/>
    <w:rsid w:val="00A5714D"/>
    <w:rsid w:val="00A61870"/>
    <w:rsid w:val="00A62971"/>
    <w:rsid w:val="00A67E70"/>
    <w:rsid w:val="00A71265"/>
    <w:rsid w:val="00A72865"/>
    <w:rsid w:val="00A72D83"/>
    <w:rsid w:val="00A732D8"/>
    <w:rsid w:val="00A74ED6"/>
    <w:rsid w:val="00A76600"/>
    <w:rsid w:val="00A76EB5"/>
    <w:rsid w:val="00A81F56"/>
    <w:rsid w:val="00A82F40"/>
    <w:rsid w:val="00A83457"/>
    <w:rsid w:val="00A83ECD"/>
    <w:rsid w:val="00A8751C"/>
    <w:rsid w:val="00A90854"/>
    <w:rsid w:val="00A926B4"/>
    <w:rsid w:val="00A93444"/>
    <w:rsid w:val="00A9450B"/>
    <w:rsid w:val="00A97F37"/>
    <w:rsid w:val="00AA1183"/>
    <w:rsid w:val="00AA1999"/>
    <w:rsid w:val="00AA1F6C"/>
    <w:rsid w:val="00AA2E75"/>
    <w:rsid w:val="00AA3070"/>
    <w:rsid w:val="00AA45B6"/>
    <w:rsid w:val="00AA6DAE"/>
    <w:rsid w:val="00AA79C8"/>
    <w:rsid w:val="00AA7AC4"/>
    <w:rsid w:val="00AB2B06"/>
    <w:rsid w:val="00AB2F1E"/>
    <w:rsid w:val="00AB5258"/>
    <w:rsid w:val="00AB5E74"/>
    <w:rsid w:val="00AB64E0"/>
    <w:rsid w:val="00AB6AAF"/>
    <w:rsid w:val="00AC3C97"/>
    <w:rsid w:val="00AC41EC"/>
    <w:rsid w:val="00AC4A5A"/>
    <w:rsid w:val="00AD0195"/>
    <w:rsid w:val="00AD2E61"/>
    <w:rsid w:val="00AD6730"/>
    <w:rsid w:val="00AD7EA0"/>
    <w:rsid w:val="00AE0A5C"/>
    <w:rsid w:val="00AE44B4"/>
    <w:rsid w:val="00AE7829"/>
    <w:rsid w:val="00AF07B0"/>
    <w:rsid w:val="00AF0E1B"/>
    <w:rsid w:val="00AF1883"/>
    <w:rsid w:val="00AF1B25"/>
    <w:rsid w:val="00AF34A1"/>
    <w:rsid w:val="00AF3B41"/>
    <w:rsid w:val="00AF4EAD"/>
    <w:rsid w:val="00AF6182"/>
    <w:rsid w:val="00AF7972"/>
    <w:rsid w:val="00B03651"/>
    <w:rsid w:val="00B03A21"/>
    <w:rsid w:val="00B04984"/>
    <w:rsid w:val="00B10315"/>
    <w:rsid w:val="00B11116"/>
    <w:rsid w:val="00B12437"/>
    <w:rsid w:val="00B12967"/>
    <w:rsid w:val="00B20173"/>
    <w:rsid w:val="00B20B1F"/>
    <w:rsid w:val="00B2268D"/>
    <w:rsid w:val="00B2279B"/>
    <w:rsid w:val="00B258DB"/>
    <w:rsid w:val="00B27DDA"/>
    <w:rsid w:val="00B301CE"/>
    <w:rsid w:val="00B33069"/>
    <w:rsid w:val="00B40679"/>
    <w:rsid w:val="00B421C7"/>
    <w:rsid w:val="00B437CD"/>
    <w:rsid w:val="00B50E7D"/>
    <w:rsid w:val="00B5283B"/>
    <w:rsid w:val="00B54C58"/>
    <w:rsid w:val="00B57663"/>
    <w:rsid w:val="00B61169"/>
    <w:rsid w:val="00B625DD"/>
    <w:rsid w:val="00B62D60"/>
    <w:rsid w:val="00B726A9"/>
    <w:rsid w:val="00B73EA4"/>
    <w:rsid w:val="00B73FB5"/>
    <w:rsid w:val="00B762B3"/>
    <w:rsid w:val="00B80667"/>
    <w:rsid w:val="00B83CE0"/>
    <w:rsid w:val="00B85F21"/>
    <w:rsid w:val="00B8649D"/>
    <w:rsid w:val="00B90C6B"/>
    <w:rsid w:val="00B91EBC"/>
    <w:rsid w:val="00B91F85"/>
    <w:rsid w:val="00B94DD6"/>
    <w:rsid w:val="00B95142"/>
    <w:rsid w:val="00B95D4A"/>
    <w:rsid w:val="00B96C13"/>
    <w:rsid w:val="00BA0A46"/>
    <w:rsid w:val="00BA0A6E"/>
    <w:rsid w:val="00BA0F65"/>
    <w:rsid w:val="00BA35D9"/>
    <w:rsid w:val="00BA5939"/>
    <w:rsid w:val="00BA793F"/>
    <w:rsid w:val="00BB0044"/>
    <w:rsid w:val="00BB1FA7"/>
    <w:rsid w:val="00BB38A0"/>
    <w:rsid w:val="00BB3A6E"/>
    <w:rsid w:val="00BB5A3B"/>
    <w:rsid w:val="00BB648A"/>
    <w:rsid w:val="00BB67B1"/>
    <w:rsid w:val="00BB680C"/>
    <w:rsid w:val="00BB6A36"/>
    <w:rsid w:val="00BC0C4F"/>
    <w:rsid w:val="00BC528B"/>
    <w:rsid w:val="00BC6B6B"/>
    <w:rsid w:val="00BC77D5"/>
    <w:rsid w:val="00BD1200"/>
    <w:rsid w:val="00BD236E"/>
    <w:rsid w:val="00BD2AF4"/>
    <w:rsid w:val="00BD6DA1"/>
    <w:rsid w:val="00BD74E7"/>
    <w:rsid w:val="00BE0980"/>
    <w:rsid w:val="00BE0B8B"/>
    <w:rsid w:val="00BE5CF6"/>
    <w:rsid w:val="00BE60FA"/>
    <w:rsid w:val="00BF015E"/>
    <w:rsid w:val="00BF2C17"/>
    <w:rsid w:val="00BF421A"/>
    <w:rsid w:val="00BF49E2"/>
    <w:rsid w:val="00BF575E"/>
    <w:rsid w:val="00BF591D"/>
    <w:rsid w:val="00BF7033"/>
    <w:rsid w:val="00C023BD"/>
    <w:rsid w:val="00C03174"/>
    <w:rsid w:val="00C05AA3"/>
    <w:rsid w:val="00C069B8"/>
    <w:rsid w:val="00C11515"/>
    <w:rsid w:val="00C13085"/>
    <w:rsid w:val="00C173FE"/>
    <w:rsid w:val="00C17556"/>
    <w:rsid w:val="00C220FB"/>
    <w:rsid w:val="00C22904"/>
    <w:rsid w:val="00C2423A"/>
    <w:rsid w:val="00C2528B"/>
    <w:rsid w:val="00C25B37"/>
    <w:rsid w:val="00C30AAE"/>
    <w:rsid w:val="00C34BA6"/>
    <w:rsid w:val="00C40865"/>
    <w:rsid w:val="00C420D0"/>
    <w:rsid w:val="00C4419A"/>
    <w:rsid w:val="00C45202"/>
    <w:rsid w:val="00C46BF1"/>
    <w:rsid w:val="00C51053"/>
    <w:rsid w:val="00C52EA7"/>
    <w:rsid w:val="00C56AC9"/>
    <w:rsid w:val="00C573D2"/>
    <w:rsid w:val="00C64B1B"/>
    <w:rsid w:val="00C65B3D"/>
    <w:rsid w:val="00C837D2"/>
    <w:rsid w:val="00C83E2B"/>
    <w:rsid w:val="00C86660"/>
    <w:rsid w:val="00C9146C"/>
    <w:rsid w:val="00CA0874"/>
    <w:rsid w:val="00CA371A"/>
    <w:rsid w:val="00CA3D81"/>
    <w:rsid w:val="00CA53C5"/>
    <w:rsid w:val="00CA5936"/>
    <w:rsid w:val="00CA5B85"/>
    <w:rsid w:val="00CB065A"/>
    <w:rsid w:val="00CB3D64"/>
    <w:rsid w:val="00CB4DD2"/>
    <w:rsid w:val="00CB5D52"/>
    <w:rsid w:val="00CB75FF"/>
    <w:rsid w:val="00CC0F67"/>
    <w:rsid w:val="00CC5706"/>
    <w:rsid w:val="00CC5EE8"/>
    <w:rsid w:val="00CD1B37"/>
    <w:rsid w:val="00CE2B4E"/>
    <w:rsid w:val="00CE365A"/>
    <w:rsid w:val="00CE6DB7"/>
    <w:rsid w:val="00CF1C77"/>
    <w:rsid w:val="00CF28E5"/>
    <w:rsid w:val="00CF62D9"/>
    <w:rsid w:val="00CF79AB"/>
    <w:rsid w:val="00CF7B9D"/>
    <w:rsid w:val="00D00D76"/>
    <w:rsid w:val="00D0105E"/>
    <w:rsid w:val="00D06045"/>
    <w:rsid w:val="00D06247"/>
    <w:rsid w:val="00D062CA"/>
    <w:rsid w:val="00D07841"/>
    <w:rsid w:val="00D07C12"/>
    <w:rsid w:val="00D07D45"/>
    <w:rsid w:val="00D11669"/>
    <w:rsid w:val="00D11C92"/>
    <w:rsid w:val="00D13443"/>
    <w:rsid w:val="00D13F1D"/>
    <w:rsid w:val="00D14F8F"/>
    <w:rsid w:val="00D16CF0"/>
    <w:rsid w:val="00D314C3"/>
    <w:rsid w:val="00D31C30"/>
    <w:rsid w:val="00D31D3A"/>
    <w:rsid w:val="00D34C87"/>
    <w:rsid w:val="00D3684C"/>
    <w:rsid w:val="00D37218"/>
    <w:rsid w:val="00D40FEC"/>
    <w:rsid w:val="00D46960"/>
    <w:rsid w:val="00D55AF5"/>
    <w:rsid w:val="00D55F17"/>
    <w:rsid w:val="00D6205E"/>
    <w:rsid w:val="00D6365E"/>
    <w:rsid w:val="00D65B20"/>
    <w:rsid w:val="00D6686B"/>
    <w:rsid w:val="00D67BD7"/>
    <w:rsid w:val="00D70A9D"/>
    <w:rsid w:val="00D735D2"/>
    <w:rsid w:val="00D7419E"/>
    <w:rsid w:val="00D7435B"/>
    <w:rsid w:val="00D743C0"/>
    <w:rsid w:val="00D75C17"/>
    <w:rsid w:val="00D825E2"/>
    <w:rsid w:val="00D8293A"/>
    <w:rsid w:val="00D83AC4"/>
    <w:rsid w:val="00D86011"/>
    <w:rsid w:val="00D87358"/>
    <w:rsid w:val="00D9321F"/>
    <w:rsid w:val="00D943DE"/>
    <w:rsid w:val="00D95154"/>
    <w:rsid w:val="00D9761B"/>
    <w:rsid w:val="00D977BE"/>
    <w:rsid w:val="00DA17E4"/>
    <w:rsid w:val="00DA2C22"/>
    <w:rsid w:val="00DA6F45"/>
    <w:rsid w:val="00DB21CF"/>
    <w:rsid w:val="00DB502C"/>
    <w:rsid w:val="00DC0AEC"/>
    <w:rsid w:val="00DC2D78"/>
    <w:rsid w:val="00DC5CCB"/>
    <w:rsid w:val="00DD3F5B"/>
    <w:rsid w:val="00DD47CD"/>
    <w:rsid w:val="00DD4AFC"/>
    <w:rsid w:val="00DD5B9B"/>
    <w:rsid w:val="00DD5E1E"/>
    <w:rsid w:val="00DD603F"/>
    <w:rsid w:val="00DE1A25"/>
    <w:rsid w:val="00DE41D9"/>
    <w:rsid w:val="00DE4D8C"/>
    <w:rsid w:val="00DE4DA7"/>
    <w:rsid w:val="00DF1B7F"/>
    <w:rsid w:val="00DF2B9A"/>
    <w:rsid w:val="00DF3839"/>
    <w:rsid w:val="00DF6FA8"/>
    <w:rsid w:val="00DF703E"/>
    <w:rsid w:val="00E01111"/>
    <w:rsid w:val="00E01C23"/>
    <w:rsid w:val="00E0336D"/>
    <w:rsid w:val="00E05C7A"/>
    <w:rsid w:val="00E0674D"/>
    <w:rsid w:val="00E072B1"/>
    <w:rsid w:val="00E10811"/>
    <w:rsid w:val="00E12E70"/>
    <w:rsid w:val="00E14C50"/>
    <w:rsid w:val="00E176D4"/>
    <w:rsid w:val="00E20C0D"/>
    <w:rsid w:val="00E20E95"/>
    <w:rsid w:val="00E23919"/>
    <w:rsid w:val="00E30F10"/>
    <w:rsid w:val="00E32664"/>
    <w:rsid w:val="00E40A72"/>
    <w:rsid w:val="00E422C1"/>
    <w:rsid w:val="00E455E0"/>
    <w:rsid w:val="00E46928"/>
    <w:rsid w:val="00E47B56"/>
    <w:rsid w:val="00E47C2C"/>
    <w:rsid w:val="00E52090"/>
    <w:rsid w:val="00E530E1"/>
    <w:rsid w:val="00E53281"/>
    <w:rsid w:val="00E55309"/>
    <w:rsid w:val="00E55390"/>
    <w:rsid w:val="00E556A8"/>
    <w:rsid w:val="00E62F65"/>
    <w:rsid w:val="00E6327F"/>
    <w:rsid w:val="00E65395"/>
    <w:rsid w:val="00E742CC"/>
    <w:rsid w:val="00E77DE2"/>
    <w:rsid w:val="00E805DD"/>
    <w:rsid w:val="00E806B8"/>
    <w:rsid w:val="00E824DB"/>
    <w:rsid w:val="00E8334F"/>
    <w:rsid w:val="00E8564C"/>
    <w:rsid w:val="00E86695"/>
    <w:rsid w:val="00E8683C"/>
    <w:rsid w:val="00E86959"/>
    <w:rsid w:val="00E91287"/>
    <w:rsid w:val="00E935E5"/>
    <w:rsid w:val="00E94AA4"/>
    <w:rsid w:val="00E94C3D"/>
    <w:rsid w:val="00EA0624"/>
    <w:rsid w:val="00EA1A88"/>
    <w:rsid w:val="00EA346D"/>
    <w:rsid w:val="00EA59D8"/>
    <w:rsid w:val="00EA7EFB"/>
    <w:rsid w:val="00EB3D5D"/>
    <w:rsid w:val="00EB3E8F"/>
    <w:rsid w:val="00EB3ED9"/>
    <w:rsid w:val="00EB4733"/>
    <w:rsid w:val="00EB4C6E"/>
    <w:rsid w:val="00EB6EE2"/>
    <w:rsid w:val="00EC35D1"/>
    <w:rsid w:val="00EC36CF"/>
    <w:rsid w:val="00EC3AF5"/>
    <w:rsid w:val="00EC4E08"/>
    <w:rsid w:val="00ED059E"/>
    <w:rsid w:val="00ED0673"/>
    <w:rsid w:val="00ED1023"/>
    <w:rsid w:val="00ED140B"/>
    <w:rsid w:val="00ED15F3"/>
    <w:rsid w:val="00ED2C7A"/>
    <w:rsid w:val="00ED41E1"/>
    <w:rsid w:val="00EE2E32"/>
    <w:rsid w:val="00EE36C7"/>
    <w:rsid w:val="00EE4398"/>
    <w:rsid w:val="00EE4589"/>
    <w:rsid w:val="00EE51DA"/>
    <w:rsid w:val="00EE5C75"/>
    <w:rsid w:val="00EE751B"/>
    <w:rsid w:val="00EE7995"/>
    <w:rsid w:val="00EF0227"/>
    <w:rsid w:val="00EF39B3"/>
    <w:rsid w:val="00EF3DE1"/>
    <w:rsid w:val="00EF47B2"/>
    <w:rsid w:val="00F0076D"/>
    <w:rsid w:val="00F00852"/>
    <w:rsid w:val="00F01FDD"/>
    <w:rsid w:val="00F02E42"/>
    <w:rsid w:val="00F0628B"/>
    <w:rsid w:val="00F10FBE"/>
    <w:rsid w:val="00F11171"/>
    <w:rsid w:val="00F11FC5"/>
    <w:rsid w:val="00F13A29"/>
    <w:rsid w:val="00F2321E"/>
    <w:rsid w:val="00F23B6D"/>
    <w:rsid w:val="00F2424E"/>
    <w:rsid w:val="00F24990"/>
    <w:rsid w:val="00F32425"/>
    <w:rsid w:val="00F35EDE"/>
    <w:rsid w:val="00F4126E"/>
    <w:rsid w:val="00F44248"/>
    <w:rsid w:val="00F50E77"/>
    <w:rsid w:val="00F523DE"/>
    <w:rsid w:val="00F5527E"/>
    <w:rsid w:val="00F57D0A"/>
    <w:rsid w:val="00F603DA"/>
    <w:rsid w:val="00F6409B"/>
    <w:rsid w:val="00F64FE2"/>
    <w:rsid w:val="00F65F61"/>
    <w:rsid w:val="00F70EC7"/>
    <w:rsid w:val="00F74CA4"/>
    <w:rsid w:val="00F758D5"/>
    <w:rsid w:val="00F81284"/>
    <w:rsid w:val="00F81B2F"/>
    <w:rsid w:val="00F873BD"/>
    <w:rsid w:val="00F87548"/>
    <w:rsid w:val="00F877F3"/>
    <w:rsid w:val="00F90EAE"/>
    <w:rsid w:val="00F91D6D"/>
    <w:rsid w:val="00F91E14"/>
    <w:rsid w:val="00FA075B"/>
    <w:rsid w:val="00FA2295"/>
    <w:rsid w:val="00FA497A"/>
    <w:rsid w:val="00FA4E3F"/>
    <w:rsid w:val="00FA5476"/>
    <w:rsid w:val="00FA62E8"/>
    <w:rsid w:val="00FA69A7"/>
    <w:rsid w:val="00FB0135"/>
    <w:rsid w:val="00FB0AB6"/>
    <w:rsid w:val="00FB3196"/>
    <w:rsid w:val="00FB458C"/>
    <w:rsid w:val="00FB470A"/>
    <w:rsid w:val="00FB59F4"/>
    <w:rsid w:val="00FB5A42"/>
    <w:rsid w:val="00FB5D5C"/>
    <w:rsid w:val="00FB61F1"/>
    <w:rsid w:val="00FB7804"/>
    <w:rsid w:val="00FB7A27"/>
    <w:rsid w:val="00FC19AF"/>
    <w:rsid w:val="00FC5888"/>
    <w:rsid w:val="00FC5906"/>
    <w:rsid w:val="00FC6A73"/>
    <w:rsid w:val="00FD14DA"/>
    <w:rsid w:val="00FD5018"/>
    <w:rsid w:val="00FD5045"/>
    <w:rsid w:val="00FE13D4"/>
    <w:rsid w:val="00FE20F0"/>
    <w:rsid w:val="00FE5CB6"/>
    <w:rsid w:val="00FF1945"/>
    <w:rsid w:val="00FF571F"/>
    <w:rsid w:val="011411D4"/>
    <w:rsid w:val="011768D6"/>
    <w:rsid w:val="0135148E"/>
    <w:rsid w:val="01536274"/>
    <w:rsid w:val="019B770C"/>
    <w:rsid w:val="02021D56"/>
    <w:rsid w:val="02063FE0"/>
    <w:rsid w:val="02241541"/>
    <w:rsid w:val="022D6BD4"/>
    <w:rsid w:val="023F763D"/>
    <w:rsid w:val="02551B85"/>
    <w:rsid w:val="02757B17"/>
    <w:rsid w:val="029B0459"/>
    <w:rsid w:val="02AE55E9"/>
    <w:rsid w:val="02B61493"/>
    <w:rsid w:val="02C35A8C"/>
    <w:rsid w:val="03032B50"/>
    <w:rsid w:val="033024D7"/>
    <w:rsid w:val="034B4BE6"/>
    <w:rsid w:val="03502CFD"/>
    <w:rsid w:val="0360659C"/>
    <w:rsid w:val="039B5B6E"/>
    <w:rsid w:val="03B739A6"/>
    <w:rsid w:val="03CC00C8"/>
    <w:rsid w:val="03CC04B5"/>
    <w:rsid w:val="03EE3EEF"/>
    <w:rsid w:val="03F8527A"/>
    <w:rsid w:val="03FA09BE"/>
    <w:rsid w:val="03FB5E46"/>
    <w:rsid w:val="040103E7"/>
    <w:rsid w:val="041F5954"/>
    <w:rsid w:val="042A3CE5"/>
    <w:rsid w:val="043232F0"/>
    <w:rsid w:val="04534213"/>
    <w:rsid w:val="04700DA8"/>
    <w:rsid w:val="04B403C6"/>
    <w:rsid w:val="04BF4D7F"/>
    <w:rsid w:val="04C01C5A"/>
    <w:rsid w:val="04EA2A9E"/>
    <w:rsid w:val="04EC3DA3"/>
    <w:rsid w:val="04F46C31"/>
    <w:rsid w:val="051C7A24"/>
    <w:rsid w:val="052460FB"/>
    <w:rsid w:val="053E2118"/>
    <w:rsid w:val="05480BC0"/>
    <w:rsid w:val="05591DC4"/>
    <w:rsid w:val="05660E40"/>
    <w:rsid w:val="057274FF"/>
    <w:rsid w:val="057E74F5"/>
    <w:rsid w:val="059F3847"/>
    <w:rsid w:val="05B31BD4"/>
    <w:rsid w:val="05B46194"/>
    <w:rsid w:val="05CF7D50"/>
    <w:rsid w:val="05D22312"/>
    <w:rsid w:val="05D639A0"/>
    <w:rsid w:val="05ED35C6"/>
    <w:rsid w:val="05F21D58"/>
    <w:rsid w:val="06285D29"/>
    <w:rsid w:val="063D57B6"/>
    <w:rsid w:val="06530D6C"/>
    <w:rsid w:val="06894AC9"/>
    <w:rsid w:val="06956783"/>
    <w:rsid w:val="06C20FDE"/>
    <w:rsid w:val="06E952DD"/>
    <w:rsid w:val="06F20C75"/>
    <w:rsid w:val="0701348E"/>
    <w:rsid w:val="07071B14"/>
    <w:rsid w:val="07101279"/>
    <w:rsid w:val="07171FCA"/>
    <w:rsid w:val="072B0A4F"/>
    <w:rsid w:val="07304ED7"/>
    <w:rsid w:val="076072C9"/>
    <w:rsid w:val="0781725F"/>
    <w:rsid w:val="078E0AF3"/>
    <w:rsid w:val="079F680F"/>
    <w:rsid w:val="07B7439B"/>
    <w:rsid w:val="07DC2DF1"/>
    <w:rsid w:val="07E35FFF"/>
    <w:rsid w:val="086434A7"/>
    <w:rsid w:val="086B6512"/>
    <w:rsid w:val="086C26E0"/>
    <w:rsid w:val="08A4283A"/>
    <w:rsid w:val="08B123F7"/>
    <w:rsid w:val="08CD39FE"/>
    <w:rsid w:val="08DF214C"/>
    <w:rsid w:val="08EE77B6"/>
    <w:rsid w:val="090D25F9"/>
    <w:rsid w:val="09A24CDB"/>
    <w:rsid w:val="09BB79EF"/>
    <w:rsid w:val="09D771D4"/>
    <w:rsid w:val="09FC4E43"/>
    <w:rsid w:val="0A097A76"/>
    <w:rsid w:val="0A0B5530"/>
    <w:rsid w:val="0A30592F"/>
    <w:rsid w:val="0A362FD0"/>
    <w:rsid w:val="0A5B36AD"/>
    <w:rsid w:val="0A8E40B5"/>
    <w:rsid w:val="0AE443EE"/>
    <w:rsid w:val="0AF25902"/>
    <w:rsid w:val="0B083329"/>
    <w:rsid w:val="0B505490"/>
    <w:rsid w:val="0B657E3F"/>
    <w:rsid w:val="0BB33E6C"/>
    <w:rsid w:val="0BBF09A7"/>
    <w:rsid w:val="0BCE5435"/>
    <w:rsid w:val="0BD80EA7"/>
    <w:rsid w:val="0BF9347B"/>
    <w:rsid w:val="0C246F78"/>
    <w:rsid w:val="0C50326D"/>
    <w:rsid w:val="0C572C4B"/>
    <w:rsid w:val="0C654F6B"/>
    <w:rsid w:val="0C707D3A"/>
    <w:rsid w:val="0C715BFD"/>
    <w:rsid w:val="0C7F5C97"/>
    <w:rsid w:val="0CBD61E8"/>
    <w:rsid w:val="0CBE467B"/>
    <w:rsid w:val="0CC00342"/>
    <w:rsid w:val="0CC41080"/>
    <w:rsid w:val="0CD4131B"/>
    <w:rsid w:val="0CE80227"/>
    <w:rsid w:val="0D1A620C"/>
    <w:rsid w:val="0D447CF4"/>
    <w:rsid w:val="0D7A532C"/>
    <w:rsid w:val="0D8D654B"/>
    <w:rsid w:val="0D953218"/>
    <w:rsid w:val="0DA61C5F"/>
    <w:rsid w:val="0DC0001E"/>
    <w:rsid w:val="0DC26C3D"/>
    <w:rsid w:val="0DD237BC"/>
    <w:rsid w:val="0DD54741"/>
    <w:rsid w:val="0E0B0603"/>
    <w:rsid w:val="0E1E25B6"/>
    <w:rsid w:val="0E2449B2"/>
    <w:rsid w:val="0E266744"/>
    <w:rsid w:val="0E2725D4"/>
    <w:rsid w:val="0E2E2851"/>
    <w:rsid w:val="0E474649"/>
    <w:rsid w:val="0E4A0AB5"/>
    <w:rsid w:val="0E827993"/>
    <w:rsid w:val="0E8611C8"/>
    <w:rsid w:val="0E8D45FE"/>
    <w:rsid w:val="0EC465C7"/>
    <w:rsid w:val="0ED158DD"/>
    <w:rsid w:val="0EDB61ED"/>
    <w:rsid w:val="0EDC0B62"/>
    <w:rsid w:val="0F057031"/>
    <w:rsid w:val="0F1166C7"/>
    <w:rsid w:val="0F166D2F"/>
    <w:rsid w:val="0F397908"/>
    <w:rsid w:val="0F486821"/>
    <w:rsid w:val="0F4F61AB"/>
    <w:rsid w:val="0F607C6B"/>
    <w:rsid w:val="0F773AEC"/>
    <w:rsid w:val="0F7A6F7F"/>
    <w:rsid w:val="0F856770"/>
    <w:rsid w:val="0F962886"/>
    <w:rsid w:val="0FA13C51"/>
    <w:rsid w:val="0FB94AA9"/>
    <w:rsid w:val="0FBB6B5F"/>
    <w:rsid w:val="0FC90073"/>
    <w:rsid w:val="0FD15480"/>
    <w:rsid w:val="0FDC39C3"/>
    <w:rsid w:val="0FFD3940"/>
    <w:rsid w:val="101910F7"/>
    <w:rsid w:val="102E7D98"/>
    <w:rsid w:val="106B4B1A"/>
    <w:rsid w:val="10B0706C"/>
    <w:rsid w:val="10B45831"/>
    <w:rsid w:val="10BE3E04"/>
    <w:rsid w:val="10CF5A74"/>
    <w:rsid w:val="10E93D4E"/>
    <w:rsid w:val="10FD716C"/>
    <w:rsid w:val="11162CD7"/>
    <w:rsid w:val="112226B1"/>
    <w:rsid w:val="11265DB1"/>
    <w:rsid w:val="114E5C71"/>
    <w:rsid w:val="115A277E"/>
    <w:rsid w:val="116C30B4"/>
    <w:rsid w:val="116E7A9C"/>
    <w:rsid w:val="11816503"/>
    <w:rsid w:val="118B20E5"/>
    <w:rsid w:val="11B13797"/>
    <w:rsid w:val="11D56E4F"/>
    <w:rsid w:val="11DC1820"/>
    <w:rsid w:val="11DF30C9"/>
    <w:rsid w:val="12397425"/>
    <w:rsid w:val="12542FA0"/>
    <w:rsid w:val="125D5E2E"/>
    <w:rsid w:val="128072E8"/>
    <w:rsid w:val="129A7E91"/>
    <w:rsid w:val="129F4319"/>
    <w:rsid w:val="12C624DB"/>
    <w:rsid w:val="12C754DE"/>
    <w:rsid w:val="12DD4DE5"/>
    <w:rsid w:val="12F108A0"/>
    <w:rsid w:val="130D494D"/>
    <w:rsid w:val="132316DC"/>
    <w:rsid w:val="13351197"/>
    <w:rsid w:val="13466B30"/>
    <w:rsid w:val="134C5737"/>
    <w:rsid w:val="13596FCB"/>
    <w:rsid w:val="1375372E"/>
    <w:rsid w:val="13853312"/>
    <w:rsid w:val="139E0D62"/>
    <w:rsid w:val="13D64355"/>
    <w:rsid w:val="141F1312"/>
    <w:rsid w:val="1425541A"/>
    <w:rsid w:val="145639A7"/>
    <w:rsid w:val="14576EEE"/>
    <w:rsid w:val="146F2E2A"/>
    <w:rsid w:val="1475649E"/>
    <w:rsid w:val="14761AB0"/>
    <w:rsid w:val="147C265E"/>
    <w:rsid w:val="14805FD4"/>
    <w:rsid w:val="14840CB7"/>
    <w:rsid w:val="14A34520"/>
    <w:rsid w:val="14A95079"/>
    <w:rsid w:val="14C64A14"/>
    <w:rsid w:val="14DC29CA"/>
    <w:rsid w:val="14EC51E3"/>
    <w:rsid w:val="14FE4798"/>
    <w:rsid w:val="151472A1"/>
    <w:rsid w:val="151B08BC"/>
    <w:rsid w:val="1525798D"/>
    <w:rsid w:val="152C01B6"/>
    <w:rsid w:val="152C2713"/>
    <w:rsid w:val="157950FF"/>
    <w:rsid w:val="158C1DA8"/>
    <w:rsid w:val="15AA6592"/>
    <w:rsid w:val="15B75A2A"/>
    <w:rsid w:val="15D5735F"/>
    <w:rsid w:val="15EF4B8C"/>
    <w:rsid w:val="15F20E8D"/>
    <w:rsid w:val="160A4336"/>
    <w:rsid w:val="16176ECF"/>
    <w:rsid w:val="161E3DCA"/>
    <w:rsid w:val="1626576B"/>
    <w:rsid w:val="162D57EF"/>
    <w:rsid w:val="163275F7"/>
    <w:rsid w:val="164A731D"/>
    <w:rsid w:val="164E15A7"/>
    <w:rsid w:val="166D65D9"/>
    <w:rsid w:val="16801BDB"/>
    <w:rsid w:val="168310E2"/>
    <w:rsid w:val="1689262E"/>
    <w:rsid w:val="168E11C7"/>
    <w:rsid w:val="16AD5CC8"/>
    <w:rsid w:val="16B212CB"/>
    <w:rsid w:val="16B71ED0"/>
    <w:rsid w:val="16DB6903"/>
    <w:rsid w:val="16E531E9"/>
    <w:rsid w:val="16F10DB0"/>
    <w:rsid w:val="17191F74"/>
    <w:rsid w:val="17463BEB"/>
    <w:rsid w:val="17573B63"/>
    <w:rsid w:val="175A07E0"/>
    <w:rsid w:val="177B11D8"/>
    <w:rsid w:val="178A70D6"/>
    <w:rsid w:val="179C6CCA"/>
    <w:rsid w:val="17D74826"/>
    <w:rsid w:val="17EC4792"/>
    <w:rsid w:val="18230148"/>
    <w:rsid w:val="183E0A52"/>
    <w:rsid w:val="184A4865"/>
    <w:rsid w:val="186E51A7"/>
    <w:rsid w:val="1891615A"/>
    <w:rsid w:val="18A9604E"/>
    <w:rsid w:val="18E167A8"/>
    <w:rsid w:val="19363F89"/>
    <w:rsid w:val="193F2457"/>
    <w:rsid w:val="194235E6"/>
    <w:rsid w:val="1956151F"/>
    <w:rsid w:val="1968723B"/>
    <w:rsid w:val="19CE0BFB"/>
    <w:rsid w:val="19E67B09"/>
    <w:rsid w:val="1A0D4D83"/>
    <w:rsid w:val="1A38596D"/>
    <w:rsid w:val="1A4C776A"/>
    <w:rsid w:val="1A557565"/>
    <w:rsid w:val="1A707A6D"/>
    <w:rsid w:val="1A8F6856"/>
    <w:rsid w:val="1A9D50B9"/>
    <w:rsid w:val="1AA41354"/>
    <w:rsid w:val="1AAA694D"/>
    <w:rsid w:val="1AB37EEE"/>
    <w:rsid w:val="1AC27A2C"/>
    <w:rsid w:val="1AE93CEC"/>
    <w:rsid w:val="1B103E63"/>
    <w:rsid w:val="1B1B2104"/>
    <w:rsid w:val="1B1E3089"/>
    <w:rsid w:val="1B2028BA"/>
    <w:rsid w:val="1B2E1125"/>
    <w:rsid w:val="1B3B4FB0"/>
    <w:rsid w:val="1B3D393E"/>
    <w:rsid w:val="1B516D3B"/>
    <w:rsid w:val="1B746016"/>
    <w:rsid w:val="1B872197"/>
    <w:rsid w:val="1B9B4505"/>
    <w:rsid w:val="1BA90A6F"/>
    <w:rsid w:val="1BB73608"/>
    <w:rsid w:val="1BE62AD2"/>
    <w:rsid w:val="1C06581A"/>
    <w:rsid w:val="1C186B24"/>
    <w:rsid w:val="1C4B4E99"/>
    <w:rsid w:val="1C633720"/>
    <w:rsid w:val="1C723D3B"/>
    <w:rsid w:val="1C872CDB"/>
    <w:rsid w:val="1C915B68"/>
    <w:rsid w:val="1CAF6E8F"/>
    <w:rsid w:val="1CB347A4"/>
    <w:rsid w:val="1CFC7C78"/>
    <w:rsid w:val="1D012325"/>
    <w:rsid w:val="1D0450FA"/>
    <w:rsid w:val="1D0B2C34"/>
    <w:rsid w:val="1D0C06B6"/>
    <w:rsid w:val="1D0C6137"/>
    <w:rsid w:val="1D167BBB"/>
    <w:rsid w:val="1D3C1D18"/>
    <w:rsid w:val="1D4A4D2E"/>
    <w:rsid w:val="1D543377"/>
    <w:rsid w:val="1D550B71"/>
    <w:rsid w:val="1D617DC0"/>
    <w:rsid w:val="1D6A20D8"/>
    <w:rsid w:val="1D6C3804"/>
    <w:rsid w:val="1D760770"/>
    <w:rsid w:val="1DA57798"/>
    <w:rsid w:val="1DB72EF9"/>
    <w:rsid w:val="1DBB4A48"/>
    <w:rsid w:val="1DC11221"/>
    <w:rsid w:val="1DD96785"/>
    <w:rsid w:val="1DE55740"/>
    <w:rsid w:val="1DE864D3"/>
    <w:rsid w:val="1DED79A4"/>
    <w:rsid w:val="1E0565FA"/>
    <w:rsid w:val="1E14143C"/>
    <w:rsid w:val="1E200CF1"/>
    <w:rsid w:val="1E22594E"/>
    <w:rsid w:val="1E34141D"/>
    <w:rsid w:val="1E4C597B"/>
    <w:rsid w:val="1E5054CA"/>
    <w:rsid w:val="1E64416A"/>
    <w:rsid w:val="1E7B60CA"/>
    <w:rsid w:val="1E9623BB"/>
    <w:rsid w:val="1EAC4FE5"/>
    <w:rsid w:val="1EB31502"/>
    <w:rsid w:val="1EB80371"/>
    <w:rsid w:val="1EBC3110"/>
    <w:rsid w:val="1F15070B"/>
    <w:rsid w:val="1F1A7E37"/>
    <w:rsid w:val="1F225822"/>
    <w:rsid w:val="1F2F5D6B"/>
    <w:rsid w:val="1F3265F1"/>
    <w:rsid w:val="1F3535E1"/>
    <w:rsid w:val="1F4202D5"/>
    <w:rsid w:val="1F4D4996"/>
    <w:rsid w:val="1F703EFB"/>
    <w:rsid w:val="1F775289"/>
    <w:rsid w:val="1F7C289F"/>
    <w:rsid w:val="1F826B41"/>
    <w:rsid w:val="1F8307F2"/>
    <w:rsid w:val="1F8A60EF"/>
    <w:rsid w:val="1FB73B17"/>
    <w:rsid w:val="1FDA0BD4"/>
    <w:rsid w:val="200F7A29"/>
    <w:rsid w:val="201E0E59"/>
    <w:rsid w:val="20294D50"/>
    <w:rsid w:val="20340B62"/>
    <w:rsid w:val="20366009"/>
    <w:rsid w:val="203F5D95"/>
    <w:rsid w:val="208E24F6"/>
    <w:rsid w:val="20941AA1"/>
    <w:rsid w:val="209B180C"/>
    <w:rsid w:val="20A21196"/>
    <w:rsid w:val="20AB4024"/>
    <w:rsid w:val="20B120D5"/>
    <w:rsid w:val="20B13587"/>
    <w:rsid w:val="20C274CD"/>
    <w:rsid w:val="20D63290"/>
    <w:rsid w:val="20EA2C10"/>
    <w:rsid w:val="20F8321C"/>
    <w:rsid w:val="210654A0"/>
    <w:rsid w:val="2118036E"/>
    <w:rsid w:val="21194658"/>
    <w:rsid w:val="21251770"/>
    <w:rsid w:val="213C5120"/>
    <w:rsid w:val="2152532E"/>
    <w:rsid w:val="219922EB"/>
    <w:rsid w:val="219D26B3"/>
    <w:rsid w:val="21CB6602"/>
    <w:rsid w:val="21D94A96"/>
    <w:rsid w:val="21E00ED5"/>
    <w:rsid w:val="21E21B23"/>
    <w:rsid w:val="2232642A"/>
    <w:rsid w:val="224E24D7"/>
    <w:rsid w:val="226508ED"/>
    <w:rsid w:val="228274AE"/>
    <w:rsid w:val="22896798"/>
    <w:rsid w:val="22937B16"/>
    <w:rsid w:val="22E72C0C"/>
    <w:rsid w:val="233E1DDF"/>
    <w:rsid w:val="234F58FD"/>
    <w:rsid w:val="23582989"/>
    <w:rsid w:val="236906A5"/>
    <w:rsid w:val="2396026F"/>
    <w:rsid w:val="23963804"/>
    <w:rsid w:val="239E0EFF"/>
    <w:rsid w:val="23CA086F"/>
    <w:rsid w:val="23CA2971"/>
    <w:rsid w:val="23D43367"/>
    <w:rsid w:val="23F4608B"/>
    <w:rsid w:val="240A585D"/>
    <w:rsid w:val="24487F3A"/>
    <w:rsid w:val="24594F5D"/>
    <w:rsid w:val="24832476"/>
    <w:rsid w:val="24924C8F"/>
    <w:rsid w:val="24A570AC"/>
    <w:rsid w:val="24AE06E9"/>
    <w:rsid w:val="24F171CC"/>
    <w:rsid w:val="24FA24D1"/>
    <w:rsid w:val="25441F39"/>
    <w:rsid w:val="255C594E"/>
    <w:rsid w:val="257419FF"/>
    <w:rsid w:val="25777813"/>
    <w:rsid w:val="25826C83"/>
    <w:rsid w:val="25E1520A"/>
    <w:rsid w:val="25E709DA"/>
    <w:rsid w:val="25EE5343"/>
    <w:rsid w:val="26023BEC"/>
    <w:rsid w:val="26102F02"/>
    <w:rsid w:val="26274D25"/>
    <w:rsid w:val="262C11AD"/>
    <w:rsid w:val="263A491A"/>
    <w:rsid w:val="2645118E"/>
    <w:rsid w:val="26461D57"/>
    <w:rsid w:val="26505EEA"/>
    <w:rsid w:val="26536E6E"/>
    <w:rsid w:val="26635C4B"/>
    <w:rsid w:val="26671C15"/>
    <w:rsid w:val="26A358B8"/>
    <w:rsid w:val="26BA7DDE"/>
    <w:rsid w:val="26C174A2"/>
    <w:rsid w:val="26C179D8"/>
    <w:rsid w:val="26CB5833"/>
    <w:rsid w:val="26F471BF"/>
    <w:rsid w:val="27241745"/>
    <w:rsid w:val="272E2B2B"/>
    <w:rsid w:val="273D486E"/>
    <w:rsid w:val="27431FFA"/>
    <w:rsid w:val="27536553"/>
    <w:rsid w:val="27555798"/>
    <w:rsid w:val="27AC2923"/>
    <w:rsid w:val="27CF4EE7"/>
    <w:rsid w:val="27D31B81"/>
    <w:rsid w:val="27D55CE6"/>
    <w:rsid w:val="27E16EC6"/>
    <w:rsid w:val="27F46C54"/>
    <w:rsid w:val="28254BA7"/>
    <w:rsid w:val="28287CEE"/>
    <w:rsid w:val="28435287"/>
    <w:rsid w:val="28641951"/>
    <w:rsid w:val="28691DDD"/>
    <w:rsid w:val="28A14CCE"/>
    <w:rsid w:val="28BB6E33"/>
    <w:rsid w:val="28F306BC"/>
    <w:rsid w:val="28FA0047"/>
    <w:rsid w:val="28FD0FCB"/>
    <w:rsid w:val="29084DDE"/>
    <w:rsid w:val="293314A5"/>
    <w:rsid w:val="29453C62"/>
    <w:rsid w:val="294C45CE"/>
    <w:rsid w:val="29C56816"/>
    <w:rsid w:val="29D25AFE"/>
    <w:rsid w:val="29F959EB"/>
    <w:rsid w:val="2A1B265C"/>
    <w:rsid w:val="2A2420B3"/>
    <w:rsid w:val="2A2542B1"/>
    <w:rsid w:val="2A352240"/>
    <w:rsid w:val="2A357DCE"/>
    <w:rsid w:val="2A452CDE"/>
    <w:rsid w:val="2A4C79F4"/>
    <w:rsid w:val="2A6A2827"/>
    <w:rsid w:val="2A761395"/>
    <w:rsid w:val="2A770838"/>
    <w:rsid w:val="2A7B3676"/>
    <w:rsid w:val="2A7D1611"/>
    <w:rsid w:val="2A8C07DD"/>
    <w:rsid w:val="2ACC4682"/>
    <w:rsid w:val="2ACC7A13"/>
    <w:rsid w:val="2ACD1247"/>
    <w:rsid w:val="2AD3717C"/>
    <w:rsid w:val="2AF761B7"/>
    <w:rsid w:val="2AF77E8C"/>
    <w:rsid w:val="2AFE7817"/>
    <w:rsid w:val="2B01621D"/>
    <w:rsid w:val="2B107731"/>
    <w:rsid w:val="2B162833"/>
    <w:rsid w:val="2B320F6B"/>
    <w:rsid w:val="2B3260B1"/>
    <w:rsid w:val="2B3C229C"/>
    <w:rsid w:val="2B590E2A"/>
    <w:rsid w:val="2B5C5333"/>
    <w:rsid w:val="2B6C522D"/>
    <w:rsid w:val="2B7408CF"/>
    <w:rsid w:val="2B9D3E9D"/>
    <w:rsid w:val="2B9D609C"/>
    <w:rsid w:val="2BC86EE0"/>
    <w:rsid w:val="2BFE5FCC"/>
    <w:rsid w:val="2C006140"/>
    <w:rsid w:val="2C2C6C04"/>
    <w:rsid w:val="2C3321B1"/>
    <w:rsid w:val="2C39231C"/>
    <w:rsid w:val="2C646B95"/>
    <w:rsid w:val="2C673566"/>
    <w:rsid w:val="2C6D2EF1"/>
    <w:rsid w:val="2C7D37B3"/>
    <w:rsid w:val="2C965551"/>
    <w:rsid w:val="2C9916EB"/>
    <w:rsid w:val="2CB429E0"/>
    <w:rsid w:val="2CC55886"/>
    <w:rsid w:val="2CC67354"/>
    <w:rsid w:val="2CE618B6"/>
    <w:rsid w:val="2CEB5D3E"/>
    <w:rsid w:val="2D366858"/>
    <w:rsid w:val="2D645A08"/>
    <w:rsid w:val="2D73499D"/>
    <w:rsid w:val="2D88611B"/>
    <w:rsid w:val="2D9A265E"/>
    <w:rsid w:val="2DC70AB4"/>
    <w:rsid w:val="2DC963A6"/>
    <w:rsid w:val="2DCA5D7D"/>
    <w:rsid w:val="2E042658"/>
    <w:rsid w:val="2E1343CF"/>
    <w:rsid w:val="2E500C8C"/>
    <w:rsid w:val="2E992581"/>
    <w:rsid w:val="2EA1540F"/>
    <w:rsid w:val="2EC659BD"/>
    <w:rsid w:val="2F02092C"/>
    <w:rsid w:val="2F0B754D"/>
    <w:rsid w:val="2F0F21C0"/>
    <w:rsid w:val="2F15517C"/>
    <w:rsid w:val="2F1D677A"/>
    <w:rsid w:val="2F377B90"/>
    <w:rsid w:val="2F6173BC"/>
    <w:rsid w:val="2F622FA8"/>
    <w:rsid w:val="2F6A3E4F"/>
    <w:rsid w:val="2F8306F3"/>
    <w:rsid w:val="2FAE0FC6"/>
    <w:rsid w:val="2FD64187"/>
    <w:rsid w:val="2FE733FD"/>
    <w:rsid w:val="302F52BF"/>
    <w:rsid w:val="30573E36"/>
    <w:rsid w:val="30640F12"/>
    <w:rsid w:val="306A7A51"/>
    <w:rsid w:val="306C3781"/>
    <w:rsid w:val="308E3936"/>
    <w:rsid w:val="30A04ED5"/>
    <w:rsid w:val="30B67691"/>
    <w:rsid w:val="30CD573F"/>
    <w:rsid w:val="30F310DC"/>
    <w:rsid w:val="30F64EFB"/>
    <w:rsid w:val="312A4E39"/>
    <w:rsid w:val="31324444"/>
    <w:rsid w:val="3133031D"/>
    <w:rsid w:val="31552AFA"/>
    <w:rsid w:val="315F1A90"/>
    <w:rsid w:val="316F5D05"/>
    <w:rsid w:val="31860EE9"/>
    <w:rsid w:val="3186310A"/>
    <w:rsid w:val="319D72B9"/>
    <w:rsid w:val="31BC0B24"/>
    <w:rsid w:val="31E651EC"/>
    <w:rsid w:val="32284440"/>
    <w:rsid w:val="323C48F6"/>
    <w:rsid w:val="32613717"/>
    <w:rsid w:val="32797FDE"/>
    <w:rsid w:val="328106FD"/>
    <w:rsid w:val="32B3105C"/>
    <w:rsid w:val="32B46B3E"/>
    <w:rsid w:val="32BC1A94"/>
    <w:rsid w:val="32C47923"/>
    <w:rsid w:val="32F9052C"/>
    <w:rsid w:val="33153719"/>
    <w:rsid w:val="33296AFD"/>
    <w:rsid w:val="335E5CD2"/>
    <w:rsid w:val="33611EC2"/>
    <w:rsid w:val="33687D4C"/>
    <w:rsid w:val="336C2A69"/>
    <w:rsid w:val="336F02F9"/>
    <w:rsid w:val="33922CA9"/>
    <w:rsid w:val="339935C8"/>
    <w:rsid w:val="339C103A"/>
    <w:rsid w:val="33A5774B"/>
    <w:rsid w:val="33B1023A"/>
    <w:rsid w:val="33B17F6A"/>
    <w:rsid w:val="33C22F6A"/>
    <w:rsid w:val="33CC3D88"/>
    <w:rsid w:val="33E136A3"/>
    <w:rsid w:val="33FA13D4"/>
    <w:rsid w:val="34041CE3"/>
    <w:rsid w:val="340F729F"/>
    <w:rsid w:val="3425351D"/>
    <w:rsid w:val="3430602A"/>
    <w:rsid w:val="3474109D"/>
    <w:rsid w:val="348070AE"/>
    <w:rsid w:val="348B0DF6"/>
    <w:rsid w:val="348C6C89"/>
    <w:rsid w:val="348C753C"/>
    <w:rsid w:val="34B310C1"/>
    <w:rsid w:val="34BF1F22"/>
    <w:rsid w:val="34BF7E98"/>
    <w:rsid w:val="34FF38FF"/>
    <w:rsid w:val="351F7AFD"/>
    <w:rsid w:val="354F76D0"/>
    <w:rsid w:val="355C3599"/>
    <w:rsid w:val="357069B7"/>
    <w:rsid w:val="35904736"/>
    <w:rsid w:val="35E84393"/>
    <w:rsid w:val="35F07A71"/>
    <w:rsid w:val="35F44A12"/>
    <w:rsid w:val="35FD3D2A"/>
    <w:rsid w:val="36595A3B"/>
    <w:rsid w:val="36601B42"/>
    <w:rsid w:val="36766209"/>
    <w:rsid w:val="36840A7D"/>
    <w:rsid w:val="368E39FD"/>
    <w:rsid w:val="36923616"/>
    <w:rsid w:val="36AB673F"/>
    <w:rsid w:val="36BE50F4"/>
    <w:rsid w:val="36C02C1A"/>
    <w:rsid w:val="36C623F2"/>
    <w:rsid w:val="36D14B07"/>
    <w:rsid w:val="36E05914"/>
    <w:rsid w:val="36F70DBC"/>
    <w:rsid w:val="373D426B"/>
    <w:rsid w:val="37556C15"/>
    <w:rsid w:val="376535EE"/>
    <w:rsid w:val="37676AF2"/>
    <w:rsid w:val="37874E28"/>
    <w:rsid w:val="3789032B"/>
    <w:rsid w:val="378B147A"/>
    <w:rsid w:val="378B57F2"/>
    <w:rsid w:val="37CA3313"/>
    <w:rsid w:val="38191D46"/>
    <w:rsid w:val="38253A45"/>
    <w:rsid w:val="382626DA"/>
    <w:rsid w:val="382C640B"/>
    <w:rsid w:val="3830653A"/>
    <w:rsid w:val="386F7324"/>
    <w:rsid w:val="387407A3"/>
    <w:rsid w:val="39635633"/>
    <w:rsid w:val="39681ABA"/>
    <w:rsid w:val="397933C0"/>
    <w:rsid w:val="399E7A9D"/>
    <w:rsid w:val="39AE222F"/>
    <w:rsid w:val="39F60425"/>
    <w:rsid w:val="3A013C75"/>
    <w:rsid w:val="3A0719C4"/>
    <w:rsid w:val="3A1122D3"/>
    <w:rsid w:val="3A2556F1"/>
    <w:rsid w:val="3A620DD9"/>
    <w:rsid w:val="3A6A0B07"/>
    <w:rsid w:val="3A7925D4"/>
    <w:rsid w:val="3AD2717E"/>
    <w:rsid w:val="3AD628A1"/>
    <w:rsid w:val="3AE657AF"/>
    <w:rsid w:val="3AF947CF"/>
    <w:rsid w:val="3B153332"/>
    <w:rsid w:val="3B212713"/>
    <w:rsid w:val="3B2A0F7D"/>
    <w:rsid w:val="3B62097B"/>
    <w:rsid w:val="3B643E7F"/>
    <w:rsid w:val="3B717625"/>
    <w:rsid w:val="3B7A66DC"/>
    <w:rsid w:val="3B7F24AA"/>
    <w:rsid w:val="3BA313E5"/>
    <w:rsid w:val="3BD765CC"/>
    <w:rsid w:val="3BFB3656"/>
    <w:rsid w:val="3C0B453D"/>
    <w:rsid w:val="3C0B7B0F"/>
    <w:rsid w:val="3C1C7DAA"/>
    <w:rsid w:val="3C240839"/>
    <w:rsid w:val="3C624734"/>
    <w:rsid w:val="3C9E24F7"/>
    <w:rsid w:val="3C9F0383"/>
    <w:rsid w:val="3CD00B52"/>
    <w:rsid w:val="3CE358B4"/>
    <w:rsid w:val="3CEC022F"/>
    <w:rsid w:val="3CF96E86"/>
    <w:rsid w:val="3D1E68EC"/>
    <w:rsid w:val="3D25335F"/>
    <w:rsid w:val="3D3D6F88"/>
    <w:rsid w:val="3D765FB2"/>
    <w:rsid w:val="3D8D4788"/>
    <w:rsid w:val="3D916A12"/>
    <w:rsid w:val="3D92350B"/>
    <w:rsid w:val="3D965098"/>
    <w:rsid w:val="3D9A3A9E"/>
    <w:rsid w:val="3D9E717A"/>
    <w:rsid w:val="3DAB17BA"/>
    <w:rsid w:val="3DC15EDC"/>
    <w:rsid w:val="3DEF0FAA"/>
    <w:rsid w:val="3DFA733B"/>
    <w:rsid w:val="3DFF7CEF"/>
    <w:rsid w:val="3E0C6473"/>
    <w:rsid w:val="3E183341"/>
    <w:rsid w:val="3E1A2A40"/>
    <w:rsid w:val="3E1A30F3"/>
    <w:rsid w:val="3E207CE8"/>
    <w:rsid w:val="3E496DBD"/>
    <w:rsid w:val="3E7937F4"/>
    <w:rsid w:val="3E810EE1"/>
    <w:rsid w:val="3EA82911"/>
    <w:rsid w:val="3ECD05CA"/>
    <w:rsid w:val="3EF35D7E"/>
    <w:rsid w:val="3F3D2265"/>
    <w:rsid w:val="3F505F44"/>
    <w:rsid w:val="3FC10EA5"/>
    <w:rsid w:val="3FCF5796"/>
    <w:rsid w:val="3FDD3B36"/>
    <w:rsid w:val="3FF011AB"/>
    <w:rsid w:val="3FFB7D85"/>
    <w:rsid w:val="401E123E"/>
    <w:rsid w:val="4037219F"/>
    <w:rsid w:val="4058011F"/>
    <w:rsid w:val="40595BA0"/>
    <w:rsid w:val="40651D20"/>
    <w:rsid w:val="40695A13"/>
    <w:rsid w:val="40711049"/>
    <w:rsid w:val="409850F0"/>
    <w:rsid w:val="40A13323"/>
    <w:rsid w:val="40B44FB5"/>
    <w:rsid w:val="40C874D9"/>
    <w:rsid w:val="40D31FE7"/>
    <w:rsid w:val="40E51167"/>
    <w:rsid w:val="40F47F9D"/>
    <w:rsid w:val="412907F7"/>
    <w:rsid w:val="41405083"/>
    <w:rsid w:val="41547687"/>
    <w:rsid w:val="415A7A9A"/>
    <w:rsid w:val="41676BD8"/>
    <w:rsid w:val="417248C1"/>
    <w:rsid w:val="419E1248"/>
    <w:rsid w:val="41BE239B"/>
    <w:rsid w:val="41C75D77"/>
    <w:rsid w:val="41CD7C80"/>
    <w:rsid w:val="41DF05F2"/>
    <w:rsid w:val="41DF3CDD"/>
    <w:rsid w:val="420961EC"/>
    <w:rsid w:val="4215600E"/>
    <w:rsid w:val="421D4587"/>
    <w:rsid w:val="422314E0"/>
    <w:rsid w:val="422B001A"/>
    <w:rsid w:val="42450FD8"/>
    <w:rsid w:val="42693382"/>
    <w:rsid w:val="426F45EE"/>
    <w:rsid w:val="42C42BE0"/>
    <w:rsid w:val="42C46F45"/>
    <w:rsid w:val="42C667F7"/>
    <w:rsid w:val="42E06844"/>
    <w:rsid w:val="431279AC"/>
    <w:rsid w:val="43293EE4"/>
    <w:rsid w:val="433504EC"/>
    <w:rsid w:val="43410E67"/>
    <w:rsid w:val="43415B03"/>
    <w:rsid w:val="43485D41"/>
    <w:rsid w:val="43685B14"/>
    <w:rsid w:val="43703520"/>
    <w:rsid w:val="4378246C"/>
    <w:rsid w:val="43796C74"/>
    <w:rsid w:val="43805C0B"/>
    <w:rsid w:val="43BC2D2F"/>
    <w:rsid w:val="43BC3A0D"/>
    <w:rsid w:val="43CB7A2B"/>
    <w:rsid w:val="43CD0A4B"/>
    <w:rsid w:val="43EE063F"/>
    <w:rsid w:val="440F6F36"/>
    <w:rsid w:val="44323ABD"/>
    <w:rsid w:val="444C7CAF"/>
    <w:rsid w:val="444E5B21"/>
    <w:rsid w:val="44726FDA"/>
    <w:rsid w:val="44865C7B"/>
    <w:rsid w:val="44E80768"/>
    <w:rsid w:val="45045743"/>
    <w:rsid w:val="450C7A86"/>
    <w:rsid w:val="4514485C"/>
    <w:rsid w:val="45177768"/>
    <w:rsid w:val="45295484"/>
    <w:rsid w:val="452E518F"/>
    <w:rsid w:val="45302890"/>
    <w:rsid w:val="454B0EBC"/>
    <w:rsid w:val="4591449F"/>
    <w:rsid w:val="45942689"/>
    <w:rsid w:val="45965AB8"/>
    <w:rsid w:val="45C168FC"/>
    <w:rsid w:val="45CC1B69"/>
    <w:rsid w:val="46001285"/>
    <w:rsid w:val="461D0A89"/>
    <w:rsid w:val="4622569C"/>
    <w:rsid w:val="462C182F"/>
    <w:rsid w:val="462D232F"/>
    <w:rsid w:val="463D2CDE"/>
    <w:rsid w:val="4649335D"/>
    <w:rsid w:val="46714521"/>
    <w:rsid w:val="467625C0"/>
    <w:rsid w:val="46A55C75"/>
    <w:rsid w:val="46AF7692"/>
    <w:rsid w:val="46C661AA"/>
    <w:rsid w:val="46F02871"/>
    <w:rsid w:val="46F14A6F"/>
    <w:rsid w:val="4716722E"/>
    <w:rsid w:val="47193A36"/>
    <w:rsid w:val="47300AA9"/>
    <w:rsid w:val="4732140B"/>
    <w:rsid w:val="4732546E"/>
    <w:rsid w:val="473751E4"/>
    <w:rsid w:val="47594FFE"/>
    <w:rsid w:val="476F7E82"/>
    <w:rsid w:val="47726E9A"/>
    <w:rsid w:val="47FB7F56"/>
    <w:rsid w:val="48026F58"/>
    <w:rsid w:val="480A0DBF"/>
    <w:rsid w:val="481D065D"/>
    <w:rsid w:val="482A6DA7"/>
    <w:rsid w:val="48453181"/>
    <w:rsid w:val="48515DC8"/>
    <w:rsid w:val="48931C3C"/>
    <w:rsid w:val="48951D5E"/>
    <w:rsid w:val="489A34C0"/>
    <w:rsid w:val="48CE6F42"/>
    <w:rsid w:val="48DB7106"/>
    <w:rsid w:val="48DD28EF"/>
    <w:rsid w:val="493E459E"/>
    <w:rsid w:val="49753241"/>
    <w:rsid w:val="49767AD1"/>
    <w:rsid w:val="49B170CE"/>
    <w:rsid w:val="49B33379"/>
    <w:rsid w:val="49C04C0E"/>
    <w:rsid w:val="4A0A0505"/>
    <w:rsid w:val="4A1763B3"/>
    <w:rsid w:val="4A1E3D62"/>
    <w:rsid w:val="4A4E2254"/>
    <w:rsid w:val="4A7638C4"/>
    <w:rsid w:val="4A824CCC"/>
    <w:rsid w:val="4A83274D"/>
    <w:rsid w:val="4A887DD5"/>
    <w:rsid w:val="4A8D4B56"/>
    <w:rsid w:val="4A901A63"/>
    <w:rsid w:val="4AAC78A7"/>
    <w:rsid w:val="4AB90AA7"/>
    <w:rsid w:val="4ADE38FA"/>
    <w:rsid w:val="4AE46639"/>
    <w:rsid w:val="4AEA4235"/>
    <w:rsid w:val="4AFB588F"/>
    <w:rsid w:val="4B1E25CC"/>
    <w:rsid w:val="4B2A3AB6"/>
    <w:rsid w:val="4B7B67CD"/>
    <w:rsid w:val="4BAC70A9"/>
    <w:rsid w:val="4BEA681C"/>
    <w:rsid w:val="4BF4712C"/>
    <w:rsid w:val="4C067046"/>
    <w:rsid w:val="4C1672E0"/>
    <w:rsid w:val="4C26757B"/>
    <w:rsid w:val="4C787385"/>
    <w:rsid w:val="4C813447"/>
    <w:rsid w:val="4CD56D0B"/>
    <w:rsid w:val="4CDD47A3"/>
    <w:rsid w:val="4CF06D4E"/>
    <w:rsid w:val="4CF60F5F"/>
    <w:rsid w:val="4D005889"/>
    <w:rsid w:val="4D0645D4"/>
    <w:rsid w:val="4D29404E"/>
    <w:rsid w:val="4D491763"/>
    <w:rsid w:val="4D52026D"/>
    <w:rsid w:val="4D6B7D84"/>
    <w:rsid w:val="4D7020FE"/>
    <w:rsid w:val="4D726447"/>
    <w:rsid w:val="4D7A49A9"/>
    <w:rsid w:val="4D9228C7"/>
    <w:rsid w:val="4D9329DF"/>
    <w:rsid w:val="4DAA2F7A"/>
    <w:rsid w:val="4DF10D07"/>
    <w:rsid w:val="4E1A52AD"/>
    <w:rsid w:val="4E1C41B2"/>
    <w:rsid w:val="4E1E2F39"/>
    <w:rsid w:val="4E2017A4"/>
    <w:rsid w:val="4E493D7D"/>
    <w:rsid w:val="4E65355A"/>
    <w:rsid w:val="4E6F4101"/>
    <w:rsid w:val="4E8E31EC"/>
    <w:rsid w:val="4EB93137"/>
    <w:rsid w:val="4ED571E4"/>
    <w:rsid w:val="4EF26794"/>
    <w:rsid w:val="4F0F02C3"/>
    <w:rsid w:val="4F1869D4"/>
    <w:rsid w:val="4F194C76"/>
    <w:rsid w:val="4F1B162E"/>
    <w:rsid w:val="4F202672"/>
    <w:rsid w:val="4F411BDE"/>
    <w:rsid w:val="4F423F95"/>
    <w:rsid w:val="4F493920"/>
    <w:rsid w:val="4F494BAD"/>
    <w:rsid w:val="4F4E60F4"/>
    <w:rsid w:val="4F822698"/>
    <w:rsid w:val="4FA158BC"/>
    <w:rsid w:val="4FAE10C6"/>
    <w:rsid w:val="4FBB03DB"/>
    <w:rsid w:val="4FBD38DE"/>
    <w:rsid w:val="4FD92270"/>
    <w:rsid w:val="4FDE667E"/>
    <w:rsid w:val="4FFF344E"/>
    <w:rsid w:val="5007085B"/>
    <w:rsid w:val="50163074"/>
    <w:rsid w:val="50712488"/>
    <w:rsid w:val="50866BAB"/>
    <w:rsid w:val="509B395C"/>
    <w:rsid w:val="509E4251"/>
    <w:rsid w:val="50B55994"/>
    <w:rsid w:val="51121E6C"/>
    <w:rsid w:val="512141C6"/>
    <w:rsid w:val="512B7333"/>
    <w:rsid w:val="512C2DE9"/>
    <w:rsid w:val="512E314A"/>
    <w:rsid w:val="513A40D0"/>
    <w:rsid w:val="513A69DC"/>
    <w:rsid w:val="514172DE"/>
    <w:rsid w:val="514C786D"/>
    <w:rsid w:val="515A4B81"/>
    <w:rsid w:val="515B6DB3"/>
    <w:rsid w:val="51637D72"/>
    <w:rsid w:val="5171202B"/>
    <w:rsid w:val="519019B9"/>
    <w:rsid w:val="5192662A"/>
    <w:rsid w:val="519A7C0E"/>
    <w:rsid w:val="51A07100"/>
    <w:rsid w:val="51D82CD4"/>
    <w:rsid w:val="521572B6"/>
    <w:rsid w:val="5248208F"/>
    <w:rsid w:val="52501699"/>
    <w:rsid w:val="525075EE"/>
    <w:rsid w:val="528D1027"/>
    <w:rsid w:val="52906C00"/>
    <w:rsid w:val="52931255"/>
    <w:rsid w:val="52A045AA"/>
    <w:rsid w:val="52A9326E"/>
    <w:rsid w:val="52AB07CA"/>
    <w:rsid w:val="52C245F2"/>
    <w:rsid w:val="52D2096E"/>
    <w:rsid w:val="52DB37FC"/>
    <w:rsid w:val="52DC0509"/>
    <w:rsid w:val="52EA21DE"/>
    <w:rsid w:val="531E556A"/>
    <w:rsid w:val="5330458B"/>
    <w:rsid w:val="533C6D67"/>
    <w:rsid w:val="536D4121"/>
    <w:rsid w:val="537441E8"/>
    <w:rsid w:val="538F7E27"/>
    <w:rsid w:val="539E1985"/>
    <w:rsid w:val="53B41875"/>
    <w:rsid w:val="53D57297"/>
    <w:rsid w:val="53DC24A5"/>
    <w:rsid w:val="54032364"/>
    <w:rsid w:val="5418636F"/>
    <w:rsid w:val="545A4F71"/>
    <w:rsid w:val="54600B65"/>
    <w:rsid w:val="5465496A"/>
    <w:rsid w:val="54710045"/>
    <w:rsid w:val="54722618"/>
    <w:rsid w:val="54974DD6"/>
    <w:rsid w:val="54A67E60"/>
    <w:rsid w:val="54AB19B0"/>
    <w:rsid w:val="54F1030B"/>
    <w:rsid w:val="552E2FF3"/>
    <w:rsid w:val="55396B5E"/>
    <w:rsid w:val="554963A1"/>
    <w:rsid w:val="55646662"/>
    <w:rsid w:val="559B337F"/>
    <w:rsid w:val="55A3078C"/>
    <w:rsid w:val="55BD4A9D"/>
    <w:rsid w:val="55FA274D"/>
    <w:rsid w:val="56026953"/>
    <w:rsid w:val="560F58BD"/>
    <w:rsid w:val="562B6BE0"/>
    <w:rsid w:val="5632621B"/>
    <w:rsid w:val="56436117"/>
    <w:rsid w:val="56847368"/>
    <w:rsid w:val="56A106AF"/>
    <w:rsid w:val="56D527C2"/>
    <w:rsid w:val="56E968A5"/>
    <w:rsid w:val="56EA6524"/>
    <w:rsid w:val="56ED52AB"/>
    <w:rsid w:val="570D55B0"/>
    <w:rsid w:val="5717642E"/>
    <w:rsid w:val="575D4996"/>
    <w:rsid w:val="57DA0652"/>
    <w:rsid w:val="57EF0351"/>
    <w:rsid w:val="57FE0BD2"/>
    <w:rsid w:val="5813309A"/>
    <w:rsid w:val="58645D91"/>
    <w:rsid w:val="586B15E0"/>
    <w:rsid w:val="5887411E"/>
    <w:rsid w:val="589B3CED"/>
    <w:rsid w:val="58BE7724"/>
    <w:rsid w:val="58CB22BD"/>
    <w:rsid w:val="58D7284D"/>
    <w:rsid w:val="58DF7A9F"/>
    <w:rsid w:val="593A4AEF"/>
    <w:rsid w:val="59513E7A"/>
    <w:rsid w:val="5967213C"/>
    <w:rsid w:val="59A30A3D"/>
    <w:rsid w:val="59C3674A"/>
    <w:rsid w:val="59F00D9B"/>
    <w:rsid w:val="59F86EE7"/>
    <w:rsid w:val="59F974AC"/>
    <w:rsid w:val="5A093EC3"/>
    <w:rsid w:val="5A096502"/>
    <w:rsid w:val="5A132EDD"/>
    <w:rsid w:val="5A157CD6"/>
    <w:rsid w:val="5A251F53"/>
    <w:rsid w:val="5A47502D"/>
    <w:rsid w:val="5A492DA3"/>
    <w:rsid w:val="5A72006F"/>
    <w:rsid w:val="5A750FF4"/>
    <w:rsid w:val="5A7E1904"/>
    <w:rsid w:val="5AAB486A"/>
    <w:rsid w:val="5AC00DED"/>
    <w:rsid w:val="5AEE750A"/>
    <w:rsid w:val="5B076365"/>
    <w:rsid w:val="5B092532"/>
    <w:rsid w:val="5B241943"/>
    <w:rsid w:val="5B324C2A"/>
    <w:rsid w:val="5B333206"/>
    <w:rsid w:val="5B405245"/>
    <w:rsid w:val="5B4A68A1"/>
    <w:rsid w:val="5B572E88"/>
    <w:rsid w:val="5B6042CA"/>
    <w:rsid w:val="5B74650D"/>
    <w:rsid w:val="5B9763EF"/>
    <w:rsid w:val="5BC112B9"/>
    <w:rsid w:val="5BC1645D"/>
    <w:rsid w:val="5BCC1A03"/>
    <w:rsid w:val="5BD26DC8"/>
    <w:rsid w:val="5BFC5248"/>
    <w:rsid w:val="5C4415EF"/>
    <w:rsid w:val="5C533197"/>
    <w:rsid w:val="5C645C72"/>
    <w:rsid w:val="5C8B5E09"/>
    <w:rsid w:val="5C961809"/>
    <w:rsid w:val="5CFC6A1B"/>
    <w:rsid w:val="5D153EC6"/>
    <w:rsid w:val="5D184CAE"/>
    <w:rsid w:val="5D450E12"/>
    <w:rsid w:val="5D5F77BE"/>
    <w:rsid w:val="5D6469BA"/>
    <w:rsid w:val="5D6E585A"/>
    <w:rsid w:val="5D761B36"/>
    <w:rsid w:val="5D805774"/>
    <w:rsid w:val="5D83037A"/>
    <w:rsid w:val="5D867262"/>
    <w:rsid w:val="5D937D6D"/>
    <w:rsid w:val="5DBF238C"/>
    <w:rsid w:val="5DDF6E12"/>
    <w:rsid w:val="5E115063"/>
    <w:rsid w:val="5E1169B2"/>
    <w:rsid w:val="5E1C2913"/>
    <w:rsid w:val="5E590CDA"/>
    <w:rsid w:val="5E5E3AB2"/>
    <w:rsid w:val="5E5F36D4"/>
    <w:rsid w:val="5E6721EE"/>
    <w:rsid w:val="5E6934F3"/>
    <w:rsid w:val="5E9F014A"/>
    <w:rsid w:val="5EA42C9D"/>
    <w:rsid w:val="5EB1716B"/>
    <w:rsid w:val="5EC107F8"/>
    <w:rsid w:val="5ECB4491"/>
    <w:rsid w:val="5EEC1474"/>
    <w:rsid w:val="5EF370C5"/>
    <w:rsid w:val="5F0D4001"/>
    <w:rsid w:val="5F140E8E"/>
    <w:rsid w:val="5F214CFC"/>
    <w:rsid w:val="5F294A3B"/>
    <w:rsid w:val="5F585836"/>
    <w:rsid w:val="5F615C89"/>
    <w:rsid w:val="5F7F1015"/>
    <w:rsid w:val="5F832D98"/>
    <w:rsid w:val="5F8416C1"/>
    <w:rsid w:val="5F896C98"/>
    <w:rsid w:val="5F9108E1"/>
    <w:rsid w:val="5FA3200A"/>
    <w:rsid w:val="5FAD7930"/>
    <w:rsid w:val="5FE46263"/>
    <w:rsid w:val="5FE73964"/>
    <w:rsid w:val="5FEE6B72"/>
    <w:rsid w:val="5FF57123"/>
    <w:rsid w:val="5FF73BFE"/>
    <w:rsid w:val="5FFE1ED7"/>
    <w:rsid w:val="601A3676"/>
    <w:rsid w:val="603D6F06"/>
    <w:rsid w:val="609E0F14"/>
    <w:rsid w:val="609F6996"/>
    <w:rsid w:val="60BA4FC1"/>
    <w:rsid w:val="60D57D69"/>
    <w:rsid w:val="60D84571"/>
    <w:rsid w:val="6106053F"/>
    <w:rsid w:val="611543D6"/>
    <w:rsid w:val="611A4203"/>
    <w:rsid w:val="611C2F2E"/>
    <w:rsid w:val="614C3178"/>
    <w:rsid w:val="61572249"/>
    <w:rsid w:val="61693385"/>
    <w:rsid w:val="61733AD5"/>
    <w:rsid w:val="61857110"/>
    <w:rsid w:val="618C1A96"/>
    <w:rsid w:val="61AA1046"/>
    <w:rsid w:val="61B73ECC"/>
    <w:rsid w:val="61C45474"/>
    <w:rsid w:val="61C6027E"/>
    <w:rsid w:val="61CB663A"/>
    <w:rsid w:val="61D37C8C"/>
    <w:rsid w:val="61DA69D6"/>
    <w:rsid w:val="61DF12ED"/>
    <w:rsid w:val="621F1A2C"/>
    <w:rsid w:val="62224681"/>
    <w:rsid w:val="62397316"/>
    <w:rsid w:val="62557B99"/>
    <w:rsid w:val="625C694F"/>
    <w:rsid w:val="626B5DEF"/>
    <w:rsid w:val="62A462CA"/>
    <w:rsid w:val="62B25944"/>
    <w:rsid w:val="62BB05B6"/>
    <w:rsid w:val="62D068AA"/>
    <w:rsid w:val="62D4425D"/>
    <w:rsid w:val="62E4334D"/>
    <w:rsid w:val="62E908F6"/>
    <w:rsid w:val="62F67840"/>
    <w:rsid w:val="63130619"/>
    <w:rsid w:val="63195DA5"/>
    <w:rsid w:val="632315C6"/>
    <w:rsid w:val="63267639"/>
    <w:rsid w:val="63374A8A"/>
    <w:rsid w:val="633C17DD"/>
    <w:rsid w:val="63443EAF"/>
    <w:rsid w:val="63515EFF"/>
    <w:rsid w:val="636E32B1"/>
    <w:rsid w:val="63704604"/>
    <w:rsid w:val="637C0048"/>
    <w:rsid w:val="637F15CF"/>
    <w:rsid w:val="6381535B"/>
    <w:rsid w:val="63953170"/>
    <w:rsid w:val="63A020E1"/>
    <w:rsid w:val="63AF0497"/>
    <w:rsid w:val="63C141F3"/>
    <w:rsid w:val="63C4043C"/>
    <w:rsid w:val="63C66875"/>
    <w:rsid w:val="63E46773"/>
    <w:rsid w:val="63E638BD"/>
    <w:rsid w:val="63FB6398"/>
    <w:rsid w:val="641301BB"/>
    <w:rsid w:val="642A0969"/>
    <w:rsid w:val="642C6B67"/>
    <w:rsid w:val="6440730A"/>
    <w:rsid w:val="646856C7"/>
    <w:rsid w:val="6479295E"/>
    <w:rsid w:val="647C167A"/>
    <w:rsid w:val="64810160"/>
    <w:rsid w:val="64A00828"/>
    <w:rsid w:val="64D60785"/>
    <w:rsid w:val="6511270F"/>
    <w:rsid w:val="651300D1"/>
    <w:rsid w:val="653C48AF"/>
    <w:rsid w:val="65486743"/>
    <w:rsid w:val="659B47BF"/>
    <w:rsid w:val="659F6A49"/>
    <w:rsid w:val="65A66AA5"/>
    <w:rsid w:val="65A73E55"/>
    <w:rsid w:val="65B94ACA"/>
    <w:rsid w:val="65D04B97"/>
    <w:rsid w:val="65D5369F"/>
    <w:rsid w:val="65D57BE0"/>
    <w:rsid w:val="65E43CBA"/>
    <w:rsid w:val="65E55EB8"/>
    <w:rsid w:val="65F43F54"/>
    <w:rsid w:val="65FD31D6"/>
    <w:rsid w:val="662B72DC"/>
    <w:rsid w:val="664D7777"/>
    <w:rsid w:val="66601C37"/>
    <w:rsid w:val="66833FFD"/>
    <w:rsid w:val="669A1049"/>
    <w:rsid w:val="66B4528C"/>
    <w:rsid w:val="66B95EE9"/>
    <w:rsid w:val="66C642AD"/>
    <w:rsid w:val="66DD7EB7"/>
    <w:rsid w:val="67180834"/>
    <w:rsid w:val="67294015"/>
    <w:rsid w:val="673213DD"/>
    <w:rsid w:val="67424634"/>
    <w:rsid w:val="6753313D"/>
    <w:rsid w:val="67686B92"/>
    <w:rsid w:val="676A25AA"/>
    <w:rsid w:val="677221C7"/>
    <w:rsid w:val="67760BCD"/>
    <w:rsid w:val="678F5EF4"/>
    <w:rsid w:val="679B3764"/>
    <w:rsid w:val="679F3F90"/>
    <w:rsid w:val="67BC4FA6"/>
    <w:rsid w:val="67D1475A"/>
    <w:rsid w:val="67DF5160"/>
    <w:rsid w:val="67E027FB"/>
    <w:rsid w:val="67E63ED9"/>
    <w:rsid w:val="680074AC"/>
    <w:rsid w:val="68334803"/>
    <w:rsid w:val="68382B41"/>
    <w:rsid w:val="684F2AAF"/>
    <w:rsid w:val="686C5F09"/>
    <w:rsid w:val="68916533"/>
    <w:rsid w:val="68981FA9"/>
    <w:rsid w:val="68A747C2"/>
    <w:rsid w:val="68A97CC5"/>
    <w:rsid w:val="68B735CD"/>
    <w:rsid w:val="68BA59E1"/>
    <w:rsid w:val="68CB003D"/>
    <w:rsid w:val="68D11D83"/>
    <w:rsid w:val="68DB5F16"/>
    <w:rsid w:val="69115201"/>
    <w:rsid w:val="691318F3"/>
    <w:rsid w:val="6922410C"/>
    <w:rsid w:val="69345352"/>
    <w:rsid w:val="693E01B9"/>
    <w:rsid w:val="6948779B"/>
    <w:rsid w:val="69530721"/>
    <w:rsid w:val="6967357B"/>
    <w:rsid w:val="69787200"/>
    <w:rsid w:val="697A6D19"/>
    <w:rsid w:val="6983542A"/>
    <w:rsid w:val="69C34931"/>
    <w:rsid w:val="69ED1256"/>
    <w:rsid w:val="6A115F93"/>
    <w:rsid w:val="6A143118"/>
    <w:rsid w:val="6A16241A"/>
    <w:rsid w:val="6A4F3879"/>
    <w:rsid w:val="6A5034F9"/>
    <w:rsid w:val="6A647F9B"/>
    <w:rsid w:val="6AB21AFA"/>
    <w:rsid w:val="6ABA2F28"/>
    <w:rsid w:val="6ACB1211"/>
    <w:rsid w:val="6AD846D7"/>
    <w:rsid w:val="6ADC30DD"/>
    <w:rsid w:val="6AE2668E"/>
    <w:rsid w:val="6B025340"/>
    <w:rsid w:val="6B113469"/>
    <w:rsid w:val="6B1B1CC8"/>
    <w:rsid w:val="6B4C3885"/>
    <w:rsid w:val="6B5670CE"/>
    <w:rsid w:val="6B5F73CB"/>
    <w:rsid w:val="6B627E38"/>
    <w:rsid w:val="6B6B2D4C"/>
    <w:rsid w:val="6B8B1F7C"/>
    <w:rsid w:val="6B973810"/>
    <w:rsid w:val="6BAA7E5B"/>
    <w:rsid w:val="6BC974B0"/>
    <w:rsid w:val="6BCA74BB"/>
    <w:rsid w:val="6BD66B78"/>
    <w:rsid w:val="6C004D10"/>
    <w:rsid w:val="6C1D5873"/>
    <w:rsid w:val="6C3A532D"/>
    <w:rsid w:val="6C423CA9"/>
    <w:rsid w:val="6C55074B"/>
    <w:rsid w:val="6C5F3259"/>
    <w:rsid w:val="6C635F46"/>
    <w:rsid w:val="6C75797B"/>
    <w:rsid w:val="6CC56897"/>
    <w:rsid w:val="6CE25DB1"/>
    <w:rsid w:val="6CFA1FC6"/>
    <w:rsid w:val="6D131E03"/>
    <w:rsid w:val="6D1E40B3"/>
    <w:rsid w:val="6D2A61A5"/>
    <w:rsid w:val="6D3E4587"/>
    <w:rsid w:val="6D417909"/>
    <w:rsid w:val="6D4549E6"/>
    <w:rsid w:val="6D552011"/>
    <w:rsid w:val="6D721E1C"/>
    <w:rsid w:val="6D783D26"/>
    <w:rsid w:val="6D7F36B1"/>
    <w:rsid w:val="6D8B4F45"/>
    <w:rsid w:val="6D9D06E2"/>
    <w:rsid w:val="6DA325EB"/>
    <w:rsid w:val="6DC67590"/>
    <w:rsid w:val="6DD07C38"/>
    <w:rsid w:val="6DE67BDD"/>
    <w:rsid w:val="6DE7565E"/>
    <w:rsid w:val="6E2B5F27"/>
    <w:rsid w:val="6E463322"/>
    <w:rsid w:val="6E4E7A4C"/>
    <w:rsid w:val="6E54240F"/>
    <w:rsid w:val="6E5813AF"/>
    <w:rsid w:val="6E655F2D"/>
    <w:rsid w:val="6E66012B"/>
    <w:rsid w:val="6E95544B"/>
    <w:rsid w:val="6ECE6912"/>
    <w:rsid w:val="6ED177DA"/>
    <w:rsid w:val="6EEA6186"/>
    <w:rsid w:val="6F054124"/>
    <w:rsid w:val="6F0D60E5"/>
    <w:rsid w:val="6F503036"/>
    <w:rsid w:val="6F670725"/>
    <w:rsid w:val="6F763820"/>
    <w:rsid w:val="6F817B5B"/>
    <w:rsid w:val="6F946416"/>
    <w:rsid w:val="6FB92530"/>
    <w:rsid w:val="6FDC6A13"/>
    <w:rsid w:val="6FF07C32"/>
    <w:rsid w:val="6FF11381"/>
    <w:rsid w:val="6FF24F26"/>
    <w:rsid w:val="6FF356A3"/>
    <w:rsid w:val="6FFD6B93"/>
    <w:rsid w:val="7045158B"/>
    <w:rsid w:val="70473218"/>
    <w:rsid w:val="70483B44"/>
    <w:rsid w:val="70583986"/>
    <w:rsid w:val="7058635C"/>
    <w:rsid w:val="705F3B9E"/>
    <w:rsid w:val="706A537D"/>
    <w:rsid w:val="70796FE5"/>
    <w:rsid w:val="707B2A29"/>
    <w:rsid w:val="70845F27"/>
    <w:rsid w:val="708763AD"/>
    <w:rsid w:val="708E6837"/>
    <w:rsid w:val="70922A46"/>
    <w:rsid w:val="70BD1D97"/>
    <w:rsid w:val="70C5552E"/>
    <w:rsid w:val="70E701CA"/>
    <w:rsid w:val="70EE752B"/>
    <w:rsid w:val="70FF3E51"/>
    <w:rsid w:val="713B6345"/>
    <w:rsid w:val="717A2FBC"/>
    <w:rsid w:val="7185354B"/>
    <w:rsid w:val="718A38EF"/>
    <w:rsid w:val="71B44B4E"/>
    <w:rsid w:val="71B936E0"/>
    <w:rsid w:val="722B755C"/>
    <w:rsid w:val="72315E86"/>
    <w:rsid w:val="7236277D"/>
    <w:rsid w:val="727331D4"/>
    <w:rsid w:val="72BA6194"/>
    <w:rsid w:val="72D77675"/>
    <w:rsid w:val="72E10006"/>
    <w:rsid w:val="72E67C90"/>
    <w:rsid w:val="72F21524"/>
    <w:rsid w:val="72F65D2C"/>
    <w:rsid w:val="73050544"/>
    <w:rsid w:val="731352DC"/>
    <w:rsid w:val="731828E5"/>
    <w:rsid w:val="731E664B"/>
    <w:rsid w:val="73245576"/>
    <w:rsid w:val="73384217"/>
    <w:rsid w:val="73400AA6"/>
    <w:rsid w:val="735910C7"/>
    <w:rsid w:val="736308DE"/>
    <w:rsid w:val="736C11ED"/>
    <w:rsid w:val="73843011"/>
    <w:rsid w:val="738430F5"/>
    <w:rsid w:val="739A134F"/>
    <w:rsid w:val="73AF515A"/>
    <w:rsid w:val="73C6500C"/>
    <w:rsid w:val="73D81AA1"/>
    <w:rsid w:val="73F039C5"/>
    <w:rsid w:val="74135EB4"/>
    <w:rsid w:val="7425398B"/>
    <w:rsid w:val="742C4AB7"/>
    <w:rsid w:val="74301C3A"/>
    <w:rsid w:val="74336496"/>
    <w:rsid w:val="74477EFB"/>
    <w:rsid w:val="748821B7"/>
    <w:rsid w:val="74A27702"/>
    <w:rsid w:val="74B8075A"/>
    <w:rsid w:val="74C62724"/>
    <w:rsid w:val="751214C2"/>
    <w:rsid w:val="751D225F"/>
    <w:rsid w:val="751F373A"/>
    <w:rsid w:val="75370A89"/>
    <w:rsid w:val="75572263"/>
    <w:rsid w:val="75690E23"/>
    <w:rsid w:val="756A056B"/>
    <w:rsid w:val="75841E9C"/>
    <w:rsid w:val="75A470E2"/>
    <w:rsid w:val="75AA6706"/>
    <w:rsid w:val="75AA6994"/>
    <w:rsid w:val="75BE7BBF"/>
    <w:rsid w:val="75DB69E8"/>
    <w:rsid w:val="75DB71C7"/>
    <w:rsid w:val="75EC2630"/>
    <w:rsid w:val="76286997"/>
    <w:rsid w:val="764F0F26"/>
    <w:rsid w:val="76564134"/>
    <w:rsid w:val="76746FA2"/>
    <w:rsid w:val="768371E5"/>
    <w:rsid w:val="76A076F1"/>
    <w:rsid w:val="76BA3E58"/>
    <w:rsid w:val="76CE1E61"/>
    <w:rsid w:val="76CE7275"/>
    <w:rsid w:val="77187314"/>
    <w:rsid w:val="77204A34"/>
    <w:rsid w:val="77255FFA"/>
    <w:rsid w:val="772D7A86"/>
    <w:rsid w:val="774249AA"/>
    <w:rsid w:val="77626838"/>
    <w:rsid w:val="77841DDD"/>
    <w:rsid w:val="77A33DD6"/>
    <w:rsid w:val="77A954AE"/>
    <w:rsid w:val="77A95CDF"/>
    <w:rsid w:val="77AE5E98"/>
    <w:rsid w:val="77F5255B"/>
    <w:rsid w:val="78176A37"/>
    <w:rsid w:val="782D04B7"/>
    <w:rsid w:val="78455773"/>
    <w:rsid w:val="78747CA5"/>
    <w:rsid w:val="788A0850"/>
    <w:rsid w:val="78AE7C69"/>
    <w:rsid w:val="78DD3D89"/>
    <w:rsid w:val="78E4686E"/>
    <w:rsid w:val="78EE584F"/>
    <w:rsid w:val="78F46178"/>
    <w:rsid w:val="790E3028"/>
    <w:rsid w:val="792F6DE0"/>
    <w:rsid w:val="793F3FF5"/>
    <w:rsid w:val="79466CE7"/>
    <w:rsid w:val="79676F3A"/>
    <w:rsid w:val="796B468C"/>
    <w:rsid w:val="797176A6"/>
    <w:rsid w:val="797804D9"/>
    <w:rsid w:val="797B5BDA"/>
    <w:rsid w:val="799257FF"/>
    <w:rsid w:val="799C6528"/>
    <w:rsid w:val="799D1612"/>
    <w:rsid w:val="79A402F7"/>
    <w:rsid w:val="79B54ABA"/>
    <w:rsid w:val="79B80D83"/>
    <w:rsid w:val="79E92136"/>
    <w:rsid w:val="79F964A8"/>
    <w:rsid w:val="7A101951"/>
    <w:rsid w:val="7A185DEA"/>
    <w:rsid w:val="7A253E75"/>
    <w:rsid w:val="7A5F16D0"/>
    <w:rsid w:val="7A7F47DA"/>
    <w:rsid w:val="7AA26CC1"/>
    <w:rsid w:val="7AAC0F52"/>
    <w:rsid w:val="7AB77B60"/>
    <w:rsid w:val="7AB86E66"/>
    <w:rsid w:val="7AC932FE"/>
    <w:rsid w:val="7ACD565A"/>
    <w:rsid w:val="7AD14F03"/>
    <w:rsid w:val="7AD9139A"/>
    <w:rsid w:val="7AE52708"/>
    <w:rsid w:val="7B571516"/>
    <w:rsid w:val="7B80532F"/>
    <w:rsid w:val="7B811C33"/>
    <w:rsid w:val="7B835FAF"/>
    <w:rsid w:val="7B8627B7"/>
    <w:rsid w:val="7B8B6C3F"/>
    <w:rsid w:val="7B902188"/>
    <w:rsid w:val="7B903705"/>
    <w:rsid w:val="7BA07ADE"/>
    <w:rsid w:val="7BBF0393"/>
    <w:rsid w:val="7C027B82"/>
    <w:rsid w:val="7C0C6993"/>
    <w:rsid w:val="7C36115E"/>
    <w:rsid w:val="7C3C6A63"/>
    <w:rsid w:val="7C3F79E7"/>
    <w:rsid w:val="7C743857"/>
    <w:rsid w:val="7C7F4F4E"/>
    <w:rsid w:val="7C88585D"/>
    <w:rsid w:val="7CB12B09"/>
    <w:rsid w:val="7CB34123"/>
    <w:rsid w:val="7CBE5D37"/>
    <w:rsid w:val="7CC2473D"/>
    <w:rsid w:val="7CD44657"/>
    <w:rsid w:val="7CE27707"/>
    <w:rsid w:val="7CFA54BA"/>
    <w:rsid w:val="7D004222"/>
    <w:rsid w:val="7D052701"/>
    <w:rsid w:val="7D133070"/>
    <w:rsid w:val="7D160944"/>
    <w:rsid w:val="7D1B064F"/>
    <w:rsid w:val="7D6F1533"/>
    <w:rsid w:val="7DBB79CB"/>
    <w:rsid w:val="7DBC0FE5"/>
    <w:rsid w:val="7DC932E8"/>
    <w:rsid w:val="7DCF5B74"/>
    <w:rsid w:val="7DD035F6"/>
    <w:rsid w:val="7DE55565"/>
    <w:rsid w:val="7E001BC6"/>
    <w:rsid w:val="7E0026E9"/>
    <w:rsid w:val="7E096221"/>
    <w:rsid w:val="7E0C1365"/>
    <w:rsid w:val="7E13573D"/>
    <w:rsid w:val="7E13767C"/>
    <w:rsid w:val="7E1415AB"/>
    <w:rsid w:val="7E163D6A"/>
    <w:rsid w:val="7E5A0FDB"/>
    <w:rsid w:val="7E682F48"/>
    <w:rsid w:val="7E8453A6"/>
    <w:rsid w:val="7E8A0299"/>
    <w:rsid w:val="7EA8681F"/>
    <w:rsid w:val="7EBF2EFE"/>
    <w:rsid w:val="7EDD1B36"/>
    <w:rsid w:val="7EEE5FCC"/>
    <w:rsid w:val="7EF4404A"/>
    <w:rsid w:val="7EFA346A"/>
    <w:rsid w:val="7F0D0A7F"/>
    <w:rsid w:val="7F312B78"/>
    <w:rsid w:val="7F4D1868"/>
    <w:rsid w:val="7F556C75"/>
    <w:rsid w:val="7F867444"/>
    <w:rsid w:val="7F8D6DCF"/>
    <w:rsid w:val="7F9027B0"/>
    <w:rsid w:val="7FDA6ECE"/>
    <w:rsid w:val="7FE83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0"/>
    <w:pPr>
      <w:keepNext/>
      <w:jc w:val="center"/>
      <w:outlineLvl w:val="0"/>
    </w:pPr>
    <w:rPr>
      <w:rFonts w:eastAsia="仿宋_GB2312"/>
      <w:sz w:val="30"/>
      <w:szCs w:val="20"/>
    </w:rPr>
  </w:style>
  <w:style w:type="paragraph" w:styleId="4">
    <w:name w:val="heading 2"/>
    <w:basedOn w:val="1"/>
    <w:next w:val="5"/>
    <w:link w:val="22"/>
    <w:qFormat/>
    <w:uiPriority w:val="0"/>
    <w:pPr>
      <w:keepNext/>
      <w:jc w:val="center"/>
      <w:outlineLvl w:val="1"/>
    </w:pPr>
    <w:rPr>
      <w:rFonts w:eastAsia="仿宋_GB2312"/>
      <w:sz w:val="28"/>
      <w:szCs w:val="20"/>
    </w:rPr>
  </w:style>
  <w:style w:type="paragraph" w:styleId="6">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spacing w:line="440" w:lineRule="exact"/>
      <w:jc w:val="center"/>
    </w:pPr>
    <w:rPr>
      <w:color w:val="000000"/>
      <w:sz w:val="20"/>
      <w:szCs w:val="20"/>
    </w:rPr>
  </w:style>
  <w:style w:type="paragraph" w:styleId="5">
    <w:name w:val="Normal Indent"/>
    <w:basedOn w:val="1"/>
    <w:unhideWhenUsed/>
    <w:qFormat/>
    <w:uiPriority w:val="99"/>
    <w:pPr>
      <w:ind w:firstLine="420" w:firstLineChars="200"/>
    </w:pPr>
  </w:style>
  <w:style w:type="paragraph" w:styleId="7">
    <w:name w:val="Body Text"/>
    <w:basedOn w:val="1"/>
    <w:link w:val="27"/>
    <w:qFormat/>
    <w:uiPriority w:val="0"/>
    <w:pPr>
      <w:jc w:val="center"/>
    </w:pPr>
    <w:rPr>
      <w:rFonts w:ascii="仿宋_GB2312"/>
      <w:b/>
      <w:bCs/>
      <w:sz w:val="40"/>
    </w:rPr>
  </w:style>
  <w:style w:type="paragraph" w:styleId="8">
    <w:name w:val="Body Text Indent"/>
    <w:basedOn w:val="1"/>
    <w:unhideWhenUsed/>
    <w:qFormat/>
    <w:uiPriority w:val="99"/>
    <w:pPr>
      <w:spacing w:after="120"/>
      <w:ind w:left="420" w:leftChars="200"/>
    </w:pPr>
  </w:style>
  <w:style w:type="paragraph" w:styleId="9">
    <w:name w:val="Date"/>
    <w:basedOn w:val="1"/>
    <w:next w:val="1"/>
    <w:link w:val="24"/>
    <w:unhideWhenUsed/>
    <w:qFormat/>
    <w:uiPriority w:val="99"/>
    <w:pPr>
      <w:ind w:left="100" w:leftChars="2500"/>
    </w:pPr>
  </w:style>
  <w:style w:type="paragraph" w:styleId="10">
    <w:name w:val="Balloon Text"/>
    <w:basedOn w:val="1"/>
    <w:link w:val="28"/>
    <w:unhideWhenUsed/>
    <w:qFormat/>
    <w:uiPriority w:val="0"/>
    <w:rPr>
      <w:sz w:val="18"/>
      <w:szCs w:val="18"/>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Message Header"/>
    <w:basedOn w:val="14"/>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customStyle="1" w:styleId="14">
    <w:name w:val="PJ 条-紧跟"/>
    <w:basedOn w:val="1"/>
    <w:qFormat/>
    <w:uiPriority w:val="0"/>
    <w:rPr>
      <w:rFonts w:ascii="仿宋_GB2312" w:eastAsia="仿宋_GB2312"/>
      <w:kern w:val="0"/>
      <w:sz w:val="28"/>
      <w:szCs w:val="20"/>
      <w:lang w:val="zh-CN"/>
    </w:rPr>
  </w:style>
  <w:style w:type="paragraph" w:styleId="15">
    <w:name w:val="Body Text First Indent 2"/>
    <w:basedOn w:val="8"/>
    <w:unhideWhenUsed/>
    <w:qFormat/>
    <w:uiPriority w:val="99"/>
    <w:pPr>
      <w:ind w:firstLine="420" w:firstLineChars="200"/>
    </w:p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无间隔1"/>
    <w:qFormat/>
    <w:uiPriority w:val="1"/>
    <w:pPr>
      <w:jc w:val="both"/>
    </w:pPr>
    <w:rPr>
      <w:rFonts w:ascii="Times New Roman" w:hAnsi="Times New Roman" w:eastAsia="Times New Roman" w:cs="Times New Roman"/>
      <w:lang w:val="en-US" w:eastAsia="zh-CN" w:bidi="ar-SA"/>
    </w:rPr>
  </w:style>
  <w:style w:type="paragraph" w:customStyle="1" w:styleId="20">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1">
    <w:name w:val="标题 1 字符"/>
    <w:basedOn w:val="18"/>
    <w:link w:val="3"/>
    <w:qFormat/>
    <w:uiPriority w:val="0"/>
    <w:rPr>
      <w:rFonts w:eastAsia="仿宋_GB2312"/>
      <w:kern w:val="2"/>
      <w:sz w:val="30"/>
    </w:rPr>
  </w:style>
  <w:style w:type="character" w:customStyle="1" w:styleId="22">
    <w:name w:val="标题 2 字符"/>
    <w:basedOn w:val="18"/>
    <w:link w:val="4"/>
    <w:qFormat/>
    <w:uiPriority w:val="0"/>
    <w:rPr>
      <w:rFonts w:eastAsia="仿宋_GB2312"/>
      <w:kern w:val="2"/>
      <w:sz w:val="28"/>
    </w:rPr>
  </w:style>
  <w:style w:type="paragraph" w:customStyle="1" w:styleId="23">
    <w:name w:val="列出段落1"/>
    <w:basedOn w:val="1"/>
    <w:qFormat/>
    <w:uiPriority w:val="0"/>
    <w:pPr>
      <w:ind w:firstLine="420" w:firstLineChars="200"/>
    </w:pPr>
  </w:style>
  <w:style w:type="character" w:customStyle="1" w:styleId="24">
    <w:name w:val="日期 字符"/>
    <w:basedOn w:val="18"/>
    <w:link w:val="9"/>
    <w:semiHidden/>
    <w:qFormat/>
    <w:uiPriority w:val="99"/>
    <w:rPr>
      <w:kern w:val="2"/>
      <w:sz w:val="21"/>
      <w:szCs w:val="24"/>
    </w:rPr>
  </w:style>
  <w:style w:type="character" w:customStyle="1" w:styleId="25">
    <w:name w:val="页眉 字符"/>
    <w:basedOn w:val="18"/>
    <w:link w:val="12"/>
    <w:qFormat/>
    <w:uiPriority w:val="99"/>
    <w:rPr>
      <w:kern w:val="2"/>
      <w:sz w:val="18"/>
      <w:szCs w:val="18"/>
    </w:rPr>
  </w:style>
  <w:style w:type="character" w:customStyle="1" w:styleId="26">
    <w:name w:val="页脚 字符"/>
    <w:basedOn w:val="18"/>
    <w:link w:val="11"/>
    <w:qFormat/>
    <w:uiPriority w:val="99"/>
    <w:rPr>
      <w:kern w:val="2"/>
      <w:sz w:val="18"/>
      <w:szCs w:val="18"/>
    </w:rPr>
  </w:style>
  <w:style w:type="character" w:customStyle="1" w:styleId="27">
    <w:name w:val="正文文本 字符"/>
    <w:basedOn w:val="18"/>
    <w:link w:val="7"/>
    <w:qFormat/>
    <w:uiPriority w:val="0"/>
    <w:rPr>
      <w:rFonts w:ascii="仿宋_GB2312"/>
      <w:b/>
      <w:bCs/>
      <w:kern w:val="2"/>
      <w:sz w:val="40"/>
      <w:szCs w:val="24"/>
    </w:rPr>
  </w:style>
  <w:style w:type="character" w:customStyle="1" w:styleId="28">
    <w:name w:val="批注框文本 字符"/>
    <w:basedOn w:val="18"/>
    <w:link w:val="10"/>
    <w:qFormat/>
    <w:uiPriority w:val="0"/>
    <w:rPr>
      <w:kern w:val="2"/>
      <w:sz w:val="18"/>
      <w:szCs w:val="18"/>
    </w:rPr>
  </w:style>
  <w:style w:type="paragraph" w:customStyle="1" w:styleId="29">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0">
    <w:name w:val="列出段落11"/>
    <w:basedOn w:val="1"/>
    <w:qFormat/>
    <w:uiPriority w:val="0"/>
    <w:pPr>
      <w:ind w:firstLine="420" w:firstLineChars="200"/>
    </w:pPr>
  </w:style>
  <w:style w:type="paragraph" w:styleId="31">
    <w:name w:val="List Paragraph"/>
    <w:basedOn w:val="1"/>
    <w:qFormat/>
    <w:uiPriority w:val="99"/>
    <w:pPr>
      <w:ind w:firstLine="420" w:firstLineChars="200"/>
    </w:pPr>
  </w:style>
  <w:style w:type="paragraph" w:customStyle="1" w:styleId="32">
    <w:name w:val="Normal_1109"/>
    <w:qFormat/>
    <w:uiPriority w:val="0"/>
    <w:pPr>
      <w:spacing w:before="120" w:after="240"/>
      <w:jc w:val="both"/>
    </w:pPr>
    <w:rPr>
      <w:rFonts w:ascii="Calibri" w:hAnsi="Calibri" w:eastAsia="Calibri" w:cs="Times New Roman"/>
      <w:sz w:val="22"/>
      <w:szCs w:val="22"/>
      <w:lang w:val="ru-RU" w:eastAsia="en-US" w:bidi="ar-SA"/>
    </w:rPr>
  </w:style>
  <w:style w:type="paragraph" w:customStyle="1" w:styleId="33">
    <w:name w:val="Normal_1110"/>
    <w:qFormat/>
    <w:uiPriority w:val="0"/>
    <w:pPr>
      <w:spacing w:before="120" w:after="240"/>
      <w:jc w:val="both"/>
    </w:pPr>
    <w:rPr>
      <w:rFonts w:ascii="Calibri" w:hAnsi="Calibri" w:eastAsia="Calibri" w:cs="Times New Roman"/>
      <w:sz w:val="22"/>
      <w:szCs w:val="22"/>
      <w:lang w:val="ru-RU" w:eastAsia="en-US" w:bidi="ar-SA"/>
    </w:rPr>
  </w:style>
  <w:style w:type="paragraph" w:customStyle="1" w:styleId="34">
    <w:name w:val="Normal_1111"/>
    <w:qFormat/>
    <w:uiPriority w:val="0"/>
    <w:pPr>
      <w:spacing w:before="120" w:after="240"/>
      <w:jc w:val="both"/>
    </w:pPr>
    <w:rPr>
      <w:rFonts w:ascii="Calibri" w:hAnsi="Calibri" w:eastAsia="Calibri" w:cs="Times New Roman"/>
      <w:sz w:val="22"/>
      <w:szCs w:val="22"/>
      <w:lang w:val="ru-RU" w:eastAsia="en-US" w:bidi="ar-SA"/>
    </w:rPr>
  </w:style>
  <w:style w:type="character" w:customStyle="1" w:styleId="35">
    <w:name w:val="font11"/>
    <w:qFormat/>
    <w:uiPriority w:val="0"/>
    <w:rPr>
      <w:rFonts w:hint="eastAsia" w:ascii="宋体" w:hAnsi="宋体" w:eastAsia="宋体" w:cs="宋体"/>
      <w:color w:val="000000"/>
      <w:kern w:val="0"/>
      <w:sz w:val="20"/>
      <w:szCs w:val="20"/>
      <w:u w:val="none"/>
      <w:lang w:eastAsia="en-US"/>
    </w:rPr>
  </w:style>
  <w:style w:type="character" w:customStyle="1" w:styleId="36">
    <w:name w:val="正文文本 (15)_"/>
    <w:link w:val="37"/>
    <w:qFormat/>
    <w:uiPriority w:val="0"/>
    <w:rPr>
      <w:rFonts w:ascii="MingLiU" w:hAnsi="MingLiU" w:eastAsia="MingLiU" w:cs="MingLiU"/>
      <w:spacing w:val="10"/>
      <w:sz w:val="19"/>
      <w:szCs w:val="19"/>
      <w:shd w:val="clear" w:color="auto" w:fill="FFFFFF"/>
    </w:rPr>
  </w:style>
  <w:style w:type="paragraph" w:customStyle="1" w:styleId="37">
    <w:name w:val="正文文本 (15)"/>
    <w:basedOn w:val="1"/>
    <w:link w:val="36"/>
    <w:qFormat/>
    <w:uiPriority w:val="0"/>
    <w:pPr>
      <w:shd w:val="clear" w:color="auto" w:fill="FFFFFF"/>
      <w:spacing w:line="0" w:lineRule="atLeast"/>
      <w:jc w:val="left"/>
    </w:pPr>
    <w:rPr>
      <w:rFonts w:ascii="MingLiU" w:hAnsi="MingLiU" w:eastAsia="MingLiU" w:cs="MingLiU"/>
      <w:spacing w:val="10"/>
      <w:kern w:val="0"/>
      <w:sz w:val="19"/>
      <w:szCs w:val="19"/>
    </w:rPr>
  </w:style>
  <w:style w:type="character" w:customStyle="1" w:styleId="38">
    <w:name w:val="apple-converted-space"/>
    <w:qFormat/>
    <w:uiPriority w:val="0"/>
    <w:rPr>
      <w:lang w:eastAsia="en-US"/>
    </w:rPr>
  </w:style>
  <w:style w:type="paragraph" w:customStyle="1" w:styleId="39">
    <w:name w:val="Char"/>
    <w:basedOn w:val="1"/>
    <w:qFormat/>
    <w:uiPriority w:val="0"/>
    <w:pPr>
      <w:widowControl/>
      <w:spacing w:after="160" w:line="360" w:lineRule="auto"/>
      <w:ind w:firstLine="200" w:firstLineChars="200"/>
      <w:jc w:val="left"/>
    </w:pPr>
    <w:rPr>
      <w:rFonts w:ascii="Verdana" w:hAnsi="Verdana" w:eastAsia="黑体"/>
      <w:kern w:val="0"/>
      <w:szCs w:val="20"/>
      <w:lang w:eastAsia="en-US"/>
    </w:rPr>
  </w:style>
  <w:style w:type="paragraph" w:customStyle="1" w:styleId="40">
    <w:name w:val="样式 标题 2 + Times New Roman 四号 非加粗 段前: 5 磅 段后: 0 磅 行距: 固定值 20..."/>
    <w:basedOn w:val="4"/>
    <w:qFormat/>
    <w:uiPriority w:val="0"/>
    <w:pPr>
      <w:keepLines/>
      <w:spacing w:before="100" w:line="400" w:lineRule="exact"/>
      <w:jc w:val="both"/>
    </w:pPr>
    <w:rPr>
      <w:rFonts w:eastAsia="黑体" w:cs="宋体"/>
    </w:rPr>
  </w:style>
  <w:style w:type="paragraph" w:customStyle="1" w:styleId="41">
    <w:name w:val="Revisio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7A0EF0-DF3A-234D-8C8A-B2B86D0B628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2374</Words>
  <Characters>13537</Characters>
  <Lines>1</Lines>
  <Paragraphs>1</Paragraphs>
  <TotalTime>7</TotalTime>
  <ScaleCrop>false</ScaleCrop>
  <LinksUpToDate>false</LinksUpToDate>
  <CharactersWithSpaces>15880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2023-03-24T06:18:00Z</dcterms:created>
  <dc:creator>唈ත唀ත啐තj</dc:creator>
  <cp:lastModifiedBy>暖阳</cp:lastModifiedBy>
  <cp:lastPrinted>2024-05-28T01:59:00Z</cp:lastPrinted>
  <dcterms:modified xsi:type="dcterms:W3CDTF">2024-06-27T06:11:14Z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0F2E9EA636E64D7F97224A848666515E</vt:lpwstr>
  </property>
  <property fmtid="{D5CDD505-2E9C-101B-9397-08002B2CF9AE}" pid="4" name="commondata">
    <vt:lpwstr>eyJoZGlkIjoiMDgyMGZmMzcxZDhkMzQwNDQ0YWE5M2Q4YTA2ZjU1NGIifQ==</vt:lpwstr>
  </property>
</Properties>
</file>