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国产可信技术全栈高速私有云关键技术研发项目高速云威胁检测服务采购</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 xml:space="preserve">4 </w:t>
      </w:r>
      <w:r>
        <w:rPr>
          <w:rFonts w:hint="eastAsia" w:ascii="宋体" w:hAnsi="宋体" w:cs="宋体"/>
          <w:b/>
          <w:sz w:val="28"/>
          <w:szCs w:val="28"/>
          <w:highlight w:val="none"/>
        </w:rPr>
        <w:t>年</w:t>
      </w:r>
      <w:r>
        <w:rPr>
          <w:rFonts w:hint="eastAsia" w:ascii="宋体" w:hAnsi="宋体" w:cs="宋体"/>
          <w:b/>
          <w:sz w:val="28"/>
          <w:szCs w:val="28"/>
          <w:highlight w:val="none"/>
          <w:u w:val="single"/>
          <w:lang w:val="en-US" w:eastAsia="zh-CN"/>
        </w:rPr>
        <w:t xml:space="preserve"> 6 </w:t>
      </w:r>
      <w:r>
        <w:rPr>
          <w:rFonts w:hint="eastAsia" w:ascii="宋体" w:hAnsi="宋体" w:cs="宋体"/>
          <w:b/>
          <w:sz w:val="28"/>
          <w:szCs w:val="28"/>
          <w:highlight w:val="none"/>
        </w:rPr>
        <w:t>月</w:t>
      </w:r>
    </w:p>
    <w:p>
      <w:pPr>
        <w:pStyle w:val="29"/>
        <w:jc w:val="center"/>
        <w:rPr>
          <w:rFonts w:ascii="宋体" w:hAnsi="宋体" w:cs="宋体"/>
          <w:szCs w:val="21"/>
          <w:highlight w:val="none"/>
        </w:rPr>
      </w:pPr>
      <w:r>
        <w:rPr>
          <w:highlight w:val="none"/>
        </w:rPr>
        <w:br w:type="page"/>
      </w:r>
      <w:bookmarkStart w:id="0" w:name="_Toc296602400"/>
      <w:bookmarkStart w:id="1" w:name="_Toc247085669"/>
      <w:bookmarkStart w:id="2" w:name="_Toc507428442"/>
      <w:bookmarkStart w:id="3" w:name="_Toc246996898"/>
      <w:bookmarkStart w:id="4" w:name="_Toc507319889"/>
      <w:r>
        <w:rPr>
          <w:rFonts w:hint="eastAsia" w:ascii="宋体" w:hAnsi="宋体" w:cs="宋体"/>
          <w:b w:val="0"/>
          <w:sz w:val="32"/>
          <w:highlight w:val="none"/>
        </w:rPr>
        <w:t>目   录</w:t>
      </w:r>
      <w:bookmarkEnd w:id="0"/>
      <w:bookmarkEnd w:id="1"/>
      <w:bookmarkEnd w:id="2"/>
      <w:bookmarkEnd w:id="3"/>
      <w:bookmarkEnd w:id="4"/>
    </w:p>
    <w:p>
      <w:pPr>
        <w:pStyle w:val="29"/>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_Toc16829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_Toc16829 \h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_Toc30089 </w:instrText>
      </w:r>
      <w:r>
        <w:rPr>
          <w:rFonts w:hint="eastAsia" w:ascii="宋体" w:hAnsi="宋体" w:cs="宋体"/>
          <w:bCs/>
          <w:caps/>
          <w:highlight w:val="none"/>
        </w:rPr>
        <w:fldChar w:fldCharType="separate"/>
      </w:r>
      <w:r>
        <w:rPr>
          <w:rFonts w:hint="eastAsia" w:ascii="宋体" w:hAnsi="宋体" w:eastAsia="宋体" w:cs="宋体"/>
          <w:highlight w:val="none"/>
        </w:rPr>
        <w:t>1. 比选条件</w:t>
      </w:r>
      <w:r>
        <w:rPr>
          <w:highlight w:val="none"/>
        </w:rPr>
        <w:tab/>
      </w:r>
      <w:r>
        <w:rPr>
          <w:highlight w:val="none"/>
        </w:rPr>
        <w:fldChar w:fldCharType="begin"/>
      </w:r>
      <w:r>
        <w:rPr>
          <w:highlight w:val="none"/>
        </w:rPr>
        <w:instrText xml:space="preserve"> PAGEREF _Toc30089 \h </w:instrText>
      </w:r>
      <w:r>
        <w:rPr>
          <w:highlight w:val="none"/>
        </w:rPr>
        <w:fldChar w:fldCharType="separate"/>
      </w:r>
      <w:r>
        <w:rPr>
          <w:highlight w:val="none"/>
        </w:rPr>
        <w:t>1</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_Toc28954 </w:instrText>
      </w:r>
      <w:r>
        <w:rPr>
          <w:rFonts w:hint="eastAsia" w:ascii="宋体" w:hAnsi="宋体" w:cs="宋体"/>
          <w:bCs/>
          <w:caps/>
          <w:highlight w:val="none"/>
        </w:rPr>
        <w:fldChar w:fldCharType="separate"/>
      </w:r>
      <w:r>
        <w:rPr>
          <w:rFonts w:hint="eastAsia" w:ascii="宋体" w:hAnsi="宋体" w:eastAsia="宋体" w:cs="宋体"/>
          <w:highlight w:val="none"/>
        </w:rPr>
        <w:t>2. 项目概况与采购范围</w:t>
      </w:r>
      <w:r>
        <w:rPr>
          <w:highlight w:val="none"/>
        </w:rPr>
        <w:tab/>
      </w:r>
      <w:r>
        <w:rPr>
          <w:highlight w:val="none"/>
        </w:rPr>
        <w:fldChar w:fldCharType="begin"/>
      </w:r>
      <w:r>
        <w:rPr>
          <w:highlight w:val="none"/>
        </w:rPr>
        <w:instrText xml:space="preserve"> PAGEREF _Toc28954 \h </w:instrText>
      </w:r>
      <w:r>
        <w:rPr>
          <w:highlight w:val="none"/>
        </w:rPr>
        <w:fldChar w:fldCharType="separate"/>
      </w:r>
      <w:r>
        <w:rPr>
          <w:highlight w:val="none"/>
        </w:rPr>
        <w:t>1</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_Toc22522 </w:instrText>
      </w:r>
      <w:r>
        <w:rPr>
          <w:rFonts w:hint="eastAsia" w:ascii="宋体" w:hAnsi="宋体" w:cs="宋体"/>
          <w:bCs/>
          <w:caps/>
          <w:highlight w:val="none"/>
        </w:rPr>
        <w:fldChar w:fldCharType="separate"/>
      </w:r>
      <w:r>
        <w:rPr>
          <w:rFonts w:hint="eastAsia" w:ascii="宋体" w:hAnsi="宋体" w:eastAsia="宋体" w:cs="宋体"/>
          <w:highlight w:val="none"/>
        </w:rPr>
        <w:t>3. 报价人资格要求</w:t>
      </w:r>
      <w:r>
        <w:rPr>
          <w:highlight w:val="none"/>
        </w:rPr>
        <w:tab/>
      </w:r>
      <w:r>
        <w:rPr>
          <w:highlight w:val="none"/>
        </w:rPr>
        <w:fldChar w:fldCharType="begin"/>
      </w:r>
      <w:r>
        <w:rPr>
          <w:highlight w:val="none"/>
        </w:rPr>
        <w:instrText xml:space="preserve"> PAGEREF _Toc22522 \h </w:instrText>
      </w:r>
      <w:r>
        <w:rPr>
          <w:highlight w:val="none"/>
        </w:rPr>
        <w:fldChar w:fldCharType="separate"/>
      </w:r>
      <w:r>
        <w:rPr>
          <w:highlight w:val="none"/>
        </w:rPr>
        <w:t>1</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_Toc31574 </w:instrText>
      </w:r>
      <w:r>
        <w:rPr>
          <w:rFonts w:hint="eastAsia" w:ascii="宋体" w:hAnsi="宋体" w:cs="宋体"/>
          <w:bCs/>
          <w:caps/>
          <w:highlight w:val="none"/>
        </w:rPr>
        <w:fldChar w:fldCharType="separate"/>
      </w:r>
      <w:r>
        <w:rPr>
          <w:rFonts w:hint="eastAsia" w:ascii="宋体" w:hAnsi="宋体" w:eastAsia="宋体" w:cs="宋体"/>
          <w:highlight w:val="none"/>
        </w:rPr>
        <w:t xml:space="preserve">4. </w:t>
      </w:r>
      <w:r>
        <w:rPr>
          <w:rFonts w:hint="eastAsia" w:ascii="宋体" w:hAnsi="宋体" w:eastAsia="宋体" w:cs="宋体"/>
          <w:highlight w:val="none"/>
          <w:lang w:val="en-US" w:eastAsia="zh-CN"/>
        </w:rPr>
        <w:t>评审办法</w:t>
      </w:r>
      <w:r>
        <w:rPr>
          <w:highlight w:val="none"/>
        </w:rPr>
        <w:tab/>
      </w:r>
      <w:r>
        <w:rPr>
          <w:highlight w:val="none"/>
        </w:rPr>
        <w:fldChar w:fldCharType="begin"/>
      </w:r>
      <w:r>
        <w:rPr>
          <w:highlight w:val="none"/>
        </w:rPr>
        <w:instrText xml:space="preserve"> PAGEREF _Toc31574 \h </w:instrText>
      </w:r>
      <w:r>
        <w:rPr>
          <w:highlight w:val="none"/>
        </w:rPr>
        <w:fldChar w:fldCharType="separate"/>
      </w:r>
      <w:r>
        <w:rPr>
          <w:highlight w:val="none"/>
        </w:rPr>
        <w:t>1</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_Toc6975 </w:instrText>
      </w:r>
      <w:r>
        <w:rPr>
          <w:rFonts w:hint="eastAsia" w:ascii="宋体" w:hAnsi="宋体" w:cs="宋体"/>
          <w:bCs/>
          <w:caps/>
          <w:highlight w:val="none"/>
        </w:rPr>
        <w:fldChar w:fldCharType="separate"/>
      </w:r>
      <w:r>
        <w:rPr>
          <w:rFonts w:ascii="宋体" w:hAnsi="宋体" w:eastAsia="宋体" w:cs="宋体"/>
          <w:highlight w:val="none"/>
        </w:rPr>
        <w:t xml:space="preserve">5. </w:t>
      </w:r>
      <w:r>
        <w:rPr>
          <w:rFonts w:hint="eastAsia" w:ascii="宋体" w:hAnsi="宋体" w:eastAsia="宋体" w:cs="宋体"/>
          <w:highlight w:val="none"/>
        </w:rPr>
        <w:t>比选文件的获取</w:t>
      </w:r>
      <w:r>
        <w:rPr>
          <w:highlight w:val="none"/>
        </w:rPr>
        <w:tab/>
      </w:r>
      <w:r>
        <w:rPr>
          <w:highlight w:val="none"/>
        </w:rPr>
        <w:fldChar w:fldCharType="begin"/>
      </w:r>
      <w:r>
        <w:rPr>
          <w:highlight w:val="none"/>
        </w:rPr>
        <w:instrText xml:space="preserve"> PAGEREF _Toc6975 \h </w:instrText>
      </w:r>
      <w:r>
        <w:rPr>
          <w:highlight w:val="none"/>
        </w:rPr>
        <w:fldChar w:fldCharType="separate"/>
      </w:r>
      <w:r>
        <w:rPr>
          <w:highlight w:val="none"/>
        </w:rPr>
        <w:t>2</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_Toc10173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竞争性比选响应文件的递交及相关事宜</w:t>
      </w:r>
      <w:r>
        <w:rPr>
          <w:highlight w:val="none"/>
        </w:rPr>
        <w:tab/>
      </w:r>
      <w:r>
        <w:rPr>
          <w:highlight w:val="none"/>
        </w:rPr>
        <w:fldChar w:fldCharType="begin"/>
      </w:r>
      <w:r>
        <w:rPr>
          <w:highlight w:val="none"/>
        </w:rPr>
        <w:instrText xml:space="preserve"> PAGEREF _Toc10173 \h </w:instrText>
      </w:r>
      <w:r>
        <w:rPr>
          <w:highlight w:val="none"/>
        </w:rPr>
        <w:fldChar w:fldCharType="separate"/>
      </w:r>
      <w:r>
        <w:rPr>
          <w:highlight w:val="none"/>
        </w:rPr>
        <w:t>2</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_Toc24326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7</w:t>
      </w:r>
      <w:r>
        <w:rPr>
          <w:rFonts w:hint="eastAsia" w:ascii="宋体" w:hAnsi="宋体" w:eastAsia="宋体" w:cs="宋体"/>
          <w:highlight w:val="none"/>
        </w:rPr>
        <w:t>. 联系方式</w:t>
      </w:r>
      <w:r>
        <w:rPr>
          <w:highlight w:val="none"/>
        </w:rPr>
        <w:tab/>
      </w:r>
      <w:r>
        <w:rPr>
          <w:highlight w:val="none"/>
        </w:rPr>
        <w:fldChar w:fldCharType="begin"/>
      </w:r>
      <w:r>
        <w:rPr>
          <w:highlight w:val="none"/>
        </w:rPr>
        <w:instrText xml:space="preserve"> PAGEREF _Toc24326 \h </w:instrText>
      </w:r>
      <w:r>
        <w:rPr>
          <w:highlight w:val="none"/>
        </w:rPr>
        <w:fldChar w:fldCharType="separate"/>
      </w:r>
      <w:r>
        <w:rPr>
          <w:highlight w:val="none"/>
        </w:rPr>
        <w:t>2</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_Toc32402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_Toc32402 \h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_Toc31914 </w:instrText>
      </w:r>
      <w:r>
        <w:rPr>
          <w:rFonts w:hint="eastAsia" w:ascii="宋体" w:hAnsi="宋体" w:cs="宋体"/>
          <w:bCs/>
          <w:caps/>
          <w:highlight w:val="none"/>
        </w:rPr>
        <w:fldChar w:fldCharType="separate"/>
      </w:r>
      <w:r>
        <w:rPr>
          <w:rFonts w:hint="eastAsia" w:ascii="黑体" w:hAnsi="宋体" w:cs="黑体"/>
          <w:szCs w:val="21"/>
          <w:highlight w:val="none"/>
        </w:rPr>
        <w:t>报价人须知正文部分：</w:t>
      </w:r>
      <w:r>
        <w:rPr>
          <w:highlight w:val="none"/>
        </w:rPr>
        <w:tab/>
      </w:r>
      <w:r>
        <w:rPr>
          <w:highlight w:val="none"/>
        </w:rPr>
        <w:fldChar w:fldCharType="begin"/>
      </w:r>
      <w:r>
        <w:rPr>
          <w:highlight w:val="none"/>
        </w:rPr>
        <w:instrText xml:space="preserve"> PAGEREF _Toc31914 \h </w:instrText>
      </w:r>
      <w:r>
        <w:rPr>
          <w:highlight w:val="none"/>
        </w:rPr>
        <w:fldChar w:fldCharType="separate"/>
      </w:r>
      <w:r>
        <w:rPr>
          <w:highlight w:val="none"/>
        </w:rPr>
        <w:t>6</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_Toc9563 </w:instrText>
      </w:r>
      <w:r>
        <w:rPr>
          <w:rFonts w:hint="eastAsia" w:ascii="宋体" w:hAnsi="宋体" w:cs="宋体"/>
          <w:bCs/>
          <w:caps/>
          <w:highlight w:val="none"/>
        </w:rPr>
        <w:fldChar w:fldCharType="separate"/>
      </w:r>
      <w:r>
        <w:rPr>
          <w:rFonts w:hint="eastAsia" w:ascii="黑体" w:hAnsi="宋体" w:cs="黑体"/>
          <w:szCs w:val="21"/>
          <w:highlight w:val="none"/>
        </w:rPr>
        <w:t>1.  总则</w:t>
      </w:r>
      <w:r>
        <w:rPr>
          <w:highlight w:val="none"/>
        </w:rPr>
        <w:tab/>
      </w:r>
      <w:r>
        <w:rPr>
          <w:highlight w:val="none"/>
        </w:rPr>
        <w:fldChar w:fldCharType="begin"/>
      </w:r>
      <w:r>
        <w:rPr>
          <w:highlight w:val="none"/>
        </w:rPr>
        <w:instrText xml:space="preserve"> PAGEREF _Toc9563 \h </w:instrText>
      </w:r>
      <w:r>
        <w:rPr>
          <w:highlight w:val="none"/>
        </w:rPr>
        <w:fldChar w:fldCharType="separate"/>
      </w:r>
      <w:r>
        <w:rPr>
          <w:highlight w:val="none"/>
        </w:rPr>
        <w:t>6</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_Toc22217 </w:instrText>
      </w:r>
      <w:r>
        <w:rPr>
          <w:rFonts w:hint="eastAsia" w:ascii="宋体" w:hAnsi="宋体" w:cs="宋体"/>
          <w:bCs/>
          <w:caps/>
          <w:highlight w:val="none"/>
        </w:rPr>
        <w:fldChar w:fldCharType="separate"/>
      </w:r>
      <w:r>
        <w:rPr>
          <w:rFonts w:hint="eastAsia" w:ascii="宋体" w:hAnsi="宋体"/>
          <w:szCs w:val="21"/>
          <w:highlight w:val="none"/>
        </w:rPr>
        <w:t xml:space="preserve">2.  </w:t>
      </w:r>
      <w:r>
        <w:rPr>
          <w:rFonts w:hint="eastAsia" w:ascii="黑体" w:hAnsi="宋体" w:cs="黑体"/>
          <w:szCs w:val="21"/>
          <w:highlight w:val="none"/>
        </w:rPr>
        <w:t>竞争性比选文件</w:t>
      </w:r>
      <w:r>
        <w:rPr>
          <w:highlight w:val="none"/>
        </w:rPr>
        <w:tab/>
      </w:r>
      <w:r>
        <w:rPr>
          <w:highlight w:val="none"/>
        </w:rPr>
        <w:fldChar w:fldCharType="begin"/>
      </w:r>
      <w:r>
        <w:rPr>
          <w:highlight w:val="none"/>
        </w:rPr>
        <w:instrText xml:space="preserve"> PAGEREF _Toc22217 \h </w:instrText>
      </w:r>
      <w:r>
        <w:rPr>
          <w:highlight w:val="none"/>
        </w:rPr>
        <w:fldChar w:fldCharType="separate"/>
      </w:r>
      <w:r>
        <w:rPr>
          <w:highlight w:val="none"/>
        </w:rPr>
        <w:t>7</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_Toc17070 </w:instrText>
      </w:r>
      <w:r>
        <w:rPr>
          <w:rFonts w:hint="eastAsia" w:ascii="宋体" w:hAnsi="宋体" w:cs="宋体"/>
          <w:bCs/>
          <w:caps/>
          <w:highlight w:val="none"/>
        </w:rPr>
        <w:fldChar w:fldCharType="separate"/>
      </w:r>
      <w:r>
        <w:rPr>
          <w:rFonts w:hint="eastAsia" w:ascii="宋体" w:hAnsi="宋体"/>
          <w:szCs w:val="21"/>
          <w:highlight w:val="none"/>
        </w:rPr>
        <w:t xml:space="preserve">3.  </w:t>
      </w:r>
      <w:r>
        <w:rPr>
          <w:rFonts w:hint="eastAsia" w:ascii="黑体" w:hAnsi="宋体" w:cs="黑体"/>
          <w:szCs w:val="21"/>
          <w:highlight w:val="none"/>
        </w:rPr>
        <w:t>比选响应文件</w:t>
      </w:r>
      <w:r>
        <w:rPr>
          <w:highlight w:val="none"/>
        </w:rPr>
        <w:tab/>
      </w:r>
      <w:r>
        <w:rPr>
          <w:highlight w:val="none"/>
        </w:rPr>
        <w:fldChar w:fldCharType="begin"/>
      </w:r>
      <w:r>
        <w:rPr>
          <w:highlight w:val="none"/>
        </w:rPr>
        <w:instrText xml:space="preserve"> PAGEREF _Toc17070 \h </w:instrText>
      </w:r>
      <w:r>
        <w:rPr>
          <w:highlight w:val="none"/>
        </w:rPr>
        <w:fldChar w:fldCharType="separate"/>
      </w:r>
      <w:r>
        <w:rPr>
          <w:highlight w:val="none"/>
        </w:rPr>
        <w:t>8</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_Toc13926 </w:instrText>
      </w:r>
      <w:r>
        <w:rPr>
          <w:rFonts w:hint="eastAsia" w:ascii="宋体" w:hAnsi="宋体" w:cs="宋体"/>
          <w:bCs/>
          <w:caps/>
          <w:highlight w:val="none"/>
        </w:rPr>
        <w:fldChar w:fldCharType="separate"/>
      </w:r>
      <w:r>
        <w:rPr>
          <w:rFonts w:hint="eastAsia" w:ascii="宋体" w:hAnsi="宋体"/>
          <w:szCs w:val="21"/>
          <w:highlight w:val="none"/>
        </w:rPr>
        <w:t xml:space="preserve">4.  </w:t>
      </w:r>
      <w:r>
        <w:rPr>
          <w:rFonts w:hint="eastAsia" w:ascii="黑体" w:hAnsi="宋体" w:cs="黑体"/>
          <w:szCs w:val="21"/>
          <w:highlight w:val="none"/>
        </w:rPr>
        <w:t>投标</w:t>
      </w:r>
      <w:r>
        <w:rPr>
          <w:highlight w:val="none"/>
        </w:rPr>
        <w:tab/>
      </w:r>
      <w:r>
        <w:rPr>
          <w:highlight w:val="none"/>
        </w:rPr>
        <w:fldChar w:fldCharType="begin"/>
      </w:r>
      <w:r>
        <w:rPr>
          <w:highlight w:val="none"/>
        </w:rPr>
        <w:instrText xml:space="preserve"> PAGEREF _Toc13926 \h </w:instrText>
      </w:r>
      <w:r>
        <w:rPr>
          <w:highlight w:val="none"/>
        </w:rPr>
        <w:fldChar w:fldCharType="separate"/>
      </w:r>
      <w:r>
        <w:rPr>
          <w:highlight w:val="none"/>
        </w:rPr>
        <w:t>9</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_Toc19764 </w:instrText>
      </w:r>
      <w:r>
        <w:rPr>
          <w:rFonts w:hint="eastAsia" w:ascii="宋体" w:hAnsi="宋体" w:cs="宋体"/>
          <w:bCs/>
          <w:caps/>
          <w:highlight w:val="none"/>
        </w:rPr>
        <w:fldChar w:fldCharType="separate"/>
      </w:r>
      <w:r>
        <w:rPr>
          <w:rFonts w:hint="eastAsia" w:ascii="宋体" w:hAnsi="宋体"/>
          <w:szCs w:val="21"/>
          <w:highlight w:val="none"/>
        </w:rPr>
        <w:t xml:space="preserve">5.  </w:t>
      </w:r>
      <w:r>
        <w:rPr>
          <w:rFonts w:hint="eastAsia" w:ascii="黑体" w:hAnsi="宋体" w:cs="黑体"/>
          <w:szCs w:val="21"/>
          <w:highlight w:val="none"/>
        </w:rPr>
        <w:t>开标</w:t>
      </w:r>
      <w:r>
        <w:rPr>
          <w:highlight w:val="none"/>
        </w:rPr>
        <w:tab/>
      </w:r>
      <w:r>
        <w:rPr>
          <w:highlight w:val="none"/>
        </w:rPr>
        <w:fldChar w:fldCharType="begin"/>
      </w:r>
      <w:r>
        <w:rPr>
          <w:highlight w:val="none"/>
        </w:rPr>
        <w:instrText xml:space="preserve"> PAGEREF _Toc19764 \h </w:instrText>
      </w:r>
      <w:r>
        <w:rPr>
          <w:highlight w:val="none"/>
        </w:rPr>
        <w:fldChar w:fldCharType="separate"/>
      </w:r>
      <w:r>
        <w:rPr>
          <w:highlight w:val="none"/>
        </w:rPr>
        <w:t>9</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_Toc10838 </w:instrText>
      </w:r>
      <w:r>
        <w:rPr>
          <w:rFonts w:hint="eastAsia" w:ascii="宋体" w:hAnsi="宋体" w:cs="宋体"/>
          <w:bCs/>
          <w:caps/>
          <w:highlight w:val="none"/>
        </w:rPr>
        <w:fldChar w:fldCharType="separate"/>
      </w:r>
      <w:r>
        <w:rPr>
          <w:rFonts w:hint="eastAsia" w:ascii="宋体" w:hAnsi="宋体"/>
          <w:szCs w:val="21"/>
          <w:highlight w:val="none"/>
        </w:rPr>
        <w:t xml:space="preserve">6.  </w:t>
      </w:r>
      <w:r>
        <w:rPr>
          <w:rFonts w:hint="eastAsia" w:ascii="黑体" w:hAnsi="宋体" w:cs="黑体"/>
          <w:szCs w:val="21"/>
          <w:highlight w:val="none"/>
          <w:lang w:eastAsia="zh-CN"/>
        </w:rPr>
        <w:t>评审</w:t>
      </w:r>
      <w:r>
        <w:rPr>
          <w:highlight w:val="none"/>
        </w:rPr>
        <w:tab/>
      </w:r>
      <w:r>
        <w:rPr>
          <w:highlight w:val="none"/>
        </w:rPr>
        <w:fldChar w:fldCharType="begin"/>
      </w:r>
      <w:r>
        <w:rPr>
          <w:highlight w:val="none"/>
        </w:rPr>
        <w:instrText xml:space="preserve"> PAGEREF _Toc10838 \h </w:instrText>
      </w:r>
      <w:r>
        <w:rPr>
          <w:highlight w:val="none"/>
        </w:rPr>
        <w:fldChar w:fldCharType="separate"/>
      </w:r>
      <w:r>
        <w:rPr>
          <w:highlight w:val="none"/>
        </w:rPr>
        <w:t>9</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_Toc2049 </w:instrText>
      </w:r>
      <w:r>
        <w:rPr>
          <w:rFonts w:hint="eastAsia" w:ascii="宋体" w:hAnsi="宋体" w:cs="宋体"/>
          <w:bCs/>
          <w:caps/>
          <w:highlight w:val="none"/>
        </w:rPr>
        <w:fldChar w:fldCharType="separate"/>
      </w:r>
      <w:r>
        <w:rPr>
          <w:rFonts w:hint="eastAsia" w:ascii="宋体" w:hAnsi="宋体"/>
          <w:szCs w:val="21"/>
          <w:highlight w:val="none"/>
        </w:rPr>
        <w:t xml:space="preserve">7.  </w:t>
      </w:r>
      <w:r>
        <w:rPr>
          <w:rFonts w:hint="eastAsia" w:ascii="宋体" w:hAnsi="宋体" w:eastAsia="宋体" w:cs="宋体"/>
          <w:kern w:val="2"/>
          <w:szCs w:val="21"/>
          <w:highlight w:val="none"/>
        </w:rPr>
        <w:t>合同授予</w:t>
      </w:r>
      <w:r>
        <w:rPr>
          <w:highlight w:val="none"/>
        </w:rPr>
        <w:tab/>
      </w:r>
      <w:r>
        <w:rPr>
          <w:highlight w:val="none"/>
        </w:rPr>
        <w:fldChar w:fldCharType="begin"/>
      </w:r>
      <w:r>
        <w:rPr>
          <w:highlight w:val="none"/>
        </w:rPr>
        <w:instrText xml:space="preserve"> PAGEREF _Toc2049 \h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_Toc17088 </w:instrText>
      </w:r>
      <w:r>
        <w:rPr>
          <w:rFonts w:hint="eastAsia" w:ascii="宋体" w:hAnsi="宋体" w:cs="宋体"/>
          <w:bCs/>
          <w:caps/>
          <w:highlight w:val="none"/>
        </w:rPr>
        <w:fldChar w:fldCharType="separate"/>
      </w:r>
      <w:r>
        <w:rPr>
          <w:rFonts w:hint="eastAsia"/>
          <w:highlight w:val="none"/>
        </w:rPr>
        <w:t xml:space="preserve">第三章 </w:t>
      </w:r>
      <w:r>
        <w:rPr>
          <w:rFonts w:hint="eastAsia" w:ascii="宋体" w:hAnsi="宋体" w:cs="宋体"/>
          <w:highlight w:val="none"/>
          <w:lang w:eastAsia="zh-CN"/>
        </w:rPr>
        <w:t>评审</w:t>
      </w:r>
      <w:r>
        <w:rPr>
          <w:rFonts w:hint="eastAsia" w:ascii="宋体" w:hAnsi="宋体" w:cs="宋体"/>
          <w:highlight w:val="none"/>
        </w:rPr>
        <w:t>办法（</w:t>
      </w:r>
      <w:r>
        <w:rPr>
          <w:rFonts w:hint="eastAsia" w:ascii="宋体" w:hAnsi="宋体" w:cs="宋体"/>
          <w:highlight w:val="none"/>
          <w:lang w:val="en-US" w:eastAsia="zh-CN"/>
        </w:rPr>
        <w:t>综合评估法</w:t>
      </w:r>
      <w:r>
        <w:rPr>
          <w:rFonts w:hint="eastAsia" w:ascii="宋体" w:hAnsi="宋体" w:cs="宋体"/>
          <w:highlight w:val="none"/>
        </w:rPr>
        <w:t>）</w:t>
      </w:r>
      <w:r>
        <w:rPr>
          <w:highlight w:val="none"/>
        </w:rPr>
        <w:tab/>
      </w:r>
      <w:r>
        <w:rPr>
          <w:highlight w:val="none"/>
        </w:rPr>
        <w:fldChar w:fldCharType="begin"/>
      </w:r>
      <w:r>
        <w:rPr>
          <w:highlight w:val="none"/>
        </w:rPr>
        <w:instrText xml:space="preserve"> PAGEREF _Toc17088 \h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_Toc15986 </w:instrText>
      </w:r>
      <w:r>
        <w:rPr>
          <w:rFonts w:hint="eastAsia" w:ascii="宋体" w:hAnsi="宋体" w:cs="宋体"/>
          <w:bCs/>
          <w:caps/>
          <w:highlight w:val="none"/>
        </w:rPr>
        <w:fldChar w:fldCharType="separate"/>
      </w:r>
      <w:r>
        <w:rPr>
          <w:rFonts w:hint="eastAsia" w:ascii="宋体" w:hAnsi="宋体"/>
          <w:szCs w:val="21"/>
          <w:highlight w:val="none"/>
          <w:lang w:eastAsia="zh-CN"/>
        </w:rPr>
        <w:t>评审</w:t>
      </w:r>
      <w:r>
        <w:rPr>
          <w:rFonts w:hint="eastAsia" w:ascii="宋体" w:hAnsi="宋体"/>
          <w:szCs w:val="21"/>
          <w:highlight w:val="none"/>
        </w:rPr>
        <w:t>办法前附表</w:t>
      </w:r>
      <w:r>
        <w:rPr>
          <w:highlight w:val="none"/>
        </w:rPr>
        <w:tab/>
      </w:r>
      <w:r>
        <w:rPr>
          <w:highlight w:val="none"/>
        </w:rPr>
        <w:fldChar w:fldCharType="begin"/>
      </w:r>
      <w:r>
        <w:rPr>
          <w:highlight w:val="none"/>
        </w:rPr>
        <w:instrText xml:space="preserve"> PAGEREF _Toc15986 \h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_Toc4603 </w:instrText>
      </w:r>
      <w:r>
        <w:rPr>
          <w:rFonts w:hint="eastAsia" w:ascii="宋体" w:hAnsi="宋体" w:cs="宋体"/>
          <w:bCs/>
          <w:caps/>
          <w:highlight w:val="none"/>
        </w:rPr>
        <w:fldChar w:fldCharType="separate"/>
      </w:r>
      <w:r>
        <w:rPr>
          <w:rFonts w:hint="eastAsia" w:ascii="宋体" w:hAnsi="宋体" w:cs="宋体"/>
          <w:highlight w:val="none"/>
        </w:rPr>
        <w:t>第四章 报价说明</w:t>
      </w:r>
      <w:r>
        <w:rPr>
          <w:highlight w:val="none"/>
        </w:rPr>
        <w:tab/>
      </w:r>
      <w:r>
        <w:rPr>
          <w:highlight w:val="none"/>
        </w:rPr>
        <w:fldChar w:fldCharType="begin"/>
      </w:r>
      <w:r>
        <w:rPr>
          <w:highlight w:val="none"/>
        </w:rPr>
        <w:instrText xml:space="preserve"> PAGEREF _Toc4603 \h </w:instrText>
      </w:r>
      <w:r>
        <w:rPr>
          <w:highlight w:val="none"/>
        </w:rPr>
        <w:fldChar w:fldCharType="separate"/>
      </w:r>
      <w:r>
        <w:rPr>
          <w:highlight w:val="none"/>
        </w:rPr>
        <w:t>18</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_Toc9263 </w:instrText>
      </w:r>
      <w:r>
        <w:rPr>
          <w:rFonts w:hint="eastAsia" w:ascii="宋体" w:hAnsi="宋体" w:cs="宋体"/>
          <w:bCs/>
          <w:caps/>
          <w:highlight w:val="none"/>
        </w:rPr>
        <w:fldChar w:fldCharType="separate"/>
      </w:r>
      <w:r>
        <w:rPr>
          <w:rFonts w:hint="eastAsia" w:ascii="宋体" w:hAnsi="宋体" w:cs="宋体"/>
          <w:highlight w:val="none"/>
        </w:rPr>
        <w:t>第五章 采购清单</w:t>
      </w:r>
      <w:r>
        <w:rPr>
          <w:highlight w:val="none"/>
        </w:rPr>
        <w:tab/>
      </w:r>
      <w:r>
        <w:rPr>
          <w:highlight w:val="none"/>
        </w:rPr>
        <w:fldChar w:fldCharType="begin"/>
      </w:r>
      <w:r>
        <w:rPr>
          <w:highlight w:val="none"/>
        </w:rPr>
        <w:instrText xml:space="preserve"> PAGEREF _Toc9263 \h </w:instrText>
      </w:r>
      <w:r>
        <w:rPr>
          <w:highlight w:val="none"/>
        </w:rPr>
        <w:fldChar w:fldCharType="separate"/>
      </w:r>
      <w:r>
        <w:rPr>
          <w:highlight w:val="none"/>
        </w:rPr>
        <w:t>19</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_Toc25880 </w:instrText>
      </w:r>
      <w:r>
        <w:rPr>
          <w:rFonts w:hint="eastAsia" w:ascii="宋体" w:hAnsi="宋体" w:cs="宋体"/>
          <w:bCs/>
          <w:caps/>
          <w:highlight w:val="none"/>
        </w:rPr>
        <w:fldChar w:fldCharType="separate"/>
      </w:r>
      <w:r>
        <w:rPr>
          <w:rFonts w:hint="eastAsia" w:ascii="宋体" w:hAnsi="宋体" w:cs="宋体"/>
          <w:highlight w:val="none"/>
        </w:rPr>
        <w:t>第六章 技术标准</w:t>
      </w:r>
      <w:r>
        <w:rPr>
          <w:highlight w:val="none"/>
        </w:rPr>
        <w:tab/>
      </w:r>
      <w:r>
        <w:rPr>
          <w:highlight w:val="none"/>
        </w:rPr>
        <w:fldChar w:fldCharType="begin"/>
      </w:r>
      <w:r>
        <w:rPr>
          <w:highlight w:val="none"/>
        </w:rPr>
        <w:instrText xml:space="preserve"> PAGEREF _Toc25880 \h </w:instrText>
      </w:r>
      <w:r>
        <w:rPr>
          <w:highlight w:val="none"/>
        </w:rPr>
        <w:fldChar w:fldCharType="separate"/>
      </w:r>
      <w:r>
        <w:rPr>
          <w:highlight w:val="none"/>
        </w:rPr>
        <w:t>20</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_Toc8705 </w:instrText>
      </w:r>
      <w:r>
        <w:rPr>
          <w:rFonts w:hint="eastAsia" w:ascii="宋体" w:hAnsi="宋体" w:cs="宋体"/>
          <w:bCs/>
          <w:caps/>
          <w:highlight w:val="none"/>
        </w:rPr>
        <w:fldChar w:fldCharType="separate"/>
      </w:r>
      <w:r>
        <w:rPr>
          <w:rFonts w:hint="eastAsia"/>
          <w:highlight w:val="none"/>
        </w:rPr>
        <w:t xml:space="preserve">第七章 </w:t>
      </w:r>
      <w:r>
        <w:rPr>
          <w:rFonts w:hint="eastAsia" w:ascii="宋体" w:hAnsi="宋体" w:cs="宋体"/>
          <w:highlight w:val="none"/>
        </w:rPr>
        <w:t>合同范本</w:t>
      </w:r>
      <w:r>
        <w:rPr>
          <w:highlight w:val="none"/>
        </w:rPr>
        <w:tab/>
      </w:r>
      <w:r>
        <w:rPr>
          <w:highlight w:val="none"/>
        </w:rPr>
        <w:fldChar w:fldCharType="begin"/>
      </w:r>
      <w:r>
        <w:rPr>
          <w:highlight w:val="none"/>
        </w:rPr>
        <w:instrText xml:space="preserve"> PAGEREF _Toc8705 \h </w:instrText>
      </w:r>
      <w:r>
        <w:rPr>
          <w:highlight w:val="none"/>
        </w:rPr>
        <w:fldChar w:fldCharType="separate"/>
      </w:r>
      <w:r>
        <w:rPr>
          <w:highlight w:val="none"/>
        </w:rPr>
        <w:t>21</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_Toc31175 </w:instrText>
      </w:r>
      <w:r>
        <w:rPr>
          <w:rFonts w:hint="eastAsia" w:ascii="宋体" w:hAnsi="宋体" w:cs="宋体"/>
          <w:bCs/>
          <w:caps/>
          <w:highlight w:val="none"/>
        </w:rPr>
        <w:fldChar w:fldCharType="separate"/>
      </w:r>
      <w:r>
        <w:rPr>
          <w:rFonts w:hint="eastAsia" w:ascii="宋体" w:hAnsi="宋体" w:cs="宋体"/>
          <w:highlight w:val="none"/>
        </w:rPr>
        <w:t>第八章 竞争性比选响应文件格式</w:t>
      </w:r>
      <w:r>
        <w:rPr>
          <w:highlight w:val="none"/>
        </w:rPr>
        <w:tab/>
      </w:r>
      <w:r>
        <w:rPr>
          <w:highlight w:val="none"/>
        </w:rPr>
        <w:fldChar w:fldCharType="begin"/>
      </w:r>
      <w:r>
        <w:rPr>
          <w:highlight w:val="none"/>
        </w:rPr>
        <w:instrText xml:space="preserve"> PAGEREF _Toc31175 \h </w:instrText>
      </w:r>
      <w:r>
        <w:rPr>
          <w:highlight w:val="none"/>
        </w:rPr>
        <w:fldChar w:fldCharType="separate"/>
      </w:r>
      <w:r>
        <w:rPr>
          <w:highlight w:val="none"/>
        </w:rPr>
        <w:t>42</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_Toc24224 </w:instrText>
      </w:r>
      <w:r>
        <w:rPr>
          <w:rFonts w:hint="eastAsia" w:ascii="宋体" w:hAnsi="宋体" w:cs="宋体"/>
          <w:bCs/>
          <w:caps/>
          <w:highlight w:val="none"/>
        </w:rPr>
        <w:fldChar w:fldCharType="separate"/>
      </w:r>
      <w:r>
        <w:rPr>
          <w:rFonts w:hint="eastAsia" w:ascii="宋体" w:hAnsi="宋体" w:eastAsia="宋体" w:cs="宋体"/>
          <w:highlight w:val="none"/>
        </w:rPr>
        <w:t>目    录</w:t>
      </w:r>
      <w:r>
        <w:rPr>
          <w:highlight w:val="none"/>
        </w:rPr>
        <w:tab/>
      </w:r>
      <w:r>
        <w:rPr>
          <w:highlight w:val="none"/>
        </w:rPr>
        <w:fldChar w:fldCharType="begin"/>
      </w:r>
      <w:r>
        <w:rPr>
          <w:highlight w:val="none"/>
        </w:rPr>
        <w:instrText xml:space="preserve"> PAGEREF _Toc24224 \h </w:instrText>
      </w:r>
      <w:r>
        <w:rPr>
          <w:highlight w:val="none"/>
        </w:rPr>
        <w:fldChar w:fldCharType="separate"/>
      </w:r>
      <w:r>
        <w:rPr>
          <w:highlight w:val="none"/>
        </w:rPr>
        <w:t>44</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_Toc25738 </w:instrText>
      </w:r>
      <w:r>
        <w:rPr>
          <w:rFonts w:hint="eastAsia" w:ascii="宋体" w:hAnsi="宋体" w:cs="宋体"/>
          <w:bCs/>
          <w:caps/>
          <w:highlight w:val="none"/>
        </w:rPr>
        <w:fldChar w:fldCharType="separate"/>
      </w:r>
      <w:r>
        <w:rPr>
          <w:rFonts w:hint="eastAsia" w:ascii="宋体" w:hAnsi="宋体" w:eastAsia="宋体" w:cs="宋体"/>
          <w:highlight w:val="none"/>
        </w:rPr>
        <w:t>一、 竞争比选响应声明书</w:t>
      </w:r>
      <w:r>
        <w:rPr>
          <w:highlight w:val="none"/>
        </w:rPr>
        <w:tab/>
      </w:r>
      <w:r>
        <w:rPr>
          <w:highlight w:val="none"/>
        </w:rPr>
        <w:fldChar w:fldCharType="begin"/>
      </w:r>
      <w:r>
        <w:rPr>
          <w:highlight w:val="none"/>
        </w:rPr>
        <w:instrText xml:space="preserve"> PAGEREF _Toc25738 \h </w:instrText>
      </w:r>
      <w:r>
        <w:rPr>
          <w:highlight w:val="none"/>
        </w:rPr>
        <w:fldChar w:fldCharType="separate"/>
      </w:r>
      <w:r>
        <w:rPr>
          <w:highlight w:val="none"/>
        </w:rPr>
        <w:t>45</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_Toc2721 </w:instrText>
      </w:r>
      <w:r>
        <w:rPr>
          <w:rFonts w:hint="eastAsia" w:ascii="宋体" w:hAnsi="宋体" w:cs="宋体"/>
          <w:bCs/>
          <w:caps/>
          <w:highlight w:val="none"/>
        </w:rPr>
        <w:fldChar w:fldCharType="separate"/>
      </w:r>
      <w:r>
        <w:rPr>
          <w:rFonts w:hint="eastAsia" w:ascii="宋体" w:hAnsi="宋体" w:eastAsia="宋体" w:cs="宋体"/>
          <w:highlight w:val="none"/>
        </w:rPr>
        <w:t>二、 法定代表人身份证明或法定代表人授权委托书</w:t>
      </w:r>
      <w:r>
        <w:rPr>
          <w:highlight w:val="none"/>
        </w:rPr>
        <w:tab/>
      </w:r>
      <w:r>
        <w:rPr>
          <w:highlight w:val="none"/>
        </w:rPr>
        <w:fldChar w:fldCharType="begin"/>
      </w:r>
      <w:r>
        <w:rPr>
          <w:highlight w:val="none"/>
        </w:rPr>
        <w:instrText xml:space="preserve"> PAGEREF _Toc2721 \h </w:instrText>
      </w:r>
      <w:r>
        <w:rPr>
          <w:highlight w:val="none"/>
        </w:rPr>
        <w:fldChar w:fldCharType="separate"/>
      </w:r>
      <w:r>
        <w:rPr>
          <w:highlight w:val="none"/>
        </w:rPr>
        <w:t>46</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_Toc12618 </w:instrText>
      </w:r>
      <w:r>
        <w:rPr>
          <w:rFonts w:hint="eastAsia" w:ascii="宋体" w:hAnsi="宋体" w:cs="宋体"/>
          <w:bCs/>
          <w:caps/>
          <w:highlight w:val="none"/>
        </w:rPr>
        <w:fldChar w:fldCharType="separate"/>
      </w:r>
      <w:r>
        <w:rPr>
          <w:rFonts w:hint="eastAsia" w:ascii="宋体" w:hAnsi="宋体" w:eastAsia="宋体" w:cs="宋体"/>
          <w:szCs w:val="24"/>
          <w:highlight w:val="none"/>
        </w:rPr>
        <w:t>（一）法定代表人身份证明</w:t>
      </w:r>
      <w:r>
        <w:rPr>
          <w:highlight w:val="none"/>
        </w:rPr>
        <w:tab/>
      </w:r>
      <w:r>
        <w:rPr>
          <w:highlight w:val="none"/>
        </w:rPr>
        <w:fldChar w:fldCharType="begin"/>
      </w:r>
      <w:r>
        <w:rPr>
          <w:highlight w:val="none"/>
        </w:rPr>
        <w:instrText xml:space="preserve"> PAGEREF _Toc12618 \h </w:instrText>
      </w:r>
      <w:r>
        <w:rPr>
          <w:highlight w:val="none"/>
        </w:rPr>
        <w:fldChar w:fldCharType="separate"/>
      </w:r>
      <w:r>
        <w:rPr>
          <w:highlight w:val="none"/>
        </w:rPr>
        <w:t>46</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_Toc22989 </w:instrText>
      </w:r>
      <w:r>
        <w:rPr>
          <w:rFonts w:hint="eastAsia" w:ascii="宋体" w:hAnsi="宋体" w:cs="宋体"/>
          <w:bCs/>
          <w:caps/>
          <w:highlight w:val="none"/>
        </w:rPr>
        <w:fldChar w:fldCharType="separate"/>
      </w:r>
      <w:r>
        <w:rPr>
          <w:rFonts w:hint="eastAsia" w:ascii="宋体" w:hAnsi="宋体" w:eastAsia="宋体" w:cs="宋体"/>
          <w:szCs w:val="24"/>
          <w:highlight w:val="none"/>
        </w:rPr>
        <w:t>（二）法定代表人授权委托书</w:t>
      </w:r>
      <w:r>
        <w:rPr>
          <w:highlight w:val="none"/>
        </w:rPr>
        <w:tab/>
      </w:r>
      <w:r>
        <w:rPr>
          <w:highlight w:val="none"/>
        </w:rPr>
        <w:fldChar w:fldCharType="begin"/>
      </w:r>
      <w:r>
        <w:rPr>
          <w:highlight w:val="none"/>
        </w:rPr>
        <w:instrText xml:space="preserve"> PAGEREF _Toc22989 \h </w:instrText>
      </w:r>
      <w:r>
        <w:rPr>
          <w:highlight w:val="none"/>
        </w:rPr>
        <w:fldChar w:fldCharType="separate"/>
      </w:r>
      <w:r>
        <w:rPr>
          <w:highlight w:val="none"/>
        </w:rPr>
        <w:t>47</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_Toc6970 </w:instrText>
      </w:r>
      <w:r>
        <w:rPr>
          <w:rFonts w:hint="eastAsia" w:ascii="宋体" w:hAnsi="宋体" w:cs="宋体"/>
          <w:bCs/>
          <w:caps/>
          <w:highlight w:val="none"/>
        </w:rPr>
        <w:fldChar w:fldCharType="separate"/>
      </w:r>
      <w:r>
        <w:rPr>
          <w:rFonts w:hint="eastAsia" w:ascii="宋体" w:hAnsi="宋体" w:eastAsia="宋体" w:cs="宋体"/>
          <w:highlight w:val="none"/>
        </w:rPr>
        <w:t>三、 报价一览表</w:t>
      </w:r>
      <w:r>
        <w:rPr>
          <w:highlight w:val="none"/>
        </w:rPr>
        <w:tab/>
      </w:r>
      <w:r>
        <w:rPr>
          <w:highlight w:val="none"/>
        </w:rPr>
        <w:fldChar w:fldCharType="begin"/>
      </w:r>
      <w:r>
        <w:rPr>
          <w:highlight w:val="none"/>
        </w:rPr>
        <w:instrText xml:space="preserve"> PAGEREF _Toc6970 \h </w:instrText>
      </w:r>
      <w:r>
        <w:rPr>
          <w:highlight w:val="none"/>
        </w:rPr>
        <w:fldChar w:fldCharType="separate"/>
      </w:r>
      <w:r>
        <w:rPr>
          <w:highlight w:val="none"/>
        </w:rPr>
        <w:t>48</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_Toc18588 </w:instrText>
      </w:r>
      <w:r>
        <w:rPr>
          <w:rFonts w:hint="eastAsia" w:ascii="宋体" w:hAnsi="宋体" w:cs="宋体"/>
          <w:bCs/>
          <w:caps/>
          <w:highlight w:val="none"/>
        </w:rPr>
        <w:fldChar w:fldCharType="separate"/>
      </w:r>
      <w:r>
        <w:rPr>
          <w:rFonts w:hint="eastAsia" w:ascii="宋体" w:hAnsi="宋体" w:eastAsia="宋体" w:cs="宋体"/>
          <w:highlight w:val="none"/>
        </w:rPr>
        <w:t>四、 审查资料</w:t>
      </w:r>
      <w:r>
        <w:rPr>
          <w:highlight w:val="none"/>
        </w:rPr>
        <w:tab/>
      </w:r>
      <w:r>
        <w:rPr>
          <w:highlight w:val="none"/>
        </w:rPr>
        <w:fldChar w:fldCharType="begin"/>
      </w:r>
      <w:r>
        <w:rPr>
          <w:highlight w:val="none"/>
        </w:rPr>
        <w:instrText xml:space="preserve"> PAGEREF _Toc18588 \h </w:instrText>
      </w:r>
      <w:r>
        <w:rPr>
          <w:highlight w:val="none"/>
        </w:rPr>
        <w:fldChar w:fldCharType="separate"/>
      </w:r>
      <w:r>
        <w:rPr>
          <w:highlight w:val="none"/>
        </w:rPr>
        <w:t>49</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_Toc296 </w:instrText>
      </w:r>
      <w:r>
        <w:rPr>
          <w:rFonts w:hint="eastAsia" w:ascii="宋体" w:hAnsi="宋体" w:cs="宋体"/>
          <w:bCs/>
          <w:caps/>
          <w:highlight w:val="none"/>
        </w:rPr>
        <w:fldChar w:fldCharType="separate"/>
      </w:r>
      <w:r>
        <w:rPr>
          <w:rFonts w:hint="eastAsia" w:ascii="宋体" w:hAnsi="宋体" w:eastAsia="宋体" w:cs="宋体"/>
          <w:highlight w:val="none"/>
        </w:rPr>
        <w:t>五、 报价人承诺</w:t>
      </w:r>
      <w:r>
        <w:rPr>
          <w:highlight w:val="none"/>
        </w:rPr>
        <w:tab/>
      </w:r>
      <w:r>
        <w:rPr>
          <w:highlight w:val="none"/>
        </w:rPr>
        <w:fldChar w:fldCharType="begin"/>
      </w:r>
      <w:r>
        <w:rPr>
          <w:highlight w:val="none"/>
        </w:rPr>
        <w:instrText xml:space="preserve"> PAGEREF _Toc296 \h </w:instrText>
      </w:r>
      <w:r>
        <w:rPr>
          <w:highlight w:val="none"/>
        </w:rPr>
        <w:fldChar w:fldCharType="separate"/>
      </w:r>
      <w:r>
        <w:rPr>
          <w:highlight w:val="none"/>
        </w:rPr>
        <w:t>56</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_Toc5210 </w:instrText>
      </w:r>
      <w:r>
        <w:rPr>
          <w:rFonts w:hint="eastAsia" w:ascii="宋体" w:hAnsi="宋体" w:cs="宋体"/>
          <w:bCs/>
          <w:caps/>
          <w:highlight w:val="none"/>
        </w:rPr>
        <w:fldChar w:fldCharType="separate"/>
      </w:r>
      <w:r>
        <w:rPr>
          <w:rFonts w:hint="eastAsia" w:ascii="宋体" w:hAnsi="宋体" w:eastAsia="宋体" w:cs="宋体"/>
          <w:highlight w:val="none"/>
        </w:rPr>
        <w:t>六、 报价人提供的其他资料（如有）</w:t>
      </w:r>
      <w:r>
        <w:rPr>
          <w:highlight w:val="none"/>
        </w:rPr>
        <w:tab/>
      </w:r>
      <w:r>
        <w:rPr>
          <w:highlight w:val="none"/>
        </w:rPr>
        <w:fldChar w:fldCharType="begin"/>
      </w:r>
      <w:r>
        <w:rPr>
          <w:highlight w:val="none"/>
        </w:rPr>
        <w:instrText xml:space="preserve"> PAGEREF _Toc5210 \h </w:instrText>
      </w:r>
      <w:r>
        <w:rPr>
          <w:highlight w:val="none"/>
        </w:rPr>
        <w:fldChar w:fldCharType="separate"/>
      </w:r>
      <w:r>
        <w:rPr>
          <w:highlight w:val="none"/>
        </w:rPr>
        <w:t>57</w:t>
      </w:r>
      <w:r>
        <w:rPr>
          <w:highlight w:val="none"/>
        </w:rPr>
        <w:fldChar w:fldCharType="end"/>
      </w:r>
      <w:r>
        <w:rPr>
          <w:rFonts w:hint="eastAsia" w:ascii="宋体" w:hAnsi="宋体" w:cs="宋体"/>
          <w:bCs/>
          <w:caps/>
          <w:highlight w:val="none"/>
        </w:rPr>
        <w:fldChar w:fldCharType="end"/>
      </w:r>
    </w:p>
    <w:p>
      <w:pPr>
        <w:pStyle w:val="35"/>
        <w:tabs>
          <w:tab w:val="right" w:leader="dot" w:pos="9628"/>
        </w:tabs>
        <w:ind w:left="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ascii="宋体" w:hAnsi="宋体" w:cs="宋体"/>
          <w:highlight w:val="none"/>
        </w:rPr>
      </w:pPr>
      <w:bookmarkStart w:id="5" w:name="_Toc152045511"/>
      <w:bookmarkStart w:id="6" w:name="_Toc246996900"/>
      <w:bookmarkStart w:id="7" w:name="_Toc152042287"/>
      <w:bookmarkStart w:id="8" w:name="_Toc179632527"/>
      <w:bookmarkStart w:id="9" w:name="_Toc247096243"/>
      <w:bookmarkStart w:id="10" w:name="_Toc144974479"/>
      <w:bookmarkStart w:id="11" w:name="_Toc247085671"/>
      <w:bookmarkStart w:id="12" w:name="_Toc507319890"/>
      <w:bookmarkStart w:id="13" w:name="_Toc2000404"/>
      <w:bookmarkStart w:id="14" w:name="_Toc246996157"/>
      <w:bookmarkStart w:id="15" w:name="_Toc16829"/>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ascii="宋体" w:hAnsi="宋体" w:cs="宋体"/>
          <w:b/>
          <w:sz w:val="28"/>
          <w:szCs w:val="28"/>
          <w:highlight w:val="none"/>
        </w:rPr>
      </w:pPr>
      <w:bookmarkStart w:id="16" w:name="OLE_LINK3"/>
      <w:bookmarkStart w:id="17" w:name="OLE_LINK2"/>
    </w:p>
    <w:p>
      <w:pPr>
        <w:pStyle w:val="4"/>
        <w:spacing w:before="0" w:after="0" w:line="360" w:lineRule="auto"/>
        <w:rPr>
          <w:rFonts w:ascii="宋体" w:hAnsi="宋体" w:eastAsia="宋体" w:cs="宋体"/>
          <w:highlight w:val="none"/>
        </w:rPr>
      </w:pPr>
      <w:bookmarkStart w:id="18" w:name="_Toc247085672"/>
      <w:bookmarkStart w:id="19" w:name="_Toc7525"/>
      <w:bookmarkStart w:id="20" w:name="_Toc30089"/>
      <w:bookmarkStart w:id="21" w:name="_Toc152045512"/>
      <w:bookmarkStart w:id="22" w:name="_Toc11329213"/>
      <w:bookmarkStart w:id="23" w:name="_Toc246996158"/>
      <w:bookmarkStart w:id="24" w:name="_Toc507319891"/>
      <w:bookmarkStart w:id="25" w:name="_Toc179632528"/>
      <w:bookmarkStart w:id="26" w:name="_Toc10076"/>
      <w:bookmarkStart w:id="27" w:name="_Toc246996901"/>
      <w:bookmarkStart w:id="28" w:name="_Toc144974480"/>
      <w:bookmarkStart w:id="29" w:name="_Toc24874"/>
      <w:bookmarkStart w:id="30" w:name="_Toc6549"/>
      <w:bookmarkStart w:id="31" w:name="_Toc152042288"/>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eastAsia="zh-CN"/>
        </w:rPr>
        <w:t>国产可信技术全栈高速私有云关键技术研发项目高速云威胁检测服务采购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2" w:name="_Toc246996902"/>
      <w:bookmarkStart w:id="33" w:name="_Toc179632529"/>
      <w:bookmarkStart w:id="34" w:name="_Toc152042289"/>
      <w:bookmarkStart w:id="35" w:name="_Toc18109"/>
      <w:bookmarkStart w:id="36" w:name="_Toc152045513"/>
      <w:bookmarkStart w:id="37" w:name="_Toc144974481"/>
      <w:bookmarkStart w:id="38" w:name="_Toc11329214"/>
      <w:bookmarkStart w:id="39" w:name="_Toc23060"/>
      <w:bookmarkStart w:id="40" w:name="_Toc10952"/>
      <w:bookmarkStart w:id="41" w:name="_Toc21343"/>
      <w:bookmarkStart w:id="42" w:name="_Toc28954"/>
      <w:bookmarkStart w:id="43" w:name="_Toc247085673"/>
      <w:bookmarkStart w:id="44" w:name="_Toc507319892"/>
      <w:bookmarkStart w:id="45" w:name="_Toc246996159"/>
      <w:r>
        <w:rPr>
          <w:rFonts w:hint="eastAsia" w:ascii="宋体" w:hAnsi="宋体" w:eastAsia="宋体" w:cs="宋体"/>
          <w:highlight w:val="none"/>
        </w:rPr>
        <w:t>2. 项目概况与采购范围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pPr>
        <w:tabs>
          <w:tab w:val="left" w:pos="3840"/>
          <w:tab w:val="left" w:pos="5300"/>
        </w:tabs>
        <w:wordWrap w:val="0"/>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u w:val="single"/>
        </w:rPr>
      </w:pPr>
      <w:bookmarkStart w:id="46" w:name="_Toc446247226"/>
      <w:r>
        <w:rPr>
          <w:rFonts w:hint="eastAsia" w:ascii="宋体" w:hAnsi="宋体" w:cs="宋体"/>
          <w:highlight w:val="none"/>
        </w:rPr>
        <w:t xml:space="preserve">2.1 </w:t>
      </w:r>
      <w:bookmarkEnd w:id="46"/>
      <w:r>
        <w:rPr>
          <w:rFonts w:hint="eastAsia" w:ascii="宋体" w:hAnsi="宋体" w:cs="宋体"/>
          <w:szCs w:val="21"/>
          <w:highlight w:val="none"/>
        </w:rPr>
        <w:t>项目概况：</w:t>
      </w:r>
      <w:r>
        <w:rPr>
          <w:rFonts w:hint="eastAsia" w:ascii="宋体" w:hAnsi="宋体" w:cs="宋体"/>
          <w:snapToGrid w:val="0"/>
          <w:color w:val="auto"/>
          <w:kern w:val="0"/>
          <w:szCs w:val="21"/>
          <w:highlight w:val="none"/>
          <w:u w:val="single"/>
        </w:rPr>
        <w:t>“高速云”已承载各类生产和研发业务系统超过40个，云主机306台，存储数据量已达700TB ，为加强“高速云”安全情报全流量检测与响应，实时监控“高速云”网络威胁，并提供自动化处置手段，同时应对国家级攻防演练。高速云拟采购威胁检测服务和威胁检测平台威胁感知模块订阅1年。</w:t>
      </w:r>
    </w:p>
    <w:p>
      <w:pPr>
        <w:spacing w:line="400" w:lineRule="exact"/>
        <w:ind w:firstLine="420" w:firstLineChars="200"/>
        <w:rPr>
          <w:rFonts w:hint="eastAsia" w:ascii="宋体" w:hAnsi="宋体" w:cs="宋体"/>
          <w:highlight w:val="none"/>
          <w:u w:val="single"/>
        </w:rPr>
      </w:pPr>
      <w:r>
        <w:rPr>
          <w:rFonts w:hint="eastAsia" w:ascii="宋体" w:hAnsi="宋体" w:cs="宋体"/>
          <w:highlight w:val="none"/>
        </w:rPr>
        <w:t>2.2 采购内容：</w:t>
      </w:r>
      <w:r>
        <w:rPr>
          <w:rFonts w:hint="eastAsia" w:ascii="宋体" w:hAnsi="宋体" w:cs="宋体"/>
          <w:highlight w:val="none"/>
          <w:u w:val="single"/>
        </w:rPr>
        <w:t>包括</w:t>
      </w:r>
      <w:r>
        <w:rPr>
          <w:rFonts w:hint="eastAsia" w:ascii="宋体" w:hAnsi="宋体" w:cs="宋体"/>
          <w:highlight w:val="none"/>
          <w:u w:val="single"/>
          <w:lang w:val="en-US" w:eastAsia="zh-CN"/>
        </w:rPr>
        <w:t>威胁检测服务1年和威胁检测平台威胁感知模块订阅服务1年</w:t>
      </w:r>
      <w:r>
        <w:rPr>
          <w:rFonts w:hint="eastAsia" w:ascii="宋体" w:hAnsi="宋体" w:cs="宋体"/>
          <w:highlight w:val="none"/>
          <w:u w:val="single"/>
        </w:rPr>
        <w:t>。</w:t>
      </w:r>
    </w:p>
    <w:p>
      <w:pPr>
        <w:pStyle w:val="11"/>
        <w:rPr>
          <w:rFonts w:hint="default" w:ascii="宋体" w:hAnsi="宋体" w:eastAsia="宋体" w:cs="宋体"/>
          <w:kern w:val="2"/>
          <w:sz w:val="21"/>
          <w:szCs w:val="24"/>
          <w:highlight w:val="none"/>
          <w:u w:val="single"/>
          <w:lang w:val="en-US" w:eastAsia="zh-CN" w:bidi="ar-SA"/>
        </w:rPr>
      </w:pPr>
      <w:r>
        <w:rPr>
          <w:rFonts w:hint="eastAsia" w:ascii="宋体" w:hAnsi="宋体" w:eastAsia="宋体" w:cs="宋体"/>
          <w:kern w:val="2"/>
          <w:sz w:val="21"/>
          <w:szCs w:val="24"/>
          <w:highlight w:val="none"/>
          <w:lang w:val="en-US" w:eastAsia="zh-CN" w:bidi="ar-SA"/>
        </w:rPr>
        <w:t>2.3采购预估金额</w:t>
      </w:r>
      <w:r>
        <w:rPr>
          <w:rFonts w:hint="eastAsia" w:ascii="宋体" w:hAnsi="宋体" w:cs="宋体"/>
          <w:kern w:val="2"/>
          <w:sz w:val="21"/>
          <w:szCs w:val="24"/>
          <w:highlight w:val="none"/>
          <w:lang w:val="en-US" w:eastAsia="zh-CN" w:bidi="ar-SA"/>
        </w:rPr>
        <w:t>：</w:t>
      </w:r>
      <w:r>
        <w:rPr>
          <w:rFonts w:hint="eastAsia" w:ascii="宋体" w:hAnsi="宋体" w:cs="宋体"/>
          <w:kern w:val="2"/>
          <w:sz w:val="21"/>
          <w:szCs w:val="24"/>
          <w:highlight w:val="none"/>
          <w:u w:val="single"/>
          <w:lang w:val="en-US" w:eastAsia="zh-CN" w:bidi="ar-SA"/>
        </w:rPr>
        <w:t>361860.00</w:t>
      </w:r>
      <w:r>
        <w:rPr>
          <w:rFonts w:hint="eastAsia" w:ascii="宋体" w:hAnsi="宋体" w:eastAsia="宋体" w:cs="宋体"/>
          <w:kern w:val="2"/>
          <w:sz w:val="21"/>
          <w:szCs w:val="24"/>
          <w:highlight w:val="none"/>
          <w:u w:val="single"/>
          <w:lang w:val="en-US" w:eastAsia="zh-CN" w:bidi="ar-SA"/>
        </w:rPr>
        <w:t>元</w:t>
      </w:r>
    </w:p>
    <w:p>
      <w:pPr>
        <w:spacing w:line="400" w:lineRule="exact"/>
        <w:ind w:firstLine="420" w:firstLineChars="200"/>
        <w:rPr>
          <w:rFonts w:hint="eastAsia" w:ascii="宋体" w:hAnsi="宋体" w:cs="宋体"/>
          <w:highlight w:val="none"/>
        </w:rPr>
      </w:pPr>
      <w:r>
        <w:rPr>
          <w:rFonts w:hint="eastAsia" w:ascii="宋体" w:hAnsi="宋体" w:cs="宋体"/>
          <w:snapToGrid w:val="0"/>
          <w:color w:val="auto"/>
          <w:kern w:val="0"/>
          <w:szCs w:val="21"/>
          <w:highlight w:val="none"/>
          <w:lang w:val="en-US" w:eastAsia="zh-CN"/>
        </w:rPr>
        <w:t>2.4服务</w:t>
      </w:r>
      <w:r>
        <w:rPr>
          <w:rFonts w:hint="eastAsia" w:ascii="宋体" w:hAnsi="宋体" w:eastAsia="宋体" w:cs="宋体"/>
          <w:snapToGrid w:val="0"/>
          <w:color w:val="auto"/>
          <w:kern w:val="0"/>
          <w:szCs w:val="21"/>
          <w:highlight w:val="none"/>
          <w:lang w:val="en-US" w:eastAsia="zh-CN"/>
        </w:rPr>
        <w:t>地点：</w:t>
      </w:r>
      <w:r>
        <w:rPr>
          <w:rFonts w:hint="eastAsia" w:ascii="宋体" w:hAnsi="宋体" w:cs="宋体"/>
          <w:snapToGrid w:val="0"/>
          <w:color w:val="auto"/>
          <w:kern w:val="0"/>
          <w:szCs w:val="21"/>
          <w:highlight w:val="none"/>
          <w:u w:val="single"/>
          <w:lang w:val="en-US" w:eastAsia="zh-CN"/>
        </w:rPr>
        <w:t>以甲方通知</w:t>
      </w:r>
      <w:r>
        <w:rPr>
          <w:rFonts w:hint="eastAsia" w:ascii="宋体" w:hAnsi="宋体" w:eastAsia="宋体" w:cs="宋体"/>
          <w:snapToGrid w:val="0"/>
          <w:color w:val="auto"/>
          <w:kern w:val="0"/>
          <w:szCs w:val="21"/>
          <w:highlight w:val="none"/>
          <w:u w:val="single"/>
          <w:lang w:val="en-US" w:eastAsia="zh-CN"/>
        </w:rPr>
        <w:t>为准。</w:t>
      </w:r>
    </w:p>
    <w:p>
      <w:pPr>
        <w:spacing w:line="400" w:lineRule="exact"/>
        <w:ind w:firstLine="420" w:firstLineChars="200"/>
        <w:rPr>
          <w:rFonts w:hint="eastAsia" w:ascii="宋体" w:hAnsi="宋体" w:cs="宋体"/>
          <w:highlight w:val="none"/>
          <w:u w:val="single"/>
        </w:rPr>
      </w:pPr>
      <w:r>
        <w:rPr>
          <w:rFonts w:hint="eastAsia" w:ascii="宋体" w:hAnsi="宋体" w:cs="宋体"/>
          <w:highlight w:val="none"/>
          <w:lang w:val="en-US" w:eastAsia="zh-CN"/>
        </w:rPr>
        <w:t>2.5服务</w:t>
      </w:r>
      <w:r>
        <w:rPr>
          <w:rFonts w:hint="eastAsia" w:ascii="宋体" w:hAnsi="宋体" w:cs="宋体"/>
          <w:highlight w:val="none"/>
        </w:rPr>
        <w:t>期限：</w:t>
      </w:r>
      <w:r>
        <w:rPr>
          <w:rFonts w:hint="eastAsia" w:ascii="宋体" w:hAnsi="宋体" w:cs="宋体"/>
          <w:highlight w:val="none"/>
          <w:u w:val="single"/>
        </w:rPr>
        <w:t>服务期限12个月。</w:t>
      </w:r>
    </w:p>
    <w:p>
      <w:pPr>
        <w:pStyle w:val="4"/>
        <w:spacing w:before="120" w:after="0" w:line="360" w:lineRule="auto"/>
        <w:rPr>
          <w:rFonts w:ascii="宋体" w:hAnsi="宋体" w:eastAsia="宋体" w:cs="宋体"/>
          <w:highlight w:val="none"/>
        </w:rPr>
      </w:pPr>
      <w:bookmarkStart w:id="47" w:name="_Toc11329215"/>
      <w:bookmarkStart w:id="48" w:name="_Toc246996160"/>
      <w:bookmarkStart w:id="49" w:name="_Toc10171"/>
      <w:bookmarkStart w:id="50" w:name="_Toc152045514"/>
      <w:bookmarkStart w:id="51" w:name="_Toc7065"/>
      <w:bookmarkStart w:id="52" w:name="_Toc179632530"/>
      <w:bookmarkStart w:id="53" w:name="_Toc507319893"/>
      <w:bookmarkStart w:id="54" w:name="_Toc152042290"/>
      <w:bookmarkStart w:id="55" w:name="_Toc23184"/>
      <w:bookmarkStart w:id="56" w:name="_Toc246996903"/>
      <w:bookmarkStart w:id="57" w:name="_Toc22522"/>
      <w:bookmarkStart w:id="58" w:name="_Toc247085674"/>
      <w:bookmarkStart w:id="59" w:name="_Toc144974482"/>
      <w:bookmarkStart w:id="60" w:name="_Toc30356"/>
      <w:r>
        <w:rPr>
          <w:rFonts w:hint="eastAsia" w:ascii="宋体" w:hAnsi="宋体" w:eastAsia="宋体" w:cs="宋体"/>
          <w:highlight w:val="none"/>
        </w:rPr>
        <w:t>3. 报价人资格要求</w:t>
      </w:r>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line="400" w:lineRule="exact"/>
        <w:ind w:firstLine="420" w:firstLineChars="200"/>
        <w:rPr>
          <w:highlight w:val="none"/>
        </w:rPr>
      </w:pPr>
      <w:bookmarkStart w:id="61" w:name="_Toc179632531"/>
      <w:bookmarkStart w:id="62" w:name="_Toc144974483"/>
      <w:bookmarkStart w:id="63" w:name="_Toc152042291"/>
      <w:bookmarkStart w:id="64" w:name="_Toc152045515"/>
      <w:bookmarkStart w:id="65" w:name="_Toc246996161"/>
      <w:bookmarkStart w:id="66" w:name="_Toc247085675"/>
      <w:bookmarkStart w:id="67" w:name="_Toc246996904"/>
      <w:r>
        <w:rPr>
          <w:rFonts w:hint="eastAsia" w:ascii="宋体" w:hAnsi="宋体" w:cs="宋体"/>
          <w:szCs w:val="21"/>
          <w:highlight w:val="none"/>
          <w:shd w:val="clear" w:color="auto" w:fill="FFFFFF"/>
        </w:rPr>
        <w:t>3.1具有独立法人资格，具有有效的营业执照。</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3.2</w:t>
      </w:r>
      <w:r>
        <w:rPr>
          <w:rFonts w:hint="eastAsia" w:ascii="宋体" w:hAnsi="宋体" w:cs="宋体"/>
          <w:szCs w:val="21"/>
          <w:highlight w:val="none"/>
          <w:shd w:val="clear" w:color="auto" w:fill="FFFFFF"/>
        </w:rPr>
        <w:t>业绩要求：</w:t>
      </w:r>
      <w:r>
        <w:rPr>
          <w:rFonts w:hint="eastAsia" w:ascii="宋体" w:hAnsi="宋体" w:cs="宋体"/>
          <w:szCs w:val="21"/>
          <w:highlight w:val="none"/>
          <w:shd w:val="clear" w:color="auto" w:fill="FFFFFF"/>
          <w:lang w:val="en-US" w:eastAsia="zh-CN"/>
        </w:rPr>
        <w:t>需提供至少1个15万元及以上承担的（2021年1月1日至本竞争性比选函发出之日）信息安全服务或信息安全相关维保服务项目业绩。</w:t>
      </w:r>
    </w:p>
    <w:p>
      <w:pPr>
        <w:spacing w:line="400" w:lineRule="exact"/>
        <w:ind w:firstLine="420" w:firstLineChars="200"/>
        <w:rPr>
          <w:rFonts w:hint="eastAsia"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注：需提供合同复印件关键页（包括但不限于合同封面页、合同标的页、合同金额页、合同盖章页、合同时间页及显示项目内容的相关页）</w:t>
      </w:r>
      <w:r>
        <w:rPr>
          <w:rFonts w:hint="eastAsia" w:ascii="宋体" w:hAnsi="宋体" w:eastAsia="宋体" w:cs="宋体"/>
          <w:szCs w:val="21"/>
          <w:highlight w:val="none"/>
          <w:shd w:val="clear" w:color="auto" w:fill="FFFFFF"/>
          <w:lang w:val="en-US" w:eastAsia="zh-CN"/>
        </w:rPr>
        <w:t>并加盖投标人公章。</w:t>
      </w:r>
    </w:p>
    <w:p>
      <w:pPr>
        <w:spacing w:line="400" w:lineRule="exact"/>
        <w:ind w:firstLine="420" w:firstLineChars="2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lang w:val="en-US" w:eastAsia="zh-CN"/>
        </w:rPr>
        <w:t>3.3人员要求：</w:t>
      </w:r>
      <w:r>
        <w:rPr>
          <w:rFonts w:hint="eastAsia" w:ascii="宋体" w:hAnsi="宋体" w:eastAsia="宋体" w:cs="宋体"/>
          <w:szCs w:val="21"/>
          <w:highlight w:val="none"/>
          <w:shd w:val="clear" w:color="auto" w:fill="FFFFFF"/>
        </w:rPr>
        <w:t>本项目需配备至少3人，项目经理1名，项目技术支持人员2名。</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报价人须提供采购人要求的所有资质要求、信誉要求的复印件并加盖单位鲜公章。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本次比选不接受联合体报价。</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7</w:t>
      </w:r>
      <w:r>
        <w:rPr>
          <w:rFonts w:hint="eastAsia" w:ascii="宋体" w:hAnsi="宋体" w:cs="宋体"/>
          <w:szCs w:val="21"/>
          <w:highlight w:val="none"/>
          <w:shd w:val="clear" w:color="auto" w:fill="FFFFFF"/>
        </w:rPr>
        <w:t>单位负责人为同一人或者存在控股、管理关系的不同单位，不得同时参加本项目报价，否则均按无效报价处理。</w:t>
      </w:r>
    </w:p>
    <w:p>
      <w:pPr>
        <w:pStyle w:val="4"/>
        <w:spacing w:before="120" w:after="0" w:line="360" w:lineRule="auto"/>
        <w:rPr>
          <w:rFonts w:hint="eastAsia" w:ascii="宋体" w:hAnsi="宋体" w:eastAsia="宋体" w:cs="宋体"/>
          <w:highlight w:val="none"/>
          <w:lang w:val="en-US" w:eastAsia="zh-CN"/>
        </w:rPr>
      </w:pPr>
      <w:bookmarkStart w:id="68" w:name="_Toc31574"/>
      <w:bookmarkStart w:id="69" w:name="_Toc12460"/>
      <w:bookmarkStart w:id="70" w:name="_Toc23921"/>
      <w:bookmarkStart w:id="71" w:name="_Toc25619"/>
      <w:bookmarkStart w:id="72" w:name="_Toc11329216"/>
      <w:bookmarkStart w:id="73" w:name="_Toc507319894"/>
      <w:bookmarkStart w:id="74" w:name="_Toc14361"/>
      <w:r>
        <w:rPr>
          <w:rFonts w:hint="eastAsia" w:ascii="宋体" w:hAnsi="宋体" w:eastAsia="宋体" w:cs="宋体"/>
          <w:highlight w:val="none"/>
        </w:rPr>
        <w:t xml:space="preserve">4. </w:t>
      </w:r>
      <w:r>
        <w:rPr>
          <w:rFonts w:hint="eastAsia" w:ascii="宋体" w:hAnsi="宋体" w:eastAsia="宋体" w:cs="宋体"/>
          <w:highlight w:val="none"/>
          <w:lang w:val="en-US" w:eastAsia="zh-CN"/>
        </w:rPr>
        <w:t>评审办法</w:t>
      </w:r>
      <w:bookmarkEnd w:id="68"/>
    </w:p>
    <w:p>
      <w:pPr>
        <w:spacing w:line="400" w:lineRule="exact"/>
        <w:ind w:firstLine="420" w:firstLineChars="200"/>
        <w:rPr>
          <w:rFonts w:hint="default"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本项目采用综合评估法</w:t>
      </w:r>
    </w:p>
    <w:p>
      <w:pPr>
        <w:pStyle w:val="4"/>
        <w:numPr>
          <w:ilvl w:val="0"/>
          <w:numId w:val="2"/>
        </w:numPr>
        <w:spacing w:before="120" w:after="0" w:line="400" w:lineRule="exact"/>
        <w:rPr>
          <w:rFonts w:ascii="宋体" w:hAnsi="宋体" w:eastAsia="宋体" w:cs="宋体"/>
          <w:highlight w:val="none"/>
        </w:rPr>
      </w:pPr>
      <w:bookmarkStart w:id="75" w:name="_Toc6975"/>
      <w:r>
        <w:rPr>
          <w:rFonts w:hint="eastAsia" w:ascii="宋体" w:hAnsi="宋体" w:eastAsia="宋体" w:cs="宋体"/>
          <w:highlight w:val="none"/>
        </w:rPr>
        <w:t>比选文件的获取</w:t>
      </w:r>
      <w:bookmarkEnd w:id="61"/>
      <w:bookmarkEnd w:id="62"/>
      <w:bookmarkEnd w:id="63"/>
      <w:bookmarkEnd w:id="64"/>
      <w:bookmarkEnd w:id="65"/>
      <w:bookmarkEnd w:id="66"/>
      <w:bookmarkEnd w:id="67"/>
      <w:bookmarkEnd w:id="69"/>
      <w:bookmarkEnd w:id="70"/>
      <w:bookmarkEnd w:id="71"/>
      <w:bookmarkEnd w:id="72"/>
      <w:bookmarkEnd w:id="73"/>
      <w:bookmarkEnd w:id="74"/>
      <w:bookmarkEnd w:id="75"/>
    </w:p>
    <w:p>
      <w:pPr>
        <w:spacing w:line="360" w:lineRule="auto"/>
        <w:ind w:firstLine="420" w:firstLineChars="200"/>
        <w:rPr>
          <w:rFonts w:ascii="宋体" w:hAnsi="宋体"/>
          <w:szCs w:val="21"/>
          <w:highlight w:val="none"/>
        </w:rPr>
      </w:pPr>
      <w:bookmarkStart w:id="76" w:name="_Toc507319895"/>
      <w:bookmarkStart w:id="77" w:name="_Toc246996905"/>
      <w:bookmarkStart w:id="78" w:name="_Toc11329217"/>
      <w:bookmarkStart w:id="79" w:name="_Toc152042292"/>
      <w:bookmarkStart w:id="80" w:name="_Toc179632532"/>
      <w:bookmarkStart w:id="81" w:name="_Toc247085676"/>
      <w:bookmarkStart w:id="82" w:name="_Toc246996162"/>
      <w:bookmarkStart w:id="83" w:name="_Toc144974484"/>
      <w:bookmarkStart w:id="84" w:name="_Toc152045516"/>
      <w:r>
        <w:rPr>
          <w:rFonts w:hint="eastAsia" w:ascii="宋体" w:hAnsi="宋体"/>
          <w:szCs w:val="21"/>
          <w:highlight w:val="none"/>
        </w:rPr>
        <w:t>凡愿意参加的潜在报价人，在开标截止日</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lang w:val="en-US" w:eastAsia="zh-CN"/>
        </w:rPr>
        <w:t xml:space="preserve"> 06 </w:t>
      </w:r>
      <w:r>
        <w:rPr>
          <w:rFonts w:hint="eastAsia" w:ascii="宋体" w:hAnsi="宋体"/>
          <w:szCs w:val="21"/>
          <w:highlight w:val="none"/>
        </w:rPr>
        <w:t>月</w:t>
      </w:r>
      <w:r>
        <w:rPr>
          <w:rFonts w:hint="eastAsia" w:ascii="宋体" w:hAnsi="宋体"/>
          <w:szCs w:val="21"/>
          <w:highlight w:val="none"/>
          <w:u w:val="single"/>
          <w:lang w:val="en-US" w:eastAsia="zh-CN"/>
        </w:rPr>
        <w:t xml:space="preserve"> 28 </w:t>
      </w:r>
      <w:r>
        <w:rPr>
          <w:rFonts w:hint="eastAsia" w:ascii="宋体" w:hAnsi="宋体"/>
          <w:szCs w:val="21"/>
          <w:highlight w:val="none"/>
        </w:rPr>
        <w:t>日</w:t>
      </w:r>
      <w:r>
        <w:rPr>
          <w:rFonts w:hint="eastAsia" w:ascii="宋体" w:hAnsi="宋体"/>
          <w:szCs w:val="21"/>
          <w:highlight w:val="none"/>
          <w:lang w:val="en-US" w:eastAsia="zh-CN"/>
        </w:rPr>
        <w:t>下午</w:t>
      </w:r>
      <w:r>
        <w:rPr>
          <w:rFonts w:hint="eastAsia" w:ascii="宋体" w:hAnsi="宋体"/>
          <w:szCs w:val="21"/>
          <w:highlight w:val="none"/>
          <w:u w:val="single"/>
          <w:lang w:val="en-US" w:eastAsia="zh-CN"/>
        </w:rPr>
        <w:t xml:space="preserve"> 16：00</w:t>
      </w:r>
      <w:r>
        <w:rPr>
          <w:rFonts w:hint="eastAsia" w:ascii="宋体" w:hAnsi="宋体"/>
          <w:szCs w:val="21"/>
          <w:highlight w:val="none"/>
        </w:rPr>
        <w:t>前，在重庆高速集团官网（http://www.cegc.com.cn/）直接下载获取比选文件等开标前的有关资料。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85" w:name="_Toc4096"/>
      <w:bookmarkStart w:id="86" w:name="_Toc31493"/>
      <w:bookmarkStart w:id="87" w:name="_Toc16686"/>
      <w:bookmarkStart w:id="88" w:name="_Toc9131"/>
      <w:bookmarkStart w:id="89" w:name="_Toc10173"/>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w:t>
      </w:r>
      <w:bookmarkEnd w:id="76"/>
      <w:bookmarkEnd w:id="77"/>
      <w:bookmarkEnd w:id="78"/>
      <w:bookmarkEnd w:id="79"/>
      <w:bookmarkEnd w:id="80"/>
      <w:bookmarkEnd w:id="81"/>
      <w:bookmarkEnd w:id="82"/>
      <w:bookmarkEnd w:id="83"/>
      <w:bookmarkEnd w:id="84"/>
      <w:r>
        <w:rPr>
          <w:rFonts w:hint="eastAsia" w:ascii="宋体" w:hAnsi="宋体" w:eastAsia="宋体" w:cs="宋体"/>
          <w:highlight w:val="none"/>
        </w:rPr>
        <w:t>及相关事宜</w:t>
      </w:r>
      <w:bookmarkEnd w:id="85"/>
      <w:bookmarkEnd w:id="86"/>
      <w:bookmarkEnd w:id="87"/>
      <w:bookmarkEnd w:id="88"/>
      <w:bookmarkEnd w:id="89"/>
    </w:p>
    <w:p>
      <w:pPr>
        <w:tabs>
          <w:tab w:val="left" w:pos="360"/>
        </w:tabs>
        <w:spacing w:line="400" w:lineRule="exact"/>
        <w:ind w:firstLine="420" w:firstLineChars="200"/>
        <w:rPr>
          <w:rFonts w:ascii="宋体" w:hAnsi="宋体" w:cs="宋体"/>
          <w:szCs w:val="21"/>
          <w:highlight w:val="none"/>
        </w:rPr>
      </w:pPr>
      <w:bookmarkStart w:id="90" w:name="_Toc11820"/>
      <w:bookmarkStart w:id="91" w:name="_Toc507319897"/>
      <w:bookmarkStart w:id="92" w:name="_Toc247085678"/>
      <w:bookmarkStart w:id="93" w:name="_Toc11329219"/>
      <w:bookmarkStart w:id="94" w:name="_Toc18402"/>
      <w:bookmarkStart w:id="95" w:name="_Toc179632534"/>
      <w:bookmarkStart w:id="96" w:name="_Toc246996907"/>
      <w:bookmarkStart w:id="97" w:name="_Toc144974485"/>
      <w:bookmarkStart w:id="98" w:name="_Toc152045517"/>
      <w:bookmarkStart w:id="99" w:name="_Toc152042293"/>
      <w:bookmarkStart w:id="100" w:name="_Toc393"/>
      <w:bookmarkStart w:id="101" w:name="_Toc21615"/>
      <w:bookmarkStart w:id="102" w:name="_Toc246996164"/>
      <w:r>
        <w:rPr>
          <w:rFonts w:hint="eastAsia" w:ascii="宋体" w:hAnsi="宋体" w:cs="宋体"/>
          <w:szCs w:val="21"/>
          <w:highlight w:val="none"/>
        </w:rPr>
        <w:t>5.1报价截止时间和开标时间：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lang w:val="en-US" w:eastAsia="zh-CN"/>
        </w:rPr>
        <w:t xml:space="preserve"> 06 </w:t>
      </w:r>
      <w:r>
        <w:rPr>
          <w:rFonts w:hint="eastAsia" w:ascii="宋体" w:hAnsi="宋体"/>
          <w:szCs w:val="21"/>
          <w:highlight w:val="none"/>
        </w:rPr>
        <w:t>月</w:t>
      </w:r>
      <w:r>
        <w:rPr>
          <w:rFonts w:hint="eastAsia" w:ascii="宋体" w:hAnsi="宋体"/>
          <w:szCs w:val="21"/>
          <w:highlight w:val="none"/>
          <w:u w:val="single"/>
          <w:lang w:val="en-US" w:eastAsia="zh-CN"/>
        </w:rPr>
        <w:t xml:space="preserve"> 28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lang w:val="en-US" w:eastAsia="zh-CN"/>
        </w:rPr>
        <w:t xml:space="preserve"> 16 </w:t>
      </w:r>
      <w:r>
        <w:rPr>
          <w:rFonts w:hint="eastAsia" w:ascii="宋体" w:hAnsi="宋体" w:cs="宋体"/>
          <w:szCs w:val="21"/>
          <w:highlight w:val="none"/>
        </w:rPr>
        <w:t>时</w:t>
      </w:r>
      <w:r>
        <w:rPr>
          <w:rFonts w:hint="eastAsia" w:ascii="宋体" w:hAnsi="宋体" w:cs="宋体"/>
          <w:szCs w:val="21"/>
          <w:highlight w:val="none"/>
          <w:u w:val="single"/>
          <w:lang w:val="en-US" w:eastAsia="zh-CN"/>
        </w:rPr>
        <w:t>0</w:t>
      </w:r>
      <w:r>
        <w:rPr>
          <w:rFonts w:hint="eastAsia" w:ascii="宋体" w:hAnsi="宋体" w:cs="宋体"/>
          <w:szCs w:val="21"/>
          <w:highlight w:val="none"/>
          <w:u w:val="single"/>
        </w:rPr>
        <w:t>0</w:t>
      </w:r>
      <w:r>
        <w:rPr>
          <w:rFonts w:hint="eastAsia" w:ascii="宋体" w:hAnsi="宋体" w:cs="宋体"/>
          <w:szCs w:val="21"/>
          <w:highlight w:val="none"/>
        </w:rPr>
        <w:t>分（北京时间）。</w:t>
      </w:r>
    </w:p>
    <w:p>
      <w:pPr>
        <w:tabs>
          <w:tab w:val="left" w:pos="360"/>
        </w:tabs>
        <w:spacing w:line="400" w:lineRule="exact"/>
        <w:ind w:firstLine="420" w:firstLineChars="200"/>
        <w:rPr>
          <w:rFonts w:ascii="宋体" w:hAnsi="宋体" w:cs="宋体"/>
          <w:color w:val="FF0000"/>
          <w:szCs w:val="21"/>
          <w:highlight w:val="none"/>
        </w:rPr>
      </w:pPr>
      <w:r>
        <w:rPr>
          <w:rFonts w:hint="eastAsia" w:ascii="宋体" w:hAnsi="宋体" w:cs="宋体"/>
          <w:szCs w:val="21"/>
          <w:highlight w:val="none"/>
        </w:rPr>
        <w:t>5.2递交地址：报价人将完整的报价资料递交</w:t>
      </w:r>
      <w:r>
        <w:rPr>
          <w:rFonts w:hint="eastAsia" w:ascii="宋体" w:hAnsi="宋体" w:cs="宋体"/>
          <w:szCs w:val="21"/>
          <w:highlight w:val="none"/>
          <w:lang w:val="en-US" w:eastAsia="zh-CN"/>
        </w:rPr>
        <w:t>或邮寄</w:t>
      </w:r>
      <w:r>
        <w:rPr>
          <w:rFonts w:hint="eastAsia" w:ascii="宋体" w:hAnsi="宋体" w:cs="宋体"/>
          <w:szCs w:val="21"/>
          <w:highlight w:val="none"/>
        </w:rPr>
        <w:t>至重庆市渝北区新南路52号东界龙湖一楼重庆首讯科技股份有限公司东界龙湖办公区</w:t>
      </w:r>
      <w:r>
        <w:rPr>
          <w:rFonts w:hint="eastAsia" w:ascii="宋体" w:hAnsi="宋体"/>
          <w:szCs w:val="21"/>
          <w:highlight w:val="none"/>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采购人不组织工程现场踏勘，不召开报价预备会。</w:t>
      </w:r>
    </w:p>
    <w:p>
      <w:pPr>
        <w:pStyle w:val="4"/>
        <w:spacing w:before="120" w:after="0" w:line="400" w:lineRule="exact"/>
        <w:rPr>
          <w:rFonts w:ascii="宋体" w:hAnsi="宋体" w:eastAsia="宋体" w:cs="宋体"/>
          <w:highlight w:val="none"/>
        </w:rPr>
      </w:pPr>
      <w:bookmarkStart w:id="103" w:name="_Toc24326"/>
      <w:r>
        <w:rPr>
          <w:rFonts w:hint="eastAsia" w:ascii="宋体" w:hAnsi="宋体" w:eastAsia="宋体" w:cs="宋体"/>
          <w:highlight w:val="none"/>
          <w:lang w:val="en-US" w:eastAsia="zh-CN"/>
        </w:rPr>
        <w:t>7</w:t>
      </w:r>
      <w:r>
        <w:rPr>
          <w:rFonts w:hint="eastAsia" w:ascii="宋体" w:hAnsi="宋体" w:eastAsia="宋体" w:cs="宋体"/>
          <w:highlight w:val="none"/>
        </w:rPr>
        <w:t>. 联系方式</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tbl>
      <w:tblPr>
        <w:tblStyle w:val="44"/>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3"/>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3"/>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地址：重庆市渝北区新南路52号东界龙湖一楼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4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技术联系人：</w:t>
            </w:r>
            <w:r>
              <w:rPr>
                <w:rFonts w:hint="eastAsia" w:ascii="宋体" w:hAnsi="宋体" w:cs="宋体"/>
                <w:szCs w:val="21"/>
                <w:highlight w:val="none"/>
                <w:lang w:val="en-US" w:eastAsia="zh-CN"/>
              </w:rPr>
              <w:t>赖</w:t>
            </w:r>
            <w:r>
              <w:rPr>
                <w:rFonts w:hint="eastAsia" w:ascii="宋体" w:hAnsi="宋体" w:cs="宋体"/>
                <w:szCs w:val="21"/>
                <w:highlight w:val="none"/>
              </w:rPr>
              <w:t>老师  电 话：</w:t>
            </w:r>
            <w:r>
              <w:rPr>
                <w:rFonts w:hint="eastAsia" w:ascii="宋体" w:hAnsi="宋体" w:cs="宋体"/>
                <w:szCs w:val="21"/>
                <w:highlight w:val="none"/>
                <w:lang w:val="en-US" w:eastAsia="zh-CN"/>
              </w:rPr>
              <w:t>18623692272</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eastAsia="宋体"/>
                <w:highlight w:val="none"/>
                <w:lang w:val="en-US" w:eastAsia="zh-CN"/>
              </w:rPr>
            </w:pPr>
            <w:r>
              <w:rPr>
                <w:rFonts w:hint="eastAsia" w:ascii="宋体" w:hAnsi="宋体" w:cs="宋体"/>
                <w:szCs w:val="21"/>
                <w:highlight w:val="none"/>
              </w:rPr>
              <w:t>商务联系人：</w:t>
            </w:r>
            <w:r>
              <w:rPr>
                <w:rFonts w:hint="eastAsia" w:ascii="宋体" w:hAnsi="宋体" w:cs="宋体"/>
                <w:szCs w:val="21"/>
                <w:highlight w:val="none"/>
                <w:lang w:val="en-US" w:eastAsia="zh-CN"/>
              </w:rPr>
              <w:t>潘</w:t>
            </w:r>
            <w:r>
              <w:rPr>
                <w:rFonts w:hint="eastAsia" w:ascii="宋体" w:hAnsi="宋体" w:cs="宋体"/>
                <w:szCs w:val="21"/>
                <w:highlight w:val="none"/>
              </w:rPr>
              <w:t>老师  电 话：</w:t>
            </w:r>
            <w:r>
              <w:rPr>
                <w:rFonts w:hint="eastAsia" w:ascii="宋体" w:hAnsi="宋体" w:cs="宋体"/>
                <w:szCs w:val="21"/>
                <w:highlight w:val="none"/>
                <w:lang w:val="en-US" w:eastAsia="zh-CN"/>
              </w:rPr>
              <w:t>18523970401</w:t>
            </w:r>
          </w:p>
        </w:tc>
        <w:tc>
          <w:tcPr>
            <w:tcW w:w="1415" w:type="dxa"/>
            <w:vAlign w:val="center"/>
          </w:tcPr>
          <w:p>
            <w:pPr>
              <w:spacing w:line="400" w:lineRule="exact"/>
              <w:ind w:firstLine="420" w:firstLineChars="200"/>
              <w:rPr>
                <w:rFonts w:ascii="宋体" w:hAnsi="宋体" w:cs="宋体"/>
                <w:szCs w:val="21"/>
                <w:highlight w:val="none"/>
              </w:rPr>
            </w:pPr>
          </w:p>
        </w:tc>
      </w:tr>
    </w:tbl>
    <w:p>
      <w:pPr>
        <w:rPr>
          <w:highlight w:val="none"/>
        </w:rPr>
      </w:pPr>
    </w:p>
    <w:p>
      <w:pPr>
        <w:pStyle w:val="29"/>
        <w:rPr>
          <w:highlight w:val="none"/>
        </w:rPr>
      </w:pPr>
    </w:p>
    <w:p>
      <w:pPr>
        <w:rPr>
          <w:highlight w:val="none"/>
        </w:rPr>
      </w:pPr>
    </w:p>
    <w:p>
      <w:pPr>
        <w:pStyle w:val="29"/>
        <w:rPr>
          <w:highlight w:val="none"/>
        </w:rPr>
      </w:pPr>
    </w:p>
    <w:p>
      <w:pPr>
        <w:pStyle w:val="29"/>
        <w:rPr>
          <w:highlight w:val="none"/>
        </w:rPr>
      </w:pPr>
    </w:p>
    <w:bookmarkEnd w:id="16"/>
    <w:bookmarkEnd w:id="17"/>
    <w:p>
      <w:pPr>
        <w:pStyle w:val="3"/>
        <w:spacing w:before="0" w:after="0" w:line="360" w:lineRule="auto"/>
        <w:jc w:val="center"/>
        <w:rPr>
          <w:rFonts w:ascii="宋体" w:hAnsi="宋体" w:cs="宋体"/>
          <w:highlight w:val="none"/>
        </w:rPr>
      </w:pPr>
      <w:bookmarkStart w:id="104" w:name="_Toc246996916"/>
      <w:bookmarkStart w:id="105" w:name="_Toc247085687"/>
      <w:bookmarkStart w:id="106" w:name="_Toc152042303"/>
      <w:bookmarkStart w:id="107" w:name="_Toc144974495"/>
      <w:bookmarkStart w:id="108" w:name="_Toc179632544"/>
      <w:bookmarkStart w:id="109" w:name="_Toc152045527"/>
      <w:bookmarkStart w:id="110" w:name="_Toc507319898"/>
      <w:bookmarkStart w:id="111" w:name="_Toc2000405"/>
      <w:bookmarkStart w:id="112" w:name="_Toc246996173"/>
      <w:r>
        <w:rPr>
          <w:rFonts w:hint="eastAsia" w:ascii="宋体" w:hAnsi="宋体" w:cs="宋体"/>
          <w:highlight w:val="none"/>
        </w:rPr>
        <w:br w:type="page"/>
      </w:r>
      <w:bookmarkStart w:id="113" w:name="_Toc32402"/>
      <w:r>
        <w:rPr>
          <w:rFonts w:hint="eastAsia" w:ascii="宋体" w:hAnsi="宋体" w:cs="宋体"/>
          <w:highlight w:val="none"/>
        </w:rPr>
        <w:t>第二章 报价人须知</w:t>
      </w:r>
      <w:bookmarkEnd w:id="104"/>
      <w:bookmarkEnd w:id="105"/>
      <w:bookmarkEnd w:id="106"/>
      <w:bookmarkEnd w:id="107"/>
      <w:bookmarkEnd w:id="108"/>
      <w:bookmarkEnd w:id="109"/>
      <w:bookmarkEnd w:id="110"/>
      <w:bookmarkEnd w:id="111"/>
      <w:bookmarkEnd w:id="112"/>
      <w:bookmarkEnd w:id="113"/>
    </w:p>
    <w:p>
      <w:pPr>
        <w:rPr>
          <w:rFonts w:hint="default" w:eastAsia="宋体"/>
          <w:highlight w:val="none"/>
          <w:lang w:val="en-US" w:eastAsia="zh-CN"/>
        </w:rPr>
      </w:pPr>
      <w:r>
        <w:rPr>
          <w:rFonts w:hint="eastAsia"/>
          <w:highlight w:val="none"/>
          <w:lang w:val="en-US" w:eastAsia="zh-CN"/>
        </w:rPr>
        <w:t>报价人须知前附表</w:t>
      </w:r>
    </w:p>
    <w:tbl>
      <w:tblPr>
        <w:tblStyle w:val="4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highlight w:val="none"/>
              </w:rPr>
            </w:pPr>
            <w:bookmarkStart w:id="114" w:name="_Toc326760840"/>
            <w:r>
              <w:rPr>
                <w:rFonts w:hint="eastAsia" w:ascii="宋体" w:hAnsi="宋体" w:cs="宋体"/>
                <w:b/>
                <w:kern w:val="0"/>
                <w:szCs w:val="21"/>
                <w:highlight w:val="none"/>
              </w:rPr>
              <w:t>序号</w:t>
            </w:r>
          </w:p>
        </w:tc>
        <w:tc>
          <w:tcPr>
            <w:tcW w:w="2106" w:type="dxa"/>
            <w:vAlign w:val="center"/>
          </w:tcPr>
          <w:p>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地  址：重庆市渝北区新南路52号东界龙湖三楼</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潘</w:t>
            </w:r>
            <w:r>
              <w:rPr>
                <w:rFonts w:hint="eastAsia" w:ascii="宋体" w:hAnsi="宋体" w:cs="宋体"/>
                <w:szCs w:val="21"/>
                <w:highlight w:val="none"/>
              </w:rPr>
              <w:t>老师</w:t>
            </w:r>
          </w:p>
          <w:p>
            <w:pPr>
              <w:topLinePunct/>
              <w:spacing w:line="420" w:lineRule="exact"/>
              <w:ind w:firstLine="420" w:firstLineChars="200"/>
              <w:rPr>
                <w:rFonts w:hint="default" w:eastAsia="宋体"/>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18523970401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国产可信技术全栈高速私有云关键技术研发项目高速云威胁检测服务采购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项目概况</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采购范围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106" w:type="dxa"/>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highlight w:val="none"/>
                <w:lang w:val="en-US" w:eastAsia="zh-CN"/>
              </w:rPr>
              <w:t>供货期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技术标准</w:t>
            </w:r>
          </w:p>
        </w:tc>
        <w:tc>
          <w:tcPr>
            <w:tcW w:w="7104" w:type="dxa"/>
          </w:tcPr>
          <w:p>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7</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报价人资格要求</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8</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9</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10</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default" w:ascii="宋体" w:hAnsi="宋体" w:eastAsia="宋体" w:cs="宋体"/>
                <w:kern w:val="0"/>
                <w:szCs w:val="21"/>
                <w:highlight w:val="none"/>
                <w:lang w:val="en-US" w:eastAsia="zh-CN"/>
              </w:rPr>
            </w:pPr>
            <w:r>
              <w:rPr>
                <w:rFonts w:hint="eastAsia" w:ascii="宋体" w:hAnsi="宋体" w:cs="宋体"/>
                <w:b/>
                <w:kern w:val="0"/>
                <w:szCs w:val="21"/>
                <w:highlight w:val="none"/>
              </w:rPr>
              <w:t>根据</w:t>
            </w:r>
            <w:r>
              <w:rPr>
                <w:rFonts w:hint="eastAsia" w:ascii="宋体" w:hAnsi="宋体" w:cs="宋体"/>
                <w:b/>
                <w:kern w:val="0"/>
                <w:szCs w:val="21"/>
                <w:highlight w:val="none"/>
                <w:lang w:val="en-US" w:eastAsia="zh-CN"/>
              </w:rPr>
              <w:t>综合</w:t>
            </w:r>
            <w:r>
              <w:rPr>
                <w:rFonts w:hint="eastAsia" w:ascii="宋体" w:hAnsi="宋体" w:cs="宋体"/>
                <w:b/>
                <w:kern w:val="0"/>
                <w:szCs w:val="21"/>
                <w:highlight w:val="none"/>
              </w:rPr>
              <w:t>评分</w:t>
            </w:r>
            <w:r>
              <w:rPr>
                <w:rFonts w:hint="eastAsia" w:ascii="宋体" w:hAnsi="宋体" w:cs="宋体"/>
                <w:b/>
                <w:kern w:val="0"/>
                <w:szCs w:val="21"/>
                <w:highlight w:val="none"/>
                <w:lang w:val="en-US" w:eastAsia="zh-CN"/>
              </w:rPr>
              <w:t>项</w:t>
            </w:r>
            <w:r>
              <w:rPr>
                <w:rFonts w:hint="eastAsia" w:ascii="宋体" w:hAnsi="宋体" w:cs="宋体"/>
                <w:b/>
                <w:kern w:val="0"/>
                <w:szCs w:val="21"/>
                <w:highlight w:val="none"/>
              </w:rPr>
              <w:t>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12</w:t>
            </w:r>
          </w:p>
        </w:tc>
        <w:tc>
          <w:tcPr>
            <w:tcW w:w="2106" w:type="dxa"/>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ascii="宋体" w:hAnsi="宋体" w:cs="宋体"/>
                <w:kern w:val="0"/>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50"/>
              <w:spacing w:before="72" w:line="400" w:lineRule="exact"/>
              <w:ind w:firstLine="420" w:firstLineChars="200"/>
              <w:jc w:val="both"/>
              <w:rPr>
                <w:rFonts w:hAnsi="宋体"/>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highlight w:val="none"/>
              </w:rPr>
            </w:pPr>
            <w:bookmarkStart w:id="115" w:name="_Hlt227984024"/>
            <w:bookmarkEnd w:id="115"/>
            <w:r>
              <w:rPr>
                <w:rFonts w:hint="eastAsia" w:ascii="宋体" w:hAnsi="宋体" w:cs="宋体"/>
                <w:kern w:val="0"/>
                <w:szCs w:val="21"/>
                <w:highlight w:val="none"/>
              </w:rPr>
              <w:t>14</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报价清单的填写方式</w:t>
            </w:r>
          </w:p>
        </w:tc>
        <w:tc>
          <w:tcPr>
            <w:tcW w:w="7104" w:type="dxa"/>
          </w:tcPr>
          <w:p>
            <w:pPr>
              <w:spacing w:line="400" w:lineRule="exact"/>
              <w:ind w:firstLine="420" w:firstLineChars="200"/>
              <w:jc w:val="left"/>
              <w:rPr>
                <w:rFonts w:ascii="宋体" w:hAnsi="宋体" w:cs="宋体"/>
                <w:szCs w:val="21"/>
                <w:highlight w:val="none"/>
              </w:rPr>
            </w:pPr>
            <w:r>
              <w:rPr>
                <w:rFonts w:hint="eastAsia" w:ascii="宋体" w:hAnsi="宋体" w:cs="宋体"/>
                <w:highlight w:val="none"/>
              </w:rPr>
              <w:t>报价人按照采购人提供的报价清单填写报价。</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lang w:val="en-US" w:eastAsia="zh-CN"/>
              </w:rPr>
              <w:t>报价取</w:t>
            </w:r>
            <w:r>
              <w:rPr>
                <w:rFonts w:hint="eastAsia" w:ascii="宋体" w:hAnsi="宋体" w:cs="宋体"/>
                <w:b/>
                <w:szCs w:val="21"/>
                <w:highlight w:val="none"/>
              </w:rPr>
              <w:t>小数点后</w:t>
            </w:r>
            <w:r>
              <w:rPr>
                <w:rFonts w:hint="eastAsia" w:ascii="宋体" w:hAnsi="宋体" w:cs="宋体"/>
                <w:b/>
                <w:szCs w:val="21"/>
                <w:highlight w:val="none"/>
                <w:lang w:val="en-US" w:eastAsia="zh-CN"/>
              </w:rPr>
              <w:t>二</w:t>
            </w:r>
            <w:r>
              <w:rPr>
                <w:rFonts w:hint="eastAsia" w:ascii="宋体" w:hAnsi="宋体" w:cs="宋体"/>
                <w:b/>
                <w:szCs w:val="21"/>
                <w:highlight w:val="none"/>
              </w:rPr>
              <w:t>位，小数点后第二位四舍五入。</w:t>
            </w:r>
          </w:p>
          <w:p>
            <w:pPr>
              <w:spacing w:line="400" w:lineRule="exact"/>
              <w:ind w:firstLine="422" w:firstLineChars="200"/>
              <w:rPr>
                <w:rFonts w:hAnsi="宋体"/>
                <w:szCs w:val="21"/>
                <w:highlight w:val="none"/>
              </w:rPr>
            </w:pPr>
            <w:r>
              <w:rPr>
                <w:rFonts w:hint="eastAsia" w:ascii="宋体" w:hAnsi="宋体" w:cs="宋体"/>
                <w:b/>
                <w:bCs/>
                <w:szCs w:val="21"/>
                <w:highlight w:val="none"/>
              </w:rPr>
              <w:t>本项目报价清单及说明随比选文件一并发布，详见附件。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2106" w:type="dxa"/>
            <w:tcBorders>
              <w:bottom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b/>
                <w:bCs/>
                <w:szCs w:val="21"/>
                <w:highlight w:val="none"/>
                <w:u w:val="single"/>
              </w:rPr>
            </w:pPr>
            <w:r>
              <w:rPr>
                <w:rFonts w:hint="eastAsia" w:ascii="宋体" w:hAnsi="宋体"/>
                <w:b/>
                <w:bCs/>
                <w:szCs w:val="21"/>
                <w:highlight w:val="none"/>
                <w:lang w:eastAsia="zh-CN"/>
              </w:rPr>
              <w:t>国产可信技术全栈高速私有云关键技术研发项目高速云威胁检测服务采购</w:t>
            </w:r>
            <w:r>
              <w:rPr>
                <w:rFonts w:hint="eastAsia" w:ascii="宋体" w:hAnsi="宋体"/>
                <w:b/>
                <w:bCs/>
                <w:szCs w:val="21"/>
                <w:highlight w:val="none"/>
              </w:rPr>
              <w:t>项目最高限价：</w:t>
            </w:r>
            <w:r>
              <w:rPr>
                <w:rFonts w:hint="eastAsia" w:ascii="宋体" w:hAnsi="宋体"/>
                <w:b/>
                <w:bCs/>
                <w:szCs w:val="21"/>
                <w:highlight w:val="none"/>
                <w:u w:val="single"/>
                <w:lang w:val="en-US" w:eastAsia="zh-CN"/>
              </w:rPr>
              <w:t xml:space="preserve"> </w:t>
            </w:r>
            <w:r>
              <w:rPr>
                <w:rFonts w:hint="eastAsia" w:ascii="宋体" w:hAnsi="宋体" w:cs="宋体"/>
                <w:kern w:val="2"/>
                <w:sz w:val="21"/>
                <w:szCs w:val="24"/>
                <w:highlight w:val="none"/>
                <w:u w:val="single"/>
                <w:lang w:val="en-US" w:eastAsia="zh-CN" w:bidi="ar-SA"/>
              </w:rPr>
              <w:t>361860.00</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元。</w:t>
            </w:r>
          </w:p>
          <w:p>
            <w:pPr>
              <w:spacing w:line="400" w:lineRule="exact"/>
              <w:ind w:firstLine="422" w:firstLineChars="200"/>
              <w:rPr>
                <w:rFonts w:ascii="宋体" w:hAnsi="宋体" w:cs="宋体"/>
                <w:szCs w:val="21"/>
                <w:highlight w:val="none"/>
              </w:rPr>
            </w:pPr>
            <w:r>
              <w:rPr>
                <w:rFonts w:hint="eastAsia" w:ascii="宋体" w:hAnsi="宋体"/>
                <w:b/>
                <w:bCs/>
                <w:szCs w:val="21"/>
                <w:highlight w:val="none"/>
                <w:u w:val="single"/>
              </w:rPr>
              <w:t>本项目采用单价限价方式，报价人所报单价不得超过采购人发布的单价限价，若有报价高于采购人发布的单价限价或总限价，其竞争性比选响应文件视为重大偏差，竞争性比选响应文件将按否决报价处理。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tcPr>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(1)乙方按合同要求完成威胁检测服务部署并完成和高速云平台之间的联调服务，经甲方验收合格 15个工作日内，甲方向乙方支付</w:t>
            </w:r>
            <w:r>
              <w:rPr>
                <w:rFonts w:hint="eastAsia" w:ascii="宋体" w:hAnsi="宋体" w:cs="宋体"/>
                <w:szCs w:val="21"/>
                <w:highlight w:val="none"/>
                <w:shd w:val="clear" w:color="auto" w:fill="FFFFFF"/>
                <w:lang w:val="en-US" w:eastAsia="zh-CN"/>
              </w:rPr>
              <w:t>至</w:t>
            </w:r>
            <w:r>
              <w:rPr>
                <w:rFonts w:hint="eastAsia" w:ascii="宋体" w:hAnsi="宋体" w:cs="宋体"/>
                <w:szCs w:val="21"/>
                <w:highlight w:val="none"/>
                <w:shd w:val="clear" w:color="auto" w:fill="FFFFFF"/>
              </w:rPr>
              <w:t>合同总价的9</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(2)乙方按合同要求完成</w:t>
            </w:r>
            <w:r>
              <w:rPr>
                <w:rFonts w:hint="eastAsia" w:ascii="宋体" w:hAnsi="宋体" w:cs="宋体"/>
                <w:szCs w:val="21"/>
                <w:highlight w:val="none"/>
                <w:shd w:val="clear" w:color="auto" w:fill="FFFFFF"/>
                <w:lang w:val="en-US" w:eastAsia="zh-CN"/>
              </w:rPr>
              <w:t>合同约定的全部</w:t>
            </w:r>
            <w:r>
              <w:rPr>
                <w:rFonts w:hint="eastAsia" w:ascii="宋体" w:hAnsi="宋体" w:cs="宋体"/>
                <w:szCs w:val="21"/>
                <w:highlight w:val="none"/>
                <w:shd w:val="clear" w:color="auto" w:fill="FFFFFF"/>
              </w:rPr>
              <w:t>支持服务</w:t>
            </w:r>
            <w:r>
              <w:rPr>
                <w:rFonts w:hint="eastAsia" w:ascii="宋体" w:hAnsi="宋体" w:cs="宋体"/>
                <w:szCs w:val="21"/>
                <w:highlight w:val="none"/>
                <w:shd w:val="clear" w:color="auto" w:fill="FFFFFF"/>
                <w:lang w:val="en-US" w:eastAsia="zh-CN"/>
              </w:rPr>
              <w:t>并提供相应的服务报告</w:t>
            </w:r>
            <w:r>
              <w:rPr>
                <w:rFonts w:hint="eastAsia" w:ascii="宋体" w:hAnsi="宋体" w:cs="宋体"/>
                <w:szCs w:val="21"/>
                <w:highlight w:val="none"/>
                <w:shd w:val="clear" w:color="auto" w:fill="FFFFFF"/>
              </w:rPr>
              <w:t>，经甲方验收合格15个工作日内，甲方向乙方支付</w:t>
            </w:r>
            <w:r>
              <w:rPr>
                <w:rFonts w:hint="eastAsia" w:ascii="宋体" w:hAnsi="宋体" w:cs="宋体"/>
                <w:szCs w:val="21"/>
                <w:highlight w:val="none"/>
                <w:shd w:val="clear" w:color="auto" w:fill="FFFFFF"/>
                <w:lang w:val="en-US" w:eastAsia="zh-CN"/>
              </w:rPr>
              <w:t>至</w:t>
            </w:r>
            <w:r>
              <w:rPr>
                <w:rFonts w:hint="eastAsia" w:ascii="宋体" w:hAnsi="宋体" w:cs="宋体"/>
                <w:szCs w:val="21"/>
                <w:highlight w:val="none"/>
                <w:shd w:val="clear" w:color="auto" w:fill="FFFFFF"/>
              </w:rPr>
              <w:t>合同总价的100%;</w:t>
            </w:r>
          </w:p>
          <w:p>
            <w:pPr>
              <w:pStyle w:val="18"/>
              <w:numPr>
                <w:ilvl w:val="0"/>
                <w:numId w:val="0"/>
              </w:numPr>
              <w:ind w:firstLine="400" w:firstLineChars="200"/>
              <w:rPr>
                <w:rFonts w:hint="default" w:eastAsia="宋体"/>
                <w:highlight w:val="none"/>
                <w:lang w:val="en-US" w:eastAsia="zh-CN"/>
              </w:rPr>
            </w:pPr>
            <w:r>
              <w:rPr>
                <w:rFonts w:hint="eastAsia" w:ascii="宋体" w:hAnsi="宋体" w:cs="宋体"/>
                <w:szCs w:val="21"/>
                <w:highlight w:val="none"/>
                <w:shd w:val="clear" w:color="auto" w:fill="FFFFFF"/>
              </w:rPr>
              <w:t>(3)乙方应在甲方付款前提交书面申请,并按甲方要求提供对应资料、开具等额增值税专用发票给甲方，否则甲方有权不予支付相应款项，直至乙方按要求提交对应申请资料与发票，延期支付责任由乙方自行承担。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17</w:t>
            </w:r>
          </w:p>
        </w:tc>
        <w:tc>
          <w:tcPr>
            <w:tcW w:w="2106" w:type="dxa"/>
          </w:tcPr>
          <w:p>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ascii="宋体" w:hAnsi="宋体" w:cs="宋体"/>
                <w:highlight w:val="none"/>
              </w:rPr>
            </w:pPr>
            <w:r>
              <w:rPr>
                <w:rFonts w:hint="eastAsia" w:ascii="宋体" w:hAnsi="宋体" w:cs="宋体"/>
                <w:highlight w:val="none"/>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18</w:t>
            </w:r>
          </w:p>
        </w:tc>
        <w:tc>
          <w:tcPr>
            <w:tcW w:w="2106"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一、投标保证金</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1、报价人须缴纳投标保证金</w:t>
            </w:r>
            <w:r>
              <w:rPr>
                <w:rFonts w:hint="eastAsia" w:hAnsi="宋体" w:cs="宋体"/>
                <w:sz w:val="21"/>
                <w:szCs w:val="21"/>
                <w:highlight w:val="none"/>
                <w:lang w:val="en-US" w:eastAsia="zh-CN"/>
              </w:rPr>
              <w:t>5000</w:t>
            </w:r>
            <w:r>
              <w:rPr>
                <w:rFonts w:hint="eastAsia" w:ascii="宋体" w:hAnsi="宋体" w:cs="宋体"/>
                <w:sz w:val="21"/>
                <w:szCs w:val="21"/>
                <w:highlight w:val="none"/>
              </w:rPr>
              <w:t>元，由报价人从公司基本账户将投标保证金汇至以下指定账户：</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保证金到账截止时间：202</w:t>
            </w:r>
            <w:r>
              <w:rPr>
                <w:rFonts w:hint="eastAsia" w:hAnsi="宋体" w:cs="宋体"/>
                <w:sz w:val="21"/>
                <w:szCs w:val="21"/>
                <w:highlight w:val="none"/>
                <w:lang w:val="en-US" w:eastAsia="zh-CN"/>
              </w:rPr>
              <w:t>4</w:t>
            </w:r>
            <w:r>
              <w:rPr>
                <w:rFonts w:hint="eastAsia" w:ascii="宋体" w:hAnsi="宋体" w:cs="宋体"/>
                <w:sz w:val="21"/>
                <w:szCs w:val="21"/>
                <w:highlight w:val="none"/>
              </w:rPr>
              <w:t>年</w:t>
            </w:r>
            <w:r>
              <w:rPr>
                <w:rFonts w:hint="eastAsia" w:hAnsi="宋体" w:cs="宋体"/>
                <w:sz w:val="21"/>
                <w:szCs w:val="21"/>
                <w:highlight w:val="none"/>
                <w:lang w:val="en-US" w:eastAsia="zh-CN"/>
              </w:rPr>
              <w:t>06</w:t>
            </w:r>
            <w:r>
              <w:rPr>
                <w:rFonts w:hint="eastAsia" w:ascii="宋体" w:hAnsi="宋体" w:cs="宋体"/>
                <w:sz w:val="21"/>
                <w:szCs w:val="21"/>
                <w:highlight w:val="none"/>
              </w:rPr>
              <w:t>月</w:t>
            </w:r>
            <w:r>
              <w:rPr>
                <w:rFonts w:hint="eastAsia" w:hAnsi="宋体" w:cs="宋体"/>
                <w:sz w:val="21"/>
                <w:szCs w:val="21"/>
                <w:highlight w:val="none"/>
                <w:lang w:val="en-US" w:eastAsia="zh-CN"/>
              </w:rPr>
              <w:t>28</w:t>
            </w:r>
            <w:r>
              <w:rPr>
                <w:rFonts w:hint="eastAsia" w:ascii="宋体" w:hAnsi="宋体" w:cs="宋体"/>
                <w:sz w:val="21"/>
                <w:szCs w:val="21"/>
                <w:highlight w:val="none"/>
              </w:rPr>
              <w:t>日</w:t>
            </w:r>
            <w:r>
              <w:rPr>
                <w:rFonts w:hint="eastAsia" w:hAnsi="宋体" w:cs="宋体"/>
                <w:sz w:val="21"/>
                <w:szCs w:val="21"/>
                <w:highlight w:val="none"/>
                <w:lang w:val="en-US" w:eastAsia="zh-CN"/>
              </w:rPr>
              <w:t>16</w:t>
            </w:r>
            <w:r>
              <w:rPr>
                <w:rFonts w:hint="eastAsia" w:ascii="宋体" w:hAnsi="宋体" w:cs="宋体"/>
                <w:sz w:val="21"/>
                <w:szCs w:val="21"/>
                <w:highlight w:val="none"/>
              </w:rPr>
              <w:t>时</w:t>
            </w:r>
            <w:r>
              <w:rPr>
                <w:rFonts w:hint="eastAsia" w:hAnsi="宋体" w:cs="宋体"/>
                <w:sz w:val="21"/>
                <w:szCs w:val="21"/>
                <w:highlight w:val="none"/>
                <w:lang w:val="en-US" w:eastAsia="zh-CN"/>
              </w:rPr>
              <w:t>00</w:t>
            </w:r>
            <w:r>
              <w:rPr>
                <w:rFonts w:hint="eastAsia" w:ascii="宋体" w:hAnsi="宋体" w:cs="宋体"/>
                <w:sz w:val="21"/>
                <w:szCs w:val="21"/>
                <w:highlight w:val="none"/>
              </w:rPr>
              <w:t>分前；</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若竞争性比选响应文件内无投标保证金缴</w:t>
            </w:r>
            <w:bookmarkStart w:id="900" w:name="_GoBack"/>
            <w:bookmarkEnd w:id="900"/>
            <w:r>
              <w:rPr>
                <w:rFonts w:hint="eastAsia" w:ascii="宋体" w:hAnsi="宋体" w:cs="宋体"/>
                <w:sz w:val="21"/>
                <w:szCs w:val="21"/>
                <w:highlight w:val="none"/>
              </w:rPr>
              <w:t>纳凭证，采购人有权作废标处理，若投标保证金存在虚假不实情况，采购人有权作废标处理。</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转款备注：</w:t>
            </w:r>
            <w:r>
              <w:rPr>
                <w:rFonts w:hint="eastAsia" w:hAnsi="宋体" w:cs="宋体"/>
                <w:b/>
                <w:bCs/>
                <w:sz w:val="21"/>
                <w:szCs w:val="21"/>
                <w:highlight w:val="none"/>
                <w:lang w:eastAsia="zh-CN"/>
              </w:rPr>
              <w:t>国产可信技术全栈高速私有云关键技术研发项目高速云威胁检测服务采购</w:t>
            </w:r>
            <w:r>
              <w:rPr>
                <w:rFonts w:hint="eastAsia" w:hAnsi="宋体" w:cs="宋体"/>
                <w:b/>
                <w:bCs/>
                <w:sz w:val="21"/>
                <w:szCs w:val="21"/>
                <w:highlight w:val="none"/>
                <w:lang w:val="en-US" w:eastAsia="zh-CN"/>
              </w:rPr>
              <w:t>投标保证金</w:t>
            </w:r>
            <w:r>
              <w:rPr>
                <w:rFonts w:hint="eastAsia" w:ascii="宋体" w:hAnsi="宋体" w:cs="宋体"/>
                <w:b/>
                <w:bCs/>
                <w:sz w:val="21"/>
                <w:szCs w:val="21"/>
                <w:highlight w:val="none"/>
              </w:rPr>
              <w:t>。</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2、投标保证金退还方式</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为便于及时退还，报价人在递交响应文件的同时，递交本项目保证金银行回单和公司的开户许可证复印件。</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未中标报价人的投标保证金，于该项目结果公示期结束后15个工作日内无息退还至报价人基本账户。</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中标人的投标保证金，自合同签订后15个工作日内无息退还至中标人基本账户。</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二、履约保证金</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1、履约担保作为本项目合同附件；</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2、履约保证金的金额：中标金额的</w:t>
            </w:r>
            <w:r>
              <w:rPr>
                <w:rFonts w:hint="eastAsia" w:hAnsi="宋体" w:cs="宋体"/>
                <w:sz w:val="21"/>
                <w:szCs w:val="21"/>
                <w:highlight w:val="none"/>
                <w:lang w:val="en-US" w:eastAsia="zh-CN"/>
              </w:rPr>
              <w:t>5</w:t>
            </w:r>
            <w:r>
              <w:rPr>
                <w:rFonts w:hint="eastAsia" w:ascii="宋体" w:hAnsi="宋体" w:cs="宋体"/>
                <w:sz w:val="21"/>
                <w:szCs w:val="21"/>
                <w:highlight w:val="none"/>
              </w:rPr>
              <w:t>%；</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3、履约保证金有效期：自双方签订的合同文件生效之日起，至合同约定时间或暂定金额使用完成为止。</w:t>
            </w:r>
          </w:p>
          <w:p>
            <w:pPr>
              <w:pStyle w:val="150"/>
              <w:keepNext w:val="0"/>
              <w:keepLines w:val="0"/>
              <w:pageBreakBefore w:val="0"/>
              <w:suppressLineNumbers w:val="0"/>
              <w:kinsoku/>
              <w:wordWrap/>
              <w:overflowPunct/>
              <w:topLinePunct w:val="0"/>
              <w:bidi w:val="0"/>
              <w:snapToGrid/>
              <w:spacing w:before="0" w:beforeAutospacing="0" w:after="0" w:afterAutospacing="0" w:line="360" w:lineRule="auto"/>
              <w:ind w:left="0" w:right="0" w:firstLine="420" w:firstLineChars="200"/>
              <w:textAlignment w:val="auto"/>
              <w:rPr>
                <w:rFonts w:hint="eastAsia" w:ascii="宋体" w:hAnsi="宋体" w:cs="宋体"/>
                <w:sz w:val="21"/>
                <w:szCs w:val="21"/>
                <w:highlight w:val="none"/>
              </w:rPr>
            </w:pPr>
            <w:r>
              <w:rPr>
                <w:rFonts w:hint="eastAsia" w:hAnsi="宋体"/>
                <w:color w:val="auto"/>
                <w:kern w:val="2"/>
                <w:sz w:val="21"/>
                <w:szCs w:val="21"/>
                <w:highlight w:val="none"/>
                <w:lang w:val="en-US" w:eastAsia="zh-CN"/>
              </w:rPr>
              <w:t>4、履约保证金缴纳方式：现金或保函</w:t>
            </w:r>
          </w:p>
          <w:p>
            <w:pPr>
              <w:pStyle w:val="38"/>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420"/>
              <w:textAlignment w:val="auto"/>
              <w:rPr>
                <w:rFonts w:hint="eastAsia" w:ascii="宋体" w:hAnsi="宋体" w:eastAsia="宋体" w:cs="宋体"/>
                <w:color w:val="000000"/>
                <w:kern w:val="0"/>
                <w:sz w:val="21"/>
                <w:szCs w:val="21"/>
                <w:highlight w:val="none"/>
                <w:lang w:val="en-US" w:eastAsia="zh-CN" w:bidi="ar-SA"/>
              </w:rPr>
            </w:pPr>
            <w:r>
              <w:rPr>
                <w:rFonts w:hint="eastAsia" w:hAnsi="宋体" w:cs="宋体"/>
                <w:sz w:val="21"/>
                <w:szCs w:val="21"/>
                <w:highlight w:val="none"/>
                <w:lang w:val="en-US" w:eastAsia="zh-CN"/>
              </w:rPr>
              <w:t>5</w:t>
            </w:r>
            <w:r>
              <w:rPr>
                <w:rFonts w:hint="eastAsia" w:ascii="宋体" w:hAnsi="宋体" w:cs="宋体"/>
                <w:sz w:val="21"/>
                <w:szCs w:val="21"/>
                <w:highlight w:val="none"/>
              </w:rPr>
              <w:t>、履约保证金的提交：在甲</w:t>
            </w:r>
            <w:r>
              <w:rPr>
                <w:rFonts w:hint="eastAsia" w:ascii="宋体" w:hAnsi="宋体" w:eastAsia="宋体" w:cs="宋体"/>
                <w:color w:val="000000"/>
                <w:kern w:val="0"/>
                <w:sz w:val="21"/>
                <w:szCs w:val="21"/>
                <w:highlight w:val="none"/>
                <w:lang w:val="en-US" w:eastAsia="zh-CN" w:bidi="ar-SA"/>
              </w:rPr>
              <w:t>方发出中标通知书后</w:t>
            </w:r>
            <w:r>
              <w:rPr>
                <w:rFonts w:hint="eastAsia" w:cs="宋体"/>
                <w:color w:val="000000"/>
                <w:kern w:val="0"/>
                <w:sz w:val="21"/>
                <w:szCs w:val="21"/>
                <w:highlight w:val="none"/>
                <w:lang w:val="en-US" w:eastAsia="zh-CN" w:bidi="ar-SA"/>
              </w:rPr>
              <w:t>28</w:t>
            </w:r>
            <w:r>
              <w:rPr>
                <w:rFonts w:hint="eastAsia" w:ascii="宋体" w:hAnsi="宋体" w:eastAsia="宋体" w:cs="宋体"/>
                <w:color w:val="000000"/>
                <w:kern w:val="0"/>
                <w:sz w:val="21"/>
                <w:szCs w:val="21"/>
                <w:highlight w:val="none"/>
                <w:lang w:val="en-US" w:eastAsia="zh-CN" w:bidi="ar-SA"/>
              </w:rPr>
              <w:t>个工作日内，中标人向采购人提供履约保证金缴纳凭证。</w:t>
            </w:r>
            <w:r>
              <w:rPr>
                <w:rFonts w:hint="eastAsia" w:ascii="宋体" w:hAnsi="宋体" w:cs="宋体"/>
                <w:sz w:val="21"/>
                <w:szCs w:val="21"/>
                <w:highlight w:val="none"/>
              </w:rPr>
              <w:t>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int="eastAsia" w:ascii="宋体" w:hAnsi="宋体" w:eastAsia="宋体" w:cs="宋体"/>
                <w:color w:val="000000"/>
                <w:kern w:val="0"/>
                <w:sz w:val="21"/>
                <w:szCs w:val="21"/>
                <w:highlight w:val="none"/>
                <w:lang w:val="en-US" w:eastAsia="zh-CN" w:bidi="ar-SA"/>
              </w:rPr>
              <w:t>若缴纳现金的，则需备注，转款备注</w:t>
            </w:r>
            <w:r>
              <w:rPr>
                <w:rFonts w:hint="eastAsia" w:ascii="宋体" w:hAnsi="宋体" w:cs="宋体"/>
                <w:sz w:val="21"/>
                <w:szCs w:val="21"/>
                <w:highlight w:val="none"/>
              </w:rPr>
              <w:t>：</w:t>
            </w:r>
            <w:r>
              <w:rPr>
                <w:rFonts w:hint="eastAsia" w:hAnsi="宋体" w:cs="宋体"/>
                <w:b/>
                <w:bCs/>
                <w:sz w:val="21"/>
                <w:szCs w:val="21"/>
                <w:highlight w:val="none"/>
                <w:lang w:eastAsia="zh-CN"/>
              </w:rPr>
              <w:t>国产可信技术全栈高速私有云关键技术研发项目高速云威胁检测服务采购</w:t>
            </w:r>
            <w:r>
              <w:rPr>
                <w:rFonts w:hint="eastAsia" w:ascii="宋体" w:hAnsi="宋体" w:eastAsia="宋体" w:cs="宋体"/>
                <w:color w:val="000000"/>
                <w:kern w:val="0"/>
                <w:sz w:val="21"/>
                <w:szCs w:val="21"/>
                <w:highlight w:val="none"/>
                <w:lang w:val="en-US" w:eastAsia="zh-CN" w:bidi="ar-SA"/>
              </w:rPr>
              <w:t>履约保证金。</w:t>
            </w:r>
          </w:p>
          <w:p>
            <w:pPr>
              <w:pStyle w:val="38"/>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420"/>
              <w:textAlignment w:val="auto"/>
              <w:rPr>
                <w:rFonts w:hint="default" w:ascii="宋体" w:hAnsi="宋体" w:eastAsia="宋体" w:cs="宋体"/>
                <w:color w:val="000000"/>
                <w:kern w:val="0"/>
                <w:sz w:val="21"/>
                <w:szCs w:val="21"/>
                <w:highlight w:val="none"/>
                <w:lang w:val="en-US" w:eastAsia="zh-CN" w:bidi="ar-SA"/>
              </w:rPr>
            </w:pPr>
            <w:r>
              <w:rPr>
                <w:rFonts w:hint="eastAsia" w:hAnsi="宋体"/>
                <w:color w:val="auto"/>
                <w:kern w:val="2"/>
                <w:sz w:val="21"/>
                <w:szCs w:val="21"/>
                <w:highlight w:val="none"/>
                <w:lang w:val="en-US" w:eastAsia="zh-CN"/>
              </w:rPr>
              <w:t>6</w:t>
            </w:r>
            <w:r>
              <w:rPr>
                <w:rFonts w:hint="eastAsia" w:ascii="宋体" w:hAnsi="宋体" w:eastAsia="宋体" w:cs="宋体"/>
                <w:color w:val="000000"/>
                <w:kern w:val="0"/>
                <w:sz w:val="21"/>
                <w:szCs w:val="21"/>
                <w:highlight w:val="none"/>
                <w:lang w:val="en-US" w:eastAsia="zh-CN" w:bidi="ar-SA"/>
              </w:rPr>
              <w:t>、若提供保函的：纸质保函的开立人应当是具有相应资格的银行、保险机构、融资担保公司，其信用资质、履约能力、担保能力、赔付流程、安全保密等应符合工程保函业务条件。纸质保函应合法合规，符合招投标行政监督部门、行业主管部门和金融监管部门的相关规定，满足招标文件约定要求。报价人对所提交的纸质投标保函的真实性、合法性、有效性负责。</w:t>
            </w:r>
          </w:p>
          <w:p>
            <w:pPr>
              <w:pStyle w:val="150"/>
              <w:spacing w:line="400" w:lineRule="exact"/>
              <w:ind w:firstLine="420" w:firstLineChars="200"/>
              <w:rPr>
                <w:rFonts w:hint="eastAsia" w:ascii="宋体" w:hAnsi="宋体" w:cs="宋体"/>
                <w:sz w:val="21"/>
                <w:szCs w:val="21"/>
                <w:highlight w:val="none"/>
              </w:rPr>
            </w:pPr>
            <w:r>
              <w:rPr>
                <w:rFonts w:hint="eastAsia" w:ascii="宋体" w:hAnsi="宋体" w:eastAsia="宋体" w:cs="宋体"/>
                <w:color w:val="000000"/>
                <w:kern w:val="0"/>
                <w:sz w:val="21"/>
                <w:szCs w:val="21"/>
                <w:highlight w:val="none"/>
                <w:lang w:val="en-US" w:eastAsia="zh-CN" w:bidi="ar-SA"/>
              </w:rPr>
              <w:t>7、</w:t>
            </w:r>
            <w:r>
              <w:rPr>
                <w:rFonts w:hint="default" w:ascii="宋体" w:hAnsi="宋体" w:eastAsia="宋体" w:cs="宋体"/>
                <w:color w:val="000000"/>
                <w:kern w:val="0"/>
                <w:sz w:val="21"/>
                <w:szCs w:val="21"/>
                <w:highlight w:val="none"/>
                <w:lang w:val="en-US" w:eastAsia="zh-CN" w:bidi="ar-SA"/>
              </w:rPr>
              <w:t>履约保证金</w:t>
            </w:r>
            <w:r>
              <w:rPr>
                <w:rFonts w:hint="eastAsia" w:ascii="宋体" w:hAnsi="宋体" w:eastAsia="宋体" w:cs="宋体"/>
                <w:color w:val="000000"/>
                <w:kern w:val="0"/>
                <w:sz w:val="21"/>
                <w:szCs w:val="21"/>
                <w:highlight w:val="none"/>
                <w:lang w:val="en-US" w:eastAsia="zh-CN" w:bidi="ar-SA"/>
              </w:rPr>
              <w:t>的</w:t>
            </w:r>
            <w:r>
              <w:rPr>
                <w:rFonts w:hint="default" w:ascii="宋体" w:hAnsi="宋体" w:eastAsia="宋体" w:cs="宋体"/>
                <w:color w:val="000000"/>
                <w:kern w:val="0"/>
                <w:sz w:val="21"/>
                <w:szCs w:val="21"/>
                <w:highlight w:val="none"/>
                <w:lang w:val="en-US" w:eastAsia="zh-CN" w:bidi="ar-SA"/>
              </w:rPr>
              <w:t>退还：缴纳现金的，在完成合同约定的全部工作内容后</w:t>
            </w:r>
            <w:r>
              <w:rPr>
                <w:rFonts w:hint="eastAsia" w:ascii="宋体" w:hAnsi="宋体" w:cs="宋体"/>
                <w:sz w:val="21"/>
                <w:szCs w:val="21"/>
                <w:highlight w:val="none"/>
              </w:rPr>
              <w:t>由中标人提出申请，</w:t>
            </w:r>
            <w:r>
              <w:rPr>
                <w:rFonts w:hint="default" w:ascii="宋体" w:hAnsi="宋体" w:eastAsia="宋体" w:cs="宋体"/>
                <w:color w:val="000000"/>
                <w:kern w:val="0"/>
                <w:sz w:val="21"/>
                <w:szCs w:val="21"/>
                <w:highlight w:val="none"/>
                <w:lang w:val="en-US" w:eastAsia="zh-CN" w:bidi="ar-SA"/>
              </w:rPr>
              <w:t>28天后无息退还剩余部分。</w:t>
            </w:r>
          </w:p>
          <w:p>
            <w:pPr>
              <w:pStyle w:val="150"/>
              <w:spacing w:line="400" w:lineRule="exact"/>
              <w:ind w:firstLine="420" w:firstLineChars="200"/>
              <w:rPr>
                <w:rFonts w:hint="eastAsia" w:ascii="宋体" w:hAnsi="宋体" w:cs="宋体"/>
                <w:sz w:val="21"/>
                <w:szCs w:val="21"/>
                <w:highlight w:val="none"/>
              </w:rPr>
            </w:pPr>
            <w:r>
              <w:rPr>
                <w:rFonts w:hint="eastAsia" w:hAnsi="宋体" w:cs="宋体"/>
                <w:sz w:val="21"/>
                <w:szCs w:val="21"/>
                <w:highlight w:val="none"/>
                <w:lang w:val="en-US" w:eastAsia="zh-CN"/>
              </w:rPr>
              <w:t>三</w:t>
            </w:r>
            <w:r>
              <w:rPr>
                <w:rFonts w:hint="eastAsia" w:ascii="宋体" w:hAnsi="宋体" w:cs="宋体"/>
                <w:sz w:val="21"/>
                <w:szCs w:val="21"/>
                <w:highlight w:val="none"/>
              </w:rPr>
              <w:t>、采购人指定的开户银行及账号如下：</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账户名称：重庆首讯科技股份有限公司</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开户银行：兴业银行重庆分行营业部</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帐    号：3460 1010 0100 4791 14</w:t>
            </w:r>
          </w:p>
          <w:p>
            <w:pPr>
              <w:pStyle w:val="150"/>
              <w:spacing w:line="400" w:lineRule="exact"/>
              <w:ind w:firstLine="482" w:firstLineChars="200"/>
              <w:rPr>
                <w:rFonts w:hint="eastAsia" w:ascii="宋体" w:hAnsi="宋体" w:cs="宋体"/>
                <w:sz w:val="21"/>
                <w:szCs w:val="21"/>
                <w:highlight w:val="none"/>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50"/>
              <w:spacing w:line="400" w:lineRule="exact"/>
              <w:jc w:val="center"/>
              <w:rPr>
                <w:rFonts w:hAnsi="宋体"/>
                <w:color w:val="auto"/>
                <w:sz w:val="21"/>
                <w:szCs w:val="21"/>
                <w:highlight w:val="none"/>
              </w:rPr>
            </w:pPr>
            <w:r>
              <w:rPr>
                <w:rFonts w:hint="eastAsia" w:hAnsi="宋体"/>
                <w:color w:val="auto"/>
                <w:sz w:val="21"/>
                <w:szCs w:val="21"/>
                <w:highlight w:val="none"/>
              </w:rPr>
              <w:t>19</w:t>
            </w:r>
          </w:p>
        </w:tc>
        <w:tc>
          <w:tcPr>
            <w:tcW w:w="2106" w:type="dxa"/>
            <w:vAlign w:val="center"/>
          </w:tcPr>
          <w:p>
            <w:pPr>
              <w:pStyle w:val="150"/>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地    址：重庆市渝北区新南路52号东界龙湖三楼</w:t>
            </w:r>
          </w:p>
          <w:p>
            <w:pPr>
              <w:pStyle w:val="150"/>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50"/>
              <w:spacing w:line="400" w:lineRule="exact"/>
              <w:jc w:val="center"/>
              <w:rPr>
                <w:rFonts w:hAnsi="宋体"/>
                <w:color w:val="auto"/>
                <w:sz w:val="21"/>
                <w:szCs w:val="21"/>
                <w:highlight w:val="none"/>
              </w:rPr>
            </w:pPr>
            <w:r>
              <w:rPr>
                <w:rFonts w:hint="eastAsia" w:hAnsi="宋体"/>
                <w:color w:val="auto"/>
                <w:sz w:val="21"/>
                <w:szCs w:val="21"/>
                <w:highlight w:val="none"/>
              </w:rPr>
              <w:t>20</w:t>
            </w:r>
          </w:p>
        </w:tc>
        <w:tc>
          <w:tcPr>
            <w:tcW w:w="2106"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竞争性比选响应文件的组成</w:t>
            </w:r>
          </w:p>
        </w:tc>
        <w:tc>
          <w:tcPr>
            <w:tcW w:w="7104" w:type="dxa"/>
            <w:vAlign w:val="center"/>
          </w:tcPr>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1.竞争性比选文件需加盖报价人的公章，竞争性比选响应文件提交</w:t>
            </w:r>
            <w:r>
              <w:rPr>
                <w:rFonts w:hint="eastAsia" w:hAnsi="宋体"/>
                <w:b/>
                <w:bCs/>
                <w:color w:val="auto"/>
                <w:kern w:val="2"/>
                <w:sz w:val="21"/>
                <w:szCs w:val="21"/>
                <w:highlight w:val="none"/>
              </w:rPr>
              <w:t>正本1份，副本1份，电子文件1份</w:t>
            </w:r>
            <w:r>
              <w:rPr>
                <w:rFonts w:hint="eastAsia" w:hAnsi="宋体"/>
                <w:color w:val="auto"/>
                <w:kern w:val="2"/>
                <w:sz w:val="21"/>
                <w:szCs w:val="21"/>
                <w:highlight w:val="none"/>
              </w:rPr>
              <w:t>，副本可为正本的复印件，竞争性比选响应文件需装订成册；；电子文件1份应提供竞争性比选响应文件（盖章版）</w:t>
            </w:r>
            <w:r>
              <w:rPr>
                <w:rFonts w:hint="eastAsia" w:hAnsi="宋体"/>
                <w:b/>
                <w:bCs/>
                <w:color w:val="auto"/>
                <w:kern w:val="2"/>
                <w:sz w:val="21"/>
                <w:szCs w:val="21"/>
                <w:highlight w:val="none"/>
                <w:lang w:val="en-US" w:eastAsia="zh-CN"/>
              </w:rPr>
              <w:t>扫描件</w:t>
            </w:r>
            <w:r>
              <w:rPr>
                <w:rFonts w:hint="eastAsia" w:hAnsi="宋体"/>
                <w:b/>
                <w:bCs/>
                <w:color w:val="auto"/>
                <w:kern w:val="2"/>
                <w:sz w:val="21"/>
                <w:szCs w:val="21"/>
                <w:highlight w:val="none"/>
              </w:rPr>
              <w:t>PDF</w:t>
            </w:r>
            <w:r>
              <w:rPr>
                <w:rFonts w:hint="eastAsia" w:hAnsi="宋体"/>
                <w:b/>
                <w:bCs/>
                <w:color w:val="auto"/>
                <w:kern w:val="2"/>
                <w:sz w:val="21"/>
                <w:szCs w:val="21"/>
                <w:highlight w:val="none"/>
                <w:lang w:val="en-US" w:eastAsia="zh-CN"/>
              </w:rPr>
              <w:t>格式和excel版本报价清单</w:t>
            </w:r>
            <w:r>
              <w:rPr>
                <w:rFonts w:hint="eastAsia" w:hAnsi="宋体"/>
                <w:color w:val="auto"/>
                <w:kern w:val="2"/>
                <w:sz w:val="21"/>
                <w:szCs w:val="21"/>
                <w:highlight w:val="none"/>
              </w:rPr>
              <w:t>（U盘1份，电子文件内容须包括竞争性比选响应文件全部内容）。当电子文件与纸质版竞争性比选响应文件不一致时，以纸质版竞争性比选响应文件为准，当正本与副本不一致时，以正本为准。</w:t>
            </w:r>
          </w:p>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2.竞争性比选响应声明书、报价函、资格要求材料、报价人认为需要提供的其他相关文件</w:t>
            </w:r>
            <w:r>
              <w:rPr>
                <w:rFonts w:hint="eastAsia" w:hAnsi="宋体"/>
                <w:color w:val="auto"/>
                <w:kern w:val="2"/>
                <w:sz w:val="21"/>
                <w:szCs w:val="21"/>
                <w:highlight w:val="none"/>
                <w:lang w:eastAsia="zh-CN"/>
              </w:rPr>
              <w:t>，</w:t>
            </w:r>
            <w:r>
              <w:rPr>
                <w:rFonts w:hint="eastAsia" w:hAnsi="宋体"/>
                <w:color w:val="auto"/>
                <w:kern w:val="2"/>
                <w:sz w:val="21"/>
                <w:szCs w:val="21"/>
                <w:highlight w:val="none"/>
                <w:lang w:val="en-US" w:eastAsia="zh-CN"/>
              </w:rPr>
              <w:t>根据第八章竞争性比选响应文件格式编制。</w:t>
            </w:r>
            <w:r>
              <w:rPr>
                <w:rFonts w:hint="eastAsia" w:hAnsi="宋体"/>
                <w:color w:val="auto"/>
                <w:kern w:val="2"/>
                <w:sz w:val="21"/>
                <w:szCs w:val="21"/>
                <w:highlight w:val="none"/>
              </w:rPr>
              <w:t>（</w:t>
            </w:r>
            <w:r>
              <w:rPr>
                <w:rFonts w:hint="eastAsia" w:hAnsi="宋体"/>
                <w:b/>
                <w:bCs/>
                <w:color w:val="auto"/>
                <w:kern w:val="2"/>
                <w:sz w:val="21"/>
                <w:szCs w:val="21"/>
                <w:highlight w:val="none"/>
              </w:rPr>
              <w:t>注：以上所有文件均须逐页加盖报价人的公章</w:t>
            </w:r>
            <w:r>
              <w:rPr>
                <w:rFonts w:hint="eastAsia" w:hAnsi="宋体"/>
                <w:color w:val="auto"/>
                <w:kern w:val="2"/>
                <w:sz w:val="21"/>
                <w:szCs w:val="21"/>
                <w:highlight w:val="none"/>
              </w:rPr>
              <w:t>）。</w:t>
            </w:r>
          </w:p>
          <w:p>
            <w:pPr>
              <w:pStyle w:val="150"/>
              <w:spacing w:line="400" w:lineRule="exact"/>
              <w:ind w:firstLine="422" w:firstLineChars="200"/>
              <w:rPr>
                <w:rFonts w:hAnsi="宋体"/>
                <w:b/>
                <w:bCs/>
                <w:color w:val="auto"/>
                <w:kern w:val="2"/>
                <w:sz w:val="21"/>
                <w:szCs w:val="21"/>
                <w:highlight w:val="none"/>
              </w:rPr>
            </w:pPr>
            <w:r>
              <w:rPr>
                <w:rFonts w:hint="eastAsia" w:hAnsi="宋体"/>
                <w:b/>
                <w:bCs/>
                <w:color w:val="auto"/>
                <w:kern w:val="2"/>
                <w:sz w:val="21"/>
                <w:szCs w:val="21"/>
                <w:highlight w:val="none"/>
              </w:rPr>
              <w:t>3.密封要求：</w:t>
            </w:r>
          </w:p>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lang w:eastAsia="zh-CN"/>
              </w:rPr>
              <w:t>国产可信技术全栈高速私有云关键技术研发项目高速云威胁检测服务采购</w:t>
            </w:r>
            <w:r>
              <w:rPr>
                <w:rFonts w:hint="eastAsia" w:hAnsi="宋体"/>
                <w:color w:val="auto"/>
                <w:kern w:val="2"/>
                <w:sz w:val="21"/>
                <w:szCs w:val="21"/>
                <w:highlight w:val="none"/>
              </w:rPr>
              <w:t>项目竞争性比选响应文件（加盖报价人的公章）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50"/>
              <w:spacing w:line="400" w:lineRule="exact"/>
              <w:jc w:val="center"/>
              <w:rPr>
                <w:rFonts w:hAnsi="宋体"/>
                <w:color w:val="auto"/>
                <w:sz w:val="21"/>
                <w:szCs w:val="21"/>
                <w:highlight w:val="none"/>
              </w:rPr>
            </w:pPr>
            <w:r>
              <w:rPr>
                <w:rFonts w:hint="eastAsia" w:hAnsi="宋体"/>
                <w:color w:val="auto"/>
                <w:sz w:val="21"/>
                <w:szCs w:val="21"/>
                <w:highlight w:val="none"/>
              </w:rPr>
              <w:t>21</w:t>
            </w:r>
          </w:p>
        </w:tc>
        <w:tc>
          <w:tcPr>
            <w:tcW w:w="2106" w:type="dxa"/>
            <w:vAlign w:val="center"/>
          </w:tcPr>
          <w:p>
            <w:pPr>
              <w:spacing w:line="400" w:lineRule="exact"/>
              <w:jc w:val="center"/>
              <w:rPr>
                <w:rFonts w:hAnsi="宋体"/>
                <w:szCs w:val="21"/>
                <w:highlight w:val="none"/>
              </w:rPr>
            </w:pPr>
            <w:r>
              <w:rPr>
                <w:rFonts w:hint="eastAsia"/>
                <w:highlight w:val="none"/>
              </w:rPr>
              <w:t>中标候选人公示</w:t>
            </w:r>
          </w:p>
        </w:tc>
        <w:tc>
          <w:tcPr>
            <w:tcW w:w="7104" w:type="dxa"/>
            <w:vAlign w:val="center"/>
          </w:tcPr>
          <w:p>
            <w:pPr>
              <w:spacing w:line="400" w:lineRule="exact"/>
              <w:ind w:firstLine="420" w:firstLineChars="200"/>
              <w:rPr>
                <w:rFonts w:hAnsi="宋体"/>
                <w:szCs w:val="21"/>
                <w:highlight w:val="none"/>
              </w:rPr>
            </w:pPr>
            <w:r>
              <w:rPr>
                <w:rFonts w:hint="eastAsia"/>
                <w:highlight w:val="none"/>
                <w:lang w:eastAsia="zh-CN"/>
              </w:rPr>
              <w:t>评审</w:t>
            </w:r>
            <w:r>
              <w:rPr>
                <w:rFonts w:hint="eastAsia"/>
                <w:highlight w:val="none"/>
              </w:rPr>
              <w:t>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22</w:t>
            </w:r>
          </w:p>
        </w:tc>
        <w:tc>
          <w:tcPr>
            <w:tcW w:w="9210" w:type="dxa"/>
            <w:gridSpan w:val="2"/>
            <w:vAlign w:val="center"/>
          </w:tcPr>
          <w:p>
            <w:pPr>
              <w:pStyle w:val="150"/>
              <w:spacing w:line="400" w:lineRule="exact"/>
              <w:ind w:firstLine="482" w:firstLineChars="200"/>
              <w:jc w:val="center"/>
              <w:rPr>
                <w:rFonts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22.1</w:t>
            </w:r>
          </w:p>
        </w:tc>
        <w:tc>
          <w:tcPr>
            <w:tcW w:w="9210" w:type="dxa"/>
            <w:gridSpan w:val="2"/>
            <w:vAlign w:val="center"/>
          </w:tcPr>
          <w:p>
            <w:pPr>
              <w:pStyle w:val="150"/>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截止竞争性比选响应文件递交时间，递交竞争性比选响应文件不足3家的不得开启竞争性比选文件。重新招标后报价人仍少于3个，按法定程序开标和</w:t>
            </w:r>
            <w:r>
              <w:rPr>
                <w:rFonts w:hint="eastAsia" w:hAnsi="宋体"/>
                <w:sz w:val="21"/>
                <w:szCs w:val="21"/>
                <w:highlight w:val="none"/>
                <w:lang w:eastAsia="zh-CN"/>
              </w:rPr>
              <w:t>评审</w:t>
            </w:r>
            <w:r>
              <w:rPr>
                <w:rFonts w:hint="eastAsia" w:hAnsi="宋体"/>
                <w:sz w:val="21"/>
                <w:szCs w:val="21"/>
                <w:highlight w:val="none"/>
              </w:rPr>
              <w:t>，确定中标人。</w:t>
            </w:r>
          </w:p>
        </w:tc>
      </w:tr>
      <w:bookmarkEnd w:id="114"/>
    </w:tbl>
    <w:p>
      <w:pPr>
        <w:pStyle w:val="4"/>
        <w:widowControl/>
        <w:spacing w:before="0" w:after="0" w:line="300" w:lineRule="exact"/>
        <w:rPr>
          <w:rFonts w:hint="eastAsia" w:ascii="黑体" w:hAnsi="宋体" w:cs="黑体"/>
          <w:sz w:val="21"/>
          <w:szCs w:val="21"/>
          <w:highlight w:val="none"/>
        </w:rPr>
      </w:pPr>
      <w:bookmarkStart w:id="116" w:name="_Toc224103317"/>
    </w:p>
    <w:p>
      <w:pPr>
        <w:pStyle w:val="4"/>
        <w:widowControl/>
        <w:spacing w:before="0" w:after="0" w:line="300" w:lineRule="exact"/>
        <w:rPr>
          <w:rFonts w:ascii="黑体" w:hAnsi="宋体" w:cs="黑体"/>
          <w:sz w:val="21"/>
          <w:szCs w:val="21"/>
          <w:highlight w:val="none"/>
        </w:rPr>
      </w:pPr>
      <w:bookmarkStart w:id="117" w:name="_Toc31914"/>
      <w:r>
        <w:rPr>
          <w:rFonts w:hint="eastAsia" w:ascii="黑体" w:hAnsi="宋体" w:cs="黑体"/>
          <w:sz w:val="21"/>
          <w:szCs w:val="21"/>
          <w:highlight w:val="none"/>
        </w:rPr>
        <w:t>报价人须知正文部分：</w:t>
      </w:r>
      <w:bookmarkEnd w:id="116"/>
      <w:bookmarkEnd w:id="117"/>
    </w:p>
    <w:p>
      <w:pPr>
        <w:pStyle w:val="4"/>
        <w:widowControl/>
        <w:spacing w:before="0" w:after="0" w:line="300" w:lineRule="exact"/>
        <w:rPr>
          <w:rFonts w:ascii="宋体" w:hAnsi="宋体"/>
          <w:sz w:val="21"/>
          <w:szCs w:val="21"/>
          <w:highlight w:val="none"/>
        </w:rPr>
      </w:pPr>
      <w:bookmarkStart w:id="118" w:name="_Toc17808"/>
      <w:bookmarkEnd w:id="118"/>
      <w:bookmarkStart w:id="119" w:name="_Toc5673"/>
      <w:bookmarkEnd w:id="119"/>
      <w:bookmarkStart w:id="120" w:name="_Toc9035"/>
      <w:bookmarkEnd w:id="120"/>
      <w:bookmarkStart w:id="121" w:name="_Toc28401"/>
      <w:bookmarkStart w:id="122" w:name="_Toc9563"/>
      <w:r>
        <w:rPr>
          <w:rFonts w:hint="eastAsia" w:ascii="黑体" w:hAnsi="宋体" w:cs="黑体"/>
          <w:sz w:val="21"/>
          <w:szCs w:val="21"/>
          <w:highlight w:val="none"/>
        </w:rPr>
        <w:t xml:space="preserve">1.  </w:t>
      </w:r>
      <w:bookmarkEnd w:id="121"/>
      <w:r>
        <w:rPr>
          <w:rFonts w:hint="eastAsia" w:ascii="黑体" w:hAnsi="宋体" w:cs="黑体"/>
          <w:sz w:val="21"/>
          <w:szCs w:val="21"/>
          <w:highlight w:val="none"/>
        </w:rPr>
        <w:t>总则</w:t>
      </w:r>
      <w:bookmarkEnd w:id="122"/>
    </w:p>
    <w:p>
      <w:pPr>
        <w:pStyle w:val="5"/>
        <w:widowControl/>
        <w:spacing w:before="0" w:after="0" w:line="300" w:lineRule="exact"/>
        <w:rPr>
          <w:rFonts w:ascii="宋体" w:hAnsi="宋体"/>
          <w:kern w:val="2"/>
          <w:sz w:val="21"/>
          <w:szCs w:val="21"/>
          <w:highlight w:val="none"/>
        </w:rPr>
      </w:pPr>
      <w:bookmarkStart w:id="123" w:name="_Toc4661429"/>
      <w:bookmarkEnd w:id="123"/>
      <w:bookmarkStart w:id="124" w:name="_Toc40455646"/>
      <w:bookmarkEnd w:id="124"/>
      <w:bookmarkStart w:id="125" w:name="_Toc4661907"/>
      <w:bookmarkEnd w:id="125"/>
      <w:bookmarkStart w:id="126" w:name="_Toc200513127"/>
      <w:bookmarkEnd w:id="126"/>
      <w:bookmarkStart w:id="127" w:name="_Toc11657"/>
      <w:bookmarkEnd w:id="127"/>
      <w:bookmarkStart w:id="128" w:name="_Toc4662143"/>
      <w:bookmarkEnd w:id="128"/>
      <w:bookmarkStart w:id="129" w:name="_Toc287607747"/>
      <w:bookmarkEnd w:id="129"/>
      <w:bookmarkStart w:id="130" w:name="_Toc277082553"/>
      <w:bookmarkEnd w:id="130"/>
      <w:bookmarkStart w:id="131" w:name="_Toc4661671"/>
      <w:bookmarkEnd w:id="131"/>
      <w:bookmarkStart w:id="132" w:name="_Toc224103318"/>
      <w:bookmarkEnd w:id="132"/>
      <w:bookmarkStart w:id="133" w:name="_Toc40455273"/>
      <w:bookmarkEnd w:id="133"/>
      <w:bookmarkStart w:id="134" w:name="_Toc40780255"/>
      <w:r>
        <w:rPr>
          <w:rFonts w:hint="eastAsia" w:ascii="宋体" w:hAnsi="宋体"/>
          <w:kern w:val="2"/>
          <w:sz w:val="21"/>
          <w:szCs w:val="21"/>
          <w:highlight w:val="none"/>
        </w:rPr>
        <w:t xml:space="preserve">1.1  </w:t>
      </w:r>
      <w:bookmarkEnd w:id="134"/>
      <w:r>
        <w:rPr>
          <w:rFonts w:hint="eastAsia" w:ascii="宋体" w:hAnsi="宋体" w:cs="宋体"/>
          <w:kern w:val="2"/>
          <w:sz w:val="21"/>
          <w:szCs w:val="21"/>
          <w:highlight w:val="none"/>
        </w:rPr>
        <w:t>项目概况</w:t>
      </w:r>
    </w:p>
    <w:p>
      <w:pPr>
        <w:autoSpaceDE w:val="0"/>
        <w:autoSpaceDN w:val="0"/>
        <w:adjustRightInd w:val="0"/>
        <w:spacing w:line="300" w:lineRule="exact"/>
        <w:ind w:firstLine="354" w:firstLineChars="169"/>
        <w:jc w:val="left"/>
        <w:rPr>
          <w:rFonts w:ascii="宋体" w:hAnsi="宋体" w:cs="Calibri"/>
          <w:kern w:val="0"/>
          <w:szCs w:val="21"/>
          <w:highlight w:val="none"/>
        </w:rPr>
      </w:pPr>
      <w:r>
        <w:rPr>
          <w:rFonts w:hint="eastAsia" w:ascii="宋体" w:hAnsi="宋体" w:cs="Calibri"/>
          <w:kern w:val="0"/>
          <w:szCs w:val="21"/>
          <w:highlight w:val="none"/>
          <w:lang w:bidi="ar"/>
        </w:rPr>
        <w:t xml:space="preserve">1.1.1  </w:t>
      </w:r>
      <w:r>
        <w:rPr>
          <w:rFonts w:hint="eastAsia" w:ascii="宋体" w:hAnsi="宋体" w:cs="宋体"/>
          <w:kern w:val="0"/>
          <w:szCs w:val="21"/>
          <w:highlight w:val="none"/>
          <w:lang w:bidi="ar"/>
        </w:rPr>
        <w:t>根据国家有关法律、法规和规章的规定，本竞争性比选项目已具备竞争性比选条件，现对本项目进行竞争性比选。</w:t>
      </w:r>
    </w:p>
    <w:p>
      <w:pPr>
        <w:autoSpaceDE w:val="0"/>
        <w:autoSpaceDN w:val="0"/>
        <w:adjustRightInd w:val="0"/>
        <w:spacing w:line="300" w:lineRule="exact"/>
        <w:ind w:firstLine="354" w:firstLineChars="169"/>
        <w:jc w:val="left"/>
        <w:rPr>
          <w:rFonts w:ascii="宋体" w:hAnsi="宋体" w:cs="MingLiU"/>
          <w:kern w:val="0"/>
          <w:szCs w:val="21"/>
          <w:highlight w:val="none"/>
        </w:rPr>
      </w:pPr>
      <w:r>
        <w:rPr>
          <w:rFonts w:hint="eastAsia" w:ascii="宋体" w:hAnsi="宋体" w:cs="Calibri"/>
          <w:kern w:val="0"/>
          <w:szCs w:val="21"/>
          <w:highlight w:val="none"/>
          <w:lang w:bidi="ar"/>
        </w:rPr>
        <w:t xml:space="preserve">1.1.2  </w:t>
      </w:r>
      <w:r>
        <w:rPr>
          <w:rFonts w:hint="eastAsia" w:ascii="宋体" w:hAnsi="宋体" w:cs="宋体"/>
          <w:kern w:val="0"/>
          <w:szCs w:val="21"/>
          <w:highlight w:val="none"/>
          <w:lang w:bidi="ar"/>
        </w:rPr>
        <w:t>本竞争性比选项目采购人：见报价人须知前附表。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1.1.3 </w:t>
      </w:r>
      <w:r>
        <w:rPr>
          <w:rFonts w:hint="eastAsia" w:ascii="宋体" w:hAnsi="宋体" w:cs="宋体"/>
          <w:kern w:val="0"/>
          <w:szCs w:val="21"/>
          <w:highlight w:val="none"/>
          <w:lang w:bidi="ar"/>
        </w:rPr>
        <w:t>本竞争性比选项目名称：见报价人须知前附表。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1.1.4  </w:t>
      </w:r>
      <w:r>
        <w:rPr>
          <w:rFonts w:hint="eastAsia" w:ascii="宋体" w:hAnsi="宋体" w:cs="宋体"/>
          <w:kern w:val="0"/>
          <w:szCs w:val="21"/>
          <w:highlight w:val="none"/>
          <w:lang w:bidi="ar"/>
        </w:rPr>
        <w:t>本项目建设地点：见报价人须知前附表。</w:t>
      </w:r>
    </w:p>
    <w:p>
      <w:pPr>
        <w:pStyle w:val="5"/>
        <w:widowControl/>
        <w:spacing w:before="0" w:after="0" w:line="300" w:lineRule="exact"/>
        <w:rPr>
          <w:rFonts w:ascii="宋体" w:hAnsi="宋体"/>
          <w:kern w:val="2"/>
          <w:sz w:val="21"/>
          <w:szCs w:val="21"/>
          <w:highlight w:val="none"/>
        </w:rPr>
      </w:pPr>
      <w:bookmarkStart w:id="135" w:name="_Toc4661430"/>
      <w:bookmarkEnd w:id="135"/>
      <w:bookmarkStart w:id="136" w:name="_Toc4661672"/>
      <w:bookmarkEnd w:id="136"/>
      <w:bookmarkStart w:id="137" w:name="_Toc200513128"/>
      <w:bookmarkEnd w:id="137"/>
      <w:bookmarkStart w:id="138" w:name="_Toc40455647"/>
      <w:bookmarkEnd w:id="138"/>
      <w:bookmarkStart w:id="139" w:name="_Toc40455274"/>
      <w:bookmarkEnd w:id="139"/>
      <w:bookmarkStart w:id="140" w:name="_Toc4661908"/>
      <w:bookmarkEnd w:id="140"/>
      <w:bookmarkStart w:id="141" w:name="_Toc21776"/>
      <w:bookmarkEnd w:id="141"/>
      <w:bookmarkStart w:id="142" w:name="_Toc287607748"/>
      <w:bookmarkEnd w:id="142"/>
      <w:bookmarkStart w:id="143" w:name="_Toc224103319"/>
      <w:bookmarkEnd w:id="143"/>
      <w:bookmarkStart w:id="144" w:name="_Toc4662144"/>
      <w:bookmarkEnd w:id="144"/>
      <w:bookmarkStart w:id="145" w:name="_Toc40780256"/>
      <w:bookmarkEnd w:id="145"/>
      <w:bookmarkStart w:id="146" w:name="_Toc277082554"/>
      <w:r>
        <w:rPr>
          <w:rFonts w:hint="eastAsia" w:ascii="宋体" w:hAnsi="宋体"/>
          <w:kern w:val="2"/>
          <w:sz w:val="21"/>
          <w:szCs w:val="21"/>
          <w:highlight w:val="none"/>
        </w:rPr>
        <w:t xml:space="preserve">1.2  </w:t>
      </w:r>
      <w:bookmarkEnd w:id="146"/>
      <w:r>
        <w:rPr>
          <w:rFonts w:hint="eastAsia" w:ascii="宋体" w:hAnsi="宋体" w:cs="宋体"/>
          <w:kern w:val="2"/>
          <w:sz w:val="21"/>
          <w:szCs w:val="21"/>
          <w:highlight w:val="none"/>
        </w:rPr>
        <w:t>资金来源和落实情况</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1.2.1  </w:t>
      </w:r>
      <w:r>
        <w:rPr>
          <w:rFonts w:hint="eastAsia" w:ascii="宋体" w:hAnsi="宋体" w:cs="宋体"/>
          <w:kern w:val="0"/>
          <w:szCs w:val="21"/>
          <w:highlight w:val="none"/>
          <w:lang w:bidi="ar"/>
        </w:rPr>
        <w:t>本竞争性比选项目的资金来源：见报价人须知前附表。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1.2.2  </w:t>
      </w:r>
      <w:r>
        <w:rPr>
          <w:rFonts w:hint="eastAsia" w:ascii="宋体" w:hAnsi="宋体" w:cs="宋体"/>
          <w:kern w:val="0"/>
          <w:szCs w:val="21"/>
          <w:highlight w:val="none"/>
          <w:lang w:bidi="ar"/>
        </w:rPr>
        <w:t>本竞争性比选项目的出资比例：见报价人须知前附表。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1.2.3  </w:t>
      </w:r>
      <w:r>
        <w:rPr>
          <w:rFonts w:hint="eastAsia" w:ascii="宋体" w:hAnsi="宋体" w:cs="宋体"/>
          <w:kern w:val="0"/>
          <w:szCs w:val="21"/>
          <w:highlight w:val="none"/>
          <w:lang w:bidi="ar"/>
        </w:rPr>
        <w:t>本竞争性比选项目的资金落实情况：见报价人须知前附表。</w:t>
      </w:r>
    </w:p>
    <w:p>
      <w:pPr>
        <w:pStyle w:val="5"/>
        <w:widowControl/>
        <w:spacing w:before="0" w:after="0" w:line="300" w:lineRule="exact"/>
        <w:rPr>
          <w:rFonts w:ascii="宋体" w:hAnsi="宋体"/>
          <w:kern w:val="2"/>
          <w:sz w:val="21"/>
          <w:szCs w:val="21"/>
          <w:highlight w:val="none"/>
        </w:rPr>
      </w:pPr>
      <w:bookmarkStart w:id="147" w:name="_Toc277082555"/>
      <w:bookmarkEnd w:id="147"/>
      <w:bookmarkStart w:id="148" w:name="_Toc4661431"/>
      <w:bookmarkEnd w:id="148"/>
      <w:bookmarkStart w:id="149" w:name="_Toc40780257"/>
      <w:bookmarkEnd w:id="149"/>
      <w:bookmarkStart w:id="150" w:name="_Toc4661673"/>
      <w:bookmarkEnd w:id="150"/>
      <w:bookmarkStart w:id="151" w:name="_Toc4661909"/>
      <w:bookmarkEnd w:id="151"/>
      <w:bookmarkStart w:id="152" w:name="_Toc40455275"/>
      <w:bookmarkEnd w:id="152"/>
      <w:bookmarkStart w:id="153" w:name="_Toc200513129"/>
      <w:bookmarkEnd w:id="153"/>
      <w:bookmarkStart w:id="154" w:name="_Toc224103320"/>
      <w:bookmarkEnd w:id="154"/>
      <w:bookmarkStart w:id="155" w:name="_Toc287607749"/>
      <w:bookmarkEnd w:id="155"/>
      <w:bookmarkStart w:id="156" w:name="_Toc40455648"/>
      <w:bookmarkEnd w:id="156"/>
      <w:bookmarkStart w:id="157" w:name="_Toc4662145"/>
      <w:bookmarkEnd w:id="157"/>
      <w:bookmarkStart w:id="158" w:name="_Toc11911"/>
      <w:r>
        <w:rPr>
          <w:rFonts w:hint="eastAsia" w:ascii="宋体" w:hAnsi="宋体"/>
          <w:kern w:val="2"/>
          <w:sz w:val="21"/>
          <w:szCs w:val="21"/>
          <w:highlight w:val="none"/>
        </w:rPr>
        <w:t xml:space="preserve">1.3  </w:t>
      </w:r>
      <w:bookmarkEnd w:id="158"/>
      <w:r>
        <w:rPr>
          <w:rFonts w:hint="eastAsia" w:ascii="宋体" w:hAnsi="宋体" w:cs="宋体"/>
          <w:kern w:val="2"/>
          <w:sz w:val="21"/>
          <w:szCs w:val="21"/>
          <w:highlight w:val="none"/>
        </w:rPr>
        <w:t>竞争性比选范围、工期和质量要求</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1.3.1  </w:t>
      </w:r>
      <w:r>
        <w:rPr>
          <w:rFonts w:hint="eastAsia" w:ascii="宋体" w:hAnsi="宋体" w:cs="宋体"/>
          <w:kern w:val="0"/>
          <w:szCs w:val="21"/>
          <w:highlight w:val="none"/>
          <w:lang w:bidi="ar"/>
        </w:rPr>
        <w:t>本次竞争性比选范围：见报价人须知前附表。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1.3.2  </w:t>
      </w:r>
      <w:r>
        <w:rPr>
          <w:rFonts w:hint="eastAsia" w:ascii="宋体" w:hAnsi="宋体" w:cs="宋体"/>
          <w:kern w:val="0"/>
          <w:szCs w:val="21"/>
          <w:highlight w:val="none"/>
          <w:lang w:bidi="ar"/>
        </w:rPr>
        <w:t>本项目的计划工期：见报价人须知前附表。</w:t>
      </w:r>
    </w:p>
    <w:p>
      <w:pPr>
        <w:autoSpaceDE w:val="0"/>
        <w:autoSpaceDN w:val="0"/>
        <w:adjustRightInd w:val="0"/>
        <w:spacing w:line="300" w:lineRule="exact"/>
        <w:ind w:left="359" w:leftChars="171"/>
        <w:jc w:val="left"/>
        <w:rPr>
          <w:rFonts w:ascii="宋体" w:hAnsi="宋体" w:cs="宋体"/>
          <w:kern w:val="0"/>
          <w:szCs w:val="21"/>
          <w:highlight w:val="none"/>
          <w:lang w:bidi="ar"/>
        </w:rPr>
      </w:pPr>
      <w:r>
        <w:rPr>
          <w:rFonts w:hint="eastAsia" w:ascii="宋体" w:hAnsi="宋体" w:cs="Calibri"/>
          <w:kern w:val="0"/>
          <w:szCs w:val="21"/>
          <w:highlight w:val="none"/>
          <w:lang w:bidi="ar"/>
        </w:rPr>
        <w:t xml:space="preserve">1.3.3  </w:t>
      </w:r>
      <w:r>
        <w:rPr>
          <w:rFonts w:hint="eastAsia" w:ascii="宋体" w:hAnsi="宋体" w:cs="宋体"/>
          <w:kern w:val="0"/>
          <w:szCs w:val="21"/>
          <w:highlight w:val="none"/>
          <w:lang w:bidi="ar"/>
        </w:rPr>
        <w:t>本项目的质量要求：见报价人须知前附表。</w:t>
      </w:r>
    </w:p>
    <w:p>
      <w:pPr>
        <w:autoSpaceDE w:val="0"/>
        <w:autoSpaceDN w:val="0"/>
        <w:adjustRightInd w:val="0"/>
        <w:spacing w:line="300" w:lineRule="exact"/>
        <w:ind w:left="359" w:leftChars="171"/>
        <w:jc w:val="left"/>
        <w:rPr>
          <w:highlight w:val="none"/>
        </w:rPr>
      </w:pPr>
      <w:r>
        <w:rPr>
          <w:rFonts w:hint="eastAsia" w:ascii="宋体" w:hAnsi="宋体" w:cs="Calibri"/>
          <w:kern w:val="0"/>
          <w:szCs w:val="21"/>
          <w:highlight w:val="none"/>
          <w:lang w:bidi="ar"/>
        </w:rPr>
        <w:t xml:space="preserve">1.3.4  </w:t>
      </w:r>
      <w:r>
        <w:rPr>
          <w:rFonts w:hint="eastAsia" w:ascii="宋体" w:hAnsi="宋体" w:cs="宋体"/>
          <w:kern w:val="0"/>
          <w:szCs w:val="21"/>
          <w:highlight w:val="none"/>
          <w:lang w:bidi="ar"/>
        </w:rPr>
        <w:t>本项目的安全目标：见报价人须知前附表。</w:t>
      </w:r>
    </w:p>
    <w:p>
      <w:pPr>
        <w:pStyle w:val="5"/>
        <w:widowControl/>
        <w:spacing w:before="0" w:after="0" w:line="300" w:lineRule="exact"/>
        <w:rPr>
          <w:rFonts w:ascii="宋体" w:hAnsi="宋体"/>
          <w:kern w:val="2"/>
          <w:sz w:val="21"/>
          <w:szCs w:val="21"/>
          <w:highlight w:val="none"/>
        </w:rPr>
      </w:pPr>
      <w:bookmarkStart w:id="159" w:name="_Toc40455649"/>
      <w:bookmarkEnd w:id="159"/>
      <w:bookmarkStart w:id="160" w:name="_Toc4661910"/>
      <w:bookmarkEnd w:id="160"/>
      <w:bookmarkStart w:id="161" w:name="_Toc4662146"/>
      <w:bookmarkEnd w:id="161"/>
      <w:bookmarkStart w:id="162" w:name="_Toc4661674"/>
      <w:bookmarkEnd w:id="162"/>
      <w:bookmarkStart w:id="163" w:name="_Toc40455276"/>
      <w:bookmarkEnd w:id="163"/>
      <w:bookmarkStart w:id="164" w:name="_Toc200513131"/>
      <w:bookmarkEnd w:id="164"/>
      <w:bookmarkStart w:id="165" w:name="_Toc224103322"/>
      <w:bookmarkEnd w:id="165"/>
      <w:bookmarkStart w:id="166" w:name="_Toc40780258"/>
      <w:bookmarkEnd w:id="166"/>
      <w:bookmarkStart w:id="167" w:name="_Toc15725"/>
      <w:bookmarkEnd w:id="167"/>
      <w:bookmarkStart w:id="168" w:name="_Toc4661432"/>
      <w:bookmarkEnd w:id="168"/>
      <w:bookmarkStart w:id="169" w:name="_Toc287607751"/>
      <w:bookmarkEnd w:id="169"/>
      <w:bookmarkStart w:id="170" w:name="_Toc277082557"/>
      <w:r>
        <w:rPr>
          <w:rFonts w:hint="eastAsia" w:ascii="宋体" w:hAnsi="宋体"/>
          <w:kern w:val="2"/>
          <w:sz w:val="21"/>
          <w:szCs w:val="21"/>
          <w:highlight w:val="none"/>
        </w:rPr>
        <w:t xml:space="preserve">1.4  </w:t>
      </w:r>
      <w:bookmarkEnd w:id="170"/>
      <w:r>
        <w:rPr>
          <w:rFonts w:hint="eastAsia" w:ascii="宋体" w:hAnsi="宋体" w:cs="宋体"/>
          <w:kern w:val="2"/>
          <w:sz w:val="21"/>
          <w:szCs w:val="21"/>
          <w:highlight w:val="none"/>
        </w:rPr>
        <w:t>报价人资格要求</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Calibri"/>
          <w:kern w:val="0"/>
          <w:szCs w:val="21"/>
          <w:highlight w:val="none"/>
          <w:lang w:bidi="ar"/>
        </w:rPr>
        <w:t xml:space="preserve">1.4.1 </w:t>
      </w:r>
      <w:r>
        <w:rPr>
          <w:rFonts w:hint="eastAsia" w:ascii="宋体" w:hAnsi="宋体" w:cs="宋体"/>
          <w:kern w:val="0"/>
          <w:szCs w:val="21"/>
          <w:highlight w:val="none"/>
          <w:lang w:bidi="ar"/>
        </w:rPr>
        <w:t>报价人应具备承担本项目的资质条件、能力和信誉。</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w:t>
      </w:r>
      <w:r>
        <w:rPr>
          <w:rFonts w:hint="eastAsia" w:ascii="宋体" w:hAnsi="宋体" w:cs="宋体"/>
          <w:szCs w:val="21"/>
          <w:highlight w:val="none"/>
          <w:lang w:bidi="ar"/>
        </w:rPr>
        <w:t>营业执照、资质要求</w:t>
      </w:r>
      <w:r>
        <w:rPr>
          <w:rFonts w:hint="eastAsia" w:ascii="宋体" w:hAnsi="宋体" w:cs="宋体"/>
          <w:kern w:val="0"/>
          <w:szCs w:val="21"/>
          <w:highlight w:val="none"/>
          <w:lang w:bidi="ar"/>
        </w:rPr>
        <w:t>：见报价人须知前附表；</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）业绩要求：见报价人须知前附表；</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3</w:t>
      </w:r>
      <w:r>
        <w:rPr>
          <w:rFonts w:hint="eastAsia" w:ascii="宋体" w:hAnsi="宋体" w:cs="宋体"/>
          <w:kern w:val="0"/>
          <w:szCs w:val="21"/>
          <w:highlight w:val="none"/>
          <w:lang w:bidi="ar"/>
        </w:rPr>
        <w:t>）财务要求：见报价人须知前附表；</w:t>
      </w:r>
    </w:p>
    <w:p>
      <w:pPr>
        <w:autoSpaceDE w:val="0"/>
        <w:autoSpaceDN w:val="0"/>
        <w:adjustRightInd w:val="0"/>
        <w:spacing w:line="300" w:lineRule="exact"/>
        <w:ind w:firstLine="357" w:firstLineChars="170"/>
        <w:jc w:val="left"/>
        <w:rPr>
          <w:rFonts w:ascii="宋体" w:hAnsi="宋体" w:cs="Calibri"/>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4</w:t>
      </w:r>
      <w:r>
        <w:rPr>
          <w:rFonts w:hint="eastAsia" w:ascii="宋体" w:hAnsi="宋体" w:cs="宋体"/>
          <w:kern w:val="0"/>
          <w:szCs w:val="21"/>
          <w:highlight w:val="none"/>
          <w:lang w:bidi="ar"/>
        </w:rPr>
        <w:t>）项目主要人员要求：见报价人须知前附表；</w:t>
      </w:r>
    </w:p>
    <w:p>
      <w:pPr>
        <w:autoSpaceDE w:val="0"/>
        <w:autoSpaceDN w:val="0"/>
        <w:adjustRightInd w:val="0"/>
        <w:spacing w:line="300" w:lineRule="exact"/>
        <w:ind w:firstLine="357" w:firstLineChars="170"/>
        <w:jc w:val="left"/>
        <w:rPr>
          <w:rFonts w:ascii="宋体" w:hAnsi="宋体" w:cs="宋体"/>
          <w:kern w:val="0"/>
          <w:szCs w:val="21"/>
          <w:highlight w:val="none"/>
          <w:lang w:bidi="ar"/>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5</w:t>
      </w:r>
      <w:r>
        <w:rPr>
          <w:rFonts w:hint="eastAsia" w:ascii="宋体" w:hAnsi="宋体" w:cs="宋体"/>
          <w:kern w:val="0"/>
          <w:szCs w:val="21"/>
          <w:highlight w:val="none"/>
          <w:lang w:bidi="ar"/>
        </w:rPr>
        <w:t>）信誉要求：见报价人须知前附表。</w:t>
      </w:r>
    </w:p>
    <w:p>
      <w:pPr>
        <w:autoSpaceDE w:val="0"/>
        <w:autoSpaceDN w:val="0"/>
        <w:adjustRightInd w:val="0"/>
        <w:spacing w:line="300" w:lineRule="exact"/>
        <w:ind w:firstLine="357" w:firstLineChars="170"/>
        <w:jc w:val="left"/>
        <w:rPr>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6</w:t>
      </w:r>
      <w:r>
        <w:rPr>
          <w:rFonts w:hint="eastAsia" w:ascii="宋体" w:hAnsi="宋体" w:cs="宋体"/>
          <w:kern w:val="0"/>
          <w:szCs w:val="21"/>
          <w:highlight w:val="none"/>
          <w:lang w:bidi="ar"/>
        </w:rPr>
        <w:t>）其他要求：见报价人须知前附表。</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Calibri"/>
          <w:kern w:val="0"/>
          <w:szCs w:val="21"/>
          <w:highlight w:val="none"/>
          <w:lang w:bidi="ar"/>
        </w:rPr>
        <w:t xml:space="preserve">1.4.2  </w:t>
      </w:r>
      <w:r>
        <w:rPr>
          <w:rFonts w:hint="eastAsia" w:ascii="宋体" w:hAnsi="宋体" w:cs="宋体"/>
          <w:kern w:val="0"/>
          <w:szCs w:val="21"/>
          <w:highlight w:val="none"/>
          <w:lang w:bidi="ar"/>
        </w:rPr>
        <w:t>报价人须知前附表规定接受联合体投标的，除应符合本章第</w:t>
      </w:r>
      <w:r>
        <w:rPr>
          <w:rFonts w:hint="eastAsia" w:ascii="宋体" w:hAnsi="宋体" w:cs="Calibri"/>
          <w:kern w:val="0"/>
          <w:szCs w:val="21"/>
          <w:highlight w:val="none"/>
          <w:lang w:bidi="ar"/>
        </w:rPr>
        <w:t>1.4.1</w:t>
      </w:r>
      <w:r>
        <w:rPr>
          <w:rFonts w:hint="eastAsia" w:ascii="宋体" w:hAnsi="宋体" w:cs="宋体"/>
          <w:kern w:val="0"/>
          <w:szCs w:val="21"/>
          <w:highlight w:val="none"/>
          <w:lang w:bidi="ar"/>
        </w:rPr>
        <w:t>项和报价人须知前附表的要求外，还应遵守以下规定：</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）联合体各方应按竞争性比选文件提供的格式签订联合体协议书，明确联合体牵头人和各方权利义务；</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）由同一专业的单位组成的联合体，按照资质等级较低的单位确定资质等级；</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3</w:t>
      </w:r>
      <w:r>
        <w:rPr>
          <w:rFonts w:hint="eastAsia" w:ascii="宋体" w:hAnsi="宋体" w:cs="宋体"/>
          <w:kern w:val="0"/>
          <w:szCs w:val="21"/>
          <w:highlight w:val="none"/>
          <w:lang w:bidi="ar"/>
        </w:rPr>
        <w:t>）联合体各方不得再以自己名义单独或参加其他联合体在同一项目中投标。</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Calibri"/>
          <w:kern w:val="0"/>
          <w:szCs w:val="21"/>
          <w:highlight w:val="none"/>
          <w:lang w:bidi="ar"/>
        </w:rPr>
        <w:t xml:space="preserve">1.4.3  </w:t>
      </w:r>
      <w:r>
        <w:rPr>
          <w:rFonts w:hint="eastAsia" w:ascii="宋体" w:hAnsi="宋体" w:cs="宋体"/>
          <w:kern w:val="0"/>
          <w:szCs w:val="21"/>
          <w:highlight w:val="none"/>
          <w:lang w:bidi="ar"/>
        </w:rPr>
        <w:t>报价人不得存在下列情形之一：</w:t>
      </w:r>
    </w:p>
    <w:p>
      <w:pPr>
        <w:autoSpaceDE w:val="0"/>
        <w:autoSpaceDN w:val="0"/>
        <w:adjustRightInd w:val="0"/>
        <w:spacing w:line="300" w:lineRule="exact"/>
        <w:ind w:firstLine="420"/>
        <w:jc w:val="left"/>
        <w:rPr>
          <w:rFonts w:ascii="宋体" w:hAnsi="宋体" w:cs="MingLiU"/>
          <w:kern w:val="0"/>
          <w:szCs w:val="21"/>
          <w:highlight w:val="none"/>
        </w:rPr>
      </w:pPr>
      <w:bookmarkStart w:id="171" w:name="_Toc287607752"/>
      <w:bookmarkEnd w:id="171"/>
      <w:bookmarkStart w:id="172" w:name="_Toc4661433"/>
      <w:bookmarkEnd w:id="172"/>
      <w:bookmarkStart w:id="173" w:name="_Toc4661675"/>
      <w:bookmarkEnd w:id="173"/>
      <w:bookmarkStart w:id="174" w:name="_Toc224103323"/>
      <w:bookmarkEnd w:id="174"/>
      <w:bookmarkStart w:id="175" w:name="_Toc40455277"/>
      <w:bookmarkEnd w:id="175"/>
      <w:bookmarkStart w:id="176" w:name="_Toc4661911"/>
      <w:bookmarkEnd w:id="176"/>
      <w:bookmarkStart w:id="177" w:name="_Toc40780259"/>
      <w:bookmarkEnd w:id="177"/>
      <w:bookmarkStart w:id="178" w:name="_Toc4662147"/>
      <w:bookmarkEnd w:id="178"/>
      <w:bookmarkStart w:id="179" w:name="_Toc40455650"/>
      <w:bookmarkEnd w:id="179"/>
      <w:bookmarkStart w:id="180" w:name="_Toc200513132"/>
      <w:bookmarkEnd w:id="180"/>
      <w:bookmarkStart w:id="181" w:name="_Toc277082558"/>
      <w:bookmarkEnd w:id="181"/>
      <w:bookmarkStart w:id="182" w:name="_Toc23688"/>
      <w:r>
        <w:rPr>
          <w:rFonts w:hint="eastAsia" w:ascii="宋体" w:hAnsi="宋体" w:cs="宋体"/>
          <w:kern w:val="0"/>
          <w:szCs w:val="21"/>
          <w:highlight w:val="none"/>
          <w:lang w:bidi="ar"/>
        </w:rPr>
        <w:t>（</w:t>
      </w:r>
      <w:r>
        <w:rPr>
          <w:rFonts w:hint="eastAsia" w:ascii="宋体" w:hAnsi="宋体" w:cs="MingLiU"/>
          <w:kern w:val="0"/>
          <w:szCs w:val="21"/>
          <w:highlight w:val="none"/>
          <w:lang w:bidi="ar"/>
        </w:rPr>
        <w:t>1）与采购人存在利害关系且可能影响竞争性比选公正性；</w:t>
      </w:r>
      <w:bookmarkEnd w:id="182"/>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2）与本竞争性比选项目的其他报价人为同一个单位负责人；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3）与本竞争性比选项目的其他报价人存在控股、管理关系；</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4）被依法暂停或者取消投标资格；</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5）被责令停产停业、暂扣或者吊销许可证、暂扣或者吊销执照；</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6）进入清算程序，或被宣告破产，或其他丧失履约能力的情形；</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7）在最近三年内发生重大产品质量问题；</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8）被工商行政管理机关在全国企业信用信息公示系统中列入严重违法失信企业名单；</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9）在“信用中国”网站（www.creditchina.gov.cn）中被列入失信惩戒对象名单；</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10）在国家企业信用信息公示系统（http://www.gsxt.gov.cn/）中被列入严重违法失信企业名单；</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11）201</w:t>
      </w:r>
      <w:r>
        <w:rPr>
          <w:rFonts w:hint="eastAsia" w:ascii="宋体" w:hAnsi="宋体" w:cs="MingLiU"/>
          <w:kern w:val="0"/>
          <w:szCs w:val="21"/>
          <w:highlight w:val="none"/>
          <w:lang w:val="en-US" w:eastAsia="zh-CN" w:bidi="ar"/>
        </w:rPr>
        <w:t>9</w:t>
      </w:r>
      <w:r>
        <w:rPr>
          <w:rFonts w:hint="eastAsia" w:ascii="宋体" w:hAnsi="宋体" w:cs="MingLiU"/>
          <w:kern w:val="0"/>
          <w:szCs w:val="21"/>
          <w:highlight w:val="none"/>
          <w:lang w:bidi="ar"/>
        </w:rPr>
        <w:t>年1月1日至投标截止日止报价人或其法定代表人有行贿犯罪行为的；</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12）有过以他人名义投标或以其他方式弄虚作假，骗取中标行为；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13）财产被重组、接管、查封、扣押或冻结的；</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14）被国家、重庆市（含市或任意区县）有关行政部门处以暂停投标资格行政处罚，且在处罚期限内；</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15）法律法规或报价人须知前附表规定的其他情形。</w:t>
      </w:r>
    </w:p>
    <w:p>
      <w:pPr>
        <w:pStyle w:val="5"/>
        <w:widowControl/>
        <w:spacing w:before="0" w:after="0" w:line="300" w:lineRule="exact"/>
        <w:rPr>
          <w:rFonts w:ascii="宋体" w:hAnsi="宋体"/>
          <w:kern w:val="2"/>
          <w:sz w:val="21"/>
          <w:szCs w:val="21"/>
          <w:highlight w:val="none"/>
        </w:rPr>
      </w:pPr>
      <w:r>
        <w:rPr>
          <w:rFonts w:hint="eastAsia" w:ascii="宋体" w:hAnsi="宋体"/>
          <w:kern w:val="2"/>
          <w:sz w:val="21"/>
          <w:szCs w:val="21"/>
          <w:highlight w:val="none"/>
        </w:rPr>
        <w:t>1.5  费用承担</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报价人准备和参加竞争性比选活动发生的费用自理。</w:t>
      </w:r>
    </w:p>
    <w:p>
      <w:pPr>
        <w:pStyle w:val="5"/>
        <w:widowControl/>
        <w:spacing w:before="0" w:after="0" w:line="300" w:lineRule="exact"/>
        <w:rPr>
          <w:rFonts w:ascii="宋体" w:hAnsi="宋体"/>
          <w:kern w:val="2"/>
          <w:sz w:val="21"/>
          <w:szCs w:val="21"/>
          <w:highlight w:val="none"/>
        </w:rPr>
      </w:pPr>
      <w:bookmarkStart w:id="183" w:name="_Toc4661676"/>
      <w:bookmarkEnd w:id="183"/>
      <w:bookmarkStart w:id="184" w:name="_Toc4662148"/>
      <w:bookmarkEnd w:id="184"/>
      <w:bookmarkStart w:id="185" w:name="_Toc4661434"/>
      <w:bookmarkEnd w:id="185"/>
      <w:bookmarkStart w:id="186" w:name="_Toc277082559"/>
      <w:bookmarkEnd w:id="186"/>
      <w:bookmarkStart w:id="187" w:name="_Toc287607753"/>
      <w:bookmarkEnd w:id="187"/>
      <w:bookmarkStart w:id="188" w:name="_Toc40455278"/>
      <w:bookmarkEnd w:id="188"/>
      <w:bookmarkStart w:id="189" w:name="_Toc40455651"/>
      <w:bookmarkEnd w:id="189"/>
      <w:bookmarkStart w:id="190" w:name="_Toc706"/>
      <w:bookmarkEnd w:id="190"/>
      <w:bookmarkStart w:id="191" w:name="_Toc224103324"/>
      <w:bookmarkEnd w:id="191"/>
      <w:bookmarkStart w:id="192" w:name="_Toc4661912"/>
      <w:bookmarkEnd w:id="192"/>
      <w:bookmarkStart w:id="193" w:name="_Toc200513133"/>
      <w:bookmarkEnd w:id="193"/>
      <w:bookmarkStart w:id="194" w:name="_Toc40780260"/>
      <w:r>
        <w:rPr>
          <w:rFonts w:hint="eastAsia" w:ascii="宋体" w:hAnsi="宋体"/>
          <w:kern w:val="2"/>
          <w:sz w:val="21"/>
          <w:szCs w:val="21"/>
          <w:highlight w:val="none"/>
        </w:rPr>
        <w:t xml:space="preserve">1.6  </w:t>
      </w:r>
      <w:bookmarkEnd w:id="194"/>
      <w:r>
        <w:rPr>
          <w:rFonts w:hint="eastAsia" w:ascii="宋体" w:hAnsi="宋体" w:cs="宋体"/>
          <w:kern w:val="2"/>
          <w:sz w:val="21"/>
          <w:szCs w:val="21"/>
          <w:highlight w:val="none"/>
        </w:rPr>
        <w:t>保密</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参与竞争性比选投标活动的各方应对竞争性比选文件和比选响应文件中的商业和技术等秘密保密，违者应对由此造成的后果承担法律责任。</w:t>
      </w:r>
    </w:p>
    <w:p>
      <w:pPr>
        <w:pStyle w:val="5"/>
        <w:widowControl/>
        <w:spacing w:before="0" w:after="0" w:line="300" w:lineRule="exact"/>
        <w:rPr>
          <w:rFonts w:ascii="宋体" w:hAnsi="宋体"/>
          <w:kern w:val="2"/>
          <w:sz w:val="21"/>
          <w:szCs w:val="21"/>
          <w:highlight w:val="none"/>
        </w:rPr>
      </w:pPr>
      <w:bookmarkStart w:id="195" w:name="_Toc4661913"/>
      <w:bookmarkEnd w:id="195"/>
      <w:bookmarkStart w:id="196" w:name="_Toc287607754"/>
      <w:bookmarkEnd w:id="196"/>
      <w:bookmarkStart w:id="197" w:name="_Toc40780261"/>
      <w:bookmarkEnd w:id="197"/>
      <w:bookmarkStart w:id="198" w:name="_Toc4264"/>
      <w:bookmarkEnd w:id="198"/>
      <w:bookmarkStart w:id="199" w:name="_Toc277082560"/>
      <w:bookmarkEnd w:id="199"/>
      <w:bookmarkStart w:id="200" w:name="_Toc4661435"/>
      <w:bookmarkEnd w:id="200"/>
      <w:bookmarkStart w:id="201" w:name="_Toc200513134"/>
      <w:bookmarkEnd w:id="201"/>
      <w:bookmarkStart w:id="202" w:name="_Toc40455652"/>
      <w:bookmarkEnd w:id="202"/>
      <w:bookmarkStart w:id="203" w:name="_Toc40455279"/>
      <w:bookmarkEnd w:id="203"/>
      <w:bookmarkStart w:id="204" w:name="_Toc224103325"/>
      <w:bookmarkEnd w:id="204"/>
      <w:bookmarkStart w:id="205" w:name="_Toc4661677"/>
      <w:bookmarkEnd w:id="205"/>
      <w:bookmarkStart w:id="206" w:name="_Toc4662149"/>
      <w:r>
        <w:rPr>
          <w:rFonts w:hint="eastAsia" w:ascii="宋体" w:hAnsi="宋体"/>
          <w:kern w:val="2"/>
          <w:sz w:val="21"/>
          <w:szCs w:val="21"/>
          <w:highlight w:val="none"/>
        </w:rPr>
        <w:t xml:space="preserve">1.7  </w:t>
      </w:r>
      <w:bookmarkEnd w:id="206"/>
      <w:r>
        <w:rPr>
          <w:rFonts w:hint="eastAsia" w:ascii="宋体" w:hAnsi="宋体" w:cs="宋体"/>
          <w:kern w:val="2"/>
          <w:sz w:val="21"/>
          <w:szCs w:val="21"/>
          <w:highlight w:val="none"/>
        </w:rPr>
        <w:t>语言文字</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除专用术语外，与竞争性比选投标有关的语言均使用中文。必要时专用术语应附有中文注释。</w:t>
      </w:r>
    </w:p>
    <w:p>
      <w:pPr>
        <w:pStyle w:val="5"/>
        <w:widowControl/>
        <w:spacing w:before="0" w:after="0" w:line="300" w:lineRule="exact"/>
        <w:rPr>
          <w:rFonts w:ascii="宋体" w:hAnsi="宋体"/>
          <w:kern w:val="2"/>
          <w:sz w:val="21"/>
          <w:szCs w:val="21"/>
          <w:highlight w:val="none"/>
        </w:rPr>
      </w:pPr>
      <w:bookmarkStart w:id="207" w:name="_Toc4662150"/>
      <w:bookmarkEnd w:id="207"/>
      <w:bookmarkStart w:id="208" w:name="_Toc224103326"/>
      <w:bookmarkEnd w:id="208"/>
      <w:bookmarkStart w:id="209" w:name="_Toc277082561"/>
      <w:bookmarkEnd w:id="209"/>
      <w:bookmarkStart w:id="210" w:name="_Toc4661678"/>
      <w:bookmarkEnd w:id="210"/>
      <w:bookmarkStart w:id="211" w:name="_Toc40780262"/>
      <w:bookmarkEnd w:id="211"/>
      <w:bookmarkStart w:id="212" w:name="_Toc4661436"/>
      <w:bookmarkEnd w:id="212"/>
      <w:bookmarkStart w:id="213" w:name="_Toc287607755"/>
      <w:bookmarkEnd w:id="213"/>
      <w:bookmarkStart w:id="214" w:name="_Toc40455280"/>
      <w:bookmarkEnd w:id="214"/>
      <w:bookmarkStart w:id="215" w:name="_Toc934"/>
      <w:bookmarkEnd w:id="215"/>
      <w:bookmarkStart w:id="216" w:name="_Toc200513135"/>
      <w:bookmarkEnd w:id="216"/>
      <w:bookmarkStart w:id="217" w:name="_Toc40455653"/>
      <w:bookmarkEnd w:id="217"/>
      <w:bookmarkStart w:id="218" w:name="_Toc4661914"/>
      <w:r>
        <w:rPr>
          <w:rFonts w:hint="eastAsia" w:ascii="宋体" w:hAnsi="宋体"/>
          <w:kern w:val="2"/>
          <w:sz w:val="21"/>
          <w:szCs w:val="21"/>
          <w:highlight w:val="none"/>
        </w:rPr>
        <w:t xml:space="preserve">1.8  </w:t>
      </w:r>
      <w:bookmarkEnd w:id="218"/>
      <w:r>
        <w:rPr>
          <w:rFonts w:hint="eastAsia" w:ascii="宋体" w:hAnsi="宋体" w:cs="宋体"/>
          <w:kern w:val="2"/>
          <w:sz w:val="21"/>
          <w:szCs w:val="21"/>
          <w:highlight w:val="none"/>
        </w:rPr>
        <w:t>计量单位</w:t>
      </w:r>
    </w:p>
    <w:p>
      <w:pPr>
        <w:autoSpaceDE w:val="0"/>
        <w:autoSpaceDN w:val="0"/>
        <w:adjustRightInd w:val="0"/>
        <w:spacing w:line="300" w:lineRule="exact"/>
        <w:ind w:firstLine="424" w:firstLineChars="202"/>
        <w:jc w:val="left"/>
        <w:rPr>
          <w:rFonts w:ascii="宋体" w:hAnsi="宋体" w:cs="MingLiU"/>
          <w:kern w:val="0"/>
          <w:szCs w:val="21"/>
          <w:highlight w:val="none"/>
        </w:rPr>
      </w:pPr>
      <w:r>
        <w:rPr>
          <w:rFonts w:hint="eastAsia" w:ascii="宋体" w:hAnsi="宋体" w:cs="宋体"/>
          <w:kern w:val="0"/>
          <w:szCs w:val="21"/>
          <w:highlight w:val="none"/>
          <w:lang w:bidi="ar"/>
        </w:rPr>
        <w:t>所有计量均采用中华人民共和国法定计量单位。</w:t>
      </w:r>
    </w:p>
    <w:p>
      <w:pPr>
        <w:pStyle w:val="5"/>
        <w:widowControl/>
        <w:spacing w:before="0" w:after="0" w:line="300" w:lineRule="exact"/>
        <w:rPr>
          <w:rFonts w:ascii="宋体" w:hAnsi="宋体"/>
          <w:kern w:val="2"/>
          <w:sz w:val="21"/>
          <w:szCs w:val="21"/>
          <w:highlight w:val="none"/>
        </w:rPr>
      </w:pPr>
      <w:bookmarkStart w:id="219" w:name="_Toc14666"/>
      <w:bookmarkEnd w:id="219"/>
      <w:bookmarkStart w:id="220" w:name="_Toc287607756"/>
      <w:bookmarkEnd w:id="220"/>
      <w:bookmarkStart w:id="221" w:name="_Toc40455281"/>
      <w:bookmarkEnd w:id="221"/>
      <w:bookmarkStart w:id="222" w:name="_Toc277082562"/>
      <w:bookmarkEnd w:id="222"/>
      <w:bookmarkStart w:id="223" w:name="_Toc40455654"/>
      <w:bookmarkEnd w:id="223"/>
      <w:bookmarkStart w:id="224" w:name="_Toc4661679"/>
      <w:bookmarkEnd w:id="224"/>
      <w:bookmarkStart w:id="225" w:name="_Toc200513136"/>
      <w:bookmarkEnd w:id="225"/>
      <w:bookmarkStart w:id="226" w:name="_Toc4662151"/>
      <w:bookmarkEnd w:id="226"/>
      <w:bookmarkStart w:id="227" w:name="_Toc4661915"/>
      <w:bookmarkEnd w:id="227"/>
      <w:bookmarkStart w:id="228" w:name="_Toc224103327"/>
      <w:bookmarkEnd w:id="228"/>
      <w:bookmarkStart w:id="229" w:name="_Toc4661437"/>
      <w:bookmarkEnd w:id="229"/>
      <w:bookmarkStart w:id="230" w:name="_Toc40780263"/>
      <w:r>
        <w:rPr>
          <w:rFonts w:hint="eastAsia" w:ascii="宋体" w:hAnsi="宋体"/>
          <w:kern w:val="2"/>
          <w:sz w:val="21"/>
          <w:szCs w:val="21"/>
          <w:highlight w:val="none"/>
        </w:rPr>
        <w:t xml:space="preserve">1.9  </w:t>
      </w:r>
      <w:bookmarkEnd w:id="230"/>
      <w:r>
        <w:rPr>
          <w:rFonts w:hint="eastAsia" w:ascii="宋体" w:hAnsi="宋体" w:cs="宋体"/>
          <w:kern w:val="2"/>
          <w:sz w:val="21"/>
          <w:szCs w:val="21"/>
          <w:highlight w:val="none"/>
        </w:rPr>
        <w:t>踏勘现场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 xml:space="preserve">1.9.1  </w:t>
      </w:r>
      <w:r>
        <w:rPr>
          <w:rFonts w:hint="eastAsia" w:ascii="宋体" w:hAnsi="宋体" w:cs="宋体"/>
          <w:kern w:val="0"/>
          <w:szCs w:val="21"/>
          <w:highlight w:val="none"/>
          <w:lang w:bidi="ar"/>
        </w:rPr>
        <w:t>报价人须知前附表规定组织踏勘现场的，采购人按报价人须知前附表规定的时间、</w:t>
      </w:r>
      <w:r>
        <w:rPr>
          <w:rFonts w:hint="eastAsia" w:ascii="宋体" w:hAnsi="宋体" w:cs="MingLiU"/>
          <w:kern w:val="0"/>
          <w:szCs w:val="21"/>
          <w:highlight w:val="none"/>
          <w:lang w:bidi="ar"/>
        </w:rPr>
        <w:t xml:space="preserve"> </w:t>
      </w:r>
      <w:r>
        <w:rPr>
          <w:rFonts w:hint="eastAsia" w:ascii="宋体" w:hAnsi="宋体" w:cs="宋体"/>
          <w:kern w:val="0"/>
          <w:szCs w:val="21"/>
          <w:highlight w:val="none"/>
          <w:lang w:bidi="ar"/>
        </w:rPr>
        <w:t>地点组织报价人踏勘项目现场。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 xml:space="preserve">1.9.2  </w:t>
      </w:r>
      <w:r>
        <w:rPr>
          <w:rFonts w:hint="eastAsia" w:ascii="宋体" w:hAnsi="宋体" w:cs="宋体"/>
          <w:kern w:val="0"/>
          <w:szCs w:val="21"/>
          <w:highlight w:val="none"/>
          <w:lang w:bidi="ar"/>
        </w:rPr>
        <w:t>报价人踏勘现场发生的费用自理。</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 xml:space="preserve">1.9.3  </w:t>
      </w:r>
      <w:r>
        <w:rPr>
          <w:rFonts w:hint="eastAsia" w:ascii="宋体" w:hAnsi="宋体" w:cs="宋体"/>
          <w:kern w:val="0"/>
          <w:szCs w:val="21"/>
          <w:highlight w:val="none"/>
          <w:lang w:bidi="ar"/>
        </w:rPr>
        <w:t>除采购人的原因外，报价人自行负责在踏勘现场中所发生的人员伤亡和财产损失。</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1.9.4  </w:t>
      </w:r>
      <w:r>
        <w:rPr>
          <w:rFonts w:hint="eastAsia" w:ascii="宋体" w:hAnsi="宋体" w:cs="宋体"/>
          <w:kern w:val="0"/>
          <w:szCs w:val="21"/>
          <w:highlight w:val="none"/>
          <w:lang w:bidi="ar"/>
        </w:rPr>
        <w:t>采购人在踏勘现场中介绍的工程场地和相关的周边环境情况，供报价人在编制投</w:t>
      </w:r>
      <w:r>
        <w:rPr>
          <w:rFonts w:hint="eastAsia" w:ascii="宋体" w:hAnsi="宋体" w:cs="Calibri"/>
          <w:kern w:val="0"/>
          <w:szCs w:val="21"/>
          <w:highlight w:val="none"/>
          <w:lang w:bidi="ar"/>
        </w:rPr>
        <w:t xml:space="preserve"> </w:t>
      </w:r>
      <w:r>
        <w:rPr>
          <w:rFonts w:hint="eastAsia" w:ascii="宋体" w:hAnsi="宋体" w:cs="宋体"/>
          <w:kern w:val="0"/>
          <w:szCs w:val="21"/>
          <w:highlight w:val="none"/>
          <w:lang w:bidi="ar"/>
        </w:rPr>
        <w:t>标文件时参考，采购人不对报价人据此做出的判断和决策负责。</w:t>
      </w:r>
    </w:p>
    <w:p>
      <w:pPr>
        <w:pStyle w:val="5"/>
        <w:widowControl/>
        <w:spacing w:before="0" w:after="0" w:line="300" w:lineRule="exact"/>
        <w:rPr>
          <w:rFonts w:ascii="宋体" w:hAnsi="宋体"/>
          <w:kern w:val="2"/>
          <w:sz w:val="21"/>
          <w:szCs w:val="21"/>
          <w:highlight w:val="none"/>
        </w:rPr>
      </w:pPr>
      <w:bookmarkStart w:id="231" w:name="_Toc40455282"/>
      <w:bookmarkEnd w:id="231"/>
      <w:bookmarkStart w:id="232" w:name="_Toc4661916"/>
      <w:bookmarkEnd w:id="232"/>
      <w:bookmarkStart w:id="233" w:name="_Toc40780264"/>
      <w:bookmarkEnd w:id="233"/>
      <w:bookmarkStart w:id="234" w:name="_Toc4661438"/>
      <w:bookmarkEnd w:id="234"/>
      <w:bookmarkStart w:id="235" w:name="_Toc4662152"/>
      <w:bookmarkEnd w:id="235"/>
      <w:bookmarkStart w:id="236" w:name="_Toc200513137"/>
      <w:bookmarkEnd w:id="236"/>
      <w:bookmarkStart w:id="237" w:name="_Toc287607757"/>
      <w:bookmarkEnd w:id="237"/>
      <w:bookmarkStart w:id="238" w:name="_Toc224103328"/>
      <w:bookmarkEnd w:id="238"/>
      <w:bookmarkStart w:id="239" w:name="_Toc4661680"/>
      <w:bookmarkEnd w:id="239"/>
      <w:bookmarkStart w:id="240" w:name="_Toc32378"/>
      <w:bookmarkEnd w:id="240"/>
      <w:bookmarkStart w:id="241" w:name="_Toc277082563"/>
      <w:bookmarkEnd w:id="241"/>
      <w:bookmarkStart w:id="242" w:name="_Toc40455655"/>
      <w:r>
        <w:rPr>
          <w:rFonts w:hint="eastAsia" w:ascii="宋体" w:hAnsi="宋体"/>
          <w:kern w:val="2"/>
          <w:sz w:val="21"/>
          <w:szCs w:val="21"/>
          <w:highlight w:val="none"/>
        </w:rPr>
        <w:t xml:space="preserve">1.10  </w:t>
      </w:r>
      <w:bookmarkEnd w:id="242"/>
      <w:r>
        <w:rPr>
          <w:rFonts w:hint="eastAsia" w:ascii="宋体" w:hAnsi="宋体" w:cs="宋体"/>
          <w:kern w:val="2"/>
          <w:sz w:val="21"/>
          <w:szCs w:val="21"/>
          <w:highlight w:val="none"/>
        </w:rPr>
        <w:t>投标预备会</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1.10.1  </w:t>
      </w:r>
      <w:r>
        <w:rPr>
          <w:rFonts w:hint="eastAsia" w:ascii="宋体" w:hAnsi="宋体" w:cs="宋体"/>
          <w:kern w:val="0"/>
          <w:szCs w:val="21"/>
          <w:highlight w:val="none"/>
          <w:lang w:bidi="ar"/>
        </w:rPr>
        <w:t>报价人须知前附表规定召开投标预备会的，采购人按报价人须知前附表规定的时间和地点召开投标预备会，澄清报价人提出的问题。</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1.10.2  </w:t>
      </w:r>
      <w:r>
        <w:rPr>
          <w:rFonts w:hint="eastAsia" w:ascii="宋体" w:hAnsi="宋体" w:cs="宋体"/>
          <w:kern w:val="0"/>
          <w:szCs w:val="21"/>
          <w:highlight w:val="none"/>
          <w:lang w:bidi="ar"/>
        </w:rPr>
        <w:t>报价人应在报价人须知前附表规定的时间前，以书面形式将提出的问题送达采购人，以便采购人在会议期间澄清。</w:t>
      </w:r>
    </w:p>
    <w:p>
      <w:pPr>
        <w:autoSpaceDE w:val="0"/>
        <w:autoSpaceDN w:val="0"/>
        <w:adjustRightInd w:val="0"/>
        <w:spacing w:line="300" w:lineRule="exact"/>
        <w:ind w:firstLine="424" w:firstLineChars="202"/>
        <w:jc w:val="left"/>
        <w:rPr>
          <w:rFonts w:ascii="宋体" w:hAnsi="宋体" w:cs="MingLiU"/>
          <w:kern w:val="0"/>
          <w:szCs w:val="21"/>
          <w:highlight w:val="none"/>
        </w:rPr>
      </w:pPr>
      <w:r>
        <w:rPr>
          <w:rFonts w:hint="eastAsia" w:ascii="宋体" w:hAnsi="宋体" w:cs="Calibri"/>
          <w:kern w:val="0"/>
          <w:szCs w:val="21"/>
          <w:highlight w:val="none"/>
          <w:lang w:bidi="ar"/>
        </w:rPr>
        <w:t xml:space="preserve">1.10.3  </w:t>
      </w:r>
      <w:r>
        <w:rPr>
          <w:rFonts w:hint="eastAsia" w:ascii="宋体" w:hAnsi="宋体" w:cs="宋体"/>
          <w:kern w:val="0"/>
          <w:szCs w:val="21"/>
          <w:highlight w:val="none"/>
          <w:lang w:bidi="ar"/>
        </w:rPr>
        <w:t>投标预备会后，采购人在报价人须知前附表规定的时间内，将对报价人所提问题</w:t>
      </w:r>
      <w:r>
        <w:rPr>
          <w:rFonts w:hint="eastAsia" w:ascii="宋体" w:hAnsi="宋体" w:cs="宋体"/>
          <w:kern w:val="0"/>
          <w:position w:val="-2"/>
          <w:szCs w:val="21"/>
          <w:highlight w:val="none"/>
          <w:lang w:bidi="ar"/>
        </w:rPr>
        <w:t>的澄清，以书面方式通知所有购买竞争性比选文件的报价人。该澄清内容为竞争性比选文件的组成部分。</w:t>
      </w:r>
    </w:p>
    <w:p>
      <w:pPr>
        <w:pStyle w:val="5"/>
        <w:widowControl/>
        <w:spacing w:before="0" w:after="0" w:line="300" w:lineRule="exact"/>
        <w:rPr>
          <w:rFonts w:ascii="宋体" w:hAnsi="宋体"/>
          <w:kern w:val="2"/>
          <w:sz w:val="21"/>
          <w:szCs w:val="21"/>
          <w:highlight w:val="none"/>
        </w:rPr>
      </w:pPr>
      <w:bookmarkStart w:id="243" w:name="_Toc1732"/>
      <w:bookmarkEnd w:id="243"/>
      <w:bookmarkStart w:id="244" w:name="_Toc4661439"/>
      <w:bookmarkEnd w:id="244"/>
      <w:bookmarkStart w:id="245" w:name="_Toc40455283"/>
      <w:bookmarkEnd w:id="245"/>
      <w:bookmarkStart w:id="246" w:name="_Toc4661917"/>
      <w:bookmarkEnd w:id="246"/>
      <w:bookmarkStart w:id="247" w:name="_Toc277082564"/>
      <w:bookmarkEnd w:id="247"/>
      <w:bookmarkStart w:id="248" w:name="_Toc4662153"/>
      <w:bookmarkEnd w:id="248"/>
      <w:bookmarkStart w:id="249" w:name="_Toc40780265"/>
      <w:bookmarkEnd w:id="249"/>
      <w:bookmarkStart w:id="250" w:name="_Toc224103329"/>
      <w:bookmarkEnd w:id="250"/>
      <w:bookmarkStart w:id="251" w:name="_Toc287607758"/>
      <w:bookmarkEnd w:id="251"/>
      <w:bookmarkStart w:id="252" w:name="_Toc4661681"/>
      <w:bookmarkEnd w:id="252"/>
      <w:bookmarkStart w:id="253" w:name="_Toc40455656"/>
      <w:bookmarkEnd w:id="253"/>
      <w:bookmarkStart w:id="254" w:name="_Toc200513138"/>
      <w:r>
        <w:rPr>
          <w:rFonts w:hint="eastAsia" w:ascii="宋体" w:hAnsi="宋体"/>
          <w:kern w:val="2"/>
          <w:sz w:val="21"/>
          <w:szCs w:val="21"/>
          <w:highlight w:val="none"/>
        </w:rPr>
        <w:t xml:space="preserve">1.11  </w:t>
      </w:r>
      <w:bookmarkEnd w:id="254"/>
      <w:r>
        <w:rPr>
          <w:rFonts w:hint="eastAsia" w:ascii="宋体" w:hAnsi="宋体" w:cs="宋体"/>
          <w:kern w:val="2"/>
          <w:sz w:val="21"/>
          <w:szCs w:val="21"/>
          <w:highlight w:val="none"/>
        </w:rPr>
        <w:t>分包</w:t>
      </w:r>
    </w:p>
    <w:p>
      <w:pPr>
        <w:pStyle w:val="5"/>
        <w:widowControl/>
        <w:spacing w:before="0" w:after="0" w:line="300" w:lineRule="exact"/>
        <w:rPr>
          <w:rFonts w:ascii="宋体" w:hAnsi="宋体" w:cs="MingLiU"/>
          <w:b w:val="0"/>
          <w:sz w:val="21"/>
          <w:szCs w:val="21"/>
          <w:highlight w:val="none"/>
        </w:rPr>
      </w:pPr>
      <w:bookmarkStart w:id="255" w:name="_Toc1991"/>
      <w:bookmarkEnd w:id="255"/>
      <w:bookmarkStart w:id="256" w:name="_Toc200513139"/>
      <w:bookmarkEnd w:id="256"/>
      <w:bookmarkStart w:id="257" w:name="_Toc277082565"/>
      <w:bookmarkEnd w:id="257"/>
      <w:bookmarkStart w:id="258" w:name="_Toc4661918"/>
      <w:bookmarkEnd w:id="258"/>
      <w:bookmarkStart w:id="259" w:name="_Toc4661440"/>
      <w:bookmarkEnd w:id="259"/>
      <w:bookmarkStart w:id="260" w:name="_Toc4662154"/>
      <w:bookmarkEnd w:id="260"/>
      <w:bookmarkStart w:id="261" w:name="_Toc4661682"/>
      <w:bookmarkEnd w:id="261"/>
      <w:bookmarkStart w:id="262" w:name="_Toc287607759"/>
      <w:bookmarkEnd w:id="262"/>
      <w:bookmarkStart w:id="263" w:name="_Toc40455657"/>
      <w:bookmarkEnd w:id="263"/>
      <w:bookmarkStart w:id="264" w:name="_Toc40780266"/>
      <w:bookmarkEnd w:id="264"/>
      <w:bookmarkStart w:id="265" w:name="_Toc40455284"/>
      <w:bookmarkEnd w:id="265"/>
      <w:bookmarkStart w:id="266" w:name="_Toc224103330"/>
      <w:r>
        <w:rPr>
          <w:rFonts w:hint="eastAsia" w:ascii="宋体" w:hAnsi="宋体" w:cs="MingLiU"/>
          <w:b w:val="0"/>
          <w:sz w:val="21"/>
          <w:szCs w:val="21"/>
          <w:highlight w:val="none"/>
        </w:rPr>
        <w:t>1.11.1本项目竞争性比选范围内的内容如需分包，分包单位的确定须采购人书面批准同意。否则采购人均有权取消中标人资格。</w:t>
      </w:r>
      <w:bookmarkEnd w:id="266"/>
    </w:p>
    <w:p>
      <w:pPr>
        <w:pStyle w:val="5"/>
        <w:widowControl/>
        <w:spacing w:before="0" w:after="0" w:line="300" w:lineRule="exact"/>
        <w:rPr>
          <w:rFonts w:ascii="宋体" w:hAnsi="宋体" w:cs="MingLiU"/>
          <w:b w:val="0"/>
          <w:sz w:val="21"/>
          <w:szCs w:val="21"/>
          <w:highlight w:val="none"/>
        </w:rPr>
      </w:pPr>
      <w:r>
        <w:rPr>
          <w:rFonts w:hint="eastAsia" w:ascii="宋体" w:hAnsi="宋体" w:cs="MingLiU"/>
          <w:b w:val="0"/>
          <w:sz w:val="21"/>
          <w:szCs w:val="21"/>
          <w:highlight w:val="none"/>
        </w:rPr>
        <w:t>1.12  偏离</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报价人须知前附表允许比选响应文件偏离竞争性比选文件某些要求的，偏离应当符合竞争性比选文件规定</w:t>
      </w:r>
      <w:r>
        <w:rPr>
          <w:rFonts w:hint="eastAsia" w:ascii="宋体" w:hAnsi="宋体" w:cs="Calibri"/>
          <w:kern w:val="0"/>
          <w:szCs w:val="21"/>
          <w:highlight w:val="none"/>
          <w:lang w:bidi="ar"/>
        </w:rPr>
        <w:t xml:space="preserve"> </w:t>
      </w:r>
      <w:r>
        <w:rPr>
          <w:rFonts w:hint="eastAsia" w:ascii="宋体" w:hAnsi="宋体" w:cs="宋体"/>
          <w:kern w:val="0"/>
          <w:szCs w:val="21"/>
          <w:highlight w:val="none"/>
          <w:lang w:bidi="ar"/>
        </w:rPr>
        <w:t>的偏离范围和幅度。</w:t>
      </w:r>
    </w:p>
    <w:p>
      <w:pPr>
        <w:pStyle w:val="4"/>
        <w:widowControl/>
        <w:spacing w:before="0" w:after="0" w:line="300" w:lineRule="exact"/>
        <w:rPr>
          <w:rFonts w:ascii="宋体" w:hAnsi="宋体"/>
          <w:sz w:val="21"/>
          <w:szCs w:val="21"/>
          <w:highlight w:val="none"/>
        </w:rPr>
      </w:pPr>
      <w:bookmarkStart w:id="267" w:name="_Toc25763"/>
      <w:bookmarkEnd w:id="267"/>
      <w:bookmarkStart w:id="268" w:name="_Toc27390"/>
      <w:bookmarkEnd w:id="268"/>
      <w:bookmarkStart w:id="269" w:name="_Toc4661683"/>
      <w:bookmarkEnd w:id="269"/>
      <w:bookmarkStart w:id="270" w:name="_Toc287607760"/>
      <w:bookmarkEnd w:id="270"/>
      <w:bookmarkStart w:id="271" w:name="_Toc277082566"/>
      <w:bookmarkEnd w:id="271"/>
      <w:bookmarkStart w:id="272" w:name="_Toc143"/>
      <w:bookmarkEnd w:id="272"/>
      <w:bookmarkStart w:id="273" w:name="_Toc200513140"/>
      <w:bookmarkEnd w:id="273"/>
      <w:bookmarkStart w:id="274" w:name="_Toc224103331"/>
      <w:bookmarkEnd w:id="274"/>
      <w:bookmarkStart w:id="275" w:name="_Toc4661919"/>
      <w:bookmarkEnd w:id="275"/>
      <w:bookmarkStart w:id="276" w:name="_Toc4661441"/>
      <w:bookmarkEnd w:id="276"/>
      <w:bookmarkStart w:id="277" w:name="_Toc30989"/>
      <w:bookmarkEnd w:id="277"/>
      <w:bookmarkStart w:id="278" w:name="_Toc40455285"/>
      <w:bookmarkEnd w:id="278"/>
      <w:bookmarkStart w:id="279" w:name="_Toc4806"/>
      <w:bookmarkEnd w:id="279"/>
      <w:bookmarkStart w:id="280" w:name="_Toc4662155"/>
      <w:bookmarkEnd w:id="280"/>
      <w:bookmarkStart w:id="281" w:name="_Toc40455658"/>
      <w:bookmarkEnd w:id="281"/>
      <w:bookmarkStart w:id="282" w:name="_Toc24734"/>
      <w:bookmarkStart w:id="283" w:name="_Toc22217"/>
      <w:r>
        <w:rPr>
          <w:rFonts w:hint="eastAsia" w:ascii="宋体" w:hAnsi="宋体"/>
          <w:sz w:val="21"/>
          <w:szCs w:val="21"/>
          <w:highlight w:val="none"/>
        </w:rPr>
        <w:t xml:space="preserve">2.  </w:t>
      </w:r>
      <w:bookmarkEnd w:id="282"/>
      <w:r>
        <w:rPr>
          <w:rFonts w:hint="eastAsia" w:ascii="黑体" w:hAnsi="宋体" w:cs="黑体"/>
          <w:sz w:val="21"/>
          <w:szCs w:val="21"/>
          <w:highlight w:val="none"/>
        </w:rPr>
        <w:t>竞争性比选文件</w:t>
      </w:r>
      <w:bookmarkEnd w:id="283"/>
    </w:p>
    <w:p>
      <w:pPr>
        <w:pStyle w:val="5"/>
        <w:widowControl/>
        <w:spacing w:before="0" w:after="0" w:line="300" w:lineRule="exact"/>
        <w:rPr>
          <w:rFonts w:ascii="宋体" w:hAnsi="宋体"/>
          <w:kern w:val="2"/>
          <w:sz w:val="21"/>
          <w:szCs w:val="21"/>
          <w:highlight w:val="none"/>
        </w:rPr>
      </w:pPr>
      <w:bookmarkStart w:id="284" w:name="_Toc4661920"/>
      <w:bookmarkEnd w:id="284"/>
      <w:bookmarkStart w:id="285" w:name="_Toc4662156"/>
      <w:bookmarkEnd w:id="285"/>
      <w:bookmarkStart w:id="286" w:name="_Toc224103332"/>
      <w:bookmarkEnd w:id="286"/>
      <w:bookmarkStart w:id="287" w:name="_Toc4661684"/>
      <w:bookmarkEnd w:id="287"/>
      <w:bookmarkStart w:id="288" w:name="_Toc277082567"/>
      <w:bookmarkEnd w:id="288"/>
      <w:bookmarkStart w:id="289" w:name="_Toc29861"/>
      <w:bookmarkEnd w:id="289"/>
      <w:bookmarkStart w:id="290" w:name="_Toc287607761"/>
      <w:bookmarkEnd w:id="290"/>
      <w:bookmarkStart w:id="291" w:name="_Toc40455286"/>
      <w:bookmarkEnd w:id="291"/>
      <w:bookmarkStart w:id="292" w:name="_Toc200513141"/>
      <w:bookmarkEnd w:id="292"/>
      <w:bookmarkStart w:id="293" w:name="_Toc40780268"/>
      <w:bookmarkEnd w:id="293"/>
      <w:bookmarkStart w:id="294" w:name="_Toc40455659"/>
      <w:bookmarkEnd w:id="294"/>
      <w:bookmarkStart w:id="295" w:name="_Toc4661442"/>
      <w:r>
        <w:rPr>
          <w:rFonts w:hint="eastAsia" w:ascii="宋体" w:hAnsi="宋体"/>
          <w:kern w:val="2"/>
          <w:sz w:val="21"/>
          <w:szCs w:val="21"/>
          <w:highlight w:val="none"/>
        </w:rPr>
        <w:t xml:space="preserve">2.1  </w:t>
      </w:r>
      <w:bookmarkEnd w:id="295"/>
      <w:r>
        <w:rPr>
          <w:rFonts w:hint="eastAsia" w:ascii="宋体" w:hAnsi="宋体" w:cs="宋体"/>
          <w:kern w:val="2"/>
          <w:sz w:val="21"/>
          <w:szCs w:val="21"/>
          <w:highlight w:val="none"/>
        </w:rPr>
        <w:t>竞争性比选文件的组成</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本竞争性比选文件包括：</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）竞争性比选公告；</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）报价人须知；</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3</w:t>
      </w:r>
      <w:r>
        <w:rPr>
          <w:rFonts w:hint="eastAsia" w:ascii="宋体" w:hAnsi="宋体" w:cs="宋体"/>
          <w:kern w:val="0"/>
          <w:szCs w:val="21"/>
          <w:highlight w:val="none"/>
          <w:lang w:bidi="ar"/>
        </w:rPr>
        <w:t>）</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办法；</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4</w:t>
      </w:r>
      <w:r>
        <w:rPr>
          <w:rFonts w:hint="eastAsia" w:ascii="宋体" w:hAnsi="宋体" w:cs="宋体"/>
          <w:kern w:val="0"/>
          <w:szCs w:val="21"/>
          <w:highlight w:val="none"/>
          <w:lang w:bidi="ar"/>
        </w:rPr>
        <w:t>）合同条款及格式；</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5</w:t>
      </w:r>
      <w:r>
        <w:rPr>
          <w:rFonts w:hint="eastAsia" w:ascii="宋体" w:hAnsi="宋体" w:cs="宋体"/>
          <w:kern w:val="0"/>
          <w:szCs w:val="21"/>
          <w:highlight w:val="none"/>
          <w:lang w:bidi="ar"/>
        </w:rPr>
        <w:t>）技术标准和要求；</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6</w:t>
      </w:r>
      <w:r>
        <w:rPr>
          <w:rFonts w:hint="eastAsia" w:ascii="宋体" w:hAnsi="宋体" w:cs="宋体"/>
          <w:kern w:val="0"/>
          <w:szCs w:val="21"/>
          <w:highlight w:val="none"/>
          <w:lang w:bidi="ar"/>
        </w:rPr>
        <w:t>）比选响应文件格式；</w:t>
      </w:r>
    </w:p>
    <w:p>
      <w:pPr>
        <w:pStyle w:val="170"/>
        <w:widowControl/>
        <w:spacing w:line="300" w:lineRule="exact"/>
        <w:ind w:firstLine="420"/>
        <w:rPr>
          <w:rFonts w:hint="default" w:cs="Calibri"/>
          <w:highlight w:val="none"/>
        </w:rPr>
      </w:pPr>
      <w:r>
        <w:rPr>
          <w:rFonts w:cs="宋体"/>
          <w:spacing w:val="0"/>
          <w:sz w:val="21"/>
          <w:szCs w:val="21"/>
          <w:highlight w:val="none"/>
        </w:rPr>
        <w:t>（</w:t>
      </w:r>
      <w:r>
        <w:rPr>
          <w:rFonts w:cs="MingLiU"/>
          <w:spacing w:val="0"/>
          <w:sz w:val="21"/>
          <w:szCs w:val="21"/>
          <w:highlight w:val="none"/>
        </w:rPr>
        <w:t>7）报价人须知前附表规定的其他材料。</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根据本章第</w:t>
      </w:r>
      <w:r>
        <w:rPr>
          <w:rFonts w:hint="eastAsia" w:ascii="宋体" w:hAnsi="宋体" w:cs="Calibri"/>
          <w:kern w:val="0"/>
          <w:szCs w:val="21"/>
          <w:highlight w:val="none"/>
          <w:lang w:bidi="ar"/>
        </w:rPr>
        <w:t>1.10</w:t>
      </w:r>
      <w:r>
        <w:rPr>
          <w:rFonts w:hint="eastAsia" w:ascii="宋体" w:hAnsi="宋体" w:cs="宋体"/>
          <w:kern w:val="0"/>
          <w:szCs w:val="21"/>
          <w:highlight w:val="none"/>
          <w:lang w:bidi="ar"/>
        </w:rPr>
        <w:t>款、第</w:t>
      </w:r>
      <w:r>
        <w:rPr>
          <w:rFonts w:hint="eastAsia" w:ascii="宋体" w:hAnsi="宋体" w:cs="Calibri"/>
          <w:kern w:val="0"/>
          <w:szCs w:val="21"/>
          <w:highlight w:val="none"/>
          <w:lang w:bidi="ar"/>
        </w:rPr>
        <w:t>2.2</w:t>
      </w:r>
      <w:r>
        <w:rPr>
          <w:rFonts w:hint="eastAsia" w:ascii="宋体" w:hAnsi="宋体" w:cs="宋体"/>
          <w:kern w:val="0"/>
          <w:szCs w:val="21"/>
          <w:highlight w:val="none"/>
          <w:lang w:bidi="ar"/>
        </w:rPr>
        <w:t>款和第</w:t>
      </w:r>
      <w:r>
        <w:rPr>
          <w:rFonts w:hint="eastAsia" w:ascii="宋体" w:hAnsi="宋体" w:cs="Calibri"/>
          <w:kern w:val="0"/>
          <w:szCs w:val="21"/>
          <w:highlight w:val="none"/>
          <w:lang w:bidi="ar"/>
        </w:rPr>
        <w:t>2.3</w:t>
      </w:r>
      <w:r>
        <w:rPr>
          <w:rFonts w:hint="eastAsia" w:ascii="宋体" w:hAnsi="宋体" w:cs="宋体"/>
          <w:kern w:val="0"/>
          <w:szCs w:val="21"/>
          <w:highlight w:val="none"/>
          <w:lang w:bidi="ar"/>
        </w:rPr>
        <w:t>款对竞争性比选文件所作的澄清、修改，构成竞争性比选文件的组成部分。</w:t>
      </w:r>
    </w:p>
    <w:p>
      <w:pPr>
        <w:pStyle w:val="5"/>
        <w:widowControl/>
        <w:spacing w:before="0" w:after="0" w:line="300" w:lineRule="exact"/>
        <w:rPr>
          <w:rFonts w:ascii="宋体" w:hAnsi="宋体"/>
          <w:kern w:val="2"/>
          <w:sz w:val="21"/>
          <w:szCs w:val="21"/>
          <w:highlight w:val="none"/>
        </w:rPr>
      </w:pPr>
      <w:bookmarkStart w:id="296" w:name="_Toc4662157"/>
      <w:bookmarkEnd w:id="296"/>
      <w:bookmarkStart w:id="297" w:name="_Toc224103333"/>
      <w:bookmarkEnd w:id="297"/>
      <w:bookmarkStart w:id="298" w:name="_Toc277082568"/>
      <w:bookmarkEnd w:id="298"/>
      <w:bookmarkStart w:id="299" w:name="_Toc4661921"/>
      <w:bookmarkEnd w:id="299"/>
      <w:bookmarkStart w:id="300" w:name="_Toc287607762"/>
      <w:bookmarkEnd w:id="300"/>
      <w:bookmarkStart w:id="301" w:name="_Toc4661443"/>
      <w:bookmarkEnd w:id="301"/>
      <w:bookmarkStart w:id="302" w:name="_Toc40455287"/>
      <w:bookmarkEnd w:id="302"/>
      <w:bookmarkStart w:id="303" w:name="_Toc32674"/>
      <w:bookmarkEnd w:id="303"/>
      <w:bookmarkStart w:id="304" w:name="_Toc40455660"/>
      <w:bookmarkEnd w:id="304"/>
      <w:bookmarkStart w:id="305" w:name="_Toc200513142"/>
      <w:bookmarkEnd w:id="305"/>
      <w:bookmarkStart w:id="306" w:name="_Toc40780269"/>
      <w:bookmarkEnd w:id="306"/>
      <w:bookmarkStart w:id="307" w:name="_Toc4661685"/>
      <w:r>
        <w:rPr>
          <w:rFonts w:hint="eastAsia" w:ascii="宋体" w:hAnsi="宋体"/>
          <w:kern w:val="2"/>
          <w:sz w:val="21"/>
          <w:szCs w:val="21"/>
          <w:highlight w:val="none"/>
        </w:rPr>
        <w:t xml:space="preserve">2.2  </w:t>
      </w:r>
      <w:bookmarkEnd w:id="307"/>
      <w:r>
        <w:rPr>
          <w:rFonts w:hint="eastAsia" w:ascii="宋体" w:hAnsi="宋体" w:cs="宋体"/>
          <w:kern w:val="2"/>
          <w:sz w:val="21"/>
          <w:szCs w:val="21"/>
          <w:highlight w:val="none"/>
        </w:rPr>
        <w:t>竞争性比选文件的澄清</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2.2.1  </w:t>
      </w:r>
      <w:r>
        <w:rPr>
          <w:rFonts w:hint="eastAsia" w:ascii="宋体" w:hAnsi="宋体" w:cs="宋体"/>
          <w:kern w:val="0"/>
          <w:szCs w:val="21"/>
          <w:highlight w:val="none"/>
          <w:lang w:bidi="ar"/>
        </w:rPr>
        <w:t>报价人应仔细阅读和检查竞争性比选文件的全部内容。如发现缺页或附件不全，应及时向采购人提出，以便补齐。如有疑问，应在报价人须知前附表规定的时间前提交质疑，要求采购人对竞争性比选文件予以澄清。</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2.2.2  </w:t>
      </w:r>
      <w:r>
        <w:rPr>
          <w:rFonts w:hint="eastAsia" w:ascii="宋体" w:hAnsi="宋体" w:eastAsia="宋体" w:cs="Calibri"/>
          <w:b w:val="0"/>
          <w:bCs w:val="0"/>
          <w:kern w:val="0"/>
          <w:sz w:val="21"/>
          <w:szCs w:val="21"/>
          <w:highlight w:val="none"/>
          <w:lang w:val="en-US" w:eastAsia="zh-CN" w:bidi="ar"/>
        </w:rPr>
        <w:t>竞争性比选文件的澄清将在报价人须知前附表规定的报价截止时间3天前在重庆高速集团官方网站发布答疑，但不指明澄清问题的来源。如果澄清发出的时间距报价截止时间不足3天，相应延长报价截止时间。</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position w:val="-2"/>
          <w:szCs w:val="21"/>
          <w:highlight w:val="none"/>
          <w:lang w:bidi="ar"/>
        </w:rPr>
        <w:t xml:space="preserve">2.2.3  </w:t>
      </w:r>
      <w:r>
        <w:rPr>
          <w:rFonts w:hint="eastAsia" w:ascii="宋体" w:hAnsi="宋体" w:cs="宋体"/>
          <w:kern w:val="0"/>
          <w:szCs w:val="21"/>
          <w:highlight w:val="none"/>
          <w:lang w:bidi="ar"/>
        </w:rPr>
        <w:t>补遗内容可能影响比选响应文件编制的，须在投标截止时间</w:t>
      </w:r>
      <w:r>
        <w:rPr>
          <w:rFonts w:hint="eastAsia" w:ascii="宋体" w:hAnsi="宋体" w:cs="宋体"/>
          <w:kern w:val="0"/>
          <w:szCs w:val="21"/>
          <w:highlight w:val="none"/>
          <w:lang w:val="en-US" w:eastAsia="zh-CN" w:bidi="ar"/>
        </w:rPr>
        <w:t>3</w:t>
      </w:r>
      <w:r>
        <w:rPr>
          <w:rFonts w:hint="eastAsia" w:ascii="宋体" w:hAnsi="宋体" w:cs="MingLiU"/>
          <w:kern w:val="0"/>
          <w:szCs w:val="21"/>
          <w:highlight w:val="none"/>
          <w:lang w:bidi="ar"/>
        </w:rPr>
        <w:t>日前发布，发布时间至投标截止时间不足</w:t>
      </w:r>
      <w:r>
        <w:rPr>
          <w:rFonts w:hint="eastAsia" w:ascii="宋体" w:hAnsi="宋体" w:cs="MingLiU"/>
          <w:kern w:val="0"/>
          <w:szCs w:val="21"/>
          <w:highlight w:val="none"/>
          <w:lang w:val="en-US" w:eastAsia="zh-CN" w:bidi="ar"/>
        </w:rPr>
        <w:t>3</w:t>
      </w:r>
      <w:r>
        <w:rPr>
          <w:rFonts w:hint="eastAsia" w:ascii="宋体" w:hAnsi="宋体" w:cs="MingLiU"/>
          <w:kern w:val="0"/>
          <w:szCs w:val="21"/>
          <w:highlight w:val="none"/>
          <w:lang w:bidi="ar"/>
        </w:rPr>
        <w:t>日的，须相应延后投标截止时间。</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MingLiU"/>
          <w:kern w:val="0"/>
          <w:szCs w:val="21"/>
          <w:highlight w:val="none"/>
          <w:lang w:bidi="ar"/>
        </w:rPr>
        <w:t xml:space="preserve">2.2.4  </w:t>
      </w:r>
      <w:r>
        <w:rPr>
          <w:rFonts w:hint="eastAsia" w:ascii="宋体" w:hAnsi="宋体" w:cs="宋体"/>
          <w:kern w:val="0"/>
          <w:position w:val="-2"/>
          <w:szCs w:val="21"/>
          <w:highlight w:val="none"/>
          <w:lang w:bidi="ar"/>
        </w:rPr>
        <w:t>报价人对竞争性比选文件和答疑补遗有异议的，应当在投标截止时间</w:t>
      </w:r>
      <w:r>
        <w:rPr>
          <w:rFonts w:hint="eastAsia" w:ascii="宋体" w:hAnsi="宋体" w:cs="Calibri"/>
          <w:kern w:val="0"/>
          <w:position w:val="-2"/>
          <w:szCs w:val="21"/>
          <w:highlight w:val="none"/>
          <w:lang w:bidi="ar"/>
        </w:rPr>
        <w:t>2日前，</w:t>
      </w:r>
      <w:r>
        <w:rPr>
          <w:rFonts w:hint="eastAsia" w:ascii="宋体" w:hAnsi="宋体" w:cs="宋体"/>
          <w:kern w:val="0"/>
          <w:position w:val="-2"/>
          <w:szCs w:val="21"/>
          <w:highlight w:val="none"/>
          <w:lang w:bidi="ar"/>
        </w:rPr>
        <w:t>以书面形式通知采购人</w:t>
      </w:r>
      <w:r>
        <w:rPr>
          <w:rFonts w:hint="eastAsia" w:ascii="宋体" w:hAnsi="宋体" w:cs="宋体"/>
          <w:kern w:val="0"/>
          <w:szCs w:val="21"/>
          <w:highlight w:val="none"/>
          <w:lang w:bidi="ar"/>
        </w:rPr>
        <w:t>或竞争性比选代理机构。采购人应当自收到异议之日起</w:t>
      </w:r>
      <w:r>
        <w:rPr>
          <w:rFonts w:hint="eastAsia" w:ascii="宋体" w:hAnsi="宋体" w:cs="MingLiU"/>
          <w:kern w:val="0"/>
          <w:szCs w:val="21"/>
          <w:highlight w:val="none"/>
          <w:lang w:bidi="ar"/>
        </w:rPr>
        <w:t>1日内做出答复，并将答复内容以补遗的形式在重庆高速集团官网及重庆高速集团招投标管理平台上</w:t>
      </w:r>
      <w:r>
        <w:rPr>
          <w:rFonts w:hint="eastAsia" w:ascii="宋体" w:hAnsi="宋体" w:cs="宋体"/>
          <w:kern w:val="0"/>
          <w:szCs w:val="21"/>
          <w:highlight w:val="none"/>
          <w:lang w:bidi="ar"/>
        </w:rPr>
        <w:t>发布。补遗内容可能影响比选响应文件编制的，须在投标截止时间</w:t>
      </w:r>
      <w:r>
        <w:rPr>
          <w:rFonts w:hint="eastAsia" w:ascii="宋体" w:hAnsi="宋体" w:cs="MingLiU"/>
          <w:kern w:val="0"/>
          <w:szCs w:val="21"/>
          <w:highlight w:val="none"/>
          <w:lang w:bidi="ar"/>
        </w:rPr>
        <w:t>1日前发布，发布时间至投标截止时间不足1日的，须相应延后投标截止时间。</w:t>
      </w:r>
    </w:p>
    <w:p>
      <w:pPr>
        <w:pStyle w:val="5"/>
        <w:widowControl/>
        <w:spacing w:before="0" w:after="0" w:line="300" w:lineRule="exact"/>
        <w:rPr>
          <w:rFonts w:ascii="宋体" w:hAnsi="宋体" w:cs="MingLiU"/>
          <w:b w:val="0"/>
          <w:sz w:val="21"/>
          <w:szCs w:val="21"/>
          <w:highlight w:val="none"/>
        </w:rPr>
      </w:pPr>
      <w:bookmarkStart w:id="308" w:name="_Toc40455288"/>
      <w:bookmarkEnd w:id="308"/>
      <w:bookmarkStart w:id="309" w:name="_Toc287607763"/>
      <w:bookmarkEnd w:id="309"/>
      <w:bookmarkStart w:id="310" w:name="_Toc4661922"/>
      <w:bookmarkEnd w:id="310"/>
      <w:bookmarkStart w:id="311" w:name="_Toc224103334"/>
      <w:bookmarkEnd w:id="311"/>
      <w:bookmarkStart w:id="312" w:name="_Toc4661686"/>
      <w:bookmarkEnd w:id="312"/>
      <w:bookmarkStart w:id="313" w:name="_Toc4662158"/>
      <w:bookmarkEnd w:id="313"/>
      <w:bookmarkStart w:id="314" w:name="_Toc40780270"/>
      <w:bookmarkEnd w:id="314"/>
      <w:bookmarkStart w:id="315" w:name="_Toc24909"/>
      <w:bookmarkEnd w:id="315"/>
      <w:bookmarkStart w:id="316" w:name="_Toc4661444"/>
      <w:bookmarkEnd w:id="316"/>
      <w:bookmarkStart w:id="317" w:name="_Toc200513143"/>
      <w:bookmarkEnd w:id="317"/>
      <w:bookmarkStart w:id="318" w:name="_Toc277082569"/>
      <w:bookmarkEnd w:id="318"/>
      <w:bookmarkStart w:id="319" w:name="_Toc40455661"/>
      <w:r>
        <w:rPr>
          <w:rFonts w:hint="eastAsia" w:ascii="宋体" w:hAnsi="宋体" w:cs="MingLiU"/>
          <w:b w:val="0"/>
          <w:sz w:val="21"/>
          <w:szCs w:val="21"/>
          <w:highlight w:val="none"/>
        </w:rPr>
        <w:t>1.11.2.严禁转包、转让中标项目，也不得将中标项目肢解后分别转包、转让，否则采购人有权取消中标人资格。</w:t>
      </w:r>
    </w:p>
    <w:p>
      <w:pPr>
        <w:pStyle w:val="5"/>
        <w:widowControl/>
        <w:spacing w:before="0" w:after="0" w:line="300" w:lineRule="exact"/>
        <w:rPr>
          <w:rFonts w:ascii="宋体" w:hAnsi="宋体"/>
          <w:kern w:val="2"/>
          <w:sz w:val="21"/>
          <w:szCs w:val="21"/>
          <w:highlight w:val="none"/>
        </w:rPr>
      </w:pPr>
      <w:r>
        <w:rPr>
          <w:rFonts w:hint="eastAsia" w:ascii="宋体" w:hAnsi="宋体"/>
          <w:kern w:val="2"/>
          <w:sz w:val="21"/>
          <w:szCs w:val="21"/>
          <w:highlight w:val="none"/>
        </w:rPr>
        <w:t xml:space="preserve">2.3  </w:t>
      </w:r>
      <w:bookmarkEnd w:id="319"/>
      <w:r>
        <w:rPr>
          <w:rFonts w:hint="eastAsia" w:ascii="宋体" w:hAnsi="宋体" w:cs="宋体"/>
          <w:kern w:val="2"/>
          <w:sz w:val="21"/>
          <w:szCs w:val="21"/>
          <w:highlight w:val="none"/>
        </w:rPr>
        <w:t>投标截止时间</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详见报价人须知前附表。</w:t>
      </w:r>
    </w:p>
    <w:p>
      <w:pPr>
        <w:pStyle w:val="4"/>
        <w:widowControl/>
        <w:spacing w:before="0" w:after="0" w:line="300" w:lineRule="exact"/>
        <w:rPr>
          <w:rFonts w:ascii="宋体" w:hAnsi="宋体"/>
          <w:sz w:val="21"/>
          <w:szCs w:val="21"/>
          <w:highlight w:val="none"/>
        </w:rPr>
      </w:pPr>
      <w:bookmarkStart w:id="320" w:name="_Toc4661445"/>
      <w:bookmarkEnd w:id="320"/>
      <w:bookmarkStart w:id="321" w:name="_Toc40455662"/>
      <w:bookmarkEnd w:id="321"/>
      <w:bookmarkStart w:id="322" w:name="_Toc4661923"/>
      <w:bookmarkEnd w:id="322"/>
      <w:bookmarkStart w:id="323" w:name="_Toc14104"/>
      <w:bookmarkEnd w:id="323"/>
      <w:bookmarkStart w:id="324" w:name="_Toc287607764"/>
      <w:bookmarkEnd w:id="324"/>
      <w:bookmarkStart w:id="325" w:name="_Toc200513144"/>
      <w:bookmarkEnd w:id="325"/>
      <w:bookmarkStart w:id="326" w:name="_Toc40455289"/>
      <w:bookmarkEnd w:id="326"/>
      <w:bookmarkStart w:id="327" w:name="_Toc4661687"/>
      <w:bookmarkEnd w:id="327"/>
      <w:bookmarkStart w:id="328" w:name="_Toc9348"/>
      <w:bookmarkEnd w:id="328"/>
      <w:bookmarkStart w:id="329" w:name="_Toc6118"/>
      <w:bookmarkEnd w:id="329"/>
      <w:bookmarkStart w:id="330" w:name="_Toc22553"/>
      <w:bookmarkEnd w:id="330"/>
      <w:bookmarkStart w:id="331" w:name="_Toc6279"/>
      <w:bookmarkEnd w:id="331"/>
      <w:bookmarkStart w:id="332" w:name="_Toc277082570"/>
      <w:bookmarkEnd w:id="332"/>
      <w:bookmarkStart w:id="333" w:name="_Toc4662159"/>
      <w:bookmarkEnd w:id="333"/>
      <w:bookmarkStart w:id="334" w:name="_Toc224103335"/>
      <w:bookmarkEnd w:id="334"/>
      <w:bookmarkStart w:id="335" w:name="_Toc26853"/>
      <w:bookmarkStart w:id="336" w:name="_Toc17070"/>
      <w:r>
        <w:rPr>
          <w:rFonts w:hint="eastAsia" w:ascii="宋体" w:hAnsi="宋体"/>
          <w:sz w:val="21"/>
          <w:szCs w:val="21"/>
          <w:highlight w:val="none"/>
        </w:rPr>
        <w:t xml:space="preserve">3.  </w:t>
      </w:r>
      <w:bookmarkEnd w:id="335"/>
      <w:r>
        <w:rPr>
          <w:rFonts w:hint="eastAsia" w:ascii="黑体" w:hAnsi="宋体" w:cs="黑体"/>
          <w:sz w:val="21"/>
          <w:szCs w:val="21"/>
          <w:highlight w:val="none"/>
        </w:rPr>
        <w:t>比选响应文件</w:t>
      </w:r>
      <w:bookmarkEnd w:id="336"/>
    </w:p>
    <w:p>
      <w:pPr>
        <w:pStyle w:val="5"/>
        <w:widowControl/>
        <w:spacing w:before="0" w:after="0" w:line="300" w:lineRule="exact"/>
        <w:rPr>
          <w:rFonts w:ascii="宋体" w:hAnsi="宋体"/>
          <w:kern w:val="2"/>
          <w:sz w:val="21"/>
          <w:szCs w:val="21"/>
          <w:highlight w:val="none"/>
        </w:rPr>
      </w:pPr>
      <w:bookmarkStart w:id="337" w:name="_Toc277082571"/>
      <w:bookmarkEnd w:id="337"/>
      <w:bookmarkStart w:id="338" w:name="_Toc40455663"/>
      <w:bookmarkEnd w:id="338"/>
      <w:bookmarkStart w:id="339" w:name="_Toc287607765"/>
      <w:bookmarkEnd w:id="339"/>
      <w:bookmarkStart w:id="340" w:name="_Toc200513145"/>
      <w:bookmarkEnd w:id="340"/>
      <w:bookmarkStart w:id="341" w:name="_Toc32064"/>
      <w:bookmarkEnd w:id="341"/>
      <w:bookmarkStart w:id="342" w:name="_Toc4661688"/>
      <w:bookmarkEnd w:id="342"/>
      <w:bookmarkStart w:id="343" w:name="_Toc4662160"/>
      <w:bookmarkEnd w:id="343"/>
      <w:bookmarkStart w:id="344" w:name="_Toc224103336"/>
      <w:bookmarkEnd w:id="344"/>
      <w:bookmarkStart w:id="345" w:name="_Toc40780272"/>
      <w:bookmarkEnd w:id="345"/>
      <w:bookmarkStart w:id="346" w:name="_Toc4661446"/>
      <w:bookmarkEnd w:id="346"/>
      <w:bookmarkStart w:id="347" w:name="_Toc40455290"/>
      <w:bookmarkEnd w:id="347"/>
      <w:bookmarkStart w:id="348" w:name="_Toc4661924"/>
      <w:r>
        <w:rPr>
          <w:rFonts w:hint="eastAsia" w:ascii="宋体" w:hAnsi="宋体"/>
          <w:kern w:val="2"/>
          <w:sz w:val="21"/>
          <w:szCs w:val="21"/>
          <w:highlight w:val="none"/>
        </w:rPr>
        <w:t xml:space="preserve">3.1  </w:t>
      </w:r>
      <w:bookmarkEnd w:id="348"/>
      <w:r>
        <w:rPr>
          <w:rFonts w:hint="eastAsia" w:ascii="宋体" w:hAnsi="宋体" w:cs="宋体"/>
          <w:kern w:val="2"/>
          <w:sz w:val="21"/>
          <w:szCs w:val="21"/>
          <w:highlight w:val="none"/>
        </w:rPr>
        <w:t>比选响应文件的组成</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szCs w:val="21"/>
          <w:highlight w:val="none"/>
          <w:lang w:bidi="ar"/>
        </w:rPr>
        <w:t xml:space="preserve">3.1.1 </w:t>
      </w:r>
      <w:r>
        <w:rPr>
          <w:rFonts w:hint="eastAsia" w:ascii="宋体" w:hAnsi="宋体" w:cs="宋体"/>
          <w:kern w:val="0"/>
          <w:szCs w:val="21"/>
          <w:highlight w:val="none"/>
          <w:lang w:bidi="ar"/>
        </w:rPr>
        <w:t>比选响应文件应包括下列内容：</w:t>
      </w:r>
    </w:p>
    <w:p>
      <w:pPr>
        <w:spacing w:line="300" w:lineRule="exact"/>
        <w:ind w:firstLine="420" w:firstLineChars="200"/>
        <w:rPr>
          <w:rFonts w:ascii="宋体" w:hAnsi="宋体" w:cs="Calibri"/>
          <w:szCs w:val="21"/>
          <w:highlight w:val="none"/>
        </w:rPr>
      </w:pPr>
      <w:r>
        <w:rPr>
          <w:rFonts w:hint="eastAsia" w:ascii="宋体" w:hAnsi="宋体" w:cs="Calibri"/>
          <w:szCs w:val="21"/>
          <w:highlight w:val="none"/>
          <w:lang w:bidi="ar"/>
        </w:rPr>
        <w:t xml:space="preserve">3.1.1.1 </w:t>
      </w:r>
      <w:r>
        <w:rPr>
          <w:rFonts w:hint="eastAsia" w:ascii="宋体" w:hAnsi="宋体" w:cs="宋体"/>
          <w:szCs w:val="21"/>
          <w:highlight w:val="none"/>
          <w:lang w:bidi="ar"/>
        </w:rPr>
        <w:t>比选响应文件及报价人与采购人之间与投标有关的来往通知、函件和文件均应使用中文。</w:t>
      </w:r>
    </w:p>
    <w:p>
      <w:pPr>
        <w:spacing w:line="300" w:lineRule="exact"/>
        <w:ind w:firstLine="420" w:firstLineChars="200"/>
        <w:rPr>
          <w:rFonts w:ascii="宋体" w:hAnsi="宋体" w:cs="Calibri"/>
          <w:szCs w:val="21"/>
          <w:highlight w:val="none"/>
        </w:rPr>
      </w:pPr>
      <w:r>
        <w:rPr>
          <w:rFonts w:hint="eastAsia" w:ascii="宋体" w:hAnsi="宋体" w:cs="Calibri"/>
          <w:szCs w:val="21"/>
          <w:highlight w:val="none"/>
          <w:lang w:bidi="ar"/>
        </w:rPr>
        <w:t>3.1.1.2比选响应文件由以下内容组成：</w:t>
      </w:r>
    </w:p>
    <w:p>
      <w:pPr>
        <w:spacing w:line="300" w:lineRule="exact"/>
        <w:ind w:firstLine="420" w:firstLineChars="200"/>
        <w:rPr>
          <w:rFonts w:ascii="宋体" w:hAnsi="宋体" w:cs="Calibri"/>
          <w:szCs w:val="21"/>
          <w:highlight w:val="none"/>
        </w:rPr>
      </w:pPr>
      <w:r>
        <w:rPr>
          <w:rFonts w:hint="eastAsia" w:ascii="宋体" w:hAnsi="宋体" w:cs="宋体"/>
          <w:szCs w:val="21"/>
          <w:highlight w:val="none"/>
          <w:lang w:bidi="ar"/>
        </w:rPr>
        <w:t>详见第九章</w:t>
      </w:r>
    </w:p>
    <w:p>
      <w:pPr>
        <w:pStyle w:val="5"/>
        <w:widowControl/>
        <w:spacing w:before="0" w:after="0" w:line="300" w:lineRule="exact"/>
        <w:rPr>
          <w:rFonts w:ascii="宋体" w:hAnsi="宋体"/>
          <w:kern w:val="2"/>
          <w:sz w:val="21"/>
          <w:szCs w:val="21"/>
          <w:highlight w:val="none"/>
        </w:rPr>
      </w:pPr>
      <w:bookmarkStart w:id="349" w:name="_Toc4661447"/>
      <w:bookmarkEnd w:id="349"/>
      <w:bookmarkStart w:id="350" w:name="_Toc4661689"/>
      <w:bookmarkEnd w:id="350"/>
      <w:bookmarkStart w:id="351" w:name="_Toc287607766"/>
      <w:bookmarkEnd w:id="351"/>
      <w:bookmarkStart w:id="352" w:name="_Toc200513146"/>
      <w:bookmarkEnd w:id="352"/>
      <w:bookmarkStart w:id="353" w:name="_Toc40455291"/>
      <w:bookmarkEnd w:id="353"/>
      <w:bookmarkStart w:id="354" w:name="_Toc224103337"/>
      <w:bookmarkEnd w:id="354"/>
      <w:bookmarkStart w:id="355" w:name="_Toc40455664"/>
      <w:bookmarkEnd w:id="355"/>
      <w:bookmarkStart w:id="356" w:name="_Toc27743"/>
      <w:bookmarkEnd w:id="356"/>
      <w:bookmarkStart w:id="357" w:name="_Toc4661925"/>
      <w:bookmarkEnd w:id="357"/>
      <w:bookmarkStart w:id="358" w:name="_Toc40780273"/>
      <w:bookmarkEnd w:id="358"/>
      <w:bookmarkStart w:id="359" w:name="_Toc277082572"/>
      <w:bookmarkEnd w:id="359"/>
      <w:bookmarkStart w:id="360" w:name="_Toc4662161"/>
      <w:r>
        <w:rPr>
          <w:rFonts w:hint="eastAsia" w:ascii="宋体" w:hAnsi="宋体"/>
          <w:kern w:val="2"/>
          <w:sz w:val="21"/>
          <w:szCs w:val="21"/>
          <w:highlight w:val="none"/>
        </w:rPr>
        <w:t xml:space="preserve">3.2  </w:t>
      </w:r>
      <w:bookmarkEnd w:id="360"/>
      <w:r>
        <w:rPr>
          <w:rFonts w:hint="eastAsia" w:ascii="宋体" w:hAnsi="宋体" w:cs="宋体"/>
          <w:kern w:val="2"/>
          <w:sz w:val="21"/>
          <w:szCs w:val="21"/>
          <w:highlight w:val="none"/>
        </w:rPr>
        <w:t>投标报价</w:t>
      </w:r>
    </w:p>
    <w:p>
      <w:pPr>
        <w:spacing w:line="300" w:lineRule="exact"/>
        <w:ind w:firstLine="420" w:firstLineChars="200"/>
        <w:rPr>
          <w:rFonts w:ascii="宋体" w:hAnsi="宋体" w:cs="MingLiU"/>
          <w:kern w:val="0"/>
          <w:szCs w:val="21"/>
          <w:highlight w:val="none"/>
        </w:rPr>
      </w:pPr>
      <w:r>
        <w:rPr>
          <w:rFonts w:hint="eastAsia" w:ascii="宋体" w:hAnsi="宋体" w:cs="宋体"/>
          <w:kern w:val="0"/>
          <w:szCs w:val="21"/>
          <w:highlight w:val="none"/>
          <w:lang w:bidi="ar"/>
        </w:rPr>
        <w:t>见本章报价人须知前附表。</w:t>
      </w:r>
      <w:bookmarkStart w:id="361" w:name="_Toc20908"/>
      <w:bookmarkEnd w:id="361"/>
      <w:bookmarkStart w:id="362" w:name="_Toc4661926"/>
      <w:bookmarkEnd w:id="362"/>
      <w:bookmarkStart w:id="363" w:name="_Toc40780274"/>
      <w:bookmarkEnd w:id="363"/>
      <w:bookmarkStart w:id="364" w:name="_Toc224103338"/>
      <w:bookmarkEnd w:id="364"/>
      <w:bookmarkStart w:id="365" w:name="_Toc277082573"/>
      <w:bookmarkEnd w:id="365"/>
      <w:bookmarkStart w:id="366" w:name="_Toc4661448"/>
      <w:bookmarkEnd w:id="366"/>
      <w:bookmarkStart w:id="367" w:name="_Toc200513147"/>
      <w:bookmarkEnd w:id="367"/>
      <w:bookmarkStart w:id="368" w:name="_Toc40455665"/>
      <w:bookmarkEnd w:id="368"/>
      <w:bookmarkStart w:id="369" w:name="_Toc4662162"/>
      <w:bookmarkEnd w:id="369"/>
      <w:bookmarkStart w:id="370" w:name="_Toc4661690"/>
      <w:bookmarkEnd w:id="370"/>
      <w:bookmarkStart w:id="371" w:name="_Toc287607767"/>
      <w:bookmarkEnd w:id="371"/>
    </w:p>
    <w:p>
      <w:pPr>
        <w:pStyle w:val="5"/>
        <w:widowControl/>
        <w:spacing w:before="0" w:after="0" w:line="300" w:lineRule="exact"/>
        <w:rPr>
          <w:rFonts w:ascii="宋体" w:hAnsi="宋体"/>
          <w:kern w:val="2"/>
          <w:sz w:val="21"/>
          <w:szCs w:val="21"/>
          <w:highlight w:val="none"/>
        </w:rPr>
      </w:pPr>
      <w:bookmarkStart w:id="372" w:name="_Toc224103339"/>
      <w:bookmarkEnd w:id="372"/>
      <w:bookmarkStart w:id="373" w:name="_Toc4661927"/>
      <w:bookmarkEnd w:id="373"/>
      <w:bookmarkStart w:id="374" w:name="_Toc40780275"/>
      <w:bookmarkEnd w:id="374"/>
      <w:bookmarkStart w:id="375" w:name="_Toc277082574"/>
      <w:bookmarkEnd w:id="375"/>
      <w:bookmarkStart w:id="376" w:name="_Toc4662163"/>
      <w:bookmarkEnd w:id="376"/>
      <w:bookmarkStart w:id="377" w:name="_Toc40455293"/>
      <w:bookmarkEnd w:id="377"/>
      <w:bookmarkStart w:id="378" w:name="_Toc200513148"/>
      <w:bookmarkEnd w:id="378"/>
      <w:bookmarkStart w:id="379" w:name="_Toc4661691"/>
      <w:bookmarkEnd w:id="379"/>
      <w:bookmarkStart w:id="380" w:name="_Toc287607768"/>
      <w:bookmarkEnd w:id="380"/>
      <w:bookmarkStart w:id="381" w:name="_Toc4661449"/>
      <w:bookmarkEnd w:id="381"/>
      <w:bookmarkStart w:id="382" w:name="_Toc40455666"/>
      <w:bookmarkEnd w:id="382"/>
      <w:bookmarkStart w:id="383" w:name="_Toc25463"/>
      <w:r>
        <w:rPr>
          <w:rFonts w:hint="eastAsia" w:ascii="宋体" w:hAnsi="宋体"/>
          <w:kern w:val="2"/>
          <w:sz w:val="21"/>
          <w:szCs w:val="21"/>
          <w:highlight w:val="none"/>
        </w:rPr>
        <w:t xml:space="preserve">3.3  </w:t>
      </w:r>
      <w:bookmarkEnd w:id="383"/>
      <w:r>
        <w:rPr>
          <w:rFonts w:hint="eastAsia" w:ascii="宋体" w:hAnsi="宋体" w:cs="宋体"/>
          <w:kern w:val="2"/>
          <w:sz w:val="21"/>
          <w:szCs w:val="21"/>
          <w:highlight w:val="none"/>
        </w:rPr>
        <w:t>保证金</w:t>
      </w:r>
    </w:p>
    <w:p>
      <w:pPr>
        <w:autoSpaceDE w:val="0"/>
        <w:autoSpaceDN w:val="0"/>
        <w:adjustRightInd w:val="0"/>
        <w:spacing w:line="300" w:lineRule="exact"/>
        <w:ind w:firstLine="420" w:firstLineChars="200"/>
        <w:rPr>
          <w:rFonts w:ascii="宋体" w:hAnsi="宋体" w:cs="MingLiU"/>
          <w:kern w:val="0"/>
          <w:szCs w:val="21"/>
          <w:highlight w:val="none"/>
        </w:rPr>
      </w:pPr>
      <w:r>
        <w:rPr>
          <w:rFonts w:hint="eastAsia" w:ascii="宋体" w:hAnsi="宋体" w:cs="Calibri"/>
          <w:kern w:val="0"/>
          <w:szCs w:val="21"/>
          <w:highlight w:val="none"/>
          <w:lang w:bidi="ar"/>
        </w:rPr>
        <w:t xml:space="preserve">3.3.1  </w:t>
      </w:r>
      <w:r>
        <w:rPr>
          <w:rFonts w:hint="eastAsia" w:ascii="宋体" w:hAnsi="宋体" w:cs="宋体"/>
          <w:kern w:val="0"/>
          <w:szCs w:val="21"/>
          <w:highlight w:val="none"/>
          <w:lang w:bidi="ar"/>
        </w:rPr>
        <w:t>报价人在递交比选响应文件的同时，应按报价人须知前附表规定的金额、担保形式递交投标保证金，并作为其比选响应文件的组成部分。联合体投标的，其投标保证金由牵头人递交，并应符合报价人须知前附表的规定。</w:t>
      </w:r>
    </w:p>
    <w:p>
      <w:pPr>
        <w:autoSpaceDE w:val="0"/>
        <w:autoSpaceDN w:val="0"/>
        <w:adjustRightInd w:val="0"/>
        <w:spacing w:line="300" w:lineRule="exact"/>
        <w:ind w:left="13" w:leftChars="6" w:firstLine="403" w:firstLineChars="192"/>
        <w:jc w:val="left"/>
        <w:rPr>
          <w:rFonts w:ascii="宋体" w:hAnsi="宋体" w:cs="MingLiU"/>
          <w:kern w:val="0"/>
          <w:szCs w:val="21"/>
          <w:highlight w:val="none"/>
        </w:rPr>
      </w:pPr>
      <w:r>
        <w:rPr>
          <w:rFonts w:hint="eastAsia" w:ascii="宋体" w:hAnsi="宋体" w:cs="Calibri"/>
          <w:kern w:val="0"/>
          <w:szCs w:val="21"/>
          <w:highlight w:val="none"/>
          <w:lang w:bidi="ar"/>
        </w:rPr>
        <w:t xml:space="preserve">3.3.2  </w:t>
      </w:r>
      <w:r>
        <w:rPr>
          <w:rFonts w:hint="eastAsia" w:ascii="宋体" w:hAnsi="宋体" w:cs="宋体"/>
          <w:kern w:val="0"/>
          <w:szCs w:val="21"/>
          <w:highlight w:val="none"/>
          <w:lang w:bidi="ar"/>
        </w:rPr>
        <w:t>报价人不按本章第</w:t>
      </w:r>
      <w:r>
        <w:rPr>
          <w:rFonts w:hint="eastAsia" w:ascii="宋体" w:hAnsi="宋体" w:cs="Calibri"/>
          <w:kern w:val="0"/>
          <w:szCs w:val="21"/>
          <w:highlight w:val="none"/>
          <w:lang w:bidi="ar"/>
        </w:rPr>
        <w:t xml:space="preserve"> 3.4.1 </w:t>
      </w:r>
      <w:r>
        <w:rPr>
          <w:rFonts w:hint="eastAsia" w:ascii="宋体" w:hAnsi="宋体" w:cs="宋体"/>
          <w:kern w:val="0"/>
          <w:szCs w:val="21"/>
          <w:highlight w:val="none"/>
          <w:lang w:bidi="ar"/>
        </w:rPr>
        <w:t>项要求提交投标保证金的，其比选响应文件作否决投标处理。</w:t>
      </w:r>
    </w:p>
    <w:p>
      <w:pPr>
        <w:autoSpaceDE w:val="0"/>
        <w:autoSpaceDN w:val="0"/>
        <w:adjustRightInd w:val="0"/>
        <w:spacing w:line="300" w:lineRule="exact"/>
        <w:ind w:left="13" w:leftChars="6" w:firstLine="403" w:firstLineChars="192"/>
        <w:jc w:val="left"/>
        <w:rPr>
          <w:rFonts w:ascii="宋体" w:hAnsi="宋体" w:cs="MingLiU"/>
          <w:kern w:val="0"/>
          <w:szCs w:val="21"/>
          <w:highlight w:val="none"/>
        </w:rPr>
      </w:pPr>
      <w:r>
        <w:rPr>
          <w:rFonts w:hint="eastAsia" w:ascii="宋体" w:hAnsi="宋体" w:cs="Calibri"/>
          <w:kern w:val="0"/>
          <w:szCs w:val="21"/>
          <w:highlight w:val="none"/>
          <w:lang w:bidi="ar"/>
        </w:rPr>
        <w:t xml:space="preserve">3.3.3  </w:t>
      </w:r>
      <w:r>
        <w:rPr>
          <w:rFonts w:hint="eastAsia" w:ascii="宋体" w:hAnsi="宋体" w:cs="宋体"/>
          <w:kern w:val="0"/>
          <w:szCs w:val="21"/>
          <w:highlight w:val="none"/>
          <w:lang w:bidi="ar"/>
        </w:rPr>
        <w:t>投标</w:t>
      </w:r>
      <w:r>
        <w:rPr>
          <w:rFonts w:hint="eastAsia" w:ascii="宋体" w:hAnsi="宋体" w:cs="宋体"/>
          <w:kern w:val="0"/>
          <w:position w:val="-2"/>
          <w:szCs w:val="21"/>
          <w:highlight w:val="none"/>
          <w:lang w:bidi="ar"/>
        </w:rPr>
        <w:t>保证金</w:t>
      </w:r>
      <w:r>
        <w:rPr>
          <w:rFonts w:hint="eastAsia" w:ascii="宋体" w:hAnsi="宋体" w:cs="宋体"/>
          <w:kern w:val="0"/>
          <w:szCs w:val="21"/>
          <w:highlight w:val="none"/>
          <w:lang w:bidi="ar"/>
        </w:rPr>
        <w:t>退还：见报价人须知前附表</w:t>
      </w:r>
      <w:r>
        <w:rPr>
          <w:rFonts w:hint="eastAsia" w:ascii="宋体" w:hAnsi="宋体" w:cs="宋体"/>
          <w:kern w:val="0"/>
          <w:position w:val="-2"/>
          <w:szCs w:val="21"/>
          <w:highlight w:val="none"/>
          <w:lang w:bidi="ar"/>
        </w:rPr>
        <w:t>。</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szCs w:val="21"/>
          <w:highlight w:val="none"/>
          <w:lang w:bidi="ar"/>
        </w:rPr>
        <w:t xml:space="preserve">3.3.4  </w:t>
      </w:r>
      <w:r>
        <w:rPr>
          <w:rFonts w:hint="eastAsia" w:ascii="宋体" w:hAnsi="宋体" w:cs="宋体"/>
          <w:kern w:val="0"/>
          <w:szCs w:val="21"/>
          <w:highlight w:val="none"/>
          <w:lang w:bidi="ar"/>
        </w:rPr>
        <w:t>有下列情形之一的，投标保证金将不予退还：</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）报价人在规定的投标有效期内撤销或修改其比选响应文件；</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）中标人在收到中标通知书后，无正当理由拒签合同协议书或未按竞争性比选文件规定提交履约担保；</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3）法律法规和本竞争性比选文件规定的其他情形。</w:t>
      </w:r>
    </w:p>
    <w:p>
      <w:pPr>
        <w:pStyle w:val="5"/>
        <w:widowControl/>
        <w:spacing w:before="0" w:after="0" w:line="300" w:lineRule="exact"/>
        <w:rPr>
          <w:rFonts w:ascii="宋体" w:hAnsi="宋体"/>
          <w:kern w:val="2"/>
          <w:sz w:val="21"/>
          <w:szCs w:val="21"/>
          <w:highlight w:val="none"/>
        </w:rPr>
      </w:pPr>
      <w:bookmarkStart w:id="384" w:name="_Toc7158"/>
      <w:bookmarkEnd w:id="384"/>
      <w:bookmarkStart w:id="385" w:name="_Toc40780276"/>
      <w:bookmarkEnd w:id="385"/>
      <w:bookmarkStart w:id="386" w:name="_Toc4662164"/>
      <w:bookmarkEnd w:id="386"/>
      <w:bookmarkStart w:id="387" w:name="_Toc4661928"/>
      <w:bookmarkEnd w:id="387"/>
      <w:bookmarkStart w:id="388" w:name="_Toc224103341"/>
      <w:bookmarkEnd w:id="388"/>
      <w:bookmarkStart w:id="389" w:name="_Toc40455667"/>
      <w:bookmarkEnd w:id="389"/>
      <w:bookmarkStart w:id="390" w:name="_Toc40455294"/>
      <w:bookmarkEnd w:id="390"/>
      <w:bookmarkStart w:id="391" w:name="_Toc4661692"/>
      <w:bookmarkEnd w:id="391"/>
      <w:bookmarkStart w:id="392" w:name="_Toc200513150"/>
      <w:bookmarkEnd w:id="392"/>
      <w:bookmarkStart w:id="393" w:name="_Toc287607770"/>
      <w:bookmarkEnd w:id="393"/>
      <w:bookmarkStart w:id="394" w:name="_Toc277082576"/>
      <w:bookmarkEnd w:id="394"/>
      <w:bookmarkStart w:id="395" w:name="_Toc4661450"/>
      <w:r>
        <w:rPr>
          <w:rFonts w:hint="eastAsia" w:ascii="宋体" w:hAnsi="宋体"/>
          <w:kern w:val="2"/>
          <w:sz w:val="21"/>
          <w:szCs w:val="21"/>
          <w:highlight w:val="none"/>
        </w:rPr>
        <w:t xml:space="preserve">3.4  </w:t>
      </w:r>
      <w:bookmarkEnd w:id="395"/>
      <w:r>
        <w:rPr>
          <w:rFonts w:hint="eastAsia" w:ascii="宋体" w:hAnsi="宋体" w:cs="宋体"/>
          <w:kern w:val="2"/>
          <w:sz w:val="21"/>
          <w:szCs w:val="21"/>
          <w:highlight w:val="none"/>
        </w:rPr>
        <w:t>资格审查资料</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详见报价人须知前附表。</w:t>
      </w:r>
    </w:p>
    <w:p>
      <w:pPr>
        <w:pStyle w:val="5"/>
        <w:widowControl/>
        <w:spacing w:before="0" w:after="0" w:line="300" w:lineRule="exact"/>
        <w:rPr>
          <w:rFonts w:ascii="宋体" w:hAnsi="宋体"/>
          <w:kern w:val="2"/>
          <w:sz w:val="21"/>
          <w:szCs w:val="21"/>
          <w:highlight w:val="none"/>
        </w:rPr>
      </w:pPr>
      <w:bookmarkStart w:id="396" w:name="_Toc224103342"/>
      <w:bookmarkEnd w:id="396"/>
      <w:bookmarkStart w:id="397" w:name="_Toc4661451"/>
      <w:bookmarkEnd w:id="397"/>
      <w:bookmarkStart w:id="398" w:name="_Toc277082577"/>
      <w:bookmarkEnd w:id="398"/>
      <w:bookmarkStart w:id="399" w:name="_Toc40780277"/>
      <w:bookmarkEnd w:id="399"/>
      <w:bookmarkStart w:id="400" w:name="_Toc20488"/>
      <w:bookmarkEnd w:id="400"/>
      <w:bookmarkStart w:id="401" w:name="_Toc4661693"/>
      <w:bookmarkEnd w:id="401"/>
      <w:bookmarkStart w:id="402" w:name="_Toc40455295"/>
      <w:bookmarkEnd w:id="402"/>
      <w:bookmarkStart w:id="403" w:name="_Toc287607771"/>
      <w:bookmarkEnd w:id="403"/>
      <w:bookmarkStart w:id="404" w:name="_Toc40455668"/>
      <w:bookmarkEnd w:id="404"/>
      <w:bookmarkStart w:id="405" w:name="_Toc200513151"/>
      <w:bookmarkEnd w:id="405"/>
      <w:bookmarkStart w:id="406" w:name="_Toc4662165"/>
      <w:bookmarkEnd w:id="406"/>
      <w:bookmarkStart w:id="407" w:name="_Toc4661929"/>
      <w:r>
        <w:rPr>
          <w:rFonts w:hint="eastAsia" w:ascii="宋体" w:hAnsi="宋体"/>
          <w:kern w:val="2"/>
          <w:sz w:val="21"/>
          <w:szCs w:val="21"/>
          <w:highlight w:val="none"/>
        </w:rPr>
        <w:t xml:space="preserve">3.5 </w:t>
      </w:r>
      <w:bookmarkEnd w:id="407"/>
      <w:r>
        <w:rPr>
          <w:rFonts w:hint="eastAsia" w:ascii="宋体" w:hAnsi="宋体" w:cs="宋体"/>
          <w:kern w:val="2"/>
          <w:sz w:val="21"/>
          <w:szCs w:val="21"/>
          <w:highlight w:val="none"/>
        </w:rPr>
        <w:t>备选投标方案</w:t>
      </w:r>
    </w:p>
    <w:p>
      <w:pPr>
        <w:autoSpaceDE w:val="0"/>
        <w:autoSpaceDN w:val="0"/>
        <w:adjustRightInd w:val="0"/>
        <w:spacing w:line="300" w:lineRule="exact"/>
        <w:ind w:left="120" w:right="-109" w:firstLine="420"/>
        <w:jc w:val="left"/>
        <w:rPr>
          <w:rFonts w:ascii="宋体" w:hAnsi="宋体" w:cs="黑体"/>
          <w:kern w:val="0"/>
          <w:szCs w:val="21"/>
          <w:highlight w:val="none"/>
        </w:rPr>
      </w:pPr>
      <w:bookmarkStart w:id="408" w:name="_Toc224103343"/>
      <w:bookmarkEnd w:id="408"/>
      <w:bookmarkStart w:id="409" w:name="_Toc287607772"/>
      <w:bookmarkEnd w:id="409"/>
      <w:bookmarkStart w:id="410" w:name="_Toc4661930"/>
      <w:bookmarkEnd w:id="410"/>
      <w:bookmarkStart w:id="411" w:name="_Toc4661694"/>
      <w:bookmarkEnd w:id="411"/>
      <w:bookmarkStart w:id="412" w:name="_Toc4661452"/>
      <w:bookmarkEnd w:id="412"/>
      <w:bookmarkStart w:id="413" w:name="_Toc277082578"/>
      <w:bookmarkEnd w:id="413"/>
      <w:bookmarkStart w:id="414" w:name="_Toc200513152"/>
      <w:bookmarkEnd w:id="414"/>
      <w:bookmarkStart w:id="415" w:name="_Toc4662166"/>
      <w:r>
        <w:rPr>
          <w:rFonts w:hint="eastAsia" w:ascii="宋体" w:hAnsi="宋体" w:cs="宋体"/>
          <w:kern w:val="0"/>
          <w:szCs w:val="21"/>
          <w:highlight w:val="none"/>
          <w:lang w:bidi="ar"/>
        </w:rPr>
        <w:t>采购人不接受报价人的备选投标方案。</w:t>
      </w:r>
      <w:bookmarkEnd w:id="415"/>
    </w:p>
    <w:p>
      <w:pPr>
        <w:pStyle w:val="5"/>
        <w:widowControl/>
        <w:spacing w:before="0" w:after="0" w:line="300" w:lineRule="exact"/>
        <w:rPr>
          <w:rFonts w:ascii="宋体" w:hAnsi="宋体"/>
          <w:kern w:val="2"/>
          <w:sz w:val="21"/>
          <w:szCs w:val="21"/>
          <w:highlight w:val="none"/>
        </w:rPr>
      </w:pPr>
      <w:bookmarkStart w:id="416" w:name="_Toc26001"/>
      <w:bookmarkEnd w:id="416"/>
      <w:bookmarkStart w:id="417" w:name="_Toc40780278"/>
      <w:bookmarkEnd w:id="417"/>
      <w:bookmarkStart w:id="418" w:name="_Toc40455669"/>
      <w:bookmarkEnd w:id="418"/>
      <w:bookmarkStart w:id="419" w:name="_Toc40455296"/>
      <w:r>
        <w:rPr>
          <w:rFonts w:hint="eastAsia" w:ascii="宋体" w:hAnsi="宋体"/>
          <w:kern w:val="2"/>
          <w:sz w:val="21"/>
          <w:szCs w:val="21"/>
          <w:highlight w:val="none"/>
        </w:rPr>
        <w:t>3</w:t>
      </w:r>
      <w:bookmarkEnd w:id="419"/>
      <w:r>
        <w:rPr>
          <w:rFonts w:hint="eastAsia" w:ascii="宋体" w:hAnsi="宋体"/>
          <w:kern w:val="2"/>
          <w:sz w:val="21"/>
          <w:szCs w:val="21"/>
          <w:highlight w:val="none"/>
        </w:rPr>
        <w:t xml:space="preserve">.6  </w:t>
      </w:r>
      <w:r>
        <w:rPr>
          <w:rFonts w:hint="eastAsia" w:ascii="宋体" w:hAnsi="宋体" w:cs="宋体"/>
          <w:kern w:val="2"/>
          <w:sz w:val="21"/>
          <w:szCs w:val="21"/>
          <w:highlight w:val="none"/>
        </w:rPr>
        <w:t>比选响应文件的编制</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3.6.1  </w:t>
      </w:r>
      <w:r>
        <w:rPr>
          <w:rFonts w:hint="eastAsia" w:ascii="宋体" w:hAnsi="宋体" w:cs="宋体"/>
          <w:kern w:val="0"/>
          <w:szCs w:val="21"/>
          <w:highlight w:val="none"/>
          <w:lang w:bidi="ar"/>
        </w:rPr>
        <w:t>比选响应文件应按第九章</w:t>
      </w:r>
      <w:r>
        <w:rPr>
          <w:rFonts w:hint="eastAsia" w:ascii="宋体" w:hAnsi="宋体" w:cs="MingLiU"/>
          <w:kern w:val="0"/>
          <w:szCs w:val="21"/>
          <w:highlight w:val="none"/>
          <w:lang w:bidi="ar"/>
        </w:rPr>
        <w:t>“比选响应文件格式”进行编写，如有必要，可以增加附页，作为比选响应文件的组成部分。其中，投标函附录在满足竞争性比选文件实质性要求的基础上，可以提出比竞争性比选文件要求更有利于采购人的承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3.6.2  </w:t>
      </w:r>
      <w:r>
        <w:rPr>
          <w:rFonts w:hint="eastAsia" w:ascii="宋体" w:hAnsi="宋体" w:cs="宋体"/>
          <w:kern w:val="0"/>
          <w:szCs w:val="21"/>
          <w:highlight w:val="none"/>
          <w:lang w:bidi="ar"/>
        </w:rPr>
        <w:t>比选响应文件应当对竞争性比选文件有关工期、投标有效期、质量要求、技术标准和要求、服务要求、竞争性比选范围等实质性内容做出响应。</w:t>
      </w:r>
    </w:p>
    <w:p>
      <w:pPr>
        <w:autoSpaceDE w:val="0"/>
        <w:autoSpaceDN w:val="0"/>
        <w:adjustRightInd w:val="0"/>
        <w:spacing w:line="300" w:lineRule="exact"/>
        <w:ind w:firstLine="424" w:firstLineChars="202"/>
        <w:jc w:val="left"/>
        <w:rPr>
          <w:rFonts w:ascii="宋体" w:hAnsi="宋体" w:cs="MingLiU"/>
          <w:kern w:val="0"/>
          <w:szCs w:val="21"/>
          <w:highlight w:val="none"/>
        </w:rPr>
      </w:pPr>
      <w:r>
        <w:rPr>
          <w:rFonts w:hint="eastAsia" w:ascii="宋体" w:hAnsi="宋体" w:cs="Calibri"/>
          <w:kern w:val="0"/>
          <w:position w:val="-2"/>
          <w:szCs w:val="21"/>
          <w:highlight w:val="none"/>
          <w:lang w:bidi="ar"/>
        </w:rPr>
        <w:t xml:space="preserve">3.6.3  </w:t>
      </w:r>
      <w:r>
        <w:rPr>
          <w:rFonts w:hint="eastAsia" w:ascii="宋体" w:hAnsi="宋体" w:cs="宋体"/>
          <w:kern w:val="0"/>
          <w:position w:val="-2"/>
          <w:szCs w:val="21"/>
          <w:highlight w:val="none"/>
          <w:lang w:bidi="ar"/>
        </w:rPr>
        <w:t>比选响应文件应用不褪色的材料书写或打印，并由报价人的法定代表人或其委托代理</w:t>
      </w:r>
      <w:r>
        <w:rPr>
          <w:rFonts w:hint="eastAsia" w:ascii="宋体" w:hAnsi="宋体" w:cs="宋体"/>
          <w:kern w:val="0"/>
          <w:szCs w:val="21"/>
          <w:highlight w:val="none"/>
          <w:lang w:bidi="ar"/>
        </w:rPr>
        <w:t>人签字、盖单位公章。委托代理人签字的，比选响应文件应附法定代表人签署的授权委托书。比选响应文件应尽量避免涂改、行间插字或删除。如果出现上述情况，改动之处应加盖单位公章或由报价人的法定代表人或其授权的代理人签字确认。签字或盖章的具体要求见报价人须知前附表。</w:t>
      </w:r>
    </w:p>
    <w:p>
      <w:pPr>
        <w:autoSpaceDE w:val="0"/>
        <w:autoSpaceDN w:val="0"/>
        <w:adjustRightInd w:val="0"/>
        <w:spacing w:line="300" w:lineRule="exact"/>
        <w:ind w:right="-164" w:firstLine="426"/>
        <w:jc w:val="left"/>
        <w:rPr>
          <w:rFonts w:ascii="宋体" w:hAnsi="宋体" w:cs="MingLiU"/>
          <w:kern w:val="0"/>
          <w:szCs w:val="21"/>
          <w:highlight w:val="none"/>
        </w:rPr>
      </w:pPr>
      <w:r>
        <w:rPr>
          <w:rFonts w:hint="eastAsia" w:ascii="宋体" w:hAnsi="宋体" w:cs="Calibri"/>
          <w:kern w:val="0"/>
          <w:szCs w:val="21"/>
          <w:highlight w:val="none"/>
          <w:lang w:bidi="ar"/>
        </w:rPr>
        <w:t xml:space="preserve">3.6.4  </w:t>
      </w:r>
      <w:r>
        <w:rPr>
          <w:rFonts w:hint="eastAsia" w:ascii="宋体" w:hAnsi="宋体" w:cs="宋体"/>
          <w:kern w:val="0"/>
          <w:szCs w:val="21"/>
          <w:highlight w:val="none"/>
          <w:lang w:bidi="ar"/>
        </w:rPr>
        <w:t>比选响应文件正本一份，副本份数见报价人须知前附表。正本和副本的封面上应清楚地标记</w:t>
      </w:r>
      <w:r>
        <w:rPr>
          <w:rFonts w:hint="eastAsia" w:ascii="宋体" w:hAnsi="宋体" w:cs="MingLiU"/>
          <w:kern w:val="0"/>
          <w:szCs w:val="21"/>
          <w:highlight w:val="none"/>
          <w:lang w:bidi="ar"/>
        </w:rPr>
        <w:t>“正本”或“副本”的字样，正本和副本封面均须加盖单位公章（鲜章）。当副本和正本不一致时，以正本为准。</w:t>
      </w:r>
    </w:p>
    <w:p>
      <w:pPr>
        <w:autoSpaceDE w:val="0"/>
        <w:autoSpaceDN w:val="0"/>
        <w:adjustRightInd w:val="0"/>
        <w:spacing w:line="300" w:lineRule="exact"/>
        <w:ind w:right="-109" w:firstLine="426"/>
        <w:jc w:val="left"/>
        <w:rPr>
          <w:rFonts w:ascii="宋体" w:hAnsi="宋体" w:cs="MingLiU"/>
          <w:kern w:val="0"/>
          <w:szCs w:val="21"/>
          <w:highlight w:val="none"/>
        </w:rPr>
      </w:pPr>
      <w:r>
        <w:rPr>
          <w:rFonts w:hint="eastAsia" w:ascii="宋体" w:hAnsi="宋体" w:cs="Calibri"/>
          <w:kern w:val="0"/>
          <w:szCs w:val="21"/>
          <w:highlight w:val="none"/>
          <w:lang w:bidi="ar"/>
        </w:rPr>
        <w:t xml:space="preserve">3.6.5  </w:t>
      </w:r>
      <w:r>
        <w:rPr>
          <w:rFonts w:hint="eastAsia" w:ascii="宋体" w:hAnsi="宋体" w:cs="宋体"/>
          <w:kern w:val="0"/>
          <w:szCs w:val="21"/>
          <w:highlight w:val="none"/>
          <w:lang w:bidi="ar"/>
        </w:rPr>
        <w:t>比选响应文件的正本与副本应分别装订成册，并编制目录，具体装订要求见报价人须知前附表规定。</w:t>
      </w:r>
    </w:p>
    <w:p>
      <w:pPr>
        <w:pStyle w:val="4"/>
        <w:widowControl/>
        <w:spacing w:before="0" w:after="0" w:line="300" w:lineRule="exact"/>
        <w:rPr>
          <w:rFonts w:ascii="宋体" w:hAnsi="宋体"/>
          <w:sz w:val="21"/>
          <w:szCs w:val="21"/>
          <w:highlight w:val="none"/>
        </w:rPr>
      </w:pPr>
      <w:bookmarkStart w:id="420" w:name="_Toc28775"/>
      <w:bookmarkEnd w:id="420"/>
      <w:bookmarkStart w:id="421" w:name="_Toc277082579"/>
      <w:bookmarkEnd w:id="421"/>
      <w:bookmarkStart w:id="422" w:name="_Toc200513153"/>
      <w:bookmarkEnd w:id="422"/>
      <w:bookmarkStart w:id="423" w:name="_Toc224103344"/>
      <w:bookmarkEnd w:id="423"/>
      <w:bookmarkStart w:id="424" w:name="_Toc4661695"/>
      <w:bookmarkEnd w:id="424"/>
      <w:bookmarkStart w:id="425" w:name="_Toc40455297"/>
      <w:bookmarkEnd w:id="425"/>
      <w:bookmarkStart w:id="426" w:name="_Toc30351"/>
      <w:bookmarkEnd w:id="426"/>
      <w:bookmarkStart w:id="427" w:name="_Toc4662167"/>
      <w:bookmarkEnd w:id="427"/>
      <w:bookmarkStart w:id="428" w:name="_Toc16777"/>
      <w:bookmarkEnd w:id="428"/>
      <w:bookmarkStart w:id="429" w:name="_Toc4661453"/>
      <w:bookmarkEnd w:id="429"/>
      <w:bookmarkStart w:id="430" w:name="_Toc287607773"/>
      <w:bookmarkEnd w:id="430"/>
      <w:bookmarkStart w:id="431" w:name="_Toc4661931"/>
      <w:bookmarkEnd w:id="431"/>
      <w:bookmarkStart w:id="432" w:name="_Toc778"/>
      <w:bookmarkEnd w:id="432"/>
      <w:bookmarkStart w:id="433" w:name="_Toc40455670"/>
      <w:bookmarkEnd w:id="433"/>
      <w:bookmarkStart w:id="434" w:name="_Toc7095"/>
      <w:bookmarkEnd w:id="434"/>
      <w:bookmarkStart w:id="435" w:name="_Toc4633"/>
      <w:bookmarkStart w:id="436" w:name="_Toc13926"/>
      <w:r>
        <w:rPr>
          <w:rFonts w:hint="eastAsia" w:ascii="宋体" w:hAnsi="宋体"/>
          <w:sz w:val="21"/>
          <w:szCs w:val="21"/>
          <w:highlight w:val="none"/>
        </w:rPr>
        <w:t xml:space="preserve">4.  </w:t>
      </w:r>
      <w:bookmarkEnd w:id="435"/>
      <w:r>
        <w:rPr>
          <w:rFonts w:hint="eastAsia" w:ascii="黑体" w:hAnsi="宋体" w:cs="黑体"/>
          <w:sz w:val="21"/>
          <w:szCs w:val="21"/>
          <w:highlight w:val="none"/>
        </w:rPr>
        <w:t>投标</w:t>
      </w:r>
      <w:bookmarkEnd w:id="436"/>
    </w:p>
    <w:p>
      <w:pPr>
        <w:pStyle w:val="5"/>
        <w:widowControl/>
        <w:spacing w:before="0" w:after="0" w:line="300" w:lineRule="exact"/>
        <w:rPr>
          <w:rFonts w:ascii="宋体" w:hAnsi="宋体"/>
          <w:kern w:val="2"/>
          <w:sz w:val="21"/>
          <w:szCs w:val="21"/>
          <w:highlight w:val="none"/>
        </w:rPr>
      </w:pPr>
      <w:bookmarkStart w:id="437" w:name="_Toc40780280"/>
      <w:bookmarkEnd w:id="437"/>
      <w:bookmarkStart w:id="438" w:name="_Toc4661454"/>
      <w:bookmarkEnd w:id="438"/>
      <w:bookmarkStart w:id="439" w:name="_Toc4661696"/>
      <w:bookmarkEnd w:id="439"/>
      <w:bookmarkStart w:id="440" w:name="_Toc40455671"/>
      <w:bookmarkEnd w:id="440"/>
      <w:bookmarkStart w:id="441" w:name="_Toc287607774"/>
      <w:bookmarkEnd w:id="441"/>
      <w:bookmarkStart w:id="442" w:name="_Toc4661932"/>
      <w:bookmarkEnd w:id="442"/>
      <w:bookmarkStart w:id="443" w:name="_Toc2952"/>
      <w:bookmarkEnd w:id="443"/>
      <w:bookmarkStart w:id="444" w:name="_Toc4662168"/>
      <w:bookmarkEnd w:id="444"/>
      <w:bookmarkStart w:id="445" w:name="_Toc277082580"/>
      <w:bookmarkEnd w:id="445"/>
      <w:bookmarkStart w:id="446" w:name="_Toc200513154"/>
      <w:bookmarkEnd w:id="446"/>
      <w:bookmarkStart w:id="447" w:name="_Toc40455298"/>
      <w:bookmarkEnd w:id="447"/>
      <w:bookmarkStart w:id="448" w:name="_Toc224103345"/>
      <w:r>
        <w:rPr>
          <w:rFonts w:hint="eastAsia" w:ascii="宋体" w:hAnsi="宋体"/>
          <w:kern w:val="2"/>
          <w:sz w:val="21"/>
          <w:szCs w:val="21"/>
          <w:highlight w:val="none"/>
        </w:rPr>
        <w:t xml:space="preserve">4.1  </w:t>
      </w:r>
      <w:bookmarkEnd w:id="448"/>
      <w:r>
        <w:rPr>
          <w:rFonts w:hint="eastAsia" w:ascii="宋体" w:hAnsi="宋体" w:cs="宋体"/>
          <w:kern w:val="2"/>
          <w:sz w:val="21"/>
          <w:szCs w:val="21"/>
          <w:highlight w:val="none"/>
        </w:rPr>
        <w:t>比选响应文件的密封和标记</w:t>
      </w:r>
    </w:p>
    <w:p>
      <w:pPr>
        <w:autoSpaceDE w:val="0"/>
        <w:autoSpaceDN w:val="0"/>
        <w:adjustRightInd w:val="0"/>
        <w:spacing w:line="300" w:lineRule="exact"/>
        <w:ind w:left="359" w:leftChars="171"/>
        <w:jc w:val="left"/>
        <w:rPr>
          <w:rFonts w:ascii="宋体" w:hAnsi="宋体" w:cs="MingLiU"/>
          <w:kern w:val="0"/>
          <w:szCs w:val="21"/>
          <w:highlight w:val="none"/>
        </w:rPr>
      </w:pPr>
      <w:bookmarkStart w:id="449" w:name="_Toc200513155"/>
      <w:bookmarkEnd w:id="449"/>
      <w:r>
        <w:rPr>
          <w:rFonts w:hint="eastAsia" w:ascii="宋体" w:hAnsi="宋体" w:cs="MingLiU"/>
          <w:kern w:val="0"/>
          <w:szCs w:val="21"/>
          <w:highlight w:val="none"/>
          <w:lang w:bidi="ar"/>
        </w:rPr>
        <w:t>4.1.1  比选响应文件的正本与副本密封见报价人须知前附表。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MingLiU"/>
          <w:kern w:val="0"/>
          <w:szCs w:val="21"/>
          <w:highlight w:val="none"/>
          <w:lang w:bidi="ar"/>
        </w:rPr>
        <w:t>4.1.2  比选响应文件的封套上应写明的内容见报价人须知前附表。</w:t>
      </w:r>
    </w:p>
    <w:p>
      <w:pPr>
        <w:pStyle w:val="5"/>
        <w:widowControl/>
        <w:spacing w:before="0" w:after="0" w:line="300" w:lineRule="exact"/>
        <w:rPr>
          <w:rFonts w:ascii="宋体" w:hAnsi="宋体"/>
          <w:kern w:val="2"/>
          <w:sz w:val="21"/>
          <w:szCs w:val="21"/>
          <w:highlight w:val="none"/>
        </w:rPr>
      </w:pPr>
      <w:bookmarkStart w:id="450" w:name="_Toc28009"/>
      <w:bookmarkEnd w:id="450"/>
      <w:bookmarkStart w:id="451" w:name="_Toc40455299"/>
      <w:bookmarkEnd w:id="451"/>
      <w:bookmarkStart w:id="452" w:name="_Toc4661455"/>
      <w:bookmarkEnd w:id="452"/>
      <w:bookmarkStart w:id="453" w:name="_Toc4661933"/>
      <w:bookmarkEnd w:id="453"/>
      <w:bookmarkStart w:id="454" w:name="_Toc4662169"/>
      <w:bookmarkEnd w:id="454"/>
      <w:bookmarkStart w:id="455" w:name="_Toc4661697"/>
      <w:bookmarkEnd w:id="455"/>
      <w:bookmarkStart w:id="456" w:name="_Toc224103346"/>
      <w:bookmarkEnd w:id="456"/>
      <w:bookmarkStart w:id="457" w:name="_Toc277082581"/>
      <w:bookmarkEnd w:id="457"/>
      <w:bookmarkStart w:id="458" w:name="_Toc40780281"/>
      <w:bookmarkEnd w:id="458"/>
      <w:bookmarkStart w:id="459" w:name="_Toc40455672"/>
      <w:bookmarkEnd w:id="459"/>
      <w:bookmarkStart w:id="460" w:name="_Toc287607775"/>
      <w:r>
        <w:rPr>
          <w:rFonts w:hint="eastAsia" w:ascii="宋体" w:hAnsi="宋体"/>
          <w:kern w:val="2"/>
          <w:sz w:val="21"/>
          <w:szCs w:val="21"/>
          <w:highlight w:val="none"/>
        </w:rPr>
        <w:t xml:space="preserve">4.2  </w:t>
      </w:r>
      <w:bookmarkEnd w:id="460"/>
      <w:r>
        <w:rPr>
          <w:rFonts w:hint="eastAsia" w:ascii="宋体" w:hAnsi="宋体" w:cs="宋体"/>
          <w:kern w:val="2"/>
          <w:sz w:val="21"/>
          <w:szCs w:val="21"/>
          <w:highlight w:val="none"/>
        </w:rPr>
        <w:t>比选响应文件的递交</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4.2.1  </w:t>
      </w:r>
      <w:r>
        <w:rPr>
          <w:rFonts w:hint="eastAsia" w:ascii="宋体" w:hAnsi="宋体" w:cs="宋体"/>
          <w:kern w:val="0"/>
          <w:szCs w:val="21"/>
          <w:highlight w:val="none"/>
          <w:lang w:bidi="ar"/>
        </w:rPr>
        <w:t>报价人应在本章第</w:t>
      </w:r>
      <w:r>
        <w:rPr>
          <w:rFonts w:hint="eastAsia" w:ascii="宋体" w:hAnsi="宋体" w:cs="Calibri"/>
          <w:kern w:val="0"/>
          <w:szCs w:val="21"/>
          <w:highlight w:val="none"/>
          <w:lang w:bidi="ar"/>
        </w:rPr>
        <w:t xml:space="preserve"> 2.2.2 </w:t>
      </w:r>
      <w:r>
        <w:rPr>
          <w:rFonts w:hint="eastAsia" w:ascii="宋体" w:hAnsi="宋体" w:cs="宋体"/>
          <w:kern w:val="0"/>
          <w:szCs w:val="21"/>
          <w:highlight w:val="none"/>
          <w:lang w:bidi="ar"/>
        </w:rPr>
        <w:t>项规定的投标截止时间前递交比选响应文件。</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4.2.2  </w:t>
      </w:r>
      <w:r>
        <w:rPr>
          <w:rFonts w:hint="eastAsia" w:ascii="宋体" w:hAnsi="宋体" w:cs="宋体"/>
          <w:kern w:val="0"/>
          <w:szCs w:val="21"/>
          <w:highlight w:val="none"/>
          <w:lang w:bidi="ar"/>
        </w:rPr>
        <w:t>报价人递交比选响应文件的地点：见报价人须知前附表。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4.2.3  </w:t>
      </w:r>
      <w:r>
        <w:rPr>
          <w:rFonts w:hint="eastAsia" w:ascii="宋体" w:hAnsi="宋体" w:cs="宋体"/>
          <w:kern w:val="0"/>
          <w:szCs w:val="21"/>
          <w:highlight w:val="none"/>
          <w:lang w:bidi="ar"/>
        </w:rPr>
        <w:t>除报价人须知前附表另有规定外，报价人所递交的比选响应文件不予退还。</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4.2.4  </w:t>
      </w:r>
      <w:r>
        <w:rPr>
          <w:rFonts w:hint="eastAsia" w:ascii="宋体" w:hAnsi="宋体" w:cs="宋体"/>
          <w:kern w:val="0"/>
          <w:szCs w:val="21"/>
          <w:highlight w:val="none"/>
          <w:lang w:bidi="ar"/>
        </w:rPr>
        <w:t>采购人收到比选响应文件后，向报价人出具签收凭证。</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4.2.5  </w:t>
      </w:r>
      <w:r>
        <w:rPr>
          <w:rFonts w:hint="eastAsia" w:ascii="宋体" w:hAnsi="宋体" w:cs="宋体"/>
          <w:kern w:val="0"/>
          <w:szCs w:val="21"/>
          <w:highlight w:val="none"/>
          <w:lang w:bidi="ar"/>
        </w:rPr>
        <w:t>逾期送达的或者未送达指定地点的比选响应文件，采购人不予受理。</w:t>
      </w:r>
    </w:p>
    <w:p>
      <w:pPr>
        <w:pStyle w:val="5"/>
        <w:widowControl/>
        <w:spacing w:before="0" w:after="0" w:line="300" w:lineRule="exact"/>
        <w:rPr>
          <w:rFonts w:ascii="宋体" w:hAnsi="宋体"/>
          <w:kern w:val="2"/>
          <w:sz w:val="21"/>
          <w:szCs w:val="21"/>
          <w:highlight w:val="none"/>
        </w:rPr>
      </w:pPr>
      <w:bookmarkStart w:id="461" w:name="_Toc40780282"/>
      <w:bookmarkEnd w:id="461"/>
      <w:bookmarkStart w:id="462" w:name="_Toc40455300"/>
      <w:bookmarkEnd w:id="462"/>
      <w:bookmarkStart w:id="463" w:name="_Toc15210"/>
      <w:bookmarkEnd w:id="463"/>
      <w:bookmarkStart w:id="464" w:name="_Toc200513156"/>
      <w:bookmarkEnd w:id="464"/>
      <w:bookmarkStart w:id="465" w:name="_Toc4661698"/>
      <w:bookmarkEnd w:id="465"/>
      <w:bookmarkStart w:id="466" w:name="_Toc4661934"/>
      <w:bookmarkEnd w:id="466"/>
      <w:bookmarkStart w:id="467" w:name="_Toc40455673"/>
      <w:bookmarkEnd w:id="467"/>
      <w:bookmarkStart w:id="468" w:name="_Toc224103347"/>
      <w:bookmarkEnd w:id="468"/>
      <w:bookmarkStart w:id="469" w:name="_Toc4661456"/>
      <w:bookmarkEnd w:id="469"/>
      <w:bookmarkStart w:id="470" w:name="_Toc287607776"/>
      <w:bookmarkEnd w:id="470"/>
      <w:bookmarkStart w:id="471" w:name="_Toc277082582"/>
      <w:bookmarkEnd w:id="471"/>
      <w:bookmarkStart w:id="472" w:name="_Toc4662170"/>
      <w:r>
        <w:rPr>
          <w:rFonts w:hint="eastAsia" w:ascii="宋体" w:hAnsi="宋体"/>
          <w:kern w:val="2"/>
          <w:sz w:val="21"/>
          <w:szCs w:val="21"/>
          <w:highlight w:val="none"/>
        </w:rPr>
        <w:t xml:space="preserve">4.3  </w:t>
      </w:r>
      <w:bookmarkEnd w:id="472"/>
      <w:r>
        <w:rPr>
          <w:rFonts w:hint="eastAsia" w:ascii="宋体" w:hAnsi="宋体" w:cs="宋体"/>
          <w:kern w:val="2"/>
          <w:sz w:val="21"/>
          <w:szCs w:val="21"/>
          <w:highlight w:val="none"/>
        </w:rPr>
        <w:t>比选响应文件的修改与撤回</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4.3.1  </w:t>
      </w:r>
      <w:r>
        <w:rPr>
          <w:rFonts w:hint="eastAsia" w:ascii="宋体" w:hAnsi="宋体" w:cs="宋体"/>
          <w:kern w:val="0"/>
          <w:szCs w:val="21"/>
          <w:highlight w:val="none"/>
          <w:lang w:bidi="ar"/>
        </w:rPr>
        <w:t>在本章第</w:t>
      </w:r>
      <w:r>
        <w:rPr>
          <w:rFonts w:hint="eastAsia" w:ascii="宋体" w:hAnsi="宋体" w:cs="Calibri"/>
          <w:kern w:val="0"/>
          <w:szCs w:val="21"/>
          <w:highlight w:val="none"/>
          <w:lang w:bidi="ar"/>
        </w:rPr>
        <w:t>2.2.2</w:t>
      </w:r>
      <w:r>
        <w:rPr>
          <w:rFonts w:hint="eastAsia" w:ascii="宋体" w:hAnsi="宋体" w:cs="宋体"/>
          <w:kern w:val="0"/>
          <w:szCs w:val="21"/>
          <w:highlight w:val="none"/>
          <w:lang w:bidi="ar"/>
        </w:rPr>
        <w:t>项规定的投标截止时间前，报价人可以修改或撤回已递交的比选响应文件，但应以书面形式通知采购人。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4.3.2  </w:t>
      </w:r>
      <w:r>
        <w:rPr>
          <w:rFonts w:hint="eastAsia" w:ascii="宋体" w:hAnsi="宋体" w:cs="宋体"/>
          <w:kern w:val="0"/>
          <w:szCs w:val="21"/>
          <w:highlight w:val="none"/>
          <w:lang w:bidi="ar"/>
        </w:rPr>
        <w:t>报价人修改或撤回已递交比选响应文件的书面通知应按照本章第</w:t>
      </w:r>
      <w:r>
        <w:rPr>
          <w:rFonts w:hint="eastAsia" w:ascii="宋体" w:hAnsi="宋体" w:cs="Calibri"/>
          <w:kern w:val="0"/>
          <w:szCs w:val="21"/>
          <w:highlight w:val="none"/>
          <w:lang w:bidi="ar"/>
        </w:rPr>
        <w:t>3.7.3</w:t>
      </w:r>
      <w:r>
        <w:rPr>
          <w:rFonts w:hint="eastAsia" w:ascii="宋体" w:hAnsi="宋体" w:cs="宋体"/>
          <w:kern w:val="0"/>
          <w:szCs w:val="21"/>
          <w:highlight w:val="none"/>
          <w:lang w:bidi="ar"/>
        </w:rPr>
        <w:t>项的要求签字或盖章。采购人收到书面通知后，向报价人出具签收凭证。</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4.3.3  </w:t>
      </w:r>
      <w:r>
        <w:rPr>
          <w:rFonts w:hint="eastAsia" w:ascii="宋体" w:hAnsi="宋体" w:cs="宋体"/>
          <w:kern w:val="0"/>
          <w:szCs w:val="21"/>
          <w:highlight w:val="none"/>
          <w:lang w:bidi="ar"/>
        </w:rPr>
        <w:t>修改的内容为比选响应文件的组成部分。修改的比选响应文件应按照本章第</w:t>
      </w:r>
      <w:r>
        <w:rPr>
          <w:rFonts w:hint="eastAsia" w:ascii="宋体" w:hAnsi="宋体" w:cs="Calibri"/>
          <w:kern w:val="0"/>
          <w:szCs w:val="21"/>
          <w:highlight w:val="none"/>
          <w:lang w:bidi="ar"/>
        </w:rPr>
        <w:t>3</w:t>
      </w:r>
      <w:r>
        <w:rPr>
          <w:rFonts w:hint="eastAsia" w:ascii="宋体" w:hAnsi="宋体" w:cs="宋体"/>
          <w:kern w:val="0"/>
          <w:szCs w:val="21"/>
          <w:highlight w:val="none"/>
          <w:lang w:bidi="ar"/>
        </w:rPr>
        <w:t>条、第</w:t>
      </w:r>
      <w:r>
        <w:rPr>
          <w:rFonts w:hint="eastAsia" w:ascii="宋体" w:hAnsi="宋体" w:cs="Calibri"/>
          <w:kern w:val="0"/>
          <w:szCs w:val="21"/>
          <w:highlight w:val="none"/>
          <w:lang w:bidi="ar"/>
        </w:rPr>
        <w:t>4</w:t>
      </w:r>
      <w:r>
        <w:rPr>
          <w:rFonts w:hint="eastAsia" w:ascii="宋体" w:hAnsi="宋体" w:cs="宋体"/>
          <w:kern w:val="0"/>
          <w:szCs w:val="21"/>
          <w:highlight w:val="none"/>
          <w:lang w:bidi="ar"/>
        </w:rPr>
        <w:t>条规定进行编制、密封、标记和递交，并标明</w:t>
      </w:r>
      <w:r>
        <w:rPr>
          <w:rFonts w:hint="eastAsia" w:ascii="宋体" w:hAnsi="宋体" w:cs="MingLiU"/>
          <w:kern w:val="0"/>
          <w:szCs w:val="21"/>
          <w:highlight w:val="none"/>
          <w:lang w:bidi="ar"/>
        </w:rPr>
        <w:t>“修改”字样。</w:t>
      </w:r>
    </w:p>
    <w:p>
      <w:pPr>
        <w:pStyle w:val="4"/>
        <w:widowControl/>
        <w:spacing w:before="0" w:after="0" w:line="300" w:lineRule="exact"/>
        <w:rPr>
          <w:rFonts w:ascii="宋体" w:hAnsi="宋体"/>
          <w:sz w:val="21"/>
          <w:szCs w:val="21"/>
          <w:highlight w:val="none"/>
        </w:rPr>
      </w:pPr>
      <w:bookmarkStart w:id="473" w:name="_Toc3631"/>
      <w:bookmarkEnd w:id="473"/>
      <w:bookmarkStart w:id="474" w:name="_Toc40455674"/>
      <w:bookmarkEnd w:id="474"/>
      <w:bookmarkStart w:id="475" w:name="_Toc277082583"/>
      <w:bookmarkEnd w:id="475"/>
      <w:bookmarkStart w:id="476" w:name="_Toc27819"/>
      <w:bookmarkEnd w:id="476"/>
      <w:bookmarkStart w:id="477" w:name="_Toc26569"/>
      <w:bookmarkEnd w:id="477"/>
      <w:bookmarkStart w:id="478" w:name="_Toc4662171"/>
      <w:bookmarkEnd w:id="478"/>
      <w:bookmarkStart w:id="479" w:name="_Toc4661935"/>
      <w:bookmarkEnd w:id="479"/>
      <w:bookmarkStart w:id="480" w:name="_Toc4661457"/>
      <w:bookmarkEnd w:id="480"/>
      <w:bookmarkStart w:id="481" w:name="_Toc224103348"/>
      <w:bookmarkEnd w:id="481"/>
      <w:bookmarkStart w:id="482" w:name="_Toc4661699"/>
      <w:bookmarkEnd w:id="482"/>
      <w:bookmarkStart w:id="483" w:name="_Toc40455301"/>
      <w:bookmarkEnd w:id="483"/>
      <w:bookmarkStart w:id="484" w:name="_Toc13110"/>
      <w:bookmarkEnd w:id="484"/>
      <w:bookmarkStart w:id="485" w:name="_Toc287607777"/>
      <w:bookmarkEnd w:id="485"/>
      <w:bookmarkStart w:id="486" w:name="_Toc200513157"/>
      <w:bookmarkEnd w:id="486"/>
      <w:bookmarkStart w:id="487" w:name="_Toc2667"/>
      <w:bookmarkEnd w:id="487"/>
      <w:bookmarkStart w:id="488" w:name="_Toc665"/>
      <w:bookmarkStart w:id="489" w:name="_Toc19764"/>
      <w:r>
        <w:rPr>
          <w:rFonts w:hint="eastAsia" w:ascii="宋体" w:hAnsi="宋体"/>
          <w:sz w:val="21"/>
          <w:szCs w:val="21"/>
          <w:highlight w:val="none"/>
        </w:rPr>
        <w:t xml:space="preserve">5.  </w:t>
      </w:r>
      <w:bookmarkEnd w:id="488"/>
      <w:r>
        <w:rPr>
          <w:rFonts w:hint="eastAsia" w:ascii="黑体" w:hAnsi="宋体" w:cs="黑体"/>
          <w:sz w:val="21"/>
          <w:szCs w:val="21"/>
          <w:highlight w:val="none"/>
        </w:rPr>
        <w:t>开标</w:t>
      </w:r>
      <w:bookmarkEnd w:id="489"/>
    </w:p>
    <w:p>
      <w:pPr>
        <w:pStyle w:val="5"/>
        <w:widowControl/>
        <w:spacing w:before="0" w:after="0" w:line="300" w:lineRule="exact"/>
        <w:rPr>
          <w:rFonts w:ascii="宋体" w:hAnsi="宋体"/>
          <w:kern w:val="2"/>
          <w:sz w:val="21"/>
          <w:szCs w:val="21"/>
          <w:highlight w:val="none"/>
        </w:rPr>
      </w:pPr>
      <w:bookmarkStart w:id="490" w:name="_Toc40780284"/>
      <w:bookmarkEnd w:id="490"/>
      <w:bookmarkStart w:id="491" w:name="_Toc277082584"/>
      <w:bookmarkEnd w:id="491"/>
      <w:bookmarkStart w:id="492" w:name="_Toc40455675"/>
      <w:bookmarkEnd w:id="492"/>
      <w:bookmarkStart w:id="493" w:name="_Toc200513158"/>
      <w:bookmarkEnd w:id="493"/>
      <w:bookmarkStart w:id="494" w:name="_Toc4661458"/>
      <w:bookmarkEnd w:id="494"/>
      <w:bookmarkStart w:id="495" w:name="_Toc40455302"/>
      <w:bookmarkEnd w:id="495"/>
      <w:bookmarkStart w:id="496" w:name="_Toc224103349"/>
      <w:bookmarkEnd w:id="496"/>
      <w:bookmarkStart w:id="497" w:name="_Toc4662172"/>
      <w:bookmarkEnd w:id="497"/>
      <w:bookmarkStart w:id="498" w:name="_Toc22642"/>
      <w:bookmarkEnd w:id="498"/>
      <w:bookmarkStart w:id="499" w:name="_Toc287607778"/>
      <w:bookmarkEnd w:id="499"/>
      <w:bookmarkStart w:id="500" w:name="_Toc4661700"/>
      <w:bookmarkEnd w:id="500"/>
      <w:bookmarkStart w:id="501" w:name="_Toc4661936"/>
      <w:r>
        <w:rPr>
          <w:rFonts w:hint="eastAsia" w:ascii="宋体" w:hAnsi="宋体"/>
          <w:kern w:val="2"/>
          <w:sz w:val="21"/>
          <w:szCs w:val="21"/>
          <w:highlight w:val="none"/>
        </w:rPr>
        <w:t>5.1  开标时间和地点</w:t>
      </w:r>
      <w:bookmarkEnd w:id="501"/>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采购人在本章第</w:t>
      </w:r>
      <w:r>
        <w:rPr>
          <w:rFonts w:hint="eastAsia" w:ascii="宋体" w:hAnsi="宋体" w:cs="Calibri"/>
          <w:kern w:val="0"/>
          <w:szCs w:val="21"/>
          <w:highlight w:val="none"/>
          <w:lang w:bidi="ar"/>
        </w:rPr>
        <w:t xml:space="preserve"> 2.2.2 </w:t>
      </w:r>
      <w:r>
        <w:rPr>
          <w:rFonts w:hint="eastAsia" w:ascii="宋体" w:hAnsi="宋体" w:cs="宋体"/>
          <w:kern w:val="0"/>
          <w:szCs w:val="21"/>
          <w:highlight w:val="none"/>
          <w:lang w:bidi="ar"/>
        </w:rPr>
        <w:t>项规定的投标截止时间（开标时间）和报价人须知前附表规定的情况进行开标。</w:t>
      </w:r>
    </w:p>
    <w:p>
      <w:pPr>
        <w:pStyle w:val="5"/>
        <w:widowControl/>
        <w:spacing w:before="0" w:after="0" w:line="300" w:lineRule="exact"/>
        <w:rPr>
          <w:rFonts w:ascii="宋体" w:hAnsi="宋体"/>
          <w:kern w:val="2"/>
          <w:sz w:val="21"/>
          <w:szCs w:val="21"/>
          <w:highlight w:val="none"/>
        </w:rPr>
      </w:pPr>
      <w:bookmarkStart w:id="502" w:name="_Toc224103350"/>
      <w:bookmarkEnd w:id="502"/>
      <w:bookmarkStart w:id="503" w:name="_Toc4662173"/>
      <w:bookmarkEnd w:id="503"/>
      <w:bookmarkStart w:id="504" w:name="_Toc277082585"/>
      <w:bookmarkEnd w:id="504"/>
      <w:bookmarkStart w:id="505" w:name="_Toc40780285"/>
      <w:bookmarkEnd w:id="505"/>
      <w:bookmarkStart w:id="506" w:name="_Toc4661701"/>
      <w:bookmarkEnd w:id="506"/>
      <w:bookmarkStart w:id="507" w:name="_Toc4661459"/>
      <w:bookmarkEnd w:id="507"/>
      <w:bookmarkStart w:id="508" w:name="_Toc4661937"/>
      <w:bookmarkEnd w:id="508"/>
      <w:bookmarkStart w:id="509" w:name="_Toc40455303"/>
      <w:bookmarkEnd w:id="509"/>
      <w:bookmarkStart w:id="510" w:name="_Toc40455676"/>
      <w:bookmarkEnd w:id="510"/>
      <w:bookmarkStart w:id="511" w:name="_Toc287607779"/>
      <w:bookmarkEnd w:id="511"/>
      <w:bookmarkStart w:id="512" w:name="_Toc1823"/>
      <w:bookmarkEnd w:id="512"/>
      <w:bookmarkStart w:id="513" w:name="_Toc200513159"/>
      <w:r>
        <w:rPr>
          <w:rFonts w:hint="eastAsia" w:ascii="宋体" w:hAnsi="宋体"/>
          <w:kern w:val="2"/>
          <w:sz w:val="21"/>
          <w:szCs w:val="21"/>
          <w:highlight w:val="none"/>
        </w:rPr>
        <w:t xml:space="preserve">5.2  </w:t>
      </w:r>
      <w:bookmarkEnd w:id="513"/>
      <w:r>
        <w:rPr>
          <w:rFonts w:hint="eastAsia" w:ascii="宋体" w:hAnsi="宋体" w:cs="宋体"/>
          <w:kern w:val="2"/>
          <w:sz w:val="21"/>
          <w:szCs w:val="21"/>
          <w:highlight w:val="none"/>
        </w:rPr>
        <w:t>开标程序</w:t>
      </w:r>
    </w:p>
    <w:p>
      <w:pPr>
        <w:autoSpaceDE w:val="0"/>
        <w:autoSpaceDN w:val="0"/>
        <w:adjustRightInd w:val="0"/>
        <w:spacing w:line="300" w:lineRule="exact"/>
        <w:ind w:firstLine="420" w:firstLineChars="200"/>
        <w:jc w:val="left"/>
        <w:rPr>
          <w:rFonts w:ascii="宋体" w:hAnsi="宋体" w:cs="MingLiU"/>
          <w:kern w:val="0"/>
          <w:szCs w:val="21"/>
          <w:highlight w:val="none"/>
        </w:rPr>
      </w:pPr>
      <w:bookmarkStart w:id="514" w:name="_Toc287607780"/>
      <w:bookmarkEnd w:id="514"/>
      <w:bookmarkStart w:id="515" w:name="_Toc200513160"/>
      <w:bookmarkEnd w:id="515"/>
      <w:bookmarkStart w:id="516" w:name="_Toc277082586"/>
      <w:bookmarkEnd w:id="516"/>
      <w:bookmarkStart w:id="517" w:name="_Toc224103351"/>
      <w:r>
        <w:rPr>
          <w:rFonts w:hint="eastAsia" w:ascii="宋体" w:hAnsi="宋体" w:cs="宋体"/>
          <w:kern w:val="0"/>
          <w:szCs w:val="21"/>
          <w:highlight w:val="none"/>
          <w:lang w:bidi="ar"/>
        </w:rPr>
        <w:t>见报价人须知前附表。</w:t>
      </w:r>
      <w:bookmarkEnd w:id="517"/>
    </w:p>
    <w:p>
      <w:pPr>
        <w:pStyle w:val="4"/>
        <w:widowControl/>
        <w:spacing w:before="0" w:after="0" w:line="300" w:lineRule="exact"/>
        <w:rPr>
          <w:rFonts w:hint="eastAsia" w:ascii="宋体" w:hAnsi="宋体" w:eastAsia="黑体"/>
          <w:sz w:val="21"/>
          <w:szCs w:val="21"/>
          <w:highlight w:val="none"/>
          <w:lang w:eastAsia="zh-CN"/>
        </w:rPr>
      </w:pPr>
      <w:bookmarkStart w:id="518" w:name="_Toc5895"/>
      <w:bookmarkEnd w:id="518"/>
      <w:bookmarkStart w:id="519" w:name="_Toc26714"/>
      <w:bookmarkEnd w:id="519"/>
      <w:bookmarkStart w:id="520" w:name="_Toc4904"/>
      <w:bookmarkEnd w:id="520"/>
      <w:bookmarkStart w:id="521" w:name="_Toc4662174"/>
      <w:bookmarkEnd w:id="521"/>
      <w:bookmarkStart w:id="522" w:name="_Toc4661460"/>
      <w:bookmarkEnd w:id="522"/>
      <w:bookmarkStart w:id="523" w:name="_Toc40455304"/>
      <w:bookmarkEnd w:id="523"/>
      <w:bookmarkStart w:id="524" w:name="_Toc6592"/>
      <w:bookmarkEnd w:id="524"/>
      <w:bookmarkStart w:id="525" w:name="_Toc29816"/>
      <w:bookmarkEnd w:id="525"/>
      <w:bookmarkStart w:id="526" w:name="_Toc40455677"/>
      <w:bookmarkEnd w:id="526"/>
      <w:bookmarkStart w:id="527" w:name="_Toc4661938"/>
      <w:bookmarkEnd w:id="527"/>
      <w:bookmarkStart w:id="528" w:name="_Toc4661702"/>
      <w:bookmarkEnd w:id="528"/>
      <w:bookmarkStart w:id="529" w:name="_Toc5685"/>
      <w:bookmarkStart w:id="530" w:name="_Toc10838"/>
      <w:r>
        <w:rPr>
          <w:rFonts w:hint="eastAsia" w:ascii="宋体" w:hAnsi="宋体"/>
          <w:sz w:val="21"/>
          <w:szCs w:val="21"/>
          <w:highlight w:val="none"/>
        </w:rPr>
        <w:t xml:space="preserve">6.  </w:t>
      </w:r>
      <w:bookmarkEnd w:id="529"/>
      <w:r>
        <w:rPr>
          <w:rFonts w:hint="eastAsia" w:ascii="黑体" w:hAnsi="宋体" w:cs="黑体"/>
          <w:sz w:val="21"/>
          <w:szCs w:val="21"/>
          <w:highlight w:val="none"/>
          <w:lang w:eastAsia="zh-CN"/>
        </w:rPr>
        <w:t>评审</w:t>
      </w:r>
      <w:bookmarkEnd w:id="530"/>
    </w:p>
    <w:p>
      <w:pPr>
        <w:pStyle w:val="5"/>
        <w:widowControl/>
        <w:spacing w:before="0" w:after="0" w:line="300" w:lineRule="exact"/>
        <w:rPr>
          <w:rFonts w:ascii="宋体" w:hAnsi="宋体"/>
          <w:kern w:val="2"/>
          <w:sz w:val="21"/>
          <w:szCs w:val="21"/>
          <w:highlight w:val="none"/>
        </w:rPr>
      </w:pPr>
      <w:bookmarkStart w:id="531" w:name="_Toc287607781"/>
      <w:bookmarkEnd w:id="531"/>
      <w:bookmarkStart w:id="532" w:name="_Toc4661703"/>
      <w:bookmarkEnd w:id="532"/>
      <w:bookmarkStart w:id="533" w:name="_Toc277082587"/>
      <w:bookmarkEnd w:id="533"/>
      <w:bookmarkStart w:id="534" w:name="_Toc4662175"/>
      <w:bookmarkEnd w:id="534"/>
      <w:bookmarkStart w:id="535" w:name="_Toc200513161"/>
      <w:bookmarkEnd w:id="535"/>
      <w:bookmarkStart w:id="536" w:name="_Toc9614"/>
      <w:bookmarkEnd w:id="536"/>
      <w:bookmarkStart w:id="537" w:name="_Toc4661461"/>
      <w:bookmarkEnd w:id="537"/>
      <w:bookmarkStart w:id="538" w:name="_Toc224103352"/>
      <w:bookmarkEnd w:id="538"/>
      <w:bookmarkStart w:id="539" w:name="_Toc40455678"/>
      <w:bookmarkEnd w:id="539"/>
      <w:bookmarkStart w:id="540" w:name="_Toc40780287"/>
      <w:bookmarkEnd w:id="540"/>
      <w:bookmarkStart w:id="541" w:name="_Toc40455305"/>
      <w:bookmarkEnd w:id="541"/>
      <w:bookmarkStart w:id="542" w:name="_Toc4661939"/>
      <w:r>
        <w:rPr>
          <w:rFonts w:hint="eastAsia" w:ascii="宋体" w:hAnsi="宋体"/>
          <w:kern w:val="2"/>
          <w:sz w:val="21"/>
          <w:szCs w:val="21"/>
          <w:highlight w:val="none"/>
        </w:rPr>
        <w:t xml:space="preserve">6.1  </w:t>
      </w:r>
      <w:bookmarkEnd w:id="542"/>
      <w:r>
        <w:rPr>
          <w:rFonts w:hint="eastAsia" w:ascii="宋体" w:hAnsi="宋体" w:cs="宋体"/>
          <w:kern w:val="2"/>
          <w:sz w:val="21"/>
          <w:szCs w:val="21"/>
          <w:highlight w:val="none"/>
          <w:lang w:eastAsia="zh-CN"/>
        </w:rPr>
        <w:t>评审</w:t>
      </w:r>
      <w:r>
        <w:rPr>
          <w:rFonts w:hint="eastAsia" w:ascii="宋体" w:hAnsi="宋体" w:cs="宋体"/>
          <w:kern w:val="2"/>
          <w:sz w:val="21"/>
          <w:szCs w:val="21"/>
          <w:highlight w:val="none"/>
        </w:rPr>
        <w:t>委员会</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6.1.1  </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由采购人依法组建的</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委员会负责。</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委员会由采购人或其委托的竞争性比选代理机构熟悉相关业务的代表，以及有关技术、经济等方面的专家组成。</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委员会成员人数以及技术、经济等方面专家的确定方式见报价人须知前附表。</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szCs w:val="21"/>
          <w:highlight w:val="none"/>
          <w:lang w:bidi="ar"/>
        </w:rPr>
        <w:t xml:space="preserve">6.1.2  </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委员会成员有下列情形之一的，应当回避：</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1）采购人或竞争性比选代理机构主要负责人的近亲属，或与报价人法定代表人或其委托代理人有近亲属关系；</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2</w:t>
      </w:r>
      <w:r>
        <w:rPr>
          <w:rFonts w:hint="eastAsia" w:ascii="宋体" w:hAnsi="宋体" w:cs="宋体"/>
          <w:kern w:val="0"/>
          <w:szCs w:val="21"/>
          <w:highlight w:val="none"/>
          <w:lang w:bidi="ar"/>
        </w:rPr>
        <w:t>）为报价人的工作人员或退休人员；</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3</w:t>
      </w:r>
      <w:r>
        <w:rPr>
          <w:rFonts w:hint="eastAsia" w:ascii="宋体" w:hAnsi="宋体" w:cs="宋体"/>
          <w:kern w:val="0"/>
          <w:szCs w:val="21"/>
          <w:highlight w:val="none"/>
          <w:lang w:bidi="ar"/>
        </w:rPr>
        <w:t>）与报价人有其他利害关系，可能影响</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活动公正性；</w:t>
      </w:r>
    </w:p>
    <w:p>
      <w:pPr>
        <w:autoSpaceDE w:val="0"/>
        <w:autoSpaceDN w:val="0"/>
        <w:adjustRightInd w:val="0"/>
        <w:spacing w:line="300" w:lineRule="exact"/>
        <w:ind w:firstLine="361" w:firstLineChars="172"/>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4）在与竞争性比选投标有关的活动中有过违法违规行为、曾受过行政处罚或刑事处罚；</w:t>
      </w:r>
    </w:p>
    <w:p>
      <w:pPr>
        <w:autoSpaceDE w:val="0"/>
        <w:autoSpaceDN w:val="0"/>
        <w:adjustRightInd w:val="0"/>
        <w:spacing w:line="300" w:lineRule="exact"/>
        <w:ind w:firstLine="361" w:firstLineChars="172"/>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5）采购人及其子公司、采购人的上级主管部门或者控股公司、竞争性比选代理机构的工作人员或者退休人员；</w:t>
      </w:r>
    </w:p>
    <w:p>
      <w:pPr>
        <w:autoSpaceDE w:val="0"/>
        <w:autoSpaceDN w:val="0"/>
        <w:adjustRightInd w:val="0"/>
        <w:spacing w:line="300" w:lineRule="exact"/>
        <w:ind w:firstLine="361" w:firstLineChars="172"/>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6）近3年在采购人、报价人或竞争性比选代理机构工作过的人员。</w:t>
      </w:r>
    </w:p>
    <w:p>
      <w:pPr>
        <w:pStyle w:val="5"/>
        <w:widowControl/>
        <w:spacing w:before="0" w:after="0" w:line="300" w:lineRule="exact"/>
        <w:rPr>
          <w:rFonts w:ascii="宋体" w:hAnsi="宋体"/>
          <w:kern w:val="2"/>
          <w:sz w:val="21"/>
          <w:szCs w:val="21"/>
          <w:highlight w:val="none"/>
        </w:rPr>
      </w:pPr>
      <w:bookmarkStart w:id="543" w:name="_Toc277082588"/>
      <w:bookmarkEnd w:id="543"/>
      <w:bookmarkStart w:id="544" w:name="_Toc200513162"/>
      <w:bookmarkEnd w:id="544"/>
      <w:bookmarkStart w:id="545" w:name="_Toc4661940"/>
      <w:bookmarkEnd w:id="545"/>
      <w:bookmarkStart w:id="546" w:name="_Toc4662176"/>
      <w:bookmarkEnd w:id="546"/>
      <w:bookmarkStart w:id="547" w:name="_Toc4661462"/>
      <w:bookmarkEnd w:id="547"/>
      <w:bookmarkStart w:id="548" w:name="_Toc40455679"/>
      <w:bookmarkEnd w:id="548"/>
      <w:bookmarkStart w:id="549" w:name="_Toc224103353"/>
      <w:bookmarkEnd w:id="549"/>
      <w:bookmarkStart w:id="550" w:name="_Toc287607782"/>
      <w:bookmarkEnd w:id="550"/>
      <w:bookmarkStart w:id="551" w:name="_Toc40780288"/>
      <w:bookmarkEnd w:id="551"/>
      <w:bookmarkStart w:id="552" w:name="_Toc4661704"/>
      <w:bookmarkEnd w:id="552"/>
      <w:bookmarkStart w:id="553" w:name="_Toc40455306"/>
      <w:bookmarkEnd w:id="553"/>
      <w:bookmarkStart w:id="554" w:name="_Toc3788"/>
      <w:r>
        <w:rPr>
          <w:rFonts w:hint="eastAsia" w:ascii="宋体" w:hAnsi="宋体"/>
          <w:kern w:val="2"/>
          <w:sz w:val="21"/>
          <w:szCs w:val="21"/>
          <w:highlight w:val="none"/>
        </w:rPr>
        <w:t xml:space="preserve">6.2  </w:t>
      </w:r>
      <w:bookmarkEnd w:id="554"/>
      <w:r>
        <w:rPr>
          <w:rFonts w:hint="eastAsia" w:ascii="宋体" w:hAnsi="宋体" w:cs="宋体"/>
          <w:kern w:val="2"/>
          <w:sz w:val="21"/>
          <w:szCs w:val="21"/>
          <w:highlight w:val="none"/>
          <w:lang w:eastAsia="zh-CN"/>
        </w:rPr>
        <w:t>评审</w:t>
      </w:r>
      <w:r>
        <w:rPr>
          <w:rFonts w:hint="eastAsia" w:ascii="宋体" w:hAnsi="宋体" w:cs="宋体"/>
          <w:kern w:val="2"/>
          <w:sz w:val="21"/>
          <w:szCs w:val="21"/>
          <w:highlight w:val="none"/>
        </w:rPr>
        <w:t>原则</w:t>
      </w:r>
    </w:p>
    <w:p>
      <w:pPr>
        <w:autoSpaceDE w:val="0"/>
        <w:autoSpaceDN w:val="0"/>
        <w:adjustRightInd w:val="0"/>
        <w:spacing w:line="300" w:lineRule="exact"/>
        <w:jc w:val="left"/>
        <w:rPr>
          <w:rFonts w:ascii="宋体" w:hAnsi="宋体" w:cs="MingLiU"/>
          <w:kern w:val="0"/>
          <w:szCs w:val="21"/>
          <w:highlight w:val="none"/>
        </w:rPr>
      </w:pPr>
      <w:r>
        <w:rPr>
          <w:rFonts w:hint="eastAsia" w:ascii="宋体" w:hAnsi="宋体" w:cs="MingLiU"/>
          <w:kern w:val="0"/>
          <w:szCs w:val="21"/>
          <w:highlight w:val="none"/>
          <w:lang w:bidi="ar"/>
        </w:rPr>
        <w:t xml:space="preserve">    </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活动遵循公平、公正、科学和择优的原则。</w:t>
      </w:r>
    </w:p>
    <w:p>
      <w:pPr>
        <w:pStyle w:val="5"/>
        <w:widowControl/>
        <w:spacing w:before="0" w:after="0" w:line="300" w:lineRule="exact"/>
        <w:rPr>
          <w:rFonts w:hint="eastAsia" w:ascii="宋体" w:hAnsi="宋体" w:eastAsia="宋体"/>
          <w:kern w:val="2"/>
          <w:sz w:val="21"/>
          <w:szCs w:val="21"/>
          <w:highlight w:val="none"/>
          <w:lang w:eastAsia="zh-CN"/>
        </w:rPr>
      </w:pPr>
      <w:bookmarkStart w:id="555" w:name="_Toc40455307"/>
      <w:bookmarkEnd w:id="555"/>
      <w:bookmarkStart w:id="556" w:name="_Toc40780289"/>
      <w:bookmarkEnd w:id="556"/>
      <w:bookmarkStart w:id="557" w:name="_Toc287607783"/>
      <w:bookmarkEnd w:id="557"/>
      <w:bookmarkStart w:id="558" w:name="_Toc40455680"/>
      <w:bookmarkEnd w:id="558"/>
      <w:bookmarkStart w:id="559" w:name="_Toc277082589"/>
      <w:bookmarkEnd w:id="559"/>
      <w:bookmarkStart w:id="560" w:name="_Toc26101"/>
      <w:bookmarkEnd w:id="560"/>
      <w:bookmarkStart w:id="561" w:name="_Toc200513163"/>
      <w:bookmarkEnd w:id="561"/>
      <w:bookmarkStart w:id="562" w:name="_Toc4661463"/>
      <w:bookmarkEnd w:id="562"/>
      <w:bookmarkStart w:id="563" w:name="_Toc4661705"/>
      <w:bookmarkEnd w:id="563"/>
      <w:bookmarkStart w:id="564" w:name="_Toc224103354"/>
      <w:bookmarkEnd w:id="564"/>
      <w:bookmarkStart w:id="565" w:name="_Toc4661941"/>
      <w:bookmarkEnd w:id="565"/>
      <w:bookmarkStart w:id="566" w:name="_Toc4662177"/>
      <w:r>
        <w:rPr>
          <w:rFonts w:hint="eastAsia" w:ascii="宋体" w:hAnsi="宋体"/>
          <w:kern w:val="2"/>
          <w:sz w:val="21"/>
          <w:szCs w:val="21"/>
          <w:highlight w:val="none"/>
        </w:rPr>
        <w:t xml:space="preserve">6.3  </w:t>
      </w:r>
      <w:bookmarkEnd w:id="566"/>
      <w:r>
        <w:rPr>
          <w:rFonts w:hint="eastAsia" w:ascii="宋体" w:hAnsi="宋体" w:cs="宋体"/>
          <w:kern w:val="2"/>
          <w:sz w:val="21"/>
          <w:szCs w:val="21"/>
          <w:highlight w:val="none"/>
          <w:lang w:eastAsia="zh-CN"/>
        </w:rPr>
        <w:t>评审</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6.3.1</w:t>
      </w:r>
      <w:r>
        <w:rPr>
          <w:rFonts w:hint="eastAsia" w:ascii="宋体" w:hAnsi="宋体" w:cs="MingLiU"/>
          <w:kern w:val="0"/>
          <w:szCs w:val="21"/>
          <w:highlight w:val="none"/>
          <w:lang w:eastAsia="zh-CN" w:bidi="ar"/>
        </w:rPr>
        <w:t>评审</w:t>
      </w:r>
      <w:r>
        <w:rPr>
          <w:rFonts w:hint="eastAsia" w:ascii="宋体" w:hAnsi="宋体" w:cs="MingLiU"/>
          <w:kern w:val="0"/>
          <w:szCs w:val="21"/>
          <w:highlight w:val="none"/>
          <w:lang w:bidi="ar"/>
        </w:rPr>
        <w:t>委员会按照第三章“</w:t>
      </w:r>
      <w:r>
        <w:rPr>
          <w:rFonts w:hint="eastAsia" w:ascii="宋体" w:hAnsi="宋体" w:cs="MingLiU"/>
          <w:kern w:val="0"/>
          <w:szCs w:val="21"/>
          <w:highlight w:val="none"/>
          <w:lang w:eastAsia="zh-CN" w:bidi="ar"/>
        </w:rPr>
        <w:t>评审</w:t>
      </w:r>
      <w:r>
        <w:rPr>
          <w:rFonts w:hint="eastAsia" w:ascii="宋体" w:hAnsi="宋体" w:cs="MingLiU"/>
          <w:kern w:val="0"/>
          <w:szCs w:val="21"/>
          <w:highlight w:val="none"/>
          <w:lang w:bidi="ar"/>
        </w:rPr>
        <w:t>办法”规定的方法、评审因素、标准和程序对比选响应文件进行评审。第三章“</w:t>
      </w:r>
      <w:r>
        <w:rPr>
          <w:rFonts w:hint="eastAsia" w:ascii="宋体" w:hAnsi="宋体" w:cs="MingLiU"/>
          <w:kern w:val="0"/>
          <w:szCs w:val="21"/>
          <w:highlight w:val="none"/>
          <w:lang w:eastAsia="zh-CN" w:bidi="ar"/>
        </w:rPr>
        <w:t>评审</w:t>
      </w:r>
      <w:r>
        <w:rPr>
          <w:rFonts w:hint="eastAsia" w:ascii="宋体" w:hAnsi="宋体" w:cs="MingLiU"/>
          <w:kern w:val="0"/>
          <w:szCs w:val="21"/>
          <w:highlight w:val="none"/>
          <w:lang w:bidi="ar"/>
        </w:rPr>
        <w:t>办法”没有规定的方法、评审因素和标准，不得作为</w:t>
      </w:r>
      <w:r>
        <w:rPr>
          <w:rFonts w:hint="eastAsia" w:ascii="宋体" w:hAnsi="宋体" w:cs="MingLiU"/>
          <w:kern w:val="0"/>
          <w:szCs w:val="21"/>
          <w:highlight w:val="none"/>
          <w:lang w:eastAsia="zh-CN" w:bidi="ar"/>
        </w:rPr>
        <w:t>评审</w:t>
      </w:r>
      <w:r>
        <w:rPr>
          <w:rFonts w:hint="eastAsia" w:ascii="宋体" w:hAnsi="宋体" w:cs="MingLiU"/>
          <w:kern w:val="0"/>
          <w:szCs w:val="21"/>
          <w:highlight w:val="none"/>
          <w:lang w:bidi="ar"/>
        </w:rPr>
        <w:t>依据。</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6.3.2</w:t>
      </w:r>
      <w:r>
        <w:rPr>
          <w:rFonts w:hint="eastAsia" w:ascii="宋体" w:hAnsi="宋体" w:cs="MingLiU"/>
          <w:kern w:val="0"/>
          <w:szCs w:val="21"/>
          <w:highlight w:val="none"/>
          <w:lang w:eastAsia="zh-CN" w:bidi="ar"/>
        </w:rPr>
        <w:t>评审</w:t>
      </w:r>
      <w:r>
        <w:rPr>
          <w:rFonts w:hint="eastAsia" w:ascii="宋体" w:hAnsi="宋体" w:cs="MingLiU"/>
          <w:kern w:val="0"/>
          <w:szCs w:val="21"/>
          <w:highlight w:val="none"/>
          <w:lang w:bidi="ar"/>
        </w:rPr>
        <w:t>完成后，</w:t>
      </w:r>
      <w:r>
        <w:rPr>
          <w:rFonts w:hint="eastAsia" w:ascii="宋体" w:hAnsi="宋体" w:cs="MingLiU"/>
          <w:kern w:val="0"/>
          <w:szCs w:val="21"/>
          <w:highlight w:val="none"/>
          <w:lang w:eastAsia="zh-CN" w:bidi="ar"/>
        </w:rPr>
        <w:t>评审</w:t>
      </w:r>
      <w:r>
        <w:rPr>
          <w:rFonts w:hint="eastAsia" w:ascii="宋体" w:hAnsi="宋体" w:cs="MingLiU"/>
          <w:kern w:val="0"/>
          <w:szCs w:val="21"/>
          <w:highlight w:val="none"/>
          <w:lang w:bidi="ar"/>
        </w:rPr>
        <w:t>委员会应向采购人提交书面</w:t>
      </w:r>
      <w:r>
        <w:rPr>
          <w:rFonts w:hint="eastAsia" w:ascii="宋体" w:hAnsi="宋体" w:cs="MingLiU"/>
          <w:kern w:val="0"/>
          <w:szCs w:val="21"/>
          <w:highlight w:val="none"/>
          <w:lang w:eastAsia="zh-CN" w:bidi="ar"/>
        </w:rPr>
        <w:t>评审</w:t>
      </w:r>
      <w:r>
        <w:rPr>
          <w:rFonts w:hint="eastAsia" w:ascii="宋体" w:hAnsi="宋体" w:cs="MingLiU"/>
          <w:kern w:val="0"/>
          <w:szCs w:val="21"/>
          <w:highlight w:val="none"/>
          <w:lang w:bidi="ar"/>
        </w:rPr>
        <w:t>报告和中标候选人名单。</w:t>
      </w:r>
      <w:r>
        <w:rPr>
          <w:rFonts w:hint="eastAsia" w:ascii="宋体" w:hAnsi="宋体" w:cs="MingLiU"/>
          <w:kern w:val="0"/>
          <w:szCs w:val="21"/>
          <w:highlight w:val="none"/>
          <w:lang w:eastAsia="zh-CN" w:bidi="ar"/>
        </w:rPr>
        <w:t>评审</w:t>
      </w:r>
      <w:r>
        <w:rPr>
          <w:rFonts w:hint="eastAsia" w:ascii="宋体" w:hAnsi="宋体" w:cs="MingLiU"/>
          <w:kern w:val="0"/>
          <w:szCs w:val="21"/>
          <w:highlight w:val="none"/>
          <w:lang w:bidi="ar"/>
        </w:rPr>
        <w:t>委员会推荐中标候选人的人数见报价人须知前附表。</w:t>
      </w:r>
    </w:p>
    <w:p>
      <w:pPr>
        <w:pStyle w:val="4"/>
        <w:widowControl/>
        <w:spacing w:before="0" w:after="0" w:line="300" w:lineRule="exact"/>
        <w:rPr>
          <w:rFonts w:ascii="宋体" w:hAnsi="宋体"/>
          <w:sz w:val="21"/>
          <w:szCs w:val="21"/>
          <w:highlight w:val="none"/>
        </w:rPr>
      </w:pPr>
      <w:bookmarkStart w:id="567" w:name="_Toc200513164"/>
      <w:bookmarkEnd w:id="567"/>
      <w:bookmarkStart w:id="568" w:name="_Toc4661942"/>
      <w:bookmarkEnd w:id="568"/>
      <w:bookmarkStart w:id="569" w:name="_Toc40455681"/>
      <w:bookmarkEnd w:id="569"/>
      <w:bookmarkStart w:id="570" w:name="_Toc28253"/>
      <w:bookmarkEnd w:id="570"/>
      <w:bookmarkStart w:id="571" w:name="_Toc277082590"/>
      <w:bookmarkEnd w:id="571"/>
      <w:bookmarkStart w:id="572" w:name="_Toc6853"/>
      <w:bookmarkEnd w:id="572"/>
      <w:bookmarkStart w:id="573" w:name="_Toc2883"/>
      <w:bookmarkEnd w:id="573"/>
      <w:bookmarkStart w:id="574" w:name="_Toc4661464"/>
      <w:bookmarkEnd w:id="574"/>
      <w:bookmarkStart w:id="575" w:name="_Toc4662178"/>
      <w:bookmarkEnd w:id="575"/>
      <w:bookmarkStart w:id="576" w:name="_Toc224103355"/>
      <w:bookmarkEnd w:id="576"/>
      <w:bookmarkStart w:id="577" w:name="_Toc20858"/>
      <w:bookmarkEnd w:id="577"/>
      <w:bookmarkStart w:id="578" w:name="_Toc4661706"/>
      <w:bookmarkEnd w:id="578"/>
      <w:bookmarkStart w:id="579" w:name="_Toc13060"/>
      <w:bookmarkEnd w:id="579"/>
      <w:bookmarkStart w:id="580" w:name="_Toc40455308"/>
      <w:bookmarkEnd w:id="580"/>
      <w:bookmarkStart w:id="581" w:name="_Toc287607784"/>
      <w:bookmarkEnd w:id="581"/>
      <w:bookmarkStart w:id="582" w:name="_Toc28602"/>
      <w:bookmarkStart w:id="583" w:name="_Toc2049"/>
      <w:r>
        <w:rPr>
          <w:rFonts w:hint="eastAsia" w:ascii="宋体" w:hAnsi="宋体"/>
          <w:sz w:val="21"/>
          <w:szCs w:val="21"/>
          <w:highlight w:val="none"/>
        </w:rPr>
        <w:t xml:space="preserve">7.  </w:t>
      </w:r>
      <w:bookmarkEnd w:id="582"/>
      <w:r>
        <w:rPr>
          <w:rFonts w:hint="eastAsia" w:ascii="宋体" w:hAnsi="宋体" w:eastAsia="宋体" w:cs="宋体"/>
          <w:kern w:val="2"/>
          <w:sz w:val="21"/>
          <w:szCs w:val="21"/>
          <w:highlight w:val="none"/>
        </w:rPr>
        <w:t>合同授予</w:t>
      </w:r>
      <w:bookmarkEnd w:id="583"/>
    </w:p>
    <w:p>
      <w:pPr>
        <w:pStyle w:val="5"/>
        <w:widowControl/>
        <w:spacing w:before="0" w:after="0" w:line="300" w:lineRule="exact"/>
        <w:rPr>
          <w:rFonts w:ascii="宋体" w:hAnsi="宋体"/>
          <w:kern w:val="2"/>
          <w:sz w:val="21"/>
          <w:szCs w:val="21"/>
          <w:highlight w:val="none"/>
        </w:rPr>
      </w:pPr>
      <w:bookmarkStart w:id="584" w:name="_Toc287607785"/>
      <w:bookmarkEnd w:id="584"/>
      <w:bookmarkStart w:id="585" w:name="_Toc200513165"/>
      <w:bookmarkEnd w:id="585"/>
      <w:bookmarkStart w:id="586" w:name="_Toc277082591"/>
      <w:bookmarkEnd w:id="586"/>
      <w:bookmarkStart w:id="587" w:name="_Toc40455309"/>
      <w:bookmarkEnd w:id="587"/>
      <w:bookmarkStart w:id="588" w:name="_Toc4661707"/>
      <w:bookmarkEnd w:id="588"/>
      <w:bookmarkStart w:id="589" w:name="_Toc12458"/>
      <w:bookmarkEnd w:id="589"/>
      <w:bookmarkStart w:id="590" w:name="_Toc224103356"/>
      <w:bookmarkEnd w:id="590"/>
      <w:bookmarkStart w:id="591" w:name="_Toc40455682"/>
      <w:bookmarkEnd w:id="591"/>
      <w:bookmarkStart w:id="592" w:name="_Toc4661465"/>
      <w:bookmarkEnd w:id="592"/>
      <w:bookmarkStart w:id="593" w:name="_Toc4662179"/>
      <w:bookmarkEnd w:id="593"/>
      <w:bookmarkStart w:id="594" w:name="_Toc4661943"/>
      <w:bookmarkEnd w:id="594"/>
      <w:bookmarkStart w:id="595" w:name="_Toc40780291"/>
      <w:r>
        <w:rPr>
          <w:rFonts w:hint="eastAsia" w:ascii="宋体" w:hAnsi="宋体"/>
          <w:kern w:val="2"/>
          <w:sz w:val="21"/>
          <w:szCs w:val="21"/>
          <w:highlight w:val="none"/>
        </w:rPr>
        <w:t xml:space="preserve">7.1  </w:t>
      </w:r>
      <w:bookmarkEnd w:id="595"/>
      <w:r>
        <w:rPr>
          <w:rFonts w:hint="eastAsia" w:ascii="宋体" w:hAnsi="宋体" w:cs="宋体"/>
          <w:kern w:val="2"/>
          <w:sz w:val="21"/>
          <w:szCs w:val="21"/>
          <w:highlight w:val="none"/>
        </w:rPr>
        <w:t>定标方式</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除报价人须知前附表规定</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委员会直接确定中标人外，采购人依据</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委员会推荐的中标候选人中的第一名综合得分者为中标人，</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委员会推荐中标候选人的人数见报价人须知前附表。</w:t>
      </w:r>
    </w:p>
    <w:p>
      <w:pPr>
        <w:pStyle w:val="5"/>
        <w:widowControl/>
        <w:spacing w:before="0" w:after="0" w:line="300" w:lineRule="exact"/>
        <w:rPr>
          <w:rFonts w:ascii="宋体" w:hAnsi="宋体"/>
          <w:kern w:val="2"/>
          <w:sz w:val="21"/>
          <w:szCs w:val="21"/>
          <w:highlight w:val="none"/>
        </w:rPr>
      </w:pPr>
      <w:bookmarkStart w:id="596" w:name="_Toc200513166"/>
      <w:bookmarkEnd w:id="596"/>
      <w:bookmarkStart w:id="597" w:name="_Toc40455310"/>
      <w:bookmarkEnd w:id="597"/>
      <w:bookmarkStart w:id="598" w:name="_Toc4661708"/>
      <w:bookmarkEnd w:id="598"/>
      <w:bookmarkStart w:id="599" w:name="_Toc4661466"/>
      <w:bookmarkEnd w:id="599"/>
      <w:bookmarkStart w:id="600" w:name="_Toc32622"/>
      <w:bookmarkEnd w:id="600"/>
      <w:bookmarkStart w:id="601" w:name="_Toc4661944"/>
      <w:bookmarkEnd w:id="601"/>
      <w:bookmarkStart w:id="602" w:name="_Toc40455683"/>
      <w:bookmarkEnd w:id="602"/>
      <w:bookmarkStart w:id="603" w:name="_Toc4662180"/>
      <w:bookmarkEnd w:id="603"/>
      <w:bookmarkStart w:id="604" w:name="_Toc287607786"/>
      <w:bookmarkEnd w:id="604"/>
      <w:bookmarkStart w:id="605" w:name="_Toc40780292"/>
      <w:bookmarkEnd w:id="605"/>
      <w:bookmarkStart w:id="606" w:name="_Toc277082592"/>
      <w:bookmarkEnd w:id="606"/>
      <w:bookmarkStart w:id="607" w:name="_Toc224103357"/>
      <w:r>
        <w:rPr>
          <w:rFonts w:hint="eastAsia" w:ascii="宋体" w:hAnsi="宋体"/>
          <w:kern w:val="2"/>
          <w:sz w:val="21"/>
          <w:szCs w:val="21"/>
          <w:highlight w:val="none"/>
        </w:rPr>
        <w:t xml:space="preserve">7.2  </w:t>
      </w:r>
      <w:bookmarkEnd w:id="607"/>
      <w:r>
        <w:rPr>
          <w:rFonts w:hint="eastAsia" w:ascii="宋体" w:hAnsi="宋体" w:cs="宋体"/>
          <w:kern w:val="2"/>
          <w:sz w:val="21"/>
          <w:szCs w:val="21"/>
          <w:highlight w:val="none"/>
        </w:rPr>
        <w:t>中标通知</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在本章第</w:t>
      </w:r>
      <w:r>
        <w:rPr>
          <w:rFonts w:hint="eastAsia" w:ascii="宋体" w:hAnsi="宋体" w:cs="Calibri"/>
          <w:kern w:val="0"/>
          <w:szCs w:val="21"/>
          <w:highlight w:val="none"/>
          <w:lang w:bidi="ar"/>
        </w:rPr>
        <w:t xml:space="preserve"> 3.3 </w:t>
      </w:r>
      <w:r>
        <w:rPr>
          <w:rFonts w:hint="eastAsia" w:ascii="宋体" w:hAnsi="宋体" w:cs="宋体"/>
          <w:kern w:val="0"/>
          <w:szCs w:val="21"/>
          <w:highlight w:val="none"/>
          <w:lang w:bidi="ar"/>
        </w:rPr>
        <w:t>款规定的投标有效期内，采购人以书面形式向中标人发出中标通知书，同时将中标结果通知未中标的报价人。</w:t>
      </w:r>
    </w:p>
    <w:p>
      <w:pPr>
        <w:pStyle w:val="5"/>
        <w:widowControl/>
        <w:spacing w:before="0" w:after="0" w:line="300" w:lineRule="exact"/>
        <w:rPr>
          <w:rFonts w:ascii="宋体" w:hAnsi="宋体"/>
          <w:kern w:val="2"/>
          <w:sz w:val="21"/>
          <w:szCs w:val="21"/>
          <w:highlight w:val="none"/>
        </w:rPr>
      </w:pPr>
      <w:bookmarkStart w:id="608" w:name="_Toc40780293"/>
      <w:bookmarkEnd w:id="608"/>
      <w:bookmarkStart w:id="609" w:name="_Toc40455684"/>
      <w:bookmarkEnd w:id="609"/>
      <w:bookmarkStart w:id="610" w:name="_Toc224103358"/>
      <w:bookmarkEnd w:id="610"/>
      <w:bookmarkStart w:id="611" w:name="_Toc287607787"/>
      <w:bookmarkEnd w:id="611"/>
      <w:bookmarkStart w:id="612" w:name="_Toc40455311"/>
      <w:bookmarkEnd w:id="612"/>
      <w:bookmarkStart w:id="613" w:name="_Toc4661709"/>
      <w:bookmarkEnd w:id="613"/>
      <w:bookmarkStart w:id="614" w:name="_Toc277082593"/>
      <w:bookmarkEnd w:id="614"/>
      <w:bookmarkStart w:id="615" w:name="_Toc6509"/>
      <w:bookmarkEnd w:id="615"/>
      <w:bookmarkStart w:id="616" w:name="_Toc4661467"/>
      <w:bookmarkEnd w:id="616"/>
      <w:bookmarkStart w:id="617" w:name="_Toc200513167"/>
      <w:bookmarkEnd w:id="617"/>
      <w:bookmarkStart w:id="618" w:name="_Toc4661945"/>
      <w:bookmarkEnd w:id="618"/>
      <w:bookmarkStart w:id="619" w:name="_Toc4662181"/>
      <w:r>
        <w:rPr>
          <w:rFonts w:hint="eastAsia" w:ascii="宋体" w:hAnsi="宋体"/>
          <w:kern w:val="2"/>
          <w:sz w:val="21"/>
          <w:szCs w:val="21"/>
          <w:highlight w:val="none"/>
        </w:rPr>
        <w:t xml:space="preserve">7.3  </w:t>
      </w:r>
      <w:bookmarkEnd w:id="619"/>
      <w:r>
        <w:rPr>
          <w:rFonts w:hint="eastAsia" w:ascii="宋体" w:hAnsi="宋体" w:cs="宋体"/>
          <w:kern w:val="2"/>
          <w:sz w:val="21"/>
          <w:szCs w:val="21"/>
          <w:highlight w:val="none"/>
        </w:rPr>
        <w:t>履约担保</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7.3.1  </w:t>
      </w:r>
      <w:r>
        <w:rPr>
          <w:rFonts w:hint="eastAsia" w:ascii="宋体" w:hAnsi="宋体" w:cs="宋体"/>
          <w:kern w:val="0"/>
          <w:szCs w:val="21"/>
          <w:highlight w:val="none"/>
          <w:lang w:bidi="ar"/>
        </w:rPr>
        <w:t>在签订合同前，中标人应按报价人须知前附表规定的金额、担保形式和竞争性比选文件</w:t>
      </w:r>
      <w:r>
        <w:rPr>
          <w:rFonts w:hint="eastAsia" w:ascii="宋体" w:hAnsi="宋体" w:cs="Calibri"/>
          <w:kern w:val="0"/>
          <w:szCs w:val="21"/>
          <w:highlight w:val="none"/>
          <w:lang w:bidi="ar"/>
        </w:rPr>
        <w:t xml:space="preserve"> </w:t>
      </w:r>
      <w:r>
        <w:rPr>
          <w:rFonts w:hint="eastAsia" w:ascii="宋体" w:hAnsi="宋体" w:cs="宋体"/>
          <w:kern w:val="0"/>
          <w:szCs w:val="21"/>
          <w:highlight w:val="none"/>
          <w:lang w:bidi="ar"/>
        </w:rPr>
        <w:t>第四章</w:t>
      </w:r>
      <w:r>
        <w:rPr>
          <w:rFonts w:hint="eastAsia" w:ascii="宋体" w:hAnsi="宋体" w:cs="MingLiU"/>
          <w:kern w:val="0"/>
          <w:szCs w:val="21"/>
          <w:highlight w:val="none"/>
          <w:lang w:bidi="ar"/>
        </w:rPr>
        <w:t>“合同条款及格式”规定的履约担保格式向采购人提交履约担保。联合体中标的，其履约担保由牵头人递交，并应符合报价人须知前附表规定的金额、担保形式等缴纳履约保证金。</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7.3.2  </w:t>
      </w:r>
      <w:r>
        <w:rPr>
          <w:rFonts w:hint="eastAsia" w:ascii="宋体" w:hAnsi="宋体" w:cs="宋体"/>
          <w:kern w:val="0"/>
          <w:szCs w:val="21"/>
          <w:highlight w:val="none"/>
          <w:lang w:bidi="ar"/>
        </w:rPr>
        <w:t>中标人不能按本章第</w:t>
      </w:r>
      <w:r>
        <w:rPr>
          <w:rFonts w:hint="eastAsia" w:ascii="宋体" w:hAnsi="宋体" w:cs="Calibri"/>
          <w:kern w:val="0"/>
          <w:szCs w:val="21"/>
          <w:highlight w:val="none"/>
          <w:lang w:bidi="ar"/>
        </w:rPr>
        <w:t xml:space="preserve"> 7.3.1 </w:t>
      </w:r>
      <w:r>
        <w:rPr>
          <w:rFonts w:hint="eastAsia" w:ascii="宋体" w:hAnsi="宋体" w:cs="宋体"/>
          <w:kern w:val="0"/>
          <w:szCs w:val="21"/>
          <w:highlight w:val="none"/>
          <w:lang w:bidi="ar"/>
        </w:rPr>
        <w:t>项要求提交履约担保的，视为放弃中标，其投标保证金不予退还，给采购人造成的损失超过投标保证金数额的，中标人还应当对超过部分予以赔偿。</w:t>
      </w:r>
    </w:p>
    <w:p>
      <w:pPr>
        <w:pStyle w:val="5"/>
        <w:widowControl/>
        <w:spacing w:before="0" w:after="0" w:line="300" w:lineRule="exact"/>
        <w:rPr>
          <w:rFonts w:ascii="宋体" w:hAnsi="宋体"/>
          <w:kern w:val="2"/>
          <w:sz w:val="21"/>
          <w:szCs w:val="21"/>
          <w:highlight w:val="none"/>
        </w:rPr>
      </w:pPr>
      <w:bookmarkStart w:id="620" w:name="_Toc200513168"/>
      <w:bookmarkEnd w:id="620"/>
      <w:bookmarkStart w:id="621" w:name="_Toc40780294"/>
      <w:bookmarkEnd w:id="621"/>
      <w:bookmarkStart w:id="622" w:name="_Toc4661468"/>
      <w:bookmarkEnd w:id="622"/>
      <w:bookmarkStart w:id="623" w:name="_Toc12031"/>
      <w:bookmarkEnd w:id="623"/>
      <w:bookmarkStart w:id="624" w:name="_Toc40455312"/>
      <w:bookmarkEnd w:id="624"/>
      <w:bookmarkStart w:id="625" w:name="_Toc224103359"/>
      <w:bookmarkEnd w:id="625"/>
      <w:bookmarkStart w:id="626" w:name="_Toc277082594"/>
      <w:bookmarkEnd w:id="626"/>
      <w:bookmarkStart w:id="627" w:name="_Toc4662182"/>
      <w:bookmarkEnd w:id="627"/>
      <w:bookmarkStart w:id="628" w:name="_Toc40455685"/>
      <w:bookmarkEnd w:id="628"/>
      <w:bookmarkStart w:id="629" w:name="_Toc4661946"/>
      <w:bookmarkEnd w:id="629"/>
      <w:bookmarkStart w:id="630" w:name="_Toc4661710"/>
      <w:bookmarkEnd w:id="630"/>
      <w:bookmarkStart w:id="631" w:name="_Toc287607788"/>
      <w:r>
        <w:rPr>
          <w:rFonts w:hint="eastAsia" w:ascii="宋体" w:hAnsi="宋体"/>
          <w:kern w:val="2"/>
          <w:sz w:val="21"/>
          <w:szCs w:val="21"/>
          <w:highlight w:val="none"/>
        </w:rPr>
        <w:t xml:space="preserve">7.4  </w:t>
      </w:r>
      <w:bookmarkEnd w:id="631"/>
      <w:r>
        <w:rPr>
          <w:rFonts w:hint="eastAsia" w:ascii="宋体" w:hAnsi="宋体" w:cs="宋体"/>
          <w:kern w:val="2"/>
          <w:sz w:val="21"/>
          <w:szCs w:val="21"/>
          <w:highlight w:val="none"/>
        </w:rPr>
        <w:t>签订合同</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7.4.1 </w:t>
      </w:r>
      <w:r>
        <w:rPr>
          <w:rFonts w:hint="eastAsia" w:ascii="宋体" w:hAnsi="宋体" w:cs="宋体"/>
          <w:kern w:val="0"/>
          <w:szCs w:val="21"/>
          <w:highlight w:val="none"/>
          <w:lang w:bidi="ar"/>
        </w:rPr>
        <w:t>采购人和中标人应当自中标通知书发出之日起</w:t>
      </w:r>
      <w:r>
        <w:rPr>
          <w:rFonts w:hint="eastAsia" w:ascii="宋体" w:hAnsi="宋体" w:cs="Calibri"/>
          <w:kern w:val="0"/>
          <w:szCs w:val="21"/>
          <w:highlight w:val="none"/>
          <w:lang w:bidi="ar"/>
        </w:rPr>
        <w:t xml:space="preserve"> 30 </w:t>
      </w:r>
      <w:r>
        <w:rPr>
          <w:rFonts w:hint="eastAsia" w:ascii="宋体" w:hAnsi="宋体" w:cs="宋体"/>
          <w:kern w:val="0"/>
          <w:szCs w:val="21"/>
          <w:highlight w:val="none"/>
          <w:lang w:bidi="ar"/>
        </w:rPr>
        <w:t>天内，根据竞争性比选文件和中标人的比选响应文件订立书面合同。中标人无正当理由拒签合同的，采购人取消其中标资格，其投标保证金不予退还；给采购人造成的损失超过投标保证金数额的，中标人还应当对超过部分予以赔偿。</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7.4.2  </w:t>
      </w:r>
      <w:r>
        <w:rPr>
          <w:rFonts w:hint="eastAsia" w:ascii="宋体" w:hAnsi="宋体" w:cs="宋体"/>
          <w:kern w:val="0"/>
          <w:szCs w:val="21"/>
          <w:highlight w:val="none"/>
          <w:lang w:bidi="ar"/>
        </w:rPr>
        <w:t>发出中标通知书后，采购人无正当理由拒签合同的，采购人向中标人退还投标保证金；给中标人造成损失的，还应当赔偿损失。</w:t>
      </w:r>
    </w:p>
    <w:p>
      <w:pPr>
        <w:autoSpaceDE w:val="0"/>
        <w:autoSpaceDN w:val="0"/>
        <w:adjustRightInd w:val="0"/>
        <w:spacing w:line="300" w:lineRule="exact"/>
        <w:jc w:val="left"/>
        <w:rPr>
          <w:rFonts w:ascii="宋体" w:hAnsi="宋体"/>
          <w:b/>
          <w:szCs w:val="21"/>
          <w:highlight w:val="none"/>
        </w:rPr>
      </w:pPr>
      <w:bookmarkStart w:id="632" w:name="_Toc4661469"/>
      <w:bookmarkEnd w:id="632"/>
      <w:bookmarkStart w:id="633" w:name="_Toc287607789"/>
      <w:bookmarkEnd w:id="633"/>
      <w:bookmarkStart w:id="634" w:name="_Toc4662183"/>
      <w:bookmarkEnd w:id="634"/>
      <w:bookmarkStart w:id="635" w:name="_Toc40455686"/>
      <w:bookmarkEnd w:id="635"/>
      <w:bookmarkStart w:id="636" w:name="_Toc224103360"/>
      <w:bookmarkEnd w:id="636"/>
      <w:bookmarkStart w:id="637" w:name="_Toc277082595"/>
      <w:bookmarkEnd w:id="637"/>
      <w:bookmarkStart w:id="638" w:name="_Toc4661947"/>
      <w:bookmarkEnd w:id="638"/>
      <w:bookmarkStart w:id="639" w:name="_Toc8265"/>
      <w:bookmarkEnd w:id="639"/>
      <w:bookmarkStart w:id="640" w:name="_Toc4661711"/>
      <w:bookmarkEnd w:id="640"/>
      <w:bookmarkStart w:id="641" w:name="_Toc200513169"/>
      <w:bookmarkEnd w:id="641"/>
      <w:bookmarkStart w:id="642" w:name="_Toc40455313"/>
      <w:bookmarkEnd w:id="642"/>
      <w:bookmarkStart w:id="643" w:name="_Toc14976"/>
      <w:r>
        <w:rPr>
          <w:rFonts w:hint="eastAsia" w:ascii="宋体" w:hAnsi="宋体"/>
          <w:b/>
          <w:szCs w:val="21"/>
          <w:highlight w:val="none"/>
          <w:lang w:bidi="ar"/>
        </w:rPr>
        <w:t xml:space="preserve">8.  </w:t>
      </w:r>
      <w:bookmarkEnd w:id="643"/>
      <w:bookmarkStart w:id="644" w:name="_Toc40455689"/>
      <w:bookmarkEnd w:id="644"/>
      <w:bookmarkStart w:id="645" w:name="_Toc4661950"/>
      <w:bookmarkEnd w:id="645"/>
      <w:bookmarkStart w:id="646" w:name="_Toc224103363"/>
      <w:bookmarkEnd w:id="646"/>
      <w:bookmarkStart w:id="647" w:name="_Toc200513172"/>
      <w:bookmarkEnd w:id="647"/>
      <w:bookmarkStart w:id="648" w:name="_Toc31835"/>
      <w:bookmarkEnd w:id="648"/>
      <w:bookmarkStart w:id="649" w:name="_Toc40455316"/>
      <w:bookmarkEnd w:id="649"/>
      <w:bookmarkStart w:id="650" w:name="_Toc4661714"/>
      <w:bookmarkEnd w:id="650"/>
      <w:bookmarkStart w:id="651" w:name="_Toc277082598"/>
      <w:bookmarkEnd w:id="651"/>
      <w:bookmarkStart w:id="652" w:name="_Toc4662186"/>
      <w:bookmarkEnd w:id="652"/>
      <w:bookmarkStart w:id="653" w:name="_Toc4661472"/>
      <w:bookmarkEnd w:id="653"/>
      <w:bookmarkStart w:id="654" w:name="_Toc14831"/>
      <w:bookmarkEnd w:id="654"/>
      <w:bookmarkStart w:id="655" w:name="_Toc287607792"/>
      <w:bookmarkEnd w:id="655"/>
      <w:r>
        <w:rPr>
          <w:rFonts w:hint="eastAsia" w:ascii="宋体" w:hAnsi="宋体"/>
          <w:b/>
          <w:szCs w:val="21"/>
          <w:highlight w:val="none"/>
          <w:lang w:bidi="ar"/>
        </w:rPr>
        <w:t xml:space="preserve"> </w:t>
      </w:r>
      <w:r>
        <w:rPr>
          <w:rFonts w:hint="eastAsia" w:ascii="宋体" w:hAnsi="宋体" w:cs="宋体"/>
          <w:b/>
          <w:szCs w:val="21"/>
          <w:highlight w:val="none"/>
          <w:lang w:bidi="ar"/>
        </w:rPr>
        <w:t>纪律和监督</w:t>
      </w:r>
    </w:p>
    <w:p>
      <w:pPr>
        <w:pStyle w:val="5"/>
        <w:widowControl/>
        <w:spacing w:before="0" w:after="0" w:line="300" w:lineRule="exact"/>
        <w:rPr>
          <w:rFonts w:ascii="宋体" w:hAnsi="宋体"/>
          <w:kern w:val="2"/>
          <w:sz w:val="21"/>
          <w:szCs w:val="21"/>
          <w:highlight w:val="none"/>
        </w:rPr>
      </w:pPr>
      <w:bookmarkStart w:id="656" w:name="_Toc4661473"/>
      <w:bookmarkEnd w:id="656"/>
      <w:bookmarkStart w:id="657" w:name="_Toc287607793"/>
      <w:bookmarkEnd w:id="657"/>
      <w:bookmarkStart w:id="658" w:name="_Toc8515"/>
      <w:bookmarkEnd w:id="658"/>
      <w:bookmarkStart w:id="659" w:name="_Toc4662187"/>
      <w:bookmarkEnd w:id="659"/>
      <w:bookmarkStart w:id="660" w:name="_Toc224103364"/>
      <w:bookmarkEnd w:id="660"/>
      <w:bookmarkStart w:id="661" w:name="_Toc4661715"/>
      <w:bookmarkEnd w:id="661"/>
      <w:bookmarkStart w:id="662" w:name="_Toc277082599"/>
      <w:bookmarkEnd w:id="662"/>
      <w:bookmarkStart w:id="663" w:name="_Toc200513173"/>
      <w:bookmarkEnd w:id="663"/>
      <w:bookmarkStart w:id="664" w:name="_Toc40455317"/>
      <w:bookmarkEnd w:id="664"/>
      <w:bookmarkStart w:id="665" w:name="_Toc40455690"/>
      <w:bookmarkEnd w:id="665"/>
      <w:bookmarkStart w:id="666" w:name="_Toc40780299"/>
      <w:bookmarkEnd w:id="666"/>
      <w:bookmarkStart w:id="667" w:name="_Toc4661951"/>
      <w:r>
        <w:rPr>
          <w:rFonts w:hint="eastAsia" w:ascii="宋体" w:hAnsi="宋体"/>
          <w:kern w:val="2"/>
          <w:sz w:val="21"/>
          <w:szCs w:val="21"/>
          <w:highlight w:val="none"/>
        </w:rPr>
        <w:t>8</w:t>
      </w:r>
      <w:bookmarkEnd w:id="667"/>
      <w:r>
        <w:rPr>
          <w:rFonts w:hint="eastAsia" w:ascii="宋体" w:hAnsi="宋体"/>
          <w:kern w:val="2"/>
          <w:sz w:val="21"/>
          <w:szCs w:val="21"/>
          <w:highlight w:val="none"/>
        </w:rPr>
        <w:t xml:space="preserve">.1  </w:t>
      </w:r>
      <w:r>
        <w:rPr>
          <w:rFonts w:hint="eastAsia" w:ascii="宋体" w:hAnsi="宋体" w:cs="宋体"/>
          <w:kern w:val="2"/>
          <w:sz w:val="21"/>
          <w:szCs w:val="21"/>
          <w:highlight w:val="none"/>
        </w:rPr>
        <w:t>对采购人的纪律要求</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采购人不得泄漏竞争性比选投标活动中应当保密的情况和资料，不得与报价人串通损害国家利益、社会公共利益或者他人合法权益，</w:t>
      </w:r>
      <w:r>
        <w:rPr>
          <w:rFonts w:hint="eastAsia" w:ascii="宋体" w:hAnsi="宋体" w:cs="宋体"/>
          <w:szCs w:val="21"/>
          <w:highlight w:val="none"/>
          <w:lang w:bidi="ar"/>
        </w:rPr>
        <w:t>禁止采购人与报价人串通投标。</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有下列情形之一的，属于采购人与报价人串通投标：</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（1）采购人在开标前开启比选响应文件并将有关信息泄露给其他报价人;</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（2）采购人直接或者间接向报价人泄露标底、</w:t>
      </w:r>
      <w:r>
        <w:rPr>
          <w:rFonts w:hint="eastAsia" w:ascii="宋体" w:hAnsi="宋体" w:cs="Calibri"/>
          <w:szCs w:val="21"/>
          <w:highlight w:val="none"/>
          <w:lang w:eastAsia="zh-CN" w:bidi="ar"/>
        </w:rPr>
        <w:t>评审</w:t>
      </w:r>
      <w:r>
        <w:rPr>
          <w:rFonts w:hint="eastAsia" w:ascii="宋体" w:hAnsi="宋体" w:cs="Calibri"/>
          <w:szCs w:val="21"/>
          <w:highlight w:val="none"/>
          <w:lang w:bidi="ar"/>
        </w:rPr>
        <w:t>委员会成员等信息；</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（3）采购人明示或者暗示报价人压低或者抬高投标报价；</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（4）采购人授意报价人撤换、修改比选响应文件；</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（5）采购人明示或者暗示报价人为特定报价人中标提供方便；</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（6）采购人与报价人为谋求特定报价人中标而采取的其他串通行为。</w:t>
      </w:r>
    </w:p>
    <w:p>
      <w:pPr>
        <w:pStyle w:val="5"/>
        <w:widowControl/>
        <w:spacing w:before="0" w:after="0" w:line="300" w:lineRule="exact"/>
        <w:rPr>
          <w:rFonts w:ascii="宋体" w:hAnsi="宋体"/>
          <w:kern w:val="2"/>
          <w:sz w:val="21"/>
          <w:szCs w:val="21"/>
          <w:highlight w:val="none"/>
        </w:rPr>
      </w:pPr>
      <w:bookmarkStart w:id="668" w:name="_Toc4661952"/>
      <w:bookmarkEnd w:id="668"/>
      <w:bookmarkStart w:id="669" w:name="_Toc4661474"/>
      <w:bookmarkEnd w:id="669"/>
      <w:bookmarkStart w:id="670" w:name="_Toc287607794"/>
      <w:bookmarkEnd w:id="670"/>
      <w:bookmarkStart w:id="671" w:name="_Toc200513174"/>
      <w:bookmarkEnd w:id="671"/>
      <w:bookmarkStart w:id="672" w:name="_Toc19536"/>
      <w:bookmarkEnd w:id="672"/>
      <w:bookmarkStart w:id="673" w:name="_Toc40455318"/>
      <w:bookmarkEnd w:id="673"/>
      <w:bookmarkStart w:id="674" w:name="_Toc4661716"/>
      <w:bookmarkEnd w:id="674"/>
      <w:bookmarkStart w:id="675" w:name="_Toc4662188"/>
      <w:bookmarkEnd w:id="675"/>
      <w:bookmarkStart w:id="676" w:name="_Toc40455691"/>
      <w:bookmarkEnd w:id="676"/>
      <w:bookmarkStart w:id="677" w:name="_Toc40780300"/>
      <w:bookmarkEnd w:id="677"/>
      <w:bookmarkStart w:id="678" w:name="_Toc224103365"/>
      <w:bookmarkEnd w:id="678"/>
      <w:bookmarkStart w:id="679" w:name="_Toc277082600"/>
      <w:r>
        <w:rPr>
          <w:rFonts w:hint="eastAsia" w:ascii="宋体" w:hAnsi="宋体"/>
          <w:kern w:val="2"/>
          <w:sz w:val="21"/>
          <w:szCs w:val="21"/>
          <w:highlight w:val="none"/>
        </w:rPr>
        <w:t>8</w:t>
      </w:r>
      <w:bookmarkEnd w:id="679"/>
      <w:r>
        <w:rPr>
          <w:rFonts w:hint="eastAsia" w:ascii="宋体" w:hAnsi="宋体"/>
          <w:kern w:val="2"/>
          <w:sz w:val="21"/>
          <w:szCs w:val="21"/>
          <w:highlight w:val="none"/>
        </w:rPr>
        <w:t xml:space="preserve">.2  </w:t>
      </w:r>
      <w:r>
        <w:rPr>
          <w:rFonts w:hint="eastAsia" w:ascii="宋体" w:hAnsi="宋体" w:cs="宋体"/>
          <w:kern w:val="2"/>
          <w:sz w:val="21"/>
          <w:szCs w:val="21"/>
          <w:highlight w:val="none"/>
        </w:rPr>
        <w:t>对报价人的纪律要求</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报价人不得相互串通投标或者与采购人串通投标，不得向采购人或者</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委员会成员行贿谋取中标，不得以他人名义投标或者以其他方式弄虚作假骗取中标；报价人不得以任何方式干扰、影响</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工作。</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8.2.1有下列情形之一的，属于报价人相互串通投标：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1）报价人之间协商投标报价等比选响应文件的实质性内容；</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2）报价人之间约定中标人；</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3）报价人之间约定部分报价人放弃投标或者中标；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4）属于同一集团、协会、商会等组织成员的报价人按照该组织要求协同投标；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5）报价人之间为谋取中标或者排斥特定报价人而采取的其他联合行动。</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8.2.2有下列情形之一的，视为报价人相互串通投标：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1）不同报价人的比选响应文件由同一单位或者个人编制；</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2）不同报价人委托同一单位或者个人办理投标事宜；</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3）不同报价人的比选响应文件载明的项目管理成员为同一人；</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4）不同报价人的比选响应文件异常一致或者投标报价呈规律性差异；</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5）不同报价人的比选响应文件相互混装；</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6）不同报价人的投标保证金从同一单位或者个人的账户转出。</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8.2.3使用通过受让或者租借等方式获取的资格、资质证书投标的，属于以他人名义投标。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8.2.4报价人有下列情形之一的，属于以其他方式弄虚作假的行为：</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1）使用伪造、变造的许可证件；</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2）提供虚假的财务状况或者业绩；</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3）提供虚假的项目负责人或者主要技术人员简历、劳动关系证明；</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4）提供虚假的信用状况；</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5）其他弄虚作假的行为。</w:t>
      </w:r>
    </w:p>
    <w:p>
      <w:pPr>
        <w:pStyle w:val="5"/>
        <w:widowControl/>
        <w:spacing w:before="0" w:after="0" w:line="300" w:lineRule="exact"/>
        <w:rPr>
          <w:rFonts w:ascii="宋体" w:hAnsi="宋体"/>
          <w:kern w:val="2"/>
          <w:sz w:val="21"/>
          <w:szCs w:val="21"/>
          <w:highlight w:val="none"/>
        </w:rPr>
      </w:pPr>
      <w:bookmarkStart w:id="680" w:name="_Toc287607795"/>
      <w:bookmarkEnd w:id="680"/>
      <w:bookmarkStart w:id="681" w:name="_Toc6459"/>
      <w:bookmarkEnd w:id="681"/>
      <w:bookmarkStart w:id="682" w:name="_Toc4662189"/>
      <w:bookmarkEnd w:id="682"/>
      <w:bookmarkStart w:id="683" w:name="_Toc277082601"/>
      <w:bookmarkEnd w:id="683"/>
      <w:bookmarkStart w:id="684" w:name="_Toc200513175"/>
      <w:bookmarkEnd w:id="684"/>
      <w:bookmarkStart w:id="685" w:name="_Toc224103366"/>
      <w:bookmarkEnd w:id="685"/>
      <w:bookmarkStart w:id="686" w:name="_Toc40455692"/>
      <w:bookmarkEnd w:id="686"/>
      <w:bookmarkStart w:id="687" w:name="_Toc40455319"/>
      <w:bookmarkEnd w:id="687"/>
      <w:bookmarkStart w:id="688" w:name="_Toc4661475"/>
      <w:bookmarkEnd w:id="688"/>
      <w:bookmarkStart w:id="689" w:name="_Toc4661717"/>
      <w:bookmarkEnd w:id="689"/>
      <w:bookmarkStart w:id="690" w:name="_Toc40780301"/>
      <w:bookmarkEnd w:id="690"/>
      <w:bookmarkStart w:id="691" w:name="_Toc4661953"/>
      <w:r>
        <w:rPr>
          <w:rFonts w:hint="eastAsia" w:ascii="宋体" w:hAnsi="宋体"/>
          <w:kern w:val="2"/>
          <w:sz w:val="21"/>
          <w:szCs w:val="21"/>
          <w:highlight w:val="none"/>
        </w:rPr>
        <w:t>8</w:t>
      </w:r>
      <w:bookmarkEnd w:id="691"/>
      <w:r>
        <w:rPr>
          <w:rFonts w:hint="eastAsia" w:ascii="宋体" w:hAnsi="宋体"/>
          <w:kern w:val="2"/>
          <w:sz w:val="21"/>
          <w:szCs w:val="21"/>
          <w:highlight w:val="none"/>
        </w:rPr>
        <w:t xml:space="preserve">.3  </w:t>
      </w:r>
      <w:r>
        <w:rPr>
          <w:rFonts w:hint="eastAsia" w:ascii="宋体" w:hAnsi="宋体" w:cs="宋体"/>
          <w:kern w:val="2"/>
          <w:sz w:val="21"/>
          <w:szCs w:val="21"/>
          <w:highlight w:val="none"/>
        </w:rPr>
        <w:t>对</w:t>
      </w:r>
      <w:r>
        <w:rPr>
          <w:rFonts w:hint="eastAsia" w:ascii="宋体" w:hAnsi="宋体" w:cs="宋体"/>
          <w:kern w:val="2"/>
          <w:sz w:val="21"/>
          <w:szCs w:val="21"/>
          <w:highlight w:val="none"/>
          <w:lang w:eastAsia="zh-CN"/>
        </w:rPr>
        <w:t>评审</w:t>
      </w:r>
      <w:r>
        <w:rPr>
          <w:rFonts w:hint="eastAsia" w:ascii="宋体" w:hAnsi="宋体" w:cs="宋体"/>
          <w:kern w:val="2"/>
          <w:sz w:val="21"/>
          <w:szCs w:val="21"/>
          <w:highlight w:val="none"/>
        </w:rPr>
        <w:t>委员会成员的纪律要求</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委员会成员不得收受他人的财物或者其他好处，不得向他人透漏对比选响应文件的评审和比较、中标候选人的推荐情况以及</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有关的其他情况。在</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活动中，</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委员会成员不得擅离职守，影响</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程序正常进行，不得使用第三章</w:t>
      </w:r>
      <w:r>
        <w:rPr>
          <w:rFonts w:hint="eastAsia" w:ascii="宋体" w:hAnsi="宋体" w:cs="MingLiU"/>
          <w:kern w:val="0"/>
          <w:szCs w:val="21"/>
          <w:highlight w:val="none"/>
          <w:lang w:bidi="ar"/>
        </w:rPr>
        <w:t>“</w:t>
      </w:r>
      <w:r>
        <w:rPr>
          <w:rFonts w:hint="eastAsia" w:ascii="宋体" w:hAnsi="宋体" w:cs="MingLiU"/>
          <w:kern w:val="0"/>
          <w:szCs w:val="21"/>
          <w:highlight w:val="none"/>
          <w:lang w:eastAsia="zh-CN" w:bidi="ar"/>
        </w:rPr>
        <w:t>评审</w:t>
      </w:r>
      <w:r>
        <w:rPr>
          <w:rFonts w:hint="eastAsia" w:ascii="宋体" w:hAnsi="宋体" w:cs="MingLiU"/>
          <w:kern w:val="0"/>
          <w:szCs w:val="21"/>
          <w:highlight w:val="none"/>
          <w:lang w:bidi="ar"/>
        </w:rPr>
        <w:t>办法”没有规定的评审因素和标准进行</w:t>
      </w:r>
      <w:r>
        <w:rPr>
          <w:rFonts w:hint="eastAsia" w:ascii="宋体" w:hAnsi="宋体" w:cs="MingLiU"/>
          <w:kern w:val="0"/>
          <w:szCs w:val="21"/>
          <w:highlight w:val="none"/>
          <w:lang w:eastAsia="zh-CN" w:bidi="ar"/>
        </w:rPr>
        <w:t>评审</w:t>
      </w:r>
      <w:r>
        <w:rPr>
          <w:rFonts w:hint="eastAsia" w:ascii="宋体" w:hAnsi="宋体" w:cs="MingLiU"/>
          <w:kern w:val="0"/>
          <w:szCs w:val="21"/>
          <w:highlight w:val="none"/>
          <w:lang w:bidi="ar"/>
        </w:rPr>
        <w:t>。</w:t>
      </w:r>
    </w:p>
    <w:p>
      <w:pPr>
        <w:pStyle w:val="5"/>
        <w:widowControl/>
        <w:spacing w:before="0" w:after="0" w:line="300" w:lineRule="exact"/>
        <w:rPr>
          <w:rFonts w:ascii="宋体" w:hAnsi="宋体"/>
          <w:kern w:val="2"/>
          <w:sz w:val="21"/>
          <w:szCs w:val="21"/>
          <w:highlight w:val="none"/>
        </w:rPr>
      </w:pPr>
      <w:bookmarkStart w:id="692" w:name="_Toc4661954"/>
      <w:bookmarkEnd w:id="692"/>
      <w:bookmarkStart w:id="693" w:name="_Toc40455693"/>
      <w:bookmarkEnd w:id="693"/>
      <w:bookmarkStart w:id="694" w:name="_Toc40455320"/>
      <w:bookmarkEnd w:id="694"/>
      <w:bookmarkStart w:id="695" w:name="_Toc224103367"/>
      <w:bookmarkEnd w:id="695"/>
      <w:bookmarkStart w:id="696" w:name="_Toc40780302"/>
      <w:bookmarkEnd w:id="696"/>
      <w:bookmarkStart w:id="697" w:name="_Toc4661476"/>
      <w:bookmarkEnd w:id="697"/>
      <w:bookmarkStart w:id="698" w:name="_Toc13495"/>
      <w:bookmarkEnd w:id="698"/>
      <w:bookmarkStart w:id="699" w:name="_Toc200513176"/>
      <w:bookmarkEnd w:id="699"/>
      <w:bookmarkStart w:id="700" w:name="_Toc287607796"/>
      <w:bookmarkEnd w:id="700"/>
      <w:bookmarkStart w:id="701" w:name="_Toc4662190"/>
      <w:bookmarkEnd w:id="701"/>
      <w:bookmarkStart w:id="702" w:name="_Toc277082602"/>
      <w:bookmarkEnd w:id="702"/>
      <w:bookmarkStart w:id="703" w:name="_Toc4661718"/>
      <w:r>
        <w:rPr>
          <w:rFonts w:hint="eastAsia" w:ascii="宋体" w:hAnsi="宋体"/>
          <w:kern w:val="2"/>
          <w:sz w:val="21"/>
          <w:szCs w:val="21"/>
          <w:highlight w:val="none"/>
        </w:rPr>
        <w:t>8</w:t>
      </w:r>
      <w:bookmarkEnd w:id="703"/>
      <w:r>
        <w:rPr>
          <w:rFonts w:hint="eastAsia" w:ascii="宋体" w:hAnsi="宋体"/>
          <w:kern w:val="2"/>
          <w:sz w:val="21"/>
          <w:szCs w:val="21"/>
          <w:highlight w:val="none"/>
        </w:rPr>
        <w:t xml:space="preserve">.4  </w:t>
      </w:r>
      <w:r>
        <w:rPr>
          <w:rFonts w:hint="eastAsia" w:ascii="宋体" w:hAnsi="宋体" w:cs="宋体"/>
          <w:kern w:val="2"/>
          <w:sz w:val="21"/>
          <w:szCs w:val="21"/>
          <w:highlight w:val="none"/>
        </w:rPr>
        <w:t>对与</w:t>
      </w:r>
      <w:r>
        <w:rPr>
          <w:rFonts w:hint="eastAsia" w:ascii="宋体" w:hAnsi="宋体" w:cs="宋体"/>
          <w:kern w:val="2"/>
          <w:sz w:val="21"/>
          <w:szCs w:val="21"/>
          <w:highlight w:val="none"/>
          <w:lang w:eastAsia="zh-CN"/>
        </w:rPr>
        <w:t>评审</w:t>
      </w:r>
      <w:r>
        <w:rPr>
          <w:rFonts w:hint="eastAsia" w:ascii="宋体" w:hAnsi="宋体" w:cs="宋体"/>
          <w:kern w:val="2"/>
          <w:sz w:val="21"/>
          <w:szCs w:val="21"/>
          <w:highlight w:val="none"/>
        </w:rPr>
        <w:t>活动有关的工作人员的纪律要求</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与</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活动有关的工作人员不得收受他人的财物或者其他好处，不得向他人透漏对比选响应文件的评审和比较、中标候选人的推荐情况以及与</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有关的其他情况。在</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活动中，与</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活动有关的工作人员不得擅离职守，影响</w:t>
      </w:r>
      <w:r>
        <w:rPr>
          <w:rFonts w:hint="eastAsia" w:ascii="宋体" w:hAnsi="宋体" w:cs="宋体"/>
          <w:kern w:val="0"/>
          <w:szCs w:val="21"/>
          <w:highlight w:val="none"/>
          <w:lang w:eastAsia="zh-CN" w:bidi="ar"/>
        </w:rPr>
        <w:t>评审</w:t>
      </w:r>
      <w:r>
        <w:rPr>
          <w:rFonts w:hint="eastAsia" w:ascii="宋体" w:hAnsi="宋体" w:cs="宋体"/>
          <w:kern w:val="0"/>
          <w:szCs w:val="21"/>
          <w:highlight w:val="none"/>
          <w:lang w:bidi="ar"/>
        </w:rPr>
        <w:t>程序正常进行。</w:t>
      </w:r>
    </w:p>
    <w:p>
      <w:pPr>
        <w:pStyle w:val="5"/>
        <w:widowControl/>
        <w:spacing w:before="0" w:after="0" w:line="300" w:lineRule="exact"/>
        <w:rPr>
          <w:rFonts w:ascii="宋体" w:hAnsi="宋体"/>
          <w:kern w:val="2"/>
          <w:sz w:val="21"/>
          <w:szCs w:val="21"/>
          <w:highlight w:val="none"/>
        </w:rPr>
      </w:pPr>
      <w:bookmarkStart w:id="704" w:name="_Toc200513177"/>
      <w:bookmarkEnd w:id="704"/>
      <w:bookmarkStart w:id="705" w:name="_Toc4661719"/>
      <w:bookmarkEnd w:id="705"/>
      <w:bookmarkStart w:id="706" w:name="_Toc277082603"/>
      <w:bookmarkEnd w:id="706"/>
      <w:bookmarkStart w:id="707" w:name="_Toc287607797"/>
      <w:bookmarkEnd w:id="707"/>
      <w:bookmarkStart w:id="708" w:name="_Toc22072"/>
      <w:bookmarkEnd w:id="708"/>
      <w:bookmarkStart w:id="709" w:name="_Toc40780303"/>
      <w:bookmarkEnd w:id="709"/>
      <w:bookmarkStart w:id="710" w:name="_Toc224103368"/>
      <w:bookmarkEnd w:id="710"/>
      <w:bookmarkStart w:id="711" w:name="_Toc4662191"/>
      <w:bookmarkEnd w:id="711"/>
      <w:bookmarkStart w:id="712" w:name="_Toc4661477"/>
      <w:bookmarkEnd w:id="712"/>
      <w:bookmarkStart w:id="713" w:name="_Toc40455321"/>
      <w:bookmarkEnd w:id="713"/>
      <w:bookmarkStart w:id="714" w:name="_Toc40455694"/>
      <w:bookmarkEnd w:id="714"/>
      <w:bookmarkStart w:id="715" w:name="_Toc4661955"/>
      <w:r>
        <w:rPr>
          <w:rFonts w:hint="eastAsia" w:ascii="宋体" w:hAnsi="宋体"/>
          <w:kern w:val="2"/>
          <w:sz w:val="21"/>
          <w:szCs w:val="21"/>
          <w:highlight w:val="none"/>
        </w:rPr>
        <w:t>8</w:t>
      </w:r>
      <w:bookmarkEnd w:id="715"/>
      <w:r>
        <w:rPr>
          <w:rFonts w:hint="eastAsia" w:ascii="宋体" w:hAnsi="宋体"/>
          <w:kern w:val="2"/>
          <w:sz w:val="21"/>
          <w:szCs w:val="21"/>
          <w:highlight w:val="none"/>
        </w:rPr>
        <w:t xml:space="preserve">.5  </w:t>
      </w:r>
      <w:r>
        <w:rPr>
          <w:rFonts w:hint="eastAsia" w:ascii="宋体" w:hAnsi="宋体" w:cs="宋体"/>
          <w:kern w:val="2"/>
          <w:sz w:val="21"/>
          <w:szCs w:val="21"/>
          <w:highlight w:val="none"/>
        </w:rPr>
        <w:t>投诉</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报价人和其他利害关系人认为本次竞争性比选活动违反法律、法规和规章规定的，有权向有关监督部门投诉。具体见报价人须知前附表。</w:t>
      </w:r>
    </w:p>
    <w:p>
      <w:pPr>
        <w:pStyle w:val="5"/>
        <w:widowControl/>
        <w:spacing w:before="0" w:after="0" w:line="300" w:lineRule="exact"/>
        <w:rPr>
          <w:rFonts w:ascii="宋体" w:hAnsi="宋体"/>
          <w:kern w:val="2"/>
          <w:sz w:val="21"/>
          <w:szCs w:val="21"/>
          <w:highlight w:val="none"/>
        </w:rPr>
      </w:pPr>
      <w:bookmarkStart w:id="716" w:name="_Toc40455695"/>
      <w:bookmarkEnd w:id="716"/>
      <w:bookmarkStart w:id="717" w:name="_Toc4661478"/>
      <w:bookmarkEnd w:id="717"/>
      <w:bookmarkStart w:id="718" w:name="_Toc224103369"/>
      <w:bookmarkEnd w:id="718"/>
      <w:bookmarkStart w:id="719" w:name="_Toc287620737"/>
      <w:bookmarkEnd w:id="719"/>
      <w:bookmarkStart w:id="720" w:name="_Toc4661720"/>
      <w:bookmarkEnd w:id="720"/>
      <w:bookmarkStart w:id="721" w:name="_Toc277082604"/>
      <w:bookmarkEnd w:id="721"/>
      <w:bookmarkStart w:id="722" w:name="_Toc4662192"/>
      <w:bookmarkEnd w:id="722"/>
      <w:bookmarkStart w:id="723" w:name="_Toc4661956"/>
      <w:bookmarkEnd w:id="723"/>
      <w:bookmarkStart w:id="724" w:name="_Toc26060"/>
      <w:bookmarkEnd w:id="724"/>
      <w:bookmarkStart w:id="725" w:name="_Toc287607798"/>
      <w:bookmarkEnd w:id="725"/>
      <w:bookmarkStart w:id="726" w:name="_Toc40455322"/>
      <w:bookmarkEnd w:id="726"/>
      <w:bookmarkStart w:id="727" w:name="_Toc200513178"/>
      <w:r>
        <w:rPr>
          <w:rFonts w:hint="eastAsia" w:ascii="宋体" w:hAnsi="宋体"/>
          <w:kern w:val="2"/>
          <w:sz w:val="21"/>
          <w:szCs w:val="21"/>
          <w:highlight w:val="none"/>
        </w:rPr>
        <w:t>9</w:t>
      </w:r>
      <w:bookmarkEnd w:id="727"/>
      <w:r>
        <w:rPr>
          <w:rFonts w:hint="eastAsia" w:ascii="宋体" w:hAnsi="宋体"/>
          <w:kern w:val="2"/>
          <w:sz w:val="21"/>
          <w:szCs w:val="21"/>
          <w:highlight w:val="none"/>
        </w:rPr>
        <w:t>.</w:t>
      </w:r>
      <w:r>
        <w:rPr>
          <w:rFonts w:hint="eastAsia" w:ascii="宋体" w:hAnsi="宋体" w:cs="宋体"/>
          <w:kern w:val="2"/>
          <w:sz w:val="21"/>
          <w:szCs w:val="21"/>
          <w:highlight w:val="none"/>
        </w:rPr>
        <w:t>是否采用电子竞争性比选投标</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本竞争性比选项目是否采用电子竞争性比选投标方式：见报价人须知前附表。</w:t>
      </w:r>
    </w:p>
    <w:p>
      <w:pPr>
        <w:pStyle w:val="5"/>
        <w:widowControl/>
        <w:spacing w:before="0" w:after="0" w:line="300" w:lineRule="exact"/>
        <w:rPr>
          <w:rFonts w:ascii="宋体" w:hAnsi="宋体" w:cs="宋体"/>
          <w:sz w:val="28"/>
          <w:szCs w:val="28"/>
          <w:highlight w:val="none"/>
        </w:rPr>
        <w:sectPr>
          <w:footerReference r:id="rId7" w:type="default"/>
          <w:pgSz w:w="11906" w:h="16838"/>
          <w:pgMar w:top="1418" w:right="1134" w:bottom="1418" w:left="1134"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hAnsi="宋体"/>
          <w:kern w:val="2"/>
          <w:sz w:val="21"/>
          <w:szCs w:val="21"/>
          <w:highlight w:val="none"/>
        </w:rPr>
        <w:t>10.需要补充的其他内容</w:t>
      </w:r>
    </w:p>
    <w:p>
      <w:pPr>
        <w:pStyle w:val="3"/>
        <w:numPr>
          <w:ilvl w:val="0"/>
          <w:numId w:val="3"/>
        </w:numPr>
        <w:spacing w:before="0" w:after="0" w:line="360" w:lineRule="auto"/>
        <w:jc w:val="center"/>
        <w:rPr>
          <w:highlight w:val="none"/>
        </w:rPr>
      </w:pPr>
      <w:bookmarkStart w:id="728" w:name="_Toc246996973"/>
      <w:bookmarkStart w:id="729" w:name="_Toc179632605"/>
      <w:bookmarkStart w:id="730" w:name="_Toc247085745"/>
      <w:bookmarkStart w:id="731" w:name="_Toc507319957"/>
      <w:bookmarkStart w:id="732" w:name="_Toc152045587"/>
      <w:bookmarkStart w:id="733" w:name="_Toc246996230"/>
      <w:bookmarkStart w:id="734" w:name="_Toc152042364"/>
      <w:bookmarkStart w:id="735" w:name="_Toc17088"/>
      <w:bookmarkStart w:id="736" w:name="_Toc144974554"/>
      <w:bookmarkStart w:id="737" w:name="_Toc2000406"/>
      <w:r>
        <w:rPr>
          <w:rFonts w:hint="eastAsia" w:ascii="宋体" w:hAnsi="宋体" w:cs="宋体"/>
          <w:highlight w:val="none"/>
          <w:lang w:eastAsia="zh-CN"/>
        </w:rPr>
        <w:t>评审</w:t>
      </w:r>
      <w:r>
        <w:rPr>
          <w:rFonts w:hint="eastAsia" w:ascii="宋体" w:hAnsi="宋体" w:cs="宋体"/>
          <w:highlight w:val="none"/>
        </w:rPr>
        <w:t>办法（</w:t>
      </w:r>
      <w:r>
        <w:rPr>
          <w:rFonts w:hint="eastAsia" w:ascii="宋体" w:hAnsi="宋体" w:cs="宋体"/>
          <w:highlight w:val="none"/>
          <w:lang w:val="en-US" w:eastAsia="zh-CN"/>
        </w:rPr>
        <w:t>综合评估法</w:t>
      </w:r>
      <w:r>
        <w:rPr>
          <w:rFonts w:hint="eastAsia" w:ascii="宋体" w:hAnsi="宋体" w:cs="宋体"/>
          <w:highlight w:val="none"/>
        </w:rPr>
        <w:t>）</w:t>
      </w:r>
      <w:bookmarkEnd w:id="728"/>
      <w:bookmarkEnd w:id="729"/>
      <w:bookmarkEnd w:id="730"/>
      <w:bookmarkEnd w:id="731"/>
      <w:bookmarkEnd w:id="732"/>
      <w:bookmarkEnd w:id="733"/>
      <w:bookmarkEnd w:id="734"/>
      <w:bookmarkEnd w:id="735"/>
      <w:bookmarkEnd w:id="736"/>
      <w:bookmarkEnd w:id="737"/>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1"/>
        <w:rPr>
          <w:rFonts w:ascii="宋体" w:hAnsi="宋体"/>
          <w:b/>
          <w:color w:val="auto"/>
          <w:sz w:val="21"/>
          <w:szCs w:val="21"/>
          <w:highlight w:val="none"/>
        </w:rPr>
      </w:pPr>
      <w:bookmarkStart w:id="738" w:name="_Toc21591"/>
      <w:bookmarkStart w:id="739" w:name="_Toc4500"/>
      <w:bookmarkStart w:id="740" w:name="_Toc2436"/>
      <w:bookmarkStart w:id="741" w:name="_Toc15986"/>
      <w:r>
        <w:rPr>
          <w:rFonts w:hint="eastAsia" w:ascii="宋体" w:hAnsi="宋体"/>
          <w:b/>
          <w:color w:val="auto"/>
          <w:sz w:val="21"/>
          <w:szCs w:val="21"/>
          <w:highlight w:val="none"/>
          <w:lang w:eastAsia="zh-CN"/>
        </w:rPr>
        <w:t>评审</w:t>
      </w:r>
      <w:r>
        <w:rPr>
          <w:rFonts w:hint="eastAsia" w:ascii="宋体" w:hAnsi="宋体"/>
          <w:b/>
          <w:color w:val="auto"/>
          <w:sz w:val="21"/>
          <w:szCs w:val="21"/>
          <w:highlight w:val="none"/>
        </w:rPr>
        <w:t>办法前附表</w:t>
      </w:r>
      <w:bookmarkEnd w:id="738"/>
      <w:bookmarkEnd w:id="739"/>
      <w:bookmarkEnd w:id="740"/>
      <w:bookmarkEnd w:id="74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评审</w:t>
      </w:r>
      <w:r>
        <w:rPr>
          <w:rFonts w:hint="eastAsia" w:ascii="宋体" w:hAnsi="宋体" w:cs="宋体"/>
          <w:color w:val="auto"/>
          <w:sz w:val="21"/>
          <w:szCs w:val="21"/>
          <w:highlight w:val="none"/>
        </w:rPr>
        <w:t>办法前附表与正文不一致的地方以</w:t>
      </w:r>
      <w:r>
        <w:rPr>
          <w:rFonts w:hint="eastAsia" w:ascii="宋体" w:hAnsi="宋体" w:cs="宋体"/>
          <w:color w:val="auto"/>
          <w:sz w:val="21"/>
          <w:szCs w:val="21"/>
          <w:highlight w:val="none"/>
          <w:lang w:eastAsia="zh-CN"/>
        </w:rPr>
        <w:t>评审</w:t>
      </w:r>
      <w:r>
        <w:rPr>
          <w:rFonts w:hint="eastAsia" w:ascii="宋体" w:hAnsi="宋体" w:cs="宋体"/>
          <w:color w:val="auto"/>
          <w:sz w:val="21"/>
          <w:szCs w:val="21"/>
          <w:highlight w:val="none"/>
        </w:rPr>
        <w:t>办法前附表为准。</w:t>
      </w:r>
    </w:p>
    <w:tbl>
      <w:tblPr>
        <w:tblStyle w:val="4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3"/>
        <w:gridCol w:w="1135"/>
        <w:gridCol w:w="1641"/>
        <w:gridCol w:w="5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jc w:val="center"/>
        </w:trPr>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条款号</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评审因素</w:t>
            </w:r>
          </w:p>
        </w:tc>
        <w:tc>
          <w:tcPr>
            <w:tcW w:w="72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b/>
                <w:color w:val="auto"/>
                <w:kern w:val="0"/>
                <w:sz w:val="21"/>
                <w:szCs w:val="21"/>
                <w:highlight w:val="none"/>
              </w:rPr>
            </w:pPr>
            <w:r>
              <w:rPr>
                <w:rFonts w:hint="default" w:ascii="Times New Roman" w:hAnsi="Times New Roman" w:cs="Times New Roman" w:eastAsiaTheme="minorEastAsia"/>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1</w:t>
            </w:r>
          </w:p>
        </w:tc>
        <w:tc>
          <w:tcPr>
            <w:tcW w:w="113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color w:val="auto"/>
                <w:kern w:val="0"/>
                <w:sz w:val="21"/>
                <w:szCs w:val="21"/>
                <w:highlight w:val="none"/>
                <w:lang w:eastAsia="zh-CN"/>
              </w:rPr>
              <w:t>评审</w:t>
            </w:r>
            <w:r>
              <w:rPr>
                <w:rFonts w:hint="default" w:ascii="Times New Roman" w:hAnsi="Times New Roman" w:cs="Times New Roman" w:eastAsiaTheme="minorEastAsia"/>
                <w:color w:val="auto"/>
                <w:kern w:val="0"/>
                <w:sz w:val="21"/>
                <w:szCs w:val="21"/>
                <w:highlight w:val="none"/>
              </w:rPr>
              <w:t>方法</w:t>
            </w:r>
          </w:p>
        </w:tc>
        <w:tc>
          <w:tcPr>
            <w:tcW w:w="72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default"/>
                <w:color w:val="auto"/>
                <w:highlight w:val="none"/>
              </w:rPr>
            </w:pPr>
            <w:r>
              <w:rPr>
                <w:rFonts w:hint="default"/>
                <w:color w:val="auto"/>
                <w:highlight w:val="none"/>
              </w:rPr>
              <w:t>本次评审采用综合评估法。评审委员会按照本章第2.2款规定的评分标准进行打分，按得分由高到低顺序推荐</w:t>
            </w:r>
            <w:r>
              <w:rPr>
                <w:rFonts w:hint="eastAsia"/>
                <w:color w:val="auto"/>
                <w:highlight w:val="none"/>
                <w:u w:val="single"/>
                <w:lang w:val="en-US" w:eastAsia="zh-CN"/>
              </w:rPr>
              <w:t>2名</w:t>
            </w:r>
            <w:r>
              <w:rPr>
                <w:rFonts w:hint="default"/>
                <w:color w:val="auto"/>
                <w:highlight w:val="none"/>
              </w:rPr>
              <w:t>中选候选人。若出现综合评分相等时，以技术部分得分高的优先；技术部分得分也相等的，</w:t>
            </w:r>
            <w:r>
              <w:rPr>
                <w:rFonts w:hint="eastAsia"/>
                <w:color w:val="auto"/>
                <w:highlight w:val="none"/>
                <w:lang w:val="en-US" w:eastAsia="zh-CN"/>
              </w:rPr>
              <w:t>以商务部分得分高的优先；均相等的以免交</w:t>
            </w:r>
            <w:r>
              <w:rPr>
                <w:rFonts w:hint="eastAsia" w:hAnsi="宋体"/>
                <w:snapToGrid w:val="0"/>
                <w:color w:val="auto"/>
                <w:kern w:val="0"/>
                <w:szCs w:val="21"/>
                <w:highlight w:val="none"/>
              </w:rPr>
              <w:t>免交投标担保及履约担保</w:t>
            </w:r>
            <w:r>
              <w:rPr>
                <w:rFonts w:hint="eastAsia" w:hAnsi="宋体"/>
                <w:snapToGrid w:val="0"/>
                <w:color w:val="auto"/>
                <w:kern w:val="0"/>
                <w:szCs w:val="21"/>
                <w:highlight w:val="none"/>
                <w:lang w:val="en-US" w:eastAsia="zh-CN"/>
              </w:rPr>
              <w:t>的单位优先，若均为免交单位，则以评标委员会投标确定</w:t>
            </w:r>
            <w:r>
              <w:rPr>
                <w:rFonts w:hint="eastAsia" w:hAnsi="宋体"/>
                <w:snapToGrid w:val="0"/>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2.1.1</w:t>
            </w:r>
          </w:p>
        </w:tc>
        <w:tc>
          <w:tcPr>
            <w:tcW w:w="113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资格评审标准</w:t>
            </w: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rPr>
              <w:t>营业执照</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符合第二章“</w:t>
            </w:r>
            <w:r>
              <w:rPr>
                <w:rFonts w:hint="eastAsia" w:cs="Times New Roman" w:eastAsiaTheme="minorEastAsia"/>
                <w:color w:val="auto"/>
                <w:kern w:val="0"/>
                <w:sz w:val="21"/>
                <w:szCs w:val="21"/>
                <w:highlight w:val="none"/>
                <w:lang w:eastAsia="zh-CN"/>
              </w:rPr>
              <w:t>报价人须知前附表</w:t>
            </w:r>
            <w:r>
              <w:rPr>
                <w:rFonts w:hint="default" w:ascii="Times New Roman" w:hAnsi="Times New Roman" w:cs="Times New Roman" w:eastAsiaTheme="minorEastAsia"/>
                <w:color w:val="auto"/>
                <w:kern w:val="0"/>
                <w:sz w:val="21"/>
                <w:szCs w:val="21"/>
                <w:highlight w:val="none"/>
              </w:rPr>
              <w:t>”第</w:t>
            </w:r>
            <w:r>
              <w:rPr>
                <w:rFonts w:hint="eastAsia" w:ascii="宋体" w:hAnsi="宋体" w:cs="宋体"/>
                <w:szCs w:val="21"/>
                <w:highlight w:val="none"/>
              </w:rPr>
              <w:t>7</w:t>
            </w:r>
            <w:r>
              <w:rPr>
                <w:rFonts w:hint="default" w:ascii="Times New Roman" w:hAnsi="Times New Roman" w:cs="Times New Roman" w:eastAsiaTheme="minorEastAsia"/>
                <w:color w:val="auto"/>
                <w:kern w:val="0"/>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eastAsia"/>
                <w:highlight w:val="none"/>
                <w:lang w:val="en-US" w:eastAsia="zh-CN"/>
              </w:rPr>
              <w:t>人员要求</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符合第二章“</w:t>
            </w:r>
            <w:r>
              <w:rPr>
                <w:rFonts w:hint="eastAsia" w:cs="Times New Roman" w:eastAsiaTheme="minorEastAsia"/>
                <w:color w:val="auto"/>
                <w:kern w:val="0"/>
                <w:sz w:val="21"/>
                <w:szCs w:val="21"/>
                <w:highlight w:val="none"/>
                <w:lang w:eastAsia="zh-CN"/>
              </w:rPr>
              <w:t>报价人须知前附表</w:t>
            </w:r>
            <w:r>
              <w:rPr>
                <w:rFonts w:hint="default" w:ascii="Times New Roman" w:hAnsi="Times New Roman" w:cs="Times New Roman" w:eastAsiaTheme="minorEastAsia"/>
                <w:color w:val="auto"/>
                <w:kern w:val="0"/>
                <w:sz w:val="21"/>
                <w:szCs w:val="21"/>
                <w:highlight w:val="none"/>
              </w:rPr>
              <w:t>”第</w:t>
            </w:r>
            <w:r>
              <w:rPr>
                <w:rFonts w:hint="eastAsia" w:ascii="宋体" w:hAnsi="宋体" w:cs="宋体"/>
                <w:szCs w:val="21"/>
                <w:highlight w:val="none"/>
              </w:rPr>
              <w:t>7</w:t>
            </w:r>
            <w:r>
              <w:rPr>
                <w:rFonts w:hint="default" w:ascii="Times New Roman" w:hAnsi="Times New Roman" w:cs="Times New Roman" w:eastAsiaTheme="minorEastAsia"/>
                <w:color w:val="auto"/>
                <w:kern w:val="0"/>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lang w:val="en-US" w:eastAsia="zh-CN"/>
              </w:rPr>
              <w:t>证书要求</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符合第二章“</w:t>
            </w:r>
            <w:r>
              <w:rPr>
                <w:rFonts w:hint="eastAsia" w:cs="Times New Roman" w:eastAsiaTheme="minorEastAsia"/>
                <w:color w:val="auto"/>
                <w:kern w:val="0"/>
                <w:sz w:val="21"/>
                <w:szCs w:val="21"/>
                <w:highlight w:val="none"/>
                <w:lang w:eastAsia="zh-CN"/>
              </w:rPr>
              <w:t>报价人须知前附表</w:t>
            </w:r>
            <w:r>
              <w:rPr>
                <w:rFonts w:hint="default" w:ascii="Times New Roman" w:hAnsi="Times New Roman" w:cs="Times New Roman" w:eastAsiaTheme="minorEastAsia"/>
                <w:color w:val="auto"/>
                <w:kern w:val="0"/>
                <w:sz w:val="21"/>
                <w:szCs w:val="21"/>
                <w:highlight w:val="none"/>
              </w:rPr>
              <w:t>”第</w:t>
            </w:r>
            <w:r>
              <w:rPr>
                <w:rFonts w:hint="eastAsia" w:ascii="宋体" w:hAnsi="宋体" w:cs="宋体"/>
                <w:szCs w:val="21"/>
                <w:highlight w:val="none"/>
              </w:rPr>
              <w:t>7</w:t>
            </w:r>
            <w:r>
              <w:rPr>
                <w:rFonts w:hint="default" w:ascii="Times New Roman" w:hAnsi="Times New Roman" w:cs="Times New Roman" w:eastAsiaTheme="minorEastAsia"/>
                <w:color w:val="auto"/>
                <w:kern w:val="0"/>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业绩要求</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符合第二章“</w:t>
            </w:r>
            <w:r>
              <w:rPr>
                <w:rFonts w:hint="eastAsia" w:cs="Times New Roman" w:eastAsiaTheme="minorEastAsia"/>
                <w:color w:val="auto"/>
                <w:kern w:val="0"/>
                <w:sz w:val="21"/>
                <w:szCs w:val="21"/>
                <w:highlight w:val="none"/>
                <w:lang w:eastAsia="zh-CN"/>
              </w:rPr>
              <w:t>报价人须知前附表</w:t>
            </w:r>
            <w:r>
              <w:rPr>
                <w:rFonts w:hint="default" w:ascii="Times New Roman" w:hAnsi="Times New Roman" w:cs="Times New Roman" w:eastAsiaTheme="minorEastAsia"/>
                <w:color w:val="auto"/>
                <w:kern w:val="0"/>
                <w:sz w:val="21"/>
                <w:szCs w:val="21"/>
                <w:highlight w:val="none"/>
              </w:rPr>
              <w:t>”第</w:t>
            </w:r>
            <w:r>
              <w:rPr>
                <w:rFonts w:hint="eastAsia" w:ascii="宋体" w:hAnsi="宋体" w:cs="宋体"/>
                <w:szCs w:val="21"/>
                <w:highlight w:val="none"/>
              </w:rPr>
              <w:t>7</w:t>
            </w:r>
            <w:r>
              <w:rPr>
                <w:rFonts w:hint="default" w:ascii="Times New Roman" w:hAnsi="Times New Roman" w:cs="Times New Roman" w:eastAsiaTheme="minorEastAsia"/>
                <w:color w:val="auto"/>
                <w:kern w:val="0"/>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信誉要求</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符合第二章“</w:t>
            </w:r>
            <w:r>
              <w:rPr>
                <w:rFonts w:hint="eastAsia" w:cs="Times New Roman" w:eastAsiaTheme="minorEastAsia"/>
                <w:color w:val="auto"/>
                <w:kern w:val="0"/>
                <w:sz w:val="21"/>
                <w:szCs w:val="21"/>
                <w:highlight w:val="none"/>
                <w:lang w:eastAsia="zh-CN"/>
              </w:rPr>
              <w:t>报价人须知前附表</w:t>
            </w:r>
            <w:r>
              <w:rPr>
                <w:rFonts w:hint="default" w:ascii="Times New Roman" w:hAnsi="Times New Roman" w:cs="Times New Roman" w:eastAsiaTheme="minorEastAsia"/>
                <w:color w:val="auto"/>
                <w:kern w:val="0"/>
                <w:sz w:val="21"/>
                <w:szCs w:val="21"/>
                <w:highlight w:val="none"/>
              </w:rPr>
              <w:t>”第</w:t>
            </w:r>
            <w:r>
              <w:rPr>
                <w:rFonts w:hint="eastAsia" w:ascii="宋体" w:hAnsi="宋体" w:cs="宋体"/>
                <w:szCs w:val="21"/>
                <w:highlight w:val="none"/>
              </w:rPr>
              <w:t>7</w:t>
            </w:r>
            <w:r>
              <w:rPr>
                <w:rFonts w:hint="default" w:ascii="Times New Roman" w:hAnsi="Times New Roman" w:cs="Times New Roman" w:eastAsiaTheme="minorEastAsia"/>
                <w:color w:val="auto"/>
                <w:kern w:val="0"/>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snapToGrid w:val="0"/>
                <w:color w:val="auto"/>
                <w:kern w:val="0"/>
                <w:sz w:val="21"/>
                <w:szCs w:val="21"/>
                <w:highlight w:val="none"/>
              </w:rPr>
              <w:t>2.1.2</w:t>
            </w:r>
          </w:p>
        </w:tc>
        <w:tc>
          <w:tcPr>
            <w:tcW w:w="113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snapToGrid w:val="0"/>
                <w:color w:val="auto"/>
                <w:kern w:val="0"/>
                <w:sz w:val="21"/>
                <w:szCs w:val="21"/>
                <w:highlight w:val="none"/>
              </w:rPr>
              <w:t>形式评审标准</w:t>
            </w: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eastAsia" w:cs="Times New Roman" w:eastAsiaTheme="minorEastAsia"/>
                <w:color w:val="auto"/>
                <w:kern w:val="0"/>
                <w:sz w:val="21"/>
                <w:szCs w:val="21"/>
                <w:highlight w:val="none"/>
                <w:lang w:eastAsia="zh-CN"/>
              </w:rPr>
              <w:t>报价人</w:t>
            </w:r>
            <w:r>
              <w:rPr>
                <w:rFonts w:hint="default" w:ascii="Times New Roman" w:hAnsi="Times New Roman" w:cs="Times New Roman" w:eastAsiaTheme="minorEastAsia"/>
                <w:color w:val="auto"/>
                <w:kern w:val="0"/>
                <w:sz w:val="21"/>
                <w:szCs w:val="21"/>
                <w:highlight w:val="none"/>
              </w:rPr>
              <w:t>名称</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与</w:t>
            </w:r>
            <w:r>
              <w:rPr>
                <w:rFonts w:hint="default" w:ascii="Times New Roman" w:hAnsi="Times New Roman" w:cs="Times New Roman" w:eastAsiaTheme="minorEastAsia"/>
                <w:color w:val="auto"/>
                <w:kern w:val="0"/>
                <w:sz w:val="21"/>
                <w:szCs w:val="21"/>
                <w:highlight w:val="none"/>
                <w:lang w:eastAsia="zh-CN"/>
              </w:rPr>
              <w:t>资质证书及</w:t>
            </w:r>
            <w:r>
              <w:rPr>
                <w:rFonts w:hint="default" w:ascii="Times New Roman" w:hAnsi="Times New Roman" w:cs="Times New Roman" w:eastAsiaTheme="minorEastAsia"/>
                <w:color w:val="auto"/>
                <w:kern w:val="0"/>
                <w:sz w:val="21"/>
                <w:szCs w:val="21"/>
                <w:highlight w:val="none"/>
              </w:rPr>
              <w:t>营业执照一致，依法变更名称的应提交相应证明材料。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eastAsia" w:cs="Times New Roman" w:eastAsiaTheme="minorEastAsia"/>
                <w:snapToGrid w:val="0"/>
                <w:color w:val="auto"/>
                <w:kern w:val="0"/>
                <w:sz w:val="21"/>
                <w:szCs w:val="21"/>
                <w:highlight w:val="none"/>
                <w:lang w:eastAsia="zh-CN"/>
              </w:rPr>
              <w:t>比选函</w:t>
            </w:r>
            <w:r>
              <w:rPr>
                <w:rFonts w:hint="default" w:ascii="Times New Roman" w:hAnsi="Times New Roman" w:cs="Times New Roman" w:eastAsiaTheme="minorEastAsia"/>
                <w:snapToGrid w:val="0"/>
                <w:color w:val="auto"/>
                <w:kern w:val="0"/>
                <w:sz w:val="21"/>
                <w:szCs w:val="21"/>
                <w:highlight w:val="none"/>
              </w:rPr>
              <w:t>签名盖章</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eastAsia" w:cs="Times New Roman" w:eastAsiaTheme="minorEastAsia"/>
                <w:color w:val="auto"/>
                <w:kern w:val="0"/>
                <w:sz w:val="21"/>
                <w:szCs w:val="21"/>
                <w:highlight w:val="none"/>
                <w:lang w:eastAsia="zh-CN"/>
              </w:rPr>
              <w:t>比选函</w:t>
            </w:r>
            <w:r>
              <w:rPr>
                <w:rFonts w:hint="default" w:ascii="Times New Roman" w:hAnsi="Times New Roman" w:cs="Times New Roman" w:eastAsiaTheme="minorEastAsia"/>
                <w:color w:val="auto"/>
                <w:kern w:val="0"/>
                <w:sz w:val="21"/>
                <w:szCs w:val="21"/>
                <w:highlight w:val="none"/>
              </w:rPr>
              <w:t>格式规定签名、盖章的位置有法定代表人或其委托代理人签名（或盖章）、加盖单位法人章。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eastAsia" w:cs="Times New Roman" w:eastAsiaTheme="minorEastAsia"/>
                <w:color w:val="auto"/>
                <w:kern w:val="0"/>
                <w:sz w:val="21"/>
                <w:szCs w:val="21"/>
                <w:highlight w:val="none"/>
                <w:lang w:eastAsia="zh-CN"/>
              </w:rPr>
              <w:t>比选文件</w:t>
            </w:r>
            <w:r>
              <w:rPr>
                <w:rFonts w:hint="default" w:ascii="Times New Roman" w:hAnsi="Times New Roman" w:cs="Times New Roman" w:eastAsiaTheme="minorEastAsia"/>
                <w:color w:val="auto"/>
                <w:kern w:val="0"/>
                <w:sz w:val="21"/>
                <w:szCs w:val="21"/>
                <w:highlight w:val="none"/>
              </w:rPr>
              <w:t>格式</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符合第二章“</w:t>
            </w:r>
            <w:r>
              <w:rPr>
                <w:rFonts w:hint="eastAsia" w:cs="Times New Roman" w:eastAsiaTheme="minorEastAsia"/>
                <w:color w:val="auto"/>
                <w:kern w:val="0"/>
                <w:sz w:val="21"/>
                <w:szCs w:val="21"/>
                <w:highlight w:val="none"/>
                <w:lang w:eastAsia="zh-CN"/>
              </w:rPr>
              <w:t>报价人</w:t>
            </w:r>
            <w:r>
              <w:rPr>
                <w:rFonts w:hint="default" w:ascii="Times New Roman" w:hAnsi="Times New Roman" w:cs="Times New Roman" w:eastAsiaTheme="minorEastAsia"/>
                <w:color w:val="auto"/>
                <w:kern w:val="0"/>
                <w:sz w:val="21"/>
                <w:szCs w:val="21"/>
                <w:highlight w:val="none"/>
              </w:rPr>
              <w:t>须知”第</w:t>
            </w:r>
            <w:r>
              <w:rPr>
                <w:rFonts w:hint="eastAsia" w:hAnsi="宋体" w:eastAsiaTheme="minorEastAsia"/>
                <w:color w:val="auto"/>
                <w:sz w:val="21"/>
                <w:szCs w:val="21"/>
                <w:highlight w:val="none"/>
                <w:lang w:val="en-US" w:eastAsia="zh-CN"/>
              </w:rPr>
              <w:t>20</w:t>
            </w:r>
            <w:r>
              <w:rPr>
                <w:rFonts w:hint="default" w:ascii="Times New Roman" w:hAnsi="Times New Roman" w:cs="Times New Roman" w:eastAsiaTheme="minorEastAsia"/>
                <w:color w:val="auto"/>
                <w:kern w:val="0"/>
                <w:sz w:val="21"/>
                <w:szCs w:val="21"/>
                <w:highlight w:val="none"/>
              </w:rPr>
              <w:t>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eastAsiaTheme="minorEastAsia"/>
                <w:snapToGrid w:val="0"/>
                <w:color w:val="auto"/>
                <w:kern w:val="0"/>
                <w:sz w:val="21"/>
                <w:szCs w:val="21"/>
                <w:highlight w:val="none"/>
              </w:rPr>
            </w:pPr>
            <w:r>
              <w:rPr>
                <w:highlight w:val="none"/>
              </w:rPr>
              <w:t>报价其它要求</w:t>
            </w:r>
          </w:p>
        </w:tc>
        <w:tc>
          <w:tcPr>
            <w:tcW w:w="556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eastAsiaTheme="minorEastAsia"/>
                <w:color w:val="auto"/>
                <w:kern w:val="0"/>
                <w:sz w:val="21"/>
                <w:szCs w:val="21"/>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eastAsia" w:cs="Times New Roman" w:eastAsiaTheme="minorEastAsia"/>
                <w:snapToGrid w:val="0"/>
                <w:color w:val="auto"/>
                <w:kern w:val="0"/>
                <w:sz w:val="21"/>
                <w:szCs w:val="21"/>
                <w:highlight w:val="none"/>
                <w:lang w:eastAsia="zh-CN"/>
              </w:rPr>
              <w:t>比选文件</w:t>
            </w:r>
            <w:r>
              <w:rPr>
                <w:rFonts w:hint="default" w:ascii="Times New Roman" w:hAnsi="Times New Roman" w:cs="Times New Roman" w:eastAsiaTheme="minorEastAsia"/>
                <w:snapToGrid w:val="0"/>
                <w:color w:val="auto"/>
                <w:kern w:val="0"/>
                <w:sz w:val="21"/>
                <w:szCs w:val="21"/>
                <w:highlight w:val="none"/>
              </w:rPr>
              <w:t>的签署</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第</w:t>
            </w:r>
            <w:r>
              <w:rPr>
                <w:rFonts w:hint="eastAsia" w:cs="Times New Roman" w:eastAsiaTheme="minorEastAsia"/>
                <w:color w:val="auto"/>
                <w:kern w:val="0"/>
                <w:sz w:val="21"/>
                <w:szCs w:val="21"/>
                <w:highlight w:val="none"/>
                <w:lang w:val="en-US" w:eastAsia="zh-CN"/>
              </w:rPr>
              <w:t>八</w:t>
            </w:r>
            <w:r>
              <w:rPr>
                <w:rFonts w:hint="default" w:ascii="Times New Roman" w:hAnsi="Times New Roman" w:cs="Times New Roman" w:eastAsiaTheme="minorEastAsia"/>
                <w:color w:val="auto"/>
                <w:kern w:val="0"/>
                <w:sz w:val="21"/>
                <w:szCs w:val="21"/>
                <w:highlight w:val="none"/>
              </w:rPr>
              <w:t xml:space="preserve">章 </w:t>
            </w:r>
            <w:r>
              <w:rPr>
                <w:rFonts w:hint="eastAsia" w:cs="Times New Roman" w:eastAsiaTheme="minorEastAsia"/>
                <w:color w:val="auto"/>
                <w:kern w:val="0"/>
                <w:sz w:val="21"/>
                <w:szCs w:val="21"/>
                <w:highlight w:val="none"/>
                <w:lang w:eastAsia="zh-CN"/>
              </w:rPr>
              <w:t>比选文件</w:t>
            </w:r>
            <w:r>
              <w:rPr>
                <w:rFonts w:hint="default" w:ascii="Times New Roman" w:hAnsi="Times New Roman" w:cs="Times New Roman" w:eastAsiaTheme="minorEastAsia"/>
                <w:color w:val="auto"/>
                <w:kern w:val="0"/>
                <w:sz w:val="21"/>
                <w:szCs w:val="21"/>
                <w:highlight w:val="none"/>
              </w:rPr>
              <w:t>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委托代理人</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eastAsia" w:cs="Times New Roman" w:eastAsiaTheme="minorEastAsia"/>
                <w:color w:val="auto"/>
                <w:kern w:val="0"/>
                <w:sz w:val="21"/>
                <w:szCs w:val="21"/>
                <w:highlight w:val="none"/>
                <w:lang w:eastAsia="zh-CN"/>
              </w:rPr>
              <w:t>报价人</w:t>
            </w:r>
            <w:r>
              <w:rPr>
                <w:rFonts w:hint="default" w:ascii="Times New Roman" w:hAnsi="Times New Roman" w:cs="Times New Roman" w:eastAsiaTheme="minorEastAsia"/>
                <w:color w:val="auto"/>
                <w:kern w:val="0"/>
                <w:sz w:val="21"/>
                <w:szCs w:val="21"/>
                <w:highlight w:val="none"/>
              </w:rPr>
              <w:t>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rPr>
              <w:t>2.1.3</w:t>
            </w:r>
          </w:p>
        </w:tc>
        <w:tc>
          <w:tcPr>
            <w:tcW w:w="113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rPr>
              <w:t>响应性评审标准</w:t>
            </w:r>
          </w:p>
        </w:tc>
        <w:tc>
          <w:tcPr>
            <w:tcW w:w="164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lang w:val="en-US"/>
              </w:rPr>
            </w:pPr>
            <w:r>
              <w:rPr>
                <w:rFonts w:hint="eastAsia" w:cs="Times New Roman" w:eastAsiaTheme="minorEastAsia"/>
                <w:color w:val="auto"/>
                <w:kern w:val="0"/>
                <w:sz w:val="21"/>
                <w:szCs w:val="21"/>
                <w:highlight w:val="none"/>
                <w:lang w:val="en-US" w:eastAsia="zh-CN"/>
              </w:rPr>
              <w:t>采购范围</w:t>
            </w:r>
          </w:p>
        </w:tc>
        <w:tc>
          <w:tcPr>
            <w:tcW w:w="556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符合第二章“</w:t>
            </w:r>
            <w:r>
              <w:rPr>
                <w:rFonts w:hint="eastAsia" w:cs="Times New Roman" w:eastAsiaTheme="minorEastAsia"/>
                <w:color w:val="auto"/>
                <w:kern w:val="0"/>
                <w:sz w:val="21"/>
                <w:szCs w:val="21"/>
                <w:highlight w:val="none"/>
                <w:lang w:eastAsia="zh-CN"/>
              </w:rPr>
              <w:t>报价人须知前附表</w:t>
            </w:r>
            <w:r>
              <w:rPr>
                <w:rFonts w:hint="default" w:ascii="Times New Roman" w:hAnsi="Times New Roman" w:cs="Times New Roman" w:eastAsiaTheme="minorEastAsia"/>
                <w:color w:val="auto"/>
                <w:kern w:val="0"/>
                <w:sz w:val="21"/>
                <w:szCs w:val="21"/>
                <w:highlight w:val="none"/>
              </w:rPr>
              <w:t>”第</w:t>
            </w:r>
            <w:r>
              <w:rPr>
                <w:rFonts w:hint="eastAsia" w:cs="Times New Roman" w:eastAsiaTheme="minorEastAsia"/>
                <w:color w:val="auto"/>
                <w:kern w:val="0"/>
                <w:sz w:val="21"/>
                <w:szCs w:val="21"/>
                <w:highlight w:val="none"/>
                <w:lang w:val="en-US" w:eastAsia="zh-CN"/>
              </w:rPr>
              <w:t>4</w:t>
            </w:r>
            <w:r>
              <w:rPr>
                <w:rFonts w:hint="default" w:ascii="Times New Roman" w:hAnsi="Times New Roman" w:cs="Times New Roman" w:eastAsiaTheme="minorEastAsia"/>
                <w:color w:val="auto"/>
                <w:kern w:val="0"/>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64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eastAsia" w:ascii="Times New Roman" w:hAnsi="Times New Roman" w:cs="Times New Roman" w:eastAsiaTheme="minorEastAsia"/>
                <w:color w:val="auto"/>
                <w:kern w:val="0"/>
                <w:sz w:val="21"/>
                <w:szCs w:val="21"/>
                <w:highlight w:val="none"/>
                <w:lang w:eastAsia="zh-CN"/>
              </w:rPr>
            </w:pPr>
            <w:r>
              <w:rPr>
                <w:rFonts w:hint="eastAsia" w:cs="Times New Roman" w:eastAsiaTheme="minorEastAsia"/>
                <w:color w:val="auto"/>
                <w:kern w:val="0"/>
                <w:sz w:val="21"/>
                <w:szCs w:val="21"/>
                <w:highlight w:val="none"/>
                <w:lang w:val="en-US" w:eastAsia="zh-CN"/>
              </w:rPr>
              <w:t>供货期</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符合第二章“</w:t>
            </w:r>
            <w:r>
              <w:rPr>
                <w:rFonts w:hint="eastAsia" w:cs="Times New Roman" w:eastAsiaTheme="minorEastAsia"/>
                <w:color w:val="auto"/>
                <w:kern w:val="0"/>
                <w:sz w:val="21"/>
                <w:szCs w:val="21"/>
                <w:highlight w:val="none"/>
                <w:lang w:eastAsia="zh-CN"/>
              </w:rPr>
              <w:t>报价人须知前附表</w:t>
            </w:r>
            <w:r>
              <w:rPr>
                <w:rFonts w:hint="default" w:ascii="Times New Roman" w:hAnsi="Times New Roman" w:cs="Times New Roman" w:eastAsiaTheme="minorEastAsia"/>
                <w:color w:val="auto"/>
                <w:kern w:val="0"/>
                <w:sz w:val="21"/>
                <w:szCs w:val="21"/>
                <w:highlight w:val="none"/>
              </w:rPr>
              <w:t>”第</w:t>
            </w:r>
            <w:r>
              <w:rPr>
                <w:rFonts w:hint="eastAsia" w:cs="Times New Roman" w:eastAsiaTheme="minorEastAsia"/>
                <w:color w:val="auto"/>
                <w:kern w:val="0"/>
                <w:sz w:val="21"/>
                <w:szCs w:val="21"/>
                <w:highlight w:val="none"/>
                <w:lang w:val="en-US" w:eastAsia="zh-CN"/>
              </w:rPr>
              <w:t>5</w:t>
            </w:r>
            <w:r>
              <w:rPr>
                <w:rFonts w:hint="default" w:ascii="Times New Roman" w:hAnsi="Times New Roman" w:cs="Times New Roman" w:eastAsiaTheme="minorEastAsia"/>
                <w:color w:val="auto"/>
                <w:kern w:val="0"/>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64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权利义务</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after="62" w:afterLines="20"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符合第四章“合同条款及格式”规定，</w:t>
            </w:r>
            <w:r>
              <w:rPr>
                <w:rFonts w:hint="eastAsia" w:cs="Times New Roman" w:eastAsiaTheme="minorEastAsia"/>
                <w:color w:val="auto"/>
                <w:kern w:val="0"/>
                <w:sz w:val="21"/>
                <w:szCs w:val="21"/>
                <w:highlight w:val="none"/>
                <w:lang w:eastAsia="zh-CN"/>
              </w:rPr>
              <w:t>比选文件</w:t>
            </w:r>
            <w:r>
              <w:rPr>
                <w:rFonts w:hint="default" w:ascii="Times New Roman" w:hAnsi="Times New Roman" w:cs="Times New Roman" w:eastAsiaTheme="minorEastAsia"/>
                <w:color w:val="auto"/>
                <w:kern w:val="0"/>
                <w:sz w:val="21"/>
                <w:szCs w:val="21"/>
                <w:highlight w:val="none"/>
              </w:rPr>
              <w:t>不应附有比选人不能接受的条件。（由</w:t>
            </w:r>
            <w:r>
              <w:rPr>
                <w:rFonts w:hint="eastAsia" w:cs="Times New Roman" w:eastAsiaTheme="minorEastAsia"/>
                <w:color w:val="auto"/>
                <w:kern w:val="0"/>
                <w:sz w:val="21"/>
                <w:szCs w:val="21"/>
                <w:highlight w:val="none"/>
                <w:lang w:eastAsia="zh-CN"/>
              </w:rPr>
              <w:t>报价人</w:t>
            </w:r>
            <w:r>
              <w:rPr>
                <w:rFonts w:hint="default" w:ascii="Times New Roman" w:hAnsi="Times New Roman" w:cs="Times New Roman" w:eastAsiaTheme="minorEastAsia"/>
                <w:color w:val="auto"/>
                <w:kern w:val="0"/>
                <w:sz w:val="21"/>
                <w:szCs w:val="21"/>
                <w:highlight w:val="none"/>
              </w:rPr>
              <w:t>承诺，承诺书格式详见第六章</w:t>
            </w:r>
            <w:r>
              <w:rPr>
                <w:rFonts w:hint="eastAsia" w:cs="Times New Roman" w:eastAsiaTheme="minorEastAsia"/>
                <w:color w:val="auto"/>
                <w:kern w:val="0"/>
                <w:sz w:val="21"/>
                <w:szCs w:val="21"/>
                <w:highlight w:val="none"/>
                <w:lang w:eastAsia="zh-CN"/>
              </w:rPr>
              <w:t>比选文件</w:t>
            </w:r>
            <w:r>
              <w:rPr>
                <w:rFonts w:hint="default" w:ascii="Times New Roman" w:hAnsi="Times New Roman" w:cs="Times New Roman" w:eastAsiaTheme="minorEastAsia"/>
                <w:color w:val="auto"/>
                <w:kern w:val="0"/>
                <w:sz w:val="21"/>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64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eastAsia" w:cs="Times New Roman" w:eastAsiaTheme="minorEastAsia"/>
                <w:color w:val="auto"/>
                <w:kern w:val="0"/>
                <w:sz w:val="21"/>
                <w:szCs w:val="21"/>
                <w:highlight w:val="none"/>
                <w:lang w:eastAsia="zh-CN"/>
              </w:rPr>
              <w:t>比选</w:t>
            </w:r>
            <w:r>
              <w:rPr>
                <w:rFonts w:hint="default" w:ascii="Times New Roman" w:hAnsi="Times New Roman" w:cs="Times New Roman" w:eastAsiaTheme="minorEastAsia"/>
                <w:color w:val="auto"/>
                <w:kern w:val="0"/>
                <w:sz w:val="21"/>
                <w:szCs w:val="21"/>
                <w:highlight w:val="none"/>
              </w:rPr>
              <w:t>报价</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eastAsia" w:cs="Times New Roman" w:eastAsiaTheme="minorEastAsia"/>
                <w:color w:val="auto"/>
                <w:kern w:val="0"/>
                <w:sz w:val="21"/>
                <w:szCs w:val="21"/>
                <w:highlight w:val="none"/>
                <w:lang w:eastAsia="zh-CN"/>
              </w:rPr>
              <w:t>报价人</w:t>
            </w:r>
            <w:r>
              <w:rPr>
                <w:rFonts w:hint="default" w:ascii="Times New Roman" w:hAnsi="Times New Roman" w:cs="Times New Roman" w:eastAsiaTheme="minorEastAsia"/>
                <w:color w:val="auto"/>
                <w:kern w:val="0"/>
                <w:sz w:val="21"/>
                <w:szCs w:val="21"/>
                <w:highlight w:val="none"/>
              </w:rPr>
              <w:t>报价不得超过比选人发布的最高限价和各分项限价，否则</w:t>
            </w:r>
            <w:r>
              <w:rPr>
                <w:rFonts w:hint="eastAsia" w:ascii="Times New Roman" w:hAnsi="Times New Roman" w:cs="Times New Roman" w:eastAsiaTheme="minorEastAsia"/>
                <w:color w:val="auto"/>
                <w:kern w:val="0"/>
                <w:sz w:val="21"/>
                <w:szCs w:val="21"/>
                <w:highlight w:val="none"/>
                <w:lang w:eastAsia="zh-CN"/>
              </w:rPr>
              <w:t>评审</w:t>
            </w:r>
            <w:r>
              <w:rPr>
                <w:rFonts w:hint="default" w:ascii="Times New Roman" w:hAnsi="Times New Roman" w:cs="Times New Roman" w:eastAsiaTheme="minorEastAsia"/>
                <w:color w:val="auto"/>
                <w:kern w:val="0"/>
                <w:sz w:val="21"/>
                <w:szCs w:val="21"/>
                <w:highlight w:val="none"/>
              </w:rPr>
              <w:t>委员会将按否决</w:t>
            </w:r>
            <w:r>
              <w:rPr>
                <w:rFonts w:hint="eastAsia" w:cs="Times New Roman" w:eastAsiaTheme="minorEastAsia"/>
                <w:color w:val="auto"/>
                <w:kern w:val="0"/>
                <w:sz w:val="21"/>
                <w:szCs w:val="21"/>
                <w:highlight w:val="none"/>
                <w:lang w:eastAsia="zh-CN"/>
              </w:rPr>
              <w:t>比选</w:t>
            </w:r>
            <w:r>
              <w:rPr>
                <w:rFonts w:hint="default" w:ascii="Times New Roman" w:hAnsi="Times New Roman" w:cs="Times New Roman" w:eastAsiaTheme="minorEastAsia"/>
                <w:color w:val="auto"/>
                <w:kern w:val="0"/>
                <w:sz w:val="21"/>
                <w:szCs w:val="21"/>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64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snapToGrid w:val="0"/>
                <w:color w:val="auto"/>
                <w:kern w:val="0"/>
                <w:sz w:val="21"/>
                <w:szCs w:val="21"/>
                <w:highlight w:val="none"/>
              </w:rPr>
            </w:pPr>
            <w:r>
              <w:rPr>
                <w:rFonts w:hint="default" w:ascii="Times New Roman" w:hAnsi="Times New Roman" w:cs="Times New Roman" w:eastAsiaTheme="minorEastAsia"/>
                <w:snapToGrid w:val="0"/>
                <w:color w:val="auto"/>
                <w:kern w:val="0"/>
                <w:sz w:val="21"/>
                <w:szCs w:val="21"/>
                <w:highlight w:val="none"/>
              </w:rPr>
              <w:t>报价唯一</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64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质量要求</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符合第二章“</w:t>
            </w:r>
            <w:r>
              <w:rPr>
                <w:rFonts w:hint="eastAsia" w:cs="Times New Roman" w:eastAsiaTheme="minorEastAsia"/>
                <w:color w:val="auto"/>
                <w:kern w:val="0"/>
                <w:sz w:val="21"/>
                <w:szCs w:val="21"/>
                <w:highlight w:val="none"/>
                <w:lang w:eastAsia="zh-CN"/>
              </w:rPr>
              <w:t>报价人须知前附表</w:t>
            </w:r>
            <w:r>
              <w:rPr>
                <w:rFonts w:hint="default" w:ascii="Times New Roman" w:hAnsi="Times New Roman" w:cs="Times New Roman" w:eastAsiaTheme="minorEastAsia"/>
                <w:color w:val="auto"/>
                <w:kern w:val="0"/>
                <w:sz w:val="21"/>
                <w:szCs w:val="21"/>
                <w:highlight w:val="none"/>
              </w:rPr>
              <w:t>”第</w:t>
            </w:r>
            <w:r>
              <w:rPr>
                <w:rFonts w:hint="eastAsia" w:cs="Times New Roman" w:eastAsiaTheme="minorEastAsia"/>
                <w:color w:val="auto"/>
                <w:kern w:val="0"/>
                <w:sz w:val="21"/>
                <w:szCs w:val="21"/>
                <w:highlight w:val="none"/>
                <w:lang w:val="en-US" w:eastAsia="zh-CN"/>
              </w:rPr>
              <w:t>6</w:t>
            </w:r>
            <w:r>
              <w:rPr>
                <w:rFonts w:hint="default" w:ascii="Times New Roman" w:hAnsi="Times New Roman" w:cs="Times New Roman" w:eastAsiaTheme="minorEastAsia"/>
                <w:color w:val="auto"/>
                <w:kern w:val="0"/>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2.2.1</w:t>
            </w:r>
          </w:p>
        </w:tc>
        <w:tc>
          <w:tcPr>
            <w:tcW w:w="2776" w:type="dxa"/>
            <w:gridSpan w:val="2"/>
            <w:tcBorders>
              <w:bottom w:val="single" w:color="auto" w:sz="4" w:space="0"/>
            </w:tcBorders>
            <w:vAlign w:val="center"/>
          </w:tcPr>
          <w:p>
            <w:pPr>
              <w:keepNext w:val="0"/>
              <w:keepLines w:val="0"/>
              <w:pageBreakBefore w:val="0"/>
              <w:widowControl w:val="0"/>
              <w:tabs>
                <w:tab w:val="left" w:pos="1875"/>
              </w:tabs>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rPr>
              <w:t>分值构成</w:t>
            </w:r>
            <w:r>
              <w:rPr>
                <w:rFonts w:hint="eastAsia" w:ascii="Times New Roman" w:hAnsi="Times New Roman" w:cs="Times New Roman" w:eastAsiaTheme="minorEastAsia"/>
                <w:color w:val="auto"/>
                <w:kern w:val="0"/>
                <w:sz w:val="21"/>
                <w:szCs w:val="21"/>
                <w:highlight w:val="none"/>
                <w:lang w:eastAsia="zh-CN"/>
              </w:rPr>
              <w:t>（</w:t>
            </w:r>
            <w:r>
              <w:rPr>
                <w:rFonts w:hint="default" w:ascii="Times New Roman" w:hAnsi="Times New Roman" w:cs="Times New Roman" w:eastAsiaTheme="minorEastAsia"/>
                <w:color w:val="auto"/>
                <w:kern w:val="0"/>
                <w:sz w:val="21"/>
                <w:szCs w:val="21"/>
                <w:highlight w:val="none"/>
              </w:rPr>
              <w:t>总分</w:t>
            </w:r>
            <w:r>
              <w:rPr>
                <w:rFonts w:hint="eastAsia" w:ascii="Times New Roman" w:hAnsi="Times New Roman" w:cs="Times New Roman" w:eastAsiaTheme="minorEastAsia"/>
                <w:color w:val="auto"/>
                <w:kern w:val="0"/>
                <w:sz w:val="21"/>
                <w:szCs w:val="21"/>
                <w:highlight w:val="none"/>
                <w:lang w:val="en-US" w:eastAsia="zh-CN"/>
              </w:rPr>
              <w:t>100</w:t>
            </w:r>
            <w:r>
              <w:rPr>
                <w:rFonts w:hint="default" w:ascii="Times New Roman" w:hAnsi="Times New Roman" w:cs="Times New Roman" w:eastAsiaTheme="minorEastAsia"/>
                <w:color w:val="auto"/>
                <w:kern w:val="0"/>
                <w:sz w:val="21"/>
                <w:szCs w:val="21"/>
                <w:highlight w:val="none"/>
              </w:rPr>
              <w:t>分)</w:t>
            </w:r>
          </w:p>
        </w:tc>
        <w:tc>
          <w:tcPr>
            <w:tcW w:w="5562"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1.报价</w:t>
            </w:r>
            <w:r>
              <w:rPr>
                <w:rFonts w:hint="eastAsia" w:cs="Times New Roman" w:eastAsiaTheme="minorEastAsia"/>
                <w:color w:val="auto"/>
                <w:kern w:val="0"/>
                <w:sz w:val="21"/>
                <w:szCs w:val="21"/>
                <w:highlight w:val="none"/>
                <w:u w:val="single"/>
                <w:lang w:val="en-US" w:eastAsia="zh-CN"/>
              </w:rPr>
              <w:t>7</w:t>
            </w:r>
            <w:r>
              <w:rPr>
                <w:rFonts w:hint="default" w:ascii="Times New Roman" w:hAnsi="Times New Roman" w:cs="Times New Roman" w:eastAsiaTheme="minorEastAsia"/>
                <w:color w:val="auto"/>
                <w:kern w:val="0"/>
                <w:sz w:val="21"/>
                <w:szCs w:val="21"/>
                <w:highlight w:val="none"/>
                <w:u w:val="single"/>
              </w:rPr>
              <w:t>0</w:t>
            </w:r>
            <w:r>
              <w:rPr>
                <w:rFonts w:hint="default" w:ascii="Times New Roman" w:hAnsi="Times New Roman" w:cs="Times New Roman" w:eastAsiaTheme="minorEastAsia"/>
                <w:color w:val="auto"/>
                <w:kern w:val="0"/>
                <w:sz w:val="21"/>
                <w:szCs w:val="21"/>
                <w:highlight w:val="none"/>
              </w:rPr>
              <w:t>分；</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2.商务部分</w:t>
            </w:r>
            <w:r>
              <w:rPr>
                <w:rFonts w:hint="eastAsia" w:cs="Times New Roman" w:eastAsiaTheme="minorEastAsia"/>
                <w:color w:val="auto"/>
                <w:kern w:val="0"/>
                <w:sz w:val="21"/>
                <w:szCs w:val="21"/>
                <w:highlight w:val="none"/>
                <w:u w:val="single"/>
                <w:lang w:val="en-US" w:eastAsia="zh-CN"/>
              </w:rPr>
              <w:t>1</w:t>
            </w:r>
            <w:r>
              <w:rPr>
                <w:rFonts w:hint="default" w:ascii="Times New Roman" w:hAnsi="Times New Roman" w:cs="Times New Roman" w:eastAsiaTheme="minorEastAsia"/>
                <w:color w:val="auto"/>
                <w:kern w:val="0"/>
                <w:sz w:val="21"/>
                <w:szCs w:val="21"/>
                <w:highlight w:val="none"/>
                <w:u w:val="single"/>
              </w:rPr>
              <w:t>0</w:t>
            </w:r>
            <w:r>
              <w:rPr>
                <w:rFonts w:hint="default" w:ascii="Times New Roman" w:hAnsi="Times New Roman" w:cs="Times New Roman" w:eastAsiaTheme="minorEastAsia"/>
                <w:color w:val="auto"/>
                <w:kern w:val="0"/>
                <w:sz w:val="21"/>
                <w:szCs w:val="21"/>
                <w:highlight w:val="none"/>
              </w:rPr>
              <w:t>分；</w:t>
            </w:r>
          </w:p>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rPr>
              <w:t>3.技术部分</w:t>
            </w:r>
            <w:r>
              <w:rPr>
                <w:rFonts w:hint="eastAsia" w:cs="Times New Roman" w:eastAsiaTheme="minorEastAsia"/>
                <w:color w:val="auto"/>
                <w:kern w:val="0"/>
                <w:sz w:val="21"/>
                <w:szCs w:val="21"/>
                <w:highlight w:val="none"/>
                <w:u w:val="single"/>
                <w:lang w:val="en-US" w:eastAsia="zh-CN"/>
              </w:rPr>
              <w:t>2</w:t>
            </w:r>
            <w:r>
              <w:rPr>
                <w:rFonts w:hint="default" w:ascii="Times New Roman" w:hAnsi="Times New Roman" w:cs="Times New Roman" w:eastAsiaTheme="minorEastAsia"/>
                <w:color w:val="auto"/>
                <w:kern w:val="0"/>
                <w:sz w:val="21"/>
                <w:szCs w:val="21"/>
                <w:highlight w:val="none"/>
                <w:u w:val="single"/>
              </w:rPr>
              <w:t>0</w:t>
            </w:r>
            <w:r>
              <w:rPr>
                <w:rFonts w:hint="default" w:ascii="Times New Roman" w:hAnsi="Times New Roman" w:cs="Times New Roman" w:eastAsia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2.2.2</w:t>
            </w:r>
          </w:p>
        </w:tc>
        <w:tc>
          <w:tcPr>
            <w:tcW w:w="11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kern w:val="0"/>
                <w:sz w:val="21"/>
                <w:szCs w:val="21"/>
                <w:highlight w:val="none"/>
                <w:lang w:val="en-US" w:eastAsia="zh-CN" w:bidi="ar"/>
              </w:rPr>
              <w:t>评审基准价计算方法</w:t>
            </w:r>
          </w:p>
        </w:tc>
        <w:tc>
          <w:tcPr>
            <w:tcW w:w="164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rPr>
                <w:rFonts w:hint="default" w:ascii="Times New Roman" w:hAnsi="Times New Roman" w:cs="Times New Roman" w:eastAsiaTheme="minorEastAsia"/>
                <w:color w:val="auto"/>
                <w:kern w:val="0"/>
                <w:sz w:val="21"/>
                <w:szCs w:val="21"/>
                <w:highlight w:val="none"/>
              </w:rPr>
            </w:pPr>
            <w:r>
              <w:rPr>
                <w:rFonts w:hint="eastAsia" w:cs="Times New Roman" w:eastAsiaTheme="minorEastAsia"/>
                <w:color w:val="auto"/>
                <w:kern w:val="0"/>
                <w:sz w:val="21"/>
                <w:szCs w:val="21"/>
                <w:highlight w:val="none"/>
                <w:lang w:eastAsia="zh-CN"/>
              </w:rPr>
              <w:t>比选</w:t>
            </w:r>
            <w:r>
              <w:rPr>
                <w:rFonts w:hint="default" w:ascii="Times New Roman" w:hAnsi="Times New Roman" w:cs="Times New Roman" w:eastAsiaTheme="minorEastAsia"/>
                <w:color w:val="auto"/>
                <w:kern w:val="0"/>
                <w:sz w:val="21"/>
                <w:szCs w:val="21"/>
                <w:highlight w:val="none"/>
              </w:rPr>
              <w:t>总报价</w:t>
            </w:r>
          </w:p>
        </w:tc>
        <w:tc>
          <w:tcPr>
            <w:tcW w:w="5562" w:type="dxa"/>
            <w:vAlign w:val="top"/>
          </w:tcPr>
          <w:p>
            <w:pPr>
              <w:adjustRightInd w:val="0"/>
              <w:snapToGrid w:val="0"/>
              <w:spacing w:line="400" w:lineRule="exact"/>
              <w:ind w:firstLine="420" w:firstLineChars="200"/>
              <w:rPr>
                <w:rFonts w:hint="eastAsia" w:ascii="Times New Roman" w:hAnsi="Times New Roman" w:cs="Times New Roman" w:eastAsiaTheme="minorEastAsia"/>
                <w:snapToGrid w:val="0"/>
                <w:color w:val="auto"/>
                <w:kern w:val="0"/>
                <w:szCs w:val="21"/>
                <w:highlight w:val="none"/>
                <w:lang w:val="en-US" w:eastAsia="zh-CN"/>
              </w:rPr>
            </w:pPr>
            <w:r>
              <w:rPr>
                <w:rFonts w:hint="default" w:ascii="Times New Roman" w:hAnsi="Times New Roman" w:cs="Times New Roman" w:eastAsiaTheme="minorEastAsia"/>
                <w:color w:val="auto"/>
                <w:kern w:val="0"/>
                <w:sz w:val="21"/>
                <w:szCs w:val="21"/>
                <w:highlight w:val="none"/>
              </w:rPr>
              <w:t>在通过初步评审后且不高于最高限价和不低于最高限价85%的报价中去掉六分之一（不能整除的按小数前整数取整，不足六家报价则不去掉）的最低价和相同家数的最高价后的算术平均值为</w:t>
            </w:r>
            <w:r>
              <w:rPr>
                <w:rFonts w:hint="eastAsia" w:cs="Times New Roman" w:eastAsiaTheme="minorEastAsia"/>
                <w:color w:val="auto"/>
                <w:kern w:val="0"/>
                <w:sz w:val="21"/>
                <w:szCs w:val="21"/>
                <w:highlight w:val="none"/>
                <w:lang w:eastAsia="zh-CN"/>
              </w:rPr>
              <w:t>评审</w:t>
            </w:r>
            <w:r>
              <w:rPr>
                <w:rFonts w:hint="default" w:ascii="Times New Roman" w:hAnsi="Times New Roman" w:cs="Times New Roman" w:eastAsiaTheme="minorEastAsia"/>
                <w:color w:val="auto"/>
                <w:kern w:val="0"/>
                <w:sz w:val="21"/>
                <w:szCs w:val="21"/>
                <w:highlight w:val="none"/>
              </w:rPr>
              <w:t>基准价</w:t>
            </w:r>
            <w:r>
              <w:rPr>
                <w:rFonts w:hint="eastAsia" w:cs="Times New Roman" w:eastAsiaTheme="minorEastAsia"/>
                <w:color w:val="auto"/>
                <w:kern w:val="0"/>
                <w:sz w:val="21"/>
                <w:szCs w:val="21"/>
                <w:highlight w:val="none"/>
                <w:lang w:eastAsia="zh-CN"/>
              </w:rPr>
              <w:t>。</w:t>
            </w:r>
          </w:p>
          <w:p>
            <w:pPr>
              <w:autoSpaceDN w:val="0"/>
              <w:adjustRightInd w:val="0"/>
              <w:snapToGri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评审基准价计算的最终结果取小数点后两位，第三位四舍五入。</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snapToGrid w:val="0"/>
                <w:color w:val="auto"/>
                <w:kern w:val="0"/>
                <w:szCs w:val="21"/>
                <w:highlight w:val="none"/>
              </w:rPr>
              <w:t>在评审基准价计算完成后（除计算错误外），在后续的评审中不得再对其作出调整。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2.2.4</w:t>
            </w:r>
          </w:p>
        </w:tc>
        <w:tc>
          <w:tcPr>
            <w:tcW w:w="11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lang w:val="en-US" w:eastAsia="zh-CN" w:bidi="ar"/>
              </w:rPr>
            </w:pPr>
            <w:r>
              <w:rPr>
                <w:rFonts w:hint="default" w:ascii="Times New Roman" w:hAnsi="Times New Roman" w:cs="Times New Roman" w:eastAsiaTheme="minorEastAsia"/>
                <w:snapToGrid w:val="0"/>
                <w:color w:val="auto"/>
                <w:kern w:val="0"/>
                <w:szCs w:val="21"/>
                <w:highlight w:val="none"/>
              </w:rPr>
              <w:t>偏差率计算</w:t>
            </w:r>
          </w:p>
        </w:tc>
        <w:tc>
          <w:tcPr>
            <w:tcW w:w="7203" w:type="dxa"/>
            <w:gridSpan w:val="2"/>
            <w:vAlign w:val="center"/>
          </w:tcPr>
          <w:p>
            <w:pPr>
              <w:autoSpaceDN w:val="0"/>
              <w:adjustRightInd w:val="0"/>
              <w:snapToGrid w:val="0"/>
              <w:spacing w:line="400" w:lineRule="exact"/>
              <w:ind w:firstLine="420" w:firstLineChars="200"/>
              <w:rPr>
                <w:rFonts w:hint="default" w:ascii="Times New Roman" w:hAnsi="Times New Roman" w:cs="Times New Roman" w:eastAsiaTheme="minorEastAsia"/>
                <w:snapToGrid w:val="0"/>
                <w:color w:val="auto"/>
                <w:kern w:val="0"/>
                <w:sz w:val="21"/>
                <w:szCs w:val="21"/>
                <w:highlight w:val="none"/>
              </w:rPr>
            </w:pPr>
            <w:r>
              <w:rPr>
                <w:rFonts w:hint="eastAsia" w:cs="Times New Roman" w:eastAsiaTheme="minorEastAsia"/>
                <w:snapToGrid w:val="0"/>
                <w:color w:val="auto"/>
                <w:kern w:val="0"/>
                <w:sz w:val="21"/>
                <w:szCs w:val="21"/>
                <w:highlight w:val="none"/>
                <w:lang w:eastAsia="zh-CN"/>
              </w:rPr>
              <w:t>比选</w:t>
            </w:r>
            <w:r>
              <w:rPr>
                <w:rFonts w:hint="default" w:ascii="Times New Roman" w:hAnsi="Times New Roman" w:cs="Times New Roman" w:eastAsiaTheme="minorEastAsia"/>
                <w:snapToGrid w:val="0"/>
                <w:color w:val="auto"/>
                <w:kern w:val="0"/>
                <w:sz w:val="21"/>
                <w:szCs w:val="21"/>
                <w:highlight w:val="none"/>
              </w:rPr>
              <w:t>报价的偏差率计算公式</w:t>
            </w:r>
          </w:p>
          <w:p>
            <w:pPr>
              <w:autoSpaceDN w:val="0"/>
              <w:adjustRightInd w:val="0"/>
              <w:snapToGrid w:val="0"/>
              <w:spacing w:line="400" w:lineRule="exact"/>
              <w:ind w:firstLine="420" w:firstLineChars="200"/>
              <w:rPr>
                <w:rFonts w:hint="default" w:ascii="Times New Roman" w:hAnsi="Times New Roman" w:cs="Times New Roman" w:eastAsiaTheme="minorEastAsia"/>
                <w:snapToGrid w:val="0"/>
                <w:color w:val="auto"/>
                <w:kern w:val="0"/>
                <w:sz w:val="21"/>
                <w:szCs w:val="21"/>
                <w:highlight w:val="none"/>
              </w:rPr>
            </w:pPr>
            <w:r>
              <w:rPr>
                <w:rFonts w:hint="default" w:ascii="Times New Roman" w:hAnsi="Times New Roman" w:cs="Times New Roman" w:eastAsiaTheme="minorEastAsia"/>
                <w:snapToGrid w:val="0"/>
                <w:color w:val="auto"/>
                <w:kern w:val="0"/>
                <w:sz w:val="21"/>
                <w:szCs w:val="21"/>
                <w:highlight w:val="none"/>
              </w:rPr>
              <w:t>偏差率=100%×（</w:t>
            </w:r>
            <w:r>
              <w:rPr>
                <w:rFonts w:hint="eastAsia" w:cs="Times New Roman" w:eastAsiaTheme="minorEastAsia"/>
                <w:snapToGrid w:val="0"/>
                <w:color w:val="auto"/>
                <w:kern w:val="0"/>
                <w:sz w:val="21"/>
                <w:szCs w:val="21"/>
                <w:highlight w:val="none"/>
                <w:lang w:eastAsia="zh-CN"/>
              </w:rPr>
              <w:t>报价人比选</w:t>
            </w:r>
            <w:r>
              <w:rPr>
                <w:rFonts w:hint="default" w:ascii="Times New Roman" w:hAnsi="Times New Roman" w:cs="Times New Roman" w:eastAsiaTheme="minorEastAsia"/>
                <w:snapToGrid w:val="0"/>
                <w:color w:val="auto"/>
                <w:kern w:val="0"/>
                <w:sz w:val="21"/>
                <w:szCs w:val="21"/>
                <w:highlight w:val="none"/>
              </w:rPr>
              <w:t>报价-评审基准价）/评审基准价</w:t>
            </w:r>
          </w:p>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jc w:val="both"/>
              <w:rPr>
                <w:rFonts w:hint="default" w:ascii="Times New Roman" w:hAnsi="Times New Roman" w:cs="Times New Roman" w:eastAsiaTheme="minorEastAsia"/>
                <w:b/>
                <w:bCs/>
                <w:color w:val="auto"/>
                <w:kern w:val="0"/>
                <w:sz w:val="21"/>
                <w:szCs w:val="21"/>
                <w:highlight w:val="none"/>
              </w:rPr>
            </w:pPr>
            <w:r>
              <w:rPr>
                <w:rFonts w:hint="default" w:ascii="Times New Roman" w:hAnsi="Times New Roman" w:cs="Times New Roman" w:eastAsiaTheme="minorEastAsia"/>
                <w:snapToGrid w:val="0"/>
                <w:color w:val="auto"/>
                <w:kern w:val="0"/>
                <w:sz w:val="21"/>
                <w:szCs w:val="21"/>
                <w:highlight w:val="none"/>
              </w:rPr>
              <w:t>偏差率计算的最终结果取小数点后两位，小数点后第三位“四舍五入”。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2.2.3（1）</w:t>
            </w:r>
          </w:p>
        </w:tc>
        <w:tc>
          <w:tcPr>
            <w:tcW w:w="11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eastAsia" w:cs="Times New Roman" w:eastAsiaTheme="minorEastAsia"/>
                <w:color w:val="auto"/>
                <w:kern w:val="0"/>
                <w:sz w:val="21"/>
                <w:szCs w:val="21"/>
                <w:highlight w:val="none"/>
                <w:lang w:eastAsia="zh-CN"/>
              </w:rPr>
              <w:t>比选</w:t>
            </w:r>
            <w:r>
              <w:rPr>
                <w:rFonts w:hint="default" w:ascii="Times New Roman" w:hAnsi="Times New Roman" w:cs="Times New Roman" w:eastAsiaTheme="minorEastAsia"/>
                <w:color w:val="auto"/>
                <w:kern w:val="0"/>
                <w:sz w:val="21"/>
                <w:szCs w:val="21"/>
                <w:highlight w:val="none"/>
              </w:rPr>
              <w:t>报价评分标准</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lang w:val="en-US" w:eastAsia="zh-CN" w:bidi="ar"/>
              </w:rPr>
            </w:pPr>
            <w:r>
              <w:rPr>
                <w:rFonts w:hint="default" w:ascii="Times New Roman" w:hAnsi="Times New Roman" w:cs="Times New Roman" w:eastAsiaTheme="minorEastAsia"/>
                <w:color w:val="auto"/>
                <w:kern w:val="0"/>
                <w:sz w:val="21"/>
                <w:szCs w:val="21"/>
                <w:highlight w:val="none"/>
              </w:rPr>
              <w:t>（</w:t>
            </w:r>
            <w:r>
              <w:rPr>
                <w:rFonts w:hint="eastAsia" w:cs="Times New Roman" w:eastAsiaTheme="minorEastAsia"/>
                <w:color w:val="auto"/>
                <w:kern w:val="0"/>
                <w:sz w:val="21"/>
                <w:szCs w:val="21"/>
                <w:highlight w:val="none"/>
                <w:lang w:val="en-US" w:eastAsia="zh-CN"/>
              </w:rPr>
              <w:t>7</w:t>
            </w:r>
            <w:r>
              <w:rPr>
                <w:rFonts w:hint="default" w:ascii="Times New Roman" w:hAnsi="Times New Roman" w:cs="Times New Roman" w:eastAsiaTheme="minorEastAsia"/>
                <w:color w:val="auto"/>
                <w:kern w:val="0"/>
                <w:sz w:val="21"/>
                <w:szCs w:val="21"/>
                <w:highlight w:val="none"/>
                <w:lang w:val="en-US" w:eastAsia="zh-CN"/>
              </w:rPr>
              <w:t>0</w:t>
            </w:r>
            <w:r>
              <w:rPr>
                <w:rFonts w:hint="default" w:ascii="Times New Roman" w:hAnsi="Times New Roman" w:cs="Times New Roman" w:eastAsiaTheme="minorEastAsia"/>
                <w:color w:val="auto"/>
                <w:kern w:val="0"/>
                <w:sz w:val="21"/>
                <w:szCs w:val="21"/>
                <w:highlight w:val="none"/>
              </w:rPr>
              <w:t>分）</w:t>
            </w:r>
          </w:p>
        </w:tc>
        <w:tc>
          <w:tcPr>
            <w:tcW w:w="7203" w:type="dxa"/>
            <w:gridSpan w:val="2"/>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jc w:val="both"/>
              <w:rPr>
                <w:rFonts w:hint="default" w:ascii="Times New Roman" w:hAnsi="Times New Roman" w:cs="Times New Roman" w:eastAsiaTheme="minorEastAsia"/>
                <w:snapToGrid w:val="0"/>
                <w:color w:val="auto"/>
                <w:kern w:val="0"/>
                <w:sz w:val="21"/>
                <w:szCs w:val="21"/>
                <w:highlight w:val="none"/>
              </w:rPr>
            </w:pPr>
            <w:r>
              <w:rPr>
                <w:rFonts w:hint="default" w:ascii="Times New Roman" w:hAnsi="Times New Roman" w:cs="Times New Roman" w:eastAsiaTheme="minorEastAsia"/>
                <w:snapToGrid w:val="0"/>
                <w:color w:val="auto"/>
                <w:kern w:val="0"/>
                <w:sz w:val="21"/>
                <w:szCs w:val="21"/>
                <w:highlight w:val="none"/>
              </w:rPr>
              <w:t>所有通过初步评审的有效</w:t>
            </w:r>
            <w:r>
              <w:rPr>
                <w:rFonts w:hint="eastAsia" w:ascii="Times New Roman" w:hAnsi="Times New Roman" w:cs="Times New Roman" w:eastAsiaTheme="minorEastAsia"/>
                <w:snapToGrid w:val="0"/>
                <w:color w:val="auto"/>
                <w:kern w:val="0"/>
                <w:sz w:val="21"/>
                <w:szCs w:val="21"/>
                <w:highlight w:val="none"/>
                <w:lang w:eastAsia="zh-CN"/>
              </w:rPr>
              <w:t>比选</w:t>
            </w:r>
            <w:r>
              <w:rPr>
                <w:rFonts w:hint="default" w:ascii="Times New Roman" w:hAnsi="Times New Roman" w:cs="Times New Roman" w:eastAsiaTheme="minorEastAsia"/>
                <w:snapToGrid w:val="0"/>
                <w:color w:val="auto"/>
                <w:kern w:val="0"/>
                <w:sz w:val="21"/>
                <w:szCs w:val="21"/>
                <w:highlight w:val="none"/>
              </w:rPr>
              <w:t>总报价得本附表2.2.1项规定分值的满分</w:t>
            </w:r>
            <w:r>
              <w:rPr>
                <w:rFonts w:hint="eastAsia" w:ascii="Times New Roman" w:hAnsi="Times New Roman" w:cs="Times New Roman" w:eastAsiaTheme="minorEastAsia"/>
                <w:snapToGrid w:val="0"/>
                <w:color w:val="auto"/>
                <w:kern w:val="0"/>
                <w:sz w:val="21"/>
                <w:szCs w:val="21"/>
                <w:highlight w:val="none"/>
                <w:u w:val="single"/>
                <w:lang w:val="en-US" w:eastAsia="zh-CN"/>
              </w:rPr>
              <w:t>7</w:t>
            </w:r>
            <w:r>
              <w:rPr>
                <w:rFonts w:hint="default" w:ascii="Times New Roman" w:hAnsi="Times New Roman" w:cs="Times New Roman" w:eastAsiaTheme="minorEastAsia"/>
                <w:snapToGrid w:val="0"/>
                <w:color w:val="auto"/>
                <w:kern w:val="0"/>
                <w:sz w:val="21"/>
                <w:szCs w:val="21"/>
                <w:highlight w:val="none"/>
                <w:u w:val="single"/>
                <w:lang w:val="en-US" w:eastAsia="zh-CN"/>
              </w:rPr>
              <w:t>0</w:t>
            </w:r>
            <w:r>
              <w:rPr>
                <w:rFonts w:hint="default" w:ascii="Times New Roman" w:hAnsi="Times New Roman" w:cs="Times New Roman" w:eastAsiaTheme="minorEastAsia"/>
                <w:snapToGrid w:val="0"/>
                <w:color w:val="auto"/>
                <w:kern w:val="0"/>
                <w:sz w:val="21"/>
                <w:szCs w:val="21"/>
                <w:highlight w:val="none"/>
              </w:rPr>
              <w:t>分。</w:t>
            </w:r>
            <w:r>
              <w:rPr>
                <w:rFonts w:ascii="Times New Roman" w:hAnsi="Times New Roman" w:cs="Times New Roman"/>
                <w:snapToGrid w:val="0"/>
                <w:color w:val="auto"/>
                <w:kern w:val="0"/>
                <w:sz w:val="21"/>
                <w:szCs w:val="21"/>
                <w:highlight w:val="none"/>
              </w:rPr>
              <w:t>在此基础上，</w:t>
            </w:r>
            <w:r>
              <w:rPr>
                <w:rFonts w:hint="eastAsia" w:ascii="Times New Roman" w:hAnsi="Times New Roman" w:cs="Times New Roman"/>
                <w:snapToGrid w:val="0"/>
                <w:color w:val="auto"/>
                <w:kern w:val="0"/>
                <w:sz w:val="21"/>
                <w:szCs w:val="21"/>
                <w:highlight w:val="none"/>
                <w:lang w:eastAsia="zh-CN"/>
              </w:rPr>
              <w:t>比选</w:t>
            </w:r>
            <w:r>
              <w:rPr>
                <w:rFonts w:ascii="Times New Roman" w:hAnsi="Times New Roman" w:cs="Times New Roman"/>
                <w:snapToGrid w:val="0"/>
                <w:color w:val="auto"/>
                <w:kern w:val="0"/>
                <w:sz w:val="21"/>
                <w:szCs w:val="21"/>
                <w:highlight w:val="none"/>
              </w:rPr>
              <w:t>总报价与评审基准价相比，每增加</w:t>
            </w:r>
            <w:r>
              <w:rPr>
                <w:rFonts w:ascii="Times New Roman" w:hAnsi="Times New Roman" w:cs="Times New Roman"/>
                <w:snapToGrid w:val="0"/>
                <w:color w:val="auto"/>
                <w:kern w:val="0"/>
                <w:sz w:val="21"/>
                <w:szCs w:val="21"/>
                <w:highlight w:val="none"/>
                <w:u w:val="single"/>
              </w:rPr>
              <w:t>1%</w:t>
            </w:r>
            <w:r>
              <w:rPr>
                <w:rFonts w:ascii="Times New Roman" w:hAnsi="Times New Roman" w:cs="Times New Roman"/>
                <w:snapToGrid w:val="0"/>
                <w:color w:val="auto"/>
                <w:kern w:val="0"/>
                <w:sz w:val="21"/>
                <w:szCs w:val="21"/>
                <w:highlight w:val="none"/>
              </w:rPr>
              <w:t>扣</w:t>
            </w:r>
            <w:r>
              <w:rPr>
                <w:rFonts w:ascii="Times New Roman" w:hAnsi="Times New Roman" w:cs="Times New Roman"/>
                <w:snapToGrid w:val="0"/>
                <w:color w:val="auto"/>
                <w:kern w:val="0"/>
                <w:sz w:val="21"/>
                <w:szCs w:val="21"/>
                <w:highlight w:val="none"/>
                <w:u w:val="single"/>
              </w:rPr>
              <w:t>0.</w:t>
            </w:r>
            <w:r>
              <w:rPr>
                <w:rFonts w:hint="eastAsia" w:ascii="Times New Roman" w:hAnsi="Times New Roman" w:cs="Times New Roman"/>
                <w:snapToGrid w:val="0"/>
                <w:color w:val="auto"/>
                <w:kern w:val="0"/>
                <w:sz w:val="21"/>
                <w:szCs w:val="21"/>
                <w:highlight w:val="none"/>
                <w:u w:val="single"/>
                <w:lang w:val="en-US" w:eastAsia="zh-CN"/>
              </w:rPr>
              <w:t>5</w:t>
            </w:r>
            <w:r>
              <w:rPr>
                <w:rFonts w:ascii="Times New Roman" w:hAnsi="Times New Roman" w:cs="Times New Roman"/>
                <w:snapToGrid w:val="0"/>
                <w:color w:val="auto"/>
                <w:kern w:val="0"/>
                <w:sz w:val="21"/>
                <w:szCs w:val="21"/>
                <w:highlight w:val="none"/>
              </w:rPr>
              <w:t>分，每减少</w:t>
            </w:r>
            <w:r>
              <w:rPr>
                <w:rFonts w:ascii="Times New Roman" w:hAnsi="Times New Roman" w:cs="Times New Roman"/>
                <w:snapToGrid w:val="0"/>
                <w:color w:val="auto"/>
                <w:kern w:val="0"/>
                <w:sz w:val="21"/>
                <w:szCs w:val="21"/>
                <w:highlight w:val="none"/>
                <w:u w:val="single"/>
              </w:rPr>
              <w:t>1%</w:t>
            </w:r>
            <w:r>
              <w:rPr>
                <w:rFonts w:ascii="Times New Roman" w:hAnsi="Times New Roman" w:cs="Times New Roman"/>
                <w:snapToGrid w:val="0"/>
                <w:color w:val="auto"/>
                <w:kern w:val="0"/>
                <w:sz w:val="21"/>
                <w:szCs w:val="21"/>
                <w:highlight w:val="none"/>
              </w:rPr>
              <w:t>扣</w:t>
            </w:r>
            <w:r>
              <w:rPr>
                <w:rFonts w:ascii="Times New Roman" w:hAnsi="Times New Roman" w:cs="Times New Roman"/>
                <w:snapToGrid w:val="0"/>
                <w:color w:val="auto"/>
                <w:kern w:val="0"/>
                <w:sz w:val="21"/>
                <w:szCs w:val="21"/>
                <w:highlight w:val="none"/>
                <w:u w:val="single"/>
              </w:rPr>
              <w:t>0.</w:t>
            </w:r>
            <w:r>
              <w:rPr>
                <w:rFonts w:hint="eastAsia" w:ascii="Times New Roman" w:hAnsi="Times New Roman" w:cs="Times New Roman"/>
                <w:snapToGrid w:val="0"/>
                <w:color w:val="auto"/>
                <w:kern w:val="0"/>
                <w:sz w:val="21"/>
                <w:szCs w:val="21"/>
                <w:highlight w:val="none"/>
                <w:u w:val="single"/>
                <w:lang w:val="en-US" w:eastAsia="zh-CN"/>
              </w:rPr>
              <w:t>3</w:t>
            </w:r>
            <w:r>
              <w:rPr>
                <w:rFonts w:ascii="Times New Roman" w:hAnsi="Times New Roman" w:cs="Times New Roman"/>
                <w:snapToGrid w:val="0"/>
                <w:color w:val="auto"/>
                <w:kern w:val="0"/>
                <w:sz w:val="21"/>
                <w:szCs w:val="21"/>
                <w:highlight w:val="none"/>
              </w:rPr>
              <w:t>分，</w:t>
            </w:r>
            <w:r>
              <w:rPr>
                <w:rFonts w:hint="default" w:ascii="Times New Roman" w:hAnsi="Times New Roman" w:cs="Times New Roman" w:eastAsiaTheme="minorEastAsia"/>
                <w:snapToGrid w:val="0"/>
                <w:color w:val="auto"/>
                <w:kern w:val="0"/>
                <w:sz w:val="21"/>
                <w:szCs w:val="21"/>
                <w:highlight w:val="none"/>
              </w:rPr>
              <w:t>扣完为止。</w:t>
            </w:r>
          </w:p>
          <w:p>
            <w:pPr>
              <w:adjustRightInd w:val="0"/>
              <w:snapToGrid w:val="0"/>
              <w:spacing w:line="400" w:lineRule="exact"/>
              <w:ind w:firstLine="420" w:firstLineChars="200"/>
              <w:rPr>
                <w:rFonts w:ascii="Times New Roman" w:hAnsi="Times New Roman" w:cs="Times New Roman"/>
                <w:snapToGrid w:val="0"/>
                <w:color w:val="auto"/>
                <w:kern w:val="0"/>
                <w:sz w:val="21"/>
                <w:szCs w:val="21"/>
                <w:highlight w:val="none"/>
              </w:rPr>
            </w:pPr>
            <w:r>
              <w:rPr>
                <w:rFonts w:ascii="Times New Roman" w:hAnsi="Times New Roman" w:cs="Times New Roman"/>
                <w:snapToGrid w:val="0"/>
                <w:color w:val="auto"/>
                <w:kern w:val="0"/>
                <w:sz w:val="21"/>
                <w:szCs w:val="21"/>
                <w:highlight w:val="none"/>
              </w:rPr>
              <w:t>按插入法计算得分。</w:t>
            </w:r>
          </w:p>
          <w:p>
            <w:pPr>
              <w:adjustRightInd w:val="0"/>
              <w:snapToGrid w:val="0"/>
              <w:spacing w:line="400" w:lineRule="exact"/>
              <w:ind w:firstLine="420" w:firstLineChars="200"/>
              <w:rPr>
                <w:rFonts w:ascii="Times New Roman" w:hAnsi="Times New Roman" w:cs="Times New Roman"/>
                <w:snapToGrid w:val="0"/>
                <w:color w:val="auto"/>
                <w:kern w:val="0"/>
                <w:sz w:val="21"/>
                <w:szCs w:val="21"/>
                <w:highlight w:val="none"/>
              </w:rPr>
            </w:pPr>
            <w:r>
              <w:rPr>
                <w:rFonts w:ascii="Times New Roman" w:hAnsi="Times New Roman" w:cs="Times New Roman"/>
                <w:snapToGrid w:val="0"/>
                <w:color w:val="auto"/>
                <w:kern w:val="0"/>
                <w:sz w:val="21"/>
                <w:szCs w:val="21"/>
                <w:highlight w:val="none"/>
              </w:rPr>
              <w:t>未参与评审基准价计算的</w:t>
            </w:r>
            <w:r>
              <w:rPr>
                <w:rFonts w:hint="eastAsia" w:cs="Times New Roman"/>
                <w:snapToGrid w:val="0"/>
                <w:color w:val="auto"/>
                <w:kern w:val="0"/>
                <w:sz w:val="21"/>
                <w:szCs w:val="21"/>
                <w:highlight w:val="none"/>
                <w:lang w:eastAsia="zh-CN"/>
              </w:rPr>
              <w:t>比选</w:t>
            </w:r>
            <w:r>
              <w:rPr>
                <w:rFonts w:ascii="Times New Roman" w:hAnsi="Times New Roman" w:cs="Times New Roman"/>
                <w:snapToGrid w:val="0"/>
                <w:color w:val="auto"/>
                <w:kern w:val="0"/>
                <w:sz w:val="21"/>
                <w:szCs w:val="21"/>
                <w:highlight w:val="none"/>
              </w:rPr>
              <w:t>总报价，仍应参加计算相应分值。</w:t>
            </w:r>
          </w:p>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jc w:val="both"/>
              <w:rPr>
                <w:rFonts w:hint="default" w:ascii="Times New Roman" w:hAnsi="Times New Roman" w:cs="Times New Roman" w:eastAsiaTheme="minorEastAsia"/>
                <w:color w:val="auto"/>
                <w:kern w:val="2"/>
                <w:sz w:val="21"/>
                <w:szCs w:val="21"/>
                <w:highlight w:val="none"/>
                <w:lang w:val="en-US" w:eastAsia="zh-CN" w:bidi="ar"/>
              </w:rPr>
            </w:pPr>
            <w:r>
              <w:rPr>
                <w:rFonts w:hint="eastAsia" w:ascii="Times New Roman" w:hAnsi="Times New Roman" w:cs="Times New Roman"/>
                <w:snapToGrid w:val="0"/>
                <w:color w:val="auto"/>
                <w:kern w:val="0"/>
                <w:sz w:val="21"/>
                <w:szCs w:val="21"/>
                <w:highlight w:val="none"/>
                <w:lang w:eastAsia="zh-CN"/>
              </w:rPr>
              <w:t>比选</w:t>
            </w:r>
            <w:r>
              <w:rPr>
                <w:rFonts w:ascii="Times New Roman" w:hAnsi="Times New Roman" w:cs="Times New Roman"/>
                <w:snapToGrid w:val="0"/>
                <w:color w:val="auto"/>
                <w:kern w:val="0"/>
                <w:sz w:val="21"/>
                <w:szCs w:val="21"/>
                <w:highlight w:val="none"/>
              </w:rPr>
              <w:t>总报价得分最终结果取小数点后两位，第三位四舍五入。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2.2.3</w:t>
            </w:r>
          </w:p>
          <w:p>
            <w:pPr>
              <w:pStyle w:val="42"/>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w:t>
            </w:r>
          </w:p>
        </w:tc>
        <w:tc>
          <w:tcPr>
            <w:tcW w:w="113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val="0"/>
                <w:bCs/>
                <w:color w:val="auto"/>
                <w:kern w:val="2"/>
                <w:sz w:val="21"/>
                <w:szCs w:val="21"/>
                <w:highlight w:val="none"/>
                <w:lang w:val="en-US" w:eastAsia="zh-CN" w:bidi="ar"/>
              </w:rPr>
              <w:t>商务评分标准（</w:t>
            </w:r>
            <w:r>
              <w:rPr>
                <w:rFonts w:hint="eastAsia" w:cs="Times New Roman" w:eastAsiaTheme="minorEastAsia"/>
                <w:b w:val="0"/>
                <w:bCs/>
                <w:color w:val="auto"/>
                <w:kern w:val="2"/>
                <w:sz w:val="21"/>
                <w:szCs w:val="21"/>
                <w:highlight w:val="none"/>
                <w:lang w:val="en-US" w:eastAsia="zh-CN" w:bidi="ar"/>
              </w:rPr>
              <w:t>1</w:t>
            </w:r>
            <w:r>
              <w:rPr>
                <w:rFonts w:hint="default" w:ascii="Times New Roman" w:hAnsi="Times New Roman" w:cs="Times New Roman" w:eastAsiaTheme="minorEastAsia"/>
                <w:b w:val="0"/>
                <w:bCs/>
                <w:color w:val="auto"/>
                <w:kern w:val="2"/>
                <w:sz w:val="21"/>
                <w:szCs w:val="21"/>
                <w:highlight w:val="none"/>
                <w:lang w:val="en-US" w:eastAsia="zh-CN" w:bidi="ar"/>
              </w:rPr>
              <w:t>0分）</w:t>
            </w:r>
          </w:p>
        </w:tc>
        <w:tc>
          <w:tcPr>
            <w:tcW w:w="164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rPr>
                <w:rFonts w:hint="default" w:ascii="Times New Roman" w:hAnsi="Times New Roman" w:cs="Times New Roman" w:eastAsiaTheme="minorEastAsia"/>
                <w:color w:val="auto"/>
                <w:kern w:val="2"/>
                <w:sz w:val="21"/>
                <w:szCs w:val="21"/>
                <w:highlight w:val="none"/>
                <w:lang w:val="en-US" w:eastAsia="zh-CN" w:bidi="ar"/>
              </w:rPr>
            </w:pPr>
            <w:r>
              <w:rPr>
                <w:rFonts w:hint="eastAsia" w:cs="Times New Roman" w:eastAsiaTheme="minorEastAsia"/>
                <w:color w:val="auto"/>
                <w:kern w:val="2"/>
                <w:sz w:val="21"/>
                <w:szCs w:val="21"/>
                <w:highlight w:val="none"/>
                <w:lang w:val="en-US" w:eastAsia="zh-CN" w:bidi="ar"/>
              </w:rPr>
              <w:t>业绩</w:t>
            </w:r>
            <w:r>
              <w:rPr>
                <w:rFonts w:hint="default" w:ascii="Times New Roman" w:hAnsi="Times New Roman" w:cs="Times New Roman" w:eastAsiaTheme="minorEastAsia"/>
                <w:color w:val="auto"/>
                <w:kern w:val="2"/>
                <w:sz w:val="21"/>
                <w:szCs w:val="21"/>
                <w:highlight w:val="none"/>
                <w:lang w:val="en-US" w:eastAsia="zh-CN" w:bidi="ar"/>
              </w:rPr>
              <w:t>要求（</w:t>
            </w:r>
            <w:r>
              <w:rPr>
                <w:rFonts w:hint="eastAsia" w:cs="Times New Roman" w:eastAsiaTheme="minorEastAsia"/>
                <w:color w:val="auto"/>
                <w:kern w:val="2"/>
                <w:sz w:val="21"/>
                <w:szCs w:val="21"/>
                <w:highlight w:val="none"/>
                <w:lang w:val="en-US" w:eastAsia="zh-CN" w:bidi="ar"/>
              </w:rPr>
              <w:t>6</w:t>
            </w:r>
            <w:r>
              <w:rPr>
                <w:rFonts w:hint="default" w:ascii="Times New Roman" w:hAnsi="Times New Roman" w:cs="Times New Roman" w:eastAsiaTheme="minorEastAsia"/>
                <w:color w:val="auto"/>
                <w:kern w:val="2"/>
                <w:sz w:val="21"/>
                <w:szCs w:val="21"/>
                <w:highlight w:val="none"/>
                <w:lang w:val="en-US" w:eastAsia="zh-CN" w:bidi="ar"/>
              </w:rPr>
              <w:t>分）</w:t>
            </w:r>
          </w:p>
        </w:tc>
        <w:tc>
          <w:tcPr>
            <w:tcW w:w="556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rPr>
                <w:rFonts w:hint="default" w:ascii="Times New Roman" w:hAnsi="Times New Roman" w:cs="Times New Roman" w:eastAsiaTheme="minorEastAsia"/>
                <w:color w:val="auto"/>
                <w:kern w:val="0"/>
                <w:sz w:val="21"/>
                <w:szCs w:val="21"/>
                <w:highlight w:val="none"/>
              </w:rPr>
            </w:pPr>
            <w:r>
              <w:rPr>
                <w:rFonts w:hint="eastAsia" w:ascii="Times New Roman" w:hAnsi="Times New Roman" w:cs="Times New Roman" w:eastAsiaTheme="minorEastAsia"/>
                <w:color w:val="auto"/>
                <w:kern w:val="0"/>
                <w:sz w:val="21"/>
                <w:szCs w:val="21"/>
                <w:highlight w:val="none"/>
                <w:lang w:val="en-US" w:eastAsia="zh-CN"/>
              </w:rPr>
              <w:t>1.</w:t>
            </w:r>
            <w:r>
              <w:rPr>
                <w:rFonts w:hint="default" w:ascii="Times New Roman" w:hAnsi="Times New Roman" w:cs="Times New Roman" w:eastAsiaTheme="minorEastAsia"/>
                <w:color w:val="auto"/>
                <w:kern w:val="0"/>
                <w:sz w:val="21"/>
                <w:szCs w:val="21"/>
                <w:highlight w:val="none"/>
              </w:rPr>
              <w:t>业绩满足资格要求</w:t>
            </w:r>
            <w:r>
              <w:rPr>
                <w:rFonts w:hint="eastAsia" w:ascii="Times New Roman" w:hAnsi="Times New Roman" w:cs="Times New Roman" w:eastAsiaTheme="minorEastAsia"/>
                <w:color w:val="auto"/>
                <w:kern w:val="0"/>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rPr>
                <w:rFonts w:hint="eastAsia" w:cs="Times New Roman" w:eastAsiaTheme="minorEastAsia"/>
                <w:b w:val="0"/>
                <w:bCs/>
                <w:color w:val="auto"/>
                <w:kern w:val="0"/>
                <w:sz w:val="21"/>
                <w:szCs w:val="21"/>
                <w:highlight w:val="none"/>
                <w:u w:val="none"/>
                <w:lang w:val="en-US" w:eastAsia="zh-CN"/>
              </w:rPr>
            </w:pPr>
            <w:r>
              <w:rPr>
                <w:rFonts w:hint="eastAsia" w:cs="Times New Roman" w:eastAsiaTheme="minorEastAsia"/>
                <w:b w:val="0"/>
                <w:bCs/>
                <w:color w:val="auto"/>
                <w:kern w:val="0"/>
                <w:sz w:val="21"/>
                <w:szCs w:val="21"/>
                <w:highlight w:val="none"/>
                <w:u w:val="none"/>
                <w:lang w:val="en-US" w:eastAsia="zh-CN"/>
              </w:rPr>
              <w:t>2.2021年1月1日至竞选文件发出日止，投标人每增加一个合同金额15万元及以上的信息安全服务或信息安全相关维保服务项目业绩证明，得2分，</w:t>
            </w:r>
            <w:r>
              <w:rPr>
                <w:rFonts w:hint="eastAsia" w:asciiTheme="minorEastAsia" w:hAnsiTheme="minorEastAsia" w:eastAsiaTheme="minorEastAsia"/>
                <w:szCs w:val="21"/>
                <w:highlight w:val="none"/>
                <w:lang w:val="en-US" w:eastAsia="zh-CN"/>
              </w:rPr>
              <w:t>该项</w:t>
            </w:r>
            <w:r>
              <w:rPr>
                <w:rFonts w:hint="eastAsia" w:cs="Times New Roman" w:eastAsiaTheme="minorEastAsia"/>
                <w:b w:val="0"/>
                <w:bCs/>
                <w:color w:val="auto"/>
                <w:kern w:val="0"/>
                <w:sz w:val="21"/>
                <w:szCs w:val="21"/>
                <w:highlight w:val="none"/>
                <w:u w:val="none"/>
                <w:lang w:val="en-US" w:eastAsia="zh-CN"/>
              </w:rPr>
              <w:t>最多得6分。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rPr>
                <w:rFonts w:hint="default"/>
                <w:highlight w:val="none"/>
                <w:lang w:val="en-US" w:eastAsia="zh-CN"/>
              </w:rPr>
            </w:pPr>
            <w:r>
              <w:rPr>
                <w:rFonts w:hint="default" w:ascii="Times New Roman" w:hAnsi="Times New Roman" w:cs="Times New Roman" w:eastAsiaTheme="minorEastAsia"/>
                <w:b w:val="0"/>
                <w:bCs/>
                <w:color w:val="auto"/>
                <w:kern w:val="0"/>
                <w:sz w:val="21"/>
                <w:szCs w:val="21"/>
                <w:highlight w:val="none"/>
                <w:u w:val="none"/>
                <w:lang w:val="en-US" w:eastAsia="zh-CN"/>
              </w:rPr>
              <w:t>注：需提供合同复印件关键页（包括但不限于合同封面页、合同标的页、合同金额页、合同盖章页、合同时间页及显示项目内容的相关页）并加盖投标人公章。否则不予认可。若合同中无法体现上述内容的，则还需提供业主出具的业绩证明材料（加盖业主单位公章）</w:t>
            </w:r>
            <w:r>
              <w:rPr>
                <w:rFonts w:hint="eastAsia" w:ascii="Times New Roman" w:hAnsi="Times New Roman" w:cs="Times New Roman" w:eastAsiaTheme="minorEastAsia"/>
                <w:b w:val="0"/>
                <w:bCs/>
                <w:color w:val="auto"/>
                <w:kern w:val="0"/>
                <w:sz w:val="21"/>
                <w:szCs w:val="21"/>
                <w:highlight w:val="none"/>
                <w:u w:val="none"/>
                <w:lang w:val="en-US" w:eastAsia="zh-CN"/>
              </w:rPr>
              <w:t>，合同原件备查</w:t>
            </w:r>
            <w:r>
              <w:rPr>
                <w:rFonts w:hint="default" w:ascii="Times New Roman" w:hAnsi="Times New Roman" w:cs="Times New Roman" w:eastAsiaTheme="minorEastAsia"/>
                <w:b w:val="0"/>
                <w:bCs/>
                <w:color w:val="auto"/>
                <w:kern w:val="0"/>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13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both"/>
              <w:rPr>
                <w:rFonts w:hint="default" w:ascii="Times New Roman" w:hAnsi="Times New Roman" w:cs="Times New Roman" w:eastAsiaTheme="minorEastAsia"/>
                <w:color w:val="auto"/>
                <w:sz w:val="21"/>
                <w:szCs w:val="21"/>
                <w:highlight w:val="none"/>
              </w:rPr>
            </w:pPr>
          </w:p>
        </w:tc>
        <w:tc>
          <w:tcPr>
            <w:tcW w:w="164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rPr>
                <w:rFonts w:hint="eastAsia" w:ascii="Times New Roman" w:hAnsi="Times New Roman" w:cs="Times New Roman" w:eastAsiaTheme="minorEastAsia"/>
                <w:color w:val="auto"/>
                <w:kern w:val="2"/>
                <w:sz w:val="21"/>
                <w:szCs w:val="21"/>
                <w:highlight w:val="none"/>
                <w:lang w:val="en-US" w:eastAsia="zh-CN" w:bidi="ar"/>
              </w:rPr>
            </w:pPr>
            <w:r>
              <w:rPr>
                <w:rFonts w:hint="eastAsia" w:cs="Times New Roman" w:eastAsiaTheme="minorEastAsia"/>
                <w:color w:val="auto"/>
                <w:sz w:val="21"/>
                <w:szCs w:val="21"/>
                <w:highlight w:val="none"/>
                <w:lang w:val="en-US" w:eastAsia="zh-CN"/>
              </w:rPr>
              <w:t>人员要求</w:t>
            </w:r>
            <w:r>
              <w:rPr>
                <w:rFonts w:hint="default" w:ascii="Times New Roman" w:hAnsi="Times New Roman" w:cs="Times New Roman" w:eastAsiaTheme="minorEastAsia"/>
                <w:color w:val="auto"/>
                <w:kern w:val="2"/>
                <w:sz w:val="21"/>
                <w:szCs w:val="21"/>
                <w:highlight w:val="none"/>
                <w:lang w:val="en-US" w:eastAsia="zh-CN" w:bidi="ar"/>
              </w:rPr>
              <w:t>（</w:t>
            </w:r>
            <w:r>
              <w:rPr>
                <w:rFonts w:hint="eastAsia" w:cs="Times New Roman" w:eastAsiaTheme="minorEastAsia"/>
                <w:color w:val="auto"/>
                <w:kern w:val="2"/>
                <w:sz w:val="21"/>
                <w:szCs w:val="21"/>
                <w:highlight w:val="none"/>
                <w:lang w:val="en-US" w:eastAsia="zh-CN" w:bidi="ar"/>
              </w:rPr>
              <w:t>2</w:t>
            </w:r>
            <w:r>
              <w:rPr>
                <w:rFonts w:hint="default" w:ascii="Times New Roman" w:hAnsi="Times New Roman" w:cs="Times New Roman" w:eastAsiaTheme="minorEastAsia"/>
                <w:color w:val="auto"/>
                <w:kern w:val="2"/>
                <w:sz w:val="21"/>
                <w:szCs w:val="21"/>
                <w:highlight w:val="none"/>
                <w:lang w:val="en-US" w:eastAsia="zh-CN" w:bidi="ar"/>
              </w:rPr>
              <w:t>分）</w:t>
            </w:r>
          </w:p>
        </w:tc>
        <w:tc>
          <w:tcPr>
            <w:tcW w:w="556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项目团队中每</w:t>
            </w:r>
            <w:r>
              <w:rPr>
                <w:rFonts w:hint="eastAsia" w:asciiTheme="minorEastAsia" w:hAnsiTheme="minorEastAsia" w:eastAsiaTheme="minorEastAsia"/>
                <w:szCs w:val="21"/>
                <w:highlight w:val="none"/>
                <w:lang w:val="en-US" w:eastAsia="zh-CN"/>
              </w:rPr>
              <w:t>增加</w:t>
            </w:r>
            <w:r>
              <w:rPr>
                <w:rFonts w:hint="eastAsia" w:asciiTheme="minorEastAsia" w:hAnsiTheme="minorEastAsia" w:eastAsiaTheme="minorEastAsia"/>
                <w:szCs w:val="21"/>
                <w:highlight w:val="none"/>
              </w:rPr>
              <w:t>1</w:t>
            </w:r>
            <w:r>
              <w:rPr>
                <w:rFonts w:hint="eastAsia" w:asciiTheme="minorEastAsia" w:hAnsiTheme="minorEastAsia" w:eastAsiaTheme="minorEastAsia"/>
                <w:szCs w:val="21"/>
                <w:highlight w:val="none"/>
                <w:lang w:val="en-US" w:eastAsia="zh-CN"/>
              </w:rPr>
              <w:t>人</w:t>
            </w:r>
            <w:r>
              <w:rPr>
                <w:rFonts w:hint="eastAsia" w:asciiTheme="minorEastAsia" w:hAnsiTheme="minorEastAsia" w:eastAsiaTheme="minorEastAsia"/>
                <w:szCs w:val="21"/>
                <w:highlight w:val="none"/>
              </w:rPr>
              <w:t>具备中国信息安全测评中心颁发的注册信息安全人员（CISP）认证证书得</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分，</w:t>
            </w:r>
            <w:r>
              <w:rPr>
                <w:rFonts w:hint="eastAsia" w:asciiTheme="minorEastAsia" w:hAnsiTheme="minorEastAsia" w:eastAsiaTheme="minorEastAsia"/>
                <w:szCs w:val="21"/>
                <w:highlight w:val="none"/>
                <w:lang w:val="en-US" w:eastAsia="zh-CN"/>
              </w:rPr>
              <w:t>该项最</w:t>
            </w:r>
            <w:r>
              <w:rPr>
                <w:rFonts w:hint="default" w:ascii="Times New Roman" w:hAnsi="Times New Roman" w:cs="Times New Roman" w:eastAsiaTheme="minorEastAsia"/>
                <w:color w:val="auto"/>
                <w:kern w:val="0"/>
                <w:sz w:val="21"/>
                <w:szCs w:val="21"/>
                <w:highlight w:val="none"/>
                <w:lang w:eastAsia="zh-CN"/>
              </w:rPr>
              <w:t>多</w:t>
            </w:r>
            <w:r>
              <w:rPr>
                <w:rFonts w:hint="eastAsia" w:asciiTheme="minorEastAsia" w:hAnsiTheme="minorEastAsia" w:eastAsiaTheme="minorEastAsia"/>
                <w:szCs w:val="21"/>
                <w:highlight w:val="none"/>
                <w:lang w:val="en-US" w:eastAsia="zh-CN"/>
              </w:rPr>
              <w:t>得2分</w:t>
            </w:r>
            <w:r>
              <w:rPr>
                <w:rFonts w:hint="eastAsia" w:asciiTheme="minorEastAsia" w:hAnsiTheme="minorEastAsia" w:eastAsiaTheme="minorEastAsia"/>
                <w:szCs w:val="21"/>
                <w:highlight w:val="none"/>
              </w:rPr>
              <w:t>。</w:t>
            </w:r>
          </w:p>
          <w:p>
            <w:pPr>
              <w:pStyle w:val="13"/>
              <w:ind w:left="0" w:leftChars="0" w:firstLine="420" w:firstLineChars="200"/>
              <w:rPr>
                <w:rFonts w:hint="eastAsia"/>
                <w:highlight w:val="none"/>
                <w:lang w:val="en-US" w:eastAsia="zh-CN"/>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注：需提供人员</w:t>
            </w:r>
            <w:r>
              <w:rPr>
                <w:rFonts w:hint="eastAsia" w:hAnsi="宋体" w:cs="Times New Roman"/>
                <w:b w:val="0"/>
                <w:bCs w:val="0"/>
                <w:color w:val="auto"/>
                <w:sz w:val="21"/>
                <w:szCs w:val="21"/>
                <w:highlight w:val="none"/>
                <w:lang w:val="en-US" w:eastAsia="zh-CN"/>
              </w:rPr>
              <w:t>名单（表格形式），</w:t>
            </w:r>
            <w:r>
              <w:rPr>
                <w:rFonts w:hint="eastAsia" w:ascii="Times New Roman" w:hAnsi="宋体" w:cs="Times New Roman"/>
                <w:b w:val="0"/>
                <w:bCs w:val="0"/>
                <w:color w:val="auto"/>
                <w:sz w:val="21"/>
                <w:szCs w:val="21"/>
                <w:highlight w:val="none"/>
                <w:lang w:val="en-US" w:eastAsia="zh-CN"/>
              </w:rPr>
              <w:t>人员相关资质证件</w:t>
            </w:r>
            <w:r>
              <w:rPr>
                <w:rFonts w:hint="eastAsia" w:hAnsi="宋体" w:cs="Times New Roman"/>
                <w:b w:val="0"/>
                <w:bCs w:val="0"/>
                <w:color w:val="auto"/>
                <w:sz w:val="21"/>
                <w:szCs w:val="21"/>
                <w:highlight w:val="none"/>
                <w:lang w:val="en-US" w:eastAsia="zh-CN"/>
              </w:rPr>
              <w:t>、</w:t>
            </w:r>
            <w:r>
              <w:rPr>
                <w:rFonts w:hint="eastAsia" w:ascii="Times New Roman" w:hAnsi="宋体" w:cs="Times New Roman"/>
                <w:b w:val="0"/>
                <w:bCs w:val="0"/>
                <w:color w:val="auto"/>
                <w:sz w:val="21"/>
                <w:szCs w:val="21"/>
                <w:highlight w:val="none"/>
                <w:lang w:val="en-US" w:eastAsia="zh-CN"/>
              </w:rPr>
              <w:t>身份证复印件</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13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both"/>
              <w:rPr>
                <w:rFonts w:hint="default" w:ascii="Times New Roman" w:hAnsi="Times New Roman" w:cs="Times New Roman" w:eastAsiaTheme="minorEastAsia"/>
                <w:color w:val="auto"/>
                <w:sz w:val="21"/>
                <w:szCs w:val="21"/>
                <w:highlight w:val="none"/>
              </w:rPr>
            </w:pPr>
          </w:p>
        </w:tc>
        <w:tc>
          <w:tcPr>
            <w:tcW w:w="164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cs="Times New Roman" w:eastAsiaTheme="minorEastAsia"/>
                <w:color w:val="auto"/>
                <w:kern w:val="2"/>
                <w:sz w:val="21"/>
                <w:szCs w:val="21"/>
                <w:highlight w:val="none"/>
                <w:lang w:val="en-US" w:eastAsia="zh-CN" w:bidi="ar"/>
              </w:rPr>
            </w:pPr>
            <w:r>
              <w:rPr>
                <w:rFonts w:hint="eastAsia" w:ascii="宋体" w:hAnsi="宋体" w:cs="宋体"/>
                <w:szCs w:val="21"/>
                <w:highlight w:val="none"/>
              </w:rPr>
              <w:t>资质要求</w:t>
            </w:r>
            <w:r>
              <w:rPr>
                <w:rFonts w:hint="default" w:ascii="Times New Roman" w:hAnsi="Times New Roman" w:cs="Times New Roman" w:eastAsiaTheme="minorEastAsia"/>
                <w:color w:val="auto"/>
                <w:sz w:val="21"/>
                <w:szCs w:val="21"/>
                <w:highlight w:val="none"/>
              </w:rPr>
              <w:t>（</w:t>
            </w:r>
            <w:r>
              <w:rPr>
                <w:rFonts w:hint="eastAsia"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分）</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rPr>
                <w:rFonts w:hint="default" w:ascii="Times New Roman" w:hAnsi="Times New Roman" w:cs="Times New Roman" w:eastAsiaTheme="minorEastAsia"/>
                <w:b/>
                <w:color w:val="auto"/>
                <w:kern w:val="2"/>
                <w:sz w:val="21"/>
                <w:szCs w:val="21"/>
                <w:highlight w:val="none"/>
                <w:lang w:val="en-US" w:eastAsia="zh-CN" w:bidi="ar"/>
              </w:rPr>
            </w:pPr>
            <w:r>
              <w:rPr>
                <w:rFonts w:hint="eastAsia" w:ascii="宋体" w:hAnsi="宋体" w:cs="宋体"/>
                <w:kern w:val="2"/>
                <w:szCs w:val="21"/>
                <w:highlight w:val="none"/>
                <w:shd w:val="clear" w:color="auto" w:fill="FFFFFF"/>
                <w:lang w:val="en-US" w:eastAsia="zh-CN"/>
              </w:rPr>
              <w:t>1.具备</w:t>
            </w:r>
            <w:r>
              <w:rPr>
                <w:rFonts w:hint="eastAsia" w:ascii="宋体" w:hAnsi="宋体" w:cs="宋体"/>
                <w:kern w:val="2"/>
                <w:szCs w:val="21"/>
                <w:highlight w:val="none"/>
                <w:shd w:val="clear" w:color="auto" w:fill="FFFFFF"/>
              </w:rPr>
              <w:t>ISO27001信息安全管理体系认证</w:t>
            </w:r>
            <w:r>
              <w:rPr>
                <w:rFonts w:hint="eastAsia" w:ascii="宋体" w:hAnsi="宋体" w:cs="宋体"/>
                <w:kern w:val="2"/>
                <w:szCs w:val="21"/>
                <w:highlight w:val="none"/>
                <w:shd w:val="clear" w:color="auto" w:fill="FFFFFF"/>
                <w:lang w:val="en-US" w:eastAsia="zh-CN"/>
              </w:rPr>
              <w:t>证书得2分，不具备不得分。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5"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2.2.3（3）</w:t>
            </w:r>
          </w:p>
        </w:tc>
        <w:tc>
          <w:tcPr>
            <w:tcW w:w="113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rPr>
              <w:t>技术部分评分标准</w:t>
            </w:r>
            <w:r>
              <w:rPr>
                <w:rFonts w:hint="eastAsia" w:cs="Times New Roman" w:eastAsiaTheme="minorEastAsia"/>
                <w:bCs/>
                <w:color w:val="auto"/>
                <w:sz w:val="21"/>
                <w:szCs w:val="21"/>
                <w:highlight w:val="none"/>
                <w:lang w:eastAsia="zh-CN"/>
              </w:rPr>
              <w:t>（</w:t>
            </w:r>
            <w:r>
              <w:rPr>
                <w:rFonts w:hint="eastAsia" w:cs="Times New Roman" w:eastAsiaTheme="minorEastAsia"/>
                <w:bCs/>
                <w:color w:val="auto"/>
                <w:sz w:val="21"/>
                <w:szCs w:val="21"/>
                <w:highlight w:val="none"/>
                <w:lang w:val="en-US" w:eastAsia="zh-CN"/>
              </w:rPr>
              <w:t>20分）</w:t>
            </w:r>
          </w:p>
        </w:tc>
        <w:tc>
          <w:tcPr>
            <w:tcW w:w="164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技术参数应答</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r>
              <w:rPr>
                <w:rFonts w:hint="eastAsia"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rPr>
              <w:t>分）</w:t>
            </w:r>
          </w:p>
        </w:tc>
        <w:tc>
          <w:tcPr>
            <w:tcW w:w="5562" w:type="dxa"/>
            <w:vAlign w:val="center"/>
          </w:tcPr>
          <w:p>
            <w:pPr>
              <w:pStyle w:val="177"/>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baseline"/>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响应文件须对《威胁检测服务需求清单》逐一应答，完全满足招标文件技术要求、应答完整的得10分；每有一项不满足扣</w:t>
            </w:r>
            <w:r>
              <w:rPr>
                <w:rFonts w:hint="eastAsia"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分，扣完为止。</w:t>
            </w:r>
          </w:p>
          <w:p>
            <w:pPr>
              <w:pStyle w:val="177"/>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baseline"/>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sz w:val="21"/>
                <w:szCs w:val="21"/>
                <w:highlight w:val="none"/>
              </w:rPr>
              <w:t>注：</w:t>
            </w:r>
            <w:r>
              <w:rPr>
                <w:rFonts w:hint="eastAsia" w:cs="Times New Roman" w:eastAsiaTheme="minorEastAsia"/>
                <w:color w:val="auto"/>
                <w:sz w:val="21"/>
                <w:szCs w:val="21"/>
                <w:highlight w:val="none"/>
                <w:lang w:eastAsia="zh-CN"/>
              </w:rPr>
              <w:t>报价人</w:t>
            </w:r>
            <w:r>
              <w:rPr>
                <w:rFonts w:hint="default" w:ascii="Times New Roman" w:hAnsi="Times New Roman" w:cs="Times New Roman" w:eastAsiaTheme="minorEastAsia"/>
                <w:color w:val="auto"/>
                <w:sz w:val="21"/>
                <w:szCs w:val="21"/>
                <w:highlight w:val="none"/>
              </w:rPr>
              <w:t>自行据实填写技术条款差异表并加盖</w:t>
            </w:r>
            <w:r>
              <w:rPr>
                <w:rFonts w:hint="eastAsia" w:cs="Times New Roman" w:eastAsiaTheme="minorEastAsia"/>
                <w:color w:val="auto"/>
                <w:sz w:val="21"/>
                <w:szCs w:val="21"/>
                <w:highlight w:val="none"/>
                <w:lang w:eastAsia="zh-CN"/>
              </w:rPr>
              <w:t>报价人</w:t>
            </w:r>
            <w:r>
              <w:rPr>
                <w:rFonts w:hint="eastAsia" w:ascii="Times New Roman" w:hAnsi="Times New Roman" w:cs="Times New Roman" w:eastAsiaTheme="minorEastAsia"/>
                <w:color w:val="auto"/>
                <w:sz w:val="21"/>
                <w:szCs w:val="21"/>
                <w:highlight w:val="none"/>
                <w:lang w:eastAsia="zh-CN"/>
              </w:rPr>
              <w:t>单位公章</w:t>
            </w:r>
            <w:r>
              <w:rPr>
                <w:rFonts w:hint="default" w:ascii="Times New Roman" w:hAnsi="Times New Roman" w:cs="Times New Roman"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rPr>
            </w:pPr>
          </w:p>
        </w:tc>
        <w:tc>
          <w:tcPr>
            <w:tcW w:w="113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both"/>
              <w:rPr>
                <w:rFonts w:hint="default" w:ascii="Times New Roman" w:hAnsi="Times New Roman" w:cs="Times New Roman" w:eastAsiaTheme="minorEastAsia"/>
                <w:color w:val="auto"/>
                <w:sz w:val="21"/>
                <w:szCs w:val="21"/>
                <w:highlight w:val="none"/>
              </w:rPr>
            </w:pPr>
          </w:p>
        </w:tc>
        <w:tc>
          <w:tcPr>
            <w:tcW w:w="164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方案完整性及合理性</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r>
              <w:rPr>
                <w:rFonts w:hint="eastAsia"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rPr>
              <w:t>分）</w:t>
            </w:r>
          </w:p>
        </w:tc>
        <w:tc>
          <w:tcPr>
            <w:tcW w:w="5562" w:type="dxa"/>
            <w:vAlign w:val="top"/>
          </w:tcPr>
          <w:p>
            <w:pPr>
              <w:pStyle w:val="17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baseline"/>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对项目背景、用户现状和需求的整体理解情况,从完整性、合理性、可操作性等方面评价各投标方提交技术方案。对比最优得</w:t>
            </w:r>
            <w:r>
              <w:rPr>
                <w:rFonts w:hint="eastAsia" w:cs="Times New Roman" w:eastAsiaTheme="minorEastAsia"/>
                <w:color w:val="auto"/>
                <w:sz w:val="21"/>
                <w:szCs w:val="21"/>
                <w:highlight w:val="none"/>
                <w:lang w:val="en-US" w:eastAsia="zh-CN"/>
              </w:rPr>
              <w:t>10</w:t>
            </w:r>
            <w:r>
              <w:rPr>
                <w:rFonts w:hint="eastAsia" w:ascii="Times New Roman" w:hAnsi="Times New Roman" w:cs="Times New Roman" w:eastAsiaTheme="minorEastAsia"/>
                <w:color w:val="auto"/>
                <w:sz w:val="21"/>
                <w:szCs w:val="21"/>
                <w:highlight w:val="none"/>
                <w:lang w:val="en-US" w:eastAsia="zh-CN"/>
              </w:rPr>
              <w:t>分，次之以1分递减，最低得分为0 分。</w:t>
            </w:r>
          </w:p>
          <w:p>
            <w:pPr>
              <w:pStyle w:val="17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baseline"/>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注：提供详细技术方案并加盖</w:t>
            </w:r>
            <w:r>
              <w:rPr>
                <w:rFonts w:hint="eastAsia" w:cs="Times New Roman" w:eastAsiaTheme="minorEastAsia"/>
                <w:color w:val="auto"/>
                <w:sz w:val="21"/>
                <w:szCs w:val="21"/>
                <w:highlight w:val="none"/>
                <w:lang w:eastAsia="zh-CN"/>
              </w:rPr>
              <w:t>报价人</w:t>
            </w:r>
            <w:r>
              <w:rPr>
                <w:rFonts w:hint="eastAsia" w:ascii="Times New Roman" w:hAnsi="Times New Roman" w:cs="Times New Roman" w:eastAsiaTheme="minorEastAsia"/>
                <w:color w:val="auto"/>
                <w:sz w:val="21"/>
                <w:szCs w:val="21"/>
                <w:highlight w:val="none"/>
                <w:lang w:eastAsia="zh-CN"/>
              </w:rPr>
              <w:t>单位公章</w:t>
            </w:r>
            <w:r>
              <w:rPr>
                <w:rFonts w:hint="default" w:ascii="Times New Roman" w:hAnsi="Times New Roman" w:cs="Times New Roman" w:eastAsiaTheme="minor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sz w:val="21"/>
                <w:szCs w:val="21"/>
                <w:highlight w:val="none"/>
              </w:rPr>
              <w:t>3</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eastAsia" w:ascii="Times New Roman" w:hAnsi="Times New Roman" w:cs="Times New Roman" w:eastAsiaTheme="minorEastAsia"/>
                <w:color w:val="auto"/>
                <w:kern w:val="0"/>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评审程序</w:t>
            </w:r>
          </w:p>
        </w:tc>
        <w:tc>
          <w:tcPr>
            <w:tcW w:w="7203" w:type="dxa"/>
            <w:gridSpan w:val="2"/>
          </w:tcPr>
          <w:p>
            <w:pPr>
              <w:pStyle w:val="12"/>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color w:val="auto"/>
                <w:highlight w:val="none"/>
              </w:rPr>
            </w:pPr>
            <w:r>
              <w:rPr>
                <w:rFonts w:hint="default"/>
                <w:color w:val="auto"/>
                <w:highlight w:val="none"/>
              </w:rPr>
              <w:t>1</w:t>
            </w:r>
            <w:r>
              <w:rPr>
                <w:rFonts w:hint="eastAsia"/>
                <w:color w:val="auto"/>
                <w:highlight w:val="none"/>
                <w:lang w:eastAsia="zh-CN"/>
              </w:rPr>
              <w:t>.评审</w:t>
            </w:r>
            <w:r>
              <w:rPr>
                <w:rFonts w:hint="default"/>
                <w:color w:val="auto"/>
                <w:highlight w:val="none"/>
              </w:rPr>
              <w:t>委员会对所有</w:t>
            </w:r>
            <w:r>
              <w:rPr>
                <w:rFonts w:hint="eastAsia"/>
                <w:color w:val="auto"/>
                <w:highlight w:val="none"/>
                <w:lang w:eastAsia="zh-CN"/>
              </w:rPr>
              <w:t>报价人</w:t>
            </w:r>
            <w:r>
              <w:rPr>
                <w:rFonts w:hint="default"/>
                <w:color w:val="auto"/>
                <w:highlight w:val="none"/>
              </w:rPr>
              <w:t>的</w:t>
            </w:r>
            <w:r>
              <w:rPr>
                <w:rFonts w:hint="eastAsia"/>
                <w:color w:val="auto"/>
                <w:highlight w:val="none"/>
                <w:lang w:eastAsia="zh-CN"/>
              </w:rPr>
              <w:t>比选文件</w:t>
            </w:r>
            <w:r>
              <w:rPr>
                <w:rFonts w:hint="default"/>
                <w:color w:val="auto"/>
                <w:highlight w:val="none"/>
              </w:rPr>
              <w:t>按本章</w:t>
            </w:r>
            <w:r>
              <w:rPr>
                <w:rFonts w:hint="eastAsia"/>
                <w:color w:val="auto"/>
                <w:highlight w:val="none"/>
                <w:lang w:eastAsia="zh-CN"/>
              </w:rPr>
              <w:t>评审</w:t>
            </w:r>
            <w:r>
              <w:rPr>
                <w:rFonts w:hint="default"/>
                <w:color w:val="auto"/>
                <w:highlight w:val="none"/>
              </w:rPr>
              <w:t>办法</w:t>
            </w:r>
            <w:r>
              <w:rPr>
                <w:rFonts w:hint="eastAsia"/>
                <w:color w:val="auto"/>
                <w:highlight w:val="none"/>
                <w:lang w:val="en-US" w:eastAsia="zh-CN"/>
              </w:rPr>
              <w:t>3.1</w:t>
            </w:r>
            <w:r>
              <w:rPr>
                <w:rFonts w:hint="default"/>
                <w:color w:val="auto"/>
                <w:highlight w:val="none"/>
              </w:rPr>
              <w:t>款进行初步评审。</w:t>
            </w:r>
          </w:p>
          <w:p>
            <w:pPr>
              <w:pStyle w:val="12"/>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color w:val="auto"/>
                <w:highlight w:val="none"/>
              </w:rPr>
            </w:pPr>
            <w:r>
              <w:rPr>
                <w:rFonts w:hint="default"/>
                <w:color w:val="auto"/>
                <w:highlight w:val="none"/>
              </w:rPr>
              <w:t>2</w:t>
            </w:r>
            <w:r>
              <w:rPr>
                <w:rFonts w:hint="eastAsia"/>
                <w:color w:val="auto"/>
                <w:highlight w:val="none"/>
                <w:lang w:eastAsia="zh-CN"/>
              </w:rPr>
              <w:t>.</w:t>
            </w:r>
            <w:r>
              <w:rPr>
                <w:rFonts w:hint="default"/>
                <w:color w:val="auto"/>
                <w:highlight w:val="none"/>
              </w:rPr>
              <w:t>对初步评审合格的</w:t>
            </w:r>
            <w:r>
              <w:rPr>
                <w:rFonts w:hint="eastAsia"/>
                <w:color w:val="auto"/>
                <w:highlight w:val="none"/>
                <w:lang w:eastAsia="zh-CN"/>
              </w:rPr>
              <w:t>报价人</w:t>
            </w:r>
            <w:r>
              <w:rPr>
                <w:rFonts w:hint="default"/>
                <w:color w:val="auto"/>
                <w:highlight w:val="none"/>
              </w:rPr>
              <w:t>按本章</w:t>
            </w:r>
            <w:r>
              <w:rPr>
                <w:rFonts w:hint="eastAsia"/>
                <w:color w:val="auto"/>
                <w:highlight w:val="none"/>
                <w:lang w:eastAsia="zh-CN"/>
              </w:rPr>
              <w:t>评审</w:t>
            </w:r>
            <w:r>
              <w:rPr>
                <w:rFonts w:hint="default"/>
                <w:color w:val="auto"/>
                <w:highlight w:val="none"/>
              </w:rPr>
              <w:t>办法2.2.3</w:t>
            </w: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default"/>
                <w:color w:val="auto"/>
                <w:highlight w:val="none"/>
              </w:rPr>
              <w:t>及3.2.1项的规定对技术部分进行评审。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cs="Times New Roman"/>
                <w:snapToGrid w:val="0"/>
                <w:color w:val="auto"/>
                <w:kern w:val="0"/>
                <w:szCs w:val="21"/>
                <w:highlight w:val="none"/>
              </w:rPr>
            </w:pPr>
            <w:r>
              <w:rPr>
                <w:rFonts w:ascii="Times New Roman" w:hAnsi="Times New Roman" w:cs="Times New Roman"/>
                <w:snapToGrid w:val="0"/>
                <w:color w:val="auto"/>
                <w:kern w:val="0"/>
                <w:szCs w:val="21"/>
                <w:highlight w:val="none"/>
              </w:rPr>
              <w:t>3.按本章评审办法前附表第2.2.</w:t>
            </w:r>
            <w:r>
              <w:rPr>
                <w:rFonts w:hint="eastAsia" w:ascii="Times New Roman" w:hAnsi="Times New Roman" w:cs="Times New Roman"/>
                <w:snapToGrid w:val="0"/>
                <w:color w:val="auto"/>
                <w:kern w:val="0"/>
                <w:szCs w:val="21"/>
                <w:highlight w:val="none"/>
                <w:lang w:val="en-US" w:eastAsia="zh-CN"/>
              </w:rPr>
              <w:t>3</w:t>
            </w:r>
            <w:r>
              <w:rPr>
                <w:rFonts w:ascii="Times New Roman" w:hAnsi="Times New Roman" w:cs="Times New Roman"/>
                <w:snapToGrid w:val="0"/>
                <w:color w:val="auto"/>
                <w:kern w:val="0"/>
                <w:szCs w:val="21"/>
                <w:highlight w:val="none"/>
              </w:rPr>
              <w:t>（2）目及第3.2.1（2）目的规定对商务部分进行评审。</w:t>
            </w:r>
          </w:p>
          <w:p>
            <w:pPr>
              <w:adjustRightInd w:val="0"/>
              <w:snapToGrid w:val="0"/>
              <w:spacing w:line="400" w:lineRule="exact"/>
              <w:ind w:firstLine="420" w:firstLineChars="200"/>
              <w:rPr>
                <w:rFonts w:ascii="Times New Roman" w:hAnsi="Times New Roman" w:cs="Times New Roman"/>
                <w:snapToGrid w:val="0"/>
                <w:color w:val="auto"/>
                <w:kern w:val="0"/>
                <w:szCs w:val="21"/>
                <w:highlight w:val="none"/>
              </w:rPr>
            </w:pPr>
            <w:r>
              <w:rPr>
                <w:rFonts w:hint="eastAsia"/>
                <w:color w:val="auto"/>
                <w:highlight w:val="none"/>
                <w:lang w:val="en-US" w:eastAsia="zh-CN"/>
              </w:rPr>
              <w:t>4</w:t>
            </w:r>
            <w:r>
              <w:rPr>
                <w:rFonts w:hint="eastAsia"/>
                <w:color w:val="auto"/>
                <w:highlight w:val="none"/>
                <w:lang w:eastAsia="zh-CN"/>
              </w:rPr>
              <w:t>.</w:t>
            </w:r>
            <w:r>
              <w:rPr>
                <w:rFonts w:ascii="Times New Roman" w:hAnsi="Times New Roman" w:cs="Times New Roman"/>
                <w:snapToGrid w:val="0"/>
                <w:color w:val="auto"/>
                <w:kern w:val="0"/>
                <w:szCs w:val="21"/>
                <w:highlight w:val="none"/>
              </w:rPr>
              <w:t>经评审合格的</w:t>
            </w:r>
            <w:r>
              <w:rPr>
                <w:rFonts w:hint="eastAsia" w:cs="Times New Roman"/>
                <w:snapToGrid w:val="0"/>
                <w:color w:val="auto"/>
                <w:kern w:val="0"/>
                <w:szCs w:val="21"/>
                <w:highlight w:val="none"/>
                <w:lang w:eastAsia="zh-CN"/>
              </w:rPr>
              <w:t>报价人</w:t>
            </w:r>
            <w:r>
              <w:rPr>
                <w:rFonts w:ascii="Times New Roman" w:hAnsi="Times New Roman" w:cs="Times New Roman"/>
                <w:snapToGrid w:val="0"/>
                <w:color w:val="auto"/>
                <w:kern w:val="0"/>
                <w:szCs w:val="21"/>
                <w:highlight w:val="none"/>
              </w:rPr>
              <w:t>按照本章第2.2.</w:t>
            </w:r>
            <w:r>
              <w:rPr>
                <w:rFonts w:hint="eastAsia" w:ascii="Times New Roman" w:hAnsi="Times New Roman" w:cs="Times New Roman"/>
                <w:snapToGrid w:val="0"/>
                <w:color w:val="auto"/>
                <w:kern w:val="0"/>
                <w:szCs w:val="21"/>
                <w:highlight w:val="none"/>
                <w:lang w:val="en-US" w:eastAsia="zh-CN"/>
              </w:rPr>
              <w:t>2</w:t>
            </w:r>
            <w:r>
              <w:rPr>
                <w:rFonts w:ascii="Times New Roman" w:hAnsi="Times New Roman" w:cs="Times New Roman"/>
                <w:snapToGrid w:val="0"/>
                <w:color w:val="auto"/>
                <w:kern w:val="0"/>
                <w:szCs w:val="21"/>
                <w:highlight w:val="none"/>
              </w:rPr>
              <w:t>项计算方法计算评审基准价，并按本附表第3.2.1（</w:t>
            </w:r>
            <w:r>
              <w:rPr>
                <w:rFonts w:hint="eastAsia" w:ascii="Times New Roman" w:hAnsi="Times New Roman" w:cs="Times New Roman"/>
                <w:snapToGrid w:val="0"/>
                <w:color w:val="auto"/>
                <w:kern w:val="0"/>
                <w:szCs w:val="21"/>
                <w:highlight w:val="none"/>
                <w:lang w:val="en-US" w:eastAsia="zh-CN"/>
              </w:rPr>
              <w:t>1</w:t>
            </w:r>
            <w:r>
              <w:rPr>
                <w:rFonts w:ascii="Times New Roman" w:hAnsi="Times New Roman" w:cs="Times New Roman"/>
                <w:snapToGrid w:val="0"/>
                <w:color w:val="auto"/>
                <w:kern w:val="0"/>
                <w:szCs w:val="21"/>
                <w:highlight w:val="none"/>
              </w:rPr>
              <w:t>）目规定的评分方法对</w:t>
            </w:r>
            <w:r>
              <w:rPr>
                <w:rFonts w:hint="eastAsia" w:cs="Times New Roman"/>
                <w:snapToGrid w:val="0"/>
                <w:color w:val="auto"/>
                <w:kern w:val="0"/>
                <w:szCs w:val="21"/>
                <w:highlight w:val="none"/>
                <w:lang w:eastAsia="zh-CN"/>
              </w:rPr>
              <w:t>比选</w:t>
            </w:r>
            <w:r>
              <w:rPr>
                <w:rFonts w:ascii="Times New Roman" w:hAnsi="Times New Roman" w:cs="Times New Roman"/>
                <w:snapToGrid w:val="0"/>
                <w:color w:val="auto"/>
                <w:kern w:val="0"/>
                <w:szCs w:val="21"/>
                <w:highlight w:val="none"/>
              </w:rPr>
              <w:t>报价进行评分。</w:t>
            </w:r>
          </w:p>
          <w:p>
            <w:pPr>
              <w:adjustRightInd w:val="0"/>
              <w:snapToGrid w:val="0"/>
              <w:spacing w:line="400" w:lineRule="exact"/>
              <w:ind w:firstLine="420" w:firstLineChars="200"/>
              <w:rPr>
                <w:rFonts w:hint="default"/>
                <w:color w:val="auto"/>
                <w:highlight w:val="none"/>
              </w:rPr>
            </w:pPr>
            <w:r>
              <w:rPr>
                <w:rFonts w:hint="eastAsia" w:ascii="Times New Roman" w:hAnsi="Times New Roman" w:cs="Times New Roman"/>
                <w:snapToGrid w:val="0"/>
                <w:color w:val="auto"/>
                <w:kern w:val="0"/>
                <w:szCs w:val="21"/>
                <w:highlight w:val="none"/>
                <w:lang w:val="en-US" w:eastAsia="zh-CN"/>
              </w:rPr>
              <w:t>5</w:t>
            </w:r>
            <w:r>
              <w:rPr>
                <w:rFonts w:hint="eastAsia"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rPr>
              <w:t>对技术部分、商务部分、</w:t>
            </w:r>
            <w:r>
              <w:rPr>
                <w:rFonts w:hint="eastAsia" w:cs="Times New Roman"/>
                <w:snapToGrid w:val="0"/>
                <w:color w:val="auto"/>
                <w:kern w:val="0"/>
                <w:szCs w:val="21"/>
                <w:highlight w:val="none"/>
                <w:lang w:eastAsia="zh-CN"/>
              </w:rPr>
              <w:t>比选</w:t>
            </w:r>
            <w:r>
              <w:rPr>
                <w:rFonts w:hint="default" w:ascii="Times New Roman" w:hAnsi="Times New Roman" w:cs="Times New Roman"/>
                <w:snapToGrid w:val="0"/>
                <w:color w:val="auto"/>
                <w:kern w:val="0"/>
                <w:szCs w:val="21"/>
                <w:highlight w:val="none"/>
              </w:rPr>
              <w:t>报价得分进行汇总，确定综合得分由高至低前</w:t>
            </w:r>
            <w:r>
              <w:rPr>
                <w:rFonts w:hint="default" w:ascii="Times New Roman" w:hAnsi="Times New Roman" w:cs="Times New Roman"/>
                <w:snapToGrid w:val="0"/>
                <w:color w:val="auto"/>
                <w:kern w:val="0"/>
                <w:szCs w:val="21"/>
                <w:highlight w:val="none"/>
                <w:lang w:eastAsia="zh-CN"/>
              </w:rPr>
              <w:t>二</w:t>
            </w:r>
            <w:r>
              <w:rPr>
                <w:rFonts w:hint="default" w:ascii="Times New Roman" w:hAnsi="Times New Roman" w:cs="Times New Roman"/>
                <w:snapToGrid w:val="0"/>
                <w:color w:val="auto"/>
                <w:kern w:val="0"/>
                <w:szCs w:val="21"/>
                <w:highlight w:val="none"/>
              </w:rPr>
              <w:t>名</w:t>
            </w:r>
            <w:r>
              <w:rPr>
                <w:rFonts w:hint="eastAsia" w:cs="Times New Roman"/>
                <w:snapToGrid w:val="0"/>
                <w:color w:val="auto"/>
                <w:kern w:val="0"/>
                <w:szCs w:val="21"/>
                <w:highlight w:val="none"/>
                <w:lang w:eastAsia="zh-CN"/>
              </w:rPr>
              <w:t>报价人</w:t>
            </w:r>
            <w:r>
              <w:rPr>
                <w:rFonts w:hint="default" w:ascii="Times New Roman" w:hAnsi="Times New Roman" w:cs="Times New Roman"/>
                <w:snapToGrid w:val="0"/>
                <w:color w:val="auto"/>
                <w:kern w:val="0"/>
                <w:szCs w:val="21"/>
                <w:highlight w:val="none"/>
              </w:rPr>
              <w:t>为</w:t>
            </w:r>
            <w:r>
              <w:rPr>
                <w:rFonts w:hint="eastAsia" w:ascii="Times New Roman" w:hAnsi="Times New Roman" w:cs="Times New Roman"/>
                <w:snapToGrid w:val="0"/>
                <w:color w:val="auto"/>
                <w:kern w:val="0"/>
                <w:szCs w:val="21"/>
                <w:highlight w:val="none"/>
                <w:lang w:eastAsia="zh-CN"/>
              </w:rPr>
              <w:t>中选</w:t>
            </w:r>
            <w:r>
              <w:rPr>
                <w:rFonts w:hint="default" w:ascii="Times New Roman" w:hAnsi="Times New Roman" w:cs="Times New Roman"/>
                <w:snapToGrid w:val="0"/>
                <w:color w:val="auto"/>
                <w:kern w:val="0"/>
                <w:szCs w:val="21"/>
                <w:highlight w:val="none"/>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86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eastAsia" w:cs="Times New Roman" w:eastAsiaTheme="minorEastAsia"/>
                <w:color w:val="auto"/>
                <w:sz w:val="21"/>
                <w:szCs w:val="21"/>
                <w:highlight w:val="none"/>
                <w:lang w:val="en-US" w:eastAsia="zh-CN"/>
              </w:rPr>
              <w:t>3.2.1</w:t>
            </w:r>
          </w:p>
        </w:tc>
        <w:tc>
          <w:tcPr>
            <w:tcW w:w="1641" w:type="dxa"/>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rPr>
                <w:rFonts w:hint="default" w:cs="Times New Roman"/>
                <w:snapToGrid w:val="0"/>
                <w:color w:val="auto"/>
                <w:kern w:val="0"/>
                <w:szCs w:val="21"/>
                <w:highlight w:val="none"/>
                <w:lang w:val="en-US" w:eastAsia="zh-CN"/>
              </w:rPr>
            </w:pPr>
            <w:r>
              <w:rPr>
                <w:rFonts w:hint="eastAsia" w:cs="Times New Roman"/>
                <w:snapToGrid w:val="0"/>
                <w:color w:val="auto"/>
                <w:kern w:val="0"/>
                <w:szCs w:val="21"/>
                <w:highlight w:val="none"/>
                <w:lang w:val="en-US" w:eastAsia="zh-CN"/>
              </w:rPr>
              <w:t>技术部分评审标准</w:t>
            </w:r>
          </w:p>
        </w:tc>
        <w:tc>
          <w:tcPr>
            <w:tcW w:w="5562" w:type="dxa"/>
          </w:tcPr>
          <w:p>
            <w:pPr>
              <w:adjustRightInd w:val="0"/>
              <w:snapToGrid w:val="0"/>
              <w:spacing w:beforeLines="0" w:afterLines="0"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取</w:t>
            </w:r>
            <w:r>
              <w:rPr>
                <w:rFonts w:hint="eastAsia" w:ascii="宋体" w:hAnsi="宋体" w:eastAsia="宋体" w:cs="宋体"/>
                <w:snapToGrid w:val="0"/>
                <w:color w:val="auto"/>
                <w:kern w:val="0"/>
                <w:szCs w:val="21"/>
                <w:highlight w:val="none"/>
              </w:rPr>
              <w:t>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算术平均值为该投标人</w:t>
            </w:r>
            <w:r>
              <w:rPr>
                <w:rFonts w:hint="eastAsia" w:ascii="宋体" w:hAnsi="宋体" w:eastAsia="宋体" w:cs="宋体"/>
                <w:snapToGrid w:val="0"/>
                <w:color w:val="auto"/>
                <w:kern w:val="0"/>
                <w:szCs w:val="21"/>
                <w:highlight w:val="none"/>
                <w:lang w:val="en-US" w:eastAsia="zh-CN"/>
              </w:rPr>
              <w:t>技术部分</w:t>
            </w:r>
            <w:r>
              <w:rPr>
                <w:rFonts w:hint="eastAsia" w:ascii="宋体" w:hAnsi="宋体" w:eastAsia="宋体" w:cs="宋体"/>
                <w:snapToGrid w:val="0"/>
                <w:color w:val="auto"/>
                <w:kern w:val="0"/>
                <w:szCs w:val="21"/>
                <w:highlight w:val="none"/>
              </w:rPr>
              <w:t>得分。</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420" w:firstLineChars="200"/>
              <w:jc w:val="left"/>
              <w:rPr>
                <w:rFonts w:hint="eastAsia" w:eastAsia="宋体" w:cs="Times New Roman"/>
                <w:snapToGrid w:val="0"/>
                <w:color w:val="auto"/>
                <w:kern w:val="0"/>
                <w:szCs w:val="21"/>
                <w:highlight w:val="none"/>
                <w:lang w:eastAsia="zh-CN"/>
              </w:rPr>
            </w:pPr>
            <w:r>
              <w:rPr>
                <w:rFonts w:hint="eastAsia" w:ascii="宋体" w:hAnsi="宋体" w:eastAsia="宋体" w:cs="宋体"/>
                <w:color w:val="auto"/>
                <w:kern w:val="0"/>
                <w:szCs w:val="21"/>
                <w:highlight w:val="none"/>
                <w:lang w:val="en-US" w:eastAsia="zh-CN"/>
              </w:rPr>
              <w:t>技术部分</w:t>
            </w:r>
            <w:r>
              <w:rPr>
                <w:rFonts w:hint="eastAsia" w:ascii="宋体" w:hAnsi="宋体" w:eastAsia="宋体" w:cs="宋体"/>
                <w:color w:val="auto"/>
                <w:kern w:val="0"/>
                <w:szCs w:val="21"/>
                <w:highlight w:val="none"/>
              </w:rPr>
              <w:t>得分的最终结果保留两位小数，</w:t>
            </w:r>
            <w:r>
              <w:rPr>
                <w:rFonts w:hint="eastAsia" w:ascii="宋体" w:hAnsi="宋体" w:eastAsia="宋体" w:cs="宋体"/>
                <w:color w:val="auto"/>
                <w:kern w:val="0"/>
                <w:szCs w:val="21"/>
                <w:highlight w:val="none"/>
                <w:lang w:val="en-US" w:eastAsia="zh-CN"/>
              </w:rPr>
              <w:t>小数点后</w:t>
            </w:r>
            <w:r>
              <w:rPr>
                <w:rFonts w:hint="eastAsia" w:ascii="宋体" w:hAnsi="宋体" w:eastAsia="宋体" w:cs="宋体"/>
                <w:color w:val="auto"/>
                <w:kern w:val="0"/>
                <w:szCs w:val="21"/>
                <w:highlight w:val="none"/>
              </w:rPr>
              <w:t>第三位四舍五</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6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eastAsia" w:cs="Times New Roman" w:eastAsiaTheme="minorEastAsia"/>
                <w:color w:val="auto"/>
                <w:sz w:val="21"/>
                <w:szCs w:val="21"/>
                <w:highlight w:val="none"/>
                <w:lang w:val="en-US" w:eastAsia="zh-CN"/>
              </w:rPr>
              <w:t>3.2.2</w:t>
            </w:r>
          </w:p>
        </w:tc>
        <w:tc>
          <w:tcPr>
            <w:tcW w:w="1641" w:type="dxa"/>
          </w:tcPr>
          <w:p>
            <w:pPr>
              <w:pStyle w:val="12"/>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rPr>
                <w:rFonts w:hint="eastAsia" w:cs="Times New Roman"/>
                <w:snapToGrid w:val="0"/>
                <w:color w:val="auto"/>
                <w:kern w:val="0"/>
                <w:szCs w:val="21"/>
                <w:highlight w:val="none"/>
                <w:lang w:eastAsia="zh-CN"/>
              </w:rPr>
            </w:pPr>
            <w:r>
              <w:rPr>
                <w:rFonts w:hint="eastAsia" w:ascii="宋体" w:hAnsi="宋体" w:cs="宋体"/>
                <w:color w:val="auto"/>
                <w:szCs w:val="22"/>
                <w:highlight w:val="none"/>
                <w:lang w:val="en-US" w:eastAsia="zh-CN"/>
              </w:rPr>
              <w:t>商务部分</w:t>
            </w:r>
            <w:r>
              <w:rPr>
                <w:rFonts w:hint="eastAsia" w:ascii="宋体" w:hAnsi="宋体" w:eastAsia="宋体" w:cs="宋体"/>
                <w:color w:val="auto"/>
                <w:szCs w:val="22"/>
                <w:highlight w:val="none"/>
              </w:rPr>
              <w:t>评审标准</w:t>
            </w:r>
          </w:p>
        </w:tc>
        <w:tc>
          <w:tcPr>
            <w:tcW w:w="5562" w:type="dxa"/>
          </w:tcPr>
          <w:p>
            <w:pPr>
              <w:pStyle w:val="12"/>
              <w:keepNext w:val="0"/>
              <w:keepLines w:val="0"/>
              <w:pageBreakBefore w:val="0"/>
              <w:widowControl w:val="0"/>
              <w:kinsoku/>
              <w:wordWrap/>
              <w:overflowPunct/>
              <w:topLinePunct w:val="0"/>
              <w:autoSpaceDE/>
              <w:autoSpaceDN/>
              <w:bidi w:val="0"/>
              <w:adjustRightInd w:val="0"/>
              <w:snapToGrid w:val="0"/>
              <w:spacing w:line="400" w:lineRule="exact"/>
              <w:ind w:firstLine="420"/>
              <w:jc w:val="center"/>
              <w:rPr>
                <w:rFonts w:hint="eastAsia" w:cs="Times New Roman"/>
                <w:snapToGrid w:val="0"/>
                <w:color w:val="auto"/>
                <w:kern w:val="0"/>
                <w:szCs w:val="21"/>
                <w:highlight w:val="none"/>
                <w:lang w:eastAsia="zh-CN"/>
              </w:rPr>
            </w:pPr>
            <w:r>
              <w:rPr>
                <w:rFonts w:hint="eastAsia" w:ascii="宋体" w:hAnsi="宋体" w:eastAsia="宋体" w:cs="宋体"/>
                <w:color w:val="auto"/>
                <w:szCs w:val="21"/>
                <w:highlight w:val="none"/>
                <w:lang w:val="en-US" w:eastAsia="zh-CN"/>
              </w:rPr>
              <w:t>客观评分</w:t>
            </w:r>
            <w:r>
              <w:rPr>
                <w:rFonts w:hint="eastAsia" w:ascii="宋体" w:hAnsi="宋体" w:eastAsia="宋体" w:cs="宋体"/>
                <w:color w:val="auto"/>
                <w:szCs w:val="21"/>
                <w:highlight w:val="none"/>
              </w:rPr>
              <w:t>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6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3.2.3</w:t>
            </w:r>
          </w:p>
        </w:tc>
        <w:tc>
          <w:tcPr>
            <w:tcW w:w="1641" w:type="dxa"/>
          </w:tcPr>
          <w:p>
            <w:pPr>
              <w:pStyle w:val="12"/>
              <w:keepNext w:val="0"/>
              <w:keepLines w:val="0"/>
              <w:pageBreakBefore w:val="0"/>
              <w:widowControl w:val="0"/>
              <w:kinsoku/>
              <w:wordWrap/>
              <w:overflowPunct/>
              <w:topLinePunct w:val="0"/>
              <w:autoSpaceDE/>
              <w:autoSpaceDN/>
              <w:bidi w:val="0"/>
              <w:adjustRightInd w:val="0"/>
              <w:snapToGrid w:val="0"/>
              <w:spacing w:line="400" w:lineRule="exact"/>
              <w:ind w:firstLine="420"/>
              <w:rPr>
                <w:rFonts w:hint="default" w:ascii="Times New Roman" w:hAnsi="Times New Roman" w:cs="Times New Roman" w:eastAsiaTheme="minorEastAsia"/>
                <w:color w:val="auto"/>
                <w:sz w:val="21"/>
                <w:szCs w:val="21"/>
                <w:highlight w:val="none"/>
              </w:rPr>
            </w:pPr>
            <w:r>
              <w:rPr>
                <w:rFonts w:hint="eastAsia" w:cs="Times New Roman"/>
                <w:snapToGrid w:val="0"/>
                <w:color w:val="auto"/>
                <w:kern w:val="0"/>
                <w:szCs w:val="21"/>
                <w:highlight w:val="none"/>
                <w:lang w:eastAsia="zh-CN"/>
              </w:rPr>
              <w:t>报价人</w:t>
            </w:r>
            <w:r>
              <w:rPr>
                <w:rFonts w:ascii="Times New Roman" w:hAnsi="Times New Roman" w:cs="Times New Roman"/>
                <w:snapToGrid w:val="0"/>
                <w:color w:val="auto"/>
                <w:kern w:val="0"/>
                <w:szCs w:val="21"/>
                <w:highlight w:val="none"/>
              </w:rPr>
              <w:t>得分</w:t>
            </w:r>
          </w:p>
        </w:tc>
        <w:tc>
          <w:tcPr>
            <w:tcW w:w="5562" w:type="dxa"/>
          </w:tcPr>
          <w:p>
            <w:pPr>
              <w:pStyle w:val="12"/>
              <w:keepNext w:val="0"/>
              <w:keepLines w:val="0"/>
              <w:pageBreakBefore w:val="0"/>
              <w:widowControl w:val="0"/>
              <w:kinsoku/>
              <w:wordWrap/>
              <w:overflowPunct/>
              <w:topLinePunct w:val="0"/>
              <w:autoSpaceDE/>
              <w:autoSpaceDN/>
              <w:bidi w:val="0"/>
              <w:adjustRightInd w:val="0"/>
              <w:snapToGrid w:val="0"/>
              <w:spacing w:line="400" w:lineRule="exact"/>
              <w:ind w:firstLine="420"/>
              <w:jc w:val="center"/>
              <w:rPr>
                <w:rFonts w:hint="default" w:ascii="Times New Roman" w:hAnsi="Times New Roman" w:cs="Times New Roman" w:eastAsiaTheme="minorEastAsia"/>
                <w:color w:val="auto"/>
                <w:sz w:val="21"/>
                <w:szCs w:val="21"/>
                <w:highlight w:val="none"/>
              </w:rPr>
            </w:pPr>
            <w:r>
              <w:rPr>
                <w:rFonts w:hint="eastAsia" w:cs="Times New Roman"/>
                <w:snapToGrid w:val="0"/>
                <w:color w:val="auto"/>
                <w:kern w:val="0"/>
                <w:szCs w:val="21"/>
                <w:highlight w:val="none"/>
                <w:lang w:eastAsia="zh-CN"/>
              </w:rPr>
              <w:t>报价人</w:t>
            </w:r>
            <w:r>
              <w:rPr>
                <w:rFonts w:ascii="Times New Roman" w:hAnsi="Times New Roman" w:cs="Times New Roman"/>
                <w:snapToGrid w:val="0"/>
                <w:color w:val="auto"/>
                <w:kern w:val="0"/>
                <w:szCs w:val="21"/>
                <w:highlight w:val="none"/>
              </w:rPr>
              <w:t>得分=A+B+C</w:t>
            </w:r>
          </w:p>
        </w:tc>
      </w:tr>
    </w:tbl>
    <w:p>
      <w:pPr>
        <w:ind w:firstLine="420"/>
        <w:rPr>
          <w:color w:val="auto"/>
          <w:highlight w:val="none"/>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420" w:lineRule="exact"/>
        <w:ind w:firstLine="0" w:firstLineChars="0"/>
        <w:textAlignment w:val="auto"/>
        <w:rPr>
          <w:b/>
          <w:bCs/>
          <w:color w:val="auto"/>
          <w:sz w:val="32"/>
          <w:szCs w:val="36"/>
          <w:highlight w:val="none"/>
        </w:rPr>
      </w:pPr>
      <w:r>
        <w:rPr>
          <w:color w:val="auto"/>
          <w:highlight w:val="none"/>
        </w:rPr>
        <w:br w:type="page"/>
      </w:r>
      <w:bookmarkStart w:id="742" w:name="_Toc75963227"/>
      <w:bookmarkStart w:id="743" w:name="_Toc8445"/>
      <w:bookmarkStart w:id="744" w:name="_Toc1656"/>
      <w:bookmarkStart w:id="745" w:name="_Toc21541"/>
      <w:r>
        <w:rPr>
          <w:rFonts w:hint="eastAsia"/>
          <w:b/>
          <w:bCs/>
          <w:color w:val="auto"/>
          <w:sz w:val="32"/>
          <w:szCs w:val="36"/>
          <w:highlight w:val="none"/>
          <w:lang w:eastAsia="zh-CN"/>
        </w:rPr>
        <w:t>评审</w:t>
      </w:r>
      <w:r>
        <w:rPr>
          <w:rFonts w:hint="eastAsia"/>
          <w:b/>
          <w:bCs/>
          <w:color w:val="auto"/>
          <w:sz w:val="32"/>
          <w:szCs w:val="36"/>
          <w:highlight w:val="none"/>
        </w:rPr>
        <w:t>方法</w:t>
      </w:r>
      <w:bookmarkEnd w:id="742"/>
      <w:bookmarkEnd w:id="743"/>
      <w:bookmarkEnd w:id="744"/>
      <w:bookmarkEnd w:id="745"/>
    </w:p>
    <w:p>
      <w:pPr>
        <w:pageBreakBefore w:val="0"/>
        <w:widowControl w:val="0"/>
        <w:kinsoku/>
        <w:wordWrap/>
        <w:overflowPunct/>
        <w:topLinePunct w:val="0"/>
        <w:autoSpaceDE w:val="0"/>
        <w:autoSpaceDN w:val="0"/>
        <w:bidi w:val="0"/>
        <w:adjustRightInd w:val="0"/>
        <w:snapToGrid w:val="0"/>
        <w:spacing w:line="420" w:lineRule="exact"/>
        <w:ind w:left="1" w:firstLine="420"/>
        <w:textAlignment w:val="auto"/>
        <w:rPr>
          <w:rFonts w:ascii="宋体" w:hAnsi="宋体"/>
          <w:color w:val="auto"/>
          <w:kern w:val="0"/>
          <w:szCs w:val="21"/>
          <w:highlight w:val="none"/>
        </w:rPr>
      </w:pPr>
      <w:r>
        <w:rPr>
          <w:rFonts w:hint="eastAsia" w:ascii="宋体" w:hAnsi="宋体"/>
          <w:color w:val="auto"/>
          <w:kern w:val="0"/>
          <w:szCs w:val="21"/>
          <w:highlight w:val="none"/>
        </w:rPr>
        <w:t>本次评审采用</w:t>
      </w:r>
      <w:r>
        <w:rPr>
          <w:rFonts w:hint="eastAsia" w:ascii="宋体" w:hAnsi="宋体"/>
          <w:color w:val="auto"/>
          <w:kern w:val="0"/>
          <w:szCs w:val="21"/>
          <w:highlight w:val="none"/>
          <w:lang w:eastAsia="zh-CN"/>
        </w:rPr>
        <w:t>综合评估</w:t>
      </w:r>
      <w:r>
        <w:rPr>
          <w:rFonts w:hint="eastAsia" w:ascii="宋体" w:hAnsi="宋体"/>
          <w:color w:val="auto"/>
          <w:kern w:val="0"/>
          <w:szCs w:val="21"/>
          <w:highlight w:val="none"/>
        </w:rPr>
        <w:t>法。</w:t>
      </w:r>
      <w:r>
        <w:rPr>
          <w:rFonts w:hint="eastAsia" w:ascii="宋体" w:hAnsi="宋体"/>
          <w:color w:val="auto"/>
          <w:kern w:val="0"/>
          <w:szCs w:val="21"/>
          <w:highlight w:val="none"/>
          <w:lang w:eastAsia="zh-CN"/>
        </w:rPr>
        <w:t>评审委员会</w:t>
      </w:r>
      <w:r>
        <w:rPr>
          <w:rFonts w:hint="eastAsia" w:ascii="宋体" w:hAnsi="宋体"/>
          <w:color w:val="auto"/>
          <w:kern w:val="0"/>
          <w:szCs w:val="21"/>
          <w:highlight w:val="none"/>
        </w:rPr>
        <w:t>对满足</w:t>
      </w:r>
      <w:r>
        <w:rPr>
          <w:rFonts w:ascii="宋体" w:hAnsi="宋体"/>
          <w:color w:val="auto"/>
          <w:kern w:val="0"/>
          <w:szCs w:val="21"/>
          <w:highlight w:val="none"/>
        </w:rPr>
        <w:t>比选</w:t>
      </w:r>
      <w:r>
        <w:rPr>
          <w:rFonts w:hint="eastAsia" w:ascii="宋体" w:hAnsi="宋体"/>
          <w:color w:val="auto"/>
          <w:kern w:val="0"/>
          <w:szCs w:val="21"/>
          <w:highlight w:val="none"/>
        </w:rPr>
        <w:t>文件实质性要求的</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，按照本章第</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2.1</w:t>
      </w:r>
      <w:r>
        <w:rPr>
          <w:rFonts w:ascii="宋体" w:hAnsi="宋体"/>
          <w:color w:val="auto"/>
          <w:kern w:val="0"/>
          <w:szCs w:val="21"/>
          <w:highlight w:val="none"/>
        </w:rPr>
        <w:t xml:space="preserve"> </w:t>
      </w:r>
      <w:r>
        <w:rPr>
          <w:rFonts w:hint="eastAsia" w:ascii="宋体" w:hAnsi="宋体"/>
          <w:color w:val="auto"/>
          <w:kern w:val="0"/>
          <w:szCs w:val="21"/>
          <w:highlight w:val="none"/>
        </w:rPr>
        <w:t>款规定进行评审，并按</w:t>
      </w:r>
      <w:r>
        <w:rPr>
          <w:rFonts w:hint="eastAsia" w:ascii="宋体" w:hAnsi="宋体"/>
          <w:color w:val="auto"/>
          <w:kern w:val="0"/>
          <w:szCs w:val="21"/>
          <w:highlight w:val="none"/>
          <w:lang w:eastAsia="zh-CN"/>
        </w:rPr>
        <w:t>综合得分由高到低的顺序</w:t>
      </w:r>
      <w:r>
        <w:rPr>
          <w:rFonts w:hint="eastAsia" w:ascii="宋体" w:hAnsi="宋体"/>
          <w:color w:val="auto"/>
          <w:kern w:val="0"/>
          <w:szCs w:val="21"/>
          <w:highlight w:val="none"/>
        </w:rPr>
        <w:t>推荐</w:t>
      </w:r>
      <w:r>
        <w:rPr>
          <w:rFonts w:hint="eastAsia" w:ascii="宋体" w:hAnsi="宋体"/>
          <w:color w:val="auto"/>
          <w:kern w:val="0"/>
          <w:szCs w:val="21"/>
          <w:highlight w:val="none"/>
          <w:lang w:val="en-US" w:eastAsia="zh-CN"/>
        </w:rPr>
        <w:t>2</w:t>
      </w:r>
      <w:r>
        <w:rPr>
          <w:rFonts w:ascii="宋体" w:hAnsi="宋体"/>
          <w:color w:val="auto"/>
          <w:kern w:val="0"/>
          <w:szCs w:val="21"/>
          <w:highlight w:val="none"/>
        </w:rPr>
        <w:t>名中选候选人，或根据比选人授权直接确定中选人，但</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报价</w:t>
      </w:r>
      <w:r>
        <w:rPr>
          <w:rFonts w:ascii="宋体" w:hAnsi="宋体"/>
          <w:color w:val="auto"/>
          <w:kern w:val="0"/>
          <w:szCs w:val="21"/>
          <w:highlight w:val="none"/>
        </w:rPr>
        <w:t>低于其成本的除外。</w:t>
      </w:r>
    </w:p>
    <w:p>
      <w:pPr>
        <w:keepNext/>
        <w:keepLines/>
        <w:pageBreakBefore w:val="0"/>
        <w:widowControl w:val="0"/>
        <w:numPr>
          <w:ilvl w:val="0"/>
          <w:numId w:val="4"/>
        </w:numPr>
        <w:kinsoku/>
        <w:wordWrap/>
        <w:overflowPunct/>
        <w:topLinePunct w:val="0"/>
        <w:autoSpaceDE/>
        <w:autoSpaceDN/>
        <w:bidi w:val="0"/>
        <w:adjustRightInd w:val="0"/>
        <w:snapToGrid w:val="0"/>
        <w:spacing w:line="420" w:lineRule="exact"/>
        <w:ind w:left="0" w:leftChars="0" w:firstLine="0" w:firstLineChars="0"/>
        <w:textAlignment w:val="auto"/>
        <w:rPr>
          <w:b/>
          <w:bCs/>
          <w:color w:val="auto"/>
          <w:sz w:val="32"/>
          <w:szCs w:val="36"/>
          <w:highlight w:val="none"/>
        </w:rPr>
      </w:pPr>
      <w:bookmarkStart w:id="746" w:name="_Toc2105"/>
      <w:bookmarkStart w:id="747" w:name="_Toc75963228"/>
      <w:bookmarkStart w:id="748" w:name="_Toc3454"/>
      <w:bookmarkStart w:id="749" w:name="_Toc224103385"/>
      <w:bookmarkStart w:id="750" w:name="_Toc241483911"/>
      <w:bookmarkStart w:id="751" w:name="_Toc360722800"/>
      <w:bookmarkStart w:id="752" w:name="_Toc18597"/>
      <w:bookmarkStart w:id="753" w:name="_Toc200513199"/>
      <w:bookmarkStart w:id="754" w:name="_Toc300754713"/>
      <w:bookmarkStart w:id="755" w:name="_Toc237171529"/>
      <w:r>
        <w:rPr>
          <w:rFonts w:hint="eastAsia"/>
          <w:b/>
          <w:bCs/>
          <w:color w:val="auto"/>
          <w:sz w:val="32"/>
          <w:szCs w:val="36"/>
          <w:highlight w:val="none"/>
        </w:rPr>
        <w:t>评审标准</w:t>
      </w:r>
      <w:bookmarkEnd w:id="746"/>
      <w:bookmarkEnd w:id="747"/>
      <w:bookmarkEnd w:id="748"/>
      <w:bookmarkEnd w:id="749"/>
      <w:bookmarkEnd w:id="750"/>
      <w:bookmarkEnd w:id="751"/>
      <w:bookmarkEnd w:id="752"/>
      <w:bookmarkEnd w:id="753"/>
      <w:bookmarkEnd w:id="754"/>
      <w:bookmarkEnd w:id="755"/>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highlight w:val="none"/>
        </w:rPr>
      </w:pPr>
      <w:bookmarkStart w:id="756" w:name="_Toc360722801"/>
      <w:bookmarkStart w:id="757" w:name="_Toc241483912"/>
      <w:bookmarkStart w:id="758" w:name="_Toc237171530"/>
      <w:bookmarkStart w:id="759" w:name="_Toc300754714"/>
      <w:bookmarkStart w:id="760" w:name="_Toc224103386"/>
      <w:bookmarkStart w:id="761" w:name="_Toc200513200"/>
      <w:r>
        <w:rPr>
          <w:rFonts w:hint="default" w:ascii="Times New Roman" w:hAnsi="Times New Roman" w:cs="Times New Roman"/>
          <w:b/>
          <w:color w:val="auto"/>
          <w:kern w:val="0"/>
          <w:szCs w:val="21"/>
          <w:highlight w:val="none"/>
        </w:rPr>
        <w:t>2.1</w:t>
      </w:r>
      <w:r>
        <w:rPr>
          <w:rFonts w:hint="eastAsia" w:ascii="Times New Roman" w:hAnsi="Times New Roman" w:cs="Times New Roman"/>
          <w:b/>
          <w:color w:val="auto"/>
          <w:kern w:val="0"/>
          <w:szCs w:val="21"/>
          <w:highlight w:val="none"/>
          <w:lang w:val="en-US" w:eastAsia="zh-CN"/>
        </w:rPr>
        <w:t xml:space="preserve"> </w:t>
      </w:r>
      <w:r>
        <w:rPr>
          <w:rFonts w:hint="default" w:ascii="Times New Roman" w:hAnsi="Times New Roman" w:cs="Times New Roman"/>
          <w:b/>
          <w:color w:val="auto"/>
          <w:kern w:val="0"/>
          <w:szCs w:val="21"/>
          <w:highlight w:val="none"/>
        </w:rPr>
        <w:t>初步评审标准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资格评审标准：见</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eastAsia="zh-CN"/>
        </w:rPr>
        <w:t>形式</w:t>
      </w:r>
      <w:r>
        <w:rPr>
          <w:rFonts w:hint="default" w:ascii="Times New Roman" w:hAnsi="Times New Roman" w:cs="Times New Roman"/>
          <w:color w:val="auto"/>
          <w:kern w:val="0"/>
          <w:szCs w:val="21"/>
          <w:highlight w:val="none"/>
        </w:rPr>
        <w:t>评审标准：见</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响应性评审标准：见</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highlight w:val="none"/>
        </w:rPr>
      </w:pPr>
      <w:bookmarkStart w:id="762" w:name="_Toc360722802"/>
      <w:bookmarkStart w:id="763" w:name="_Toc237171531"/>
      <w:bookmarkStart w:id="764" w:name="_Toc241483913"/>
      <w:bookmarkStart w:id="765" w:name="_Toc200513201"/>
      <w:bookmarkStart w:id="766" w:name="_Toc224103387"/>
      <w:bookmarkStart w:id="767" w:name="_Toc300754715"/>
      <w:r>
        <w:rPr>
          <w:rFonts w:hint="default" w:ascii="Times New Roman" w:hAnsi="Times New Roman" w:cs="Times New Roman"/>
          <w:b/>
          <w:color w:val="auto"/>
          <w:kern w:val="0"/>
          <w:szCs w:val="21"/>
          <w:highlight w:val="none"/>
        </w:rPr>
        <w:t>2.2</w:t>
      </w:r>
      <w:r>
        <w:rPr>
          <w:rFonts w:hint="eastAsia" w:ascii="Times New Roman" w:hAnsi="Times New Roman" w:cs="Times New Roman"/>
          <w:b/>
          <w:color w:val="auto"/>
          <w:kern w:val="0"/>
          <w:szCs w:val="21"/>
          <w:highlight w:val="none"/>
          <w:lang w:val="en-US" w:eastAsia="zh-CN"/>
        </w:rPr>
        <w:t xml:space="preserve"> </w:t>
      </w:r>
      <w:r>
        <w:rPr>
          <w:rFonts w:hint="default" w:ascii="Times New Roman" w:hAnsi="Times New Roman" w:cs="Times New Roman"/>
          <w:b/>
          <w:color w:val="auto"/>
          <w:kern w:val="0"/>
          <w:szCs w:val="21"/>
          <w:highlight w:val="none"/>
        </w:rPr>
        <w:t>分值构成与评分标准</w:t>
      </w:r>
      <w:bookmarkEnd w:id="762"/>
      <w:bookmarkEnd w:id="763"/>
      <w:bookmarkEnd w:id="764"/>
      <w:bookmarkEnd w:id="765"/>
      <w:bookmarkEnd w:id="766"/>
      <w:bookmarkEnd w:id="767"/>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2.2.1</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分值构成</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highlight w:val="none"/>
        </w:rPr>
      </w:pP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报价：见</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2.2.2</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基准价计算</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基准价计算方法：见</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2.2.3</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评分标准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2.2.3</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（1）</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报价评分标准：见</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2.2.3</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（2）商务部分评分标准：见</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2.2.3</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（3）技术部分评分标准：见</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2.2.4 </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报价的偏差率计算</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报价的偏差率计算公式：见评审办法前附表。</w:t>
      </w:r>
    </w:p>
    <w:bookmarkEnd w:id="756"/>
    <w:bookmarkEnd w:id="757"/>
    <w:bookmarkEnd w:id="758"/>
    <w:bookmarkEnd w:id="759"/>
    <w:bookmarkEnd w:id="760"/>
    <w:bookmarkEnd w:id="761"/>
    <w:p>
      <w:pPr>
        <w:keepNext/>
        <w:keepLines/>
        <w:pageBreakBefore w:val="0"/>
        <w:widowControl w:val="0"/>
        <w:kinsoku/>
        <w:wordWrap/>
        <w:overflowPunct/>
        <w:topLinePunct w:val="0"/>
        <w:autoSpaceDE/>
        <w:autoSpaceDN/>
        <w:bidi w:val="0"/>
        <w:adjustRightInd w:val="0"/>
        <w:snapToGrid w:val="0"/>
        <w:spacing w:line="420" w:lineRule="exact"/>
        <w:ind w:firstLine="0" w:firstLineChars="0"/>
        <w:textAlignment w:val="auto"/>
        <w:rPr>
          <w:b/>
          <w:bCs/>
          <w:color w:val="auto"/>
          <w:sz w:val="32"/>
          <w:szCs w:val="36"/>
          <w:highlight w:val="none"/>
        </w:rPr>
      </w:pPr>
      <w:bookmarkStart w:id="768" w:name="_Toc241483914"/>
      <w:bookmarkStart w:id="769" w:name="_Toc224103388"/>
      <w:bookmarkStart w:id="770" w:name="_Toc4398"/>
      <w:bookmarkStart w:id="771" w:name="_Toc6430"/>
      <w:bookmarkStart w:id="772" w:name="_Toc360722803"/>
      <w:bookmarkStart w:id="773" w:name="_Toc200513202"/>
      <w:bookmarkStart w:id="774" w:name="_Toc300754716"/>
      <w:bookmarkStart w:id="775" w:name="_Toc237171532"/>
      <w:bookmarkStart w:id="776" w:name="_Toc1805"/>
      <w:bookmarkStart w:id="777" w:name="_Toc75963229"/>
      <w:r>
        <w:rPr>
          <w:rFonts w:hint="eastAsia"/>
          <w:b/>
          <w:bCs/>
          <w:color w:val="auto"/>
          <w:sz w:val="32"/>
          <w:szCs w:val="36"/>
          <w:highlight w:val="none"/>
        </w:rPr>
        <w:t>3.</w:t>
      </w:r>
      <w:r>
        <w:rPr>
          <w:rFonts w:hint="eastAsia"/>
          <w:b/>
          <w:bCs/>
          <w:color w:val="auto"/>
          <w:sz w:val="32"/>
          <w:szCs w:val="36"/>
          <w:highlight w:val="none"/>
          <w:lang w:val="en-US" w:eastAsia="zh-CN"/>
        </w:rPr>
        <w:t xml:space="preserve"> </w:t>
      </w:r>
      <w:r>
        <w:rPr>
          <w:rFonts w:hint="eastAsia"/>
          <w:b/>
          <w:bCs/>
          <w:color w:val="auto"/>
          <w:sz w:val="32"/>
          <w:szCs w:val="36"/>
          <w:highlight w:val="none"/>
          <w:lang w:eastAsia="zh-CN"/>
        </w:rPr>
        <w:t>评审</w:t>
      </w:r>
      <w:r>
        <w:rPr>
          <w:rFonts w:hint="eastAsia"/>
          <w:b/>
          <w:bCs/>
          <w:color w:val="auto"/>
          <w:sz w:val="32"/>
          <w:szCs w:val="36"/>
          <w:highlight w:val="none"/>
        </w:rPr>
        <w:t>程序</w:t>
      </w:r>
      <w:bookmarkEnd w:id="768"/>
      <w:bookmarkEnd w:id="769"/>
      <w:bookmarkEnd w:id="770"/>
      <w:bookmarkEnd w:id="771"/>
      <w:bookmarkEnd w:id="772"/>
      <w:bookmarkEnd w:id="773"/>
      <w:bookmarkEnd w:id="774"/>
      <w:bookmarkEnd w:id="775"/>
      <w:bookmarkEnd w:id="776"/>
      <w:bookmarkEnd w:id="777"/>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highlight w:val="none"/>
        </w:rPr>
      </w:pPr>
      <w:bookmarkStart w:id="778" w:name="_Toc200513203"/>
      <w:bookmarkStart w:id="779" w:name="_Toc224103389"/>
      <w:bookmarkStart w:id="780" w:name="_Toc360722804"/>
      <w:bookmarkStart w:id="781" w:name="_Toc241483915"/>
      <w:bookmarkStart w:id="782" w:name="_Toc237171533"/>
      <w:bookmarkStart w:id="783" w:name="_Toc300754717"/>
      <w:r>
        <w:rPr>
          <w:rFonts w:hint="default" w:ascii="Times New Roman" w:hAnsi="Times New Roman" w:cs="Times New Roman"/>
          <w:b/>
          <w:color w:val="auto"/>
          <w:kern w:val="0"/>
          <w:szCs w:val="21"/>
          <w:highlight w:val="none"/>
        </w:rPr>
        <w:t>3.1</w:t>
      </w:r>
      <w:r>
        <w:rPr>
          <w:rFonts w:hint="eastAsia" w:ascii="Times New Roman" w:hAnsi="Times New Roman" w:cs="Times New Roman"/>
          <w:b/>
          <w:color w:val="auto"/>
          <w:kern w:val="0"/>
          <w:szCs w:val="21"/>
          <w:highlight w:val="none"/>
          <w:lang w:val="en-US" w:eastAsia="zh-CN"/>
        </w:rPr>
        <w:t xml:space="preserve"> </w:t>
      </w:r>
      <w:r>
        <w:rPr>
          <w:rFonts w:hint="default" w:ascii="Times New Roman" w:hAnsi="Times New Roman" w:cs="Times New Roman"/>
          <w:b/>
          <w:color w:val="auto"/>
          <w:kern w:val="0"/>
          <w:szCs w:val="21"/>
          <w:highlight w:val="none"/>
        </w:rPr>
        <w:t>初步评审</w:t>
      </w:r>
      <w:bookmarkEnd w:id="778"/>
      <w:bookmarkEnd w:id="779"/>
      <w:bookmarkEnd w:id="780"/>
      <w:bookmarkEnd w:id="781"/>
      <w:bookmarkEnd w:id="782"/>
      <w:bookmarkEnd w:id="783"/>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3.1.1</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依据本章第 2.1 款规定的标准对</w:t>
      </w:r>
      <w:r>
        <w:rPr>
          <w:rFonts w:hint="eastAsia" w:cs="Times New Roman"/>
          <w:color w:val="auto"/>
          <w:kern w:val="0"/>
          <w:szCs w:val="21"/>
          <w:highlight w:val="none"/>
          <w:lang w:eastAsia="zh-CN"/>
        </w:rPr>
        <w:t>比选文件</w:t>
      </w:r>
      <w:r>
        <w:rPr>
          <w:rFonts w:hint="default" w:ascii="Times New Roman" w:hAnsi="Times New Roman" w:cs="Times New Roman"/>
          <w:color w:val="auto"/>
          <w:kern w:val="0"/>
          <w:szCs w:val="21"/>
          <w:highlight w:val="none"/>
        </w:rPr>
        <w:t>进行初步评审。</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依据本章第 2.1 款规定的标准对</w:t>
      </w:r>
      <w:r>
        <w:rPr>
          <w:rFonts w:hint="eastAsia" w:cs="Times New Roman"/>
          <w:color w:val="auto"/>
          <w:kern w:val="0"/>
          <w:szCs w:val="21"/>
          <w:highlight w:val="none"/>
          <w:lang w:eastAsia="zh-CN"/>
        </w:rPr>
        <w:t>比选文件</w:t>
      </w:r>
      <w:r>
        <w:rPr>
          <w:rFonts w:hint="default" w:ascii="Times New Roman" w:hAnsi="Times New Roman" w:cs="Times New Roman"/>
          <w:color w:val="auto"/>
          <w:kern w:val="0"/>
          <w:szCs w:val="21"/>
          <w:highlight w:val="none"/>
        </w:rPr>
        <w:t>进行初步评审。有一项不符合评审标准的，作否决</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处理。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3.1.2</w:t>
      </w:r>
      <w:r>
        <w:rPr>
          <w:rFonts w:hint="eastAsia" w:ascii="Times New Roman" w:hAnsi="Times New Roman" w:cs="Times New Roman"/>
          <w:color w:val="auto"/>
          <w:kern w:val="0"/>
          <w:szCs w:val="21"/>
          <w:highlight w:val="none"/>
          <w:lang w:val="en-US" w:eastAsia="zh-CN"/>
        </w:rPr>
        <w:t xml:space="preserve"> </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有以下情形之一的，其</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作否决处理：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（1）第二章“</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须知”第 1.4.3 项规定的任何一种情形的；</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（2）串通</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或弄虚作假或有其他违法行为的；</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（3）不按</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要求澄清、说明或补正的。</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（4）本比选文件约定的其他情形。</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3.1.3</w:t>
      </w:r>
      <w:r>
        <w:rPr>
          <w:rFonts w:hint="eastAsia" w:ascii="Times New Roman" w:hAnsi="Times New Roman" w:cs="Times New Roman"/>
          <w:color w:val="auto"/>
          <w:kern w:val="0"/>
          <w:szCs w:val="21"/>
          <w:highlight w:val="none"/>
          <w:lang w:val="en-US" w:eastAsia="zh-CN"/>
        </w:rPr>
        <w:t xml:space="preserve"> </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报价有算术错误的，</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按以下原则对</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报价进行修正，修正的价格经</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书面确认后具有约束力。</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不接受修正价格的，其</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作否决</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处理。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cs="Times New Roman"/>
          <w:color w:val="auto"/>
          <w:kern w:val="0"/>
          <w:szCs w:val="21"/>
          <w:highlight w:val="none"/>
          <w:lang w:eastAsia="zh-CN"/>
        </w:rPr>
        <w:t>比选文件</w:t>
      </w:r>
      <w:r>
        <w:rPr>
          <w:rFonts w:hint="default" w:ascii="Times New Roman" w:hAnsi="Times New Roman" w:cs="Times New Roman"/>
          <w:color w:val="auto"/>
          <w:kern w:val="0"/>
          <w:szCs w:val="21"/>
          <w:highlight w:val="none"/>
        </w:rPr>
        <w:t>中的大写金额与小写金额不一致的，以大写金额为准；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（2）单价金额小数点或者百分比有明显错位的，以修正后的单价为准；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（3）总价金额与按单价汇总金额不一致的，以单价金额计算结果为准。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w:t>
      </w:r>
      <w:r>
        <w:rPr>
          <w:rFonts w:hint="default" w:ascii="Times New Roman" w:hAnsi="Times New Roman" w:cs="Times New Roman"/>
          <w:color w:val="auto"/>
          <w:spacing w:val="1"/>
          <w:kern w:val="0"/>
          <w:szCs w:val="21"/>
          <w:highlight w:val="none"/>
        </w:rPr>
        <w:t>4</w:t>
      </w:r>
      <w:r>
        <w:rPr>
          <w:rFonts w:hint="default" w:ascii="Times New Roman" w:hAnsi="Times New Roman" w:cs="Times New Roman"/>
          <w:color w:val="auto"/>
          <w:kern w:val="0"/>
          <w:szCs w:val="21"/>
          <w:highlight w:val="none"/>
        </w:rPr>
        <w:t>）</w:t>
      </w:r>
      <w:r>
        <w:rPr>
          <w:rFonts w:hint="eastAsia" w:cs="Times New Roman"/>
          <w:color w:val="auto"/>
          <w:kern w:val="0"/>
          <w:szCs w:val="21"/>
          <w:highlight w:val="none"/>
          <w:lang w:eastAsia="zh-CN"/>
        </w:rPr>
        <w:t>比选文件</w:t>
      </w:r>
      <w:r>
        <w:rPr>
          <w:rFonts w:hint="default" w:ascii="Times New Roman" w:hAnsi="Times New Roman" w:cs="Times New Roman"/>
          <w:color w:val="auto"/>
          <w:kern w:val="0"/>
          <w:szCs w:val="21"/>
          <w:highlight w:val="none"/>
        </w:rPr>
        <w:t>中，若</w:t>
      </w:r>
      <w:r>
        <w:rPr>
          <w:rFonts w:hint="eastAsia" w:cs="Times New Roman"/>
          <w:color w:val="auto"/>
          <w:kern w:val="0"/>
          <w:szCs w:val="21"/>
          <w:highlight w:val="none"/>
          <w:lang w:eastAsia="zh-CN"/>
        </w:rPr>
        <w:t>比选函</w:t>
      </w:r>
      <w:r>
        <w:rPr>
          <w:rFonts w:hint="default" w:ascii="Times New Roman" w:hAnsi="Times New Roman" w:cs="Times New Roman"/>
          <w:color w:val="auto"/>
          <w:kern w:val="0"/>
          <w:szCs w:val="21"/>
          <w:highlight w:val="none"/>
        </w:rPr>
        <w:t>的</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总报价与</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报价清单总价不一致，以</w:t>
      </w:r>
      <w:r>
        <w:rPr>
          <w:rFonts w:hint="eastAsia" w:cs="Times New Roman"/>
          <w:color w:val="auto"/>
          <w:kern w:val="0"/>
          <w:szCs w:val="21"/>
          <w:highlight w:val="none"/>
          <w:lang w:eastAsia="zh-CN"/>
        </w:rPr>
        <w:t>比选函</w:t>
      </w:r>
      <w:r>
        <w:rPr>
          <w:rFonts w:hint="default" w:ascii="Times New Roman" w:hAnsi="Times New Roman" w:cs="Times New Roman"/>
          <w:color w:val="auto"/>
          <w:kern w:val="0"/>
          <w:szCs w:val="21"/>
          <w:highlight w:val="none"/>
        </w:rPr>
        <w:t>为准；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同时出现两种以上不一致的，按照上述规定的顺序修正。</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highlight w:val="none"/>
        </w:rPr>
      </w:pPr>
      <w:bookmarkStart w:id="784" w:name="_Toc237171534"/>
      <w:bookmarkStart w:id="785" w:name="_Toc360722805"/>
      <w:bookmarkStart w:id="786" w:name="_Toc200513204"/>
      <w:bookmarkStart w:id="787" w:name="_Toc224103390"/>
      <w:bookmarkStart w:id="788" w:name="_Toc241483916"/>
      <w:bookmarkStart w:id="789" w:name="_Toc300754718"/>
      <w:r>
        <w:rPr>
          <w:rFonts w:hint="default" w:ascii="Times New Roman" w:hAnsi="Times New Roman" w:cs="Times New Roman"/>
          <w:b/>
          <w:color w:val="auto"/>
          <w:kern w:val="0"/>
          <w:szCs w:val="21"/>
          <w:highlight w:val="none"/>
        </w:rPr>
        <w:t>3.2</w:t>
      </w:r>
      <w:r>
        <w:rPr>
          <w:rFonts w:hint="eastAsia" w:ascii="Times New Roman" w:hAnsi="Times New Roman" w:cs="Times New Roman"/>
          <w:b/>
          <w:color w:val="auto"/>
          <w:kern w:val="0"/>
          <w:szCs w:val="21"/>
          <w:highlight w:val="none"/>
          <w:lang w:val="en-US" w:eastAsia="zh-CN"/>
        </w:rPr>
        <w:t xml:space="preserve"> </w:t>
      </w:r>
      <w:r>
        <w:rPr>
          <w:rFonts w:hint="default" w:ascii="Times New Roman" w:hAnsi="Times New Roman" w:cs="Times New Roman"/>
          <w:b/>
          <w:color w:val="auto"/>
          <w:kern w:val="0"/>
          <w:szCs w:val="21"/>
          <w:highlight w:val="none"/>
        </w:rPr>
        <w:t>详细评审</w:t>
      </w:r>
      <w:bookmarkEnd w:id="784"/>
      <w:bookmarkEnd w:id="785"/>
      <w:bookmarkEnd w:id="786"/>
      <w:bookmarkEnd w:id="787"/>
      <w:bookmarkEnd w:id="788"/>
      <w:bookmarkEnd w:id="789"/>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3.2.1</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按本章第2.2款规定的量化因素和分值进行打分，并计算出综合评估得分。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default" w:ascii="Times New Roman" w:hAnsi="Times New Roman" w:cs="Times New Roman"/>
          <w:color w:val="auto"/>
          <w:kern w:val="0"/>
          <w:szCs w:val="21"/>
          <w:highlight w:val="none"/>
          <w:lang w:eastAsia="zh-CN"/>
        </w:rPr>
        <w:t>按评审办法前附表</w:t>
      </w:r>
      <w:r>
        <w:rPr>
          <w:rFonts w:hint="default" w:ascii="Times New Roman" w:hAnsi="Times New Roman" w:cs="Times New Roman"/>
          <w:color w:val="auto"/>
          <w:kern w:val="0"/>
          <w:szCs w:val="21"/>
          <w:highlight w:val="none"/>
        </w:rPr>
        <w:t>规定的评审因素和分值对</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报价计算出得分A；</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w:t>
      </w:r>
      <w:r>
        <w:rPr>
          <w:rFonts w:hint="default" w:ascii="Times New Roman" w:hAnsi="Times New Roman" w:cs="Times New Roman"/>
          <w:color w:val="auto"/>
          <w:kern w:val="0"/>
          <w:szCs w:val="21"/>
          <w:highlight w:val="none"/>
          <w:lang w:eastAsia="zh-CN"/>
        </w:rPr>
        <w:t>按评审办法前附表</w:t>
      </w:r>
      <w:r>
        <w:rPr>
          <w:rFonts w:hint="default" w:ascii="Times New Roman" w:hAnsi="Times New Roman" w:cs="Times New Roman"/>
          <w:color w:val="auto"/>
          <w:kern w:val="0"/>
          <w:szCs w:val="21"/>
          <w:highlight w:val="none"/>
        </w:rPr>
        <w:t>规定的评审因素和分值对商务部分计算出得分B；</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default" w:ascii="Times New Roman" w:hAnsi="Times New Roman" w:cs="Times New Roman"/>
          <w:color w:val="auto"/>
          <w:kern w:val="0"/>
          <w:szCs w:val="21"/>
          <w:highlight w:val="none"/>
          <w:lang w:eastAsia="zh-CN"/>
        </w:rPr>
        <w:t>按评审办法前附表</w:t>
      </w:r>
      <w:r>
        <w:rPr>
          <w:rFonts w:hint="default" w:ascii="Times New Roman" w:hAnsi="Times New Roman" w:cs="Times New Roman"/>
          <w:color w:val="auto"/>
          <w:kern w:val="0"/>
          <w:szCs w:val="21"/>
          <w:highlight w:val="none"/>
        </w:rPr>
        <w:t>规定的评审因素和分值对技术部分计算出得分C；</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3.2.2</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评分分值计算保留小数点后两位，小数点后第三位“四舍五入”。</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3.2.3</w:t>
      </w:r>
      <w:r>
        <w:rPr>
          <w:rFonts w:hint="eastAsia" w:ascii="Times New Roman" w:hAnsi="Times New Roman" w:cs="Times New Roman"/>
          <w:color w:val="auto"/>
          <w:kern w:val="0"/>
          <w:szCs w:val="21"/>
          <w:highlight w:val="none"/>
          <w:lang w:val="en-US" w:eastAsia="zh-CN"/>
        </w:rPr>
        <w:t xml:space="preserve"> </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得分=A+B+C</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3.2.4</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发现</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的报价明显低于其他</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报价，或者在设有标底时明显低于标底，使得其</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报价可能低于其个别成本的，应当要求该</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做出书面说明并提供相应的证明材料。</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不能合理说明或者不能提供相应证明材料的，由</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认定该</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以低于成本报价</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，其比选作否决</w:t>
      </w:r>
      <w:r>
        <w:rPr>
          <w:rFonts w:hint="eastAsia" w:cs="Times New Roman"/>
          <w:color w:val="auto"/>
          <w:kern w:val="0"/>
          <w:szCs w:val="21"/>
          <w:highlight w:val="none"/>
          <w:lang w:eastAsia="zh-CN"/>
        </w:rPr>
        <w:t>比选</w:t>
      </w:r>
      <w:r>
        <w:rPr>
          <w:rFonts w:hint="default" w:ascii="Times New Roman" w:hAnsi="Times New Roman" w:cs="Times New Roman"/>
          <w:color w:val="auto"/>
          <w:kern w:val="0"/>
          <w:szCs w:val="21"/>
          <w:highlight w:val="none"/>
        </w:rPr>
        <w:t>处理。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color w:val="auto"/>
          <w:szCs w:val="21"/>
          <w:highlight w:val="none"/>
        </w:rPr>
      </w:pPr>
      <w:bookmarkStart w:id="790" w:name="_Toc360722806"/>
      <w:bookmarkStart w:id="791" w:name="_Toc300754719"/>
      <w:bookmarkStart w:id="792" w:name="_Toc241483917"/>
      <w:bookmarkStart w:id="793" w:name="_Toc224103391"/>
      <w:bookmarkStart w:id="794" w:name="_Toc237171535"/>
      <w:bookmarkStart w:id="795" w:name="_Toc200513205"/>
      <w:r>
        <w:rPr>
          <w:rFonts w:hint="default" w:ascii="Times New Roman" w:hAnsi="Times New Roman" w:cs="Times New Roman"/>
          <w:b/>
          <w:color w:val="auto"/>
          <w:kern w:val="0"/>
          <w:szCs w:val="21"/>
          <w:highlight w:val="none"/>
        </w:rPr>
        <w:t>3.3</w:t>
      </w:r>
      <w:r>
        <w:rPr>
          <w:rFonts w:hint="eastAsia" w:ascii="Times New Roman" w:hAnsi="Times New Roman" w:cs="Times New Roman"/>
          <w:b/>
          <w:color w:val="auto"/>
          <w:kern w:val="0"/>
          <w:szCs w:val="21"/>
          <w:highlight w:val="none"/>
          <w:lang w:val="en-US" w:eastAsia="zh-CN"/>
        </w:rPr>
        <w:t xml:space="preserve"> </w:t>
      </w:r>
      <w:r>
        <w:rPr>
          <w:rFonts w:hint="eastAsia" w:cs="Times New Roman"/>
          <w:b/>
          <w:color w:val="auto"/>
          <w:kern w:val="0"/>
          <w:szCs w:val="21"/>
          <w:highlight w:val="none"/>
          <w:lang w:eastAsia="zh-CN"/>
        </w:rPr>
        <w:t>比选文件</w:t>
      </w:r>
      <w:r>
        <w:rPr>
          <w:rFonts w:hint="default" w:ascii="Times New Roman" w:hAnsi="Times New Roman" w:cs="Times New Roman"/>
          <w:b/>
          <w:color w:val="auto"/>
          <w:kern w:val="0"/>
          <w:szCs w:val="21"/>
          <w:highlight w:val="none"/>
        </w:rPr>
        <w:t>的澄清和补正</w:t>
      </w:r>
      <w:bookmarkEnd w:id="790"/>
      <w:bookmarkEnd w:id="791"/>
      <w:bookmarkEnd w:id="792"/>
      <w:bookmarkEnd w:id="793"/>
      <w:bookmarkEnd w:id="794"/>
      <w:bookmarkEnd w:id="795"/>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3.3.1</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在</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过程中，</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可以书面形式要求</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对所提交</w:t>
      </w:r>
      <w:r>
        <w:rPr>
          <w:rFonts w:hint="eastAsia" w:cs="Times New Roman"/>
          <w:color w:val="auto"/>
          <w:kern w:val="0"/>
          <w:szCs w:val="21"/>
          <w:highlight w:val="none"/>
          <w:lang w:eastAsia="zh-CN"/>
        </w:rPr>
        <w:t>比选文件</w:t>
      </w:r>
      <w:r>
        <w:rPr>
          <w:rFonts w:hint="default" w:ascii="Times New Roman" w:hAnsi="Times New Roman" w:cs="Times New Roman"/>
          <w:color w:val="auto"/>
          <w:kern w:val="0"/>
          <w:szCs w:val="21"/>
          <w:highlight w:val="none"/>
        </w:rPr>
        <w:t>中不明确的内容进行书面澄清或说明，或者对细微偏差进行补正。</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不接受</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主动提出的澄清、说明或补正。</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3.3.2</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澄清、说明和补正不得改变比选文件的实质性内容（算术性错误修正的除外）。</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的书面澄清、说明和补正属于比选文件的组成部分。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3.3.3</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对</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提交的澄清、说明或补正有疑问的，可以要求</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进一步澄清、说明或补正，直至满足</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的要求。</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2" w:firstLineChars="200"/>
        <w:textAlignment w:val="auto"/>
        <w:rPr>
          <w:rFonts w:hint="default" w:ascii="Times New Roman" w:hAnsi="Times New Roman" w:cs="Times New Roman"/>
          <w:b/>
          <w:color w:val="auto"/>
          <w:kern w:val="0"/>
          <w:szCs w:val="21"/>
          <w:highlight w:val="none"/>
        </w:rPr>
      </w:pPr>
      <w:bookmarkStart w:id="796" w:name="_Toc300754720"/>
      <w:bookmarkStart w:id="797" w:name="_Toc241483918"/>
      <w:bookmarkStart w:id="798" w:name="_Toc200513206"/>
      <w:bookmarkStart w:id="799" w:name="_Toc360722807"/>
      <w:bookmarkStart w:id="800" w:name="_Toc237171536"/>
      <w:bookmarkStart w:id="801" w:name="_Toc224103392"/>
      <w:r>
        <w:rPr>
          <w:rFonts w:hint="default" w:ascii="Times New Roman" w:hAnsi="Times New Roman" w:cs="Times New Roman"/>
          <w:b/>
          <w:color w:val="auto"/>
          <w:kern w:val="0"/>
          <w:szCs w:val="21"/>
          <w:highlight w:val="none"/>
        </w:rPr>
        <w:t>3.4</w:t>
      </w:r>
      <w:r>
        <w:rPr>
          <w:rFonts w:hint="eastAsia" w:ascii="Times New Roman" w:hAnsi="Times New Roman" w:cs="Times New Roman"/>
          <w:b/>
          <w:color w:val="auto"/>
          <w:kern w:val="0"/>
          <w:szCs w:val="21"/>
          <w:highlight w:val="none"/>
          <w:lang w:val="en-US" w:eastAsia="zh-CN"/>
        </w:rPr>
        <w:t xml:space="preserve"> </w:t>
      </w:r>
      <w:r>
        <w:rPr>
          <w:rFonts w:hint="default" w:ascii="Times New Roman" w:hAnsi="Times New Roman" w:cs="Times New Roman"/>
          <w:b/>
          <w:color w:val="auto"/>
          <w:kern w:val="0"/>
          <w:szCs w:val="21"/>
          <w:highlight w:val="none"/>
          <w:lang w:eastAsia="zh-CN"/>
        </w:rPr>
        <w:t>评审</w:t>
      </w:r>
      <w:r>
        <w:rPr>
          <w:rFonts w:hint="default" w:ascii="Times New Roman" w:hAnsi="Times New Roman" w:cs="Times New Roman"/>
          <w:b/>
          <w:color w:val="auto"/>
          <w:kern w:val="0"/>
          <w:szCs w:val="21"/>
          <w:highlight w:val="none"/>
        </w:rPr>
        <w:t>结果</w:t>
      </w:r>
      <w:bookmarkEnd w:id="796"/>
      <w:bookmarkEnd w:id="797"/>
      <w:bookmarkEnd w:id="798"/>
      <w:bookmarkEnd w:id="799"/>
      <w:bookmarkEnd w:id="800"/>
      <w:bookmarkEnd w:id="801"/>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default" w:ascii="Times New Roman" w:hAnsi="Times New Roman" w:cs="Times New Roman"/>
          <w:color w:val="auto"/>
          <w:spacing w:val="-1"/>
          <w:kern w:val="0"/>
          <w:szCs w:val="21"/>
          <w:highlight w:val="none"/>
        </w:rPr>
        <w:t>4</w:t>
      </w: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除第二章“</w:t>
      </w:r>
      <w:r>
        <w:rPr>
          <w:rFonts w:hint="eastAsia" w:cs="Times New Roman"/>
          <w:color w:val="auto"/>
          <w:kern w:val="0"/>
          <w:szCs w:val="21"/>
          <w:highlight w:val="none"/>
          <w:lang w:eastAsia="zh-CN"/>
        </w:rPr>
        <w:t>报价人</w:t>
      </w:r>
      <w:r>
        <w:rPr>
          <w:rFonts w:hint="default" w:ascii="Times New Roman" w:hAnsi="Times New Roman" w:cs="Times New Roman"/>
          <w:color w:val="auto"/>
          <w:kern w:val="0"/>
          <w:szCs w:val="21"/>
          <w:highlight w:val="none"/>
        </w:rPr>
        <w:t>须知”前</w:t>
      </w:r>
      <w:r>
        <w:rPr>
          <w:rFonts w:hint="default" w:ascii="Times New Roman" w:hAnsi="Times New Roman" w:cs="Times New Roman"/>
          <w:color w:val="auto"/>
          <w:spacing w:val="1"/>
          <w:kern w:val="0"/>
          <w:szCs w:val="21"/>
          <w:highlight w:val="none"/>
        </w:rPr>
        <w:t>附</w:t>
      </w:r>
      <w:r>
        <w:rPr>
          <w:rFonts w:hint="default" w:ascii="Times New Roman" w:hAnsi="Times New Roman" w:cs="Times New Roman"/>
          <w:color w:val="auto"/>
          <w:kern w:val="0"/>
          <w:szCs w:val="21"/>
          <w:highlight w:val="none"/>
        </w:rPr>
        <w:t>表授权直</w:t>
      </w:r>
      <w:r>
        <w:rPr>
          <w:rFonts w:hint="default" w:ascii="Times New Roman" w:hAnsi="Times New Roman" w:cs="Times New Roman"/>
          <w:color w:val="auto"/>
          <w:spacing w:val="1"/>
          <w:kern w:val="0"/>
          <w:szCs w:val="21"/>
          <w:highlight w:val="none"/>
        </w:rPr>
        <w:t>接</w:t>
      </w:r>
      <w:r>
        <w:rPr>
          <w:rFonts w:hint="default" w:ascii="Times New Roman" w:hAnsi="Times New Roman" w:cs="Times New Roman"/>
          <w:color w:val="auto"/>
          <w:kern w:val="0"/>
          <w:szCs w:val="21"/>
          <w:highlight w:val="none"/>
        </w:rPr>
        <w:t>确定中选人外，</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按照</w:t>
      </w:r>
      <w:r>
        <w:rPr>
          <w:rFonts w:hint="default" w:ascii="Times New Roman" w:hAnsi="Times New Roman" w:cs="Times New Roman"/>
          <w:color w:val="auto"/>
          <w:spacing w:val="1"/>
          <w:kern w:val="0"/>
          <w:szCs w:val="21"/>
          <w:highlight w:val="none"/>
        </w:rPr>
        <w:t>得分</w:t>
      </w:r>
      <w:r>
        <w:rPr>
          <w:rFonts w:hint="default" w:ascii="Times New Roman" w:hAnsi="Times New Roman" w:cs="Times New Roman"/>
          <w:color w:val="auto"/>
          <w:kern w:val="0"/>
          <w:szCs w:val="21"/>
          <w:highlight w:val="none"/>
        </w:rPr>
        <w:t>由高到低的顺序推荐中选候选人。</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4"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spacing w:val="1"/>
          <w:kern w:val="0"/>
          <w:szCs w:val="21"/>
          <w:highlight w:val="none"/>
        </w:rPr>
        <w:t>3</w:t>
      </w:r>
      <w:r>
        <w:rPr>
          <w:rFonts w:hint="default" w:ascii="Times New Roman" w:hAnsi="Times New Roman" w:cs="Times New Roman"/>
          <w:color w:val="auto"/>
          <w:kern w:val="0"/>
          <w:szCs w:val="21"/>
          <w:highlight w:val="none"/>
        </w:rPr>
        <w:t>.4.2</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eastAsia="zh-CN"/>
        </w:rPr>
        <w:t>评审委员会</w:t>
      </w:r>
      <w:r>
        <w:rPr>
          <w:rFonts w:hint="default" w:ascii="Times New Roman" w:hAnsi="Times New Roman" w:cs="Times New Roman"/>
          <w:color w:val="auto"/>
          <w:kern w:val="0"/>
          <w:szCs w:val="21"/>
          <w:highlight w:val="none"/>
        </w:rPr>
        <w:t>完成</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后，应当向比选人提交书面</w:t>
      </w:r>
      <w:r>
        <w:rPr>
          <w:rFonts w:hint="default" w:ascii="Times New Roman" w:hAnsi="Times New Roman" w:cs="Times New Roman"/>
          <w:color w:val="auto"/>
          <w:kern w:val="0"/>
          <w:szCs w:val="21"/>
          <w:highlight w:val="none"/>
          <w:lang w:eastAsia="zh-CN"/>
        </w:rPr>
        <w:t>评审</w:t>
      </w:r>
      <w:r>
        <w:rPr>
          <w:rFonts w:hint="default" w:ascii="Times New Roman" w:hAnsi="Times New Roman" w:cs="Times New Roman"/>
          <w:color w:val="auto"/>
          <w:kern w:val="0"/>
          <w:szCs w:val="21"/>
          <w:highlight w:val="none"/>
        </w:rPr>
        <w:t>报告。</w:t>
      </w:r>
    </w:p>
    <w:p>
      <w:pPr>
        <w:rPr>
          <w:rFonts w:hint="eastAsia" w:ascii="宋体" w:hAnsi="宋体" w:cs="宋体"/>
          <w:szCs w:val="21"/>
          <w:highlight w:val="none"/>
        </w:rPr>
      </w:pPr>
    </w:p>
    <w:p>
      <w:pPr>
        <w:rPr>
          <w:rFonts w:hint="eastAsia" w:ascii="宋体" w:hAnsi="宋体" w:cs="宋体"/>
          <w:szCs w:val="21"/>
          <w:highlight w:val="none"/>
        </w:rPr>
      </w:pPr>
    </w:p>
    <w:p>
      <w:pPr>
        <w:rPr>
          <w:rStyle w:val="83"/>
          <w:highlight w:val="none"/>
        </w:rPr>
      </w:pPr>
      <w:r>
        <w:rPr>
          <w:rFonts w:hint="eastAsia" w:ascii="宋体" w:hAnsi="宋体" w:cs="宋体"/>
          <w:szCs w:val="21"/>
          <w:highlight w:val="none"/>
        </w:rPr>
        <w:br w:type="page"/>
      </w:r>
    </w:p>
    <w:p>
      <w:pPr>
        <w:pStyle w:val="3"/>
        <w:numPr>
          <w:ilvl w:val="0"/>
          <w:numId w:val="3"/>
        </w:numPr>
        <w:spacing w:before="0" w:after="0" w:line="360" w:lineRule="auto"/>
        <w:jc w:val="center"/>
        <w:rPr>
          <w:rFonts w:ascii="宋体" w:hAnsi="宋体" w:cs="宋体"/>
          <w:highlight w:val="none"/>
        </w:rPr>
      </w:pPr>
      <w:bookmarkStart w:id="802" w:name="_Toc4603"/>
      <w:r>
        <w:rPr>
          <w:rFonts w:hint="eastAsia" w:ascii="宋体" w:hAnsi="宋体" w:cs="宋体"/>
          <w:highlight w:val="none"/>
        </w:rPr>
        <w:t>报价说明</w:t>
      </w:r>
      <w:bookmarkEnd w:id="802"/>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清单应与本工程竞争性比选文件、技术标准和要求等文件结合起来查阅与理解。</w:t>
      </w:r>
    </w:p>
    <w:p>
      <w:pPr>
        <w:pStyle w:val="29"/>
        <w:spacing w:line="380" w:lineRule="exact"/>
        <w:ind w:firstLine="420" w:firstLineChars="200"/>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rPr>
        <w:t>2、本项目所报含税单位为</w:t>
      </w:r>
      <w:r>
        <w:rPr>
          <w:rFonts w:hint="eastAsia" w:ascii="宋体" w:hAnsi="宋体" w:cs="宋体"/>
          <w:b w:val="0"/>
          <w:bCs w:val="0"/>
          <w:sz w:val="21"/>
          <w:szCs w:val="21"/>
          <w:highlight w:val="none"/>
          <w:lang w:val="en-US" w:eastAsia="zh-CN"/>
        </w:rPr>
        <w:t>综合单价，</w:t>
      </w:r>
      <w:r>
        <w:rPr>
          <w:rFonts w:hint="eastAsia" w:ascii="宋体" w:hAnsi="宋体" w:eastAsia="宋体" w:cs="宋体"/>
          <w:b w:val="0"/>
          <w:bCs w:val="0"/>
          <w:sz w:val="21"/>
          <w:szCs w:val="21"/>
          <w:highlight w:val="none"/>
          <w:lang w:val="en-US" w:eastAsia="zh-CN"/>
        </w:rPr>
        <w:t>综合单价是指完成本项目所包含的全部服务和订阅内容所需的所有软硬件设备、中间件、第三方平台、第三方插件的永久授权及竞争性文件所包含的所有责任、义务和风险等各项费用，包括但不限于驻地办公、生活、交通（含差旅）、通讯、软硬件设施、劳动力、优化建议、与现有平台进行联调服务、保险、合理利润、规费税费、技术服务、售后服务等所有的直接费、间接费和风险费。</w:t>
      </w:r>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3、报价人应结合实际和现在的市场情况、自身技术及管理水平、经营状况、设备及制定的方案的要求自行报价，该报价不低于报价人完成该项目的成本。</w:t>
      </w:r>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4</w:t>
      </w:r>
      <w:r>
        <w:rPr>
          <w:rFonts w:hint="eastAsia" w:ascii="宋体" w:hAnsi="宋体" w:cs="宋体"/>
          <w:b w:val="0"/>
          <w:bCs w:val="0"/>
          <w:sz w:val="21"/>
          <w:szCs w:val="21"/>
          <w:highlight w:val="none"/>
        </w:rPr>
        <w:t>、对</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清单中的每一个细目，报价人均填单价和合价，对于未填入单价和合价的细目，其费用应视为已包括在</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清单中的其他细目的单价和合价中，报价人必须按采购人指令完成</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清单中未填入单价和合价的细目，但不能得到结算与支付，报价人的总报价应是所有费用的汇总。</w:t>
      </w:r>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5</w:t>
      </w:r>
      <w:r>
        <w:rPr>
          <w:rFonts w:hint="eastAsia" w:ascii="宋体" w:hAnsi="宋体" w:cs="宋体"/>
          <w:b w:val="0"/>
          <w:bCs w:val="0"/>
          <w:sz w:val="21"/>
          <w:szCs w:val="21"/>
          <w:highlight w:val="none"/>
        </w:rPr>
        <w:t>、</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清单中的任何内容不得随意删除或涂改，若有误，在有效时间内书面向采购人提出，以“补遗”资料为准。</w:t>
      </w:r>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6</w:t>
      </w:r>
      <w:r>
        <w:rPr>
          <w:rFonts w:hint="eastAsia" w:ascii="宋体" w:hAnsi="宋体" w:cs="宋体"/>
          <w:b w:val="0"/>
          <w:bCs w:val="0"/>
          <w:sz w:val="21"/>
          <w:szCs w:val="21"/>
          <w:highlight w:val="none"/>
        </w:rPr>
        <w:t>、在合同执行过程中，如因国家税务政策调整，当增值税税率提高，含税总价不变；当增值税税率降低，不含税总价不变，并相应减少增值税金额。</w:t>
      </w:r>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7</w:t>
      </w:r>
      <w:r>
        <w:rPr>
          <w:rFonts w:hint="eastAsia" w:ascii="宋体" w:hAnsi="宋体" w:cs="宋体"/>
          <w:b w:val="0"/>
          <w:bCs w:val="0"/>
          <w:sz w:val="21"/>
          <w:szCs w:val="21"/>
          <w:highlight w:val="none"/>
        </w:rPr>
        <w:t>、报价中的单价和合价全部以人民币（元）表示。</w:t>
      </w:r>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8</w:t>
      </w:r>
      <w:r>
        <w:rPr>
          <w:rFonts w:hint="eastAsia" w:ascii="宋体" w:hAnsi="宋体" w:cs="宋体"/>
          <w:b w:val="0"/>
          <w:bCs w:val="0"/>
          <w:sz w:val="21"/>
          <w:szCs w:val="21"/>
          <w:highlight w:val="none"/>
        </w:rPr>
        <w:t>、对于报价人报价中明显高于市场价的单项报价，采购人有权进行价格审核后调整。调整后应以取得报价人的同意，并确认修正后的最终报价。如果报价人拒绝确认，则其竞争性响应文件将不予评审。</w:t>
      </w:r>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9</w:t>
      </w:r>
      <w:r>
        <w:rPr>
          <w:rFonts w:hint="eastAsia" w:ascii="宋体" w:hAnsi="宋体" w:cs="宋体"/>
          <w:b w:val="0"/>
          <w:bCs w:val="0"/>
          <w:sz w:val="21"/>
          <w:szCs w:val="21"/>
          <w:highlight w:val="none"/>
        </w:rPr>
        <w:t>、合同为单价合同，合同期间不予调价。</w:t>
      </w:r>
    </w:p>
    <w:p>
      <w:pPr>
        <w:pStyle w:val="18"/>
        <w:spacing w:line="360" w:lineRule="auto"/>
        <w:ind w:firstLine="420" w:firstLineChars="200"/>
        <w:rPr>
          <w:rFonts w:ascii="宋体" w:hAnsi="宋体" w:cs="宋体"/>
          <w:sz w:val="21"/>
          <w:szCs w:val="21"/>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s="宋体"/>
          <w:sz w:val="21"/>
          <w:szCs w:val="21"/>
          <w:highlight w:val="none"/>
          <w:lang w:val="en-US" w:eastAsia="zh-CN"/>
        </w:rPr>
        <w:t>10</w:t>
      </w:r>
      <w:r>
        <w:rPr>
          <w:rFonts w:hint="eastAsia" w:ascii="宋体" w:hAnsi="宋体" w:cs="宋体"/>
          <w:sz w:val="21"/>
          <w:szCs w:val="21"/>
          <w:highlight w:val="none"/>
        </w:rPr>
        <w:t>、报价人应严格按照</w:t>
      </w:r>
      <w:r>
        <w:rPr>
          <w:rFonts w:hint="eastAsia" w:ascii="宋体" w:hAnsi="宋体" w:cs="宋体"/>
          <w:b w:val="0"/>
          <w:bCs w:val="0"/>
          <w:sz w:val="21"/>
          <w:szCs w:val="21"/>
          <w:highlight w:val="none"/>
          <w:lang w:val="en-US" w:eastAsia="zh-CN"/>
        </w:rPr>
        <w:t>服务</w:t>
      </w:r>
      <w:r>
        <w:rPr>
          <w:rFonts w:hint="eastAsia" w:ascii="宋体" w:hAnsi="宋体" w:cs="宋体"/>
          <w:sz w:val="21"/>
          <w:szCs w:val="21"/>
          <w:highlight w:val="none"/>
        </w:rPr>
        <w:t>清单进行报价，不得随意修改采购人发布的</w:t>
      </w:r>
      <w:r>
        <w:rPr>
          <w:rFonts w:hint="eastAsia" w:ascii="宋体" w:hAnsi="宋体" w:cs="宋体"/>
          <w:b w:val="0"/>
          <w:bCs w:val="0"/>
          <w:sz w:val="21"/>
          <w:szCs w:val="21"/>
          <w:highlight w:val="none"/>
          <w:lang w:val="en-US" w:eastAsia="zh-CN"/>
        </w:rPr>
        <w:t>服务</w:t>
      </w:r>
      <w:r>
        <w:rPr>
          <w:rFonts w:hint="eastAsia" w:ascii="宋体" w:hAnsi="宋体" w:cs="宋体"/>
          <w:sz w:val="21"/>
          <w:szCs w:val="21"/>
          <w:highlight w:val="none"/>
        </w:rPr>
        <w:t>清单数量、公式及相关内容</w:t>
      </w:r>
    </w:p>
    <w:p>
      <w:pPr>
        <w:rPr>
          <w:highlight w:val="none"/>
        </w:rPr>
      </w:pPr>
    </w:p>
    <w:p>
      <w:pPr>
        <w:pStyle w:val="3"/>
        <w:numPr>
          <w:ilvl w:val="0"/>
          <w:numId w:val="3"/>
        </w:numPr>
        <w:spacing w:before="0" w:after="0" w:line="360" w:lineRule="auto"/>
        <w:jc w:val="center"/>
        <w:rPr>
          <w:highlight w:val="none"/>
        </w:rPr>
      </w:pPr>
      <w:bookmarkStart w:id="803" w:name="_Toc9263"/>
      <w:r>
        <w:rPr>
          <w:rFonts w:hint="eastAsia" w:ascii="宋体" w:hAnsi="宋体" w:cs="宋体"/>
          <w:highlight w:val="none"/>
        </w:rPr>
        <w:t>采购清单</w:t>
      </w:r>
      <w:bookmarkEnd w:id="803"/>
    </w:p>
    <w:p>
      <w:pPr>
        <w:rPr>
          <w:rFonts w:hint="default" w:eastAsia="宋体"/>
          <w:highlight w:val="none"/>
          <w:lang w:val="en-US" w:eastAsia="zh-CN"/>
        </w:rPr>
      </w:pPr>
      <w:r>
        <w:rPr>
          <w:rFonts w:hint="eastAsia" w:ascii="宋体" w:hAnsi="宋体" w:cs="宋体"/>
          <w:highlight w:val="none"/>
          <w:lang w:val="en-US" w:eastAsia="zh-CN"/>
        </w:rPr>
        <w:t xml:space="preserve">                                                                    单位：人名币元</w:t>
      </w:r>
    </w:p>
    <w:tbl>
      <w:tblPr>
        <w:tblStyle w:val="44"/>
        <w:tblpPr w:leftFromText="180" w:rightFromText="180" w:vertAnchor="text" w:horzAnchor="page" w:tblpXSpec="center" w:tblpY="318"/>
        <w:tblOverlap w:val="never"/>
        <w:tblW w:w="100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72"/>
        <w:gridCol w:w="1880"/>
        <w:gridCol w:w="808"/>
        <w:gridCol w:w="808"/>
        <w:gridCol w:w="854"/>
        <w:gridCol w:w="1419"/>
        <w:gridCol w:w="1488"/>
        <w:gridCol w:w="2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4" w:hRule="atLeast"/>
          <w:jc w:val="center"/>
        </w:trPr>
        <w:tc>
          <w:tcPr>
            <w:tcW w:w="672" w:type="dxa"/>
            <w:tcBorders>
              <w:tl2br w:val="nil"/>
              <w:tr2bl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序号</w:t>
            </w:r>
          </w:p>
        </w:tc>
        <w:tc>
          <w:tcPr>
            <w:tcW w:w="18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服务名称</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数量</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单位</w:t>
            </w:r>
          </w:p>
        </w:tc>
        <w:tc>
          <w:tcPr>
            <w:tcW w:w="8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税率</w:t>
            </w:r>
          </w:p>
        </w:tc>
        <w:tc>
          <w:tcPr>
            <w:tcW w:w="14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含税限价</w:t>
            </w:r>
          </w:p>
        </w:tc>
        <w:tc>
          <w:tcPr>
            <w:tcW w:w="14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lang w:val="en-US" w:eastAsia="zh-CN"/>
              </w:rPr>
            </w:pPr>
            <w:r>
              <w:rPr>
                <w:rFonts w:hint="eastAsia" w:ascii="微软雅黑" w:hAnsi="微软雅黑" w:eastAsia="微软雅黑" w:cs="微软雅黑"/>
                <w:b/>
                <w:bCs/>
                <w:i w:val="0"/>
                <w:iCs w:val="0"/>
                <w:color w:val="000000"/>
                <w:sz w:val="24"/>
                <w:szCs w:val="24"/>
                <w:highlight w:val="none"/>
                <w:u w:val="none"/>
                <w:lang w:val="en-US" w:eastAsia="zh-CN"/>
              </w:rPr>
              <w:t>限价金额</w:t>
            </w:r>
          </w:p>
        </w:tc>
        <w:tc>
          <w:tcPr>
            <w:tcW w:w="2123"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4"/>
                <w:szCs w:val="24"/>
                <w:highlight w:val="none"/>
                <w:u w:val="none"/>
                <w:lang w:val="en-US" w:eastAsia="zh-CN" w:bidi="ar"/>
              </w:rPr>
            </w:pPr>
            <w:r>
              <w:rPr>
                <w:rFonts w:hint="eastAsia" w:ascii="微软雅黑" w:hAnsi="微软雅黑" w:eastAsia="微软雅黑" w:cs="微软雅黑"/>
                <w:b/>
                <w:bCs/>
                <w:i w:val="0"/>
                <w:iCs w:val="0"/>
                <w:color w:val="000000"/>
                <w:kern w:val="0"/>
                <w:sz w:val="24"/>
                <w:szCs w:val="24"/>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77" w:hRule="atLeast"/>
          <w:jc w:val="center"/>
        </w:trPr>
        <w:tc>
          <w:tcPr>
            <w:tcW w:w="6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18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威胁检测服务</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年</w:t>
            </w:r>
          </w:p>
        </w:tc>
        <w:tc>
          <w:tcPr>
            <w:tcW w:w="8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w:t>
            </w:r>
          </w:p>
        </w:tc>
        <w:tc>
          <w:tcPr>
            <w:tcW w:w="14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100200</w:t>
            </w:r>
          </w:p>
        </w:tc>
        <w:tc>
          <w:tcPr>
            <w:tcW w:w="14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100200</w:t>
            </w:r>
          </w:p>
        </w:tc>
        <w:tc>
          <w:tcPr>
            <w:tcW w:w="21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1" w:hRule="atLeast"/>
          <w:jc w:val="center"/>
        </w:trPr>
        <w:tc>
          <w:tcPr>
            <w:tcW w:w="6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18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威胁检测平台威胁感知模块订阅</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年</w:t>
            </w:r>
          </w:p>
        </w:tc>
        <w:tc>
          <w:tcPr>
            <w:tcW w:w="8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w:t>
            </w:r>
          </w:p>
        </w:tc>
        <w:tc>
          <w:tcPr>
            <w:tcW w:w="14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261660</w:t>
            </w:r>
          </w:p>
        </w:tc>
        <w:tc>
          <w:tcPr>
            <w:tcW w:w="14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261660</w:t>
            </w:r>
          </w:p>
        </w:tc>
        <w:tc>
          <w:tcPr>
            <w:tcW w:w="21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4" w:hRule="atLeast"/>
          <w:jc w:val="center"/>
        </w:trPr>
        <w:tc>
          <w:tcPr>
            <w:tcW w:w="6441" w:type="dxa"/>
            <w:gridSpan w:val="6"/>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合计</w:t>
            </w:r>
          </w:p>
        </w:tc>
        <w:tc>
          <w:tcPr>
            <w:tcW w:w="14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 xml:space="preserve">361860.00 </w:t>
            </w:r>
          </w:p>
        </w:tc>
        <w:tc>
          <w:tcPr>
            <w:tcW w:w="21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p>
        </w:tc>
      </w:tr>
    </w:tbl>
    <w:p>
      <w:pPr>
        <w:rPr>
          <w:highlight w:val="none"/>
        </w:rPr>
        <w:sectPr>
          <w:footerReference r:id="rId9" w:type="default"/>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19" w:charSpace="0"/>
        </w:sectPr>
      </w:pPr>
    </w:p>
    <w:p>
      <w:pPr>
        <w:pStyle w:val="2"/>
        <w:jc w:val="both"/>
        <w:rPr>
          <w:highlight w:val="none"/>
        </w:rPr>
      </w:pPr>
    </w:p>
    <w:p>
      <w:pPr>
        <w:pStyle w:val="3"/>
        <w:numPr>
          <w:ilvl w:val="0"/>
          <w:numId w:val="3"/>
        </w:numPr>
        <w:spacing w:before="0" w:after="0" w:line="360" w:lineRule="auto"/>
        <w:jc w:val="center"/>
        <w:rPr>
          <w:rFonts w:hint="eastAsia" w:ascii="宋体" w:hAnsi="宋体" w:cs="宋体"/>
          <w:highlight w:val="none"/>
        </w:rPr>
      </w:pPr>
      <w:bookmarkStart w:id="804" w:name="_Toc25880"/>
      <w:bookmarkStart w:id="805" w:name="_Toc246997097"/>
      <w:bookmarkStart w:id="806" w:name="_Toc152042575"/>
      <w:bookmarkStart w:id="807" w:name="_Toc144974855"/>
      <w:bookmarkStart w:id="808" w:name="_Toc179632806"/>
      <w:bookmarkStart w:id="809" w:name="_Toc247085872"/>
      <w:bookmarkStart w:id="810" w:name="_Toc246996354"/>
      <w:bookmarkStart w:id="811" w:name="_Toc152045786"/>
      <w:r>
        <w:rPr>
          <w:rFonts w:hint="eastAsia" w:ascii="宋体" w:hAnsi="宋体" w:cs="宋体"/>
          <w:highlight w:val="none"/>
        </w:rPr>
        <w:t>技术标准</w:t>
      </w:r>
      <w:bookmarkEnd w:id="804"/>
    </w:p>
    <w:bookmarkEnd w:id="805"/>
    <w:bookmarkEnd w:id="806"/>
    <w:bookmarkEnd w:id="807"/>
    <w:bookmarkEnd w:id="808"/>
    <w:bookmarkEnd w:id="809"/>
    <w:bookmarkEnd w:id="810"/>
    <w:bookmarkEnd w:id="811"/>
    <w:tbl>
      <w:tblPr>
        <w:tblStyle w:val="44"/>
        <w:tblW w:w="10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713"/>
        <w:gridCol w:w="1792"/>
        <w:gridCol w:w="6611"/>
        <w:gridCol w:w="9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9" w:hRule="atLeast"/>
          <w:jc w:val="center"/>
        </w:trPr>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highlight w:val="none"/>
                <w:u w:val="none"/>
              </w:rPr>
            </w:pPr>
            <w:bookmarkStart w:id="812" w:name="_Toc514430114"/>
            <w:bookmarkStart w:id="813" w:name="_Toc2000412"/>
            <w:bookmarkStart w:id="814" w:name="_Toc514858708"/>
            <w:bookmarkStart w:id="815" w:name="_Toc152042576"/>
            <w:bookmarkStart w:id="816" w:name="_Toc507320039"/>
            <w:bookmarkStart w:id="817" w:name="_Toc144974856"/>
            <w:bookmarkStart w:id="818" w:name="_Toc246997098"/>
            <w:bookmarkStart w:id="819" w:name="_Toc247085873"/>
            <w:bookmarkStart w:id="820" w:name="_Toc246996355"/>
            <w:bookmarkStart w:id="821" w:name="_Toc179632807"/>
            <w:bookmarkStart w:id="822" w:name="_Toc152045787"/>
            <w:r>
              <w:rPr>
                <w:rFonts w:hint="eastAsia" w:ascii="微软雅黑" w:hAnsi="微软雅黑" w:eastAsia="微软雅黑" w:cs="微软雅黑"/>
                <w:b/>
                <w:bCs/>
                <w:i w:val="0"/>
                <w:iCs w:val="0"/>
                <w:color w:val="000000"/>
                <w:kern w:val="0"/>
                <w:sz w:val="24"/>
                <w:szCs w:val="24"/>
                <w:highlight w:val="none"/>
                <w:u w:val="none"/>
                <w:lang w:val="en-US" w:eastAsia="zh-CN" w:bidi="ar"/>
              </w:rPr>
              <w:t>序号</w:t>
            </w:r>
          </w:p>
        </w:tc>
        <w:tc>
          <w:tcPr>
            <w:tcW w:w="17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服务名称</w:t>
            </w:r>
          </w:p>
        </w:tc>
        <w:tc>
          <w:tcPr>
            <w:tcW w:w="66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4"/>
                <w:szCs w:val="24"/>
                <w:highlight w:val="none"/>
                <w:u w:val="none"/>
                <w:lang w:val="en-US"/>
              </w:rPr>
            </w:pPr>
            <w:r>
              <w:rPr>
                <w:rFonts w:hint="eastAsia" w:ascii="微软雅黑" w:hAnsi="微软雅黑" w:eastAsia="微软雅黑" w:cs="微软雅黑"/>
                <w:b/>
                <w:bCs/>
                <w:i w:val="0"/>
                <w:iCs w:val="0"/>
                <w:color w:val="000000"/>
                <w:kern w:val="0"/>
                <w:sz w:val="24"/>
                <w:szCs w:val="24"/>
                <w:highlight w:val="none"/>
                <w:u w:val="none"/>
                <w:lang w:val="en-US" w:eastAsia="zh-CN" w:bidi="ar"/>
              </w:rPr>
              <w:t>服务内容</w:t>
            </w:r>
          </w:p>
        </w:tc>
        <w:tc>
          <w:tcPr>
            <w:tcW w:w="936"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4"/>
                <w:szCs w:val="24"/>
                <w:highlight w:val="none"/>
                <w:u w:val="none"/>
                <w:lang w:val="en-US" w:eastAsia="zh-CN" w:bidi="ar"/>
              </w:rPr>
            </w:pPr>
            <w:r>
              <w:rPr>
                <w:rFonts w:hint="eastAsia" w:ascii="微软雅黑" w:hAnsi="微软雅黑" w:eastAsia="微软雅黑" w:cs="微软雅黑"/>
                <w:b/>
                <w:bCs/>
                <w:i w:val="0"/>
                <w:iCs w:val="0"/>
                <w:color w:val="000000"/>
                <w:kern w:val="0"/>
                <w:sz w:val="24"/>
                <w:szCs w:val="24"/>
                <w:highlight w:val="none"/>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588" w:hRule="atLeast"/>
          <w:jc w:val="center"/>
        </w:trPr>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17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威胁检测服务</w:t>
            </w:r>
          </w:p>
        </w:tc>
        <w:tc>
          <w:tcPr>
            <w:tcW w:w="6611" w:type="dxa"/>
            <w:tcBorders>
              <w:tl2br w:val="nil"/>
              <w:tr2bl w:val="nil"/>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 提供国家攻防演练专项人员驻场支持服务和重大活动的重保支持服务。</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国家攻防演练期间24小时驻场监控响应服务，包括事件研判溯源分析等</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重大活动现场支持服务</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2. 提供威胁情报分析服务，帮助企业识别和应对最新的威胁情报。</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收集和分析全球最新的威胁情报信息</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提供定期的威胁情报报告，帮助企业了解当前的威胁态势</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针对企业特定的威胁情报需求，提供定制化的分析服务（需提供工具的界面截图）</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3. 提供的安全监控和响应服务，确保在任何时间都能及时发现和处理安全事件。</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全天候安全监控，实时检测和响应安全事件</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提供安全事件的实时告警和处理建议</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安全事件的快速响应和处置，减少安全事件的影响</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4. 提供定期的安全评估和审计服务，帮助企业发现和修复潜在的安全漏洞。</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定期进行安全评估，发现系统中的安全漏洞和风险</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提供详细的安全评估报告和修复建议</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协助企业进行安全漏洞的修复和验证</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5. 提供安全事件的取证和分析服务，帮助企业在发生安全事件后进行详细的调查和取证。</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对安全事件进行详细的取证和分析</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提供安全事件的调查报告和改进建议</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协助企业进行安全事件的后续处理和改进</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6. 提供安全设备的联调配置和优化服务，确保云资源安全设备能够发挥最佳性能。</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安全设备的安装和配置服务</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定期对安全设备进行优化和维护</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提供安全设备的性能监控和调优服务</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服务工具需自动识别常见云上应用及服务，如存储桶、虚拟机、数据库、云函数，包括但不限于AWS、阿里云、UCloud、腾讯云、华为云、百度云、京东云等（需提供工具的界面截图）</w:t>
            </w:r>
          </w:p>
        </w:tc>
        <w:tc>
          <w:tcPr>
            <w:tcW w:w="936" w:type="dxa"/>
            <w:tcBorders>
              <w:tl2br w:val="nil"/>
              <w:tr2bl w:val="nil"/>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603" w:hRule="atLeast"/>
          <w:jc w:val="center"/>
        </w:trPr>
        <w:tc>
          <w:tcPr>
            <w:tcW w:w="71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17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威胁检测平台威胁感知模块订阅</w:t>
            </w:r>
          </w:p>
        </w:tc>
        <w:tc>
          <w:tcPr>
            <w:tcW w:w="6611" w:type="dxa"/>
            <w:tcBorders>
              <w:tl2br w:val="nil"/>
              <w:tr2bl w:val="nil"/>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1.针对外部攻击行为、内部失陷主机外联行为、内网渗透行为进行全面分析，保证告警的高精准度，达到减少安全成本，聚焦真实威胁的效果。</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2.基于精准的APT情报，结合攻击时常、黑IP的关联行为等分析维度，及时准确地发现针对性攻击。对于所有攻击数据、可疑行为、以及完整的攻击过程提供完整的全流量存储和查询操作。</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3.并实现对黑客入侵过程的完整回溯，对攻击影响面的自动研判，以及对资产情况的自动化收集。最终达成聚焦真实威胁、减少运营压力，清晰呈现企业攻防边界的目的。</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4.服务期内提供故障处理恢复、平台升级维护，每年按需提供至少两次巡检服务，损耗件更换及相关技术咨询服务。</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5.提供双向全流量检测服务，覆盖请求和返回流量，同时检测向外请求。动态分级存储策略，保存高价值告警信息。（需提供工具的界面截图）</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6.提供对常见高危的0day漏洞进行检测服务 ，并提供企业当前遭受0day威胁情况。（需提供工具的界面截图）</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7.提供自动化识别web应用及框架服务，并提供分析。</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8.梳理企业中存在的上传接口，识别接口是否对外开放、是否为新上线接口、接口是否已被攻击、接口是否上传过威胁文件，并且可查看上传接口的reference地址及相关日志</w:t>
            </w:r>
          </w:p>
        </w:tc>
        <w:tc>
          <w:tcPr>
            <w:tcW w:w="936" w:type="dxa"/>
            <w:tcBorders>
              <w:tl2br w:val="nil"/>
              <w:tr2bl w:val="nil"/>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p>
        </w:tc>
      </w:tr>
    </w:tbl>
    <w:p>
      <w:pPr>
        <w:pStyle w:val="3"/>
        <w:spacing w:before="0" w:after="0" w:line="360" w:lineRule="auto"/>
        <w:jc w:val="center"/>
        <w:rPr>
          <w:rFonts w:ascii="宋体" w:hAnsi="宋体" w:cs="宋体"/>
          <w:highlight w:val="none"/>
        </w:rPr>
      </w:pPr>
      <w:r>
        <w:rPr>
          <w:rFonts w:hint="eastAsia" w:ascii="宋体" w:hAnsi="宋体" w:cs="宋体"/>
          <w:highlight w:val="none"/>
        </w:rPr>
        <w:br w:type="page"/>
      </w:r>
      <w:bookmarkEnd w:id="812"/>
      <w:bookmarkEnd w:id="813"/>
      <w:bookmarkEnd w:id="814"/>
    </w:p>
    <w:p>
      <w:pPr>
        <w:pStyle w:val="3"/>
        <w:numPr>
          <w:ilvl w:val="0"/>
          <w:numId w:val="3"/>
        </w:numPr>
        <w:spacing w:before="0" w:after="0" w:line="360" w:lineRule="auto"/>
        <w:jc w:val="center"/>
        <w:rPr>
          <w:highlight w:val="none"/>
        </w:rPr>
      </w:pPr>
      <w:r>
        <w:rPr>
          <w:rFonts w:hint="eastAsia" w:ascii="宋体" w:hAnsi="宋体" w:cs="宋体"/>
          <w:highlight w:val="none"/>
        </w:rPr>
        <w:t xml:space="preserve"> </w:t>
      </w:r>
      <w:bookmarkStart w:id="823" w:name="_Toc8705"/>
      <w:r>
        <w:rPr>
          <w:rFonts w:hint="eastAsia" w:ascii="宋体" w:hAnsi="宋体" w:cs="宋体"/>
          <w:highlight w:val="none"/>
        </w:rPr>
        <w:t>合同范本</w:t>
      </w:r>
      <w:bookmarkEnd w:id="823"/>
    </w:p>
    <w:p>
      <w:pPr>
        <w:pStyle w:val="2"/>
        <w:jc w:val="center"/>
        <w:rPr>
          <w:rFonts w:hint="eastAsia"/>
          <w:highlight w:val="none"/>
          <w:lang w:val="en-US" w:eastAsia="zh-CN"/>
        </w:rPr>
      </w:pPr>
      <w:r>
        <w:rPr>
          <w:rFonts w:hint="eastAsia"/>
          <w:highlight w:val="none"/>
          <w:lang w:val="en-US" w:eastAsia="zh-CN"/>
        </w:rPr>
        <w:t>详见附件</w:t>
      </w: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highlight w:val="none"/>
        </w:rPr>
      </w:pPr>
    </w:p>
    <w:p>
      <w:pPr>
        <w:spacing w:line="500" w:lineRule="exact"/>
        <w:jc w:val="center"/>
        <w:rPr>
          <w:b/>
          <w:sz w:val="44"/>
          <w:szCs w:val="44"/>
          <w:highlight w:val="none"/>
        </w:rPr>
      </w:pPr>
    </w:p>
    <w:p>
      <w:pPr>
        <w:rPr>
          <w:highlight w:val="none"/>
        </w:rPr>
      </w:pPr>
      <w:bookmarkStart w:id="824" w:name="_Toc513633965"/>
    </w:p>
    <w:p>
      <w:pPr>
        <w:pStyle w:val="3"/>
        <w:numPr>
          <w:ilvl w:val="0"/>
          <w:numId w:val="3"/>
        </w:numPr>
        <w:spacing w:before="0" w:after="0" w:line="360" w:lineRule="auto"/>
        <w:jc w:val="center"/>
        <w:rPr>
          <w:rFonts w:ascii="宋体" w:hAnsi="宋体" w:cs="宋体"/>
          <w:highlight w:val="none"/>
        </w:rPr>
      </w:pPr>
      <w:bookmarkStart w:id="825" w:name="_Toc514858709"/>
      <w:bookmarkStart w:id="826" w:name="_Toc2000413"/>
      <w:bookmarkStart w:id="827" w:name="_Toc31175"/>
      <w:r>
        <w:rPr>
          <w:rFonts w:hint="eastAsia" w:ascii="宋体" w:hAnsi="宋体" w:cs="宋体"/>
          <w:highlight w:val="none"/>
        </w:rPr>
        <w:t>竞争性比选响应文件格式</w:t>
      </w:r>
      <w:bookmarkEnd w:id="824"/>
      <w:bookmarkEnd w:id="825"/>
      <w:bookmarkEnd w:id="826"/>
      <w:bookmarkEnd w:id="827"/>
    </w:p>
    <w:p>
      <w:pPr>
        <w:rPr>
          <w:rFonts w:ascii="宋体" w:hAnsi="宋体" w:cs="宋体"/>
          <w:highlight w:val="none"/>
        </w:rPr>
      </w:pPr>
    </w:p>
    <w:p>
      <w:pPr>
        <w:rPr>
          <w:rFonts w:ascii="宋体" w:hAnsi="宋体" w:cs="宋体"/>
          <w:highlight w:val="none"/>
        </w:rPr>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828" w:name="_Toc513633967"/>
      <w:bookmarkStart w:id="829" w:name="_Toc503951046"/>
      <w:bookmarkStart w:id="830" w:name="_Toc514858710"/>
      <w:bookmarkStart w:id="831" w:name="_Toc503971829"/>
      <w:bookmarkStart w:id="832" w:name="_Toc513646738"/>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828"/>
      <w:bookmarkEnd w:id="829"/>
      <w:bookmarkEnd w:id="830"/>
      <w:bookmarkEnd w:id="831"/>
      <w:bookmarkEnd w:id="832"/>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pStyle w:val="4"/>
        <w:jc w:val="center"/>
        <w:rPr>
          <w:rFonts w:ascii="宋体" w:hAnsi="宋体" w:eastAsia="宋体" w:cs="宋体"/>
          <w:highlight w:val="none"/>
        </w:rPr>
      </w:pPr>
      <w:bookmarkStart w:id="833" w:name="_Toc5459"/>
      <w:bookmarkStart w:id="834" w:name="_Toc28780"/>
      <w:bookmarkStart w:id="835" w:name="_Toc26420"/>
      <w:bookmarkStart w:id="836" w:name="_Toc11329273"/>
      <w:bookmarkStart w:id="837" w:name="_Toc24224"/>
      <w:bookmarkStart w:id="838" w:name="_Toc1368"/>
      <w:r>
        <w:rPr>
          <w:rFonts w:hint="eastAsia" w:ascii="宋体" w:hAnsi="宋体" w:eastAsia="宋体" w:cs="宋体"/>
          <w:highlight w:val="none"/>
        </w:rPr>
        <w:t>目    录</w:t>
      </w:r>
      <w:bookmarkEnd w:id="815"/>
      <w:bookmarkEnd w:id="816"/>
      <w:bookmarkEnd w:id="817"/>
      <w:bookmarkEnd w:id="818"/>
      <w:bookmarkEnd w:id="819"/>
      <w:bookmarkEnd w:id="820"/>
      <w:bookmarkEnd w:id="821"/>
      <w:bookmarkEnd w:id="822"/>
      <w:bookmarkEnd w:id="833"/>
      <w:bookmarkEnd w:id="834"/>
      <w:bookmarkEnd w:id="835"/>
      <w:bookmarkEnd w:id="836"/>
      <w:bookmarkEnd w:id="837"/>
      <w:bookmarkEnd w:id="838"/>
    </w:p>
    <w:p>
      <w:pPr>
        <w:numPr>
          <w:ilvl w:val="0"/>
          <w:numId w:val="5"/>
        </w:numPr>
        <w:spacing w:line="400" w:lineRule="exact"/>
        <w:rPr>
          <w:rFonts w:ascii="宋体" w:hAnsi="宋体" w:cs="宋体"/>
          <w:highlight w:val="none"/>
        </w:rPr>
      </w:pPr>
      <w:r>
        <w:rPr>
          <w:rFonts w:hint="eastAsia" w:ascii="宋体" w:hAnsi="宋体" w:cs="宋体"/>
          <w:highlight w:val="none"/>
        </w:rPr>
        <w:t>竞争性响应声明书</w:t>
      </w:r>
    </w:p>
    <w:p>
      <w:pPr>
        <w:numPr>
          <w:ilvl w:val="0"/>
          <w:numId w:val="5"/>
        </w:numPr>
        <w:spacing w:line="400" w:lineRule="exact"/>
        <w:rPr>
          <w:rFonts w:ascii="宋体" w:hAnsi="宋体" w:cs="宋体"/>
          <w:highlight w:val="none"/>
        </w:rPr>
      </w:pPr>
      <w:r>
        <w:rPr>
          <w:rFonts w:ascii="宋体" w:hAnsi="宋体" w:cs="宋体"/>
          <w:highlight w:val="none"/>
        </w:rPr>
        <w:t>法定代表人身份证明或法定代表人授权委托书</w:t>
      </w:r>
    </w:p>
    <w:p>
      <w:pPr>
        <w:spacing w:line="400" w:lineRule="exact"/>
        <w:rPr>
          <w:rFonts w:ascii="宋体" w:hAnsi="宋体" w:cs="宋体"/>
          <w:highlight w:val="none"/>
        </w:rPr>
      </w:pPr>
      <w:r>
        <w:rPr>
          <w:rFonts w:hint="eastAsia" w:ascii="宋体" w:hAnsi="宋体" w:cs="宋体"/>
          <w:highlight w:val="none"/>
        </w:rPr>
        <w:t>三、报价一览表</w:t>
      </w:r>
    </w:p>
    <w:p>
      <w:pPr>
        <w:spacing w:line="400" w:lineRule="exact"/>
        <w:rPr>
          <w:rFonts w:ascii="宋体" w:hAnsi="宋体" w:cs="宋体"/>
          <w:highlight w:val="none"/>
        </w:rPr>
      </w:pPr>
      <w:r>
        <w:rPr>
          <w:rFonts w:hint="eastAsia" w:ascii="宋体" w:hAnsi="宋体" w:cs="宋体"/>
          <w:highlight w:val="none"/>
        </w:rPr>
        <w:t>四、审查资料</w:t>
      </w:r>
    </w:p>
    <w:p>
      <w:pPr>
        <w:spacing w:line="400" w:lineRule="exact"/>
        <w:rPr>
          <w:rFonts w:ascii="宋体" w:hAnsi="宋体" w:cs="宋体"/>
          <w:szCs w:val="21"/>
          <w:highlight w:val="none"/>
        </w:rPr>
      </w:pPr>
      <w:r>
        <w:rPr>
          <w:rFonts w:hint="eastAsia" w:ascii="宋体" w:hAnsi="宋体" w:cs="宋体"/>
          <w:highlight w:val="none"/>
        </w:rPr>
        <w:t>五、</w:t>
      </w:r>
      <w:r>
        <w:rPr>
          <w:rFonts w:hint="eastAsia" w:ascii="宋体" w:hAnsi="宋体" w:cs="宋体"/>
          <w:szCs w:val="21"/>
          <w:highlight w:val="none"/>
        </w:rPr>
        <w:t>报价人承诺</w:t>
      </w:r>
    </w:p>
    <w:p>
      <w:pPr>
        <w:spacing w:line="400" w:lineRule="exact"/>
        <w:rPr>
          <w:rFonts w:hint="eastAsia" w:ascii="宋体" w:hAnsi="宋体" w:cs="宋体"/>
          <w:highlight w:val="none"/>
        </w:rPr>
      </w:pPr>
      <w:r>
        <w:rPr>
          <w:rFonts w:hint="eastAsia" w:ascii="宋体" w:hAnsi="宋体" w:cs="宋体"/>
          <w:highlight w:val="none"/>
        </w:rPr>
        <w:t>六、报价人提供的其他资料（如有）</w:t>
      </w:r>
    </w:p>
    <w:p>
      <w:pPr>
        <w:spacing w:line="400" w:lineRule="exact"/>
        <w:rPr>
          <w:rFonts w:hint="eastAsia" w:ascii="宋体" w:hAnsi="宋体" w:cs="宋体"/>
          <w:highlight w:val="none"/>
        </w:rPr>
      </w:pPr>
      <w:r>
        <w:rPr>
          <w:rFonts w:hint="eastAsia" w:ascii="宋体" w:hAnsi="宋体" w:cs="宋体"/>
          <w:highlight w:val="none"/>
        </w:rPr>
        <w:t>七、低价风险担保提交承诺书（如有）</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numPr>
          <w:ilvl w:val="0"/>
          <w:numId w:val="6"/>
        </w:numPr>
        <w:spacing w:before="0" w:after="0" w:line="360" w:lineRule="auto"/>
        <w:jc w:val="center"/>
        <w:rPr>
          <w:rFonts w:ascii="宋体" w:hAnsi="宋体" w:eastAsia="宋体" w:cs="宋体"/>
          <w:sz w:val="28"/>
          <w:highlight w:val="none"/>
        </w:rPr>
      </w:pPr>
      <w:bookmarkStart w:id="839" w:name="_Toc25874"/>
      <w:bookmarkStart w:id="840" w:name="_Toc29547"/>
      <w:bookmarkStart w:id="841" w:name="_Toc25738"/>
      <w:bookmarkStart w:id="842" w:name="_Toc15863"/>
      <w:bookmarkStart w:id="843" w:name="_Toc28976"/>
      <w:bookmarkStart w:id="844" w:name="_Toc513633969"/>
      <w:bookmarkStart w:id="845" w:name="_Toc503951048"/>
      <w:bookmarkStart w:id="846" w:name="_Toc447827053"/>
      <w:r>
        <w:rPr>
          <w:rFonts w:hint="eastAsia" w:ascii="宋体" w:hAnsi="宋体" w:eastAsia="宋体" w:cs="宋体"/>
          <w:sz w:val="28"/>
          <w:highlight w:val="none"/>
        </w:rPr>
        <w:t>竞争比选响应声明书</w:t>
      </w:r>
      <w:bookmarkEnd w:id="839"/>
      <w:bookmarkEnd w:id="840"/>
      <w:bookmarkEnd w:id="841"/>
      <w:bookmarkEnd w:id="842"/>
      <w:bookmarkEnd w:id="843"/>
    </w:p>
    <w:p>
      <w:pPr>
        <w:tabs>
          <w:tab w:val="left" w:pos="900"/>
        </w:tabs>
        <w:spacing w:line="300" w:lineRule="auto"/>
        <w:rPr>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480" w:lineRule="auto"/>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w:t>
      </w:r>
      <w:r>
        <w:rPr>
          <w:rFonts w:hint="eastAsia" w:ascii="Arial" w:hAnsi="Arial" w:cs="Arial"/>
          <w:sz w:val="24"/>
          <w:highlight w:val="none"/>
          <w:u w:val="single"/>
        </w:rPr>
        <w:t>为XXXXX项目</w:t>
      </w:r>
      <w:r>
        <w:rPr>
          <w:rFonts w:hint="eastAsia" w:ascii="Arial" w:hAnsi="Arial" w:cs="Arial"/>
          <w:sz w:val="24"/>
          <w:highlight w:val="none"/>
        </w:rPr>
        <w:t>竞争比选项目</w:t>
      </w:r>
      <w:r>
        <w:rPr>
          <w:rFonts w:hint="eastAsia" w:ascii="Arial" w:hAnsi="Arial" w:cs="Arial"/>
          <w:color w:val="000000"/>
          <w:sz w:val="24"/>
          <w:highlight w:val="none"/>
        </w:rPr>
        <w:t>的竞争比选公告，签字代表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（竞争比选响应单位名称）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提交报价文件。</w:t>
      </w:r>
    </w:p>
    <w:p>
      <w:pPr>
        <w:spacing w:line="480" w:lineRule="auto"/>
        <w:ind w:firstLine="480" w:firstLineChars="200"/>
        <w:rPr>
          <w:rFonts w:ascii="Arial" w:hAnsi="Arial" w:cs="Arial"/>
          <w:color w:val="000000"/>
          <w:sz w:val="24"/>
          <w:highlight w:val="none"/>
        </w:rPr>
      </w:pPr>
      <w:r>
        <w:rPr>
          <w:rFonts w:hint="eastAsia" w:ascii="Arial" w:hAnsi="Arial" w:cs="Arial"/>
          <w:color w:val="000000"/>
          <w:sz w:val="24"/>
          <w:highlight w:val="none"/>
          <w:u w:val="single"/>
        </w:rPr>
        <w:t>我方愿以：           （大写：）的报价按照竞争比选文件的要求，提供本次竞争比选文件要求的</w:t>
      </w:r>
      <w:r>
        <w:rPr>
          <w:rFonts w:hint="eastAsia" w:ascii="Arial" w:hAnsi="Arial" w:cs="Arial"/>
          <w:color w:val="000000"/>
          <w:sz w:val="24"/>
          <w:highlight w:val="none"/>
          <w:u w:val="single"/>
          <w:lang w:val="en-US" w:eastAsia="zh-CN"/>
        </w:rPr>
        <w:t>材料设备</w:t>
      </w:r>
      <w:r>
        <w:rPr>
          <w:rFonts w:hint="eastAsia" w:ascii="Arial" w:hAnsi="Arial" w:cs="Arial"/>
          <w:color w:val="000000"/>
          <w:sz w:val="24"/>
          <w:highlight w:val="none"/>
          <w:u w:val="single"/>
        </w:rPr>
        <w:t>。</w:t>
      </w:r>
    </w:p>
    <w:p>
      <w:pPr>
        <w:tabs>
          <w:tab w:val="left" w:pos="540"/>
          <w:tab w:val="left" w:pos="900"/>
        </w:tabs>
        <w:spacing w:line="480" w:lineRule="auto"/>
        <w:ind w:firstLine="480" w:firstLineChars="200"/>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480" w:lineRule="auto"/>
        <w:ind w:firstLine="480" w:firstLineChars="200"/>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pPr>
        <w:tabs>
          <w:tab w:val="left" w:pos="900"/>
        </w:tabs>
        <w:spacing w:line="480" w:lineRule="auto"/>
        <w:ind w:firstLine="480" w:firstLineChars="200"/>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480" w:lineRule="auto"/>
        <w:ind w:firstLine="480" w:firstLineChars="200"/>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480" w:lineRule="auto"/>
        <w:ind w:firstLine="480" w:firstLineChars="200"/>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pPr>
        <w:tabs>
          <w:tab w:val="left" w:pos="900"/>
        </w:tabs>
        <w:spacing w:line="480" w:lineRule="auto"/>
        <w:ind w:firstLine="480" w:firstLineChars="200"/>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480" w:lineRule="auto"/>
        <w:ind w:firstLine="480" w:firstLineChars="200"/>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480" w:lineRule="auto"/>
        <w:ind w:firstLine="480" w:firstLineChars="200"/>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480" w:lineRule="auto"/>
        <w:ind w:firstLine="480" w:firstLineChars="200"/>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480" w:lineRule="auto"/>
        <w:ind w:firstLine="480" w:firstLineChars="200"/>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pPr>
        <w:tabs>
          <w:tab w:val="left" w:pos="900"/>
        </w:tabs>
        <w:spacing w:line="480" w:lineRule="auto"/>
        <w:ind w:firstLine="480" w:firstLineChars="200"/>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p>
    <w:p>
      <w:pPr>
        <w:pStyle w:val="4"/>
        <w:numPr>
          <w:ilvl w:val="0"/>
          <w:numId w:val="6"/>
        </w:numPr>
        <w:spacing w:before="0" w:after="0" w:line="360" w:lineRule="auto"/>
        <w:jc w:val="center"/>
        <w:rPr>
          <w:rFonts w:ascii="宋体" w:hAnsi="宋体" w:eastAsia="宋体" w:cs="宋体"/>
          <w:sz w:val="28"/>
          <w:highlight w:val="none"/>
        </w:rPr>
      </w:pPr>
      <w:bookmarkStart w:id="847" w:name="_Toc27815"/>
      <w:bookmarkStart w:id="848" w:name="_Toc2721"/>
      <w:bookmarkStart w:id="849" w:name="_Toc16435"/>
      <w:bookmarkStart w:id="850" w:name="_Toc491883232"/>
      <w:r>
        <w:rPr>
          <w:rFonts w:hint="eastAsia" w:ascii="宋体" w:hAnsi="宋体" w:eastAsia="宋体" w:cs="宋体"/>
          <w:sz w:val="28"/>
          <w:highlight w:val="none"/>
        </w:rPr>
        <w:t>法定代表人身份证明或法定代表人授权委托书</w:t>
      </w:r>
      <w:bookmarkEnd w:id="847"/>
      <w:bookmarkEnd w:id="848"/>
      <w:bookmarkEnd w:id="849"/>
    </w:p>
    <w:p>
      <w:pPr>
        <w:pStyle w:val="4"/>
        <w:spacing w:line="480" w:lineRule="auto"/>
        <w:jc w:val="center"/>
        <w:rPr>
          <w:rFonts w:ascii="宋体" w:hAnsi="宋体" w:eastAsia="宋体" w:cs="宋体"/>
          <w:sz w:val="24"/>
          <w:szCs w:val="24"/>
          <w:highlight w:val="none"/>
        </w:rPr>
      </w:pPr>
      <w:bookmarkStart w:id="851" w:name="_Toc14141"/>
      <w:bookmarkStart w:id="852" w:name="_Toc20985"/>
      <w:bookmarkStart w:id="853" w:name="_Toc12618"/>
      <w:r>
        <w:rPr>
          <w:rFonts w:hint="eastAsia" w:ascii="宋体" w:hAnsi="宋体" w:eastAsia="宋体" w:cs="宋体"/>
          <w:sz w:val="24"/>
          <w:szCs w:val="24"/>
          <w:highlight w:val="none"/>
        </w:rPr>
        <w:t>（一）法定代表人身份证明</w:t>
      </w:r>
      <w:bookmarkEnd w:id="850"/>
      <w:bookmarkEnd w:id="851"/>
      <w:bookmarkEnd w:id="852"/>
      <w:bookmarkEnd w:id="853"/>
    </w:p>
    <w:p>
      <w:pPr>
        <w:spacing w:line="480" w:lineRule="auto"/>
        <w:rPr>
          <w:rFonts w:ascii="宋体" w:hAnsi="宋体"/>
          <w:highlight w:val="none"/>
        </w:rPr>
      </w:pPr>
      <w:r>
        <w:rPr>
          <w:rFonts w:hint="eastAsia" w:ascii="宋体" w:hAnsi="宋体"/>
          <w:highlight w:val="none"/>
        </w:rPr>
        <w:t>报价人</w:t>
      </w:r>
      <w:r>
        <w:rPr>
          <w:rFonts w:ascii="宋体" w:hAnsi="宋体"/>
          <w:highlight w:val="none"/>
        </w:rPr>
        <w:t>名称：</w:t>
      </w:r>
      <w:r>
        <w:rPr>
          <w:rFonts w:ascii="宋体" w:hAnsi="宋体"/>
          <w:highlight w:val="none"/>
          <w:u w:val="single"/>
        </w:rPr>
        <w:t xml:space="preserve">                        </w:t>
      </w:r>
    </w:p>
    <w:p>
      <w:pPr>
        <w:spacing w:line="480" w:lineRule="auto"/>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854" w:name="_Toc352691662"/>
      <w:bookmarkStart w:id="855" w:name="_Toc27897"/>
      <w:bookmarkStart w:id="856" w:name="_Toc369531698"/>
      <w:r>
        <w:rPr>
          <w:rFonts w:ascii="宋体" w:hAnsi="宋体"/>
          <w:highlight w:val="none"/>
          <w:u w:val="single"/>
        </w:rPr>
        <w:t xml:space="preserve">        </w:t>
      </w:r>
      <w:r>
        <w:rPr>
          <w:rFonts w:ascii="宋体" w:hAnsi="宋体"/>
          <w:highlight w:val="none"/>
        </w:rPr>
        <w:t>年</w:t>
      </w:r>
      <w:bookmarkEnd w:id="854"/>
      <w:bookmarkEnd w:id="855"/>
      <w:bookmarkEnd w:id="856"/>
      <w:r>
        <w:rPr>
          <w:rFonts w:ascii="宋体" w:hAnsi="宋体"/>
          <w:highlight w:val="none"/>
        </w:rPr>
        <w:t>龄</w:t>
      </w:r>
      <w:bookmarkStart w:id="857" w:name="_Toc152045789"/>
      <w:bookmarkStart w:id="858" w:name="_Toc300835211"/>
      <w:bookmarkStart w:id="859" w:name="_Toc361508754"/>
      <w:bookmarkStart w:id="860" w:name="_Toc369531699"/>
      <w:bookmarkStart w:id="861" w:name="_Toc384308377"/>
      <w:bookmarkStart w:id="862" w:name="_Toc144974858"/>
      <w:bookmarkStart w:id="863" w:name="_Toc247514248"/>
      <w:bookmarkStart w:id="864" w:name="_Toc15573"/>
      <w:bookmarkStart w:id="865" w:name="_Toc352691663"/>
      <w:bookmarkStart w:id="866" w:name="_Toc152042578"/>
      <w:bookmarkStart w:id="867" w:name="_Toc247527829"/>
      <w:r>
        <w:rPr>
          <w:rFonts w:ascii="宋体" w:hAnsi="宋体"/>
          <w:highlight w:val="none"/>
        </w:rPr>
        <w:t>：</w:t>
      </w:r>
      <w:bookmarkEnd w:id="857"/>
      <w:bookmarkEnd w:id="858"/>
      <w:bookmarkEnd w:id="859"/>
      <w:bookmarkEnd w:id="860"/>
      <w:bookmarkEnd w:id="861"/>
      <w:bookmarkEnd w:id="862"/>
      <w:bookmarkEnd w:id="863"/>
      <w:bookmarkEnd w:id="864"/>
      <w:bookmarkEnd w:id="865"/>
      <w:bookmarkEnd w:id="866"/>
      <w:bookmarkEnd w:id="867"/>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80" w:lineRule="auto"/>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w:t>
      </w:r>
    </w:p>
    <w:p>
      <w:pPr>
        <w:spacing w:line="480" w:lineRule="auto"/>
        <w:ind w:firstLine="420" w:firstLineChars="200"/>
        <w:rPr>
          <w:rFonts w:ascii="宋体" w:hAnsi="宋体"/>
          <w:highlight w:val="none"/>
        </w:rPr>
      </w:pPr>
      <w:r>
        <w:rPr>
          <w:rFonts w:ascii="宋体" w:hAnsi="宋体"/>
          <w:highlight w:val="none"/>
        </w:rPr>
        <w:t>特此证明。</w:t>
      </w:r>
    </w:p>
    <w:p>
      <w:pPr>
        <w:spacing w:line="480" w:lineRule="auto"/>
        <w:rPr>
          <w:rFonts w:ascii="宋体" w:hAnsi="宋体"/>
          <w:highlight w:val="none"/>
        </w:rPr>
      </w:pPr>
    </w:p>
    <w:p>
      <w:pPr>
        <w:spacing w:line="480" w:lineRule="auto"/>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80" w:lineRule="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spacing w:line="480" w:lineRule="auto"/>
        <w:jc w:val="center"/>
        <w:rPr>
          <w:rFonts w:ascii="宋体" w:hAnsi="宋体"/>
          <w:sz w:val="28"/>
          <w:szCs w:val="28"/>
          <w:highlight w:val="none"/>
        </w:rPr>
      </w:pPr>
      <w:bookmarkStart w:id="868" w:name="_Toc491883233"/>
      <w:bookmarkStart w:id="869" w:name="_Toc3882"/>
      <w:bookmarkStart w:id="870" w:name="_Toc58"/>
      <w:bookmarkStart w:id="871" w:name="_Toc22989"/>
      <w:r>
        <w:rPr>
          <w:rFonts w:hint="eastAsia" w:ascii="宋体" w:hAnsi="宋体" w:eastAsia="宋体" w:cs="宋体"/>
          <w:sz w:val="24"/>
          <w:szCs w:val="24"/>
          <w:highlight w:val="none"/>
        </w:rPr>
        <w:t>（二）</w:t>
      </w:r>
      <w:bookmarkEnd w:id="868"/>
      <w:r>
        <w:rPr>
          <w:rFonts w:hint="eastAsia" w:ascii="宋体" w:hAnsi="宋体" w:eastAsia="宋体" w:cs="宋体"/>
          <w:sz w:val="24"/>
          <w:szCs w:val="24"/>
          <w:highlight w:val="none"/>
        </w:rPr>
        <w:t>法定代表人授权委托书</w:t>
      </w:r>
      <w:bookmarkEnd w:id="869"/>
      <w:bookmarkEnd w:id="870"/>
      <w:bookmarkEnd w:id="871"/>
    </w:p>
    <w:p>
      <w:pPr>
        <w:topLinePunct/>
        <w:spacing w:line="480" w:lineRule="auto"/>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rPr>
        <w:t>比选</w:t>
      </w:r>
      <w:r>
        <w:rPr>
          <w:rFonts w:ascii="宋体" w:hAnsi="宋体"/>
          <w:highlight w:val="none"/>
        </w:rPr>
        <w:t>文件、签订合同和处理有关事宜，其法律后果由我方承担。</w:t>
      </w:r>
    </w:p>
    <w:p>
      <w:pPr>
        <w:spacing w:line="480" w:lineRule="auto"/>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80" w:lineRule="auto"/>
        <w:ind w:firstLine="420" w:firstLineChars="200"/>
        <w:rPr>
          <w:rFonts w:ascii="宋体" w:hAnsi="宋体"/>
          <w:highlight w:val="none"/>
        </w:rPr>
      </w:pPr>
      <w:r>
        <w:rPr>
          <w:rFonts w:ascii="宋体" w:hAnsi="宋体"/>
          <w:highlight w:val="none"/>
        </w:rPr>
        <w:t>代理人无转委托权。</w:t>
      </w:r>
    </w:p>
    <w:p>
      <w:pPr>
        <w:spacing w:line="480" w:lineRule="auto"/>
        <w:ind w:firstLine="420" w:firstLineChars="200"/>
        <w:rPr>
          <w:rFonts w:ascii="宋体" w:hAnsi="宋体"/>
          <w:highlight w:val="none"/>
        </w:rPr>
      </w:pPr>
    </w:p>
    <w:p>
      <w:pPr>
        <w:spacing w:line="480" w:lineRule="auto"/>
        <w:rPr>
          <w:rFonts w:ascii="宋体" w:hAnsi="宋体"/>
          <w:highlight w:val="none"/>
        </w:rPr>
      </w:pPr>
      <w:r>
        <w:rPr>
          <w:rFonts w:ascii="宋体" w:hAnsi="宋体"/>
          <w:highlight w:val="none"/>
        </w:rPr>
        <w:t>附：法定代表人身份证复印件</w:t>
      </w:r>
      <w:r>
        <w:rPr>
          <w:rFonts w:ascii="宋体" w:hAnsi="宋体"/>
          <w:b/>
          <w:bCs/>
          <w:highlight w:val="none"/>
        </w:rPr>
        <w:t>及</w:t>
      </w:r>
      <w:r>
        <w:rPr>
          <w:rFonts w:ascii="宋体" w:hAnsi="宋体"/>
          <w:highlight w:val="none"/>
        </w:rPr>
        <w:t>委托代理人身份证复印件</w:t>
      </w:r>
      <w:r>
        <w:rPr>
          <w:rFonts w:hint="eastAsia" w:ascii="宋体" w:hAnsi="宋体"/>
          <w:highlight w:val="none"/>
        </w:rPr>
        <w:t>（正、反面）</w:t>
      </w:r>
    </w:p>
    <w:p>
      <w:pPr>
        <w:spacing w:line="480" w:lineRule="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cs="宋体"/>
          <w:sz w:val="28"/>
          <w:highlight w:val="none"/>
        </w:rPr>
        <w:sectPr>
          <w:footerReference r:id="rId11" w:type="first"/>
          <w:footerReference r:id="rId10" w:type="default"/>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19" w:charSpace="0"/>
        </w:sectPr>
      </w:pPr>
      <w:r>
        <w:rPr>
          <w:rFonts w:ascii="宋体" w:hAnsi="宋体"/>
          <w:highlight w:val="none"/>
        </w:rPr>
        <w:t>注：本授权委托书需由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w:t>
      </w:r>
      <w:bookmarkStart w:id="872" w:name="_Toc11329275"/>
      <w:bookmarkStart w:id="873" w:name="_Toc29500"/>
    </w:p>
    <w:bookmarkEnd w:id="844"/>
    <w:bookmarkEnd w:id="845"/>
    <w:bookmarkEnd w:id="846"/>
    <w:bookmarkEnd w:id="872"/>
    <w:p>
      <w:pPr>
        <w:pStyle w:val="4"/>
        <w:numPr>
          <w:ilvl w:val="0"/>
          <w:numId w:val="6"/>
        </w:numPr>
        <w:spacing w:before="0" w:after="0" w:line="360" w:lineRule="auto"/>
        <w:jc w:val="center"/>
        <w:rPr>
          <w:rFonts w:ascii="宋体" w:hAnsi="宋体" w:eastAsia="宋体" w:cs="宋体"/>
          <w:sz w:val="28"/>
          <w:highlight w:val="none"/>
        </w:rPr>
      </w:pPr>
      <w:bookmarkStart w:id="874" w:name="_Toc6970"/>
      <w:r>
        <w:rPr>
          <w:rFonts w:hint="eastAsia" w:ascii="宋体" w:hAnsi="宋体" w:eastAsia="宋体" w:cs="宋体"/>
          <w:sz w:val="28"/>
          <w:highlight w:val="none"/>
        </w:rPr>
        <w:t>报价一览表</w:t>
      </w:r>
      <w:bookmarkEnd w:id="873"/>
      <w:bookmarkEnd w:id="874"/>
    </w:p>
    <w:p>
      <w:pPr>
        <w:pStyle w:val="39"/>
        <w:spacing w:line="480" w:lineRule="auto"/>
        <w:jc w:val="both"/>
        <w:rPr>
          <w:rFonts w:hAnsi="宋体"/>
          <w:highlight w:val="none"/>
        </w:rPr>
      </w:pPr>
      <w:r>
        <w:rPr>
          <w:rFonts w:hint="eastAsia" w:hAnsi="宋体"/>
          <w:highlight w:val="none"/>
        </w:rPr>
        <w:t>重庆首讯科技股份有限公司：</w:t>
      </w:r>
    </w:p>
    <w:p>
      <w:pPr>
        <w:spacing w:line="48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在研究了竞争比选文件中所有文件后，我司对</w:t>
      </w:r>
      <w:r>
        <w:rPr>
          <w:rFonts w:hint="eastAsia" w:ascii="Arial" w:hAnsi="Arial" w:cs="Arial"/>
          <w:color w:val="000000"/>
          <w:sz w:val="24"/>
          <w:highlight w:val="none"/>
          <w:u w:val="single"/>
        </w:rPr>
        <w:t>XXX项目</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p>
    <w:p>
      <w:pPr>
        <w:pStyle w:val="18"/>
        <w:rPr>
          <w:highlight w:val="none"/>
        </w:rPr>
      </w:pPr>
    </w:p>
    <w:p>
      <w:pPr>
        <w:rPr>
          <w:rFonts w:hint="default" w:eastAsia="宋体"/>
          <w:highlight w:val="none"/>
          <w:lang w:val="en-US" w:eastAsia="zh-CN"/>
        </w:rPr>
      </w:pPr>
      <w:r>
        <w:rPr>
          <w:rFonts w:hint="eastAsia" w:ascii="宋体" w:hAnsi="宋体" w:cs="宋体"/>
          <w:highlight w:val="none"/>
          <w:lang w:val="en-US" w:eastAsia="zh-CN"/>
        </w:rPr>
        <w:t xml:space="preserve">                                                                       单位：人名币元</w:t>
      </w:r>
    </w:p>
    <w:tbl>
      <w:tblPr>
        <w:tblStyle w:val="44"/>
        <w:tblpPr w:leftFromText="180" w:rightFromText="180" w:vertAnchor="text" w:horzAnchor="page" w:tblpXSpec="center" w:tblpY="318"/>
        <w:tblOverlap w:val="never"/>
        <w:tblW w:w="100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72"/>
        <w:gridCol w:w="1880"/>
        <w:gridCol w:w="808"/>
        <w:gridCol w:w="808"/>
        <w:gridCol w:w="854"/>
        <w:gridCol w:w="1419"/>
        <w:gridCol w:w="1731"/>
        <w:gridCol w:w="1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4" w:hRule="atLeast"/>
          <w:jc w:val="center"/>
        </w:trPr>
        <w:tc>
          <w:tcPr>
            <w:tcW w:w="672" w:type="dxa"/>
            <w:tcBorders>
              <w:tl2br w:val="nil"/>
              <w:tr2bl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序号</w:t>
            </w:r>
          </w:p>
        </w:tc>
        <w:tc>
          <w:tcPr>
            <w:tcW w:w="18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服务名称</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数量</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单位</w:t>
            </w:r>
          </w:p>
        </w:tc>
        <w:tc>
          <w:tcPr>
            <w:tcW w:w="8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税率</w:t>
            </w:r>
          </w:p>
        </w:tc>
        <w:tc>
          <w:tcPr>
            <w:tcW w:w="141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含税单价</w:t>
            </w:r>
          </w:p>
        </w:tc>
        <w:tc>
          <w:tcPr>
            <w:tcW w:w="17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lang w:val="en-US" w:eastAsia="zh-CN"/>
              </w:rPr>
            </w:pPr>
            <w:r>
              <w:rPr>
                <w:rFonts w:hint="eastAsia" w:ascii="微软雅黑" w:hAnsi="微软雅黑" w:eastAsia="微软雅黑" w:cs="微软雅黑"/>
                <w:b/>
                <w:bCs/>
                <w:i w:val="0"/>
                <w:iCs w:val="0"/>
                <w:color w:val="000000"/>
                <w:sz w:val="24"/>
                <w:szCs w:val="24"/>
                <w:highlight w:val="none"/>
                <w:u w:val="none"/>
                <w:lang w:val="en-US" w:eastAsia="zh-CN"/>
              </w:rPr>
              <w:t>含税金额</w:t>
            </w:r>
          </w:p>
        </w:tc>
        <w:tc>
          <w:tcPr>
            <w:tcW w:w="188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4"/>
                <w:szCs w:val="24"/>
                <w:highlight w:val="none"/>
                <w:u w:val="none"/>
                <w:lang w:val="en-US" w:eastAsia="zh-CN" w:bidi="ar"/>
              </w:rPr>
            </w:pPr>
            <w:r>
              <w:rPr>
                <w:rFonts w:hint="eastAsia" w:ascii="微软雅黑" w:hAnsi="微软雅黑" w:eastAsia="微软雅黑" w:cs="微软雅黑"/>
                <w:b/>
                <w:bCs/>
                <w:i w:val="0"/>
                <w:iCs w:val="0"/>
                <w:color w:val="000000"/>
                <w:kern w:val="0"/>
                <w:sz w:val="24"/>
                <w:szCs w:val="24"/>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jc w:val="center"/>
        </w:trPr>
        <w:tc>
          <w:tcPr>
            <w:tcW w:w="6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18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威胁检测服务</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年</w:t>
            </w:r>
          </w:p>
        </w:tc>
        <w:tc>
          <w:tcPr>
            <w:tcW w:w="8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w:t>
            </w:r>
          </w:p>
        </w:tc>
        <w:tc>
          <w:tcPr>
            <w:tcW w:w="1419" w:type="dxa"/>
            <w:tcBorders>
              <w:tl2br w:val="nil"/>
              <w:tr2bl w:val="nil"/>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731" w:type="dxa"/>
            <w:tcBorders>
              <w:tl2br w:val="nil"/>
              <w:tr2bl w:val="nil"/>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880" w:type="dxa"/>
            <w:tcBorders>
              <w:tl2br w:val="nil"/>
              <w:tr2bl w:val="nil"/>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1" w:hRule="atLeast"/>
          <w:jc w:val="center"/>
        </w:trPr>
        <w:tc>
          <w:tcPr>
            <w:tcW w:w="6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18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威胁检测平台威胁感知模块订阅</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8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年</w:t>
            </w:r>
          </w:p>
        </w:tc>
        <w:tc>
          <w:tcPr>
            <w:tcW w:w="8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w:t>
            </w:r>
          </w:p>
        </w:tc>
        <w:tc>
          <w:tcPr>
            <w:tcW w:w="1419" w:type="dxa"/>
            <w:tcBorders>
              <w:tl2br w:val="nil"/>
              <w:tr2bl w:val="nil"/>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731" w:type="dxa"/>
            <w:tcBorders>
              <w:tl2br w:val="nil"/>
              <w:tr2bl w:val="nil"/>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880" w:type="dxa"/>
            <w:tcBorders>
              <w:tl2br w:val="nil"/>
              <w:tr2bl w:val="nil"/>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4" w:hRule="atLeast"/>
          <w:jc w:val="center"/>
        </w:trPr>
        <w:tc>
          <w:tcPr>
            <w:tcW w:w="6441" w:type="dxa"/>
            <w:gridSpan w:val="6"/>
            <w:tcBorders>
              <w:tl2br w:val="nil"/>
              <w:tr2bl w:val="nil"/>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合计</w:t>
            </w:r>
          </w:p>
        </w:tc>
        <w:tc>
          <w:tcPr>
            <w:tcW w:w="1731" w:type="dxa"/>
            <w:tcBorders>
              <w:tl2br w:val="nil"/>
              <w:tr2bl w:val="nil"/>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880" w:type="dxa"/>
            <w:tcBorders>
              <w:tl2br w:val="nil"/>
              <w:tr2bl w:val="nil"/>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r>
    </w:tbl>
    <w:p>
      <w:pPr>
        <w:pStyle w:val="11"/>
        <w:rPr>
          <w:highlight w:val="none"/>
        </w:rPr>
      </w:pPr>
    </w:p>
    <w:p>
      <w:pPr>
        <w:pStyle w:val="29"/>
        <w:rPr>
          <w:rFonts w:ascii="宋体" w:hAnsi="宋体" w:cs="宋体"/>
          <w:kern w:val="0"/>
          <w:szCs w:val="21"/>
          <w:highlight w:val="none"/>
        </w:rPr>
      </w:pPr>
    </w:p>
    <w:p>
      <w:pPr>
        <w:rPr>
          <w:rFonts w:ascii="宋体" w:hAnsi="宋体" w:cs="宋体"/>
          <w:kern w:val="0"/>
          <w:szCs w:val="21"/>
          <w:highlight w:val="none"/>
        </w:rPr>
      </w:pPr>
    </w:p>
    <w:p>
      <w:pPr>
        <w:pStyle w:val="29"/>
        <w:rPr>
          <w:highlight w:val="none"/>
        </w:rPr>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28" w:charSpace="0"/>
        </w:sectPr>
      </w:pPr>
    </w:p>
    <w:p>
      <w:pPr>
        <w:pStyle w:val="4"/>
        <w:numPr>
          <w:ilvl w:val="0"/>
          <w:numId w:val="6"/>
        </w:numPr>
        <w:spacing w:before="0" w:after="0" w:line="360" w:lineRule="auto"/>
        <w:jc w:val="center"/>
        <w:rPr>
          <w:rFonts w:ascii="宋体" w:hAnsi="宋体" w:eastAsia="宋体" w:cs="宋体"/>
          <w:sz w:val="28"/>
          <w:highlight w:val="none"/>
        </w:rPr>
      </w:pPr>
      <w:bookmarkStart w:id="875" w:name="_Toc18757"/>
      <w:bookmarkStart w:id="876" w:name="_Toc11329278"/>
      <w:bookmarkStart w:id="877" w:name="_Toc11961"/>
      <w:bookmarkStart w:id="878" w:name="_Toc18588"/>
      <w:bookmarkStart w:id="879" w:name="_Toc503951050"/>
      <w:bookmarkStart w:id="880" w:name="_Toc12910"/>
      <w:bookmarkStart w:id="881" w:name="_Toc513633971"/>
      <w:bookmarkStart w:id="882" w:name="_Toc23170"/>
      <w:bookmarkStart w:id="883" w:name="_Toc179632823"/>
      <w:bookmarkStart w:id="884" w:name="_Toc246996369"/>
      <w:bookmarkStart w:id="885" w:name="_Toc152042592"/>
      <w:bookmarkStart w:id="886" w:name="_Toc247085887"/>
      <w:bookmarkStart w:id="887" w:name="_Toc144974871"/>
      <w:bookmarkStart w:id="888" w:name="_Toc447827058"/>
      <w:bookmarkStart w:id="889" w:name="_Toc246997112"/>
      <w:bookmarkStart w:id="890" w:name="_Toc152045803"/>
      <w:r>
        <w:rPr>
          <w:rFonts w:hint="eastAsia" w:ascii="宋体" w:hAnsi="宋体" w:eastAsia="宋体" w:cs="宋体"/>
          <w:sz w:val="28"/>
          <w:highlight w:val="none"/>
        </w:rPr>
        <w:t>审查资料</w:t>
      </w:r>
      <w:bookmarkEnd w:id="875"/>
      <w:bookmarkEnd w:id="876"/>
      <w:bookmarkEnd w:id="877"/>
      <w:bookmarkEnd w:id="878"/>
      <w:bookmarkEnd w:id="879"/>
      <w:bookmarkEnd w:id="880"/>
      <w:bookmarkEnd w:id="881"/>
      <w:bookmarkEnd w:id="882"/>
    </w:p>
    <w:bookmarkEnd w:id="883"/>
    <w:bookmarkEnd w:id="884"/>
    <w:bookmarkEnd w:id="885"/>
    <w:bookmarkEnd w:id="886"/>
    <w:bookmarkEnd w:id="887"/>
    <w:bookmarkEnd w:id="888"/>
    <w:bookmarkEnd w:id="889"/>
    <w:bookmarkEnd w:id="890"/>
    <w:p>
      <w:pPr>
        <w:pStyle w:val="5"/>
        <w:spacing w:before="0" w:after="0" w:line="360" w:lineRule="auto"/>
        <w:jc w:val="center"/>
        <w:rPr>
          <w:sz w:val="28"/>
          <w:szCs w:val="28"/>
          <w:highlight w:val="none"/>
        </w:rPr>
      </w:pPr>
      <w:bookmarkStart w:id="891" w:name="_Toc8464"/>
      <w:bookmarkStart w:id="892" w:name="_Toc9880"/>
      <w:bookmarkStart w:id="893" w:name="_Toc30447"/>
      <w:bookmarkStart w:id="894" w:name="_Toc503951058"/>
      <w:bookmarkStart w:id="895" w:name="_Toc513633974"/>
      <w:r>
        <w:rPr>
          <w:rFonts w:hint="eastAsia"/>
          <w:sz w:val="28"/>
          <w:szCs w:val="28"/>
          <w:highlight w:val="none"/>
        </w:rPr>
        <w:t>（一）报价人基本信息表</w:t>
      </w:r>
    </w:p>
    <w:p>
      <w:pPr>
        <w:pStyle w:val="27"/>
        <w:rPr>
          <w:highlight w:val="none"/>
        </w:rPr>
      </w:pPr>
    </w:p>
    <w:tbl>
      <w:tblPr>
        <w:tblStyle w:val="44"/>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w:t>
            </w:r>
          </w:p>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bl>
    <w:p>
      <w:pPr>
        <w:rPr>
          <w:rFonts w:hint="eastAsia"/>
          <w:sz w:val="28"/>
          <w:szCs w:val="28"/>
          <w:highlight w:val="none"/>
          <w:lang w:eastAsia="zh-CN"/>
        </w:rPr>
      </w:pPr>
      <w:r>
        <w:rPr>
          <w:rFonts w:hint="eastAsia"/>
          <w:sz w:val="28"/>
          <w:szCs w:val="28"/>
          <w:highlight w:val="none"/>
          <w:lang w:eastAsia="zh-CN"/>
        </w:rPr>
        <w:br w:type="page"/>
      </w:r>
    </w:p>
    <w:bookmarkEnd w:id="891"/>
    <w:bookmarkEnd w:id="892"/>
    <w:p>
      <w:pPr>
        <w:pStyle w:val="5"/>
        <w:spacing w:before="0" w:after="0" w:line="360" w:lineRule="auto"/>
        <w:jc w:val="center"/>
        <w:rPr>
          <w:rFonts w:hint="eastAsia" w:ascii="宋体" w:hAnsi="宋体" w:cs="宋体"/>
          <w:b w:val="0"/>
          <w:bCs w:val="0"/>
          <w:kern w:val="2"/>
          <w:sz w:val="21"/>
          <w:szCs w:val="21"/>
          <w:highlight w:val="none"/>
          <w:shd w:val="clear" w:color="auto" w:fill="FFFFFF"/>
          <w:lang w:val="en-US" w:eastAsia="zh-CN" w:bidi="ar-SA"/>
        </w:rPr>
      </w:pPr>
      <w:r>
        <w:rPr>
          <w:rFonts w:hint="eastAsia"/>
          <w:sz w:val="28"/>
          <w:szCs w:val="28"/>
          <w:highlight w:val="none"/>
        </w:rPr>
        <w:t>（</w:t>
      </w:r>
      <w:r>
        <w:rPr>
          <w:rFonts w:hint="eastAsia"/>
          <w:sz w:val="28"/>
          <w:szCs w:val="28"/>
          <w:highlight w:val="none"/>
          <w:lang w:val="en-US" w:eastAsia="zh-CN"/>
        </w:rPr>
        <w:t>二</w:t>
      </w:r>
      <w:r>
        <w:rPr>
          <w:rFonts w:hint="eastAsia"/>
          <w:sz w:val="28"/>
          <w:szCs w:val="28"/>
          <w:highlight w:val="none"/>
        </w:rPr>
        <w:t>）</w:t>
      </w:r>
      <w:r>
        <w:rPr>
          <w:rFonts w:hint="eastAsia"/>
          <w:sz w:val="28"/>
          <w:szCs w:val="28"/>
          <w:highlight w:val="none"/>
          <w:lang w:val="en-US" w:eastAsia="zh-CN"/>
        </w:rPr>
        <w:t>资格要求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1.营业执照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要求：具有独立法人资格，具有有效的营业执照。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需提供资料：提供报价人营业执照复印件，并加盖报价人鲜章。</w:t>
      </w:r>
    </w:p>
    <w:p>
      <w:pPr>
        <w:pStyle w:val="13"/>
        <w:rPr>
          <w:rFonts w:hint="eastAsia"/>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2.业绩要求</w:t>
      </w:r>
    </w:p>
    <w:p>
      <w:pPr>
        <w:pStyle w:val="13"/>
        <w:widowControl w:val="0"/>
        <w:numPr>
          <w:ilvl w:val="0"/>
          <w:numId w:val="0"/>
        </w:numPr>
        <w:spacing w:after="120"/>
        <w:jc w:val="both"/>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需提供至少1个15万元及以上承担的（2021年1月1日至本竞争性比选函发出之日）信息安全服务或信息安全相关维保服务项目业绩。</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注：需提供合同复印件关键页（包括但不限于合同封面页、合同标的页、合同金额页、合同盖章页、合同时间页及显示项目内容的相关页）并加盖投标人公章。</w:t>
      </w:r>
    </w:p>
    <w:p>
      <w:pPr>
        <w:pStyle w:val="13"/>
        <w:rPr>
          <w:rFonts w:hint="eastAsia"/>
          <w:highlight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highlight w:val="none"/>
          <w:lang w:val="en-US" w:eastAsia="zh-CN"/>
        </w:rPr>
      </w:pPr>
      <w:r>
        <w:rPr>
          <w:rFonts w:hint="eastAsia" w:ascii="Times New Roman" w:hAnsi="宋体" w:eastAsia="宋体" w:cs="Times New Roman"/>
          <w:b w:val="0"/>
          <w:bCs w:val="0"/>
          <w:color w:val="auto"/>
          <w:sz w:val="21"/>
          <w:szCs w:val="21"/>
          <w:highlight w:val="none"/>
          <w:lang w:val="en-US" w:eastAsia="zh-CN"/>
        </w:rPr>
        <w:t>信誉要求</w:t>
      </w:r>
    </w:p>
    <w:p>
      <w:pPr>
        <w:pStyle w:val="13"/>
        <w:ind w:left="0" w:leftChars="0" w:firstLine="0" w:firstLineChars="0"/>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要求：在国家企业信用信息公示系统（http://www.gsxt.gov.cn/）中未被列入严重违法失信企业名单（黑名单）信息（若并非企业，则无需查询）；在“信用中国”网站（http://www.creditchina.gov.cn/）中未被列入失信惩戒执行人名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需提供资料：提供1月内企业信用信息公示系统（http://www.gsxt.gov.cn/）中未被列入严重违法失信企业名单（黑名单）信息截图（若并非企业，则无需查询）（和在“信用中国”网站（http://www.creditchina.gov.cn/）中未被列入失信惩戒执行人名单截图信息并加盖鲜章。</w:t>
      </w:r>
    </w:p>
    <w:p>
      <w:pPr>
        <w:pStyle w:val="13"/>
        <w:rPr>
          <w:rFonts w:hint="eastAsia"/>
          <w:highlight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人员要求</w:t>
      </w:r>
    </w:p>
    <w:p>
      <w:pPr>
        <w:pStyle w:val="13"/>
        <w:numPr>
          <w:ilvl w:val="0"/>
          <w:numId w:val="0"/>
        </w:numPr>
        <w:ind w:leftChars="0"/>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本项目需配备至少3人，项目经理1名，项目技术支持人员2名。</w:t>
      </w:r>
    </w:p>
    <w:tbl>
      <w:tblPr>
        <w:tblStyle w:val="44"/>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659"/>
        <w:gridCol w:w="1191"/>
        <w:gridCol w:w="2808"/>
        <w:gridCol w:w="30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序号</w:t>
            </w:r>
          </w:p>
        </w:tc>
        <w:tc>
          <w:tcPr>
            <w:tcW w:w="16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身份证号码</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资格证件号码</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1</w:t>
            </w:r>
          </w:p>
        </w:tc>
        <w:tc>
          <w:tcPr>
            <w:tcW w:w="16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项目经理</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2</w:t>
            </w:r>
          </w:p>
        </w:tc>
        <w:tc>
          <w:tcPr>
            <w:tcW w:w="16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r>
              <w:rPr>
                <w:rFonts w:hint="eastAsia" w:ascii="宋体" w:hAnsi="宋体" w:cs="宋体"/>
                <w:color w:val="000000" w:themeColor="text1"/>
                <w:kern w:val="2"/>
                <w:szCs w:val="21"/>
                <w:highlight w:val="none"/>
                <w14:textFill>
                  <w14:solidFill>
                    <w14:schemeClr w14:val="tx1"/>
                  </w14:solidFill>
                </w14:textFill>
              </w:rPr>
              <w:t>技术支持</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3</w:t>
            </w:r>
          </w:p>
        </w:tc>
        <w:tc>
          <w:tcPr>
            <w:tcW w:w="16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r>
              <w:rPr>
                <w:rFonts w:hint="eastAsia" w:ascii="宋体" w:hAnsi="宋体" w:cs="宋体"/>
                <w:color w:val="000000" w:themeColor="text1"/>
                <w:kern w:val="2"/>
                <w:szCs w:val="21"/>
                <w:highlight w:val="none"/>
                <w14:textFill>
                  <w14:solidFill>
                    <w14:schemeClr w14:val="tx1"/>
                  </w14:solidFill>
                </w14:textFill>
              </w:rPr>
              <w:t>技术支持</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宋体" w:eastAsia="宋体" w:cs="Times New Roman"/>
                <w:b w:val="0"/>
                <w:bCs w:val="0"/>
                <w:color w:val="auto"/>
                <w:sz w:val="21"/>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宋体" w:cs="Times New Roman"/>
                <w:b w:val="0"/>
                <w:bCs w:val="0"/>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sz w:val="21"/>
          <w:szCs w:val="21"/>
          <w:highlight w:val="none"/>
          <w:lang w:val="en-US" w:eastAsia="zh-CN"/>
        </w:rPr>
      </w:pPr>
      <w:r>
        <w:rPr>
          <w:rFonts w:hint="eastAsia" w:ascii="Times New Roman" w:hAnsi="宋体" w:eastAsia="宋体" w:cs="Times New Roman"/>
          <w:b w:val="0"/>
          <w:bCs w:val="0"/>
          <w:color w:val="auto"/>
          <w:sz w:val="21"/>
          <w:szCs w:val="21"/>
          <w:highlight w:val="none"/>
          <w:lang w:val="en-US" w:eastAsia="zh-CN"/>
        </w:rPr>
        <w:t xml:space="preserve">   注：需提供项目人员名单（表格形式），以上人员相关资质证件、身份证复印件并加盖单位鲜公章。</w:t>
      </w:r>
    </w:p>
    <w:p>
      <w:pPr>
        <w:pStyle w:val="29"/>
        <w:rPr>
          <w:rFonts w:hint="eastAsia"/>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after="329" w:afterLines="100" w:line="240" w:lineRule="auto"/>
        <w:ind w:firstLine="420" w:firstLineChars="200"/>
        <w:jc w:val="both"/>
        <w:textAlignment w:val="auto"/>
        <w:rPr>
          <w:rFonts w:hint="eastAsia" w:ascii="宋体" w:hAnsi="宋体" w:eastAsia="宋体" w:cs="宋体"/>
          <w:b w:val="0"/>
          <w:bCs w:val="0"/>
          <w:kern w:val="2"/>
          <w:sz w:val="21"/>
          <w:szCs w:val="21"/>
          <w:highlight w:val="none"/>
          <w:shd w:val="clear" w:color="auto" w:fill="FFFFFF"/>
          <w:lang w:val="en-US" w:eastAsia="zh-CN" w:bidi="ar-SA"/>
        </w:rPr>
      </w:pPr>
    </w:p>
    <w:p>
      <w:pPr>
        <w:pStyle w:val="2"/>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329" w:beforeLines="100" w:after="329" w:afterLines="100" w:line="400" w:lineRule="exact"/>
        <w:ind w:firstLine="420" w:firstLineChars="200"/>
        <w:textAlignment w:val="auto"/>
        <w:rPr>
          <w:rFonts w:hint="default" w:ascii="宋体" w:hAnsi="宋体" w:cs="宋体"/>
          <w:b w:val="0"/>
          <w:bCs w:val="0"/>
          <w:kern w:val="2"/>
          <w:sz w:val="21"/>
          <w:szCs w:val="21"/>
          <w:highlight w:val="none"/>
          <w:shd w:val="clear" w:color="auto" w:fill="FFFFFF"/>
          <w:lang w:val="en-US" w:eastAsia="zh-CN" w:bidi="ar-SA"/>
        </w:rPr>
      </w:pPr>
      <w:r>
        <w:rPr>
          <w:rFonts w:hint="eastAsia" w:ascii="宋体" w:hAnsi="宋体" w:cs="宋体"/>
          <w:b w:val="0"/>
          <w:bCs w:val="0"/>
          <w:kern w:val="2"/>
          <w:sz w:val="21"/>
          <w:szCs w:val="21"/>
          <w:highlight w:val="none"/>
          <w:shd w:val="clear" w:color="auto" w:fill="FFFFFF"/>
          <w:lang w:val="en-US" w:eastAsia="zh-CN" w:bidi="ar-SA"/>
        </w:rPr>
        <w:br w:type="page"/>
      </w:r>
    </w:p>
    <w:p>
      <w:pPr>
        <w:rPr>
          <w:rFonts w:hint="eastAsia"/>
          <w:highlight w:val="none"/>
          <w:lang w:eastAsia="zh-CN"/>
        </w:rPr>
      </w:pPr>
    </w:p>
    <w:p>
      <w:pPr>
        <w:pStyle w:val="5"/>
        <w:spacing w:before="0" w:after="0" w:line="360" w:lineRule="auto"/>
        <w:jc w:val="center"/>
        <w:rPr>
          <w:rFonts w:hint="default"/>
          <w:sz w:val="28"/>
          <w:szCs w:val="28"/>
          <w:highlight w:val="none"/>
          <w:lang w:val="en-US" w:eastAsia="zh-CN"/>
        </w:rPr>
      </w:pPr>
      <w:r>
        <w:rPr>
          <w:rFonts w:hint="eastAsia"/>
          <w:sz w:val="28"/>
          <w:szCs w:val="28"/>
          <w:highlight w:val="none"/>
          <w:lang w:val="en-US" w:eastAsia="zh-CN"/>
        </w:rPr>
        <w:t>生产厂家资格声明（如有）</w:t>
      </w:r>
    </w:p>
    <w:p>
      <w:pPr>
        <w:spacing w:line="360" w:lineRule="auto"/>
        <w:ind w:firstLine="420" w:firstLineChars="200"/>
        <w:rPr>
          <w:rFonts w:ascii="宋体" w:hAnsi="宋体" w:eastAsia="宋体" w:cs="Times New Roman"/>
          <w:color w:val="auto"/>
          <w:kern w:val="0"/>
          <w:szCs w:val="21"/>
          <w:highlight w:val="none"/>
          <w:u w:val="singl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基本情况</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成立和/或注册日期：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注册资金：</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近期资产负债表（从</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月至</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月止 ）</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u w:val="single"/>
        </w:rPr>
      </w:pPr>
      <w:r>
        <w:rPr>
          <w:rFonts w:hint="eastAsia" w:ascii="宋体" w:hAnsi="宋体" w:eastAsia="宋体" w:cs="Times New Roman"/>
          <w:color w:val="auto"/>
          <w:kern w:val="0"/>
          <w:szCs w:val="21"/>
          <w:highlight w:val="none"/>
          <w:lang w:val="en-US" w:eastAsia="zh-CN"/>
        </w:rPr>
        <w:t>a.</w:t>
      </w:r>
      <w:r>
        <w:rPr>
          <w:rFonts w:hint="eastAsia" w:ascii="宋体" w:hAnsi="宋体" w:eastAsia="宋体" w:cs="Times New Roman"/>
          <w:color w:val="auto"/>
          <w:kern w:val="0"/>
          <w:szCs w:val="21"/>
          <w:highlight w:val="none"/>
        </w:rPr>
        <w:t>固定资产</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lang w:val="en-US" w:eastAsia="zh-CN"/>
        </w:rPr>
        <w:t>b.</w:t>
      </w:r>
      <w:r>
        <w:rPr>
          <w:rFonts w:hint="eastAsia" w:ascii="宋体" w:hAnsi="宋体" w:eastAsia="宋体" w:cs="Times New Roman"/>
          <w:color w:val="auto"/>
          <w:kern w:val="0"/>
          <w:szCs w:val="21"/>
          <w:highlight w:val="none"/>
        </w:rPr>
        <w:t>流动资产：</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c.资产负债率：</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cs="Times New Roman"/>
          <w:color w:val="auto"/>
          <w:kern w:val="0"/>
          <w:szCs w:val="21"/>
          <w:highlight w:val="none"/>
          <w:lang w:eastAsia="zh-CN"/>
        </w:rPr>
        <w:t>生产厂家</w:t>
      </w:r>
      <w:r>
        <w:rPr>
          <w:rFonts w:hint="eastAsia" w:ascii="宋体" w:hAnsi="宋体" w:eastAsia="宋体" w:cs="Times New Roman"/>
          <w:color w:val="auto"/>
          <w:kern w:val="0"/>
          <w:szCs w:val="21"/>
          <w:highlight w:val="none"/>
        </w:rPr>
        <w:t>生产经营情况</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（1）近 3 年的年营业额：</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（2）投标产品年生产能力：</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（3）投标产品年销售业绩：</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a.主要客户名称：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b.主要客户联系方式：</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c.合同名称及合同号：</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3.投标人近三年是否受到司法机关或行政机关处罚：</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兹证明上述声明是真实、正确的，并提供了全部能提供的资料和数据，我们同意遵照贵方要求出示有关证明文件。</w:t>
      </w:r>
    </w:p>
    <w:p>
      <w:pPr>
        <w:pStyle w:val="18"/>
        <w:rPr>
          <w:color w:val="auto"/>
          <w:highlight w:val="none"/>
        </w:rPr>
      </w:pP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盖单位公章：</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宋体"/>
          <w:color w:val="auto"/>
          <w:szCs w:val="21"/>
          <w:highlight w:val="none"/>
        </w:rPr>
        <w:t>法定代表人或授权委托人（签字）：</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传       真 ：</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话：</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子 邮 件：</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hint="default"/>
          <w:highlight w:val="none"/>
          <w:lang w:val="en-US" w:eastAsia="zh-CN"/>
        </w:rPr>
      </w:pPr>
      <w:r>
        <w:rPr>
          <w:rFonts w:hint="eastAsia" w:ascii="宋体" w:hAnsi="宋体" w:eastAsia="宋体" w:cs="Times New Roman"/>
          <w:color w:val="auto"/>
          <w:kern w:val="0"/>
          <w:szCs w:val="21"/>
          <w:highlight w:val="none"/>
        </w:rPr>
        <w:t>签 字 日 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 w:val="24"/>
          <w:szCs w:val="24"/>
          <w:highlight w:val="none"/>
          <w:u w:val="single"/>
        </w:rPr>
        <w:t xml:space="preserve">   </w:t>
      </w:r>
    </w:p>
    <w:p>
      <w:pPr>
        <w:rPr>
          <w:rFonts w:hint="eastAsia"/>
          <w:color w:val="auto"/>
          <w:highlight w:val="none"/>
          <w:lang w:eastAsia="zh-CN"/>
        </w:rPr>
      </w:pPr>
      <w:r>
        <w:rPr>
          <w:rFonts w:hint="eastAsia"/>
          <w:color w:val="auto"/>
          <w:highlight w:val="none"/>
          <w:lang w:eastAsia="zh-CN"/>
        </w:rPr>
        <w:br w:type="page"/>
      </w:r>
    </w:p>
    <w:p>
      <w:pPr>
        <w:spacing w:line="360" w:lineRule="auto"/>
        <w:jc w:val="center"/>
        <w:outlineLvl w:val="1"/>
        <w:rPr>
          <w:rFonts w:ascii="宋体" w:hAnsi="宋体" w:cs="宋体"/>
          <w:b/>
          <w:bCs/>
          <w:color w:val="000000" w:themeColor="text1"/>
          <w:sz w:val="24"/>
          <w:szCs w:val="28"/>
          <w:highlight w:val="none"/>
          <w14:textFill>
            <w14:solidFill>
              <w14:schemeClr w14:val="tx1"/>
            </w14:solidFill>
          </w14:textFill>
        </w:rPr>
      </w:pPr>
      <w:bookmarkStart w:id="896" w:name="_Toc8299"/>
      <w:r>
        <w:rPr>
          <w:rFonts w:hint="eastAsia" w:ascii="宋体" w:hAnsi="宋体" w:cs="宋体"/>
          <w:b/>
          <w:bCs/>
          <w:kern w:val="0"/>
          <w:sz w:val="28"/>
          <w:szCs w:val="32"/>
          <w:highlight w:val="none"/>
        </w:rPr>
        <w:t>（</w:t>
      </w:r>
      <w:r>
        <w:rPr>
          <w:rFonts w:hint="eastAsia" w:ascii="宋体" w:hAnsi="宋体" w:cs="宋体"/>
          <w:b/>
          <w:bCs/>
          <w:kern w:val="0"/>
          <w:sz w:val="28"/>
          <w:szCs w:val="32"/>
          <w:highlight w:val="none"/>
          <w:lang w:val="en-US" w:eastAsia="zh-CN"/>
        </w:rPr>
        <w:t>三</w:t>
      </w:r>
      <w:r>
        <w:rPr>
          <w:rFonts w:hint="eastAsia" w:ascii="宋体" w:hAnsi="宋体" w:cs="宋体"/>
          <w:b/>
          <w:bCs/>
          <w:kern w:val="0"/>
          <w:sz w:val="28"/>
          <w:szCs w:val="32"/>
          <w:highlight w:val="none"/>
        </w:rPr>
        <w:t>）商务</w:t>
      </w:r>
      <w:r>
        <w:rPr>
          <w:rFonts w:hint="eastAsia" w:ascii="宋体" w:hAnsi="宋体" w:cs="宋体"/>
          <w:b/>
          <w:bCs/>
          <w:kern w:val="0"/>
          <w:sz w:val="28"/>
          <w:szCs w:val="32"/>
          <w:highlight w:val="none"/>
          <w:lang w:eastAsia="zh-CN"/>
        </w:rPr>
        <w:t>、</w:t>
      </w:r>
      <w:r>
        <w:rPr>
          <w:rFonts w:hint="eastAsia" w:ascii="宋体" w:hAnsi="宋体" w:cs="宋体"/>
          <w:b/>
          <w:bCs/>
          <w:kern w:val="0"/>
          <w:sz w:val="28"/>
          <w:szCs w:val="32"/>
          <w:highlight w:val="none"/>
          <w:lang w:val="en-US" w:eastAsia="zh-CN"/>
        </w:rPr>
        <w:t>技术</w:t>
      </w:r>
      <w:r>
        <w:rPr>
          <w:rFonts w:hint="eastAsia" w:ascii="宋体" w:hAnsi="宋体" w:cs="宋体"/>
          <w:b/>
          <w:bCs/>
          <w:kern w:val="0"/>
          <w:sz w:val="28"/>
          <w:szCs w:val="32"/>
          <w:highlight w:val="none"/>
        </w:rPr>
        <w:t>评分资料</w:t>
      </w:r>
      <w:bookmarkEnd w:id="896"/>
    </w:p>
    <w:p>
      <w:pPr>
        <w:pStyle w:val="172"/>
        <w:ind w:firstLine="480"/>
        <w:jc w:val="center"/>
        <w:rPr>
          <w:b/>
          <w:highlight w:val="none"/>
        </w:rPr>
      </w:pPr>
      <w:bookmarkStart w:id="897" w:name="OLE_LINK34"/>
      <w:r>
        <w:rPr>
          <w:rFonts w:hint="eastAsia"/>
          <w:highlight w:val="none"/>
        </w:rPr>
        <w:t>商务及技术部分</w:t>
      </w:r>
      <w:bookmarkEnd w:id="897"/>
      <w:r>
        <w:rPr>
          <w:rFonts w:hint="eastAsia"/>
          <w:highlight w:val="none"/>
        </w:rPr>
        <w:t>资料目录</w:t>
      </w:r>
    </w:p>
    <w:tbl>
      <w:tblPr>
        <w:tblStyle w:val="44"/>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435"/>
        <w:gridCol w:w="2492"/>
        <w:gridCol w:w="1531"/>
        <w:gridCol w:w="1155"/>
        <w:gridCol w:w="1335"/>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88"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序号</w:t>
            </w:r>
          </w:p>
        </w:tc>
        <w:tc>
          <w:tcPr>
            <w:tcW w:w="1435"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bCs/>
                <w:sz w:val="18"/>
                <w:szCs w:val="18"/>
                <w:highlight w:val="none"/>
              </w:rPr>
              <w:t>对应评分标准</w:t>
            </w:r>
          </w:p>
        </w:tc>
        <w:tc>
          <w:tcPr>
            <w:tcW w:w="2492"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对应评分细则</w:t>
            </w:r>
          </w:p>
        </w:tc>
        <w:tc>
          <w:tcPr>
            <w:tcW w:w="1531"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证明材料名称</w:t>
            </w:r>
          </w:p>
        </w:tc>
        <w:tc>
          <w:tcPr>
            <w:tcW w:w="1155"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lang w:val="en-US" w:eastAsia="zh-CN"/>
              </w:rPr>
            </w:pPr>
            <w:r>
              <w:rPr>
                <w:rFonts w:hint="eastAsia" w:asciiTheme="minorEastAsia" w:hAnsiTheme="minorEastAsia" w:eastAsiaTheme="minorEastAsia" w:cstheme="minorEastAsia"/>
                <w:b w:val="0"/>
                <w:kern w:val="0"/>
                <w:sz w:val="18"/>
                <w:szCs w:val="18"/>
                <w:highlight w:val="none"/>
                <w:lang w:val="en-US" w:eastAsia="zh-CN"/>
              </w:rPr>
              <w:t>应加分数</w:t>
            </w:r>
          </w:p>
        </w:tc>
        <w:tc>
          <w:tcPr>
            <w:tcW w:w="1335"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lang w:val="en-US" w:eastAsia="zh-CN"/>
              </w:rPr>
            </w:pPr>
            <w:r>
              <w:rPr>
                <w:rFonts w:hint="eastAsia" w:asciiTheme="minorEastAsia" w:hAnsiTheme="minorEastAsia" w:eastAsiaTheme="minorEastAsia" w:cstheme="minorEastAsia"/>
                <w:b w:val="0"/>
                <w:kern w:val="0"/>
                <w:sz w:val="18"/>
                <w:szCs w:val="18"/>
                <w:highlight w:val="none"/>
              </w:rPr>
              <w:t>证明材料对应编号</w:t>
            </w:r>
          </w:p>
        </w:tc>
        <w:tc>
          <w:tcPr>
            <w:tcW w:w="1160" w:type="dxa"/>
            <w:vAlign w:val="center"/>
          </w:tcPr>
          <w:p>
            <w:pPr>
              <w:pStyle w:val="173"/>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kern w:val="0"/>
                <w:sz w:val="18"/>
                <w:szCs w:val="18"/>
                <w:highlight w:val="none"/>
                <w:lang w:val="en-US" w:eastAsia="zh-CN"/>
              </w:rPr>
            </w:pPr>
            <w:r>
              <w:rPr>
                <w:rFonts w:hint="eastAsia" w:asciiTheme="minorEastAsia" w:hAnsiTheme="minorEastAsia" w:eastAsiaTheme="minorEastAsia" w:cstheme="minorEastAsia"/>
                <w:b w:val="0"/>
                <w:kern w:val="0"/>
                <w:sz w:val="18"/>
                <w:szCs w:val="18"/>
                <w:highlight w:val="none"/>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b/>
                <w:bCs/>
                <w:sz w:val="18"/>
                <w:szCs w:val="18"/>
                <w:highlight w:val="none"/>
              </w:rPr>
              <w:t>例</w:t>
            </w:r>
          </w:p>
        </w:tc>
        <w:tc>
          <w:tcPr>
            <w:tcW w:w="143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249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53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15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33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16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p>
        </w:tc>
        <w:tc>
          <w:tcPr>
            <w:tcW w:w="14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p>
        </w:tc>
        <w:tc>
          <w:tcPr>
            <w:tcW w:w="2492"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rPr>
            </w:pPr>
          </w:p>
        </w:tc>
        <w:tc>
          <w:tcPr>
            <w:tcW w:w="1531"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p>
        </w:tc>
        <w:tc>
          <w:tcPr>
            <w:tcW w:w="115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p>
        </w:tc>
        <w:tc>
          <w:tcPr>
            <w:tcW w:w="13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p>
        </w:tc>
        <w:tc>
          <w:tcPr>
            <w:tcW w:w="1160"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w:t>
            </w:r>
          </w:p>
        </w:tc>
        <w:tc>
          <w:tcPr>
            <w:tcW w:w="14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业绩要求</w:t>
            </w:r>
          </w:p>
        </w:tc>
        <w:tc>
          <w:tcPr>
            <w:tcW w:w="2492"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1.2021年1月1日至竞选文件发出日止，投标人每增加一个合同金额15万元及以上的信息安全服务或信息安全相关维保服务项目业绩证明，得2分，该项最多得6分。</w:t>
            </w:r>
          </w:p>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p>
        </w:tc>
        <w:tc>
          <w:tcPr>
            <w:tcW w:w="1531"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XX合同</w:t>
            </w:r>
          </w:p>
        </w:tc>
        <w:tc>
          <w:tcPr>
            <w:tcW w:w="115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b/>
                <w:sz w:val="28"/>
                <w:szCs w:val="28"/>
                <w:highlight w:val="none"/>
                <w:lang w:val="en-US"/>
              </w:rPr>
            </w:pPr>
            <w:r>
              <w:rPr>
                <w:rFonts w:hint="eastAsia" w:asciiTheme="minorEastAsia" w:hAnsiTheme="minorEastAsia" w:eastAsiaTheme="minorEastAsia" w:cstheme="minorEastAsia"/>
                <w:sz w:val="18"/>
                <w:szCs w:val="18"/>
                <w:highlight w:val="none"/>
                <w:lang w:val="en-US" w:eastAsia="zh-CN"/>
              </w:rPr>
              <w:t>0-6</w:t>
            </w:r>
          </w:p>
        </w:tc>
        <w:tc>
          <w:tcPr>
            <w:tcW w:w="133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b/>
                <w:sz w:val="28"/>
                <w:szCs w:val="28"/>
                <w:highlight w:val="none"/>
                <w:lang w:val="en-US"/>
              </w:rPr>
            </w:pPr>
            <w:r>
              <w:rPr>
                <w:rFonts w:hint="eastAsia" w:asciiTheme="minorEastAsia" w:hAnsiTheme="minorEastAsia" w:eastAsiaTheme="minorEastAsia" w:cstheme="minorEastAsia"/>
                <w:sz w:val="18"/>
                <w:szCs w:val="18"/>
                <w:highlight w:val="none"/>
                <w:lang w:val="en-US" w:eastAsia="zh-CN"/>
              </w:rPr>
              <w:t>业绩1-业绩n</w:t>
            </w:r>
          </w:p>
        </w:tc>
        <w:tc>
          <w:tcPr>
            <w:tcW w:w="1160"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b/>
                <w:sz w:val="28"/>
                <w:szCs w:val="28"/>
                <w:highlight w:val="none"/>
                <w:lang w:val="en-US"/>
              </w:rPr>
            </w:pPr>
            <w:r>
              <w:rPr>
                <w:rFonts w:hint="eastAsia" w:asciiTheme="minorEastAsia" w:hAnsiTheme="minorEastAsia" w:eastAsiaTheme="minorEastAsia" w:cstheme="minorEastAsia"/>
                <w:sz w:val="18"/>
                <w:szCs w:val="18"/>
                <w:highlight w:val="none"/>
                <w:lang w:val="en-US" w:eastAsia="zh-CN"/>
              </w:rPr>
              <w:t>**页-**页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w:t>
            </w:r>
          </w:p>
        </w:tc>
        <w:tc>
          <w:tcPr>
            <w:tcW w:w="1435" w:type="dxa"/>
            <w:vAlign w:val="top"/>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人员要求</w:t>
            </w:r>
          </w:p>
        </w:tc>
        <w:tc>
          <w:tcPr>
            <w:tcW w:w="2492" w:type="dxa"/>
            <w:vAlign w:val="top"/>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项目团队中</w:t>
            </w:r>
            <w:r>
              <w:rPr>
                <w:rFonts w:hint="eastAsia" w:asciiTheme="minorEastAsia" w:hAnsiTheme="minorEastAsia" w:eastAsiaTheme="minorEastAsia" w:cstheme="minorEastAsia"/>
                <w:sz w:val="18"/>
                <w:szCs w:val="18"/>
                <w:highlight w:val="none"/>
                <w:lang w:val="en-US" w:eastAsia="zh-CN"/>
              </w:rPr>
              <w:t>每增加1人具备中国信息安全测评中心颁发的注册信息安全人员（CISP）认证证书得1分，该项最多得2分。</w:t>
            </w:r>
          </w:p>
        </w:tc>
        <w:tc>
          <w:tcPr>
            <w:tcW w:w="1531"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人员相关资质证件等</w:t>
            </w:r>
          </w:p>
        </w:tc>
        <w:tc>
          <w:tcPr>
            <w:tcW w:w="115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0-2</w:t>
            </w:r>
          </w:p>
        </w:tc>
        <w:tc>
          <w:tcPr>
            <w:tcW w:w="13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人员1-人员n</w:t>
            </w:r>
          </w:p>
        </w:tc>
        <w:tc>
          <w:tcPr>
            <w:tcW w:w="1160"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**页-**页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3</w:t>
            </w:r>
          </w:p>
        </w:tc>
        <w:tc>
          <w:tcPr>
            <w:tcW w:w="1435" w:type="dxa"/>
            <w:vAlign w:val="top"/>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资质要求</w:t>
            </w:r>
          </w:p>
        </w:tc>
        <w:tc>
          <w:tcPr>
            <w:tcW w:w="2492" w:type="dxa"/>
            <w:vAlign w:val="top"/>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具备ISO27001信息安全管理体系认证证书得2分，不具备不得分。</w:t>
            </w:r>
          </w:p>
        </w:tc>
        <w:tc>
          <w:tcPr>
            <w:tcW w:w="1531"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认证证书</w:t>
            </w:r>
          </w:p>
        </w:tc>
        <w:tc>
          <w:tcPr>
            <w:tcW w:w="1155"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0-2</w:t>
            </w:r>
          </w:p>
        </w:tc>
        <w:tc>
          <w:tcPr>
            <w:tcW w:w="13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证书</w:t>
            </w:r>
          </w:p>
        </w:tc>
        <w:tc>
          <w:tcPr>
            <w:tcW w:w="1160"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**页-**页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4</w:t>
            </w:r>
          </w:p>
        </w:tc>
        <w:tc>
          <w:tcPr>
            <w:tcW w:w="14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技术参数应答</w:t>
            </w:r>
          </w:p>
        </w:tc>
        <w:tc>
          <w:tcPr>
            <w:tcW w:w="2492" w:type="dxa"/>
            <w:vAlign w:val="center"/>
          </w:tcPr>
          <w:p>
            <w:pPr>
              <w:pStyle w:val="13"/>
              <w:ind w:left="0" w:leftChars="0" w:firstLine="0"/>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szCs w:val="21"/>
                <w:highlight w:val="none"/>
              </w:rPr>
              <w:t>响应文件须对《威胁检测服务需求清单》逐一应答，完全满足招标文件技术要求、应答完整的得</w:t>
            </w:r>
            <w:r>
              <w:rPr>
                <w:rFonts w:hint="eastAsia" w:asciiTheme="minorEastAsia" w:hAnsiTheme="minorEastAsia" w:eastAsiaTheme="minorEastAsia"/>
                <w:szCs w:val="21"/>
                <w:highlight w:val="none"/>
                <w:lang w:val="en-US" w:eastAsia="zh-CN"/>
              </w:rPr>
              <w:t>10</w:t>
            </w:r>
            <w:r>
              <w:rPr>
                <w:rFonts w:hint="eastAsia" w:asciiTheme="minorEastAsia" w:hAnsiTheme="minorEastAsia" w:eastAsiaTheme="minorEastAsia"/>
                <w:szCs w:val="21"/>
                <w:highlight w:val="none"/>
              </w:rPr>
              <w:t>分；每有一项不满足扣</w:t>
            </w: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rPr>
              <w:t>分，扣完为止。</w:t>
            </w:r>
          </w:p>
        </w:tc>
        <w:tc>
          <w:tcPr>
            <w:tcW w:w="1531" w:type="dxa"/>
            <w:vAlign w:val="center"/>
          </w:tcPr>
          <w:p>
            <w:pPr>
              <w:keepNext w:val="0"/>
              <w:keepLines w:val="0"/>
              <w:suppressLineNumbers w:val="0"/>
              <w:snapToGrid w:val="0"/>
              <w:spacing w:before="0" w:beforeAutospacing="0" w:after="0" w:afterAutospacing="0" w:line="400" w:lineRule="exact"/>
              <w:ind w:left="0" w:right="0"/>
              <w:jc w:val="both"/>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服务内容偏离表</w:t>
            </w:r>
          </w:p>
        </w:tc>
        <w:tc>
          <w:tcPr>
            <w:tcW w:w="115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0-10</w:t>
            </w:r>
          </w:p>
        </w:tc>
        <w:tc>
          <w:tcPr>
            <w:tcW w:w="13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服务内容偏离表</w:t>
            </w:r>
          </w:p>
        </w:tc>
        <w:tc>
          <w:tcPr>
            <w:tcW w:w="1160"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**页-**页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5</w:t>
            </w:r>
          </w:p>
        </w:tc>
        <w:tc>
          <w:tcPr>
            <w:tcW w:w="1435" w:type="dxa"/>
            <w:vAlign w:val="center"/>
          </w:tcPr>
          <w:p>
            <w:pPr>
              <w:keepNext w:val="0"/>
              <w:keepLines w:val="0"/>
              <w:suppressLineNumbers w:val="0"/>
              <w:snapToGrid w:val="0"/>
              <w:spacing w:before="0" w:beforeAutospacing="0" w:after="0" w:afterAutospacing="0" w:line="400" w:lineRule="exact"/>
              <w:ind w:left="0" w:right="0"/>
              <w:jc w:val="center"/>
              <w:rPr>
                <w:rFonts w:hint="default" w:cs="Times New Roman" w:asciiTheme="minorEastAsia" w:hAnsiTheme="minorEastAsia" w:eastAsiaTheme="minorEastAsia"/>
                <w:kern w:val="0"/>
                <w:sz w:val="21"/>
                <w:szCs w:val="21"/>
                <w:highlight w:val="none"/>
                <w:lang w:val="en-US" w:eastAsia="zh-CN" w:bidi="ar-SA"/>
              </w:rPr>
            </w:pPr>
            <w:r>
              <w:rPr>
                <w:rFonts w:hint="default" w:cs="Times New Roman" w:asciiTheme="minorEastAsia" w:hAnsiTheme="minorEastAsia" w:eastAsiaTheme="minorEastAsia"/>
                <w:kern w:val="0"/>
                <w:sz w:val="21"/>
                <w:szCs w:val="21"/>
                <w:highlight w:val="none"/>
                <w:lang w:val="en-US" w:eastAsia="zh-CN" w:bidi="ar-SA"/>
              </w:rPr>
              <w:t>方案完整性及合理性</w:t>
            </w:r>
          </w:p>
        </w:tc>
        <w:tc>
          <w:tcPr>
            <w:tcW w:w="2492" w:type="dxa"/>
            <w:vAlign w:val="center"/>
          </w:tcPr>
          <w:p>
            <w:pPr>
              <w:keepNext w:val="0"/>
              <w:keepLines w:val="0"/>
              <w:suppressLineNumbers w:val="0"/>
              <w:snapToGrid w:val="0"/>
              <w:spacing w:before="0" w:beforeAutospacing="0" w:after="0" w:afterAutospacing="0" w:line="400" w:lineRule="exact"/>
              <w:ind w:left="0" w:right="0"/>
              <w:jc w:val="center"/>
              <w:rPr>
                <w:rFonts w:hint="default" w:cs="Times New Roman" w:asciiTheme="minorEastAsia" w:hAnsiTheme="minorEastAsia" w:eastAsiaTheme="minorEastAsia"/>
                <w:kern w:val="0"/>
                <w:sz w:val="21"/>
                <w:szCs w:val="21"/>
                <w:highlight w:val="none"/>
                <w:lang w:val="en-US" w:eastAsia="zh-CN" w:bidi="ar-SA"/>
              </w:rPr>
            </w:pPr>
            <w:r>
              <w:rPr>
                <w:rFonts w:hint="eastAsia" w:cs="Times New Roman" w:asciiTheme="minorEastAsia" w:hAnsiTheme="minorEastAsia" w:eastAsiaTheme="minorEastAsia"/>
                <w:kern w:val="0"/>
                <w:sz w:val="21"/>
                <w:szCs w:val="21"/>
                <w:highlight w:val="none"/>
                <w:lang w:val="en-US" w:eastAsia="zh-CN" w:bidi="ar-SA"/>
              </w:rPr>
              <w:t>对项目背景、用户现状和需求的整体理解情况,从完整性、合理性、可操作性等方面评价各投标方提交技术方案。对比最优得10分，次之以1分递减，最低得分为0 分。</w:t>
            </w:r>
          </w:p>
        </w:tc>
        <w:tc>
          <w:tcPr>
            <w:tcW w:w="1531" w:type="dxa"/>
            <w:vAlign w:val="center"/>
          </w:tcPr>
          <w:p>
            <w:pPr>
              <w:keepNext w:val="0"/>
              <w:keepLines w:val="0"/>
              <w:suppressLineNumbers w:val="0"/>
              <w:snapToGrid w:val="0"/>
              <w:spacing w:before="0" w:beforeAutospacing="0" w:after="0" w:afterAutospacing="0" w:line="400" w:lineRule="exact"/>
              <w:ind w:left="0" w:right="0"/>
              <w:jc w:val="center"/>
              <w:rPr>
                <w:rFonts w:hint="default" w:cs="Times New Roman" w:asciiTheme="minorEastAsia" w:hAnsiTheme="minorEastAsia" w:eastAsiaTheme="minorEastAsia"/>
                <w:kern w:val="0"/>
                <w:sz w:val="21"/>
                <w:szCs w:val="21"/>
                <w:highlight w:val="none"/>
                <w:lang w:val="en-US" w:eastAsia="zh-CN" w:bidi="ar-SA"/>
              </w:rPr>
            </w:pPr>
            <w:r>
              <w:rPr>
                <w:rFonts w:hint="eastAsia" w:cs="Times New Roman" w:asciiTheme="minorEastAsia" w:hAnsiTheme="minorEastAsia" w:eastAsiaTheme="minorEastAsia"/>
                <w:kern w:val="0"/>
                <w:sz w:val="21"/>
                <w:szCs w:val="21"/>
                <w:highlight w:val="none"/>
                <w:lang w:val="en-US" w:eastAsia="zh-CN" w:bidi="ar-SA"/>
              </w:rPr>
              <w:t>实施方案</w:t>
            </w:r>
          </w:p>
        </w:tc>
        <w:tc>
          <w:tcPr>
            <w:tcW w:w="115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0-10</w:t>
            </w:r>
          </w:p>
        </w:tc>
        <w:tc>
          <w:tcPr>
            <w:tcW w:w="13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cs="Times New Roman" w:asciiTheme="minorEastAsia" w:hAnsiTheme="minorEastAsia" w:eastAsiaTheme="minorEastAsia"/>
                <w:kern w:val="0"/>
                <w:sz w:val="21"/>
                <w:szCs w:val="21"/>
                <w:highlight w:val="none"/>
                <w:lang w:val="en-US" w:eastAsia="zh-CN" w:bidi="ar-SA"/>
              </w:rPr>
              <w:t>实施方案</w:t>
            </w:r>
          </w:p>
        </w:tc>
        <w:tc>
          <w:tcPr>
            <w:tcW w:w="1160"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**页-**页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435"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2492"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531"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55"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335"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60"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88"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435"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r>
              <w:rPr>
                <w:rFonts w:hint="eastAsia"/>
                <w:b/>
                <w:sz w:val="28"/>
                <w:szCs w:val="28"/>
                <w:highlight w:val="none"/>
                <w:lang w:val="en-US" w:eastAsia="zh-CN"/>
              </w:rPr>
              <w:t>***</w:t>
            </w:r>
          </w:p>
        </w:tc>
        <w:tc>
          <w:tcPr>
            <w:tcW w:w="2492"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531"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55"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335"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60" w:type="dxa"/>
            <w:vAlign w:val="center"/>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r>
    </w:tbl>
    <w:p>
      <w:pPr>
        <w:rPr>
          <w:highlight w:val="none"/>
        </w:rPr>
      </w:pPr>
    </w:p>
    <w:p>
      <w:pPr>
        <w:rPr>
          <w:rFonts w:hint="eastAsia" w:ascii="宋体" w:hAnsi="宋体" w:cs="宋体"/>
          <w:sz w:val="28"/>
          <w:highlight w:val="none"/>
        </w:rPr>
      </w:pPr>
    </w:p>
    <w:p>
      <w:pPr>
        <w:pStyle w:val="18"/>
        <w:jc w:val="center"/>
        <w:rPr>
          <w:rFonts w:hint="eastAsia" w:ascii="宋体" w:hAnsi="宋体" w:cs="宋体"/>
          <w:b/>
          <w:bCs/>
          <w:sz w:val="56"/>
          <w:szCs w:val="52"/>
          <w:highlight w:val="none"/>
        </w:rPr>
      </w:pPr>
      <w:r>
        <w:rPr>
          <w:rFonts w:hint="eastAsia" w:asciiTheme="minorEastAsia" w:hAnsiTheme="minorEastAsia" w:eastAsiaTheme="minorEastAsia" w:cstheme="minorEastAsia"/>
          <w:b/>
          <w:bCs/>
          <w:sz w:val="36"/>
          <w:szCs w:val="36"/>
          <w:highlight w:val="none"/>
          <w:lang w:val="en-US" w:eastAsia="zh-CN"/>
        </w:rPr>
        <w:t>服务内容偏离表</w:t>
      </w:r>
    </w:p>
    <w:tbl>
      <w:tblPr>
        <w:tblStyle w:val="44"/>
        <w:tblW w:w="1052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703"/>
        <w:gridCol w:w="1200"/>
        <w:gridCol w:w="7313"/>
        <w:gridCol w:w="13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39" w:hRule="atLeast"/>
          <w:jc w:val="center"/>
        </w:trPr>
        <w:tc>
          <w:tcPr>
            <w:tcW w:w="703" w:type="dxa"/>
            <w:tcBorders>
              <w:tl2br w:val="nil"/>
              <w:tr2bl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序号</w:t>
            </w:r>
          </w:p>
        </w:tc>
        <w:tc>
          <w:tcPr>
            <w:tcW w:w="12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服务名称</w:t>
            </w:r>
          </w:p>
        </w:tc>
        <w:tc>
          <w:tcPr>
            <w:tcW w:w="7313"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4"/>
                <w:szCs w:val="24"/>
                <w:highlight w:val="none"/>
                <w:u w:val="none"/>
                <w:lang w:val="en-US"/>
              </w:rPr>
            </w:pPr>
            <w:r>
              <w:rPr>
                <w:rFonts w:hint="eastAsia" w:ascii="微软雅黑" w:hAnsi="微软雅黑" w:eastAsia="微软雅黑" w:cs="微软雅黑"/>
                <w:b/>
                <w:bCs/>
                <w:i w:val="0"/>
                <w:iCs w:val="0"/>
                <w:color w:val="000000"/>
                <w:kern w:val="0"/>
                <w:sz w:val="24"/>
                <w:szCs w:val="24"/>
                <w:highlight w:val="none"/>
                <w:u w:val="none"/>
                <w:lang w:val="en-US" w:eastAsia="zh-CN" w:bidi="ar"/>
              </w:rPr>
              <w:t>服务内容</w:t>
            </w:r>
          </w:p>
        </w:tc>
        <w:tc>
          <w:tcPr>
            <w:tcW w:w="1313" w:type="dxa"/>
            <w:tcBorders>
              <w:tl2br w:val="nil"/>
              <w:tr2bl w:val="nil"/>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4"/>
                <w:szCs w:val="24"/>
                <w:highlight w:val="none"/>
                <w:u w:val="none"/>
                <w:lang w:val="en-US" w:eastAsia="zh-CN" w:bidi="ar"/>
              </w:rPr>
            </w:pPr>
            <w:r>
              <w:rPr>
                <w:rFonts w:hint="eastAsia" w:ascii="微软雅黑" w:hAnsi="微软雅黑" w:eastAsia="微软雅黑" w:cs="微软雅黑"/>
                <w:b/>
                <w:bCs/>
                <w:i w:val="0"/>
                <w:iCs w:val="0"/>
                <w:color w:val="000000"/>
                <w:kern w:val="0"/>
                <w:sz w:val="24"/>
                <w:szCs w:val="24"/>
                <w:highlight w:val="none"/>
                <w:u w:val="none"/>
                <w:lang w:val="en-US" w:eastAsia="zh-CN" w:bidi="ar"/>
              </w:rPr>
              <w:t>响应情况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588" w:hRule="atLeast"/>
          <w:jc w:val="center"/>
        </w:trPr>
        <w:tc>
          <w:tcPr>
            <w:tcW w:w="70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12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威胁检测服务</w:t>
            </w:r>
          </w:p>
        </w:tc>
        <w:tc>
          <w:tcPr>
            <w:tcW w:w="7313" w:type="dxa"/>
            <w:tcBorders>
              <w:tl2br w:val="nil"/>
              <w:tr2bl w:val="nil"/>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 提供国家攻防演练专项人员驻场支持服务和重大活动的重保支持服务。</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国家攻防演练期间24小时驻场监控响应服务，包括事件研判溯源分析等</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重大活动现场支持服务</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2. 提供威胁情报分析服务，帮助企业识别和应对最新的威胁情报。</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收集和分析全球最新的威胁情报信息</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提供定期的威胁情报报告，帮助企业了解当前的威胁态势</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针对企业特定的威胁情报需求，提供定制化的分析服务（需提供工具的界面截图）</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3. 提供的安全监控和响应服务，确保在任何时间都能及时发现和处理安全事件。</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全天候安全监控，实时检测和响应安全事件</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提供安全事件的实时告警和处理建议</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安全事件的快速响应和处置，减少安全事件的影响</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4. 提供定期的安全评估和审计服务，帮助企业发现和修复潜在的安全漏洞。</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定期进行安全评估，发现系统中的安全漏洞和风险</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提供详细的安全评估报告和修复建议</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协助企业进行安全漏洞的修复和验证</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5. 提供安全事件的取证和分析服务，帮助企业在发生安全事件后进行详细的调查和取证。</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对安全事件进行详细的取证和分析</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提供安全事件的调查报告和改进建议</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协助企业进行安全事件的后续处理和改进</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6. 提供安全设备的联调配置和优化服务，确保云资源安全设备能够发挥最佳性能。</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安全设备的安装和配置服务</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定期对安全设备进行优化和维护</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提供安全设备的性能监控和调优服务</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 xml:space="preserve">    - 服务工具需自动识别常见云上应用及服务，如存储桶、虚拟机、数据库、云函数，包括但不限于AWS、阿里云、UCloud、腾讯云、华为云、百度云、京东云等（需提供工具的界面截图）</w:t>
            </w:r>
          </w:p>
        </w:tc>
        <w:tc>
          <w:tcPr>
            <w:tcW w:w="1313" w:type="dxa"/>
            <w:tcBorders>
              <w:tl2br w:val="nil"/>
              <w:tr2bl w:val="nil"/>
            </w:tcBorders>
            <w:shd w:val="clear" w:color="auto" w:fill="auto"/>
            <w:vAlign w:val="top"/>
          </w:tcPr>
          <w:p>
            <w:pPr>
              <w:keepNext w:val="0"/>
              <w:keepLines w:val="0"/>
              <w:widowControl/>
              <w:suppressLineNumbers w:val="0"/>
              <w:jc w:val="left"/>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1、完全响应</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w:t>
            </w:r>
          </w:p>
          <w:p>
            <w:pPr>
              <w:pStyle w:val="2"/>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w:t>
            </w:r>
          </w:p>
          <w:p>
            <w:pPr>
              <w:rPr>
                <w:rFonts w:hint="default"/>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603" w:hRule="atLeast"/>
          <w:jc w:val="center"/>
        </w:trPr>
        <w:tc>
          <w:tcPr>
            <w:tcW w:w="70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12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威胁检测平台威胁感知模块订阅</w:t>
            </w:r>
          </w:p>
        </w:tc>
        <w:tc>
          <w:tcPr>
            <w:tcW w:w="7313" w:type="dxa"/>
            <w:tcBorders>
              <w:tl2br w:val="nil"/>
              <w:tr2bl w:val="nil"/>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1.针对外部攻击行为、内部失陷主机外联行为、内网渗透行为进行全面分析，保证告警的高精准度，达到减少安全成本，聚焦真实威胁的效果。</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2.基于精准的APT情报，结合攻击时常、黑IP的关联行为等分析维度，及时准确地发现针对性攻击。对于所有攻击数据、可疑行为、以及完整的攻击过程提供完整的全流量存储和查询操作。</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3.并实现对黑客入侵过程的完整回溯，对攻击影响面的自动研判，以及对资产情况的自动化收集。最终达成聚焦真实威胁、减少运营压力，清晰呈现企业攻防边界的目的。</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4.服务期内提供故障处理恢复、平台升级维护，每年按需提供至少两次巡检服务，损耗件更换及相关技术咨询服务。</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5.提供双向全流量检测服务，覆盖请求和返回流量，同时检测向外请求。动态分级存储策略，保存高价值告警信息。（需提供工具的界面截图）</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6.提供对常见高危的0day漏洞进行检测服务 ，并提供企业当前遭受0day威胁情况。（需提供工具的界面截图）</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7.提供自动化识别web应用及框架服务，并提供分析。</w:t>
            </w:r>
            <w:r>
              <w:rPr>
                <w:rFonts w:hint="eastAsia" w:ascii="微软雅黑" w:hAnsi="微软雅黑" w:eastAsia="微软雅黑" w:cs="微软雅黑"/>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i w:val="0"/>
                <w:iCs w:val="0"/>
                <w:color w:val="000000"/>
                <w:kern w:val="0"/>
                <w:sz w:val="20"/>
                <w:szCs w:val="20"/>
                <w:highlight w:val="none"/>
                <w:u w:val="none"/>
                <w:lang w:val="en-US" w:eastAsia="zh-CN" w:bidi="ar"/>
              </w:rPr>
              <w:t>8.梳理企业中存在的上传接口，识别接口是否对外开放、是否为新上线接口、接口是否已被攻击、接口是否上传过威胁文件，并且可查看上传接口的reference地址及相关日志</w:t>
            </w:r>
          </w:p>
        </w:tc>
        <w:tc>
          <w:tcPr>
            <w:tcW w:w="1313" w:type="dxa"/>
            <w:tcBorders>
              <w:tl2br w:val="nil"/>
              <w:tr2bl w:val="nil"/>
            </w:tcBorders>
            <w:shd w:val="clear" w:color="000000" w:fill="FFFFFF"/>
            <w:vAlign w:val="center"/>
          </w:tcPr>
          <w:p>
            <w:pPr>
              <w:keepNext w:val="0"/>
              <w:keepLines w:val="0"/>
              <w:widowControl/>
              <w:suppressLineNumbers w:val="0"/>
              <w:jc w:val="left"/>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1、完全响应</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w:t>
            </w:r>
          </w:p>
          <w:p>
            <w:pPr>
              <w:pStyle w:val="2"/>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p>
        </w:tc>
      </w:tr>
    </w:tbl>
    <w:p>
      <w:pPr>
        <w:spacing w:line="360" w:lineRule="auto"/>
        <w:jc w:val="center"/>
        <w:outlineLvl w:val="1"/>
        <w:rPr>
          <w:rFonts w:hint="eastAsia" w:ascii="宋体" w:hAnsi="宋体" w:cs="宋体"/>
          <w:b/>
          <w:bCs/>
          <w:kern w:val="0"/>
          <w:sz w:val="28"/>
          <w:szCs w:val="32"/>
          <w:highlight w:val="none"/>
        </w:rPr>
      </w:pPr>
    </w:p>
    <w:p>
      <w:pPr>
        <w:rPr>
          <w:rFonts w:hint="eastAsia" w:ascii="宋体" w:hAnsi="宋体" w:cs="宋体"/>
          <w:b/>
          <w:bCs/>
          <w:kern w:val="0"/>
          <w:sz w:val="28"/>
          <w:szCs w:val="32"/>
          <w:highlight w:val="none"/>
        </w:rPr>
      </w:pPr>
      <w:r>
        <w:rPr>
          <w:rFonts w:hint="eastAsia" w:ascii="宋体" w:hAnsi="宋体" w:cs="宋体"/>
          <w:b/>
          <w:bCs/>
          <w:kern w:val="0"/>
          <w:sz w:val="28"/>
          <w:szCs w:val="32"/>
          <w:highlight w:val="none"/>
        </w:rPr>
        <w:br w:type="page"/>
      </w:r>
    </w:p>
    <w:p>
      <w:pPr>
        <w:pStyle w:val="2"/>
        <w:rPr>
          <w:rFonts w:hint="eastAsia"/>
          <w:highlight w:val="none"/>
        </w:rPr>
      </w:pPr>
    </w:p>
    <w:p>
      <w:pPr>
        <w:spacing w:line="360" w:lineRule="auto"/>
        <w:jc w:val="center"/>
        <w:outlineLvl w:val="1"/>
        <w:rPr>
          <w:rFonts w:hint="eastAsia" w:ascii="宋体" w:hAnsi="宋体" w:cs="宋体"/>
          <w:b/>
          <w:bCs/>
          <w:kern w:val="0"/>
          <w:sz w:val="28"/>
          <w:szCs w:val="32"/>
          <w:highlight w:val="none"/>
        </w:rPr>
      </w:pPr>
      <w:r>
        <w:rPr>
          <w:rFonts w:hint="eastAsia" w:ascii="宋体" w:hAnsi="宋体" w:cs="宋体"/>
          <w:b/>
          <w:bCs/>
          <w:kern w:val="0"/>
          <w:sz w:val="28"/>
          <w:szCs w:val="32"/>
          <w:highlight w:val="none"/>
        </w:rPr>
        <w:t>（</w:t>
      </w:r>
      <w:r>
        <w:rPr>
          <w:rFonts w:hint="eastAsia" w:ascii="宋体" w:hAnsi="宋体" w:cs="宋体"/>
          <w:b/>
          <w:bCs/>
          <w:kern w:val="0"/>
          <w:sz w:val="28"/>
          <w:szCs w:val="32"/>
          <w:highlight w:val="none"/>
          <w:lang w:val="en-US" w:eastAsia="zh-CN"/>
        </w:rPr>
        <w:t>四</w:t>
      </w:r>
      <w:r>
        <w:rPr>
          <w:rFonts w:hint="eastAsia" w:ascii="宋体" w:hAnsi="宋体" w:cs="宋体"/>
          <w:b/>
          <w:bCs/>
          <w:kern w:val="0"/>
          <w:sz w:val="28"/>
          <w:szCs w:val="32"/>
          <w:highlight w:val="none"/>
        </w:rPr>
        <w:t>）实施方案</w:t>
      </w:r>
    </w:p>
    <w:p>
      <w:pPr>
        <w:rPr>
          <w:highlight w:val="none"/>
        </w:rPr>
      </w:pPr>
      <w:r>
        <w:rPr>
          <w:highlight w:val="none"/>
        </w:rPr>
        <w:br w:type="page"/>
      </w:r>
    </w:p>
    <w:p>
      <w:pPr>
        <w:rPr>
          <w:highlight w:val="none"/>
        </w:rPr>
      </w:pPr>
    </w:p>
    <w:p>
      <w:pPr>
        <w:pStyle w:val="4"/>
        <w:numPr>
          <w:ilvl w:val="0"/>
          <w:numId w:val="6"/>
        </w:numPr>
        <w:spacing w:before="0" w:after="0" w:line="360" w:lineRule="auto"/>
        <w:jc w:val="center"/>
        <w:rPr>
          <w:rFonts w:ascii="宋体" w:hAnsi="宋体" w:eastAsia="宋体" w:cs="宋体"/>
          <w:sz w:val="28"/>
          <w:highlight w:val="none"/>
        </w:rPr>
      </w:pPr>
      <w:bookmarkStart w:id="898" w:name="_Toc296"/>
      <w:r>
        <w:rPr>
          <w:rFonts w:hint="eastAsia" w:ascii="宋体" w:hAnsi="宋体" w:eastAsia="宋体" w:cs="宋体"/>
          <w:sz w:val="28"/>
          <w:highlight w:val="none"/>
        </w:rPr>
        <w:t>报价人承诺</w:t>
      </w:r>
      <w:bookmarkEnd w:id="893"/>
      <w:bookmarkEnd w:id="898"/>
    </w:p>
    <w:p>
      <w:pPr>
        <w:pStyle w:val="18"/>
        <w:rPr>
          <w:rFonts w:hint="eastAsia" w:eastAsia="宋体"/>
          <w:highlight w:val="none"/>
          <w:lang w:val="en-US" w:eastAsia="zh-CN"/>
        </w:rPr>
      </w:pPr>
      <w:r>
        <w:rPr>
          <w:rFonts w:hint="eastAsia"/>
          <w:highlight w:val="none"/>
          <w:lang w:val="en-US" w:eastAsia="zh-CN"/>
        </w:rPr>
        <w:t xml:space="preserve"> </w:t>
      </w:r>
    </w:p>
    <w:p>
      <w:pPr>
        <w:pStyle w:val="39"/>
        <w:spacing w:line="480" w:lineRule="auto"/>
        <w:jc w:val="both"/>
        <w:rPr>
          <w:rFonts w:hint="eastAsia" w:ascii="宋体" w:hAnsi="宋体"/>
          <w:color w:val="000000"/>
          <w:sz w:val="24"/>
          <w:highlight w:val="none"/>
        </w:rPr>
      </w:pPr>
      <w:r>
        <w:rPr>
          <w:rFonts w:hint="eastAsia" w:hAnsi="宋体"/>
          <w:highlight w:val="none"/>
        </w:rPr>
        <w:t>致：</w:t>
      </w:r>
      <w:r>
        <w:rPr>
          <w:rFonts w:hint="eastAsia" w:hAnsi="宋体"/>
          <w:highlight w:val="none"/>
          <w:u w:val="single"/>
        </w:rPr>
        <w:t>重庆首讯科技股份有限公司</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both"/>
        <w:textAlignment w:val="auto"/>
        <w:rPr>
          <w:rFonts w:hint="eastAsia" w:ascii="宋体" w:hAnsi="宋体"/>
          <w:color w:val="000000"/>
          <w:sz w:val="24"/>
          <w:highlight w:val="none"/>
        </w:rPr>
      </w:pP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在研究XXXX   项目竞争比选文件后，在此郑重承诺我司满足本项目一切服务内容、服务要求、服务时间等相关要求，响应比选函的一切内容，同时申明将按照业主要求组建项目团队。若我司中标本项目且无法满足业主相关需求，我司愿承担由此给采购人造成的一切损失。</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1、在收到中标通知书后，在中标通知书规定的期限内与你方签订合同；</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2、在签订合同时不向你方提出附加条件；</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3、在合同约定的期限内完成合同规定的全部义务。</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4、我司承诺按比选文件及响应文件人员组建项目团队，配备至少3人，项目经理1名，项目技术支持人员2名。</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both"/>
        <w:textAlignment w:val="auto"/>
        <w:rPr>
          <w:rFonts w:ascii="宋体" w:hAnsi="宋体"/>
          <w:color w:val="000000"/>
          <w:sz w:val="24"/>
          <w:highlight w:val="none"/>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both"/>
        <w:textAlignment w:val="auto"/>
        <w:rPr>
          <w:rFonts w:ascii="宋体" w:hAnsi="宋体"/>
          <w:color w:val="000000"/>
          <w:sz w:val="24"/>
          <w:highlight w:val="none"/>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center"/>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right"/>
        <w:textAlignment w:val="auto"/>
        <w:rPr>
          <w:rFonts w:ascii="宋体" w:hAnsi="宋体"/>
          <w:color w:val="000000"/>
          <w:sz w:val="24"/>
          <w:highlight w:val="none"/>
        </w:rPr>
      </w:pPr>
      <w:r>
        <w:rPr>
          <w:rFonts w:hint="eastAsia" w:ascii="宋体" w:hAnsi="宋体"/>
          <w:color w:val="000000"/>
          <w:sz w:val="24"/>
          <w:highlight w:val="none"/>
        </w:rPr>
        <w:t>承诺人：XX公司</w:t>
      </w:r>
    </w:p>
    <w:p>
      <w:pPr>
        <w:pStyle w:val="18"/>
        <w:spacing w:line="480" w:lineRule="auto"/>
        <w:jc w:val="right"/>
        <w:rPr>
          <w:highlight w:val="none"/>
        </w:rPr>
      </w:pPr>
      <w:r>
        <w:rPr>
          <w:rFonts w:hint="eastAsia" w:ascii="宋体" w:hAnsi="宋体"/>
          <w:color w:val="000000"/>
          <w:sz w:val="24"/>
          <w:highlight w:val="none"/>
        </w:rPr>
        <w:t xml:space="preserve">              </w:t>
      </w:r>
      <w:r>
        <w:rPr>
          <w:rFonts w:hint="eastAsia" w:ascii="宋体" w:hAnsi="宋体" w:eastAsia="宋体" w:cs="Times New Roman"/>
          <w:color w:val="000000"/>
          <w:kern w:val="2"/>
          <w:sz w:val="24"/>
          <w:szCs w:val="24"/>
          <w:highlight w:val="none"/>
          <w:lang w:val="en-US" w:eastAsia="zh-CN" w:bidi="ar-SA"/>
        </w:rPr>
        <w:t>日期：</w:t>
      </w:r>
    </w:p>
    <w:p>
      <w:pPr>
        <w:pStyle w:val="18"/>
        <w:rPr>
          <w:rFonts w:ascii="宋体" w:hAnsi="宋体"/>
          <w:color w:val="000000"/>
          <w:sz w:val="24"/>
          <w:highlight w:val="none"/>
        </w:rPr>
      </w:pPr>
    </w:p>
    <w:p>
      <w:pPr>
        <w:rPr>
          <w:rFonts w:ascii="宋体" w:hAnsi="宋体"/>
          <w:color w:val="000000"/>
          <w:sz w:val="24"/>
          <w:highlight w:val="none"/>
        </w:rPr>
      </w:pPr>
    </w:p>
    <w:p>
      <w:pPr>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比选文件中要求报价人自行承诺的，由报价人按比选文件要求内容承诺，格式自拟。</w:t>
      </w:r>
    </w:p>
    <w:p>
      <w:pPr>
        <w:rPr>
          <w:highlight w:val="none"/>
        </w:rPr>
      </w:pPr>
    </w:p>
    <w:p>
      <w:pPr>
        <w:pStyle w:val="2"/>
        <w:rPr>
          <w:highlight w:val="none"/>
        </w:rPr>
      </w:pPr>
    </w:p>
    <w:p>
      <w:pPr>
        <w:pStyle w:val="13"/>
        <w:rPr>
          <w:highlight w:val="none"/>
        </w:rPr>
      </w:pPr>
    </w:p>
    <w:p>
      <w:pPr>
        <w:pStyle w:val="4"/>
        <w:numPr>
          <w:ilvl w:val="0"/>
          <w:numId w:val="6"/>
        </w:numPr>
        <w:spacing w:before="0" w:after="0" w:line="360" w:lineRule="auto"/>
        <w:jc w:val="center"/>
        <w:rPr>
          <w:rFonts w:ascii="宋体" w:hAnsi="宋体" w:eastAsia="宋体" w:cs="宋体"/>
          <w:sz w:val="28"/>
          <w:highlight w:val="none"/>
        </w:rPr>
      </w:pPr>
      <w:bookmarkStart w:id="899" w:name="_Toc5210"/>
      <w:r>
        <w:rPr>
          <w:rFonts w:hint="eastAsia" w:ascii="宋体" w:hAnsi="宋体" w:eastAsia="宋体" w:cs="宋体"/>
          <w:sz w:val="28"/>
          <w:highlight w:val="none"/>
        </w:rPr>
        <w:t>报价人提供的其他资料（如有）</w:t>
      </w:r>
      <w:bookmarkEnd w:id="899"/>
    </w:p>
    <w:bookmarkEnd w:id="894"/>
    <w:bookmarkEnd w:id="895"/>
    <w:p>
      <w:pPr>
        <w:rPr>
          <w:highlight w:val="none"/>
        </w:rPr>
      </w:pP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1、投标保证金银行回执等附件。</w:t>
      </w:r>
    </w:p>
    <w:p>
      <w:pPr>
        <w:rPr>
          <w:rFonts w:hint="eastAsia"/>
          <w:highlight w:val="none"/>
        </w:rPr>
      </w:pPr>
      <w:r>
        <w:rPr>
          <w:rFonts w:hint="eastAsia"/>
          <w:color w:val="000000" w:themeColor="text1"/>
          <w:highlight w:val="none"/>
          <w:lang w:val="en-US" w:eastAsia="zh-CN"/>
          <w14:textFill>
            <w14:solidFill>
              <w14:schemeClr w14:val="tx1"/>
            </w14:solidFill>
          </w14:textFill>
        </w:rPr>
        <w:t>2、其他内容</w:t>
      </w:r>
    </w:p>
    <w:p>
      <w:pPr>
        <w:rPr>
          <w:highlight w:val="none"/>
        </w:rPr>
      </w:pPr>
    </w:p>
    <w:p>
      <w:pPr>
        <w:rPr>
          <w:highlight w:val="none"/>
        </w:rPr>
      </w:pPr>
    </w:p>
    <w:p>
      <w:pPr>
        <w:rPr>
          <w:highlight w:val="none"/>
        </w:rPr>
      </w:pPr>
      <w:r>
        <w:rPr>
          <w:highlight w:val="none"/>
        </w:rPr>
        <w:br w:type="page"/>
      </w:r>
    </w:p>
    <w:p>
      <w:pPr>
        <w:autoSpaceDE w:val="0"/>
        <w:autoSpaceDN w:val="0"/>
        <w:adjustRightInd w:val="0"/>
        <w:snapToGrid w:val="0"/>
        <w:spacing w:line="360" w:lineRule="auto"/>
        <w:jc w:val="center"/>
        <w:rPr>
          <w:rFonts w:hint="eastAsia" w:ascii="Times New Roman" w:hAnsi="Times New Roman"/>
          <w:b/>
          <w:bCs/>
          <w:caps/>
          <w:color w:val="auto"/>
          <w:sz w:val="32"/>
          <w:szCs w:val="32"/>
          <w:highlight w:val="none"/>
        </w:rPr>
      </w:pPr>
      <w:r>
        <w:rPr>
          <w:rFonts w:hint="eastAsia" w:ascii="宋体" w:hAnsi="宋体" w:eastAsia="宋体" w:cs="宋体"/>
          <w:b/>
          <w:bCs/>
          <w:kern w:val="0"/>
          <w:sz w:val="28"/>
          <w:szCs w:val="32"/>
          <w:highlight w:val="none"/>
          <w:lang w:val="en-US" w:eastAsia="zh-CN" w:bidi="ar-SA"/>
        </w:rPr>
        <w:t>七、低价风险担保提交承诺书（如有）</w:t>
      </w:r>
    </w:p>
    <w:p>
      <w:pPr>
        <w:rPr>
          <w:color w:val="auto"/>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highlight w:val="none"/>
        </w:rPr>
      </w:pPr>
    </w:p>
    <w:p>
      <w:pPr>
        <w:jc w:val="right"/>
        <w:rPr>
          <w:rFonts w:hint="eastAsia"/>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rPr>
          <w:highlight w:val="none"/>
        </w:rPr>
      </w:pPr>
    </w:p>
    <w:p>
      <w:pPr>
        <w:rPr>
          <w:highlight w:val="none"/>
        </w:rPr>
      </w:pPr>
    </w:p>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DCDF0F5-B5AF-4858-AB3A-A84F8824EBCC}"/>
  </w:font>
  <w:font w:name="黑体">
    <w:panose1 w:val="02010609060101010101"/>
    <w:charset w:val="86"/>
    <w:family w:val="auto"/>
    <w:pitch w:val="default"/>
    <w:sig w:usb0="800002BF" w:usb1="38CF7CFA" w:usb2="00000016" w:usb3="00000000" w:csb0="00040001" w:csb1="00000000"/>
    <w:embedRegular r:id="rId2" w:fontKey="{D7852499-3FF6-4A0B-BD92-87433067DE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3D7F1B1-5BFE-48BB-A69F-D0CCF70D9227}"/>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4" w:fontKey="{C7202060-D608-4D8B-BEB6-54E89D4FD87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5" w:fontKey="{35DB4A50-F1CB-4CE5-8A8A-8A7A1DB11D07}"/>
  </w:font>
  <w:font w:name="Calibri Light">
    <w:panose1 w:val="020F0302020204030204"/>
    <w:charset w:val="00"/>
    <w:family w:val="swiss"/>
    <w:pitch w:val="default"/>
    <w:sig w:usb0="E4002EFF" w:usb1="C000247B" w:usb2="00000009" w:usb3="00000000" w:csb0="200001FF" w:csb1="00000000"/>
  </w:font>
  <w:font w:name="华文细黑">
    <w:altName w:val="Arial Unicode MS"/>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panose1 w:val="020B0604020202020204"/>
    <w:charset w:val="86"/>
    <w:family w:val="swiss"/>
    <w:pitch w:val="default"/>
    <w:sig w:usb0="F7FFAEFF" w:usb1="F9DFFFFF" w:usb2="0000007F" w:usb3="00000000" w:csb0="203F01FF" w:csb1="DFFF0000"/>
  </w:font>
  <w:font w:name="等线">
    <w:panose1 w:val="02010600030101010101"/>
    <w:charset w:val="86"/>
    <w:family w:val="auto"/>
    <w:pitch w:val="default"/>
    <w:sig w:usb0="A00002BF" w:usb1="38CF7CFA" w:usb2="00000016" w:usb3="00000000" w:csb0="0004000F" w:csb1="00000000"/>
    <w:embedRegular r:id="rId6" w:fontKey="{4C16B2D7-0369-4342-BAF9-03C59EFD9944}"/>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fldChar w:fldCharType="begin"/>
    </w:r>
    <w:r>
      <w:rPr>
        <w:rStyle w:val="48"/>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6</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78</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78</w:t>
    </w:r>
    <w:r>
      <w:fldChar w:fldCharType="end"/>
    </w:r>
  </w:p>
  <w:p>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8"/>
                            </w:rPr>
                          </w:pPr>
                          <w:r>
                            <w:fldChar w:fldCharType="begin"/>
                          </w:r>
                          <w:r>
                            <w:rPr>
                              <w:rStyle w:val="48"/>
                            </w:rPr>
                            <w:instrText xml:space="preserve">PAGE  </w:instrText>
                          </w:r>
                          <w:r>
                            <w:fldChar w:fldCharType="separate"/>
                          </w:r>
                          <w:r>
                            <w:rPr>
                              <w:rStyle w:val="48"/>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8"/>
                      </w:rPr>
                    </w:pPr>
                    <w:r>
                      <w:fldChar w:fldCharType="begin"/>
                    </w:r>
                    <w:r>
                      <w:rPr>
                        <w:rStyle w:val="48"/>
                      </w:rPr>
                      <w:instrText xml:space="preserve">PAGE  </w:instrText>
                    </w:r>
                    <w:r>
                      <w:fldChar w:fldCharType="separate"/>
                    </w:r>
                    <w:r>
                      <w:rPr>
                        <w:rStyle w:val="48"/>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FAD4D"/>
    <w:multiLevelType w:val="singleLevel"/>
    <w:tmpl w:val="A6FFAD4D"/>
    <w:lvl w:ilvl="0" w:tentative="0">
      <w:start w:val="5"/>
      <w:numFmt w:val="decimal"/>
      <w:suff w:val="space"/>
      <w:lvlText w:val="%1."/>
      <w:lvlJc w:val="left"/>
    </w:lvl>
  </w:abstractNum>
  <w:abstractNum w:abstractNumId="1">
    <w:nsid w:val="C6DEEEE1"/>
    <w:multiLevelType w:val="singleLevel"/>
    <w:tmpl w:val="C6DEEEE1"/>
    <w:lvl w:ilvl="0" w:tentative="0">
      <w:start w:val="1"/>
      <w:numFmt w:val="chineseCounting"/>
      <w:suff w:val="nothing"/>
      <w:lvlText w:val="%1、"/>
      <w:lvlJc w:val="left"/>
      <w:pPr>
        <w:ind w:left="0" w:firstLine="420"/>
      </w:pPr>
      <w:rPr>
        <w:rFonts w:hint="eastAsia"/>
      </w:rPr>
    </w:lvl>
  </w:abstractNum>
  <w:abstractNum w:abstractNumId="2">
    <w:nsid w:val="C832C134"/>
    <w:multiLevelType w:val="singleLevel"/>
    <w:tmpl w:val="C832C134"/>
    <w:lvl w:ilvl="0" w:tentative="0">
      <w:start w:val="1"/>
      <w:numFmt w:val="decimal"/>
      <w:suff w:val="space"/>
      <w:lvlText w:val="%1."/>
      <w:lvlJc w:val="left"/>
    </w:lvl>
  </w:abstractNum>
  <w:abstractNum w:abstractNumId="3">
    <w:nsid w:val="C87D13C6"/>
    <w:multiLevelType w:val="singleLevel"/>
    <w:tmpl w:val="C87D13C6"/>
    <w:lvl w:ilvl="0" w:tentative="0">
      <w:start w:val="3"/>
      <w:numFmt w:val="chineseCounting"/>
      <w:suff w:val="space"/>
      <w:lvlText w:val="第%1章"/>
      <w:lvlJc w:val="left"/>
      <w:rPr>
        <w:rFonts w:hint="eastAsia"/>
      </w:rPr>
    </w:lvl>
  </w:abstractNum>
  <w:abstractNum w:abstractNumId="4">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3871CE1D"/>
    <w:multiLevelType w:val="singleLevel"/>
    <w:tmpl w:val="3871CE1D"/>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ZWIzODJkYWM5YjA2ZDE5YWVhMjgxZTFhYjA5MTg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15C6"/>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3B3C"/>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2CF6"/>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0154"/>
    <w:rsid w:val="004A15BA"/>
    <w:rsid w:val="004A1630"/>
    <w:rsid w:val="004A16CA"/>
    <w:rsid w:val="004A19AC"/>
    <w:rsid w:val="004A209F"/>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E7BA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13"/>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07F2"/>
    <w:rsid w:val="006B1A0A"/>
    <w:rsid w:val="006B49C1"/>
    <w:rsid w:val="006B60A9"/>
    <w:rsid w:val="006C41F0"/>
    <w:rsid w:val="006C497C"/>
    <w:rsid w:val="006C75C9"/>
    <w:rsid w:val="006C7F0A"/>
    <w:rsid w:val="006D1032"/>
    <w:rsid w:val="006D2A98"/>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19E2"/>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07BB"/>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0B8D"/>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24FE"/>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1940"/>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2AE8"/>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1BB7833"/>
    <w:rsid w:val="01F5332B"/>
    <w:rsid w:val="02155A13"/>
    <w:rsid w:val="02195A53"/>
    <w:rsid w:val="02225B04"/>
    <w:rsid w:val="029D41FE"/>
    <w:rsid w:val="02A800C5"/>
    <w:rsid w:val="02C6499B"/>
    <w:rsid w:val="02C91CAA"/>
    <w:rsid w:val="02F079B0"/>
    <w:rsid w:val="037D0CD2"/>
    <w:rsid w:val="038B3366"/>
    <w:rsid w:val="03981B5E"/>
    <w:rsid w:val="03996EAD"/>
    <w:rsid w:val="03F60BFA"/>
    <w:rsid w:val="04023CC8"/>
    <w:rsid w:val="04074EC0"/>
    <w:rsid w:val="04135492"/>
    <w:rsid w:val="042674F4"/>
    <w:rsid w:val="042D3C13"/>
    <w:rsid w:val="043B10FF"/>
    <w:rsid w:val="04722D72"/>
    <w:rsid w:val="047A0BBC"/>
    <w:rsid w:val="04AC4FC6"/>
    <w:rsid w:val="04C12ED8"/>
    <w:rsid w:val="04DC5749"/>
    <w:rsid w:val="04E26FED"/>
    <w:rsid w:val="04E377CC"/>
    <w:rsid w:val="04E41F94"/>
    <w:rsid w:val="04FD6633"/>
    <w:rsid w:val="052E2B3B"/>
    <w:rsid w:val="054416D2"/>
    <w:rsid w:val="05507F0F"/>
    <w:rsid w:val="05871A0A"/>
    <w:rsid w:val="05A42E7B"/>
    <w:rsid w:val="05A70EA9"/>
    <w:rsid w:val="05C74673"/>
    <w:rsid w:val="05D55D36"/>
    <w:rsid w:val="060C2525"/>
    <w:rsid w:val="062756FD"/>
    <w:rsid w:val="065F7A31"/>
    <w:rsid w:val="067C53E7"/>
    <w:rsid w:val="06820F5E"/>
    <w:rsid w:val="068F02DD"/>
    <w:rsid w:val="069A65B0"/>
    <w:rsid w:val="069F5975"/>
    <w:rsid w:val="06AE2ABA"/>
    <w:rsid w:val="06C75368"/>
    <w:rsid w:val="06C75DF5"/>
    <w:rsid w:val="06DD02BB"/>
    <w:rsid w:val="06E71F51"/>
    <w:rsid w:val="06F965AD"/>
    <w:rsid w:val="07050666"/>
    <w:rsid w:val="071C4DB7"/>
    <w:rsid w:val="07362674"/>
    <w:rsid w:val="073B54B2"/>
    <w:rsid w:val="074309F6"/>
    <w:rsid w:val="07537EF9"/>
    <w:rsid w:val="07815EE7"/>
    <w:rsid w:val="07BC2556"/>
    <w:rsid w:val="080D19C3"/>
    <w:rsid w:val="081748AE"/>
    <w:rsid w:val="083420ED"/>
    <w:rsid w:val="08635851"/>
    <w:rsid w:val="08B62FD9"/>
    <w:rsid w:val="08C2359B"/>
    <w:rsid w:val="09030534"/>
    <w:rsid w:val="09041814"/>
    <w:rsid w:val="090B017D"/>
    <w:rsid w:val="092C7B04"/>
    <w:rsid w:val="092D7BDC"/>
    <w:rsid w:val="09332D2B"/>
    <w:rsid w:val="093E2D64"/>
    <w:rsid w:val="09403496"/>
    <w:rsid w:val="09472203"/>
    <w:rsid w:val="09512C23"/>
    <w:rsid w:val="098B1DA7"/>
    <w:rsid w:val="09907951"/>
    <w:rsid w:val="099F43E4"/>
    <w:rsid w:val="09A31A61"/>
    <w:rsid w:val="09A3752A"/>
    <w:rsid w:val="09BA7A85"/>
    <w:rsid w:val="09DE1094"/>
    <w:rsid w:val="09E2475B"/>
    <w:rsid w:val="0A3F34B7"/>
    <w:rsid w:val="0A4B11BE"/>
    <w:rsid w:val="0A71382C"/>
    <w:rsid w:val="0A7B4003"/>
    <w:rsid w:val="0A8E5B8D"/>
    <w:rsid w:val="0AA240FA"/>
    <w:rsid w:val="0AAC0CBB"/>
    <w:rsid w:val="0AB55F8D"/>
    <w:rsid w:val="0AD84BD3"/>
    <w:rsid w:val="0AE941D3"/>
    <w:rsid w:val="0B1061C6"/>
    <w:rsid w:val="0B2B08D5"/>
    <w:rsid w:val="0B315BF7"/>
    <w:rsid w:val="0BA35012"/>
    <w:rsid w:val="0BB825ED"/>
    <w:rsid w:val="0BC0647C"/>
    <w:rsid w:val="0BD7624B"/>
    <w:rsid w:val="0BDA11FD"/>
    <w:rsid w:val="0BF26817"/>
    <w:rsid w:val="0C22464A"/>
    <w:rsid w:val="0C2B72AE"/>
    <w:rsid w:val="0C5E1E2E"/>
    <w:rsid w:val="0C623EAC"/>
    <w:rsid w:val="0C946488"/>
    <w:rsid w:val="0CAD24AF"/>
    <w:rsid w:val="0CB27F34"/>
    <w:rsid w:val="0CDB6B9C"/>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55054"/>
    <w:rsid w:val="0E47249B"/>
    <w:rsid w:val="0E551882"/>
    <w:rsid w:val="0E65340B"/>
    <w:rsid w:val="0E7306EC"/>
    <w:rsid w:val="0EAA135B"/>
    <w:rsid w:val="0EB254B2"/>
    <w:rsid w:val="0EF40828"/>
    <w:rsid w:val="0EFB3F5D"/>
    <w:rsid w:val="0F041CC7"/>
    <w:rsid w:val="0F042317"/>
    <w:rsid w:val="0F1209F8"/>
    <w:rsid w:val="0F4C19DA"/>
    <w:rsid w:val="0F4C7D05"/>
    <w:rsid w:val="0F4F31AF"/>
    <w:rsid w:val="0F5F17BD"/>
    <w:rsid w:val="0F90531D"/>
    <w:rsid w:val="0F977B31"/>
    <w:rsid w:val="0FAD64B5"/>
    <w:rsid w:val="0FB21FD4"/>
    <w:rsid w:val="0FFF5930"/>
    <w:rsid w:val="10646943"/>
    <w:rsid w:val="1087681D"/>
    <w:rsid w:val="10A265EF"/>
    <w:rsid w:val="10EC4A0F"/>
    <w:rsid w:val="11156FC6"/>
    <w:rsid w:val="11485B0D"/>
    <w:rsid w:val="114C7209"/>
    <w:rsid w:val="1154158B"/>
    <w:rsid w:val="115809F8"/>
    <w:rsid w:val="117076B2"/>
    <w:rsid w:val="119E6579"/>
    <w:rsid w:val="11C97D4A"/>
    <w:rsid w:val="11CE5800"/>
    <w:rsid w:val="11D435DD"/>
    <w:rsid w:val="11DA3C43"/>
    <w:rsid w:val="1220326C"/>
    <w:rsid w:val="123A67B6"/>
    <w:rsid w:val="125670E6"/>
    <w:rsid w:val="125C6A25"/>
    <w:rsid w:val="125E1A9C"/>
    <w:rsid w:val="1276289F"/>
    <w:rsid w:val="1288522D"/>
    <w:rsid w:val="129D6A95"/>
    <w:rsid w:val="12AF4046"/>
    <w:rsid w:val="12CE506D"/>
    <w:rsid w:val="12F65490"/>
    <w:rsid w:val="12F73D2A"/>
    <w:rsid w:val="12F9698E"/>
    <w:rsid w:val="13112273"/>
    <w:rsid w:val="131C7C5D"/>
    <w:rsid w:val="132C0590"/>
    <w:rsid w:val="133D6DA6"/>
    <w:rsid w:val="13511DF6"/>
    <w:rsid w:val="13693592"/>
    <w:rsid w:val="138052F6"/>
    <w:rsid w:val="138B4634"/>
    <w:rsid w:val="138F1214"/>
    <w:rsid w:val="13BF412F"/>
    <w:rsid w:val="13D101C7"/>
    <w:rsid w:val="1400440E"/>
    <w:rsid w:val="142669A3"/>
    <w:rsid w:val="143805F9"/>
    <w:rsid w:val="144729D8"/>
    <w:rsid w:val="148E78CB"/>
    <w:rsid w:val="149F4D92"/>
    <w:rsid w:val="14A13E6D"/>
    <w:rsid w:val="14AB614D"/>
    <w:rsid w:val="14B96C2B"/>
    <w:rsid w:val="14EB1A70"/>
    <w:rsid w:val="15282A96"/>
    <w:rsid w:val="15436E45"/>
    <w:rsid w:val="15507C7E"/>
    <w:rsid w:val="15664AEF"/>
    <w:rsid w:val="158E23E1"/>
    <w:rsid w:val="159D7EA6"/>
    <w:rsid w:val="159F1BF9"/>
    <w:rsid w:val="15B71B1D"/>
    <w:rsid w:val="15E63361"/>
    <w:rsid w:val="160B0227"/>
    <w:rsid w:val="166C7DA6"/>
    <w:rsid w:val="16864176"/>
    <w:rsid w:val="16E04880"/>
    <w:rsid w:val="16F86032"/>
    <w:rsid w:val="17081A7A"/>
    <w:rsid w:val="17292C0C"/>
    <w:rsid w:val="174C321D"/>
    <w:rsid w:val="175E3FFB"/>
    <w:rsid w:val="176F50FE"/>
    <w:rsid w:val="179E3A27"/>
    <w:rsid w:val="17D10049"/>
    <w:rsid w:val="17DB67AF"/>
    <w:rsid w:val="17DD0B49"/>
    <w:rsid w:val="17F1563C"/>
    <w:rsid w:val="17F23C73"/>
    <w:rsid w:val="180F3B80"/>
    <w:rsid w:val="181B1411"/>
    <w:rsid w:val="181C1400"/>
    <w:rsid w:val="18223BBF"/>
    <w:rsid w:val="18406E44"/>
    <w:rsid w:val="18463EA2"/>
    <w:rsid w:val="185C1918"/>
    <w:rsid w:val="18787DD4"/>
    <w:rsid w:val="187D188E"/>
    <w:rsid w:val="1880349D"/>
    <w:rsid w:val="18A23FFA"/>
    <w:rsid w:val="18D435BC"/>
    <w:rsid w:val="18E261BC"/>
    <w:rsid w:val="18E611E1"/>
    <w:rsid w:val="18EF6999"/>
    <w:rsid w:val="19046FB2"/>
    <w:rsid w:val="19193365"/>
    <w:rsid w:val="19261639"/>
    <w:rsid w:val="195D5C0E"/>
    <w:rsid w:val="19601486"/>
    <w:rsid w:val="19B64CC2"/>
    <w:rsid w:val="19BA69A5"/>
    <w:rsid w:val="19DF6D3F"/>
    <w:rsid w:val="19E24459"/>
    <w:rsid w:val="1A305FF4"/>
    <w:rsid w:val="1A3D7EBE"/>
    <w:rsid w:val="1A4353A0"/>
    <w:rsid w:val="1A557489"/>
    <w:rsid w:val="1AA34568"/>
    <w:rsid w:val="1AB63184"/>
    <w:rsid w:val="1AF45443"/>
    <w:rsid w:val="1B054BA4"/>
    <w:rsid w:val="1B075A0C"/>
    <w:rsid w:val="1B67066F"/>
    <w:rsid w:val="1B7229E4"/>
    <w:rsid w:val="1B7A5EC7"/>
    <w:rsid w:val="1B811695"/>
    <w:rsid w:val="1B8E5EC0"/>
    <w:rsid w:val="1CB33990"/>
    <w:rsid w:val="1CF6260F"/>
    <w:rsid w:val="1CF76192"/>
    <w:rsid w:val="1CF83AEA"/>
    <w:rsid w:val="1CF911FC"/>
    <w:rsid w:val="1D6914D5"/>
    <w:rsid w:val="1D7C7A22"/>
    <w:rsid w:val="1D7E09CF"/>
    <w:rsid w:val="1D9F1A69"/>
    <w:rsid w:val="1DC81497"/>
    <w:rsid w:val="1DE41480"/>
    <w:rsid w:val="1DE60100"/>
    <w:rsid w:val="1DFE0D7B"/>
    <w:rsid w:val="1E2139B7"/>
    <w:rsid w:val="1E7065BE"/>
    <w:rsid w:val="1E7A14A8"/>
    <w:rsid w:val="1E7F32B0"/>
    <w:rsid w:val="1EBA058B"/>
    <w:rsid w:val="1EBB622E"/>
    <w:rsid w:val="1EC34807"/>
    <w:rsid w:val="1EEA13A6"/>
    <w:rsid w:val="1EF6594F"/>
    <w:rsid w:val="1EFE64E9"/>
    <w:rsid w:val="1F225822"/>
    <w:rsid w:val="1F6207D0"/>
    <w:rsid w:val="1F7D0570"/>
    <w:rsid w:val="1F813073"/>
    <w:rsid w:val="1F9041EC"/>
    <w:rsid w:val="1FA015EC"/>
    <w:rsid w:val="1FAF449C"/>
    <w:rsid w:val="1FE1627D"/>
    <w:rsid w:val="1FEA603B"/>
    <w:rsid w:val="20133D98"/>
    <w:rsid w:val="20226856"/>
    <w:rsid w:val="20293E2F"/>
    <w:rsid w:val="20665C82"/>
    <w:rsid w:val="20686E43"/>
    <w:rsid w:val="206E3E8E"/>
    <w:rsid w:val="207224C8"/>
    <w:rsid w:val="2076639A"/>
    <w:rsid w:val="2093114F"/>
    <w:rsid w:val="209B57AA"/>
    <w:rsid w:val="20A121FD"/>
    <w:rsid w:val="20C20004"/>
    <w:rsid w:val="20D07CD4"/>
    <w:rsid w:val="20D83D6E"/>
    <w:rsid w:val="20DE5531"/>
    <w:rsid w:val="20E1180E"/>
    <w:rsid w:val="20EA6084"/>
    <w:rsid w:val="20F01139"/>
    <w:rsid w:val="20F1461D"/>
    <w:rsid w:val="20F14BC7"/>
    <w:rsid w:val="21206119"/>
    <w:rsid w:val="212B522B"/>
    <w:rsid w:val="21736537"/>
    <w:rsid w:val="21977807"/>
    <w:rsid w:val="219A6D4B"/>
    <w:rsid w:val="21C2735E"/>
    <w:rsid w:val="21D4251F"/>
    <w:rsid w:val="21E57FA3"/>
    <w:rsid w:val="21FB5A74"/>
    <w:rsid w:val="226827C0"/>
    <w:rsid w:val="227C6EFF"/>
    <w:rsid w:val="22942795"/>
    <w:rsid w:val="22A10D06"/>
    <w:rsid w:val="22B665A5"/>
    <w:rsid w:val="22B85F08"/>
    <w:rsid w:val="22C925E0"/>
    <w:rsid w:val="22E46F4A"/>
    <w:rsid w:val="22F20159"/>
    <w:rsid w:val="23005537"/>
    <w:rsid w:val="232079E6"/>
    <w:rsid w:val="233C2C53"/>
    <w:rsid w:val="233D692C"/>
    <w:rsid w:val="23486890"/>
    <w:rsid w:val="236F1F61"/>
    <w:rsid w:val="23AB4CDF"/>
    <w:rsid w:val="23C37A75"/>
    <w:rsid w:val="24210C40"/>
    <w:rsid w:val="24220F3E"/>
    <w:rsid w:val="2423604B"/>
    <w:rsid w:val="243A3F7E"/>
    <w:rsid w:val="24436391"/>
    <w:rsid w:val="2450121E"/>
    <w:rsid w:val="246C2EE2"/>
    <w:rsid w:val="24714CB4"/>
    <w:rsid w:val="2487622C"/>
    <w:rsid w:val="24973094"/>
    <w:rsid w:val="24AD6D9A"/>
    <w:rsid w:val="251418FC"/>
    <w:rsid w:val="254554E2"/>
    <w:rsid w:val="25A845B3"/>
    <w:rsid w:val="25EB71B7"/>
    <w:rsid w:val="26154215"/>
    <w:rsid w:val="261A0BE6"/>
    <w:rsid w:val="262C6E4F"/>
    <w:rsid w:val="263C7691"/>
    <w:rsid w:val="265E2776"/>
    <w:rsid w:val="26666FDC"/>
    <w:rsid w:val="266B71CA"/>
    <w:rsid w:val="267703E2"/>
    <w:rsid w:val="26AB763C"/>
    <w:rsid w:val="26B267E7"/>
    <w:rsid w:val="26F131DC"/>
    <w:rsid w:val="26F65310"/>
    <w:rsid w:val="27052D05"/>
    <w:rsid w:val="27082804"/>
    <w:rsid w:val="270832AE"/>
    <w:rsid w:val="27357F9F"/>
    <w:rsid w:val="27457E9C"/>
    <w:rsid w:val="27552E6C"/>
    <w:rsid w:val="27A4553F"/>
    <w:rsid w:val="27BF5A1F"/>
    <w:rsid w:val="27D35135"/>
    <w:rsid w:val="27EF1935"/>
    <w:rsid w:val="280A1B75"/>
    <w:rsid w:val="283962F8"/>
    <w:rsid w:val="287A36F4"/>
    <w:rsid w:val="288458E7"/>
    <w:rsid w:val="28A33A20"/>
    <w:rsid w:val="28A47F17"/>
    <w:rsid w:val="290212C1"/>
    <w:rsid w:val="290D5ED8"/>
    <w:rsid w:val="29310257"/>
    <w:rsid w:val="29656DCE"/>
    <w:rsid w:val="298B4B23"/>
    <w:rsid w:val="29955A56"/>
    <w:rsid w:val="29B71FDB"/>
    <w:rsid w:val="29CF18DD"/>
    <w:rsid w:val="29D65D23"/>
    <w:rsid w:val="29D875FE"/>
    <w:rsid w:val="29EC6874"/>
    <w:rsid w:val="2A0B100E"/>
    <w:rsid w:val="2A194E5D"/>
    <w:rsid w:val="2A21554B"/>
    <w:rsid w:val="2A4B5348"/>
    <w:rsid w:val="2A594BC2"/>
    <w:rsid w:val="2A7D60F5"/>
    <w:rsid w:val="2A9F7561"/>
    <w:rsid w:val="2AA90FA0"/>
    <w:rsid w:val="2AB31CE2"/>
    <w:rsid w:val="2AB55266"/>
    <w:rsid w:val="2B22254D"/>
    <w:rsid w:val="2B2A7FEE"/>
    <w:rsid w:val="2B404781"/>
    <w:rsid w:val="2B487382"/>
    <w:rsid w:val="2B552F60"/>
    <w:rsid w:val="2B7841A6"/>
    <w:rsid w:val="2BB367B9"/>
    <w:rsid w:val="2C13380B"/>
    <w:rsid w:val="2C184D47"/>
    <w:rsid w:val="2C380015"/>
    <w:rsid w:val="2C514425"/>
    <w:rsid w:val="2C6426F1"/>
    <w:rsid w:val="2C796A89"/>
    <w:rsid w:val="2CBD3A96"/>
    <w:rsid w:val="2CC74339"/>
    <w:rsid w:val="2CCC23F7"/>
    <w:rsid w:val="2CCE1414"/>
    <w:rsid w:val="2CDA0C05"/>
    <w:rsid w:val="2CF93ABF"/>
    <w:rsid w:val="2D1E27A3"/>
    <w:rsid w:val="2D394FF5"/>
    <w:rsid w:val="2D5B1D46"/>
    <w:rsid w:val="2D5C786C"/>
    <w:rsid w:val="2D6E25C1"/>
    <w:rsid w:val="2D766528"/>
    <w:rsid w:val="2E19339D"/>
    <w:rsid w:val="2E6A704D"/>
    <w:rsid w:val="2E8A6255"/>
    <w:rsid w:val="2EA017EC"/>
    <w:rsid w:val="2EC310BD"/>
    <w:rsid w:val="2F0B1048"/>
    <w:rsid w:val="2F141AAA"/>
    <w:rsid w:val="2FCA4353"/>
    <w:rsid w:val="2FE55D75"/>
    <w:rsid w:val="2FF23F99"/>
    <w:rsid w:val="2FF859C1"/>
    <w:rsid w:val="30236367"/>
    <w:rsid w:val="30331BC6"/>
    <w:rsid w:val="303E7E03"/>
    <w:rsid w:val="304A182B"/>
    <w:rsid w:val="305C4B4E"/>
    <w:rsid w:val="30700C52"/>
    <w:rsid w:val="30757C00"/>
    <w:rsid w:val="307D5D65"/>
    <w:rsid w:val="30B34CE3"/>
    <w:rsid w:val="30CB1C83"/>
    <w:rsid w:val="30ED2830"/>
    <w:rsid w:val="31175F84"/>
    <w:rsid w:val="316B2857"/>
    <w:rsid w:val="31832D29"/>
    <w:rsid w:val="319D5339"/>
    <w:rsid w:val="319F2F47"/>
    <w:rsid w:val="31D20CDE"/>
    <w:rsid w:val="31E3055C"/>
    <w:rsid w:val="31F37E23"/>
    <w:rsid w:val="31FD0ADA"/>
    <w:rsid w:val="31FE689A"/>
    <w:rsid w:val="32223DC6"/>
    <w:rsid w:val="325A02A1"/>
    <w:rsid w:val="328A47C9"/>
    <w:rsid w:val="329032EF"/>
    <w:rsid w:val="329970EF"/>
    <w:rsid w:val="32B35AAA"/>
    <w:rsid w:val="33135210"/>
    <w:rsid w:val="33211C5C"/>
    <w:rsid w:val="3326373F"/>
    <w:rsid w:val="334459AC"/>
    <w:rsid w:val="334B63B9"/>
    <w:rsid w:val="336358B7"/>
    <w:rsid w:val="33705A64"/>
    <w:rsid w:val="33A055AF"/>
    <w:rsid w:val="33A51E80"/>
    <w:rsid w:val="33EE589E"/>
    <w:rsid w:val="340329A9"/>
    <w:rsid w:val="34080304"/>
    <w:rsid w:val="341B347D"/>
    <w:rsid w:val="342645AD"/>
    <w:rsid w:val="342B057B"/>
    <w:rsid w:val="34335C8F"/>
    <w:rsid w:val="34617CD8"/>
    <w:rsid w:val="34753860"/>
    <w:rsid w:val="34802092"/>
    <w:rsid w:val="34A61339"/>
    <w:rsid w:val="34CC3006"/>
    <w:rsid w:val="34F3793E"/>
    <w:rsid w:val="351F4A39"/>
    <w:rsid w:val="35262C3A"/>
    <w:rsid w:val="35574E9C"/>
    <w:rsid w:val="35712E34"/>
    <w:rsid w:val="35EA010B"/>
    <w:rsid w:val="35ED793B"/>
    <w:rsid w:val="35F84740"/>
    <w:rsid w:val="36383125"/>
    <w:rsid w:val="364432DD"/>
    <w:rsid w:val="366C082D"/>
    <w:rsid w:val="368C388A"/>
    <w:rsid w:val="36C90DD1"/>
    <w:rsid w:val="371511B8"/>
    <w:rsid w:val="374634AB"/>
    <w:rsid w:val="374E6478"/>
    <w:rsid w:val="37704489"/>
    <w:rsid w:val="37710026"/>
    <w:rsid w:val="37925427"/>
    <w:rsid w:val="379E0F7A"/>
    <w:rsid w:val="37A55DCC"/>
    <w:rsid w:val="37CA04FF"/>
    <w:rsid w:val="37D30771"/>
    <w:rsid w:val="37EC0BB8"/>
    <w:rsid w:val="38995839"/>
    <w:rsid w:val="38C524C2"/>
    <w:rsid w:val="392C17E8"/>
    <w:rsid w:val="392E03A9"/>
    <w:rsid w:val="39472CE8"/>
    <w:rsid w:val="394C68A5"/>
    <w:rsid w:val="395D6E46"/>
    <w:rsid w:val="395E479A"/>
    <w:rsid w:val="39675804"/>
    <w:rsid w:val="39A36C2D"/>
    <w:rsid w:val="39AA29B9"/>
    <w:rsid w:val="39DC7D6B"/>
    <w:rsid w:val="39DD3AE3"/>
    <w:rsid w:val="39E71AEC"/>
    <w:rsid w:val="39EF3F42"/>
    <w:rsid w:val="39F60058"/>
    <w:rsid w:val="3A0E533A"/>
    <w:rsid w:val="3A104089"/>
    <w:rsid w:val="3A8217DE"/>
    <w:rsid w:val="3A822B01"/>
    <w:rsid w:val="3A9F4998"/>
    <w:rsid w:val="3AAF722D"/>
    <w:rsid w:val="3AB8426E"/>
    <w:rsid w:val="3ACF765C"/>
    <w:rsid w:val="3AD278CD"/>
    <w:rsid w:val="3AFA4BE5"/>
    <w:rsid w:val="3B117CED"/>
    <w:rsid w:val="3B2A44B8"/>
    <w:rsid w:val="3B2B6476"/>
    <w:rsid w:val="3BBA2067"/>
    <w:rsid w:val="3BBC038E"/>
    <w:rsid w:val="3BFE3F02"/>
    <w:rsid w:val="3C2972FD"/>
    <w:rsid w:val="3C5B4444"/>
    <w:rsid w:val="3C852047"/>
    <w:rsid w:val="3C95467F"/>
    <w:rsid w:val="3CA13116"/>
    <w:rsid w:val="3CA925AE"/>
    <w:rsid w:val="3CF877AB"/>
    <w:rsid w:val="3D0B5F9E"/>
    <w:rsid w:val="3D306CB2"/>
    <w:rsid w:val="3D32729D"/>
    <w:rsid w:val="3D485E54"/>
    <w:rsid w:val="3D667959"/>
    <w:rsid w:val="3D714C6E"/>
    <w:rsid w:val="3D8230F2"/>
    <w:rsid w:val="3D886E2C"/>
    <w:rsid w:val="3DAA5519"/>
    <w:rsid w:val="3DC413E8"/>
    <w:rsid w:val="3DCA34BB"/>
    <w:rsid w:val="3DD83D60"/>
    <w:rsid w:val="3E044CAE"/>
    <w:rsid w:val="3E0B01E0"/>
    <w:rsid w:val="3E12201C"/>
    <w:rsid w:val="3E427218"/>
    <w:rsid w:val="3E520ECC"/>
    <w:rsid w:val="3EA72ABE"/>
    <w:rsid w:val="3EAD4174"/>
    <w:rsid w:val="3EAD7F9C"/>
    <w:rsid w:val="3EB32892"/>
    <w:rsid w:val="3EBC3336"/>
    <w:rsid w:val="3EDE79C6"/>
    <w:rsid w:val="3EF65530"/>
    <w:rsid w:val="3EF9D3F1"/>
    <w:rsid w:val="3F064AE9"/>
    <w:rsid w:val="3F3B0C43"/>
    <w:rsid w:val="3F4C62B0"/>
    <w:rsid w:val="3F542A99"/>
    <w:rsid w:val="3F7279F0"/>
    <w:rsid w:val="3F9717D1"/>
    <w:rsid w:val="3FB2485B"/>
    <w:rsid w:val="3FF102E8"/>
    <w:rsid w:val="402A34B8"/>
    <w:rsid w:val="40360CD1"/>
    <w:rsid w:val="40361D66"/>
    <w:rsid w:val="404E573A"/>
    <w:rsid w:val="406060C3"/>
    <w:rsid w:val="40613E30"/>
    <w:rsid w:val="40736573"/>
    <w:rsid w:val="407D7357"/>
    <w:rsid w:val="40866C82"/>
    <w:rsid w:val="409273D5"/>
    <w:rsid w:val="409B4A07"/>
    <w:rsid w:val="40BF6E39"/>
    <w:rsid w:val="40C25B7F"/>
    <w:rsid w:val="40F66678"/>
    <w:rsid w:val="410A7E44"/>
    <w:rsid w:val="410E1C56"/>
    <w:rsid w:val="4120577A"/>
    <w:rsid w:val="4128711A"/>
    <w:rsid w:val="41313EDF"/>
    <w:rsid w:val="416C142E"/>
    <w:rsid w:val="41B66342"/>
    <w:rsid w:val="41FD121E"/>
    <w:rsid w:val="421A7627"/>
    <w:rsid w:val="42267403"/>
    <w:rsid w:val="4233112B"/>
    <w:rsid w:val="42401E98"/>
    <w:rsid w:val="427B7DB8"/>
    <w:rsid w:val="428611BC"/>
    <w:rsid w:val="42872311"/>
    <w:rsid w:val="428B5762"/>
    <w:rsid w:val="42D47C2B"/>
    <w:rsid w:val="42DA32B5"/>
    <w:rsid w:val="433543AC"/>
    <w:rsid w:val="43420FE8"/>
    <w:rsid w:val="434513F0"/>
    <w:rsid w:val="4355293C"/>
    <w:rsid w:val="43702851"/>
    <w:rsid w:val="43CA4F48"/>
    <w:rsid w:val="440C56F0"/>
    <w:rsid w:val="4424604A"/>
    <w:rsid w:val="442967DE"/>
    <w:rsid w:val="443A225E"/>
    <w:rsid w:val="444C672F"/>
    <w:rsid w:val="445014AB"/>
    <w:rsid w:val="44C164DB"/>
    <w:rsid w:val="44CE660D"/>
    <w:rsid w:val="44D750ED"/>
    <w:rsid w:val="454F0B76"/>
    <w:rsid w:val="45795008"/>
    <w:rsid w:val="4579514B"/>
    <w:rsid w:val="457E2BBE"/>
    <w:rsid w:val="457F72E8"/>
    <w:rsid w:val="45DE083B"/>
    <w:rsid w:val="45E076C0"/>
    <w:rsid w:val="45F36067"/>
    <w:rsid w:val="45FF375F"/>
    <w:rsid w:val="460C0745"/>
    <w:rsid w:val="462211FB"/>
    <w:rsid w:val="463122D8"/>
    <w:rsid w:val="4632053D"/>
    <w:rsid w:val="463A1466"/>
    <w:rsid w:val="463D551C"/>
    <w:rsid w:val="464B4966"/>
    <w:rsid w:val="46577675"/>
    <w:rsid w:val="4662415A"/>
    <w:rsid w:val="4662498C"/>
    <w:rsid w:val="46696E2A"/>
    <w:rsid w:val="46A022D9"/>
    <w:rsid w:val="46A47E62"/>
    <w:rsid w:val="46A71700"/>
    <w:rsid w:val="46A77952"/>
    <w:rsid w:val="46A9554B"/>
    <w:rsid w:val="46AA7AE9"/>
    <w:rsid w:val="46B21457"/>
    <w:rsid w:val="46BE1A6C"/>
    <w:rsid w:val="46BE6647"/>
    <w:rsid w:val="46C96620"/>
    <w:rsid w:val="46EE3897"/>
    <w:rsid w:val="471B3499"/>
    <w:rsid w:val="4730142A"/>
    <w:rsid w:val="478E4BD2"/>
    <w:rsid w:val="479B6AEC"/>
    <w:rsid w:val="47DB78B4"/>
    <w:rsid w:val="47DD756D"/>
    <w:rsid w:val="48037A8A"/>
    <w:rsid w:val="48377D23"/>
    <w:rsid w:val="486634EE"/>
    <w:rsid w:val="48807890"/>
    <w:rsid w:val="48A64B98"/>
    <w:rsid w:val="48BC156D"/>
    <w:rsid w:val="48F765BE"/>
    <w:rsid w:val="490445F2"/>
    <w:rsid w:val="490935A0"/>
    <w:rsid w:val="49183CD0"/>
    <w:rsid w:val="49320F23"/>
    <w:rsid w:val="49BA0254"/>
    <w:rsid w:val="49DD73AE"/>
    <w:rsid w:val="49F95BD6"/>
    <w:rsid w:val="4AA73240"/>
    <w:rsid w:val="4AB72272"/>
    <w:rsid w:val="4AD44F71"/>
    <w:rsid w:val="4AD703A4"/>
    <w:rsid w:val="4AE33EB1"/>
    <w:rsid w:val="4AF9077E"/>
    <w:rsid w:val="4B2477C4"/>
    <w:rsid w:val="4B305E1B"/>
    <w:rsid w:val="4B3D6070"/>
    <w:rsid w:val="4B6D570B"/>
    <w:rsid w:val="4BB92D8E"/>
    <w:rsid w:val="4BD07B58"/>
    <w:rsid w:val="4BE331DB"/>
    <w:rsid w:val="4BE87BA5"/>
    <w:rsid w:val="4C3176AB"/>
    <w:rsid w:val="4C415DC1"/>
    <w:rsid w:val="4C6E278E"/>
    <w:rsid w:val="4C9837DA"/>
    <w:rsid w:val="4CFF538B"/>
    <w:rsid w:val="4D4D7800"/>
    <w:rsid w:val="4D7251FF"/>
    <w:rsid w:val="4D7C38E7"/>
    <w:rsid w:val="4DAC3B21"/>
    <w:rsid w:val="4DE50C0B"/>
    <w:rsid w:val="4E11105D"/>
    <w:rsid w:val="4E16225A"/>
    <w:rsid w:val="4E253AB8"/>
    <w:rsid w:val="4E3715BC"/>
    <w:rsid w:val="4E472C92"/>
    <w:rsid w:val="4E510674"/>
    <w:rsid w:val="4E59075B"/>
    <w:rsid w:val="4E824D97"/>
    <w:rsid w:val="4E9D5C2D"/>
    <w:rsid w:val="4EBA57C1"/>
    <w:rsid w:val="4ED50A17"/>
    <w:rsid w:val="4F047E0A"/>
    <w:rsid w:val="4F477F24"/>
    <w:rsid w:val="4FA91AAC"/>
    <w:rsid w:val="4FBD0FF5"/>
    <w:rsid w:val="4FC854D7"/>
    <w:rsid w:val="50120532"/>
    <w:rsid w:val="50142DE1"/>
    <w:rsid w:val="5015687B"/>
    <w:rsid w:val="501926CA"/>
    <w:rsid w:val="502A587C"/>
    <w:rsid w:val="503109FF"/>
    <w:rsid w:val="505E3D68"/>
    <w:rsid w:val="508A3F09"/>
    <w:rsid w:val="50CC6933"/>
    <w:rsid w:val="50D13748"/>
    <w:rsid w:val="51295BF6"/>
    <w:rsid w:val="514209A3"/>
    <w:rsid w:val="51442498"/>
    <w:rsid w:val="514F30C0"/>
    <w:rsid w:val="515957FB"/>
    <w:rsid w:val="516A440A"/>
    <w:rsid w:val="51BA5A6F"/>
    <w:rsid w:val="51C42E16"/>
    <w:rsid w:val="521115A1"/>
    <w:rsid w:val="52430B2E"/>
    <w:rsid w:val="525351F4"/>
    <w:rsid w:val="525A6FBC"/>
    <w:rsid w:val="526C0997"/>
    <w:rsid w:val="52701540"/>
    <w:rsid w:val="52855A65"/>
    <w:rsid w:val="53311AB3"/>
    <w:rsid w:val="53317F44"/>
    <w:rsid w:val="533D33D1"/>
    <w:rsid w:val="53511F1B"/>
    <w:rsid w:val="535A66C0"/>
    <w:rsid w:val="53670B33"/>
    <w:rsid w:val="537735FB"/>
    <w:rsid w:val="53775B6A"/>
    <w:rsid w:val="538F5737"/>
    <w:rsid w:val="53D43855"/>
    <w:rsid w:val="53D6214F"/>
    <w:rsid w:val="53EE1101"/>
    <w:rsid w:val="53FC4E8E"/>
    <w:rsid w:val="541717DC"/>
    <w:rsid w:val="54196C13"/>
    <w:rsid w:val="54271D5C"/>
    <w:rsid w:val="5455279C"/>
    <w:rsid w:val="54976AA9"/>
    <w:rsid w:val="549A3F89"/>
    <w:rsid w:val="54DE0134"/>
    <w:rsid w:val="55206C46"/>
    <w:rsid w:val="553920BD"/>
    <w:rsid w:val="553C46BA"/>
    <w:rsid w:val="553C5568"/>
    <w:rsid w:val="5545363C"/>
    <w:rsid w:val="55494082"/>
    <w:rsid w:val="556C6DB9"/>
    <w:rsid w:val="557D5B60"/>
    <w:rsid w:val="557E5D22"/>
    <w:rsid w:val="55834A19"/>
    <w:rsid w:val="55F27046"/>
    <w:rsid w:val="55F526C6"/>
    <w:rsid w:val="56066DC9"/>
    <w:rsid w:val="564E1228"/>
    <w:rsid w:val="56A6131D"/>
    <w:rsid w:val="56A82B00"/>
    <w:rsid w:val="56BC5AD0"/>
    <w:rsid w:val="56D00C68"/>
    <w:rsid w:val="56E12A0D"/>
    <w:rsid w:val="56F47868"/>
    <w:rsid w:val="57022BD1"/>
    <w:rsid w:val="57212B27"/>
    <w:rsid w:val="572809C2"/>
    <w:rsid w:val="57480C4D"/>
    <w:rsid w:val="574C27F3"/>
    <w:rsid w:val="576F5440"/>
    <w:rsid w:val="57895A45"/>
    <w:rsid w:val="57B974E6"/>
    <w:rsid w:val="57C5313B"/>
    <w:rsid w:val="57CB4B04"/>
    <w:rsid w:val="57D807D4"/>
    <w:rsid w:val="57EA7969"/>
    <w:rsid w:val="57F740F4"/>
    <w:rsid w:val="57FA3D86"/>
    <w:rsid w:val="58750691"/>
    <w:rsid w:val="58AB575D"/>
    <w:rsid w:val="58BC728D"/>
    <w:rsid w:val="58DD0763"/>
    <w:rsid w:val="59445F91"/>
    <w:rsid w:val="5955073B"/>
    <w:rsid w:val="59815208"/>
    <w:rsid w:val="598633F7"/>
    <w:rsid w:val="59A044B9"/>
    <w:rsid w:val="59BA75BF"/>
    <w:rsid w:val="59F001A4"/>
    <w:rsid w:val="5A1E2DE7"/>
    <w:rsid w:val="5A20427A"/>
    <w:rsid w:val="5A395FB6"/>
    <w:rsid w:val="5A436A2D"/>
    <w:rsid w:val="5AA179C0"/>
    <w:rsid w:val="5AFB2D6E"/>
    <w:rsid w:val="5B0A066E"/>
    <w:rsid w:val="5B123FA7"/>
    <w:rsid w:val="5B507487"/>
    <w:rsid w:val="5B5E18A4"/>
    <w:rsid w:val="5B613C0E"/>
    <w:rsid w:val="5B6B0E16"/>
    <w:rsid w:val="5B955E96"/>
    <w:rsid w:val="5B9B3675"/>
    <w:rsid w:val="5BA26571"/>
    <w:rsid w:val="5BCA6564"/>
    <w:rsid w:val="5BD66D67"/>
    <w:rsid w:val="5C107D40"/>
    <w:rsid w:val="5C1E3775"/>
    <w:rsid w:val="5C381264"/>
    <w:rsid w:val="5C672644"/>
    <w:rsid w:val="5C7D3074"/>
    <w:rsid w:val="5C8132C7"/>
    <w:rsid w:val="5CA23A25"/>
    <w:rsid w:val="5CC26330"/>
    <w:rsid w:val="5CD67F41"/>
    <w:rsid w:val="5CDF760E"/>
    <w:rsid w:val="5D017C51"/>
    <w:rsid w:val="5D4165A3"/>
    <w:rsid w:val="5D463591"/>
    <w:rsid w:val="5D4F2A78"/>
    <w:rsid w:val="5D792AE4"/>
    <w:rsid w:val="5DC25C67"/>
    <w:rsid w:val="5DD97571"/>
    <w:rsid w:val="5DE52DE2"/>
    <w:rsid w:val="5DF72B16"/>
    <w:rsid w:val="5E2F58D3"/>
    <w:rsid w:val="5E5A06FD"/>
    <w:rsid w:val="5E631F59"/>
    <w:rsid w:val="5E9342EC"/>
    <w:rsid w:val="5EA27CF7"/>
    <w:rsid w:val="5EB62B27"/>
    <w:rsid w:val="5EBC3C1E"/>
    <w:rsid w:val="5EF84D97"/>
    <w:rsid w:val="5F0E6369"/>
    <w:rsid w:val="5F2E00CC"/>
    <w:rsid w:val="5F3815EE"/>
    <w:rsid w:val="5F5C32D6"/>
    <w:rsid w:val="5FA92D9F"/>
    <w:rsid w:val="5FAC2DE4"/>
    <w:rsid w:val="5FB10E83"/>
    <w:rsid w:val="600E788A"/>
    <w:rsid w:val="6011673F"/>
    <w:rsid w:val="604130CF"/>
    <w:rsid w:val="60663C94"/>
    <w:rsid w:val="60794FD4"/>
    <w:rsid w:val="60814FEF"/>
    <w:rsid w:val="60AE4E89"/>
    <w:rsid w:val="60C85843"/>
    <w:rsid w:val="60D32F5A"/>
    <w:rsid w:val="610E2B4C"/>
    <w:rsid w:val="61227EAA"/>
    <w:rsid w:val="617618AF"/>
    <w:rsid w:val="61846CDE"/>
    <w:rsid w:val="619945D7"/>
    <w:rsid w:val="61C24BFD"/>
    <w:rsid w:val="61DE43D4"/>
    <w:rsid w:val="61E06967"/>
    <w:rsid w:val="61ED083B"/>
    <w:rsid w:val="624216A0"/>
    <w:rsid w:val="626343A0"/>
    <w:rsid w:val="626736F9"/>
    <w:rsid w:val="626B4082"/>
    <w:rsid w:val="626B6B00"/>
    <w:rsid w:val="626B73B4"/>
    <w:rsid w:val="627F3342"/>
    <w:rsid w:val="628E1BE9"/>
    <w:rsid w:val="62D06FF9"/>
    <w:rsid w:val="62D765EB"/>
    <w:rsid w:val="635504CE"/>
    <w:rsid w:val="636B22CC"/>
    <w:rsid w:val="636C198B"/>
    <w:rsid w:val="638C5AAE"/>
    <w:rsid w:val="63B65AC7"/>
    <w:rsid w:val="63C33BC6"/>
    <w:rsid w:val="63D7428B"/>
    <w:rsid w:val="63D74F7B"/>
    <w:rsid w:val="63FC0E86"/>
    <w:rsid w:val="640C4C0D"/>
    <w:rsid w:val="643B5584"/>
    <w:rsid w:val="645830D7"/>
    <w:rsid w:val="64675414"/>
    <w:rsid w:val="647258C3"/>
    <w:rsid w:val="64AA2E73"/>
    <w:rsid w:val="64B8434A"/>
    <w:rsid w:val="64C5008F"/>
    <w:rsid w:val="64E8446E"/>
    <w:rsid w:val="651144BD"/>
    <w:rsid w:val="65376B47"/>
    <w:rsid w:val="654042F5"/>
    <w:rsid w:val="65ED34AD"/>
    <w:rsid w:val="65F30067"/>
    <w:rsid w:val="65F66C79"/>
    <w:rsid w:val="660447CA"/>
    <w:rsid w:val="66112B8D"/>
    <w:rsid w:val="665622BC"/>
    <w:rsid w:val="6660772E"/>
    <w:rsid w:val="66653739"/>
    <w:rsid w:val="666C4EE6"/>
    <w:rsid w:val="66792487"/>
    <w:rsid w:val="66A870A3"/>
    <w:rsid w:val="66CF5653"/>
    <w:rsid w:val="66FB0FDC"/>
    <w:rsid w:val="66FC5AFF"/>
    <w:rsid w:val="6709462E"/>
    <w:rsid w:val="673B4133"/>
    <w:rsid w:val="6777196F"/>
    <w:rsid w:val="678A1ED0"/>
    <w:rsid w:val="67AB61F8"/>
    <w:rsid w:val="67BA7741"/>
    <w:rsid w:val="67E6170C"/>
    <w:rsid w:val="680D0CA5"/>
    <w:rsid w:val="687B6403"/>
    <w:rsid w:val="68A45648"/>
    <w:rsid w:val="68A5668C"/>
    <w:rsid w:val="68C05D65"/>
    <w:rsid w:val="68D27297"/>
    <w:rsid w:val="6911241F"/>
    <w:rsid w:val="696077C1"/>
    <w:rsid w:val="698931BC"/>
    <w:rsid w:val="69B67115"/>
    <w:rsid w:val="69B82DF4"/>
    <w:rsid w:val="69EF53B4"/>
    <w:rsid w:val="6A126DD2"/>
    <w:rsid w:val="6A420E56"/>
    <w:rsid w:val="6A6B1D0C"/>
    <w:rsid w:val="6A924E32"/>
    <w:rsid w:val="6A94008C"/>
    <w:rsid w:val="6AC00C9E"/>
    <w:rsid w:val="6AC635A8"/>
    <w:rsid w:val="6AE60947"/>
    <w:rsid w:val="6AEF6EB8"/>
    <w:rsid w:val="6AF7061A"/>
    <w:rsid w:val="6B0B374F"/>
    <w:rsid w:val="6B0E6D92"/>
    <w:rsid w:val="6B17074E"/>
    <w:rsid w:val="6B1F0CCB"/>
    <w:rsid w:val="6B6234E5"/>
    <w:rsid w:val="6B717FC8"/>
    <w:rsid w:val="6B8C6F93"/>
    <w:rsid w:val="6BA44561"/>
    <w:rsid w:val="6BBD11F5"/>
    <w:rsid w:val="6BCE1834"/>
    <w:rsid w:val="6BD1027A"/>
    <w:rsid w:val="6BD12800"/>
    <w:rsid w:val="6BE17EE8"/>
    <w:rsid w:val="6C022DB1"/>
    <w:rsid w:val="6C5E02FC"/>
    <w:rsid w:val="6C721812"/>
    <w:rsid w:val="6C8B0F52"/>
    <w:rsid w:val="6CDD0DD0"/>
    <w:rsid w:val="6CFA7DB1"/>
    <w:rsid w:val="6D0127E4"/>
    <w:rsid w:val="6D135E16"/>
    <w:rsid w:val="6D1C168A"/>
    <w:rsid w:val="6D347A31"/>
    <w:rsid w:val="6D3668DD"/>
    <w:rsid w:val="6D471CAB"/>
    <w:rsid w:val="6D761CA9"/>
    <w:rsid w:val="6DAC0977"/>
    <w:rsid w:val="6DB941BD"/>
    <w:rsid w:val="6DC60F63"/>
    <w:rsid w:val="6DD469CF"/>
    <w:rsid w:val="6E1D0376"/>
    <w:rsid w:val="6E445903"/>
    <w:rsid w:val="6E4C770B"/>
    <w:rsid w:val="6E580C9C"/>
    <w:rsid w:val="6E5F1098"/>
    <w:rsid w:val="6E6F2793"/>
    <w:rsid w:val="6E703D8E"/>
    <w:rsid w:val="6E84323D"/>
    <w:rsid w:val="6E942A76"/>
    <w:rsid w:val="6EA41FA2"/>
    <w:rsid w:val="6EB44AD4"/>
    <w:rsid w:val="6EF2F120"/>
    <w:rsid w:val="6F313FE8"/>
    <w:rsid w:val="6F35524C"/>
    <w:rsid w:val="6F381CAC"/>
    <w:rsid w:val="6F6128C1"/>
    <w:rsid w:val="6F9C6902"/>
    <w:rsid w:val="6FA0729C"/>
    <w:rsid w:val="6FEF4FB0"/>
    <w:rsid w:val="70100CA2"/>
    <w:rsid w:val="70393572"/>
    <w:rsid w:val="70A24D48"/>
    <w:rsid w:val="70BA64EF"/>
    <w:rsid w:val="70C900DF"/>
    <w:rsid w:val="70F80524"/>
    <w:rsid w:val="710A2419"/>
    <w:rsid w:val="710C226A"/>
    <w:rsid w:val="71326D32"/>
    <w:rsid w:val="714C2CD0"/>
    <w:rsid w:val="715A596A"/>
    <w:rsid w:val="715C2F64"/>
    <w:rsid w:val="717C247D"/>
    <w:rsid w:val="717F26E4"/>
    <w:rsid w:val="718129CA"/>
    <w:rsid w:val="71816B8E"/>
    <w:rsid w:val="71832D29"/>
    <w:rsid w:val="71907818"/>
    <w:rsid w:val="71A768D5"/>
    <w:rsid w:val="71B252F9"/>
    <w:rsid w:val="71BF5724"/>
    <w:rsid w:val="71E95916"/>
    <w:rsid w:val="7203413E"/>
    <w:rsid w:val="7232328B"/>
    <w:rsid w:val="7250588C"/>
    <w:rsid w:val="726F5278"/>
    <w:rsid w:val="727E786A"/>
    <w:rsid w:val="72887FD4"/>
    <w:rsid w:val="72BD0544"/>
    <w:rsid w:val="72BD0B0E"/>
    <w:rsid w:val="72C0472D"/>
    <w:rsid w:val="72D11D5C"/>
    <w:rsid w:val="72E85DAD"/>
    <w:rsid w:val="732303D9"/>
    <w:rsid w:val="732B7092"/>
    <w:rsid w:val="73532CC9"/>
    <w:rsid w:val="735A1725"/>
    <w:rsid w:val="737427E7"/>
    <w:rsid w:val="73A34E7A"/>
    <w:rsid w:val="73D73D11"/>
    <w:rsid w:val="74177616"/>
    <w:rsid w:val="7431692A"/>
    <w:rsid w:val="744975DD"/>
    <w:rsid w:val="746920A5"/>
    <w:rsid w:val="74B3733F"/>
    <w:rsid w:val="74CB1EDB"/>
    <w:rsid w:val="74DE73F5"/>
    <w:rsid w:val="74FA5557"/>
    <w:rsid w:val="75181898"/>
    <w:rsid w:val="751E77AF"/>
    <w:rsid w:val="75562367"/>
    <w:rsid w:val="75C8117D"/>
    <w:rsid w:val="75D07F8B"/>
    <w:rsid w:val="75D32CDD"/>
    <w:rsid w:val="75EE5669"/>
    <w:rsid w:val="765C3DE3"/>
    <w:rsid w:val="76646D93"/>
    <w:rsid w:val="76957051"/>
    <w:rsid w:val="76BD4232"/>
    <w:rsid w:val="76C10199"/>
    <w:rsid w:val="76C57BCB"/>
    <w:rsid w:val="76F927CD"/>
    <w:rsid w:val="773B2934"/>
    <w:rsid w:val="773E064E"/>
    <w:rsid w:val="774E1211"/>
    <w:rsid w:val="777B71D8"/>
    <w:rsid w:val="777C610E"/>
    <w:rsid w:val="77A54D53"/>
    <w:rsid w:val="77D558AA"/>
    <w:rsid w:val="77D75F2B"/>
    <w:rsid w:val="77FC6767"/>
    <w:rsid w:val="781A0BEC"/>
    <w:rsid w:val="78202415"/>
    <w:rsid w:val="78213FC9"/>
    <w:rsid w:val="784376FF"/>
    <w:rsid w:val="78701D9C"/>
    <w:rsid w:val="78AD5F33"/>
    <w:rsid w:val="78CD19BA"/>
    <w:rsid w:val="78FA0671"/>
    <w:rsid w:val="793A634F"/>
    <w:rsid w:val="793F0E2D"/>
    <w:rsid w:val="798635EB"/>
    <w:rsid w:val="799A7BDC"/>
    <w:rsid w:val="79A5750A"/>
    <w:rsid w:val="79B53B59"/>
    <w:rsid w:val="79FC3172"/>
    <w:rsid w:val="79FF6B82"/>
    <w:rsid w:val="7A0C1011"/>
    <w:rsid w:val="7A0E7A81"/>
    <w:rsid w:val="7A321CDB"/>
    <w:rsid w:val="7A567B6E"/>
    <w:rsid w:val="7A6E32C8"/>
    <w:rsid w:val="7A7B26AD"/>
    <w:rsid w:val="7A916D31"/>
    <w:rsid w:val="7AC900CF"/>
    <w:rsid w:val="7B052FBD"/>
    <w:rsid w:val="7B124400"/>
    <w:rsid w:val="7B50232D"/>
    <w:rsid w:val="7B5A5A6C"/>
    <w:rsid w:val="7B5C250E"/>
    <w:rsid w:val="7B6D0F87"/>
    <w:rsid w:val="7B72691F"/>
    <w:rsid w:val="7B783FD8"/>
    <w:rsid w:val="7B9A3DB8"/>
    <w:rsid w:val="7BA113AB"/>
    <w:rsid w:val="7BD52290"/>
    <w:rsid w:val="7BD568A0"/>
    <w:rsid w:val="7BEF4EB5"/>
    <w:rsid w:val="7BF20E1E"/>
    <w:rsid w:val="7C5728ED"/>
    <w:rsid w:val="7C812552"/>
    <w:rsid w:val="7C9408F4"/>
    <w:rsid w:val="7CB83597"/>
    <w:rsid w:val="7CB90CC2"/>
    <w:rsid w:val="7CFB2CE9"/>
    <w:rsid w:val="7D0C34C4"/>
    <w:rsid w:val="7D212CA5"/>
    <w:rsid w:val="7D255EE2"/>
    <w:rsid w:val="7D293184"/>
    <w:rsid w:val="7D2D3A06"/>
    <w:rsid w:val="7D4A23DF"/>
    <w:rsid w:val="7D4B3EE6"/>
    <w:rsid w:val="7D6112EF"/>
    <w:rsid w:val="7D68620F"/>
    <w:rsid w:val="7D69777E"/>
    <w:rsid w:val="7D7C6E9A"/>
    <w:rsid w:val="7D927DC0"/>
    <w:rsid w:val="7DAF38C3"/>
    <w:rsid w:val="7DB34706"/>
    <w:rsid w:val="7E1A0A9F"/>
    <w:rsid w:val="7E3C401A"/>
    <w:rsid w:val="7E641213"/>
    <w:rsid w:val="7EA67E97"/>
    <w:rsid w:val="7ECB34D7"/>
    <w:rsid w:val="7EE33139"/>
    <w:rsid w:val="7EF34773"/>
    <w:rsid w:val="7F0D08DC"/>
    <w:rsid w:val="7F173D26"/>
    <w:rsid w:val="7F354658"/>
    <w:rsid w:val="7F5DC674"/>
    <w:rsid w:val="7F666017"/>
    <w:rsid w:val="7F714EE5"/>
    <w:rsid w:val="7F7F2734"/>
    <w:rsid w:val="7FA63F96"/>
    <w:rsid w:val="7FB9287C"/>
    <w:rsid w:val="7FCC47FD"/>
    <w:rsid w:val="7FD31973"/>
    <w:rsid w:val="7FD43B95"/>
    <w:rsid w:val="7FE15B01"/>
    <w:rsid w:val="7FE231CE"/>
    <w:rsid w:val="7FEC5DFB"/>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8"/>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7"/>
    <w:qFormat/>
    <w:uiPriority w:val="0"/>
    <w:pPr>
      <w:keepNext/>
      <w:keepLines/>
      <w:spacing w:before="260" w:after="260" w:line="415" w:lineRule="auto"/>
      <w:outlineLvl w:val="2"/>
    </w:pPr>
    <w:rPr>
      <w:b/>
      <w:bCs/>
      <w:kern w:val="0"/>
      <w:sz w:val="32"/>
      <w:szCs w:val="32"/>
    </w:rPr>
  </w:style>
  <w:style w:type="paragraph" w:styleId="2">
    <w:name w:val="heading 4"/>
    <w:basedOn w:val="1"/>
    <w:next w:val="1"/>
    <w:link w:val="92"/>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5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99"/>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8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7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sz w:val="18"/>
      <w:szCs w:val="18"/>
    </w:rPr>
  </w:style>
  <w:style w:type="paragraph" w:styleId="11">
    <w:name w:val="table of authorities"/>
    <w:basedOn w:val="1"/>
    <w:next w:val="1"/>
    <w:qFormat/>
    <w:uiPriority w:val="99"/>
    <w:pPr>
      <w:ind w:left="420" w:leftChars="200"/>
    </w:pPr>
  </w:style>
  <w:style w:type="paragraph" w:styleId="12">
    <w:name w:val="Normal Indent"/>
    <w:basedOn w:val="1"/>
    <w:next w:val="13"/>
    <w:link w:val="69"/>
    <w:qFormat/>
    <w:uiPriority w:val="0"/>
    <w:pPr>
      <w:ind w:firstLine="420" w:firstLineChars="200"/>
    </w:pPr>
  </w:style>
  <w:style w:type="paragraph" w:styleId="13">
    <w:name w:val="Body Text First Indent 2"/>
    <w:basedOn w:val="14"/>
    <w:qFormat/>
    <w:uiPriority w:val="0"/>
    <w:pPr>
      <w:ind w:firstLine="420"/>
    </w:pPr>
    <w:rPr>
      <w:sz w:val="21"/>
    </w:rPr>
  </w:style>
  <w:style w:type="paragraph" w:styleId="14">
    <w:name w:val="Body Text Indent"/>
    <w:basedOn w:val="1"/>
    <w:next w:val="1"/>
    <w:link w:val="75"/>
    <w:qFormat/>
    <w:uiPriority w:val="0"/>
    <w:pPr>
      <w:spacing w:after="120"/>
      <w:ind w:left="420" w:leftChars="200"/>
    </w:pPr>
    <w:rPr>
      <w:kern w:val="0"/>
      <w:sz w:val="20"/>
    </w:rPr>
  </w:style>
  <w:style w:type="paragraph" w:styleId="15">
    <w:name w:val="Document Map"/>
    <w:basedOn w:val="1"/>
    <w:link w:val="76"/>
    <w:qFormat/>
    <w:uiPriority w:val="0"/>
    <w:pPr>
      <w:shd w:val="clear" w:color="auto" w:fill="000080"/>
    </w:pPr>
    <w:rPr>
      <w:kern w:val="0"/>
      <w:sz w:val="20"/>
    </w:rPr>
  </w:style>
  <w:style w:type="paragraph" w:styleId="16">
    <w:name w:val="annotation text"/>
    <w:basedOn w:val="1"/>
    <w:link w:val="58"/>
    <w:unhideWhenUsed/>
    <w:qFormat/>
    <w:uiPriority w:val="99"/>
    <w:pPr>
      <w:jc w:val="left"/>
    </w:pPr>
    <w:rPr>
      <w:kern w:val="0"/>
      <w:sz w:val="20"/>
    </w:rPr>
  </w:style>
  <w:style w:type="paragraph" w:styleId="17">
    <w:name w:val="Body Text 3"/>
    <w:basedOn w:val="1"/>
    <w:link w:val="62"/>
    <w:qFormat/>
    <w:uiPriority w:val="0"/>
    <w:rPr>
      <w:rFonts w:ascii="宋体"/>
      <w:kern w:val="0"/>
      <w:sz w:val="24"/>
      <w:szCs w:val="20"/>
    </w:rPr>
  </w:style>
  <w:style w:type="paragraph" w:styleId="18">
    <w:name w:val="Body Text"/>
    <w:basedOn w:val="1"/>
    <w:next w:val="1"/>
    <w:link w:val="65"/>
    <w:qFormat/>
    <w:uiPriority w:val="0"/>
    <w:pPr>
      <w:spacing w:after="12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8"/>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2"/>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80"/>
    <w:qFormat/>
    <w:uiPriority w:val="0"/>
    <w:rPr>
      <w:kern w:val="0"/>
      <w:sz w:val="18"/>
      <w:szCs w:val="18"/>
    </w:rPr>
  </w:style>
  <w:style w:type="paragraph" w:styleId="27">
    <w:name w:val="footer"/>
    <w:basedOn w:val="1"/>
    <w:link w:val="94"/>
    <w:qFormat/>
    <w:uiPriority w:val="99"/>
    <w:pPr>
      <w:tabs>
        <w:tab w:val="center" w:pos="4153"/>
        <w:tab w:val="right" w:pos="8306"/>
      </w:tabs>
      <w:snapToGrid w:val="0"/>
      <w:jc w:val="left"/>
    </w:pPr>
    <w:rPr>
      <w:kern w:val="0"/>
      <w:sz w:val="18"/>
      <w:szCs w:val="18"/>
    </w:rPr>
  </w:style>
  <w:style w:type="paragraph" w:styleId="28">
    <w:name w:val="header"/>
    <w:basedOn w:val="1"/>
    <w:link w:val="72"/>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6"/>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6"/>
    <w:qFormat/>
    <w:uiPriority w:val="0"/>
    <w:pPr>
      <w:spacing w:after="120"/>
      <w:ind w:left="420" w:leftChars="200"/>
    </w:pPr>
    <w:rPr>
      <w:kern w:val="0"/>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7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68"/>
    <w:qFormat/>
    <w:uiPriority w:val="0"/>
    <w:rPr>
      <w:b/>
      <w:bCs/>
    </w:rPr>
  </w:style>
  <w:style w:type="paragraph" w:styleId="42">
    <w:name w:val="Body Text First Indent"/>
    <w:basedOn w:val="18"/>
    <w:next w:val="43"/>
    <w:qFormat/>
    <w:uiPriority w:val="0"/>
    <w:pPr>
      <w:adjustRightInd w:val="0"/>
      <w:spacing w:line="275" w:lineRule="atLeast"/>
      <w:ind w:firstLine="420"/>
      <w:textAlignment w:val="baseline"/>
    </w:pPr>
    <w:rPr>
      <w:rFonts w:ascii="宋体" w:eastAsia="楷体_GB2312"/>
      <w:sz w:val="24"/>
      <w:szCs w:val="20"/>
    </w:rPr>
  </w:style>
  <w:style w:type="paragraph" w:customStyle="1" w:styleId="43">
    <w:name w:val="样式 正文首行缩进 + 首行缩进:  2 字符1 Char Char"/>
    <w:basedOn w:val="1"/>
    <w:qFormat/>
    <w:uiPriority w:val="0"/>
    <w:pPr>
      <w:adjustRightInd w:val="0"/>
      <w:spacing w:line="400" w:lineRule="exact"/>
      <w:textAlignment w:val="baseline"/>
    </w:pPr>
    <w:rPr>
      <w:rFonts w:ascii="宋体" w:hAnsi="宋体" w:eastAsia="仿宋_GB2312" w:cs="宋体"/>
      <w:color w:val="000000"/>
      <w:sz w:val="26"/>
      <w:szCs w:val="20"/>
    </w:rPr>
  </w:style>
  <w:style w:type="table" w:styleId="45">
    <w:name w:val="Table Grid"/>
    <w:basedOn w:val="4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basedOn w:val="46"/>
    <w:qFormat/>
    <w:uiPriority w:val="0"/>
    <w:rPr>
      <w:rFonts w:hint="default" w:ascii="Arial" w:hAnsi="Arial" w:eastAsia="Arial" w:cs="Arial"/>
      <w:color w:val="333333"/>
      <w:sz w:val="21"/>
      <w:szCs w:val="21"/>
      <w:u w:val="none"/>
    </w:rPr>
  </w:style>
  <w:style w:type="character" w:styleId="50">
    <w:name w:val="Hyperlink"/>
    <w:basedOn w:val="46"/>
    <w:qFormat/>
    <w:uiPriority w:val="99"/>
    <w:rPr>
      <w:rFonts w:ascii="Arial" w:hAnsi="Arial" w:eastAsia="Arial" w:cs="Arial"/>
      <w:color w:val="333333"/>
      <w:sz w:val="21"/>
      <w:szCs w:val="21"/>
      <w:u w:val="non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character" w:customStyle="1" w:styleId="53">
    <w:name w:val="apple-style-span"/>
    <w:qFormat/>
    <w:uiPriority w:val="0"/>
    <w:rPr>
      <w:rFonts w:ascii="Verdana" w:hAnsi="Verdana" w:eastAsia="宋体"/>
      <w:sz w:val="21"/>
      <w:lang w:val="en-US" w:eastAsia="en-US" w:bidi="ar-SA"/>
    </w:rPr>
  </w:style>
  <w:style w:type="character" w:customStyle="1" w:styleId="54">
    <w:name w:val="正文文本 3 Char1"/>
    <w:semiHidden/>
    <w:qFormat/>
    <w:uiPriority w:val="99"/>
    <w:rPr>
      <w:rFonts w:ascii="Times New Roman" w:hAnsi="Times New Roman" w:eastAsia="宋体" w:cs="Times New Roman"/>
      <w:sz w:val="16"/>
      <w:szCs w:val="16"/>
    </w:rPr>
  </w:style>
  <w:style w:type="character" w:customStyle="1" w:styleId="55">
    <w:name w:val="样式 宋体"/>
    <w:qFormat/>
    <w:uiPriority w:val="0"/>
    <w:rPr>
      <w:rFonts w:ascii="Times New Roman" w:hAnsi="Times New Roman" w:eastAsia="宋体"/>
      <w:sz w:val="21"/>
    </w:rPr>
  </w:style>
  <w:style w:type="character" w:customStyle="1" w:styleId="56">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7">
    <w:name w:val="标题 3 字符"/>
    <w:link w:val="5"/>
    <w:qFormat/>
    <w:uiPriority w:val="0"/>
    <w:rPr>
      <w:rFonts w:ascii="Times New Roman" w:hAnsi="Times New Roman" w:eastAsia="宋体" w:cs="Times New Roman"/>
      <w:b/>
      <w:bCs/>
      <w:sz w:val="32"/>
      <w:szCs w:val="32"/>
    </w:rPr>
  </w:style>
  <w:style w:type="character" w:customStyle="1" w:styleId="58">
    <w:name w:val="批注文字 字符"/>
    <w:link w:val="16"/>
    <w:semiHidden/>
    <w:qFormat/>
    <w:uiPriority w:val="99"/>
    <w:rPr>
      <w:rFonts w:ascii="Times New Roman" w:hAnsi="Times New Roman" w:eastAsia="宋体" w:cs="Times New Roman"/>
      <w:szCs w:val="24"/>
    </w:rPr>
  </w:style>
  <w:style w:type="character" w:customStyle="1" w:styleId="59">
    <w:name w:val="标题 6 字符"/>
    <w:link w:val="6"/>
    <w:qFormat/>
    <w:uiPriority w:val="0"/>
    <w:rPr>
      <w:rFonts w:ascii="Arial" w:hAnsi="Arial" w:eastAsia="黑体" w:cs="Times New Roman"/>
      <w:b/>
      <w:bCs/>
      <w:kern w:val="0"/>
      <w:sz w:val="24"/>
      <w:szCs w:val="24"/>
    </w:rPr>
  </w:style>
  <w:style w:type="character" w:customStyle="1" w:styleId="60">
    <w:name w:val="Char Char8"/>
    <w:qFormat/>
    <w:uiPriority w:val="0"/>
    <w:rPr>
      <w:rFonts w:ascii="Arial" w:hAnsi="Arial" w:eastAsia="黑体"/>
      <w:b/>
      <w:bCs/>
      <w:kern w:val="2"/>
      <w:sz w:val="32"/>
      <w:szCs w:val="32"/>
      <w:lang w:val="en-US" w:eastAsia="zh-CN" w:bidi="ar-SA"/>
    </w:rPr>
  </w:style>
  <w:style w:type="character" w:customStyle="1" w:styleId="61">
    <w:name w:val="脚注文本 Char1"/>
    <w:semiHidden/>
    <w:qFormat/>
    <w:uiPriority w:val="99"/>
    <w:rPr>
      <w:rFonts w:ascii="Times New Roman" w:hAnsi="Times New Roman" w:eastAsia="宋体" w:cs="Times New Roman"/>
      <w:sz w:val="18"/>
      <w:szCs w:val="18"/>
    </w:rPr>
  </w:style>
  <w:style w:type="character" w:customStyle="1" w:styleId="62">
    <w:name w:val="正文文本 3 字符"/>
    <w:link w:val="17"/>
    <w:qFormat/>
    <w:uiPriority w:val="0"/>
    <w:rPr>
      <w:rFonts w:ascii="宋体"/>
      <w:sz w:val="24"/>
    </w:rPr>
  </w:style>
  <w:style w:type="character" w:customStyle="1" w:styleId="63">
    <w:name w:val="页脚 Char1"/>
    <w:semiHidden/>
    <w:qFormat/>
    <w:uiPriority w:val="99"/>
    <w:rPr>
      <w:rFonts w:ascii="Times New Roman" w:hAnsi="Times New Roman" w:eastAsia="宋体" w:cs="Times New Roman"/>
      <w:sz w:val="18"/>
      <w:szCs w:val="18"/>
    </w:rPr>
  </w:style>
  <w:style w:type="character" w:customStyle="1" w:styleId="64">
    <w:name w:val="标题 Char1"/>
    <w:qFormat/>
    <w:uiPriority w:val="10"/>
    <w:rPr>
      <w:rFonts w:ascii="Calibri Light" w:hAnsi="Calibri Light" w:eastAsia="宋体" w:cs="Times New Roman"/>
      <w:b/>
      <w:bCs/>
      <w:sz w:val="32"/>
      <w:szCs w:val="32"/>
    </w:rPr>
  </w:style>
  <w:style w:type="character" w:customStyle="1" w:styleId="65">
    <w:name w:val="正文文本 字符"/>
    <w:link w:val="18"/>
    <w:qFormat/>
    <w:uiPriority w:val="0"/>
    <w:rPr>
      <w:rFonts w:eastAsia="宋体"/>
      <w:szCs w:val="24"/>
    </w:rPr>
  </w:style>
  <w:style w:type="character" w:customStyle="1" w:styleId="66">
    <w:name w:val="脚注文本 字符"/>
    <w:link w:val="31"/>
    <w:qFormat/>
    <w:uiPriority w:val="0"/>
    <w:rPr>
      <w:rFonts w:eastAsia="宋体"/>
    </w:rPr>
  </w:style>
  <w:style w:type="character" w:customStyle="1" w:styleId="67">
    <w:name w:val="纯文本 Char1"/>
    <w:semiHidden/>
    <w:qFormat/>
    <w:uiPriority w:val="99"/>
    <w:rPr>
      <w:rFonts w:ascii="宋体" w:hAnsi="Courier New" w:eastAsia="宋体" w:cs="Courier New"/>
      <w:szCs w:val="21"/>
    </w:rPr>
  </w:style>
  <w:style w:type="character" w:customStyle="1" w:styleId="68">
    <w:name w:val="批注主题 字符"/>
    <w:link w:val="41"/>
    <w:qFormat/>
    <w:uiPriority w:val="0"/>
    <w:rPr>
      <w:rFonts w:ascii="Times New Roman" w:hAnsi="Times New Roman" w:eastAsia="宋体" w:cs="Times New Roman"/>
      <w:b/>
      <w:bCs/>
      <w:szCs w:val="24"/>
    </w:rPr>
  </w:style>
  <w:style w:type="character" w:customStyle="1" w:styleId="69">
    <w:name w:val="正文缩进 字符"/>
    <w:link w:val="12"/>
    <w:qFormat/>
    <w:locked/>
    <w:uiPriority w:val="0"/>
    <w:rPr>
      <w:kern w:val="2"/>
      <w:sz w:val="21"/>
      <w:szCs w:val="24"/>
    </w:rPr>
  </w:style>
  <w:style w:type="character" w:customStyle="1" w:styleId="70">
    <w:name w:val="font11"/>
    <w:qFormat/>
    <w:uiPriority w:val="0"/>
    <w:rPr>
      <w:rFonts w:hint="default" w:ascii="Times New Roman" w:hAnsi="Times New Roman" w:cs="Times New Roman"/>
      <w:color w:val="000000"/>
      <w:sz w:val="22"/>
      <w:szCs w:val="22"/>
      <w:u w:val="none"/>
    </w:rPr>
  </w:style>
  <w:style w:type="character" w:customStyle="1" w:styleId="71">
    <w:name w:val="font01"/>
    <w:qFormat/>
    <w:uiPriority w:val="0"/>
    <w:rPr>
      <w:rFonts w:hint="eastAsia" w:ascii="宋体" w:hAnsi="宋体" w:eastAsia="宋体" w:cs="宋体"/>
      <w:color w:val="000000"/>
      <w:sz w:val="22"/>
      <w:szCs w:val="22"/>
      <w:u w:val="none"/>
    </w:rPr>
  </w:style>
  <w:style w:type="character" w:customStyle="1" w:styleId="72">
    <w:name w:val="页眉 字符"/>
    <w:link w:val="28"/>
    <w:qFormat/>
    <w:uiPriority w:val="0"/>
    <w:rPr>
      <w:rFonts w:ascii="Times New Roman" w:hAnsi="Times New Roman" w:eastAsia="宋体" w:cs="Times New Roman"/>
      <w:sz w:val="18"/>
      <w:szCs w:val="18"/>
    </w:rPr>
  </w:style>
  <w:style w:type="character" w:customStyle="1" w:styleId="73">
    <w:name w:val="标题 9 字符"/>
    <w:link w:val="9"/>
    <w:qFormat/>
    <w:uiPriority w:val="0"/>
    <w:rPr>
      <w:rFonts w:ascii="Arial" w:hAnsi="Arial" w:eastAsia="黑体" w:cs="Times New Roman"/>
      <w:kern w:val="0"/>
      <w:szCs w:val="21"/>
    </w:rPr>
  </w:style>
  <w:style w:type="character" w:customStyle="1" w:styleId="74">
    <w:name w:val="标题 2 Char1"/>
    <w:qFormat/>
    <w:uiPriority w:val="0"/>
    <w:rPr>
      <w:rFonts w:ascii="Arial" w:hAnsi="Arial" w:eastAsia="黑体" w:cs="Times New Roman"/>
      <w:b/>
      <w:bCs/>
      <w:sz w:val="32"/>
      <w:szCs w:val="32"/>
      <w:lang w:val="en-US" w:eastAsia="en-US" w:bidi="ar-SA"/>
    </w:rPr>
  </w:style>
  <w:style w:type="character" w:customStyle="1" w:styleId="75">
    <w:name w:val="正文文本缩进 字符"/>
    <w:link w:val="14"/>
    <w:qFormat/>
    <w:uiPriority w:val="0"/>
    <w:rPr>
      <w:szCs w:val="24"/>
    </w:rPr>
  </w:style>
  <w:style w:type="character" w:customStyle="1" w:styleId="76">
    <w:name w:val="文档结构图 字符"/>
    <w:link w:val="15"/>
    <w:qFormat/>
    <w:uiPriority w:val="0"/>
    <w:rPr>
      <w:rFonts w:ascii="Times New Roman" w:hAnsi="Times New Roman" w:eastAsia="宋体" w:cs="Times New Roman"/>
      <w:szCs w:val="24"/>
      <w:shd w:val="clear" w:color="auto" w:fill="000080"/>
    </w:rPr>
  </w:style>
  <w:style w:type="character" w:customStyle="1" w:styleId="77">
    <w:name w:val="font161"/>
    <w:qFormat/>
    <w:uiPriority w:val="0"/>
    <w:rPr>
      <w:b/>
      <w:bCs/>
      <w:sz w:val="32"/>
      <w:szCs w:val="32"/>
    </w:rPr>
  </w:style>
  <w:style w:type="character" w:customStyle="1" w:styleId="78">
    <w:name w:val="标题 2 字符"/>
    <w:link w:val="4"/>
    <w:qFormat/>
    <w:uiPriority w:val="0"/>
    <w:rPr>
      <w:rFonts w:ascii="Arial" w:hAnsi="Arial" w:eastAsia="黑体" w:cs="Times New Roman"/>
      <w:b/>
      <w:bCs/>
      <w:sz w:val="32"/>
      <w:szCs w:val="32"/>
    </w:rPr>
  </w:style>
  <w:style w:type="character" w:customStyle="1" w:styleId="79">
    <w:name w:val="标题 字符"/>
    <w:link w:val="40"/>
    <w:qFormat/>
    <w:uiPriority w:val="0"/>
    <w:rPr>
      <w:rFonts w:ascii="Arial" w:hAnsi="Arial"/>
      <w:b/>
      <w:sz w:val="32"/>
    </w:rPr>
  </w:style>
  <w:style w:type="character" w:customStyle="1" w:styleId="80">
    <w:name w:val="批注框文本 字符"/>
    <w:link w:val="26"/>
    <w:qFormat/>
    <w:uiPriority w:val="0"/>
    <w:rPr>
      <w:rFonts w:ascii="Times New Roman" w:hAnsi="Times New Roman" w:eastAsia="宋体" w:cs="Times New Roman"/>
      <w:sz w:val="18"/>
      <w:szCs w:val="18"/>
    </w:rPr>
  </w:style>
  <w:style w:type="character" w:customStyle="1" w:styleId="81">
    <w:name w:val="标题 8 字符"/>
    <w:link w:val="8"/>
    <w:qFormat/>
    <w:uiPriority w:val="0"/>
    <w:rPr>
      <w:rFonts w:ascii="Arial" w:hAnsi="Arial" w:eastAsia="黑体" w:cs="Times New Roman"/>
      <w:kern w:val="0"/>
      <w:sz w:val="24"/>
      <w:szCs w:val="24"/>
    </w:rPr>
  </w:style>
  <w:style w:type="character" w:customStyle="1" w:styleId="82">
    <w:name w:val="日期 字符"/>
    <w:link w:val="24"/>
    <w:qFormat/>
    <w:uiPriority w:val="0"/>
    <w:rPr>
      <w:rFonts w:ascii="Times New Roman" w:hAnsi="Times New Roman" w:eastAsia="宋体" w:cs="Times New Roman"/>
      <w:sz w:val="24"/>
      <w:szCs w:val="20"/>
    </w:rPr>
  </w:style>
  <w:style w:type="character" w:customStyle="1" w:styleId="83">
    <w:name w:val="标题 1 字符"/>
    <w:link w:val="3"/>
    <w:qFormat/>
    <w:uiPriority w:val="0"/>
    <w:rPr>
      <w:rFonts w:ascii="Times New Roman" w:hAnsi="Times New Roman" w:eastAsia="宋体" w:cs="Times New Roman"/>
      <w:b/>
      <w:bCs/>
      <w:kern w:val="44"/>
      <w:sz w:val="44"/>
      <w:szCs w:val="44"/>
    </w:rPr>
  </w:style>
  <w:style w:type="character" w:customStyle="1" w:styleId="84">
    <w:name w:val="招标节 Char"/>
    <w:link w:val="85"/>
    <w:qFormat/>
    <w:locked/>
    <w:uiPriority w:val="0"/>
    <w:rPr>
      <w:b/>
      <w:sz w:val="24"/>
      <w:szCs w:val="24"/>
    </w:rPr>
  </w:style>
  <w:style w:type="paragraph" w:customStyle="1" w:styleId="85">
    <w:name w:val="招标节"/>
    <w:basedOn w:val="1"/>
    <w:next w:val="1"/>
    <w:link w:val="84"/>
    <w:qFormat/>
    <w:uiPriority w:val="0"/>
    <w:pPr>
      <w:spacing w:beforeLines="50" w:afterLines="50"/>
      <w:outlineLvl w:val="1"/>
    </w:pPr>
    <w:rPr>
      <w:b/>
      <w:kern w:val="0"/>
      <w:sz w:val="24"/>
    </w:rPr>
  </w:style>
  <w:style w:type="character" w:customStyle="1" w:styleId="86">
    <w:name w:val="正文文本缩进 3 字符"/>
    <w:link w:val="33"/>
    <w:qFormat/>
    <w:uiPriority w:val="0"/>
    <w:rPr>
      <w:rFonts w:ascii="Times New Roman" w:hAnsi="Times New Roman" w:eastAsia="宋体" w:cs="Times New Roman"/>
      <w:sz w:val="16"/>
      <w:szCs w:val="16"/>
    </w:rPr>
  </w:style>
  <w:style w:type="character" w:customStyle="1" w:styleId="87">
    <w:name w:val="tpc_content1"/>
    <w:qFormat/>
    <w:uiPriority w:val="0"/>
    <w:rPr>
      <w:sz w:val="20"/>
      <w:szCs w:val="20"/>
    </w:rPr>
  </w:style>
  <w:style w:type="character" w:customStyle="1" w:styleId="88">
    <w:name w:val="Char Char"/>
    <w:qFormat/>
    <w:uiPriority w:val="0"/>
    <w:rPr>
      <w:rFonts w:ascii="Arial" w:hAnsi="Arial" w:eastAsia="黑体"/>
      <w:b/>
      <w:bCs/>
      <w:kern w:val="2"/>
      <w:sz w:val="32"/>
      <w:szCs w:val="32"/>
      <w:lang w:val="en-US" w:eastAsia="zh-CN" w:bidi="ar-SA"/>
    </w:rPr>
  </w:style>
  <w:style w:type="character" w:customStyle="1" w:styleId="89">
    <w:name w:val="正文文本 Char1"/>
    <w:semiHidden/>
    <w:qFormat/>
    <w:uiPriority w:val="99"/>
    <w:rPr>
      <w:rFonts w:ascii="Times New Roman" w:hAnsi="Times New Roman" w:eastAsia="宋体" w:cs="Times New Roman"/>
      <w:szCs w:val="24"/>
    </w:rPr>
  </w:style>
  <w:style w:type="character" w:customStyle="1" w:styleId="90">
    <w:name w:val="Char Char2"/>
    <w:qFormat/>
    <w:uiPriority w:val="0"/>
    <w:rPr>
      <w:rFonts w:eastAsia="宋体"/>
      <w:kern w:val="2"/>
      <w:sz w:val="21"/>
      <w:szCs w:val="24"/>
      <w:lang w:val="en-US" w:eastAsia="zh-CN" w:bidi="ar-SA"/>
    </w:rPr>
  </w:style>
  <w:style w:type="character" w:customStyle="1" w:styleId="91">
    <w:name w:val="apple-converted-space"/>
    <w:qFormat/>
    <w:uiPriority w:val="0"/>
  </w:style>
  <w:style w:type="character" w:customStyle="1" w:styleId="92">
    <w:name w:val="标题 4 字符"/>
    <w:link w:val="2"/>
    <w:qFormat/>
    <w:uiPriority w:val="0"/>
    <w:rPr>
      <w:rFonts w:ascii="Arial" w:hAnsi="Arial" w:eastAsia="黑体" w:cs="Times New Roman"/>
      <w:b/>
      <w:bCs/>
      <w:sz w:val="28"/>
      <w:szCs w:val="28"/>
    </w:rPr>
  </w:style>
  <w:style w:type="character" w:customStyle="1" w:styleId="93">
    <w:name w:val="正文文本缩进 Char1"/>
    <w:semiHidden/>
    <w:qFormat/>
    <w:uiPriority w:val="99"/>
    <w:rPr>
      <w:rFonts w:ascii="Times New Roman" w:hAnsi="Times New Roman" w:eastAsia="宋体" w:cs="Times New Roman"/>
      <w:szCs w:val="24"/>
    </w:rPr>
  </w:style>
  <w:style w:type="character" w:customStyle="1" w:styleId="94">
    <w:name w:val="页脚 字符"/>
    <w:link w:val="27"/>
    <w:qFormat/>
    <w:uiPriority w:val="99"/>
    <w:rPr>
      <w:sz w:val="18"/>
      <w:szCs w:val="18"/>
    </w:rPr>
  </w:style>
  <w:style w:type="character" w:customStyle="1" w:styleId="95">
    <w:name w:val="Char Char7"/>
    <w:qFormat/>
    <w:uiPriority w:val="0"/>
    <w:rPr>
      <w:rFonts w:ascii="Arial" w:hAnsi="Arial" w:eastAsia="黑体"/>
      <w:b/>
      <w:bCs/>
      <w:kern w:val="2"/>
      <w:sz w:val="32"/>
      <w:szCs w:val="32"/>
      <w:lang w:val="en-US" w:eastAsia="zh-CN" w:bidi="ar-SA"/>
    </w:rPr>
  </w:style>
  <w:style w:type="character" w:customStyle="1" w:styleId="96">
    <w:name w:val="HTML 预设格式 字符"/>
    <w:link w:val="37"/>
    <w:qFormat/>
    <w:uiPriority w:val="0"/>
    <w:rPr>
      <w:rFonts w:ascii="微软雅黑" w:hAnsi="微软雅黑" w:eastAsia="微软雅黑" w:cs="Times New Roman"/>
      <w:kern w:val="0"/>
      <w:sz w:val="24"/>
      <w:szCs w:val="24"/>
    </w:rPr>
  </w:style>
  <w:style w:type="character" w:customStyle="1" w:styleId="97">
    <w:name w:val="批注文字 Char"/>
    <w:qFormat/>
    <w:uiPriority w:val="0"/>
    <w:rPr>
      <w:rFonts w:eastAsia="宋体"/>
      <w:kern w:val="2"/>
      <w:sz w:val="21"/>
      <w:szCs w:val="24"/>
      <w:lang w:val="en-US" w:eastAsia="zh-CN" w:bidi="ar-SA"/>
    </w:rPr>
  </w:style>
  <w:style w:type="character" w:customStyle="1" w:styleId="98">
    <w:name w:val="纯文本 字符"/>
    <w:link w:val="22"/>
    <w:qFormat/>
    <w:uiPriority w:val="99"/>
    <w:rPr>
      <w:rFonts w:ascii="Courier New" w:hAnsi="Courier New"/>
    </w:rPr>
  </w:style>
  <w:style w:type="character" w:customStyle="1" w:styleId="99">
    <w:name w:val="标题 7 字符"/>
    <w:link w:val="7"/>
    <w:qFormat/>
    <w:uiPriority w:val="0"/>
    <w:rPr>
      <w:rFonts w:ascii="Times New Roman" w:hAnsi="Times New Roman" w:eastAsia="宋体" w:cs="Times New Roman"/>
      <w:b/>
      <w:bCs/>
      <w:kern w:val="0"/>
      <w:sz w:val="24"/>
      <w:szCs w:val="24"/>
    </w:rPr>
  </w:style>
  <w:style w:type="paragraph" w:customStyle="1" w:styleId="100">
    <w:name w:val="样式4"/>
    <w:basedOn w:val="5"/>
    <w:qFormat/>
    <w:uiPriority w:val="0"/>
    <w:rPr>
      <w:rFonts w:eastAsia="Arial"/>
    </w:rPr>
  </w:style>
  <w:style w:type="paragraph" w:customStyle="1" w:styleId="101">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font10"/>
    <w:basedOn w:val="1"/>
    <w:qFormat/>
    <w:uiPriority w:val="0"/>
    <w:pPr>
      <w:widowControl/>
      <w:spacing w:before="100" w:beforeAutospacing="1" w:after="100" w:afterAutospacing="1"/>
      <w:jc w:val="left"/>
    </w:pPr>
    <w:rPr>
      <w:kern w:val="0"/>
      <w:sz w:val="28"/>
      <w:szCs w:val="28"/>
    </w:rPr>
  </w:style>
  <w:style w:type="paragraph" w:customStyle="1" w:styleId="104">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样式1"/>
    <w:basedOn w:val="5"/>
    <w:qFormat/>
    <w:uiPriority w:val="0"/>
    <w:rPr>
      <w:rFonts w:eastAsia="Arial"/>
    </w:rPr>
  </w:style>
  <w:style w:type="paragraph" w:customStyle="1" w:styleId="107">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Char"/>
    <w:basedOn w:val="1"/>
    <w:qFormat/>
    <w:uiPriority w:val="0"/>
    <w:pPr>
      <w:tabs>
        <w:tab w:val="left" w:pos="360"/>
      </w:tabs>
    </w:pPr>
    <w:rPr>
      <w:sz w:val="24"/>
    </w:rPr>
  </w:style>
  <w:style w:type="paragraph" w:customStyle="1" w:styleId="110">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6">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列表段落1"/>
    <w:basedOn w:val="1"/>
    <w:qFormat/>
    <w:uiPriority w:val="34"/>
    <w:pPr>
      <w:ind w:firstLine="420" w:firstLineChars="200"/>
    </w:pPr>
    <w:rPr>
      <w:rFonts w:ascii="Calibri" w:hAnsi="Calibri"/>
      <w:szCs w:val="22"/>
    </w:rPr>
  </w:style>
  <w:style w:type="paragraph" w:customStyle="1" w:styleId="12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3">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7">
    <w:name w:val="1"/>
    <w:basedOn w:val="1"/>
    <w:next w:val="1"/>
    <w:qFormat/>
    <w:uiPriority w:val="0"/>
  </w:style>
  <w:style w:type="paragraph" w:customStyle="1" w:styleId="128">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1">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2">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3">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样式3"/>
    <w:basedOn w:val="5"/>
    <w:qFormat/>
    <w:uiPriority w:val="0"/>
    <w:rPr>
      <w:rFonts w:eastAsia="Arial"/>
    </w:rPr>
  </w:style>
  <w:style w:type="paragraph" w:customStyle="1" w:styleId="135">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8">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40">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3">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4">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6">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8">
    <w:name w:val="第二"/>
    <w:basedOn w:val="1"/>
    <w:qFormat/>
    <w:uiPriority w:val="0"/>
    <w:pPr>
      <w:adjustRightInd w:val="0"/>
      <w:snapToGrid w:val="0"/>
      <w:spacing w:line="360" w:lineRule="auto"/>
      <w:ind w:right="-108" w:rightChars="-45" w:firstLine="482"/>
    </w:pPr>
    <w:rPr>
      <w:b/>
    </w:rPr>
  </w:style>
  <w:style w:type="paragraph" w:customStyle="1" w:styleId="14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2">
    <w:name w:val="内容"/>
    <w:basedOn w:val="1"/>
    <w:qFormat/>
    <w:uiPriority w:val="0"/>
    <w:pPr>
      <w:spacing w:line="480" w:lineRule="exact"/>
      <w:ind w:firstLine="200" w:firstLineChars="200"/>
    </w:pPr>
  </w:style>
  <w:style w:type="paragraph" w:customStyle="1" w:styleId="153">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列出段落1"/>
    <w:basedOn w:val="1"/>
    <w:qFormat/>
    <w:uiPriority w:val="99"/>
    <w:pPr>
      <w:ind w:firstLine="420" w:firstLineChars="200"/>
    </w:pPr>
  </w:style>
  <w:style w:type="paragraph" w:customStyle="1" w:styleId="156">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7">
    <w:name w:val="表格文字"/>
    <w:basedOn w:val="1"/>
    <w:qFormat/>
    <w:uiPriority w:val="0"/>
    <w:pPr>
      <w:adjustRightInd w:val="0"/>
      <w:spacing w:line="420" w:lineRule="atLeast"/>
      <w:jc w:val="left"/>
      <w:textAlignment w:val="baseline"/>
    </w:pPr>
    <w:rPr>
      <w:kern w:val="0"/>
      <w:szCs w:val="20"/>
    </w:rPr>
  </w:style>
  <w:style w:type="paragraph" w:customStyle="1" w:styleId="158">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9">
    <w:name w:val="样式2"/>
    <w:basedOn w:val="5"/>
    <w:qFormat/>
    <w:uiPriority w:val="0"/>
  </w:style>
  <w:style w:type="character" w:customStyle="1" w:styleId="160">
    <w:name w:val="after"/>
    <w:basedOn w:val="46"/>
    <w:qFormat/>
    <w:uiPriority w:val="0"/>
    <w:rPr>
      <w:bdr w:val="dashed" w:color="auto" w:sz="48" w:space="0"/>
    </w:rPr>
  </w:style>
  <w:style w:type="character" w:customStyle="1" w:styleId="161">
    <w:name w:val="before"/>
    <w:basedOn w:val="46"/>
    <w:qFormat/>
    <w:uiPriority w:val="0"/>
    <w:rPr>
      <w:bdr w:val="single" w:color="auto" w:sz="48" w:space="0"/>
    </w:rPr>
  </w:style>
  <w:style w:type="character" w:customStyle="1" w:styleId="162">
    <w:name w:val="hover48"/>
    <w:basedOn w:val="46"/>
    <w:qFormat/>
    <w:uiPriority w:val="0"/>
    <w:rPr>
      <w:shd w:val="clear" w:color="auto" w:fill="346AC3"/>
    </w:rPr>
  </w:style>
  <w:style w:type="character" w:customStyle="1" w:styleId="163">
    <w:name w:val="hover49"/>
    <w:basedOn w:val="46"/>
    <w:qFormat/>
    <w:uiPriority w:val="0"/>
  </w:style>
  <w:style w:type="character" w:customStyle="1" w:styleId="164">
    <w:name w:val="hover50"/>
    <w:basedOn w:val="46"/>
    <w:qFormat/>
    <w:uiPriority w:val="0"/>
    <w:rPr>
      <w:color w:val="4285F4"/>
      <w:u w:val="none"/>
    </w:rPr>
  </w:style>
  <w:style w:type="character" w:customStyle="1" w:styleId="165">
    <w:name w:val="hover51"/>
    <w:basedOn w:val="46"/>
    <w:qFormat/>
    <w:uiPriority w:val="0"/>
    <w:rPr>
      <w:color w:val="4285F4"/>
    </w:rPr>
  </w:style>
  <w:style w:type="character" w:customStyle="1" w:styleId="166">
    <w:name w:val="hover52"/>
    <w:basedOn w:val="46"/>
    <w:qFormat/>
    <w:uiPriority w:val="0"/>
    <w:rPr>
      <w:color w:val="1A85D7"/>
    </w:rPr>
  </w:style>
  <w:style w:type="character" w:customStyle="1" w:styleId="167">
    <w:name w:val="credit"/>
    <w:basedOn w:val="46"/>
    <w:qFormat/>
    <w:uiPriority w:val="0"/>
    <w:rPr>
      <w:sz w:val="18"/>
      <w:szCs w:val="18"/>
    </w:rPr>
  </w:style>
  <w:style w:type="character" w:customStyle="1" w:styleId="168">
    <w:name w:val="first-child"/>
    <w:basedOn w:val="46"/>
    <w:qFormat/>
    <w:uiPriority w:val="0"/>
  </w:style>
  <w:style w:type="character" w:customStyle="1" w:styleId="169">
    <w:name w:val="font31"/>
    <w:basedOn w:val="46"/>
    <w:qFormat/>
    <w:uiPriority w:val="0"/>
    <w:rPr>
      <w:rFonts w:hint="eastAsia" w:ascii="宋体" w:hAnsi="宋体" w:eastAsia="宋体" w:cs="宋体"/>
      <w:color w:val="000000"/>
      <w:sz w:val="24"/>
      <w:szCs w:val="24"/>
      <w:u w:val="none"/>
    </w:rPr>
  </w:style>
  <w:style w:type="paragraph" w:customStyle="1" w:styleId="170">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 w:type="paragraph" w:customStyle="1" w:styleId="171">
    <w:name w:val="表格内正文，无编号"/>
    <w:basedOn w:val="1"/>
    <w:qFormat/>
    <w:uiPriority w:val="0"/>
    <w:pPr>
      <w:spacing w:line="400" w:lineRule="exact"/>
      <w:ind w:firstLine="643" w:firstLineChars="200"/>
    </w:pPr>
  </w:style>
  <w:style w:type="paragraph" w:customStyle="1" w:styleId="172">
    <w:name w:val="*正文"/>
    <w:basedOn w:val="1"/>
    <w:qFormat/>
    <w:uiPriority w:val="0"/>
    <w:pPr>
      <w:widowControl/>
      <w:ind w:firstLine="200" w:firstLineChars="200"/>
    </w:pPr>
    <w:rPr>
      <w:rFonts w:ascii="仿宋_GB2312" w:eastAsia="仿宋_GB2312" w:cstheme="minorBidi"/>
      <w:sz w:val="24"/>
      <w:szCs w:val="28"/>
    </w:rPr>
  </w:style>
  <w:style w:type="paragraph" w:customStyle="1" w:styleId="173">
    <w:name w:val="表体"/>
    <w:basedOn w:val="1"/>
    <w:next w:val="1"/>
    <w:qFormat/>
    <w:uiPriority w:val="0"/>
    <w:pPr>
      <w:snapToGrid w:val="0"/>
      <w:spacing w:line="0" w:lineRule="atLeast"/>
    </w:pPr>
    <w:rPr>
      <w:b/>
      <w:szCs w:val="20"/>
    </w:rPr>
  </w:style>
  <w:style w:type="paragraph" w:customStyle="1" w:styleId="174">
    <w:name w:val="Table Paragraph"/>
    <w:basedOn w:val="1"/>
    <w:qFormat/>
    <w:uiPriority w:val="1"/>
    <w:rPr>
      <w:rFonts w:ascii="宋体" w:hAnsi="宋体" w:cs="宋体"/>
    </w:rPr>
  </w:style>
  <w:style w:type="table" w:customStyle="1" w:styleId="175">
    <w:name w:val="Table Normal"/>
    <w:semiHidden/>
    <w:unhideWhenUsed/>
    <w:qFormat/>
    <w:uiPriority w:val="0"/>
    <w:tblPr>
      <w:tblCellMar>
        <w:top w:w="0" w:type="dxa"/>
        <w:left w:w="0" w:type="dxa"/>
        <w:bottom w:w="0" w:type="dxa"/>
        <w:right w:w="0" w:type="dxa"/>
      </w:tblCellMar>
    </w:tblPr>
  </w:style>
  <w:style w:type="paragraph" w:customStyle="1" w:styleId="176">
    <w:name w:val="Table Text"/>
    <w:basedOn w:val="1"/>
    <w:semiHidden/>
    <w:qFormat/>
    <w:uiPriority w:val="0"/>
    <w:rPr>
      <w:rFonts w:ascii="Arial" w:hAnsi="Arial" w:eastAsia="Arial" w:cs="Arial"/>
      <w:sz w:val="21"/>
      <w:szCs w:val="21"/>
      <w:lang w:val="en-US" w:eastAsia="en-US" w:bidi="ar-SA"/>
    </w:rPr>
  </w:style>
  <w:style w:type="paragraph" w:styleId="177">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19549</Words>
  <Characters>20863</Characters>
  <Lines>321</Lines>
  <Paragraphs>90</Paragraphs>
  <TotalTime>13</TotalTime>
  <ScaleCrop>false</ScaleCrop>
  <LinksUpToDate>false</LinksUpToDate>
  <CharactersWithSpaces>23059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2023-06-12T07:11:00Z</dcterms:created>
  <dc:creator>陈桂兰</dc:creator>
  <cp:lastModifiedBy>暮沉烟</cp:lastModifiedBy>
  <cp:lastPrinted>2024-03-06T03:31:00Z</cp:lastPrinted>
  <dcterms:modified xsi:type="dcterms:W3CDTF">2024-06-26T01:21:56Z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FC5D6B0DFD114DA4A6FCBB725BA20035</vt:lpwstr>
  </property>
</Properties>
</file>