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30"/>
          <w:szCs w:val="30"/>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bookmarkStart w:id="88" w:name="_GoBack"/>
      <w:r>
        <w:rPr>
          <w:rFonts w:hint="eastAsia" w:ascii="宋体" w:hAnsi="宋体" w:eastAsia="宋体" w:cs="宋体"/>
          <w:b/>
          <w:color w:val="000000"/>
          <w:sz w:val="72"/>
          <w:szCs w:val="52"/>
          <w:highlight w:val="none"/>
        </w:rPr>
        <w:t>渝湘复线巴水段白云山隧道南川区域高压外电接入专项分包工程施工合同</w:t>
      </w:r>
    </w:p>
    <w:bookmarkEnd w:id="88"/>
    <w:p>
      <w:pPr>
        <w:pStyle w:val="7"/>
        <w:tabs>
          <w:tab w:val="right" w:leader="dot" w:pos="8296"/>
        </w:tabs>
        <w:rPr>
          <w:rFonts w:hint="eastAsia" w:ascii="宋体" w:hAnsi="宋体" w:eastAsia="宋体" w:cs="宋体"/>
          <w:b w:val="0"/>
          <w:color w:val="000000"/>
          <w:sz w:val="52"/>
          <w:szCs w:val="52"/>
          <w:highlight w:val="none"/>
          <w:lang w:val="en-US" w:eastAsia="zh-CN"/>
        </w:rPr>
      </w:pPr>
      <w:r>
        <w:rPr>
          <w:rFonts w:hint="eastAsia" w:ascii="宋体" w:hAnsi="宋体" w:eastAsia="宋体" w:cs="宋体"/>
          <w:b w:val="0"/>
          <w:color w:val="000000"/>
          <w:sz w:val="52"/>
          <w:szCs w:val="52"/>
          <w:highlight w:val="none"/>
          <w:lang w:val="en-US" w:eastAsia="zh-CN"/>
        </w:rPr>
        <w:t xml:space="preserve">   </w:t>
      </w:r>
    </w:p>
    <w:p>
      <w:pPr>
        <w:rPr>
          <w:rFonts w:hint="eastAsia" w:ascii="宋体" w:hAnsi="宋体" w:eastAsia="宋体" w:cs="宋体"/>
          <w:b w:val="0"/>
          <w:color w:val="000000"/>
          <w:sz w:val="52"/>
          <w:szCs w:val="52"/>
          <w:highlight w:val="none"/>
          <w:lang w:val="en-US" w:eastAsia="zh-CN"/>
        </w:rPr>
      </w:pPr>
    </w:p>
    <w:p>
      <w:pPr>
        <w:spacing w:line="360" w:lineRule="auto"/>
        <w:ind w:firstLine="561"/>
        <w:jc w:val="center"/>
        <w:rPr>
          <w:rFonts w:hint="eastAsia" w:ascii="宋体" w:hAnsi="宋体" w:eastAsia="宋体" w:cs="宋体"/>
          <w:b/>
          <w:sz w:val="28"/>
          <w:highlight w:val="none"/>
          <w:lang w:val="en-US" w:eastAsia="zh-CN"/>
        </w:rPr>
      </w:pPr>
      <w:r>
        <w:rPr>
          <w:rFonts w:hint="eastAsia" w:ascii="宋体" w:hAnsi="宋体" w:eastAsia="宋体" w:cs="宋体"/>
          <w:b/>
          <w:sz w:val="28"/>
          <w:highlight w:val="none"/>
        </w:rPr>
        <w:t>合同</w:t>
      </w:r>
      <w:r>
        <w:rPr>
          <w:rFonts w:hint="eastAsia" w:ascii="宋体" w:hAnsi="宋体" w:eastAsia="宋体" w:cs="宋体"/>
          <w:b/>
          <w:sz w:val="28"/>
          <w:highlight w:val="none"/>
          <w:lang w:val="en-US" w:eastAsia="zh-CN"/>
        </w:rPr>
        <w:t>编</w:t>
      </w:r>
      <w:r>
        <w:rPr>
          <w:rFonts w:hint="eastAsia" w:ascii="宋体" w:hAnsi="宋体" w:eastAsia="宋体" w:cs="宋体"/>
          <w:b/>
          <w:sz w:val="28"/>
          <w:highlight w:val="none"/>
        </w:rPr>
        <w:t>号</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 xml:space="preserve">xxxx （x） s/x  x  xx  xxxx </w:t>
      </w:r>
    </w:p>
    <w:p>
      <w:pPr>
        <w:pStyle w:val="7"/>
        <w:tabs>
          <w:tab w:val="right" w:leader="dot" w:pos="8296"/>
        </w:tabs>
        <w:rPr>
          <w:rFonts w:hint="eastAsia" w:ascii="宋体" w:hAnsi="宋体" w:eastAsia="宋体" w:cs="宋体"/>
          <w:highlight w:val="none"/>
          <w:lang w:val="en-US" w:eastAsia="zh-CN"/>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52"/>
          <w:szCs w:val="52"/>
          <w:highlight w:val="none"/>
        </w:rPr>
      </w:pPr>
    </w:p>
    <w:p>
      <w:pPr>
        <w:pStyle w:val="3"/>
        <w:jc w:val="center"/>
        <w:rPr>
          <w:rFonts w:hint="eastAsia" w:ascii="宋体" w:hAnsi="宋体" w:eastAsia="宋体" w:cs="宋体"/>
          <w:b w:val="0"/>
          <w:color w:val="000000"/>
          <w:sz w:val="44"/>
          <w:szCs w:val="44"/>
          <w:highlight w:val="none"/>
        </w:rPr>
      </w:pPr>
      <w:bookmarkStart w:id="0" w:name="_Toc31914"/>
      <w:r>
        <w:rPr>
          <w:rFonts w:hint="eastAsia" w:ascii="宋体" w:hAnsi="宋体" w:eastAsia="宋体" w:cs="宋体"/>
          <w:sz w:val="44"/>
          <w:szCs w:val="44"/>
          <w:highlight w:val="none"/>
        </w:rPr>
        <w:t>第一部分 合同协议书</w:t>
      </w:r>
      <w:bookmarkEnd w:id="0"/>
    </w:p>
    <w:p>
      <w:pPr>
        <w:adjustRightInd w:val="0"/>
        <w:snapToGrid w:val="0"/>
        <w:spacing w:beforeLines="0" w:afterLines="0"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        </w:t>
      </w:r>
    </w:p>
    <w:p>
      <w:pPr>
        <w:adjustRightInd w:val="0"/>
        <w:snapToGrid w:val="0"/>
        <w:spacing w:beforeLines="0" w:afterLines="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auto"/>
          <w:sz w:val="21"/>
          <w:szCs w:val="21"/>
          <w:highlight w:val="none"/>
          <w:u w:val="single"/>
        </w:rPr>
        <w:t xml:space="preserve">                   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1" w:name="_Toc351203481"/>
      <w:r>
        <w:rPr>
          <w:rFonts w:hint="eastAsia" w:ascii="宋体" w:hAnsi="宋体" w:eastAsia="宋体" w:cs="宋体"/>
          <w:b w:val="0"/>
          <w:color w:val="auto"/>
          <w:sz w:val="21"/>
          <w:szCs w:val="21"/>
          <w:highlight w:val="none"/>
        </w:rPr>
        <w:t>一、工程概况</w:t>
      </w:r>
      <w:bookmarkEnd w:id="1"/>
    </w:p>
    <w:p>
      <w:pPr>
        <w:adjustRightInd w:val="0"/>
        <w:snapToGrid w:val="0"/>
        <w:spacing w:beforeLines="0" w:afterLines="0"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3.工程承包范围：</w:t>
      </w:r>
    </w:p>
    <w:p>
      <w:pPr>
        <w:adjustRightInd w:val="0"/>
        <w:snapToGrid w:val="0"/>
        <w:spacing w:beforeLines="0" w:afterLines="0" w:line="360" w:lineRule="auto"/>
        <w:ind w:firstLine="405" w:firstLineChars="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4"/>
        <w:adjustRightInd w:val="0"/>
        <w:snapToGrid w:val="0"/>
        <w:spacing w:before="0" w:beforeAutospacing="0" w:after="0" w:afterAutospacing="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2" w:name="_Toc351203482"/>
      <w:r>
        <w:rPr>
          <w:rFonts w:hint="eastAsia" w:ascii="宋体" w:hAnsi="宋体" w:eastAsia="宋体" w:cs="宋体"/>
          <w:b w:val="0"/>
          <w:color w:val="auto"/>
          <w:sz w:val="21"/>
          <w:szCs w:val="21"/>
          <w:highlight w:val="none"/>
        </w:rPr>
        <w:t>二、合同工期</w:t>
      </w:r>
      <w:bookmarkEnd w:id="2"/>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3" w:name="_Toc351203483"/>
      <w:r>
        <w:rPr>
          <w:rFonts w:hint="eastAsia" w:ascii="宋体" w:hAnsi="宋体" w:eastAsia="宋体" w:cs="宋体"/>
          <w:b w:val="0"/>
          <w:color w:val="auto"/>
          <w:sz w:val="21"/>
          <w:szCs w:val="21"/>
          <w:highlight w:val="none"/>
        </w:rPr>
        <w:t>三、质量标准</w:t>
      </w:r>
      <w:bookmarkEnd w:id="3"/>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 w:name="_Toc351203484"/>
      <w:r>
        <w:rPr>
          <w:rFonts w:hint="eastAsia" w:ascii="宋体" w:hAnsi="宋体" w:eastAsia="宋体" w:cs="宋体"/>
          <w:b w:val="0"/>
          <w:color w:val="auto"/>
          <w:sz w:val="21"/>
          <w:szCs w:val="21"/>
          <w:highlight w:val="none"/>
        </w:rPr>
        <w:t>四、签约合同价与合同价格形式</w:t>
      </w:r>
      <w:bookmarkEnd w:id="4"/>
      <w:r>
        <w:rPr>
          <w:rFonts w:hint="eastAsia" w:ascii="宋体" w:hAnsi="宋体" w:eastAsia="宋体" w:cs="宋体"/>
          <w:b w:val="0"/>
          <w:color w:val="auto"/>
          <w:sz w:val="21"/>
          <w:szCs w:val="21"/>
          <w:highlight w:val="none"/>
        </w:rPr>
        <w:tab/>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1.签约合同价（含税）为：</w:t>
      </w:r>
    </w:p>
    <w:p>
      <w:pPr>
        <w:adjustRightInd w:val="0"/>
        <w:snapToGrid w:val="0"/>
        <w:spacing w:beforeLines="0" w:afterLines="0"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安全生产费/</w:t>
      </w:r>
      <w:r>
        <w:rPr>
          <w:rFonts w:hint="eastAsia" w:ascii="宋体" w:hAnsi="宋体" w:eastAsia="宋体" w:cs="宋体"/>
          <w:color w:val="auto"/>
          <w:sz w:val="21"/>
          <w:szCs w:val="21"/>
          <w:highlight w:val="none"/>
        </w:rPr>
        <w:t>安全文明施工费（含税）：</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 w:name="_Toc351203486"/>
      <w:r>
        <w:rPr>
          <w:rFonts w:hint="eastAsia" w:ascii="宋体" w:hAnsi="宋体" w:eastAsia="宋体" w:cs="宋体"/>
          <w:b w:val="0"/>
          <w:color w:val="auto"/>
          <w:sz w:val="21"/>
          <w:szCs w:val="21"/>
          <w:highlight w:val="none"/>
        </w:rPr>
        <w:t>五、合同文件构成</w:t>
      </w:r>
      <w:bookmarkEnd w:id="5"/>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4"/>
        <w:adjustRightInd w:val="0"/>
        <w:snapToGrid w:val="0"/>
        <w:spacing w:before="0" w:beforeAutospacing="0" w:after="0" w:afterAutospacing="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 w:name="_Toc351203487"/>
      <w:r>
        <w:rPr>
          <w:rFonts w:hint="eastAsia" w:ascii="宋体" w:hAnsi="宋体" w:eastAsia="宋体" w:cs="宋体"/>
          <w:b w:val="0"/>
          <w:color w:val="auto"/>
          <w:sz w:val="21"/>
          <w:szCs w:val="21"/>
          <w:highlight w:val="none"/>
        </w:rPr>
        <w:t>六、承诺</w:t>
      </w:r>
      <w:bookmarkEnd w:id="6"/>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1.发包人承诺按照合同约定的期限和方式支付合同价款。</w:t>
      </w:r>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adjustRightInd w:val="0"/>
        <w:snapToGrid w:val="0"/>
        <w:spacing w:beforeLines="0" w:afterLines="0" w:line="360" w:lineRule="auto"/>
        <w:rPr>
          <w:rFonts w:hint="eastAsia" w:ascii="宋体" w:hAnsi="宋体" w:eastAsia="宋体" w:cs="宋体"/>
          <w:bCs/>
          <w:color w:val="auto"/>
          <w:sz w:val="21"/>
          <w:szCs w:val="21"/>
          <w:highlight w:val="none"/>
        </w:rPr>
      </w:pPr>
      <w:bookmarkStart w:id="7" w:name="_Toc351203488"/>
      <w:r>
        <w:rPr>
          <w:rFonts w:hint="eastAsia" w:ascii="宋体" w:hAnsi="宋体" w:eastAsia="宋体" w:cs="宋体"/>
          <w:b/>
          <w:color w:val="auto"/>
          <w:sz w:val="21"/>
          <w:szCs w:val="21"/>
          <w:highlight w:val="none"/>
        </w:rPr>
        <w:t xml:space="preserve">    七、词语含义</w:t>
      </w:r>
      <w:bookmarkEnd w:id="7"/>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8" w:name="_Toc351203489"/>
      <w:r>
        <w:rPr>
          <w:rFonts w:hint="eastAsia" w:ascii="宋体" w:hAnsi="宋体" w:eastAsia="宋体" w:cs="宋体"/>
          <w:b w:val="0"/>
          <w:color w:val="auto"/>
          <w:sz w:val="21"/>
          <w:szCs w:val="21"/>
          <w:highlight w:val="none"/>
        </w:rPr>
        <w:t>八、签订时间</w:t>
      </w:r>
      <w:bookmarkEnd w:id="8"/>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9" w:name="_Toc351203490"/>
      <w:r>
        <w:rPr>
          <w:rFonts w:hint="eastAsia" w:ascii="宋体" w:hAnsi="宋体" w:eastAsia="宋体" w:cs="宋体"/>
          <w:b w:val="0"/>
          <w:color w:val="auto"/>
          <w:sz w:val="21"/>
          <w:szCs w:val="21"/>
          <w:highlight w:val="none"/>
        </w:rPr>
        <w:t>九、签订地点</w:t>
      </w:r>
      <w:bookmarkEnd w:id="9"/>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重庆</w:t>
      </w:r>
      <w:r>
        <w:rPr>
          <w:rFonts w:hint="eastAsia" w:ascii="宋体" w:hAnsi="宋体" w:eastAsia="宋体" w:cs="宋体"/>
          <w:bCs/>
          <w:color w:val="auto"/>
          <w:sz w:val="21"/>
          <w:szCs w:val="21"/>
          <w:highlight w:val="none"/>
        </w:rPr>
        <w:t>签订。</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0" w:name="_Toc351203491"/>
      <w:r>
        <w:rPr>
          <w:rFonts w:hint="eastAsia" w:ascii="宋体" w:hAnsi="宋体" w:eastAsia="宋体" w:cs="宋体"/>
          <w:b w:val="0"/>
          <w:color w:val="auto"/>
          <w:sz w:val="21"/>
          <w:szCs w:val="21"/>
          <w:highlight w:val="none"/>
        </w:rPr>
        <w:t>十、补充协议</w:t>
      </w:r>
      <w:bookmarkEnd w:id="10"/>
    </w:p>
    <w:p>
      <w:pPr>
        <w:adjustRightInd w:val="0"/>
        <w:snapToGrid w:val="0"/>
        <w:spacing w:beforeLines="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1" w:name="_Toc351203492"/>
      <w:r>
        <w:rPr>
          <w:rFonts w:hint="eastAsia" w:ascii="宋体" w:hAnsi="宋体" w:eastAsia="宋体" w:cs="宋体"/>
          <w:b w:val="0"/>
          <w:color w:val="auto"/>
          <w:sz w:val="21"/>
          <w:szCs w:val="21"/>
          <w:highlight w:val="none"/>
        </w:rPr>
        <w:t>十一、合同生效</w:t>
      </w:r>
      <w:bookmarkEnd w:id="11"/>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双方盖章后</w:t>
      </w:r>
      <w:r>
        <w:rPr>
          <w:rFonts w:hint="eastAsia" w:ascii="宋体" w:hAnsi="宋体" w:eastAsia="宋体" w:cs="宋体"/>
          <w:bCs/>
          <w:color w:val="auto"/>
          <w:sz w:val="21"/>
          <w:szCs w:val="21"/>
          <w:highlight w:val="none"/>
        </w:rPr>
        <w:t>生效。</w:t>
      </w:r>
    </w:p>
    <w:p>
      <w:pPr>
        <w:pStyle w:val="4"/>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2" w:name="_Toc351203493"/>
      <w:r>
        <w:rPr>
          <w:rFonts w:hint="eastAsia" w:ascii="宋体" w:hAnsi="宋体" w:eastAsia="宋体" w:cs="宋体"/>
          <w:b w:val="0"/>
          <w:color w:val="auto"/>
          <w:sz w:val="21"/>
          <w:szCs w:val="21"/>
          <w:highlight w:val="none"/>
        </w:rPr>
        <w:t>十二、合同份数</w:t>
      </w:r>
      <w:bookmarkEnd w:id="12"/>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lang w:val="en-US" w:eastAsia="zh-CN"/>
        </w:rPr>
        <w:t>X</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lang w:val="en-US" w:eastAsia="zh-CN"/>
        </w:rPr>
        <w:t>肆</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lang w:val="en-US" w:eastAsia="zh-CN"/>
        </w:rPr>
        <w:t>X</w:t>
      </w:r>
      <w:r>
        <w:rPr>
          <w:rFonts w:hint="eastAsia" w:ascii="宋体" w:hAnsi="宋体" w:eastAsia="宋体" w:cs="宋体"/>
          <w:bCs/>
          <w:color w:val="auto"/>
          <w:sz w:val="21"/>
          <w:szCs w:val="21"/>
          <w:highlight w:val="none"/>
        </w:rPr>
        <w:t>份。</w:t>
      </w:r>
    </w:p>
    <w:p>
      <w:pPr>
        <w:adjustRightInd w:val="0"/>
        <w:snapToGrid w:val="0"/>
        <w:spacing w:beforeLines="0" w:afterLines="0" w:line="360" w:lineRule="auto"/>
        <w:rPr>
          <w:rFonts w:hint="eastAsia" w:ascii="宋体" w:hAnsi="宋体" w:eastAsia="宋体" w:cs="宋体"/>
          <w:color w:val="auto"/>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承包人：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法定代表人或其委托代理人：</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p>
    <w:p>
      <w:pPr>
        <w:tabs>
          <w:tab w:val="left" w:pos="4410"/>
        </w:tabs>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lang w:val="en-US" w:eastAsia="zh-CN"/>
        </w:rPr>
        <w:t xml:space="preserve">91500000586880999E    </w:t>
      </w: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重庆市渝北区余松西路</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155号1幢7-5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p>
    <w:p>
      <w:pPr>
        <w:pStyle w:val="4"/>
        <w:adjustRightInd w:val="0"/>
        <w:snapToGrid w:val="0"/>
        <w:spacing w:before="0" w:beforeAutospacing="0" w:after="0" w:afterAutospacing="0" w:line="360" w:lineRule="auto"/>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u w:val="none"/>
          <w:lang w:val="en-US" w:eastAsia="zh-CN"/>
        </w:rPr>
        <w:t>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023-86917860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中国光大银</w:t>
      </w:r>
      <w:r>
        <w:rPr>
          <w:rFonts w:hint="eastAsia" w:ascii="宋体" w:hAnsi="宋体" w:eastAsia="宋体" w:cs="宋体"/>
          <w:color w:val="000000"/>
          <w:sz w:val="21"/>
          <w:szCs w:val="21"/>
          <w:highlight w:val="none"/>
          <w:u w:val="single"/>
          <w:lang w:val="en-US" w:eastAsia="zh-CN"/>
        </w:rPr>
        <w:t xml:space="preserve">行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rPr>
        <w:t>股份有限公司重庆冉家坝支行</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39530188000016968</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p>
    <w:p>
      <w:pPr>
        <w:pStyle w:val="3"/>
        <w:numPr>
          <w:ilvl w:val="0"/>
          <w:numId w:val="1"/>
        </w:numPr>
        <w:jc w:val="center"/>
        <w:rPr>
          <w:rFonts w:hint="eastAsia" w:ascii="宋体" w:hAnsi="宋体" w:eastAsia="宋体" w:cs="宋体"/>
          <w:color w:val="auto"/>
          <w:sz w:val="44"/>
          <w:szCs w:val="44"/>
          <w:highlight w:val="none"/>
        </w:rPr>
      </w:pPr>
      <w:r>
        <w:rPr>
          <w:rFonts w:hint="eastAsia" w:ascii="宋体" w:hAnsi="宋体" w:eastAsia="宋体" w:cs="宋体"/>
          <w:highlight w:val="none"/>
        </w:rPr>
        <w:br w:type="page"/>
      </w:r>
      <w:bookmarkStart w:id="13" w:name="_Toc1221"/>
      <w:bookmarkStart w:id="14" w:name="_Toc351203494"/>
      <w:r>
        <w:rPr>
          <w:rFonts w:hint="eastAsia" w:ascii="宋体" w:hAnsi="宋体" w:eastAsia="宋体" w:cs="宋体"/>
          <w:color w:val="auto"/>
          <w:sz w:val="44"/>
          <w:szCs w:val="44"/>
          <w:highlight w:val="none"/>
        </w:rPr>
        <w:t>通用合同条款</w:t>
      </w:r>
      <w:bookmarkEnd w:id="13"/>
      <w:bookmarkEnd w:id="14"/>
      <w:bookmarkStart w:id="15" w:name="_Toc337558727"/>
    </w:p>
    <w:p>
      <w:pPr>
        <w:tabs>
          <w:tab w:val="left" w:pos="4410"/>
        </w:tabs>
        <w:spacing w:line="360" w:lineRule="auto"/>
        <w:ind w:firstLine="480" w:firstLineChars="200"/>
        <w:rPr>
          <w:rFonts w:hint="eastAsia" w:ascii="宋体" w:hAnsi="宋体" w:eastAsia="宋体" w:cs="宋体"/>
          <w:color w:val="auto"/>
          <w:sz w:val="30"/>
          <w:szCs w:val="30"/>
          <w:highlight w:val="none"/>
        </w:rPr>
      </w:pPr>
      <w:r>
        <w:rPr>
          <w:rFonts w:hint="eastAsia" w:ascii="宋体" w:hAnsi="宋体" w:eastAsia="宋体" w:cs="宋体"/>
          <w:color w:val="auto"/>
          <w:sz w:val="24"/>
          <w:szCs w:val="24"/>
          <w:highlight w:val="none"/>
        </w:rPr>
        <w:t>（本部分内容同住房城乡建设部、工商总局印发的《建设工程施工合同示范文本（GF-2017-0201）》中通用合同条款一致，在此略，如与本合同协议书及专用条款矛盾，则以协议书及专用条款为准）</w:t>
      </w:r>
    </w:p>
    <w:bookmarkEnd w:id="15"/>
    <w:p>
      <w:pPr>
        <w:pStyle w:val="3"/>
        <w:jc w:val="center"/>
        <w:rPr>
          <w:rFonts w:hint="eastAsia" w:ascii="宋体" w:hAnsi="宋体" w:eastAsia="宋体" w:cs="宋体"/>
          <w:color w:val="auto"/>
          <w:sz w:val="44"/>
          <w:szCs w:val="44"/>
          <w:highlight w:val="none"/>
        </w:rPr>
      </w:pPr>
      <w:bookmarkStart w:id="16" w:name="_Toc351203632"/>
      <w:r>
        <w:rPr>
          <w:rFonts w:hint="eastAsia" w:ascii="宋体" w:hAnsi="宋体" w:eastAsia="宋体" w:cs="宋体"/>
          <w:color w:val="auto"/>
          <w:sz w:val="44"/>
          <w:szCs w:val="44"/>
          <w:highlight w:val="none"/>
        </w:rPr>
        <w:br w:type="page"/>
      </w:r>
      <w:bookmarkStart w:id="17" w:name="_Toc17646"/>
      <w:r>
        <w:rPr>
          <w:rFonts w:hint="eastAsia" w:ascii="宋体" w:hAnsi="宋体" w:eastAsia="宋体" w:cs="宋体"/>
          <w:color w:val="auto"/>
          <w:sz w:val="44"/>
          <w:szCs w:val="44"/>
          <w:highlight w:val="none"/>
        </w:rPr>
        <w:t>第三部分 专用合同条款</w:t>
      </w:r>
      <w:bookmarkEnd w:id="16"/>
      <w:bookmarkEnd w:id="17"/>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bookmarkStart w:id="18" w:name="_Toc351203633"/>
      <w:r>
        <w:rPr>
          <w:rFonts w:hint="eastAsia" w:ascii="宋体" w:hAnsi="宋体" w:eastAsia="宋体" w:cs="宋体"/>
          <w:b w:val="0"/>
          <w:color w:val="auto"/>
          <w:sz w:val="24"/>
          <w:szCs w:val="24"/>
          <w:highlight w:val="none"/>
        </w:rPr>
        <w:t>1. 一般约定</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19" w:name="_Toc21305"/>
      <w:bookmarkStart w:id="20" w:name="_Toc7664"/>
      <w:bookmarkStart w:id="21" w:name="_Toc30784"/>
      <w:r>
        <w:rPr>
          <w:rFonts w:hint="eastAsia" w:ascii="宋体" w:hAnsi="宋体" w:eastAsia="宋体" w:cs="宋体"/>
          <w:color w:val="auto"/>
          <w:sz w:val="24"/>
          <w:szCs w:val="24"/>
          <w:highlight w:val="none"/>
        </w:rPr>
        <w:t>1.1 词语定义</w:t>
      </w:r>
      <w:bookmarkEnd w:id="19"/>
      <w:bookmarkEnd w:id="20"/>
      <w:bookmarkEnd w:id="21"/>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 xml:space="preserve">住房城乡建设部、工商总局印发的《建设工程施工合同示范文本（GF-2017-0201）》。    </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    主（如有）：</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监理人（如有）：</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2" w:name="_Toc29555"/>
      <w:bookmarkStart w:id="23" w:name="_Toc29767"/>
      <w:bookmarkStart w:id="24" w:name="_Toc20099"/>
      <w:r>
        <w:rPr>
          <w:rFonts w:hint="eastAsia" w:ascii="宋体" w:hAnsi="宋体" w:eastAsia="宋体" w:cs="宋体"/>
          <w:color w:val="auto"/>
          <w:sz w:val="24"/>
          <w:szCs w:val="24"/>
          <w:highlight w:val="none"/>
        </w:rPr>
        <w:t>1.2 联络</w:t>
      </w:r>
      <w:bookmarkEnd w:id="22"/>
      <w:bookmarkEnd w:id="23"/>
      <w:bookmarkEnd w:id="24"/>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1.2.1承包人应当在</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1.2.1.1双方确认以1.2.2条作为送达地址与受送达人，送达适用范围包括但不限于各类告知书、通知书、工作联系单、协议文件、诉讼或仲裁文书，送达主体可以是合同各方、人民法院、仲裁委员会及各行政机关。                      </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1.2.1.2送达主体按照以下送达地址进行送达，视为有效送达；采用邮寄送达的，以文书签收之日或退回之日视为送达之日；直接送达的，送达人当场在送达回证上记明情况之日视为送达之日。</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1.2.1.3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发包人接收文件的地点：</w:t>
      </w:r>
      <w:r>
        <w:rPr>
          <w:rFonts w:hint="eastAsia" w:ascii="宋体" w:hAnsi="宋体" w:eastAsia="宋体" w:cs="宋体"/>
          <w:color w:val="auto"/>
          <w:sz w:val="24"/>
          <w:szCs w:val="24"/>
          <w:highlight w:val="none"/>
          <w:u w:val="single"/>
        </w:rPr>
        <w:t>  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      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5" w:name="_Toc17944"/>
      <w:bookmarkStart w:id="26" w:name="_Toc19236"/>
      <w:bookmarkStart w:id="27" w:name="_Toc31794"/>
      <w:r>
        <w:rPr>
          <w:rFonts w:hint="eastAsia" w:ascii="宋体" w:hAnsi="宋体" w:eastAsia="宋体" w:cs="宋体"/>
          <w:color w:val="auto"/>
          <w:sz w:val="24"/>
          <w:szCs w:val="24"/>
          <w:highlight w:val="none"/>
        </w:rPr>
        <w:t>1.3 交通运输</w:t>
      </w:r>
      <w:bookmarkEnd w:id="25"/>
      <w:bookmarkEnd w:id="26"/>
      <w:bookmarkEnd w:id="27"/>
      <w:r>
        <w:rPr>
          <w:rFonts w:hint="eastAsia" w:ascii="宋体" w:hAnsi="宋体" w:eastAsia="宋体" w:cs="宋体"/>
          <w:color w:val="auto"/>
          <w:sz w:val="24"/>
          <w:szCs w:val="24"/>
          <w:highlight w:val="none"/>
        </w:rPr>
        <w:t xml:space="preserve">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1.3.1超大件和超重件的运输</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8" w:name="_Toc22110"/>
      <w:bookmarkStart w:id="29" w:name="_Toc16223"/>
      <w:bookmarkStart w:id="30" w:name="_Toc3553"/>
      <w:r>
        <w:rPr>
          <w:rFonts w:hint="eastAsia" w:ascii="宋体" w:hAnsi="宋体" w:eastAsia="宋体" w:cs="宋体"/>
          <w:color w:val="auto"/>
          <w:sz w:val="24"/>
          <w:szCs w:val="24"/>
          <w:highlight w:val="none"/>
        </w:rPr>
        <w:t>1.4 知识产权</w:t>
      </w:r>
      <w:bookmarkEnd w:id="28"/>
      <w:bookmarkEnd w:id="29"/>
      <w:bookmarkEnd w:id="30"/>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outlineLvl w:val="0"/>
        <w:rPr>
          <w:rFonts w:hint="eastAsia" w:ascii="宋体" w:hAnsi="宋体" w:eastAsia="宋体" w:cs="宋体"/>
          <w:color w:val="auto"/>
          <w:kern w:val="0"/>
          <w:sz w:val="24"/>
          <w:szCs w:val="24"/>
          <w:highlight w:val="none"/>
        </w:rPr>
      </w:pPr>
      <w:bookmarkStart w:id="31" w:name="_Toc32682"/>
      <w:bookmarkStart w:id="32" w:name="_Toc20332"/>
      <w:bookmarkStart w:id="33" w:name="_Toc64"/>
      <w:r>
        <w:rPr>
          <w:rFonts w:hint="eastAsia" w:ascii="宋体" w:hAnsi="宋体" w:eastAsia="宋体" w:cs="宋体"/>
          <w:color w:val="auto"/>
          <w:sz w:val="24"/>
          <w:szCs w:val="24"/>
          <w:highlight w:val="none"/>
        </w:rPr>
        <w:t>1.4.2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bookmarkEnd w:id="31"/>
      <w:bookmarkEnd w:id="32"/>
      <w:bookmarkEnd w:id="33"/>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1.5工程量清单错误的修正</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出现工程量清单错误时，经双方协商一致可以调整合同价格，协商不一致，合同价格不变更。</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4" w:name="_Toc28375"/>
      <w:bookmarkStart w:id="35" w:name="_Toc30715"/>
      <w:bookmarkStart w:id="36" w:name="_Toc5592"/>
      <w:r>
        <w:rPr>
          <w:rFonts w:hint="eastAsia" w:ascii="宋体" w:hAnsi="宋体" w:eastAsia="宋体" w:cs="宋体"/>
          <w:color w:val="auto"/>
          <w:sz w:val="24"/>
          <w:szCs w:val="24"/>
          <w:highlight w:val="none"/>
        </w:rPr>
        <w:t>2.1 发包人现场代表</w:t>
      </w:r>
      <w:bookmarkEnd w:id="34"/>
      <w:bookmarkEnd w:id="35"/>
      <w:bookmarkEnd w:id="36"/>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left="638" w:leftChars="3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（2）承包人应履行的其他义务：</w:t>
      </w:r>
      <w:r>
        <w:rPr>
          <w:rFonts w:hint="eastAsia" w:ascii="宋体" w:hAnsi="宋体" w:eastAsia="宋体" w:cs="宋体"/>
          <w:color w:val="auto"/>
          <w:sz w:val="24"/>
          <w:szCs w:val="24"/>
          <w:highlight w:val="none"/>
          <w:u w:val="single"/>
        </w:rPr>
        <w:t>服从业主、监理人（如有）、发包人的管理要求及整改要求，及时报告施工进展及情况</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项目经理及技术负责人</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3.2.1 </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（由承包人填写，应当要求其全面填写）或详见附件项目经理任命书</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关于项目经理、技术负责人每月在施工现场的时间要求：</w:t>
      </w:r>
      <w:r>
        <w:rPr>
          <w:rFonts w:hint="eastAsia" w:ascii="宋体" w:hAnsi="宋体" w:eastAsia="宋体" w:cs="宋体"/>
          <w:color w:val="auto"/>
          <w:sz w:val="24"/>
          <w:szCs w:val="24"/>
          <w:highlight w:val="none"/>
          <w:u w:val="single"/>
        </w:rPr>
        <w:t>项目经理、技术负责人要求每月全勤/每月至少应当在施工现场考勤（28）天</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承包人未提交项目经理或技术负责人劳动合同，以及没有为项目经理或技术负责人缴纳社会保险证明的违约责任：</w:t>
      </w:r>
      <w:r>
        <w:rPr>
          <w:rFonts w:hint="eastAsia" w:ascii="宋体" w:hAnsi="宋体" w:eastAsia="宋体" w:cs="宋体"/>
          <w:color w:val="auto"/>
          <w:sz w:val="24"/>
          <w:szCs w:val="24"/>
          <w:highlight w:val="none"/>
          <w:u w:val="single"/>
        </w:rPr>
        <w:t>应在发包人要求时间内补足相关证明，若经提醒仍未整改，承包人应赔偿发包人20000元/人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项目经理或技术负责人未经批准，擅自离开施工现场的违约责任：</w:t>
      </w:r>
      <w:r>
        <w:rPr>
          <w:rFonts w:hint="eastAsia" w:ascii="宋体" w:hAnsi="宋体" w:eastAsia="宋体" w:cs="宋体"/>
          <w:color w:val="auto"/>
          <w:sz w:val="24"/>
          <w:szCs w:val="24"/>
          <w:highlight w:val="none"/>
          <w:u w:val="single"/>
        </w:rPr>
        <w:t>若经提醒仍未整改，承包人应赔偿发包人20000元/人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承包人擅自更换项目经理或技术负责人的违约责任：</w:t>
      </w:r>
      <w:r>
        <w:rPr>
          <w:rFonts w:hint="eastAsia" w:ascii="宋体" w:hAnsi="宋体" w:eastAsia="宋体" w:cs="宋体"/>
          <w:color w:val="auto"/>
          <w:sz w:val="24"/>
          <w:szCs w:val="24"/>
          <w:highlight w:val="none"/>
          <w:u w:val="single"/>
        </w:rPr>
        <w:t>若经提醒仍未整改，承包人应赔偿发包人50000元/人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7" w:name="_Toc24077"/>
      <w:bookmarkStart w:id="38" w:name="_Toc22379"/>
      <w:bookmarkStart w:id="39" w:name="_Toc31695"/>
      <w:r>
        <w:rPr>
          <w:rFonts w:hint="eastAsia" w:ascii="宋体" w:hAnsi="宋体" w:eastAsia="宋体" w:cs="宋体"/>
          <w:color w:val="auto"/>
          <w:sz w:val="24"/>
          <w:szCs w:val="24"/>
          <w:highlight w:val="none"/>
        </w:rPr>
        <w:t>3.2.4 承包人无正当理由拒绝更换项目经理或技术负责人的违约责任：</w:t>
      </w:r>
      <w:r>
        <w:rPr>
          <w:rFonts w:hint="eastAsia" w:ascii="宋体" w:hAnsi="宋体" w:eastAsia="宋体" w:cs="宋体"/>
          <w:color w:val="auto"/>
          <w:sz w:val="24"/>
          <w:szCs w:val="24"/>
          <w:highlight w:val="none"/>
          <w:u w:val="single"/>
        </w:rPr>
        <w:t>若经提醒仍未整改，承包人应赔偿发包人50000元/人</w:t>
      </w:r>
      <w:r>
        <w:rPr>
          <w:rFonts w:hint="eastAsia" w:ascii="宋体" w:hAnsi="宋体" w:eastAsia="宋体" w:cs="宋体"/>
          <w:color w:val="auto"/>
          <w:sz w:val="24"/>
          <w:szCs w:val="24"/>
          <w:highlight w:val="none"/>
        </w:rPr>
        <w:t>。</w:t>
      </w:r>
      <w:bookmarkEnd w:id="37"/>
      <w:bookmarkEnd w:id="38"/>
      <w:bookmarkEnd w:id="39"/>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发包人提出要求后10天内提交相应报告。</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承包人无正当理由拒绝撤换主要施工管理人员的违约责任：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3.3.3 承包人主要施工管理人员离开施工现场的批准要求：   </w:t>
      </w:r>
      <w:r>
        <w:rPr>
          <w:rFonts w:hint="eastAsia" w:ascii="宋体" w:hAnsi="宋体" w:eastAsia="宋体" w:cs="宋体"/>
          <w:color w:val="auto"/>
          <w:sz w:val="24"/>
          <w:szCs w:val="24"/>
          <w:highlight w:val="none"/>
          <w:u w:val="single"/>
        </w:rPr>
        <w:t>向发包人书面提交申请并经批准</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3.3.4承包人擅自更换主要施工管理人员的违约责任：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3.3.5承包人主要施工管理人员擅自离开施工现场的违约责任：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3.3.5承包人未按照投标文件写明的要求提供劳务班组及劳务人员、施工机具的违约责任：给予5天整改期，整改期过拒不整改的，罚款5000元每人每天，10000元每一个机械每天。</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工程照管与成品、半成品保护</w:t>
      </w:r>
    </w:p>
    <w:p>
      <w:pPr>
        <w:adjustRightInd w:val="0"/>
        <w:snapToGrid w:val="0"/>
        <w:spacing w:before="0" w:beforeLines="0" w:after="0" w:afterLines="0"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入场后至竣工验收完毕退场</w:t>
      </w:r>
      <w:r>
        <w:rPr>
          <w:rFonts w:hint="eastAsia" w:ascii="宋体" w:hAnsi="宋体" w:eastAsia="宋体" w:cs="宋体"/>
          <w:color w:val="auto"/>
          <w:kern w:val="0"/>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履约担保</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履约担保的方式：现金或银行保函或现金+银行保函的组合；采用银行保函形式的，保函必须为不可撤销且见索即付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履约担保的金额：中标合同金额的10%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履约担保的期限：(起止时间)，若期限不满足甲方需求，承包人应于履约担保到期前续期</w:t>
      </w:r>
      <w:r>
        <w:rPr>
          <w:rFonts w:hint="eastAsia" w:ascii="宋体" w:hAnsi="宋体" w:eastAsia="宋体" w:cs="宋体"/>
          <w:color w:val="auto"/>
          <w:sz w:val="24"/>
          <w:szCs w:val="24"/>
          <w:highlight w:val="none"/>
          <w:lang w:val="en-US" w:eastAsia="zh-CN"/>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履约担保的退还时间：履约保证金在期限届满后30日内无息退还，保函在期限届满后方可解除。</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工程质量</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40" w:name="_Toc2993"/>
      <w:bookmarkStart w:id="41" w:name="_Toc1878"/>
      <w:bookmarkStart w:id="42" w:name="_Toc8297"/>
      <w:r>
        <w:rPr>
          <w:rFonts w:hint="eastAsia" w:ascii="宋体" w:hAnsi="宋体" w:eastAsia="宋体" w:cs="宋体"/>
          <w:color w:val="auto"/>
          <w:sz w:val="24"/>
          <w:szCs w:val="24"/>
          <w:highlight w:val="none"/>
        </w:rPr>
        <w:t>4.1 质量要求</w:t>
      </w:r>
      <w:bookmarkEnd w:id="40"/>
      <w:bookmarkEnd w:id="41"/>
      <w:bookmarkEnd w:id="42"/>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特殊质量标准和要求：</w:t>
      </w:r>
      <w:r>
        <w:rPr>
          <w:rFonts w:hint="eastAsia" w:ascii="宋体" w:hAnsi="宋体" w:eastAsia="宋体" w:cs="宋体"/>
          <w:color w:val="auto"/>
          <w:sz w:val="24"/>
          <w:szCs w:val="24"/>
          <w:highlight w:val="none"/>
          <w:u w:val="single"/>
        </w:rPr>
        <w:t>有，合格，年度一次性抽检合格率不低于97%</w:t>
      </w:r>
      <w:r>
        <w:rPr>
          <w:rFonts w:hint="eastAsia" w:ascii="宋体" w:hAnsi="宋体" w:cs="宋体"/>
          <w:color w:val="auto"/>
          <w:sz w:val="24"/>
          <w:szCs w:val="24"/>
          <w:highlight w:val="none"/>
          <w:u w:val="single"/>
          <w:lang w:eastAsia="zh-CN"/>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43" w:name="_Toc7506"/>
      <w:bookmarkStart w:id="44" w:name="_Toc18347"/>
      <w:bookmarkStart w:id="45" w:name="_Toc9869"/>
      <w:r>
        <w:rPr>
          <w:rFonts w:hint="eastAsia" w:ascii="宋体" w:hAnsi="宋体" w:eastAsia="宋体" w:cs="宋体"/>
          <w:color w:val="auto"/>
          <w:sz w:val="24"/>
          <w:szCs w:val="24"/>
          <w:highlight w:val="none"/>
        </w:rPr>
        <w:t>4.2 隐蔽工程检查</w:t>
      </w:r>
      <w:bookmarkEnd w:id="43"/>
      <w:bookmarkEnd w:id="44"/>
      <w:bookmarkEnd w:id="45"/>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承包人应提前</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天通知发包人现场代表或监理人进行隐蔽工程检查。</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安全文明施工与环境保护</w:t>
      </w:r>
    </w:p>
    <w:p>
      <w:pPr>
        <w:pStyle w:val="5"/>
        <w:adjustRightInd w:val="0"/>
        <w:snapToGrid w:val="0"/>
        <w:spacing w:before="0" w:beforeAutospacing="0" w:after="0" w:after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5.1安全文明施工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项目安全生产的达标目标及相应事项的约定：</w:t>
      </w:r>
      <w:r>
        <w:rPr>
          <w:rFonts w:hint="eastAsia" w:ascii="宋体" w:hAnsi="宋体" w:eastAsia="宋体" w:cs="宋体"/>
          <w:color w:val="auto"/>
          <w:sz w:val="24"/>
          <w:szCs w:val="24"/>
          <w:highlight w:val="none"/>
          <w:u w:val="single"/>
        </w:rPr>
        <w:t>不发生较大及以上安全生产责任事故，项目责任事故死亡指标为0</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关于安全文明施工费支付比例和支付期限的约定：（2）甲方收到业主的预付款后，工程开工一个月内向乙方支付至少50%安全生产费用。安全生产费按实结算，工程竣工结算后结余的安全生产费用，应当退回甲方。</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5.1.3安全文明施工费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5.1.4 事故处理</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过程中发生事故的，承包人应立即通知发包人和监理人（如有）。承包人应立即组织人员和设备进行紧急抢救和抢修，减少人员伤亡和财产损失，防止事故扩大，并保护事故现场。需要移动现场物品时，应作出标记和书面记录，妥善保管有关证据。承包人应及时如实地向发包人报告事故发生的情况，以及正在采取的紧急措施等。</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工期和进度</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施工组织设计</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6.1.1 </w:t>
      </w:r>
      <w:r>
        <w:rPr>
          <w:rFonts w:hint="eastAsia" w:ascii="宋体" w:hAnsi="宋体" w:eastAsia="宋体" w:cs="宋体"/>
          <w:color w:val="auto"/>
          <w:kern w:val="0"/>
          <w:sz w:val="24"/>
          <w:szCs w:val="24"/>
          <w:highlight w:val="none"/>
        </w:rPr>
        <w:t>施工组织设计的提交和修改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发包人提出要求后的15日内完成</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业主、发包人、监理人在收到详细的施工组织设计后提出修改意见的，承包人应当在</w:t>
      </w: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rPr>
        <w:t>日内修改。</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开工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开工准备</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发包人提出要求后的7日内完成</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有，根据施工现场要求确定（填写具体工作），期限：发包人提出相关要求后的7日内完成</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工期延误</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因承包人原因导致工期延误</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color w:val="auto"/>
          <w:sz w:val="24"/>
          <w:szCs w:val="24"/>
          <w:highlight w:val="none"/>
          <w:u w:val="single"/>
        </w:rPr>
        <w:t>逾期总天数*合同总金额/约定工期</w:t>
      </w:r>
      <w:r>
        <w:rPr>
          <w:rFonts w:hint="eastAsia" w:ascii="宋体" w:hAnsi="宋体" w:eastAsia="宋体" w:cs="宋体"/>
          <w:color w:val="auto"/>
          <w:sz w:val="24"/>
          <w:szCs w:val="24"/>
          <w:highlight w:val="none"/>
        </w:rPr>
        <w:t>。</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 材料与设备</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7.1材料与工程设备的保管与使用</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7.1.1发包人供应的材料设备的保管费用由承包人承担。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46" w:name="_Toc19553"/>
      <w:bookmarkStart w:id="47" w:name="_Toc10881"/>
      <w:bookmarkStart w:id="48" w:name="_Toc29931"/>
      <w:r>
        <w:rPr>
          <w:rFonts w:hint="eastAsia" w:ascii="宋体" w:hAnsi="宋体" w:eastAsia="宋体" w:cs="宋体"/>
          <w:color w:val="auto"/>
          <w:sz w:val="24"/>
          <w:szCs w:val="24"/>
          <w:highlight w:val="none"/>
        </w:rPr>
        <w:t>7.2 施工设备和临时设施</w:t>
      </w:r>
      <w:bookmarkEnd w:id="46"/>
      <w:bookmarkEnd w:id="47"/>
      <w:bookmarkEnd w:id="48"/>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修建临时设施费用由承包人承担。</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 试验与检验（如需）</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8.1试验设备与试验人员</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 试验设备</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施工现场需要配置的试验场所及试验设备由承包人负责，试验人员安全由承包人负责。</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9. 变更</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49" w:name="_Toc20003"/>
      <w:bookmarkStart w:id="50" w:name="_Toc25039"/>
      <w:bookmarkStart w:id="51" w:name="_Toc5230"/>
      <w:r>
        <w:rPr>
          <w:rFonts w:hint="eastAsia" w:ascii="宋体" w:hAnsi="宋体" w:eastAsia="宋体" w:cs="宋体"/>
          <w:color w:val="auto"/>
          <w:sz w:val="24"/>
          <w:szCs w:val="24"/>
          <w:highlight w:val="none"/>
        </w:rPr>
        <w:t>9.1 暂估价</w:t>
      </w:r>
      <w:bookmarkEnd w:id="49"/>
      <w:bookmarkEnd w:id="50"/>
      <w:bookmarkEnd w:id="51"/>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暂估价材料和工程设备的明细详见附件12：《</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10. 价格调整</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市场价格波动引起的调整</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无（包干）</w:t>
      </w:r>
      <w:r>
        <w:rPr>
          <w:rFonts w:hint="eastAsia" w:ascii="宋体" w:hAnsi="宋体" w:eastAsia="宋体" w:cs="宋体"/>
          <w:color w:val="auto"/>
          <w:sz w:val="24"/>
          <w:szCs w:val="24"/>
          <w:highlight w:val="none"/>
        </w:rPr>
        <w:t>。</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 合同价格、计量与支付</w:t>
      </w:r>
    </w:p>
    <w:p>
      <w:pPr>
        <w:adjustRightInd w:val="0"/>
        <w:snapToGrid w:val="0"/>
        <w:spacing w:beforeLines="0" w:after="0" w:afterLines="0" w:line="360" w:lineRule="auto"/>
        <w:ind w:firstLine="480" w:firstLineChars="200"/>
        <w:rPr>
          <w:rStyle w:val="11"/>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本合同价款采用</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方式确定。</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风险费用的计算方法：以上风险费用已在投标报价时考虑，除合同中另有约定外不再另行计取。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风险范围以外合同价款调整方法：</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①工程量确定原则：分部分项工程量由项目经理与承包人进行现场计量确认，并如实填报计量资料。</w:t>
      </w:r>
    </w:p>
    <w:p>
      <w:pPr>
        <w:numPr>
          <w:ilvl w:val="0"/>
          <w:numId w:val="0"/>
        </w:num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单价的确定原则：投标书中有相同子目的，按相同子目的价格调整；有相似子目的，按相似子目换算后的价格调整（相似子目由甲方认定）；原投标书无相同或相似子目时，根据项目性质，本项目选择以下（A/B）计价原则并结合市场行情计算。（A/B计价原则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计价原则：35kv以下的架空线路、高压变配电工程、房屋装饰工程以及钢结构工程等执行《重庆市建设工程清单计价规则》（GQJJGZ-2013）、《重庆市房屋建筑与装饰工程计价定额》（2018）、《重庆市市政工程计价定额》（2018）、《重庆市通用安装工程计价定额》（2018）、《重庆市建设工程费用定额》（2018）、《重庆市房屋修缮工程计价定额》2018年。</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人工单价：按合同签订当月重庆市建设工程造价管理总站发布《重庆工程造价信息》的人工信息价计算。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材料价：按合同签订当月《重庆工程造价信息》中的材料价格进行计算，如遇信息价中没有的价格，由发包人核定。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安全文明施工费：按计价原则据实结算。</w:t>
      </w:r>
    </w:p>
    <w:p>
      <w:pPr>
        <w:adjustRightInd w:val="0"/>
        <w:snapToGrid w:val="0"/>
        <w:spacing w:beforeLines="0" w:afterLines="0"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措施费：包干计取（按实结算）。   （根据项目情况二选一）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计价原则：高速公路机电工程执行《重庆市公路工程量清单及计量规范》（2016）、交通部2019年5月1日实施的《公路工程基本建项目概算预算编制方法》（JTG3830-2018）、《公路工程预算定额》（JTG/T3831-2018）、《公路工程机械台班费用定额》（JTG/T3833-2018）、重庆市交通委员会关于执行交通部《公路工程基本建设项目概算预算编制方法》（JTG3830-2018）的通知（渝交委路[2019]29号文）及相关配套文件。</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人工单价：按《重庆市交通局关于发布重庆市公路工程补充性造价依据（2019-1）的通知》（渝交路[2019]29号）文件规定，人工费按101元/工日计算；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材料价：按合同签订当月《重庆交通工程材料造价信息》中的材料价格进行计算，没有的参照当月《重庆工程造价信息》计算，如遇信息价中没有的价格，由发包人核定；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安全生产费按实结算。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费：包干计取（按实结算）。（根据项目情况二选一）如有交通组织措施费发生，实施单位需提供交通组织措施相关资料，如锥标摆放长度、次数、交通管制方式（占道/封道），现场负责人签字确认、交通组织现场照片等。</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③在合同实施工程中，当单项工程量变化时，应先按《首讯公司工程变更及计量支付管理细则》规定进行合同变更流程或签订补充合同后据实结算。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④在借用相似清单（主要为材料的规格、型号等发生变化），发包人认为相似清单综合单价存在明显不合理报价时，发包人有权对新增清单项综合单价进行重新审核，审核办法按照第2）条执行。</w:t>
      </w:r>
    </w:p>
    <w:p>
      <w:pPr>
        <w:pStyle w:val="4"/>
        <w:numPr>
          <w:ilvl w:val="0"/>
          <w:numId w:val="0"/>
        </w:numPr>
        <w:adjustRightInd w:val="0"/>
        <w:snapToGrid w:val="0"/>
        <w:spacing w:before="0" w:beforeAutospacing="0" w:after="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备注：外省项目根据当地相关文件进行调整。</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预付款</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工程进度款支付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承包人提交专项安全防护措施及施工方案后，经业主、监理人（如有）、发包人批准通过，按以下方式支付乙方的对应款项：</w:t>
      </w:r>
    </w:p>
    <w:p>
      <w:pPr>
        <w:numPr>
          <w:ilvl w:val="-1"/>
          <w:numId w:val="0"/>
        </w:num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（1）按月支付，每月支付上月完成合格工程量的</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lang w:val="en-US" w:eastAsia="zh-CN"/>
        </w:rPr>
        <w:t>%，项目通电并结算后支付至结算金额的97%，剩余3%稳定运行1年后，施工方提出支付申请后1个月内支付。</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安全生产费：甲方收到业主的预付款后，工程开工一个月内向乙方支付至少50%</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lang w:eastAsia="zh-CN"/>
        </w:rPr>
        <w:t>安全生产费用。安全生产费按实结算，工程竣工结算后结余的安全生产费用，应当退回甲方。</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农民工工资的支付</w:t>
      </w:r>
    </w:p>
    <w:p>
      <w:pPr>
        <w:pStyle w:val="2"/>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000000"/>
          <w:sz w:val="24"/>
          <w:szCs w:val="24"/>
          <w:highlight w:val="none"/>
          <w:lang w:bidi="ar-SA"/>
        </w:rPr>
        <w:t>农民工</w:t>
      </w:r>
      <w:r>
        <w:rPr>
          <w:rFonts w:hint="eastAsia" w:ascii="宋体" w:hAnsi="宋体" w:eastAsia="宋体" w:cs="宋体"/>
          <w:color w:val="auto"/>
          <w:sz w:val="24"/>
          <w:szCs w:val="24"/>
          <w:highlight w:val="none"/>
          <w:lang w:bidi="ar-SA"/>
        </w:rPr>
        <w:t>工资由发包人代为支付，发包人支付的农民工工资从承包人的进度款中扣除。</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 验收和工程调试</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交（竣）工验收</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12.1.1移交、接收全部与部分工程</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交（竣）工验收后14日内</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每逾期一日，支付合同总价款1%的违约金，逾期交工违约金限额：合同金额的30%。</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工程调试</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12.2.1 调试程序</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工程调试内容：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调试费用由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kern w:val="0"/>
          <w:sz w:val="24"/>
          <w:szCs w:val="24"/>
          <w:highlight w:val="none"/>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52" w:name="_Toc372"/>
      <w:bookmarkStart w:id="53" w:name="_Toc23338"/>
      <w:bookmarkStart w:id="54" w:name="_Toc6341"/>
      <w:r>
        <w:rPr>
          <w:rFonts w:hint="eastAsia" w:ascii="宋体" w:hAnsi="宋体" w:eastAsia="宋体" w:cs="宋体"/>
          <w:color w:val="auto"/>
          <w:sz w:val="24"/>
          <w:szCs w:val="24"/>
          <w:highlight w:val="none"/>
        </w:rPr>
        <w:t>12.4 竣工退场</w:t>
      </w:r>
      <w:bookmarkEnd w:id="52"/>
      <w:bookmarkEnd w:id="53"/>
      <w:bookmarkEnd w:id="54"/>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12.4.1 竣工退场</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 竣工结算</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竣工结算申请</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竣工验收后14日内</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13.2缺陷责任期</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 缺陷责任</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工程缺陷责任期为2年</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修复通知</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承包人收到通知应在10日内到达工程现场进行修复。</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13.3质量保修期</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保修责任</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质量保修期为5年</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保修通知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承包人收到通知应在10日内到达工程现场进行维修。</w:t>
      </w:r>
    </w:p>
    <w:p>
      <w:pPr>
        <w:pStyle w:val="4"/>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 违约</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55" w:name="_Toc10321"/>
      <w:bookmarkStart w:id="56" w:name="_Toc3740"/>
      <w:bookmarkStart w:id="57" w:name="_Toc18116"/>
      <w:r>
        <w:rPr>
          <w:rFonts w:hint="eastAsia" w:ascii="宋体" w:hAnsi="宋体" w:eastAsia="宋体" w:cs="宋体"/>
          <w:color w:val="auto"/>
          <w:sz w:val="24"/>
          <w:szCs w:val="24"/>
          <w:highlight w:val="none"/>
        </w:rPr>
        <w:t>14.1 发包人违约</w:t>
      </w:r>
      <w:bookmarkEnd w:id="55"/>
      <w:bookmarkEnd w:id="56"/>
      <w:bookmarkEnd w:id="57"/>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14.1.1发包人违约的情形</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58" w:name="_Toc24004"/>
      <w:bookmarkStart w:id="59" w:name="_Toc19923"/>
      <w:bookmarkStart w:id="60" w:name="_Toc17528"/>
      <w:r>
        <w:rPr>
          <w:rFonts w:hint="eastAsia" w:ascii="宋体" w:hAnsi="宋体" w:eastAsia="宋体" w:cs="宋体"/>
          <w:color w:val="auto"/>
          <w:kern w:val="0"/>
          <w:sz w:val="24"/>
          <w:szCs w:val="24"/>
          <w:highlight w:val="none"/>
        </w:rPr>
        <w:t>在承包人按约定履行所有相应义务后仍不支付合同款项。</w:t>
      </w:r>
      <w:bookmarkEnd w:id="58"/>
      <w:bookmarkEnd w:id="59"/>
      <w:bookmarkEnd w:id="60"/>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61" w:name="_Toc24609"/>
      <w:bookmarkStart w:id="62" w:name="_Toc19594"/>
      <w:bookmarkStart w:id="63" w:name="_Toc29309"/>
      <w:r>
        <w:rPr>
          <w:rFonts w:hint="eastAsia" w:ascii="宋体" w:hAnsi="宋体" w:eastAsia="宋体" w:cs="宋体"/>
          <w:color w:val="auto"/>
          <w:sz w:val="24"/>
          <w:szCs w:val="24"/>
          <w:highlight w:val="none"/>
        </w:rPr>
        <w:t>14.2 承包人违约</w:t>
      </w:r>
      <w:bookmarkEnd w:id="61"/>
      <w:bookmarkEnd w:id="62"/>
      <w:bookmarkEnd w:id="63"/>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14.2.1 承包人违约的情形</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不服从业主、监理人（如有）、发包人的管理，不履行合同约定的义务。</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14.2.2承包人违约的责任</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w:t>
      </w:r>
      <w:r>
        <w:rPr>
          <w:rFonts w:hint="eastAsia" w:ascii="宋体" w:hAnsi="宋体" w:eastAsia="宋体" w:cs="宋体"/>
          <w:color w:val="auto"/>
          <w:kern w:val="0"/>
          <w:sz w:val="24"/>
          <w:szCs w:val="24"/>
          <w:highlight w:val="none"/>
          <w:u w:val="single"/>
        </w:rPr>
        <w:t>承包人应在收到发包人提出的支付违约金通知后14日内将相应违约金付至发包人指定账户。</w:t>
      </w:r>
    </w:p>
    <w:p>
      <w:pPr>
        <w:keepNext/>
        <w:keepLines/>
        <w:wordWrap w:val="0"/>
        <w:spacing w:beforeLines="0" w:afterLines="0"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15. 争议解决</w:t>
      </w:r>
    </w:p>
    <w:p>
      <w:pPr>
        <w:keepNext/>
        <w:keepLines/>
        <w:wordWrap w:val="0"/>
        <w:adjustRightInd w:val="0"/>
        <w:snapToGrid w:val="0"/>
        <w:spacing w:beforeLines="0" w:after="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因合同及合同有关事项发生的争议，双方应当先进行协商，协商不成按下列第</w:t>
      </w:r>
      <w:r>
        <w:rPr>
          <w:rFonts w:hint="eastAsia" w:ascii="宋体" w:hAnsi="宋体" w:eastAsia="宋体" w:cs="宋体"/>
          <w:color w:val="auto"/>
          <w:kern w:val="0"/>
          <w:sz w:val="24"/>
          <w:szCs w:val="24"/>
          <w:highlight w:val="none"/>
          <w:u w:val="none"/>
        </w:rPr>
        <w:t xml:space="preserve">   (1)  </w:t>
      </w:r>
      <w:r>
        <w:rPr>
          <w:rFonts w:hint="eastAsia" w:ascii="宋体" w:hAnsi="宋体" w:eastAsia="宋体" w:cs="宋体"/>
          <w:color w:val="auto"/>
          <w:sz w:val="24"/>
          <w:szCs w:val="24"/>
          <w:highlight w:val="none"/>
        </w:rPr>
        <w:t>种方式解决：</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重庆</w:t>
      </w:r>
      <w:r>
        <w:rPr>
          <w:rFonts w:hint="eastAsia" w:ascii="宋体" w:hAnsi="宋体" w:eastAsia="宋体" w:cs="宋体"/>
          <w:color w:val="auto"/>
          <w:sz w:val="24"/>
          <w:szCs w:val="24"/>
          <w:highlight w:val="none"/>
        </w:rPr>
        <w:t>仲裁委员会申请仲裁；</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rPr>
        <w:t>人民法</w:t>
      </w:r>
      <w:r>
        <w:rPr>
          <w:rFonts w:hint="eastAsia" w:ascii="宋体" w:hAnsi="宋体" w:eastAsia="宋体" w:cs="宋体"/>
          <w:color w:val="000000"/>
          <w:sz w:val="24"/>
          <w:szCs w:val="24"/>
          <w:highlight w:val="none"/>
        </w:rPr>
        <w:t>院起诉。</w:t>
      </w:r>
      <w:bookmarkEnd w:id="18"/>
    </w:p>
    <w:p>
      <w:pPr>
        <w:adjustRightInd w:val="0"/>
        <w:snapToGrid w:val="0"/>
        <w:spacing w:beforeLines="0" w:afterLines="0" w:line="360" w:lineRule="auto"/>
        <w:jc w:val="left"/>
        <w:rPr>
          <w:rFonts w:hint="eastAsia" w:ascii="宋体" w:hAnsi="宋体" w:eastAsia="宋体" w:cs="宋体"/>
          <w:b/>
          <w:color w:val="000000"/>
          <w:sz w:val="32"/>
          <w:szCs w:val="32"/>
          <w:highlight w:val="none"/>
        </w:rPr>
      </w:pPr>
      <w:r>
        <w:rPr>
          <w:rFonts w:hint="eastAsia" w:ascii="宋体" w:hAnsi="宋体" w:eastAsia="宋体" w:cs="宋体"/>
          <w:color w:val="000000"/>
          <w:sz w:val="30"/>
          <w:szCs w:val="32"/>
          <w:highlight w:val="none"/>
        </w:rPr>
        <w:br w:type="page"/>
      </w:r>
      <w:bookmarkStart w:id="64" w:name="_Toc351203652"/>
      <w:r>
        <w:rPr>
          <w:rFonts w:hint="eastAsia" w:ascii="宋体" w:hAnsi="宋体" w:eastAsia="宋体" w:cs="宋体"/>
          <w:b/>
          <w:color w:val="000000"/>
          <w:sz w:val="32"/>
          <w:szCs w:val="32"/>
          <w:highlight w:val="none"/>
        </w:rPr>
        <w:t>附件</w:t>
      </w:r>
      <w:bookmarkEnd w:id="64"/>
    </w:p>
    <w:p>
      <w:pPr>
        <w:adjustRightInd w:val="0"/>
        <w:snapToGrid w:val="0"/>
        <w:spacing w:beforeLines="0" w:afterLines="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协议书附件：</w:t>
      </w:r>
    </w:p>
    <w:p>
      <w:pPr>
        <w:adjustRightInd w:val="0"/>
        <w:snapToGrid w:val="0"/>
        <w:spacing w:beforeLines="0" w:afterLines="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附件1：工程量清单</w:t>
      </w:r>
    </w:p>
    <w:p>
      <w:pPr>
        <w:adjustRightInd w:val="0"/>
        <w:snapToGrid w:val="0"/>
        <w:spacing w:beforeLines="0" w:afterLines="0"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附件2：安全生产</w:t>
      </w:r>
      <w:r>
        <w:rPr>
          <w:rFonts w:hint="eastAsia" w:ascii="宋体" w:hAnsi="宋体" w:cs="宋体"/>
          <w:color w:val="000000"/>
          <w:sz w:val="24"/>
          <w:szCs w:val="24"/>
          <w:highlight w:val="none"/>
          <w:lang w:val="en-US" w:eastAsia="zh-CN"/>
        </w:rPr>
        <w:t>协议</w:t>
      </w:r>
    </w:p>
    <w:p>
      <w:pPr>
        <w:pStyle w:val="6"/>
        <w:adjustRightInd w:val="0"/>
        <w:snapToGrid w:val="0"/>
        <w:spacing w:beforeLines="0" w:afterLines="0" w:line="360" w:lineRule="auto"/>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：廉政合同</w:t>
      </w:r>
    </w:p>
    <w:p>
      <w:pPr>
        <w:adjustRightInd w:val="0"/>
        <w:snapToGrid w:val="0"/>
        <w:spacing w:beforeLines="0" w:afterLines="0" w:line="360" w:lineRule="auto"/>
        <w:jc w:val="left"/>
        <w:rPr>
          <w:rFonts w:hint="eastAsia" w:ascii="宋体" w:hAnsi="宋体" w:eastAsia="宋体" w:cs="宋体"/>
          <w:sz w:val="24"/>
          <w:szCs w:val="24"/>
          <w:highlight w:val="none"/>
        </w:rPr>
      </w:pPr>
      <w:r>
        <w:rPr>
          <w:rFonts w:hint="eastAsia" w:ascii="宋体" w:hAnsi="宋体" w:eastAsia="宋体" w:cs="宋体"/>
          <w:b w:val="0"/>
          <w:color w:val="000000"/>
          <w:kern w:val="2"/>
          <w:sz w:val="24"/>
          <w:szCs w:val="24"/>
          <w:highlight w:val="none"/>
          <w:lang w:bidi="ar-SA"/>
        </w:rPr>
        <w:t>附件</w:t>
      </w:r>
      <w:r>
        <w:rPr>
          <w:rFonts w:hint="eastAsia" w:ascii="宋体" w:hAnsi="宋体" w:eastAsia="宋体" w:cs="宋体"/>
          <w:b w:val="0"/>
          <w:bCs w:val="0"/>
          <w:color w:val="000000"/>
          <w:kern w:val="2"/>
          <w:sz w:val="24"/>
          <w:szCs w:val="24"/>
          <w:highlight w:val="none"/>
          <w:lang w:val="en-US" w:eastAsia="zh-CN" w:bidi="ar-SA"/>
        </w:rPr>
        <w:t>4</w:t>
      </w:r>
      <w:r>
        <w:rPr>
          <w:rFonts w:hint="eastAsia" w:ascii="宋体" w:hAnsi="宋体" w:eastAsia="宋体" w:cs="宋体"/>
          <w:b w:val="0"/>
          <w:color w:val="000000"/>
          <w:kern w:val="2"/>
          <w:sz w:val="24"/>
          <w:szCs w:val="24"/>
          <w:highlight w:val="none"/>
          <w:lang w:bidi="ar-SA"/>
        </w:rPr>
        <w:t>：环境保护</w:t>
      </w:r>
      <w:r>
        <w:rPr>
          <w:rFonts w:hint="eastAsia" w:ascii="宋体" w:hAnsi="宋体" w:eastAsia="宋体" w:cs="宋体"/>
          <w:b w:val="0"/>
          <w:color w:val="000000"/>
          <w:kern w:val="2"/>
          <w:sz w:val="24"/>
          <w:szCs w:val="24"/>
          <w:highlight w:val="none"/>
          <w:lang w:val="en-US" w:eastAsia="zh-CN" w:bidi="ar-SA"/>
        </w:rPr>
        <w:t>协议</w:t>
      </w:r>
    </w:p>
    <w:p>
      <w:pPr>
        <w:adjustRightInd w:val="0"/>
        <w:snapToGrid w:val="0"/>
        <w:spacing w:beforeLines="0" w:afterLines="0"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附件5：诚信合规协议(如有）</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b w:val="0"/>
          <w:color w:val="000000"/>
          <w:kern w:val="2"/>
          <w:sz w:val="24"/>
          <w:szCs w:val="24"/>
          <w:highlight w:val="none"/>
          <w:lang w:bidi="ar-SA"/>
        </w:rPr>
        <w:t>附件</w:t>
      </w:r>
      <w:r>
        <w:rPr>
          <w:rFonts w:hint="eastAsia" w:ascii="宋体" w:hAnsi="宋体" w:eastAsia="宋体" w:cs="宋体"/>
          <w:b w:val="0"/>
          <w:bCs w:val="0"/>
          <w:color w:val="000000"/>
          <w:kern w:val="2"/>
          <w:sz w:val="24"/>
          <w:szCs w:val="24"/>
          <w:highlight w:val="none"/>
          <w:lang w:val="en-US" w:eastAsia="zh-CN" w:bidi="ar-SA"/>
        </w:rPr>
        <w:t>6</w:t>
      </w:r>
      <w:r>
        <w:rPr>
          <w:rFonts w:hint="eastAsia" w:ascii="宋体" w:hAnsi="宋体" w:eastAsia="宋体" w:cs="宋体"/>
          <w:b w:val="0"/>
          <w:color w:val="000000"/>
          <w:kern w:val="2"/>
          <w:sz w:val="24"/>
          <w:szCs w:val="24"/>
          <w:highlight w:val="none"/>
          <w:lang w:bidi="ar-SA"/>
        </w:rPr>
        <w:t>：</w:t>
      </w:r>
      <w:r>
        <w:rPr>
          <w:rFonts w:hint="eastAsia" w:ascii="宋体" w:hAnsi="宋体" w:eastAsia="宋体" w:cs="宋体"/>
          <w:color w:val="000000"/>
          <w:sz w:val="24"/>
          <w:szCs w:val="24"/>
          <w:highlight w:val="none"/>
        </w:rPr>
        <w:t>项目经理任命书</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：承包人用于本工程施工的机械设备表</w:t>
      </w:r>
      <w:r>
        <w:rPr>
          <w:rFonts w:hint="eastAsia" w:ascii="宋体" w:hAnsi="宋体" w:eastAsia="宋体" w:cs="宋体"/>
          <w:color w:val="000000"/>
          <w:sz w:val="24"/>
          <w:szCs w:val="24"/>
          <w:highlight w:val="none"/>
          <w:lang w:val="en-US" w:eastAsia="zh-CN"/>
        </w:rPr>
        <w:t>(如有）</w:t>
      </w:r>
    </w:p>
    <w:p>
      <w:pPr>
        <w:adjustRightInd w:val="0"/>
        <w:snapToGrid w:val="0"/>
        <w:spacing w:beforeLines="0" w:afterLines="0"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：承包人主要施工管理人员表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r>
        <w:rPr>
          <w:rFonts w:hint="eastAsia" w:ascii="宋体" w:hAnsi="宋体" w:eastAsia="宋体" w:cs="宋体"/>
          <w:color w:val="000000"/>
          <w:sz w:val="24"/>
          <w:szCs w:val="24"/>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：履约担保</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r>
        <w:rPr>
          <w:rFonts w:hint="eastAsia" w:ascii="宋体" w:hAnsi="宋体" w:eastAsia="宋体" w:cs="宋体"/>
          <w:color w:val="000000"/>
          <w:sz w:val="24"/>
          <w:szCs w:val="24"/>
          <w:highlight w:val="none"/>
          <w:lang w:eastAsia="zh-CN"/>
        </w:rPr>
        <w:t>）</w:t>
      </w:r>
    </w:p>
    <w:p>
      <w:pPr>
        <w:pStyle w:val="2"/>
        <w:rPr>
          <w:rFonts w:hint="eastAsia" w:ascii="宋体" w:hAnsi="宋体" w:eastAsia="宋体" w:cs="宋体"/>
          <w:highlight w:val="none"/>
          <w:lang w:eastAsia="zh-CN"/>
        </w:rPr>
      </w:pPr>
    </w:p>
    <w:p>
      <w:pPr>
        <w:widowControl/>
        <w:spacing w:line="240" w:lineRule="auto"/>
        <w:jc w:val="left"/>
        <w:rPr>
          <w:rFonts w:hint="eastAsia" w:ascii="宋体" w:hAnsi="宋体" w:eastAsia="宋体" w:cs="宋体"/>
          <w:b/>
          <w:kern w:val="0"/>
          <w:sz w:val="32"/>
          <w:szCs w:val="32"/>
          <w:highlight w:val="none"/>
          <w:lang w:bidi="ar-SA"/>
        </w:rPr>
      </w:pPr>
      <w:bookmarkStart w:id="65" w:name="_Toc10272"/>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1</w:t>
      </w:r>
      <w:r>
        <w:rPr>
          <w:rFonts w:hint="eastAsia" w:ascii="宋体" w:hAnsi="宋体" w:eastAsia="宋体" w:cs="宋体"/>
          <w:b/>
          <w:kern w:val="0"/>
          <w:sz w:val="32"/>
          <w:szCs w:val="32"/>
          <w:highlight w:val="none"/>
          <w:lang w:bidi="ar-SA"/>
        </w:rPr>
        <w:t>：</w:t>
      </w:r>
      <w:bookmarkEnd w:id="65"/>
      <w:r>
        <w:rPr>
          <w:rFonts w:hint="eastAsia" w:ascii="宋体" w:hAnsi="宋体" w:eastAsia="宋体" w:cs="宋体"/>
          <w:b/>
          <w:kern w:val="0"/>
          <w:sz w:val="32"/>
          <w:szCs w:val="32"/>
          <w:highlight w:val="none"/>
        </w:rPr>
        <w:t>工程量清单</w:t>
      </w:r>
    </w:p>
    <w:p>
      <w:pPr>
        <w:pStyle w:val="6"/>
        <w:rPr>
          <w:rFonts w:hint="eastAsia" w:ascii="宋体" w:hAnsi="宋体" w:eastAsia="宋体" w:cs="宋体"/>
          <w:highlight w:val="none"/>
        </w:rPr>
      </w:pPr>
    </w:p>
    <w:p>
      <w:pPr>
        <w:pStyle w:val="6"/>
        <w:ind w:left="0" w:leftChars="0"/>
        <w:rPr>
          <w:rFonts w:hint="eastAsia" w:ascii="宋体" w:hAnsi="宋体" w:eastAsia="宋体" w:cs="宋体"/>
          <w:highlight w:val="none"/>
        </w:rPr>
      </w:pPr>
    </w:p>
    <w:tbl>
      <w:tblPr>
        <w:tblStyle w:val="9"/>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单位及专业工程名称：安装工程- 第X册 XXXX</w:t>
            </w:r>
          </w:p>
        </w:tc>
        <w:tc>
          <w:tcPr>
            <w:tcW w:w="99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c>
          <w:tcPr>
            <w:tcW w:w="98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2091" w:type="dxa"/>
            <w:tcBorders>
              <w:top w:val="nil"/>
              <w:left w:val="nil"/>
              <w:bottom w:val="nil"/>
              <w:right w:val="nil"/>
            </w:tcBorders>
            <w:noWrap w:val="0"/>
            <w:vAlign w:val="bottom"/>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计量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综合单价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合价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bl>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val="en-US" w:eastAsia="zh-CN"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2</w:t>
      </w:r>
      <w:r>
        <w:rPr>
          <w:rFonts w:hint="eastAsia" w:ascii="宋体" w:hAnsi="宋体" w:eastAsia="宋体" w:cs="宋体"/>
          <w:b/>
          <w:kern w:val="0"/>
          <w:sz w:val="32"/>
          <w:szCs w:val="32"/>
          <w:highlight w:val="none"/>
          <w:lang w:bidi="ar-SA"/>
        </w:rPr>
        <w:t>：</w:t>
      </w:r>
      <w:r>
        <w:rPr>
          <w:rFonts w:hint="eastAsia" w:ascii="宋体" w:hAnsi="宋体" w:eastAsia="宋体" w:cs="宋体"/>
          <w:b/>
          <w:kern w:val="0"/>
          <w:sz w:val="32"/>
          <w:szCs w:val="32"/>
          <w:highlight w:val="none"/>
          <w:lang w:val="en-US" w:eastAsia="zh-CN" w:bidi="ar-SA"/>
        </w:rPr>
        <w:t>安全生产协议</w:t>
      </w:r>
    </w:p>
    <w:p>
      <w:pPr>
        <w:widowControl/>
        <w:spacing w:line="360" w:lineRule="auto"/>
        <w:ind w:firstLine="2400" w:firstLineChars="1000"/>
        <w:jc w:val="left"/>
        <w:textAlignment w:val="auto"/>
        <w:rPr>
          <w:rFonts w:hint="eastAsia" w:ascii="宋体" w:hAnsi="宋体" w:eastAsia="宋体" w:cs="宋体"/>
          <w:b/>
          <w:bCs/>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spacing w:line="360" w:lineRule="auto"/>
        <w:ind w:firstLine="3213" w:firstLineChars="1000"/>
        <w:textAlignment w:val="baseline"/>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之</w:t>
      </w:r>
      <w:r>
        <w:rPr>
          <w:rFonts w:hint="eastAsia" w:ascii="宋体" w:hAnsi="宋体" w:eastAsia="宋体" w:cs="宋体"/>
          <w:b/>
          <w:bCs/>
          <w:sz w:val="32"/>
          <w:szCs w:val="32"/>
          <w:highlight w:val="none"/>
        </w:rPr>
        <w:t>安全生产协议</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为在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rPr>
        <w:t>实施过程中创造安全、高效的施工环境，切实做好本项目的安全管理工作，本项目发包人</w:t>
      </w:r>
      <w:r>
        <w:rPr>
          <w:rFonts w:hint="eastAsia" w:ascii="宋体" w:hAnsi="宋体" w:eastAsia="宋体" w:cs="宋体"/>
          <w:sz w:val="24"/>
          <w:highlight w:val="none"/>
          <w:u w:val="single"/>
        </w:rPr>
        <w:t>重庆首讯科技股份公司</w:t>
      </w:r>
      <w:r>
        <w:rPr>
          <w:rFonts w:hint="eastAsia" w:ascii="宋体" w:hAnsi="宋体" w:eastAsia="宋体" w:cs="宋体"/>
          <w:sz w:val="24"/>
          <w:highlight w:val="none"/>
        </w:rPr>
        <w:t xml:space="preserve">（以下简称“甲方”）与乙方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（以下简称“乙方”）特此签订安全生产协议：</w:t>
      </w:r>
    </w:p>
    <w:p>
      <w:pPr>
        <w:pStyle w:val="12"/>
        <w:adjustRightInd w:val="0"/>
        <w:snapToGrid w:val="0"/>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一、此项工程甲乙双方安全责任人</w:t>
      </w:r>
    </w:p>
    <w:p>
      <w:pPr>
        <w:pStyle w:val="12"/>
        <w:adjustRightInd w:val="0"/>
        <w:snapToGrid w:val="0"/>
        <w:spacing w:line="360" w:lineRule="auto"/>
        <w:ind w:firstLine="0" w:firstLineChars="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rPr>
        <w:t>甲方（</w:t>
      </w:r>
      <w:r>
        <w:rPr>
          <w:rFonts w:hint="eastAsia" w:ascii="宋体" w:hAnsi="宋体" w:eastAsia="宋体" w:cs="宋体"/>
          <w:color w:val="auto"/>
          <w:sz w:val="24"/>
          <w:highlight w:val="none"/>
        </w:rPr>
        <w:t>此工程项目负责人</w:t>
      </w:r>
      <w:r>
        <w:rPr>
          <w:rFonts w:hint="eastAsia" w:ascii="宋体" w:hAnsi="宋体" w:eastAsia="宋体" w:cs="宋体"/>
          <w:sz w:val="24"/>
          <w:highlight w:val="none"/>
        </w:rPr>
        <w:t>）：</w:t>
      </w:r>
      <w:r>
        <w:rPr>
          <w:rFonts w:hint="eastAsia" w:ascii="宋体" w:hAnsi="宋体" w:eastAsia="宋体" w:cs="宋体"/>
          <w:color w:val="auto"/>
          <w:sz w:val="24"/>
          <w:highlight w:val="none"/>
          <w:u w:val="single"/>
          <w:lang w:val="en-US" w:eastAsia="zh-CN"/>
        </w:rPr>
        <w:t xml:space="preserve">                   </w:t>
      </w:r>
    </w:p>
    <w:p>
      <w:pPr>
        <w:pStyle w:val="12"/>
        <w:adjustRightInd w:val="0"/>
        <w:snapToGrid w:val="0"/>
        <w:spacing w:line="360" w:lineRule="auto"/>
        <w:ind w:firstLine="0" w:firstLineChars="0"/>
        <w:rPr>
          <w:rFonts w:hint="eastAsia" w:ascii="宋体" w:hAnsi="宋体" w:eastAsia="宋体" w:cs="宋体"/>
          <w:sz w:val="24"/>
          <w:highlight w:val="none"/>
          <w:u w:val="single"/>
          <w:lang w:val="en-US" w:eastAsia="zh-CN"/>
        </w:rPr>
      </w:pPr>
      <w:r>
        <w:rPr>
          <w:rFonts w:hint="eastAsia" w:ascii="宋体" w:hAnsi="宋体" w:eastAsia="宋体" w:cs="宋体"/>
          <w:color w:val="auto"/>
          <w:sz w:val="24"/>
          <w:highlight w:val="none"/>
        </w:rPr>
        <w:t>乙方（此工程项目负责人）：</w:t>
      </w:r>
      <w:r>
        <w:rPr>
          <w:rFonts w:hint="eastAsia" w:ascii="宋体" w:hAnsi="宋体" w:eastAsia="宋体" w:cs="宋体"/>
          <w:color w:val="auto"/>
          <w:sz w:val="24"/>
          <w:highlight w:val="none"/>
          <w:u w:val="single"/>
          <w:lang w:val="en-US" w:eastAsia="zh-CN"/>
        </w:rPr>
        <w:t xml:space="preserve">                   </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1、严格遵守国家有关安全生产的法律法规，认真执行工程施工合同中的有关安全要求。</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2、按照“安全第一、预防为主”和坚持“管生产必须管安全”的原则进行安全生产管理，做到生产与安全工作同时计划、布置、检查、总结和评比。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3、重要的安全设施必须坚持与主体工程“三同时”的原则，即：同时设计、审批，同时施工，同时验收，投入使用。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、组织对乙方施工现场安全生产检查，监督乙方及时处理发现的各种安全隐患。</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6、施工前，应认真勘察现场，按甲方要求制订有针对性的安全技术措施，对管理人员和施工人员进行安全生产进场教育。</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7、在施工期间必须严格执行和遵守甲方的安全生产、防火管理的各项规定，接受甲方的督促、检查和指导，对于查出的隐患，乙方必须限期整改。</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8、乙方必须按照安全作业规程进行现场施工。对施工现场的各类安全防护设施、安全标志和警告牌，不得擅自拆除、更动。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9、乙方在施工中，应注意地下管线及高压架空线路的保护。如遇有情况，应及时向甲方和有关部门联系，采取保护措施。</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10、乙方在任何时候都应采取各种合理的预防措施，防止其员工发生任何违法、违禁、暴力或妨碍治安的行为。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14、所有施工机具设备和高空作业的设备均应定期检查，保证其经常处于完好状态；不合格的机具、设备和劳动保护用品严禁使用。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15、施工中采用新技术、新工艺、新设备、新材料时，必须制定相应的安全技术措施，施工现场必须具有相关的安全标志牌。</w:t>
      </w:r>
    </w:p>
    <w:p>
      <w:pPr>
        <w:pStyle w:val="7"/>
        <w:tabs>
          <w:tab w:val="left" w:pos="1200"/>
          <w:tab w:val="right" w:leader="dot" w:pos="9730"/>
        </w:tabs>
        <w:adjustRightInd w:val="0"/>
        <w:snapToGrid w:val="0"/>
        <w:spacing w:before="0" w:after="0" w:line="360" w:lineRule="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adjustRightInd w:val="0"/>
        <w:snapToGrid w:val="0"/>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3、乙方在施工期间违反安全生产相关要求及乙方职责，造成安全事故或人身损害、财产损失的，乙方承担全部责任。</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1、本协议作为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的附件，与</w:t>
      </w:r>
      <w:r>
        <w:rPr>
          <w:rFonts w:hint="eastAsia" w:ascii="宋体" w:hAnsi="宋体" w:eastAsia="宋体" w:cs="宋体"/>
          <w:sz w:val="24"/>
          <w:highlight w:val="none"/>
          <w:lang w:val="en-US" w:eastAsia="zh-CN"/>
        </w:rPr>
        <w:t>主</w:t>
      </w:r>
      <w:r>
        <w:rPr>
          <w:rFonts w:hint="eastAsia" w:ascii="宋体" w:hAnsi="宋体" w:eastAsia="宋体" w:cs="宋体"/>
          <w:sz w:val="24"/>
          <w:highlight w:val="none"/>
        </w:rPr>
        <w:t>合同具有同等的法律效力。</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2、本协议一式贰份，甲方执壹份，乙方执壹份。由双方法定代表人或其授权的代理人签署盖章后生效，全部工程完工验收后终止。</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3、因协议在履行过程中所产生的争议，双方协商解决，协商不成的，提交甲方所在地有管辖权的人民法院管辖。</w:t>
      </w:r>
    </w:p>
    <w:p>
      <w:pPr>
        <w:pStyle w:val="7"/>
        <w:tabs>
          <w:tab w:val="left" w:pos="1200"/>
          <w:tab w:val="right" w:leader="dot" w:pos="9730"/>
        </w:tabs>
        <w:adjustRightInd w:val="0"/>
        <w:snapToGrid w:val="0"/>
        <w:spacing w:before="0" w:after="0" w:line="360" w:lineRule="auto"/>
        <w:rPr>
          <w:rFonts w:hint="eastAsia" w:ascii="宋体" w:hAnsi="宋体" w:eastAsia="宋体" w:cs="宋体"/>
          <w:b w:val="0"/>
          <w:bCs w:val="0"/>
          <w:sz w:val="24"/>
          <w:highlight w:val="none"/>
        </w:rPr>
      </w:pPr>
      <w:r>
        <w:rPr>
          <w:rFonts w:hint="eastAsia" w:ascii="宋体" w:hAnsi="宋体" w:eastAsia="宋体" w:cs="宋体"/>
          <w:b w:val="0"/>
          <w:bCs w:val="0"/>
          <w:color w:val="auto"/>
          <w:sz w:val="24"/>
          <w:szCs w:val="24"/>
          <w:highlight w:val="none"/>
          <w:lang w:val="en-US" w:eastAsia="zh-CN"/>
        </w:rPr>
        <w:t>附件：</w:t>
      </w:r>
      <w:r>
        <w:rPr>
          <w:rFonts w:hint="eastAsia" w:ascii="宋体" w:hAnsi="宋体" w:eastAsia="宋体" w:cs="宋体"/>
          <w:b w:val="0"/>
          <w:bCs w:val="0"/>
          <w:color w:val="auto"/>
          <w:sz w:val="24"/>
          <w:szCs w:val="24"/>
          <w:highlight w:val="none"/>
        </w:rPr>
        <w:t>《首讯公司工程安全生产的违约处理细则》</w:t>
      </w: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rPr>
        <w:t xml:space="preserve">甲方：重庆首讯科技股份有限公司            </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XXXXXX</w:t>
      </w:r>
    </w:p>
    <w:p>
      <w:pPr>
        <w:widowControl/>
        <w:adjustRightInd w:val="0"/>
        <w:snapToGrid w:val="0"/>
        <w:spacing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line="360" w:lineRule="auto"/>
        <w:jc w:val="left"/>
        <w:rPr>
          <w:rFonts w:hint="eastAsia" w:ascii="宋体" w:hAnsi="宋体" w:eastAsia="宋体" w:cs="宋体"/>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line="360" w:lineRule="auto"/>
        <w:jc w:val="left"/>
        <w:rPr>
          <w:rFonts w:hint="eastAsia" w:ascii="宋体" w:hAnsi="宋体" w:eastAsia="宋体" w:cs="宋体"/>
          <w:b w:val="0"/>
          <w:bCs w:val="0"/>
          <w:sz w:val="24"/>
          <w:highlight w:val="none"/>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line="360" w:lineRule="auto"/>
        <w:jc w:val="left"/>
        <w:rPr>
          <w:rFonts w:hint="eastAsia" w:ascii="宋体" w:hAnsi="宋体" w:eastAsia="宋体" w:cs="宋体"/>
          <w:b w:val="0"/>
          <w:bCs w:val="0"/>
          <w:sz w:val="24"/>
          <w:highlight w:val="none"/>
        </w:rPr>
      </w:pPr>
    </w:p>
    <w:p>
      <w:pPr>
        <w:adjustRightInd w:val="0"/>
        <w:snapToGrid w:val="0"/>
        <w:spacing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widowControl/>
        <w:spacing w:line="360" w:lineRule="auto"/>
        <w:jc w:val="left"/>
        <w:rPr>
          <w:rFonts w:hint="eastAsia" w:ascii="宋体" w:hAnsi="宋体" w:eastAsia="宋体" w:cs="宋体"/>
          <w:b/>
          <w:kern w:val="0"/>
          <w:sz w:val="32"/>
          <w:szCs w:val="32"/>
          <w:highlight w:val="none"/>
          <w:lang w:bidi="ar-SA"/>
        </w:rPr>
      </w:pPr>
    </w:p>
    <w:p>
      <w:pPr>
        <w:spacing w:line="240" w:lineRule="auto"/>
        <w:ind w:firstLine="0"/>
        <w:jc w:val="left"/>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pPr>
        <w:spacing w:line="240" w:lineRule="auto"/>
        <w:ind w:firstLine="0"/>
        <w:jc w:val="center"/>
        <w:rPr>
          <w:rFonts w:hint="eastAsia" w:ascii="宋体" w:hAnsi="宋体" w:eastAsia="宋体" w:cs="宋体"/>
          <w:b/>
          <w:bCs/>
          <w:sz w:val="32"/>
          <w:szCs w:val="32"/>
          <w:highlight w:val="none"/>
          <w:u w:val="none"/>
          <w:lang w:eastAsia="zh-CN"/>
        </w:rPr>
      </w:pPr>
      <w:r>
        <w:rPr>
          <w:rFonts w:hint="eastAsia" w:ascii="宋体" w:hAnsi="宋体" w:eastAsia="宋体" w:cs="宋体"/>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宋体" w:hAnsi="宋体" w:eastAsia="宋体" w:cs="宋体"/>
          <w:b/>
          <w:bCs/>
          <w:sz w:val="32"/>
          <w:szCs w:val="32"/>
          <w:highlight w:val="none"/>
          <w:u w:val="none"/>
        </w:rPr>
      </w:pPr>
      <w:r>
        <w:rPr>
          <w:rFonts w:hint="eastAsia" w:ascii="宋体" w:hAnsi="宋体" w:eastAsia="宋体" w:cs="宋体"/>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bookmarkStart w:id="66" w:name="OLE_LINK1"/>
      <w:r>
        <w:rPr>
          <w:rFonts w:hint="eastAsia" w:ascii="宋体" w:hAnsi="宋体" w:eastAsia="宋体" w:cs="宋体"/>
          <w:color w:val="auto"/>
          <w:kern w:val="0"/>
          <w:sz w:val="24"/>
          <w:szCs w:val="24"/>
          <w:highlight w:val="none"/>
        </w:rPr>
        <w:t>为确保工程安全得以有效控制，纠正和处理工程</w:t>
      </w:r>
      <w:r>
        <w:rPr>
          <w:rFonts w:hint="eastAsia" w:ascii="宋体" w:hAnsi="宋体" w:eastAsia="宋体" w:cs="宋体"/>
          <w:color w:val="auto"/>
          <w:kern w:val="0"/>
          <w:sz w:val="24"/>
          <w:szCs w:val="24"/>
          <w:highlight w:val="none"/>
          <w:lang w:eastAsia="zh-CN"/>
        </w:rPr>
        <w:t>过程</w:t>
      </w:r>
      <w:r>
        <w:rPr>
          <w:rFonts w:hint="eastAsia" w:ascii="宋体" w:hAnsi="宋体" w:eastAsia="宋体" w:cs="宋体"/>
          <w:color w:val="auto"/>
          <w:kern w:val="0"/>
          <w:sz w:val="24"/>
          <w:szCs w:val="24"/>
          <w:highlight w:val="none"/>
        </w:rPr>
        <w:t>中不规范的行为，</w:t>
      </w:r>
      <w:bookmarkEnd w:id="66"/>
      <w:r>
        <w:rPr>
          <w:rFonts w:hint="eastAsia" w:ascii="宋体" w:hAnsi="宋体" w:eastAsia="宋体" w:cs="宋体"/>
          <w:color w:val="auto"/>
          <w:kern w:val="0"/>
          <w:sz w:val="24"/>
          <w:szCs w:val="24"/>
          <w:highlight w:val="none"/>
        </w:rPr>
        <w:t>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24"/>
          <w:szCs w:val="24"/>
          <w:highlight w:val="none"/>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2.1告知原则：</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在与承包人签订合同</w:t>
      </w:r>
      <w:r>
        <w:rPr>
          <w:rFonts w:hint="eastAsia" w:ascii="宋体" w:hAnsi="宋体" w:eastAsia="宋体" w:cs="宋体"/>
          <w:color w:val="auto"/>
          <w:kern w:val="0"/>
          <w:sz w:val="24"/>
          <w:szCs w:val="24"/>
          <w:highlight w:val="none"/>
          <w:lang w:eastAsia="zh-CN"/>
        </w:rPr>
        <w:t>（或施工协议、任务书）</w:t>
      </w:r>
      <w:r>
        <w:rPr>
          <w:rFonts w:hint="eastAsia" w:ascii="宋体" w:hAnsi="宋体" w:eastAsia="宋体" w:cs="宋体"/>
          <w:color w:val="auto"/>
          <w:kern w:val="0"/>
          <w:sz w:val="24"/>
          <w:szCs w:val="24"/>
          <w:highlight w:val="none"/>
          <w:lang w:val="en-US" w:eastAsia="zh-CN"/>
        </w:rPr>
        <w:t>时，本细则</w:t>
      </w:r>
      <w:r>
        <w:rPr>
          <w:rFonts w:hint="eastAsia" w:ascii="宋体" w:hAnsi="宋体" w:eastAsia="宋体" w:cs="宋体"/>
          <w:color w:val="auto"/>
          <w:kern w:val="0"/>
          <w:sz w:val="24"/>
          <w:szCs w:val="24"/>
          <w:highlight w:val="none"/>
          <w:lang w:eastAsia="zh-CN"/>
        </w:rPr>
        <w:t>作为</w:t>
      </w:r>
      <w:r>
        <w:rPr>
          <w:rFonts w:hint="eastAsia" w:ascii="宋体" w:hAnsi="宋体" w:eastAsia="宋体" w:cs="宋体"/>
          <w:color w:val="auto"/>
          <w:kern w:val="0"/>
          <w:sz w:val="24"/>
          <w:szCs w:val="24"/>
          <w:highlight w:val="none"/>
        </w:rPr>
        <w:t>《合同协议书》</w:t>
      </w:r>
      <w:r>
        <w:rPr>
          <w:rFonts w:hint="eastAsia" w:ascii="宋体" w:hAnsi="宋体" w:eastAsia="宋体" w:cs="宋体"/>
          <w:color w:val="auto"/>
          <w:kern w:val="0"/>
          <w:sz w:val="24"/>
          <w:szCs w:val="24"/>
          <w:highlight w:val="none"/>
          <w:lang w:eastAsia="zh-CN"/>
        </w:rPr>
        <w:t>、《安全生产合同》附件。未与</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签订合同时，管理（维护中心）、项目部在进场前书面告知</w:t>
      </w:r>
      <w:r>
        <w:rPr>
          <w:rFonts w:hint="eastAsia" w:ascii="宋体" w:hAnsi="宋体" w:eastAsia="宋体" w:cs="宋体"/>
          <w:color w:val="auto"/>
          <w:kern w:val="0"/>
          <w:sz w:val="24"/>
          <w:szCs w:val="24"/>
          <w:highlight w:val="none"/>
          <w:lang w:val="en-US" w:eastAsia="zh-CN"/>
        </w:rPr>
        <w:t>,并经承包人签字或盖章确认</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处理原则：承包人</w:t>
      </w:r>
      <w:r>
        <w:rPr>
          <w:rFonts w:hint="eastAsia" w:ascii="宋体" w:hAnsi="宋体" w:eastAsia="宋体" w:cs="宋体"/>
          <w:color w:val="auto"/>
          <w:kern w:val="0"/>
          <w:sz w:val="24"/>
          <w:szCs w:val="24"/>
          <w:highlight w:val="none"/>
        </w:rPr>
        <w:t>应认真履行合同条款，凡是违反合同条款规定的，均按规定承担违约责任</w:t>
      </w:r>
      <w:r>
        <w:rPr>
          <w:rFonts w:hint="eastAsia" w:ascii="宋体" w:hAnsi="宋体" w:eastAsia="宋体" w:cs="宋体"/>
          <w:color w:val="auto"/>
          <w:kern w:val="0"/>
          <w:sz w:val="24"/>
          <w:szCs w:val="24"/>
          <w:highlight w:val="none"/>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rPr>
        <w:t>中华人民共和国</w:t>
      </w:r>
      <w:r>
        <w:rPr>
          <w:rFonts w:hint="eastAsia" w:ascii="宋体" w:hAnsi="宋体" w:eastAsia="宋体" w:cs="宋体"/>
          <w:b w:val="0"/>
          <w:bCs w:val="0"/>
          <w:i w:val="0"/>
          <w:caps w:val="0"/>
          <w:color w:val="auto"/>
          <w:spacing w:val="0"/>
          <w:kern w:val="0"/>
          <w:sz w:val="24"/>
          <w:szCs w:val="24"/>
          <w:highlight w:val="none"/>
          <w:shd w:val="clear" w:color="auto" w:fill="auto"/>
          <w:lang w:eastAsia="zh-CN"/>
        </w:rPr>
        <w:t>民法典</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4.1安全监管职能部门（安全管理部、工程管理部、</w:t>
      </w:r>
      <w:r>
        <w:rPr>
          <w:rFonts w:hint="eastAsia" w:ascii="宋体" w:hAnsi="宋体" w:eastAsia="宋体" w:cs="宋体"/>
          <w:color w:val="auto"/>
          <w:kern w:val="0"/>
          <w:sz w:val="24"/>
          <w:szCs w:val="24"/>
          <w:highlight w:val="none"/>
          <w:lang w:eastAsia="zh-CN"/>
        </w:rPr>
        <w:t>智能交通研发中心</w:t>
      </w:r>
      <w:r>
        <w:rPr>
          <w:rFonts w:hint="eastAsia" w:ascii="宋体" w:hAnsi="宋体" w:eastAsia="宋体" w:cs="宋体"/>
          <w:color w:val="auto"/>
          <w:kern w:val="0"/>
          <w:sz w:val="24"/>
          <w:szCs w:val="24"/>
          <w:highlight w:val="none"/>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4.3施工单位必须严格执行国家、行业、主管部门、</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安全生产相关规定，管好项目相关作业人员，如被发现违约行为，则按本文规定接受相应的</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承包人在与公司签订施工、维护、服务合同后，按合同约定交纳</w:t>
      </w:r>
      <w:r>
        <w:rPr>
          <w:rFonts w:hint="eastAsia" w:ascii="宋体" w:hAnsi="宋体" w:eastAsia="宋体" w:cs="宋体"/>
          <w:color w:val="auto"/>
          <w:kern w:val="0"/>
          <w:sz w:val="24"/>
          <w:szCs w:val="24"/>
          <w:highlight w:val="none"/>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必须重视安全生产，严格按照施工安全规范制订符合本工程实际的施工安全技术方案和安全保证措施，</w:t>
      </w:r>
      <w:r>
        <w:rPr>
          <w:rFonts w:hint="eastAsia" w:ascii="宋体" w:hAnsi="宋体" w:eastAsia="宋体" w:cs="宋体"/>
          <w:color w:val="auto"/>
          <w:kern w:val="0"/>
          <w:sz w:val="24"/>
          <w:szCs w:val="24"/>
          <w:highlight w:val="none"/>
          <w:lang w:val="en-US" w:eastAsia="zh-CN"/>
        </w:rPr>
        <w:t>若在项目实施工程中未按审批后的技术方案和保证措施执行的</w:t>
      </w:r>
      <w:r>
        <w:rPr>
          <w:rFonts w:hint="eastAsia" w:ascii="宋体" w:hAnsi="宋体" w:eastAsia="宋体" w:cs="宋体"/>
          <w:color w:val="auto"/>
          <w:kern w:val="0"/>
          <w:sz w:val="24"/>
          <w:szCs w:val="24"/>
          <w:highlight w:val="none"/>
        </w:rPr>
        <w:t>，将处以</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的违约金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施工单位须</w:t>
      </w:r>
      <w:r>
        <w:rPr>
          <w:rFonts w:hint="eastAsia" w:ascii="宋体" w:hAnsi="宋体" w:eastAsia="宋体" w:cs="宋体"/>
          <w:color w:val="auto"/>
          <w:kern w:val="0"/>
          <w:sz w:val="24"/>
          <w:szCs w:val="24"/>
          <w:highlight w:val="none"/>
        </w:rPr>
        <w:t>建立安全管理机构</w:t>
      </w:r>
      <w:r>
        <w:rPr>
          <w:rFonts w:hint="eastAsia" w:ascii="宋体" w:hAnsi="宋体" w:eastAsia="宋体" w:cs="宋体"/>
          <w:color w:val="auto"/>
          <w:kern w:val="0"/>
          <w:sz w:val="24"/>
          <w:szCs w:val="24"/>
          <w:highlight w:val="none"/>
          <w:lang w:eastAsia="zh-CN"/>
        </w:rPr>
        <w:t>或设置安全管理人员，</w:t>
      </w:r>
      <w:r>
        <w:rPr>
          <w:rFonts w:hint="eastAsia" w:ascii="宋体" w:hAnsi="宋体" w:eastAsia="宋体" w:cs="宋体"/>
          <w:color w:val="auto"/>
          <w:kern w:val="0"/>
          <w:sz w:val="24"/>
          <w:szCs w:val="24"/>
          <w:highlight w:val="none"/>
        </w:rPr>
        <w:t>明确责任，</w:t>
      </w:r>
      <w:r>
        <w:rPr>
          <w:rFonts w:hint="eastAsia" w:ascii="宋体" w:hAnsi="宋体" w:eastAsia="宋体" w:cs="宋体"/>
          <w:color w:val="auto"/>
          <w:kern w:val="0"/>
          <w:sz w:val="24"/>
          <w:szCs w:val="24"/>
          <w:highlight w:val="none"/>
          <w:lang w:eastAsia="zh-CN"/>
        </w:rPr>
        <w:t>安全管理人员必须到岗，</w:t>
      </w:r>
      <w:r>
        <w:rPr>
          <w:rFonts w:hint="eastAsia" w:ascii="宋体" w:hAnsi="宋体" w:eastAsia="宋体" w:cs="宋体"/>
          <w:color w:val="auto"/>
          <w:kern w:val="0"/>
          <w:sz w:val="24"/>
          <w:szCs w:val="24"/>
          <w:highlight w:val="none"/>
        </w:rPr>
        <w:t>否则，将处以</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次</w:t>
      </w:r>
      <w:r>
        <w:rPr>
          <w:rFonts w:hint="eastAsia" w:ascii="宋体" w:hAnsi="宋体" w:eastAsia="宋体" w:cs="宋体"/>
          <w:color w:val="auto"/>
          <w:kern w:val="0"/>
          <w:sz w:val="24"/>
          <w:szCs w:val="24"/>
          <w:highlight w:val="none"/>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将</w:t>
      </w:r>
      <w:r>
        <w:rPr>
          <w:rFonts w:hint="eastAsia" w:ascii="宋体" w:hAnsi="宋体" w:eastAsia="宋体" w:cs="宋体"/>
          <w:color w:val="auto"/>
          <w:kern w:val="0"/>
          <w:sz w:val="24"/>
          <w:szCs w:val="24"/>
          <w:highlight w:val="none"/>
          <w:lang w:eastAsia="zh-CN"/>
        </w:rPr>
        <w:t>开展</w:t>
      </w:r>
      <w:r>
        <w:rPr>
          <w:rFonts w:hint="eastAsia" w:ascii="宋体" w:hAnsi="宋体" w:eastAsia="宋体" w:cs="宋体"/>
          <w:color w:val="auto"/>
          <w:kern w:val="0"/>
          <w:sz w:val="24"/>
          <w:szCs w:val="24"/>
          <w:highlight w:val="none"/>
        </w:rPr>
        <w:t>各种形式的安全检查，对施工现场有安全隐患的，</w:t>
      </w:r>
      <w:r>
        <w:rPr>
          <w:rFonts w:hint="eastAsia" w:ascii="宋体" w:hAnsi="宋体" w:eastAsia="宋体" w:cs="宋体"/>
          <w:color w:val="auto"/>
          <w:kern w:val="0"/>
          <w:sz w:val="24"/>
          <w:szCs w:val="24"/>
          <w:highlight w:val="none"/>
          <w:lang w:eastAsia="zh-CN"/>
        </w:rPr>
        <w:t>要立即整改</w:t>
      </w:r>
      <w:r>
        <w:rPr>
          <w:rFonts w:hint="eastAsia" w:ascii="宋体" w:hAnsi="宋体" w:eastAsia="宋体" w:cs="宋体"/>
          <w:color w:val="auto"/>
          <w:kern w:val="0"/>
          <w:sz w:val="24"/>
          <w:szCs w:val="24"/>
          <w:highlight w:val="none"/>
        </w:rPr>
        <w:t>；对现场已发现的安全隐患不及时排除或不采取必要的防护措施的，则处以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rPr>
        <w:t>500～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000（元/次）的违约金；</w:t>
      </w:r>
      <w:r>
        <w:rPr>
          <w:rFonts w:hint="eastAsia" w:ascii="宋体" w:hAnsi="宋体" w:eastAsia="宋体" w:cs="宋体"/>
          <w:color w:val="auto"/>
          <w:kern w:val="0"/>
          <w:sz w:val="24"/>
          <w:szCs w:val="24"/>
          <w:highlight w:val="none"/>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r>
        <w:rPr>
          <w:rFonts w:hint="eastAsia" w:ascii="宋体" w:hAnsi="宋体" w:eastAsia="宋体" w:cs="宋体"/>
          <w:color w:val="auto"/>
          <w:kern w:val="0"/>
          <w:sz w:val="24"/>
          <w:szCs w:val="24"/>
          <w:highlight w:val="none"/>
          <w:lang w:eastAsia="zh-CN"/>
        </w:rPr>
        <w:t>承包人发生安全生产责任事故的，除接受有关主管部门的处罚外，同时按照安全生产责任事故认定大小，并接受发包人处以合同金额的</w:t>
      </w:r>
      <w:r>
        <w:rPr>
          <w:rFonts w:hint="eastAsia" w:ascii="宋体" w:hAnsi="宋体" w:eastAsia="宋体" w:cs="宋体"/>
          <w:color w:val="auto"/>
          <w:kern w:val="0"/>
          <w:sz w:val="24"/>
          <w:szCs w:val="24"/>
          <w:highlight w:val="none"/>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rPr>
        <w:t>施工现场必须有明显的各种安全标识及安全保护措施，</w:t>
      </w:r>
      <w:r>
        <w:rPr>
          <w:rFonts w:hint="eastAsia" w:ascii="宋体" w:hAnsi="宋体" w:eastAsia="宋体" w:cs="宋体"/>
          <w:color w:val="auto"/>
          <w:kern w:val="0"/>
          <w:sz w:val="24"/>
          <w:szCs w:val="24"/>
          <w:highlight w:val="none"/>
          <w:lang w:eastAsia="zh-CN"/>
        </w:rPr>
        <w:t>涉路作业必须按照《公路养护安全作业规程》（</w:t>
      </w:r>
      <w:r>
        <w:rPr>
          <w:rFonts w:hint="eastAsia" w:ascii="宋体" w:hAnsi="宋体" w:eastAsia="宋体" w:cs="宋体"/>
          <w:color w:val="auto"/>
          <w:kern w:val="0"/>
          <w:sz w:val="24"/>
          <w:szCs w:val="24"/>
          <w:highlight w:val="none"/>
          <w:lang w:val="en-US" w:eastAsia="zh-CN"/>
        </w:rPr>
        <w:t>JTG H30-2015</w:t>
      </w:r>
      <w:r>
        <w:rPr>
          <w:rFonts w:hint="eastAsia" w:ascii="宋体" w:hAnsi="宋体" w:eastAsia="宋体" w:cs="宋体"/>
          <w:color w:val="auto"/>
          <w:kern w:val="0"/>
          <w:sz w:val="24"/>
          <w:szCs w:val="24"/>
          <w:highlight w:val="none"/>
          <w:lang w:eastAsia="zh-CN"/>
        </w:rPr>
        <w:t>）进行交通组织，</w:t>
      </w:r>
      <w:r>
        <w:rPr>
          <w:rFonts w:hint="eastAsia" w:ascii="宋体" w:hAnsi="宋体" w:eastAsia="宋体" w:cs="宋体"/>
          <w:color w:val="auto"/>
          <w:kern w:val="0"/>
          <w:sz w:val="24"/>
          <w:szCs w:val="24"/>
          <w:highlight w:val="none"/>
        </w:rPr>
        <w:t>否则，处以</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每处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6.6</w:t>
      </w:r>
      <w:r>
        <w:rPr>
          <w:rFonts w:hint="eastAsia" w:ascii="宋体" w:hAnsi="宋体" w:eastAsia="宋体" w:cs="宋体"/>
          <w:color w:val="auto"/>
          <w:kern w:val="0"/>
          <w:sz w:val="24"/>
          <w:szCs w:val="24"/>
          <w:highlight w:val="none"/>
        </w:rPr>
        <w:t>承包人必须文明施工，施工现场整齐规范，无乱堆乱放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由于生产、生活原因破坏生态环境，每处违约金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6.7</w:t>
      </w:r>
      <w:r>
        <w:rPr>
          <w:rFonts w:hint="eastAsia" w:ascii="宋体" w:hAnsi="宋体" w:eastAsia="宋体" w:cs="宋体"/>
          <w:color w:val="auto"/>
          <w:kern w:val="0"/>
          <w:sz w:val="24"/>
          <w:szCs w:val="24"/>
          <w:highlight w:val="none"/>
        </w:rPr>
        <w:t>特种工作人员，无证上岗的，则处以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rPr>
        <w:t>未参加岗前培训</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未购买保险的</w:t>
      </w:r>
      <w:r>
        <w:rPr>
          <w:rFonts w:hint="eastAsia" w:ascii="宋体" w:hAnsi="宋体" w:eastAsia="宋体" w:cs="宋体"/>
          <w:color w:val="auto"/>
          <w:kern w:val="0"/>
          <w:sz w:val="24"/>
          <w:szCs w:val="24"/>
          <w:highlight w:val="none"/>
          <w:lang w:eastAsia="zh-CN"/>
        </w:rPr>
        <w:t>作业</w:t>
      </w:r>
      <w:r>
        <w:rPr>
          <w:rFonts w:hint="eastAsia" w:ascii="宋体" w:hAnsi="宋体" w:eastAsia="宋体" w:cs="宋体"/>
          <w:color w:val="auto"/>
          <w:kern w:val="0"/>
          <w:sz w:val="24"/>
          <w:szCs w:val="24"/>
          <w:highlight w:val="none"/>
        </w:rPr>
        <w:t>人员从事养护施工作业，则处以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w:t>
      </w:r>
      <w:r>
        <w:rPr>
          <w:rFonts w:hint="eastAsia" w:ascii="宋体" w:hAnsi="宋体" w:eastAsia="宋体" w:cs="宋体"/>
          <w:color w:val="auto"/>
          <w:kern w:val="0"/>
          <w:sz w:val="24"/>
          <w:szCs w:val="24"/>
          <w:highlight w:val="none"/>
          <w:lang w:eastAsia="zh-CN"/>
        </w:rPr>
        <w:t>施工单位或施工现场</w:t>
      </w:r>
      <w:r>
        <w:rPr>
          <w:rFonts w:hint="eastAsia" w:ascii="宋体" w:hAnsi="宋体" w:eastAsia="宋体" w:cs="宋体"/>
          <w:color w:val="auto"/>
          <w:kern w:val="0"/>
          <w:sz w:val="24"/>
          <w:szCs w:val="24"/>
          <w:highlight w:val="none"/>
        </w:rPr>
        <w:t>有如下情况之一者，每人每次处以违约金</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w:t>
      </w:r>
      <w:r>
        <w:rPr>
          <w:rFonts w:hint="eastAsia" w:ascii="宋体" w:hAnsi="宋体" w:eastAsia="宋体" w:cs="宋体"/>
          <w:color w:val="auto"/>
          <w:kern w:val="0"/>
          <w:sz w:val="24"/>
          <w:szCs w:val="24"/>
          <w:highlight w:val="none"/>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6.9.2</w:t>
      </w:r>
      <w:r>
        <w:rPr>
          <w:rFonts w:hint="eastAsia" w:ascii="宋体" w:hAnsi="宋体" w:eastAsia="宋体" w:cs="宋体"/>
          <w:color w:val="auto"/>
          <w:kern w:val="0"/>
          <w:sz w:val="24"/>
          <w:szCs w:val="24"/>
          <w:highlight w:val="none"/>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6.9.3</w:t>
      </w:r>
      <w:r>
        <w:rPr>
          <w:rFonts w:hint="eastAsia" w:ascii="宋体" w:hAnsi="宋体" w:eastAsia="宋体" w:cs="宋体"/>
          <w:color w:val="auto"/>
          <w:kern w:val="0"/>
          <w:sz w:val="24"/>
          <w:szCs w:val="24"/>
          <w:highlight w:val="none"/>
        </w:rPr>
        <w:t>发现事故隐患苗头，未采取积极有效措施及时整改者。</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6.9.4</w:t>
      </w:r>
      <w:r>
        <w:rPr>
          <w:rFonts w:hint="eastAsia" w:ascii="宋体" w:hAnsi="宋体" w:eastAsia="宋体" w:cs="宋体"/>
          <w:color w:val="auto"/>
          <w:kern w:val="0"/>
          <w:sz w:val="24"/>
          <w:szCs w:val="24"/>
          <w:highlight w:val="none"/>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6.9.5</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6.9.6</w:t>
      </w:r>
      <w:r>
        <w:rPr>
          <w:rFonts w:hint="eastAsia" w:ascii="宋体" w:hAnsi="宋体" w:eastAsia="宋体" w:cs="宋体"/>
          <w:color w:val="auto"/>
          <w:kern w:val="0"/>
          <w:sz w:val="24"/>
          <w:szCs w:val="24"/>
          <w:highlight w:val="none"/>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6.9.7</w:t>
      </w:r>
      <w:r>
        <w:rPr>
          <w:rFonts w:hint="eastAsia" w:ascii="宋体" w:hAnsi="宋体" w:eastAsia="宋体" w:cs="宋体"/>
          <w:color w:val="auto"/>
          <w:kern w:val="0"/>
          <w:sz w:val="24"/>
          <w:szCs w:val="24"/>
          <w:highlight w:val="none"/>
        </w:rPr>
        <w:t>在未摆放安全锥标</w:t>
      </w:r>
      <w:r>
        <w:rPr>
          <w:rFonts w:hint="eastAsia" w:ascii="宋体" w:hAnsi="宋体" w:eastAsia="宋体" w:cs="宋体"/>
          <w:color w:val="auto"/>
          <w:kern w:val="0"/>
          <w:sz w:val="24"/>
          <w:szCs w:val="24"/>
          <w:highlight w:val="none"/>
          <w:lang w:eastAsia="zh-CN"/>
        </w:rPr>
        <w:t>情况下在</w:t>
      </w:r>
      <w:r>
        <w:rPr>
          <w:rFonts w:hint="eastAsia" w:ascii="宋体" w:hAnsi="宋体" w:eastAsia="宋体" w:cs="宋体"/>
          <w:color w:val="auto"/>
          <w:kern w:val="0"/>
          <w:sz w:val="24"/>
          <w:szCs w:val="24"/>
          <w:highlight w:val="none"/>
        </w:rPr>
        <w:t>紧急停车带内临时停车</w:t>
      </w:r>
      <w:r>
        <w:rPr>
          <w:rFonts w:hint="eastAsia" w:ascii="宋体" w:hAnsi="宋体" w:eastAsia="宋体" w:cs="宋体"/>
          <w:color w:val="auto"/>
          <w:kern w:val="0"/>
          <w:sz w:val="24"/>
          <w:szCs w:val="24"/>
          <w:highlight w:val="none"/>
          <w:lang w:eastAsia="zh-CN"/>
        </w:rPr>
        <w:t>作业、较长时间停车情况下车内留人</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6.9.8</w:t>
      </w:r>
      <w:r>
        <w:rPr>
          <w:rFonts w:hint="eastAsia" w:ascii="宋体" w:hAnsi="宋体" w:eastAsia="宋体" w:cs="宋体"/>
          <w:color w:val="auto"/>
          <w:kern w:val="0"/>
          <w:sz w:val="24"/>
          <w:szCs w:val="24"/>
          <w:highlight w:val="none"/>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6.9.9</w:t>
      </w:r>
      <w:r>
        <w:rPr>
          <w:rFonts w:hint="eastAsia" w:ascii="宋体" w:hAnsi="宋体" w:eastAsia="宋体" w:cs="宋体"/>
          <w:color w:val="auto"/>
          <w:kern w:val="0"/>
          <w:sz w:val="24"/>
          <w:szCs w:val="24"/>
          <w:highlight w:val="none"/>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6.9.10</w:t>
      </w:r>
      <w:r>
        <w:rPr>
          <w:rFonts w:hint="eastAsia" w:ascii="宋体" w:hAnsi="宋体" w:eastAsia="宋体" w:cs="宋体"/>
          <w:color w:val="auto"/>
          <w:kern w:val="0"/>
          <w:sz w:val="24"/>
          <w:szCs w:val="24"/>
          <w:highlight w:val="none"/>
        </w:rPr>
        <w:t>开展高压外线巡检、供配电维护、高位水池检查</w:t>
      </w:r>
      <w:r>
        <w:rPr>
          <w:rFonts w:hint="eastAsia" w:ascii="宋体" w:hAnsi="宋体" w:eastAsia="宋体" w:cs="宋体"/>
          <w:color w:val="auto"/>
          <w:kern w:val="0"/>
          <w:sz w:val="24"/>
          <w:szCs w:val="24"/>
          <w:highlight w:val="none"/>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0"/>
          <w:sz w:val="24"/>
          <w:szCs w:val="24"/>
          <w:highlight w:val="none"/>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执行</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承包人的项目完工后，在履约保障金在退还时，</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lang w:eastAsia="zh-CN"/>
        </w:rPr>
        <w:t>工程管理部、智能交通研发中心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在该项目实施过程中所获得的</w:t>
      </w:r>
      <w:r>
        <w:rPr>
          <w:rFonts w:hint="eastAsia" w:ascii="宋体" w:hAnsi="宋体" w:eastAsia="宋体" w:cs="宋体"/>
          <w:color w:val="auto"/>
          <w:kern w:val="0"/>
          <w:sz w:val="24"/>
          <w:szCs w:val="24"/>
          <w:highlight w:val="none"/>
          <w:lang w:val="en-US" w:eastAsia="zh-CN"/>
        </w:rPr>
        <w:t>《违约处理通知书》计算</w:t>
      </w:r>
      <w:r>
        <w:rPr>
          <w:rFonts w:hint="eastAsia" w:ascii="宋体" w:hAnsi="宋体" w:eastAsia="宋体" w:cs="宋体"/>
          <w:color w:val="auto"/>
          <w:kern w:val="0"/>
          <w:sz w:val="24"/>
          <w:szCs w:val="24"/>
          <w:highlight w:val="none"/>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4"/>
          <w:highlight w:val="none"/>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.1本规定在使用过程中，应结合</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rPr>
        <w:t>本规定对合同协议双方当事人具有约束力。若出现违约，须严格按以上规定进行违约处理，对严重违约或不履约者，</w:t>
      </w:r>
      <w:r>
        <w:rPr>
          <w:rFonts w:hint="eastAsia" w:ascii="宋体" w:hAnsi="宋体" w:eastAsia="宋体" w:cs="宋体"/>
          <w:color w:val="auto"/>
          <w:kern w:val="0"/>
          <w:sz w:val="24"/>
          <w:szCs w:val="24"/>
          <w:highlight w:val="none"/>
          <w:lang w:eastAsia="zh-CN"/>
        </w:rPr>
        <w:t>或有以上违约行为超过</w:t>
      </w:r>
      <w:r>
        <w:rPr>
          <w:rFonts w:hint="eastAsia" w:ascii="宋体" w:hAnsi="宋体" w:eastAsia="宋体" w:cs="宋体"/>
          <w:color w:val="auto"/>
          <w:kern w:val="0"/>
          <w:sz w:val="24"/>
          <w:szCs w:val="24"/>
          <w:highlight w:val="none"/>
          <w:lang w:val="en-US" w:eastAsia="zh-CN"/>
        </w:rPr>
        <w:t>2次的，</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有权</w:t>
      </w:r>
      <w:r>
        <w:rPr>
          <w:rFonts w:hint="eastAsia" w:ascii="宋体" w:hAnsi="宋体" w:eastAsia="宋体" w:cs="宋体"/>
          <w:color w:val="auto"/>
          <w:kern w:val="0"/>
          <w:sz w:val="24"/>
          <w:szCs w:val="24"/>
          <w:highlight w:val="none"/>
          <w:lang w:eastAsia="zh-CN"/>
        </w:rPr>
        <w:t>解除</w:t>
      </w:r>
      <w:r>
        <w:rPr>
          <w:rFonts w:hint="eastAsia" w:ascii="宋体" w:hAnsi="宋体" w:eastAsia="宋体" w:cs="宋体"/>
          <w:color w:val="auto"/>
          <w:kern w:val="0"/>
          <w:sz w:val="24"/>
          <w:szCs w:val="24"/>
          <w:highlight w:val="none"/>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本办法未尽事宜由</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在过程中另行补充完善和约定执行。</w:t>
      </w:r>
    </w:p>
    <w:p>
      <w:pPr>
        <w:spacing w:line="440" w:lineRule="exact"/>
        <w:rPr>
          <w:rFonts w:hint="eastAsia" w:ascii="宋体" w:hAnsi="宋体" w:eastAsia="宋体" w:cs="宋体"/>
          <w:color w:val="000000"/>
          <w:sz w:val="30"/>
          <w:szCs w:val="30"/>
          <w:highlight w:val="none"/>
        </w:rPr>
      </w:pPr>
    </w:p>
    <w:p>
      <w:pPr>
        <w:spacing w:line="240" w:lineRule="auto"/>
        <w:ind w:firstLine="0" w:firstLineChars="0"/>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spacing w:line="360" w:lineRule="auto"/>
        <w:ind w:firstLine="3213" w:firstLineChars="1000"/>
        <w:jc w:val="left"/>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违约处理</w:t>
      </w:r>
      <w:r>
        <w:rPr>
          <w:rFonts w:hint="eastAsia" w:ascii="宋体" w:hAnsi="宋体" w:eastAsia="宋体" w:cs="宋体"/>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编号：</w:t>
      </w:r>
    </w:p>
    <w:tbl>
      <w:tblPr>
        <w:tblStyle w:val="9"/>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受处理单位名称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施工项目名称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违章地点</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处理原因</w:t>
            </w: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处理依据</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处理决定</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违约金</w:t>
            </w:r>
          </w:p>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6769"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开单</w:t>
            </w:r>
            <w:r>
              <w:rPr>
                <w:rFonts w:hint="eastAsia" w:ascii="宋体" w:hAnsi="宋体" w:eastAsia="宋体" w:cs="宋体"/>
                <w:color w:val="auto"/>
                <w:kern w:val="0"/>
                <w:sz w:val="24"/>
                <w:szCs w:val="24"/>
                <w:highlight w:val="none"/>
                <w:lang w:eastAsia="zh-CN"/>
              </w:rPr>
              <w:t>部门</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开单人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接收人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注：本《违约处理通知书》一式三份，一份交违约施工单位，一份开具违约通知书部门留底，一份交职能部门。</w:t>
      </w: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3</w:t>
      </w:r>
      <w:r>
        <w:rPr>
          <w:rFonts w:hint="eastAsia" w:ascii="宋体" w:hAnsi="宋体" w:eastAsia="宋体" w:cs="宋体"/>
          <w:b/>
          <w:kern w:val="0"/>
          <w:sz w:val="32"/>
          <w:szCs w:val="32"/>
          <w:highlight w:val="none"/>
          <w:lang w:bidi="ar-SA"/>
        </w:rPr>
        <w:t>：廉政合同</w:t>
      </w:r>
    </w:p>
    <w:p>
      <w:pPr>
        <w:pStyle w:val="8"/>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8"/>
        <w:jc w:val="center"/>
        <w:rPr>
          <w:rFonts w:hint="eastAsia" w:ascii="宋体" w:hAnsi="宋体" w:eastAsia="宋体" w:cs="宋体"/>
          <w:sz w:val="24"/>
          <w:highlight w:val="none"/>
        </w:rPr>
      </w:pPr>
      <w:r>
        <w:rPr>
          <w:rFonts w:hint="eastAsia" w:ascii="宋体" w:hAnsi="宋体" w:eastAsia="宋体" w:cs="宋体"/>
          <w:b/>
          <w:sz w:val="32"/>
          <w:szCs w:val="32"/>
          <w:highlight w:val="none"/>
          <w:lang w:val="en-US" w:eastAsia="zh-CN"/>
        </w:rPr>
        <w:t>之</w:t>
      </w:r>
      <w:r>
        <w:rPr>
          <w:rFonts w:hint="eastAsia" w:ascii="宋体" w:hAnsi="宋体" w:eastAsia="宋体" w:cs="宋体"/>
          <w:b/>
          <w:sz w:val="32"/>
          <w:szCs w:val="32"/>
          <w:highlight w:val="none"/>
        </w:rPr>
        <w:t>廉政合同</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sz w:val="24"/>
          <w:highlight w:val="none"/>
          <w:u w:val="none"/>
        </w:rPr>
        <w:t>重庆首讯科技股份有限公司</w:t>
      </w:r>
      <w:r>
        <w:rPr>
          <w:rFonts w:hint="eastAsia" w:ascii="宋体" w:hAnsi="宋体" w:eastAsia="宋体" w:cs="宋体"/>
          <w:sz w:val="24"/>
          <w:highlight w:val="none"/>
        </w:rPr>
        <w:t>（以下称甲方）与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公司（以下称乙方），特订立如下合同。</w:t>
      </w:r>
    </w:p>
    <w:p>
      <w:pPr>
        <w:widowControl/>
        <w:adjustRightInd w:val="0"/>
        <w:snapToGrid w:val="0"/>
        <w:spacing w:beforeLines="0" w:afterLines="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w:t>
      </w:r>
      <w:r>
        <w:rPr>
          <w:rFonts w:hint="eastAsia" w:ascii="宋体" w:hAnsi="宋体" w:eastAsia="宋体" w:cs="宋体"/>
          <w:b/>
          <w:bCs/>
          <w:sz w:val="24"/>
          <w:highlight w:val="none"/>
          <w:lang w:val="en-US" w:eastAsia="zh-CN"/>
        </w:rPr>
        <w:t>廉政</w:t>
      </w:r>
      <w:r>
        <w:rPr>
          <w:rFonts w:hint="eastAsia" w:ascii="宋体" w:hAnsi="宋体" w:eastAsia="宋体" w:cs="宋体"/>
          <w:b/>
          <w:bCs/>
          <w:sz w:val="24"/>
          <w:highlight w:val="none"/>
        </w:rPr>
        <w:t>责任人</w:t>
      </w:r>
    </w:p>
    <w:p>
      <w:pPr>
        <w:widowControl/>
        <w:adjustRightInd w:val="0"/>
        <w:snapToGrid w:val="0"/>
        <w:spacing w:beforeLines="0" w:afterLines="0"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甲方（信创或智慧中心项目负责人）：               </w:t>
      </w:r>
    </w:p>
    <w:p>
      <w:pPr>
        <w:pStyle w:val="4"/>
        <w:adjustRightInd w:val="0"/>
        <w:snapToGrid w:val="0"/>
        <w:spacing w:before="0" w:beforeAutospacing="0" w:after="0" w:afterAutospacing="0" w:line="360" w:lineRule="auto"/>
        <w:ind w:firstLine="480" w:firstLineChars="200"/>
        <w:jc w:val="both"/>
        <w:rPr>
          <w:rFonts w:hint="eastAsia" w:ascii="宋体" w:hAnsi="宋体" w:eastAsia="宋体" w:cs="宋体"/>
          <w:highlight w:val="none"/>
        </w:rPr>
      </w:pPr>
      <w:r>
        <w:rPr>
          <w:rFonts w:hint="eastAsia" w:ascii="宋体" w:hAnsi="宋体" w:eastAsia="宋体" w:cs="宋体"/>
          <w:b w:val="0"/>
          <w:bCs w:val="0"/>
          <w:sz w:val="24"/>
          <w:highlight w:val="none"/>
        </w:rPr>
        <w:t xml:space="preserve">乙方（此工程项目负责人）： </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、甲乙双方的权利和义务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（1）严格遵守党的政策规定和国家有关法律法规及交通部的有关规定。</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（3）建立健全廉政制度，开展廉政教育，设立廉政告示牌，公布举报电话，监督并认真查处违法违纪行为。</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（4）发现对方在业务活动中有违反廉政规定的行为，有及时提醒对方纠正的权利和义务。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Cs w:val="21"/>
          <w:highlight w:val="none"/>
        </w:rPr>
      </w:pPr>
      <w:r>
        <w:rPr>
          <w:rFonts w:hint="eastAsia" w:ascii="宋体" w:hAnsi="宋体" w:eastAsia="宋体" w:cs="宋体"/>
          <w:sz w:val="24"/>
          <w:highlight w:val="none"/>
        </w:rPr>
        <w:t>（5）发现对方严重违反本合同义务条款的行为，有向上级有关部门举报、建议给予处理并要求告知处理结果的权利。</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、甲方的义务</w:t>
      </w:r>
    </w:p>
    <w:p>
      <w:pPr>
        <w:widowControl/>
        <w:tabs>
          <w:tab w:val="left" w:pos="3936"/>
        </w:tabs>
        <w:adjustRightInd w:val="0"/>
        <w:snapToGrid w:val="0"/>
        <w:spacing w:beforeLines="0" w:afterLines="0" w:line="360" w:lineRule="auto"/>
        <w:ind w:firstLine="420" w:firstLineChars="200"/>
        <w:jc w:val="left"/>
        <w:rPr>
          <w:rFonts w:hint="eastAsia" w:ascii="宋体" w:hAnsi="宋体" w:eastAsia="宋体" w:cs="宋体"/>
          <w:sz w:val="24"/>
          <w:highlight w:val="none"/>
        </w:rPr>
      </w:pPr>
      <w:r>
        <w:rPr>
          <w:rFonts w:hint="eastAsia" w:ascii="宋体" w:hAnsi="宋体" w:eastAsia="宋体" w:cs="宋体"/>
          <w:szCs w:val="21"/>
          <w:highlight w:val="none"/>
        </w:rPr>
        <w:t>（</w:t>
      </w:r>
      <w:r>
        <w:rPr>
          <w:rFonts w:hint="eastAsia" w:ascii="宋体" w:hAnsi="宋体" w:eastAsia="宋体" w:cs="宋体"/>
          <w:sz w:val="24"/>
          <w:highlight w:val="none"/>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（2）甲方工作人员不得参加乙方安排的超标准宴请和娱乐活动；不得接受乙方提供的通讯工具、交通工具和高档办公用品等。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（4）甲方工作人员及其配偶、子女不得从事与甲方工程有关部门的材料设备供应、工程分包、劳务等经济活动等。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（5）甲方及其工作人员不得以任何理由向乙方推荐分包单位或推销材料，不得要求乙方购买合同规定外的材料和设备。</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、乙方义务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（1）乙方不得以任何理由向甲方及其工作人员行贿或馈赠礼金、有价证券、贵重物品。</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（2）乙方不得以任何名义为甲方及其工作人员报销应由甲方单位或个人支付的任何费用。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（3）乙方不得以任何理由邀请甲方工作人员外出旅游或安排甲方人员参加超标准宴请及娱乐活动。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（4）乙方不得为甲方单位和个人购置或提供通讯工具、交通工具和高档办公用品等。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、违约责任</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、双方约定</w:t>
      </w:r>
      <w:r>
        <w:rPr>
          <w:rFonts w:hint="eastAsia" w:ascii="宋体" w:hAnsi="宋体" w:eastAsia="宋体" w:cs="宋体"/>
          <w:szCs w:val="21"/>
          <w:highlight w:val="none"/>
        </w:rPr>
        <w:t>：</w:t>
      </w:r>
      <w:r>
        <w:rPr>
          <w:rFonts w:hint="eastAsia" w:ascii="宋体" w:hAnsi="宋体" w:eastAsia="宋体" w:cs="宋体"/>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sz w:val="24"/>
          <w:highlight w:val="none"/>
        </w:rPr>
        <w:t>本合同有效期为甲乙双方签署之日起至该工程项目竣工后止。</w:t>
      </w:r>
    </w:p>
    <w:p>
      <w:pPr>
        <w:widowControl/>
        <w:adjustRightInd w:val="0"/>
        <w:snapToGrid w:val="0"/>
        <w:spacing w:beforeLines="0" w:afterLines="0" w:line="360" w:lineRule="auto"/>
        <w:jc w:val="left"/>
        <w:rPr>
          <w:rFonts w:hint="eastAsia" w:ascii="宋体" w:hAnsi="宋体" w:eastAsia="宋体" w:cs="宋体"/>
          <w:szCs w:val="21"/>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w:t>
      </w:r>
      <w:r>
        <w:rPr>
          <w:rFonts w:hint="eastAsia" w:ascii="宋体" w:hAnsi="宋体" w:eastAsia="宋体" w:cs="宋体"/>
          <w:sz w:val="24"/>
          <w:highlight w:val="none"/>
        </w:rPr>
        <w:t>本合同一式两份，甲、乙双方各执一份。</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adjustRightInd w:val="0"/>
        <w:snapToGrid w:val="0"/>
        <w:spacing w:beforeLines="0" w:afterLines="0"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beforeLines="0" w:afterLines="0" w:line="360" w:lineRule="auto"/>
        <w:jc w:val="left"/>
        <w:rPr>
          <w:rFonts w:hint="eastAsia" w:ascii="宋体" w:hAnsi="宋体" w:eastAsia="宋体" w:cs="宋体"/>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adjustRightInd w:val="0"/>
        <w:snapToGrid w:val="0"/>
        <w:spacing w:beforeLines="0" w:afterLines="0"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pStyle w:val="6"/>
        <w:ind w:left="0" w:leftChars="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left"/>
        <w:rPr>
          <w:rFonts w:hint="eastAsia" w:ascii="宋体" w:hAnsi="宋体" w:eastAsia="宋体" w:cs="宋体"/>
          <w:b/>
          <w:sz w:val="32"/>
          <w:szCs w:val="32"/>
          <w:highlight w:val="none"/>
          <w:lang w:eastAsia="zh-CN"/>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4</w:t>
      </w:r>
      <w:r>
        <w:rPr>
          <w:rFonts w:hint="eastAsia" w:ascii="宋体" w:hAnsi="宋体" w:eastAsia="宋体" w:cs="宋体"/>
          <w:b/>
          <w:kern w:val="0"/>
          <w:sz w:val="32"/>
          <w:szCs w:val="32"/>
          <w:highlight w:val="none"/>
          <w:lang w:bidi="ar-SA"/>
        </w:rPr>
        <w:t>：环境保护</w:t>
      </w:r>
      <w:r>
        <w:rPr>
          <w:rFonts w:hint="eastAsia" w:ascii="宋体" w:hAnsi="宋体" w:eastAsia="宋体" w:cs="宋体"/>
          <w:b/>
          <w:kern w:val="0"/>
          <w:sz w:val="32"/>
          <w:szCs w:val="32"/>
          <w:highlight w:val="none"/>
          <w:lang w:val="en-US" w:eastAsia="zh-CN" w:bidi="ar-SA"/>
        </w:rPr>
        <w:t>协议</w:t>
      </w:r>
    </w:p>
    <w:p>
      <w:pPr>
        <w:widowControl/>
        <w:spacing w:line="360" w:lineRule="auto"/>
        <w:jc w:val="left"/>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 xml:space="preserve">  </w:t>
      </w:r>
    </w:p>
    <w:p>
      <w:pPr>
        <w:widowControl/>
        <w:spacing w:line="360" w:lineRule="auto"/>
        <w:jc w:val="left"/>
        <w:rPr>
          <w:rFonts w:hint="eastAsia" w:ascii="宋体" w:hAnsi="宋体" w:eastAsia="宋体" w:cs="宋体"/>
          <w:b/>
          <w:bCs/>
          <w:sz w:val="32"/>
          <w:szCs w:val="32"/>
          <w:highlight w:val="none"/>
          <w:u w:val="none"/>
          <w:lang w:val="en-US" w:eastAsia="zh-CN"/>
        </w:rPr>
      </w:pPr>
      <w:r>
        <w:rPr>
          <w:rFonts w:hint="eastAsia" w:ascii="宋体" w:hAnsi="宋体" w:eastAsia="宋体" w:cs="宋体"/>
          <w:sz w:val="24"/>
          <w:highlight w:val="none"/>
          <w:u w:val="none"/>
          <w:lang w:val="en-US" w:eastAsia="zh-CN"/>
        </w:rPr>
        <w:t xml:space="preserve">                      </w:t>
      </w: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7"/>
        <w:tabs>
          <w:tab w:val="left" w:pos="1200"/>
          <w:tab w:val="right" w:leader="dot" w:pos="9730"/>
        </w:tabs>
        <w:rPr>
          <w:rFonts w:hint="eastAsia" w:ascii="宋体" w:hAnsi="宋体" w:eastAsia="宋体" w:cs="宋体"/>
          <w:b/>
          <w:bCs/>
          <w:sz w:val="32"/>
          <w:szCs w:val="32"/>
          <w:highlight w:val="none"/>
        </w:rPr>
      </w:pPr>
      <w:r>
        <w:rPr>
          <w:rFonts w:hint="eastAsia" w:ascii="宋体" w:hAnsi="宋体" w:eastAsia="宋体" w:cs="宋体"/>
          <w:b/>
          <w:bCs/>
          <w:sz w:val="24"/>
          <w:highlight w:val="none"/>
          <w:u w:val="none"/>
          <w:lang w:val="en-US" w:eastAsia="zh-CN"/>
        </w:rPr>
        <w:t xml:space="preserve">                            </w:t>
      </w:r>
      <w:r>
        <w:rPr>
          <w:rFonts w:hint="eastAsia" w:ascii="宋体" w:hAnsi="宋体" w:eastAsia="宋体" w:cs="宋体"/>
          <w:b/>
          <w:bCs/>
          <w:sz w:val="32"/>
          <w:szCs w:val="32"/>
          <w:highlight w:val="none"/>
          <w:u w:val="none"/>
          <w:lang w:val="en-US" w:eastAsia="zh-CN"/>
        </w:rPr>
        <w:t>之环境保护协议</w:t>
      </w:r>
      <w:r>
        <w:rPr>
          <w:rFonts w:hint="eastAsia" w:ascii="宋体" w:hAnsi="宋体" w:eastAsia="宋体" w:cs="宋体"/>
          <w:b/>
          <w:bCs/>
          <w:sz w:val="24"/>
          <w:highlight w:val="none"/>
          <w:u w:val="none"/>
          <w:lang w:val="en-US" w:eastAsia="zh-CN"/>
        </w:rPr>
        <w:t xml:space="preserve">              </w:t>
      </w:r>
    </w:p>
    <w:p>
      <w:pPr>
        <w:widowControl/>
        <w:spacing w:line="360" w:lineRule="auto"/>
        <w:ind w:firstLine="420" w:firstLineChars="200"/>
        <w:jc w:val="left"/>
        <w:rPr>
          <w:rFonts w:hint="eastAsia" w:ascii="宋体" w:hAnsi="宋体" w:eastAsia="宋体" w:cs="宋体"/>
          <w:b w:val="0"/>
          <w:bCs w:val="0"/>
          <w:sz w:val="24"/>
          <w:highlight w:val="none"/>
        </w:rPr>
      </w:pPr>
      <w:r>
        <w:rPr>
          <w:rFonts w:hint="eastAsia" w:ascii="宋体" w:hAnsi="宋体" w:eastAsia="宋体" w:cs="宋体"/>
          <w:highlight w:val="none"/>
        </w:rPr>
        <w:t>为</w:t>
      </w:r>
      <w:r>
        <w:rPr>
          <w:rFonts w:hint="eastAsia" w:ascii="宋体" w:hAnsi="宋体" w:eastAsia="宋体" w:cs="宋体"/>
          <w:b w:val="0"/>
          <w:bCs w:val="0"/>
          <w:sz w:val="24"/>
          <w:highlight w:val="none"/>
        </w:rPr>
        <w:t>遵守《中华人民共和国环境保护法》《中华人民共和国安全生产法》及国家地方各项环境保护法律法规，保证施工生产符合环境管理要求，确保在实施过程中对周</w:t>
      </w:r>
      <w:r>
        <w:rPr>
          <w:rFonts w:hint="eastAsia" w:ascii="宋体" w:hAnsi="宋体" w:eastAsia="宋体" w:cs="宋体"/>
          <w:b w:val="0"/>
          <w:bCs w:val="0"/>
          <w:sz w:val="24"/>
          <w:highlight w:val="none"/>
          <w:lang w:val="en-US" w:eastAsia="zh-CN"/>
        </w:rPr>
        <w:t>边环境</w:t>
      </w:r>
      <w:r>
        <w:rPr>
          <w:rFonts w:hint="eastAsia" w:ascii="宋体" w:hAnsi="宋体" w:eastAsia="宋体" w:cs="宋体"/>
          <w:b w:val="0"/>
          <w:bCs w:val="0"/>
          <w:sz w:val="24"/>
          <w:highlight w:val="none"/>
        </w:rPr>
        <w:t>的保护，经甲乙双方协商，签订本协议。</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一、此项工程甲乙双方环保责任人</w:t>
      </w:r>
    </w:p>
    <w:p>
      <w:pPr>
        <w:widowControl/>
        <w:spacing w:line="360" w:lineRule="auto"/>
        <w:ind w:firstLine="480" w:firstLineChars="200"/>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甲方（信创或智慧中心项目负责人）：</w:t>
      </w:r>
      <w:r>
        <w:rPr>
          <w:rFonts w:hint="eastAsia" w:ascii="宋体" w:hAnsi="宋体" w:eastAsia="宋体" w:cs="宋体"/>
          <w:b w:val="0"/>
          <w:bCs w:val="0"/>
          <w:sz w:val="24"/>
          <w:highlight w:val="none"/>
          <w:u w:val="single"/>
        </w:rPr>
        <w:t xml:space="preserve">               </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乙方（此工程项目负责人）：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 xml:space="preserve"> </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1.严格遵守国家有关环境保护的法律法规，认真执行工程施工合同中的有关环保要求。</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2.监督检查乙方，对乙方在施工和提供其他服务的过程中在环境保护是否进行有效控制。</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4.针对项目特点，甲方对乙方进行环保交底工作，施工过程中监督乙方按交底内容实施。</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2.甲方对重大环境因素所提出的控制措施，乙方应负责进行有针对性的控制和实施。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8.乙方进入施工现场前，必须接受甲方环境保护培训，以提高作业人员环境保护意识。</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9.乙方必须按照甲方环境方针要求，排查各作业点环境因素，并制定相应措施。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10.乙方在土方开挖、运输、回填土作业时，必须要有防尘措施。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11.乙方作业人员要做到工完料净场地清，避免造成环境污染。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12.乙方施工机械、车辆尾气排放必须符合国家规定，不的泄露油污。</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1.本协议作为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的附件，与工程施工合同具有同等的法律效力。</w:t>
      </w:r>
    </w:p>
    <w:p>
      <w:pPr>
        <w:widowControl/>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sz w:val="24"/>
          <w:highlight w:val="none"/>
        </w:rPr>
        <w:t>2.本协议一式贰份，甲方执壹份，乙方执壹份。</w:t>
      </w:r>
      <w:r>
        <w:rPr>
          <w:rFonts w:hint="eastAsia" w:ascii="宋体" w:hAnsi="宋体" w:eastAsia="宋体" w:cs="宋体"/>
          <w:b w:val="0"/>
          <w:bCs w:val="0"/>
          <w:color w:val="auto"/>
          <w:sz w:val="24"/>
          <w:highlight w:val="none"/>
        </w:rPr>
        <w:t>由双方法定代表人或其授权的代理人签署盖章后生效，全部工程完工验收后终止。</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3.因协议在履行过程中所产生的争议，双方协商解决，协商不成的，提交甲方所在地有管辖权的人民法院管辖。</w:t>
      </w: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spacing w:line="360" w:lineRule="auto"/>
        <w:jc w:val="left"/>
        <w:rPr>
          <w:rFonts w:hint="eastAsia" w:ascii="宋体" w:hAnsi="宋体" w:eastAsia="宋体" w:cs="宋体"/>
          <w:b w:val="0"/>
          <w:bCs w:val="0"/>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spacing w:line="360" w:lineRule="auto"/>
        <w:jc w:val="left"/>
        <w:rPr>
          <w:rFonts w:hint="eastAsia" w:ascii="宋体" w:hAnsi="宋体" w:eastAsia="宋体" w:cs="宋体"/>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spacing w:line="360" w:lineRule="auto"/>
        <w:jc w:val="left"/>
        <w:rPr>
          <w:rFonts w:hint="eastAsia" w:ascii="宋体" w:hAnsi="宋体" w:eastAsia="宋体" w:cs="宋体"/>
          <w:b w:val="0"/>
          <w:bCs w:val="0"/>
          <w:sz w:val="24"/>
          <w:highlight w:val="none"/>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spacing w:line="360" w:lineRule="auto"/>
        <w:jc w:val="left"/>
        <w:rPr>
          <w:rFonts w:hint="eastAsia" w:ascii="宋体" w:hAnsi="宋体" w:eastAsia="宋体" w:cs="宋体"/>
          <w:b w:val="0"/>
          <w:bCs w:val="0"/>
          <w:sz w:val="24"/>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spacing w:line="440" w:lineRule="exact"/>
        <w:rPr>
          <w:rFonts w:hint="eastAsia" w:ascii="宋体" w:hAnsi="宋体" w:eastAsia="宋体" w:cs="宋体"/>
          <w:color w:val="000000"/>
          <w:sz w:val="30"/>
          <w:szCs w:val="30"/>
          <w:highlight w:val="none"/>
        </w:rPr>
      </w:pPr>
    </w:p>
    <w:p>
      <w:pPr>
        <w:pStyle w:val="7"/>
        <w:tabs>
          <w:tab w:val="right" w:leader="dot" w:pos="8296"/>
        </w:tabs>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4"/>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4"/>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4"/>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4"/>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color w:val="000000"/>
          <w:sz w:val="30"/>
          <w:szCs w:val="30"/>
          <w:highlight w:val="none"/>
          <w:lang w:val="en-US" w:eastAsia="zh-CN"/>
        </w:rPr>
      </w:pPr>
    </w:p>
    <w:p>
      <w:pPr>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highlight w:val="none"/>
          <w:lang w:val="en-US" w:eastAsia="zh-CN"/>
        </w:rPr>
      </w:pPr>
    </w:p>
    <w:p>
      <w:pPr>
        <w:spacing w:line="440" w:lineRule="exact"/>
        <w:jc w:val="left"/>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附件5:(适用于2000 万元以上的建设类项目合同</w:t>
      </w:r>
      <w:r>
        <w:rPr>
          <w:rFonts w:hint="eastAsia" w:ascii="宋体" w:hAnsi="宋体" w:eastAsia="宋体" w:cs="宋体"/>
          <w:b/>
          <w:bCs/>
          <w:color w:val="000000"/>
          <w:sz w:val="30"/>
          <w:szCs w:val="30"/>
          <w:highlight w:val="none"/>
          <w:lang w:eastAsia="zh-CN"/>
        </w:rPr>
        <w:t>）</w:t>
      </w:r>
    </w:p>
    <w:p>
      <w:pPr>
        <w:keepNext w:val="0"/>
        <w:keepLines w:val="0"/>
        <w:widowControl/>
        <w:suppressLineNumbers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诚信合规协议</w:t>
      </w: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乙方：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本协议为各方签订的</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（以下简称“合同”）的重要组成部分，经各方协商一致，同意共同遵守。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一、遵守反腐败法律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（一）为以下目的给予或承诺给予公务人员、个人或法人任何利益：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 不当影响公务人员的行为或决定；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 诱使公务人员违反其法定职责从而作为或不作为；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3. 诱使公务人员直接通过其个人影响力，或通过其对国内外政府或政府部门的影响力，影响该政府或政府部门的行为或决定；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4. 协助各方不当获得或保持商业机会或使其获得不当优势。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（二）为以下目的给予或承诺给予个人任何利益，无论其是否为公务人员：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1、意图使该个人不当履行其应尽的职责或义务；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2、知晓该个人接受利益即构成不当履行其应尽的职责或义务。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二、持续义务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2"/>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公务人员参与</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四、无私设资金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五、免责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六、终止权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七、审核权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八、调查通知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咨询举报邮箱：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九、本协议有效期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本协议有效期与合同的有效期一致。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十、本协议生效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本协议一式X份，经各方盖章后生效，具有同等法律效力。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附：公务人员的定义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本协议中的“公务人员”应包括但不限于其他单位的下列人员：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（一）政府部门的官员、雇员、代表以及代表政府或者经公共权力机构授权的人员；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（二）国际组织的官员、雇员和代表;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（三）行使公共权力的政治组织的官员、雇员、代表，或皇室成员;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（四）政府直接或间接控制或施加决定性影响力的国有企业的人员。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（以下无正文）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甲方（盖章）                              乙方（盖章）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年 月 日                                   年 月 日</w:t>
      </w:r>
    </w:p>
    <w:p>
      <w:pPr>
        <w:pStyle w:val="7"/>
        <w:tabs>
          <w:tab w:val="right" w:leader="dot" w:pos="8296"/>
        </w:tabs>
        <w:rPr>
          <w:rFonts w:hint="eastAsia" w:ascii="宋体" w:hAnsi="宋体" w:eastAsia="宋体" w:cs="宋体"/>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jc w:val="left"/>
        <w:rPr>
          <w:rFonts w:hint="eastAsia" w:ascii="宋体" w:hAnsi="宋体" w:eastAsia="宋体" w:cs="宋体"/>
          <w:b/>
          <w:bCs/>
          <w:color w:val="000000"/>
          <w:kern w:val="2"/>
          <w:sz w:val="30"/>
          <w:szCs w:val="30"/>
          <w:highlight w:val="none"/>
          <w:lang w:bidi="ar-SA"/>
        </w:rPr>
      </w:pPr>
    </w:p>
    <w:p>
      <w:pPr>
        <w:spacing w:line="440" w:lineRule="exact"/>
        <w:jc w:val="left"/>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b/>
          <w:bCs/>
          <w:color w:val="000000"/>
          <w:kern w:val="2"/>
          <w:sz w:val="30"/>
          <w:szCs w:val="30"/>
          <w:highlight w:val="none"/>
          <w:lang w:bidi="ar-SA"/>
        </w:rPr>
      </w:pPr>
    </w:p>
    <w:p>
      <w:pPr>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highlight w:val="none"/>
        </w:rPr>
      </w:pPr>
    </w:p>
    <w:p>
      <w:pPr>
        <w:spacing w:line="240" w:lineRule="auto"/>
        <w:jc w:val="left"/>
        <w:rPr>
          <w:rFonts w:hint="eastAsia" w:ascii="宋体" w:hAnsi="宋体" w:eastAsia="宋体" w:cs="宋体"/>
          <w:b/>
          <w:bCs/>
          <w:color w:val="000000"/>
          <w:kern w:val="2"/>
          <w:sz w:val="30"/>
          <w:szCs w:val="30"/>
          <w:highlight w:val="none"/>
          <w:lang w:bidi="ar-SA"/>
        </w:rPr>
      </w:pPr>
      <w:r>
        <w:rPr>
          <w:rFonts w:hint="eastAsia" w:ascii="宋体" w:hAnsi="宋体" w:eastAsia="宋体" w:cs="宋体"/>
          <w:b/>
          <w:bCs/>
          <w:color w:val="000000"/>
          <w:kern w:val="2"/>
          <w:sz w:val="30"/>
          <w:szCs w:val="30"/>
          <w:highlight w:val="none"/>
          <w:lang w:bidi="ar-SA"/>
        </w:rPr>
        <w:br w:type="page"/>
      </w:r>
    </w:p>
    <w:p>
      <w:pPr>
        <w:spacing w:line="440" w:lineRule="exact"/>
        <w:jc w:val="left"/>
        <w:rPr>
          <w:rFonts w:hint="eastAsia" w:ascii="宋体" w:hAnsi="宋体" w:eastAsia="宋体" w:cs="宋体"/>
          <w:b/>
          <w:bCs/>
          <w:color w:val="000000"/>
          <w:kern w:val="2"/>
          <w:sz w:val="30"/>
          <w:szCs w:val="30"/>
          <w:highlight w:val="none"/>
          <w:lang w:eastAsia="zh-CN" w:bidi="ar-SA"/>
        </w:rPr>
      </w:pPr>
      <w:r>
        <w:rPr>
          <w:rFonts w:hint="eastAsia" w:ascii="宋体" w:hAnsi="宋体" w:eastAsia="宋体" w:cs="宋体"/>
          <w:b/>
          <w:bCs/>
          <w:color w:val="000000"/>
          <w:kern w:val="2"/>
          <w:sz w:val="30"/>
          <w:szCs w:val="30"/>
          <w:highlight w:val="none"/>
          <w:lang w:bidi="ar-SA"/>
        </w:rPr>
        <w:t>附件</w:t>
      </w:r>
      <w:r>
        <w:rPr>
          <w:rFonts w:hint="eastAsia" w:ascii="宋体" w:hAnsi="宋体" w:eastAsia="宋体" w:cs="宋体"/>
          <w:b/>
          <w:bCs/>
          <w:color w:val="000000"/>
          <w:kern w:val="2"/>
          <w:sz w:val="30"/>
          <w:szCs w:val="30"/>
          <w:highlight w:val="none"/>
          <w:lang w:val="en-US" w:eastAsia="zh-CN" w:bidi="ar-SA"/>
        </w:rPr>
        <w:t>6</w:t>
      </w:r>
      <w:r>
        <w:rPr>
          <w:rFonts w:hint="eastAsia" w:ascii="宋体" w:hAnsi="宋体" w:eastAsia="宋体" w:cs="宋体"/>
          <w:b/>
          <w:bCs/>
          <w:color w:val="000000"/>
          <w:kern w:val="2"/>
          <w:sz w:val="30"/>
          <w:szCs w:val="30"/>
          <w:highlight w:val="none"/>
          <w:lang w:bidi="ar-SA"/>
        </w:rPr>
        <w:t>：</w:t>
      </w: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项目经理任命书</w:t>
      </w:r>
      <w:r>
        <w:rPr>
          <w:rFonts w:hint="eastAsia" w:ascii="宋体" w:hAnsi="宋体" w:eastAsia="宋体" w:cs="宋体"/>
          <w:b/>
          <w:bCs/>
          <w:color w:val="000000"/>
          <w:sz w:val="30"/>
          <w:szCs w:val="30"/>
          <w:highlight w:val="none"/>
        </w:rPr>
        <w:tab/>
      </w: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000000"/>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bCs/>
          <w:color w:val="auto"/>
          <w:sz w:val="30"/>
          <w:szCs w:val="30"/>
          <w:highlight w:val="none"/>
        </w:rPr>
        <w:t>项目经理任命书</w:t>
      </w:r>
    </w:p>
    <w:p>
      <w:pPr>
        <w:spacing w:line="440" w:lineRule="exact"/>
        <w:rPr>
          <w:rFonts w:hint="eastAsia" w:ascii="宋体" w:hAnsi="宋体" w:eastAsia="宋体" w:cs="宋体"/>
          <w:color w:val="auto"/>
          <w:sz w:val="30"/>
          <w:szCs w:val="30"/>
          <w:highlight w:val="none"/>
        </w:rPr>
      </w:pP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经公司研究决定，任命</w:t>
      </w:r>
      <w:r>
        <w:rPr>
          <w:rFonts w:hint="eastAsia" w:ascii="宋体" w:hAnsi="宋体" w:eastAsia="宋体" w:cs="宋体"/>
          <w:color w:val="auto"/>
          <w:sz w:val="30"/>
          <w:szCs w:val="30"/>
          <w:highlight w:val="none"/>
          <w:u w:val="single"/>
        </w:rPr>
        <w:t xml:space="preserve"> XX </w:t>
      </w:r>
      <w:r>
        <w:rPr>
          <w:rFonts w:hint="eastAsia" w:ascii="宋体" w:hAnsi="宋体" w:eastAsia="宋体" w:cs="宋体"/>
          <w:color w:val="auto"/>
          <w:sz w:val="30"/>
          <w:szCs w:val="30"/>
          <w:highlight w:val="none"/>
        </w:rPr>
        <w:t xml:space="preserve">同志担任 </w:t>
      </w:r>
      <w:r>
        <w:rPr>
          <w:rFonts w:hint="eastAsia" w:ascii="宋体" w:hAnsi="宋体" w:eastAsia="宋体" w:cs="宋体"/>
          <w:color w:val="auto"/>
          <w:sz w:val="30"/>
          <w:szCs w:val="30"/>
          <w:highlight w:val="none"/>
          <w:u w:val="single"/>
        </w:rPr>
        <w:t>XXXXXX</w:t>
      </w:r>
      <w:r>
        <w:rPr>
          <w:rFonts w:hint="eastAsia" w:ascii="宋体" w:hAnsi="宋体" w:eastAsia="宋体" w:cs="宋体"/>
          <w:color w:val="auto"/>
          <w:sz w:val="30"/>
          <w:szCs w:val="30"/>
          <w:highlight w:val="none"/>
        </w:rPr>
        <w:t>项目的项目经理，负责该工程项目管理工作，并负责处理该工程项目的一切事务。</w:t>
      </w: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特此任命！</w:t>
      </w:r>
    </w:p>
    <w:p>
      <w:pPr>
        <w:spacing w:line="440" w:lineRule="exact"/>
        <w:rPr>
          <w:rFonts w:hint="eastAsia" w:ascii="宋体" w:hAnsi="宋体" w:eastAsia="宋体" w:cs="宋体"/>
          <w:color w:val="auto"/>
          <w:sz w:val="30"/>
          <w:szCs w:val="30"/>
          <w:highlight w:val="none"/>
        </w:rPr>
      </w:pPr>
    </w:p>
    <w:p>
      <w:pPr>
        <w:spacing w:line="440" w:lineRule="exact"/>
        <w:ind w:firstLine="5400" w:firstLineChars="18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XXXXXXXXXXXX公司  </w:t>
      </w:r>
    </w:p>
    <w:p>
      <w:pPr>
        <w:spacing w:line="440" w:lineRule="exact"/>
        <w:ind w:firstLine="6000" w:firstLineChars="20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20XX年 X月X 日</w:t>
      </w:r>
    </w:p>
    <w:p>
      <w:pPr>
        <w:spacing w:line="440" w:lineRule="exact"/>
        <w:rPr>
          <w:rFonts w:hint="eastAsia" w:ascii="宋体" w:hAnsi="宋体" w:eastAsia="宋体" w:cs="宋体"/>
          <w:color w:val="auto"/>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67" w:name="_Toc296891267"/>
      <w:bookmarkStart w:id="68" w:name="_Toc296347226"/>
      <w:bookmarkStart w:id="69" w:name="_Toc296944566"/>
      <w:bookmarkStart w:id="70" w:name="_Toc296891055"/>
      <w:bookmarkStart w:id="71" w:name="_Toc296346728"/>
      <w:bookmarkStart w:id="72" w:name="_Toc296503227"/>
      <w:bookmarkStart w:id="73" w:name="_Toc267261698"/>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7</w:t>
      </w:r>
      <w:r>
        <w:rPr>
          <w:rFonts w:hint="eastAsia" w:ascii="宋体" w:hAnsi="宋体" w:eastAsia="宋体" w:cs="宋体"/>
          <w:b/>
          <w:bCs/>
          <w:color w:val="000000"/>
          <w:sz w:val="30"/>
          <w:szCs w:val="30"/>
          <w:highlight w:val="none"/>
        </w:rPr>
        <w:t>：</w:t>
      </w:r>
    </w:p>
    <w:bookmarkEnd w:id="67"/>
    <w:bookmarkEnd w:id="68"/>
    <w:bookmarkEnd w:id="69"/>
    <w:bookmarkEnd w:id="70"/>
    <w:bookmarkEnd w:id="71"/>
    <w:bookmarkEnd w:id="72"/>
    <w:bookmarkEnd w:id="73"/>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承包人用于本工程施工的机械设备表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序号</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机械或设备名称</w:t>
            </w:r>
          </w:p>
        </w:tc>
        <w:tc>
          <w:tcPr>
            <w:tcW w:w="85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规格型号</w:t>
            </w:r>
          </w:p>
        </w:tc>
        <w:tc>
          <w:tcPr>
            <w:tcW w:w="105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数量</w:t>
            </w:r>
          </w:p>
        </w:tc>
        <w:tc>
          <w:tcPr>
            <w:tcW w:w="8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产地</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制造年份</w:t>
            </w:r>
          </w:p>
        </w:tc>
        <w:tc>
          <w:tcPr>
            <w:tcW w:w="14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额定功率(kW)</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生产能力</w:t>
            </w:r>
          </w:p>
        </w:tc>
        <w:tc>
          <w:tcPr>
            <w:tcW w:w="92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bl>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440" w:lineRule="exact"/>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74" w:name="_Toc296891056"/>
      <w:bookmarkStart w:id="75" w:name="_Toc296891268"/>
      <w:bookmarkStart w:id="76" w:name="_Toc296503228"/>
      <w:bookmarkStart w:id="77" w:name="_Toc267261699"/>
      <w:bookmarkStart w:id="78" w:name="_Toc296346729"/>
      <w:bookmarkStart w:id="79" w:name="_Toc296347227"/>
      <w:bookmarkStart w:id="80" w:name="_Toc296944567"/>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8</w:t>
      </w:r>
      <w:r>
        <w:rPr>
          <w:rFonts w:hint="eastAsia" w:ascii="宋体" w:hAnsi="宋体" w:eastAsia="宋体" w:cs="宋体"/>
          <w:b/>
          <w:bCs/>
          <w:color w:val="000000"/>
          <w:sz w:val="30"/>
          <w:szCs w:val="30"/>
          <w:highlight w:val="none"/>
        </w:rPr>
        <w:t>：</w:t>
      </w:r>
    </w:p>
    <w:bookmarkEnd w:id="74"/>
    <w:bookmarkEnd w:id="75"/>
    <w:bookmarkEnd w:id="76"/>
    <w:bookmarkEnd w:id="77"/>
    <w:bookmarkEnd w:id="78"/>
    <w:bookmarkEnd w:id="79"/>
    <w:bookmarkEnd w:id="80"/>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承包人主要施工管理人员表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名    称</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姓名</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职务</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职称</w:t>
            </w:r>
          </w:p>
        </w:tc>
        <w:tc>
          <w:tcPr>
            <w:tcW w:w="425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809" w:type="dxa"/>
            <w:gridSpan w:val="5"/>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项目主管</w:t>
            </w: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项目副经理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技术负责人</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造价管理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质量管理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材料管理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计划管理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安全管理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bl>
    <w:p>
      <w:pPr>
        <w:spacing w:line="360" w:lineRule="auto"/>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br w:type="page"/>
      </w:r>
      <w:bookmarkStart w:id="81" w:name="_Toc267261701"/>
      <w:r>
        <w:rPr>
          <w:rFonts w:hint="eastAsia" w:ascii="宋体" w:hAnsi="宋体" w:eastAsia="宋体" w:cs="宋体"/>
          <w:b/>
          <w:bCs/>
          <w:color w:val="000000"/>
          <w:sz w:val="30"/>
          <w:szCs w:val="30"/>
          <w:highlight w:val="none"/>
        </w:rPr>
        <w:t>附</w:t>
      </w:r>
      <w:bookmarkStart w:id="82" w:name="_Toc296346732"/>
      <w:bookmarkStart w:id="83" w:name="_Toc296944570"/>
      <w:bookmarkStart w:id="84" w:name="_Toc296891059"/>
      <w:bookmarkStart w:id="85" w:name="_Toc296503231"/>
      <w:bookmarkStart w:id="86" w:name="_Toc296347230"/>
      <w:bookmarkStart w:id="87" w:name="_Toc296891271"/>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9</w:t>
      </w:r>
      <w:r>
        <w:rPr>
          <w:rFonts w:hint="eastAsia" w:ascii="宋体" w:hAnsi="宋体" w:eastAsia="宋体" w:cs="宋体"/>
          <w:b/>
          <w:bCs/>
          <w:color w:val="000000"/>
          <w:sz w:val="30"/>
          <w:szCs w:val="30"/>
          <w:highlight w:val="none"/>
        </w:rPr>
        <w:t>：</w:t>
      </w:r>
    </w:p>
    <w:bookmarkEnd w:id="81"/>
    <w:bookmarkEnd w:id="82"/>
    <w:bookmarkEnd w:id="83"/>
    <w:bookmarkEnd w:id="84"/>
    <w:bookmarkEnd w:id="85"/>
    <w:bookmarkEnd w:id="86"/>
    <w:bookmarkEnd w:id="87"/>
    <w:p>
      <w:pPr>
        <w:spacing w:before="156" w:beforeLines="50" w:after="156" w:afterLines="50" w:line="36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履约担保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鉴于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（发包人名称，以下简称“发包人”）与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你方和承包人按合同约定变更合同时，我方承担本担保规定的义务不变。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 保 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p>
    <w:p>
      <w:pPr>
        <w:spacing w:line="360" w:lineRule="auto"/>
        <w:jc w:val="left"/>
        <w:rPr>
          <w:rFonts w:hint="eastAsia" w:ascii="宋体" w:hAnsi="宋体" w:eastAsia="宋体" w:cs="宋体"/>
          <w:color w:val="000000"/>
          <w:sz w:val="24"/>
          <w:szCs w:val="24"/>
          <w:highlight w:val="none"/>
          <w:u w:val="single"/>
        </w:rPr>
      </w:pPr>
    </w:p>
    <w:p>
      <w:pPr>
        <w:spacing w:line="360" w:lineRule="auto"/>
        <w:ind w:left="1899" w:hanging="1519" w:hangingChars="63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line="360" w:lineRule="auto"/>
        <w:ind w:left="1899" w:hanging="1899" w:hangingChars="633"/>
        <w:rPr>
          <w:rFonts w:hint="eastAsia" w:ascii="宋体" w:hAnsi="宋体" w:eastAsia="宋体" w:cs="宋体"/>
          <w:color w:val="000000"/>
          <w:sz w:val="30"/>
          <w:szCs w:val="3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B2F8"/>
    <w:multiLevelType w:val="singleLevel"/>
    <w:tmpl w:val="2577B2F8"/>
    <w:lvl w:ilvl="0" w:tentative="0">
      <w:start w:val="3"/>
      <w:numFmt w:val="chineseCounting"/>
      <w:suff w:val="nothing"/>
      <w:lvlText w:val="%1、"/>
      <w:lvlJc w:val="left"/>
      <w:rPr>
        <w:rFonts w:hint="eastAsia"/>
      </w:rPr>
    </w:lvl>
  </w:abstractNum>
  <w:abstractNum w:abstractNumId="1">
    <w:nsid w:val="7AF23F93"/>
    <w:multiLevelType w:val="singleLevel"/>
    <w:tmpl w:val="7AF23F93"/>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60845"/>
    <w:rsid w:val="02F60845"/>
    <w:rsid w:val="1B713A3F"/>
    <w:rsid w:val="310C6A6C"/>
    <w:rsid w:val="3A33204A"/>
    <w:rsid w:val="55BB7563"/>
    <w:rsid w:val="59D0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4">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5">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6">
    <w:name w:val="table of authorities"/>
    <w:basedOn w:val="1"/>
    <w:next w:val="1"/>
    <w:qFormat/>
    <w:uiPriority w:val="99"/>
    <w:pPr>
      <w:ind w:left="420" w:leftChars="200"/>
    </w:pPr>
  </w:style>
  <w:style w:type="paragraph" w:styleId="7">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8">
    <w:name w:val="Normal (Web)"/>
    <w:basedOn w:val="1"/>
    <w:qFormat/>
    <w:uiPriority w:val="0"/>
    <w:rPr>
      <w:sz w:val="24"/>
    </w:rPr>
  </w:style>
  <w:style w:type="character" w:styleId="11">
    <w:name w:val="annotation reference"/>
    <w:qFormat/>
    <w:uiPriority w:val="0"/>
    <w:rPr>
      <w:sz w:val="21"/>
      <w:szCs w:val="21"/>
    </w:rPr>
  </w:style>
  <w:style w:type="paragraph" w:customStyle="1" w:styleId="12">
    <w:name w:val="列出段落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2024-07-12T07:40:00Z</dcterms:created>
  <dc:creator>蒋淇</dc:creator>
  <cp:lastModifiedBy>蒋淇</cp:lastModifiedBy>
  <dcterms:modified xsi:type="dcterms:W3CDTF">2024-07-12T07:45:43Z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7B5303A6005E4FACB41A42C6B3F1C7E4</vt:lpwstr>
  </property>
</Properties>
</file>